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7C5174">
        <w:rPr>
          <w:rFonts w:ascii="Courier New" w:hAnsi="Courier New" w:cs="Courier New"/>
          <w:b/>
          <w:bCs/>
          <w:spacing w:val="-3"/>
          <w:sz w:val="24"/>
          <w:szCs w:val="24"/>
        </w:rPr>
        <w:t>FLORIDA PUBLIC SERVICE COMMISSION</w:t>
      </w:r>
      <w:r w:rsidRPr="007C5174">
        <w:rPr>
          <w:rFonts w:ascii="Courier New" w:hAnsi="Courier New" w:cs="Courier New"/>
          <w:b/>
          <w:bCs/>
          <w:spacing w:val="-3"/>
          <w:sz w:val="24"/>
          <w:szCs w:val="24"/>
        </w:rPr>
        <w:fldChar w:fldCharType="begin"/>
      </w:r>
      <w:r w:rsidRPr="007C5174">
        <w:rPr>
          <w:rFonts w:ascii="Courier New" w:hAnsi="Courier New" w:cs="Courier New"/>
          <w:b/>
          <w:bCs/>
          <w:spacing w:val="-3"/>
          <w:sz w:val="24"/>
          <w:szCs w:val="24"/>
        </w:rPr>
        <w:instrText xml:space="preserve">PRIVATE </w:instrText>
      </w:r>
      <w:r w:rsidRPr="007C5174">
        <w:rPr>
          <w:rFonts w:ascii="Courier New" w:hAnsi="Courier New" w:cs="Courier New"/>
          <w:b/>
          <w:bCs/>
          <w:spacing w:val="-3"/>
          <w:sz w:val="24"/>
          <w:szCs w:val="24"/>
        </w:rPr>
        <w:fldChar w:fldCharType="end"/>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ab/>
        <w:t>Fletcher Building</w:t>
      </w: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ab/>
        <w:t>101 East Gaines Street</w:t>
      </w: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ab/>
        <w:t>Tallahassee, Florida 32399-0850</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ab/>
      </w:r>
      <w:r w:rsidRPr="007C5174">
        <w:rPr>
          <w:rFonts w:ascii="Courier New" w:hAnsi="Courier New" w:cs="Courier New"/>
          <w:b/>
          <w:bCs/>
          <w:spacing w:val="-3"/>
          <w:sz w:val="24"/>
          <w:szCs w:val="24"/>
          <w:u w:val="single"/>
        </w:rPr>
        <w:t>M E M O R A N D U M</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ab/>
        <w:t>July 8, 1993</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TO</w:t>
      </w:r>
      <w:r w:rsidRPr="007C5174">
        <w:rPr>
          <w:rFonts w:ascii="Courier New" w:hAnsi="Courier New" w:cs="Courier New"/>
          <w:b/>
          <w:bCs/>
          <w:spacing w:val="-3"/>
          <w:sz w:val="24"/>
          <w:szCs w:val="24"/>
        </w:rPr>
        <w:tab/>
        <w:t>:</w:t>
      </w:r>
      <w:r w:rsidRPr="007C5174">
        <w:rPr>
          <w:rFonts w:ascii="Courier New" w:hAnsi="Courier New" w:cs="Courier New"/>
          <w:b/>
          <w:bCs/>
          <w:spacing w:val="-3"/>
          <w:sz w:val="24"/>
          <w:szCs w:val="24"/>
        </w:rPr>
        <w:tab/>
        <w:t>DIRECTOR, DIVISION OF RECORDS AND REPORTING</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FROM</w:t>
      </w:r>
      <w:r w:rsidRPr="007C5174">
        <w:rPr>
          <w:rFonts w:ascii="Courier New" w:hAnsi="Courier New" w:cs="Courier New"/>
          <w:b/>
          <w:bCs/>
          <w:spacing w:val="-3"/>
          <w:sz w:val="24"/>
          <w:szCs w:val="24"/>
        </w:rPr>
        <w:tab/>
        <w:t>:</w:t>
      </w:r>
      <w:r w:rsidRPr="007C5174">
        <w:rPr>
          <w:rFonts w:ascii="Courier New" w:hAnsi="Courier New" w:cs="Courier New"/>
          <w:b/>
          <w:bCs/>
          <w:spacing w:val="-3"/>
          <w:sz w:val="24"/>
          <w:szCs w:val="24"/>
        </w:rPr>
        <w:tab/>
        <w:t>DIVISION OF COMMUNICATIONS [SHELFER, WIDELL]</w:t>
      </w: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ab/>
      </w:r>
      <w:r w:rsidR="00CD4D68">
        <w:rPr>
          <w:rFonts w:ascii="Courier New" w:hAnsi="Courier New" w:cs="Courier New"/>
          <w:b/>
          <w:bCs/>
          <w:spacing w:val="-3"/>
          <w:sz w:val="24"/>
          <w:szCs w:val="24"/>
        </w:rPr>
        <w:tab/>
      </w:r>
      <w:r w:rsidRPr="007C5174">
        <w:rPr>
          <w:rFonts w:ascii="Courier New" w:hAnsi="Courier New" w:cs="Courier New"/>
          <w:b/>
          <w:bCs/>
          <w:spacing w:val="-3"/>
          <w:sz w:val="24"/>
          <w:szCs w:val="24"/>
        </w:rPr>
        <w:t>DIVISION OF LEGAL SERVICES [GREEN]</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RE</w:t>
      </w:r>
      <w:r w:rsidRPr="007C5174">
        <w:rPr>
          <w:rFonts w:ascii="Courier New" w:hAnsi="Courier New" w:cs="Courier New"/>
          <w:b/>
          <w:bCs/>
          <w:spacing w:val="-3"/>
          <w:sz w:val="24"/>
          <w:szCs w:val="24"/>
        </w:rPr>
        <w:tab/>
        <w:t>:</w:t>
      </w:r>
      <w:r w:rsidR="00CD4D68">
        <w:rPr>
          <w:rFonts w:ascii="Courier New" w:hAnsi="Courier New" w:cs="Courier New"/>
          <w:b/>
          <w:bCs/>
          <w:spacing w:val="-3"/>
          <w:sz w:val="24"/>
          <w:szCs w:val="24"/>
        </w:rPr>
        <w:tab/>
      </w:r>
      <w:r w:rsidRPr="007C5174">
        <w:rPr>
          <w:rFonts w:ascii="Courier New" w:hAnsi="Courier New" w:cs="Courier New"/>
          <w:b/>
          <w:bCs/>
          <w:spacing w:val="-3"/>
          <w:sz w:val="24"/>
          <w:szCs w:val="24"/>
        </w:rPr>
        <w:t>DOCKET NO. 870248-TL - RESOLUTION BY HOLMES COUNTY BOARD OF COUNTY COMMISSIONERS FOR EXTENDED AREA SERVICE IN HOLMES COUNTY, FLORIDA</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870790-TL - REQUEST BY GILCHRIST COUNTY COMMISSIONERS FOR EXTENDED AREA SERVICE THROUGHOUT GILCHRIST COUNTY</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900039-TL - RESOLUTION BY THE ORANGE COUNTY BOARD OF COUNTY COMMISSIONERS FOR EXTENDED AREA SERVICE BETWEEN THE MOUNT DORA EXCHANGE AND APOPKA, ORLANDO, WINTER GARDEN, WINTER PARK, EAST ORANGE, REEDY CREEK, WINDERMERE, AND LAKE BUENA VISTA EXCHANGES</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910022-TL - RESOLUTION OF BRADFORD COUNTY COMMISSION REQUESTING EXTENDED AREA SERVICE WITHIN BRADFORD COUNTY AND BETWEEN BRADFORD COUNTY, UNION COUNTY AND GAINESVILLE</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910029-TL - REQUEST OF VOLUSIA COUNTY COUNCIL FOR EXTENDED AREA SERVICE BETWEEN THE SANFORD EXCHANGE (OSTEEN AND DELTONA) AND THE ORANGE CITY AND DELAND EXCHANGES</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910528-TL - REQUEST BY PUTNAM COUNTY BOARD OF COUNTY COMMISSIONERS FOR EXTENDED AREA SERVICE BETWEEN THE CRESCENT CITY, HAWTHORNE, ORANGE SPRINGS, AND MELROSE EXCHANGES, AND THE PALATKA EXCHANGE</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DOCKET NO. 910529-TL -REQUEST BY PASCO COUNTY BOARD OF COUNTY COMMISSIONERS FOR EXTENDED AREA SERVICE BETWEEN ALL PASCO COUNTY EXCHANGES</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C5174">
        <w:rPr>
          <w:rFonts w:ascii="Courier New" w:hAnsi="Courier New" w:cs="Courier New"/>
          <w:b/>
          <w:bCs/>
          <w:spacing w:val="-3"/>
          <w:sz w:val="24"/>
          <w:szCs w:val="24"/>
        </w:rPr>
        <w:t>AGENDA:</w:t>
      </w:r>
      <w:r w:rsidR="00CD4D68">
        <w:rPr>
          <w:rFonts w:ascii="Courier New" w:hAnsi="Courier New" w:cs="Courier New"/>
          <w:b/>
          <w:bCs/>
          <w:spacing w:val="-3"/>
          <w:sz w:val="24"/>
          <w:szCs w:val="24"/>
        </w:rPr>
        <w:tab/>
      </w:r>
      <w:bookmarkStart w:id="0" w:name="_GoBack"/>
      <w:bookmarkEnd w:id="0"/>
      <w:r w:rsidRPr="007C5174">
        <w:rPr>
          <w:rFonts w:ascii="Courier New" w:hAnsi="Courier New" w:cs="Courier New"/>
          <w:b/>
          <w:bCs/>
          <w:spacing w:val="-3"/>
          <w:sz w:val="24"/>
          <w:szCs w:val="24"/>
        </w:rPr>
        <w:t>JUNE 20, 1993 -- CONTROVERSIAL --PARTIES MAY PARTICIPATE</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lastRenderedPageBreak/>
        <w:t>CRITICAL DATES:   NONE</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t xml:space="preserve">SPECIAL INSTRUCTIONS: I:\PSC\CMU\WP\870248.RCM </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br w:type="page"/>
      </w:r>
    </w:p>
    <w:p w:rsidR="00D11B9B" w:rsidRPr="007C5174" w:rsidRDefault="00D11B9B">
      <w:pPr>
        <w:tabs>
          <w:tab w:val="center" w:pos="468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b/>
          <w:bCs/>
          <w:spacing w:val="-3"/>
          <w:sz w:val="24"/>
          <w:szCs w:val="24"/>
        </w:rPr>
        <w:lastRenderedPageBreak/>
        <w:tab/>
      </w:r>
      <w:r w:rsidRPr="007C5174">
        <w:rPr>
          <w:rFonts w:ascii="Courier New" w:hAnsi="Courier New" w:cs="Courier New"/>
          <w:b/>
          <w:bCs/>
          <w:spacing w:val="-3"/>
          <w:sz w:val="24"/>
          <w:szCs w:val="24"/>
          <w:u w:val="single"/>
        </w:rPr>
        <w:t>CASE BACKGROUND</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This Commission has recognized the need for toll relief on routes that showed a significant community of interest but did not meet all the rule requirements for nonoptional, flat rate, two-way EAS.  Historically, the Commission has ordered some type of optional EAS plan (i.e. OEAS, EOEAS, and Toll-Pac) on these routes.  Because the optional EAS plans, particularly OEAS plans, are somewhat confusing to customers, the additives or buy-ins are generally rather high, and the take rates for most OEAS plans are rather low, the Commission turned to a nonoptional message rated plan.</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The $.25 plan was initially implemented on the Quincy to Tallahassee route (Docket No. 890292-TL).  The $.25 plan gained such favor with customers that the Commission began receiving requests from petitioners for the $.25 plan alone and not EAS (920642-TL).  Since the implementation of message rate routes, 348 message/ECS routes have been implemented (ECS is rated at $.25 per call for residential and business calls are rated $.10 for the first minute and $.06 for each additional minute).  (See Table A, below.)  Of those, 312 are intraLATA and 36 are interLATA.  In addition, there are sixty-eight (68) message/ECS interLATA routes, which require a waiver from Judge Greene before they can be implemented.  Judge Greene has ruled on thirty-six (36) of the routes and denied them all.  No decision has been made on GTEFL's four (4) requests or the remaining twenty-eight (28) Southern Bell routes.</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center" w:pos="468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TABLE  A</w:t>
      </w:r>
    </w:p>
    <w:p w:rsidR="00D11B9B" w:rsidRPr="007C5174" w:rsidRDefault="00D11B9B">
      <w:pPr>
        <w:tabs>
          <w:tab w:val="center" w:pos="468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MESSAGE/ECS PLANS IN EFFECT</w:t>
      </w:r>
    </w:p>
    <w:p w:rsidR="00D11B9B" w:rsidRPr="007C5174" w:rsidRDefault="00D11B9B">
      <w:pPr>
        <w:tabs>
          <w:tab w:val="center" w:pos="468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r>
    </w:p>
    <w:tbl>
      <w:tblPr>
        <w:tblW w:w="0" w:type="auto"/>
        <w:jc w:val="center"/>
        <w:tblLayout w:type="fixed"/>
        <w:tblCellMar>
          <w:left w:w="120" w:type="dxa"/>
          <w:right w:w="120" w:type="dxa"/>
        </w:tblCellMar>
        <w:tblLook w:val="0000" w:firstRow="0" w:lastRow="0" w:firstColumn="0" w:lastColumn="0" w:noHBand="0" w:noVBand="0"/>
      </w:tblPr>
      <w:tblGrid>
        <w:gridCol w:w="2916"/>
        <w:gridCol w:w="2052"/>
        <w:gridCol w:w="2196"/>
        <w:gridCol w:w="2196"/>
      </w:tblGrid>
      <w:tr w:rsidR="00D11B9B" w:rsidRPr="007C5174">
        <w:trPr>
          <w:jc w:val="center"/>
        </w:trPr>
        <w:tc>
          <w:tcPr>
            <w:tcW w:w="2916" w:type="dxa"/>
            <w:tcBorders>
              <w:top w:val="doub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fldChar w:fldCharType="begin"/>
            </w:r>
            <w:r w:rsidRPr="007C5174">
              <w:rPr>
                <w:rFonts w:ascii="Courier New" w:hAnsi="Courier New" w:cs="Courier New"/>
                <w:spacing w:val="-3"/>
                <w:sz w:val="24"/>
                <w:szCs w:val="24"/>
              </w:rPr>
              <w:instrText xml:space="preserve">PRIVATE </w:instrText>
            </w:r>
            <w:r w:rsidRPr="007C5174">
              <w:rPr>
                <w:rFonts w:ascii="Courier New" w:hAnsi="Courier New" w:cs="Courier New"/>
                <w:spacing w:val="-3"/>
                <w:sz w:val="24"/>
                <w:szCs w:val="24"/>
              </w:rPr>
              <w:fldChar w:fldCharType="end"/>
            </w:r>
          </w:p>
        </w:tc>
        <w:tc>
          <w:tcPr>
            <w:tcW w:w="2052" w:type="dxa"/>
            <w:tcBorders>
              <w:top w:val="double" w:sz="7" w:space="0" w:color="auto"/>
              <w:left w:val="single" w:sz="7" w:space="0" w:color="auto"/>
              <w:bottom w:val="nil"/>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InterLATA</w:t>
            </w:r>
          </w:p>
        </w:tc>
        <w:tc>
          <w:tcPr>
            <w:tcW w:w="2196" w:type="dxa"/>
            <w:tcBorders>
              <w:top w:val="double" w:sz="7" w:space="0" w:color="auto"/>
              <w:left w:val="single" w:sz="7" w:space="0" w:color="auto"/>
              <w:bottom w:val="nil"/>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IntraLATA</w:t>
            </w:r>
          </w:p>
        </w:tc>
        <w:tc>
          <w:tcPr>
            <w:tcW w:w="2196" w:type="dxa"/>
            <w:tcBorders>
              <w:top w:val="double" w:sz="7" w:space="0" w:color="auto"/>
              <w:left w:val="single" w:sz="7" w:space="0" w:color="auto"/>
              <w:bottom w:val="nil"/>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Total</w:t>
            </w:r>
          </w:p>
        </w:tc>
      </w:tr>
      <w:tr w:rsidR="00D11B9B" w:rsidRPr="007C5174">
        <w:trPr>
          <w:jc w:val="center"/>
        </w:trPr>
        <w:tc>
          <w:tcPr>
            <w:tcW w:w="2916"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Mess. Rate 20</w:t>
            </w:r>
            <w:r w:rsidRPr="007C5174">
              <w:rPr>
                <w:rFonts w:ascii="Courier New" w:hAnsi="Courier New" w:cs="Courier New"/>
                <w:spacing w:val="-3"/>
                <w:sz w:val="24"/>
                <w:szCs w:val="24"/>
              </w:rPr>
              <w:sym w:font="WP TypographicSymbols" w:char="0034"/>
            </w:r>
          </w:p>
        </w:tc>
        <w:tc>
          <w:tcPr>
            <w:tcW w:w="2052" w:type="dxa"/>
            <w:tcBorders>
              <w:top w:val="single" w:sz="7" w:space="0" w:color="auto"/>
              <w:left w:val="single" w:sz="7" w:space="0" w:color="auto"/>
              <w:bottom w:val="nil"/>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12</w:t>
            </w:r>
          </w:p>
        </w:tc>
        <w:tc>
          <w:tcPr>
            <w:tcW w:w="2196" w:type="dxa"/>
            <w:tcBorders>
              <w:top w:val="single" w:sz="7" w:space="0" w:color="auto"/>
              <w:left w:val="single" w:sz="7" w:space="0" w:color="auto"/>
              <w:bottom w:val="nil"/>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117</w:t>
            </w:r>
          </w:p>
        </w:tc>
        <w:tc>
          <w:tcPr>
            <w:tcW w:w="2196" w:type="dxa"/>
            <w:tcBorders>
              <w:top w:val="single" w:sz="7" w:space="0" w:color="auto"/>
              <w:left w:val="single" w:sz="7" w:space="0" w:color="auto"/>
              <w:bottom w:val="nil"/>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129</w:t>
            </w:r>
          </w:p>
        </w:tc>
      </w:tr>
      <w:tr w:rsidR="00D11B9B" w:rsidRPr="007C5174">
        <w:trPr>
          <w:jc w:val="center"/>
        </w:trPr>
        <w:tc>
          <w:tcPr>
            <w:tcW w:w="2916"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Mess. Rate 25</w:t>
            </w:r>
            <w:r w:rsidRPr="007C5174">
              <w:rPr>
                <w:rFonts w:ascii="Courier New" w:hAnsi="Courier New" w:cs="Courier New"/>
                <w:spacing w:val="-3"/>
                <w:sz w:val="24"/>
                <w:szCs w:val="24"/>
              </w:rPr>
              <w:sym w:font="WP TypographicSymbols" w:char="0034"/>
            </w:r>
          </w:p>
        </w:tc>
        <w:tc>
          <w:tcPr>
            <w:tcW w:w="2052" w:type="dxa"/>
            <w:tcBorders>
              <w:top w:val="single" w:sz="7" w:space="0" w:color="auto"/>
              <w:left w:val="single" w:sz="7" w:space="0" w:color="auto"/>
              <w:bottom w:val="nil"/>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16</w:t>
            </w:r>
          </w:p>
        </w:tc>
        <w:tc>
          <w:tcPr>
            <w:tcW w:w="2196" w:type="dxa"/>
            <w:tcBorders>
              <w:top w:val="single" w:sz="7" w:space="0" w:color="auto"/>
              <w:left w:val="single" w:sz="7" w:space="0" w:color="auto"/>
              <w:bottom w:val="nil"/>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129</w:t>
            </w:r>
          </w:p>
        </w:tc>
        <w:tc>
          <w:tcPr>
            <w:tcW w:w="2196" w:type="dxa"/>
            <w:tcBorders>
              <w:top w:val="single" w:sz="7" w:space="0" w:color="auto"/>
              <w:left w:val="single" w:sz="7" w:space="0" w:color="auto"/>
              <w:bottom w:val="nil"/>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145</w:t>
            </w:r>
          </w:p>
        </w:tc>
      </w:tr>
      <w:tr w:rsidR="00D11B9B" w:rsidRPr="007C5174">
        <w:trPr>
          <w:jc w:val="center"/>
        </w:trPr>
        <w:tc>
          <w:tcPr>
            <w:tcW w:w="2916"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5 Free Calls + 20</w:t>
            </w:r>
            <w:r w:rsidRPr="007C5174">
              <w:rPr>
                <w:rFonts w:ascii="Courier New" w:hAnsi="Courier New" w:cs="Courier New"/>
                <w:spacing w:val="-3"/>
                <w:sz w:val="24"/>
                <w:szCs w:val="24"/>
              </w:rPr>
              <w:sym w:font="WP TypographicSymbols" w:char="0034"/>
            </w:r>
          </w:p>
        </w:tc>
        <w:tc>
          <w:tcPr>
            <w:tcW w:w="2052" w:type="dxa"/>
            <w:tcBorders>
              <w:top w:val="single" w:sz="7" w:space="0" w:color="auto"/>
              <w:left w:val="single" w:sz="7" w:space="0" w:color="auto"/>
              <w:bottom w:val="nil"/>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8</w:t>
            </w:r>
          </w:p>
        </w:tc>
        <w:tc>
          <w:tcPr>
            <w:tcW w:w="2196" w:type="dxa"/>
            <w:tcBorders>
              <w:top w:val="single" w:sz="7" w:space="0" w:color="auto"/>
              <w:left w:val="single" w:sz="7" w:space="0" w:color="auto"/>
              <w:bottom w:val="nil"/>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 xml:space="preserve">   0</w:t>
            </w:r>
          </w:p>
        </w:tc>
        <w:tc>
          <w:tcPr>
            <w:tcW w:w="2196" w:type="dxa"/>
            <w:tcBorders>
              <w:top w:val="single" w:sz="7" w:space="0" w:color="auto"/>
              <w:left w:val="single" w:sz="7" w:space="0" w:color="auto"/>
              <w:bottom w:val="nil"/>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 xml:space="preserve">   8</w:t>
            </w:r>
          </w:p>
        </w:tc>
      </w:tr>
      <w:tr w:rsidR="00D11B9B" w:rsidRPr="007C5174">
        <w:trPr>
          <w:jc w:val="center"/>
        </w:trPr>
        <w:tc>
          <w:tcPr>
            <w:tcW w:w="2916"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ECS</w:t>
            </w:r>
          </w:p>
        </w:tc>
        <w:tc>
          <w:tcPr>
            <w:tcW w:w="2052" w:type="dxa"/>
            <w:tcBorders>
              <w:top w:val="single" w:sz="7" w:space="0" w:color="auto"/>
              <w:left w:val="single" w:sz="7" w:space="0" w:color="auto"/>
              <w:bottom w:val="nil"/>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0</w:t>
            </w:r>
          </w:p>
        </w:tc>
        <w:tc>
          <w:tcPr>
            <w:tcW w:w="2196" w:type="dxa"/>
            <w:tcBorders>
              <w:top w:val="single" w:sz="7" w:space="0" w:color="auto"/>
              <w:left w:val="single" w:sz="7" w:space="0" w:color="auto"/>
              <w:bottom w:val="nil"/>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 xml:space="preserve"> 66</w:t>
            </w:r>
          </w:p>
        </w:tc>
        <w:tc>
          <w:tcPr>
            <w:tcW w:w="2196" w:type="dxa"/>
            <w:tcBorders>
              <w:top w:val="single" w:sz="7" w:space="0" w:color="auto"/>
              <w:left w:val="single" w:sz="7" w:space="0" w:color="auto"/>
              <w:bottom w:val="nil"/>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 xml:space="preserve"> 66</w:t>
            </w:r>
          </w:p>
        </w:tc>
      </w:tr>
      <w:tr w:rsidR="00D11B9B" w:rsidRPr="007C5174">
        <w:trPr>
          <w:jc w:val="center"/>
        </w:trPr>
        <w:tc>
          <w:tcPr>
            <w:tcW w:w="2916" w:type="dxa"/>
            <w:tcBorders>
              <w:top w:val="single" w:sz="7" w:space="0" w:color="auto"/>
              <w:left w:val="double" w:sz="7" w:space="0" w:color="auto"/>
              <w:bottom w:val="double" w:sz="7" w:space="0" w:color="auto"/>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 xml:space="preserve">      Total</w:t>
            </w:r>
          </w:p>
        </w:tc>
        <w:tc>
          <w:tcPr>
            <w:tcW w:w="2052" w:type="dxa"/>
            <w:tcBorders>
              <w:top w:val="single" w:sz="7" w:space="0" w:color="auto"/>
              <w:left w:val="single" w:sz="7" w:space="0" w:color="auto"/>
              <w:bottom w:val="double" w:sz="7" w:space="0" w:color="auto"/>
              <w:right w:val="nil"/>
            </w:tcBorders>
          </w:tcPr>
          <w:p w:rsidR="00D11B9B" w:rsidRPr="007C5174" w:rsidRDefault="00D11B9B">
            <w:pPr>
              <w:tabs>
                <w:tab w:val="center" w:pos="915"/>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36</w:t>
            </w:r>
          </w:p>
        </w:tc>
        <w:tc>
          <w:tcPr>
            <w:tcW w:w="2196" w:type="dxa"/>
            <w:tcBorders>
              <w:top w:val="single" w:sz="7" w:space="0" w:color="auto"/>
              <w:left w:val="single" w:sz="7" w:space="0" w:color="auto"/>
              <w:bottom w:val="double" w:sz="7" w:space="0" w:color="auto"/>
              <w:right w:val="nil"/>
            </w:tcBorders>
          </w:tcPr>
          <w:p w:rsidR="00D11B9B" w:rsidRPr="007C5174" w:rsidRDefault="00D11B9B">
            <w:pPr>
              <w:tabs>
                <w:tab w:val="center" w:pos="987"/>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312</w:t>
            </w:r>
          </w:p>
        </w:tc>
        <w:tc>
          <w:tcPr>
            <w:tcW w:w="2196" w:type="dxa"/>
            <w:tcBorders>
              <w:top w:val="single" w:sz="7" w:space="0" w:color="auto"/>
              <w:left w:val="single" w:sz="7" w:space="0" w:color="auto"/>
              <w:bottom w:val="double" w:sz="7" w:space="0" w:color="auto"/>
              <w:right w:val="double" w:sz="7" w:space="0" w:color="auto"/>
            </w:tcBorders>
          </w:tcPr>
          <w:p w:rsidR="00D11B9B" w:rsidRPr="007C5174" w:rsidRDefault="00D11B9B">
            <w:pPr>
              <w:tabs>
                <w:tab w:val="center" w:pos="958"/>
              </w:tabs>
              <w:suppressAutoHyphens/>
              <w:spacing w:before="90" w:after="54" w:line="240" w:lineRule="atLeast"/>
              <w:rPr>
                <w:rFonts w:ascii="Courier New" w:hAnsi="Courier New" w:cs="Courier New"/>
                <w:spacing w:val="-3"/>
                <w:sz w:val="24"/>
                <w:szCs w:val="24"/>
              </w:rPr>
            </w:pPr>
            <w:r w:rsidRPr="007C5174">
              <w:rPr>
                <w:rFonts w:ascii="Courier New" w:hAnsi="Courier New" w:cs="Courier New"/>
                <w:spacing w:val="-3"/>
                <w:sz w:val="24"/>
                <w:szCs w:val="24"/>
              </w:rPr>
              <w:tab/>
              <w:t>348</w:t>
            </w:r>
          </w:p>
        </w:tc>
      </w:tr>
    </w:tbl>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br w:type="page"/>
      </w:r>
      <w:r w:rsidRPr="007C5174">
        <w:rPr>
          <w:rFonts w:ascii="Courier New" w:hAnsi="Courier New" w:cs="Courier New"/>
          <w:spacing w:val="-3"/>
          <w:sz w:val="24"/>
          <w:szCs w:val="24"/>
        </w:rPr>
        <w:lastRenderedPageBreak/>
        <w:tab/>
        <w:t>In addition, the Commission has ordered the $.25/ECS plan within the context of rate cases for intra-company, intraLATA routes with calling rates greater than 4 M/A/Ms.  In the United Rate Case (910980-TL) the $.25 plan was ordered on six (6) intraLATA routes, and ECS was ordered on four (4) intraLATA routes in the GTEFL Rate Case (Docket No. 920188-TL).</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The $.25 plan has also been used to resolve countywide calling problems.  Prior to the Centel Rate Case (891246-TL), countywide calling was primarily handled on a case-by-case basis.  In the Centel Rate Case, the Commission used available funds to order countywide calling ($.25 plan) in Jackson, Holmes, Walton and Okaloosa counties (these counties had pending EAS dockets).  The Commission approved requests by Volusia (911185-TL) and Highlands (920150-TL) counties for countywide calling (except for a pocket in the Okeechobee exchange within Highlands County).  County requests by Charlotte (920666-TL) and Polk (920097-TL) counties for specific routes within a county were denied by the Commission.</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However, with the order from Judge Greene to deny Southern Bell's request for a waiver of the interLATA restriction on seven dockets involving interLATA routes, it appears that the Florida Commission is hamstrung regarding interLATA routes which do not meet the criteria for flat rate EAS.</w:t>
      </w:r>
    </w:p>
    <w:p w:rsidR="00D11B9B" w:rsidRPr="007C5174" w:rsidRDefault="00D11B9B">
      <w:pPr>
        <w:tabs>
          <w:tab w:val="center" w:pos="4680"/>
        </w:tabs>
        <w:suppressAutoHyphens/>
        <w:spacing w:line="240" w:lineRule="atLeast"/>
        <w:jc w:val="both"/>
        <w:rPr>
          <w:rFonts w:ascii="Courier New" w:hAnsi="Courier New" w:cs="Courier New"/>
          <w:spacing w:val="-3"/>
          <w:sz w:val="24"/>
          <w:szCs w:val="24"/>
          <w:u w:val="single"/>
        </w:rPr>
      </w:pPr>
      <w:r w:rsidRPr="007C5174">
        <w:rPr>
          <w:rFonts w:ascii="Courier New" w:hAnsi="Courier New" w:cs="Courier New"/>
          <w:spacing w:val="-3"/>
          <w:sz w:val="24"/>
          <w:szCs w:val="24"/>
        </w:rPr>
        <w:br w:type="page"/>
      </w:r>
      <w:r w:rsidRPr="007C5174">
        <w:rPr>
          <w:rFonts w:ascii="Courier New" w:hAnsi="Courier New" w:cs="Courier New"/>
          <w:spacing w:val="-3"/>
          <w:sz w:val="24"/>
          <w:szCs w:val="24"/>
        </w:rPr>
        <w:lastRenderedPageBreak/>
        <w:t xml:space="preserve">  </w:t>
      </w:r>
      <w:r w:rsidRPr="007C5174">
        <w:rPr>
          <w:rFonts w:ascii="Courier New" w:hAnsi="Courier New" w:cs="Courier New"/>
          <w:spacing w:val="-3"/>
          <w:sz w:val="24"/>
          <w:szCs w:val="24"/>
        </w:rPr>
        <w:tab/>
      </w:r>
      <w:r w:rsidRPr="007C5174">
        <w:rPr>
          <w:rFonts w:ascii="Courier New" w:hAnsi="Courier New" w:cs="Courier New"/>
          <w:spacing w:val="-3"/>
          <w:sz w:val="24"/>
          <w:szCs w:val="24"/>
          <w:u w:val="single"/>
        </w:rPr>
        <w:t>DISCUSSION OF ISSUES</w:t>
      </w:r>
    </w:p>
    <w:p w:rsidR="00D11B9B" w:rsidRPr="007C5174" w:rsidRDefault="00D11B9B">
      <w:pPr>
        <w:tabs>
          <w:tab w:val="left" w:pos="-720"/>
        </w:tabs>
        <w:suppressAutoHyphens/>
        <w:spacing w:line="240" w:lineRule="atLeast"/>
        <w:jc w:val="both"/>
        <w:rPr>
          <w:rFonts w:ascii="Courier New" w:hAnsi="Courier New" w:cs="Courier New"/>
          <w:spacing w:val="-3"/>
          <w:sz w:val="24"/>
          <w:szCs w:val="24"/>
          <w:u w:val="single"/>
        </w:rPr>
      </w:pP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r w:rsidRPr="007C5174">
        <w:rPr>
          <w:rFonts w:ascii="Courier New" w:hAnsi="Courier New" w:cs="Courier New"/>
          <w:spacing w:val="-3"/>
          <w:sz w:val="24"/>
          <w:szCs w:val="24"/>
          <w:u w:val="single"/>
        </w:rPr>
        <w:t>ISSUE 1:</w:t>
      </w:r>
      <w:r w:rsidRPr="007C5174">
        <w:rPr>
          <w:rFonts w:ascii="Courier New" w:hAnsi="Courier New" w:cs="Courier New"/>
          <w:b/>
          <w:bCs/>
          <w:spacing w:val="-3"/>
          <w:sz w:val="24"/>
          <w:szCs w:val="24"/>
        </w:rPr>
        <w:t xml:space="preserve">   </w:t>
      </w:r>
      <w:r w:rsidRPr="007C5174">
        <w:rPr>
          <w:rFonts w:ascii="Courier New" w:hAnsi="Courier New" w:cs="Courier New"/>
          <w:spacing w:val="-3"/>
          <w:sz w:val="24"/>
          <w:szCs w:val="24"/>
        </w:rPr>
        <w:t>Should</w:t>
      </w:r>
      <w:r w:rsidRPr="007C5174">
        <w:rPr>
          <w:rFonts w:ascii="Courier New" w:hAnsi="Courier New" w:cs="Courier New"/>
          <w:b/>
          <w:bCs/>
          <w:spacing w:val="-3"/>
          <w:sz w:val="24"/>
          <w:szCs w:val="24"/>
        </w:rPr>
        <w:t xml:space="preserve"> </w:t>
      </w:r>
      <w:r w:rsidRPr="007C5174">
        <w:rPr>
          <w:rFonts w:ascii="Courier New" w:hAnsi="Courier New" w:cs="Courier New"/>
          <w:spacing w:val="-3"/>
          <w:sz w:val="24"/>
          <w:szCs w:val="24"/>
        </w:rPr>
        <w:t>the Commission grant Southern Bell and ALLTEL's Motions for Partial Modification on the interLATA routes for which Judge Greene has ruled that the $.25 plan may not be implemented (dockets listed below in Table B)?</w:t>
      </w:r>
    </w:p>
    <w:p w:rsidR="00D11B9B" w:rsidRPr="007C5174" w:rsidRDefault="00D11B9B">
      <w:pPr>
        <w:tabs>
          <w:tab w:val="left" w:pos="-720"/>
        </w:tabs>
        <w:suppressAutoHyphens/>
        <w:spacing w:line="240" w:lineRule="atLeast"/>
        <w:jc w:val="both"/>
        <w:rPr>
          <w:rFonts w:ascii="Courier New" w:hAnsi="Courier New" w:cs="Courier New"/>
          <w:b/>
          <w:bCs/>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u w:val="single"/>
        </w:rPr>
        <w:t>RECOMMENDATION:</w:t>
      </w:r>
      <w:r w:rsidRPr="007C5174">
        <w:rPr>
          <w:rFonts w:ascii="Courier New" w:hAnsi="Courier New" w:cs="Courier New"/>
          <w:b/>
          <w:bCs/>
          <w:spacing w:val="-3"/>
          <w:sz w:val="24"/>
          <w:szCs w:val="24"/>
        </w:rPr>
        <w:t xml:space="preserve">  </w:t>
      </w:r>
      <w:r w:rsidRPr="007C5174">
        <w:rPr>
          <w:rFonts w:ascii="Courier New" w:hAnsi="Courier New" w:cs="Courier New"/>
          <w:spacing w:val="-3"/>
          <w:sz w:val="24"/>
          <w:szCs w:val="24"/>
        </w:rPr>
        <w:t>Yes, the Commission should grant these Motions.</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u w:val="single"/>
        </w:rPr>
        <w:t>STAFF ANALYSIS:</w:t>
      </w:r>
      <w:r w:rsidRPr="007C5174">
        <w:rPr>
          <w:rFonts w:ascii="Courier New" w:hAnsi="Courier New" w:cs="Courier New"/>
          <w:spacing w:val="-3"/>
          <w:sz w:val="24"/>
          <w:szCs w:val="24"/>
        </w:rPr>
        <w:t xml:space="preserve">  The Commission has hit a stumbling block with Judge Greene's decision to deny Southern Bell's waiver to carry interLATA traffic on the ordered $.25 plan routes.  As a result of this decision, Southern Bell has filed Motions for Partial Modifications.  These Motions request that the Commission partially modify the orders associated with these 38 routes to relieve Southern Bell of the obligation to implement the $.25 plan on these routes.  ALLTEL has also filed similar motions on the dockets that involve ALLTEL and Southern Bell.  These dockets are listed below on Table B.</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sectPr w:rsidR="00D11B9B" w:rsidRPr="007C5174">
          <w:headerReference w:type="default" r:id="rId8"/>
          <w:footerReference w:type="default" r:id="rId9"/>
          <w:pgSz w:w="12240" w:h="15840"/>
          <w:pgMar w:top="1440" w:right="1440" w:bottom="1440" w:left="1440" w:header="1440" w:footer="1440" w:gutter="0"/>
          <w:pgNumType w:start="1"/>
          <w:cols w:space="720"/>
          <w:noEndnote/>
          <w:titlePg/>
        </w:sectPr>
      </w:pPr>
    </w:p>
    <w:p w:rsidR="00D11B9B" w:rsidRPr="007C5174" w:rsidRDefault="00D11B9B">
      <w:pPr>
        <w:tabs>
          <w:tab w:val="center" w:pos="5731"/>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lastRenderedPageBreak/>
        <w:tab/>
        <w:t>TABLE B</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center" w:pos="5731"/>
        </w:tabs>
        <w:suppressAutoHyphens/>
        <w:spacing w:line="240" w:lineRule="atLeast"/>
        <w:jc w:val="both"/>
        <w:rPr>
          <w:rFonts w:ascii="Courier New" w:hAnsi="Courier New" w:cs="Courier New"/>
          <w:spacing w:val="-3"/>
          <w:sz w:val="24"/>
          <w:szCs w:val="24"/>
        </w:rPr>
      </w:pPr>
      <w:r w:rsidRPr="007C5174">
        <w:rPr>
          <w:rFonts w:ascii="Courier New" w:hAnsi="Courier New" w:cs="Courier New"/>
          <w:spacing w:val="-3"/>
          <w:sz w:val="24"/>
          <w:szCs w:val="24"/>
        </w:rPr>
        <w:tab/>
        <w:t>EAS DOCKETS JUDGE GREENE HAS DENIED</w:t>
      </w: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352"/>
        <w:gridCol w:w="4200"/>
      </w:tblGrid>
      <w:tr w:rsidR="00D11B9B" w:rsidRPr="007C5174">
        <w:trPr>
          <w:tblHeader/>
          <w:jc w:val="center"/>
        </w:trPr>
        <w:tc>
          <w:tcPr>
            <w:tcW w:w="2352" w:type="dxa"/>
            <w:tcBorders>
              <w:top w:val="single" w:sz="18" w:space="0" w:color="auto"/>
              <w:left w:val="double" w:sz="7" w:space="0" w:color="auto"/>
              <w:bottom w:val="double" w:sz="7" w:space="0" w:color="auto"/>
              <w:right w:val="nil"/>
            </w:tcBorders>
          </w:tcPr>
          <w:p w:rsidR="00D11B9B" w:rsidRPr="007C5174" w:rsidRDefault="00D11B9B">
            <w:pPr>
              <w:tabs>
                <w:tab w:val="left" w:pos="-720"/>
              </w:tabs>
              <w:suppressAutoHyphens/>
              <w:spacing w:before="90" w:after="54" w:line="240" w:lineRule="atLeast"/>
              <w:jc w:val="center"/>
              <w:rPr>
                <w:rFonts w:ascii="Courier New" w:hAnsi="Courier New" w:cs="Courier New"/>
                <w:b/>
                <w:bCs/>
                <w:spacing w:val="-2"/>
                <w:sz w:val="19"/>
                <w:szCs w:val="19"/>
              </w:rPr>
            </w:pPr>
            <w:r w:rsidRPr="007C5174">
              <w:rPr>
                <w:rFonts w:ascii="Courier New" w:hAnsi="Courier New" w:cs="Courier New"/>
                <w:spacing w:val="-3"/>
                <w:sz w:val="24"/>
                <w:szCs w:val="24"/>
              </w:rPr>
              <w:fldChar w:fldCharType="begin"/>
            </w:r>
            <w:r w:rsidRPr="007C5174">
              <w:rPr>
                <w:rFonts w:ascii="Courier New" w:hAnsi="Courier New" w:cs="Courier New"/>
                <w:spacing w:val="-3"/>
                <w:sz w:val="24"/>
                <w:szCs w:val="24"/>
              </w:rPr>
              <w:instrText xml:space="preserve">PRIVATE </w:instrText>
            </w:r>
            <w:r w:rsidRPr="007C5174">
              <w:rPr>
                <w:rFonts w:ascii="Courier New" w:hAnsi="Courier New" w:cs="Courier New"/>
                <w:spacing w:val="-3"/>
                <w:sz w:val="24"/>
                <w:szCs w:val="24"/>
              </w:rPr>
              <w:fldChar w:fldCharType="end"/>
            </w:r>
            <w:r w:rsidRPr="007C5174">
              <w:rPr>
                <w:rFonts w:ascii="Courier New" w:hAnsi="Courier New" w:cs="Courier New"/>
                <w:b/>
                <w:bCs/>
                <w:spacing w:val="-2"/>
                <w:sz w:val="19"/>
                <w:szCs w:val="19"/>
              </w:rPr>
              <w:t>DOCKET NO.</w:t>
            </w:r>
          </w:p>
        </w:tc>
        <w:tc>
          <w:tcPr>
            <w:tcW w:w="4200" w:type="dxa"/>
            <w:tcBorders>
              <w:top w:val="single" w:sz="18" w:space="0" w:color="auto"/>
              <w:left w:val="single" w:sz="7" w:space="0" w:color="auto"/>
              <w:bottom w:val="double" w:sz="7" w:space="0" w:color="auto"/>
              <w:right w:val="double" w:sz="7" w:space="0" w:color="auto"/>
            </w:tcBorders>
          </w:tcPr>
          <w:p w:rsidR="00D11B9B" w:rsidRPr="007C5174" w:rsidRDefault="00D11B9B">
            <w:pPr>
              <w:tabs>
                <w:tab w:val="left" w:pos="-720"/>
              </w:tabs>
              <w:suppressAutoHyphens/>
              <w:spacing w:before="90" w:after="54" w:line="240" w:lineRule="atLeast"/>
              <w:jc w:val="center"/>
              <w:rPr>
                <w:rFonts w:ascii="Courier New" w:hAnsi="Courier New" w:cs="Courier New"/>
                <w:spacing w:val="-2"/>
                <w:sz w:val="19"/>
                <w:szCs w:val="19"/>
              </w:rPr>
            </w:pPr>
            <w:r w:rsidRPr="007C5174">
              <w:rPr>
                <w:rFonts w:ascii="Courier New" w:hAnsi="Courier New" w:cs="Courier New"/>
                <w:spacing w:val="-2"/>
                <w:sz w:val="19"/>
                <w:szCs w:val="19"/>
              </w:rPr>
              <w:t>TITLE</w:t>
            </w:r>
          </w:p>
        </w:tc>
      </w:tr>
      <w:tr w:rsidR="00D11B9B" w:rsidRPr="007C5174">
        <w:trPr>
          <w:jc w:val="center"/>
        </w:trPr>
        <w:tc>
          <w:tcPr>
            <w:tcW w:w="2352" w:type="dxa"/>
            <w:tcBorders>
              <w:top w:val="single" w:sz="14"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870248-TL</w:t>
            </w:r>
          </w:p>
        </w:tc>
        <w:tc>
          <w:tcPr>
            <w:tcW w:w="4200" w:type="dxa"/>
            <w:tcBorders>
              <w:top w:val="single" w:sz="14" w:space="0" w:color="auto"/>
              <w:left w:val="single" w:sz="7" w:space="0" w:color="auto"/>
              <w:bottom w:val="nil"/>
              <w:right w:val="double" w:sz="7" w:space="0" w:color="auto"/>
            </w:tcBorders>
          </w:tcPr>
          <w:p w:rsidR="00D11B9B" w:rsidRPr="007C5174" w:rsidRDefault="00D11B9B">
            <w:pPr>
              <w:tabs>
                <w:tab w:val="left" w:pos="-720"/>
              </w:tabs>
              <w:suppressAutoHyphens/>
              <w:spacing w:before="90" w:line="240" w:lineRule="atLeast"/>
              <w:rPr>
                <w:rFonts w:ascii="Courier New" w:hAnsi="Courier New" w:cs="Courier New"/>
                <w:spacing w:val="-2"/>
                <w:sz w:val="19"/>
                <w:szCs w:val="19"/>
              </w:rPr>
            </w:pPr>
            <w:r w:rsidRPr="007C5174">
              <w:rPr>
                <w:rFonts w:ascii="Courier New" w:hAnsi="Courier New" w:cs="Courier New"/>
                <w:spacing w:val="-2"/>
                <w:sz w:val="19"/>
                <w:szCs w:val="19"/>
              </w:rPr>
              <w:t>Graceville/Ponce Deleon</w:t>
            </w:r>
          </w:p>
          <w:p w:rsidR="00D11B9B" w:rsidRPr="007C5174" w:rsidRDefault="00D11B9B">
            <w:pPr>
              <w:tabs>
                <w:tab w:val="left" w:pos="-720"/>
              </w:tabs>
              <w:suppressAutoHyphens/>
              <w:spacing w:after="54" w:line="240" w:lineRule="atLeast"/>
              <w:rPr>
                <w:rFonts w:ascii="Courier New" w:hAnsi="Courier New" w:cs="Courier New"/>
                <w:spacing w:val="-2"/>
                <w:sz w:val="19"/>
                <w:szCs w:val="19"/>
              </w:rPr>
            </w:pPr>
            <w:r w:rsidRPr="007C5174">
              <w:rPr>
                <w:rFonts w:ascii="Courier New" w:hAnsi="Courier New" w:cs="Courier New"/>
                <w:spacing w:val="-2"/>
                <w:sz w:val="19"/>
                <w:szCs w:val="19"/>
              </w:rPr>
              <w:t>Graceville/Defuniak Springs</w:t>
            </w:r>
          </w:p>
        </w:tc>
      </w:tr>
      <w:tr w:rsidR="00D11B9B" w:rsidRPr="007C5174">
        <w:trPr>
          <w:jc w:val="center"/>
        </w:trPr>
        <w:tc>
          <w:tcPr>
            <w:tcW w:w="2352"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910029-TL</w:t>
            </w:r>
          </w:p>
        </w:tc>
        <w:tc>
          <w:tcPr>
            <w:tcW w:w="4200" w:type="dxa"/>
            <w:tcBorders>
              <w:top w:val="single" w:sz="7" w:space="0" w:color="auto"/>
              <w:left w:val="single" w:sz="7" w:space="0" w:color="auto"/>
              <w:bottom w:val="nil"/>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Sanford/Deland</w:t>
            </w:r>
          </w:p>
        </w:tc>
      </w:tr>
      <w:tr w:rsidR="00D11B9B" w:rsidRPr="007C5174">
        <w:trPr>
          <w:jc w:val="center"/>
        </w:trPr>
        <w:tc>
          <w:tcPr>
            <w:tcW w:w="2352"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900039-TL</w:t>
            </w:r>
          </w:p>
        </w:tc>
        <w:tc>
          <w:tcPr>
            <w:tcW w:w="4200" w:type="dxa"/>
            <w:tcBorders>
              <w:top w:val="single" w:sz="7" w:space="0" w:color="auto"/>
              <w:left w:val="single" w:sz="7" w:space="0" w:color="auto"/>
              <w:bottom w:val="nil"/>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Orlando/Mt. Dora</w:t>
            </w:r>
          </w:p>
        </w:tc>
      </w:tr>
      <w:tr w:rsidR="00D11B9B" w:rsidRPr="007C5174">
        <w:trPr>
          <w:jc w:val="center"/>
        </w:trPr>
        <w:tc>
          <w:tcPr>
            <w:tcW w:w="2352"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870790-TL</w:t>
            </w:r>
          </w:p>
        </w:tc>
        <w:tc>
          <w:tcPr>
            <w:tcW w:w="4200" w:type="dxa"/>
            <w:tcBorders>
              <w:top w:val="single" w:sz="7" w:space="0" w:color="auto"/>
              <w:left w:val="single" w:sz="7" w:space="0" w:color="auto"/>
              <w:bottom w:val="nil"/>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Gilchrist County (3 routes)</w:t>
            </w:r>
          </w:p>
        </w:tc>
      </w:tr>
      <w:tr w:rsidR="00D11B9B" w:rsidRPr="007C5174">
        <w:trPr>
          <w:jc w:val="center"/>
        </w:trPr>
        <w:tc>
          <w:tcPr>
            <w:tcW w:w="2352"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910022-TL</w:t>
            </w:r>
          </w:p>
        </w:tc>
        <w:tc>
          <w:tcPr>
            <w:tcW w:w="4200" w:type="dxa"/>
            <w:tcBorders>
              <w:top w:val="single" w:sz="7" w:space="0" w:color="auto"/>
              <w:left w:val="single" w:sz="7" w:space="0" w:color="auto"/>
              <w:bottom w:val="nil"/>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Bradford County (3 routes)</w:t>
            </w:r>
          </w:p>
        </w:tc>
      </w:tr>
      <w:tr w:rsidR="00D11B9B" w:rsidRPr="007C5174">
        <w:trPr>
          <w:jc w:val="center"/>
        </w:trPr>
        <w:tc>
          <w:tcPr>
            <w:tcW w:w="2352" w:type="dxa"/>
            <w:tcBorders>
              <w:top w:val="single" w:sz="7" w:space="0" w:color="auto"/>
              <w:left w:val="double" w:sz="7" w:space="0" w:color="auto"/>
              <w:bottom w:val="nil"/>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910528-TL</w:t>
            </w:r>
          </w:p>
        </w:tc>
        <w:tc>
          <w:tcPr>
            <w:tcW w:w="4200" w:type="dxa"/>
            <w:tcBorders>
              <w:top w:val="single" w:sz="7" w:space="0" w:color="auto"/>
              <w:left w:val="single" w:sz="7" w:space="0" w:color="auto"/>
              <w:bottom w:val="nil"/>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Putnam County (7 routes)</w:t>
            </w:r>
          </w:p>
        </w:tc>
      </w:tr>
      <w:tr w:rsidR="00D11B9B" w:rsidRPr="007C5174">
        <w:trPr>
          <w:jc w:val="center"/>
        </w:trPr>
        <w:tc>
          <w:tcPr>
            <w:tcW w:w="2352" w:type="dxa"/>
            <w:tcBorders>
              <w:top w:val="single" w:sz="7" w:space="0" w:color="auto"/>
              <w:left w:val="double" w:sz="7" w:space="0" w:color="auto"/>
              <w:bottom w:val="double" w:sz="7" w:space="0" w:color="auto"/>
              <w:right w:val="nil"/>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910529-TL</w:t>
            </w:r>
          </w:p>
        </w:tc>
        <w:tc>
          <w:tcPr>
            <w:tcW w:w="4200" w:type="dxa"/>
            <w:tcBorders>
              <w:top w:val="single" w:sz="7" w:space="0" w:color="auto"/>
              <w:left w:val="single" w:sz="7" w:space="0" w:color="auto"/>
              <w:bottom w:val="double" w:sz="7" w:space="0" w:color="auto"/>
              <w:right w:val="double" w:sz="7" w:space="0" w:color="auto"/>
            </w:tcBorders>
          </w:tcPr>
          <w:p w:rsidR="00D11B9B" w:rsidRPr="007C5174" w:rsidRDefault="00D11B9B">
            <w:pPr>
              <w:tabs>
                <w:tab w:val="left" w:pos="-720"/>
              </w:tabs>
              <w:suppressAutoHyphens/>
              <w:spacing w:before="90" w:after="54" w:line="240" w:lineRule="atLeast"/>
              <w:rPr>
                <w:rFonts w:ascii="Courier New" w:hAnsi="Courier New" w:cs="Courier New"/>
                <w:spacing w:val="-2"/>
                <w:sz w:val="19"/>
                <w:szCs w:val="19"/>
              </w:rPr>
            </w:pPr>
            <w:r w:rsidRPr="007C5174">
              <w:rPr>
                <w:rFonts w:ascii="Courier New" w:hAnsi="Courier New" w:cs="Courier New"/>
                <w:spacing w:val="-2"/>
                <w:sz w:val="19"/>
                <w:szCs w:val="19"/>
              </w:rPr>
              <w:t>Pasco County (2 GTE routes)</w:t>
            </w:r>
          </w:p>
        </w:tc>
      </w:tr>
    </w:tbl>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r w:rsidRPr="007C5174">
        <w:rPr>
          <w:rFonts w:ascii="Courier New" w:hAnsi="Courier New" w:cs="Courier New"/>
          <w:spacing w:val="-3"/>
          <w:sz w:val="24"/>
          <w:szCs w:val="24"/>
        </w:rPr>
        <w:tab/>
        <w:t xml:space="preserve">Although the $.25 plan has seemed to be a good plan from the perspective of meeting community of interest needs, there is simply </w:t>
      </w:r>
      <w:r w:rsidRPr="007C5174">
        <w:rPr>
          <w:rFonts w:ascii="Courier New" w:hAnsi="Courier New" w:cs="Courier New"/>
          <w:spacing w:val="-3"/>
          <w:sz w:val="24"/>
          <w:szCs w:val="24"/>
        </w:rPr>
        <w:lastRenderedPageBreak/>
        <w:t>nothing we can do to change Judge Greene's order.  It is reasonable to grant the request to modify the orders on these routes.  As an aside, there are 32 other interLATA routes awaiting Judge Greene's decision.  It is anticipated that he will deny these routes also.</w:t>
      </w: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r w:rsidRPr="007C5174">
        <w:rPr>
          <w:rFonts w:ascii="Courier New" w:hAnsi="Courier New" w:cs="Courier New"/>
          <w:spacing w:val="-3"/>
          <w:sz w:val="24"/>
          <w:szCs w:val="24"/>
        </w:rPr>
        <w:br w:type="page"/>
      </w:r>
      <w:r w:rsidRPr="007C5174">
        <w:rPr>
          <w:rFonts w:ascii="Courier New" w:hAnsi="Courier New" w:cs="Courier New"/>
          <w:spacing w:val="-3"/>
          <w:sz w:val="24"/>
          <w:szCs w:val="24"/>
          <w:u w:val="single"/>
        </w:rPr>
        <w:lastRenderedPageBreak/>
        <w:t>ISSUE 2:</w:t>
      </w:r>
      <w:r w:rsidRPr="007C5174">
        <w:rPr>
          <w:rFonts w:ascii="Courier New" w:hAnsi="Courier New" w:cs="Courier New"/>
          <w:spacing w:val="-3"/>
          <w:sz w:val="24"/>
          <w:szCs w:val="24"/>
        </w:rPr>
        <w:t xml:space="preserve">  Should these dockets be closed?</w:t>
      </w: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r w:rsidRPr="007C5174">
        <w:rPr>
          <w:rFonts w:ascii="Courier New" w:hAnsi="Courier New" w:cs="Courier New"/>
          <w:spacing w:val="-3"/>
          <w:sz w:val="24"/>
          <w:szCs w:val="24"/>
          <w:u w:val="single"/>
        </w:rPr>
        <w:t>RECOMMENDATION:</w:t>
      </w:r>
      <w:r w:rsidRPr="007C5174">
        <w:rPr>
          <w:rFonts w:ascii="Courier New" w:hAnsi="Courier New" w:cs="Courier New"/>
          <w:spacing w:val="-3"/>
          <w:sz w:val="24"/>
          <w:szCs w:val="24"/>
        </w:rPr>
        <w:t xml:space="preserve">  Yes, they should be closed.</w:t>
      </w: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p>
    <w:p w:rsidR="00D11B9B" w:rsidRPr="007C5174" w:rsidRDefault="00D11B9B">
      <w:pPr>
        <w:tabs>
          <w:tab w:val="left" w:pos="-720"/>
        </w:tabs>
        <w:suppressAutoHyphens/>
        <w:spacing w:line="240" w:lineRule="atLeast"/>
        <w:ind w:left="1109" w:right="994"/>
        <w:jc w:val="both"/>
        <w:rPr>
          <w:rFonts w:ascii="Courier New" w:hAnsi="Courier New" w:cs="Courier New"/>
          <w:spacing w:val="-3"/>
          <w:sz w:val="24"/>
          <w:szCs w:val="24"/>
        </w:rPr>
      </w:pPr>
      <w:r w:rsidRPr="007C5174">
        <w:rPr>
          <w:rFonts w:ascii="Courier New" w:hAnsi="Courier New" w:cs="Courier New"/>
          <w:spacing w:val="-3"/>
          <w:sz w:val="24"/>
          <w:szCs w:val="24"/>
          <w:u w:val="single"/>
        </w:rPr>
        <w:t>STAFF ANALYSIS:</w:t>
      </w:r>
      <w:r w:rsidRPr="007C5174">
        <w:rPr>
          <w:rFonts w:ascii="Courier New" w:hAnsi="Courier New" w:cs="Courier New"/>
          <w:spacing w:val="-3"/>
          <w:sz w:val="24"/>
          <w:szCs w:val="24"/>
        </w:rPr>
        <w:t xml:space="preserve">  The Commission has been told that it cannot implement the plan it ordered on these interLATA routes.  There is nothing more we can do.  These dockets should be closed.</w:t>
      </w:r>
    </w:p>
    <w:sectPr w:rsidR="00D11B9B" w:rsidRPr="007C5174" w:rsidSect="00D11B9B">
      <w:type w:val="continuous"/>
      <w:pgSz w:w="12240" w:h="15840"/>
      <w:pgMar w:top="720" w:right="446" w:bottom="720" w:left="3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9B" w:rsidRDefault="00D11B9B">
      <w:pPr>
        <w:spacing w:line="20" w:lineRule="exact"/>
        <w:rPr>
          <w:rFonts w:cstheme="minorBidi"/>
          <w:sz w:val="24"/>
          <w:szCs w:val="24"/>
        </w:rPr>
      </w:pPr>
    </w:p>
  </w:endnote>
  <w:endnote w:type="continuationSeparator" w:id="0">
    <w:p w:rsidR="00D11B9B" w:rsidRDefault="00D11B9B" w:rsidP="00D11B9B">
      <w:r>
        <w:rPr>
          <w:rFonts w:cstheme="minorBidi"/>
          <w:sz w:val="24"/>
          <w:szCs w:val="24"/>
        </w:rPr>
        <w:t xml:space="preserve"> </w:t>
      </w:r>
    </w:p>
  </w:endnote>
  <w:endnote w:type="continuationNotice" w:id="1">
    <w:p w:rsidR="00D11B9B" w:rsidRDefault="00D11B9B" w:rsidP="00D11B9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9B" w:rsidRDefault="00D11B9B">
    <w:pPr>
      <w:spacing w:before="140" w:line="100" w:lineRule="exact"/>
      <w:rPr>
        <w:rFonts w:cstheme="minorBidi"/>
        <w:sz w:val="10"/>
        <w:szCs w:val="10"/>
      </w:rPr>
    </w:pPr>
  </w:p>
  <w:p w:rsidR="00D11B9B" w:rsidRDefault="00D11B9B">
    <w:pPr>
      <w:suppressAutoHyphens/>
      <w:spacing w:line="240" w:lineRule="atLeast"/>
      <w:jc w:val="both"/>
      <w:rPr>
        <w:rFonts w:cstheme="minorBidi"/>
        <w:sz w:val="24"/>
        <w:szCs w:val="24"/>
      </w:rPr>
    </w:pPr>
  </w:p>
  <w:p w:rsidR="00D11B9B" w:rsidRDefault="007C5174" w:rsidP="00D11B9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1B9B" w:rsidRDefault="00D11B9B">
                          <w:pPr>
                            <w:tabs>
                              <w:tab w:val="center" w:pos="4680"/>
                              <w:tab w:val="right" w:pos="9360"/>
                            </w:tabs>
                            <w:rPr>
                              <w:b/>
                              <w:bCs/>
                              <w:spacing w:val="-2"/>
                            </w:rPr>
                          </w:pPr>
                          <w:r>
                            <w:rPr>
                              <w:rFonts w:cstheme="minorBidi"/>
                              <w:sz w:val="24"/>
                              <w:szCs w:val="24"/>
                            </w:rPr>
                            <w:tab/>
                          </w:r>
                          <w:r>
                            <w:rPr>
                              <w:b/>
                              <w:bCs/>
                              <w:spacing w:val="-2"/>
                            </w:rPr>
                            <w:fldChar w:fldCharType="begin"/>
                          </w:r>
                          <w:r>
                            <w:rPr>
                              <w:b/>
                              <w:bCs/>
                              <w:spacing w:val="-2"/>
                            </w:rPr>
                            <w:instrText>page \* arabic</w:instrText>
                          </w:r>
                          <w:r>
                            <w:rPr>
                              <w:b/>
                              <w:bCs/>
                              <w:spacing w:val="-2"/>
                            </w:rPr>
                            <w:fldChar w:fldCharType="separate"/>
                          </w:r>
                          <w:r w:rsidR="00CD4D68">
                            <w:rPr>
                              <w:b/>
                              <w:bCs/>
                              <w:noProof/>
                              <w:spacing w:val="-2"/>
                            </w:rPr>
                            <w:t>7</w:t>
                          </w:r>
                          <w:r>
                            <w:rPr>
                              <w:b/>
                              <w:bCs/>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" o:allowincell="f" filled="f" stroked="f" strokeweight="0">
              <v:textbox inset="0,0,0,0">
                <w:txbxContent>
                  <w:p w:rsidR="00D11B9B" w:rsidRDefault="00D11B9B">
                    <w:pPr>
                      <w:tabs>
                        <w:tab w:val="center" w:pos="4680"/>
                        <w:tab w:val="right" w:pos="9360"/>
                      </w:tabs>
                      <w:rPr>
                        <w:b/>
                        <w:bCs/>
                        <w:spacing w:val="-2"/>
                      </w:rPr>
                    </w:pPr>
                    <w:r>
                      <w:rPr>
                        <w:rFonts w:cstheme="minorBidi"/>
                        <w:sz w:val="24"/>
                        <w:szCs w:val="24"/>
                      </w:rPr>
                      <w:tab/>
                    </w:r>
                    <w:r>
                      <w:rPr>
                        <w:b/>
                        <w:bCs/>
                        <w:spacing w:val="-2"/>
                      </w:rPr>
                      <w:fldChar w:fldCharType="begin"/>
                    </w:r>
                    <w:r>
                      <w:rPr>
                        <w:b/>
                        <w:bCs/>
                        <w:spacing w:val="-2"/>
                      </w:rPr>
                      <w:instrText>page \* arabic</w:instrText>
                    </w:r>
                    <w:r>
                      <w:rPr>
                        <w:b/>
                        <w:bCs/>
                        <w:spacing w:val="-2"/>
                      </w:rPr>
                      <w:fldChar w:fldCharType="separate"/>
                    </w:r>
                    <w:r w:rsidR="00CD4D68">
                      <w:rPr>
                        <w:b/>
                        <w:bCs/>
                        <w:noProof/>
                        <w:spacing w:val="-2"/>
                      </w:rPr>
                      <w:t>7</w:t>
                    </w:r>
                    <w:r>
                      <w:rPr>
                        <w:b/>
                        <w:bCs/>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9B" w:rsidRDefault="00D11B9B" w:rsidP="00D11B9B">
      <w:r>
        <w:rPr>
          <w:rFonts w:cstheme="minorBidi"/>
          <w:sz w:val="24"/>
          <w:szCs w:val="24"/>
        </w:rPr>
        <w:separator/>
      </w:r>
    </w:p>
  </w:footnote>
  <w:footnote w:type="continuationSeparator" w:id="0">
    <w:p w:rsidR="00D11B9B" w:rsidRDefault="00D11B9B" w:rsidP="00D1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9B" w:rsidRPr="007C5174" w:rsidRDefault="00D11B9B">
    <w:pPr>
      <w:tabs>
        <w:tab w:val="left" w:pos="-720"/>
      </w:tabs>
      <w:suppressAutoHyphens/>
      <w:spacing w:line="240" w:lineRule="atLeast"/>
      <w:jc w:val="both"/>
      <w:rPr>
        <w:rFonts w:ascii="Courier New" w:hAnsi="Courier New" w:cs="Courier New"/>
        <w:b/>
        <w:bCs/>
        <w:spacing w:val="-2"/>
      </w:rPr>
    </w:pPr>
    <w:r w:rsidRPr="007C5174">
      <w:rPr>
        <w:rFonts w:ascii="Courier New" w:hAnsi="Courier New" w:cs="Courier New"/>
        <w:b/>
        <w:bCs/>
        <w:spacing w:val="-2"/>
      </w:rPr>
      <w:t>EAS INVESTIGATION DOCKET</w:t>
    </w:r>
  </w:p>
  <w:p w:rsidR="00D11B9B" w:rsidRPr="007C5174" w:rsidRDefault="00D11B9B">
    <w:pPr>
      <w:tabs>
        <w:tab w:val="left" w:pos="-720"/>
      </w:tabs>
      <w:suppressAutoHyphens/>
      <w:spacing w:line="240" w:lineRule="atLeast"/>
      <w:jc w:val="both"/>
      <w:rPr>
        <w:rFonts w:ascii="Courier New" w:hAnsi="Courier New" w:cs="Courier New"/>
        <w:b/>
        <w:bCs/>
        <w:spacing w:val="-2"/>
      </w:rPr>
    </w:pPr>
    <w:r w:rsidRPr="007C5174">
      <w:rPr>
        <w:rFonts w:ascii="Courier New" w:hAnsi="Courier New" w:cs="Courier New"/>
        <w:b/>
        <w:bCs/>
        <w:spacing w:val="-2"/>
      </w:rPr>
      <w:t>July 8, 1993</w:t>
    </w:r>
  </w:p>
  <w:p w:rsidR="00D11B9B" w:rsidRDefault="00D11B9B">
    <w:pPr>
      <w:tabs>
        <w:tab w:val="left" w:pos="-720"/>
      </w:tabs>
      <w:suppressAutoHyphens/>
      <w:spacing w:line="240" w:lineRule="atLeast"/>
      <w:jc w:val="both"/>
      <w:rPr>
        <w:b/>
        <w:bCs/>
        <w:spacing w:val="-2"/>
      </w:rPr>
    </w:pPr>
  </w:p>
  <w:p w:rsidR="00D11B9B" w:rsidRDefault="00D11B9B">
    <w:pPr>
      <w:tabs>
        <w:tab w:val="left" w:pos="-720"/>
      </w:tabs>
      <w:suppressAutoHyphens/>
      <w:spacing w:line="240" w:lineRule="atLeast"/>
      <w:jc w:val="both"/>
      <w:rPr>
        <w:b/>
        <w:bCs/>
        <w:spacing w:val="-2"/>
      </w:rPr>
    </w:pPr>
  </w:p>
  <w:p w:rsidR="00D11B9B" w:rsidRDefault="00D11B9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9B"/>
    <w:rsid w:val="007C5174"/>
    <w:rsid w:val="00CD4D68"/>
    <w:rsid w:val="00D1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11B9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11B9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5174"/>
    <w:pPr>
      <w:tabs>
        <w:tab w:val="center" w:pos="4680"/>
        <w:tab w:val="right" w:pos="9360"/>
      </w:tabs>
    </w:pPr>
  </w:style>
  <w:style w:type="character" w:customStyle="1" w:styleId="HeaderChar">
    <w:name w:val="Header Char"/>
    <w:basedOn w:val="DefaultParagraphFont"/>
    <w:link w:val="Header"/>
    <w:uiPriority w:val="99"/>
    <w:rsid w:val="007C5174"/>
    <w:rPr>
      <w:rFonts w:ascii="Lucida Sans Typewriter" w:hAnsi="Lucida Sans Typewriter" w:cs="Lucida Sans Typewriter"/>
      <w:sz w:val="20"/>
      <w:szCs w:val="20"/>
    </w:rPr>
  </w:style>
  <w:style w:type="paragraph" w:styleId="Footer">
    <w:name w:val="footer"/>
    <w:basedOn w:val="Normal"/>
    <w:link w:val="FooterChar"/>
    <w:uiPriority w:val="99"/>
    <w:unhideWhenUsed/>
    <w:rsid w:val="007C5174"/>
    <w:pPr>
      <w:tabs>
        <w:tab w:val="center" w:pos="4680"/>
        <w:tab w:val="right" w:pos="9360"/>
      </w:tabs>
    </w:pPr>
  </w:style>
  <w:style w:type="character" w:customStyle="1" w:styleId="FooterChar">
    <w:name w:val="Footer Char"/>
    <w:basedOn w:val="DefaultParagraphFont"/>
    <w:link w:val="Footer"/>
    <w:uiPriority w:val="99"/>
    <w:rsid w:val="007C5174"/>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11B9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11B9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C5174"/>
    <w:pPr>
      <w:tabs>
        <w:tab w:val="center" w:pos="4680"/>
        <w:tab w:val="right" w:pos="9360"/>
      </w:tabs>
    </w:pPr>
  </w:style>
  <w:style w:type="character" w:customStyle="1" w:styleId="HeaderChar">
    <w:name w:val="Header Char"/>
    <w:basedOn w:val="DefaultParagraphFont"/>
    <w:link w:val="Header"/>
    <w:uiPriority w:val="99"/>
    <w:rsid w:val="007C5174"/>
    <w:rPr>
      <w:rFonts w:ascii="Lucida Sans Typewriter" w:hAnsi="Lucida Sans Typewriter" w:cs="Lucida Sans Typewriter"/>
      <w:sz w:val="20"/>
      <w:szCs w:val="20"/>
    </w:rPr>
  </w:style>
  <w:style w:type="paragraph" w:styleId="Footer">
    <w:name w:val="footer"/>
    <w:basedOn w:val="Normal"/>
    <w:link w:val="FooterChar"/>
    <w:uiPriority w:val="99"/>
    <w:unhideWhenUsed/>
    <w:rsid w:val="007C5174"/>
    <w:pPr>
      <w:tabs>
        <w:tab w:val="center" w:pos="4680"/>
        <w:tab w:val="right" w:pos="9360"/>
      </w:tabs>
    </w:pPr>
  </w:style>
  <w:style w:type="character" w:customStyle="1" w:styleId="FooterChar">
    <w:name w:val="Footer Char"/>
    <w:basedOn w:val="DefaultParagraphFont"/>
    <w:link w:val="Footer"/>
    <w:uiPriority w:val="99"/>
    <w:rsid w:val="007C5174"/>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1021</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2015-05-21T18:02:00Z</dcterms:created>
  <dcterms:modified xsi:type="dcterms:W3CDTF">2015-05-21T18:38:00Z</dcterms:modified>
</cp:coreProperties>
</file>