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490" w:rsidRPr="003C2490" w:rsidRDefault="003C2490" w:rsidP="003C2490">
      <w:pPr>
        <w:jc w:val="center"/>
        <w:rPr>
          <w:rFonts w:ascii="Times New Roman" w:eastAsia="Times New Roman" w:hAnsi="Times New Roman"/>
          <w:sz w:val="22"/>
          <w:szCs w:val="22"/>
        </w:rPr>
      </w:pPr>
      <w:r w:rsidRPr="003C2490">
        <w:rPr>
          <w:rFonts w:ascii="Times New Roman" w:eastAsia="Times New Roman" w:hAnsi="Times New Roman"/>
          <w:sz w:val="22"/>
          <w:szCs w:val="22"/>
        </w:rPr>
        <w:t>Notice of Proposed Rule</w:t>
      </w:r>
    </w:p>
    <w:p w:rsidR="003C2490" w:rsidRPr="003C2490" w:rsidRDefault="003C2490" w:rsidP="003C2490">
      <w:pPr>
        <w:rPr>
          <w:rFonts w:ascii="Times New Roman" w:eastAsia="Times New Roman" w:hAnsi="Times New Roman"/>
        </w:rPr>
      </w:pPr>
    </w:p>
    <w:p w:rsidR="003C2490" w:rsidRPr="003C2490" w:rsidRDefault="003C2490" w:rsidP="003C2490">
      <w:pPr>
        <w:rPr>
          <w:rFonts w:ascii="Times New Roman" w:eastAsia="Times New Roman" w:hAnsi="Times New Roman"/>
          <w:b/>
          <w:bCs/>
          <w:sz w:val="20"/>
          <w:szCs w:val="20"/>
        </w:rPr>
      </w:pPr>
      <w:hyperlink r:id="rId6" w:tgtFrame="department" w:history="1">
        <w:r w:rsidRPr="003C2490">
          <w:rPr>
            <w:rFonts w:ascii="Times New Roman" w:eastAsia="Times New Roman" w:hAnsi="Times New Roman"/>
            <w:b/>
            <w:bCs/>
            <w:color w:val="0000FF"/>
            <w:sz w:val="20"/>
            <w:szCs w:val="20"/>
            <w:u w:val="single"/>
          </w:rPr>
          <w:t>PUBLIC SERVICE COMMISSION</w:t>
        </w:r>
      </w:hyperlink>
    </w:p>
    <w:p w:rsidR="003C2490" w:rsidRPr="003C2490" w:rsidRDefault="003C2490" w:rsidP="003C2490">
      <w:pPr>
        <w:spacing w:after="240" w:line="312" w:lineRule="auto"/>
        <w:rPr>
          <w:rFonts w:ascii="Times New Roman" w:eastAsia="Times New Roman" w:hAnsi="Times New Roman"/>
          <w:sz w:val="20"/>
          <w:szCs w:val="20"/>
        </w:rPr>
      </w:pPr>
      <w:r w:rsidRPr="003C2490">
        <w:rPr>
          <w:rFonts w:ascii="Times New Roman" w:eastAsia="Times New Roman" w:hAnsi="Times New Roman"/>
          <w:sz w:val="20"/>
          <w:szCs w:val="20"/>
        </w:rPr>
        <w:t xml:space="preserve">RULE NO.: RULE TITLE: </w:t>
      </w:r>
      <w:r w:rsidRPr="003C2490">
        <w:rPr>
          <w:rFonts w:ascii="Times New Roman" w:eastAsia="Times New Roman" w:hAnsi="Times New Roman"/>
          <w:sz w:val="20"/>
          <w:szCs w:val="20"/>
        </w:rPr>
        <w:br/>
      </w:r>
      <w:hyperlink r:id="rId7" w:tgtFrame="ruleNo" w:history="1">
        <w:r w:rsidRPr="003C2490">
          <w:rPr>
            <w:rFonts w:ascii="Times New Roman" w:eastAsia="Times New Roman" w:hAnsi="Times New Roman"/>
            <w:color w:val="0000FF"/>
            <w:sz w:val="20"/>
            <w:szCs w:val="20"/>
            <w:u w:val="single"/>
          </w:rPr>
          <w:t>25-22.028</w:t>
        </w:r>
      </w:hyperlink>
      <w:r w:rsidRPr="003C2490">
        <w:rPr>
          <w:rFonts w:ascii="Times New Roman" w:eastAsia="Times New Roman" w:hAnsi="Times New Roman"/>
          <w:sz w:val="20"/>
          <w:szCs w:val="20"/>
        </w:rPr>
        <w:t>: Filing, Number of Copies</w:t>
      </w:r>
      <w:r w:rsidRPr="003C2490">
        <w:rPr>
          <w:rFonts w:ascii="Times New Roman" w:eastAsia="Times New Roman" w:hAnsi="Times New Roman"/>
          <w:sz w:val="20"/>
          <w:szCs w:val="20"/>
        </w:rPr>
        <w:br/>
        <w:t>PURPOSE AND EFFECT: Rule 25-22.028 would be repealed and Rule 28-106.104, Filing, would take its place. The Commission initially received a waiver from the Uniform Rules in order to keep Rule 25-22.028 in place because it contains differing filing requirements depending on the size of the utility making the filing. However, with the advent of electronic filing, the reasons for maintaining Rule 25-22.028 have become obsolete. Moreover, pursuant to Rule 28-101.001, the Commission’s electronic filing requirements will be outlined in the Commission’s Statement of Agency Organization and Operation.</w:t>
      </w:r>
      <w:r w:rsidRPr="003C2490">
        <w:rPr>
          <w:rFonts w:ascii="Times New Roman" w:eastAsia="Times New Roman" w:hAnsi="Times New Roman"/>
          <w:sz w:val="20"/>
          <w:szCs w:val="20"/>
        </w:rPr>
        <w:br/>
        <w:t>Docket No. 150143-OT</w:t>
      </w:r>
      <w:r w:rsidRPr="003C2490">
        <w:rPr>
          <w:rFonts w:ascii="Times New Roman" w:eastAsia="Times New Roman" w:hAnsi="Times New Roman"/>
          <w:sz w:val="20"/>
          <w:szCs w:val="20"/>
        </w:rPr>
        <w:br/>
        <w:t>SUMMARY: Among other things, Rule 25-22.028 requires filings on behalf of companies with gross annual operating revenues in excess of $750,000 to include a copy of the document on diskette, accompanied by a statement specifying the density of the diskette, the operating system and the software used. With the advent of electronic filing, these filing requirements have become obsolete. Therefore, the Commission no longer needs to maintain an exception from the Uniform Rules in order to keep Rule 25-22.028 in place. The Commission’s specific electronic filing requirements not contained in the Uniform Rules will be outlined in the Commission’s Statement of Agency Organization and Operation, pursuant to Rule 28-101.001.</w:t>
      </w:r>
      <w:r w:rsidRPr="003C2490">
        <w:rPr>
          <w:rFonts w:ascii="Times New Roman" w:eastAsia="Times New Roman" w:hAnsi="Times New Roman"/>
          <w:sz w:val="20"/>
          <w:szCs w:val="20"/>
        </w:rPr>
        <w:br/>
        <w:t xml:space="preserve">SUMMARY OF STATEMENT OF ESTIMATED REGULATORY COSTS AND LEGISLATIVE RATIFICATION: </w:t>
      </w:r>
      <w:r w:rsidRPr="003C2490">
        <w:rPr>
          <w:rFonts w:ascii="Times New Roman" w:eastAsia="Times New Roman" w:hAnsi="Times New Roman"/>
          <w:sz w:val="20"/>
          <w:szCs w:val="20"/>
        </w:rPr>
        <w:br/>
        <w:t xml:space="preserve">The Agency has determined that this will not have an adverse impact on small business or likely increase directly or indirectly regulatory costs in excess of $200,000 in the aggregate within one year after the implementation of the rule. A SERC has been prepared by the Agency. </w:t>
      </w:r>
      <w:r w:rsidRPr="003C2490">
        <w:rPr>
          <w:rFonts w:ascii="Times New Roman" w:eastAsia="Times New Roman" w:hAnsi="Times New Roman"/>
          <w:sz w:val="20"/>
          <w:szCs w:val="20"/>
        </w:rPr>
        <w:br/>
        <w:t>The SERC examined the factors required by Section 20.541(2)(c), FS, and concluded that the rule repeal will not have an adverse impact on economic growth, business competitiveness, or small business.</w:t>
      </w:r>
      <w:r w:rsidRPr="003C2490">
        <w:rPr>
          <w:rFonts w:ascii="Times New Roman" w:eastAsia="Times New Roman" w:hAnsi="Times New Roman"/>
          <w:sz w:val="20"/>
          <w:szCs w:val="20"/>
        </w:rPr>
        <w:br/>
        <w:t>The Agency has determined that the proposed rule is not expected to require legislative ratification based on the statement of estimated regulatory costs or if no SERC is required, the information expressly relied upon and described herein: based upon the information contained in the SERC.</w:t>
      </w:r>
      <w:r w:rsidRPr="003C2490">
        <w:rPr>
          <w:rFonts w:ascii="Times New Roman" w:eastAsia="Times New Roman" w:hAnsi="Times New Roman"/>
          <w:sz w:val="20"/>
          <w:szCs w:val="20"/>
        </w:rPr>
        <w:br/>
        <w:t>Any person who wishes to provide information regarding a statement of estimated regulatory costs, or provide a proposal for a lower cost regulatory alternative must do so in writing within 21 days of this notice.</w:t>
      </w:r>
      <w:r w:rsidRPr="003C2490">
        <w:rPr>
          <w:rFonts w:ascii="Times New Roman" w:eastAsia="Times New Roman" w:hAnsi="Times New Roman"/>
          <w:sz w:val="20"/>
          <w:szCs w:val="20"/>
        </w:rPr>
        <w:br/>
        <w:t xml:space="preserve">RULEMAKING AUTHORITY: </w:t>
      </w:r>
      <w:hyperlink r:id="rId8" w:tgtFrame="cfr" w:history="1">
        <w:r w:rsidRPr="003C2490">
          <w:rPr>
            <w:rFonts w:ascii="Times New Roman" w:eastAsia="Times New Roman" w:hAnsi="Times New Roman"/>
            <w:color w:val="0000FF"/>
            <w:sz w:val="20"/>
            <w:szCs w:val="20"/>
            <w:u w:val="single"/>
          </w:rPr>
          <w:t>350.01(7), 350.127(2) FS</w:t>
        </w:r>
      </w:hyperlink>
      <w:r w:rsidRPr="003C2490">
        <w:rPr>
          <w:rFonts w:ascii="Times New Roman" w:eastAsia="Times New Roman" w:hAnsi="Times New Roman"/>
          <w:sz w:val="20"/>
          <w:szCs w:val="20"/>
        </w:rPr>
        <w:br/>
        <w:t xml:space="preserve">LAW IMPLEMENTED: </w:t>
      </w:r>
      <w:hyperlink r:id="rId9" w:tgtFrame="cfr" w:history="1">
        <w:r w:rsidRPr="003C2490">
          <w:rPr>
            <w:rFonts w:ascii="Times New Roman" w:eastAsia="Times New Roman" w:hAnsi="Times New Roman"/>
            <w:color w:val="0000FF"/>
            <w:sz w:val="20"/>
            <w:szCs w:val="20"/>
            <w:u w:val="single"/>
          </w:rPr>
          <w:t>120.569, 120.57 FS</w:t>
        </w:r>
      </w:hyperlink>
      <w:r w:rsidRPr="003C2490">
        <w:rPr>
          <w:rFonts w:ascii="Times New Roman" w:eastAsia="Times New Roman" w:hAnsi="Times New Roman"/>
          <w:sz w:val="20"/>
          <w:szCs w:val="20"/>
        </w:rPr>
        <w:br/>
        <w:t>IF REQUESTED WITHIN 21 DAYS OF THE DATE OF THIS NOTICE, A HEARING WILL BE SCHEDULED AND ANNOUNCED IN THE FAR.</w:t>
      </w:r>
      <w:r w:rsidRPr="003C2490">
        <w:rPr>
          <w:rFonts w:ascii="Times New Roman" w:eastAsia="Times New Roman" w:hAnsi="Times New Roman"/>
          <w:sz w:val="20"/>
          <w:szCs w:val="20"/>
        </w:rPr>
        <w:br/>
        <w:t>THE PERSON TO BE CONTACTED REGARDING THE PROPOSED RULE IS: Rosanne Gervasi, Office of General Counsel, 2540 Shumard Oak Blvd., Tallahassee, FL 32399-0850, (850) 413-6224, rgervasi@psc.state.fl.us</w:t>
      </w:r>
      <w:r w:rsidRPr="003C2490">
        <w:rPr>
          <w:rFonts w:ascii="Times New Roman" w:eastAsia="Times New Roman" w:hAnsi="Times New Roman"/>
          <w:sz w:val="20"/>
          <w:szCs w:val="20"/>
        </w:rPr>
        <w:br/>
      </w:r>
      <w:r w:rsidRPr="003C2490">
        <w:rPr>
          <w:rFonts w:ascii="Times New Roman" w:eastAsia="Times New Roman" w:hAnsi="Times New Roman"/>
          <w:sz w:val="20"/>
          <w:szCs w:val="20"/>
        </w:rPr>
        <w:br/>
        <w:t xml:space="preserve">THE FULL TEXT OF THE PROPOSED RULE IS: </w:t>
      </w:r>
    </w:p>
    <w:p w:rsidR="003C2490" w:rsidRPr="003C2490" w:rsidRDefault="003C2490" w:rsidP="003C2490">
      <w:pPr>
        <w:keepNext/>
        <w:widowControl w:val="0"/>
        <w:tabs>
          <w:tab w:val="left" w:pos="360"/>
        </w:tabs>
        <w:overflowPunct w:val="0"/>
        <w:adjustRightInd w:val="0"/>
        <w:spacing w:line="260" w:lineRule="atLeast"/>
        <w:ind w:firstLine="360"/>
        <w:jc w:val="both"/>
        <w:textAlignment w:val="baseline"/>
        <w:outlineLvl w:val="1"/>
        <w:rPr>
          <w:rFonts w:ascii="Times New Roman" w:eastAsia="Times New Roman" w:hAnsi="Times New Roman"/>
        </w:rPr>
      </w:pPr>
      <w:r w:rsidRPr="003C2490">
        <w:rPr>
          <w:rFonts w:ascii="Times New Roman" w:eastAsia="Times New Roman" w:hAnsi="Times New Roman"/>
          <w:b/>
          <w:noProof/>
          <w:color w:val="000000"/>
          <w:sz w:val="20"/>
          <w:szCs w:val="20"/>
        </w:rPr>
        <w:t>25-22.028 Filing, Number of Copies.</w:t>
      </w:r>
    </w:p>
    <w:p w:rsidR="003C2490" w:rsidRPr="003C2490" w:rsidRDefault="003C2490" w:rsidP="003C2490">
      <w:pPr>
        <w:spacing w:line="312" w:lineRule="auto"/>
        <w:rPr>
          <w:rFonts w:ascii="Times New Roman" w:eastAsia="Times New Roman" w:hAnsi="Times New Roman"/>
          <w:noProof/>
          <w:color w:val="000000"/>
          <w:sz w:val="20"/>
          <w:szCs w:val="20"/>
        </w:rPr>
      </w:pPr>
    </w:p>
    <w:p w:rsidR="003C2490" w:rsidRPr="003C2490" w:rsidRDefault="003C2490" w:rsidP="003C2490">
      <w:pPr>
        <w:widowControl w:val="0"/>
        <w:overflowPunct w:val="0"/>
        <w:adjustRightInd w:val="0"/>
        <w:spacing w:before="120" w:after="240" w:line="260" w:lineRule="atLeast"/>
        <w:jc w:val="both"/>
        <w:textAlignment w:val="baseline"/>
        <w:rPr>
          <w:rFonts w:ascii="Times New Roman" w:eastAsia="Times New Roman" w:hAnsi="Times New Roman"/>
          <w:i/>
          <w:noProof/>
          <w:color w:val="000000"/>
          <w:sz w:val="18"/>
          <w:szCs w:val="20"/>
        </w:rPr>
      </w:pPr>
      <w:r w:rsidRPr="003C2490">
        <w:rPr>
          <w:rFonts w:ascii="Times New Roman" w:eastAsia="Times New Roman" w:hAnsi="Times New Roman"/>
          <w:i/>
          <w:noProof/>
          <w:color w:val="000000"/>
          <w:sz w:val="18"/>
          <w:szCs w:val="20"/>
        </w:rPr>
        <w:t>Rulemaking Authority 350.01(7), 350.127(2) FS. Law Implemented 120.569, 120.57 FS. History–Formerly 25-2.58, Amended 12-</w:t>
      </w:r>
      <w:r w:rsidRPr="003C2490">
        <w:rPr>
          <w:rFonts w:ascii="Times New Roman" w:eastAsia="Times New Roman" w:hAnsi="Times New Roman"/>
          <w:i/>
          <w:noProof/>
          <w:color w:val="000000"/>
          <w:sz w:val="18"/>
          <w:szCs w:val="20"/>
        </w:rPr>
        <w:lastRenderedPageBreak/>
        <w:t>21-81, Formerly 25-22.28, Amended 2-11-92, 5-3-99</w:t>
      </w:r>
      <w:r w:rsidRPr="003C2490">
        <w:rPr>
          <w:rFonts w:ascii="Times New Roman" w:eastAsia="Times New Roman" w:hAnsi="Times New Roman"/>
          <w:i/>
          <w:noProof/>
          <w:color w:val="000000"/>
          <w:sz w:val="18"/>
          <w:szCs w:val="20"/>
          <w:u w:val="single"/>
        </w:rPr>
        <w:t xml:space="preserve">, Repealed </w:t>
      </w:r>
      <w:r w:rsidRPr="003C2490">
        <w:rPr>
          <w:rFonts w:ascii="Times New Roman" w:eastAsia="Times New Roman" w:hAnsi="Times New Roman"/>
          <w:i/>
          <w:noProof/>
          <w:color w:val="000000"/>
          <w:sz w:val="18"/>
          <w:szCs w:val="20"/>
        </w:rPr>
        <w:t>.</w:t>
      </w:r>
    </w:p>
    <w:p w:rsidR="003C2490" w:rsidRPr="003C2490" w:rsidRDefault="003C2490" w:rsidP="003C2490">
      <w:pPr>
        <w:spacing w:line="312" w:lineRule="auto"/>
        <w:rPr>
          <w:rFonts w:ascii="Times New Roman" w:eastAsia="Times New Roman" w:hAnsi="Times New Roman"/>
          <w:sz w:val="20"/>
          <w:szCs w:val="20"/>
        </w:rPr>
      </w:pPr>
      <w:r w:rsidRPr="003C2490">
        <w:rPr>
          <w:rFonts w:ascii="Times New Roman" w:eastAsia="Times New Roman" w:hAnsi="Times New Roman"/>
          <w:sz w:val="20"/>
          <w:szCs w:val="20"/>
        </w:rPr>
        <w:br/>
        <w:t>NAME OF PERSON ORIGINATING PROPOSED RULE: Carlotta Stauffer</w:t>
      </w:r>
      <w:r w:rsidRPr="003C2490">
        <w:rPr>
          <w:rFonts w:ascii="Times New Roman" w:eastAsia="Times New Roman" w:hAnsi="Times New Roman"/>
          <w:sz w:val="20"/>
          <w:szCs w:val="20"/>
        </w:rPr>
        <w:br/>
        <w:t>NAME OF AGENCY HEAD WHO APPROVED THE PROPOSED RULE: Florida Public Service Commission</w:t>
      </w:r>
      <w:r w:rsidRPr="003C2490">
        <w:rPr>
          <w:rFonts w:ascii="Times New Roman" w:eastAsia="Times New Roman" w:hAnsi="Times New Roman"/>
          <w:sz w:val="20"/>
          <w:szCs w:val="20"/>
        </w:rPr>
        <w:br/>
        <w:t>DATE PROPOSED RULE APPROVED BY AGENCY HEAD: July 21, 2015</w:t>
      </w:r>
      <w:r w:rsidRPr="003C2490">
        <w:rPr>
          <w:rFonts w:ascii="Times New Roman" w:eastAsia="Times New Roman" w:hAnsi="Times New Roman"/>
          <w:sz w:val="20"/>
          <w:szCs w:val="20"/>
        </w:rPr>
        <w:br/>
        <w:t>DATE NOTICE OF PROPOSED RULE DEVELOPMENT PUBLISHED IN FAR: Volume 41, Number 73, April 15, 2015</w:t>
      </w:r>
    </w:p>
    <w:p w:rsidR="00613BA5" w:rsidRDefault="00613BA5"/>
    <w:p w:rsidR="00C03918" w:rsidRPr="00C03918" w:rsidRDefault="00C03918">
      <w:pPr>
        <w:rPr>
          <w:sz w:val="20"/>
          <w:szCs w:val="20"/>
        </w:rPr>
      </w:pPr>
      <w:r w:rsidRPr="00C03918">
        <w:rPr>
          <w:sz w:val="20"/>
          <w:szCs w:val="20"/>
        </w:rPr>
        <w:fldChar w:fldCharType="begin"/>
      </w:r>
      <w:r w:rsidRPr="00C03918">
        <w:rPr>
          <w:sz w:val="20"/>
          <w:szCs w:val="20"/>
        </w:rPr>
        <w:instrText xml:space="preserve"> FILENAME  \p  \* MERGEFORMAT </w:instrText>
      </w:r>
      <w:r w:rsidRPr="00C03918">
        <w:rPr>
          <w:sz w:val="20"/>
          <w:szCs w:val="20"/>
        </w:rPr>
        <w:fldChar w:fldCharType="separate"/>
      </w:r>
      <w:r w:rsidRPr="00C03918">
        <w:rPr>
          <w:noProof/>
          <w:sz w:val="20"/>
          <w:szCs w:val="20"/>
        </w:rPr>
        <w:t>I:\FAR\Notice of Prop</w:t>
      </w:r>
      <w:bookmarkStart w:id="0" w:name="_GoBack"/>
      <w:bookmarkEnd w:id="0"/>
      <w:r w:rsidRPr="00C03918">
        <w:rPr>
          <w:noProof/>
          <w:sz w:val="20"/>
          <w:szCs w:val="20"/>
        </w:rPr>
        <w:t>osed Rule.docx</w:t>
      </w:r>
      <w:r w:rsidRPr="00C03918">
        <w:rPr>
          <w:sz w:val="20"/>
          <w:szCs w:val="20"/>
        </w:rPr>
        <w:fldChar w:fldCharType="end"/>
      </w:r>
    </w:p>
    <w:sectPr w:rsidR="00C03918" w:rsidRPr="00C03918" w:rsidSect="000C1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90"/>
    <w:rsid w:val="000C144B"/>
    <w:rsid w:val="00132986"/>
    <w:rsid w:val="003C2490"/>
    <w:rsid w:val="00613BA5"/>
    <w:rsid w:val="00662066"/>
    <w:rsid w:val="00932709"/>
    <w:rsid w:val="00967CCD"/>
    <w:rsid w:val="00C03918"/>
    <w:rsid w:val="00C329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Hyperlink" w:uiPriority="99"/>
    <w:lsdException w:name="Strong" w:uiPriority="22"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2959"/>
    <w:rPr>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style>
  <w:style w:type="paragraph" w:styleId="Heading8">
    <w:name w:val="heading 8"/>
    <w:basedOn w:val="Normal"/>
    <w:next w:val="Normal"/>
    <w:link w:val="Heading8Char"/>
    <w:uiPriority w:val="9"/>
    <w:semiHidden/>
    <w:unhideWhenUsed/>
    <w:qFormat/>
    <w:rsid w:val="00662066"/>
    <w:pPr>
      <w:spacing w:before="240" w:after="60"/>
      <w:outlineLvl w:val="7"/>
    </w:pPr>
    <w:rPr>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style>
  <w:style w:type="paragraph" w:styleId="BodyText">
    <w:name w:val="Body Text"/>
    <w:basedOn w:val="Normal"/>
    <w:uiPriority w:val="99"/>
    <w:semiHidden/>
    <w:unhideWhenUsed/>
    <w:pPr>
      <w:spacing w:after="120"/>
    </w:pPr>
  </w:style>
  <w:style w:type="paragraph" w:styleId="BodyText2">
    <w:name w:val="Body Text 2"/>
    <w:basedOn w:val="Normal"/>
    <w:uiPriority w:val="99"/>
    <w:semiHidden/>
    <w:unhideWhenUsed/>
    <w:pPr>
      <w:spacing w:after="120" w:line="480" w:lineRule="auto"/>
    </w:pPr>
  </w:style>
  <w:style w:type="paragraph" w:styleId="BodyText3">
    <w:name w:val="Body Text 3"/>
    <w:basedOn w:val="Normal"/>
    <w:uiPriority w:val="99"/>
    <w:semiHidden/>
    <w:unhideWhenUsed/>
    <w:pPr>
      <w:spacing w:after="120"/>
    </w:pPr>
    <w:rPr>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style>
  <w:style w:type="paragraph" w:styleId="BodyTextIndent3">
    <w:name w:val="Body Text Indent 3"/>
    <w:basedOn w:val="Normal"/>
    <w:uiPriority w:val="99"/>
    <w:semiHidden/>
    <w:unhideWhenUsed/>
    <w:pPr>
      <w:spacing w:after="120"/>
      <w:ind w:left="360"/>
    </w:pPr>
    <w:rPr>
      <w:sz w:val="16"/>
      <w:szCs w:val="16"/>
    </w:rPr>
  </w:style>
  <w:style w:type="paragraph" w:styleId="Closing">
    <w:name w:val="Closing"/>
    <w:basedOn w:val="Normal"/>
    <w:uiPriority w:val="99"/>
    <w:semiHidden/>
    <w:unhideWhenUsed/>
    <w:pPr>
      <w:ind w:left="4320"/>
    </w:pPr>
  </w:style>
  <w:style w:type="paragraph" w:styleId="Date">
    <w:name w:val="Date"/>
    <w:basedOn w:val="Normal"/>
    <w:next w:val="Normal"/>
    <w:uiPriority w:val="99"/>
    <w:semiHidden/>
    <w:unhideWhenUsed/>
  </w:style>
  <w:style w:type="paragraph" w:styleId="E-mailSignature">
    <w:name w:val="E-mail Signature"/>
    <w:basedOn w:val="Normal"/>
    <w:uiPriority w:val="99"/>
    <w:semiHidden/>
    <w:unhideWhenUsed/>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Pr>
      <w:rFonts w:ascii="Arial"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style>
  <w:style w:type="paragraph" w:styleId="Header">
    <w:name w:val="header"/>
    <w:basedOn w:val="Normal"/>
    <w:uiPriority w:val="99"/>
    <w:semiHidden/>
    <w:unhideWhenUsed/>
    <w:rsid w:val="00132986"/>
    <w:pPr>
      <w:tabs>
        <w:tab w:val="center" w:pos="4680"/>
        <w:tab w:val="right" w:pos="9360"/>
      </w:tabs>
    </w:p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style>
  <w:style w:type="paragraph" w:styleId="List2">
    <w:name w:val="List 2"/>
    <w:basedOn w:val="Normal"/>
    <w:uiPriority w:val="99"/>
    <w:semiHidden/>
    <w:unhideWhenUsed/>
    <w:pPr>
      <w:ind w:left="720" w:hanging="360"/>
    </w:pPr>
  </w:style>
  <w:style w:type="paragraph" w:styleId="List3">
    <w:name w:val="List 3"/>
    <w:basedOn w:val="Normal"/>
    <w:uiPriority w:val="99"/>
    <w:semiHidden/>
    <w:unhideWhenUsed/>
    <w:pPr>
      <w:ind w:left="1080" w:hanging="360"/>
    </w:pPr>
  </w:style>
  <w:style w:type="paragraph" w:styleId="List4">
    <w:name w:val="List 4"/>
    <w:basedOn w:val="Normal"/>
    <w:uiPriority w:val="99"/>
    <w:semiHidden/>
    <w:unhideWhenUsed/>
    <w:pPr>
      <w:ind w:left="1440" w:hanging="360"/>
    </w:pPr>
  </w:style>
  <w:style w:type="paragraph" w:styleId="List5">
    <w:name w:val="List 5"/>
    <w:basedOn w:val="Normal"/>
    <w:uiPriority w:val="99"/>
    <w:semiHidden/>
    <w:unhideWhenUsed/>
    <w:pPr>
      <w:ind w:left="1800" w:hanging="360"/>
    </w:pPr>
  </w:style>
  <w:style w:type="paragraph" w:styleId="ListBullet">
    <w:name w:val="List Bullet"/>
    <w:basedOn w:val="Normal"/>
    <w:uiPriority w:val="99"/>
    <w:semiHidden/>
    <w:unhideWhenUsed/>
    <w:pPr>
      <w:numPr>
        <w:numId w:val="6"/>
      </w:numPr>
    </w:pPr>
  </w:style>
  <w:style w:type="paragraph" w:styleId="ListBullet2">
    <w:name w:val="List Bullet 2"/>
    <w:basedOn w:val="Normal"/>
    <w:uiPriority w:val="99"/>
    <w:semiHidden/>
    <w:unhideWhenUsed/>
    <w:pPr>
      <w:numPr>
        <w:numId w:val="7"/>
      </w:numPr>
    </w:pPr>
  </w:style>
  <w:style w:type="paragraph" w:styleId="ListBullet3">
    <w:name w:val="List Bullet 3"/>
    <w:basedOn w:val="Normal"/>
    <w:uiPriority w:val="99"/>
    <w:semiHidden/>
    <w:unhideWhenUsed/>
    <w:pPr>
      <w:numPr>
        <w:numId w:val="8"/>
      </w:numPr>
    </w:pPr>
  </w:style>
  <w:style w:type="paragraph" w:styleId="ListBullet4">
    <w:name w:val="List Bullet 4"/>
    <w:basedOn w:val="Normal"/>
    <w:uiPriority w:val="99"/>
    <w:semiHidden/>
    <w:unhideWhenUsed/>
    <w:pPr>
      <w:numPr>
        <w:numId w:val="9"/>
      </w:numPr>
    </w:pPr>
  </w:style>
  <w:style w:type="paragraph" w:styleId="ListBullet5">
    <w:name w:val="List Bullet 5"/>
    <w:basedOn w:val="Normal"/>
    <w:uiPriority w:val="99"/>
    <w:semiHidden/>
    <w:unhideWhenUsed/>
    <w:pPr>
      <w:numPr>
        <w:numId w:val="10"/>
      </w:numPr>
    </w:pPr>
  </w:style>
  <w:style w:type="paragraph" w:styleId="ListContinue">
    <w:name w:val="List Continue"/>
    <w:basedOn w:val="Normal"/>
    <w:uiPriority w:val="99"/>
    <w:semiHidden/>
    <w:unhideWhenUsed/>
    <w:pPr>
      <w:spacing w:after="120"/>
      <w:ind w:left="360"/>
    </w:pPr>
  </w:style>
  <w:style w:type="paragraph" w:styleId="ListContinue2">
    <w:name w:val="List Continue 2"/>
    <w:basedOn w:val="Normal"/>
    <w:uiPriority w:val="99"/>
    <w:semiHidden/>
    <w:unhideWhenUsed/>
    <w:pPr>
      <w:spacing w:after="120"/>
      <w:ind w:left="720"/>
    </w:pPr>
  </w:style>
  <w:style w:type="paragraph" w:styleId="ListContinue3">
    <w:name w:val="List Continue 3"/>
    <w:basedOn w:val="Normal"/>
    <w:uiPriority w:val="99"/>
    <w:semiHidden/>
    <w:unhideWhenUsed/>
    <w:pPr>
      <w:spacing w:after="120"/>
      <w:ind w:left="1080"/>
    </w:pPr>
  </w:style>
  <w:style w:type="paragraph" w:styleId="ListContinue4">
    <w:name w:val="List Continue 4"/>
    <w:basedOn w:val="Normal"/>
    <w:uiPriority w:val="99"/>
    <w:semiHidden/>
    <w:unhideWhenUsed/>
    <w:pPr>
      <w:spacing w:after="120"/>
      <w:ind w:left="1440"/>
    </w:pPr>
  </w:style>
  <w:style w:type="paragraph" w:styleId="ListContinue5">
    <w:name w:val="List Continue 5"/>
    <w:basedOn w:val="Normal"/>
    <w:uiPriority w:val="99"/>
    <w:semiHidden/>
    <w:unhideWhenUsed/>
    <w:pPr>
      <w:spacing w:after="120"/>
      <w:ind w:left="1800"/>
    </w:pPr>
  </w:style>
  <w:style w:type="paragraph" w:styleId="ListNumber">
    <w:name w:val="List Number"/>
    <w:basedOn w:val="Normal"/>
    <w:uiPriority w:val="99"/>
    <w:semiHidden/>
    <w:unhideWhenUsed/>
    <w:pPr>
      <w:numPr>
        <w:numId w:val="11"/>
      </w:numPr>
    </w:pPr>
  </w:style>
  <w:style w:type="paragraph" w:styleId="ListNumber2">
    <w:name w:val="List Number 2"/>
    <w:basedOn w:val="Normal"/>
    <w:uiPriority w:val="99"/>
    <w:semiHidden/>
    <w:unhideWhenUsed/>
    <w:pPr>
      <w:numPr>
        <w:numId w:val="12"/>
      </w:numPr>
    </w:pPr>
  </w:style>
  <w:style w:type="paragraph" w:styleId="ListNumber3">
    <w:name w:val="List Number 3"/>
    <w:basedOn w:val="Normal"/>
    <w:uiPriority w:val="99"/>
    <w:semiHidden/>
    <w:unhideWhenUsed/>
    <w:pPr>
      <w:numPr>
        <w:numId w:val="13"/>
      </w:numPr>
    </w:pPr>
  </w:style>
  <w:style w:type="paragraph" w:styleId="ListNumber4">
    <w:name w:val="List Number 4"/>
    <w:basedOn w:val="Normal"/>
    <w:uiPriority w:val="99"/>
    <w:semiHidden/>
    <w:unhideWhenUsed/>
    <w:pPr>
      <w:numPr>
        <w:numId w:val="14"/>
      </w:numPr>
    </w:pPr>
  </w:style>
  <w:style w:type="paragraph" w:styleId="ListNumber5">
    <w:name w:val="List Number 5"/>
    <w:basedOn w:val="Normal"/>
    <w:uiPriority w:val="99"/>
    <w:semiHidden/>
    <w:unhideWhenUsed/>
    <w:pPr>
      <w:numPr>
        <w:numId w:val="15"/>
      </w:numPr>
    </w:p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style>
  <w:style w:type="paragraph" w:styleId="NormalIndent">
    <w:name w:val="Normal Indent"/>
    <w:basedOn w:val="Normal"/>
    <w:uiPriority w:val="99"/>
    <w:semiHidden/>
    <w:unhideWhenUsed/>
    <w:pPr>
      <w:ind w:left="720"/>
    </w:pPr>
  </w:style>
  <w:style w:type="paragraph" w:styleId="NoteHeading">
    <w:name w:val="Note Heading"/>
    <w:basedOn w:val="Normal"/>
    <w:next w:val="Normal"/>
    <w:uiPriority w:val="99"/>
    <w:semiHidden/>
    <w:unhideWhenUsed/>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hAnsi="Courier New" w:cs="Courier New"/>
      <w:sz w:val="20"/>
      <w:szCs w:val="20"/>
    </w:rPr>
  </w:style>
  <w:style w:type="paragraph" w:styleId="Salutation">
    <w:name w:val="Salutation"/>
    <w:basedOn w:val="Normal"/>
    <w:next w:val="Normal"/>
    <w:uiPriority w:val="99"/>
    <w:semiHidden/>
    <w:unhideWhenUsed/>
  </w:style>
  <w:style w:type="paragraph" w:styleId="Signature">
    <w:name w:val="Signature"/>
    <w:basedOn w:val="Normal"/>
    <w:uiPriority w:val="99"/>
    <w:semiHidden/>
    <w:unhideWhenUsed/>
    <w:pPr>
      <w:ind w:left="4320"/>
    </w:pPr>
  </w:style>
  <w:style w:type="character" w:styleId="Strong">
    <w:name w:val="Strong"/>
    <w:basedOn w:val="DefaultParagraphFont"/>
    <w:uiPriority w:val="22"/>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hAnsi="Tahoma" w:cs="Tahoma"/>
      <w:sz w:val="16"/>
      <w:szCs w:val="16"/>
    </w:rPr>
  </w:style>
  <w:style w:type="paragraph" w:styleId="Caption">
    <w:name w:val="caption"/>
    <w:basedOn w:val="Normal"/>
    <w:next w:val="Normal"/>
    <w:uiPriority w:val="35"/>
    <w:rPr>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Arial"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Arial" w:hAnsi="Arial" w:cs="Arial"/>
      <w:b/>
      <w:bCs/>
    </w:rPr>
  </w:style>
  <w:style w:type="paragraph" w:styleId="TOC1">
    <w:name w:val="toc 1"/>
    <w:basedOn w:val="Normal"/>
    <w:next w:val="Normal"/>
    <w:autoRedefine/>
    <w:uiPriority w:val="99"/>
    <w:semiHidden/>
    <w:unhideWhenUsed/>
  </w:style>
  <w:style w:type="paragraph" w:styleId="TOC2">
    <w:name w:val="toc 2"/>
    <w:basedOn w:val="Normal"/>
    <w:next w:val="Normal"/>
    <w:autoRedefine/>
    <w:uiPriority w:val="99"/>
    <w:semiHidden/>
    <w:unhideWhenUsed/>
    <w:pPr>
      <w:ind w:left="240"/>
    </w:pPr>
  </w:style>
  <w:style w:type="paragraph" w:styleId="TOC3">
    <w:name w:val="toc 3"/>
    <w:basedOn w:val="Normal"/>
    <w:next w:val="Normal"/>
    <w:autoRedefine/>
    <w:uiPriority w:val="99"/>
    <w:semiHidden/>
    <w:unhideWhenUsed/>
    <w:pPr>
      <w:ind w:left="480"/>
    </w:pPr>
  </w:style>
  <w:style w:type="paragraph" w:styleId="TOC4">
    <w:name w:val="toc 4"/>
    <w:basedOn w:val="Normal"/>
    <w:next w:val="Normal"/>
    <w:autoRedefine/>
    <w:uiPriority w:val="99"/>
    <w:semiHidden/>
    <w:unhideWhenUsed/>
    <w:pPr>
      <w:ind w:left="720"/>
    </w:pPr>
  </w:style>
  <w:style w:type="paragraph" w:styleId="TOC5">
    <w:name w:val="toc 5"/>
    <w:basedOn w:val="Normal"/>
    <w:next w:val="Normal"/>
    <w:autoRedefine/>
    <w:uiPriority w:val="99"/>
    <w:semiHidden/>
    <w:unhideWhenUsed/>
    <w:pPr>
      <w:ind w:left="960"/>
    </w:pPr>
  </w:style>
  <w:style w:type="paragraph" w:styleId="TOC6">
    <w:name w:val="toc 6"/>
    <w:basedOn w:val="Normal"/>
    <w:next w:val="Normal"/>
    <w:autoRedefine/>
    <w:uiPriority w:val="99"/>
    <w:semiHidden/>
    <w:unhideWhenUsed/>
    <w:pPr>
      <w:ind w:left="1200"/>
    </w:pPr>
  </w:style>
  <w:style w:type="paragraph" w:styleId="TOC7">
    <w:name w:val="toc 7"/>
    <w:basedOn w:val="Normal"/>
    <w:next w:val="Normal"/>
    <w:autoRedefine/>
    <w:uiPriority w:val="99"/>
    <w:semiHidden/>
    <w:unhideWhenUsed/>
    <w:pPr>
      <w:ind w:left="1440"/>
    </w:pPr>
  </w:style>
  <w:style w:type="paragraph" w:styleId="TOC8">
    <w:name w:val="toc 8"/>
    <w:basedOn w:val="Normal"/>
    <w:next w:val="Normal"/>
    <w:autoRedefine/>
    <w:uiPriority w:val="99"/>
    <w:semiHidden/>
    <w:unhideWhenUsed/>
    <w:pPr>
      <w:ind w:left="1680"/>
    </w:pPr>
  </w:style>
  <w:style w:type="paragraph" w:styleId="TOC9">
    <w:name w:val="toc 9"/>
    <w:basedOn w:val="Normal"/>
    <w:next w:val="Normal"/>
    <w:autoRedefine/>
    <w:uiPriority w:val="99"/>
    <w:semiHidden/>
    <w:unhideWhenUsed/>
    <w:pPr>
      <w:ind w:left="1920"/>
    </w:p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szCs w:val="32"/>
    </w:rPr>
  </w:style>
  <w:style w:type="paragraph" w:styleId="ListParagraph">
    <w:name w:val="List Paragraph"/>
    <w:basedOn w:val="Normal"/>
    <w:uiPriority w:val="34"/>
    <w:qFormat/>
    <w:rsid w:val="00662066"/>
    <w:pPr>
      <w:ind w:left="720"/>
      <w:contextualSpacing/>
    </w:pPr>
  </w:style>
  <w:style w:type="paragraph" w:styleId="Quote">
    <w:name w:val="Quote"/>
    <w:basedOn w:val="Normal"/>
    <w:next w:val="Normal"/>
    <w:link w:val="QuoteChar"/>
    <w:uiPriority w:val="29"/>
    <w:qFormat/>
    <w:rsid w:val="00662066"/>
    <w:rPr>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84788">
      <w:bodyDiv w:val="1"/>
      <w:marLeft w:val="0"/>
      <w:marRight w:val="0"/>
      <w:marTop w:val="0"/>
      <w:marBottom w:val="0"/>
      <w:divBdr>
        <w:top w:val="none" w:sz="0" w:space="0" w:color="auto"/>
        <w:left w:val="none" w:sz="0" w:space="0" w:color="auto"/>
        <w:bottom w:val="none" w:sz="0" w:space="0" w:color="auto"/>
        <w:right w:val="none" w:sz="0" w:space="0" w:color="auto"/>
      </w:divBdr>
      <w:divsChild>
        <w:div w:id="193737017">
          <w:marLeft w:val="1440"/>
          <w:marRight w:val="0"/>
          <w:marTop w:val="0"/>
          <w:marBottom w:val="0"/>
          <w:divBdr>
            <w:top w:val="none" w:sz="0" w:space="0" w:color="auto"/>
            <w:left w:val="none" w:sz="0" w:space="0" w:color="auto"/>
            <w:bottom w:val="none" w:sz="0" w:space="0" w:color="auto"/>
            <w:right w:val="none" w:sz="0" w:space="0" w:color="auto"/>
          </w:divBdr>
        </w:div>
        <w:div w:id="1732996621">
          <w:marLeft w:val="1440"/>
          <w:marRight w:val="0"/>
          <w:marTop w:val="0"/>
          <w:marBottom w:val="0"/>
          <w:divBdr>
            <w:top w:val="none" w:sz="0" w:space="0" w:color="auto"/>
            <w:left w:val="none" w:sz="0" w:space="0" w:color="auto"/>
            <w:bottom w:val="none" w:sz="0" w:space="0" w:color="auto"/>
            <w:right w:val="none" w:sz="0" w:space="0" w:color="auto"/>
          </w:divBdr>
        </w:div>
        <w:div w:id="134488675">
          <w:marLeft w:val="1440"/>
          <w:marRight w:val="0"/>
          <w:marTop w:val="0"/>
          <w:marBottom w:val="0"/>
          <w:divBdr>
            <w:top w:val="none" w:sz="0" w:space="0" w:color="auto"/>
            <w:left w:val="none" w:sz="0" w:space="0" w:color="auto"/>
            <w:bottom w:val="none" w:sz="0" w:space="0" w:color="auto"/>
            <w:right w:val="none" w:sz="0" w:space="0" w:color="auto"/>
          </w:divBdr>
        </w:div>
        <w:div w:id="803084415">
          <w:marLeft w:val="144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cfr.asp?id=350.01(7),%20350.127(2)%20FS" TargetMode="External"/><Relationship Id="rId3" Type="http://schemas.microsoft.com/office/2007/relationships/stylesWithEffects" Target="stylesWithEffects.xml"/><Relationship Id="rId7" Type="http://schemas.openxmlformats.org/officeDocument/2006/relationships/hyperlink" Target="https://www.flrules.org/gateway/ruleNo.asp?id=25-22.0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rules.org/gateway/department.asp?id=2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lrules.org/gateway/cfr.asp?id=120.569,%20120.57%20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581</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Williams</dc:creator>
  <cp:lastModifiedBy>Tiffany Williams</cp:lastModifiedBy>
  <cp:revision>2</cp:revision>
  <dcterms:created xsi:type="dcterms:W3CDTF">2015-07-22T15:20:00Z</dcterms:created>
  <dcterms:modified xsi:type="dcterms:W3CDTF">2015-07-22T15:21:00Z</dcterms:modified>
</cp:coreProperties>
</file>