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61FF3" w:rsidP="00B61FF3">
      <w:pPr>
        <w:pStyle w:val="OrderHeading"/>
      </w:pPr>
      <w:r>
        <w:t>BEFORE THE FLORIDA PUBLIC SERVICE COMMISSION</w:t>
      </w:r>
    </w:p>
    <w:p w:rsidR="00B61FF3" w:rsidRDefault="00B61FF3" w:rsidP="00B61FF3">
      <w:pPr>
        <w:pStyle w:val="OrderHeading"/>
      </w:pPr>
    </w:p>
    <w:p w:rsidR="00B61FF3" w:rsidRDefault="00B61FF3" w:rsidP="00B61FF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61FF3" w:rsidRPr="00C63FCF" w:rsidTr="00C63FCF">
        <w:trPr>
          <w:trHeight w:val="828"/>
        </w:trPr>
        <w:tc>
          <w:tcPr>
            <w:tcW w:w="4788" w:type="dxa"/>
            <w:tcBorders>
              <w:bottom w:val="single" w:sz="8" w:space="0" w:color="auto"/>
              <w:right w:val="double" w:sz="6" w:space="0" w:color="auto"/>
            </w:tcBorders>
            <w:shd w:val="clear" w:color="auto" w:fill="auto"/>
          </w:tcPr>
          <w:p w:rsidR="00B61FF3" w:rsidRDefault="00B61FF3" w:rsidP="00C63FCF">
            <w:pPr>
              <w:pStyle w:val="OrderBody"/>
              <w:tabs>
                <w:tab w:val="center" w:pos="4320"/>
                <w:tab w:val="right" w:pos="8640"/>
              </w:tabs>
              <w:jc w:val="left"/>
            </w:pPr>
            <w:r>
              <w:t xml:space="preserve">In re: </w:t>
            </w:r>
            <w:bookmarkStart w:id="0" w:name="SSInRe"/>
            <w:bookmarkEnd w:id="0"/>
            <w:r>
              <w:t>Petition for approval of a purchase and sale agreement between Florida Power &amp; Light Company and Calypso Energy Holdings, LLC, for the ownership of the Indiantown Cogeneration LP and related power purchase agreement.</w:t>
            </w:r>
          </w:p>
        </w:tc>
        <w:tc>
          <w:tcPr>
            <w:tcW w:w="4788" w:type="dxa"/>
            <w:tcBorders>
              <w:left w:val="double" w:sz="6" w:space="0" w:color="auto"/>
            </w:tcBorders>
            <w:shd w:val="clear" w:color="auto" w:fill="auto"/>
          </w:tcPr>
          <w:p w:rsidR="00B61FF3" w:rsidRDefault="00B61FF3" w:rsidP="00B61FF3">
            <w:pPr>
              <w:pStyle w:val="OrderBody"/>
            </w:pPr>
            <w:r>
              <w:t xml:space="preserve">DOCKET NO. </w:t>
            </w:r>
            <w:bookmarkStart w:id="1" w:name="SSDocketNo"/>
            <w:bookmarkEnd w:id="1"/>
            <w:r>
              <w:t>160154-EI</w:t>
            </w:r>
          </w:p>
          <w:p w:rsidR="00B61FF3" w:rsidRDefault="00B61FF3" w:rsidP="00C63FCF">
            <w:pPr>
              <w:pStyle w:val="OrderBody"/>
              <w:tabs>
                <w:tab w:val="center" w:pos="4320"/>
                <w:tab w:val="right" w:pos="8640"/>
              </w:tabs>
              <w:jc w:val="left"/>
            </w:pPr>
            <w:r>
              <w:t xml:space="preserve">ORDER NO. </w:t>
            </w:r>
            <w:bookmarkStart w:id="2" w:name="OrderNo0506"/>
            <w:r w:rsidR="00744B50">
              <w:t>PSC-16-0506-FOF-EI</w:t>
            </w:r>
            <w:bookmarkEnd w:id="2"/>
          </w:p>
          <w:p w:rsidR="00B61FF3" w:rsidRDefault="00B61FF3" w:rsidP="00C63FCF">
            <w:pPr>
              <w:pStyle w:val="OrderBody"/>
              <w:tabs>
                <w:tab w:val="center" w:pos="4320"/>
                <w:tab w:val="right" w:pos="8640"/>
              </w:tabs>
              <w:jc w:val="left"/>
            </w:pPr>
            <w:r>
              <w:t xml:space="preserve">ISSUED: </w:t>
            </w:r>
            <w:r w:rsidR="00744B50">
              <w:t>November 2, 2016</w:t>
            </w:r>
          </w:p>
        </w:tc>
      </w:tr>
    </w:tbl>
    <w:p w:rsidR="00B61FF3" w:rsidRDefault="00B61FF3" w:rsidP="00B61FF3"/>
    <w:p w:rsidR="00B61FF3" w:rsidRDefault="00B61FF3" w:rsidP="00B61FF3"/>
    <w:p w:rsidR="00B61FF3" w:rsidRPr="00E46E1F" w:rsidRDefault="00B61FF3">
      <w:pPr>
        <w:ind w:firstLine="720"/>
        <w:jc w:val="both"/>
      </w:pPr>
      <w:bookmarkStart w:id="3" w:name="Commissioners"/>
      <w:bookmarkEnd w:id="3"/>
      <w:r w:rsidRPr="00E46E1F">
        <w:t>The following Commissioners participated in the disposition of this matter:</w:t>
      </w:r>
    </w:p>
    <w:p w:rsidR="00B61FF3" w:rsidRPr="00E46E1F" w:rsidRDefault="00B61FF3"/>
    <w:p w:rsidR="00B61FF3" w:rsidRPr="00E46E1F" w:rsidRDefault="00B61FF3">
      <w:pPr>
        <w:jc w:val="center"/>
      </w:pPr>
      <w:r w:rsidRPr="00E46E1F">
        <w:t>LISA POLAK EDGAR</w:t>
      </w:r>
    </w:p>
    <w:p w:rsidR="00B61FF3" w:rsidRDefault="00B61FF3">
      <w:pPr>
        <w:jc w:val="center"/>
      </w:pPr>
      <w:r>
        <w:t>RONALD A. BRISÉ</w:t>
      </w:r>
    </w:p>
    <w:p w:rsidR="00B61FF3" w:rsidRDefault="00B61FF3">
      <w:pPr>
        <w:jc w:val="center"/>
      </w:pPr>
      <w:r>
        <w:t>JIMMY PATRONIS</w:t>
      </w:r>
    </w:p>
    <w:p w:rsidR="00CB5276" w:rsidRDefault="00CB5276">
      <w:pPr>
        <w:pStyle w:val="OrderBody"/>
      </w:pPr>
    </w:p>
    <w:p w:rsidR="00B61FF3" w:rsidRPr="00701945" w:rsidRDefault="00B61FF3" w:rsidP="00B61FF3">
      <w:pPr>
        <w:jc w:val="both"/>
      </w:pPr>
      <w:r w:rsidRPr="00701945">
        <w:t>APPEARANCES:</w:t>
      </w:r>
    </w:p>
    <w:p w:rsidR="00B61FF3" w:rsidRPr="00701945" w:rsidRDefault="00B61FF3" w:rsidP="00B61FF3">
      <w:pPr>
        <w:jc w:val="both"/>
      </w:pPr>
    </w:p>
    <w:p w:rsidR="00B61FF3" w:rsidRDefault="00B61FF3" w:rsidP="00B61FF3">
      <w:pPr>
        <w:ind w:left="1440"/>
        <w:jc w:val="both"/>
      </w:pPr>
      <w:r>
        <w:t>BRYAN S. ANDERSON, WILLIAM P. COX, and JOEL BAKER, ESQUIRES, 700 Universe Boulevard, Juno Beach, Florida  33408</w:t>
      </w:r>
    </w:p>
    <w:p w:rsidR="00B61FF3" w:rsidRPr="00701945" w:rsidRDefault="00B61FF3" w:rsidP="00B61FF3">
      <w:pPr>
        <w:ind w:left="720" w:firstLine="720"/>
        <w:jc w:val="both"/>
      </w:pPr>
      <w:r w:rsidRPr="00701945">
        <w:rPr>
          <w:u w:val="single"/>
        </w:rPr>
        <w:t xml:space="preserve">On behalf of </w:t>
      </w:r>
      <w:r>
        <w:rPr>
          <w:u w:val="single"/>
        </w:rPr>
        <w:t>Florida Power &amp; Light Company</w:t>
      </w:r>
      <w:r w:rsidRPr="00701945">
        <w:t>.</w:t>
      </w:r>
    </w:p>
    <w:p w:rsidR="00B61FF3" w:rsidRDefault="00B61FF3" w:rsidP="00B61FF3">
      <w:pPr>
        <w:jc w:val="both"/>
      </w:pPr>
    </w:p>
    <w:p w:rsidR="00B61FF3" w:rsidRDefault="00B61FF3" w:rsidP="00B61FF3">
      <w:pPr>
        <w:ind w:left="1440"/>
        <w:jc w:val="both"/>
      </w:pPr>
      <w:r>
        <w:t>DANIELLE M. ROTH, Associate Public Counsel, PATRICIA A. CHRISTENSEN, Associate Public Counsel, and CHARLES J. REHWINKLE, ESQUIRES, Deputy Public Counsel, on behalf of Office of Public Counsel, c/o the Florida Legislature, 111 West Madison Street, Room 812, Tallahassee, Florida 32399-1400</w:t>
      </w:r>
    </w:p>
    <w:p w:rsidR="00B61FF3" w:rsidRDefault="00B61FF3" w:rsidP="00B61FF3">
      <w:pPr>
        <w:jc w:val="both"/>
        <w:rPr>
          <w:u w:val="single"/>
        </w:rPr>
      </w:pPr>
      <w:r>
        <w:tab/>
      </w:r>
      <w:r>
        <w:tab/>
      </w:r>
      <w:r>
        <w:rPr>
          <w:u w:val="single"/>
        </w:rPr>
        <w:t>On behalf of the Citizens of the State of Florida</w:t>
      </w:r>
    </w:p>
    <w:p w:rsidR="00B61FF3" w:rsidRDefault="00B61FF3" w:rsidP="00B61FF3">
      <w:pPr>
        <w:jc w:val="both"/>
        <w:rPr>
          <w:u w:val="single"/>
        </w:rPr>
      </w:pPr>
    </w:p>
    <w:p w:rsidR="00B61FF3" w:rsidRPr="00701945" w:rsidRDefault="00B61FF3" w:rsidP="00B61FF3">
      <w:pPr>
        <w:ind w:left="1440"/>
        <w:jc w:val="both"/>
      </w:pPr>
      <w:r>
        <w:t>JON C. MOYLE, JR. and KAREN A. PUTNAM, ESQUIRES, Moyle Law Firm, P.A., 118 North Gadsden Street, Tallahassee, Florida 32301</w:t>
      </w:r>
    </w:p>
    <w:p w:rsidR="00B61FF3" w:rsidRPr="00701945" w:rsidRDefault="00B61FF3" w:rsidP="00B61FF3">
      <w:pPr>
        <w:ind w:left="720" w:firstLine="720"/>
        <w:jc w:val="both"/>
      </w:pPr>
      <w:r w:rsidRPr="00701945">
        <w:rPr>
          <w:u w:val="single"/>
        </w:rPr>
        <w:t xml:space="preserve">On behalf of </w:t>
      </w:r>
      <w:r>
        <w:rPr>
          <w:u w:val="single"/>
        </w:rPr>
        <w:t>Florida Industrial Power Users Groups</w:t>
      </w:r>
    </w:p>
    <w:p w:rsidR="00B61FF3" w:rsidRPr="00C51BE5" w:rsidRDefault="00B61FF3" w:rsidP="00B61FF3">
      <w:pPr>
        <w:jc w:val="both"/>
        <w:rPr>
          <w:u w:val="single"/>
        </w:rPr>
      </w:pPr>
    </w:p>
    <w:p w:rsidR="00B61FF3" w:rsidRPr="00701945" w:rsidRDefault="00B61FF3" w:rsidP="00B61FF3">
      <w:pPr>
        <w:ind w:left="1440"/>
        <w:jc w:val="both"/>
      </w:pPr>
      <w:r>
        <w:t>WALT L. TRIERWEILER</w:t>
      </w:r>
      <w:r w:rsidRPr="00701945">
        <w:t>, E</w:t>
      </w:r>
      <w:r>
        <w:t>SQUIRE</w:t>
      </w:r>
      <w:r w:rsidRPr="00701945">
        <w:t xml:space="preserve">, </w:t>
      </w:r>
      <w:r>
        <w:t xml:space="preserve">Senior Attorney, </w:t>
      </w:r>
      <w:r w:rsidRPr="00701945">
        <w:t>Florida Public Service Commission, 2540 Shumard Oak Boulevard, Tallahassee, Florida 32399-0850</w:t>
      </w:r>
    </w:p>
    <w:p w:rsidR="00B61FF3" w:rsidRPr="00701945" w:rsidRDefault="00B61FF3" w:rsidP="00B61FF3">
      <w:pPr>
        <w:ind w:left="720" w:firstLine="720"/>
        <w:jc w:val="both"/>
      </w:pPr>
      <w:r w:rsidRPr="00701945">
        <w:rPr>
          <w:u w:val="single"/>
        </w:rPr>
        <w:t>On behalf of the Florida Public Service Commission</w:t>
      </w:r>
      <w:r>
        <w:rPr>
          <w:u w:val="single"/>
        </w:rPr>
        <w:t xml:space="preserve"> (Staff)</w:t>
      </w:r>
      <w:r w:rsidRPr="00701945">
        <w:t>.</w:t>
      </w:r>
    </w:p>
    <w:p w:rsidR="00B61FF3" w:rsidRPr="00701945" w:rsidRDefault="00B61FF3" w:rsidP="00B61FF3">
      <w:pPr>
        <w:jc w:val="both"/>
      </w:pPr>
    </w:p>
    <w:p w:rsidR="00B61FF3" w:rsidRPr="00701945" w:rsidRDefault="00B61FF3" w:rsidP="00B61FF3">
      <w:pPr>
        <w:ind w:left="1440"/>
        <w:jc w:val="both"/>
      </w:pPr>
      <w:r>
        <w:t>MARY ANNE HELTON, ESQUIRE, Deputy General Counsel,</w:t>
      </w:r>
      <w:r w:rsidRPr="00701945">
        <w:t xml:space="preserve"> Florida Public Service Commission, 2540 Shumard Oak Boulevard, Tallahassee, Florida 32399-0850</w:t>
      </w:r>
      <w:r>
        <w:t xml:space="preserve"> </w:t>
      </w:r>
      <w:r>
        <w:rPr>
          <w:u w:val="single"/>
        </w:rPr>
        <w:t>Advisor to the</w:t>
      </w:r>
      <w:r w:rsidRPr="00701945">
        <w:rPr>
          <w:u w:val="single"/>
        </w:rPr>
        <w:t xml:space="preserve"> Florida Public Service Commission</w:t>
      </w:r>
      <w:r w:rsidRPr="00701945">
        <w:t>.</w:t>
      </w:r>
    </w:p>
    <w:p w:rsidR="00B61FF3" w:rsidRDefault="00B61FF3" w:rsidP="00B61FF3">
      <w:pPr>
        <w:jc w:val="center"/>
        <w:rPr>
          <w:b/>
          <w:bCs/>
          <w:u w:val="single"/>
        </w:rPr>
      </w:pPr>
    </w:p>
    <w:p w:rsidR="00B61FF3" w:rsidRPr="00701945" w:rsidRDefault="00B61FF3" w:rsidP="00B61FF3">
      <w:pPr>
        <w:ind w:left="1440"/>
        <w:jc w:val="both"/>
      </w:pPr>
      <w:r>
        <w:t>KEITH HETRICK, ESQUIRE, General Counsel,</w:t>
      </w:r>
      <w:r w:rsidRPr="00701945">
        <w:t xml:space="preserve"> Florida Public Service Commission, 2540 Shumard Oak Boulevard, Tallahassee, Florida 32399-0850</w:t>
      </w:r>
    </w:p>
    <w:p w:rsidR="00B61FF3" w:rsidRDefault="00B61FF3" w:rsidP="00B61FF3">
      <w:pPr>
        <w:ind w:left="720" w:firstLine="720"/>
        <w:rPr>
          <w:b/>
          <w:bCs/>
          <w:u w:val="single"/>
        </w:rPr>
      </w:pPr>
      <w:r w:rsidRPr="00701945">
        <w:rPr>
          <w:u w:val="single"/>
        </w:rPr>
        <w:t>Florida Public Service Commission</w:t>
      </w:r>
      <w:r>
        <w:rPr>
          <w:u w:val="single"/>
        </w:rPr>
        <w:t xml:space="preserve"> General Counsel</w:t>
      </w:r>
      <w:r w:rsidRPr="00701945">
        <w:t>.</w:t>
      </w:r>
    </w:p>
    <w:p w:rsidR="00B61FF3" w:rsidRDefault="00B61FF3" w:rsidP="00B61FF3">
      <w:pPr>
        <w:ind w:left="720" w:firstLine="720"/>
        <w:rPr>
          <w:b/>
          <w:bCs/>
          <w:u w:val="single"/>
        </w:rPr>
      </w:pPr>
    </w:p>
    <w:p w:rsidR="00B61FF3" w:rsidRDefault="00B61FF3" w:rsidP="00B61FF3">
      <w:pPr>
        <w:jc w:val="center"/>
        <w:rPr>
          <w:b/>
          <w:bCs/>
          <w:u w:val="single"/>
        </w:rPr>
      </w:pPr>
    </w:p>
    <w:p w:rsidR="00B61FF3" w:rsidRDefault="00B61FF3" w:rsidP="00B61FF3">
      <w:pPr>
        <w:pStyle w:val="CenterUnderline"/>
      </w:pPr>
      <w:r>
        <w:t xml:space="preserve"> FINAL ORDER APPROVING THE PURCHASE AND SALE AGREEMENT FOR THE OWNERSHIP OF THE INDIANTOWN COGENERATION LP AND </w:t>
      </w:r>
    </w:p>
    <w:p w:rsidR="00B61FF3" w:rsidRDefault="00B61FF3" w:rsidP="00B61FF3">
      <w:pPr>
        <w:pStyle w:val="CenterUnderline"/>
      </w:pPr>
      <w:r>
        <w:t xml:space="preserve">PARTIAL SETTLEMENT AGREEMENT </w:t>
      </w:r>
    </w:p>
    <w:p w:rsidR="00B61FF3" w:rsidRPr="00701945" w:rsidRDefault="00B61FF3" w:rsidP="00B61FF3">
      <w:pPr>
        <w:jc w:val="center"/>
        <w:rPr>
          <w:b/>
          <w:bCs/>
          <w:u w:val="single"/>
        </w:rPr>
      </w:pPr>
    </w:p>
    <w:p w:rsidR="00B61FF3" w:rsidRPr="000E091B" w:rsidRDefault="00B61FF3" w:rsidP="00B61FF3">
      <w:pPr>
        <w:jc w:val="both"/>
      </w:pPr>
      <w:r w:rsidRPr="000E091B">
        <w:t>BY THE COMMISSION:</w:t>
      </w:r>
    </w:p>
    <w:p w:rsidR="00B61FF3" w:rsidRPr="00701945" w:rsidRDefault="00B61FF3" w:rsidP="00B61FF3">
      <w:pPr>
        <w:jc w:val="both"/>
      </w:pPr>
    </w:p>
    <w:p w:rsidR="00B61FF3" w:rsidRPr="00D579AE" w:rsidRDefault="00B61FF3" w:rsidP="00B61FF3">
      <w:pPr>
        <w:jc w:val="center"/>
        <w:rPr>
          <w:b/>
        </w:rPr>
      </w:pPr>
      <w:r w:rsidRPr="00D579AE">
        <w:rPr>
          <w:b/>
          <w:u w:val="single"/>
        </w:rPr>
        <w:t>BACKGROUND</w:t>
      </w:r>
    </w:p>
    <w:p w:rsidR="00B61FF3" w:rsidRPr="00701945" w:rsidRDefault="00B61FF3" w:rsidP="00B61FF3">
      <w:pPr>
        <w:jc w:val="both"/>
      </w:pPr>
    </w:p>
    <w:p w:rsidR="00B61FF3" w:rsidRPr="002137E6" w:rsidRDefault="00B61FF3" w:rsidP="00B61F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 xml:space="preserve">Pursuant to Rule 28-106.201, Florida Administrative Code (F.A.C.), the Florida Public Service Commission (Commission) set a hearing in response to Florida Power &amp; Light Company’s (FPL) petition </w:t>
      </w:r>
      <w:r w:rsidRPr="004F5FD7">
        <w:t xml:space="preserve">for approval of a purchase and sale agreement between </w:t>
      </w:r>
      <w:r>
        <w:t xml:space="preserve">FPL </w:t>
      </w:r>
      <w:r w:rsidRPr="004F5FD7">
        <w:t xml:space="preserve">and Calypso Energy Holdings, LLC </w:t>
      </w:r>
      <w:r>
        <w:t xml:space="preserve">(Calypso), </w:t>
      </w:r>
      <w:r w:rsidRPr="004F5FD7">
        <w:t>for the ownership of the Indiantown Cogeneration LP and related power purchase agreement</w:t>
      </w:r>
      <w:r>
        <w:t xml:space="preserve"> (PPA). </w:t>
      </w:r>
    </w:p>
    <w:p w:rsidR="00B61FF3" w:rsidRDefault="00B61FF3" w:rsidP="00B61FF3">
      <w:pPr>
        <w:ind w:firstLine="720"/>
        <w:jc w:val="both"/>
        <w:rPr>
          <w:color w:val="000000"/>
        </w:rPr>
      </w:pPr>
    </w:p>
    <w:p w:rsidR="00B61FF3" w:rsidRDefault="00B61FF3" w:rsidP="00B61FF3">
      <w:pPr>
        <w:ind w:firstLine="720"/>
        <w:jc w:val="both"/>
        <w:rPr>
          <w:color w:val="000000"/>
        </w:rPr>
      </w:pPr>
      <w:r>
        <w:t xml:space="preserve">FPL filed its petition in this docket on June 20, 2016, for approval of a transaction </w:t>
      </w:r>
      <w:r w:rsidRPr="00B66C05">
        <w:t xml:space="preserve">to acquire the ownership interests in </w:t>
      </w:r>
      <w:r>
        <w:t>the facility</w:t>
      </w:r>
      <w:r w:rsidRPr="00493371">
        <w:t xml:space="preserve"> </w:t>
      </w:r>
      <w:r>
        <w:t xml:space="preserve">and associated land as well as the acquisition of the purchased power agreement. In this petition, FPL seeks approval to establish a regulatory asset of $451.5 million for the investment and recover the costs through the Capacity Cost Recovery Clause. </w:t>
      </w:r>
      <w:r w:rsidRPr="00B66C05">
        <w:t xml:space="preserve">FPL intends to retire the </w:t>
      </w:r>
      <w:r>
        <w:t>facility</w:t>
      </w:r>
      <w:r w:rsidRPr="00B66C05">
        <w:t xml:space="preserve"> at the end of 2018</w:t>
      </w:r>
      <w:r>
        <w:t>. T</w:t>
      </w:r>
      <w:r>
        <w:rPr>
          <w:color w:val="000000"/>
        </w:rPr>
        <w:t xml:space="preserve">he </w:t>
      </w:r>
      <w:r w:rsidRPr="00C50EEA">
        <w:rPr>
          <w:color w:val="000000"/>
        </w:rPr>
        <w:t xml:space="preserve">Office of Public Counsel (OPC) </w:t>
      </w:r>
      <w:r>
        <w:rPr>
          <w:color w:val="000000"/>
        </w:rPr>
        <w:t xml:space="preserve">and </w:t>
      </w:r>
      <w:r w:rsidRPr="00C50EEA">
        <w:rPr>
          <w:color w:val="000000"/>
        </w:rPr>
        <w:t xml:space="preserve">Florida Industrial Power Users Group (FIPUG) </w:t>
      </w:r>
      <w:r>
        <w:rPr>
          <w:bCs/>
          <w:color w:val="000000"/>
        </w:rPr>
        <w:t>were granted intervention in this docket.</w:t>
      </w:r>
    </w:p>
    <w:p w:rsidR="00B61FF3" w:rsidRDefault="00B61FF3" w:rsidP="00B61FF3">
      <w:pPr>
        <w:jc w:val="both"/>
      </w:pPr>
    </w:p>
    <w:p w:rsidR="00B61FF3" w:rsidRDefault="00B61FF3" w:rsidP="00B61FF3">
      <w:pPr>
        <w:ind w:firstLine="720"/>
        <w:jc w:val="both"/>
        <w:rPr>
          <w:color w:val="000000"/>
        </w:rPr>
      </w:pPr>
      <w:r>
        <w:t>On September, 20, 2016, a joint partial stipulation (Stipulation) between FPL, OPC, and FIPUG was filed to address the conduct of the hearing. The parties agreed to the admissibility of the prefiled testimony and exhibits of the four FPL witnesses,</w:t>
      </w:r>
      <w:r w:rsidRPr="001659C2">
        <w:t xml:space="preserve"> </w:t>
      </w:r>
      <w:r>
        <w:t>stipulated to staff’s comprehensive exhibit list, and waived cross examination and post-hearing briefs. FPL and OPC agreed to the accounting treatment, proper rate of return, and accounting entries of the proposed agreement between FPL and Calypso concerning the Indiantown Cogeneration LP. FIPUG did not oppose the Stipulation.  On October 4, 2016, an administrative hearing was held to address the Stipulation and other matters pending in this docket, upon which a bench vote was held. This order addresses our vote on this matter.  We have jurisdiction pursuant to Section 366.06, Florida Statutes (F.S.).</w:t>
      </w:r>
    </w:p>
    <w:p w:rsidR="00B61FF3" w:rsidRDefault="00B61FF3" w:rsidP="00B61FF3">
      <w:pPr>
        <w:ind w:firstLine="720"/>
        <w:jc w:val="both"/>
        <w:rPr>
          <w:color w:val="000000"/>
        </w:rPr>
      </w:pPr>
    </w:p>
    <w:p w:rsidR="00B61FF3" w:rsidRPr="00AE0FC0" w:rsidRDefault="00B61FF3" w:rsidP="00B61FF3">
      <w:pPr>
        <w:jc w:val="center"/>
        <w:rPr>
          <w:b/>
          <w:color w:val="000000"/>
          <w:u w:val="single"/>
        </w:rPr>
      </w:pPr>
      <w:r w:rsidRPr="00AE0FC0">
        <w:rPr>
          <w:b/>
          <w:color w:val="000000"/>
          <w:u w:val="single"/>
        </w:rPr>
        <w:t>DECISION</w:t>
      </w:r>
    </w:p>
    <w:p w:rsidR="00B61FF3" w:rsidRDefault="00B61FF3" w:rsidP="00B61FF3">
      <w:pPr>
        <w:ind w:firstLine="720"/>
        <w:jc w:val="center"/>
        <w:rPr>
          <w:color w:val="000000"/>
        </w:rPr>
      </w:pPr>
    </w:p>
    <w:p w:rsidR="00B61FF3" w:rsidRDefault="00B61FF3" w:rsidP="00B61FF3">
      <w:pPr>
        <w:jc w:val="both"/>
      </w:pPr>
      <w:r>
        <w:rPr>
          <w:color w:val="000000"/>
        </w:rPr>
        <w:tab/>
        <w:t>The e</w:t>
      </w:r>
      <w:r>
        <w:t xml:space="preserve">vidence in the record supports a finding that the transaction is cost-effective and will produce $129 million in savings for FPL customers on a cumulative net present value revenue requirement basis. These estimated savings are based on using the company’s base line fuel projections. FPL proposes to amortize the regulatory asset over the remaining life of the purchased power agreement (9 years). Using the current authorized return on equity for FPL (10.5 percent), the transaction would produce $148 million in savings, with system savings in the first year. </w:t>
      </w:r>
    </w:p>
    <w:p w:rsidR="00B61FF3" w:rsidRDefault="00B61FF3" w:rsidP="00B61FF3">
      <w:pPr>
        <w:jc w:val="both"/>
        <w:rPr>
          <w:color w:val="000000"/>
        </w:rPr>
      </w:pPr>
      <w:r>
        <w:tab/>
      </w:r>
    </w:p>
    <w:p w:rsidR="00B61FF3" w:rsidRDefault="00B61FF3" w:rsidP="00B61FF3">
      <w:pPr>
        <w:jc w:val="both"/>
      </w:pPr>
      <w:r>
        <w:rPr>
          <w:color w:val="000000"/>
        </w:rPr>
        <w:lastRenderedPageBreak/>
        <w:tab/>
      </w:r>
      <w:r>
        <w:t>The current Indiantown Cogeneration Facility L.P. (ICL) transaction would be the best option available for customers after the evaluation of several alternative measures to mitigate the PPA’s impacts.</w:t>
      </w:r>
    </w:p>
    <w:p w:rsidR="00B61FF3" w:rsidRDefault="00B61FF3" w:rsidP="00B61FF3">
      <w:pPr>
        <w:jc w:val="both"/>
      </w:pPr>
    </w:p>
    <w:p w:rsidR="00B61FF3" w:rsidRPr="00CA44F6" w:rsidRDefault="00B61FF3" w:rsidP="00B61FF3">
      <w:pPr>
        <w:jc w:val="both"/>
        <w:rPr>
          <w:b/>
        </w:rPr>
      </w:pPr>
      <w:r w:rsidRPr="00CA44F6">
        <w:rPr>
          <w:b/>
        </w:rPr>
        <w:t>Fair Value</w:t>
      </w:r>
    </w:p>
    <w:p w:rsidR="00B61FF3" w:rsidRDefault="00B61FF3" w:rsidP="00B61FF3">
      <w:pPr>
        <w:ind w:firstLine="720"/>
        <w:jc w:val="both"/>
      </w:pPr>
    </w:p>
    <w:p w:rsidR="00B61FF3" w:rsidRDefault="00B61FF3" w:rsidP="00B61FF3">
      <w:pPr>
        <w:ind w:firstLine="720"/>
        <w:jc w:val="both"/>
      </w:pPr>
      <w:r>
        <w:t xml:space="preserve">The </w:t>
      </w:r>
      <w:r w:rsidRPr="00BF0650">
        <w:t>evidence in the record contains an evaluation by Duff &amp; Phelps which determined the fair value of the</w:t>
      </w:r>
      <w:r>
        <w:t xml:space="preserve"> </w:t>
      </w:r>
      <w:r w:rsidRPr="00BF0650">
        <w:t>PPA was approximately 450 million, representing the</w:t>
      </w:r>
      <w:r>
        <w:t xml:space="preserve"> </w:t>
      </w:r>
      <w:r w:rsidRPr="00BF0650">
        <w:t>value that it would bring to the owner of the facility,</w:t>
      </w:r>
      <w:r>
        <w:t xml:space="preserve"> </w:t>
      </w:r>
      <w:r w:rsidRPr="00BF0650">
        <w:t>who is entitled to continue selling to FPL under the</w:t>
      </w:r>
      <w:r>
        <w:t xml:space="preserve"> </w:t>
      </w:r>
      <w:r w:rsidRPr="00BF0650">
        <w:t>terms of the PPA. This value assumed the unit would</w:t>
      </w:r>
      <w:r>
        <w:t xml:space="preserve"> perform at historic levels and therefore be eligible for full capacity and energy payments under the existing PPA.</w:t>
      </w:r>
    </w:p>
    <w:p w:rsidR="00B61FF3" w:rsidRDefault="00B61FF3" w:rsidP="00B61FF3">
      <w:pPr>
        <w:jc w:val="both"/>
      </w:pPr>
    </w:p>
    <w:p w:rsidR="00B61FF3" w:rsidRPr="00CA44F6" w:rsidRDefault="00B61FF3" w:rsidP="00B61FF3">
      <w:pPr>
        <w:jc w:val="both"/>
        <w:rPr>
          <w:b/>
        </w:rPr>
      </w:pPr>
      <w:r w:rsidRPr="00CA44F6">
        <w:rPr>
          <w:b/>
        </w:rPr>
        <w:t>Prudent, Fair and Reasonable Price</w:t>
      </w:r>
    </w:p>
    <w:p w:rsidR="00B61FF3" w:rsidRDefault="00B61FF3" w:rsidP="00B61FF3">
      <w:pPr>
        <w:ind w:firstLine="720"/>
        <w:jc w:val="both"/>
      </w:pPr>
    </w:p>
    <w:p w:rsidR="00B61FF3" w:rsidRDefault="00B61FF3" w:rsidP="00B61FF3">
      <w:pPr>
        <w:ind w:firstLine="720"/>
        <w:jc w:val="both"/>
      </w:pPr>
      <w:r>
        <w:t xml:space="preserve">The purchase price was determined by negotiations between independent, unrelated parties. The fairness and reasonableness of the transaction is supported by the record which addressed the fair value based on US generally accepted accounting principles of the assets to be acquired and liabilities assumed by FPL. </w:t>
      </w:r>
    </w:p>
    <w:p w:rsidR="00B61FF3" w:rsidRDefault="00B61FF3" w:rsidP="00B61FF3">
      <w:pPr>
        <w:ind w:firstLine="720"/>
        <w:jc w:val="both"/>
      </w:pPr>
    </w:p>
    <w:p w:rsidR="00B61FF3" w:rsidRDefault="00B61FF3" w:rsidP="00B61FF3">
      <w:pPr>
        <w:jc w:val="both"/>
        <w:rPr>
          <w:b/>
        </w:rPr>
      </w:pPr>
      <w:r w:rsidRPr="00CA44F6">
        <w:rPr>
          <w:b/>
        </w:rPr>
        <w:t>Reasonable Measures to Mitigate Future PPA Impacts to Ratepayers</w:t>
      </w:r>
    </w:p>
    <w:p w:rsidR="00B61FF3" w:rsidRPr="00CA44F6" w:rsidRDefault="00B61FF3" w:rsidP="00B61FF3">
      <w:pPr>
        <w:jc w:val="both"/>
        <w:rPr>
          <w:b/>
        </w:rPr>
      </w:pPr>
    </w:p>
    <w:p w:rsidR="00B61FF3" w:rsidRDefault="00B61FF3" w:rsidP="00B61FF3">
      <w:pPr>
        <w:ind w:firstLine="720"/>
        <w:jc w:val="both"/>
      </w:pPr>
      <w:r w:rsidRPr="00DE3B7A">
        <w:t>FPL determined that the current ICL</w:t>
      </w:r>
      <w:r>
        <w:t xml:space="preserve"> </w:t>
      </w:r>
      <w:r w:rsidRPr="00DE3B7A">
        <w:t>transaction would be the best option available for</w:t>
      </w:r>
      <w:r>
        <w:t xml:space="preserve"> </w:t>
      </w:r>
      <w:r w:rsidRPr="00DE3B7A">
        <w:t>customers after the evaluation of several alternate</w:t>
      </w:r>
      <w:r>
        <w:t xml:space="preserve"> </w:t>
      </w:r>
      <w:r w:rsidRPr="00DE3B7A">
        <w:t>measures to mitigate the PPA's impacts.</w:t>
      </w:r>
      <w:r>
        <w:t xml:space="preserve">  According to FPL, it was critical to get out from under the unfavorable PPA.  The former owner was not interested in alternatives short of a full buy out.  Other options were considered but this was the only option that the owner agreed to pursue. </w:t>
      </w:r>
    </w:p>
    <w:p w:rsidR="00B61FF3" w:rsidRDefault="00B61FF3" w:rsidP="00B61FF3">
      <w:pPr>
        <w:ind w:firstLine="720"/>
        <w:jc w:val="both"/>
      </w:pPr>
    </w:p>
    <w:p w:rsidR="00B61FF3" w:rsidRDefault="00B61FF3" w:rsidP="00B61FF3">
      <w:pPr>
        <w:jc w:val="both"/>
        <w:rPr>
          <w:b/>
        </w:rPr>
      </w:pPr>
      <w:r w:rsidRPr="00CA44F6">
        <w:rPr>
          <w:b/>
        </w:rPr>
        <w:t>Operational Regulatory Risks</w:t>
      </w:r>
    </w:p>
    <w:p w:rsidR="00B61FF3" w:rsidRPr="00CA44F6" w:rsidRDefault="00B61FF3" w:rsidP="00B61FF3">
      <w:pPr>
        <w:jc w:val="both"/>
        <w:rPr>
          <w:b/>
        </w:rPr>
      </w:pPr>
    </w:p>
    <w:p w:rsidR="00B61FF3" w:rsidRDefault="00B61FF3" w:rsidP="00B61FF3">
      <w:pPr>
        <w:ind w:firstLine="720"/>
        <w:jc w:val="both"/>
      </w:pPr>
      <w:r w:rsidRPr="00DE3B7A">
        <w:t>Historically the ICL</w:t>
      </w:r>
      <w:r>
        <w:t xml:space="preserve"> </w:t>
      </w:r>
      <w:r w:rsidRPr="00DE3B7A">
        <w:t>facility has been a well-run facility and is currently</w:t>
      </w:r>
      <w:r>
        <w:t xml:space="preserve"> </w:t>
      </w:r>
      <w:r w:rsidRPr="00DE3B7A">
        <w:t>in compliance with regulatory measures set forth by the</w:t>
      </w:r>
      <w:r>
        <w:t xml:space="preserve"> </w:t>
      </w:r>
      <w:r w:rsidRPr="00DE3B7A">
        <w:t xml:space="preserve">DEP and EPA. </w:t>
      </w:r>
      <w:r>
        <w:t>T</w:t>
      </w:r>
      <w:r w:rsidRPr="00DE3B7A">
        <w:t>he record indicates no additional rule regulation compliance</w:t>
      </w:r>
      <w:r>
        <w:t xml:space="preserve"> </w:t>
      </w:r>
      <w:r w:rsidRPr="00DE3B7A">
        <w:t xml:space="preserve">programs or projects </w:t>
      </w:r>
      <w:r>
        <w:t xml:space="preserve">are </w:t>
      </w:r>
      <w:r w:rsidRPr="00DE3B7A">
        <w:t>anticipated</w:t>
      </w:r>
      <w:r>
        <w:t xml:space="preserve">. </w:t>
      </w:r>
      <w:r w:rsidRPr="00DE3B7A">
        <w:t>The transaction allows for FPL to dispatch</w:t>
      </w:r>
      <w:r>
        <w:t xml:space="preserve"> </w:t>
      </w:r>
      <w:r w:rsidRPr="00DE3B7A">
        <w:t>the facility when economically viable, control the</w:t>
      </w:r>
      <w:r>
        <w:t xml:space="preserve"> </w:t>
      </w:r>
      <w:r w:rsidRPr="00DE3B7A">
        <w:t>number of starts, and minimize run times. The reduction</w:t>
      </w:r>
      <w:r>
        <w:t xml:space="preserve"> </w:t>
      </w:r>
      <w:r w:rsidRPr="00DE3B7A">
        <w:t>in dispatch is expected to go from 24 percent a year to</w:t>
      </w:r>
      <w:r>
        <w:t xml:space="preserve"> </w:t>
      </w:r>
      <w:r w:rsidRPr="00DE3B7A">
        <w:t>5 percent, which will reduce the amount of CO2 released</w:t>
      </w:r>
      <w:r>
        <w:t xml:space="preserve"> </w:t>
      </w:r>
      <w:r w:rsidRPr="00DE3B7A">
        <w:t>from the facility by approximately 657,000 tons per</w:t>
      </w:r>
      <w:r>
        <w:t xml:space="preserve"> </w:t>
      </w:r>
      <w:r w:rsidRPr="00DE3B7A">
        <w:t>year.</w:t>
      </w:r>
      <w:r>
        <w:t xml:space="preserve"> </w:t>
      </w:r>
    </w:p>
    <w:p w:rsidR="00B61FF3" w:rsidRDefault="00B61FF3" w:rsidP="00B61FF3">
      <w:pPr>
        <w:ind w:firstLine="720"/>
        <w:jc w:val="both"/>
      </w:pPr>
    </w:p>
    <w:p w:rsidR="00B61FF3" w:rsidRPr="00CA44F6" w:rsidRDefault="00B61FF3" w:rsidP="00B61FF3">
      <w:pPr>
        <w:jc w:val="both"/>
        <w:rPr>
          <w:b/>
        </w:rPr>
      </w:pPr>
      <w:r w:rsidRPr="00CA44F6">
        <w:rPr>
          <w:b/>
        </w:rPr>
        <w:t>Cost Effectiveness</w:t>
      </w:r>
    </w:p>
    <w:p w:rsidR="00B61FF3" w:rsidRDefault="00B61FF3" w:rsidP="00B61FF3">
      <w:pPr>
        <w:ind w:firstLine="720"/>
        <w:jc w:val="both"/>
      </w:pPr>
    </w:p>
    <w:p w:rsidR="00B61FF3" w:rsidRDefault="00B61FF3" w:rsidP="00B61FF3">
      <w:pPr>
        <w:ind w:firstLine="720"/>
        <w:jc w:val="both"/>
      </w:pPr>
      <w:r>
        <w:t xml:space="preserve">The transaction is cost effective over a wide range of scenarios and should provide material benefits to FPL’s customers over the remaining life of the PPA. FPL’s system reliability should not be negatively impacted as FPL will have dispatch control of the ICL facility. We find that the transaction is cost effective with a ROE range of 9.5 to 11.5 percent. Applying FPL’s current approved ROE of 10.5 percent, system savings will accrue in year one and total savings of $148 million over the 9 year life of the regulatory asset. </w:t>
      </w:r>
    </w:p>
    <w:p w:rsidR="00B61FF3" w:rsidRDefault="00B61FF3" w:rsidP="00B61FF3">
      <w:pPr>
        <w:ind w:firstLine="720"/>
      </w:pPr>
    </w:p>
    <w:p w:rsidR="00B61FF3" w:rsidRPr="00CA44F6" w:rsidRDefault="00B61FF3" w:rsidP="00B61FF3">
      <w:pPr>
        <w:rPr>
          <w:b/>
        </w:rPr>
      </w:pPr>
      <w:r w:rsidRPr="00CA44F6">
        <w:rPr>
          <w:b/>
        </w:rPr>
        <w:lastRenderedPageBreak/>
        <w:t>The Proper Accounting Treatment for this Transaction</w:t>
      </w:r>
    </w:p>
    <w:p w:rsidR="00B61FF3" w:rsidRDefault="00B61FF3" w:rsidP="00B61FF3">
      <w:pPr>
        <w:ind w:firstLine="720"/>
        <w:jc w:val="both"/>
      </w:pPr>
    </w:p>
    <w:p w:rsidR="00B61FF3" w:rsidRDefault="00B61FF3" w:rsidP="00B61FF3">
      <w:pPr>
        <w:ind w:firstLine="720"/>
        <w:jc w:val="both"/>
        <w:rPr>
          <w:iCs/>
        </w:rPr>
      </w:pPr>
      <w:r>
        <w:t>According to the Stipulation, t</w:t>
      </w:r>
      <w:r>
        <w:rPr>
          <w:iCs/>
        </w:rPr>
        <w:t>he non-fuel</w:t>
      </w:r>
      <w:r w:rsidRPr="00337270">
        <w:rPr>
          <w:iCs/>
        </w:rPr>
        <w:t xml:space="preserve"> costs of operating the ICL Facility sh</w:t>
      </w:r>
      <w:r>
        <w:rPr>
          <w:iCs/>
        </w:rPr>
        <w:t>all</w:t>
      </w:r>
      <w:r w:rsidRPr="00337270">
        <w:rPr>
          <w:iCs/>
        </w:rPr>
        <w:t xml:space="preserve"> be recorded in</w:t>
      </w:r>
      <w:r>
        <w:rPr>
          <w:iCs/>
        </w:rPr>
        <w:t xml:space="preserve"> </w:t>
      </w:r>
      <w:r w:rsidRPr="00337270">
        <w:rPr>
          <w:iCs/>
        </w:rPr>
        <w:t>base rate accounts.</w:t>
      </w:r>
      <w:r>
        <w:rPr>
          <w:iCs/>
        </w:rPr>
        <w:t xml:space="preserve">  No </w:t>
      </w:r>
      <w:r w:rsidRPr="00337270">
        <w:rPr>
          <w:iCs/>
        </w:rPr>
        <w:t xml:space="preserve"> amount </w:t>
      </w:r>
      <w:r>
        <w:rPr>
          <w:iCs/>
        </w:rPr>
        <w:t xml:space="preserve">shall be recorded </w:t>
      </w:r>
      <w:r w:rsidRPr="00337270">
        <w:rPr>
          <w:iCs/>
        </w:rPr>
        <w:t>as plant in service for the ICL Facility</w:t>
      </w:r>
      <w:r>
        <w:rPr>
          <w:iCs/>
        </w:rPr>
        <w:t xml:space="preserve"> </w:t>
      </w:r>
      <w:r w:rsidRPr="00337270">
        <w:rPr>
          <w:iCs/>
        </w:rPr>
        <w:t>because the Facility has no economic value. FPL will record</w:t>
      </w:r>
      <w:r>
        <w:rPr>
          <w:iCs/>
        </w:rPr>
        <w:t xml:space="preserve"> </w:t>
      </w:r>
      <w:r w:rsidRPr="00337270">
        <w:rPr>
          <w:iCs/>
        </w:rPr>
        <w:t>land</w:t>
      </w:r>
      <w:r>
        <w:rPr>
          <w:iCs/>
        </w:rPr>
        <w:t xml:space="preserve"> </w:t>
      </w:r>
      <w:r w:rsidRPr="00337270">
        <w:rPr>
          <w:iCs/>
        </w:rPr>
        <w:t>for $8.5 million, a rail car lease liability of</w:t>
      </w:r>
      <w:r>
        <w:rPr>
          <w:iCs/>
        </w:rPr>
        <w:t xml:space="preserve"> </w:t>
      </w:r>
      <w:r w:rsidRPr="00337270">
        <w:rPr>
          <w:iCs/>
        </w:rPr>
        <w:t>$9.0 million, and an asset</w:t>
      </w:r>
      <w:r>
        <w:rPr>
          <w:iCs/>
        </w:rPr>
        <w:t xml:space="preserve"> </w:t>
      </w:r>
      <w:r w:rsidRPr="00337270">
        <w:rPr>
          <w:iCs/>
        </w:rPr>
        <w:t>retirement obligation of $9.9 million for the future dismantlement of the</w:t>
      </w:r>
      <w:r>
        <w:rPr>
          <w:iCs/>
        </w:rPr>
        <w:t xml:space="preserve"> </w:t>
      </w:r>
      <w:r w:rsidRPr="00337270">
        <w:rPr>
          <w:iCs/>
        </w:rPr>
        <w:t>Facility.</w:t>
      </w:r>
      <w:r>
        <w:rPr>
          <w:iCs/>
        </w:rPr>
        <w:t xml:space="preserve"> FPL shall establish a regulatory asset for the ICL investment of $451.5 million.</w:t>
      </w:r>
    </w:p>
    <w:p w:rsidR="00B61FF3" w:rsidRDefault="00B61FF3" w:rsidP="00B61FF3">
      <w:pPr>
        <w:ind w:firstLine="720"/>
        <w:rPr>
          <w:iCs/>
        </w:rPr>
      </w:pPr>
    </w:p>
    <w:p w:rsidR="00B61FF3" w:rsidRPr="00CA44F6" w:rsidRDefault="00B61FF3" w:rsidP="00B61FF3">
      <w:pPr>
        <w:rPr>
          <w:b/>
          <w:iCs/>
        </w:rPr>
      </w:pPr>
      <w:r w:rsidRPr="00CA44F6">
        <w:rPr>
          <w:b/>
          <w:iCs/>
        </w:rPr>
        <w:t>The Proper Rate of Return</w:t>
      </w:r>
    </w:p>
    <w:p w:rsidR="00B61FF3" w:rsidRDefault="00B61FF3" w:rsidP="00B61FF3">
      <w:pPr>
        <w:ind w:firstLine="720"/>
        <w:jc w:val="both"/>
      </w:pPr>
    </w:p>
    <w:p w:rsidR="00B61FF3" w:rsidRPr="00337270" w:rsidRDefault="00B61FF3" w:rsidP="00B61FF3">
      <w:pPr>
        <w:ind w:firstLine="720"/>
        <w:jc w:val="both"/>
      </w:pPr>
      <w:r>
        <w:t xml:space="preserve">According to the Stipulation, </w:t>
      </w:r>
      <w:r w:rsidRPr="00337270">
        <w:rPr>
          <w:iCs/>
        </w:rPr>
        <w:t>the proper rate of return is</w:t>
      </w:r>
      <w:r>
        <w:rPr>
          <w:iCs/>
        </w:rPr>
        <w:t xml:space="preserve"> </w:t>
      </w:r>
      <w:r w:rsidRPr="00337270">
        <w:rPr>
          <w:iCs/>
        </w:rPr>
        <w:t>FPL 's overall WACC approved by th</w:t>
      </w:r>
      <w:r>
        <w:rPr>
          <w:iCs/>
        </w:rPr>
        <w:t>is</w:t>
      </w:r>
      <w:r w:rsidRPr="00337270">
        <w:rPr>
          <w:iCs/>
        </w:rPr>
        <w:t xml:space="preserve"> Commission that is used for clause</w:t>
      </w:r>
      <w:r>
        <w:rPr>
          <w:iCs/>
        </w:rPr>
        <w:t xml:space="preserve"> </w:t>
      </w:r>
      <w:r w:rsidRPr="00337270">
        <w:rPr>
          <w:iCs/>
        </w:rPr>
        <w:t xml:space="preserve">investments. </w:t>
      </w:r>
      <w:r>
        <w:rPr>
          <w:iCs/>
        </w:rPr>
        <w:t>We</w:t>
      </w:r>
      <w:r w:rsidRPr="00337270">
        <w:rPr>
          <w:iCs/>
        </w:rPr>
        <w:t xml:space="preserve"> approved this treatment for the Cedar Bay</w:t>
      </w:r>
      <w:r>
        <w:rPr>
          <w:iCs/>
        </w:rPr>
        <w:t xml:space="preserve"> </w:t>
      </w:r>
      <w:r w:rsidRPr="00337270">
        <w:rPr>
          <w:iCs/>
        </w:rPr>
        <w:t xml:space="preserve">Transaction, a recent transaction substantially similar to the </w:t>
      </w:r>
      <w:r>
        <w:rPr>
          <w:iCs/>
        </w:rPr>
        <w:t>I</w:t>
      </w:r>
      <w:r w:rsidRPr="00337270">
        <w:rPr>
          <w:iCs/>
        </w:rPr>
        <w:t>CL Transaction, in</w:t>
      </w:r>
      <w:r>
        <w:rPr>
          <w:iCs/>
        </w:rPr>
        <w:t xml:space="preserve"> </w:t>
      </w:r>
      <w:r w:rsidRPr="00337270">
        <w:rPr>
          <w:iCs/>
        </w:rPr>
        <w:t>Order No. PSC-15-0401-AS-El</w:t>
      </w:r>
      <w:r>
        <w:rPr>
          <w:iCs/>
        </w:rPr>
        <w:t xml:space="preserve"> issued September 23, 2015, in Docket No. 160075-EI, </w:t>
      </w:r>
      <w:r w:rsidRPr="000D2DE5">
        <w:rPr>
          <w:u w:val="single"/>
        </w:rPr>
        <w:t>In re: Petition for approval of arrangement to mitigate impact of unfavorable Cedar Bay power purchase obligation, by Florida Power &amp; Light Company</w:t>
      </w:r>
      <w:r>
        <w:t>.</w:t>
      </w:r>
      <w:r>
        <w:rPr>
          <w:iCs/>
        </w:rPr>
        <w:t xml:space="preserve"> </w:t>
      </w:r>
    </w:p>
    <w:p w:rsidR="00B61FF3" w:rsidRDefault="00B61FF3" w:rsidP="00B61FF3"/>
    <w:p w:rsidR="00B61FF3" w:rsidRPr="00CA44F6" w:rsidRDefault="00B61FF3" w:rsidP="00B61FF3">
      <w:r w:rsidRPr="00CA44F6">
        <w:rPr>
          <w:b/>
        </w:rPr>
        <w:t>FPL’s Requirement to Record the ICL Transaction</w:t>
      </w:r>
      <w:r w:rsidRPr="00CA44F6">
        <w:t xml:space="preserve"> </w:t>
      </w:r>
    </w:p>
    <w:p w:rsidR="00B61FF3" w:rsidRDefault="00B61FF3" w:rsidP="00B61FF3">
      <w:pPr>
        <w:ind w:firstLine="720"/>
        <w:jc w:val="both"/>
      </w:pPr>
    </w:p>
    <w:p w:rsidR="00B61FF3" w:rsidRPr="00337270" w:rsidRDefault="00B61FF3" w:rsidP="00B61FF3">
      <w:pPr>
        <w:ind w:firstLine="720"/>
        <w:jc w:val="both"/>
      </w:pPr>
      <w:r>
        <w:t xml:space="preserve">According to the Stipulation, </w:t>
      </w:r>
      <w:r w:rsidRPr="003377D8">
        <w:t xml:space="preserve">FPL </w:t>
      </w:r>
      <w:r>
        <w:t>is</w:t>
      </w:r>
      <w:r w:rsidRPr="003377D8">
        <w:t xml:space="preserve"> required to file with th</w:t>
      </w:r>
      <w:r>
        <w:t>is</w:t>
      </w:r>
      <w:r w:rsidRPr="003377D8">
        <w:t xml:space="preserve"> Commission, the actual</w:t>
      </w:r>
      <w:r>
        <w:t xml:space="preserve"> </w:t>
      </w:r>
      <w:r w:rsidRPr="003377D8">
        <w:t>accounting</w:t>
      </w:r>
      <w:r>
        <w:t xml:space="preserve"> </w:t>
      </w:r>
      <w:r w:rsidRPr="003377D8">
        <w:t>entries to record the ICL transaction for both FPL and the subsidiary Indiantown</w:t>
      </w:r>
      <w:r>
        <w:t xml:space="preserve"> </w:t>
      </w:r>
      <w:r w:rsidRPr="003377D8">
        <w:t>within six months of the ICL transaction being consummated</w:t>
      </w:r>
      <w:r>
        <w:t>.</w:t>
      </w:r>
    </w:p>
    <w:p w:rsidR="00B61FF3" w:rsidRDefault="00B61FF3" w:rsidP="00B61FF3"/>
    <w:p w:rsidR="00B61FF3" w:rsidRPr="00CA44F6" w:rsidRDefault="00B61FF3" w:rsidP="00B61FF3">
      <w:pPr>
        <w:rPr>
          <w:b/>
        </w:rPr>
      </w:pPr>
      <w:r w:rsidRPr="00CA44F6">
        <w:rPr>
          <w:b/>
        </w:rPr>
        <w:t>Approval of the Settlement</w:t>
      </w:r>
    </w:p>
    <w:p w:rsidR="00B61FF3" w:rsidRDefault="00B61FF3" w:rsidP="00B61FF3">
      <w:pPr>
        <w:ind w:firstLine="720"/>
        <w:jc w:val="both"/>
      </w:pPr>
    </w:p>
    <w:p w:rsidR="00B61FF3" w:rsidRDefault="00B61FF3" w:rsidP="00B61FF3">
      <w:pPr>
        <w:ind w:firstLine="720"/>
        <w:jc w:val="both"/>
      </w:pPr>
      <w:r>
        <w:t xml:space="preserve">Based upon a review of the Stipulation, the evidence on the record and for the reasons stated above, this Commission finds that the Stipulation is a reasonable resolution of this matter for all parties. We find that the Stipulation creates customer savings, includes additional protections for customers, achieves environmental benefits, and avoids the long-term costs of the PPA. Thus, our approval of the Stipulation is in the public interest. Accordingly, we approve the Stipulation which is attached to this Order as Exhibit A and made a part hereof.  </w:t>
      </w:r>
    </w:p>
    <w:p w:rsidR="00B61FF3" w:rsidRDefault="00B61FF3" w:rsidP="00B61FF3">
      <w:pPr>
        <w:ind w:firstLine="720"/>
      </w:pPr>
    </w:p>
    <w:p w:rsidR="00B61FF3" w:rsidRPr="00CA44F6" w:rsidRDefault="00B61FF3" w:rsidP="00B61FF3">
      <w:pPr>
        <w:rPr>
          <w:b/>
        </w:rPr>
      </w:pPr>
      <w:r w:rsidRPr="00CA44F6">
        <w:rPr>
          <w:b/>
        </w:rPr>
        <w:t>Conclusion</w:t>
      </w:r>
    </w:p>
    <w:p w:rsidR="00B61FF3" w:rsidRDefault="00B61FF3" w:rsidP="00B61FF3">
      <w:pPr>
        <w:ind w:firstLine="720"/>
        <w:jc w:val="both"/>
      </w:pPr>
    </w:p>
    <w:p w:rsidR="00B61FF3" w:rsidRDefault="00B61FF3" w:rsidP="00B61FF3">
      <w:pPr>
        <w:ind w:firstLine="720"/>
        <w:jc w:val="both"/>
      </w:pPr>
      <w:r>
        <w:t>The record supports a finding that the purchase and sale agreement entered into by FPL and Calypso avoids the negative impact of the PAA, creates customer savings, includes additional protections for customers, achieves environmental benefits and avoids the long-term costs of the PPA.  Those issues not resolved by the Stipulation, as discussed above, are supported by substantial competent evidence and are in the public interest.</w:t>
      </w:r>
    </w:p>
    <w:p w:rsidR="00B61FF3" w:rsidRDefault="00B61FF3" w:rsidP="00B61FF3"/>
    <w:p w:rsidR="00B61FF3" w:rsidRDefault="00B61FF3" w:rsidP="00B61FF3">
      <w:pPr>
        <w:pStyle w:val="OrderBody"/>
        <w:ind w:firstLine="720"/>
      </w:pPr>
      <w:r>
        <w:t>Based on the foregoing, it is</w:t>
      </w:r>
    </w:p>
    <w:p w:rsidR="00B61FF3" w:rsidRDefault="00B61FF3" w:rsidP="00B61FF3">
      <w:pPr>
        <w:pStyle w:val="OrderBody"/>
      </w:pPr>
    </w:p>
    <w:p w:rsidR="00B61FF3" w:rsidRDefault="00B61FF3" w:rsidP="00B61FF3">
      <w:pPr>
        <w:pStyle w:val="OrderBody"/>
      </w:pPr>
      <w:r>
        <w:tab/>
        <w:t>ORDERED by the Florida Public Service Commission that the stipulations, findings, and rulings set forth in the body of this Order are hereby approved.  It is further</w:t>
      </w:r>
    </w:p>
    <w:p w:rsidR="00B61FF3" w:rsidRDefault="00B61FF3" w:rsidP="00B61FF3">
      <w:pPr>
        <w:pStyle w:val="OrderBody"/>
      </w:pPr>
    </w:p>
    <w:p w:rsidR="00B61FF3" w:rsidRDefault="00B61FF3" w:rsidP="00B61FF3">
      <w:pPr>
        <w:pStyle w:val="OrderBody"/>
      </w:pPr>
      <w:r>
        <w:tab/>
        <w:t>ORDERED that the Joint Partial Settlement Agreement is approved.</w:t>
      </w:r>
      <w:r w:rsidRPr="005336E5">
        <w:t xml:space="preserve"> </w:t>
      </w:r>
      <w:r>
        <w:t>It is further</w:t>
      </w:r>
    </w:p>
    <w:p w:rsidR="00B61FF3" w:rsidRDefault="00B61FF3" w:rsidP="00B61FF3">
      <w:pPr>
        <w:pStyle w:val="OrderBody"/>
      </w:pPr>
    </w:p>
    <w:p w:rsidR="00B61FF3" w:rsidRDefault="00B61FF3" w:rsidP="00B61FF3">
      <w:pPr>
        <w:pStyle w:val="OrderBody"/>
        <w:ind w:firstLine="720"/>
      </w:pPr>
      <w:r>
        <w:t xml:space="preserve">ORDERED that the purchase and sale agreement between Florida Power and Light Company and Calypso Energy Holdings, LLC is approved. It is further </w:t>
      </w:r>
    </w:p>
    <w:p w:rsidR="00B61FF3" w:rsidRDefault="00B61FF3" w:rsidP="00B61FF3">
      <w:pPr>
        <w:pStyle w:val="OrderBody"/>
      </w:pPr>
    </w:p>
    <w:p w:rsidR="00B61FF3" w:rsidRDefault="00B61FF3" w:rsidP="00B61FF3">
      <w:pPr>
        <w:pStyle w:val="OrderBody"/>
      </w:pPr>
      <w:r>
        <w:tab/>
        <w:t>ORDERED that the docket shall be closed.</w:t>
      </w:r>
    </w:p>
    <w:p w:rsidR="00B61FF3" w:rsidRDefault="00B61FF3" w:rsidP="00B61FF3">
      <w:pPr>
        <w:pStyle w:val="OrderBody"/>
      </w:pPr>
    </w:p>
    <w:p w:rsidR="00B61FF3" w:rsidRDefault="00B61FF3" w:rsidP="00B61FF3">
      <w:pPr>
        <w:pStyle w:val="OrderBody"/>
        <w:keepNext/>
        <w:keepLines/>
      </w:pPr>
      <w:r>
        <w:tab/>
        <w:t xml:space="preserve">By ORDER of the Florida Public Service Commission this </w:t>
      </w:r>
      <w:bookmarkStart w:id="4" w:name="replaceDate"/>
      <w:bookmarkEnd w:id="4"/>
      <w:r w:rsidR="00744B50">
        <w:rPr>
          <w:u w:val="single"/>
        </w:rPr>
        <w:t>2nd</w:t>
      </w:r>
      <w:r w:rsidR="00744B50">
        <w:t xml:space="preserve"> day of </w:t>
      </w:r>
      <w:r w:rsidR="00744B50">
        <w:rPr>
          <w:u w:val="single"/>
        </w:rPr>
        <w:t>November</w:t>
      </w:r>
      <w:r w:rsidR="00744B50">
        <w:t xml:space="preserve">, </w:t>
      </w:r>
      <w:r w:rsidR="00744B50">
        <w:rPr>
          <w:u w:val="single"/>
        </w:rPr>
        <w:t>2016</w:t>
      </w:r>
      <w:r w:rsidR="00744B50">
        <w:t>.</w:t>
      </w:r>
    </w:p>
    <w:p w:rsidR="00744B50" w:rsidRPr="00744B50" w:rsidRDefault="00744B50" w:rsidP="00B61FF3">
      <w:pPr>
        <w:pStyle w:val="OrderBody"/>
        <w:keepNext/>
        <w:keepLines/>
      </w:pPr>
    </w:p>
    <w:p w:rsidR="00B61FF3" w:rsidRDefault="00B61FF3" w:rsidP="00B61FF3">
      <w:pPr>
        <w:pStyle w:val="OrderBody"/>
        <w:keepNext/>
        <w:keepLines/>
      </w:pPr>
    </w:p>
    <w:p w:rsidR="00B61FF3" w:rsidRDefault="00B61FF3" w:rsidP="00B61FF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61FF3" w:rsidTr="00557279">
        <w:tc>
          <w:tcPr>
            <w:tcW w:w="720" w:type="dxa"/>
            <w:shd w:val="clear" w:color="auto" w:fill="auto"/>
          </w:tcPr>
          <w:p w:rsidR="00B61FF3" w:rsidRDefault="00B61FF3" w:rsidP="00557279">
            <w:pPr>
              <w:pStyle w:val="OrderBody"/>
              <w:keepNext/>
              <w:keepLines/>
            </w:pPr>
            <w:bookmarkStart w:id="5" w:name="bkmrkSignature" w:colFirst="0" w:colLast="0"/>
          </w:p>
        </w:tc>
        <w:tc>
          <w:tcPr>
            <w:tcW w:w="4320" w:type="dxa"/>
            <w:tcBorders>
              <w:bottom w:val="single" w:sz="4" w:space="0" w:color="auto"/>
            </w:tcBorders>
            <w:shd w:val="clear" w:color="auto" w:fill="auto"/>
          </w:tcPr>
          <w:p w:rsidR="00B61FF3" w:rsidRDefault="00744B50" w:rsidP="00557279">
            <w:pPr>
              <w:pStyle w:val="OrderBody"/>
              <w:keepNext/>
              <w:keepLines/>
            </w:pPr>
            <w:r>
              <w:t>/s/ Carlotta S. Stauffer</w:t>
            </w:r>
            <w:bookmarkStart w:id="6" w:name="_GoBack"/>
            <w:bookmarkEnd w:id="6"/>
          </w:p>
        </w:tc>
      </w:tr>
      <w:bookmarkEnd w:id="5"/>
      <w:tr w:rsidR="00B61FF3" w:rsidTr="00557279">
        <w:tc>
          <w:tcPr>
            <w:tcW w:w="720" w:type="dxa"/>
            <w:shd w:val="clear" w:color="auto" w:fill="auto"/>
          </w:tcPr>
          <w:p w:rsidR="00B61FF3" w:rsidRDefault="00B61FF3" w:rsidP="00557279">
            <w:pPr>
              <w:pStyle w:val="OrderBody"/>
              <w:keepNext/>
              <w:keepLines/>
            </w:pPr>
          </w:p>
        </w:tc>
        <w:tc>
          <w:tcPr>
            <w:tcW w:w="4320" w:type="dxa"/>
            <w:tcBorders>
              <w:top w:val="single" w:sz="4" w:space="0" w:color="auto"/>
            </w:tcBorders>
            <w:shd w:val="clear" w:color="auto" w:fill="auto"/>
          </w:tcPr>
          <w:p w:rsidR="00B61FF3" w:rsidRDefault="00B61FF3" w:rsidP="00557279">
            <w:pPr>
              <w:pStyle w:val="OrderBody"/>
              <w:keepNext/>
              <w:keepLines/>
            </w:pPr>
            <w:r>
              <w:t>CARLOTTA S. STAUFFER</w:t>
            </w:r>
          </w:p>
          <w:p w:rsidR="00B61FF3" w:rsidRDefault="00B61FF3" w:rsidP="00557279">
            <w:pPr>
              <w:pStyle w:val="OrderBody"/>
              <w:keepNext/>
              <w:keepLines/>
            </w:pPr>
            <w:r>
              <w:t>Commission Clerk</w:t>
            </w:r>
          </w:p>
        </w:tc>
      </w:tr>
    </w:tbl>
    <w:p w:rsidR="00B61FF3" w:rsidRDefault="00B61FF3" w:rsidP="00B61FF3">
      <w:pPr>
        <w:pStyle w:val="OrderSigInfo"/>
        <w:keepNext/>
        <w:keepLines/>
      </w:pPr>
      <w:r>
        <w:t>Florida Public Service Commission</w:t>
      </w:r>
    </w:p>
    <w:p w:rsidR="00B61FF3" w:rsidRDefault="00B61FF3" w:rsidP="00B61FF3">
      <w:pPr>
        <w:pStyle w:val="OrderSigInfo"/>
        <w:keepNext/>
        <w:keepLines/>
      </w:pPr>
      <w:r>
        <w:t>2540 Shumard Oak Boulevard</w:t>
      </w:r>
    </w:p>
    <w:p w:rsidR="00B61FF3" w:rsidRDefault="00B61FF3" w:rsidP="00B61FF3">
      <w:pPr>
        <w:pStyle w:val="OrderSigInfo"/>
        <w:keepNext/>
        <w:keepLines/>
      </w:pPr>
      <w:r>
        <w:t>Tallahassee, Florida  32399</w:t>
      </w:r>
    </w:p>
    <w:p w:rsidR="00B61FF3" w:rsidRDefault="00B61FF3" w:rsidP="00B61FF3">
      <w:pPr>
        <w:pStyle w:val="OrderSigInfo"/>
        <w:keepNext/>
        <w:keepLines/>
      </w:pPr>
      <w:r>
        <w:t>(850) 413</w:t>
      </w:r>
      <w:r>
        <w:noBreakHyphen/>
        <w:t>6770</w:t>
      </w:r>
    </w:p>
    <w:p w:rsidR="00B61FF3" w:rsidRDefault="00B61FF3" w:rsidP="00B61FF3">
      <w:pPr>
        <w:pStyle w:val="OrderSigInfo"/>
        <w:keepNext/>
        <w:keepLines/>
      </w:pPr>
      <w:r>
        <w:t>www.floridapsc.com</w:t>
      </w:r>
    </w:p>
    <w:p w:rsidR="00B61FF3" w:rsidRDefault="00B61FF3" w:rsidP="00B61FF3">
      <w:pPr>
        <w:pStyle w:val="OrderSigInfo"/>
        <w:keepNext/>
        <w:keepLines/>
      </w:pPr>
    </w:p>
    <w:p w:rsidR="00B61FF3" w:rsidRDefault="00B61FF3" w:rsidP="00B61FF3">
      <w:pPr>
        <w:pStyle w:val="OrderSigInfo"/>
        <w:keepNext/>
        <w:keepLines/>
      </w:pPr>
      <w:r>
        <w:t>Copies furnished:  A copy of this document is provided to the parties of record at the time of issuance and, if applicable, interested persons.</w:t>
      </w:r>
    </w:p>
    <w:p w:rsidR="00B61FF3" w:rsidRDefault="00B61FF3" w:rsidP="00B61FF3">
      <w:pPr>
        <w:pStyle w:val="OrderBody"/>
        <w:keepNext/>
        <w:keepLines/>
      </w:pPr>
    </w:p>
    <w:p w:rsidR="00B61FF3" w:rsidRDefault="00B61FF3" w:rsidP="00B61FF3">
      <w:pPr>
        <w:pStyle w:val="OrderBody"/>
        <w:keepNext/>
        <w:keepLines/>
      </w:pPr>
    </w:p>
    <w:p w:rsidR="00B61FF3" w:rsidRDefault="00B61FF3" w:rsidP="00B61FF3">
      <w:pPr>
        <w:pStyle w:val="OrderBody"/>
        <w:keepNext/>
        <w:keepLines/>
      </w:pPr>
      <w:r>
        <w:t>WLT</w:t>
      </w:r>
    </w:p>
    <w:p w:rsidR="00B61FF3" w:rsidRDefault="00B61FF3" w:rsidP="00B61FF3">
      <w:pPr>
        <w:pStyle w:val="OrderBody"/>
      </w:pPr>
    </w:p>
    <w:p w:rsidR="00B61FF3" w:rsidRDefault="00B61FF3" w:rsidP="00B61FF3">
      <w:pPr>
        <w:pStyle w:val="OrderBody"/>
      </w:pPr>
    </w:p>
    <w:p w:rsidR="00B61FF3" w:rsidRDefault="00B61FF3" w:rsidP="00B61FF3">
      <w:pPr>
        <w:pStyle w:val="OrderBody"/>
      </w:pPr>
    </w:p>
    <w:p w:rsidR="00B61FF3" w:rsidRDefault="00B61FF3" w:rsidP="00B61FF3">
      <w:pPr>
        <w:pStyle w:val="OrderBody"/>
      </w:pPr>
    </w:p>
    <w:p w:rsidR="00B61FF3" w:rsidRDefault="00B61FF3" w:rsidP="00B61FF3">
      <w:pPr>
        <w:pStyle w:val="CenterUnderline"/>
      </w:pPr>
      <w:r>
        <w:t>NOTICE OF FURTHER PROCEEDINGS OR JUDICIAL REVIEW</w:t>
      </w:r>
    </w:p>
    <w:p w:rsidR="00B61FF3" w:rsidRDefault="00B61FF3" w:rsidP="00B61FF3">
      <w:pPr>
        <w:pStyle w:val="CenterUnderline"/>
        <w:rPr>
          <w:u w:val="none"/>
        </w:rPr>
      </w:pPr>
    </w:p>
    <w:p w:rsidR="00B61FF3" w:rsidRDefault="00B61FF3" w:rsidP="00B61FF3">
      <w:pPr>
        <w:pStyle w:val="OrderBody"/>
      </w:pPr>
    </w:p>
    <w:p w:rsidR="00B61FF3" w:rsidRDefault="00B61FF3" w:rsidP="00B61FF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B61FF3" w:rsidRDefault="00B61FF3" w:rsidP="00B61FF3">
      <w:pPr>
        <w:pStyle w:val="OrderBody"/>
      </w:pPr>
    </w:p>
    <w:p w:rsidR="00B61FF3" w:rsidRDefault="00B61FF3" w:rsidP="00B61FF3">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w:t>
      </w:r>
      <w:r>
        <w:lastRenderedPageBreak/>
        <w:t>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B61FF3" w:rsidRDefault="00B61FF3" w:rsidP="00B61FF3">
      <w:pPr>
        <w:pStyle w:val="OrderBody"/>
        <w:sectPr w:rsidR="00B61FF3">
          <w:headerReference w:type="default" r:id="rId7"/>
          <w:footerReference w:type="first" r:id="rId8"/>
          <w:pgSz w:w="12240" w:h="15840" w:code="1"/>
          <w:pgMar w:top="1440" w:right="1440" w:bottom="1440" w:left="1440" w:header="720" w:footer="720" w:gutter="0"/>
          <w:cols w:space="720"/>
          <w:titlePg/>
          <w:docGrid w:linePitch="360"/>
        </w:sectPr>
      </w:pPr>
    </w:p>
    <w:p w:rsidR="00CB5276" w:rsidRDefault="00CB5276" w:rsidP="00B61FF3">
      <w:pPr>
        <w:pStyle w:val="OrderBody"/>
      </w:pPr>
    </w:p>
    <w:p w:rsidR="00B61FF3" w:rsidRDefault="0001195C">
      <w:pPr>
        <w:rPr>
          <w:noProof/>
        </w:rPr>
      </w:pPr>
      <w:r>
        <w:rPr>
          <w:noProof/>
        </w:rPr>
        <w:drawing>
          <wp:inline distT="0" distB="0" distL="0" distR="0">
            <wp:extent cx="5943600" cy="76962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61FF3" w:rsidRDefault="00B61FF3">
      <w:pPr>
        <w:rPr>
          <w:noProof/>
        </w:rPr>
      </w:pPr>
      <w:r>
        <w:rPr>
          <w:noProof/>
        </w:rPr>
        <w:br w:type="page"/>
      </w:r>
      <w:r w:rsidR="0001195C">
        <w:rPr>
          <w:noProof/>
        </w:rPr>
        <w:lastRenderedPageBreak/>
        <w:drawing>
          <wp:inline distT="0" distB="0" distL="0" distR="0">
            <wp:extent cx="5943600" cy="76962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61FF3" w:rsidRDefault="00B61FF3">
      <w:pPr>
        <w:rPr>
          <w:noProof/>
        </w:rPr>
      </w:pPr>
      <w:r>
        <w:rPr>
          <w:noProof/>
        </w:rPr>
        <w:br w:type="page"/>
      </w:r>
      <w:r w:rsidR="0001195C">
        <w:rPr>
          <w:noProof/>
        </w:rPr>
        <w:lastRenderedPageBreak/>
        <w:drawing>
          <wp:inline distT="0" distB="0" distL="0" distR="0">
            <wp:extent cx="5943600" cy="76962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61FF3" w:rsidRDefault="00B61FF3">
      <w:pPr>
        <w:rPr>
          <w:noProof/>
        </w:rPr>
      </w:pPr>
      <w:r>
        <w:rPr>
          <w:noProof/>
        </w:rPr>
        <w:br w:type="page"/>
      </w:r>
      <w:r w:rsidR="0001195C">
        <w:rPr>
          <w:noProof/>
        </w:rPr>
        <w:lastRenderedPageBreak/>
        <w:drawing>
          <wp:inline distT="0" distB="0" distL="0" distR="0">
            <wp:extent cx="5943600" cy="76962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61FF3" w:rsidRDefault="00B61FF3">
      <w:pPr>
        <w:rPr>
          <w:noProof/>
        </w:rPr>
      </w:pPr>
      <w:r>
        <w:rPr>
          <w:noProof/>
        </w:rPr>
        <w:br w:type="page"/>
      </w:r>
      <w:r w:rsidR="0001195C">
        <w:rPr>
          <w:noProof/>
        </w:rPr>
        <w:lastRenderedPageBreak/>
        <w:drawing>
          <wp:inline distT="0" distB="0" distL="0" distR="0">
            <wp:extent cx="5943600" cy="76962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CB5276" w:rsidRDefault="00B61FF3">
      <w:r>
        <w:rPr>
          <w:noProof/>
        </w:rPr>
        <w:br w:type="page"/>
      </w:r>
      <w:r w:rsidR="0001195C">
        <w:rPr>
          <w:noProof/>
        </w:rPr>
        <w:lastRenderedPageBreak/>
        <w:drawing>
          <wp:inline distT="0" distB="0" distL="0" distR="0">
            <wp:extent cx="5943600" cy="76962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CB5276">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FF3" w:rsidRDefault="00B61FF3">
      <w:r>
        <w:separator/>
      </w:r>
    </w:p>
  </w:endnote>
  <w:endnote w:type="continuationSeparator" w:id="0">
    <w:p w:rsidR="00B61FF3" w:rsidRDefault="00B6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FF3" w:rsidRDefault="00B61FF3">
      <w:r>
        <w:separator/>
      </w:r>
    </w:p>
  </w:footnote>
  <w:footnote w:type="continuationSeparator" w:id="0">
    <w:p w:rsidR="00B61FF3" w:rsidRDefault="00B61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506 ">
      <w:r w:rsidR="00744B50">
        <w:t>PSC-16-0506-FOF-EI</w:t>
      </w:r>
    </w:fldSimple>
  </w:p>
  <w:p w:rsidR="00FA6EFD" w:rsidRDefault="00B61FF3">
    <w:pPr>
      <w:pStyle w:val="OrderHeader"/>
    </w:pPr>
    <w:bookmarkStart w:id="7" w:name="HeaderDocketNo"/>
    <w:bookmarkEnd w:id="7"/>
    <w:r>
      <w:t>DOCKET NO. 160154-EI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44B50">
      <w:rPr>
        <w:rStyle w:val="PageNumber"/>
        <w:noProof/>
      </w:rPr>
      <w:t>12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F3" w:rsidRDefault="00B61FF3" w:rsidP="00B61FF3">
    <w:pPr>
      <w:pStyle w:val="OrderHeader"/>
    </w:pPr>
    <w:r>
      <w:t xml:space="preserve">ORDER NO. </w:t>
    </w:r>
    <w:r w:rsidR="00744B50">
      <w:t>PSC-16-0506-FOF-EI</w:t>
    </w:r>
    <w:r>
      <w:tab/>
    </w:r>
    <w:r>
      <w:tab/>
      <w:t>ATTACHMENT A</w:t>
    </w:r>
  </w:p>
  <w:p w:rsidR="00B61FF3" w:rsidRDefault="00B61FF3" w:rsidP="00B61FF3">
    <w:pPr>
      <w:pStyle w:val="OrderHeader"/>
    </w:pPr>
    <w:r>
      <w:t>DOCKET NO. 160154-EI</w:t>
    </w:r>
  </w:p>
  <w:p w:rsidR="00B61FF3" w:rsidRDefault="00B61FF3" w:rsidP="00B61FF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744B50">
      <w:rPr>
        <w:rStyle w:val="PageNumber"/>
        <w:noProof/>
      </w:rPr>
      <w:t>7</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54-EI"/>
  </w:docVars>
  <w:rsids>
    <w:rsidRoot w:val="00B61FF3"/>
    <w:rsid w:val="000022B8"/>
    <w:rsid w:val="0001195C"/>
    <w:rsid w:val="00053AB9"/>
    <w:rsid w:val="00056229"/>
    <w:rsid w:val="00065FC2"/>
    <w:rsid w:val="00090AFC"/>
    <w:rsid w:val="000D06E8"/>
    <w:rsid w:val="000E344D"/>
    <w:rsid w:val="000F3B2C"/>
    <w:rsid w:val="000F7BE3"/>
    <w:rsid w:val="00116AD3"/>
    <w:rsid w:val="00126593"/>
    <w:rsid w:val="00142A96"/>
    <w:rsid w:val="00187E32"/>
    <w:rsid w:val="00194E81"/>
    <w:rsid w:val="001A33C9"/>
    <w:rsid w:val="001D008A"/>
    <w:rsid w:val="002002ED"/>
    <w:rsid w:val="0022721A"/>
    <w:rsid w:val="00230BB9"/>
    <w:rsid w:val="00241CEF"/>
    <w:rsid w:val="00252B30"/>
    <w:rsid w:val="002A11AC"/>
    <w:rsid w:val="002A6F30"/>
    <w:rsid w:val="002D7D15"/>
    <w:rsid w:val="002E27EB"/>
    <w:rsid w:val="00303FDE"/>
    <w:rsid w:val="003140E8"/>
    <w:rsid w:val="003231C7"/>
    <w:rsid w:val="00331ED0"/>
    <w:rsid w:val="0035495B"/>
    <w:rsid w:val="003744F5"/>
    <w:rsid w:val="00390DD8"/>
    <w:rsid w:val="00394DC6"/>
    <w:rsid w:val="00397C3E"/>
    <w:rsid w:val="003D4CCA"/>
    <w:rsid w:val="003D6416"/>
    <w:rsid w:val="003E1D48"/>
    <w:rsid w:val="0042527B"/>
    <w:rsid w:val="00457DC7"/>
    <w:rsid w:val="00472BCC"/>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A0BF3"/>
    <w:rsid w:val="006B0DA6"/>
    <w:rsid w:val="006C547E"/>
    <w:rsid w:val="00704C5D"/>
    <w:rsid w:val="00715275"/>
    <w:rsid w:val="00733B6B"/>
    <w:rsid w:val="00744B50"/>
    <w:rsid w:val="0076170F"/>
    <w:rsid w:val="0076669C"/>
    <w:rsid w:val="007865E9"/>
    <w:rsid w:val="00792383"/>
    <w:rsid w:val="007A060F"/>
    <w:rsid w:val="007D3D20"/>
    <w:rsid w:val="007E3AFD"/>
    <w:rsid w:val="00803189"/>
    <w:rsid w:val="00804E7A"/>
    <w:rsid w:val="00805FBB"/>
    <w:rsid w:val="008169A4"/>
    <w:rsid w:val="008278FE"/>
    <w:rsid w:val="00832598"/>
    <w:rsid w:val="0083397E"/>
    <w:rsid w:val="0083534B"/>
    <w:rsid w:val="00863A66"/>
    <w:rsid w:val="00866CC5"/>
    <w:rsid w:val="00874429"/>
    <w:rsid w:val="00883D9A"/>
    <w:rsid w:val="008919EF"/>
    <w:rsid w:val="008C6A5B"/>
    <w:rsid w:val="008E26A5"/>
    <w:rsid w:val="008E42D2"/>
    <w:rsid w:val="009040EE"/>
    <w:rsid w:val="009057FD"/>
    <w:rsid w:val="00922A7F"/>
    <w:rsid w:val="00923A5E"/>
    <w:rsid w:val="009924CF"/>
    <w:rsid w:val="00994100"/>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61FF3"/>
    <w:rsid w:val="00B73DE6"/>
    <w:rsid w:val="00B86EF0"/>
    <w:rsid w:val="00B97900"/>
    <w:rsid w:val="00BA44A8"/>
    <w:rsid w:val="00BF6691"/>
    <w:rsid w:val="00C028FC"/>
    <w:rsid w:val="00C5391E"/>
    <w:rsid w:val="00C66692"/>
    <w:rsid w:val="00C91123"/>
    <w:rsid w:val="00CA71FF"/>
    <w:rsid w:val="00CB5276"/>
    <w:rsid w:val="00CB68D7"/>
    <w:rsid w:val="00CC7E68"/>
    <w:rsid w:val="00CD7132"/>
    <w:rsid w:val="00CE0E6F"/>
    <w:rsid w:val="00D30B48"/>
    <w:rsid w:val="00D46FAA"/>
    <w:rsid w:val="00D57BB2"/>
    <w:rsid w:val="00D8560E"/>
    <w:rsid w:val="00D8758F"/>
    <w:rsid w:val="00DC1D94"/>
    <w:rsid w:val="00DE057F"/>
    <w:rsid w:val="00DE2082"/>
    <w:rsid w:val="00DE2289"/>
    <w:rsid w:val="00E04410"/>
    <w:rsid w:val="00E11351"/>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1195C"/>
    <w:rPr>
      <w:rFonts w:ascii="Tahoma" w:hAnsi="Tahoma" w:cs="Tahoma"/>
      <w:sz w:val="16"/>
      <w:szCs w:val="16"/>
    </w:rPr>
  </w:style>
  <w:style w:type="character" w:customStyle="1" w:styleId="BalloonTextChar">
    <w:name w:val="Balloon Text Char"/>
    <w:basedOn w:val="DefaultParagraphFont"/>
    <w:link w:val="BalloonText"/>
    <w:rsid w:val="000119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1195C"/>
    <w:rPr>
      <w:rFonts w:ascii="Tahoma" w:hAnsi="Tahoma" w:cs="Tahoma"/>
      <w:sz w:val="16"/>
      <w:szCs w:val="16"/>
    </w:rPr>
  </w:style>
  <w:style w:type="character" w:customStyle="1" w:styleId="BalloonTextChar">
    <w:name w:val="Balloon Text Char"/>
    <w:basedOn w:val="DefaultParagraphFont"/>
    <w:link w:val="BalloonText"/>
    <w:rsid w:val="000119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12</Pages>
  <Words>1818</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2016-11-02T13:42:00Z</dcterms:created>
  <dcterms:modified xsi:type="dcterms:W3CDTF">2016-11-02T13:48:00Z</dcterms:modified>
</cp:coreProperties>
</file>