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5A3920" w:rsidP="005A3920">
      <w:pPr>
        <w:pStyle w:val="OrderHeading"/>
      </w:pPr>
      <w:r>
        <w:t>BEFORE THE FLORIDA PUBLIC SERVICE COMMISSION</w:t>
      </w:r>
    </w:p>
    <w:p w:rsidR="005A3920" w:rsidRDefault="005A3920" w:rsidP="005A3920">
      <w:pPr>
        <w:pStyle w:val="OrderBody"/>
      </w:pPr>
    </w:p>
    <w:p w:rsidR="005A3920" w:rsidRDefault="005A3920" w:rsidP="005A392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A3920" w:rsidRPr="00C63FCF" w:rsidTr="00C63FCF">
        <w:trPr>
          <w:trHeight w:val="828"/>
        </w:trPr>
        <w:tc>
          <w:tcPr>
            <w:tcW w:w="4788" w:type="dxa"/>
            <w:tcBorders>
              <w:bottom w:val="single" w:sz="8" w:space="0" w:color="auto"/>
              <w:right w:val="double" w:sz="6" w:space="0" w:color="auto"/>
            </w:tcBorders>
            <w:shd w:val="clear" w:color="auto" w:fill="auto"/>
          </w:tcPr>
          <w:p w:rsidR="005A3920" w:rsidRDefault="005A3920" w:rsidP="00C63FCF">
            <w:pPr>
              <w:pStyle w:val="OrderBody"/>
              <w:tabs>
                <w:tab w:val="center" w:pos="4320"/>
                <w:tab w:val="right" w:pos="8640"/>
              </w:tabs>
              <w:jc w:val="left"/>
            </w:pPr>
            <w:r>
              <w:t xml:space="preserve">In re: </w:t>
            </w:r>
            <w:bookmarkStart w:id="0" w:name="SSInRe"/>
            <w:bookmarkEnd w:id="0"/>
            <w:r>
              <w:t>Consideration of the tax impacts associated with Tax Cuts and Jobs Act of 2017 for Florida Public Utilities Company - Electric.</w:t>
            </w:r>
          </w:p>
        </w:tc>
        <w:tc>
          <w:tcPr>
            <w:tcW w:w="4788" w:type="dxa"/>
            <w:tcBorders>
              <w:left w:val="double" w:sz="6" w:space="0" w:color="auto"/>
            </w:tcBorders>
            <w:shd w:val="clear" w:color="auto" w:fill="auto"/>
          </w:tcPr>
          <w:p w:rsidR="005A3920" w:rsidRDefault="005A3920" w:rsidP="005A3920">
            <w:pPr>
              <w:pStyle w:val="OrderBody"/>
            </w:pPr>
            <w:r>
              <w:t xml:space="preserve">DOCKET NO. </w:t>
            </w:r>
            <w:bookmarkStart w:id="1" w:name="SSDocketNo"/>
            <w:bookmarkEnd w:id="1"/>
            <w:r>
              <w:t>20180048-EI</w:t>
            </w:r>
          </w:p>
          <w:p w:rsidR="005A3920" w:rsidRDefault="005A3920" w:rsidP="00C63FCF">
            <w:pPr>
              <w:pStyle w:val="OrderBody"/>
              <w:tabs>
                <w:tab w:val="center" w:pos="4320"/>
                <w:tab w:val="right" w:pos="8640"/>
              </w:tabs>
              <w:jc w:val="left"/>
            </w:pPr>
            <w:r>
              <w:t xml:space="preserve">ORDER NO. </w:t>
            </w:r>
            <w:bookmarkStart w:id="2" w:name="OrderNo0010"/>
            <w:r w:rsidR="000B236D">
              <w:t>PSC-2019-0010-AS-EI</w:t>
            </w:r>
            <w:bookmarkEnd w:id="2"/>
          </w:p>
          <w:p w:rsidR="005A3920" w:rsidRDefault="005A3920" w:rsidP="00C63FCF">
            <w:pPr>
              <w:pStyle w:val="OrderBody"/>
              <w:tabs>
                <w:tab w:val="center" w:pos="4320"/>
                <w:tab w:val="right" w:pos="8640"/>
              </w:tabs>
              <w:jc w:val="left"/>
            </w:pPr>
            <w:r>
              <w:t xml:space="preserve">ISSUED: </w:t>
            </w:r>
            <w:r w:rsidR="000B236D">
              <w:t>January 2, 2019</w:t>
            </w:r>
          </w:p>
        </w:tc>
      </w:tr>
    </w:tbl>
    <w:p w:rsidR="005A3920" w:rsidRDefault="005A3920" w:rsidP="005A3920"/>
    <w:p w:rsidR="005A3920" w:rsidRDefault="005A3920" w:rsidP="005A3920"/>
    <w:p w:rsidR="005A3920" w:rsidRDefault="005A3920">
      <w:pPr>
        <w:ind w:firstLine="720"/>
        <w:jc w:val="both"/>
      </w:pPr>
      <w:bookmarkStart w:id="3" w:name="Commissioners"/>
      <w:bookmarkEnd w:id="3"/>
      <w:r>
        <w:t>The following Commissioners participated in the disposition of this matter:</w:t>
      </w:r>
    </w:p>
    <w:p w:rsidR="005A3920" w:rsidRDefault="005A3920"/>
    <w:p w:rsidR="005A3920" w:rsidRDefault="005A3920">
      <w:pPr>
        <w:jc w:val="center"/>
      </w:pPr>
      <w:r>
        <w:t>ART GRAHAM, Chairman</w:t>
      </w:r>
    </w:p>
    <w:p w:rsidR="005A3920" w:rsidRDefault="005A3920">
      <w:pPr>
        <w:jc w:val="center"/>
      </w:pPr>
      <w:r>
        <w:t xml:space="preserve">JULIE I. BROWN </w:t>
      </w:r>
    </w:p>
    <w:p w:rsidR="005A3920" w:rsidRDefault="005A3920">
      <w:pPr>
        <w:jc w:val="center"/>
      </w:pPr>
      <w:r>
        <w:t>GARY F. CLARK</w:t>
      </w:r>
    </w:p>
    <w:p w:rsidR="005A3920" w:rsidRDefault="005A3920"/>
    <w:p w:rsidR="00CB5276" w:rsidRDefault="00CB5276">
      <w:pPr>
        <w:pStyle w:val="OrderBody"/>
      </w:pPr>
    </w:p>
    <w:p w:rsidR="005A3920" w:rsidRDefault="005A3920" w:rsidP="005A3920">
      <w:pPr>
        <w:pStyle w:val="CenterUnderline"/>
      </w:pPr>
      <w:r>
        <w:t>ORDER</w:t>
      </w:r>
      <w:bookmarkStart w:id="4" w:name="OrderTitle"/>
      <w:r>
        <w:t xml:space="preserve"> APPROVING SETTLEMENT AGREEMENT </w:t>
      </w:r>
      <w:bookmarkEnd w:id="4"/>
    </w:p>
    <w:p w:rsidR="005A3920" w:rsidRDefault="005A3920" w:rsidP="005A3920">
      <w:pPr>
        <w:pStyle w:val="CenterUnderline"/>
      </w:pPr>
    </w:p>
    <w:p w:rsidR="005A3920" w:rsidRDefault="005A3920" w:rsidP="005A3920">
      <w:pPr>
        <w:pStyle w:val="OrderBody"/>
      </w:pPr>
      <w:r>
        <w:t>BY THE COMMISSION:</w:t>
      </w:r>
    </w:p>
    <w:p w:rsidR="005A3920" w:rsidRDefault="005A3920" w:rsidP="005A3920">
      <w:pPr>
        <w:pStyle w:val="OrderBody"/>
      </w:pPr>
    </w:p>
    <w:p w:rsidR="005A3920" w:rsidRPr="00DF43CE" w:rsidRDefault="005A3920" w:rsidP="005A3920">
      <w:pPr>
        <w:pStyle w:val="RecommendationMajorSectionHeading"/>
        <w:rPr>
          <w:rFonts w:ascii="Times New Roman" w:hAnsi="Times New Roman" w:cs="Times New Roman"/>
          <w:b w:val="0"/>
          <w:u w:val="single"/>
        </w:rPr>
      </w:pPr>
      <w:bookmarkStart w:id="5" w:name="OrderText"/>
      <w:bookmarkEnd w:id="5"/>
      <w:r w:rsidRPr="00DF43CE">
        <w:rPr>
          <w:rFonts w:ascii="Times New Roman" w:hAnsi="Times New Roman" w:cs="Times New Roman"/>
          <w:b w:val="0"/>
          <w:u w:val="single"/>
        </w:rPr>
        <w:t>Background</w:t>
      </w:r>
      <w:r w:rsidRPr="00DF43CE">
        <w:rPr>
          <w:rFonts w:ascii="Times New Roman" w:hAnsi="Times New Roman" w:cs="Times New Roman"/>
          <w:b w:val="0"/>
          <w:u w:val="single"/>
        </w:rPr>
        <w:fldChar w:fldCharType="begin"/>
      </w:r>
      <w:r w:rsidRPr="00DF43CE">
        <w:rPr>
          <w:rFonts w:ascii="Times New Roman" w:hAnsi="Times New Roman" w:cs="Times New Roman"/>
          <w:b w:val="0"/>
          <w:u w:val="single"/>
        </w:rPr>
        <w:instrText xml:space="preserve"> TC  "</w:instrText>
      </w:r>
      <w:r w:rsidRPr="00DF43CE">
        <w:rPr>
          <w:rFonts w:ascii="Times New Roman" w:hAnsi="Times New Roman" w:cs="Times New Roman"/>
          <w:b w:val="0"/>
          <w:u w:val="single"/>
        </w:rPr>
        <w:tab/>
      </w:r>
      <w:bookmarkStart w:id="6" w:name="_Toc94516455"/>
      <w:r w:rsidRPr="00DF43CE">
        <w:rPr>
          <w:rFonts w:ascii="Times New Roman" w:hAnsi="Times New Roman" w:cs="Times New Roman"/>
          <w:b w:val="0"/>
          <w:u w:val="single"/>
        </w:rPr>
        <w:instrText>Case Background</w:instrText>
      </w:r>
      <w:bookmarkEnd w:id="6"/>
      <w:r w:rsidRPr="00DF43CE">
        <w:rPr>
          <w:rFonts w:ascii="Times New Roman" w:hAnsi="Times New Roman" w:cs="Times New Roman"/>
          <w:b w:val="0"/>
          <w:u w:val="single"/>
        </w:rPr>
        <w:instrText xml:space="preserve">" \l 1 </w:instrText>
      </w:r>
      <w:r w:rsidRPr="00DF43CE">
        <w:rPr>
          <w:rFonts w:ascii="Times New Roman" w:hAnsi="Times New Roman" w:cs="Times New Roman"/>
          <w:b w:val="0"/>
          <w:u w:val="single"/>
        </w:rPr>
        <w:fldChar w:fldCharType="end"/>
      </w:r>
    </w:p>
    <w:p w:rsidR="005A3920" w:rsidRPr="00DF43CE" w:rsidRDefault="005A3920" w:rsidP="005A3920">
      <w:pPr>
        <w:autoSpaceDE w:val="0"/>
        <w:autoSpaceDN w:val="0"/>
        <w:adjustRightInd w:val="0"/>
        <w:ind w:firstLine="720"/>
        <w:jc w:val="both"/>
      </w:pPr>
      <w:r w:rsidRPr="00DF43CE">
        <w:t>The Florida Public Service Commission (Commission) opened Docket No. 20180048-EI on February 21, 2018</w:t>
      </w:r>
      <w:r>
        <w:t>,</w:t>
      </w:r>
      <w:r w:rsidRPr="00DF43CE">
        <w:t xml:space="preserve"> to consider the tax impacts affecting Florida Public Utilities Company (FPUC) as a result of the passage of the Tax Cuts and Jobs Act of 2017</w:t>
      </w:r>
      <w:r>
        <w:t xml:space="preserve"> (TCJA).</w:t>
      </w:r>
    </w:p>
    <w:p w:rsidR="005A3920" w:rsidRPr="00DF43CE" w:rsidRDefault="005A3920" w:rsidP="005A3920">
      <w:pPr>
        <w:autoSpaceDE w:val="0"/>
        <w:autoSpaceDN w:val="0"/>
        <w:adjustRightInd w:val="0"/>
        <w:jc w:val="both"/>
      </w:pPr>
    </w:p>
    <w:p w:rsidR="005A3920" w:rsidRDefault="005A3920" w:rsidP="005A3920">
      <w:pPr>
        <w:autoSpaceDE w:val="0"/>
        <w:autoSpaceDN w:val="0"/>
        <w:adjustRightInd w:val="0"/>
        <w:ind w:firstLine="720"/>
        <w:jc w:val="both"/>
      </w:pPr>
      <w:r w:rsidRPr="00DF43CE">
        <w:t xml:space="preserve">On October 17, 2018, FPUC and </w:t>
      </w:r>
      <w:r>
        <w:t>the Office of Public Counsel</w:t>
      </w:r>
      <w:r w:rsidRPr="00DF43CE">
        <w:t xml:space="preserve"> </w:t>
      </w:r>
      <w:r>
        <w:t xml:space="preserve">(OPC) </w:t>
      </w:r>
      <w:r w:rsidRPr="00DF43CE">
        <w:t>filed a Joint Motion with the Commission to suspend the procedural schedule in this Docket (Joint Motion). The Order Granting Joint Motion to Suspend Procedural Schedule, Order No. PSC-2018-0504-PCO-EI, was issued on October 19, 2018.</w:t>
      </w:r>
      <w:r>
        <w:t xml:space="preserve"> </w:t>
      </w:r>
      <w:r w:rsidRPr="00DF43CE">
        <w:t xml:space="preserve">On October 18, 2018, FPUC and </w:t>
      </w:r>
      <w:r>
        <w:t xml:space="preserve">OPC </w:t>
      </w:r>
      <w:r w:rsidRPr="00DF43CE">
        <w:t xml:space="preserve">(collectively, Parties) filed </w:t>
      </w:r>
      <w:r>
        <w:t xml:space="preserve">a Joint Motion </w:t>
      </w:r>
      <w:r w:rsidRPr="00DF43CE">
        <w:t>for approval of</w:t>
      </w:r>
      <w:r>
        <w:t xml:space="preserve"> a</w:t>
      </w:r>
      <w:r w:rsidRPr="00DF43CE">
        <w:t xml:space="preserve"> 2018 Tax Settlement</w:t>
      </w:r>
      <w:r>
        <w:t xml:space="preserve">, which is appended to this </w:t>
      </w:r>
      <w:r w:rsidRPr="00C424EB">
        <w:t>Order in Attachment A</w:t>
      </w:r>
      <w:r w:rsidRPr="00DF43CE">
        <w:t xml:space="preserve">. In their Joint Motion, the Parties asserted that the Commission’s approval of the 2018 Tax Settlement would resolve all issues in this docket and that such approval would obviate the need for further testimony and a full hearing in this docket. </w:t>
      </w:r>
    </w:p>
    <w:p w:rsidR="005A3920" w:rsidRDefault="005A3920" w:rsidP="005A3920">
      <w:pPr>
        <w:autoSpaceDE w:val="0"/>
        <w:autoSpaceDN w:val="0"/>
        <w:adjustRightInd w:val="0"/>
        <w:jc w:val="center"/>
      </w:pPr>
    </w:p>
    <w:p w:rsidR="005A3920" w:rsidRDefault="005A3920" w:rsidP="005A3920">
      <w:pPr>
        <w:autoSpaceDE w:val="0"/>
        <w:autoSpaceDN w:val="0"/>
        <w:adjustRightInd w:val="0"/>
        <w:jc w:val="center"/>
        <w:rPr>
          <w:u w:val="single"/>
        </w:rPr>
      </w:pPr>
      <w:r>
        <w:rPr>
          <w:u w:val="single"/>
        </w:rPr>
        <w:t>Settlement Agreement</w:t>
      </w:r>
    </w:p>
    <w:p w:rsidR="005A3920" w:rsidRDefault="005A3920" w:rsidP="005A3920">
      <w:pPr>
        <w:autoSpaceDE w:val="0"/>
        <w:autoSpaceDN w:val="0"/>
        <w:adjustRightInd w:val="0"/>
        <w:jc w:val="both"/>
        <w:rPr>
          <w:u w:val="single"/>
        </w:rPr>
      </w:pPr>
    </w:p>
    <w:p w:rsidR="005A3920" w:rsidRPr="00F433F6" w:rsidRDefault="005A3920" w:rsidP="005A3920">
      <w:pPr>
        <w:pStyle w:val="OrderBody"/>
        <w:rPr>
          <w:u w:val="single"/>
        </w:rPr>
      </w:pPr>
      <w:r w:rsidRPr="00DF43CE">
        <w:t xml:space="preserve">The TCJA results in an annual savings of $638,158 to FPUC’s net operating income (NOI). </w:t>
      </w:r>
      <w:r>
        <w:t>The 2018 Tax Settlement states that, f</w:t>
      </w:r>
      <w:r w:rsidRPr="00DF43CE">
        <w:t>or calendar year 2018, the annual NOI tax savings w</w:t>
      </w:r>
      <w:r>
        <w:t>ould</w:t>
      </w:r>
      <w:r w:rsidRPr="00DF43CE">
        <w:t xml:space="preserve"> be flowed thro</w:t>
      </w:r>
      <w:r>
        <w:t>ugh to recover incremental fuel</w:t>
      </w:r>
      <w:r w:rsidRPr="00DF43CE">
        <w:t xml:space="preserve"> costs. Effective January 1, 2019,</w:t>
      </w:r>
      <w:r>
        <w:t xml:space="preserve"> the Parties agreed that</w:t>
      </w:r>
      <w:r w:rsidRPr="00DF43CE">
        <w:t xml:space="preserve"> FPUC w</w:t>
      </w:r>
      <w:r>
        <w:t>ould</w:t>
      </w:r>
      <w:r w:rsidRPr="00DF43CE">
        <w:t xml:space="preserve"> apply the annual NOI tax savings of $638,158 as a permanent base rate reduction.  The </w:t>
      </w:r>
      <w:r>
        <w:t xml:space="preserve">Parties further agreed that the </w:t>
      </w:r>
      <w:r w:rsidRPr="00DF43CE">
        <w:t>grossed-up, “protected” Excess Accumulated Deferred Income tax (EADIT) balance is a deferred regulatory tax liability in the amount of $7,155,154. The “protected” EADIT for 2018, in the estimated annual amount of $288,230, w</w:t>
      </w:r>
      <w:r>
        <w:t>ould</w:t>
      </w:r>
      <w:r w:rsidRPr="00DF43CE">
        <w:t xml:space="preserve"> be applied to the Company’s existing fuel and purchased power cost recovery balance. As of January 1, 2019, the</w:t>
      </w:r>
      <w:r>
        <w:t xml:space="preserve"> 2018 Tax Settlement calls for the</w:t>
      </w:r>
      <w:r w:rsidRPr="00DF43CE">
        <w:t xml:space="preserve"> “protected” EADIT </w:t>
      </w:r>
      <w:r>
        <w:t>to</w:t>
      </w:r>
      <w:r w:rsidRPr="00DF43CE">
        <w:t xml:space="preserve"> be applied to the storm reserve along with any additional accrual. Effective January 1, 2021, </w:t>
      </w:r>
      <w:r>
        <w:t xml:space="preserve">the Parties agreed that </w:t>
      </w:r>
      <w:r w:rsidRPr="00DF43CE">
        <w:t xml:space="preserve">FPUC </w:t>
      </w:r>
      <w:r>
        <w:t>would</w:t>
      </w:r>
      <w:r w:rsidRPr="00DF43CE">
        <w:t xml:space="preserve"> apply the “protected” EADIT annual amount of $288,230 as a permanent base</w:t>
      </w:r>
      <w:r>
        <w:t xml:space="preserve"> </w:t>
      </w:r>
      <w:r w:rsidRPr="00DF43CE">
        <w:lastRenderedPageBreak/>
        <w:t xml:space="preserve">rate reduction. </w:t>
      </w:r>
      <w:r>
        <w:t>Finally, the 2018 Tax Settlement states that t</w:t>
      </w:r>
      <w:r w:rsidRPr="00DF43CE">
        <w:t>he grossed-up “unprotected” EADIT amount of $538,064 w</w:t>
      </w:r>
      <w:r>
        <w:t>ould</w:t>
      </w:r>
      <w:r w:rsidRPr="00DF43CE">
        <w:t xml:space="preserve"> be applied to reduce FPUC’s existing fuel and purchased power cost recovery balance and further reduces FPUC’s fuel cost recovery factors in 2019. </w:t>
      </w:r>
    </w:p>
    <w:p w:rsidR="005A3920" w:rsidRPr="00DF43CE" w:rsidRDefault="005A3920" w:rsidP="005A3920">
      <w:pPr>
        <w:autoSpaceDE w:val="0"/>
        <w:autoSpaceDN w:val="0"/>
        <w:adjustRightInd w:val="0"/>
        <w:jc w:val="both"/>
      </w:pPr>
    </w:p>
    <w:p w:rsidR="005A3920" w:rsidRPr="00DF43CE" w:rsidRDefault="005A3920" w:rsidP="005A3920">
      <w:pPr>
        <w:pStyle w:val="OrderBody"/>
        <w:jc w:val="center"/>
        <w:rPr>
          <w:u w:val="single"/>
        </w:rPr>
      </w:pPr>
      <w:r w:rsidRPr="00DF43CE">
        <w:rPr>
          <w:u w:val="single"/>
        </w:rPr>
        <w:t>D</w:t>
      </w:r>
      <w:r>
        <w:rPr>
          <w:u w:val="single"/>
        </w:rPr>
        <w:t>ecision</w:t>
      </w:r>
    </w:p>
    <w:p w:rsidR="005A3920" w:rsidRPr="00DF43CE" w:rsidRDefault="005A3920" w:rsidP="005A3920">
      <w:pPr>
        <w:pStyle w:val="OrderBody"/>
        <w:ind w:firstLine="720"/>
        <w:jc w:val="left"/>
      </w:pPr>
    </w:p>
    <w:p w:rsidR="005A3920" w:rsidRPr="00DF43CE" w:rsidRDefault="005A3920" w:rsidP="005A3920">
      <w:pPr>
        <w:pStyle w:val="OrderBody"/>
        <w:ind w:firstLine="720"/>
      </w:pPr>
      <w:r w:rsidRPr="00DF43CE">
        <w:t>The standard for approval of a settlement agreement is whether it is in the public interest.</w:t>
      </w:r>
      <w:r w:rsidRPr="00DF43CE">
        <w:rPr>
          <w:vertAlign w:val="superscript"/>
        </w:rPr>
        <w:footnoteReference w:id="1"/>
      </w:r>
      <w:r w:rsidRPr="00DF43CE">
        <w:t xml:space="preserve"> A determination of public interest requires a case-specific analysis based on consideration of the proposed settlement taken as a whole.</w:t>
      </w:r>
      <w:r w:rsidRPr="00DF43CE">
        <w:rPr>
          <w:vertAlign w:val="superscript"/>
        </w:rPr>
        <w:footnoteReference w:id="2"/>
      </w:r>
    </w:p>
    <w:p w:rsidR="005A3920" w:rsidRDefault="005A3920" w:rsidP="005A3920">
      <w:pPr>
        <w:pStyle w:val="OrderBody"/>
        <w:ind w:firstLine="720"/>
      </w:pPr>
    </w:p>
    <w:p w:rsidR="005A3920" w:rsidRDefault="005A3920" w:rsidP="005A3920">
      <w:pPr>
        <w:pStyle w:val="OrderBody"/>
        <w:ind w:firstLine="720"/>
      </w:pPr>
      <w:r>
        <w:t>The Parties, in their Joint Motion, assert that 2018 Tax Settlement “is the result of good faith efforts to address the issues in this proceeding in a manner that will provide regulatory certainty with regard to FPUC's rates and avoid the unnecessary expense and uncertainty associated with further litigation.” The Parties further assert that “the 2018 Tax Settlement is a compromise based on the highly specific circumstances of this case and utility that results in a fair, just, and reasonable disposition of the tax benefits arising from the TCJA to the benefit of FPUC's customers</w:t>
      </w:r>
      <w:r w:rsidRPr="0049328C">
        <w:t>.</w:t>
      </w:r>
      <w:r>
        <w:t>”</w:t>
      </w:r>
    </w:p>
    <w:p w:rsidR="005A3920" w:rsidRDefault="005A3920" w:rsidP="005A3920">
      <w:pPr>
        <w:pStyle w:val="OrderBody"/>
        <w:ind w:firstLine="720"/>
      </w:pPr>
    </w:p>
    <w:p w:rsidR="005A3920" w:rsidRDefault="005A3920" w:rsidP="005A3920">
      <w:pPr>
        <w:pStyle w:val="OrderBody"/>
        <w:ind w:firstLine="720"/>
      </w:pPr>
      <w:r>
        <w:t>We agree with the Parties and find that the 2018 Tax Settlement allows FPUC’s customers to fairly, justly, and reasonably benefit from the tax savings arising from the TCJA. Based on our review of the 2018 Tax Settlement; the exhibits entered into the record; the support and assertions of the Parties; the testimony provided by FPUC witnesses Michael Cassel, Matthew Dewey, and Michael J. Reno; and the benefits to FPUC customers, we find that the 2018 Tax Settlement, as a whole, is in the public interest. Therefore, the 2018 Tax Settlement is hereby approved.</w:t>
      </w:r>
    </w:p>
    <w:p w:rsidR="005A3920" w:rsidRDefault="005A3920" w:rsidP="005A3920"/>
    <w:p w:rsidR="005A3920" w:rsidRDefault="005A3920" w:rsidP="005A3920">
      <w:pPr>
        <w:pStyle w:val="OrderBody"/>
      </w:pPr>
      <w:r>
        <w:tab/>
        <w:t>Based on the foregoing, it is</w:t>
      </w:r>
    </w:p>
    <w:p w:rsidR="005A3920" w:rsidRDefault="005A3920" w:rsidP="005A3920">
      <w:pPr>
        <w:pStyle w:val="OrderBody"/>
      </w:pPr>
    </w:p>
    <w:p w:rsidR="005A3920" w:rsidRDefault="005A3920" w:rsidP="005A3920">
      <w:pPr>
        <w:pStyle w:val="OrderBody"/>
      </w:pPr>
      <w:r>
        <w:tab/>
        <w:t>ORDERED by the Florida Public Service Commission that the attached 2018 Tax Settlement Agreement is approved. It is further</w:t>
      </w:r>
    </w:p>
    <w:p w:rsidR="005A3920" w:rsidRDefault="005A3920" w:rsidP="005A3920">
      <w:pPr>
        <w:pStyle w:val="OrderBody"/>
      </w:pPr>
    </w:p>
    <w:p w:rsidR="005A3920" w:rsidRDefault="005A3920" w:rsidP="005A3920">
      <w:pPr>
        <w:pStyle w:val="OrderBody"/>
      </w:pPr>
      <w:r>
        <w:tab/>
        <w:t>ORDERED that this docket shall be closed.</w:t>
      </w:r>
    </w:p>
    <w:p w:rsidR="005A3920" w:rsidRDefault="005A3920" w:rsidP="005A3920">
      <w:pPr>
        <w:keepNext/>
        <w:keepLines/>
        <w:jc w:val="both"/>
      </w:pPr>
      <w:r>
        <w:lastRenderedPageBreak/>
        <w:tab/>
        <w:t xml:space="preserve">By ORDER of the Florida Public Service Commission this </w:t>
      </w:r>
      <w:bookmarkStart w:id="7" w:name="replaceDate"/>
      <w:bookmarkEnd w:id="7"/>
      <w:r w:rsidR="000B236D">
        <w:rPr>
          <w:u w:val="single"/>
        </w:rPr>
        <w:t>2nd</w:t>
      </w:r>
      <w:r w:rsidR="000B236D">
        <w:t xml:space="preserve"> day of </w:t>
      </w:r>
      <w:r w:rsidR="000B236D">
        <w:rPr>
          <w:u w:val="single"/>
        </w:rPr>
        <w:t>January</w:t>
      </w:r>
      <w:r w:rsidR="000B236D">
        <w:t xml:space="preserve">, </w:t>
      </w:r>
      <w:r w:rsidR="000B236D">
        <w:rPr>
          <w:u w:val="single"/>
        </w:rPr>
        <w:t>2019</w:t>
      </w:r>
      <w:r w:rsidR="000B236D">
        <w:t>.</w:t>
      </w:r>
    </w:p>
    <w:p w:rsidR="000B236D" w:rsidRPr="000B236D" w:rsidRDefault="000B236D" w:rsidP="005A3920">
      <w:pPr>
        <w:keepNext/>
        <w:keepLines/>
        <w:jc w:val="both"/>
      </w:pPr>
    </w:p>
    <w:p w:rsidR="005A3920" w:rsidRDefault="005A3920" w:rsidP="005A3920">
      <w:pPr>
        <w:keepNext/>
        <w:keepLines/>
        <w:jc w:val="both"/>
      </w:pPr>
    </w:p>
    <w:p w:rsidR="005A3920" w:rsidRDefault="005A3920" w:rsidP="005A3920">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5A3920" w:rsidTr="005A3920">
        <w:tc>
          <w:tcPr>
            <w:tcW w:w="720" w:type="dxa"/>
            <w:shd w:val="clear" w:color="auto" w:fill="auto"/>
          </w:tcPr>
          <w:p w:rsidR="005A3920" w:rsidRDefault="005A3920" w:rsidP="005A3920">
            <w:pPr>
              <w:keepNext/>
              <w:keepLines/>
              <w:jc w:val="both"/>
            </w:pPr>
            <w:bookmarkStart w:id="8" w:name="bkmrkSignature" w:colFirst="0" w:colLast="0"/>
          </w:p>
        </w:tc>
        <w:tc>
          <w:tcPr>
            <w:tcW w:w="4320" w:type="dxa"/>
            <w:tcBorders>
              <w:bottom w:val="single" w:sz="4" w:space="0" w:color="auto"/>
            </w:tcBorders>
            <w:shd w:val="clear" w:color="auto" w:fill="auto"/>
          </w:tcPr>
          <w:p w:rsidR="005A3920" w:rsidRDefault="000B236D" w:rsidP="005A3920">
            <w:pPr>
              <w:keepNext/>
              <w:keepLines/>
              <w:jc w:val="both"/>
            </w:pPr>
            <w:r>
              <w:t>/s/ Adam J. Teitzman</w:t>
            </w:r>
            <w:bookmarkStart w:id="9" w:name="_GoBack"/>
            <w:bookmarkEnd w:id="9"/>
          </w:p>
        </w:tc>
      </w:tr>
      <w:bookmarkEnd w:id="8"/>
      <w:tr w:rsidR="005A3920" w:rsidTr="005A3920">
        <w:tc>
          <w:tcPr>
            <w:tcW w:w="720" w:type="dxa"/>
            <w:shd w:val="clear" w:color="auto" w:fill="auto"/>
          </w:tcPr>
          <w:p w:rsidR="005A3920" w:rsidRDefault="005A3920" w:rsidP="005A3920">
            <w:pPr>
              <w:keepNext/>
              <w:keepLines/>
              <w:jc w:val="both"/>
            </w:pPr>
          </w:p>
        </w:tc>
        <w:tc>
          <w:tcPr>
            <w:tcW w:w="4320" w:type="dxa"/>
            <w:tcBorders>
              <w:top w:val="single" w:sz="4" w:space="0" w:color="auto"/>
            </w:tcBorders>
            <w:shd w:val="clear" w:color="auto" w:fill="auto"/>
          </w:tcPr>
          <w:p w:rsidR="005A3920" w:rsidRDefault="005A3920" w:rsidP="005A3920">
            <w:pPr>
              <w:keepNext/>
              <w:keepLines/>
              <w:jc w:val="both"/>
            </w:pPr>
            <w:r>
              <w:t>ADAM J. TEITZMAN</w:t>
            </w:r>
          </w:p>
          <w:p w:rsidR="005A3920" w:rsidRDefault="005A3920" w:rsidP="005A3920">
            <w:pPr>
              <w:keepNext/>
              <w:keepLines/>
              <w:jc w:val="both"/>
            </w:pPr>
            <w:r>
              <w:t>Commission Clerk</w:t>
            </w:r>
          </w:p>
        </w:tc>
      </w:tr>
    </w:tbl>
    <w:p w:rsidR="005A3920" w:rsidRDefault="005A3920" w:rsidP="005A3920">
      <w:pPr>
        <w:pStyle w:val="OrderSigInfo"/>
        <w:keepNext/>
        <w:keepLines/>
      </w:pPr>
      <w:r>
        <w:t>Florida Public Service Commission</w:t>
      </w:r>
    </w:p>
    <w:p w:rsidR="005A3920" w:rsidRDefault="005A3920" w:rsidP="005A3920">
      <w:pPr>
        <w:pStyle w:val="OrderSigInfo"/>
        <w:keepNext/>
        <w:keepLines/>
      </w:pPr>
      <w:r>
        <w:t>2540 Shumard Oak Boulevard</w:t>
      </w:r>
    </w:p>
    <w:p w:rsidR="005A3920" w:rsidRDefault="005A3920" w:rsidP="005A3920">
      <w:pPr>
        <w:pStyle w:val="OrderSigInfo"/>
        <w:keepNext/>
        <w:keepLines/>
      </w:pPr>
      <w:r>
        <w:t>Tallahassee, Florida 32399</w:t>
      </w:r>
    </w:p>
    <w:p w:rsidR="005A3920" w:rsidRDefault="005A3920" w:rsidP="005A3920">
      <w:pPr>
        <w:pStyle w:val="OrderSigInfo"/>
        <w:keepNext/>
        <w:keepLines/>
      </w:pPr>
      <w:r>
        <w:t>(850) 413</w:t>
      </w:r>
      <w:r>
        <w:noBreakHyphen/>
        <w:t>6770</w:t>
      </w:r>
    </w:p>
    <w:p w:rsidR="005A3920" w:rsidRDefault="005A3920" w:rsidP="005A3920">
      <w:pPr>
        <w:pStyle w:val="OrderSigInfo"/>
        <w:keepNext/>
        <w:keepLines/>
      </w:pPr>
      <w:r>
        <w:t>www.floridapsc.com</w:t>
      </w:r>
    </w:p>
    <w:p w:rsidR="005A3920" w:rsidRDefault="005A3920" w:rsidP="005A3920">
      <w:pPr>
        <w:pStyle w:val="OrderSigInfo"/>
        <w:keepNext/>
        <w:keepLines/>
      </w:pPr>
    </w:p>
    <w:p w:rsidR="005A3920" w:rsidRDefault="005A3920" w:rsidP="005A3920">
      <w:pPr>
        <w:pStyle w:val="OrderSigInfo"/>
        <w:keepNext/>
        <w:keepLines/>
      </w:pPr>
      <w:r>
        <w:t>Copies furnished:  A copy of this document is provided to the parties of record at the time of issuance and, if applicable, interested persons.</w:t>
      </w:r>
    </w:p>
    <w:p w:rsidR="005A3920" w:rsidRDefault="005A3920" w:rsidP="005A3920">
      <w:pPr>
        <w:pStyle w:val="OrderBody"/>
        <w:keepNext/>
        <w:keepLines/>
      </w:pPr>
    </w:p>
    <w:p w:rsidR="005A3920" w:rsidRDefault="005A3920" w:rsidP="005A3920">
      <w:pPr>
        <w:keepNext/>
        <w:keepLines/>
        <w:jc w:val="both"/>
      </w:pPr>
    </w:p>
    <w:p w:rsidR="005A3920" w:rsidRDefault="005A3920" w:rsidP="005A3920">
      <w:pPr>
        <w:jc w:val="both"/>
      </w:pPr>
      <w:r>
        <w:t>KMS</w:t>
      </w:r>
    </w:p>
    <w:p w:rsidR="005A3920" w:rsidRDefault="005A3920" w:rsidP="005A3920">
      <w:pPr>
        <w:jc w:val="both"/>
      </w:pPr>
    </w:p>
    <w:p w:rsidR="005A3920" w:rsidRDefault="005A3920" w:rsidP="005A3920">
      <w:pPr>
        <w:pStyle w:val="CenterUnderline"/>
        <w:keepNext/>
        <w:keepLines/>
      </w:pPr>
      <w:r>
        <w:t>NOTICE OF FURTHER PROCEEDINGS OR JUDICIAL REVIEW</w:t>
      </w:r>
    </w:p>
    <w:p w:rsidR="005A3920" w:rsidRDefault="005A3920" w:rsidP="005A3920">
      <w:pPr>
        <w:pStyle w:val="CenterUnderline"/>
        <w:keepNext/>
        <w:keepLines/>
      </w:pPr>
    </w:p>
    <w:p w:rsidR="005A3920" w:rsidRDefault="005A3920" w:rsidP="005A3920">
      <w:pPr>
        <w:pStyle w:val="OrderBody"/>
        <w:keepNext/>
        <w:keepLines/>
      </w:pPr>
    </w:p>
    <w:p w:rsidR="005A3920" w:rsidRDefault="005A3920" w:rsidP="005A3920">
      <w:pPr>
        <w:pStyle w:val="OrderBody"/>
        <w:keepNext/>
        <w:keepLines/>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5A3920" w:rsidRDefault="005A3920" w:rsidP="005A3920">
      <w:pPr>
        <w:pStyle w:val="OrderBody"/>
      </w:pPr>
    </w:p>
    <w:p w:rsidR="005A3920" w:rsidRDefault="005A3920" w:rsidP="005A3920">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5A3920" w:rsidRDefault="005A3920" w:rsidP="005A3920">
      <w:pPr>
        <w:jc w:val="both"/>
        <w:sectPr w:rsidR="005A3920">
          <w:headerReference w:type="default" r:id="rId7"/>
          <w:footerReference w:type="first" r:id="rId8"/>
          <w:pgSz w:w="12240" w:h="15840" w:code="1"/>
          <w:pgMar w:top="1440" w:right="1440" w:bottom="1440" w:left="1440" w:header="720" w:footer="720" w:gutter="0"/>
          <w:cols w:space="720"/>
          <w:titlePg/>
          <w:docGrid w:linePitch="360"/>
        </w:sectPr>
      </w:pPr>
    </w:p>
    <w:p w:rsidR="00504252" w:rsidRDefault="005A3920" w:rsidP="005A3920">
      <w:pPr>
        <w:jc w:val="both"/>
      </w:pPr>
      <w:r>
        <w:rPr>
          <w:noProof/>
        </w:rPr>
        <w:lastRenderedPageBreak/>
        <w:drawing>
          <wp:inline distT="0" distB="0" distL="0" distR="0" wp14:anchorId="20B25E86" wp14:editId="75E1053B">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504252">
        <w:br w:type="page"/>
      </w:r>
    </w:p>
    <w:p w:rsidR="00504252" w:rsidRDefault="00504252" w:rsidP="005A3920">
      <w:pPr>
        <w:jc w:val="both"/>
      </w:pPr>
      <w:r>
        <w:rPr>
          <w:noProof/>
        </w:rPr>
        <w:lastRenderedPageBreak/>
        <w:drawing>
          <wp:inline distT="0" distB="0" distL="0" distR="0" wp14:anchorId="40AC645B" wp14:editId="3092BC12">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5CF1E7B9" wp14:editId="475383E4">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4875E878" wp14:editId="6E640E1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07842D13" wp14:editId="74C1F29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7894A22E" wp14:editId="791EAAD5">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7FFFF8F8" wp14:editId="19FF33C3">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682648E2" wp14:editId="1FC6E69D">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674985CA" wp14:editId="0A9E849B">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7F022BF0" wp14:editId="115C9079">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22598B89" wp14:editId="604ADC43">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686752E2" wp14:editId="5EE3A6A7">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5FF24D46" wp14:editId="6D8B5476">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6E2C404D" wp14:editId="32ABB6B2">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5D574BA6" wp14:editId="78FE1833">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017CF231" wp14:editId="3163E159">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504252" w:rsidRDefault="00504252" w:rsidP="005A3920">
      <w:pPr>
        <w:jc w:val="both"/>
      </w:pPr>
      <w:r>
        <w:rPr>
          <w:noProof/>
        </w:rPr>
        <w:lastRenderedPageBreak/>
        <w:drawing>
          <wp:inline distT="0" distB="0" distL="0" distR="0" wp14:anchorId="736BF2C4" wp14:editId="0F4D2E36">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04252" w:rsidRDefault="00504252">
      <w:r>
        <w:br w:type="page"/>
      </w:r>
    </w:p>
    <w:p w:rsidR="00B41039" w:rsidRDefault="00504252" w:rsidP="005A3920">
      <w:pPr>
        <w:jc w:val="both"/>
      </w:pPr>
      <w:r>
        <w:rPr>
          <w:noProof/>
        </w:rPr>
        <w:lastRenderedPageBreak/>
        <w:drawing>
          <wp:inline distT="0" distB="0" distL="0" distR="0" wp14:anchorId="6D806B3F" wp14:editId="729F3B68">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048 Settlement filing_Page_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41039" w:rsidSect="005A3920">
      <w:headerReference w:type="default" r:id="rId27"/>
      <w:headerReference w:type="firs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920" w:rsidRDefault="005A3920">
      <w:r>
        <w:separator/>
      </w:r>
    </w:p>
  </w:endnote>
  <w:endnote w:type="continuationSeparator" w:id="0">
    <w:p w:rsidR="005A3920" w:rsidRDefault="005A3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920" w:rsidRDefault="005A3920">
      <w:r>
        <w:separator/>
      </w:r>
    </w:p>
  </w:footnote>
  <w:footnote w:type="continuationSeparator" w:id="0">
    <w:p w:rsidR="005A3920" w:rsidRDefault="005A3920">
      <w:r>
        <w:continuationSeparator/>
      </w:r>
    </w:p>
  </w:footnote>
  <w:footnote w:id="1">
    <w:p w:rsidR="005A3920" w:rsidRDefault="005A3920" w:rsidP="005A3920">
      <w:pPr>
        <w:pStyle w:val="FootnoteText"/>
      </w:pPr>
      <w:r>
        <w:rPr>
          <w:rStyle w:val="FootnoteReference"/>
        </w:rPr>
        <w:footnoteRef/>
      </w:r>
      <w:r>
        <w:t xml:space="preserve"> Order No.   PSC-13-0023-S-EI, issued January 14, 2013, in Docket No. 120015-EI, </w:t>
      </w:r>
      <w:r>
        <w:rPr>
          <w:u w:val="single"/>
        </w:rPr>
        <w:t>In re: Petition for increase in rates by Florida Power &amp; Light Company</w:t>
      </w:r>
      <w:r>
        <w:t xml:space="preserve">; Order No. PSC-11-0089-S-EI, issued February 1, 2011, in Docket Nos. 080677 and 090130,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PSC-13-0023-S-EI, issued January 14, 2013, in Docket No. 120015-EI, In re: Petition for increase in rates by Florida Power &amp; Light Company; PSC-10-0398-S-EI, issued June 18, 2010, in Docket Nos. 090079-EI, 090144-EI, 090145-EI,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2">
    <w:p w:rsidR="005A3920" w:rsidRDefault="005A3920" w:rsidP="005A3920">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010 ">
      <w:r w:rsidR="000B236D">
        <w:t>PSC-2019-0010-AS-EI</w:t>
      </w:r>
    </w:fldSimple>
  </w:p>
  <w:p w:rsidR="00FA6EFD" w:rsidRDefault="005A3920">
    <w:pPr>
      <w:pStyle w:val="OrderHeader"/>
    </w:pPr>
    <w:bookmarkStart w:id="10" w:name="HeaderDocketNo"/>
    <w:bookmarkEnd w:id="10"/>
    <w:r>
      <w:t>DOCKET NO. 20180048-EI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B236D">
      <w:rPr>
        <w:rStyle w:val="PageNumber"/>
        <w:noProof/>
      </w:rPr>
      <w:t>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920" w:rsidRDefault="005A3920">
    <w:pPr>
      <w:pStyle w:val="OrderHeader"/>
    </w:pPr>
    <w:r>
      <w:t xml:space="preserve">ORDER NO. </w:t>
    </w:r>
    <w:r w:rsidR="000B236D">
      <w:fldChar w:fldCharType="begin"/>
    </w:r>
    <w:r w:rsidR="000B236D">
      <w:instrText xml:space="preserve"> REF OrderNo0010 </w:instrText>
    </w:r>
    <w:r w:rsidR="000B236D">
      <w:fldChar w:fldCharType="separate"/>
    </w:r>
    <w:r w:rsidR="000B236D">
      <w:t>PSC-2019-0010-AS-EI</w:t>
    </w:r>
    <w:r w:rsidR="000B236D">
      <w:fldChar w:fldCharType="end"/>
    </w:r>
    <w:r>
      <w:tab/>
    </w:r>
    <w:r>
      <w:tab/>
      <w:t>Attachment A</w:t>
    </w:r>
  </w:p>
  <w:p w:rsidR="005A3920" w:rsidRDefault="005A3920">
    <w:pPr>
      <w:pStyle w:val="OrderHeader"/>
    </w:pPr>
    <w:r>
      <w:t>DOCKET NO. 20180048-EI</w:t>
    </w:r>
  </w:p>
  <w:p w:rsidR="005A3920" w:rsidRDefault="005A392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B236D">
      <w:rPr>
        <w:rStyle w:val="PageNumber"/>
        <w:noProof/>
      </w:rPr>
      <w:t>21</w:t>
    </w:r>
    <w:r>
      <w:rPr>
        <w:rStyle w:val="PageNumber"/>
      </w:rPr>
      <w:fldChar w:fldCharType="end"/>
    </w:r>
  </w:p>
  <w:p w:rsidR="005A3920" w:rsidRDefault="005A3920">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920" w:rsidRDefault="005A3920" w:rsidP="005A3920">
    <w:pPr>
      <w:pStyle w:val="OrderHeader"/>
    </w:pPr>
    <w:r>
      <w:t xml:space="preserve">ORDER NO. </w:t>
    </w:r>
    <w:r>
      <w:tab/>
    </w:r>
    <w:r>
      <w:tab/>
      <w:t>Attachment A</w:t>
    </w:r>
  </w:p>
  <w:p w:rsidR="005A3920" w:rsidRDefault="005A3920" w:rsidP="005A3920">
    <w:pPr>
      <w:pStyle w:val="OrderHeader"/>
    </w:pPr>
    <w:r>
      <w:t>DOCKET NO. 20180048-EI</w:t>
    </w:r>
  </w:p>
  <w:p w:rsidR="005A3920" w:rsidRDefault="005A3920" w:rsidP="005A392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rsidR="005A3920" w:rsidRDefault="005A3920" w:rsidP="005A3920">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48-EI"/>
  </w:docVars>
  <w:rsids>
    <w:rsidRoot w:val="005A3920"/>
    <w:rsid w:val="000022B8"/>
    <w:rsid w:val="0003433F"/>
    <w:rsid w:val="00035A8C"/>
    <w:rsid w:val="00053AB9"/>
    <w:rsid w:val="00056229"/>
    <w:rsid w:val="00057AF1"/>
    <w:rsid w:val="00065FC2"/>
    <w:rsid w:val="00067685"/>
    <w:rsid w:val="00076E6B"/>
    <w:rsid w:val="0008247D"/>
    <w:rsid w:val="00090AFC"/>
    <w:rsid w:val="000B236D"/>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04252"/>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3920"/>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5A3920"/>
    <w:pPr>
      <w:jc w:val="center"/>
    </w:pPr>
    <w:rPr>
      <w:rFonts w:ascii="Arial" w:hAnsi="Arial"/>
      <w:b/>
    </w:rPr>
  </w:style>
  <w:style w:type="paragraph" w:styleId="BalloonText">
    <w:name w:val="Balloon Text"/>
    <w:basedOn w:val="Normal"/>
    <w:link w:val="BalloonTextChar"/>
    <w:rsid w:val="005A3920"/>
    <w:rPr>
      <w:rFonts w:ascii="Tahoma" w:hAnsi="Tahoma" w:cs="Tahoma"/>
      <w:sz w:val="16"/>
      <w:szCs w:val="16"/>
    </w:rPr>
  </w:style>
  <w:style w:type="character" w:customStyle="1" w:styleId="BalloonTextChar">
    <w:name w:val="Balloon Text Char"/>
    <w:basedOn w:val="DefaultParagraphFont"/>
    <w:link w:val="BalloonText"/>
    <w:rsid w:val="005A39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5A3920"/>
    <w:pPr>
      <w:jc w:val="center"/>
    </w:pPr>
    <w:rPr>
      <w:rFonts w:ascii="Arial" w:hAnsi="Arial"/>
      <w:b/>
    </w:rPr>
  </w:style>
  <w:style w:type="paragraph" w:styleId="BalloonText">
    <w:name w:val="Balloon Text"/>
    <w:basedOn w:val="Normal"/>
    <w:link w:val="BalloonTextChar"/>
    <w:rsid w:val="005A3920"/>
    <w:rPr>
      <w:rFonts w:ascii="Tahoma" w:hAnsi="Tahoma" w:cs="Tahoma"/>
      <w:sz w:val="16"/>
      <w:szCs w:val="16"/>
    </w:rPr>
  </w:style>
  <w:style w:type="character" w:customStyle="1" w:styleId="BalloonTextChar">
    <w:name w:val="Balloon Text Char"/>
    <w:basedOn w:val="DefaultParagraphFont"/>
    <w:link w:val="BalloonText"/>
    <w:rsid w:val="005A39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Graham,%20Brown,%20Polmann,%20Clark,%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Fay.dotm</Template>
  <TotalTime>16</TotalTime>
  <Pages>21</Pages>
  <Words>991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Florida Public Service Commission</Company>
  <LinksUpToDate>false</LinksUpToDate>
  <CharactersWithSpaces>6345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Harrison</dc:creator>
  <cp:lastModifiedBy>Brian Schultz</cp:lastModifiedBy>
  <cp:revision>2</cp:revision>
  <cp:lastPrinted>2019-01-02T15:22:00Z</cp:lastPrinted>
  <dcterms:created xsi:type="dcterms:W3CDTF">2019-01-02T14:59:00Z</dcterms:created>
  <dcterms:modified xsi:type="dcterms:W3CDTF">2019-01-02T15:23:00Z</dcterms:modified>
</cp:coreProperties>
</file>