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DE3D9E">
            <w:pPr>
              <w:pStyle w:val="MemoHeading"/>
            </w:pPr>
            <w:bookmarkStart w:id="1" w:name="FilingDate"/>
            <w:r>
              <w:t>January 24, 2019</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DE3D9E" w:rsidRDefault="00DE3D9E">
            <w:pPr>
              <w:pStyle w:val="MemoHeading"/>
            </w:pPr>
            <w:bookmarkStart w:id="2" w:name="From"/>
            <w:r>
              <w:t>Division of Economics (Doherty)</w:t>
            </w:r>
          </w:p>
          <w:p w:rsidR="007C0528" w:rsidRDefault="00DE3D9E">
            <w:pPr>
              <w:pStyle w:val="MemoHeading"/>
            </w:pPr>
            <w:r>
              <w:t>Office of the General Counsel (Simmons)</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DE3D9E">
            <w:pPr>
              <w:pStyle w:val="MemoHeadingRe"/>
            </w:pPr>
            <w:bookmarkStart w:id="3" w:name="Re"/>
            <w:r>
              <w:t>Docket No. 20180222-EI – Petition for approval of customer specified lighting tariff by Tampa Electric Company.</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DE3D9E">
            <w:pPr>
              <w:pStyle w:val="MemoHeading"/>
            </w:pPr>
            <w:bookmarkStart w:id="4" w:name="AgendaDate"/>
            <w:r>
              <w:t>02/05/19</w:t>
            </w:r>
            <w:bookmarkEnd w:id="4"/>
            <w:r w:rsidR="007C0528">
              <w:t xml:space="preserve"> – </w:t>
            </w:r>
            <w:bookmarkStart w:id="5" w:name="PermittedStatus"/>
            <w:r>
              <w:t>Regular Agenda – Tariff Filing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DE3D9E">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DE3D9E">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0866A8">
            <w:pPr>
              <w:pStyle w:val="MemoHeading"/>
            </w:pPr>
            <w:r w:rsidRPr="000866A8">
              <w:t>60-day suspension date waived</w:t>
            </w:r>
            <w:r>
              <w:t xml:space="preserve"> by the utility until 02/05/2019</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DE3D9E">
            <w:pPr>
              <w:pStyle w:val="MemoHeading"/>
            </w:pPr>
            <w:bookmarkStart w:id="9" w:name="SpecialInstructions"/>
            <w:r>
              <w:t>None</w:t>
            </w:r>
            <w:bookmarkEnd w:id="9"/>
          </w:p>
        </w:tc>
      </w:tr>
    </w:tbl>
    <w:p w:rsidR="007C0528" w:rsidRDefault="007C0528">
      <w:pPr>
        <w:pStyle w:val="BodyText"/>
      </w:pPr>
    </w:p>
    <w:p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rsidR="00DE3D9E" w:rsidRDefault="00DE3D9E" w:rsidP="00DE3D9E">
      <w:pPr>
        <w:pStyle w:val="BodyText"/>
      </w:pPr>
      <w:r>
        <w:t xml:space="preserve">On December 3, 2018, Tampa Electric Company (TECO or </w:t>
      </w:r>
      <w:r w:rsidR="00730B5F">
        <w:t>utility</w:t>
      </w:r>
      <w:r>
        <w:t xml:space="preserve">) filed a petition for approval of a new </w:t>
      </w:r>
      <w:r w:rsidR="00257B4B">
        <w:t xml:space="preserve">optional </w:t>
      </w:r>
      <w:r w:rsidR="00AF5210">
        <w:t>customer specified lighting tariff</w:t>
      </w:r>
      <w:r>
        <w:t xml:space="preserve"> (LS-2</w:t>
      </w:r>
      <w:r w:rsidR="00730B5F">
        <w:t xml:space="preserve"> tariff</w:t>
      </w:r>
      <w:r>
        <w:t>)</w:t>
      </w:r>
      <w:r w:rsidR="00AF5210">
        <w:t xml:space="preserve">. </w:t>
      </w:r>
      <w:r w:rsidR="00D33BEB">
        <w:t>TECO proposed the new</w:t>
      </w:r>
      <w:r w:rsidR="00AF5210">
        <w:t xml:space="preserve"> LS-2 tariff</w:t>
      </w:r>
      <w:r>
        <w:t xml:space="preserve"> </w:t>
      </w:r>
      <w:r w:rsidR="00D33BEB">
        <w:t>in response to</w:t>
      </w:r>
      <w:r w:rsidR="00AF5210">
        <w:t xml:space="preserve"> customers request</w:t>
      </w:r>
      <w:r w:rsidR="00D33BEB">
        <w:t>ing</w:t>
      </w:r>
      <w:r w:rsidR="00AF5210">
        <w:t xml:space="preserve"> </w:t>
      </w:r>
      <w:r w:rsidR="00D33BEB">
        <w:t>special</w:t>
      </w:r>
      <w:r w:rsidR="00AF5210">
        <w:t xml:space="preserve"> lighting fixtures or poles</w:t>
      </w:r>
      <w:r w:rsidR="00DF6A3F">
        <w:t xml:space="preserve">. </w:t>
      </w:r>
    </w:p>
    <w:p w:rsidR="007C0528" w:rsidRDefault="00F34D3F" w:rsidP="003B2041">
      <w:pPr>
        <w:pStyle w:val="BodyText"/>
      </w:pPr>
      <w:r>
        <w:t xml:space="preserve">TECO </w:t>
      </w:r>
      <w:r w:rsidR="000866A8">
        <w:t xml:space="preserve">provided a letter waiving </w:t>
      </w:r>
      <w:r>
        <w:t xml:space="preserve">the 60-day file and suspend provision of Section 366.06(3), Florida Statutes (F.S.), </w:t>
      </w:r>
      <w:r w:rsidR="000866A8">
        <w:t xml:space="preserve">until </w:t>
      </w:r>
      <w:r w:rsidR="00730B5F">
        <w:t xml:space="preserve">the </w:t>
      </w:r>
      <w:r w:rsidR="000866A8">
        <w:t>February 5, 2019 Agenda Conference</w:t>
      </w:r>
      <w:r>
        <w:t xml:space="preserve">. </w:t>
      </w:r>
      <w:r w:rsidR="00762CBA">
        <w:t xml:space="preserve">On January 15, 2019, </w:t>
      </w:r>
      <w:r w:rsidR="00760232">
        <w:t xml:space="preserve">TECO filed </w:t>
      </w:r>
      <w:r w:rsidR="00762CBA">
        <w:t>two corrections to the tariffs filed with the petition</w:t>
      </w:r>
      <w:r w:rsidR="003B2041">
        <w:t xml:space="preserve">. </w:t>
      </w:r>
      <w:r w:rsidR="00762CBA">
        <w:t xml:space="preserve">First, the correction to tariff sheet No. 6.835 reflects the addition of the LS-2 </w:t>
      </w:r>
      <w:r w:rsidR="00762CBA" w:rsidRPr="00CC679F">
        <w:t xml:space="preserve">energy charge, which was </w:t>
      </w:r>
      <w:r w:rsidR="00D33BEB">
        <w:t>inadvertently</w:t>
      </w:r>
      <w:r w:rsidR="00762CBA">
        <w:t xml:space="preserve"> omitted. Second, TECO </w:t>
      </w:r>
      <w:r w:rsidR="00030D26">
        <w:t>revised</w:t>
      </w:r>
      <w:r w:rsidR="00EC0A43">
        <w:t xml:space="preserve"> </w:t>
      </w:r>
      <w:r w:rsidR="00767282">
        <w:t xml:space="preserve">the </w:t>
      </w:r>
      <w:r w:rsidR="00EC0A43">
        <w:t>cost recovery clause tariff sheet</w:t>
      </w:r>
      <w:r w:rsidR="00030D26" w:rsidRPr="00030D26">
        <w:t xml:space="preserve"> </w:t>
      </w:r>
      <w:r w:rsidR="00030D26">
        <w:t xml:space="preserve">No. 6.020 to include the LS-2 tariff as LS-2 customers will be </w:t>
      </w:r>
      <w:r w:rsidR="00D33BEB">
        <w:t>billed</w:t>
      </w:r>
      <w:r w:rsidR="00030D26">
        <w:t xml:space="preserve"> all cost recovery clauses</w:t>
      </w:r>
      <w:r w:rsidR="00EC0A43">
        <w:t>.</w:t>
      </w:r>
      <w:r w:rsidR="00762CBA">
        <w:t xml:space="preserve"> </w:t>
      </w:r>
      <w:r w:rsidR="00A168FF">
        <w:t xml:space="preserve">The proposed tariff sheets in legislative format are shown in Attachment A to this recommendation. </w:t>
      </w:r>
      <w:r w:rsidR="00DE3D9E">
        <w:t>The Commission has jurisdiction over this matter pursuant to Section</w:t>
      </w:r>
      <w:r w:rsidR="000C4210">
        <w:t>s</w:t>
      </w:r>
      <w:r w:rsidR="00DE3D9E">
        <w:t xml:space="preserve"> </w:t>
      </w:r>
      <w:r w:rsidR="00495F04">
        <w:t xml:space="preserve">366.03, </w:t>
      </w:r>
      <w:r w:rsidR="00DE3D9E">
        <w:t>366.04,</w:t>
      </w:r>
      <w:r w:rsidR="00495F04">
        <w:t xml:space="preserve"> 366.05, </w:t>
      </w:r>
      <w:r w:rsidR="000C4210">
        <w:t xml:space="preserve">and </w:t>
      </w:r>
      <w:r w:rsidR="00495F04">
        <w:t>366.06</w:t>
      </w:r>
      <w:r w:rsidR="000C4210">
        <w:t>,</w:t>
      </w:r>
      <w:r w:rsidR="00DE3D9E">
        <w:t xml:space="preserve"> F</w:t>
      </w:r>
      <w:r w:rsidR="00730B5F">
        <w:t>.</w:t>
      </w:r>
      <w:r w:rsidR="00DE3D9E">
        <w:t>S</w:t>
      </w:r>
      <w:r w:rsidR="00730B5F">
        <w:t>.</w:t>
      </w:r>
    </w:p>
    <w:bookmarkEnd w:id="11"/>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5" w:name="DiscussionOfIssues"/>
      <w:r>
        <w:lastRenderedPageBreak/>
        <w:t>Discussion of Issues</w:t>
      </w:r>
    </w:p>
    <w:bookmarkEnd w:id="15"/>
    <w:p w:rsidR="00DE3D9E" w:rsidRDefault="00DE3D9E">
      <w:pPr>
        <w:pStyle w:val="IssueHeading"/>
        <w:rPr>
          <w:vanish/>
          <w:specVanish/>
        </w:rPr>
      </w:pPr>
      <w:r w:rsidRPr="004C3641">
        <w:t xml:space="preserve">Issue </w:t>
      </w:r>
      <w:fldSimple w:instr=" SEQ Issue \* MERGEFORMAT ">
        <w:r w:rsidR="008269BF">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8269BF">
        <w:rPr>
          <w:noProof/>
        </w:rPr>
        <w:instrText>1</w:instrText>
      </w:r>
      <w:r>
        <w:fldChar w:fldCharType="end"/>
      </w:r>
      <w:r>
        <w:tab/>
        <w:instrText xml:space="preserve">(Doherty)" \l 1 </w:instrText>
      </w:r>
      <w:r>
        <w:fldChar w:fldCharType="end"/>
      </w:r>
      <w:r>
        <w:t> </w:t>
      </w:r>
    </w:p>
    <w:p w:rsidR="00DE3D9E" w:rsidRDefault="00DE3D9E">
      <w:pPr>
        <w:pStyle w:val="BodyText"/>
      </w:pPr>
      <w:r>
        <w:t xml:space="preserve"> Should the Commission approve TECO's proposed </w:t>
      </w:r>
      <w:r w:rsidR="00EC0A43">
        <w:t>c</w:t>
      </w:r>
      <w:r>
        <w:t xml:space="preserve">ustomer </w:t>
      </w:r>
      <w:r w:rsidR="00EC0A43">
        <w:t>s</w:t>
      </w:r>
      <w:r>
        <w:t xml:space="preserve">pecified </w:t>
      </w:r>
      <w:r w:rsidR="00EC0A43">
        <w:t>l</w:t>
      </w:r>
      <w:r>
        <w:t>ighting tariff as shown in Attachment A?</w:t>
      </w:r>
    </w:p>
    <w:p w:rsidR="00DE3D9E" w:rsidRPr="004C3641" w:rsidRDefault="00DE3D9E">
      <w:pPr>
        <w:pStyle w:val="IssueSubsectionHeading"/>
        <w:rPr>
          <w:vanish/>
          <w:specVanish/>
        </w:rPr>
      </w:pPr>
      <w:r w:rsidRPr="004C3641">
        <w:t>Recommendation: </w:t>
      </w:r>
    </w:p>
    <w:p w:rsidR="00DE3D9E" w:rsidRDefault="00DE3D9E">
      <w:pPr>
        <w:pStyle w:val="BodyText"/>
      </w:pPr>
      <w:r>
        <w:t xml:space="preserve"> Yes. The Commission should approve TECO’s proposed </w:t>
      </w:r>
      <w:r w:rsidR="00EC0A43">
        <w:t>c</w:t>
      </w:r>
      <w:r>
        <w:t xml:space="preserve">ustomer </w:t>
      </w:r>
      <w:r w:rsidR="00EC0A43">
        <w:t>s</w:t>
      </w:r>
      <w:r>
        <w:t>pecified</w:t>
      </w:r>
      <w:r w:rsidR="00EC0A43">
        <w:t xml:space="preserve"> l</w:t>
      </w:r>
      <w:r>
        <w:t>ighting tariff</w:t>
      </w:r>
      <w:r w:rsidR="007F0D32">
        <w:t>,</w:t>
      </w:r>
      <w:r>
        <w:t xml:space="preserve"> as shown in Attachment A</w:t>
      </w:r>
      <w:r w:rsidR="00D33BEB">
        <w:t>, effective February 5, 2019</w:t>
      </w:r>
      <w:r>
        <w:t xml:space="preserve">. </w:t>
      </w:r>
      <w:r w:rsidR="00257B4B">
        <w:t>The LS-2 tariff allows TECO to</w:t>
      </w:r>
      <w:r w:rsidR="00257B4B" w:rsidRPr="003A4FD2">
        <w:t xml:space="preserve"> </w:t>
      </w:r>
      <w:r w:rsidR="00257B4B">
        <w:t xml:space="preserve">respond to customer requests for special fixtures or poles in a timely and efficient manner. The general body of ratepayers will be protected as LS-2 customers will be responsible for all costs associated with their request. </w:t>
      </w:r>
      <w:r>
        <w:t>(Doherty)</w:t>
      </w:r>
    </w:p>
    <w:p w:rsidR="00DE3D9E" w:rsidRPr="004C3641" w:rsidRDefault="00DE3D9E">
      <w:pPr>
        <w:pStyle w:val="IssueSubsectionHeading"/>
        <w:rPr>
          <w:vanish/>
          <w:specVanish/>
        </w:rPr>
      </w:pPr>
      <w:r w:rsidRPr="004C3641">
        <w:t>Staff Analysis: </w:t>
      </w:r>
    </w:p>
    <w:p w:rsidR="003846A9" w:rsidRDefault="00DE3D9E" w:rsidP="00DE3D9E">
      <w:pPr>
        <w:pStyle w:val="BodyText"/>
      </w:pPr>
      <w:r>
        <w:t> </w:t>
      </w:r>
      <w:r w:rsidR="00B06B06">
        <w:t>Currently</w:t>
      </w:r>
      <w:r w:rsidR="00EC0A43">
        <w:t>,</w:t>
      </w:r>
      <w:r w:rsidR="00B06B06">
        <w:t xml:space="preserve"> </w:t>
      </w:r>
      <w:r w:rsidR="008B15F9">
        <w:t>TECO offers</w:t>
      </w:r>
      <w:r w:rsidR="009F36E4">
        <w:t xml:space="preserve"> </w:t>
      </w:r>
      <w:r w:rsidR="008B15F9">
        <w:t>lighting</w:t>
      </w:r>
      <w:r w:rsidR="007F0D32">
        <w:t xml:space="preserve"> </w:t>
      </w:r>
      <w:r w:rsidR="00767282">
        <w:t>service</w:t>
      </w:r>
      <w:r w:rsidR="008B15F9">
        <w:t xml:space="preserve"> under its </w:t>
      </w:r>
      <w:r w:rsidR="00495F04">
        <w:t>Lighting Service-</w:t>
      </w:r>
      <w:r w:rsidR="000D1E00">
        <w:t>1</w:t>
      </w:r>
      <w:r w:rsidR="00730B5F">
        <w:t xml:space="preserve"> (LS-1</w:t>
      </w:r>
      <w:r w:rsidR="00760232">
        <w:t>)</w:t>
      </w:r>
      <w:r w:rsidR="000D1E00">
        <w:t xml:space="preserve"> </w:t>
      </w:r>
      <w:r w:rsidR="00B06B06">
        <w:t>tariff</w:t>
      </w:r>
      <w:r w:rsidR="00A271CC">
        <w:t xml:space="preserve">. </w:t>
      </w:r>
      <w:r w:rsidR="003846A9">
        <w:t xml:space="preserve">The LS-1 tariff </w:t>
      </w:r>
      <w:r w:rsidR="007F0D32">
        <w:t>includes</w:t>
      </w:r>
      <w:r w:rsidR="003846A9">
        <w:t xml:space="preserve"> specific fixtures and poles a customer can choose from. </w:t>
      </w:r>
      <w:r w:rsidR="002D4D77">
        <w:t>The LS-1 charges for each fixture are comprised of three components: a</w:t>
      </w:r>
      <w:r w:rsidR="003846A9">
        <w:t xml:space="preserve"> fixture</w:t>
      </w:r>
      <w:r w:rsidR="002D4D77">
        <w:t xml:space="preserve"> charge,</w:t>
      </w:r>
      <w:r w:rsidR="003846A9">
        <w:t xml:space="preserve"> </w:t>
      </w:r>
      <w:r w:rsidR="002D4D77">
        <w:t xml:space="preserve">a </w:t>
      </w:r>
      <w:r w:rsidR="003846A9">
        <w:t>maintenance</w:t>
      </w:r>
      <w:r w:rsidR="002D4D77">
        <w:t xml:space="preserve"> charge</w:t>
      </w:r>
      <w:r w:rsidR="003846A9">
        <w:t xml:space="preserve">, and </w:t>
      </w:r>
      <w:r w:rsidR="002D4D77">
        <w:t xml:space="preserve">an </w:t>
      </w:r>
      <w:r w:rsidR="003846A9">
        <w:t xml:space="preserve">energy charge. </w:t>
      </w:r>
      <w:r w:rsidR="002D4D77">
        <w:t xml:space="preserve">Charges for poles include a pole and maintenance charge. </w:t>
      </w:r>
      <w:r w:rsidR="003846A9">
        <w:t>Customers taking service under the LS-1 tariff are required to sign the Bright Choices Outdoor</w:t>
      </w:r>
      <w:r w:rsidR="00760232">
        <w:t xml:space="preserve"> Lighting Agreement (agreement)</w:t>
      </w:r>
      <w:r w:rsidR="00D33BEB">
        <w:t xml:space="preserve"> for a minimum of 10 years</w:t>
      </w:r>
      <w:r w:rsidR="003846A9">
        <w:t>.</w:t>
      </w:r>
      <w:r w:rsidR="00EC0A43">
        <w:t xml:space="preserve"> After the initial 10-year term, the agreement can be terminated by either party upon providing the other party with 90 days written notice of termination.</w:t>
      </w:r>
      <w:r w:rsidR="002D4D77">
        <w:t xml:space="preserve"> </w:t>
      </w:r>
    </w:p>
    <w:p w:rsidR="00CD0858" w:rsidRDefault="0020291F" w:rsidP="00DE3D9E">
      <w:pPr>
        <w:pStyle w:val="BodyText"/>
      </w:pPr>
      <w:r>
        <w:t>TECO explained that, on occasion, customers</w:t>
      </w:r>
      <w:r w:rsidR="00D33BEB">
        <w:t xml:space="preserve"> </w:t>
      </w:r>
      <w:r w:rsidR="00231384">
        <w:t xml:space="preserve">request a specific fixture or pole </w:t>
      </w:r>
      <w:r>
        <w:t>that is</w:t>
      </w:r>
      <w:r w:rsidR="00231384">
        <w:t xml:space="preserve"> not offered </w:t>
      </w:r>
      <w:r w:rsidR="00730B5F">
        <w:t>under</w:t>
      </w:r>
      <w:r w:rsidR="00231384">
        <w:t xml:space="preserve"> the LS-1 tariff</w:t>
      </w:r>
      <w:r>
        <w:t>.</w:t>
      </w:r>
      <w:r w:rsidR="00231384">
        <w:t xml:space="preserve"> </w:t>
      </w:r>
      <w:r w:rsidR="002D4D77">
        <w:t>After receiving such a customer request</w:t>
      </w:r>
      <w:r>
        <w:t xml:space="preserve">, </w:t>
      </w:r>
      <w:r w:rsidR="00231384">
        <w:t xml:space="preserve">TECO </w:t>
      </w:r>
      <w:r>
        <w:t xml:space="preserve">has the option of seeking </w:t>
      </w:r>
      <w:r w:rsidR="00231384">
        <w:t>Commission approval to add the request</w:t>
      </w:r>
      <w:r>
        <w:t>ed fixture</w:t>
      </w:r>
      <w:r w:rsidR="00231384">
        <w:t xml:space="preserve"> </w:t>
      </w:r>
      <w:r w:rsidR="002D4D77">
        <w:t xml:space="preserve">or pole </w:t>
      </w:r>
      <w:r w:rsidR="00231384">
        <w:t xml:space="preserve">to the </w:t>
      </w:r>
      <w:r>
        <w:t xml:space="preserve">LS-1 </w:t>
      </w:r>
      <w:r w:rsidR="00231384">
        <w:t xml:space="preserve">tariff. </w:t>
      </w:r>
      <w:r>
        <w:t>In the alternative</w:t>
      </w:r>
      <w:r w:rsidR="000B191A">
        <w:t xml:space="preserve">, customers have the option </w:t>
      </w:r>
      <w:r w:rsidR="00495F04">
        <w:t>of</w:t>
      </w:r>
      <w:r w:rsidR="000B191A">
        <w:t xml:space="preserve"> choos</w:t>
      </w:r>
      <w:r w:rsidR="00495F04">
        <w:t>ing</w:t>
      </w:r>
      <w:r w:rsidR="000B191A">
        <w:t xml:space="preserve"> lighting </w:t>
      </w:r>
      <w:r>
        <w:t>facilities</w:t>
      </w:r>
      <w:r w:rsidR="000B191A">
        <w:t xml:space="preserve"> that </w:t>
      </w:r>
      <w:r>
        <w:t>are</w:t>
      </w:r>
      <w:r w:rsidR="000B191A">
        <w:t xml:space="preserve"> offered under the LS-1 tariff or install</w:t>
      </w:r>
      <w:r w:rsidR="007F0D32">
        <w:t>ing</w:t>
      </w:r>
      <w:r w:rsidR="000B191A">
        <w:t xml:space="preserve"> </w:t>
      </w:r>
      <w:r>
        <w:t>customer</w:t>
      </w:r>
      <w:r w:rsidR="00030D26">
        <w:t>-</w:t>
      </w:r>
      <w:r>
        <w:t>owned facilities</w:t>
      </w:r>
      <w:r w:rsidR="00895563">
        <w:t xml:space="preserve"> and</w:t>
      </w:r>
      <w:r w:rsidR="00030D26">
        <w:t xml:space="preserve"> utilizing TECO’s energy-only rate offering under the LS-1 tariff.</w:t>
      </w:r>
      <w:r w:rsidR="008B15F9">
        <w:t xml:space="preserve"> </w:t>
      </w:r>
      <w:r w:rsidR="000C4210">
        <w:t xml:space="preserve"> </w:t>
      </w:r>
    </w:p>
    <w:p w:rsidR="00AC4A10" w:rsidRDefault="008B15F9" w:rsidP="00961EDF">
      <w:pPr>
        <w:pStyle w:val="BodyText"/>
      </w:pPr>
      <w:r>
        <w:t xml:space="preserve">To address </w:t>
      </w:r>
      <w:r w:rsidR="00D33BEB">
        <w:t xml:space="preserve">customer </w:t>
      </w:r>
      <w:r>
        <w:t>requests</w:t>
      </w:r>
      <w:r w:rsidR="000C4210" w:rsidRPr="000C4210">
        <w:t xml:space="preserve"> </w:t>
      </w:r>
      <w:r w:rsidR="000C4210">
        <w:t>in a timely and efficient manner</w:t>
      </w:r>
      <w:r>
        <w:t xml:space="preserve"> for special fixtures or poles </w:t>
      </w:r>
      <w:r w:rsidR="000C4210">
        <w:t>not offered under the LS-1 tariff</w:t>
      </w:r>
      <w:r>
        <w:t xml:space="preserve">, </w:t>
      </w:r>
      <w:r w:rsidR="000D1E00">
        <w:t>TECO propos</w:t>
      </w:r>
      <w:r w:rsidR="00AC4A10">
        <w:t>ed</w:t>
      </w:r>
      <w:r w:rsidR="00716BF2">
        <w:t xml:space="preserve"> </w:t>
      </w:r>
      <w:r>
        <w:t xml:space="preserve">the </w:t>
      </w:r>
      <w:r w:rsidR="000D1E00">
        <w:t>LS-2</w:t>
      </w:r>
      <w:r w:rsidR="00760232">
        <w:t xml:space="preserve"> tariff</w:t>
      </w:r>
      <w:r w:rsidR="000D1E00">
        <w:t>.</w:t>
      </w:r>
      <w:r w:rsidR="00760232">
        <w:t xml:space="preserve"> </w:t>
      </w:r>
      <w:r w:rsidR="00D33BEB">
        <w:t xml:space="preserve">If the requested lighting facilities meet TECO’s </w:t>
      </w:r>
      <w:r w:rsidR="00DF0770">
        <w:t xml:space="preserve">reliability </w:t>
      </w:r>
      <w:r w:rsidR="00D33BEB">
        <w:t xml:space="preserve">standards, </w:t>
      </w:r>
      <w:r w:rsidR="000E2C74">
        <w:t xml:space="preserve">TECO </w:t>
      </w:r>
      <w:r w:rsidR="00495F04">
        <w:t>would</w:t>
      </w:r>
      <w:r w:rsidR="000E2C74">
        <w:t xml:space="preserve"> purchase and install</w:t>
      </w:r>
      <w:r w:rsidR="00497264">
        <w:t xml:space="preserve"> the </w:t>
      </w:r>
      <w:r w:rsidR="00D33BEB">
        <w:t>lighting facilities</w:t>
      </w:r>
      <w:r w:rsidR="000E2C74">
        <w:t>.</w:t>
      </w:r>
      <w:r w:rsidR="00C40D4B">
        <w:t xml:space="preserve"> </w:t>
      </w:r>
      <w:r w:rsidR="000B191A">
        <w:t>TECO stated that customers are seeking lighting poles or fixtures that would be a signature o</w:t>
      </w:r>
      <w:r w:rsidR="007F0D32">
        <w:t>f</w:t>
      </w:r>
      <w:r w:rsidR="000B191A">
        <w:t xml:space="preserve"> or attraction for their location. </w:t>
      </w:r>
      <w:r w:rsidR="00497264">
        <w:t xml:space="preserve">TECO </w:t>
      </w:r>
      <w:r w:rsidR="00497264" w:rsidRPr="00315555">
        <w:t>believes</w:t>
      </w:r>
      <w:r w:rsidR="00497264">
        <w:t xml:space="preserve"> that as economic </w:t>
      </w:r>
      <w:r w:rsidR="00767282">
        <w:t>development continues</w:t>
      </w:r>
      <w:r w:rsidR="00497264">
        <w:t xml:space="preserve"> </w:t>
      </w:r>
      <w:r w:rsidR="007F0D32">
        <w:t xml:space="preserve">in </w:t>
      </w:r>
      <w:r w:rsidR="00497264">
        <w:t>the Tampa Bay area, the LS-2 tariff will be predominantly used by subdivisions</w:t>
      </w:r>
      <w:r w:rsidR="00C40D4B">
        <w:t xml:space="preserve">, shopping centers, </w:t>
      </w:r>
      <w:r w:rsidR="00497264">
        <w:t>and other new developments.</w:t>
      </w:r>
      <w:r w:rsidRPr="008B15F9">
        <w:t xml:space="preserve"> </w:t>
      </w:r>
    </w:p>
    <w:p w:rsidR="003A4779" w:rsidRDefault="00AC4A10" w:rsidP="00961EDF">
      <w:pPr>
        <w:pStyle w:val="BodyText"/>
      </w:pPr>
      <w:r>
        <w:t>TECO explained that the utility will not actively market the LS-2 tariff</w:t>
      </w:r>
      <w:r w:rsidR="007F0D32">
        <w:t>, but</w:t>
      </w:r>
      <w:r>
        <w:t xml:space="preserve"> will only apply the LS-2 tariff </w:t>
      </w:r>
      <w:r w:rsidR="00F02BB1">
        <w:t>in response to a</w:t>
      </w:r>
      <w:r>
        <w:t xml:space="preserve"> special lighting request. The utility stated that it has one current request for lighting service from a subdivision that would be best accommodated under the LS-2 tariff, as the subdivision requested a unique style of pole. </w:t>
      </w:r>
    </w:p>
    <w:p w:rsidR="00445C38" w:rsidRDefault="00495F04" w:rsidP="00315555">
      <w:pPr>
        <w:pStyle w:val="BodyText"/>
      </w:pPr>
      <w:r>
        <w:t>T</w:t>
      </w:r>
      <w:r w:rsidR="00445C38">
        <w:t>he lighting requests</w:t>
      </w:r>
      <w:r w:rsidR="00F02BB1">
        <w:t xml:space="preserve"> under the LS-2 tariff</w:t>
      </w:r>
      <w:r w:rsidR="00445C38">
        <w:t xml:space="preserve"> </w:t>
      </w:r>
      <w:r w:rsidR="00DF0770">
        <w:t>will be</w:t>
      </w:r>
      <w:r w:rsidR="00445C38">
        <w:t xml:space="preserve"> unique to each customer; therefore, TECO proposes that a different rate setting approach be applied. To bill customers for the fixture and maintenance costs, TECO proposes to apply a monthly factor of 1.19 percent to the in-place value of the facilities. The in-place value </w:t>
      </w:r>
      <w:r w:rsidR="00DF0770">
        <w:t>is determined by</w:t>
      </w:r>
      <w:r w:rsidR="00445C38">
        <w:t xml:space="preserve"> TECO’s cost to purchase and install the requested facilities. The </w:t>
      </w:r>
      <w:r w:rsidR="00AC4A10">
        <w:t xml:space="preserve">Commission-approved </w:t>
      </w:r>
      <w:r w:rsidR="00445C38">
        <w:t xml:space="preserve">monthly factor of 1.19 percent is </w:t>
      </w:r>
      <w:r w:rsidR="00DF0770">
        <w:t xml:space="preserve">currently </w:t>
      </w:r>
      <w:r w:rsidR="00445C38">
        <w:t xml:space="preserve">contained in the Facilities Rental Agreement (tariff sheet </w:t>
      </w:r>
      <w:r w:rsidR="00AC4A10">
        <w:t>N</w:t>
      </w:r>
      <w:r w:rsidR="00445C38">
        <w:t>o</w:t>
      </w:r>
      <w:r w:rsidR="00E87DDF">
        <w:t>s. 7.760 – 7.775</w:t>
      </w:r>
      <w:r w:rsidR="00445C38">
        <w:t xml:space="preserve">) and </w:t>
      </w:r>
      <w:r w:rsidR="007F0D32">
        <w:t>was</w:t>
      </w:r>
      <w:r w:rsidR="00445C38">
        <w:t xml:space="preserve"> approved </w:t>
      </w:r>
      <w:r w:rsidR="00445C38">
        <w:lastRenderedPageBreak/>
        <w:t>in TECO’s last rate case</w:t>
      </w:r>
      <w:r w:rsidR="000C4210">
        <w:t>.</w:t>
      </w:r>
      <w:r w:rsidR="00722792">
        <w:rPr>
          <w:rStyle w:val="FootnoteReference"/>
        </w:rPr>
        <w:footnoteReference w:id="1"/>
      </w:r>
      <w:r w:rsidR="00AC4A10">
        <w:t xml:space="preserve"> The monthly factor of 1.19 percent assures recovery of TECO’s lighting facilities investment </w:t>
      </w:r>
      <w:r w:rsidR="00DF0770">
        <w:t xml:space="preserve">(depreciation, taxes, </w:t>
      </w:r>
      <w:r w:rsidR="00AC4A10">
        <w:t>maintenance cost</w:t>
      </w:r>
      <w:r w:rsidR="007F0D32">
        <w:t>, and return</w:t>
      </w:r>
      <w:r w:rsidR="00DF0770">
        <w:t>)</w:t>
      </w:r>
      <w:r w:rsidR="00AC4A10">
        <w:t>.</w:t>
      </w:r>
      <w:r w:rsidR="00DF0770">
        <w:t xml:space="preserve"> </w:t>
      </w:r>
      <w:r w:rsidR="000C4210">
        <w:t>A</w:t>
      </w:r>
      <w:r w:rsidR="00DF0770">
        <w:t>ll other Commission-approved street lighting energy charge and cost recovery factors</w:t>
      </w:r>
      <w:r w:rsidR="007F0D32">
        <w:t>,</w:t>
      </w:r>
      <w:r w:rsidR="00DF0770">
        <w:t xml:space="preserve"> such as fuel</w:t>
      </w:r>
      <w:r w:rsidR="007F0D32">
        <w:t>,</w:t>
      </w:r>
      <w:r w:rsidR="00DF0770">
        <w:t xml:space="preserve"> will apply.</w:t>
      </w:r>
    </w:p>
    <w:p w:rsidR="0057115C" w:rsidRDefault="00DF0770" w:rsidP="00315555">
      <w:pPr>
        <w:pStyle w:val="BodyText"/>
      </w:pPr>
      <w:r>
        <w:t xml:space="preserve">As with the currently available LS-1 tariff, customers will be required to sign the agreement. However, the initial term for LS-2 customers </w:t>
      </w:r>
      <w:r w:rsidR="000C4210">
        <w:t>will be</w:t>
      </w:r>
      <w:r>
        <w:t xml:space="preserve"> 20 years to allow for full cost recovery over the expected life of the facilities</w:t>
      </w:r>
      <w:r w:rsidR="00315555">
        <w:t>.</w:t>
      </w:r>
      <w:r>
        <w:t xml:space="preserve"> TECO explained that the longer term is justified because the lighting equipment installed is specific to a customer’s request and may not be of value to a subsequent customer at the location or another customer at a different location. </w:t>
      </w:r>
      <w:r w:rsidR="003A4FD2">
        <w:t>T</w:t>
      </w:r>
      <w:r w:rsidR="00315555">
        <w:t xml:space="preserve">o accommodate the </w:t>
      </w:r>
      <w:r w:rsidR="00833E27">
        <w:t>20</w:t>
      </w:r>
      <w:r w:rsidR="008B5AD6">
        <w:t>-</w:t>
      </w:r>
      <w:r w:rsidR="00833E27">
        <w:t xml:space="preserve">year </w:t>
      </w:r>
      <w:r w:rsidR="00315555">
        <w:t xml:space="preserve">term associated with the </w:t>
      </w:r>
      <w:r w:rsidR="00833E27">
        <w:t>proposed</w:t>
      </w:r>
      <w:r w:rsidR="00315555">
        <w:t xml:space="preserve"> LS-2 tariff</w:t>
      </w:r>
      <w:r w:rsidR="003A4FD2">
        <w:t>, TECO modified one page of the agreement</w:t>
      </w:r>
      <w:r w:rsidR="00425C72">
        <w:t xml:space="preserve"> (refer to Attachment A, page </w:t>
      </w:r>
      <w:r w:rsidR="003A4FD2">
        <w:t>6 of 7</w:t>
      </w:r>
      <w:r w:rsidR="00495F04">
        <w:t>,</w:t>
      </w:r>
      <w:r w:rsidR="00425C72">
        <w:t xml:space="preserve"> of this recommendation)</w:t>
      </w:r>
      <w:r w:rsidR="00315555">
        <w:t xml:space="preserve">. </w:t>
      </w:r>
    </w:p>
    <w:p w:rsidR="00231384" w:rsidRDefault="00231384" w:rsidP="00231384">
      <w:pPr>
        <w:pStyle w:val="First-LevelSubheading"/>
      </w:pPr>
      <w:r>
        <w:t>Conclusion</w:t>
      </w:r>
    </w:p>
    <w:p w:rsidR="00F02BB1" w:rsidRPr="00F02BB1" w:rsidRDefault="00F02BB1" w:rsidP="00F02BB1">
      <w:pPr>
        <w:pStyle w:val="BodyText"/>
      </w:pPr>
      <w:r>
        <w:t>The Commission approved a similar lighting tariff (Form 4, tariff sheet No. 7.13) for Gulf Power Company (Gulf) in Gulf’s 2001 rate case</w:t>
      </w:r>
      <w:r w:rsidR="00DF6A3F">
        <w:rPr>
          <w:rStyle w:val="FootnoteReference"/>
        </w:rPr>
        <w:footnoteReference w:id="2"/>
      </w:r>
      <w:r>
        <w:t xml:space="preserve"> in response to customers requesting more fixture </w:t>
      </w:r>
      <w:r w:rsidR="00B8362A">
        <w:t xml:space="preserve">or pole </w:t>
      </w:r>
      <w:r>
        <w:t xml:space="preserve">options.  </w:t>
      </w:r>
      <w:r w:rsidR="00694C7D">
        <w:t>More recently, the Commission approved an optional LT-1 streetlight tariff for Florida Power &amp; Light Company</w:t>
      </w:r>
      <w:r w:rsidR="00B3411C">
        <w:t xml:space="preserve"> (FPL)</w:t>
      </w:r>
      <w:r w:rsidR="000C4210">
        <w:t>.</w:t>
      </w:r>
      <w:r w:rsidR="00DF6A3F">
        <w:rPr>
          <w:rStyle w:val="FootnoteReference"/>
        </w:rPr>
        <w:footnoteReference w:id="3"/>
      </w:r>
      <w:r w:rsidR="00694C7D">
        <w:t xml:space="preserve"> The LT-1 tariff allows FPL to offer a wide range of fixtures</w:t>
      </w:r>
      <w:r w:rsidR="00B3411C">
        <w:t xml:space="preserve"> through a catalogue on the FPL website as opposed to in the tariff itself.</w:t>
      </w:r>
      <w:r w:rsidR="00694C7D">
        <w:t xml:space="preserve"> </w:t>
      </w:r>
    </w:p>
    <w:p w:rsidR="00DE3D9E" w:rsidRDefault="00DE3D9E" w:rsidP="00DE3D9E">
      <w:pPr>
        <w:pStyle w:val="BodyText"/>
      </w:pPr>
      <w:r>
        <w:t>Staff has reviewed TECO’s petition and believes the proposed LS-2 tariff is reasonable and appropriate</w:t>
      </w:r>
      <w:r w:rsidR="003A4FD2">
        <w:t>. The LS-2 tariff allows TECO to</w:t>
      </w:r>
      <w:r w:rsidR="003A4FD2" w:rsidRPr="003A4FD2">
        <w:t xml:space="preserve"> </w:t>
      </w:r>
      <w:r w:rsidR="003A4FD2">
        <w:t>respond to customer requests for special fixtures or poles in a timely and efficient manner. The general body of ratepayers will be protected as LS-2 customers will be responsible for all costs associated with their request.</w:t>
      </w:r>
      <w:r>
        <w:t xml:space="preserve"> Staff recommends that </w:t>
      </w:r>
      <w:r w:rsidR="00E21B7E">
        <w:t xml:space="preserve">TECO’s proposed </w:t>
      </w:r>
      <w:r w:rsidR="003A4FD2">
        <w:t>c</w:t>
      </w:r>
      <w:r w:rsidR="00E21B7E">
        <w:t xml:space="preserve">ustomer </w:t>
      </w:r>
      <w:r w:rsidR="003A4FD2">
        <w:t>s</w:t>
      </w:r>
      <w:r w:rsidR="00E21B7E">
        <w:t xml:space="preserve">pecified </w:t>
      </w:r>
      <w:r w:rsidR="003A4FD2">
        <w:t>l</w:t>
      </w:r>
      <w:r w:rsidR="00E21B7E">
        <w:t>ighting tariff</w:t>
      </w:r>
      <w:r w:rsidR="007F0D32">
        <w:t>,</w:t>
      </w:r>
      <w:r w:rsidR="00E21B7E">
        <w:t xml:space="preserve"> as shown in Attachment A</w:t>
      </w:r>
      <w:r>
        <w:t>, be approved effective February 5, 2019.</w:t>
      </w:r>
    </w:p>
    <w:p w:rsidR="002D040D" w:rsidRDefault="002D040D" w:rsidP="00DE3D9E">
      <w:pPr>
        <w:pStyle w:val="BodyText"/>
      </w:pPr>
    </w:p>
    <w:p w:rsidR="00DE3D9E" w:rsidRDefault="00DE3D9E" w:rsidP="00DE3D9E">
      <w:pPr>
        <w:pStyle w:val="BodyText"/>
      </w:pPr>
    </w:p>
    <w:p w:rsidR="00DE3D9E" w:rsidRDefault="00DE3D9E">
      <w:pPr>
        <w:pStyle w:val="IssueHeading"/>
        <w:rPr>
          <w:vanish/>
          <w:specVanish/>
        </w:rPr>
      </w:pPr>
      <w:r w:rsidRPr="004C3641">
        <w:rPr>
          <w:b w:val="0"/>
          <w:i w:val="0"/>
        </w:rPr>
        <w:br w:type="page"/>
      </w:r>
      <w:r w:rsidRPr="004C3641">
        <w:lastRenderedPageBreak/>
        <w:t xml:space="preserve">Issue </w:t>
      </w:r>
      <w:fldSimple w:instr=" SEQ Issue \* MERGEFORMAT ">
        <w:r w:rsidR="008269BF">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8269BF">
        <w:rPr>
          <w:noProof/>
        </w:rPr>
        <w:instrText>2</w:instrText>
      </w:r>
      <w:r>
        <w:fldChar w:fldCharType="end"/>
      </w:r>
      <w:r>
        <w:tab/>
        <w:instrText xml:space="preserve">(Simmons)" \l 1 </w:instrText>
      </w:r>
      <w:r>
        <w:fldChar w:fldCharType="end"/>
      </w:r>
      <w:r>
        <w:t> </w:t>
      </w:r>
    </w:p>
    <w:p w:rsidR="00DE3D9E" w:rsidRDefault="00DE3D9E">
      <w:pPr>
        <w:pStyle w:val="BodyText"/>
      </w:pPr>
      <w:r>
        <w:t> Should this docket be closed?</w:t>
      </w:r>
    </w:p>
    <w:p w:rsidR="00DE3D9E" w:rsidRPr="004C3641" w:rsidRDefault="00DE3D9E">
      <w:pPr>
        <w:pStyle w:val="IssueSubsectionHeading"/>
        <w:rPr>
          <w:vanish/>
          <w:specVanish/>
        </w:rPr>
      </w:pPr>
      <w:r w:rsidRPr="004C3641">
        <w:t>Recommendation: </w:t>
      </w:r>
    </w:p>
    <w:p w:rsidR="00DE3D9E" w:rsidRDefault="00DE3D9E">
      <w:pPr>
        <w:pStyle w:val="BodyText"/>
      </w:pPr>
      <w:r>
        <w:t> If Issu</w:t>
      </w:r>
      <w:r w:rsidR="00801193">
        <w:t>e 1 is approved and a protest is</w:t>
      </w:r>
      <w:r>
        <w:t xml:space="preserve"> filed within 21 days of the issuance o</w:t>
      </w:r>
      <w:r w:rsidR="0088189E">
        <w:t>f</w:t>
      </w:r>
      <w:r>
        <w:t xml:space="preserve"> the order, the tariff should remain in effect, with any revenues held subject to refund, pending resolution of the protest. If no timely protest is filed, this docket should be closed upon the issuance of a consummating order.  (Simmons)</w:t>
      </w:r>
    </w:p>
    <w:p w:rsidR="00DE3D9E" w:rsidRPr="004C3641" w:rsidRDefault="00DE3D9E">
      <w:pPr>
        <w:pStyle w:val="IssueSubsectionHeading"/>
        <w:rPr>
          <w:vanish/>
          <w:specVanish/>
        </w:rPr>
      </w:pPr>
      <w:r w:rsidRPr="004C3641">
        <w:t>Staff Analysis: </w:t>
      </w:r>
    </w:p>
    <w:p w:rsidR="00DE3D9E" w:rsidRDefault="00DE3D9E">
      <w:pPr>
        <w:pStyle w:val="BodyText"/>
      </w:pPr>
      <w:r>
        <w:t> If Issu</w:t>
      </w:r>
      <w:r w:rsidR="00801193">
        <w:t>e 1 is approved and a protest is</w:t>
      </w:r>
      <w:r>
        <w:t xml:space="preserve"> filed within 21 days of the issuance o</w:t>
      </w:r>
      <w:r w:rsidR="0088189E">
        <w:t>f</w:t>
      </w:r>
      <w:r>
        <w:t xml:space="preserve"> the order, the tariff should remain in effect, with any revenues held subject to refund, pending resolution of the protest. If no timely protest is filed, this docket should be closed upon the issuance of a consummating order. </w:t>
      </w:r>
    </w:p>
    <w:p w:rsidR="004C6B58" w:rsidRDefault="004C6B58">
      <w:pPr>
        <w:pStyle w:val="BodyText"/>
        <w:sectPr w:rsidR="004C6B58"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4C6B58" w:rsidRDefault="004C6B58">
      <w:pPr>
        <w:pStyle w:val="BodyText"/>
      </w:pPr>
    </w:p>
    <w:p w:rsidR="004C6B58" w:rsidRDefault="004C6B58">
      <w:pPr>
        <w:pStyle w:val="BodyText"/>
      </w:pPr>
      <w:r>
        <w:rPr>
          <w:noProof/>
        </w:rPr>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islative format_Page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06484" w:rsidRDefault="00E06484" w:rsidP="00E275D8">
      <w:pPr>
        <w:pStyle w:val="BodyText"/>
      </w:pPr>
    </w:p>
    <w:p w:rsidR="004C6B58" w:rsidRDefault="004C6B58" w:rsidP="00E275D8">
      <w:pPr>
        <w:pStyle w:val="BodyText"/>
      </w:pPr>
      <w:r>
        <w:rPr>
          <w:noProof/>
        </w:rPr>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islative format_Page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C6B58" w:rsidRDefault="004C6B58" w:rsidP="00E275D8">
      <w:pPr>
        <w:pStyle w:val="BodyText"/>
      </w:pPr>
    </w:p>
    <w:p w:rsidR="00D00F1C" w:rsidRDefault="00D00F1C" w:rsidP="00E275D8">
      <w:pPr>
        <w:pStyle w:val="BodyText"/>
      </w:pPr>
      <w:r>
        <w:rPr>
          <w:noProof/>
        </w:rPr>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20.76.lf.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00F1C" w:rsidRDefault="00D00F1C" w:rsidP="00E275D8">
      <w:pPr>
        <w:pStyle w:val="BodyText"/>
      </w:pPr>
    </w:p>
    <w:p w:rsidR="004C6B58" w:rsidRDefault="004C6B58" w:rsidP="00E275D8">
      <w:pPr>
        <w:pStyle w:val="BodyText"/>
      </w:pPr>
      <w:r>
        <w:rPr>
          <w:noProof/>
        </w:rPr>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islative format_Page_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C6B58" w:rsidRDefault="004C6B58" w:rsidP="00E275D8">
      <w:pPr>
        <w:pStyle w:val="BodyText"/>
      </w:pPr>
    </w:p>
    <w:p w:rsidR="004C6B58" w:rsidRDefault="00D00F1C" w:rsidP="00E275D8">
      <w:pPr>
        <w:pStyle w:val="BodyText"/>
      </w:pPr>
      <w:r>
        <w:rPr>
          <w:noProof/>
        </w:rPr>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35.0.lf.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C6B58" w:rsidRDefault="004C6B58" w:rsidP="00E275D8">
      <w:pPr>
        <w:pStyle w:val="BodyText"/>
      </w:pPr>
    </w:p>
    <w:p w:rsidR="004C6B58" w:rsidRDefault="004C6B58" w:rsidP="00E275D8">
      <w:pPr>
        <w:pStyle w:val="BodyText"/>
      </w:pPr>
      <w:r>
        <w:rPr>
          <w:noProof/>
        </w:rPr>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islative format_Page_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C6B58" w:rsidRDefault="004C6B58" w:rsidP="00E275D8">
      <w:pPr>
        <w:pStyle w:val="BodyText"/>
      </w:pPr>
    </w:p>
    <w:p w:rsidR="004C6B58" w:rsidRDefault="004C6B58" w:rsidP="00E275D8">
      <w:pPr>
        <w:pStyle w:val="BodyText"/>
      </w:pPr>
      <w:r>
        <w:rPr>
          <w:noProof/>
        </w:rPr>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islative format_Page_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4C6B58" w:rsidSect="0068481F">
      <w:headerReference w:type="default" r:id="rId22"/>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3D9E" w:rsidRDefault="00DE3D9E">
      <w:r>
        <w:separator/>
      </w:r>
    </w:p>
  </w:endnote>
  <w:endnote w:type="continuationSeparator" w:id="0">
    <w:p w:rsidR="00DE3D9E" w:rsidRDefault="00DE3D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956953">
      <w:rPr>
        <w:rStyle w:val="PageNumber"/>
        <w:noProof/>
      </w:rPr>
      <w:t>11</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3D9E" w:rsidRDefault="00DE3D9E">
      <w:r>
        <w:separator/>
      </w:r>
    </w:p>
  </w:footnote>
  <w:footnote w:type="continuationSeparator" w:id="0">
    <w:p w:rsidR="00DE3D9E" w:rsidRDefault="00DE3D9E">
      <w:r>
        <w:continuationSeparator/>
      </w:r>
    </w:p>
  </w:footnote>
  <w:footnote w:id="1">
    <w:p w:rsidR="00722792" w:rsidRPr="00722792" w:rsidRDefault="00722792">
      <w:pPr>
        <w:pStyle w:val="FootnoteText"/>
        <w:rPr>
          <w:i/>
        </w:rPr>
      </w:pPr>
      <w:r>
        <w:rPr>
          <w:rStyle w:val="FootnoteReference"/>
        </w:rPr>
        <w:footnoteRef/>
      </w:r>
      <w:r w:rsidR="000C4210">
        <w:t xml:space="preserve"> </w:t>
      </w:r>
      <w:proofErr w:type="gramStart"/>
      <w:r>
        <w:t>Order No.</w:t>
      </w:r>
      <w:proofErr w:type="gramEnd"/>
      <w:r>
        <w:t xml:space="preserve"> PSC-13-0443-FOF-EI, issued S</w:t>
      </w:r>
      <w:r w:rsidR="00B8362A">
        <w:t xml:space="preserve">eptember 30, 2013, Docket No. </w:t>
      </w:r>
      <w:r>
        <w:t xml:space="preserve">130040-EI, </w:t>
      </w:r>
      <w:r>
        <w:rPr>
          <w:i/>
        </w:rPr>
        <w:t>In re: Petition for rate increase by Tampa Electric Company.</w:t>
      </w:r>
    </w:p>
  </w:footnote>
  <w:footnote w:id="2">
    <w:p w:rsidR="00DF6A3F" w:rsidRDefault="00DF6A3F">
      <w:pPr>
        <w:pStyle w:val="FootnoteText"/>
      </w:pPr>
      <w:r>
        <w:rPr>
          <w:rStyle w:val="FootnoteReference"/>
        </w:rPr>
        <w:footnoteRef/>
      </w:r>
      <w:r>
        <w:t xml:space="preserve"> </w:t>
      </w:r>
      <w:proofErr w:type="gramStart"/>
      <w:r>
        <w:t>Order No.</w:t>
      </w:r>
      <w:proofErr w:type="gramEnd"/>
      <w:r>
        <w:t xml:space="preserve"> PSC-02-0787-FOF-EI, issued June 10, 2002</w:t>
      </w:r>
      <w:r w:rsidR="00B8362A">
        <w:t xml:space="preserve">, Docket No. </w:t>
      </w:r>
      <w:r>
        <w:t xml:space="preserve">010949-EI, </w:t>
      </w:r>
      <w:r>
        <w:rPr>
          <w:i/>
        </w:rPr>
        <w:t>In re: Request for rate increase by Gulf Power Company.</w:t>
      </w:r>
    </w:p>
  </w:footnote>
  <w:footnote w:id="3">
    <w:p w:rsidR="00DF6A3F" w:rsidRPr="00DF6A3F" w:rsidRDefault="00DF6A3F">
      <w:pPr>
        <w:pStyle w:val="FootnoteText"/>
        <w:rPr>
          <w:i/>
        </w:rPr>
      </w:pPr>
      <w:r>
        <w:rPr>
          <w:rStyle w:val="FootnoteReference"/>
        </w:rPr>
        <w:footnoteRef/>
      </w:r>
      <w:r>
        <w:t xml:space="preserve"> </w:t>
      </w:r>
      <w:proofErr w:type="gramStart"/>
      <w:r>
        <w:t>Order No.</w:t>
      </w:r>
      <w:proofErr w:type="gramEnd"/>
      <w:r>
        <w:t xml:space="preserve"> PSC-17-0115-TRF-EI, issu</w:t>
      </w:r>
      <w:r w:rsidR="00B8362A">
        <w:t xml:space="preserve">ed March 28, 2017, Docket No. </w:t>
      </w:r>
      <w:r>
        <w:t xml:space="preserve">160245-EI, </w:t>
      </w:r>
      <w:r>
        <w:rPr>
          <w:i/>
        </w:rPr>
        <w:t xml:space="preserve">In re: Petition for approval of a new optional pilot LED streetlight tariff, by Florida Power &amp; Light Company.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DE3D9E" w:rsidP="00220732">
    <w:pPr>
      <w:pStyle w:val="Header"/>
      <w:tabs>
        <w:tab w:val="clear" w:pos="4320"/>
        <w:tab w:val="clear" w:pos="8640"/>
        <w:tab w:val="right" w:pos="9360"/>
      </w:tabs>
    </w:pPr>
    <w:bookmarkStart w:id="13" w:name="DocketLabel"/>
    <w:r>
      <w:t>Docket No.</w:t>
    </w:r>
    <w:bookmarkEnd w:id="13"/>
    <w:r w:rsidR="00BC402E">
      <w:t xml:space="preserve"> </w:t>
    </w:r>
    <w:bookmarkStart w:id="14" w:name="DocketList"/>
    <w:r>
      <w:t>20180222-EI</w:t>
    </w:r>
    <w:bookmarkEnd w:id="14"/>
  </w:p>
  <w:p w:rsidR="00BC402E" w:rsidRDefault="00BC402E">
    <w:pPr>
      <w:pStyle w:val="Header"/>
    </w:pPr>
    <w:r>
      <w:t xml:space="preserve">Date: </w:t>
    </w:r>
    <w:fldSimple w:instr=" REF FilingDate ">
      <w:r w:rsidR="008269BF">
        <w:t>January 24, 2019</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8269BF">
      <w:t>Docket No.</w:t>
    </w:r>
    <w:r>
      <w:fldChar w:fldCharType="end"/>
    </w:r>
    <w:r>
      <w:t xml:space="preserve"> </w:t>
    </w:r>
    <w:r>
      <w:fldChar w:fldCharType="begin"/>
    </w:r>
    <w:r>
      <w:instrText xml:space="preserve"> REF DocketList</w:instrText>
    </w:r>
    <w:r>
      <w:fldChar w:fldCharType="separate"/>
    </w:r>
    <w:r w:rsidR="008269BF">
      <w:t>20180222-EI</w:t>
    </w:r>
    <w:r>
      <w:fldChar w:fldCharType="end"/>
    </w:r>
    <w:r>
      <w:tab/>
      <w:t xml:space="preserve">Issue </w:t>
    </w:r>
    <w:fldSimple w:instr=" Seq Issue \c \* Arabic ">
      <w:r w:rsidR="00956953">
        <w:rPr>
          <w:noProof/>
        </w:rPr>
        <w:t>2</w:t>
      </w:r>
    </w:fldSimple>
  </w:p>
  <w:p w:rsidR="00BC402E" w:rsidRDefault="00BC402E">
    <w:pPr>
      <w:pStyle w:val="Header"/>
    </w:pPr>
    <w:r>
      <w:t xml:space="preserve">Date: </w:t>
    </w:r>
    <w:fldSimple w:instr=" REF FilingDate ">
      <w:r w:rsidR="008269BF">
        <w:t>January 24, 2019</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B58" w:rsidRDefault="004C6B58" w:rsidP="00220732">
    <w:pPr>
      <w:pStyle w:val="Header"/>
      <w:tabs>
        <w:tab w:val="clear" w:pos="4320"/>
        <w:tab w:val="clear" w:pos="8640"/>
        <w:tab w:val="right" w:pos="9360"/>
      </w:tabs>
    </w:pPr>
    <w:r>
      <w:fldChar w:fldCharType="begin"/>
    </w:r>
    <w:r>
      <w:instrText xml:space="preserve"> REF DocketLabel</w:instrText>
    </w:r>
    <w:r>
      <w:fldChar w:fldCharType="separate"/>
    </w:r>
    <w:r w:rsidR="008269BF">
      <w:t>Docket No.</w:t>
    </w:r>
    <w:r>
      <w:fldChar w:fldCharType="end"/>
    </w:r>
    <w:r>
      <w:t xml:space="preserve"> </w:t>
    </w:r>
    <w:r>
      <w:fldChar w:fldCharType="begin"/>
    </w:r>
    <w:r>
      <w:instrText xml:space="preserve"> REF DocketList</w:instrText>
    </w:r>
    <w:r>
      <w:fldChar w:fldCharType="separate"/>
    </w:r>
    <w:r w:rsidR="008269BF">
      <w:t>20180222-EI</w:t>
    </w:r>
    <w:r>
      <w:fldChar w:fldCharType="end"/>
    </w:r>
    <w:r>
      <w:tab/>
      <w:t>Attachment A</w:t>
    </w:r>
  </w:p>
  <w:p w:rsidR="00722792" w:rsidRDefault="004C6B58">
    <w:pPr>
      <w:pStyle w:val="Header"/>
    </w:pPr>
    <w:r>
      <w:t xml:space="preserve">Date: </w:t>
    </w:r>
    <w:fldSimple w:instr=" REF FilingDate ">
      <w:r w:rsidR="008269BF">
        <w:t>January 24, 2019</w:t>
      </w:r>
    </w:fldSimple>
    <w:r w:rsidR="00425C72">
      <w:t xml:space="preserve">                                                                                                  </w:t>
    </w:r>
    <w:r w:rsidR="00E87DDF">
      <w:t xml:space="preserve">  </w:t>
    </w:r>
    <w:r w:rsidR="00722792">
      <w:t xml:space="preserve">Page </w:t>
    </w:r>
    <w:r w:rsidR="00722792">
      <w:fldChar w:fldCharType="begin"/>
    </w:r>
    <w:r w:rsidR="00722792">
      <w:instrText>=</w:instrText>
    </w:r>
    <w:r w:rsidR="00722792">
      <w:fldChar w:fldCharType="begin"/>
    </w:r>
    <w:r w:rsidR="00722792">
      <w:instrText>page</w:instrText>
    </w:r>
    <w:r w:rsidR="00722792">
      <w:fldChar w:fldCharType="separate"/>
    </w:r>
    <w:r w:rsidR="00956953">
      <w:rPr>
        <w:noProof/>
      </w:rPr>
      <w:instrText>11</w:instrText>
    </w:r>
    <w:r w:rsidR="00722792">
      <w:fldChar w:fldCharType="end"/>
    </w:r>
    <w:r w:rsidR="00722792">
      <w:instrText xml:space="preserve">-4 </w:instrText>
    </w:r>
    <w:r w:rsidR="00722792">
      <w:fldChar w:fldCharType="separate"/>
    </w:r>
    <w:r w:rsidR="00956953">
      <w:rPr>
        <w:noProof/>
      </w:rPr>
      <w:t>7</w:t>
    </w:r>
    <w:r w:rsidR="00722792">
      <w:fldChar w:fldCharType="end"/>
    </w:r>
    <w:r w:rsidR="00722792">
      <w:t xml:space="preserve"> of 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3481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DE3D9E"/>
    <w:rsid w:val="000042C5"/>
    <w:rsid w:val="000043D5"/>
    <w:rsid w:val="00006170"/>
    <w:rsid w:val="00010E37"/>
    <w:rsid w:val="000172DA"/>
    <w:rsid w:val="000247C5"/>
    <w:rsid w:val="000277C2"/>
    <w:rsid w:val="00030D26"/>
    <w:rsid w:val="00035B48"/>
    <w:rsid w:val="00036CE2"/>
    <w:rsid w:val="000437FE"/>
    <w:rsid w:val="000513BE"/>
    <w:rsid w:val="0006177F"/>
    <w:rsid w:val="00065A06"/>
    <w:rsid w:val="000666F3"/>
    <w:rsid w:val="00070DCB"/>
    <w:rsid w:val="00072CCA"/>
    <w:rsid w:val="00073120"/>
    <w:rsid w:val="000764D0"/>
    <w:rsid w:val="000828D3"/>
    <w:rsid w:val="000866A8"/>
    <w:rsid w:val="000A2B57"/>
    <w:rsid w:val="000A418B"/>
    <w:rsid w:val="000B191A"/>
    <w:rsid w:val="000C4210"/>
    <w:rsid w:val="000C4431"/>
    <w:rsid w:val="000D1C06"/>
    <w:rsid w:val="000D1E00"/>
    <w:rsid w:val="000D4319"/>
    <w:rsid w:val="000E2C74"/>
    <w:rsid w:val="000F374A"/>
    <w:rsid w:val="000F70C3"/>
    <w:rsid w:val="001076AF"/>
    <w:rsid w:val="00114691"/>
    <w:rsid w:val="00117C8C"/>
    <w:rsid w:val="00124E2E"/>
    <w:rsid w:val="00125ED4"/>
    <w:rsid w:val="001305E9"/>
    <w:rsid w:val="001307AF"/>
    <w:rsid w:val="00135687"/>
    <w:rsid w:val="0015506E"/>
    <w:rsid w:val="00163031"/>
    <w:rsid w:val="00171A90"/>
    <w:rsid w:val="00180254"/>
    <w:rsid w:val="00191E1F"/>
    <w:rsid w:val="00192943"/>
    <w:rsid w:val="001A7406"/>
    <w:rsid w:val="001B4FEE"/>
    <w:rsid w:val="001B51C5"/>
    <w:rsid w:val="001B6F3F"/>
    <w:rsid w:val="001C52B5"/>
    <w:rsid w:val="001D0D3E"/>
    <w:rsid w:val="001F2245"/>
    <w:rsid w:val="001F2C63"/>
    <w:rsid w:val="001F48C7"/>
    <w:rsid w:val="001F6DA1"/>
    <w:rsid w:val="0020291F"/>
    <w:rsid w:val="002044E6"/>
    <w:rsid w:val="00205C82"/>
    <w:rsid w:val="00205DC2"/>
    <w:rsid w:val="00212B17"/>
    <w:rsid w:val="002163B6"/>
    <w:rsid w:val="00220732"/>
    <w:rsid w:val="00221D32"/>
    <w:rsid w:val="00225C3F"/>
    <w:rsid w:val="00231384"/>
    <w:rsid w:val="00232967"/>
    <w:rsid w:val="002457D0"/>
    <w:rsid w:val="00257B4B"/>
    <w:rsid w:val="00263D44"/>
    <w:rsid w:val="002702AD"/>
    <w:rsid w:val="00292D82"/>
    <w:rsid w:val="002963CB"/>
    <w:rsid w:val="002A2412"/>
    <w:rsid w:val="002A67C9"/>
    <w:rsid w:val="002B60B9"/>
    <w:rsid w:val="002D040D"/>
    <w:rsid w:val="002D226D"/>
    <w:rsid w:val="002D4D77"/>
    <w:rsid w:val="002D500A"/>
    <w:rsid w:val="002F6030"/>
    <w:rsid w:val="003037E1"/>
    <w:rsid w:val="00307E51"/>
    <w:rsid w:val="003103EC"/>
    <w:rsid w:val="003144EF"/>
    <w:rsid w:val="00315555"/>
    <w:rsid w:val="00322F74"/>
    <w:rsid w:val="00340073"/>
    <w:rsid w:val="003632FD"/>
    <w:rsid w:val="00372805"/>
    <w:rsid w:val="00373180"/>
    <w:rsid w:val="00375AB9"/>
    <w:rsid w:val="003821A0"/>
    <w:rsid w:val="003846A9"/>
    <w:rsid w:val="00385B04"/>
    <w:rsid w:val="003864CF"/>
    <w:rsid w:val="003A22A6"/>
    <w:rsid w:val="003A4779"/>
    <w:rsid w:val="003A4FD2"/>
    <w:rsid w:val="003A5494"/>
    <w:rsid w:val="003B2041"/>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242E6"/>
    <w:rsid w:val="00425C72"/>
    <w:rsid w:val="00431598"/>
    <w:rsid w:val="004319AD"/>
    <w:rsid w:val="004336F3"/>
    <w:rsid w:val="004426B8"/>
    <w:rsid w:val="00444432"/>
    <w:rsid w:val="00445C38"/>
    <w:rsid w:val="00471860"/>
    <w:rsid w:val="004755C6"/>
    <w:rsid w:val="00477026"/>
    <w:rsid w:val="00495F04"/>
    <w:rsid w:val="00497264"/>
    <w:rsid w:val="004A744D"/>
    <w:rsid w:val="004B60BD"/>
    <w:rsid w:val="004C3150"/>
    <w:rsid w:val="004C3641"/>
    <w:rsid w:val="004C4390"/>
    <w:rsid w:val="004C4AF7"/>
    <w:rsid w:val="004C6B58"/>
    <w:rsid w:val="004D2881"/>
    <w:rsid w:val="004D385F"/>
    <w:rsid w:val="004D5B39"/>
    <w:rsid w:val="004D5CF0"/>
    <w:rsid w:val="004E330D"/>
    <w:rsid w:val="004E5147"/>
    <w:rsid w:val="004E69B5"/>
    <w:rsid w:val="004F5C43"/>
    <w:rsid w:val="0050652D"/>
    <w:rsid w:val="00506C03"/>
    <w:rsid w:val="00507935"/>
    <w:rsid w:val="00511A11"/>
    <w:rsid w:val="00516496"/>
    <w:rsid w:val="00523B11"/>
    <w:rsid w:val="0052572A"/>
    <w:rsid w:val="00543CB3"/>
    <w:rsid w:val="005442E4"/>
    <w:rsid w:val="0055529B"/>
    <w:rsid w:val="00560FF0"/>
    <w:rsid w:val="005614BD"/>
    <w:rsid w:val="0057115C"/>
    <w:rsid w:val="0057154F"/>
    <w:rsid w:val="00580F69"/>
    <w:rsid w:val="00581CA3"/>
    <w:rsid w:val="00587A44"/>
    <w:rsid w:val="00593639"/>
    <w:rsid w:val="00597730"/>
    <w:rsid w:val="005977EC"/>
    <w:rsid w:val="00597DE7"/>
    <w:rsid w:val="005A4AA2"/>
    <w:rsid w:val="005A52C0"/>
    <w:rsid w:val="005B34B6"/>
    <w:rsid w:val="005B6C8F"/>
    <w:rsid w:val="005B6EC3"/>
    <w:rsid w:val="005C2E93"/>
    <w:rsid w:val="005D0F74"/>
    <w:rsid w:val="005D2E7D"/>
    <w:rsid w:val="005D4A8F"/>
    <w:rsid w:val="005D501B"/>
    <w:rsid w:val="005D561B"/>
    <w:rsid w:val="005D5ECF"/>
    <w:rsid w:val="005F468D"/>
    <w:rsid w:val="005F69A3"/>
    <w:rsid w:val="00604CC7"/>
    <w:rsid w:val="006128CF"/>
    <w:rsid w:val="00615423"/>
    <w:rsid w:val="006165B2"/>
    <w:rsid w:val="00617276"/>
    <w:rsid w:val="0062527B"/>
    <w:rsid w:val="00625D97"/>
    <w:rsid w:val="00625F1C"/>
    <w:rsid w:val="006279E1"/>
    <w:rsid w:val="00630CEB"/>
    <w:rsid w:val="00632264"/>
    <w:rsid w:val="006470BC"/>
    <w:rsid w:val="006554D3"/>
    <w:rsid w:val="00661EA3"/>
    <w:rsid w:val="00667036"/>
    <w:rsid w:val="00673BDB"/>
    <w:rsid w:val="00674341"/>
    <w:rsid w:val="006771B8"/>
    <w:rsid w:val="00683268"/>
    <w:rsid w:val="006843B6"/>
    <w:rsid w:val="0068481F"/>
    <w:rsid w:val="00694C7D"/>
    <w:rsid w:val="00696F5D"/>
    <w:rsid w:val="00697249"/>
    <w:rsid w:val="006B3947"/>
    <w:rsid w:val="006B4293"/>
    <w:rsid w:val="006B624F"/>
    <w:rsid w:val="006B6DC0"/>
    <w:rsid w:val="006C01B4"/>
    <w:rsid w:val="006C0C95"/>
    <w:rsid w:val="006C31E3"/>
    <w:rsid w:val="006D18D3"/>
    <w:rsid w:val="006E08CB"/>
    <w:rsid w:val="006E598D"/>
    <w:rsid w:val="0070437D"/>
    <w:rsid w:val="00704CF1"/>
    <w:rsid w:val="00705B04"/>
    <w:rsid w:val="007151AF"/>
    <w:rsid w:val="00716BF2"/>
    <w:rsid w:val="00722792"/>
    <w:rsid w:val="00724992"/>
    <w:rsid w:val="00730B5F"/>
    <w:rsid w:val="00734820"/>
    <w:rsid w:val="007349DC"/>
    <w:rsid w:val="0074365E"/>
    <w:rsid w:val="00743C27"/>
    <w:rsid w:val="00744B55"/>
    <w:rsid w:val="00750202"/>
    <w:rsid w:val="007515FD"/>
    <w:rsid w:val="00760232"/>
    <w:rsid w:val="00760D80"/>
    <w:rsid w:val="00762CBA"/>
    <w:rsid w:val="00767282"/>
    <w:rsid w:val="00780C09"/>
    <w:rsid w:val="00780DDF"/>
    <w:rsid w:val="007834E9"/>
    <w:rsid w:val="00786F6E"/>
    <w:rsid w:val="00787DBC"/>
    <w:rsid w:val="0079019A"/>
    <w:rsid w:val="00792935"/>
    <w:rsid w:val="007A04A1"/>
    <w:rsid w:val="007A1840"/>
    <w:rsid w:val="007A2F12"/>
    <w:rsid w:val="007C0528"/>
    <w:rsid w:val="007C3D38"/>
    <w:rsid w:val="007D0F35"/>
    <w:rsid w:val="007D4FEB"/>
    <w:rsid w:val="007D6146"/>
    <w:rsid w:val="007E0CE7"/>
    <w:rsid w:val="007F0D32"/>
    <w:rsid w:val="007F1193"/>
    <w:rsid w:val="007F417F"/>
    <w:rsid w:val="007F7644"/>
    <w:rsid w:val="00801193"/>
    <w:rsid w:val="008042BD"/>
    <w:rsid w:val="00816624"/>
    <w:rsid w:val="00822427"/>
    <w:rsid w:val="00822562"/>
    <w:rsid w:val="00823663"/>
    <w:rsid w:val="008269BF"/>
    <w:rsid w:val="00832DDC"/>
    <w:rsid w:val="00833E27"/>
    <w:rsid w:val="0083529E"/>
    <w:rsid w:val="00850BAC"/>
    <w:rsid w:val="00854A3E"/>
    <w:rsid w:val="00855D08"/>
    <w:rsid w:val="00856774"/>
    <w:rsid w:val="00874344"/>
    <w:rsid w:val="0088189E"/>
    <w:rsid w:val="00882155"/>
    <w:rsid w:val="0088233B"/>
    <w:rsid w:val="0088599E"/>
    <w:rsid w:val="00886C37"/>
    <w:rsid w:val="00892D99"/>
    <w:rsid w:val="00893315"/>
    <w:rsid w:val="00895563"/>
    <w:rsid w:val="00896D14"/>
    <w:rsid w:val="008B15F9"/>
    <w:rsid w:val="008B5AD6"/>
    <w:rsid w:val="008B62AE"/>
    <w:rsid w:val="008C04B5"/>
    <w:rsid w:val="008C14FA"/>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16C6A"/>
    <w:rsid w:val="00920E64"/>
    <w:rsid w:val="00922002"/>
    <w:rsid w:val="00924020"/>
    <w:rsid w:val="009271A7"/>
    <w:rsid w:val="0093658B"/>
    <w:rsid w:val="009429FF"/>
    <w:rsid w:val="00945BD6"/>
    <w:rsid w:val="009479FB"/>
    <w:rsid w:val="00951C45"/>
    <w:rsid w:val="00956953"/>
    <w:rsid w:val="00961EDF"/>
    <w:rsid w:val="009656F2"/>
    <w:rsid w:val="00966A08"/>
    <w:rsid w:val="00971207"/>
    <w:rsid w:val="00971B1F"/>
    <w:rsid w:val="00975CB4"/>
    <w:rsid w:val="00981628"/>
    <w:rsid w:val="009863B0"/>
    <w:rsid w:val="00987DE1"/>
    <w:rsid w:val="00990571"/>
    <w:rsid w:val="0099673A"/>
    <w:rsid w:val="009A3330"/>
    <w:rsid w:val="009A7C96"/>
    <w:rsid w:val="009B3035"/>
    <w:rsid w:val="009C3DB9"/>
    <w:rsid w:val="009D46E5"/>
    <w:rsid w:val="009D568A"/>
    <w:rsid w:val="009D5AF2"/>
    <w:rsid w:val="009E4E1E"/>
    <w:rsid w:val="009F04EC"/>
    <w:rsid w:val="009F2A7C"/>
    <w:rsid w:val="009F36E4"/>
    <w:rsid w:val="009F3B36"/>
    <w:rsid w:val="00A019B9"/>
    <w:rsid w:val="00A12508"/>
    <w:rsid w:val="00A1282B"/>
    <w:rsid w:val="00A13A27"/>
    <w:rsid w:val="00A168FF"/>
    <w:rsid w:val="00A175B6"/>
    <w:rsid w:val="00A207EA"/>
    <w:rsid w:val="00A21835"/>
    <w:rsid w:val="00A2374B"/>
    <w:rsid w:val="00A271CC"/>
    <w:rsid w:val="00A27D6E"/>
    <w:rsid w:val="00A328EC"/>
    <w:rsid w:val="00A33A51"/>
    <w:rsid w:val="00A41CA6"/>
    <w:rsid w:val="00A47927"/>
    <w:rsid w:val="00A47FFC"/>
    <w:rsid w:val="00A5442F"/>
    <w:rsid w:val="00A54FF9"/>
    <w:rsid w:val="00A56765"/>
    <w:rsid w:val="00A675AC"/>
    <w:rsid w:val="00A7581F"/>
    <w:rsid w:val="00A920A7"/>
    <w:rsid w:val="00A92838"/>
    <w:rsid w:val="00A92FB1"/>
    <w:rsid w:val="00A95A0C"/>
    <w:rsid w:val="00AA2765"/>
    <w:rsid w:val="00AA77B5"/>
    <w:rsid w:val="00AB6C5D"/>
    <w:rsid w:val="00AC3401"/>
    <w:rsid w:val="00AC4A10"/>
    <w:rsid w:val="00AC51A7"/>
    <w:rsid w:val="00AD444B"/>
    <w:rsid w:val="00AD5614"/>
    <w:rsid w:val="00AD6C78"/>
    <w:rsid w:val="00AE2EAB"/>
    <w:rsid w:val="00AF5210"/>
    <w:rsid w:val="00AF5F89"/>
    <w:rsid w:val="00AF73CB"/>
    <w:rsid w:val="00B002D6"/>
    <w:rsid w:val="00B03379"/>
    <w:rsid w:val="00B05B51"/>
    <w:rsid w:val="00B06B06"/>
    <w:rsid w:val="00B14E5A"/>
    <w:rsid w:val="00B15370"/>
    <w:rsid w:val="00B16DA4"/>
    <w:rsid w:val="00B17BEB"/>
    <w:rsid w:val="00B21A3C"/>
    <w:rsid w:val="00B223C0"/>
    <w:rsid w:val="00B234ED"/>
    <w:rsid w:val="00B249B2"/>
    <w:rsid w:val="00B25CA3"/>
    <w:rsid w:val="00B2765A"/>
    <w:rsid w:val="00B30C5A"/>
    <w:rsid w:val="00B3109A"/>
    <w:rsid w:val="00B3411C"/>
    <w:rsid w:val="00B516ED"/>
    <w:rsid w:val="00B57A6A"/>
    <w:rsid w:val="00B65ED8"/>
    <w:rsid w:val="00B760F1"/>
    <w:rsid w:val="00B7669E"/>
    <w:rsid w:val="00B77DA1"/>
    <w:rsid w:val="00B822A0"/>
    <w:rsid w:val="00B8362A"/>
    <w:rsid w:val="00B84279"/>
    <w:rsid w:val="00B858AE"/>
    <w:rsid w:val="00B85964"/>
    <w:rsid w:val="00B96250"/>
    <w:rsid w:val="00BA0D55"/>
    <w:rsid w:val="00BA37B3"/>
    <w:rsid w:val="00BA4CC6"/>
    <w:rsid w:val="00BB3493"/>
    <w:rsid w:val="00BB7468"/>
    <w:rsid w:val="00BC188A"/>
    <w:rsid w:val="00BC402E"/>
    <w:rsid w:val="00BC4C8C"/>
    <w:rsid w:val="00BD0F48"/>
    <w:rsid w:val="00BE6DDB"/>
    <w:rsid w:val="00BF5010"/>
    <w:rsid w:val="00C03D5F"/>
    <w:rsid w:val="00C04C1C"/>
    <w:rsid w:val="00C13791"/>
    <w:rsid w:val="00C2565F"/>
    <w:rsid w:val="00C31BB3"/>
    <w:rsid w:val="00C36977"/>
    <w:rsid w:val="00C40D4B"/>
    <w:rsid w:val="00C467DA"/>
    <w:rsid w:val="00C477D9"/>
    <w:rsid w:val="00C5104D"/>
    <w:rsid w:val="00C535FA"/>
    <w:rsid w:val="00C60BA3"/>
    <w:rsid w:val="00C623F7"/>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A6446"/>
    <w:rsid w:val="00CB1777"/>
    <w:rsid w:val="00CB33E9"/>
    <w:rsid w:val="00CC10A9"/>
    <w:rsid w:val="00CC679F"/>
    <w:rsid w:val="00CD0858"/>
    <w:rsid w:val="00CE2BF8"/>
    <w:rsid w:val="00CE484E"/>
    <w:rsid w:val="00CE656F"/>
    <w:rsid w:val="00CF0DA8"/>
    <w:rsid w:val="00CF2E25"/>
    <w:rsid w:val="00CF4453"/>
    <w:rsid w:val="00CF5D94"/>
    <w:rsid w:val="00CF7E0F"/>
    <w:rsid w:val="00D00F1C"/>
    <w:rsid w:val="00D034D7"/>
    <w:rsid w:val="00D04BE4"/>
    <w:rsid w:val="00D06FC7"/>
    <w:rsid w:val="00D1006D"/>
    <w:rsid w:val="00D12565"/>
    <w:rsid w:val="00D14127"/>
    <w:rsid w:val="00D2356F"/>
    <w:rsid w:val="00D33BEB"/>
    <w:rsid w:val="00D60B16"/>
    <w:rsid w:val="00D60F02"/>
    <w:rsid w:val="00D66E49"/>
    <w:rsid w:val="00D70D71"/>
    <w:rsid w:val="00D72F74"/>
    <w:rsid w:val="00D81563"/>
    <w:rsid w:val="00D85907"/>
    <w:rsid w:val="00D9073E"/>
    <w:rsid w:val="00D9221D"/>
    <w:rsid w:val="00D958DF"/>
    <w:rsid w:val="00D96DA1"/>
    <w:rsid w:val="00DA1B8A"/>
    <w:rsid w:val="00DA51E7"/>
    <w:rsid w:val="00DB0260"/>
    <w:rsid w:val="00DB1C78"/>
    <w:rsid w:val="00DB7D96"/>
    <w:rsid w:val="00DC23FE"/>
    <w:rsid w:val="00DC59E6"/>
    <w:rsid w:val="00DD150B"/>
    <w:rsid w:val="00DD5025"/>
    <w:rsid w:val="00DE3D9E"/>
    <w:rsid w:val="00DF0770"/>
    <w:rsid w:val="00DF1510"/>
    <w:rsid w:val="00DF6A3F"/>
    <w:rsid w:val="00E02F1F"/>
    <w:rsid w:val="00E06484"/>
    <w:rsid w:val="00E20A7D"/>
    <w:rsid w:val="00E21B7E"/>
    <w:rsid w:val="00E275D8"/>
    <w:rsid w:val="00E30F6A"/>
    <w:rsid w:val="00E3117C"/>
    <w:rsid w:val="00E375CA"/>
    <w:rsid w:val="00E43DE3"/>
    <w:rsid w:val="00E567E8"/>
    <w:rsid w:val="00E64679"/>
    <w:rsid w:val="00E65EBC"/>
    <w:rsid w:val="00E677FE"/>
    <w:rsid w:val="00E73432"/>
    <w:rsid w:val="00E77B0C"/>
    <w:rsid w:val="00E77FB8"/>
    <w:rsid w:val="00E838B0"/>
    <w:rsid w:val="00E86A7C"/>
    <w:rsid w:val="00E878E1"/>
    <w:rsid w:val="00E87DDF"/>
    <w:rsid w:val="00E87F2C"/>
    <w:rsid w:val="00E95278"/>
    <w:rsid w:val="00EA2273"/>
    <w:rsid w:val="00EA7C3C"/>
    <w:rsid w:val="00EB2DB3"/>
    <w:rsid w:val="00EC0A43"/>
    <w:rsid w:val="00EC3FBB"/>
    <w:rsid w:val="00EC6B7A"/>
    <w:rsid w:val="00EC6F5F"/>
    <w:rsid w:val="00ED3A87"/>
    <w:rsid w:val="00ED5B67"/>
    <w:rsid w:val="00EF264C"/>
    <w:rsid w:val="00EF3FEE"/>
    <w:rsid w:val="00F02BB1"/>
    <w:rsid w:val="00F04B59"/>
    <w:rsid w:val="00F11741"/>
    <w:rsid w:val="00F12B1C"/>
    <w:rsid w:val="00F13CF8"/>
    <w:rsid w:val="00F15855"/>
    <w:rsid w:val="00F227DC"/>
    <w:rsid w:val="00F30601"/>
    <w:rsid w:val="00F32978"/>
    <w:rsid w:val="00F34D3F"/>
    <w:rsid w:val="00F45CB2"/>
    <w:rsid w:val="00F544C0"/>
    <w:rsid w:val="00F54E54"/>
    <w:rsid w:val="00F55332"/>
    <w:rsid w:val="00F6504A"/>
    <w:rsid w:val="00F65519"/>
    <w:rsid w:val="00F713C0"/>
    <w:rsid w:val="00F75DDC"/>
    <w:rsid w:val="00F7792F"/>
    <w:rsid w:val="00F8014C"/>
    <w:rsid w:val="00F842AA"/>
    <w:rsid w:val="00F8476F"/>
    <w:rsid w:val="00F853E1"/>
    <w:rsid w:val="00F85604"/>
    <w:rsid w:val="00F94B7A"/>
    <w:rsid w:val="00FA17AC"/>
    <w:rsid w:val="00FA32DE"/>
    <w:rsid w:val="00FA3382"/>
    <w:rsid w:val="00FA59CD"/>
    <w:rsid w:val="00FB174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C04C1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C04C1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E3723-6B5B-434C-8BC5-1B53015AB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11</Pages>
  <Words>1172</Words>
  <Characters>6623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7780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Riley Doherty</dc:creator>
  <cp:lastModifiedBy>Jackie Colson</cp:lastModifiedBy>
  <cp:revision>2</cp:revision>
  <cp:lastPrinted>2019-01-24T14:24:00Z</cp:lastPrinted>
  <dcterms:created xsi:type="dcterms:W3CDTF">2019-01-24T14:43:00Z</dcterms:created>
  <dcterms:modified xsi:type="dcterms:W3CDTF">2019-01-24T14:43:00Z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20180222-EI</vt:lpwstr>
  </property>
  <property fmtid="{D5CDD505-2E9C-101B-9397-08002B2CF9AE}" pid="3" name="MasterDocument">
    <vt:bool>false</vt:bool>
  </property>
</Properties>
</file>