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6E08CB">
            <w:pPr>
              <w:pStyle w:val="MastHeadState"/>
              <w:jc w:val="right"/>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AE4185">
            <w:pPr>
              <w:pStyle w:val="MemoHeading"/>
            </w:pPr>
            <w:bookmarkStart w:id="1" w:name="FilingDate"/>
            <w:r>
              <w:t>February 21, 2019</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AE4185" w:rsidRDefault="00AE4185">
            <w:pPr>
              <w:pStyle w:val="MemoHeading"/>
            </w:pPr>
            <w:bookmarkStart w:id="2" w:name="From"/>
            <w:r>
              <w:t>Division of Economics (Guffey)</w:t>
            </w:r>
          </w:p>
          <w:p w:rsidR="007C0528" w:rsidRDefault="00AE4185">
            <w:pPr>
              <w:pStyle w:val="MemoHeading"/>
            </w:pPr>
            <w:r>
              <w:t>Office of the General Counsel (Simmons)</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AE4185">
            <w:pPr>
              <w:pStyle w:val="MemoHeadingRe"/>
            </w:pPr>
            <w:bookmarkStart w:id="3" w:name="Re"/>
            <w:r>
              <w:t>Docket No. 20190023-EI – Petition for approval of modifications to rate schedule LS-1, lighting service, by Duke Energy Florida, LLC.</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AE4185">
            <w:pPr>
              <w:pStyle w:val="MemoHeading"/>
            </w:pPr>
            <w:bookmarkStart w:id="4" w:name="AgendaDate"/>
            <w:r>
              <w:t>03/05/19</w:t>
            </w:r>
            <w:bookmarkEnd w:id="4"/>
            <w:r w:rsidR="007C0528">
              <w:t xml:space="preserve"> – </w:t>
            </w:r>
            <w:bookmarkStart w:id="5" w:name="PermittedStatus"/>
            <w:r>
              <w:t>Regular Agenda – Tariff Filing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AE4185">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AE4185">
            <w:pPr>
              <w:pStyle w:val="MemoHeading"/>
            </w:pPr>
            <w:bookmarkStart w:id="7" w:name="PrehearingOfficer"/>
            <w:r>
              <w:t>Administrative</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AE4185" w:rsidP="00AE4185">
            <w:pPr>
              <w:pStyle w:val="MemoHeading"/>
            </w:pPr>
            <w:bookmarkStart w:id="9" w:name="CriticalDates"/>
            <w:r>
              <w:t>03/18/19 (60-Day Suspension Date)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AE4185">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68481F" w:rsidRDefault="00AE4185">
      <w:pPr>
        <w:pStyle w:val="BodyText"/>
      </w:pPr>
      <w:r>
        <w:t>On January 17, 2019, Duke Energy Florida, LLC (DEF</w:t>
      </w:r>
      <w:r w:rsidR="00CC5100">
        <w:t xml:space="preserve"> or utility</w:t>
      </w:r>
      <w:r>
        <w:t xml:space="preserve">), filed a petition for approval of </w:t>
      </w:r>
      <w:r w:rsidR="00F25E03">
        <w:t>modifications to its</w:t>
      </w:r>
      <w:r w:rsidR="004B5566">
        <w:t xml:space="preserve"> Lighting Service (LS-1) rate schedule. </w:t>
      </w:r>
      <w:r w:rsidR="00985CC9">
        <w:t>Specifically, DEF proposed to close the metal halide and sodium vapor fixture option</w:t>
      </w:r>
      <w:r w:rsidR="00653AEC">
        <w:t>s</w:t>
      </w:r>
      <w:r w:rsidR="00985CC9">
        <w:t xml:space="preserve"> </w:t>
      </w:r>
      <w:r w:rsidR="009A4A61">
        <w:t>for new installations</w:t>
      </w:r>
      <w:r w:rsidR="00985CC9">
        <w:t xml:space="preserve">, add new </w:t>
      </w:r>
      <w:r w:rsidR="00A73431">
        <w:t>Light Emitting Diode (</w:t>
      </w:r>
      <w:r w:rsidR="00985CC9">
        <w:t>LED</w:t>
      </w:r>
      <w:r w:rsidR="00A73431">
        <w:t>)</w:t>
      </w:r>
      <w:r w:rsidR="00985CC9">
        <w:t xml:space="preserve"> fixtures, and </w:t>
      </w:r>
      <w:r w:rsidR="00653AEC">
        <w:t xml:space="preserve">add </w:t>
      </w:r>
      <w:r w:rsidR="00985CC9">
        <w:t xml:space="preserve">new pole options. </w:t>
      </w:r>
      <w:r w:rsidR="004B5566">
        <w:t>The proposed tariffs are shown in legislative format in Attachment 1 to this recommendation.</w:t>
      </w:r>
    </w:p>
    <w:p w:rsidR="004B5566" w:rsidRDefault="004B5566">
      <w:pPr>
        <w:pStyle w:val="BodyText"/>
      </w:pPr>
      <w:r>
        <w:t xml:space="preserve">On February 8, 2019, DEF responded to </w:t>
      </w:r>
      <w:r w:rsidR="00F25E03">
        <w:t>s</w:t>
      </w:r>
      <w:r>
        <w:t xml:space="preserve">taff’s </w:t>
      </w:r>
      <w:r w:rsidR="00F25E03">
        <w:t>f</w:t>
      </w:r>
      <w:r>
        <w:t xml:space="preserve">irst </w:t>
      </w:r>
      <w:r w:rsidR="00F25E03">
        <w:t>d</w:t>
      </w:r>
      <w:r>
        <w:t xml:space="preserve">ata </w:t>
      </w:r>
      <w:r w:rsidR="00F25E03">
        <w:t>r</w:t>
      </w:r>
      <w:r>
        <w:t>equest. The Commission has jurisdiction over this matter pursuant to Section 366.06, Florida Statutes.</w:t>
      </w:r>
    </w:p>
    <w:p w:rsidR="004B5566" w:rsidRDefault="004B5566">
      <w:pPr>
        <w:pStyle w:val="BodyText"/>
      </w:pPr>
    </w:p>
    <w:p w:rsidR="007C0528" w:rsidRDefault="007C0528" w:rsidP="0068481F"/>
    <w:bookmarkEnd w:id="12"/>
    <w:p w:rsidR="00EA2273" w:rsidRDefault="00EA2273">
      <w:pPr>
        <w:pStyle w:val="RecommendationMajorSectionHeading"/>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4B5566" w:rsidRDefault="004B5566">
      <w:pPr>
        <w:pStyle w:val="IssueHeading"/>
        <w:rPr>
          <w:vanish/>
          <w:specVanish/>
        </w:rPr>
      </w:pPr>
      <w:r w:rsidRPr="004C3641">
        <w:t xml:space="preserve">Issue </w:t>
      </w:r>
      <w:r w:rsidR="00F20AA5">
        <w:fldChar w:fldCharType="begin"/>
      </w:r>
      <w:r w:rsidR="00F20AA5">
        <w:instrText xml:space="preserve"> SEQ Issue \* MERGEFORMAT </w:instrText>
      </w:r>
      <w:r w:rsidR="00F20AA5">
        <w:fldChar w:fldCharType="separate"/>
      </w:r>
      <w:r w:rsidR="00ED47D3">
        <w:rPr>
          <w:noProof/>
        </w:rPr>
        <w:t>1</w:t>
      </w:r>
      <w:r w:rsidR="00F20AA5">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ED47D3">
        <w:rPr>
          <w:noProof/>
        </w:rPr>
        <w:instrText>1</w:instrText>
      </w:r>
      <w:r>
        <w:fldChar w:fldCharType="end"/>
      </w:r>
      <w:r>
        <w:tab/>
        <w:instrText xml:space="preserve">(Guffey)" \l 1 </w:instrText>
      </w:r>
      <w:r>
        <w:fldChar w:fldCharType="end"/>
      </w:r>
      <w:r>
        <w:t> </w:t>
      </w:r>
    </w:p>
    <w:p w:rsidR="004B5566" w:rsidRDefault="004B5566">
      <w:pPr>
        <w:pStyle w:val="BodyText"/>
      </w:pPr>
      <w:r>
        <w:t xml:space="preserve"> Should the Commission approve DEF's proposed </w:t>
      </w:r>
      <w:r w:rsidR="00F25E03">
        <w:t>modifications</w:t>
      </w:r>
      <w:r>
        <w:t xml:space="preserve"> to its LS-1 rate schedule as shown in Attachment 1?</w:t>
      </w:r>
    </w:p>
    <w:p w:rsidR="004B5566" w:rsidRPr="004C3641" w:rsidRDefault="004B5566">
      <w:pPr>
        <w:pStyle w:val="IssueSubsectionHeading"/>
        <w:rPr>
          <w:vanish/>
          <w:specVanish/>
        </w:rPr>
      </w:pPr>
      <w:r w:rsidRPr="004C3641">
        <w:t>Recommendation: </w:t>
      </w:r>
    </w:p>
    <w:p w:rsidR="004B5566" w:rsidRDefault="004B5566">
      <w:pPr>
        <w:pStyle w:val="BodyText"/>
      </w:pPr>
      <w:r>
        <w:t> </w:t>
      </w:r>
      <w:r w:rsidR="0054765D">
        <w:t xml:space="preserve">Yes. The Commission should approve </w:t>
      </w:r>
      <w:r w:rsidR="00F25E03">
        <w:t>DEF’s</w:t>
      </w:r>
      <w:r w:rsidR="0054765D">
        <w:t xml:space="preserve"> proposed </w:t>
      </w:r>
      <w:r w:rsidR="00F25E03">
        <w:t>modifications</w:t>
      </w:r>
      <w:r w:rsidR="0054765D">
        <w:t xml:space="preserve"> to </w:t>
      </w:r>
      <w:r w:rsidR="00F25E03">
        <w:t>its</w:t>
      </w:r>
      <w:r w:rsidR="0054765D">
        <w:t xml:space="preserve"> LS-1 rate schedule as shown in Attachment 1. </w:t>
      </w:r>
      <w:r w:rsidR="006F45BD">
        <w:t xml:space="preserve">The proposed new LED fixture and pole options are cost based and expand the fixture and pole options available to customers. Closing the current metal halide and sodium vapor options </w:t>
      </w:r>
      <w:r w:rsidR="009A4A61">
        <w:t>for new installations</w:t>
      </w:r>
      <w:r w:rsidR="006F45BD">
        <w:t xml:space="preserve"> allows DEF to </w:t>
      </w:r>
      <w:r w:rsidR="00093CC0">
        <w:t>recognize energy efficienc</w:t>
      </w:r>
      <w:r w:rsidR="0020095E">
        <w:t>ies</w:t>
      </w:r>
      <w:r w:rsidR="00093CC0">
        <w:t xml:space="preserve"> and</w:t>
      </w:r>
      <w:r w:rsidR="006F45BD">
        <w:t xml:space="preserve"> technological improvements in the lighting industry. </w:t>
      </w:r>
      <w:r w:rsidR="0054765D">
        <w:t>The revised tariffs should become effective on March 5, 2019.</w:t>
      </w:r>
      <w:r>
        <w:t xml:space="preserve"> (Guffey)</w:t>
      </w:r>
    </w:p>
    <w:p w:rsidR="004B5566" w:rsidRPr="004C3641" w:rsidRDefault="004B5566">
      <w:pPr>
        <w:pStyle w:val="IssueSubsectionHeading"/>
        <w:rPr>
          <w:vanish/>
          <w:specVanish/>
        </w:rPr>
      </w:pPr>
      <w:r w:rsidRPr="004C3641">
        <w:t>Staff Analysis: </w:t>
      </w:r>
    </w:p>
    <w:p w:rsidR="004B5566" w:rsidRDefault="004B5566">
      <w:pPr>
        <w:pStyle w:val="BodyText"/>
      </w:pPr>
      <w:r>
        <w:t> </w:t>
      </w:r>
      <w:r w:rsidR="0054765D">
        <w:t>DEF</w:t>
      </w:r>
      <w:r w:rsidR="00F125AF">
        <w:t>’s LS-1 rate schedule is available to customer</w:t>
      </w:r>
      <w:r w:rsidR="00DE25FE">
        <w:t>s</w:t>
      </w:r>
      <w:r w:rsidR="00F125AF">
        <w:t xml:space="preserve"> for the purpose of lighting roadways and other outdoor areas.</w:t>
      </w:r>
      <w:r w:rsidR="0054765D">
        <w:t xml:space="preserve"> </w:t>
      </w:r>
      <w:r w:rsidR="007E4888">
        <w:t xml:space="preserve">DEF </w:t>
      </w:r>
      <w:r w:rsidR="0054765D">
        <w:t xml:space="preserve">proposed </w:t>
      </w:r>
      <w:r w:rsidR="00E23B18">
        <w:t>four</w:t>
      </w:r>
      <w:r w:rsidR="0054765D">
        <w:t xml:space="preserve"> revisions to its LS-1 rate schedule which are discussed below. </w:t>
      </w:r>
    </w:p>
    <w:p w:rsidR="00397A2D" w:rsidRDefault="002824B9" w:rsidP="00A826E3">
      <w:pPr>
        <w:pStyle w:val="BodyText"/>
        <w:rPr>
          <w:rStyle w:val="ilfuvd"/>
        </w:rPr>
      </w:pPr>
      <w:r>
        <w:t xml:space="preserve">First, DEF proposed to close </w:t>
      </w:r>
      <w:r w:rsidR="00133D43">
        <w:t xml:space="preserve">the </w:t>
      </w:r>
      <w:r>
        <w:t xml:space="preserve">metal halide </w:t>
      </w:r>
      <w:r w:rsidR="00133D43">
        <w:t xml:space="preserve">fixture options </w:t>
      </w:r>
      <w:r w:rsidR="009A4A61">
        <w:t>for new installations</w:t>
      </w:r>
      <w:r w:rsidR="00F25E03">
        <w:t>.</w:t>
      </w:r>
      <w:r w:rsidR="006E7627">
        <w:t xml:space="preserve"> </w:t>
      </w:r>
      <w:r w:rsidR="00F25E03">
        <w:t>Existing</w:t>
      </w:r>
      <w:r w:rsidR="006E7627">
        <w:t xml:space="preserve"> </w:t>
      </w:r>
      <w:r w:rsidR="00F25E03">
        <w:t xml:space="preserve">metal halide lighting </w:t>
      </w:r>
      <w:r w:rsidR="006E7627">
        <w:t xml:space="preserve">customers </w:t>
      </w:r>
      <w:r w:rsidR="00F25E03">
        <w:t xml:space="preserve">can continue to use them </w:t>
      </w:r>
      <w:r w:rsidR="006E7627">
        <w:t xml:space="preserve">until </w:t>
      </w:r>
      <w:r w:rsidR="00F25E03">
        <w:t xml:space="preserve">either the fixture </w:t>
      </w:r>
      <w:r w:rsidR="00133D43">
        <w:t>or</w:t>
      </w:r>
      <w:r w:rsidR="00F25E03">
        <w:t xml:space="preserve"> </w:t>
      </w:r>
      <w:r w:rsidR="006E7627">
        <w:t>the ballast</w:t>
      </w:r>
      <w:r w:rsidR="00133D43">
        <w:t>, or both,</w:t>
      </w:r>
      <w:r w:rsidR="006E7627">
        <w:t xml:space="preserve"> </w:t>
      </w:r>
      <w:r w:rsidR="00B513C3">
        <w:t>fail</w:t>
      </w:r>
      <w:r w:rsidR="00A73431">
        <w:t>s</w:t>
      </w:r>
      <w:r>
        <w:t>.</w:t>
      </w:r>
      <w:r w:rsidR="006E7627">
        <w:t xml:space="preserve"> </w:t>
      </w:r>
      <w:r w:rsidR="00316E13">
        <w:t>T</w:t>
      </w:r>
      <w:r w:rsidR="00316E13">
        <w:rPr>
          <w:rStyle w:val="ilfuvd"/>
        </w:rPr>
        <w:t xml:space="preserve">he </w:t>
      </w:r>
      <w:r w:rsidR="00316E13" w:rsidRPr="00316E13">
        <w:rPr>
          <w:rStyle w:val="ilfuvd"/>
          <w:bCs/>
        </w:rPr>
        <w:t>ballast</w:t>
      </w:r>
      <w:r w:rsidR="00316E13">
        <w:rPr>
          <w:rStyle w:val="ilfuvd"/>
        </w:rPr>
        <w:t xml:space="preserve"> regulates the </w:t>
      </w:r>
      <w:r w:rsidR="00133D43">
        <w:rPr>
          <w:rStyle w:val="ilfuvd"/>
        </w:rPr>
        <w:t>current</w:t>
      </w:r>
      <w:r w:rsidR="00316E13">
        <w:rPr>
          <w:rStyle w:val="ilfuvd"/>
        </w:rPr>
        <w:t xml:space="preserve"> to the lamps and provides voltage to start the lamps. </w:t>
      </w:r>
      <w:r w:rsidR="006E7627">
        <w:t>At th</w:t>
      </w:r>
      <w:r w:rsidR="00653AEC">
        <w:t>e</w:t>
      </w:r>
      <w:r w:rsidR="006E7627">
        <w:t xml:space="preserve"> time</w:t>
      </w:r>
      <w:r w:rsidR="00316E13">
        <w:t xml:space="preserve"> of fixture or ballast failure</w:t>
      </w:r>
      <w:r w:rsidR="006E7627">
        <w:t xml:space="preserve">, the metal halide fixture will be replaced with a comparable LED fixture and applicable </w:t>
      </w:r>
      <w:r w:rsidR="00CF675B">
        <w:t xml:space="preserve">monthly </w:t>
      </w:r>
      <w:r w:rsidR="006E7627">
        <w:t>rates will apply.</w:t>
      </w:r>
      <w:r>
        <w:t xml:space="preserve"> </w:t>
      </w:r>
      <w:r w:rsidR="00316E13" w:rsidRPr="00316E13">
        <w:rPr>
          <w:rStyle w:val="ilfuvd"/>
          <w:bCs/>
        </w:rPr>
        <w:t>LED</w:t>
      </w:r>
      <w:r w:rsidR="00133D43">
        <w:rPr>
          <w:rStyle w:val="ilfuvd"/>
          <w:bCs/>
        </w:rPr>
        <w:t xml:space="preserve"> fixtures</w:t>
      </w:r>
      <w:r w:rsidR="00316E13" w:rsidRPr="00316E13">
        <w:rPr>
          <w:rStyle w:val="ilfuvd"/>
        </w:rPr>
        <w:t xml:space="preserve"> </w:t>
      </w:r>
      <w:r w:rsidR="00316E13">
        <w:rPr>
          <w:rStyle w:val="ilfuvd"/>
        </w:rPr>
        <w:t xml:space="preserve">do not require a </w:t>
      </w:r>
      <w:r w:rsidR="00316E13" w:rsidRPr="00316E13">
        <w:rPr>
          <w:rStyle w:val="ilfuvd"/>
          <w:bCs/>
        </w:rPr>
        <w:t>ballast</w:t>
      </w:r>
      <w:r w:rsidR="00316E13" w:rsidRPr="00316E13">
        <w:rPr>
          <w:rStyle w:val="ilfuvd"/>
        </w:rPr>
        <w:t xml:space="preserve"> </w:t>
      </w:r>
      <w:r w:rsidR="00316E13">
        <w:rPr>
          <w:rStyle w:val="ilfuvd"/>
        </w:rPr>
        <w:t xml:space="preserve">to regulate </w:t>
      </w:r>
      <w:r w:rsidR="00133D43">
        <w:rPr>
          <w:rStyle w:val="ilfuvd"/>
        </w:rPr>
        <w:t>the current</w:t>
      </w:r>
      <w:r w:rsidR="00316E13">
        <w:rPr>
          <w:rStyle w:val="ilfuvd"/>
        </w:rPr>
        <w:t xml:space="preserve">. </w:t>
      </w:r>
    </w:p>
    <w:p w:rsidR="00834FA8" w:rsidRDefault="00397A2D" w:rsidP="00A826E3">
      <w:pPr>
        <w:pStyle w:val="BodyText"/>
      </w:pPr>
      <w:r>
        <w:t>DEF explained</w:t>
      </w:r>
      <w:r w:rsidR="002824B9">
        <w:t xml:space="preserve"> that the Energy Independence and Security Act of 2007 require</w:t>
      </w:r>
      <w:r w:rsidR="0030460D">
        <w:t>s</w:t>
      </w:r>
      <w:r w:rsidR="002824B9">
        <w:t xml:space="preserve"> that ballasts installed in metal halide fixtures meet higher energy efficiency standards, </w:t>
      </w:r>
      <w:r w:rsidR="00125D19">
        <w:t>and as of early 2017, certain metal halide lamps of certain wattage</w:t>
      </w:r>
      <w:r w:rsidR="009A4A61">
        <w:t>s</w:t>
      </w:r>
      <w:r w:rsidR="00125D19">
        <w:t xml:space="preserve"> cannot contain a probe-start ballast. </w:t>
      </w:r>
      <w:r w:rsidR="00180A80">
        <w:t xml:space="preserve">DEF stated </w:t>
      </w:r>
      <w:r w:rsidR="0052229D">
        <w:t xml:space="preserve">that </w:t>
      </w:r>
      <w:r w:rsidR="00125D19">
        <w:t>metal halide fixtures and ballasts</w:t>
      </w:r>
      <w:r w:rsidR="00F14059">
        <w:t xml:space="preserve"> </w:t>
      </w:r>
      <w:r w:rsidR="006E7627">
        <w:t xml:space="preserve">have been gradually phased out </w:t>
      </w:r>
      <w:r w:rsidR="00AC04BD">
        <w:t>in order</w:t>
      </w:r>
      <w:r w:rsidR="006E7627">
        <w:t xml:space="preserve"> </w:t>
      </w:r>
      <w:r w:rsidR="00834FA8">
        <w:t>to</w:t>
      </w:r>
      <w:r w:rsidR="006E7627">
        <w:t xml:space="preserve"> meet the </w:t>
      </w:r>
      <w:r w:rsidR="00180A80">
        <w:t xml:space="preserve">Energy Independence and Security Act of 2007 </w:t>
      </w:r>
      <w:r w:rsidR="006E7627">
        <w:t>guideline requirements</w:t>
      </w:r>
      <w:r w:rsidR="0052229D">
        <w:t>; therefore, manufacturers no longer produce metal halide fixtures.</w:t>
      </w:r>
    </w:p>
    <w:p w:rsidR="00696B6E" w:rsidRDefault="00397A2D" w:rsidP="00397A2D">
      <w:pPr>
        <w:pStyle w:val="BodyText"/>
      </w:pPr>
      <w:r>
        <w:t xml:space="preserve">Second, DEF proposed to close </w:t>
      </w:r>
      <w:r w:rsidR="0052229D">
        <w:t xml:space="preserve">the </w:t>
      </w:r>
      <w:r>
        <w:t xml:space="preserve">sodium vapor </w:t>
      </w:r>
      <w:r w:rsidR="0052229D">
        <w:t xml:space="preserve">fixture options </w:t>
      </w:r>
      <w:r w:rsidR="009A4A61">
        <w:t>for new installations</w:t>
      </w:r>
      <w:r>
        <w:t>. Although the Energy Independence and Security Act of 2007 do</w:t>
      </w:r>
      <w:r w:rsidR="00FA4027">
        <w:t>es</w:t>
      </w:r>
      <w:r>
        <w:t xml:space="preserve"> not limit the production of ballasts for sodium vapor </w:t>
      </w:r>
      <w:r w:rsidR="00CB5341">
        <w:t>fixtures</w:t>
      </w:r>
      <w:r>
        <w:t xml:space="preserve">, manufacturers are now primarily producing LED fixtures. </w:t>
      </w:r>
      <w:r w:rsidR="007F7405">
        <w:t>DEF contends that t</w:t>
      </w:r>
      <w:r>
        <w:t xml:space="preserve">he market is moving towards higher energy efficiency </w:t>
      </w:r>
      <w:r w:rsidR="007F7405">
        <w:t xml:space="preserve">lighting </w:t>
      </w:r>
      <w:r>
        <w:t>technology and customer</w:t>
      </w:r>
      <w:r w:rsidR="0052229D">
        <w:t>s</w:t>
      </w:r>
      <w:r>
        <w:t xml:space="preserve"> </w:t>
      </w:r>
      <w:r w:rsidR="007F7405">
        <w:t xml:space="preserve">also </w:t>
      </w:r>
      <w:r>
        <w:t xml:space="preserve">prefer LED lighting. </w:t>
      </w:r>
    </w:p>
    <w:p w:rsidR="00397A2D" w:rsidRDefault="0052229D" w:rsidP="00397A2D">
      <w:pPr>
        <w:pStyle w:val="BodyText"/>
      </w:pPr>
      <w:r>
        <w:t>E</w:t>
      </w:r>
      <w:r w:rsidR="00FA4027">
        <w:t xml:space="preserve">xisting sodium vapor lighting customers can continue </w:t>
      </w:r>
      <w:r>
        <w:t xml:space="preserve">to use them </w:t>
      </w:r>
      <w:r w:rsidR="00FA4027">
        <w:t xml:space="preserve">until </w:t>
      </w:r>
      <w:r>
        <w:t>the fixture fails</w:t>
      </w:r>
      <w:r w:rsidR="00FA4027">
        <w:t xml:space="preserve"> </w:t>
      </w:r>
      <w:r w:rsidR="00CB5341">
        <w:t>or</w:t>
      </w:r>
      <w:r>
        <w:t xml:space="preserve"> </w:t>
      </w:r>
      <w:r w:rsidR="00C94AEB">
        <w:t>the damaged fixture</w:t>
      </w:r>
      <w:r w:rsidR="00FA4027">
        <w:t xml:space="preserve"> </w:t>
      </w:r>
      <w:r w:rsidR="00C94AEB">
        <w:t xml:space="preserve">needs </w:t>
      </w:r>
      <w:r w:rsidR="00FA4027" w:rsidRPr="007F7405">
        <w:t>repair</w:t>
      </w:r>
      <w:r w:rsidR="00C94AEB">
        <w:t xml:space="preserve"> along with the replacement of the ballast. </w:t>
      </w:r>
      <w:r w:rsidR="00FA4027">
        <w:t xml:space="preserve">At that time, </w:t>
      </w:r>
      <w:r w:rsidR="00A73431">
        <w:t xml:space="preserve">DEF explained that it will work with </w:t>
      </w:r>
      <w:r w:rsidR="00E23A27">
        <w:t xml:space="preserve">the </w:t>
      </w:r>
      <w:r w:rsidR="00A73431">
        <w:t xml:space="preserve">customer to find a sodium vapor fixture that matches what is currently in the neighborhood or replace </w:t>
      </w:r>
      <w:r w:rsidR="00FA4027">
        <w:t>the sodium vapor fixture with a comparable LED fixture</w:t>
      </w:r>
      <w:r w:rsidR="00A73431">
        <w:t>. DEF stated that as manufacturers continue to transition away from sodium vapor lights towards LED</w:t>
      </w:r>
      <w:r w:rsidR="00093CC0">
        <w:t xml:space="preserve"> fixtures</w:t>
      </w:r>
      <w:r w:rsidR="00A73431">
        <w:t>, finding a matching sodium vapor fixture may become increasingly difficult.</w:t>
      </w:r>
      <w:r w:rsidR="00397A2D">
        <w:t xml:space="preserve"> </w:t>
      </w:r>
    </w:p>
    <w:p w:rsidR="00142E36" w:rsidRDefault="00E23B18" w:rsidP="00142E36">
      <w:pPr>
        <w:pStyle w:val="BodyText"/>
      </w:pPr>
      <w:r>
        <w:t>Third</w:t>
      </w:r>
      <w:r w:rsidR="00F04F3D">
        <w:t xml:space="preserve">, </w:t>
      </w:r>
      <w:r w:rsidR="000B2C36">
        <w:t xml:space="preserve">in order </w:t>
      </w:r>
      <w:r w:rsidR="000B2C36" w:rsidRPr="00142E36">
        <w:t xml:space="preserve">to </w:t>
      </w:r>
      <w:r w:rsidR="00AA378E">
        <w:t>expand the</w:t>
      </w:r>
      <w:r w:rsidR="000B2C36" w:rsidRPr="00142E36">
        <w:t xml:space="preserve"> </w:t>
      </w:r>
      <w:r w:rsidR="000B2C36">
        <w:t xml:space="preserve">fixture and </w:t>
      </w:r>
      <w:r w:rsidR="000B2C36" w:rsidRPr="00142E36">
        <w:t xml:space="preserve">pole </w:t>
      </w:r>
      <w:r w:rsidR="000B2C36">
        <w:t>options</w:t>
      </w:r>
      <w:r w:rsidR="00AA378E">
        <w:t xml:space="preserve"> available to customers</w:t>
      </w:r>
      <w:r w:rsidR="000B2C36">
        <w:t xml:space="preserve">, </w:t>
      </w:r>
      <w:r w:rsidR="00F04F3D">
        <w:t xml:space="preserve">DEF proposed to add </w:t>
      </w:r>
      <w:r w:rsidR="00CC5100">
        <w:t>several</w:t>
      </w:r>
      <w:r w:rsidR="00142E36">
        <w:t xml:space="preserve"> new LED fixtures and </w:t>
      </w:r>
      <w:r w:rsidR="00142E36" w:rsidRPr="00142E36">
        <w:t xml:space="preserve">pole </w:t>
      </w:r>
      <w:r w:rsidR="00CC5100">
        <w:t>options</w:t>
      </w:r>
      <w:r w:rsidR="000B2C36">
        <w:t xml:space="preserve"> to its existing offerings</w:t>
      </w:r>
      <w:r w:rsidR="008B319A">
        <w:t xml:space="preserve">. The </w:t>
      </w:r>
      <w:r w:rsidR="00CC5100">
        <w:t xml:space="preserve">proposed </w:t>
      </w:r>
      <w:r w:rsidR="008B319A">
        <w:t>new fixtures and poles are shown</w:t>
      </w:r>
      <w:r w:rsidR="00932176">
        <w:t xml:space="preserve"> in revised </w:t>
      </w:r>
      <w:r w:rsidR="00AC04BD">
        <w:t>T</w:t>
      </w:r>
      <w:r w:rsidR="00932176">
        <w:t xml:space="preserve">ariff </w:t>
      </w:r>
      <w:r w:rsidR="00AC04BD">
        <w:t>S</w:t>
      </w:r>
      <w:r w:rsidR="00932176">
        <w:t xml:space="preserve">heet Nos. </w:t>
      </w:r>
      <w:r w:rsidR="008B319A">
        <w:t xml:space="preserve">6.2811, 6.2812, </w:t>
      </w:r>
      <w:r w:rsidR="00932176">
        <w:t>6.282 and 6.2821</w:t>
      </w:r>
      <w:r w:rsidR="00142E36" w:rsidRPr="00142E36">
        <w:t>.</w:t>
      </w:r>
    </w:p>
    <w:p w:rsidR="00397A2D" w:rsidRDefault="00397A2D" w:rsidP="00397A2D">
      <w:pPr>
        <w:pStyle w:val="BodyText"/>
      </w:pPr>
      <w:r>
        <w:lastRenderedPageBreak/>
        <w:t xml:space="preserve">The </w:t>
      </w:r>
      <w:r w:rsidR="009A4A61">
        <w:t>utility</w:t>
      </w:r>
      <w:r>
        <w:t xml:space="preserve"> provided cost support information for the newly introduced LED fixtures</w:t>
      </w:r>
      <w:r w:rsidR="007C1F2F">
        <w:t xml:space="preserve"> and poles</w:t>
      </w:r>
      <w:r>
        <w:t xml:space="preserve">. </w:t>
      </w:r>
      <w:r w:rsidRPr="00C72AC2">
        <w:t>The charges for the LED fixtures are comprised of three components: a fixture charge, a maintenance charge, and a non-fuel energy charge, consistent with DEF’s other lighting options.</w:t>
      </w:r>
      <w:r w:rsidRPr="006E7627">
        <w:rPr>
          <w:highlight w:val="yellow"/>
        </w:rPr>
        <w:t xml:space="preserve">  </w:t>
      </w:r>
      <w:r w:rsidRPr="005A68D6">
        <w:t>The fixture charges were developed based on material,</w:t>
      </w:r>
      <w:r w:rsidR="00FB096E">
        <w:t xml:space="preserve"> </w:t>
      </w:r>
      <w:r w:rsidR="00D94FB5">
        <w:t xml:space="preserve">design, </w:t>
      </w:r>
      <w:r w:rsidRPr="005A68D6">
        <w:t xml:space="preserve">labor, storage, and vehicle costs associated with the installation </w:t>
      </w:r>
      <w:r w:rsidR="009A4A61">
        <w:t>multiplied by</w:t>
      </w:r>
      <w:r w:rsidRPr="005A68D6">
        <w:t xml:space="preserve"> the currently approved 1.59 percent fixture rental rate to determine the monthly fixture charge. The maintenance charges were developed based on DEF’s estimated maintenance cost for the components (e.g., driver, photo</w:t>
      </w:r>
      <w:r w:rsidR="00FB096E">
        <w:t xml:space="preserve"> control,</w:t>
      </w:r>
      <w:r w:rsidRPr="005A68D6">
        <w:t xml:space="preserve"> luminaire) of the fixtures. The non-fuel energy charge is determined by multiplying the estimated kilowatt-hour usage by fixture type by the currently approved non-fuel energy charge for lighting service (2.547 cents per kilowatt-hour). All other Commission-approved LS-1 recovery clause factors will be applied to the estimated usage</w:t>
      </w:r>
      <w:r>
        <w:t>.</w:t>
      </w:r>
      <w:r w:rsidR="00E23A27">
        <w:t xml:space="preserve"> </w:t>
      </w:r>
    </w:p>
    <w:p w:rsidR="008E4591" w:rsidRDefault="008E4591" w:rsidP="00397A2D">
      <w:pPr>
        <w:pStyle w:val="BodyText"/>
      </w:pPr>
      <w:r>
        <w:t xml:space="preserve">The monthly pole charges were developed based </w:t>
      </w:r>
      <w:r w:rsidR="00F63889">
        <w:t>on the material cost</w:t>
      </w:r>
      <w:r w:rsidR="006F45BD">
        <w:t>s</w:t>
      </w:r>
      <w:r w:rsidR="00F63889">
        <w:t xml:space="preserve"> and DEF’s labor rates to install </w:t>
      </w:r>
      <w:r w:rsidR="007803A5">
        <w:t xml:space="preserve">a pole </w:t>
      </w:r>
      <w:r w:rsidR="009A4A61">
        <w:t>multiplied by</w:t>
      </w:r>
      <w:r w:rsidR="00F63889">
        <w:t xml:space="preserve"> the currently approved 1.82 percent pole rental rate.</w:t>
      </w:r>
      <w:r w:rsidR="007803A5">
        <w:t xml:space="preserve"> The new pole types are aluminum or concrete. </w:t>
      </w:r>
    </w:p>
    <w:p w:rsidR="00E23B18" w:rsidRDefault="00E23B18" w:rsidP="00397A2D">
      <w:pPr>
        <w:pStyle w:val="BodyText"/>
      </w:pPr>
      <w:r>
        <w:t>Finally, DEF proposed to update Note 2 under Notes to Per Unit Charges on revised tariff sheet No. 6.283. The proposed revision will make the note more applicable to LED lighting fixtures</w:t>
      </w:r>
      <w:r w:rsidR="00C94AEB">
        <w:t>,</w:t>
      </w:r>
      <w:r>
        <w:t xml:space="preserve"> which do not contain ballasts</w:t>
      </w:r>
      <w:r w:rsidR="00C94AEB">
        <w:t>,</w:t>
      </w:r>
      <w:r>
        <w:t xml:space="preserve"> and state that the wattage</w:t>
      </w:r>
      <w:r w:rsidR="00C94AEB">
        <w:t xml:space="preserve"> ratings</w:t>
      </w:r>
      <w:r>
        <w:t xml:space="preserve"> may vary </w:t>
      </w:r>
      <w:r w:rsidR="00C94AEB">
        <w:t>with lamp configuration.</w:t>
      </w:r>
    </w:p>
    <w:p w:rsidR="00AA6B4B" w:rsidRDefault="00AA6B4B" w:rsidP="00AA6B4B">
      <w:pPr>
        <w:pStyle w:val="First-LevelSubheading"/>
      </w:pPr>
      <w:r>
        <w:t xml:space="preserve">Conclusion </w:t>
      </w:r>
    </w:p>
    <w:p w:rsidR="00E06484" w:rsidRDefault="00A826E3" w:rsidP="00A826E3">
      <w:pPr>
        <w:pStyle w:val="BodyText"/>
      </w:pPr>
      <w:r w:rsidRPr="00E821A9">
        <w:t>S</w:t>
      </w:r>
      <w:r w:rsidRPr="00B41F44">
        <w:t>taff</w:t>
      </w:r>
      <w:r>
        <w:t xml:space="preserve"> reviewed the </w:t>
      </w:r>
      <w:r w:rsidR="008B319A">
        <w:t>petition, data responses</w:t>
      </w:r>
      <w:r w:rsidR="000B2C36">
        <w:t>,</w:t>
      </w:r>
      <w:r w:rsidR="008B319A">
        <w:t xml:space="preserve"> and </w:t>
      </w:r>
      <w:r w:rsidR="000B2C36">
        <w:t xml:space="preserve">the </w:t>
      </w:r>
      <w:r>
        <w:t xml:space="preserve">necessary cost </w:t>
      </w:r>
      <w:r w:rsidR="008B319A">
        <w:t xml:space="preserve">support </w:t>
      </w:r>
      <w:r>
        <w:t xml:space="preserve">information submitted by DEF, and believes the charges are reasonable and appropriate. </w:t>
      </w:r>
      <w:r w:rsidR="00A73431">
        <w:t xml:space="preserve">The proposed new LED fixture and pole options are cost based and expand the fixture and pole options available to customers. Closing the current metal halide and sodium vapor options to new customers allows DEF to </w:t>
      </w:r>
      <w:r w:rsidR="00093CC0">
        <w:t xml:space="preserve">recognize energy efficiencies and </w:t>
      </w:r>
      <w:r w:rsidR="00A73431">
        <w:t xml:space="preserve">technological improvements in the lighting industry. </w:t>
      </w:r>
      <w:r>
        <w:t xml:space="preserve">Staff recommends that DEF’s proposed </w:t>
      </w:r>
      <w:r w:rsidR="00144F14">
        <w:t>modifications</w:t>
      </w:r>
      <w:r>
        <w:t xml:space="preserve"> to its LS-1</w:t>
      </w:r>
      <w:r w:rsidRPr="00575B19">
        <w:t xml:space="preserve"> </w:t>
      </w:r>
      <w:r>
        <w:t xml:space="preserve">rate schedule as shown in Attachment 1 be approved. The revised tariffs should become effective on </w:t>
      </w:r>
      <w:r w:rsidR="00AA6B4B">
        <w:t>March 5, 2019</w:t>
      </w:r>
      <w:r>
        <w:t>.</w:t>
      </w:r>
    </w:p>
    <w:p w:rsidR="00A826E3" w:rsidRDefault="00A826E3">
      <w:pPr>
        <w:pStyle w:val="IssueHeading"/>
        <w:rPr>
          <w:vanish/>
          <w:specVanish/>
        </w:rPr>
      </w:pPr>
      <w:r w:rsidRPr="004C3641">
        <w:rPr>
          <w:b w:val="0"/>
          <w:i w:val="0"/>
        </w:rPr>
        <w:br w:type="page"/>
      </w:r>
      <w:r w:rsidRPr="004C3641">
        <w:lastRenderedPageBreak/>
        <w:t xml:space="preserve">Issue </w:t>
      </w:r>
      <w:r w:rsidR="00F20AA5">
        <w:fldChar w:fldCharType="begin"/>
      </w:r>
      <w:r w:rsidR="00F20AA5">
        <w:instrText xml:space="preserve"> SEQ Issue \* MERGEFORMAT</w:instrText>
      </w:r>
      <w:r w:rsidR="00F20AA5">
        <w:instrText xml:space="preserve"> </w:instrText>
      </w:r>
      <w:r w:rsidR="00F20AA5">
        <w:fldChar w:fldCharType="separate"/>
      </w:r>
      <w:r w:rsidR="00ED47D3">
        <w:rPr>
          <w:noProof/>
        </w:rPr>
        <w:t>2</w:t>
      </w:r>
      <w:r w:rsidR="00F20AA5">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ED47D3">
        <w:rPr>
          <w:noProof/>
        </w:rPr>
        <w:instrText>2</w:instrText>
      </w:r>
      <w:r>
        <w:fldChar w:fldCharType="end"/>
      </w:r>
      <w:r>
        <w:tab/>
        <w:instrText xml:space="preserve">(Simmons)" \l 1 </w:instrText>
      </w:r>
      <w:r>
        <w:fldChar w:fldCharType="end"/>
      </w:r>
      <w:r>
        <w:t> </w:t>
      </w:r>
    </w:p>
    <w:p w:rsidR="00A826E3" w:rsidRDefault="00A826E3">
      <w:pPr>
        <w:pStyle w:val="BodyText"/>
      </w:pPr>
      <w:r>
        <w:t> Should this docket be closed?</w:t>
      </w:r>
    </w:p>
    <w:p w:rsidR="00A826E3" w:rsidRPr="004C3641" w:rsidRDefault="00A826E3">
      <w:pPr>
        <w:pStyle w:val="IssueSubsectionHeading"/>
        <w:rPr>
          <w:vanish/>
          <w:specVanish/>
        </w:rPr>
      </w:pPr>
      <w:r w:rsidRPr="004C3641">
        <w:t>Recommendation: </w:t>
      </w:r>
    </w:p>
    <w:p w:rsidR="00A826E3" w:rsidRDefault="00A826E3">
      <w:pPr>
        <w:pStyle w:val="BodyText"/>
      </w:pPr>
      <w:r>
        <w:t> </w:t>
      </w:r>
      <w:r w:rsidRPr="002806D8">
        <w:t xml:space="preserve">If a protest is filed within 21 days of the issuance of the order, the </w:t>
      </w:r>
      <w:r>
        <w:t>tariffs</w:t>
      </w:r>
      <w:r w:rsidRPr="002806D8">
        <w:t xml:space="preserve"> should remain in effect, with any revenues held subject to refund, pending resolution</w:t>
      </w:r>
      <w:r>
        <w:t xml:space="preserve"> </w:t>
      </w:r>
      <w:r w:rsidRPr="002806D8">
        <w:t>of</w:t>
      </w:r>
      <w:r>
        <w:t xml:space="preserve"> </w:t>
      </w:r>
      <w:r w:rsidRPr="002806D8">
        <w:t>the protest. If no timely protest is filed, this docket should be closed upon the issuance of a consummating order.</w:t>
      </w:r>
      <w:r>
        <w:t xml:space="preserve"> (Simmons)</w:t>
      </w:r>
    </w:p>
    <w:p w:rsidR="00A826E3" w:rsidRPr="004C3641" w:rsidRDefault="00A826E3">
      <w:pPr>
        <w:pStyle w:val="IssueSubsectionHeading"/>
        <w:rPr>
          <w:vanish/>
          <w:specVanish/>
        </w:rPr>
      </w:pPr>
      <w:r w:rsidRPr="004C3641">
        <w:t>Staff Analysis: </w:t>
      </w:r>
    </w:p>
    <w:p w:rsidR="00A826E3" w:rsidRDefault="00A826E3">
      <w:pPr>
        <w:pStyle w:val="BodyText"/>
      </w:pPr>
      <w:r>
        <w:t> If a protest is filed within 21 days of the issuance of the order, the tariffs should remain in effect, with any revenues held subject to refund, pending resolution of the protests. If no timely protest is filed, this docket should be closed upon the issuance of a consummating order.</w:t>
      </w:r>
    </w:p>
    <w:p w:rsidR="00A826E3" w:rsidRDefault="00A826E3">
      <w:pPr>
        <w:pStyle w:val="BodyText"/>
      </w:pPr>
    </w:p>
    <w:p w:rsidR="00B776B4" w:rsidRDefault="00B776B4" w:rsidP="00A826E3">
      <w:pPr>
        <w:pStyle w:val="BodyText"/>
        <w:sectPr w:rsidR="00B776B4"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p>
    <w:p w:rsidR="00A826E3" w:rsidRDefault="009863CE" w:rsidP="00A826E3">
      <w:pPr>
        <w:pStyle w:val="BodyText"/>
      </w:pPr>
      <w:r>
        <w:rPr>
          <w:noProof/>
        </w:rPr>
        <w:lastRenderedPageBreak/>
        <w:drawing>
          <wp:inline distT="0" distB="0" distL="0" distR="0">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12-2019_Page_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12-2019_Page_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12-2019_Page_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12-2019_Page_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12-2019_Page_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12-2019_Page_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12-2019_Page_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12-2019_Page_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12-2019_Page_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A826E3" w:rsidSect="0068481F">
      <w:headerReference w:type="default" r:id="rId24"/>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4185" w:rsidRDefault="00AE4185">
      <w:r>
        <w:separator/>
      </w:r>
    </w:p>
  </w:endnote>
  <w:endnote w:type="continuationSeparator" w:id="0">
    <w:p w:rsidR="00AE4185" w:rsidRDefault="00AE4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A82B0E">
      <w:rPr>
        <w:rStyle w:val="PageNumber"/>
        <w:noProof/>
      </w:rPr>
      <w:t>13</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4185" w:rsidRDefault="00AE4185">
      <w:r>
        <w:separator/>
      </w:r>
    </w:p>
  </w:footnote>
  <w:footnote w:type="continuationSeparator" w:id="0">
    <w:p w:rsidR="00AE4185" w:rsidRDefault="00AE41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AE4185"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20190023-EI</w:t>
    </w:r>
    <w:bookmarkEnd w:id="15"/>
  </w:p>
  <w:p w:rsidR="00BC402E" w:rsidRDefault="00BC402E">
    <w:pPr>
      <w:pStyle w:val="Header"/>
    </w:pPr>
    <w:r>
      <w:t xml:space="preserve">Date: </w:t>
    </w:r>
    <w:r w:rsidR="00F20AA5">
      <w:fldChar w:fldCharType="begin"/>
    </w:r>
    <w:r w:rsidR="00F20AA5">
      <w:instrText xml:space="preserve"> REF FilingDate </w:instrText>
    </w:r>
    <w:r w:rsidR="00F20AA5">
      <w:fldChar w:fldCharType="separate"/>
    </w:r>
    <w:r w:rsidR="00ED47D3">
      <w:t>February 21, 2019</w:t>
    </w:r>
    <w:r w:rsidR="00F20AA5">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ED47D3">
      <w:t>Docket No.</w:t>
    </w:r>
    <w:r>
      <w:fldChar w:fldCharType="end"/>
    </w:r>
    <w:r>
      <w:t xml:space="preserve"> </w:t>
    </w:r>
    <w:r>
      <w:fldChar w:fldCharType="begin"/>
    </w:r>
    <w:r>
      <w:instrText xml:space="preserve"> REF DocketList</w:instrText>
    </w:r>
    <w:r>
      <w:fldChar w:fldCharType="separate"/>
    </w:r>
    <w:r w:rsidR="00ED47D3">
      <w:t>20190023-EI</w:t>
    </w:r>
    <w:r>
      <w:fldChar w:fldCharType="end"/>
    </w:r>
    <w:r>
      <w:tab/>
      <w:t xml:space="preserve">Issue </w:t>
    </w:r>
    <w:r w:rsidR="00F20AA5">
      <w:fldChar w:fldCharType="begin"/>
    </w:r>
    <w:r w:rsidR="00F20AA5">
      <w:instrText xml:space="preserve"> Seq </w:instrText>
    </w:r>
    <w:r w:rsidR="00F20AA5">
      <w:instrText xml:space="preserve">Issue \c \* Arabic </w:instrText>
    </w:r>
    <w:r w:rsidR="00F20AA5">
      <w:fldChar w:fldCharType="separate"/>
    </w:r>
    <w:r w:rsidR="00A82B0E">
      <w:rPr>
        <w:noProof/>
      </w:rPr>
      <w:t>2</w:t>
    </w:r>
    <w:r w:rsidR="00F20AA5">
      <w:rPr>
        <w:noProof/>
      </w:rPr>
      <w:fldChar w:fldCharType="end"/>
    </w:r>
  </w:p>
  <w:p w:rsidR="00BC402E" w:rsidRDefault="00BC402E">
    <w:pPr>
      <w:pStyle w:val="Header"/>
    </w:pPr>
    <w:r>
      <w:t xml:space="preserve">Date: </w:t>
    </w:r>
    <w:r w:rsidR="00F20AA5">
      <w:fldChar w:fldCharType="begin"/>
    </w:r>
    <w:r w:rsidR="00F20AA5">
      <w:instrText xml:space="preserve"> REF FilingDate </w:instrText>
    </w:r>
    <w:r w:rsidR="00F20AA5">
      <w:fldChar w:fldCharType="separate"/>
    </w:r>
    <w:r w:rsidR="00ED47D3">
      <w:t>February 21, 2019</w:t>
    </w:r>
    <w:r w:rsidR="00F20AA5">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6B4" w:rsidRDefault="00B776B4" w:rsidP="00220732">
    <w:pPr>
      <w:pStyle w:val="Header"/>
      <w:tabs>
        <w:tab w:val="clear" w:pos="4320"/>
        <w:tab w:val="clear" w:pos="8640"/>
        <w:tab w:val="right" w:pos="9360"/>
      </w:tabs>
    </w:pPr>
    <w:r>
      <w:fldChar w:fldCharType="begin"/>
    </w:r>
    <w:r>
      <w:instrText xml:space="preserve"> REF DocketLabel</w:instrText>
    </w:r>
    <w:r>
      <w:fldChar w:fldCharType="separate"/>
    </w:r>
    <w:r w:rsidR="00ED47D3">
      <w:t>Docket No.</w:t>
    </w:r>
    <w:r>
      <w:fldChar w:fldCharType="end"/>
    </w:r>
    <w:r>
      <w:t xml:space="preserve"> </w:t>
    </w:r>
    <w:r>
      <w:fldChar w:fldCharType="begin"/>
    </w:r>
    <w:r>
      <w:instrText xml:space="preserve"> REF DocketList</w:instrText>
    </w:r>
    <w:r>
      <w:fldChar w:fldCharType="separate"/>
    </w:r>
    <w:r w:rsidR="00ED47D3">
      <w:t>20190023-EI</w:t>
    </w:r>
    <w:r>
      <w:fldChar w:fldCharType="end"/>
    </w:r>
    <w:r>
      <w:tab/>
      <w:t>Attachment 1</w:t>
    </w:r>
  </w:p>
  <w:p w:rsidR="00B776B4" w:rsidRDefault="00B776B4">
    <w:pPr>
      <w:pStyle w:val="Header"/>
    </w:pPr>
    <w:r>
      <w:t xml:space="preserve">Date: </w:t>
    </w:r>
    <w:r w:rsidR="00F20AA5">
      <w:fldChar w:fldCharType="begin"/>
    </w:r>
    <w:r w:rsidR="00F20AA5">
      <w:instrText xml:space="preserve"> REF FilingDate </w:instrText>
    </w:r>
    <w:r w:rsidR="00F20AA5">
      <w:fldChar w:fldCharType="separate"/>
    </w:r>
    <w:r w:rsidR="00ED47D3">
      <w:t>February 21, 2019</w:t>
    </w:r>
    <w:r w:rsidR="00F20AA5">
      <w:fldChar w:fldCharType="end"/>
    </w:r>
    <w:r w:rsidR="00F96B7E">
      <w:tab/>
    </w:r>
    <w:r w:rsidR="00F96B7E">
      <w:tab/>
    </w:r>
    <w:r w:rsidR="00AD09E3">
      <w:t xml:space="preserve">                                                              Page </w:t>
    </w:r>
    <w:r w:rsidR="00F96B7E">
      <w:fldChar w:fldCharType="begin"/>
    </w:r>
    <w:r w:rsidR="00F96B7E">
      <w:instrText>=</w:instrText>
    </w:r>
    <w:r w:rsidR="00F96B7E">
      <w:fldChar w:fldCharType="begin"/>
    </w:r>
    <w:r w:rsidR="00F96B7E">
      <w:instrText>Page</w:instrText>
    </w:r>
    <w:r w:rsidR="00F96B7E">
      <w:fldChar w:fldCharType="separate"/>
    </w:r>
    <w:r w:rsidR="00A82B0E">
      <w:rPr>
        <w:noProof/>
      </w:rPr>
      <w:instrText>13</w:instrText>
    </w:r>
    <w:r w:rsidR="00F96B7E">
      <w:fldChar w:fldCharType="end"/>
    </w:r>
    <w:r w:rsidR="00F96B7E">
      <w:instrText>- 4</w:instrText>
    </w:r>
    <w:r w:rsidR="00F96B7E">
      <w:fldChar w:fldCharType="separate"/>
    </w:r>
    <w:r w:rsidR="00A82B0E">
      <w:rPr>
        <w:noProof/>
      </w:rPr>
      <w:t>9</w:t>
    </w:r>
    <w:r w:rsidR="00F96B7E">
      <w:fldChar w:fldCharType="end"/>
    </w:r>
    <w:r w:rsidR="00F96B7E">
      <w:t xml:space="preserve"> of 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4710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AE4185"/>
    <w:rsid w:val="000043D5"/>
    <w:rsid w:val="00006170"/>
    <w:rsid w:val="00010E37"/>
    <w:rsid w:val="000172DA"/>
    <w:rsid w:val="000247C5"/>
    <w:rsid w:val="000277C2"/>
    <w:rsid w:val="00035B48"/>
    <w:rsid w:val="00036CE2"/>
    <w:rsid w:val="000437FE"/>
    <w:rsid w:val="000513BE"/>
    <w:rsid w:val="00065A06"/>
    <w:rsid w:val="000666F3"/>
    <w:rsid w:val="00070DCB"/>
    <w:rsid w:val="00072CCA"/>
    <w:rsid w:val="00073120"/>
    <w:rsid w:val="000764D0"/>
    <w:rsid w:val="000828D3"/>
    <w:rsid w:val="00093CC0"/>
    <w:rsid w:val="000A2B57"/>
    <w:rsid w:val="000A418B"/>
    <w:rsid w:val="000B2C36"/>
    <w:rsid w:val="000B790B"/>
    <w:rsid w:val="000C4431"/>
    <w:rsid w:val="000D1C06"/>
    <w:rsid w:val="000D4319"/>
    <w:rsid w:val="000E21B7"/>
    <w:rsid w:val="000F374A"/>
    <w:rsid w:val="001076AF"/>
    <w:rsid w:val="00114594"/>
    <w:rsid w:val="00117C8C"/>
    <w:rsid w:val="00124E2E"/>
    <w:rsid w:val="00125D19"/>
    <w:rsid w:val="00125ED4"/>
    <w:rsid w:val="001305E9"/>
    <w:rsid w:val="001307AF"/>
    <w:rsid w:val="00133D43"/>
    <w:rsid w:val="00135687"/>
    <w:rsid w:val="00142E36"/>
    <w:rsid w:val="00144F14"/>
    <w:rsid w:val="0015506E"/>
    <w:rsid w:val="00163031"/>
    <w:rsid w:val="00171A90"/>
    <w:rsid w:val="00180254"/>
    <w:rsid w:val="00180A80"/>
    <w:rsid w:val="00191E1F"/>
    <w:rsid w:val="00192943"/>
    <w:rsid w:val="001A7406"/>
    <w:rsid w:val="001B4FEE"/>
    <w:rsid w:val="001B51C5"/>
    <w:rsid w:val="001B6F3F"/>
    <w:rsid w:val="001C52B5"/>
    <w:rsid w:val="001D0D3E"/>
    <w:rsid w:val="001F2245"/>
    <w:rsid w:val="001F2C63"/>
    <w:rsid w:val="001F48C7"/>
    <w:rsid w:val="001F6DA1"/>
    <w:rsid w:val="0020095E"/>
    <w:rsid w:val="002044E6"/>
    <w:rsid w:val="00205C82"/>
    <w:rsid w:val="00205DC2"/>
    <w:rsid w:val="00212B17"/>
    <w:rsid w:val="002163B6"/>
    <w:rsid w:val="00220732"/>
    <w:rsid w:val="00221D32"/>
    <w:rsid w:val="00225C3F"/>
    <w:rsid w:val="00263D44"/>
    <w:rsid w:val="0026782C"/>
    <w:rsid w:val="002702AD"/>
    <w:rsid w:val="002824B9"/>
    <w:rsid w:val="00283BA2"/>
    <w:rsid w:val="00292D82"/>
    <w:rsid w:val="002963CB"/>
    <w:rsid w:val="00297141"/>
    <w:rsid w:val="002D226D"/>
    <w:rsid w:val="002F6030"/>
    <w:rsid w:val="003037E1"/>
    <w:rsid w:val="0030460D"/>
    <w:rsid w:val="0030561F"/>
    <w:rsid w:val="00307E51"/>
    <w:rsid w:val="003103EC"/>
    <w:rsid w:val="003144EF"/>
    <w:rsid w:val="00316E13"/>
    <w:rsid w:val="00322F74"/>
    <w:rsid w:val="00340073"/>
    <w:rsid w:val="003632FD"/>
    <w:rsid w:val="00372805"/>
    <w:rsid w:val="00373180"/>
    <w:rsid w:val="00373D38"/>
    <w:rsid w:val="00375AB9"/>
    <w:rsid w:val="003821A0"/>
    <w:rsid w:val="00385B04"/>
    <w:rsid w:val="003864CF"/>
    <w:rsid w:val="00397A2D"/>
    <w:rsid w:val="003A22A6"/>
    <w:rsid w:val="003A3E26"/>
    <w:rsid w:val="003A5494"/>
    <w:rsid w:val="003B2510"/>
    <w:rsid w:val="003C2CC4"/>
    <w:rsid w:val="003C3710"/>
    <w:rsid w:val="003E0EFC"/>
    <w:rsid w:val="003E4A2B"/>
    <w:rsid w:val="003E76C2"/>
    <w:rsid w:val="003F1679"/>
    <w:rsid w:val="003F21EB"/>
    <w:rsid w:val="003F4A35"/>
    <w:rsid w:val="003F7FDD"/>
    <w:rsid w:val="00402481"/>
    <w:rsid w:val="004042B4"/>
    <w:rsid w:val="00410DC4"/>
    <w:rsid w:val="00412DAE"/>
    <w:rsid w:val="004242E6"/>
    <w:rsid w:val="00431598"/>
    <w:rsid w:val="004319AD"/>
    <w:rsid w:val="004426B8"/>
    <w:rsid w:val="00444432"/>
    <w:rsid w:val="00471860"/>
    <w:rsid w:val="00477026"/>
    <w:rsid w:val="004A744D"/>
    <w:rsid w:val="004B5566"/>
    <w:rsid w:val="004B60BD"/>
    <w:rsid w:val="004C3150"/>
    <w:rsid w:val="004C3641"/>
    <w:rsid w:val="004C4390"/>
    <w:rsid w:val="004C4AF7"/>
    <w:rsid w:val="004D2881"/>
    <w:rsid w:val="004D385F"/>
    <w:rsid w:val="004D5B39"/>
    <w:rsid w:val="004E1258"/>
    <w:rsid w:val="004E330D"/>
    <w:rsid w:val="004E373A"/>
    <w:rsid w:val="004E5147"/>
    <w:rsid w:val="004E69B5"/>
    <w:rsid w:val="004F5C43"/>
    <w:rsid w:val="0050652D"/>
    <w:rsid w:val="00506C03"/>
    <w:rsid w:val="00511A11"/>
    <w:rsid w:val="00516496"/>
    <w:rsid w:val="0052229D"/>
    <w:rsid w:val="00523B11"/>
    <w:rsid w:val="0052572A"/>
    <w:rsid w:val="00543CB3"/>
    <w:rsid w:val="005442E4"/>
    <w:rsid w:val="0054765D"/>
    <w:rsid w:val="0055529B"/>
    <w:rsid w:val="00560FF0"/>
    <w:rsid w:val="005614BD"/>
    <w:rsid w:val="0057154F"/>
    <w:rsid w:val="00580F69"/>
    <w:rsid w:val="00581CA3"/>
    <w:rsid w:val="00587A44"/>
    <w:rsid w:val="00597730"/>
    <w:rsid w:val="005977EC"/>
    <w:rsid w:val="00597DE7"/>
    <w:rsid w:val="005A4AA2"/>
    <w:rsid w:val="005A68D6"/>
    <w:rsid w:val="005B34B6"/>
    <w:rsid w:val="005B6C8F"/>
    <w:rsid w:val="005B6EC3"/>
    <w:rsid w:val="005D0F74"/>
    <w:rsid w:val="005D2E7D"/>
    <w:rsid w:val="005D4A8F"/>
    <w:rsid w:val="005D561B"/>
    <w:rsid w:val="005D5ECF"/>
    <w:rsid w:val="005F468D"/>
    <w:rsid w:val="005F69A3"/>
    <w:rsid w:val="00604CC7"/>
    <w:rsid w:val="00615423"/>
    <w:rsid w:val="006165B2"/>
    <w:rsid w:val="00617276"/>
    <w:rsid w:val="0062527B"/>
    <w:rsid w:val="00625D97"/>
    <w:rsid w:val="00625F1C"/>
    <w:rsid w:val="006279E1"/>
    <w:rsid w:val="00630CEB"/>
    <w:rsid w:val="00632264"/>
    <w:rsid w:val="006470BC"/>
    <w:rsid w:val="00653AEC"/>
    <w:rsid w:val="006554D3"/>
    <w:rsid w:val="00667036"/>
    <w:rsid w:val="00673BDB"/>
    <w:rsid w:val="00674341"/>
    <w:rsid w:val="006771B8"/>
    <w:rsid w:val="006843B6"/>
    <w:rsid w:val="0068481F"/>
    <w:rsid w:val="00696B6E"/>
    <w:rsid w:val="00696F5D"/>
    <w:rsid w:val="00697249"/>
    <w:rsid w:val="006A54CE"/>
    <w:rsid w:val="006B3947"/>
    <w:rsid w:val="006B4293"/>
    <w:rsid w:val="006B624F"/>
    <w:rsid w:val="006C0C95"/>
    <w:rsid w:val="006C31E3"/>
    <w:rsid w:val="006D18D3"/>
    <w:rsid w:val="006E08CB"/>
    <w:rsid w:val="006E598D"/>
    <w:rsid w:val="006E7627"/>
    <w:rsid w:val="006F45BD"/>
    <w:rsid w:val="0070437D"/>
    <w:rsid w:val="00704CF1"/>
    <w:rsid w:val="00705B04"/>
    <w:rsid w:val="007216ED"/>
    <w:rsid w:val="00724992"/>
    <w:rsid w:val="00734820"/>
    <w:rsid w:val="007349DC"/>
    <w:rsid w:val="0074365E"/>
    <w:rsid w:val="00744B55"/>
    <w:rsid w:val="007515FD"/>
    <w:rsid w:val="00760D80"/>
    <w:rsid w:val="007803A5"/>
    <w:rsid w:val="00780C09"/>
    <w:rsid w:val="00780DDF"/>
    <w:rsid w:val="007834E9"/>
    <w:rsid w:val="00787DBC"/>
    <w:rsid w:val="0079019A"/>
    <w:rsid w:val="00792935"/>
    <w:rsid w:val="007A04A1"/>
    <w:rsid w:val="007A1840"/>
    <w:rsid w:val="007C0528"/>
    <w:rsid w:val="007C1F2F"/>
    <w:rsid w:val="007C3D38"/>
    <w:rsid w:val="007D0F35"/>
    <w:rsid w:val="007D4FEB"/>
    <w:rsid w:val="007D6146"/>
    <w:rsid w:val="007D62A4"/>
    <w:rsid w:val="007E0CE7"/>
    <w:rsid w:val="007E4888"/>
    <w:rsid w:val="007F1193"/>
    <w:rsid w:val="007F417F"/>
    <w:rsid w:val="007F7405"/>
    <w:rsid w:val="007F7644"/>
    <w:rsid w:val="008042BD"/>
    <w:rsid w:val="00816624"/>
    <w:rsid w:val="00822427"/>
    <w:rsid w:val="00822562"/>
    <w:rsid w:val="00823663"/>
    <w:rsid w:val="00832DDC"/>
    <w:rsid w:val="00834FA8"/>
    <w:rsid w:val="00850BAC"/>
    <w:rsid w:val="00854A3E"/>
    <w:rsid w:val="00855D08"/>
    <w:rsid w:val="00874344"/>
    <w:rsid w:val="00880621"/>
    <w:rsid w:val="00881494"/>
    <w:rsid w:val="00882155"/>
    <w:rsid w:val="0088233B"/>
    <w:rsid w:val="0088599E"/>
    <w:rsid w:val="00886C37"/>
    <w:rsid w:val="00892D99"/>
    <w:rsid w:val="00893315"/>
    <w:rsid w:val="008B319A"/>
    <w:rsid w:val="008B62AE"/>
    <w:rsid w:val="008C04B5"/>
    <w:rsid w:val="008C14FA"/>
    <w:rsid w:val="008C7B0B"/>
    <w:rsid w:val="008D4057"/>
    <w:rsid w:val="008E1F19"/>
    <w:rsid w:val="008E4591"/>
    <w:rsid w:val="008F2262"/>
    <w:rsid w:val="008F4D2B"/>
    <w:rsid w:val="008F7736"/>
    <w:rsid w:val="0090019E"/>
    <w:rsid w:val="00901086"/>
    <w:rsid w:val="00901C8A"/>
    <w:rsid w:val="00905886"/>
    <w:rsid w:val="009070D6"/>
    <w:rsid w:val="009076C6"/>
    <w:rsid w:val="0091019E"/>
    <w:rsid w:val="009106F1"/>
    <w:rsid w:val="00912404"/>
    <w:rsid w:val="009145D6"/>
    <w:rsid w:val="00920E64"/>
    <w:rsid w:val="00922002"/>
    <w:rsid w:val="00924020"/>
    <w:rsid w:val="009271A7"/>
    <w:rsid w:val="00932176"/>
    <w:rsid w:val="0093658B"/>
    <w:rsid w:val="009429FF"/>
    <w:rsid w:val="00945BD6"/>
    <w:rsid w:val="009479FB"/>
    <w:rsid w:val="00951C45"/>
    <w:rsid w:val="009656F2"/>
    <w:rsid w:val="00966A08"/>
    <w:rsid w:val="00971207"/>
    <w:rsid w:val="00975CB4"/>
    <w:rsid w:val="00985CC9"/>
    <w:rsid w:val="009863B0"/>
    <w:rsid w:val="009863CE"/>
    <w:rsid w:val="00987DE1"/>
    <w:rsid w:val="00990571"/>
    <w:rsid w:val="0099673A"/>
    <w:rsid w:val="009A3330"/>
    <w:rsid w:val="009A4A61"/>
    <w:rsid w:val="009A7C96"/>
    <w:rsid w:val="009C0CDC"/>
    <w:rsid w:val="009C3DB9"/>
    <w:rsid w:val="009D46E5"/>
    <w:rsid w:val="009D568A"/>
    <w:rsid w:val="009E5BAD"/>
    <w:rsid w:val="009F04EC"/>
    <w:rsid w:val="009F2A7C"/>
    <w:rsid w:val="009F3B36"/>
    <w:rsid w:val="00A019B9"/>
    <w:rsid w:val="00A12508"/>
    <w:rsid w:val="00A1282B"/>
    <w:rsid w:val="00A13A27"/>
    <w:rsid w:val="00A175B6"/>
    <w:rsid w:val="00A21835"/>
    <w:rsid w:val="00A2374B"/>
    <w:rsid w:val="00A24DE2"/>
    <w:rsid w:val="00A27D6E"/>
    <w:rsid w:val="00A328EC"/>
    <w:rsid w:val="00A33A51"/>
    <w:rsid w:val="00A41CA6"/>
    <w:rsid w:val="00A47927"/>
    <w:rsid w:val="00A47FFC"/>
    <w:rsid w:val="00A5442F"/>
    <w:rsid w:val="00A54FF9"/>
    <w:rsid w:val="00A56765"/>
    <w:rsid w:val="00A675AC"/>
    <w:rsid w:val="00A73431"/>
    <w:rsid w:val="00A7581F"/>
    <w:rsid w:val="00A826E3"/>
    <w:rsid w:val="00A82B0E"/>
    <w:rsid w:val="00A92FB1"/>
    <w:rsid w:val="00A95A0C"/>
    <w:rsid w:val="00AA2765"/>
    <w:rsid w:val="00AA378E"/>
    <w:rsid w:val="00AA6B4B"/>
    <w:rsid w:val="00AA77B5"/>
    <w:rsid w:val="00AB6C5D"/>
    <w:rsid w:val="00AC04BD"/>
    <w:rsid w:val="00AC3401"/>
    <w:rsid w:val="00AC51A7"/>
    <w:rsid w:val="00AD09E3"/>
    <w:rsid w:val="00AD444B"/>
    <w:rsid w:val="00AD5614"/>
    <w:rsid w:val="00AD6C78"/>
    <w:rsid w:val="00AE2EAB"/>
    <w:rsid w:val="00AE4185"/>
    <w:rsid w:val="00AF114E"/>
    <w:rsid w:val="00AF5F89"/>
    <w:rsid w:val="00AF73CB"/>
    <w:rsid w:val="00B002D6"/>
    <w:rsid w:val="00B03379"/>
    <w:rsid w:val="00B05B51"/>
    <w:rsid w:val="00B14E5A"/>
    <w:rsid w:val="00B15370"/>
    <w:rsid w:val="00B16DA4"/>
    <w:rsid w:val="00B17BEB"/>
    <w:rsid w:val="00B21A3C"/>
    <w:rsid w:val="00B223C0"/>
    <w:rsid w:val="00B234ED"/>
    <w:rsid w:val="00B249B2"/>
    <w:rsid w:val="00B25CA3"/>
    <w:rsid w:val="00B2765A"/>
    <w:rsid w:val="00B3109A"/>
    <w:rsid w:val="00B402FB"/>
    <w:rsid w:val="00B513C3"/>
    <w:rsid w:val="00B516ED"/>
    <w:rsid w:val="00B57A6A"/>
    <w:rsid w:val="00B760F1"/>
    <w:rsid w:val="00B7669E"/>
    <w:rsid w:val="00B769BB"/>
    <w:rsid w:val="00B776B4"/>
    <w:rsid w:val="00B77DA1"/>
    <w:rsid w:val="00B822A0"/>
    <w:rsid w:val="00B858AE"/>
    <w:rsid w:val="00B85964"/>
    <w:rsid w:val="00B96250"/>
    <w:rsid w:val="00BA0D55"/>
    <w:rsid w:val="00BA37B3"/>
    <w:rsid w:val="00BA4CC6"/>
    <w:rsid w:val="00BB3493"/>
    <w:rsid w:val="00BB7468"/>
    <w:rsid w:val="00BC188A"/>
    <w:rsid w:val="00BC402E"/>
    <w:rsid w:val="00BD0F48"/>
    <w:rsid w:val="00BD6405"/>
    <w:rsid w:val="00BE0950"/>
    <w:rsid w:val="00BE6DDB"/>
    <w:rsid w:val="00BF5010"/>
    <w:rsid w:val="00C03D5F"/>
    <w:rsid w:val="00C13791"/>
    <w:rsid w:val="00C31BB3"/>
    <w:rsid w:val="00C31D27"/>
    <w:rsid w:val="00C36977"/>
    <w:rsid w:val="00C467DA"/>
    <w:rsid w:val="00C477D9"/>
    <w:rsid w:val="00C60BA3"/>
    <w:rsid w:val="00C623F7"/>
    <w:rsid w:val="00C72AC2"/>
    <w:rsid w:val="00C75BC5"/>
    <w:rsid w:val="00C81670"/>
    <w:rsid w:val="00C81773"/>
    <w:rsid w:val="00C82861"/>
    <w:rsid w:val="00C86896"/>
    <w:rsid w:val="00C907A8"/>
    <w:rsid w:val="00C93211"/>
    <w:rsid w:val="00C942EC"/>
    <w:rsid w:val="00C94AEB"/>
    <w:rsid w:val="00C96047"/>
    <w:rsid w:val="00C979D0"/>
    <w:rsid w:val="00CA0818"/>
    <w:rsid w:val="00CA15C8"/>
    <w:rsid w:val="00CA2C8F"/>
    <w:rsid w:val="00CA30DA"/>
    <w:rsid w:val="00CA3A24"/>
    <w:rsid w:val="00CB1777"/>
    <w:rsid w:val="00CB33E9"/>
    <w:rsid w:val="00CB5341"/>
    <w:rsid w:val="00CC10A9"/>
    <w:rsid w:val="00CC1ABC"/>
    <w:rsid w:val="00CC5100"/>
    <w:rsid w:val="00CE2BF8"/>
    <w:rsid w:val="00CE484E"/>
    <w:rsid w:val="00CE656F"/>
    <w:rsid w:val="00CF0DA8"/>
    <w:rsid w:val="00CF2E25"/>
    <w:rsid w:val="00CF4453"/>
    <w:rsid w:val="00CF5D94"/>
    <w:rsid w:val="00CF675B"/>
    <w:rsid w:val="00CF7E0F"/>
    <w:rsid w:val="00D034D7"/>
    <w:rsid w:val="00D04BE4"/>
    <w:rsid w:val="00D06FC7"/>
    <w:rsid w:val="00D12565"/>
    <w:rsid w:val="00D14127"/>
    <w:rsid w:val="00D60B16"/>
    <w:rsid w:val="00D60F02"/>
    <w:rsid w:val="00D66E49"/>
    <w:rsid w:val="00D70D71"/>
    <w:rsid w:val="00D72F74"/>
    <w:rsid w:val="00D81563"/>
    <w:rsid w:val="00D85907"/>
    <w:rsid w:val="00D9073E"/>
    <w:rsid w:val="00D9221D"/>
    <w:rsid w:val="00D94FB5"/>
    <w:rsid w:val="00D958DF"/>
    <w:rsid w:val="00D96DA1"/>
    <w:rsid w:val="00DA51E7"/>
    <w:rsid w:val="00DB0260"/>
    <w:rsid w:val="00DB1C78"/>
    <w:rsid w:val="00DB7D96"/>
    <w:rsid w:val="00DC23FE"/>
    <w:rsid w:val="00DC59E6"/>
    <w:rsid w:val="00DD150B"/>
    <w:rsid w:val="00DD5025"/>
    <w:rsid w:val="00DE25FE"/>
    <w:rsid w:val="00DF1510"/>
    <w:rsid w:val="00E02F1F"/>
    <w:rsid w:val="00E06484"/>
    <w:rsid w:val="00E20A7D"/>
    <w:rsid w:val="00E23A27"/>
    <w:rsid w:val="00E23B18"/>
    <w:rsid w:val="00E275D8"/>
    <w:rsid w:val="00E30F6A"/>
    <w:rsid w:val="00E3117C"/>
    <w:rsid w:val="00E375CA"/>
    <w:rsid w:val="00E567E8"/>
    <w:rsid w:val="00E64679"/>
    <w:rsid w:val="00E65EBC"/>
    <w:rsid w:val="00E677FE"/>
    <w:rsid w:val="00E73432"/>
    <w:rsid w:val="00E77B0C"/>
    <w:rsid w:val="00E77FB8"/>
    <w:rsid w:val="00E838B0"/>
    <w:rsid w:val="00E86A7C"/>
    <w:rsid w:val="00E878E1"/>
    <w:rsid w:val="00E87F2C"/>
    <w:rsid w:val="00E95278"/>
    <w:rsid w:val="00EA2273"/>
    <w:rsid w:val="00EA7C3C"/>
    <w:rsid w:val="00EB2099"/>
    <w:rsid w:val="00EB2DB3"/>
    <w:rsid w:val="00EC3FBB"/>
    <w:rsid w:val="00EC6B7A"/>
    <w:rsid w:val="00ED3A87"/>
    <w:rsid w:val="00ED47D3"/>
    <w:rsid w:val="00ED5B67"/>
    <w:rsid w:val="00EF264C"/>
    <w:rsid w:val="00EF3FEE"/>
    <w:rsid w:val="00F04B59"/>
    <w:rsid w:val="00F04F3D"/>
    <w:rsid w:val="00F11741"/>
    <w:rsid w:val="00F125AF"/>
    <w:rsid w:val="00F12B1C"/>
    <w:rsid w:val="00F13CF8"/>
    <w:rsid w:val="00F14059"/>
    <w:rsid w:val="00F15855"/>
    <w:rsid w:val="00F227DC"/>
    <w:rsid w:val="00F25E03"/>
    <w:rsid w:val="00F32978"/>
    <w:rsid w:val="00F43332"/>
    <w:rsid w:val="00F45CB2"/>
    <w:rsid w:val="00F544C0"/>
    <w:rsid w:val="00F55332"/>
    <w:rsid w:val="00F63889"/>
    <w:rsid w:val="00F6504A"/>
    <w:rsid w:val="00F65519"/>
    <w:rsid w:val="00F713C0"/>
    <w:rsid w:val="00F75DDC"/>
    <w:rsid w:val="00F7792F"/>
    <w:rsid w:val="00F842AA"/>
    <w:rsid w:val="00F8476F"/>
    <w:rsid w:val="00F853E1"/>
    <w:rsid w:val="00F85604"/>
    <w:rsid w:val="00F94B7A"/>
    <w:rsid w:val="00F96B7E"/>
    <w:rsid w:val="00FA17AC"/>
    <w:rsid w:val="00FA32DE"/>
    <w:rsid w:val="00FA3382"/>
    <w:rsid w:val="00FA4027"/>
    <w:rsid w:val="00FA59CD"/>
    <w:rsid w:val="00FB096E"/>
    <w:rsid w:val="00FB1740"/>
    <w:rsid w:val="00FC5469"/>
    <w:rsid w:val="00FC6D7D"/>
    <w:rsid w:val="00FD16B0"/>
    <w:rsid w:val="00FD4FED"/>
    <w:rsid w:val="00FE057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customStyle="1" w:styleId="ilfuvd">
    <w:name w:val="ilfuvd"/>
    <w:basedOn w:val="DefaultParagraphFont"/>
    <w:rsid w:val="00316E13"/>
  </w:style>
  <w:style w:type="character" w:styleId="FootnoteReference">
    <w:name w:val="footnote reference"/>
    <w:basedOn w:val="DefaultParagraphFont"/>
    <w:rsid w:val="00A24DE2"/>
    <w:rPr>
      <w:vertAlign w:val="superscript"/>
    </w:rPr>
  </w:style>
  <w:style w:type="paragraph" w:customStyle="1" w:styleId="Default">
    <w:name w:val="Default"/>
    <w:rsid w:val="00A24DE2"/>
    <w:pPr>
      <w:autoSpaceDE w:val="0"/>
      <w:autoSpaceDN w:val="0"/>
      <w:adjustRightInd w:val="0"/>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customStyle="1" w:styleId="ilfuvd">
    <w:name w:val="ilfuvd"/>
    <w:basedOn w:val="DefaultParagraphFont"/>
    <w:rsid w:val="00316E13"/>
  </w:style>
  <w:style w:type="character" w:styleId="FootnoteReference">
    <w:name w:val="footnote reference"/>
    <w:basedOn w:val="DefaultParagraphFont"/>
    <w:rsid w:val="00A24DE2"/>
    <w:rPr>
      <w:vertAlign w:val="superscript"/>
    </w:rPr>
  </w:style>
  <w:style w:type="paragraph" w:customStyle="1" w:styleId="Default">
    <w:name w:val="Default"/>
    <w:rsid w:val="00A24DE2"/>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image" Target="media/image10.jpg"/><Relationship Id="rId10" Type="http://schemas.openxmlformats.org/officeDocument/2006/relationships/header" Target="header1.xml"/><Relationship Id="rId19" Type="http://schemas.openxmlformats.org/officeDocument/2006/relationships/image" Target="media/image6.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82BC36-3137-435C-B443-C5F653C63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13</Pages>
  <Words>1101</Words>
  <Characters>6334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7421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Sevini Guffey</dc:creator>
  <cp:lastModifiedBy>Jackie Colson</cp:lastModifiedBy>
  <cp:revision>2</cp:revision>
  <cp:lastPrinted>2019-02-20T20:08:00Z</cp:lastPrinted>
  <dcterms:created xsi:type="dcterms:W3CDTF">2019-02-21T14:22:00Z</dcterms:created>
  <dcterms:modified xsi:type="dcterms:W3CDTF">2019-02-21T14:22:00Z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20190023-EI</vt:lpwstr>
  </property>
  <property fmtid="{D5CDD505-2E9C-101B-9397-08002B2CF9AE}" pid="3" name="MasterDocument">
    <vt:bool>false</vt:bool>
  </property>
</Properties>
</file>