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3118D" w:rsidP="0003118D">
            <w:pPr>
              <w:pStyle w:val="MemoHeading"/>
            </w:pPr>
            <w:bookmarkStart w:id="1" w:name="FilingDate"/>
            <w:r>
              <w:t>June 26</w:t>
            </w:r>
            <w:r w:rsidR="00D256B2">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D256B2" w:rsidRDefault="00D256B2">
            <w:pPr>
              <w:pStyle w:val="MemoHeading"/>
            </w:pPr>
            <w:bookmarkStart w:id="2" w:name="From"/>
            <w:r>
              <w:t>Office of the General Counsel (Davis)</w:t>
            </w:r>
          </w:p>
          <w:p w:rsidR="007C0528" w:rsidRDefault="00D256B2">
            <w:pPr>
              <w:pStyle w:val="MemoHeading"/>
            </w:pPr>
            <w:r>
              <w:t>Division of Accounting and Finance (Norris)</w:t>
            </w:r>
            <w:bookmarkEnd w:id="2"/>
            <w:r w:rsidR="00F557A8">
              <w:br/>
              <w:t>Division of Economics (Guffey)</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256B2">
            <w:pPr>
              <w:pStyle w:val="MemoHeadingRe"/>
            </w:pPr>
            <w:bookmarkStart w:id="3" w:name="Re"/>
            <w:r>
              <w:t>Docket No. 20190055-WS – Proposed amendment of Rule 25-30.420, F.A.C., Establishment of Price Index, Adjustment of Rates; Requirement of Bond; Filings After Adjustment; Notice to Customers.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3118D">
            <w:pPr>
              <w:pStyle w:val="MemoHeading"/>
            </w:pPr>
            <w:bookmarkStart w:id="4" w:name="AgendaDate"/>
            <w:r>
              <w:t>07/09</w:t>
            </w:r>
            <w:r w:rsidR="00D256B2">
              <w:t>/19</w:t>
            </w:r>
            <w:bookmarkEnd w:id="4"/>
            <w:r w:rsidR="007C0528">
              <w:t xml:space="preserve"> – </w:t>
            </w:r>
            <w:bookmarkStart w:id="5" w:name="PermittedStatus"/>
            <w:r w:rsidR="00D256B2">
              <w:t xml:space="preserve">Regular Agenda – </w:t>
            </w:r>
            <w:r w:rsidR="004F7F82">
              <w:t xml:space="preserve">Rule Proposal – </w:t>
            </w:r>
            <w:r w:rsidR="00D256B2">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256B2">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256B2">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D256B2"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4F7F82">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256B2">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DF2F1F" w:rsidRDefault="006F7D87" w:rsidP="004F7F82">
      <w:pPr>
        <w:pStyle w:val="BodyText"/>
      </w:pPr>
      <w:r>
        <w:t>Pursuant to Section 367.081(4</w:t>
      </w:r>
      <w:proofErr w:type="gramStart"/>
      <w:r>
        <w:t>)(</w:t>
      </w:r>
      <w:proofErr w:type="gramEnd"/>
      <w:r>
        <w:t>a), Florida Statutes</w:t>
      </w:r>
      <w:r w:rsidR="00A472E1">
        <w:t xml:space="preserve"> (F.S.)</w:t>
      </w:r>
      <w:r>
        <w:t xml:space="preserve">, the Commission was given the authority to establish by rule the procedure by which a </w:t>
      </w:r>
      <w:r w:rsidR="009171E4">
        <w:t xml:space="preserve">water and/or wastewater </w:t>
      </w:r>
      <w:r>
        <w:t>utility may implement an increase or decrease in rates based on the application of the Commission’s price index. The price index is based on changes for major categories of the utility’s operating costs. Rule 25-30.420, Florida Administrative Code (F.A.C.), sets forth the Commission’s pric</w:t>
      </w:r>
      <w:r w:rsidR="009E2235">
        <w:t>e index application procedure.</w:t>
      </w:r>
      <w:r w:rsidR="00DF2F1F">
        <w:t xml:space="preserve"> Each year the Commission sends an informational packet to all</w:t>
      </w:r>
      <w:r w:rsidR="007F0307">
        <w:t xml:space="preserve"> water and wastewater utilities</w:t>
      </w:r>
      <w:r w:rsidR="00DF2F1F">
        <w:t xml:space="preserve"> to notify </w:t>
      </w:r>
      <w:r w:rsidR="00F557A8">
        <w:t xml:space="preserve">them </w:t>
      </w:r>
      <w:r w:rsidR="00DF2F1F">
        <w:t xml:space="preserve">of the availability of the price index. </w:t>
      </w:r>
      <w:r w:rsidR="00CC3D8C">
        <w:t>Rule 25-30.420</w:t>
      </w:r>
      <w:r w:rsidR="0059293E">
        <w:t>(1)</w:t>
      </w:r>
      <w:r w:rsidR="00176F9B">
        <w:t xml:space="preserve">, </w:t>
      </w:r>
      <w:r w:rsidR="00CC3D8C">
        <w:t>F.A.C.</w:t>
      </w:r>
      <w:r w:rsidR="00176F9B">
        <w:t>,</w:t>
      </w:r>
      <w:r w:rsidR="00DF2F1F">
        <w:t xml:space="preserve"> </w:t>
      </w:r>
      <w:r w:rsidR="00CC3D8C">
        <w:t>is being amended to</w:t>
      </w:r>
      <w:r w:rsidR="00DF2F1F">
        <w:t xml:space="preserve"> update and </w:t>
      </w:r>
      <w:r w:rsidR="004000A7">
        <w:t>cl</w:t>
      </w:r>
      <w:r w:rsidR="003C3F48">
        <w:t>arify the rule.</w:t>
      </w:r>
      <w:r w:rsidR="00697D99">
        <w:t xml:space="preserve"> </w:t>
      </w:r>
      <w:r w:rsidR="003C3F48">
        <w:t>I</w:t>
      </w:r>
      <w:r w:rsidR="00697D99">
        <w:t>n particular, s</w:t>
      </w:r>
      <w:r w:rsidR="004000A7">
        <w:t xml:space="preserve">taff recommends an amendment to </w:t>
      </w:r>
      <w:r w:rsidR="00DF2F1F">
        <w:t xml:space="preserve">the </w:t>
      </w:r>
      <w:r w:rsidR="0003118D">
        <w:t xml:space="preserve">example </w:t>
      </w:r>
      <w:r w:rsidR="00DF2F1F" w:rsidRPr="00DF2F1F">
        <w:t>form that all wat</w:t>
      </w:r>
      <w:r w:rsidR="0003118D">
        <w:t>er and wastewater utilities may</w:t>
      </w:r>
      <w:r w:rsidR="00DF2F1F" w:rsidRPr="00DF2F1F">
        <w:t xml:space="preserve"> use when applying for index or </w:t>
      </w:r>
      <w:r w:rsidR="00DF2F1F">
        <w:t>pass-through rate adjustments.</w:t>
      </w:r>
    </w:p>
    <w:p w:rsidR="00EA2273" w:rsidRDefault="00CC3D8C" w:rsidP="004F7F82">
      <w:pPr>
        <w:pStyle w:val="BodyText"/>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lastRenderedPageBreak/>
        <w:t>Notice of the rule development app</w:t>
      </w:r>
      <w:r w:rsidR="003C3F48">
        <w:t>eared in the September 20, 2018</w:t>
      </w:r>
      <w:r>
        <w:t xml:space="preserve"> edition of the Florida Administrative Register</w:t>
      </w:r>
      <w:r w:rsidR="00DF2F1F">
        <w:t xml:space="preserve">, Vol. 44, </w:t>
      </w:r>
      <w:proofErr w:type="gramStart"/>
      <w:r w:rsidR="00DF2F1F">
        <w:t>No</w:t>
      </w:r>
      <w:proofErr w:type="gramEnd"/>
      <w:r w:rsidR="00DF2F1F">
        <w:t>. 184</w:t>
      </w:r>
      <w:r>
        <w:t>. There was no request for a workshop</w:t>
      </w:r>
      <w:r w:rsidR="004F7F82">
        <w:t>,</w:t>
      </w:r>
      <w:r>
        <w:t xml:space="preserve"> and no workshop was held.</w:t>
      </w:r>
      <w:bookmarkEnd w:id="12"/>
      <w:r w:rsidR="007579CA">
        <w:t xml:space="preserve"> This</w:t>
      </w:r>
      <w:r w:rsidR="004F7F82">
        <w:t xml:space="preserve"> recommendation addresses the amendment of Rule 25-30.420, F.A.C. The Commission has jurisdiction </w:t>
      </w:r>
      <w:r w:rsidR="00C43CFF">
        <w:t>pursuant to Section 367.081</w:t>
      </w:r>
      <w:r w:rsidR="00653B46">
        <w:t>(4</w:t>
      </w:r>
      <w:proofErr w:type="gramStart"/>
      <w:r w:rsidR="00653B46">
        <w:t>)(</w:t>
      </w:r>
      <w:proofErr w:type="gramEnd"/>
      <w:r w:rsidR="00653B46">
        <w:t>a)</w:t>
      </w:r>
      <w:r w:rsidR="00C43CFF">
        <w:t>, F.S.</w:t>
      </w:r>
    </w:p>
    <w:p w:rsidR="007C0528" w:rsidRDefault="007C0528">
      <w:pPr>
        <w:pStyle w:val="RecommendationMajorSectionHeading"/>
      </w:pPr>
      <w:bookmarkStart w:id="16" w:name="DiscussionOfIssues"/>
      <w:r>
        <w:lastRenderedPageBreak/>
        <w:t>Discussion of Issues</w:t>
      </w:r>
    </w:p>
    <w:bookmarkEnd w:id="16"/>
    <w:p w:rsidR="00D256B2" w:rsidRDefault="00D256B2">
      <w:pPr>
        <w:pStyle w:val="IssueHeading"/>
        <w:rPr>
          <w:vanish/>
          <w:specVanish/>
        </w:rPr>
      </w:pPr>
      <w:r w:rsidRPr="004C3641">
        <w:t xml:space="preserve">Issue </w:t>
      </w:r>
      <w:fldSimple w:instr=" SEQ Issue \* MERGEFORMAT ">
        <w:r w:rsidR="00085E4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085E4E">
        <w:rPr>
          <w:noProof/>
        </w:rPr>
        <w:instrText>1</w:instrText>
      </w:r>
      <w:r>
        <w:fldChar w:fldCharType="end"/>
      </w:r>
      <w:r>
        <w:tab/>
        <w:instrText xml:space="preserve">" \l 1 </w:instrText>
      </w:r>
      <w:r>
        <w:fldChar w:fldCharType="end"/>
      </w:r>
      <w:r>
        <w:t> </w:t>
      </w:r>
    </w:p>
    <w:p w:rsidR="00D256B2" w:rsidRDefault="00D256B2">
      <w:pPr>
        <w:pStyle w:val="BodyText"/>
      </w:pPr>
      <w:r>
        <w:t> </w:t>
      </w:r>
      <w:r w:rsidR="00C43CFF">
        <w:t xml:space="preserve">Should the Commission </w:t>
      </w:r>
      <w:r w:rsidR="009C298F">
        <w:t>propose the amendment of</w:t>
      </w:r>
      <w:r w:rsidR="00346792">
        <w:t xml:space="preserve"> Rule 25-30.420, F.A.C., </w:t>
      </w:r>
      <w:r w:rsidR="00346792" w:rsidRPr="00346792">
        <w:t xml:space="preserve">Establishment of Price Index, Adjustment of Rates; Requirement of Bond; Filings </w:t>
      </w:r>
      <w:proofErr w:type="gramStart"/>
      <w:r w:rsidR="00346792" w:rsidRPr="00346792">
        <w:t>After</w:t>
      </w:r>
      <w:proofErr w:type="gramEnd"/>
      <w:r w:rsidR="00346792" w:rsidRPr="00346792">
        <w:t xml:space="preserve"> Adjustment; Notice to Customers</w:t>
      </w:r>
      <w:r w:rsidR="00346792">
        <w:t>?</w:t>
      </w:r>
    </w:p>
    <w:p w:rsidR="00D256B2" w:rsidRPr="004C3641" w:rsidRDefault="00D256B2">
      <w:pPr>
        <w:pStyle w:val="IssueSubsectionHeading"/>
        <w:rPr>
          <w:vanish/>
          <w:specVanish/>
        </w:rPr>
      </w:pPr>
      <w:r w:rsidRPr="004C3641">
        <w:t>Recommendation: </w:t>
      </w:r>
    </w:p>
    <w:p w:rsidR="00D256B2" w:rsidRDefault="00D256B2" w:rsidP="00F92260">
      <w:pPr>
        <w:pStyle w:val="BodyText"/>
      </w:pPr>
      <w:r>
        <w:t> </w:t>
      </w:r>
      <w:r w:rsidR="0062516B">
        <w:t xml:space="preserve">Yes, the Commission should </w:t>
      </w:r>
      <w:r w:rsidR="009C298F">
        <w:t xml:space="preserve">propose the amendment </w:t>
      </w:r>
      <w:r w:rsidR="0062516B" w:rsidRPr="0062516B">
        <w:t>o</w:t>
      </w:r>
      <w:r w:rsidR="009C298F">
        <w:t xml:space="preserve">f Rule 25-30.420, </w:t>
      </w:r>
      <w:r w:rsidR="00494EE7">
        <w:t xml:space="preserve">F.A.C., </w:t>
      </w:r>
      <w:r w:rsidR="0062516B">
        <w:t xml:space="preserve">as set forth in </w:t>
      </w:r>
      <w:r w:rsidR="0062516B" w:rsidRPr="00B41D68">
        <w:t>Attachment A.</w:t>
      </w:r>
      <w:r w:rsidR="0062516B">
        <w:t xml:space="preserve"> </w:t>
      </w:r>
      <w:r w:rsidR="009C298F">
        <w:t xml:space="preserve">The Commission should also certify that Rule 25-30.420, F.A.C., is </w:t>
      </w:r>
      <w:r w:rsidR="00AA0DB3">
        <w:t xml:space="preserve">not </w:t>
      </w:r>
      <w:r w:rsidR="009C298F">
        <w:t xml:space="preserve">a rule that the violation of which would be a minor violation pursuant to Section 120.695, F.S. </w:t>
      </w:r>
      <w:r w:rsidR="00F557A8">
        <w:t xml:space="preserve">(Davis, Norris, </w:t>
      </w:r>
      <w:proofErr w:type="gramStart"/>
      <w:r w:rsidR="00F557A8">
        <w:t>Guffey</w:t>
      </w:r>
      <w:proofErr w:type="gramEnd"/>
      <w:r w:rsidR="00F557A8">
        <w:t>)</w:t>
      </w:r>
    </w:p>
    <w:p w:rsidR="00D256B2" w:rsidRPr="004C3641" w:rsidRDefault="00D256B2" w:rsidP="00F92260">
      <w:pPr>
        <w:pStyle w:val="IssueSubsectionHeading"/>
        <w:rPr>
          <w:vanish/>
          <w:specVanish/>
        </w:rPr>
      </w:pPr>
      <w:r w:rsidRPr="004C3641">
        <w:t>Staff Analysis: </w:t>
      </w:r>
    </w:p>
    <w:p w:rsidR="007F0307" w:rsidRDefault="00D256B2" w:rsidP="00F92260">
      <w:pPr>
        <w:pStyle w:val="BodyText"/>
      </w:pPr>
      <w:r>
        <w:t> </w:t>
      </w:r>
      <w:r w:rsidR="007F0307">
        <w:t>Staff is recommending that Rule 25-30.420, F.A.C.</w:t>
      </w:r>
      <w:r w:rsidR="00316619">
        <w:t>,</w:t>
      </w:r>
      <w:r w:rsidR="007F0307">
        <w:t xml:space="preserve"> be amended as set forth in Attachment A, to updat</w:t>
      </w:r>
      <w:r w:rsidR="00316619">
        <w:t>e and clarify the rule. Below, s</w:t>
      </w:r>
      <w:r w:rsidR="007F0307">
        <w:t>taff explains in more detail the substantive recommended amendment</w:t>
      </w:r>
      <w:r w:rsidR="00316619">
        <w:t>s</w:t>
      </w:r>
      <w:r w:rsidR="007F0307">
        <w:t xml:space="preserve"> to the rule.</w:t>
      </w:r>
    </w:p>
    <w:p w:rsidR="00BB5664" w:rsidRDefault="00653B46" w:rsidP="00F92260">
      <w:pPr>
        <w:pStyle w:val="BodyText"/>
      </w:pPr>
      <w:r>
        <w:t>Rule 25-30.420</w:t>
      </w:r>
      <w:r w:rsidR="00494EE7">
        <w:t>, F.A.C.,</w:t>
      </w:r>
      <w:r>
        <w:t xml:space="preserve"> currently references Form PSC/AFD 15 (4/99), titled “</w:t>
      </w:r>
      <w:r w:rsidR="00904F6C">
        <w:t xml:space="preserve">Index Application,” which </w:t>
      </w:r>
      <w:r w:rsidR="007F3060">
        <w:t>can be</w:t>
      </w:r>
      <w:r w:rsidR="00904F6C">
        <w:t xml:space="preserve"> obtain</w:t>
      </w:r>
      <w:r w:rsidR="007F3060">
        <w:t>ed</w:t>
      </w:r>
      <w:r>
        <w:t xml:space="preserve"> from the Commission’s Division of Accounting and Finance and </w:t>
      </w:r>
      <w:r w:rsidR="00435063">
        <w:t>may</w:t>
      </w:r>
      <w:r w:rsidR="007F3060">
        <w:t xml:space="preserve"> be used by </w:t>
      </w:r>
      <w:r>
        <w:t>water an</w:t>
      </w:r>
      <w:r w:rsidR="009C298F">
        <w:t>d wastewater utilities to apply</w:t>
      </w:r>
      <w:r>
        <w:t xml:space="preserve"> for index and/or</w:t>
      </w:r>
      <w:r w:rsidR="00435063">
        <w:t xml:space="preserve"> pass-through rate adjustments. </w:t>
      </w:r>
      <w:r w:rsidR="00435063" w:rsidRPr="00435063">
        <w:t xml:space="preserve">The form serves as a guideline for calculating the index rate adjustment and provides sample language to assist in meeting rule requirements, such as noticing. The Commission annually approves a package mailed </w:t>
      </w:r>
      <w:r w:rsidR="00BB5664">
        <w:t xml:space="preserve">by the Commission Clerk </w:t>
      </w:r>
      <w:r w:rsidR="00435063" w:rsidRPr="00435063">
        <w:t xml:space="preserve">to every regulated water and wastewater utility that includes the “Index Application” form. In an effort to increase the number of water and wastewater utilities taking advantage of the annual price index and pass-through programs, the package also includes a cover letter from the Director of the Division of Accounting and Finance in order to explain the purpose of the index and pass-through applications and to communicate that Commission staff is available to assist them. Using an administrative process, Commission staff reviews all applications submitted by the utilities for completeness and accuracy prior to any index and/or pass-through rate adjustment being approved.  </w:t>
      </w:r>
      <w:r w:rsidR="007130E9">
        <w:br/>
      </w:r>
      <w:r w:rsidR="007130E9">
        <w:br/>
      </w:r>
      <w:r w:rsidR="007F3060">
        <w:t>S</w:t>
      </w:r>
      <w:r w:rsidR="008B3946">
        <w:t>taff recommends</w:t>
      </w:r>
      <w:r w:rsidR="009C298F">
        <w:t xml:space="preserve"> the Commission amend the rule</w:t>
      </w:r>
      <w:r w:rsidR="00BB5664">
        <w:t xml:space="preserve">, </w:t>
      </w:r>
      <w:r w:rsidR="00F557A8">
        <w:t>Attachment A,</w:t>
      </w:r>
      <w:r w:rsidR="009C298F">
        <w:t xml:space="preserve"> to update the </w:t>
      </w:r>
      <w:r w:rsidR="0003118D">
        <w:t xml:space="preserve">example </w:t>
      </w:r>
      <w:r w:rsidR="009C298F">
        <w:t xml:space="preserve">application form. </w:t>
      </w:r>
      <w:r>
        <w:t xml:space="preserve">The form </w:t>
      </w:r>
      <w:r w:rsidR="00BB5664">
        <w:t xml:space="preserve">currently </w:t>
      </w:r>
      <w:r>
        <w:t>reference</w:t>
      </w:r>
      <w:r w:rsidR="009F0900">
        <w:t>d</w:t>
      </w:r>
      <w:r>
        <w:t xml:space="preserve"> </w:t>
      </w:r>
      <w:r w:rsidR="004626FB">
        <w:t xml:space="preserve">in the rule </w:t>
      </w:r>
      <w:r w:rsidR="009F0900">
        <w:t>would be</w:t>
      </w:r>
      <w:r>
        <w:t xml:space="preserve"> </w:t>
      </w:r>
      <w:r w:rsidR="004626FB">
        <w:t>replace</w:t>
      </w:r>
      <w:r w:rsidR="009F0900">
        <w:t xml:space="preserve">d with </w:t>
      </w:r>
      <w:r w:rsidR="004626FB">
        <w:t>F</w:t>
      </w:r>
      <w:r w:rsidR="00BE3A9A">
        <w:t xml:space="preserve">orm </w:t>
      </w:r>
      <w:r w:rsidR="009F0900">
        <w:t xml:space="preserve">PSC 1022 (9/18), </w:t>
      </w:r>
      <w:r w:rsidR="00BB5664">
        <w:t xml:space="preserve">which is included in </w:t>
      </w:r>
      <w:r w:rsidR="00F557A8">
        <w:t>Attachment B</w:t>
      </w:r>
      <w:r w:rsidR="00705CAD">
        <w:t>.</w:t>
      </w:r>
      <w:r w:rsidR="004626FB">
        <w:t xml:space="preserve"> </w:t>
      </w:r>
    </w:p>
    <w:p w:rsidR="006759B1" w:rsidRDefault="0003118D" w:rsidP="00F92260">
      <w:pPr>
        <w:pStyle w:val="BodyText"/>
      </w:pPr>
      <w:r>
        <w:t xml:space="preserve">Staff is also recommending that an e-mail address be added to the rule, which will give the utility the option to either </w:t>
      </w:r>
      <w:r w:rsidR="00697D99">
        <w:t xml:space="preserve">file the form with the Division </w:t>
      </w:r>
      <w:r>
        <w:t>of Accounting and Finance by mail or electronically.</w:t>
      </w:r>
    </w:p>
    <w:p w:rsidR="00904F6C" w:rsidRDefault="00904F6C" w:rsidP="00F92260">
      <w:pPr>
        <w:pStyle w:val="BodyText"/>
      </w:pPr>
      <w:r>
        <w:t>Staff also recommends that</w:t>
      </w:r>
      <w:r w:rsidR="00ED5DE3">
        <w:t>, in order to reduce the postage burden,</w:t>
      </w:r>
      <w:r>
        <w:t xml:space="preserve"> utilities</w:t>
      </w:r>
      <w:r w:rsidR="00DA1877">
        <w:t xml:space="preserve"> need</w:t>
      </w:r>
      <w:r w:rsidR="00697D99">
        <w:t xml:space="preserve"> no longer submit five</w:t>
      </w:r>
      <w:r>
        <w:t xml:space="preserve"> copies of their do</w:t>
      </w:r>
      <w:r w:rsidR="00F557A8">
        <w:t>cuments to be reviewed by the Division</w:t>
      </w:r>
      <w:r>
        <w:t xml:space="preserve"> of Accounting and Finance. </w:t>
      </w:r>
      <w:r w:rsidR="00697D99">
        <w:t xml:space="preserve">Only one </w:t>
      </w:r>
      <w:r w:rsidR="0065255C">
        <w:t>copy would</w:t>
      </w:r>
      <w:r w:rsidR="00ED5DE3">
        <w:t xml:space="preserve"> be r</w:t>
      </w:r>
      <w:r w:rsidR="00DD60FC">
        <w:t xml:space="preserve">equired if the rule is amended, as recommended by staff. </w:t>
      </w:r>
    </w:p>
    <w:p w:rsidR="005B6955" w:rsidRDefault="005B6955" w:rsidP="00F92260">
      <w:pPr>
        <w:pStyle w:val="BodyText"/>
      </w:pPr>
      <w:r>
        <w:t>Staff further recommends that subsection (4) of the rule be amended to change the word “</w:t>
      </w:r>
      <w:proofErr w:type="gramStart"/>
      <w:r>
        <w:t>may</w:t>
      </w:r>
      <w:proofErr w:type="gramEnd"/>
      <w:r>
        <w:t>” to “shall</w:t>
      </w:r>
      <w:r w:rsidR="007F0307">
        <w:t xml:space="preserve">.” </w:t>
      </w:r>
      <w:r>
        <w:t>This is necessary because use of the wo</w:t>
      </w:r>
      <w:r w:rsidR="00F557A8">
        <w:t>rd “may” does not comport with S</w:t>
      </w:r>
      <w:r>
        <w:t>ection</w:t>
      </w:r>
      <w:r w:rsidR="00BB5664">
        <w:t>s 120.52(8</w:t>
      </w:r>
      <w:proofErr w:type="gramStart"/>
      <w:r w:rsidR="00BB5664">
        <w:t>)(</w:t>
      </w:r>
      <w:proofErr w:type="gramEnd"/>
      <w:r w:rsidR="00BB5664">
        <w:t>d), F.S., and</w:t>
      </w:r>
      <w:r>
        <w:t xml:space="preserve"> 120.545(1), F.S.</w:t>
      </w:r>
      <w:r w:rsidR="00BB5664">
        <w:t>, as it vests the Commission with unbridled discretion.</w:t>
      </w:r>
    </w:p>
    <w:p w:rsidR="001D2020" w:rsidRDefault="009F0900" w:rsidP="00F92260">
      <w:pPr>
        <w:pStyle w:val="BodyText"/>
      </w:pPr>
      <w:r>
        <w:lastRenderedPageBreak/>
        <w:t xml:space="preserve">Although no workshop was requested, </w:t>
      </w:r>
      <w:r w:rsidR="00A240C1">
        <w:t>a</w:t>
      </w:r>
      <w:r w:rsidR="00435063">
        <w:t xml:space="preserve"> comment was filed by the owner of several small water and wastewater utilities</w:t>
      </w:r>
      <w:r w:rsidR="004626FB">
        <w:t>.</w:t>
      </w:r>
      <w:r w:rsidR="00981345">
        <w:t xml:space="preserve"> </w:t>
      </w:r>
      <w:r w:rsidR="004626FB">
        <w:t xml:space="preserve">In </w:t>
      </w:r>
      <w:r w:rsidR="00435063">
        <w:t xml:space="preserve">discussing </w:t>
      </w:r>
      <w:r w:rsidR="00D22776">
        <w:t xml:space="preserve">the </w:t>
      </w:r>
      <w:r w:rsidR="00435063">
        <w:t xml:space="preserve">“Index Application” form and the </w:t>
      </w:r>
      <w:r w:rsidR="00D22776">
        <w:t xml:space="preserve">suggested language for </w:t>
      </w:r>
      <w:r w:rsidR="009A3FFD">
        <w:t>customer</w:t>
      </w:r>
      <w:r w:rsidR="00D22776">
        <w:t xml:space="preserve"> notices that must be mailed out</w:t>
      </w:r>
      <w:r w:rsidR="009A3FFD">
        <w:t>,</w:t>
      </w:r>
      <w:r w:rsidR="00F557A8">
        <w:t xml:space="preserve"> it was</w:t>
      </w:r>
      <w:r w:rsidR="007709F2">
        <w:t xml:space="preserve"> </w:t>
      </w:r>
      <w:r>
        <w:t xml:space="preserve">suggested </w:t>
      </w:r>
      <w:r w:rsidR="00146094">
        <w:t>that</w:t>
      </w:r>
      <w:r w:rsidR="007709F2">
        <w:t>,</w:t>
      </w:r>
      <w:r w:rsidR="00981345">
        <w:t xml:space="preserve"> </w:t>
      </w:r>
      <w:r w:rsidR="00435063">
        <w:t xml:space="preserve">in addition to </w:t>
      </w:r>
      <w:r w:rsidR="00272742">
        <w:t>including</w:t>
      </w:r>
      <w:r w:rsidR="007709F2">
        <w:t xml:space="preserve"> a customer notice for the price index adjustment and a separate customer notice for</w:t>
      </w:r>
      <w:r w:rsidR="004626FB">
        <w:t xml:space="preserve"> the pass-</w:t>
      </w:r>
      <w:r w:rsidR="00435063">
        <w:t>through rate adjustment in the form,</w:t>
      </w:r>
      <w:r w:rsidR="00146094">
        <w:t xml:space="preserve"> </w:t>
      </w:r>
      <w:r w:rsidR="007709F2">
        <w:t>the</w:t>
      </w:r>
      <w:r w:rsidR="00435063">
        <w:t>re should be combined notices as well. The two customer notices are included for the purpose of providing sample language and may be combined into one notice for a utility filing a combined index and pass-through application. To clarify this practice, s</w:t>
      </w:r>
      <w:r w:rsidR="000A41FE">
        <w:t xml:space="preserve">taff recommends that a sentence </w:t>
      </w:r>
      <w:r w:rsidR="008133CF">
        <w:t xml:space="preserve">confirming </w:t>
      </w:r>
      <w:r w:rsidR="000A41FE">
        <w:t>that utilities may combine the notices themselves be included in the yearly application packet cover letter.</w:t>
      </w:r>
    </w:p>
    <w:p w:rsidR="007130E9" w:rsidRDefault="007130E9" w:rsidP="007130E9">
      <w:pPr>
        <w:pStyle w:val="First-LevelSubheading"/>
      </w:pPr>
      <w:r>
        <w:t>Minor Violation Rule Certification</w:t>
      </w:r>
    </w:p>
    <w:p w:rsidR="00AA0DB3" w:rsidRDefault="00AA0DB3" w:rsidP="007130E9">
      <w:pPr>
        <w:pStyle w:val="BodyText"/>
      </w:pPr>
      <w:r>
        <w:t>Pursuant to Section 120.695, F.S., beginning July 1, 2017, for each rule filed for adoption the agency head shall certify whether any part of the rule is designated as a rule the violation of which would be a minor violation. Rule 25-30.420, F.A.C., is a not a rule for which a violation would be minor because violation of the rule w</w:t>
      </w:r>
      <w:r w:rsidR="00677B58">
        <w:t>ould result in economic harm</w:t>
      </w:r>
      <w:r>
        <w:t xml:space="preserve"> to ratepayers. Thus, staff recommends that the Commission certify that Rule 25-30.420, F.A.C., is not a rule that the violation of which would be a minor violation pursuant to Section 120.695, F.S.</w:t>
      </w:r>
    </w:p>
    <w:p w:rsidR="007130E9" w:rsidRDefault="007130E9" w:rsidP="007130E9">
      <w:pPr>
        <w:pStyle w:val="First-LevelSubheading"/>
      </w:pPr>
      <w:r>
        <w:t>Statement of Estimated Regulatory Costs</w:t>
      </w:r>
    </w:p>
    <w:p w:rsidR="007130E9" w:rsidRDefault="007130E9" w:rsidP="007130E9">
      <w:pPr>
        <w:pStyle w:val="BodyText"/>
      </w:pPr>
      <w:r w:rsidRPr="00102F0A">
        <w:t xml:space="preserve">Pursuant to Section 120.54, F.S., agencies are encouraged to prepare a statement of estimated regulatory costs (SERC) before the adoption, amendment, or repeal of any rule. The </w:t>
      </w:r>
      <w:r w:rsidRPr="00146094">
        <w:t xml:space="preserve">SERC is appended as Attachment </w:t>
      </w:r>
      <w:r w:rsidR="00146094">
        <w:t>C</w:t>
      </w:r>
      <w:r w:rsidRPr="00102F0A">
        <w:t xml:space="preserve"> to this recommendation. The SERC analysis also includes whether the rule is likely to have an adverse impact on growth, private sector job creation or employment, or private sector investment in excess of $1 million in the aggregate within five years of implementation.</w:t>
      </w:r>
    </w:p>
    <w:p w:rsidR="007130E9" w:rsidRDefault="007130E9" w:rsidP="007130E9">
      <w:pPr>
        <w:pStyle w:val="BodyText"/>
      </w:pPr>
      <w:r>
        <w:t xml:space="preserve">The SERC concludes that the rule will not likely directly or indirectly increase regulatory costs in excess of $200,000 in the aggregate in Florida within </w:t>
      </w:r>
      <w:r w:rsidR="00466601">
        <w:t xml:space="preserve">one year after implementation. </w:t>
      </w:r>
      <w:r>
        <w:t>Further, the SERC concludes that the rule will not likely have an adverse impact on economic growth, private sector job creation or employment, private sector investment, business competitiveness, productivity, or innovation in excess of $1 million in the aggregate withi</w:t>
      </w:r>
      <w:r w:rsidR="00466601">
        <w:t xml:space="preserve">n five years of implementation. </w:t>
      </w:r>
      <w:r>
        <w:t>Thus, the rule does not require legislative ratification pursuant to Section 120.541(3), F.S.  In addition, the SERC states that the rule will not have an adverse impact on small business and will have no impa</w:t>
      </w:r>
      <w:r w:rsidR="00466601">
        <w:t xml:space="preserve">ct on small cities or counties. </w:t>
      </w:r>
      <w:r>
        <w:t>No regulatory alternatives were submitted</w:t>
      </w:r>
      <w:r w:rsidR="00466601">
        <w:t xml:space="preserve"> pursuant to paragraph 120.541(2</w:t>
      </w:r>
      <w:proofErr w:type="gramStart"/>
      <w:r w:rsidR="00466601">
        <w:t>)(</w:t>
      </w:r>
      <w:proofErr w:type="gramEnd"/>
      <w:r w:rsidR="00466601">
        <w:t>g</w:t>
      </w:r>
      <w:r>
        <w:t>), F.S.  None of the impact/cost criteria established in paragraph 120.541(2</w:t>
      </w:r>
      <w:proofErr w:type="gramStart"/>
      <w:r>
        <w:t>)(</w:t>
      </w:r>
      <w:proofErr w:type="gramEnd"/>
      <w:r>
        <w:t>a), F.S., will be exceeded as a result of the recommended revision.</w:t>
      </w:r>
    </w:p>
    <w:p w:rsidR="007130E9" w:rsidRDefault="007130E9" w:rsidP="007130E9">
      <w:pPr>
        <w:pStyle w:val="First-LevelSubheading"/>
      </w:pPr>
      <w:r>
        <w:t>Conclusion</w:t>
      </w:r>
    </w:p>
    <w:p w:rsidR="0063797E" w:rsidRDefault="00BA54FD">
      <w:pPr>
        <w:pStyle w:val="BodyText"/>
        <w:sectPr w:rsidR="0063797E"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Staff recommends that</w:t>
      </w:r>
      <w:r w:rsidR="00316619">
        <w:t xml:space="preserve"> the Commission propose the amendment of</w:t>
      </w:r>
      <w:r>
        <w:t xml:space="preserve"> Rule 25-30.420, F.A.C., </w:t>
      </w:r>
      <w:r w:rsidR="00316619">
        <w:t>as set forth in Attachment A.</w:t>
      </w:r>
      <w:r w:rsidR="005C0F2A">
        <w:t xml:space="preserve"> </w:t>
      </w:r>
      <w:r>
        <w:t>In addition, the Commission should certify</w:t>
      </w:r>
      <w:r w:rsidR="00316619">
        <w:t xml:space="preserve"> that</w:t>
      </w:r>
      <w:r>
        <w:t xml:space="preserve"> Rule 25-30.</w:t>
      </w:r>
      <w:r w:rsidR="00AA0DB3">
        <w:t>420, F.A.C., is not</w:t>
      </w:r>
      <w:r>
        <w:t xml:space="preserve"> a </w:t>
      </w:r>
      <w:r w:rsidR="00AA0DB3">
        <w:t>rule that the violation of which would be a minor violation pursuant to Section 120.695, F.S.</w:t>
      </w:r>
    </w:p>
    <w:p w:rsidR="00D256B2" w:rsidRPr="001D2020" w:rsidRDefault="00D256B2">
      <w:pPr>
        <w:pStyle w:val="BodyText"/>
        <w:rPr>
          <w:rFonts w:ascii="Arial" w:hAnsi="Arial" w:cs="Arial"/>
          <w:b/>
          <w:i/>
        </w:rPr>
      </w:pPr>
      <w:r w:rsidRPr="001D2020">
        <w:rPr>
          <w:rFonts w:ascii="Arial" w:hAnsi="Arial" w:cs="Arial"/>
          <w:b/>
          <w:i/>
        </w:rPr>
        <w:lastRenderedPageBreak/>
        <w:t xml:space="preserve">Issue </w:t>
      </w:r>
      <w:r w:rsidR="00C43CFF" w:rsidRPr="001D2020">
        <w:rPr>
          <w:rFonts w:ascii="Arial" w:hAnsi="Arial" w:cs="Arial"/>
          <w:b/>
          <w:i/>
        </w:rPr>
        <w:t>2</w:t>
      </w:r>
      <w:r w:rsidRPr="001D2020">
        <w:rPr>
          <w:rFonts w:ascii="Arial" w:hAnsi="Arial" w:cs="Arial"/>
          <w:b/>
          <w:i/>
        </w:rPr>
        <w:t>:</w:t>
      </w:r>
      <w:r w:rsidRPr="001D2020">
        <w:rPr>
          <w:rFonts w:ascii="Arial" w:hAnsi="Arial" w:cs="Arial"/>
          <w:b/>
          <w:i/>
        </w:rPr>
        <w:fldChar w:fldCharType="begin"/>
      </w:r>
      <w:r w:rsidRPr="001D2020">
        <w:rPr>
          <w:rFonts w:ascii="Arial" w:hAnsi="Arial" w:cs="Arial"/>
          <w:b/>
          <w:i/>
        </w:rPr>
        <w:instrText xml:space="preserve"> TC "</w:instrText>
      </w:r>
      <w:r w:rsidRPr="001D2020">
        <w:rPr>
          <w:rFonts w:ascii="Arial" w:hAnsi="Arial" w:cs="Arial"/>
          <w:b/>
          <w:i/>
        </w:rPr>
        <w:fldChar w:fldCharType="begin"/>
      </w:r>
      <w:r w:rsidRPr="001D2020">
        <w:rPr>
          <w:rFonts w:ascii="Arial" w:hAnsi="Arial" w:cs="Arial"/>
          <w:b/>
          <w:i/>
        </w:rPr>
        <w:instrText xml:space="preserve"> SEQ issue \c </w:instrText>
      </w:r>
      <w:r w:rsidRPr="001D2020">
        <w:rPr>
          <w:rFonts w:ascii="Arial" w:hAnsi="Arial" w:cs="Arial"/>
          <w:b/>
          <w:i/>
        </w:rPr>
        <w:fldChar w:fldCharType="separate"/>
      </w:r>
      <w:r w:rsidR="00085E4E">
        <w:rPr>
          <w:rFonts w:ascii="Arial" w:hAnsi="Arial" w:cs="Arial"/>
          <w:b/>
          <w:i/>
          <w:noProof/>
        </w:rPr>
        <w:instrText>1</w:instrText>
      </w:r>
      <w:r w:rsidRPr="001D2020">
        <w:rPr>
          <w:rFonts w:ascii="Arial" w:hAnsi="Arial" w:cs="Arial"/>
          <w:b/>
          <w:i/>
        </w:rPr>
        <w:fldChar w:fldCharType="end"/>
      </w:r>
      <w:r w:rsidRPr="001D2020">
        <w:rPr>
          <w:rFonts w:ascii="Arial" w:hAnsi="Arial" w:cs="Arial"/>
          <w:b/>
          <w:i/>
        </w:rPr>
        <w:tab/>
        <w:instrText xml:space="preserve">" \l 1 </w:instrText>
      </w:r>
      <w:r w:rsidRPr="001D2020">
        <w:rPr>
          <w:rFonts w:ascii="Arial" w:hAnsi="Arial" w:cs="Arial"/>
          <w:b/>
          <w:i/>
        </w:rPr>
        <w:fldChar w:fldCharType="end"/>
      </w:r>
      <w:r w:rsidRPr="001D2020">
        <w:rPr>
          <w:rFonts w:ascii="Arial" w:hAnsi="Arial" w:cs="Arial"/>
          <w:b/>
          <w:i/>
        </w:rPr>
        <w:t> </w:t>
      </w:r>
      <w:r>
        <w:t>Should this docket be closed?</w:t>
      </w:r>
    </w:p>
    <w:p w:rsidR="00D256B2" w:rsidRPr="004C3641" w:rsidRDefault="00D256B2">
      <w:pPr>
        <w:pStyle w:val="IssueSubsectionHeading"/>
        <w:rPr>
          <w:vanish/>
          <w:specVanish/>
        </w:rPr>
      </w:pPr>
      <w:r w:rsidRPr="004C3641">
        <w:t>Recommendation: </w:t>
      </w:r>
    </w:p>
    <w:p w:rsidR="0062516B" w:rsidRDefault="00D256B2" w:rsidP="0062516B">
      <w:pPr>
        <w:autoSpaceDE w:val="0"/>
        <w:autoSpaceDN w:val="0"/>
        <w:adjustRightInd w:val="0"/>
      </w:pPr>
      <w:r>
        <w:t> </w:t>
      </w:r>
      <w:r w:rsidR="00346792">
        <w:t xml:space="preserve">Yes, </w:t>
      </w:r>
      <w:r w:rsidR="0062516B">
        <w:t>if no requests for hearing</w:t>
      </w:r>
      <w:r w:rsidR="004F7F82">
        <w:t xml:space="preserve"> or comments are filed the rule</w:t>
      </w:r>
      <w:r w:rsidR="0062516B">
        <w:t xml:space="preserve"> should be</w:t>
      </w:r>
    </w:p>
    <w:p w:rsidR="00D256B2" w:rsidRDefault="0062516B" w:rsidP="0062516B">
      <w:pPr>
        <w:pStyle w:val="BodyText"/>
      </w:pPr>
      <w:proofErr w:type="gramStart"/>
      <w:r>
        <w:t>filed</w:t>
      </w:r>
      <w:proofErr w:type="gramEnd"/>
      <w:r>
        <w:t xml:space="preserve"> with the Department of State, and the docket should be closed. (Davis)</w:t>
      </w:r>
    </w:p>
    <w:p w:rsidR="00D256B2" w:rsidRPr="004C3641" w:rsidRDefault="00D256B2">
      <w:pPr>
        <w:pStyle w:val="IssueSubsectionHeading"/>
        <w:rPr>
          <w:vanish/>
          <w:specVanish/>
        </w:rPr>
      </w:pPr>
      <w:r w:rsidRPr="004C3641">
        <w:t>Staff Analysis: </w:t>
      </w:r>
    </w:p>
    <w:p w:rsidR="00D256B2" w:rsidRDefault="00D256B2" w:rsidP="0062516B">
      <w:pPr>
        <w:pStyle w:val="BodyText"/>
      </w:pPr>
      <w:r>
        <w:t> </w:t>
      </w:r>
      <w:r w:rsidR="0062516B">
        <w:t>If no requests for hearing or comments are filed by affected persons, the rules should be filed with the Department of State, and the docket should be closed.</w:t>
      </w:r>
    </w:p>
    <w:p w:rsidR="00E06484" w:rsidRDefault="00E06484" w:rsidP="00E275D8">
      <w:pPr>
        <w:pStyle w:val="BodyText"/>
      </w:pPr>
    </w:p>
    <w:p w:rsidR="00C96C0A" w:rsidRDefault="00C96C0A" w:rsidP="00C96C0A">
      <w:pPr>
        <w:pStyle w:val="BodyText"/>
        <w:sectPr w:rsidR="00C96C0A" w:rsidSect="0068481F">
          <w:headerReference w:type="default" r:id="rId15"/>
          <w:pgSz w:w="12240" w:h="15840" w:code="1"/>
          <w:pgMar w:top="1584" w:right="1440" w:bottom="1440" w:left="1440" w:header="720" w:footer="720" w:gutter="0"/>
          <w:cols w:space="720"/>
          <w:formProt w:val="0"/>
          <w:docGrid w:linePitch="360"/>
        </w:sectPr>
      </w:pPr>
    </w:p>
    <w:p w:rsidR="00C96C0A" w:rsidRPr="00134891" w:rsidRDefault="00C96C0A" w:rsidP="00134891">
      <w:pPr>
        <w:pStyle w:val="Rule"/>
        <w:tabs>
          <w:tab w:val="clear" w:pos="720"/>
          <w:tab w:val="left" w:pos="360"/>
        </w:tabs>
        <w:rPr>
          <w:b/>
        </w:rPr>
      </w:pPr>
      <w:r>
        <w:rPr>
          <w:b/>
        </w:rPr>
        <w:lastRenderedPageBreak/>
        <w:tab/>
      </w:r>
      <w:r w:rsidRPr="00134891">
        <w:rPr>
          <w:b/>
        </w:rPr>
        <w:t xml:space="preserve">25-30.420 Establishment of Price Index, Adjustment of Rates; Requirement of Bond; Filings </w:t>
      </w:r>
      <w:proofErr w:type="gramStart"/>
      <w:r w:rsidRPr="00134891">
        <w:rPr>
          <w:b/>
        </w:rPr>
        <w:t>After</w:t>
      </w:r>
      <w:proofErr w:type="gramEnd"/>
      <w:r w:rsidRPr="00134891">
        <w:rPr>
          <w:b/>
        </w:rPr>
        <w:t xml:space="preserve"> Adjustment; Notice to Customers.</w:t>
      </w:r>
    </w:p>
    <w:p w:rsidR="00C96C0A" w:rsidRPr="00134891" w:rsidRDefault="00C96C0A" w:rsidP="00134891">
      <w:pPr>
        <w:pStyle w:val="Rule"/>
        <w:tabs>
          <w:tab w:val="clear" w:pos="720"/>
          <w:tab w:val="left" w:pos="360"/>
        </w:tabs>
      </w:pPr>
      <w:r>
        <w:tab/>
      </w:r>
      <w:r w:rsidRPr="00134891">
        <w:t xml:space="preserve">(1) </w:t>
      </w:r>
      <w:r w:rsidRPr="00A90306">
        <w:rPr>
          <w:u w:val="single"/>
        </w:rPr>
        <w:t>On or before March 31 of each year, t</w:t>
      </w:r>
      <w:r w:rsidRPr="00A90306">
        <w:rPr>
          <w:strike/>
        </w:rPr>
        <w:t>T</w:t>
      </w:r>
      <w:r w:rsidRPr="00134891">
        <w:t>he Commission shall</w:t>
      </w:r>
      <w:r w:rsidRPr="00A90306">
        <w:rPr>
          <w:strike/>
        </w:rPr>
        <w:t>, on or before March 31 of each year,</w:t>
      </w:r>
      <w:r w:rsidRPr="00134891">
        <w:t xml:space="preserve"> establish a price increase or decrease index as required by Section 367.081(4</w:t>
      </w:r>
      <w:proofErr w:type="gramStart"/>
      <w:r w:rsidRPr="00134891">
        <w:t>)(</w:t>
      </w:r>
      <w:proofErr w:type="gramEnd"/>
      <w:r w:rsidRPr="00134891">
        <w:t xml:space="preserve">a), F.S. The Office of Commission Clerk shall mail each regulated water and wastewater utility a copy of the proposed agency action order establishing the index for the year </w:t>
      </w:r>
      <w:r w:rsidRPr="005E3F69">
        <w:t xml:space="preserve">and </w:t>
      </w:r>
      <w:r w:rsidRPr="00134891">
        <w:t xml:space="preserve">a copy of </w:t>
      </w:r>
      <w:r w:rsidRPr="005E3F69">
        <w:rPr>
          <w:strike/>
        </w:rPr>
        <w:t xml:space="preserve">the application. </w:t>
      </w:r>
      <w:r w:rsidRPr="00134891">
        <w:t xml:space="preserve">Form </w:t>
      </w:r>
      <w:r>
        <w:rPr>
          <w:u w:val="single"/>
        </w:rPr>
        <w:t>PSC 1</w:t>
      </w:r>
      <w:r w:rsidRPr="00C90F32">
        <w:rPr>
          <w:u w:val="single"/>
        </w:rPr>
        <w:t>022</w:t>
      </w:r>
      <w:r>
        <w:rPr>
          <w:u w:val="single"/>
        </w:rPr>
        <w:t xml:space="preserve"> </w:t>
      </w:r>
      <w:r w:rsidRPr="00C90F32">
        <w:rPr>
          <w:u w:val="single"/>
        </w:rPr>
        <w:t>(</w:t>
      </w:r>
      <w:r>
        <w:rPr>
          <w:u w:val="single"/>
        </w:rPr>
        <w:t>9</w:t>
      </w:r>
      <w:r w:rsidRPr="00C90F32">
        <w:rPr>
          <w:u w:val="single"/>
        </w:rPr>
        <w:t>/18)</w:t>
      </w:r>
      <w:r>
        <w:t xml:space="preserve"> </w:t>
      </w:r>
      <w:r w:rsidRPr="00447824">
        <w:rPr>
          <w:strike/>
        </w:rPr>
        <w:t>PSC/AFD 15 (4/99)</w:t>
      </w:r>
      <w:r w:rsidRPr="00134891">
        <w:t>, entitled “Index Application”</w:t>
      </w:r>
      <w:r w:rsidRPr="002559D2">
        <w:t>,</w:t>
      </w:r>
      <w:r w:rsidRPr="00C90F32">
        <w:t xml:space="preserve"> </w:t>
      </w:r>
      <w:r>
        <w:rPr>
          <w:u w:val="single"/>
        </w:rPr>
        <w:t>which</w:t>
      </w:r>
      <w:r w:rsidRPr="00134891">
        <w:t xml:space="preserve"> is incorporated into this rule by reference and may be obtained from</w:t>
      </w:r>
      <w:r>
        <w:t xml:space="preserve"> </w:t>
      </w:r>
      <w:r w:rsidRPr="002559D2">
        <w:rPr>
          <w:u w:val="single"/>
        </w:rPr>
        <w:t>[Dept of State hyperlink] and</w:t>
      </w:r>
      <w:r>
        <w:t xml:space="preserve"> </w:t>
      </w:r>
      <w:r w:rsidRPr="00134891">
        <w:t>the Commission’s Division of Accounting and Finance</w:t>
      </w:r>
      <w:r w:rsidRPr="00252A3D">
        <w:t>.</w:t>
      </w:r>
      <w:r w:rsidR="00757D1B" w:rsidRPr="00252A3D">
        <w:t xml:space="preserve"> </w:t>
      </w:r>
      <w:r w:rsidRPr="00134891">
        <w:t>Applications for the newly established price index will be accepted from April 1 of the year the index is established through March 31 of the following year.</w:t>
      </w:r>
    </w:p>
    <w:p w:rsidR="00C96C0A" w:rsidRPr="00134891" w:rsidRDefault="00C96C0A" w:rsidP="00134891">
      <w:pPr>
        <w:pStyle w:val="Rule"/>
        <w:tabs>
          <w:tab w:val="clear" w:pos="720"/>
          <w:tab w:val="left" w:pos="360"/>
        </w:tabs>
      </w:pPr>
      <w:r>
        <w:tab/>
      </w:r>
      <w:r w:rsidRPr="00134891">
        <w:t>(a) The index shall be applied to all operation and maintenance expenses, except for amortization of rate case expense, costs subject to pass-through adjustments pursuant to Section 367.081(4)(b), F.S., and adjustments or disallowances made in a utility’s most recent rate proceeding.</w:t>
      </w:r>
    </w:p>
    <w:p w:rsidR="00C96C0A" w:rsidRPr="00134891" w:rsidRDefault="00C96C0A" w:rsidP="00134891">
      <w:pPr>
        <w:pStyle w:val="Rule"/>
        <w:tabs>
          <w:tab w:val="clear" w:pos="720"/>
          <w:tab w:val="left" w:pos="360"/>
        </w:tabs>
      </w:pPr>
      <w:r>
        <w:tab/>
      </w:r>
      <w:r w:rsidRPr="00134891">
        <w:t>(b) In establishing the price index, the Commission will consider cost statistics compiled by government agencies or bodies, cost data supplied by utility companies or other interested parties, and applicable wage and price guidelines.</w:t>
      </w:r>
    </w:p>
    <w:p w:rsidR="00C96C0A" w:rsidRPr="00134891" w:rsidRDefault="00C96C0A" w:rsidP="00134891">
      <w:pPr>
        <w:pStyle w:val="Rule"/>
        <w:tabs>
          <w:tab w:val="clear" w:pos="720"/>
          <w:tab w:val="left" w:pos="360"/>
        </w:tabs>
      </w:pPr>
      <w:r>
        <w:tab/>
      </w:r>
      <w:r w:rsidRPr="00134891">
        <w:t xml:space="preserve">(2) Any utility seeking to increase or decrease its rates </w:t>
      </w:r>
      <w:r w:rsidRPr="000F135D">
        <w:t>based upon the application of the index</w:t>
      </w:r>
      <w:r>
        <w:t xml:space="preserve"> </w:t>
      </w:r>
      <w:r w:rsidRPr="00166A43">
        <w:t>established</w:t>
      </w:r>
      <w:r w:rsidRPr="00134891">
        <w:t xml:space="preserve"> pursuant to subsection (1) and as authorized by Section 367.081(4)(a), F.S., shall file </w:t>
      </w:r>
      <w:r w:rsidRPr="00EE6EAB">
        <w:rPr>
          <w:strike/>
        </w:rPr>
        <w:t>an original and five copies of</w:t>
      </w:r>
      <w:r w:rsidRPr="00134891">
        <w:t xml:space="preserve"> a notice of intention and the materials listed in </w:t>
      </w:r>
      <w:r w:rsidRPr="00A63476">
        <w:t>p</w:t>
      </w:r>
      <w:r w:rsidRPr="00134891">
        <w:t xml:space="preserve">aragraphs (a) through (i) below with the Commission’s Division of Accounting and Finance </w:t>
      </w:r>
      <w:r w:rsidR="00252A3D" w:rsidRPr="00252A3D">
        <w:rPr>
          <w:u w:val="single"/>
        </w:rPr>
        <w:t xml:space="preserve">either by </w:t>
      </w:r>
      <w:r w:rsidR="004000A7">
        <w:rPr>
          <w:u w:val="single"/>
        </w:rPr>
        <w:t>mail</w:t>
      </w:r>
      <w:r w:rsidR="00252A3D" w:rsidRPr="00757D1B">
        <w:rPr>
          <w:u w:val="single"/>
        </w:rPr>
        <w:t xml:space="preserve"> at 2540 Shumard Oak Boulevard, Tallahassee, Florida, 32399 or by e-mail at </w:t>
      </w:r>
      <w:hyperlink r:id="rId16" w:history="1">
        <w:r w:rsidR="00252A3D" w:rsidRPr="00757D1B">
          <w:rPr>
            <w:rStyle w:val="Hyperlink"/>
            <w:color w:val="auto"/>
          </w:rPr>
          <w:t>Applications@psc.state.fl.us</w:t>
        </w:r>
      </w:hyperlink>
      <w:r w:rsidR="00252A3D" w:rsidRPr="00252A3D">
        <w:rPr>
          <w:rStyle w:val="Hyperlink"/>
          <w:color w:val="auto"/>
          <w:u w:val="none"/>
        </w:rPr>
        <w:t xml:space="preserve"> </w:t>
      </w:r>
      <w:r w:rsidRPr="00134891">
        <w:t xml:space="preserve">at least 60 days prior to the effective date of the increase or decrease. </w:t>
      </w:r>
      <w:r w:rsidR="00252A3D" w:rsidRPr="00A000DB">
        <w:rPr>
          <w:u w:val="single"/>
        </w:rPr>
        <w:t xml:space="preserve">Form PSC 1022 (9/18) is an example application that may be completed by the </w:t>
      </w:r>
      <w:r w:rsidR="00252A3D" w:rsidRPr="00A000DB">
        <w:rPr>
          <w:u w:val="single"/>
        </w:rPr>
        <w:lastRenderedPageBreak/>
        <w:t>applican</w:t>
      </w:r>
      <w:r w:rsidR="00252A3D" w:rsidRPr="00252A3D">
        <w:rPr>
          <w:u w:val="single"/>
        </w:rPr>
        <w:t xml:space="preserve">t to comply with this subsection. </w:t>
      </w:r>
      <w:r w:rsidRPr="00134891">
        <w:t>The adjustment in rates shall take effect on the date specified in the notice of intention unless the Commission finds that the notice of intention or accompanying materials do not comply with</w:t>
      </w:r>
      <w:r w:rsidR="00757D1B">
        <w:t xml:space="preserve"> </w:t>
      </w:r>
      <w:r w:rsidR="00757D1B" w:rsidRPr="00757D1B">
        <w:rPr>
          <w:u w:val="single"/>
        </w:rPr>
        <w:t>Section 3</w:t>
      </w:r>
      <w:r w:rsidR="00F91E8B">
        <w:rPr>
          <w:u w:val="single"/>
        </w:rPr>
        <w:t>6</w:t>
      </w:r>
      <w:r w:rsidR="00757D1B" w:rsidRPr="00757D1B">
        <w:rPr>
          <w:u w:val="single"/>
        </w:rPr>
        <w:t>7.081(4), F.S. or this rule</w:t>
      </w:r>
      <w:r w:rsidR="00757D1B" w:rsidRPr="00757D1B">
        <w:rPr>
          <w:strike/>
        </w:rPr>
        <w:t xml:space="preserve"> </w:t>
      </w:r>
      <w:r w:rsidRPr="00757D1B">
        <w:rPr>
          <w:strike/>
        </w:rPr>
        <w:t>the law, or the rules or orders of the Commission</w:t>
      </w:r>
      <w:r w:rsidRPr="00134891">
        <w:t>. The notice shall be accompanied by:</w:t>
      </w:r>
    </w:p>
    <w:p w:rsidR="00C96C0A" w:rsidRPr="00134891" w:rsidRDefault="00C96C0A" w:rsidP="00134891">
      <w:pPr>
        <w:pStyle w:val="Rule"/>
        <w:tabs>
          <w:tab w:val="clear" w:pos="720"/>
          <w:tab w:val="left" w:pos="360"/>
        </w:tabs>
      </w:pPr>
      <w:r>
        <w:tab/>
      </w:r>
      <w:r w:rsidRPr="00134891">
        <w:t>(a) Revised tariff sheets;</w:t>
      </w:r>
    </w:p>
    <w:p w:rsidR="00C96C0A" w:rsidRPr="00134891" w:rsidRDefault="00C96C0A" w:rsidP="00134891">
      <w:pPr>
        <w:pStyle w:val="Rule"/>
        <w:tabs>
          <w:tab w:val="clear" w:pos="720"/>
          <w:tab w:val="left" w:pos="360"/>
        </w:tabs>
      </w:pPr>
      <w:r>
        <w:tab/>
      </w:r>
      <w:r w:rsidRPr="00134891">
        <w:t>(b) A computation schedule showing the increase or decrease in annual revenue that will result when the index is applied;</w:t>
      </w:r>
    </w:p>
    <w:p w:rsidR="00C96C0A" w:rsidRPr="00134891" w:rsidRDefault="00C96C0A" w:rsidP="00134891">
      <w:pPr>
        <w:pStyle w:val="Rule"/>
        <w:tabs>
          <w:tab w:val="clear" w:pos="720"/>
          <w:tab w:val="left" w:pos="360"/>
        </w:tabs>
      </w:pPr>
      <w:r>
        <w:tab/>
      </w:r>
      <w:r w:rsidRPr="00134891">
        <w:t>(c) The affirmation required by Section 367.081(4</w:t>
      </w:r>
      <w:proofErr w:type="gramStart"/>
      <w:r w:rsidRPr="00134891">
        <w:t>)(</w:t>
      </w:r>
      <w:proofErr w:type="gramEnd"/>
      <w:r w:rsidRPr="00134891">
        <w:t>c), F.S.;</w:t>
      </w:r>
    </w:p>
    <w:p w:rsidR="00C96C0A" w:rsidRPr="00134891" w:rsidRDefault="00C96C0A" w:rsidP="00134891">
      <w:pPr>
        <w:pStyle w:val="Rule"/>
        <w:tabs>
          <w:tab w:val="clear" w:pos="720"/>
          <w:tab w:val="left" w:pos="360"/>
        </w:tabs>
      </w:pPr>
      <w:r>
        <w:tab/>
      </w:r>
      <w:r w:rsidRPr="00134891">
        <w:t>(d) A copy of the notice to customers required by subsection (6);</w:t>
      </w:r>
    </w:p>
    <w:p w:rsidR="00C96C0A" w:rsidRPr="00134891" w:rsidRDefault="00C96C0A" w:rsidP="00134891">
      <w:pPr>
        <w:pStyle w:val="Rule"/>
        <w:tabs>
          <w:tab w:val="clear" w:pos="720"/>
          <w:tab w:val="left" w:pos="360"/>
        </w:tabs>
      </w:pPr>
      <w:r>
        <w:tab/>
      </w:r>
      <w:r w:rsidRPr="00134891">
        <w:t>(e) The rate of return on equity that the utility is affirming it will not exceed pursuant to Section 367.081(4</w:t>
      </w:r>
      <w:proofErr w:type="gramStart"/>
      <w:r w:rsidRPr="00134891">
        <w:t>)(</w:t>
      </w:r>
      <w:proofErr w:type="gramEnd"/>
      <w:r w:rsidRPr="00134891">
        <w:t>c), F.S.;</w:t>
      </w:r>
    </w:p>
    <w:p w:rsidR="00C96C0A" w:rsidRPr="00134891" w:rsidRDefault="00C96C0A" w:rsidP="00134891">
      <w:pPr>
        <w:pStyle w:val="Rule"/>
        <w:tabs>
          <w:tab w:val="clear" w:pos="720"/>
          <w:tab w:val="left" w:pos="360"/>
        </w:tabs>
      </w:pPr>
      <w:r>
        <w:tab/>
      </w:r>
      <w:r w:rsidRPr="00134891">
        <w:t>(f) An annualized revenue figure for the test year used in the index calculation reflecting the rate change, along with an explanation of the calculation, if there has been any change in the utility’s rates during or subsequent to the test year;</w:t>
      </w:r>
    </w:p>
    <w:p w:rsidR="00C96C0A" w:rsidRPr="00134891" w:rsidRDefault="00C96C0A" w:rsidP="00134891">
      <w:pPr>
        <w:pStyle w:val="Rule"/>
        <w:tabs>
          <w:tab w:val="clear" w:pos="720"/>
          <w:tab w:val="left" w:pos="360"/>
        </w:tabs>
      </w:pPr>
      <w:r>
        <w:tab/>
      </w:r>
      <w:r w:rsidRPr="00134891">
        <w:t>(g) The utility’s Department of Environmental Protection Public Water System identification number and Wastewater Treatment Plant Operating Permit number</w:t>
      </w:r>
      <w:proofErr w:type="gramStart"/>
      <w:r w:rsidRPr="00A63476">
        <w:rPr>
          <w:u w:val="single"/>
        </w:rPr>
        <w:t>;</w:t>
      </w:r>
      <w:r w:rsidRPr="00A63476">
        <w:rPr>
          <w:strike/>
        </w:rPr>
        <w:t>.</w:t>
      </w:r>
      <w:proofErr w:type="gramEnd"/>
    </w:p>
    <w:p w:rsidR="00C96C0A" w:rsidRPr="00A63476" w:rsidRDefault="00C96C0A" w:rsidP="00134891">
      <w:pPr>
        <w:pStyle w:val="Rule"/>
        <w:tabs>
          <w:tab w:val="clear" w:pos="720"/>
          <w:tab w:val="left" w:pos="360"/>
        </w:tabs>
      </w:pPr>
      <w:r>
        <w:tab/>
      </w:r>
      <w:r w:rsidRPr="00134891">
        <w:t xml:space="preserve">(h) A statement that the utility does not have any active written complaints, corrective orders, consent orders, or outstanding citations with the Department of Environmental Protection </w:t>
      </w:r>
      <w:r w:rsidRPr="00CD4377">
        <w:rPr>
          <w:strike/>
        </w:rPr>
        <w:t>(DEP)</w:t>
      </w:r>
      <w:r w:rsidRPr="00134891">
        <w:t xml:space="preserve"> or the County Health Department(s) or that the utility does have active written complaints, corrective orders, consent orders, or outstanding citations with the </w:t>
      </w:r>
      <w:r>
        <w:t xml:space="preserve">                  </w:t>
      </w:r>
      <w:r w:rsidRPr="00704CCB">
        <w:t xml:space="preserve"> </w:t>
      </w:r>
      <w:r>
        <w:t>D</w:t>
      </w:r>
      <w:r w:rsidRPr="00134891">
        <w:t>epartment of Environmental P</w:t>
      </w:r>
      <w:r>
        <w:t>rotection</w:t>
      </w:r>
      <w:r w:rsidRPr="00134891">
        <w:t xml:space="preserve"> or the County Health Department(s)</w:t>
      </w:r>
      <w:r w:rsidRPr="00A63476">
        <w:rPr>
          <w:u w:val="single"/>
        </w:rPr>
        <w:t>;</w:t>
      </w:r>
      <w:r w:rsidRPr="00A63476">
        <w:rPr>
          <w:strike/>
        </w:rPr>
        <w:t>.</w:t>
      </w:r>
      <w:r>
        <w:t xml:space="preserve"> </w:t>
      </w:r>
    </w:p>
    <w:p w:rsidR="00C96C0A" w:rsidRPr="00134891" w:rsidRDefault="00C96C0A" w:rsidP="00134891">
      <w:pPr>
        <w:pStyle w:val="Rule"/>
        <w:tabs>
          <w:tab w:val="clear" w:pos="720"/>
          <w:tab w:val="left" w:pos="360"/>
        </w:tabs>
      </w:pPr>
      <w:r>
        <w:tab/>
      </w:r>
      <w:r w:rsidRPr="00134891">
        <w:t xml:space="preserve">(i) A copy of any active written complaints, corrective orders, consent orders, or outstanding citations with the Department of Environmental Protection </w:t>
      </w:r>
      <w:r w:rsidRPr="00CD4377">
        <w:rPr>
          <w:strike/>
        </w:rPr>
        <w:t>(DEP)</w:t>
      </w:r>
      <w:r w:rsidRPr="00134891">
        <w:t xml:space="preserve"> or the County Health Department(s).</w:t>
      </w:r>
    </w:p>
    <w:p w:rsidR="00C96C0A" w:rsidRPr="00134891" w:rsidRDefault="00C96C0A" w:rsidP="00134891">
      <w:pPr>
        <w:pStyle w:val="Rule"/>
        <w:tabs>
          <w:tab w:val="clear" w:pos="720"/>
          <w:tab w:val="left" w:pos="360"/>
        </w:tabs>
      </w:pPr>
      <w:r>
        <w:tab/>
      </w:r>
      <w:r w:rsidRPr="00134891">
        <w:t xml:space="preserve">(3) If the Commission, upon its own motion, implements an increase or decrease in the </w:t>
      </w:r>
      <w:r w:rsidRPr="00134891">
        <w:lastRenderedPageBreak/>
        <w:t xml:space="preserve">rates of a utility based upon the application of the index </w:t>
      </w:r>
      <w:r w:rsidRPr="00166A43">
        <w:t>established</w:t>
      </w:r>
      <w:r w:rsidRPr="00134891">
        <w:t xml:space="preserve"> pursuant to subsection (1) and as</w:t>
      </w:r>
      <w:r>
        <w:t xml:space="preserve"> </w:t>
      </w:r>
      <w:r w:rsidRPr="00D81554">
        <w:t>authorized</w:t>
      </w:r>
      <w:r w:rsidRPr="00134891">
        <w:t xml:space="preserve"> by Section 367.081(4</w:t>
      </w:r>
      <w:proofErr w:type="gramStart"/>
      <w:r w:rsidRPr="00134891">
        <w:t>)(</w:t>
      </w:r>
      <w:proofErr w:type="gramEnd"/>
      <w:r w:rsidRPr="00134891">
        <w:t>a), F.S., the Commission will require a utility to file the information required in subsection (2).</w:t>
      </w:r>
    </w:p>
    <w:p w:rsidR="00C96C0A" w:rsidRPr="00134891" w:rsidRDefault="00C96C0A" w:rsidP="00134891">
      <w:pPr>
        <w:pStyle w:val="Rule"/>
        <w:tabs>
          <w:tab w:val="clear" w:pos="720"/>
          <w:tab w:val="left" w:pos="360"/>
        </w:tabs>
      </w:pPr>
      <w:r>
        <w:tab/>
      </w:r>
      <w:r w:rsidRPr="00134891">
        <w:t xml:space="preserve">(4) Upon a finding of good cause, the Commission </w:t>
      </w:r>
      <w:r w:rsidRPr="004F01B1">
        <w:rPr>
          <w:u w:val="single"/>
        </w:rPr>
        <w:t>shall</w:t>
      </w:r>
      <w:r>
        <w:t xml:space="preserve"> </w:t>
      </w:r>
      <w:r w:rsidRPr="004F01B1">
        <w:rPr>
          <w:strike/>
        </w:rPr>
        <w:t>may</w:t>
      </w:r>
      <w:r w:rsidRPr="00134891">
        <w:t xml:space="preserve"> require that a rate increase pursuant to Section 367.081(4</w:t>
      </w:r>
      <w:proofErr w:type="gramStart"/>
      <w:r w:rsidRPr="00134891">
        <w:t>)(</w:t>
      </w:r>
      <w:proofErr w:type="gramEnd"/>
      <w:r w:rsidRPr="00134891">
        <w:t>a), F.S., be implemented under a bond or corporate undertaking in the same manner as interim rates. For purposes of this subsection, “good cause” shall include:</w:t>
      </w:r>
    </w:p>
    <w:p w:rsidR="00C96C0A" w:rsidRPr="00134891" w:rsidRDefault="00C96C0A" w:rsidP="00134891">
      <w:pPr>
        <w:pStyle w:val="Rule"/>
        <w:tabs>
          <w:tab w:val="clear" w:pos="720"/>
          <w:tab w:val="left" w:pos="360"/>
        </w:tabs>
      </w:pPr>
      <w:r>
        <w:tab/>
      </w:r>
      <w:r w:rsidR="00A000DB">
        <w:t>(a) Inadequate service by th</w:t>
      </w:r>
      <w:r w:rsidR="00F91E8B">
        <w:t>e utility</w:t>
      </w:r>
      <w:r w:rsidRPr="00134891">
        <w:t>;</w:t>
      </w:r>
    </w:p>
    <w:p w:rsidR="00C96C0A" w:rsidRPr="00134891" w:rsidRDefault="00C96C0A" w:rsidP="00134891">
      <w:pPr>
        <w:pStyle w:val="Rule"/>
        <w:tabs>
          <w:tab w:val="clear" w:pos="720"/>
          <w:tab w:val="left" w:pos="360"/>
        </w:tabs>
      </w:pPr>
      <w:r>
        <w:tab/>
      </w:r>
      <w:r w:rsidRPr="00134891">
        <w:t>(</w:t>
      </w:r>
      <w:proofErr w:type="gramStart"/>
      <w:r w:rsidRPr="00134891">
        <w:t>b</w:t>
      </w:r>
      <w:proofErr w:type="gramEnd"/>
      <w:r w:rsidRPr="00134891">
        <w:t>) Inadequate record-keeping by the utility such that the Commission is unable to determine whether the utility is entitled to implement the rate increase or decrease under this rule.</w:t>
      </w:r>
    </w:p>
    <w:p w:rsidR="00C96C0A" w:rsidRPr="00134891" w:rsidRDefault="00C96C0A" w:rsidP="00134891">
      <w:pPr>
        <w:pStyle w:val="Rule"/>
        <w:tabs>
          <w:tab w:val="clear" w:pos="720"/>
          <w:tab w:val="left" w:pos="360"/>
        </w:tabs>
      </w:pPr>
      <w:r>
        <w:tab/>
      </w:r>
      <w:r w:rsidRPr="00134891">
        <w:t>(5) Prior to the time a customer begins consumption at the rates established by application of the index, the utility shall notify each customer of the increase or decrease authorized and explain the reasons therefore.</w:t>
      </w:r>
    </w:p>
    <w:p w:rsidR="00C96C0A" w:rsidRPr="00134891" w:rsidRDefault="00C96C0A" w:rsidP="00134891">
      <w:pPr>
        <w:pStyle w:val="Rule"/>
        <w:tabs>
          <w:tab w:val="clear" w:pos="720"/>
          <w:tab w:val="left" w:pos="360"/>
        </w:tabs>
      </w:pPr>
      <w:r>
        <w:tab/>
      </w:r>
      <w:r w:rsidRPr="00134891">
        <w:t xml:space="preserve">(6) No utility shall file a notice of intention pursuant to this rule unless the utility has </w:t>
      </w:r>
      <w:r w:rsidRPr="000F135D">
        <w:rPr>
          <w:u w:val="single"/>
        </w:rPr>
        <w:t>filed</w:t>
      </w:r>
      <w:r w:rsidRPr="00134891">
        <w:t xml:space="preserve"> </w:t>
      </w:r>
      <w:r w:rsidRPr="00704CCB">
        <w:rPr>
          <w:strike/>
        </w:rPr>
        <w:t>on file</w:t>
      </w:r>
      <w:r>
        <w:t xml:space="preserve"> </w:t>
      </w:r>
      <w:r w:rsidRPr="00134891">
        <w:t>with the Commission an annual report as required by subsection 25-30.110(3), F.A.C., for the test year specified in the order establishing the index for the year.</w:t>
      </w:r>
    </w:p>
    <w:p w:rsidR="00C96C0A" w:rsidRPr="00134891" w:rsidRDefault="00C96C0A" w:rsidP="00134891">
      <w:pPr>
        <w:pStyle w:val="Rule"/>
        <w:tabs>
          <w:tab w:val="clear" w:pos="720"/>
          <w:tab w:val="left" w:pos="360"/>
        </w:tabs>
      </w:pPr>
      <w:r>
        <w:tab/>
      </w:r>
      <w:r w:rsidRPr="00134891">
        <w:t>(7) No utility shall implement a rate increase pursuant to this rule within one year of the official date that it filed a rate proceeding, unless the rate proceeding has been completed or terminated.</w:t>
      </w:r>
    </w:p>
    <w:p w:rsidR="006C42C3" w:rsidRPr="006C42C3" w:rsidRDefault="00C96C0A" w:rsidP="006C42C3">
      <w:pPr>
        <w:pStyle w:val="Rule"/>
        <w:tabs>
          <w:tab w:val="clear" w:pos="720"/>
          <w:tab w:val="left" w:pos="360"/>
        </w:tabs>
        <w:rPr>
          <w:i/>
        </w:rPr>
        <w:sectPr w:rsidR="006C42C3" w:rsidRPr="006C42C3" w:rsidSect="00D37334">
          <w:headerReference w:type="even" r:id="rId17"/>
          <w:headerReference w:type="default" r:id="rId18"/>
          <w:footerReference w:type="even" r:id="rId19"/>
          <w:footerReference w:type="default" r:id="rId20"/>
          <w:headerReference w:type="first" r:id="rId21"/>
          <w:footerReference w:type="first" r:id="rId22"/>
          <w:pgSz w:w="12240" w:h="15840" w:code="1"/>
          <w:pgMar w:top="360" w:right="720" w:bottom="360" w:left="2405" w:header="360" w:footer="360" w:gutter="0"/>
          <w:cols w:space="720"/>
          <w:formProt w:val="0"/>
          <w:docGrid w:linePitch="360"/>
        </w:sectPr>
      </w:pPr>
      <w:r w:rsidRPr="00134891">
        <w:rPr>
          <w:i/>
        </w:rPr>
        <w:t>Rulemaking Authority 350.127(2), 367.081(4</w:t>
      </w:r>
      <w:proofErr w:type="gramStart"/>
      <w:r w:rsidRPr="00134891">
        <w:rPr>
          <w:i/>
        </w:rPr>
        <w:t>)(</w:t>
      </w:r>
      <w:proofErr w:type="gramEnd"/>
      <w:r w:rsidRPr="00134891">
        <w:rPr>
          <w:i/>
        </w:rPr>
        <w:t>a), 367.121(1)(c), (f) FS. Law Implemented 367.081(4), 367.121(1</w:t>
      </w:r>
      <w:proofErr w:type="gramStart"/>
      <w:r w:rsidRPr="00134891">
        <w:rPr>
          <w:i/>
        </w:rPr>
        <w:t>)(</w:t>
      </w:r>
      <w:proofErr w:type="gramEnd"/>
      <w:r w:rsidRPr="00134891">
        <w:rPr>
          <w:i/>
        </w:rPr>
        <w:t>c), (g) FS. History–New 4-5-81, Amended 9-16-82, Formerly 25-10.185, Amended 11-10-86, 6-5-91, 4-18-99, 12-11-03</w:t>
      </w:r>
      <w:r w:rsidR="00D33458">
        <w:rPr>
          <w:i/>
        </w:rPr>
        <w:t>, ______</w:t>
      </w:r>
    </w:p>
    <w:p w:rsidR="00341F35" w:rsidRDefault="00341F35" w:rsidP="00341F35">
      <w:pPr>
        <w:pStyle w:val="BodyText"/>
      </w:pPr>
      <w:r>
        <w:rPr>
          <w:noProof/>
        </w:rPr>
        <w:lastRenderedPageBreak/>
        <w:drawing>
          <wp:inline distT="0" distB="0" distL="0" distR="0">
            <wp:extent cx="6858000" cy="8874760"/>
            <wp:effectExtent l="0" t="0" r="0" b="254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858000" cy="8874760"/>
                    </a:xfrm>
                    <a:prstGeom prst="rect">
                      <a:avLst/>
                    </a:prstGeom>
                  </pic:spPr>
                </pic:pic>
              </a:graphicData>
            </a:graphic>
          </wp:inline>
        </w:drawing>
      </w:r>
    </w:p>
    <w:p w:rsidR="00341F35" w:rsidRDefault="00341F35" w:rsidP="00341F35">
      <w:pPr>
        <w:pStyle w:val="BodyText"/>
      </w:pPr>
      <w:r>
        <w:rPr>
          <w:noProof/>
        </w:rPr>
        <w:lastRenderedPageBreak/>
        <w:drawing>
          <wp:inline distT="0" distB="0" distL="0" distR="0">
            <wp:extent cx="6858000" cy="8874760"/>
            <wp:effectExtent l="0" t="0" r="0" b="254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58000" cy="8874760"/>
                    </a:xfrm>
                    <a:prstGeom prst="rect">
                      <a:avLst/>
                    </a:prstGeom>
                  </pic:spPr>
                </pic:pic>
              </a:graphicData>
            </a:graphic>
          </wp:inline>
        </w:drawing>
      </w:r>
    </w:p>
    <w:p w:rsidR="00341F35" w:rsidRDefault="00341F35" w:rsidP="00341F35">
      <w:pPr>
        <w:pStyle w:val="BodyText"/>
      </w:pPr>
      <w:r>
        <w:rPr>
          <w:noProof/>
        </w:rPr>
        <w:lastRenderedPageBreak/>
        <w:drawing>
          <wp:inline distT="0" distB="0" distL="0" distR="0">
            <wp:extent cx="6858000" cy="8874760"/>
            <wp:effectExtent l="0" t="0" r="0" b="254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58000" cy="8874760"/>
                    </a:xfrm>
                    <a:prstGeom prst="rect">
                      <a:avLst/>
                    </a:prstGeom>
                  </pic:spPr>
                </pic:pic>
              </a:graphicData>
            </a:graphic>
          </wp:inline>
        </w:drawing>
      </w:r>
    </w:p>
    <w:p w:rsidR="00341F35" w:rsidRDefault="00341F35" w:rsidP="00341F35">
      <w:pPr>
        <w:pStyle w:val="BodyText"/>
      </w:pPr>
      <w:r>
        <w:rPr>
          <w:noProof/>
        </w:rPr>
        <w:lastRenderedPageBreak/>
        <w:drawing>
          <wp:inline distT="0" distB="0" distL="0" distR="0">
            <wp:extent cx="6858000" cy="8874760"/>
            <wp:effectExtent l="0" t="0" r="0" b="254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858000" cy="8874760"/>
                    </a:xfrm>
                    <a:prstGeom prst="rect">
                      <a:avLst/>
                    </a:prstGeom>
                  </pic:spPr>
                </pic:pic>
              </a:graphicData>
            </a:graphic>
          </wp:inline>
        </w:drawing>
      </w:r>
    </w:p>
    <w:p w:rsidR="00341F35" w:rsidRDefault="00341F35" w:rsidP="00341F35">
      <w:pPr>
        <w:pStyle w:val="BodyText"/>
      </w:pPr>
      <w:r>
        <w:rPr>
          <w:noProof/>
        </w:rPr>
        <w:lastRenderedPageBreak/>
        <w:drawing>
          <wp:inline distT="0" distB="0" distL="0" distR="0">
            <wp:extent cx="6858000" cy="8874760"/>
            <wp:effectExtent l="0" t="0" r="0" b="254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858000" cy="8874760"/>
                    </a:xfrm>
                    <a:prstGeom prst="rect">
                      <a:avLst/>
                    </a:prstGeom>
                  </pic:spPr>
                </pic:pic>
              </a:graphicData>
            </a:graphic>
          </wp:inline>
        </w:drawing>
      </w:r>
    </w:p>
    <w:p w:rsidR="00341F35" w:rsidRDefault="00341F35" w:rsidP="00341F35">
      <w:pPr>
        <w:pStyle w:val="BodyText"/>
      </w:pPr>
      <w:r>
        <w:rPr>
          <w:noProof/>
        </w:rPr>
        <w:lastRenderedPageBreak/>
        <w:drawing>
          <wp:inline distT="0" distB="0" distL="0" distR="0">
            <wp:extent cx="6858000" cy="8874760"/>
            <wp:effectExtent l="0" t="0" r="0" b="254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58000" cy="8874760"/>
                    </a:xfrm>
                    <a:prstGeom prst="rect">
                      <a:avLst/>
                    </a:prstGeom>
                  </pic:spPr>
                </pic:pic>
              </a:graphicData>
            </a:graphic>
          </wp:inline>
        </w:drawing>
      </w:r>
    </w:p>
    <w:p w:rsidR="00341F35" w:rsidRDefault="00341F35" w:rsidP="00341F35">
      <w:pPr>
        <w:pStyle w:val="BodyText"/>
      </w:pPr>
      <w:r>
        <w:rPr>
          <w:noProof/>
        </w:rPr>
        <w:lastRenderedPageBreak/>
        <w:drawing>
          <wp:inline distT="0" distB="0" distL="0" distR="0">
            <wp:extent cx="6858000" cy="8874760"/>
            <wp:effectExtent l="0" t="0" r="0" b="254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858000" cy="8874760"/>
                    </a:xfrm>
                    <a:prstGeom prst="rect">
                      <a:avLst/>
                    </a:prstGeom>
                  </pic:spPr>
                </pic:pic>
              </a:graphicData>
            </a:graphic>
          </wp:inline>
        </w:drawing>
      </w:r>
    </w:p>
    <w:p w:rsidR="00341F35" w:rsidRDefault="00341F35" w:rsidP="00D33458">
      <w:pPr>
        <w:pStyle w:val="BodyText"/>
        <w:sectPr w:rsidR="00341F35" w:rsidSect="001B3634">
          <w:headerReference w:type="default" r:id="rId30"/>
          <w:footerReference w:type="default" r:id="rId31"/>
          <w:pgSz w:w="12240" w:h="15840" w:code="1"/>
          <w:pgMar w:top="720" w:right="720" w:bottom="720" w:left="720" w:header="360" w:footer="360" w:gutter="0"/>
          <w:cols w:space="720"/>
          <w:formProt w:val="0"/>
          <w:docGrid w:linePitch="360"/>
        </w:sectPr>
      </w:pPr>
      <w:r>
        <w:rPr>
          <w:noProof/>
        </w:rPr>
        <w:lastRenderedPageBreak/>
        <w:drawing>
          <wp:inline distT="0" distB="0" distL="0" distR="0">
            <wp:extent cx="6858000" cy="8874760"/>
            <wp:effectExtent l="0" t="0" r="0" b="254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58000" cy="8874760"/>
                    </a:xfrm>
                    <a:prstGeom prst="rect">
                      <a:avLst/>
                    </a:prstGeom>
                  </pic:spPr>
                </pic:pic>
              </a:graphicData>
            </a:graphic>
          </wp:inline>
        </w:drawing>
      </w:r>
    </w:p>
    <w:p w:rsidR="001474CC" w:rsidRDefault="001474CC" w:rsidP="001474CC">
      <w:pPr>
        <w:pStyle w:val="BodyText"/>
      </w:pPr>
      <w:r>
        <w:rPr>
          <w:noProof/>
        </w:rPr>
        <w:lastRenderedPageBreak/>
        <w:drawing>
          <wp:inline distT="0" distB="0" distL="0" distR="0">
            <wp:extent cx="6858000" cy="88849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858000" cy="8884920"/>
                    </a:xfrm>
                    <a:prstGeom prst="rect">
                      <a:avLst/>
                    </a:prstGeom>
                  </pic:spPr>
                </pic:pic>
              </a:graphicData>
            </a:graphic>
          </wp:inline>
        </w:drawing>
      </w:r>
    </w:p>
    <w:p w:rsidR="001474CC" w:rsidRDefault="001474CC" w:rsidP="001474CC">
      <w:pPr>
        <w:pStyle w:val="BodyText"/>
      </w:pPr>
      <w:r>
        <w:rPr>
          <w:noProof/>
        </w:rPr>
        <w:lastRenderedPageBreak/>
        <w:drawing>
          <wp:inline distT="0" distB="0" distL="0" distR="0">
            <wp:extent cx="6858000" cy="889698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858000" cy="8896985"/>
                    </a:xfrm>
                    <a:prstGeom prst="rect">
                      <a:avLst/>
                    </a:prstGeom>
                  </pic:spPr>
                </pic:pic>
              </a:graphicData>
            </a:graphic>
          </wp:inline>
        </w:drawing>
      </w:r>
    </w:p>
    <w:p w:rsidR="001474CC" w:rsidRDefault="001474CC" w:rsidP="001474CC">
      <w:pPr>
        <w:pStyle w:val="BodyText"/>
      </w:pPr>
      <w:r>
        <w:rPr>
          <w:noProof/>
        </w:rPr>
        <w:lastRenderedPageBreak/>
        <w:drawing>
          <wp:inline distT="0" distB="0" distL="0" distR="0">
            <wp:extent cx="6858000" cy="88728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58000" cy="8872855"/>
                    </a:xfrm>
                    <a:prstGeom prst="rect">
                      <a:avLst/>
                    </a:prstGeom>
                  </pic:spPr>
                </pic:pic>
              </a:graphicData>
            </a:graphic>
          </wp:inline>
        </w:drawing>
      </w:r>
    </w:p>
    <w:p w:rsidR="001474CC" w:rsidRDefault="001474CC" w:rsidP="001474CC">
      <w:pPr>
        <w:pStyle w:val="BodyText"/>
      </w:pPr>
      <w:r>
        <w:rPr>
          <w:noProof/>
        </w:rPr>
        <w:lastRenderedPageBreak/>
        <w:drawing>
          <wp:inline distT="0" distB="0" distL="0" distR="0">
            <wp:extent cx="6858000" cy="8876665"/>
            <wp:effectExtent l="0" t="0" r="0" b="63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58000" cy="8876665"/>
                    </a:xfrm>
                    <a:prstGeom prst="rect">
                      <a:avLst/>
                    </a:prstGeom>
                  </pic:spPr>
                </pic:pic>
              </a:graphicData>
            </a:graphic>
          </wp:inline>
        </w:drawing>
      </w:r>
    </w:p>
    <w:p w:rsidR="001474CC" w:rsidRDefault="001474CC" w:rsidP="001474CC">
      <w:pPr>
        <w:pStyle w:val="BodyText"/>
      </w:pPr>
      <w:r>
        <w:rPr>
          <w:noProof/>
        </w:rPr>
        <w:lastRenderedPageBreak/>
        <w:drawing>
          <wp:inline distT="0" distB="0" distL="0" distR="0">
            <wp:extent cx="6858000" cy="887984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858000" cy="8879840"/>
                    </a:xfrm>
                    <a:prstGeom prst="rect">
                      <a:avLst/>
                    </a:prstGeom>
                  </pic:spPr>
                </pic:pic>
              </a:graphicData>
            </a:graphic>
          </wp:inline>
        </w:drawing>
      </w:r>
    </w:p>
    <w:p w:rsidR="00C96C0A" w:rsidRDefault="001474CC" w:rsidP="00D33458">
      <w:pPr>
        <w:pStyle w:val="BodyText"/>
      </w:pPr>
      <w:r>
        <w:rPr>
          <w:noProof/>
        </w:rPr>
        <w:lastRenderedPageBreak/>
        <w:drawing>
          <wp:inline distT="0" distB="0" distL="0" distR="0">
            <wp:extent cx="6858000" cy="88836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858000" cy="8883650"/>
                    </a:xfrm>
                    <a:prstGeom prst="rect">
                      <a:avLst/>
                    </a:prstGeom>
                  </pic:spPr>
                </pic:pic>
              </a:graphicData>
            </a:graphic>
          </wp:inline>
        </w:drawing>
      </w:r>
    </w:p>
    <w:sectPr w:rsidR="00C96C0A" w:rsidSect="001B3634">
      <w:headerReference w:type="default" r:id="rId39"/>
      <w:pgSz w:w="12240" w:h="15840" w:code="1"/>
      <w:pgMar w:top="720" w:right="720" w:bottom="720" w:left="72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6B2" w:rsidRDefault="00D256B2">
      <w:r>
        <w:separator/>
      </w:r>
    </w:p>
  </w:endnote>
  <w:endnote w:type="continuationSeparator" w:id="0">
    <w:p w:rsidR="00D256B2" w:rsidRDefault="00D25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56E97">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422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A0F2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4A0F26" w:rsidP="00FC1907">
    <w:pPr>
      <w:pStyle w:val="Footer"/>
      <w:tabs>
        <w:tab w:val="clear" w:pos="8640"/>
        <w:tab w:val="left" w:pos="6060"/>
      </w:tabs>
    </w:pPr>
    <w:r>
      <w:tab/>
      <w:t xml:space="preserve">- </w:t>
    </w:r>
    <w:r>
      <w:rPr>
        <w:rStyle w:val="PageNumber"/>
      </w:rPr>
      <w:fldChar w:fldCharType="begin"/>
    </w:r>
    <w:r>
      <w:rPr>
        <w:rStyle w:val="PageNumber"/>
      </w:rPr>
      <w:instrText xml:space="preserve"> PAGE </w:instrText>
    </w:r>
    <w:r>
      <w:rPr>
        <w:rStyle w:val="PageNumber"/>
      </w:rPr>
      <w:fldChar w:fldCharType="separate"/>
    </w:r>
    <w:r w:rsidR="00256E97">
      <w:rPr>
        <w:rStyle w:val="PageNumber"/>
        <w:noProof/>
      </w:rPr>
      <w:t>8</w:t>
    </w:r>
    <w:r>
      <w:rPr>
        <w:rStyle w:val="PageNumber"/>
      </w:rPr>
      <w:fldChar w:fldCharType="end"/>
    </w:r>
    <w:r>
      <w:rPr>
        <w:rStyle w:val="PageNumber"/>
      </w:rPr>
      <w:t xml:space="preserve"> -</w:t>
    </w:r>
    <w:r w:rsidR="00FC1907">
      <w:rPr>
        <w:rStyle w:val="PageNumber"/>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A0F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4A0F26">
    <w:pPr>
      <w:pStyle w:val="Footer"/>
    </w:pPr>
    <w:r>
      <w:t xml:space="preserve">CODING: Words </w:t>
    </w:r>
    <w:r>
      <w:rPr>
        <w:u w:val="single"/>
      </w:rPr>
      <w:t>underlined</w:t>
    </w:r>
    <w:r>
      <w:t xml:space="preserve"> are additions; words in struck through type are deletions from existing law.</w:t>
    </w:r>
  </w:p>
  <w:p w:rsidR="00FF1497" w:rsidRDefault="004A0F26">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25E" w:rsidRDefault="00FB325E" w:rsidP="00FB325E">
    <w:pPr>
      <w:pStyle w:val="Footer"/>
      <w:tabs>
        <w:tab w:val="clear" w:pos="8640"/>
        <w:tab w:val="left" w:pos="60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256E97">
      <w:rPr>
        <w:rStyle w:val="PageNumber"/>
        <w:noProof/>
      </w:rPr>
      <w:t>22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6B2" w:rsidRDefault="00D256B2">
      <w:r>
        <w:separator/>
      </w:r>
    </w:p>
  </w:footnote>
  <w:footnote w:type="continuationSeparator" w:id="0">
    <w:p w:rsidR="00D256B2" w:rsidRDefault="00D25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D256B2"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20190055-WS</w:t>
    </w:r>
    <w:bookmarkEnd w:id="15"/>
  </w:p>
  <w:p w:rsidR="00BC402E" w:rsidRDefault="00BC402E">
    <w:pPr>
      <w:pStyle w:val="Header"/>
    </w:pPr>
    <w:r>
      <w:t xml:space="preserve">Date: </w:t>
    </w:r>
    <w:fldSimple w:instr=" REF FilingDate ">
      <w:r w:rsidR="00085E4E">
        <w:t>June 26,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85E4E">
      <w:t>Docket No.</w:t>
    </w:r>
    <w:r>
      <w:fldChar w:fldCharType="end"/>
    </w:r>
    <w:r>
      <w:t xml:space="preserve"> </w:t>
    </w:r>
    <w:r>
      <w:fldChar w:fldCharType="begin"/>
    </w:r>
    <w:r>
      <w:instrText xml:space="preserve"> REF DocketList</w:instrText>
    </w:r>
    <w:r>
      <w:fldChar w:fldCharType="separate"/>
    </w:r>
    <w:r w:rsidR="00085E4E">
      <w:t>20190055-WS</w:t>
    </w:r>
    <w:r>
      <w:fldChar w:fldCharType="end"/>
    </w:r>
    <w:r>
      <w:tab/>
      <w:t xml:space="preserve">Issue </w:t>
    </w:r>
    <w:fldSimple w:instr=" Seq Issue \c \* Arabic ">
      <w:r w:rsidR="00256E97">
        <w:rPr>
          <w:noProof/>
        </w:rPr>
        <w:t>1</w:t>
      </w:r>
    </w:fldSimple>
  </w:p>
  <w:p w:rsidR="00BC402E" w:rsidRDefault="00BC402E">
    <w:pPr>
      <w:pStyle w:val="Header"/>
    </w:pPr>
    <w:r>
      <w:t xml:space="preserve">Date: </w:t>
    </w:r>
    <w:fldSimple w:instr=" REF FilingDate ">
      <w:r w:rsidR="00085E4E">
        <w:t>June 26,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97E" w:rsidRDefault="0063797E" w:rsidP="00220732">
    <w:pPr>
      <w:pStyle w:val="Header"/>
      <w:tabs>
        <w:tab w:val="clear" w:pos="4320"/>
        <w:tab w:val="clear" w:pos="8640"/>
        <w:tab w:val="right" w:pos="9360"/>
      </w:tabs>
    </w:pPr>
    <w:r>
      <w:fldChar w:fldCharType="begin"/>
    </w:r>
    <w:r>
      <w:instrText xml:space="preserve"> REF DocketLabel</w:instrText>
    </w:r>
    <w:r>
      <w:fldChar w:fldCharType="separate"/>
    </w:r>
    <w:r w:rsidR="00085E4E">
      <w:t>Docket No.</w:t>
    </w:r>
    <w:r>
      <w:fldChar w:fldCharType="end"/>
    </w:r>
    <w:r>
      <w:t xml:space="preserve"> </w:t>
    </w:r>
    <w:r>
      <w:fldChar w:fldCharType="begin"/>
    </w:r>
    <w:r>
      <w:instrText xml:space="preserve"> REF DocketList</w:instrText>
    </w:r>
    <w:r>
      <w:fldChar w:fldCharType="separate"/>
    </w:r>
    <w:r w:rsidR="00085E4E">
      <w:t>20190055-WS</w:t>
    </w:r>
    <w:r>
      <w:fldChar w:fldCharType="end"/>
    </w:r>
    <w:r>
      <w:tab/>
      <w:t>Issue 2</w:t>
    </w:r>
  </w:p>
  <w:p w:rsidR="0063797E" w:rsidRDefault="0063797E">
    <w:pPr>
      <w:pStyle w:val="Header"/>
    </w:pPr>
    <w:r>
      <w:t xml:space="preserve">Date: </w:t>
    </w:r>
    <w:fldSimple w:instr=" REF FilingDate ">
      <w:r w:rsidR="00085E4E">
        <w:t>June 26, 2019</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422F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C0A" w:rsidRDefault="00C96C0A" w:rsidP="00C96C0A">
    <w:pPr>
      <w:pStyle w:val="Header"/>
      <w:tabs>
        <w:tab w:val="clear" w:pos="4320"/>
        <w:tab w:val="clear" w:pos="8640"/>
        <w:tab w:val="right" w:pos="9360"/>
      </w:tabs>
    </w:pPr>
    <w:r>
      <w:fldChar w:fldCharType="begin"/>
    </w:r>
    <w:r>
      <w:instrText xml:space="preserve"> REF DocketLabel</w:instrText>
    </w:r>
    <w:r>
      <w:fldChar w:fldCharType="separate"/>
    </w:r>
    <w:r w:rsidR="00085E4E">
      <w:t>Docket No.</w:t>
    </w:r>
    <w:r>
      <w:fldChar w:fldCharType="end"/>
    </w:r>
    <w:r>
      <w:t xml:space="preserve"> </w:t>
    </w:r>
    <w:r>
      <w:fldChar w:fldCharType="begin"/>
    </w:r>
    <w:r>
      <w:instrText xml:space="preserve"> REF DocketList</w:instrText>
    </w:r>
    <w:r>
      <w:fldChar w:fldCharType="separate"/>
    </w:r>
    <w:r w:rsidR="00085E4E">
      <w:t>20190055-WS</w:t>
    </w:r>
    <w:r>
      <w:fldChar w:fldCharType="end"/>
    </w:r>
    <w:r>
      <w:tab/>
      <w:t>ATTACHMENT A</w:t>
    </w:r>
  </w:p>
  <w:p w:rsidR="00C96C0A" w:rsidRDefault="00C96C0A" w:rsidP="00C96C0A">
    <w:pPr>
      <w:pStyle w:val="Header"/>
    </w:pPr>
    <w:r>
      <w:t xml:space="preserve">Date: </w:t>
    </w:r>
    <w:fldSimple w:instr=" REF FilingDate ">
      <w:r w:rsidR="00085E4E">
        <w:t>June 26, 2019</w:t>
      </w:r>
    </w:fldSimple>
  </w:p>
  <w:p w:rsidR="00FF1497" w:rsidRDefault="004A0F26">
    <w:pPr>
      <w:tabs>
        <w:tab w:val="left" w:pos="3770"/>
      </w:tabs>
      <w:rPr>
        <w:b/>
      </w:rPr>
    </w:pPr>
    <w:r>
      <w:rPr>
        <w:b/>
        <w:noProof/>
      </w:rPr>
      <mc:AlternateContent>
        <mc:Choice Requires="wps">
          <w:drawing>
            <wp:anchor distT="0" distB="0" distL="114300" distR="114300" simplePos="0" relativeHeight="251659264" behindDoc="0" locked="0" layoutInCell="1" allowOverlap="1" wp14:anchorId="4D7A2FC5" wp14:editId="63877E51">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6005DCE3" wp14:editId="5BF7ED25">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4A0F26">
                          <w:pPr>
                            <w:pStyle w:val="RuleHeader"/>
                            <w:rPr>
                              <w:rStyle w:val="RuleChar"/>
                            </w:rPr>
                          </w:pPr>
                          <w:r>
                            <w:t>1</w:t>
                          </w:r>
                        </w:p>
                        <w:p w:rsidR="00FF1497" w:rsidRDefault="004A0F26">
                          <w:pPr>
                            <w:pStyle w:val="RuleHeader"/>
                          </w:pPr>
                          <w:r>
                            <w:t>2</w:t>
                          </w:r>
                        </w:p>
                        <w:p w:rsidR="00FF1497" w:rsidRDefault="004A0F26">
                          <w:pPr>
                            <w:pStyle w:val="RuleHeader"/>
                          </w:pPr>
                          <w:r>
                            <w:t>3</w:t>
                          </w:r>
                        </w:p>
                        <w:p w:rsidR="00FF1497" w:rsidRDefault="004A0F26">
                          <w:pPr>
                            <w:pStyle w:val="RuleHeader"/>
                          </w:pPr>
                          <w:r>
                            <w:t>4</w:t>
                          </w:r>
                        </w:p>
                        <w:p w:rsidR="00FF1497" w:rsidRDefault="004A0F26">
                          <w:pPr>
                            <w:pStyle w:val="RuleHeader"/>
                          </w:pPr>
                          <w:r>
                            <w:t>5</w:t>
                          </w:r>
                        </w:p>
                        <w:p w:rsidR="00FF1497" w:rsidRDefault="004A0F26">
                          <w:pPr>
                            <w:pStyle w:val="RuleHeader"/>
                          </w:pPr>
                          <w:r>
                            <w:t>6</w:t>
                          </w:r>
                        </w:p>
                        <w:p w:rsidR="00FF1497" w:rsidRDefault="004A0F26">
                          <w:pPr>
                            <w:pStyle w:val="RuleHeader"/>
                          </w:pPr>
                          <w:r>
                            <w:t>7</w:t>
                          </w:r>
                        </w:p>
                        <w:p w:rsidR="00FF1497" w:rsidRDefault="004A0F26">
                          <w:pPr>
                            <w:pStyle w:val="RuleHeader"/>
                          </w:pPr>
                          <w:r>
                            <w:t>8</w:t>
                          </w:r>
                        </w:p>
                        <w:p w:rsidR="00FF1497" w:rsidRDefault="004A0F26">
                          <w:pPr>
                            <w:pStyle w:val="RuleHeader"/>
                          </w:pPr>
                          <w:r>
                            <w:t>9</w:t>
                          </w:r>
                        </w:p>
                        <w:p w:rsidR="00FF1497" w:rsidRDefault="004A0F26">
                          <w:pPr>
                            <w:pStyle w:val="RuleHeader"/>
                          </w:pPr>
                          <w:r>
                            <w:t>10</w:t>
                          </w:r>
                        </w:p>
                        <w:p w:rsidR="00FF1497" w:rsidRDefault="004A0F26">
                          <w:pPr>
                            <w:pStyle w:val="RuleHeader"/>
                          </w:pPr>
                          <w:r>
                            <w:t>11</w:t>
                          </w:r>
                        </w:p>
                        <w:p w:rsidR="00FF1497" w:rsidRDefault="004A0F26">
                          <w:pPr>
                            <w:pStyle w:val="RuleHeader"/>
                          </w:pPr>
                          <w:r>
                            <w:t>12</w:t>
                          </w:r>
                        </w:p>
                        <w:p w:rsidR="00FF1497" w:rsidRDefault="004A0F26">
                          <w:pPr>
                            <w:pStyle w:val="RuleHeader"/>
                          </w:pPr>
                          <w:r>
                            <w:t>13</w:t>
                          </w:r>
                        </w:p>
                        <w:p w:rsidR="00FF1497" w:rsidRDefault="004A0F26">
                          <w:pPr>
                            <w:pStyle w:val="RuleHeader"/>
                          </w:pPr>
                          <w:r>
                            <w:t>14</w:t>
                          </w:r>
                        </w:p>
                        <w:p w:rsidR="00FF1497" w:rsidRDefault="004A0F26">
                          <w:pPr>
                            <w:pStyle w:val="RuleHeader"/>
                          </w:pPr>
                          <w:r>
                            <w:t>15</w:t>
                          </w:r>
                        </w:p>
                        <w:p w:rsidR="00FF1497" w:rsidRDefault="004A0F26">
                          <w:pPr>
                            <w:pStyle w:val="RuleHeader"/>
                          </w:pPr>
                          <w:r>
                            <w:t>16</w:t>
                          </w:r>
                        </w:p>
                        <w:p w:rsidR="00FF1497" w:rsidRDefault="004A0F26">
                          <w:pPr>
                            <w:pStyle w:val="RuleHeader"/>
                          </w:pPr>
                          <w:r>
                            <w:t>17</w:t>
                          </w:r>
                        </w:p>
                        <w:p w:rsidR="00FF1497" w:rsidRDefault="004A0F26">
                          <w:pPr>
                            <w:pStyle w:val="RuleHeader"/>
                          </w:pPr>
                          <w:r>
                            <w:t>18</w:t>
                          </w:r>
                        </w:p>
                        <w:p w:rsidR="00FF1497" w:rsidRDefault="004A0F26">
                          <w:pPr>
                            <w:pStyle w:val="RuleHeader"/>
                          </w:pPr>
                          <w:r>
                            <w:t>19</w:t>
                          </w:r>
                        </w:p>
                        <w:p w:rsidR="00FF1497" w:rsidRDefault="004A0F26">
                          <w:pPr>
                            <w:pStyle w:val="RuleHeader"/>
                          </w:pPr>
                          <w:r>
                            <w:t>20</w:t>
                          </w:r>
                        </w:p>
                        <w:p w:rsidR="00FF1497" w:rsidRDefault="004A0F26">
                          <w:pPr>
                            <w:pStyle w:val="RuleHeader"/>
                          </w:pPr>
                          <w:r>
                            <w:t>21</w:t>
                          </w:r>
                        </w:p>
                        <w:p w:rsidR="00FF1497" w:rsidRDefault="004A0F26">
                          <w:pPr>
                            <w:pStyle w:val="RuleHeader"/>
                          </w:pPr>
                          <w:r>
                            <w:t>22</w:t>
                          </w:r>
                        </w:p>
                        <w:p w:rsidR="00FF1497" w:rsidRDefault="004A0F26">
                          <w:pPr>
                            <w:pStyle w:val="RuleHeader"/>
                          </w:pPr>
                          <w:r>
                            <w:t>23</w:t>
                          </w:r>
                        </w:p>
                        <w:p w:rsidR="00FF1497" w:rsidRDefault="004A0F26">
                          <w:pPr>
                            <w:pStyle w:val="RuleHeader"/>
                          </w:pPr>
                          <w:r>
                            <w:t>24</w:t>
                          </w:r>
                        </w:p>
                        <w:p w:rsidR="00FF1497" w:rsidRDefault="004A0F2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4A0F26">
                    <w:pPr>
                      <w:pStyle w:val="RuleHeader"/>
                      <w:rPr>
                        <w:rStyle w:val="RuleChar"/>
                      </w:rPr>
                    </w:pPr>
                    <w:r>
                      <w:t>1</w:t>
                    </w:r>
                  </w:p>
                  <w:p w:rsidR="00FF1497" w:rsidRDefault="004A0F26">
                    <w:pPr>
                      <w:pStyle w:val="RuleHeader"/>
                    </w:pPr>
                    <w:r>
                      <w:t>2</w:t>
                    </w:r>
                  </w:p>
                  <w:p w:rsidR="00FF1497" w:rsidRDefault="004A0F26">
                    <w:pPr>
                      <w:pStyle w:val="RuleHeader"/>
                    </w:pPr>
                    <w:r>
                      <w:t>3</w:t>
                    </w:r>
                  </w:p>
                  <w:p w:rsidR="00FF1497" w:rsidRDefault="004A0F26">
                    <w:pPr>
                      <w:pStyle w:val="RuleHeader"/>
                    </w:pPr>
                    <w:r>
                      <w:t>4</w:t>
                    </w:r>
                  </w:p>
                  <w:p w:rsidR="00FF1497" w:rsidRDefault="004A0F26">
                    <w:pPr>
                      <w:pStyle w:val="RuleHeader"/>
                    </w:pPr>
                    <w:r>
                      <w:t>5</w:t>
                    </w:r>
                  </w:p>
                  <w:p w:rsidR="00FF1497" w:rsidRDefault="004A0F26">
                    <w:pPr>
                      <w:pStyle w:val="RuleHeader"/>
                    </w:pPr>
                    <w:r>
                      <w:t>6</w:t>
                    </w:r>
                  </w:p>
                  <w:p w:rsidR="00FF1497" w:rsidRDefault="004A0F26">
                    <w:pPr>
                      <w:pStyle w:val="RuleHeader"/>
                    </w:pPr>
                    <w:r>
                      <w:t>7</w:t>
                    </w:r>
                  </w:p>
                  <w:p w:rsidR="00FF1497" w:rsidRDefault="004A0F26">
                    <w:pPr>
                      <w:pStyle w:val="RuleHeader"/>
                    </w:pPr>
                    <w:r>
                      <w:t>8</w:t>
                    </w:r>
                  </w:p>
                  <w:p w:rsidR="00FF1497" w:rsidRDefault="004A0F26">
                    <w:pPr>
                      <w:pStyle w:val="RuleHeader"/>
                    </w:pPr>
                    <w:r>
                      <w:t>9</w:t>
                    </w:r>
                  </w:p>
                  <w:p w:rsidR="00FF1497" w:rsidRDefault="004A0F26">
                    <w:pPr>
                      <w:pStyle w:val="RuleHeader"/>
                    </w:pPr>
                    <w:r>
                      <w:t>10</w:t>
                    </w:r>
                  </w:p>
                  <w:p w:rsidR="00FF1497" w:rsidRDefault="004A0F26">
                    <w:pPr>
                      <w:pStyle w:val="RuleHeader"/>
                    </w:pPr>
                    <w:r>
                      <w:t>11</w:t>
                    </w:r>
                  </w:p>
                  <w:p w:rsidR="00FF1497" w:rsidRDefault="004A0F26">
                    <w:pPr>
                      <w:pStyle w:val="RuleHeader"/>
                    </w:pPr>
                    <w:r>
                      <w:t>12</w:t>
                    </w:r>
                  </w:p>
                  <w:p w:rsidR="00FF1497" w:rsidRDefault="004A0F26">
                    <w:pPr>
                      <w:pStyle w:val="RuleHeader"/>
                    </w:pPr>
                    <w:r>
                      <w:t>13</w:t>
                    </w:r>
                  </w:p>
                  <w:p w:rsidR="00FF1497" w:rsidRDefault="004A0F26">
                    <w:pPr>
                      <w:pStyle w:val="RuleHeader"/>
                    </w:pPr>
                    <w:r>
                      <w:t>14</w:t>
                    </w:r>
                  </w:p>
                  <w:p w:rsidR="00FF1497" w:rsidRDefault="004A0F26">
                    <w:pPr>
                      <w:pStyle w:val="RuleHeader"/>
                    </w:pPr>
                    <w:r>
                      <w:t>15</w:t>
                    </w:r>
                  </w:p>
                  <w:p w:rsidR="00FF1497" w:rsidRDefault="004A0F26">
                    <w:pPr>
                      <w:pStyle w:val="RuleHeader"/>
                    </w:pPr>
                    <w:r>
                      <w:t>16</w:t>
                    </w:r>
                  </w:p>
                  <w:p w:rsidR="00FF1497" w:rsidRDefault="004A0F26">
                    <w:pPr>
                      <w:pStyle w:val="RuleHeader"/>
                    </w:pPr>
                    <w:r>
                      <w:t>17</w:t>
                    </w:r>
                  </w:p>
                  <w:p w:rsidR="00FF1497" w:rsidRDefault="004A0F26">
                    <w:pPr>
                      <w:pStyle w:val="RuleHeader"/>
                    </w:pPr>
                    <w:r>
                      <w:t>18</w:t>
                    </w:r>
                  </w:p>
                  <w:p w:rsidR="00FF1497" w:rsidRDefault="004A0F26">
                    <w:pPr>
                      <w:pStyle w:val="RuleHeader"/>
                    </w:pPr>
                    <w:r>
                      <w:t>19</w:t>
                    </w:r>
                  </w:p>
                  <w:p w:rsidR="00FF1497" w:rsidRDefault="004A0F26">
                    <w:pPr>
                      <w:pStyle w:val="RuleHeader"/>
                    </w:pPr>
                    <w:r>
                      <w:t>20</w:t>
                    </w:r>
                  </w:p>
                  <w:p w:rsidR="00FF1497" w:rsidRDefault="004A0F26">
                    <w:pPr>
                      <w:pStyle w:val="RuleHeader"/>
                    </w:pPr>
                    <w:r>
                      <w:t>21</w:t>
                    </w:r>
                  </w:p>
                  <w:p w:rsidR="00FF1497" w:rsidRDefault="004A0F26">
                    <w:pPr>
                      <w:pStyle w:val="RuleHeader"/>
                    </w:pPr>
                    <w:r>
                      <w:t>22</w:t>
                    </w:r>
                  </w:p>
                  <w:p w:rsidR="00FF1497" w:rsidRDefault="004A0F26">
                    <w:pPr>
                      <w:pStyle w:val="RuleHeader"/>
                    </w:pPr>
                    <w:r>
                      <w:t>23</w:t>
                    </w:r>
                  </w:p>
                  <w:p w:rsidR="00FF1497" w:rsidRDefault="004A0F26">
                    <w:pPr>
                      <w:pStyle w:val="RuleHeader"/>
                    </w:pPr>
                    <w:r>
                      <w:t>24</w:t>
                    </w:r>
                  </w:p>
                  <w:p w:rsidR="00FF1497" w:rsidRDefault="004A0F2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515187DF" wp14:editId="3FD65146">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1BF8CD6A" wp14:editId="32ED0CF6">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A0F26">
    <w:pPr>
      <w:tabs>
        <w:tab w:val="left" w:pos="3770"/>
      </w:tabs>
    </w:pPr>
    <w:r>
      <w:rPr>
        <w:noProof/>
      </w:rPr>
      <mc:AlternateContent>
        <mc:Choice Requires="wps">
          <w:drawing>
            <wp:anchor distT="0" distB="0" distL="114300" distR="114300" simplePos="0" relativeHeight="251663360" behindDoc="0" locked="0" layoutInCell="1" allowOverlap="1" wp14:anchorId="1F88E0A0" wp14:editId="611E1996">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5AC889EC" wp14:editId="5A601B4B">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4A0F26">
                          <w:pPr>
                            <w:jc w:val="right"/>
                          </w:pPr>
                          <w:r>
                            <w:t>1</w:t>
                          </w:r>
                        </w:p>
                        <w:p w:rsidR="00FF1497" w:rsidRDefault="004A0F26">
                          <w:pPr>
                            <w:jc w:val="right"/>
                          </w:pPr>
                          <w:r>
                            <w:t>2</w:t>
                          </w:r>
                        </w:p>
                        <w:p w:rsidR="00FF1497" w:rsidRDefault="004A0F26">
                          <w:pPr>
                            <w:jc w:val="right"/>
                          </w:pPr>
                          <w:r>
                            <w:t>3</w:t>
                          </w:r>
                        </w:p>
                        <w:p w:rsidR="00FF1497" w:rsidRDefault="004A0F26">
                          <w:pPr>
                            <w:jc w:val="right"/>
                          </w:pPr>
                          <w:r>
                            <w:t>4</w:t>
                          </w:r>
                        </w:p>
                        <w:p w:rsidR="00FF1497" w:rsidRDefault="004A0F26">
                          <w:pPr>
                            <w:jc w:val="right"/>
                          </w:pPr>
                          <w:r>
                            <w:t>5</w:t>
                          </w:r>
                        </w:p>
                        <w:p w:rsidR="00FF1497" w:rsidRDefault="004A0F26">
                          <w:pPr>
                            <w:jc w:val="right"/>
                          </w:pPr>
                          <w:r>
                            <w:t>6</w:t>
                          </w:r>
                        </w:p>
                        <w:p w:rsidR="00FF1497" w:rsidRDefault="004A0F26">
                          <w:pPr>
                            <w:jc w:val="right"/>
                          </w:pPr>
                          <w:r>
                            <w:t>7</w:t>
                          </w:r>
                        </w:p>
                        <w:p w:rsidR="00FF1497" w:rsidRDefault="004A0F26">
                          <w:pPr>
                            <w:jc w:val="right"/>
                          </w:pPr>
                          <w:r>
                            <w:t>8</w:t>
                          </w:r>
                        </w:p>
                        <w:p w:rsidR="00FF1497" w:rsidRDefault="004A0F26">
                          <w:pPr>
                            <w:jc w:val="right"/>
                          </w:pPr>
                          <w:r>
                            <w:t>9</w:t>
                          </w:r>
                        </w:p>
                        <w:p w:rsidR="00FF1497" w:rsidRDefault="004A0F26">
                          <w:pPr>
                            <w:jc w:val="right"/>
                          </w:pPr>
                          <w:r>
                            <w:t>10</w:t>
                          </w:r>
                        </w:p>
                        <w:p w:rsidR="00FF1497" w:rsidRDefault="004A0F26">
                          <w:pPr>
                            <w:jc w:val="right"/>
                          </w:pPr>
                          <w:r>
                            <w:t>11</w:t>
                          </w:r>
                        </w:p>
                        <w:p w:rsidR="00FF1497" w:rsidRDefault="004A0F26">
                          <w:pPr>
                            <w:jc w:val="right"/>
                          </w:pPr>
                          <w:r>
                            <w:t>12</w:t>
                          </w:r>
                        </w:p>
                        <w:p w:rsidR="00FF1497" w:rsidRDefault="004A0F26">
                          <w:pPr>
                            <w:jc w:val="right"/>
                          </w:pPr>
                          <w:r>
                            <w:t>13</w:t>
                          </w:r>
                        </w:p>
                        <w:p w:rsidR="00FF1497" w:rsidRDefault="004A0F26">
                          <w:pPr>
                            <w:jc w:val="right"/>
                          </w:pPr>
                          <w:r>
                            <w:t>14</w:t>
                          </w:r>
                        </w:p>
                        <w:p w:rsidR="00FF1497" w:rsidRDefault="004A0F26">
                          <w:pPr>
                            <w:jc w:val="right"/>
                          </w:pPr>
                          <w:r>
                            <w:t>15</w:t>
                          </w:r>
                        </w:p>
                        <w:p w:rsidR="00FF1497" w:rsidRDefault="004A0F26">
                          <w:pPr>
                            <w:jc w:val="right"/>
                          </w:pPr>
                          <w:r>
                            <w:t>16</w:t>
                          </w:r>
                        </w:p>
                        <w:p w:rsidR="00FF1497" w:rsidRDefault="004A0F26">
                          <w:pPr>
                            <w:jc w:val="right"/>
                          </w:pPr>
                          <w:r>
                            <w:t>17</w:t>
                          </w:r>
                        </w:p>
                        <w:p w:rsidR="00FF1497" w:rsidRDefault="004A0F26">
                          <w:pPr>
                            <w:jc w:val="right"/>
                          </w:pPr>
                          <w:r>
                            <w:t>18</w:t>
                          </w:r>
                        </w:p>
                        <w:p w:rsidR="00FF1497" w:rsidRDefault="004A0F26">
                          <w:pPr>
                            <w:jc w:val="right"/>
                          </w:pPr>
                          <w:r>
                            <w:t>19</w:t>
                          </w:r>
                        </w:p>
                        <w:p w:rsidR="00FF1497" w:rsidRDefault="004A0F26">
                          <w:pPr>
                            <w:jc w:val="right"/>
                          </w:pPr>
                          <w:r>
                            <w:t>20</w:t>
                          </w:r>
                        </w:p>
                        <w:p w:rsidR="00FF1497" w:rsidRDefault="004A0F26">
                          <w:pPr>
                            <w:jc w:val="right"/>
                          </w:pPr>
                          <w:r>
                            <w:t>21</w:t>
                          </w:r>
                        </w:p>
                        <w:p w:rsidR="00FF1497" w:rsidRDefault="004A0F26">
                          <w:pPr>
                            <w:jc w:val="right"/>
                          </w:pPr>
                          <w:r>
                            <w:t>22</w:t>
                          </w:r>
                        </w:p>
                        <w:p w:rsidR="00FF1497" w:rsidRDefault="004A0F26">
                          <w:pPr>
                            <w:jc w:val="right"/>
                          </w:pPr>
                          <w:r>
                            <w:t>23</w:t>
                          </w:r>
                        </w:p>
                        <w:p w:rsidR="00FF1497" w:rsidRDefault="004A0F26">
                          <w:pPr>
                            <w:jc w:val="right"/>
                          </w:pPr>
                          <w:r>
                            <w:t>24</w:t>
                          </w:r>
                        </w:p>
                        <w:p w:rsidR="00FF1497" w:rsidRDefault="004A0F2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4A0F26">
                    <w:pPr>
                      <w:jc w:val="right"/>
                    </w:pPr>
                    <w:r>
                      <w:t>1</w:t>
                    </w:r>
                  </w:p>
                  <w:p w:rsidR="00FF1497" w:rsidRDefault="004A0F26">
                    <w:pPr>
                      <w:jc w:val="right"/>
                    </w:pPr>
                    <w:r>
                      <w:t>2</w:t>
                    </w:r>
                  </w:p>
                  <w:p w:rsidR="00FF1497" w:rsidRDefault="004A0F26">
                    <w:pPr>
                      <w:jc w:val="right"/>
                    </w:pPr>
                    <w:r>
                      <w:t>3</w:t>
                    </w:r>
                  </w:p>
                  <w:p w:rsidR="00FF1497" w:rsidRDefault="004A0F26">
                    <w:pPr>
                      <w:jc w:val="right"/>
                    </w:pPr>
                    <w:r>
                      <w:t>4</w:t>
                    </w:r>
                  </w:p>
                  <w:p w:rsidR="00FF1497" w:rsidRDefault="004A0F26">
                    <w:pPr>
                      <w:jc w:val="right"/>
                    </w:pPr>
                    <w:r>
                      <w:t>5</w:t>
                    </w:r>
                  </w:p>
                  <w:p w:rsidR="00FF1497" w:rsidRDefault="004A0F26">
                    <w:pPr>
                      <w:jc w:val="right"/>
                    </w:pPr>
                    <w:r>
                      <w:t>6</w:t>
                    </w:r>
                  </w:p>
                  <w:p w:rsidR="00FF1497" w:rsidRDefault="004A0F26">
                    <w:pPr>
                      <w:jc w:val="right"/>
                    </w:pPr>
                    <w:r>
                      <w:t>7</w:t>
                    </w:r>
                  </w:p>
                  <w:p w:rsidR="00FF1497" w:rsidRDefault="004A0F26">
                    <w:pPr>
                      <w:jc w:val="right"/>
                    </w:pPr>
                    <w:r>
                      <w:t>8</w:t>
                    </w:r>
                  </w:p>
                  <w:p w:rsidR="00FF1497" w:rsidRDefault="004A0F26">
                    <w:pPr>
                      <w:jc w:val="right"/>
                    </w:pPr>
                    <w:r>
                      <w:t>9</w:t>
                    </w:r>
                  </w:p>
                  <w:p w:rsidR="00FF1497" w:rsidRDefault="004A0F26">
                    <w:pPr>
                      <w:jc w:val="right"/>
                    </w:pPr>
                    <w:r>
                      <w:t>10</w:t>
                    </w:r>
                  </w:p>
                  <w:p w:rsidR="00FF1497" w:rsidRDefault="004A0F26">
                    <w:pPr>
                      <w:jc w:val="right"/>
                    </w:pPr>
                    <w:r>
                      <w:t>11</w:t>
                    </w:r>
                  </w:p>
                  <w:p w:rsidR="00FF1497" w:rsidRDefault="004A0F26">
                    <w:pPr>
                      <w:jc w:val="right"/>
                    </w:pPr>
                    <w:r>
                      <w:t>12</w:t>
                    </w:r>
                  </w:p>
                  <w:p w:rsidR="00FF1497" w:rsidRDefault="004A0F26">
                    <w:pPr>
                      <w:jc w:val="right"/>
                    </w:pPr>
                    <w:r>
                      <w:t>13</w:t>
                    </w:r>
                  </w:p>
                  <w:p w:rsidR="00FF1497" w:rsidRDefault="004A0F26">
                    <w:pPr>
                      <w:jc w:val="right"/>
                    </w:pPr>
                    <w:r>
                      <w:t>14</w:t>
                    </w:r>
                  </w:p>
                  <w:p w:rsidR="00FF1497" w:rsidRDefault="004A0F26">
                    <w:pPr>
                      <w:jc w:val="right"/>
                    </w:pPr>
                    <w:r>
                      <w:t>15</w:t>
                    </w:r>
                  </w:p>
                  <w:p w:rsidR="00FF1497" w:rsidRDefault="004A0F26">
                    <w:pPr>
                      <w:jc w:val="right"/>
                    </w:pPr>
                    <w:r>
                      <w:t>16</w:t>
                    </w:r>
                  </w:p>
                  <w:p w:rsidR="00FF1497" w:rsidRDefault="004A0F26">
                    <w:pPr>
                      <w:jc w:val="right"/>
                    </w:pPr>
                    <w:r>
                      <w:t>17</w:t>
                    </w:r>
                  </w:p>
                  <w:p w:rsidR="00FF1497" w:rsidRDefault="004A0F26">
                    <w:pPr>
                      <w:jc w:val="right"/>
                    </w:pPr>
                    <w:r>
                      <w:t>18</w:t>
                    </w:r>
                  </w:p>
                  <w:p w:rsidR="00FF1497" w:rsidRDefault="004A0F26">
                    <w:pPr>
                      <w:jc w:val="right"/>
                    </w:pPr>
                    <w:r>
                      <w:t>19</w:t>
                    </w:r>
                  </w:p>
                  <w:p w:rsidR="00FF1497" w:rsidRDefault="004A0F26">
                    <w:pPr>
                      <w:jc w:val="right"/>
                    </w:pPr>
                    <w:r>
                      <w:t>20</w:t>
                    </w:r>
                  </w:p>
                  <w:p w:rsidR="00FF1497" w:rsidRDefault="004A0F26">
                    <w:pPr>
                      <w:jc w:val="right"/>
                    </w:pPr>
                    <w:r>
                      <w:t>21</w:t>
                    </w:r>
                  </w:p>
                  <w:p w:rsidR="00FF1497" w:rsidRDefault="004A0F26">
                    <w:pPr>
                      <w:jc w:val="right"/>
                    </w:pPr>
                    <w:r>
                      <w:t>22</w:t>
                    </w:r>
                  </w:p>
                  <w:p w:rsidR="00FF1497" w:rsidRDefault="004A0F26">
                    <w:pPr>
                      <w:jc w:val="right"/>
                    </w:pPr>
                    <w:r>
                      <w:t>23</w:t>
                    </w:r>
                  </w:p>
                  <w:p w:rsidR="00FF1497" w:rsidRDefault="004A0F26">
                    <w:pPr>
                      <w:jc w:val="right"/>
                    </w:pPr>
                    <w:r>
                      <w:t>24</w:t>
                    </w:r>
                  </w:p>
                  <w:p w:rsidR="00FF1497" w:rsidRDefault="004A0F2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3403F00D" wp14:editId="161CFA77">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70C1759A" wp14:editId="48C994FF">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7B" w:rsidRDefault="00B6527B" w:rsidP="00C96C0A">
    <w:pPr>
      <w:pStyle w:val="Header"/>
      <w:tabs>
        <w:tab w:val="clear" w:pos="4320"/>
        <w:tab w:val="clear" w:pos="8640"/>
        <w:tab w:val="right" w:pos="9360"/>
      </w:tabs>
    </w:pPr>
    <w:r>
      <w:fldChar w:fldCharType="begin"/>
    </w:r>
    <w:r>
      <w:instrText xml:space="preserve"> REF DocketLabel</w:instrText>
    </w:r>
    <w:r>
      <w:fldChar w:fldCharType="separate"/>
    </w:r>
    <w:r w:rsidR="00085E4E">
      <w:t>Docket No.</w:t>
    </w:r>
    <w:r>
      <w:fldChar w:fldCharType="end"/>
    </w:r>
    <w:r>
      <w:t xml:space="preserve"> </w:t>
    </w:r>
    <w:r>
      <w:fldChar w:fldCharType="begin"/>
    </w:r>
    <w:r>
      <w:instrText xml:space="preserve"> REF DocketList</w:instrText>
    </w:r>
    <w:r>
      <w:fldChar w:fldCharType="separate"/>
    </w:r>
    <w:r w:rsidR="00085E4E">
      <w:t>20190055-WS</w:t>
    </w:r>
    <w:r>
      <w:fldChar w:fldCharType="end"/>
    </w:r>
    <w:r w:rsidR="00D33458">
      <w:tab/>
      <w:t>ATTACHMENT B</w:t>
    </w:r>
  </w:p>
  <w:p w:rsidR="00B6527B" w:rsidRDefault="00B6527B" w:rsidP="00C96C0A">
    <w:pPr>
      <w:pStyle w:val="Header"/>
    </w:pPr>
    <w:r>
      <w:t xml:space="preserve">Date: </w:t>
    </w:r>
    <w:fldSimple w:instr=" REF FilingDate ">
      <w:r w:rsidR="00085E4E">
        <w:t>June 26, 2019</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F35" w:rsidRDefault="00341F35" w:rsidP="00C96C0A">
    <w:pPr>
      <w:pStyle w:val="Header"/>
      <w:tabs>
        <w:tab w:val="clear" w:pos="4320"/>
        <w:tab w:val="clear" w:pos="8640"/>
        <w:tab w:val="right" w:pos="9360"/>
      </w:tabs>
    </w:pPr>
    <w:r>
      <w:fldChar w:fldCharType="begin"/>
    </w:r>
    <w:r>
      <w:instrText xml:space="preserve"> REF DocketLabel</w:instrText>
    </w:r>
    <w:r>
      <w:fldChar w:fldCharType="separate"/>
    </w:r>
    <w:r w:rsidR="00085E4E">
      <w:t>Docket No.</w:t>
    </w:r>
    <w:r>
      <w:fldChar w:fldCharType="end"/>
    </w:r>
    <w:r>
      <w:t xml:space="preserve"> </w:t>
    </w:r>
    <w:r>
      <w:fldChar w:fldCharType="begin"/>
    </w:r>
    <w:r>
      <w:instrText xml:space="preserve"> REF DocketList</w:instrText>
    </w:r>
    <w:r>
      <w:fldChar w:fldCharType="separate"/>
    </w:r>
    <w:r w:rsidR="00085E4E">
      <w:t>20190055-WS</w:t>
    </w:r>
    <w:r>
      <w:fldChar w:fldCharType="end"/>
    </w:r>
    <w:r>
      <w:tab/>
      <w:t>ATTACHMENT C</w:t>
    </w:r>
  </w:p>
  <w:p w:rsidR="00341F35" w:rsidRDefault="00341F35" w:rsidP="00C96C0A">
    <w:pPr>
      <w:pStyle w:val="Header"/>
    </w:pPr>
    <w:r>
      <w:t xml:space="preserve">Date: </w:t>
    </w:r>
    <w:fldSimple w:instr=" REF FilingDate ">
      <w:r w:rsidR="00085E4E">
        <w:t>June 26, 2019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80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256B2"/>
    <w:rsid w:val="000043D5"/>
    <w:rsid w:val="00006170"/>
    <w:rsid w:val="00010E37"/>
    <w:rsid w:val="000172DA"/>
    <w:rsid w:val="000247C5"/>
    <w:rsid w:val="00026401"/>
    <w:rsid w:val="000277C2"/>
    <w:rsid w:val="0003118D"/>
    <w:rsid w:val="00035B48"/>
    <w:rsid w:val="00036CE2"/>
    <w:rsid w:val="00043611"/>
    <w:rsid w:val="000437FE"/>
    <w:rsid w:val="000513BE"/>
    <w:rsid w:val="0006581F"/>
    <w:rsid w:val="00065A06"/>
    <w:rsid w:val="000666F3"/>
    <w:rsid w:val="00070DCB"/>
    <w:rsid w:val="00072CCA"/>
    <w:rsid w:val="00073120"/>
    <w:rsid w:val="000764D0"/>
    <w:rsid w:val="000828D3"/>
    <w:rsid w:val="00085E4E"/>
    <w:rsid w:val="000973D8"/>
    <w:rsid w:val="000A2B57"/>
    <w:rsid w:val="000A418B"/>
    <w:rsid w:val="000A41FE"/>
    <w:rsid w:val="000C4431"/>
    <w:rsid w:val="000D1C06"/>
    <w:rsid w:val="000D4319"/>
    <w:rsid w:val="000F2346"/>
    <w:rsid w:val="000F374A"/>
    <w:rsid w:val="0010184F"/>
    <w:rsid w:val="001076AF"/>
    <w:rsid w:val="00117C8C"/>
    <w:rsid w:val="00124E2E"/>
    <w:rsid w:val="00125ED4"/>
    <w:rsid w:val="001305E9"/>
    <w:rsid w:val="001307AF"/>
    <w:rsid w:val="00135687"/>
    <w:rsid w:val="00146094"/>
    <w:rsid w:val="001474CC"/>
    <w:rsid w:val="0015506E"/>
    <w:rsid w:val="00156C69"/>
    <w:rsid w:val="00163031"/>
    <w:rsid w:val="00171A90"/>
    <w:rsid w:val="00176F9B"/>
    <w:rsid w:val="00180254"/>
    <w:rsid w:val="00191E1F"/>
    <w:rsid w:val="00192943"/>
    <w:rsid w:val="001A7406"/>
    <w:rsid w:val="001B3634"/>
    <w:rsid w:val="001B4FEE"/>
    <w:rsid w:val="001B51C5"/>
    <w:rsid w:val="001B6F3F"/>
    <w:rsid w:val="001C0ADC"/>
    <w:rsid w:val="001C52B5"/>
    <w:rsid w:val="001D0D3E"/>
    <w:rsid w:val="001D2020"/>
    <w:rsid w:val="001F2245"/>
    <w:rsid w:val="001F2C63"/>
    <w:rsid w:val="001F48C7"/>
    <w:rsid w:val="001F5EFA"/>
    <w:rsid w:val="001F6DA1"/>
    <w:rsid w:val="00200360"/>
    <w:rsid w:val="002044E6"/>
    <w:rsid w:val="00205C82"/>
    <w:rsid w:val="00205DC2"/>
    <w:rsid w:val="00212B17"/>
    <w:rsid w:val="002163B6"/>
    <w:rsid w:val="00220732"/>
    <w:rsid w:val="00221D32"/>
    <w:rsid w:val="00225C3F"/>
    <w:rsid w:val="0023227B"/>
    <w:rsid w:val="00241DFB"/>
    <w:rsid w:val="00252A3D"/>
    <w:rsid w:val="00256E97"/>
    <w:rsid w:val="00263D44"/>
    <w:rsid w:val="002702AD"/>
    <w:rsid w:val="00272742"/>
    <w:rsid w:val="00292D82"/>
    <w:rsid w:val="00293403"/>
    <w:rsid w:val="00295514"/>
    <w:rsid w:val="002963CB"/>
    <w:rsid w:val="002B6157"/>
    <w:rsid w:val="002C693C"/>
    <w:rsid w:val="002D226D"/>
    <w:rsid w:val="002F6030"/>
    <w:rsid w:val="003037E1"/>
    <w:rsid w:val="00307E51"/>
    <w:rsid w:val="003103EC"/>
    <w:rsid w:val="003144EF"/>
    <w:rsid w:val="00316619"/>
    <w:rsid w:val="00322F74"/>
    <w:rsid w:val="00340073"/>
    <w:rsid w:val="00341F35"/>
    <w:rsid w:val="00343418"/>
    <w:rsid w:val="00346792"/>
    <w:rsid w:val="003622C2"/>
    <w:rsid w:val="003632FD"/>
    <w:rsid w:val="00372805"/>
    <w:rsid w:val="00373180"/>
    <w:rsid w:val="00375AB9"/>
    <w:rsid w:val="003821A0"/>
    <w:rsid w:val="00385B04"/>
    <w:rsid w:val="003864CF"/>
    <w:rsid w:val="003A22A6"/>
    <w:rsid w:val="003A39F4"/>
    <w:rsid w:val="003A5494"/>
    <w:rsid w:val="003B2510"/>
    <w:rsid w:val="003C2CC4"/>
    <w:rsid w:val="003C3710"/>
    <w:rsid w:val="003C3F48"/>
    <w:rsid w:val="003C70E7"/>
    <w:rsid w:val="003D6934"/>
    <w:rsid w:val="003E0EFC"/>
    <w:rsid w:val="003E4A2B"/>
    <w:rsid w:val="003E76C2"/>
    <w:rsid w:val="003F030A"/>
    <w:rsid w:val="003F1679"/>
    <w:rsid w:val="003F21EB"/>
    <w:rsid w:val="003F4A35"/>
    <w:rsid w:val="003F7FDD"/>
    <w:rsid w:val="004000A7"/>
    <w:rsid w:val="00402481"/>
    <w:rsid w:val="004042B4"/>
    <w:rsid w:val="004072CA"/>
    <w:rsid w:val="00410DC4"/>
    <w:rsid w:val="00412DAE"/>
    <w:rsid w:val="004242E6"/>
    <w:rsid w:val="00431598"/>
    <w:rsid w:val="004319AD"/>
    <w:rsid w:val="00435063"/>
    <w:rsid w:val="004426B8"/>
    <w:rsid w:val="00444432"/>
    <w:rsid w:val="004626FB"/>
    <w:rsid w:val="00466601"/>
    <w:rsid w:val="00471860"/>
    <w:rsid w:val="00477026"/>
    <w:rsid w:val="0048710C"/>
    <w:rsid w:val="00494EE7"/>
    <w:rsid w:val="004A0F26"/>
    <w:rsid w:val="004A744D"/>
    <w:rsid w:val="004B0099"/>
    <w:rsid w:val="004B60BD"/>
    <w:rsid w:val="004C3150"/>
    <w:rsid w:val="004C3641"/>
    <w:rsid w:val="004C4390"/>
    <w:rsid w:val="004C4AF7"/>
    <w:rsid w:val="004D2881"/>
    <w:rsid w:val="004D385F"/>
    <w:rsid w:val="004D5B39"/>
    <w:rsid w:val="004E330D"/>
    <w:rsid w:val="004E5147"/>
    <w:rsid w:val="004E69B5"/>
    <w:rsid w:val="004F5C43"/>
    <w:rsid w:val="004F7F82"/>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293E"/>
    <w:rsid w:val="00597730"/>
    <w:rsid w:val="005977EC"/>
    <w:rsid w:val="00597DE7"/>
    <w:rsid w:val="005A4AA2"/>
    <w:rsid w:val="005B34B6"/>
    <w:rsid w:val="005B6955"/>
    <w:rsid w:val="005B6C8F"/>
    <w:rsid w:val="005B6EC3"/>
    <w:rsid w:val="005C0F2A"/>
    <w:rsid w:val="005C2FC2"/>
    <w:rsid w:val="005C50D7"/>
    <w:rsid w:val="005D0F74"/>
    <w:rsid w:val="005D2E7D"/>
    <w:rsid w:val="005D4A8F"/>
    <w:rsid w:val="005D561B"/>
    <w:rsid w:val="005D5ECF"/>
    <w:rsid w:val="005E3F69"/>
    <w:rsid w:val="005F468D"/>
    <w:rsid w:val="005F69A3"/>
    <w:rsid w:val="00604CC7"/>
    <w:rsid w:val="00615423"/>
    <w:rsid w:val="006165B2"/>
    <w:rsid w:val="00617276"/>
    <w:rsid w:val="0062516B"/>
    <w:rsid w:val="0062527B"/>
    <w:rsid w:val="00625D97"/>
    <w:rsid w:val="00625F1C"/>
    <w:rsid w:val="006279E1"/>
    <w:rsid w:val="00630CEB"/>
    <w:rsid w:val="00632264"/>
    <w:rsid w:val="0063797E"/>
    <w:rsid w:val="006470BC"/>
    <w:rsid w:val="0065255C"/>
    <w:rsid w:val="00653B46"/>
    <w:rsid w:val="006554D3"/>
    <w:rsid w:val="00660B5F"/>
    <w:rsid w:val="00667036"/>
    <w:rsid w:val="00673BDB"/>
    <w:rsid w:val="00674341"/>
    <w:rsid w:val="006759B1"/>
    <w:rsid w:val="006771B8"/>
    <w:rsid w:val="00677B58"/>
    <w:rsid w:val="006843B6"/>
    <w:rsid w:val="0068481F"/>
    <w:rsid w:val="00696F5D"/>
    <w:rsid w:val="00697249"/>
    <w:rsid w:val="00697D99"/>
    <w:rsid w:val="006B3947"/>
    <w:rsid w:val="006B4293"/>
    <w:rsid w:val="006B624F"/>
    <w:rsid w:val="006C0C95"/>
    <w:rsid w:val="006C31E3"/>
    <w:rsid w:val="006C42C3"/>
    <w:rsid w:val="006D18D3"/>
    <w:rsid w:val="006E08CB"/>
    <w:rsid w:val="006E598D"/>
    <w:rsid w:val="006F5C61"/>
    <w:rsid w:val="006F7D87"/>
    <w:rsid w:val="0070437D"/>
    <w:rsid w:val="00704CF1"/>
    <w:rsid w:val="00705B04"/>
    <w:rsid w:val="00705CAD"/>
    <w:rsid w:val="00706AD2"/>
    <w:rsid w:val="007130E9"/>
    <w:rsid w:val="00723911"/>
    <w:rsid w:val="00724992"/>
    <w:rsid w:val="00725A83"/>
    <w:rsid w:val="00734820"/>
    <w:rsid w:val="007349DC"/>
    <w:rsid w:val="0074365E"/>
    <w:rsid w:val="00744B55"/>
    <w:rsid w:val="007515FD"/>
    <w:rsid w:val="007579CA"/>
    <w:rsid w:val="00757D1B"/>
    <w:rsid w:val="00760D80"/>
    <w:rsid w:val="007709F2"/>
    <w:rsid w:val="00772658"/>
    <w:rsid w:val="00780C09"/>
    <w:rsid w:val="00780DDF"/>
    <w:rsid w:val="007834E9"/>
    <w:rsid w:val="00787DBC"/>
    <w:rsid w:val="0079019A"/>
    <w:rsid w:val="007914A4"/>
    <w:rsid w:val="00792935"/>
    <w:rsid w:val="00797C2F"/>
    <w:rsid w:val="007A04A1"/>
    <w:rsid w:val="007A1840"/>
    <w:rsid w:val="007B229A"/>
    <w:rsid w:val="007C0528"/>
    <w:rsid w:val="007C3D38"/>
    <w:rsid w:val="007C642F"/>
    <w:rsid w:val="007D0F35"/>
    <w:rsid w:val="007D4FEB"/>
    <w:rsid w:val="007D5ACC"/>
    <w:rsid w:val="007D6146"/>
    <w:rsid w:val="007E0CE7"/>
    <w:rsid w:val="007F0307"/>
    <w:rsid w:val="007F1193"/>
    <w:rsid w:val="007F3060"/>
    <w:rsid w:val="007F417F"/>
    <w:rsid w:val="007F7644"/>
    <w:rsid w:val="008042BD"/>
    <w:rsid w:val="008133CF"/>
    <w:rsid w:val="00816624"/>
    <w:rsid w:val="00822427"/>
    <w:rsid w:val="00822562"/>
    <w:rsid w:val="00823663"/>
    <w:rsid w:val="00832DDC"/>
    <w:rsid w:val="00850BAC"/>
    <w:rsid w:val="00854197"/>
    <w:rsid w:val="00854A3E"/>
    <w:rsid w:val="00855D08"/>
    <w:rsid w:val="0086246E"/>
    <w:rsid w:val="00874344"/>
    <w:rsid w:val="00882155"/>
    <w:rsid w:val="0088233B"/>
    <w:rsid w:val="00882F55"/>
    <w:rsid w:val="0088599E"/>
    <w:rsid w:val="00886C37"/>
    <w:rsid w:val="00892D99"/>
    <w:rsid w:val="00893315"/>
    <w:rsid w:val="008B3946"/>
    <w:rsid w:val="008B4BD4"/>
    <w:rsid w:val="008B62AE"/>
    <w:rsid w:val="008C04B5"/>
    <w:rsid w:val="008C14FA"/>
    <w:rsid w:val="008C7B0B"/>
    <w:rsid w:val="008D4057"/>
    <w:rsid w:val="008E1F19"/>
    <w:rsid w:val="008E32A7"/>
    <w:rsid w:val="008F2262"/>
    <w:rsid w:val="008F4D2B"/>
    <w:rsid w:val="008F7736"/>
    <w:rsid w:val="0090019E"/>
    <w:rsid w:val="00901086"/>
    <w:rsid w:val="00901C8A"/>
    <w:rsid w:val="00904F6C"/>
    <w:rsid w:val="00905886"/>
    <w:rsid w:val="009070D6"/>
    <w:rsid w:val="009076C6"/>
    <w:rsid w:val="0091019E"/>
    <w:rsid w:val="009106F1"/>
    <w:rsid w:val="00912404"/>
    <w:rsid w:val="009145D6"/>
    <w:rsid w:val="009171E4"/>
    <w:rsid w:val="00920E64"/>
    <w:rsid w:val="00922002"/>
    <w:rsid w:val="00924020"/>
    <w:rsid w:val="009271A7"/>
    <w:rsid w:val="0093658B"/>
    <w:rsid w:val="009429FF"/>
    <w:rsid w:val="00945BD6"/>
    <w:rsid w:val="009479FB"/>
    <w:rsid w:val="00951C45"/>
    <w:rsid w:val="009656F2"/>
    <w:rsid w:val="00966A08"/>
    <w:rsid w:val="00970400"/>
    <w:rsid w:val="00971207"/>
    <w:rsid w:val="00975CB4"/>
    <w:rsid w:val="00981345"/>
    <w:rsid w:val="009863B0"/>
    <w:rsid w:val="00987DE1"/>
    <w:rsid w:val="00990571"/>
    <w:rsid w:val="0099673A"/>
    <w:rsid w:val="009A3330"/>
    <w:rsid w:val="009A3FFD"/>
    <w:rsid w:val="009A7C96"/>
    <w:rsid w:val="009C298F"/>
    <w:rsid w:val="009C3DB9"/>
    <w:rsid w:val="009D46E5"/>
    <w:rsid w:val="009D568A"/>
    <w:rsid w:val="009E2235"/>
    <w:rsid w:val="009F04EC"/>
    <w:rsid w:val="009F0900"/>
    <w:rsid w:val="009F2A7C"/>
    <w:rsid w:val="009F3B36"/>
    <w:rsid w:val="00A000DB"/>
    <w:rsid w:val="00A019B9"/>
    <w:rsid w:val="00A12508"/>
    <w:rsid w:val="00A1282B"/>
    <w:rsid w:val="00A13A27"/>
    <w:rsid w:val="00A175B6"/>
    <w:rsid w:val="00A21835"/>
    <w:rsid w:val="00A220DB"/>
    <w:rsid w:val="00A2374B"/>
    <w:rsid w:val="00A240C1"/>
    <w:rsid w:val="00A27D6E"/>
    <w:rsid w:val="00A30D4E"/>
    <w:rsid w:val="00A328EC"/>
    <w:rsid w:val="00A33A51"/>
    <w:rsid w:val="00A35C51"/>
    <w:rsid w:val="00A41CA6"/>
    <w:rsid w:val="00A472E1"/>
    <w:rsid w:val="00A47927"/>
    <w:rsid w:val="00A47FFC"/>
    <w:rsid w:val="00A5442F"/>
    <w:rsid w:val="00A54FF9"/>
    <w:rsid w:val="00A56765"/>
    <w:rsid w:val="00A644F9"/>
    <w:rsid w:val="00A675AC"/>
    <w:rsid w:val="00A7581F"/>
    <w:rsid w:val="00A82576"/>
    <w:rsid w:val="00A92FB1"/>
    <w:rsid w:val="00A93C4F"/>
    <w:rsid w:val="00A9439B"/>
    <w:rsid w:val="00A95A0C"/>
    <w:rsid w:val="00AA0DB3"/>
    <w:rsid w:val="00AA2765"/>
    <w:rsid w:val="00AA75EB"/>
    <w:rsid w:val="00AA77B5"/>
    <w:rsid w:val="00AB6C5D"/>
    <w:rsid w:val="00AC3401"/>
    <w:rsid w:val="00AC349F"/>
    <w:rsid w:val="00AC51A7"/>
    <w:rsid w:val="00AD444B"/>
    <w:rsid w:val="00AD5614"/>
    <w:rsid w:val="00AD6C78"/>
    <w:rsid w:val="00AE2EAB"/>
    <w:rsid w:val="00AE65DA"/>
    <w:rsid w:val="00AF5F89"/>
    <w:rsid w:val="00AF71C6"/>
    <w:rsid w:val="00AF73CB"/>
    <w:rsid w:val="00B0026D"/>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35262"/>
    <w:rsid w:val="00B41D68"/>
    <w:rsid w:val="00B516ED"/>
    <w:rsid w:val="00B57A6A"/>
    <w:rsid w:val="00B6527B"/>
    <w:rsid w:val="00B760F1"/>
    <w:rsid w:val="00B7669E"/>
    <w:rsid w:val="00B77DA1"/>
    <w:rsid w:val="00B822A0"/>
    <w:rsid w:val="00B858AE"/>
    <w:rsid w:val="00B85964"/>
    <w:rsid w:val="00B96250"/>
    <w:rsid w:val="00BA0D55"/>
    <w:rsid w:val="00BA37B3"/>
    <w:rsid w:val="00BA4CC6"/>
    <w:rsid w:val="00BA54FD"/>
    <w:rsid w:val="00BA67A8"/>
    <w:rsid w:val="00BB3493"/>
    <w:rsid w:val="00BB5664"/>
    <w:rsid w:val="00BB6EC1"/>
    <w:rsid w:val="00BB7468"/>
    <w:rsid w:val="00BC188A"/>
    <w:rsid w:val="00BC29CA"/>
    <w:rsid w:val="00BC402E"/>
    <w:rsid w:val="00BD0F48"/>
    <w:rsid w:val="00BE3A9A"/>
    <w:rsid w:val="00BE6DDB"/>
    <w:rsid w:val="00BF5010"/>
    <w:rsid w:val="00C03D5F"/>
    <w:rsid w:val="00C13791"/>
    <w:rsid w:val="00C31BB3"/>
    <w:rsid w:val="00C36977"/>
    <w:rsid w:val="00C43CFF"/>
    <w:rsid w:val="00C467DA"/>
    <w:rsid w:val="00C477D9"/>
    <w:rsid w:val="00C60BA3"/>
    <w:rsid w:val="00C623F7"/>
    <w:rsid w:val="00C74A35"/>
    <w:rsid w:val="00C75BC5"/>
    <w:rsid w:val="00C7721C"/>
    <w:rsid w:val="00C81670"/>
    <w:rsid w:val="00C81773"/>
    <w:rsid w:val="00C82861"/>
    <w:rsid w:val="00C86896"/>
    <w:rsid w:val="00C907A8"/>
    <w:rsid w:val="00C93211"/>
    <w:rsid w:val="00C942EC"/>
    <w:rsid w:val="00C96047"/>
    <w:rsid w:val="00C96C0A"/>
    <w:rsid w:val="00C979D0"/>
    <w:rsid w:val="00C97FB3"/>
    <w:rsid w:val="00CA0818"/>
    <w:rsid w:val="00CA15C8"/>
    <w:rsid w:val="00CA2C8F"/>
    <w:rsid w:val="00CA30DA"/>
    <w:rsid w:val="00CA3A24"/>
    <w:rsid w:val="00CB1777"/>
    <w:rsid w:val="00CB33E9"/>
    <w:rsid w:val="00CB441B"/>
    <w:rsid w:val="00CB7BBD"/>
    <w:rsid w:val="00CC10A9"/>
    <w:rsid w:val="00CC3D8C"/>
    <w:rsid w:val="00CD3814"/>
    <w:rsid w:val="00CE2BF8"/>
    <w:rsid w:val="00CE484E"/>
    <w:rsid w:val="00CE656F"/>
    <w:rsid w:val="00CF0DA8"/>
    <w:rsid w:val="00CF2E25"/>
    <w:rsid w:val="00CF4453"/>
    <w:rsid w:val="00CF5D94"/>
    <w:rsid w:val="00CF7E0F"/>
    <w:rsid w:val="00D034D7"/>
    <w:rsid w:val="00D04BE4"/>
    <w:rsid w:val="00D06FC7"/>
    <w:rsid w:val="00D11AE5"/>
    <w:rsid w:val="00D12565"/>
    <w:rsid w:val="00D14127"/>
    <w:rsid w:val="00D22776"/>
    <w:rsid w:val="00D256B2"/>
    <w:rsid w:val="00D33458"/>
    <w:rsid w:val="00D60B16"/>
    <w:rsid w:val="00D60F02"/>
    <w:rsid w:val="00D66E49"/>
    <w:rsid w:val="00D70D71"/>
    <w:rsid w:val="00D70DB2"/>
    <w:rsid w:val="00D72F74"/>
    <w:rsid w:val="00D81563"/>
    <w:rsid w:val="00D85907"/>
    <w:rsid w:val="00D9073E"/>
    <w:rsid w:val="00D9221D"/>
    <w:rsid w:val="00D92F1D"/>
    <w:rsid w:val="00D958DF"/>
    <w:rsid w:val="00D96DA1"/>
    <w:rsid w:val="00DA1877"/>
    <w:rsid w:val="00DA251E"/>
    <w:rsid w:val="00DA51E7"/>
    <w:rsid w:val="00DB0260"/>
    <w:rsid w:val="00DB1C78"/>
    <w:rsid w:val="00DB7D96"/>
    <w:rsid w:val="00DC23FE"/>
    <w:rsid w:val="00DC59E6"/>
    <w:rsid w:val="00DD150B"/>
    <w:rsid w:val="00DD1552"/>
    <w:rsid w:val="00DD5025"/>
    <w:rsid w:val="00DD60FC"/>
    <w:rsid w:val="00DE5EE4"/>
    <w:rsid w:val="00DE76A0"/>
    <w:rsid w:val="00DF1510"/>
    <w:rsid w:val="00DF2F1F"/>
    <w:rsid w:val="00E02F1F"/>
    <w:rsid w:val="00E06484"/>
    <w:rsid w:val="00E20A7D"/>
    <w:rsid w:val="00E24994"/>
    <w:rsid w:val="00E275D8"/>
    <w:rsid w:val="00E30F6A"/>
    <w:rsid w:val="00E3117C"/>
    <w:rsid w:val="00E375CA"/>
    <w:rsid w:val="00E51FF6"/>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D5DE3"/>
    <w:rsid w:val="00ED670F"/>
    <w:rsid w:val="00EF264C"/>
    <w:rsid w:val="00EF3FEE"/>
    <w:rsid w:val="00F04B59"/>
    <w:rsid w:val="00F11741"/>
    <w:rsid w:val="00F12B1C"/>
    <w:rsid w:val="00F13CF8"/>
    <w:rsid w:val="00F15855"/>
    <w:rsid w:val="00F227DC"/>
    <w:rsid w:val="00F32978"/>
    <w:rsid w:val="00F362EF"/>
    <w:rsid w:val="00F45CB2"/>
    <w:rsid w:val="00F544C0"/>
    <w:rsid w:val="00F55332"/>
    <w:rsid w:val="00F557A8"/>
    <w:rsid w:val="00F63838"/>
    <w:rsid w:val="00F6504A"/>
    <w:rsid w:val="00F65519"/>
    <w:rsid w:val="00F713C0"/>
    <w:rsid w:val="00F75DDC"/>
    <w:rsid w:val="00F7792F"/>
    <w:rsid w:val="00F842AA"/>
    <w:rsid w:val="00F8476F"/>
    <w:rsid w:val="00F853E1"/>
    <w:rsid w:val="00F85604"/>
    <w:rsid w:val="00F91E8B"/>
    <w:rsid w:val="00F92260"/>
    <w:rsid w:val="00F94B7A"/>
    <w:rsid w:val="00FA17AC"/>
    <w:rsid w:val="00FA32DE"/>
    <w:rsid w:val="00FA3382"/>
    <w:rsid w:val="00FA59CD"/>
    <w:rsid w:val="00FB1740"/>
    <w:rsid w:val="00FB325E"/>
    <w:rsid w:val="00FC1907"/>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C96C0A"/>
    <w:pPr>
      <w:widowControl w:val="0"/>
      <w:tabs>
        <w:tab w:val="left" w:pos="720"/>
      </w:tabs>
      <w:spacing w:line="536" w:lineRule="exact"/>
    </w:pPr>
    <w:rPr>
      <w:sz w:val="24"/>
      <w:szCs w:val="24"/>
    </w:rPr>
  </w:style>
  <w:style w:type="character" w:customStyle="1" w:styleId="RuleChar">
    <w:name w:val="Rule Char"/>
    <w:link w:val="Rule"/>
    <w:rsid w:val="00C96C0A"/>
    <w:rPr>
      <w:sz w:val="24"/>
      <w:szCs w:val="24"/>
    </w:rPr>
  </w:style>
  <w:style w:type="paragraph" w:customStyle="1" w:styleId="RuleHeader">
    <w:name w:val="Rule Header"/>
    <w:basedOn w:val="Rule"/>
    <w:rsid w:val="00C96C0A"/>
    <w:pPr>
      <w:jc w:val="right"/>
    </w:pPr>
  </w:style>
  <w:style w:type="character" w:styleId="FollowedHyperlink">
    <w:name w:val="FollowedHyperlink"/>
    <w:basedOn w:val="DefaultParagraphFont"/>
    <w:rsid w:val="00757D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C96C0A"/>
    <w:pPr>
      <w:widowControl w:val="0"/>
      <w:tabs>
        <w:tab w:val="left" w:pos="720"/>
      </w:tabs>
      <w:spacing w:line="536" w:lineRule="exact"/>
    </w:pPr>
    <w:rPr>
      <w:sz w:val="24"/>
      <w:szCs w:val="24"/>
    </w:rPr>
  </w:style>
  <w:style w:type="character" w:customStyle="1" w:styleId="RuleChar">
    <w:name w:val="Rule Char"/>
    <w:link w:val="Rule"/>
    <w:rsid w:val="00C96C0A"/>
    <w:rPr>
      <w:sz w:val="24"/>
      <w:szCs w:val="24"/>
    </w:rPr>
  </w:style>
  <w:style w:type="paragraph" w:customStyle="1" w:styleId="RuleHeader">
    <w:name w:val="Rule Header"/>
    <w:basedOn w:val="Rule"/>
    <w:rsid w:val="00C96C0A"/>
    <w:pPr>
      <w:jc w:val="right"/>
    </w:pPr>
  </w:style>
  <w:style w:type="character" w:styleId="FollowedHyperlink">
    <w:name w:val="FollowedHyperlink"/>
    <w:basedOn w:val="DefaultParagraphFont"/>
    <w:rsid w:val="00757D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JP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4.JPG"/><Relationship Id="rId33" Type="http://schemas.openxmlformats.org/officeDocument/2006/relationships/image" Target="media/image10.JPG"/><Relationship Id="rId38"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hyperlink" Target="mailto:Applications@psc.state.fl.us" TargetMode="External"/><Relationship Id="rId20" Type="http://schemas.openxmlformats.org/officeDocument/2006/relationships/footer" Target="footer4.xml"/><Relationship Id="rId29"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JPG"/><Relationship Id="rId28" Type="http://schemas.openxmlformats.org/officeDocument/2006/relationships/image" Target="media/image7.JPG"/><Relationship Id="rId36" Type="http://schemas.openxmlformats.org/officeDocument/2006/relationships/image" Target="media/image13.JP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6.JPG"/><Relationship Id="rId30" Type="http://schemas.openxmlformats.org/officeDocument/2006/relationships/header" Target="header8.xml"/><Relationship Id="rId35"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CC84C-54C9-47F2-9ABE-CBAA2BB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22</Pages>
  <Words>2178</Words>
  <Characters>12191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14341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2019-06-26T13:54:00Z</cp:lastPrinted>
  <dcterms:created xsi:type="dcterms:W3CDTF">2019-06-26T14:59:00Z</dcterms:created>
  <dcterms:modified xsi:type="dcterms:W3CDTF">2019-06-26T14:59:00Z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20190055-WS</vt:lpwstr>
  </property>
  <property fmtid="{D5CDD505-2E9C-101B-9397-08002B2CF9AE}" pid="3" name="MasterDocument">
    <vt:bool>false</vt:bool>
  </property>
</Properties>
</file>