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AF1713">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rsidTr="001C7EF9">
        <w:trPr>
          <w:trHeight w:val="75"/>
        </w:trPr>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Pr="006D324D" w:rsidRDefault="00BF620E" w:rsidP="00400222">
            <w:pPr>
              <w:pStyle w:val="MemoHeading"/>
            </w:pPr>
            <w:bookmarkStart w:id="1" w:name="FilingDate"/>
            <w:r>
              <w:t>Ju</w:t>
            </w:r>
            <w:r w:rsidR="00400222">
              <w:t>ly 25</w:t>
            </w:r>
            <w:r w:rsidR="00750048" w:rsidRPr="006D324D">
              <w:t>, 2019</w:t>
            </w:r>
            <w:bookmarkEnd w:id="1"/>
          </w:p>
        </w:tc>
      </w:tr>
      <w:tr w:rsidR="007C0528" w:rsidTr="009E73A7">
        <w:trPr>
          <w:trHeight w:val="153"/>
        </w:trPr>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50048" w:rsidRDefault="00750048">
            <w:pPr>
              <w:pStyle w:val="MemoHeading"/>
            </w:pPr>
            <w:bookmarkStart w:id="2" w:name="From"/>
            <w:r>
              <w:t>Division of Engineering (Wright, Doehling, Ellis,</w:t>
            </w:r>
            <w:r w:rsidR="00B25B0D">
              <w:t xml:space="preserve"> King,</w:t>
            </w:r>
            <w:r>
              <w:t xml:space="preserve"> Knoblauch, Wooten)</w:t>
            </w:r>
          </w:p>
          <w:p w:rsidR="00750048" w:rsidRDefault="00750048">
            <w:pPr>
              <w:pStyle w:val="MemoHeading"/>
            </w:pPr>
            <w:r>
              <w:t>Division of Economics (Coston, Morgan, Wu)</w:t>
            </w:r>
          </w:p>
          <w:p w:rsidR="007C0528" w:rsidRDefault="00750048">
            <w:pPr>
              <w:pStyle w:val="MemoHeading"/>
            </w:pPr>
            <w:r>
              <w:t>Office of the General Counsel (DuVal, Dziechciarz)</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50048">
            <w:pPr>
              <w:pStyle w:val="MemoHeadingRe"/>
            </w:pPr>
            <w:bookmarkStart w:id="3" w:name="Re"/>
            <w:r>
              <w:t>Docket No. 20180186-GU – Petition for approval of demand side management goals and residential customer assisted and commercial walk-through energy audit programs,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50048" w:rsidP="00400222">
            <w:pPr>
              <w:pStyle w:val="MemoHeading"/>
            </w:pPr>
            <w:bookmarkStart w:id="4" w:name="AgendaDate"/>
            <w:r w:rsidRPr="006D324D">
              <w:t>0</w:t>
            </w:r>
            <w:r w:rsidR="00400222">
              <w:t>8</w:t>
            </w:r>
            <w:r w:rsidRPr="006D324D">
              <w:t>/0</w:t>
            </w:r>
            <w:r w:rsidR="00400222">
              <w:t>6</w:t>
            </w:r>
            <w:r w:rsidRPr="006D324D">
              <w:t>/19</w:t>
            </w:r>
            <w:bookmarkEnd w:id="4"/>
            <w:r w:rsidR="007C0528" w:rsidRPr="006D324D">
              <w:t xml:space="preserve"> – </w:t>
            </w:r>
            <w:bookmarkStart w:id="5" w:name="PermittedStatus"/>
            <w:r w:rsidR="00436929">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5004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50048">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F71BB">
            <w:pPr>
              <w:pStyle w:val="MemoHeading"/>
            </w:pPr>
            <w:bookmarkStart w:id="9" w:name="CriticalDates"/>
            <w:r>
              <w:t>08/26/19 (Petition Deemed Approved if Not Granted or Denied within 90 Days of Receipt Pursuant to Section 120.542(8), Florida Statutes)</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5004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61172" w:rsidRDefault="00EC0DDE" w:rsidP="00861172">
      <w:pPr>
        <w:pStyle w:val="BodyText"/>
      </w:pPr>
      <w:r>
        <w:t>Sections 366.80 through 366.83</w:t>
      </w:r>
      <w:r w:rsidR="00861172">
        <w:t xml:space="preserve">, and 403.519, Florida Statutes (F.S.), are known collectively as the Florida Energy Efficiency and Conservation Act (FEECA). Originally enacted in 1980, FEECA emphasizes the utilization of efficient and cost-effective demand-side renewable energy and conservation systems. Pursuant to Section 366.82, F.S., the Florida Public Service Commission (Commission) must review the conservation goals of each utility subject to FEECA at least every five years, and must require that each utility </w:t>
      </w:r>
      <w:r w:rsidR="0038772B">
        <w:t>offer</w:t>
      </w:r>
      <w:r w:rsidR="00861172">
        <w:t xml:space="preserve"> energy audit programs to its </w:t>
      </w:r>
      <w:r w:rsidR="00AD4224">
        <w:t xml:space="preserve">residential </w:t>
      </w:r>
      <w:r w:rsidR="00861172">
        <w:t>customers.</w:t>
      </w:r>
      <w:r w:rsidR="00AD4224">
        <w:t xml:space="preserve"> The Commission may extend the audit program requirement to some or all commercial customers.</w:t>
      </w:r>
      <w:r w:rsidR="00861172">
        <w:t xml:space="preserve"> Currently, all five inv</w:t>
      </w:r>
      <w:r w:rsidR="0049092A">
        <w:t>estor-owned electric utilities</w:t>
      </w:r>
      <w:r w:rsidR="00F02B01">
        <w:t xml:space="preserve"> and</w:t>
      </w:r>
      <w:r w:rsidR="00861172">
        <w:t xml:space="preserve"> two municipal </w:t>
      </w:r>
      <w:r w:rsidR="0049092A">
        <w:lastRenderedPageBreak/>
        <w:t>electric utilities</w:t>
      </w:r>
      <w:r w:rsidR="00861172">
        <w:t xml:space="preserve"> are subject to FEECA. Peoples Gas System (PGS or Company) is the only natural gas utility subject to these requirements.</w:t>
      </w:r>
      <w:r w:rsidR="00861172">
        <w:rPr>
          <w:rStyle w:val="FootnoteReference"/>
        </w:rPr>
        <w:footnoteReference w:id="1"/>
      </w:r>
    </w:p>
    <w:p w:rsidR="00861172" w:rsidRDefault="00861172" w:rsidP="00861172">
      <w:pPr>
        <w:pStyle w:val="BodyText"/>
      </w:pPr>
      <w:r>
        <w:t>In 1980, the Commission adopted rules that set statewide conservation goals; however, these rules were repealed in 1990, following the sunset provision in FEECA. In 1996, the Commission adopted Rule 25-17.009, Florida Administrative Code (F.A.C.), which establishes a methodology for assessing t</w:t>
      </w:r>
      <w:r w:rsidR="00222C77">
        <w:t>he cost-effectiveness of demand-</w:t>
      </w:r>
      <w:r>
        <w:t xml:space="preserve">side management (DSM) programs for natural gas utilities. However, Rule 25-17.009, F.A.C., does not </w:t>
      </w:r>
      <w:r w:rsidR="0038772B">
        <w:t>establish a process by which goals are</w:t>
      </w:r>
      <w:r>
        <w:t xml:space="preserve"> to be set for natural gas utilities.</w:t>
      </w:r>
      <w:r w:rsidR="00C90907">
        <w:t xml:space="preserve"> </w:t>
      </w:r>
      <w:r w:rsidR="00C90907" w:rsidRPr="006F52C8">
        <w:t>Since 1981, PGS has offered a variety of conservation programs which have been reviewed by the Commission</w:t>
      </w:r>
      <w:r w:rsidR="00F02B01">
        <w:t xml:space="preserve"> pursuant to Rule 25-17.015, F.A.C., </w:t>
      </w:r>
      <w:proofErr w:type="gramStart"/>
      <w:r w:rsidR="00C90907" w:rsidRPr="006F52C8">
        <w:t>the</w:t>
      </w:r>
      <w:proofErr w:type="gramEnd"/>
      <w:r w:rsidR="00C90907" w:rsidRPr="006F52C8">
        <w:t xml:space="preserve"> Energy Conservation Cost Recovery (ECCR) clause.</w:t>
      </w:r>
      <w:r w:rsidR="00C90907" w:rsidRPr="004B4843">
        <w:t xml:space="preserve"> T</w:t>
      </w:r>
      <w:r w:rsidR="00C90907">
        <w:t>he Company’s residential and commercial DSM programs were first approved by the Commission in 1990, with several modifications and additions being made since that time.</w:t>
      </w:r>
      <w:r w:rsidR="00C90907">
        <w:rPr>
          <w:rStyle w:val="FootnoteReference"/>
        </w:rPr>
        <w:footnoteReference w:id="2"/>
      </w:r>
    </w:p>
    <w:p w:rsidR="005353FB" w:rsidRDefault="002C3EC8" w:rsidP="00B8362F">
      <w:pPr>
        <w:pStyle w:val="BodyText"/>
      </w:pPr>
      <w:r>
        <w:t xml:space="preserve">In October 2015, </w:t>
      </w:r>
      <w:r w:rsidR="00861172" w:rsidRPr="002D1ED9">
        <w:t>the</w:t>
      </w:r>
      <w:r>
        <w:t xml:space="preserve"> </w:t>
      </w:r>
      <w:r w:rsidRPr="002C3EC8">
        <w:t>State of Florida</w:t>
      </w:r>
      <w:r w:rsidR="00861172" w:rsidRPr="002C3EC8">
        <w:t xml:space="preserve"> Auditor General</w:t>
      </w:r>
      <w:r w:rsidR="008525E9">
        <w:t xml:space="preserve"> issued </w:t>
      </w:r>
      <w:r w:rsidR="002D1ED9" w:rsidRPr="008525E9">
        <w:t>Re</w:t>
      </w:r>
      <w:r w:rsidR="00861172" w:rsidRPr="008525E9">
        <w:t>port</w:t>
      </w:r>
      <w:r w:rsidRPr="008525E9">
        <w:t xml:space="preserve"> No. 2016-022</w:t>
      </w:r>
      <w:r w:rsidR="00F02B01">
        <w:t xml:space="preserve">, which </w:t>
      </w:r>
      <w:r w:rsidR="00861172" w:rsidRPr="002D1ED9">
        <w:t>f</w:t>
      </w:r>
      <w:r w:rsidR="002D1ED9">
        <w:t xml:space="preserve">ound </w:t>
      </w:r>
      <w:r w:rsidR="00861172" w:rsidRPr="002D1ED9">
        <w:t>the Commission</w:t>
      </w:r>
      <w:r w:rsidR="002D1ED9">
        <w:t xml:space="preserve"> had not </w:t>
      </w:r>
      <w:r w:rsidR="00861172" w:rsidRPr="002D1ED9">
        <w:t>fully implement</w:t>
      </w:r>
      <w:r w:rsidR="002D1ED9">
        <w:t>ed</w:t>
      </w:r>
      <w:r w:rsidR="00861172" w:rsidRPr="002D1ED9">
        <w:t xml:space="preserve"> FEECA requirements for natural gas utilities.</w:t>
      </w:r>
      <w:r w:rsidR="00F02B01">
        <w:rPr>
          <w:rStyle w:val="FootnoteReference"/>
        </w:rPr>
        <w:footnoteReference w:id="3"/>
      </w:r>
      <w:r w:rsidR="002D1ED9">
        <w:t xml:space="preserve"> </w:t>
      </w:r>
      <w:r w:rsidR="00F02B01">
        <w:t xml:space="preserve">The report </w:t>
      </w:r>
      <w:r w:rsidR="00861172" w:rsidRPr="002D1ED9">
        <w:t>recommended</w:t>
      </w:r>
      <w:r w:rsidR="002D1ED9">
        <w:t xml:space="preserve"> </w:t>
      </w:r>
      <w:r w:rsidR="00861172" w:rsidRPr="002D1ED9">
        <w:t>that</w:t>
      </w:r>
      <w:r w:rsidR="002D1ED9">
        <w:t xml:space="preserve"> the</w:t>
      </w:r>
      <w:r w:rsidR="00861172" w:rsidRPr="002D1ED9">
        <w:t xml:space="preserve"> Commission management</w:t>
      </w:r>
      <w:r w:rsidR="002D1ED9">
        <w:t xml:space="preserve"> either</w:t>
      </w:r>
      <w:r w:rsidR="00861172" w:rsidRPr="002D1ED9">
        <w:t xml:space="preserve"> fully implement FEECA specifically as it applies to natural gas utilities or seek legislative clarification regarding whether the Commission is required to adopt energy conservation and DSM goals for natural gas utilities</w:t>
      </w:r>
      <w:r w:rsidR="002D1ED9">
        <w:t xml:space="preserve"> </w:t>
      </w:r>
      <w:r w:rsidR="00861172" w:rsidRPr="002D1ED9">
        <w:t>and</w:t>
      </w:r>
      <w:r w:rsidR="002D1ED9">
        <w:t xml:space="preserve"> whether</w:t>
      </w:r>
      <w:r w:rsidR="00861172" w:rsidRPr="002D1ED9">
        <w:t xml:space="preserve"> natural gas utilities are to offer residential energy audits. Through several meetings</w:t>
      </w:r>
      <w:r w:rsidR="002D1ED9">
        <w:t xml:space="preserve"> both internally and with legislative staff, Commission</w:t>
      </w:r>
      <w:r w:rsidR="008F736D">
        <w:t xml:space="preserve"> management</w:t>
      </w:r>
      <w:r w:rsidR="002D1ED9">
        <w:t xml:space="preserve"> </w:t>
      </w:r>
      <w:r w:rsidR="00861172" w:rsidRPr="002D1ED9">
        <w:t xml:space="preserve">determined the best way to comply with the Auditor General’s findings was to </w:t>
      </w:r>
      <w:r w:rsidR="002D1ED9">
        <w:t xml:space="preserve">request </w:t>
      </w:r>
      <w:r w:rsidR="00861172" w:rsidRPr="002D1ED9">
        <w:t>PGS</w:t>
      </w:r>
      <w:r w:rsidR="000155D6">
        <w:t>, in a manner similar to that followed by the FEECA electric utilities,</w:t>
      </w:r>
      <w:r w:rsidR="00462473">
        <w:t xml:space="preserve"> to</w:t>
      </w:r>
      <w:r w:rsidR="002D1ED9">
        <w:t xml:space="preserve"> develop</w:t>
      </w:r>
      <w:r w:rsidR="008F736D">
        <w:t xml:space="preserve"> </w:t>
      </w:r>
      <w:r w:rsidR="002D1ED9">
        <w:t>and</w:t>
      </w:r>
      <w:r w:rsidR="00861172" w:rsidRPr="002D1ED9">
        <w:t xml:space="preserve"> file</w:t>
      </w:r>
      <w:r w:rsidR="002D1ED9">
        <w:t xml:space="preserve"> with the Commission</w:t>
      </w:r>
      <w:r w:rsidR="00861172" w:rsidRPr="002D1ED9">
        <w:t xml:space="preserve"> </w:t>
      </w:r>
      <w:r w:rsidR="002D1ED9">
        <w:t xml:space="preserve">annual conservation </w:t>
      </w:r>
      <w:r w:rsidR="00861172" w:rsidRPr="002D1ED9">
        <w:t xml:space="preserve">goals </w:t>
      </w:r>
      <w:r w:rsidR="00B02124">
        <w:t xml:space="preserve">along with </w:t>
      </w:r>
      <w:r w:rsidR="002D1ED9">
        <w:t>residential and commercial</w:t>
      </w:r>
      <w:r w:rsidR="00861172" w:rsidRPr="002D1ED9">
        <w:t xml:space="preserve"> energy audit programs.</w:t>
      </w:r>
    </w:p>
    <w:p w:rsidR="00861172" w:rsidRDefault="00861172" w:rsidP="00861172">
      <w:pPr>
        <w:pStyle w:val="BodyText"/>
      </w:pPr>
      <w:r>
        <w:t>On October 15, 2018, PGS filed a petition for approval of its natural gas DSM goals for the period 2019-2028, and its residential and commercial energy audit programs. In response to staff-issued data requests, the Company provided updated numeric conservation goals</w:t>
      </w:r>
      <w:r w:rsidR="00B8362F">
        <w:t>.</w:t>
      </w:r>
    </w:p>
    <w:p w:rsidR="006877A4" w:rsidRDefault="006877A4" w:rsidP="006877A4">
      <w:pPr>
        <w:pStyle w:val="BodyText"/>
      </w:pPr>
      <w:r>
        <w:t xml:space="preserve">On May 28, 2019, PGS filed a petition seeking waiver </w:t>
      </w:r>
      <w:r w:rsidR="00462473">
        <w:t>of</w:t>
      </w:r>
      <w:r>
        <w:t xml:space="preserve"> Rule 25-17.003(3)(a) and (b), F.A.C., which require</w:t>
      </w:r>
      <w:r w:rsidR="00462473">
        <w:t>s</w:t>
      </w:r>
      <w:r>
        <w:t xml:space="preserve"> PGS to offer residential customers </w:t>
      </w:r>
      <w:r w:rsidRPr="00A47983">
        <w:t>Building Energy-Efficiency Rating System</w:t>
      </w:r>
      <w:r>
        <w:t xml:space="preserve"> (BERS) Audits, Computer-Assisted Audits, and Walk-Through Audits. Specifically, PGS seeks a </w:t>
      </w:r>
      <w:r>
        <w:lastRenderedPageBreak/>
        <w:t>waiver from the</w:t>
      </w:r>
      <w:r w:rsidR="00605E04">
        <w:t xml:space="preserve"> residential</w:t>
      </w:r>
      <w:r>
        <w:t xml:space="preserve"> on-site evaluation and </w:t>
      </w:r>
      <w:r w:rsidR="0058216E">
        <w:t>w</w:t>
      </w:r>
      <w:r>
        <w:t>alk-</w:t>
      </w:r>
      <w:r w:rsidR="0058216E">
        <w:t>t</w:t>
      </w:r>
      <w:r>
        <w:t xml:space="preserve">hrough </w:t>
      </w:r>
      <w:r w:rsidR="0058216E">
        <w:t>a</w:t>
      </w:r>
      <w:r>
        <w:t xml:space="preserve">udit requirements reasoning the purpose of the underlying statute can be achieved by other means and strict </w:t>
      </w:r>
      <w:r w:rsidR="00462473">
        <w:t>application of the Rule</w:t>
      </w:r>
      <w:r>
        <w:t xml:space="preserve"> would result in a substantial hardship to PGS</w:t>
      </w:r>
      <w:r w:rsidR="00462473">
        <w:t>. Pursuant to Section 120.542(6), F.S., notice of the petition seeking waiver was published in the Florida Administrative Register on June 5, 2019. No comments were received, and the time for filing comments expired on June 19, 2019.</w:t>
      </w:r>
    </w:p>
    <w:p w:rsidR="009801A0" w:rsidRDefault="00861172" w:rsidP="00861172">
      <w:pPr>
        <w:pStyle w:val="BodyText"/>
      </w:pPr>
      <w:r>
        <w:t>The Commission has jurisdiction over this matter pursuant to Sections</w:t>
      </w:r>
      <w:r w:rsidR="00737ADF">
        <w:t xml:space="preserve"> 120.542,</w:t>
      </w:r>
      <w:r>
        <w:t xml:space="preserve"> 366.80 through 366.83, and 403.519,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27BE2" w:rsidRDefault="00927BE2">
      <w:pPr>
        <w:pStyle w:val="IssueHeading"/>
        <w:rPr>
          <w:vanish/>
          <w:specVanish/>
        </w:rPr>
      </w:pPr>
      <w:r w:rsidRPr="004C3641">
        <w:t xml:space="preserve">Issue </w:t>
      </w:r>
      <w:r w:rsidR="00FE4D92">
        <w:fldChar w:fldCharType="begin"/>
      </w:r>
      <w:r w:rsidR="00FE4D92">
        <w:instrText xml:space="preserve"> SEQ Issue \* MERGEFORMAT </w:instrText>
      </w:r>
      <w:r w:rsidR="00FE4D92">
        <w:fldChar w:fldCharType="separate"/>
      </w:r>
      <w:r w:rsidR="000160AB">
        <w:rPr>
          <w:noProof/>
        </w:rPr>
        <w:t>1</w:t>
      </w:r>
      <w:r w:rsidR="00FE4D9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160AB">
        <w:rPr>
          <w:noProof/>
        </w:rPr>
        <w:instrText>1</w:instrText>
      </w:r>
      <w:r>
        <w:fldChar w:fldCharType="end"/>
      </w:r>
      <w:r>
        <w:tab/>
        <w:instrText xml:space="preserve">" \l 1 </w:instrText>
      </w:r>
      <w:r>
        <w:fldChar w:fldCharType="end"/>
      </w:r>
      <w:r>
        <w:t> </w:t>
      </w:r>
    </w:p>
    <w:p w:rsidR="00927BE2" w:rsidRDefault="00927BE2">
      <w:pPr>
        <w:pStyle w:val="BodyText"/>
      </w:pPr>
      <w:r>
        <w:t> </w:t>
      </w:r>
      <w:r w:rsidR="009F71BB">
        <w:t>Should the Commission grant Peoples Gas System's Petition f</w:t>
      </w:r>
      <w:r w:rsidR="009F71BB" w:rsidRPr="007F0284">
        <w:t>or Waiver of Rule 25-17.003(3</w:t>
      </w:r>
      <w:proofErr w:type="gramStart"/>
      <w:r w:rsidR="009F71BB" w:rsidRPr="007F0284">
        <w:t>)(</w:t>
      </w:r>
      <w:proofErr w:type="gramEnd"/>
      <w:r w:rsidR="009F71BB" w:rsidRPr="007F0284">
        <w:t>a) and (b), Florida Administrative Code?</w:t>
      </w:r>
    </w:p>
    <w:p w:rsidR="00927BE2" w:rsidRPr="004C3641" w:rsidRDefault="00927BE2">
      <w:pPr>
        <w:pStyle w:val="IssueSubsectionHeading"/>
        <w:rPr>
          <w:vanish/>
          <w:specVanish/>
        </w:rPr>
      </w:pPr>
      <w:r w:rsidRPr="004C3641">
        <w:t>Recommendation: </w:t>
      </w:r>
    </w:p>
    <w:p w:rsidR="00927BE2" w:rsidRDefault="00927BE2">
      <w:pPr>
        <w:pStyle w:val="BodyText"/>
      </w:pPr>
      <w:r>
        <w:t> </w:t>
      </w:r>
      <w:r w:rsidR="009F71BB">
        <w:t>Yes. Staff recommends that the Commission grant Peoples Gas System</w:t>
      </w:r>
      <w:r w:rsidR="003B441C">
        <w:t xml:space="preserve"> a temporary waiver of the on-site residential energy audit requirements of </w:t>
      </w:r>
      <w:r w:rsidR="003B441C" w:rsidRPr="005645F0">
        <w:t>Rule 25-17.003(3)(a) and (b), F</w:t>
      </w:r>
      <w:r w:rsidR="003B441C">
        <w:t xml:space="preserve">.A.C., and allow PGS to offer an electronic, online-only version of the Computer-Assisted Audit to its eligible residential customers until the Commission’s next review of the Company’s goals, plans, and programs. </w:t>
      </w:r>
      <w:r w:rsidR="009F71BB">
        <w:t>(DuVal, Dziechciarz, Wright)</w:t>
      </w:r>
    </w:p>
    <w:p w:rsidR="00927BE2" w:rsidRPr="004C3641" w:rsidRDefault="00927BE2">
      <w:pPr>
        <w:pStyle w:val="IssueSubsectionHeading"/>
        <w:rPr>
          <w:vanish/>
          <w:specVanish/>
        </w:rPr>
      </w:pPr>
      <w:r w:rsidRPr="004C3641">
        <w:t>Staff Analysis: </w:t>
      </w:r>
    </w:p>
    <w:p w:rsidR="009F71BB" w:rsidRDefault="00927BE2" w:rsidP="009F71BB">
      <w:pPr>
        <w:pStyle w:val="BodyText"/>
      </w:pPr>
      <w:r>
        <w:t> </w:t>
      </w:r>
    </w:p>
    <w:p w:rsidR="009F71BB" w:rsidRDefault="009F71BB" w:rsidP="009F71BB">
      <w:pPr>
        <w:pStyle w:val="First-LevelSubheading"/>
      </w:pPr>
      <w:r>
        <w:t>Petition</w:t>
      </w:r>
    </w:p>
    <w:p w:rsidR="009F71BB" w:rsidRPr="00922401" w:rsidRDefault="009F71BB" w:rsidP="009F71BB">
      <w:pPr>
        <w:pStyle w:val="BodyText"/>
      </w:pPr>
      <w:r>
        <w:t xml:space="preserve">PGS requested a rule waiver of </w:t>
      </w:r>
      <w:r w:rsidRPr="007F0284">
        <w:t>Rule 25-17.003(3</w:t>
      </w:r>
      <w:proofErr w:type="gramStart"/>
      <w:r w:rsidRPr="007F0284">
        <w:t>)(</w:t>
      </w:r>
      <w:proofErr w:type="gramEnd"/>
      <w:r w:rsidRPr="007F0284">
        <w:t>a) and (b)</w:t>
      </w:r>
      <w:r>
        <w:t xml:space="preserve">, F.A.C. (Rule). The Rule requires PGS to offer BERS, Computer-Assisted, and Walk-Through </w:t>
      </w:r>
      <w:r w:rsidR="004B5BB0">
        <w:t>A</w:t>
      </w:r>
      <w:r>
        <w:t>udits to eligible residential customers, all of which must be performed on-site at the customer’s residence. PGS stated that fulfilling the on-site residential energy audit requirements would have an undue impact on the costs passed on to customers and would require PGS to dispatch Tampa-based employees, or position employees, across the Company’s entire service territory.</w:t>
      </w:r>
      <w:r>
        <w:rPr>
          <w:rStyle w:val="FootnoteReference"/>
        </w:rPr>
        <w:footnoteReference w:id="4"/>
      </w:r>
      <w:r>
        <w:t xml:space="preserve"> As such, the Company has requested permission to offer only a </w:t>
      </w:r>
      <w:r w:rsidR="00737ADF">
        <w:t>C</w:t>
      </w:r>
      <w:r>
        <w:t>omputer-</w:t>
      </w:r>
      <w:r w:rsidR="00737ADF">
        <w:t>A</w:t>
      </w:r>
      <w:r>
        <w:t xml:space="preserve">ssisted </w:t>
      </w:r>
      <w:r w:rsidR="004B5BB0">
        <w:t>A</w:t>
      </w:r>
      <w:r>
        <w:t>udit</w:t>
      </w:r>
      <w:r w:rsidR="0058216E">
        <w:t xml:space="preserve"> without the on-site evaluation and</w:t>
      </w:r>
      <w:r>
        <w:t xml:space="preserve"> </w:t>
      </w:r>
      <w:r w:rsidR="0058216E">
        <w:t>w</w:t>
      </w:r>
      <w:r>
        <w:t>alk-</w:t>
      </w:r>
      <w:r w:rsidR="0058216E">
        <w:t>t</w:t>
      </w:r>
      <w:r>
        <w:t>hrough</w:t>
      </w:r>
      <w:r w:rsidR="0058216E">
        <w:t xml:space="preserve"> audit requirements of the Rule.</w:t>
      </w:r>
    </w:p>
    <w:p w:rsidR="009F71BB" w:rsidRPr="007F0284" w:rsidRDefault="009F71BB" w:rsidP="009F71BB">
      <w:pPr>
        <w:pStyle w:val="BodyText"/>
      </w:pPr>
      <w:r>
        <w:t xml:space="preserve">PGS asserted that an electronic, online-only version of the Computer-Assisted Audit is a reasonable means of achieving the purpose of the statutes implemented by </w:t>
      </w:r>
      <w:r w:rsidRPr="007F0284">
        <w:t>Rule 25-17.003(3</w:t>
      </w:r>
      <w:proofErr w:type="gramStart"/>
      <w:r w:rsidRPr="007F0284">
        <w:t>)(</w:t>
      </w:r>
      <w:proofErr w:type="gramEnd"/>
      <w:r w:rsidRPr="007F0284">
        <w:t>a) and (b)</w:t>
      </w:r>
      <w:r>
        <w:t>, F.A.C., because it can provide eligible residential customers with the same type of feedback regarding energy usage and recommendations to improve energy efficiency as would be provided by an on-site residential energy audit. The Company further asserted that</w:t>
      </w:r>
      <w:r w:rsidR="00737ADF">
        <w:t>, if required to have employees physically present throughout its territory,</w:t>
      </w:r>
      <w:r>
        <w:t xml:space="preserve"> it would need to employ multiple additional energy audit personnel or outsource the energy audits to third parties in order to satisfy the on-site residential energy audit requirements, creating a substantial hardship for PGS.</w:t>
      </w:r>
    </w:p>
    <w:p w:rsidR="009F71BB" w:rsidRDefault="009F71BB" w:rsidP="009F71BB">
      <w:pPr>
        <w:pStyle w:val="First-LevelSubheading"/>
      </w:pPr>
      <w:r>
        <w:t>Facts</w:t>
      </w:r>
    </w:p>
    <w:p w:rsidR="009F71BB" w:rsidRDefault="009F71BB" w:rsidP="009F71BB">
      <w:pPr>
        <w:pStyle w:val="BodyText"/>
      </w:pPr>
      <w:r>
        <w:t xml:space="preserve">Rule 25-17.003, F.A.C., specifies the minimum requirements for performing energy audits </w:t>
      </w:r>
      <w:r w:rsidRPr="00E16554">
        <w:t xml:space="preserve">by utilities subject to </w:t>
      </w:r>
      <w:r>
        <w:t xml:space="preserve">FEECA. </w:t>
      </w:r>
      <w:r w:rsidRPr="007F0284">
        <w:t>Rule 25-17.003(3</w:t>
      </w:r>
      <w:proofErr w:type="gramStart"/>
      <w:r w:rsidRPr="007F0284">
        <w:t>)(</w:t>
      </w:r>
      <w:proofErr w:type="gramEnd"/>
      <w:r w:rsidRPr="007F0284">
        <w:t>a) and (b)</w:t>
      </w:r>
      <w:r>
        <w:t>, F.A.C., require those utilities to offer BERS, Computer-Assisted, and Walk-Through Audits to eligible residential customers.</w:t>
      </w:r>
    </w:p>
    <w:p w:rsidR="009F71BB" w:rsidRPr="007F0284" w:rsidRDefault="009F71BB" w:rsidP="009F71BB">
      <w:pPr>
        <w:pStyle w:val="BodyText"/>
      </w:pPr>
      <w:r>
        <w:t xml:space="preserve">Rule 25-17.003(2)(a), </w:t>
      </w:r>
      <w:r w:rsidRPr="00232A73">
        <w:t>F.A.C.,</w:t>
      </w:r>
      <w:r>
        <w:t xml:space="preserve"> defines a BERS Audit as an energy analysis of a residence performed in compliance with Florida law pertaining to energy-efficiency ratings for buildings. Rule 25-17.003(2</w:t>
      </w:r>
      <w:proofErr w:type="gramStart"/>
      <w:r>
        <w:t>)(</w:t>
      </w:r>
      <w:proofErr w:type="gramEnd"/>
      <w:r>
        <w:t>b), F.A.C., defines a Computer-Assisted Audit as an energy analysis of a residence in which a qualified auditor performs a comprehensive on-site evaluation of the residence. Rule 25-17.003(2)(</w:t>
      </w:r>
      <w:proofErr w:type="spellStart"/>
      <w:r>
        <w:t>i</w:t>
      </w:r>
      <w:proofErr w:type="spellEnd"/>
      <w:r>
        <w:t xml:space="preserve">), F.A.C., defines a Walk-Through Audit as an energy analysis of a residence in which a qualified auditor walks through the residence making extensive observations as to the physical structure and components, performs simplified heat gain and heat </w:t>
      </w:r>
      <w:r>
        <w:lastRenderedPageBreak/>
        <w:t>loss computations, and advises the customer of feasible energy conservation practices and measures.</w:t>
      </w:r>
    </w:p>
    <w:p w:rsidR="009F71BB" w:rsidRDefault="009F71BB" w:rsidP="009F71BB">
      <w:pPr>
        <w:pStyle w:val="First-LevelSubheading"/>
      </w:pPr>
      <w:proofErr w:type="gramStart"/>
      <w:r>
        <w:t>Requirements of Section 120.542, F.S.</w:t>
      </w:r>
      <w:proofErr w:type="gramEnd"/>
    </w:p>
    <w:p w:rsidR="009F71BB" w:rsidRDefault="009F71BB" w:rsidP="009F71BB">
      <w:pPr>
        <w:pStyle w:val="BodyText"/>
      </w:pPr>
      <w:r w:rsidRPr="009D33FF">
        <w:t>Section 120.542(2), F.S., authorizes the Commission to grant variances or</w:t>
      </w:r>
      <w:r>
        <w:t xml:space="preserve"> waivers from agency rules when</w:t>
      </w:r>
      <w:r w:rsidRPr="009D33FF">
        <w:t xml:space="preserve"> the person subject to the rule </w:t>
      </w:r>
      <w:r>
        <w:t>demonstrates</w:t>
      </w:r>
      <w:r w:rsidRPr="009D33FF">
        <w:t xml:space="preserve"> that the purpose of the underlying statute will be or h</w:t>
      </w:r>
      <w:r>
        <w:t>as been achieved by other means</w:t>
      </w:r>
      <w:r w:rsidRPr="009D33FF">
        <w:t xml:space="preserve"> and application of the rule would cause the person substantial hardship. As defined by Section 120.542(2), F.S., “substantial hardship” means</w:t>
      </w:r>
      <w:r>
        <w:t xml:space="preserve"> a</w:t>
      </w:r>
      <w:r w:rsidRPr="009D33FF">
        <w:t xml:space="preserve"> demonstrated economic, technological, legal, or other</w:t>
      </w:r>
      <w:r>
        <w:t xml:space="preserve"> type of</w:t>
      </w:r>
      <w:r w:rsidRPr="009D33FF">
        <w:t xml:space="preserve"> hardship</w:t>
      </w:r>
      <w:r>
        <w:t>.</w:t>
      </w:r>
    </w:p>
    <w:p w:rsidR="009F71BB" w:rsidRDefault="009F71BB" w:rsidP="009F71BB">
      <w:pPr>
        <w:pStyle w:val="First-LevelSubheading"/>
      </w:pPr>
      <w:r>
        <w:t>Purpose of the Underlying Statutes</w:t>
      </w:r>
    </w:p>
    <w:p w:rsidR="009F71BB" w:rsidRDefault="009F71BB" w:rsidP="009F71BB">
      <w:pPr>
        <w:pStyle w:val="BodyText"/>
      </w:pPr>
      <w:r>
        <w:t>Sections 366.80-366.83 and 403.519, F.S., are known collectively as FEECA. The purpose of FEECA is to utilize the most efficient and cost-effective demand-side renewable energy sys</w:t>
      </w:r>
      <w:r w:rsidR="006A0296">
        <w:t xml:space="preserve">tems and conservation systems. </w:t>
      </w:r>
      <w:r>
        <w:t>Furthermore, FEECA requires each qualifying utility to offer, or contract to offer, energy audi</w:t>
      </w:r>
      <w:r w:rsidR="00704919">
        <w:t xml:space="preserve">ts to its residential customers, </w:t>
      </w:r>
      <w:r w:rsidR="00704919" w:rsidRPr="005D41AC">
        <w:t>but provides that this requirement need not be uniform and may be based on such factors as level of usage, geographic location, or any other reasonable criterion, so long as all eligible customers are notified.</w:t>
      </w:r>
    </w:p>
    <w:p w:rsidR="009F71BB" w:rsidRDefault="009F71BB" w:rsidP="009F71BB">
      <w:pPr>
        <w:pStyle w:val="BodyText"/>
      </w:pPr>
      <w:r>
        <w:t>In its Petition, PGS requests a waiver of the Rule’s on-site resident</w:t>
      </w:r>
      <w:r w:rsidR="0059005E">
        <w:t xml:space="preserve">ial energy audit requirements. </w:t>
      </w:r>
      <w:r>
        <w:t>Instead, PGS proposes that it can achieve the purpose of the underlying statutes by offering an electronic, online-only version of the Computer-Assisted Audit to its eligible r</w:t>
      </w:r>
      <w:r w:rsidR="0059005E">
        <w:t xml:space="preserve">esidential customers. </w:t>
      </w:r>
      <w:r w:rsidR="00704919">
        <w:t>T</w:t>
      </w:r>
      <w:r>
        <w:t>he Company</w:t>
      </w:r>
      <w:r w:rsidR="00704919">
        <w:t>, therefore,</w:t>
      </w:r>
      <w:r>
        <w:t xml:space="preserve"> </w:t>
      </w:r>
      <w:r w:rsidR="00704919">
        <w:t xml:space="preserve">contends that it </w:t>
      </w:r>
      <w:r>
        <w:t>will offer energy audits to its residential customers</w:t>
      </w:r>
      <w:r w:rsidRPr="00C85380">
        <w:t xml:space="preserve"> </w:t>
      </w:r>
      <w:r>
        <w:t>that provide the same type of feedback regarding energy usage and recommendations to improve energy efficiency, as would be provided by an on-site residential energy audit.</w:t>
      </w:r>
    </w:p>
    <w:p w:rsidR="009F71BB" w:rsidRDefault="009F71BB" w:rsidP="009F71BB">
      <w:pPr>
        <w:pStyle w:val="BodyText"/>
      </w:pPr>
      <w:r>
        <w:t xml:space="preserve">Staff believes that the Company’s proposed electronic, online-only version of the Computer-Assisted </w:t>
      </w:r>
      <w:r w:rsidRPr="005D41AC">
        <w:t xml:space="preserve">Audit </w:t>
      </w:r>
      <w:r w:rsidR="00704919" w:rsidRPr="005D41AC">
        <w:t>advances the Company’s ability</w:t>
      </w:r>
      <w:r w:rsidRPr="005D41AC">
        <w:t xml:space="preserve"> to utilize the most efficient and cost-effective renewable energy systems and conservation systems.</w:t>
      </w:r>
      <w:r w:rsidR="00704919" w:rsidRPr="005D41AC">
        <w:t xml:space="preserve"> </w:t>
      </w:r>
      <w:r w:rsidR="003C3BE6" w:rsidRPr="005D41AC">
        <w:t xml:space="preserve">Further, given that the requirement to </w:t>
      </w:r>
      <w:proofErr w:type="gramStart"/>
      <w:r w:rsidR="003C3BE6" w:rsidRPr="005D41AC">
        <w:t>offer,</w:t>
      </w:r>
      <w:proofErr w:type="gramEnd"/>
      <w:r w:rsidR="003C3BE6" w:rsidRPr="005D41AC">
        <w:t xml:space="preserve"> or contract to offer, energy audits to residential customers need not be uniform, it appears that the Company’s proposed electronic, online-only version of the Computer-Assisted Audit is a reasonable means to achieve the purpose of FEECA,</w:t>
      </w:r>
      <w:r w:rsidR="0059005E">
        <w:t xml:space="preserve"> at least on a temporary basis.</w:t>
      </w:r>
      <w:r w:rsidR="003C3BE6" w:rsidRPr="005D41AC">
        <w:t xml:space="preserve"> </w:t>
      </w:r>
      <w:r w:rsidRPr="005D41AC">
        <w:t>Therefore, staff recommends that PGS has demonstrated that the purpose of the underlying statutes w</w:t>
      </w:r>
      <w:r>
        <w:t>ill be achieved by other means.</w:t>
      </w:r>
    </w:p>
    <w:p w:rsidR="009F71BB" w:rsidRDefault="009F71BB" w:rsidP="009F71BB">
      <w:pPr>
        <w:pStyle w:val="First-LevelSubheading"/>
      </w:pPr>
      <w:r>
        <w:t>Substantial Hardship</w:t>
      </w:r>
    </w:p>
    <w:p w:rsidR="009F71BB" w:rsidRDefault="009F71BB" w:rsidP="009F71BB">
      <w:pPr>
        <w:pStyle w:val="BodyText"/>
      </w:pPr>
      <w:r>
        <w:t>As stated, pursuant to Section 120.542(2), F.S., the petition must demonstrate that application of the rule would create a substantial hardship. Further, Section 120.542(2), F.S., defines substantial hardship as demonstrated economic, technological, legal, or other type of hardship to the person requesting the waiver.</w:t>
      </w:r>
    </w:p>
    <w:p w:rsidR="009F71BB" w:rsidRDefault="009F71BB" w:rsidP="009F71BB">
      <w:pPr>
        <w:pStyle w:val="BodyText"/>
      </w:pPr>
      <w:r>
        <w:t>In the Petition, PGS asserts that strict application of the Rule would create a substantial economic hardship due to additional employment and/or travel expenses. The Company estimates that its adherence to the on-site residential energy audit requirements would lead to an average cost per audit in excess of $500.</w:t>
      </w:r>
    </w:p>
    <w:p w:rsidR="009F71BB" w:rsidRDefault="009F71BB" w:rsidP="009F71BB">
      <w:pPr>
        <w:pStyle w:val="BodyText"/>
      </w:pPr>
      <w:r>
        <w:t>Given that this is the first time that PGS has been required to comply with FEECA by developing and filing residential audit programs, staff believes that the strict application of</w:t>
      </w:r>
      <w:r w:rsidRPr="005645F0">
        <w:t xml:space="preserve"> Rule 25-</w:t>
      </w:r>
      <w:r w:rsidRPr="005645F0">
        <w:lastRenderedPageBreak/>
        <w:t>17.003(3</w:t>
      </w:r>
      <w:proofErr w:type="gramStart"/>
      <w:r w:rsidRPr="005645F0">
        <w:t>)(</w:t>
      </w:r>
      <w:proofErr w:type="gramEnd"/>
      <w:r w:rsidRPr="005645F0">
        <w:t>a) and (b), F</w:t>
      </w:r>
      <w:r>
        <w:t>.A.C., in the instant docket would create a substantial economic hardship for PGS, at least on a temporary basis, based on the Company’s anticipated additional costs.</w:t>
      </w:r>
    </w:p>
    <w:p w:rsidR="009F71BB" w:rsidRDefault="009F71BB" w:rsidP="009F71BB">
      <w:pPr>
        <w:pStyle w:val="First-LevelSubheading"/>
      </w:pPr>
      <w:r>
        <w:t>Conclusion</w:t>
      </w:r>
    </w:p>
    <w:p w:rsidR="009F71BB" w:rsidRPr="00FE2E69" w:rsidRDefault="009F71BB" w:rsidP="009F71BB">
      <w:pPr>
        <w:pStyle w:val="BodyText"/>
      </w:pPr>
      <w:r>
        <w:t>Section 120.542, F.S., requires companies to demonstrate that the purpose of the underlying statute will be or has been achieved by other means by the Compa</w:t>
      </w:r>
      <w:r w:rsidR="00425F27">
        <w:t>ny and that application of the r</w:t>
      </w:r>
      <w:r>
        <w:t xml:space="preserve">ule would create a substantial hardship. Staff recommends that the Commission find that PGS has demonstrated that the purpose of the underlying statutes will be achieved by offering an electronic, online-only version of the Computer-Assisted Audit to its eligible residential customers. Staff further recommends that PGS has demonstrated that application of </w:t>
      </w:r>
      <w:r w:rsidRPr="005645F0">
        <w:t>Rule 25-17.003(3</w:t>
      </w:r>
      <w:proofErr w:type="gramStart"/>
      <w:r w:rsidRPr="005645F0">
        <w:t>)(</w:t>
      </w:r>
      <w:proofErr w:type="gramEnd"/>
      <w:r w:rsidRPr="005645F0">
        <w:t>a) and (b), F</w:t>
      </w:r>
      <w:r>
        <w:t xml:space="preserve">.A.C., will create a substantial hardship to the Company. Therefore, staff recommends that the Commission grant the Company a temporary waiver of the on-site residential energy audit requirements of </w:t>
      </w:r>
      <w:r w:rsidRPr="005645F0">
        <w:t>Rule 25-17.003(3)(a) and (b), F</w:t>
      </w:r>
      <w:r>
        <w:t>.A.C., and allow PGS to offer an electronic, online-only version of the Computer-Assisted Audit to its eligible residential customers until the Commission’s next review of the Company’s goals, plans, and programs.</w:t>
      </w:r>
    </w:p>
    <w:p w:rsidR="00927BE2" w:rsidRDefault="00927BE2">
      <w:pPr>
        <w:pStyle w:val="BodyText"/>
      </w:pPr>
    </w:p>
    <w:p w:rsidR="00927BE2" w:rsidRDefault="00927BE2">
      <w:pPr>
        <w:rPr>
          <w:rFonts w:ascii="Arial" w:hAnsi="Arial" w:cs="Arial"/>
          <w:b/>
          <w:bCs/>
          <w:i/>
          <w:kern w:val="32"/>
          <w:szCs w:val="32"/>
        </w:rPr>
      </w:pPr>
      <w:r>
        <w:br w:type="page"/>
      </w:r>
    </w:p>
    <w:p w:rsidR="00750048" w:rsidRDefault="00750048">
      <w:pPr>
        <w:pStyle w:val="IssueHeading"/>
        <w:rPr>
          <w:vanish/>
          <w:specVanish/>
        </w:rPr>
      </w:pPr>
      <w:r w:rsidRPr="004C3641">
        <w:lastRenderedPageBreak/>
        <w:t xml:space="preserve">Issue </w:t>
      </w:r>
      <w:r w:rsidR="00FE4D92">
        <w:fldChar w:fldCharType="begin"/>
      </w:r>
      <w:r w:rsidR="00FE4D92">
        <w:instrText xml:space="preserve"> SEQ Issue \* MERGEFORMAT </w:instrText>
      </w:r>
      <w:r w:rsidR="00FE4D92">
        <w:fldChar w:fldCharType="separate"/>
      </w:r>
      <w:r w:rsidR="000160AB">
        <w:rPr>
          <w:noProof/>
        </w:rPr>
        <w:t>2</w:t>
      </w:r>
      <w:r w:rsidR="00FE4D9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160AB">
        <w:rPr>
          <w:noProof/>
        </w:rPr>
        <w:instrText>2</w:instrText>
      </w:r>
      <w:r>
        <w:fldChar w:fldCharType="end"/>
      </w:r>
      <w:r>
        <w:tab/>
        <w:instrText xml:space="preserve">" \l 1 </w:instrText>
      </w:r>
      <w:r>
        <w:fldChar w:fldCharType="end"/>
      </w:r>
      <w:r>
        <w:t> </w:t>
      </w:r>
    </w:p>
    <w:p w:rsidR="00750048" w:rsidRDefault="00750048">
      <w:pPr>
        <w:pStyle w:val="BodyText"/>
      </w:pPr>
      <w:r>
        <w:t> </w:t>
      </w:r>
      <w:r w:rsidR="00D133EE" w:rsidRPr="00D133EE">
        <w:t>Are the Company’s proposed goals based on an adequate assessment of the full technical potential of all available demand-side and supply-side conservation and efficiency measures, including demand-side renewable energy systems?</w:t>
      </w:r>
    </w:p>
    <w:p w:rsidR="00750048" w:rsidRPr="004C3641" w:rsidRDefault="00750048">
      <w:pPr>
        <w:pStyle w:val="IssueSubsectionHeading"/>
        <w:rPr>
          <w:vanish/>
          <w:specVanish/>
        </w:rPr>
      </w:pPr>
      <w:r w:rsidRPr="004C3641">
        <w:t>Recommendation: </w:t>
      </w:r>
    </w:p>
    <w:p w:rsidR="00750048" w:rsidRDefault="00750048">
      <w:pPr>
        <w:pStyle w:val="BodyText"/>
      </w:pPr>
      <w:r>
        <w:t> </w:t>
      </w:r>
      <w:r w:rsidR="004534C4">
        <w:t xml:space="preserve">Yes. </w:t>
      </w:r>
      <w:r w:rsidR="004534C4" w:rsidRPr="004340C0">
        <w:rPr>
          <w:color w:val="000000"/>
        </w:rPr>
        <w:t xml:space="preserve">PGS has analyzed the </w:t>
      </w:r>
      <w:r w:rsidR="004534C4" w:rsidRPr="004340C0">
        <w:t xml:space="preserve">maximum system-wide therm savings theoretically possible from implementation of DSM measures </w:t>
      </w:r>
      <w:r w:rsidR="004534C4" w:rsidRPr="004340C0">
        <w:rPr>
          <w:color w:val="000000"/>
        </w:rPr>
        <w:t>available in Florida.</w:t>
      </w:r>
      <w:r w:rsidR="004534C4">
        <w:rPr>
          <w:color w:val="000000"/>
        </w:rPr>
        <w:t xml:space="preserve"> As such, s</w:t>
      </w:r>
      <w:r w:rsidR="00FA65F4" w:rsidRPr="004340C0">
        <w:t>taff recommends that the</w:t>
      </w:r>
      <w:r w:rsidR="00BB4952" w:rsidRPr="004340C0">
        <w:t xml:space="preserve"> updated</w:t>
      </w:r>
      <w:r w:rsidR="00FA65F4" w:rsidRPr="004340C0">
        <w:t xml:space="preserve"> Technical Potential seen in Table </w:t>
      </w:r>
      <w:r w:rsidR="003036BC">
        <w:t>2</w:t>
      </w:r>
      <w:r w:rsidR="00FA65F4" w:rsidRPr="004340C0">
        <w:t>-1 is an adequate assessment of the full technical potential</w:t>
      </w:r>
      <w:r w:rsidR="0025245A">
        <w:t>,</w:t>
      </w:r>
      <w:r w:rsidR="00FA65F4" w:rsidRPr="004340C0">
        <w:t xml:space="preserve"> and serves as an </w:t>
      </w:r>
      <w:r w:rsidR="00BB4952" w:rsidRPr="004340C0">
        <w:t>acceptable</w:t>
      </w:r>
      <w:r w:rsidR="00FA65F4" w:rsidRPr="004340C0">
        <w:t xml:space="preserve"> basis for the Company’s annual therm savings goals.</w:t>
      </w:r>
      <w:r w:rsidR="0024487E" w:rsidRPr="004340C0">
        <w:t xml:space="preserve"> </w:t>
      </w:r>
      <w:r w:rsidR="00CE3A2C" w:rsidRPr="004340C0">
        <w:t>(Wright, Doehling</w:t>
      </w:r>
      <w:r w:rsidR="006C4350" w:rsidRPr="004340C0">
        <w:t>, Wu</w:t>
      </w:r>
      <w:r w:rsidR="00CE3A2C" w:rsidRPr="004340C0">
        <w:t>)</w:t>
      </w:r>
    </w:p>
    <w:p w:rsidR="00750048" w:rsidRPr="004C3641" w:rsidRDefault="00750048">
      <w:pPr>
        <w:pStyle w:val="IssueSubsectionHeading"/>
        <w:rPr>
          <w:vanish/>
          <w:specVanish/>
        </w:rPr>
      </w:pPr>
      <w:r w:rsidRPr="004C3641">
        <w:t>Staff Analysis: </w:t>
      </w:r>
    </w:p>
    <w:p w:rsidR="00C330DA" w:rsidRDefault="00750048" w:rsidP="00CC12DD">
      <w:pPr>
        <w:pStyle w:val="BodyText"/>
        <w:rPr>
          <w:color w:val="000000"/>
        </w:rPr>
      </w:pPr>
      <w:r>
        <w:t> </w:t>
      </w:r>
      <w:r w:rsidR="00C330DA">
        <w:t>Section 366.82(3), F.S.,</w:t>
      </w:r>
      <w:r w:rsidR="001774F9">
        <w:t xml:space="preserve"> requires the Commission, in developing conservation goals, </w:t>
      </w:r>
      <w:r w:rsidR="001774F9" w:rsidRPr="000364A0">
        <w:t xml:space="preserve">evaluate the technical potential of all available </w:t>
      </w:r>
      <w:r w:rsidR="001774F9">
        <w:t>DSM</w:t>
      </w:r>
      <w:r w:rsidR="001774F9" w:rsidRPr="000364A0">
        <w:t xml:space="preserve"> measures</w:t>
      </w:r>
      <w:r w:rsidR="001774F9">
        <w:t xml:space="preserve"> applicable to a utility’s system. To facilitate this evaluation, </w:t>
      </w:r>
      <w:r w:rsidR="00C330DA">
        <w:t>PGS has provided</w:t>
      </w:r>
      <w:r w:rsidR="00A86747">
        <w:t xml:space="preserve"> </w:t>
      </w:r>
      <w:r w:rsidR="00C330DA">
        <w:t>an analysis of the maximum system-wide therm savings theoretically possible from implementation of DSM measures, regardless of cost and other barriers that may prevent installation or adoption.</w:t>
      </w:r>
      <w:r w:rsidR="00C8447E">
        <w:t xml:space="preserve"> Staff has evaluated the </w:t>
      </w:r>
      <w:r w:rsidR="00C330DA">
        <w:t>development of this therm savings ana</w:t>
      </w:r>
      <w:r w:rsidR="00C330DA" w:rsidRPr="00880D75">
        <w:t>lysis, termed the Technical Potential,</w:t>
      </w:r>
      <w:r w:rsidR="00C8447E">
        <w:t xml:space="preserve"> by reviewing each of its </w:t>
      </w:r>
      <w:r w:rsidR="00C330DA">
        <w:rPr>
          <w:color w:val="000000"/>
        </w:rPr>
        <w:t>four p</w:t>
      </w:r>
      <w:r w:rsidR="00C330DA" w:rsidRPr="00757060">
        <w:rPr>
          <w:color w:val="000000"/>
        </w:rPr>
        <w:t xml:space="preserve">arts: (1) </w:t>
      </w:r>
      <w:r w:rsidR="00C330DA">
        <w:t>the identification of the DSM measures to be evaluated</w:t>
      </w:r>
      <w:r w:rsidR="0092012E">
        <w:rPr>
          <w:color w:val="000000"/>
        </w:rPr>
        <w:t>;</w:t>
      </w:r>
      <w:r w:rsidR="00C330DA" w:rsidRPr="00757060">
        <w:rPr>
          <w:color w:val="000000"/>
        </w:rPr>
        <w:t xml:space="preserve"> </w:t>
      </w:r>
      <w:r w:rsidR="00C330DA" w:rsidRPr="008D7329">
        <w:rPr>
          <w:color w:val="000000"/>
        </w:rPr>
        <w:t>(2) the calculat</w:t>
      </w:r>
      <w:r w:rsidR="003475BC">
        <w:rPr>
          <w:color w:val="000000"/>
        </w:rPr>
        <w:t>ion of the theoretical per-site therm</w:t>
      </w:r>
      <w:r w:rsidR="0092012E">
        <w:rPr>
          <w:color w:val="000000"/>
        </w:rPr>
        <w:t xml:space="preserve"> savings for each DSM measure;</w:t>
      </w:r>
      <w:r w:rsidR="00C330DA" w:rsidRPr="008D7329">
        <w:rPr>
          <w:color w:val="000000"/>
        </w:rPr>
        <w:t xml:space="preserve"> </w:t>
      </w:r>
      <w:r w:rsidR="00C330DA" w:rsidRPr="00327093">
        <w:rPr>
          <w:color w:val="000000"/>
        </w:rPr>
        <w:t xml:space="preserve">(3) the calculation of the system-wide </w:t>
      </w:r>
      <w:r w:rsidR="003475BC">
        <w:rPr>
          <w:color w:val="000000"/>
        </w:rPr>
        <w:t>therm</w:t>
      </w:r>
      <w:r w:rsidR="00C330DA" w:rsidRPr="00327093">
        <w:rPr>
          <w:color w:val="000000"/>
        </w:rPr>
        <w:t xml:space="preserve"> savings for each DSM </w:t>
      </w:r>
      <w:r w:rsidR="0092012E">
        <w:rPr>
          <w:color w:val="000000"/>
        </w:rPr>
        <w:t>measure;</w:t>
      </w:r>
      <w:r w:rsidR="00C330DA" w:rsidRPr="00327093">
        <w:rPr>
          <w:color w:val="000000"/>
        </w:rPr>
        <w:t xml:space="preserve"> and </w:t>
      </w:r>
      <w:r w:rsidR="00C330DA" w:rsidRPr="003546A6">
        <w:rPr>
          <w:color w:val="000000"/>
        </w:rPr>
        <w:t>(4) the determination of system-wide therm savings in consideration of measure interaction</w:t>
      </w:r>
      <w:r w:rsidR="00A55B90">
        <w:rPr>
          <w:color w:val="000000"/>
        </w:rPr>
        <w:t>s</w:t>
      </w:r>
      <w:r w:rsidR="00C330DA" w:rsidRPr="003546A6">
        <w:rPr>
          <w:color w:val="000000"/>
        </w:rPr>
        <w:t>.</w:t>
      </w:r>
    </w:p>
    <w:p w:rsidR="00AB5715" w:rsidRDefault="00AB5715" w:rsidP="00AB5715">
      <w:pPr>
        <w:pStyle w:val="First-LevelSubheading"/>
      </w:pPr>
      <w:r>
        <w:t>DSM Measure Identification</w:t>
      </w:r>
    </w:p>
    <w:p w:rsidR="00C330DA" w:rsidRDefault="00C330DA" w:rsidP="00CC12DD">
      <w:pPr>
        <w:pStyle w:val="BodyText"/>
        <w:rPr>
          <w:color w:val="000000"/>
        </w:rPr>
      </w:pPr>
      <w:r w:rsidRPr="00E622AD">
        <w:rPr>
          <w:color w:val="000000"/>
        </w:rPr>
        <w:t xml:space="preserve">PGS identified the DSM measures for inclusion in the Technical Potential by first compiling a list of technologies known to </w:t>
      </w:r>
      <w:r w:rsidR="00495C88">
        <w:rPr>
          <w:color w:val="000000"/>
        </w:rPr>
        <w:t>the C</w:t>
      </w:r>
      <w:r w:rsidR="00CC12DD">
        <w:rPr>
          <w:color w:val="000000"/>
        </w:rPr>
        <w:t xml:space="preserve">ompany </w:t>
      </w:r>
      <w:r w:rsidRPr="00E622AD">
        <w:rPr>
          <w:color w:val="000000"/>
        </w:rPr>
        <w:t>to be commercially available in Florida that, when applied in a residential, commercial, or industrial setting, yield reductions in the use of natural gas. The Company then compared this list against other utility, state, and federal technical potential studies and technical reference manuals to identify any missing measures. Those measures found to be missing were filtered by commercial availability in Florida before being added to the list of DSM measures evalua</w:t>
      </w:r>
      <w:r w:rsidR="00CC12DD">
        <w:rPr>
          <w:color w:val="000000"/>
        </w:rPr>
        <w:t xml:space="preserve">ted in </w:t>
      </w:r>
      <w:r w:rsidR="008A5E65">
        <w:rPr>
          <w:color w:val="000000"/>
        </w:rPr>
        <w:t>PGS’</w:t>
      </w:r>
      <w:r w:rsidR="00CC12DD">
        <w:rPr>
          <w:color w:val="000000"/>
        </w:rPr>
        <w:t xml:space="preserve"> Technical Potential</w:t>
      </w:r>
      <w:r w:rsidR="003475BC">
        <w:rPr>
          <w:color w:val="000000"/>
        </w:rPr>
        <w:t>.</w:t>
      </w:r>
      <w:r w:rsidR="00754957">
        <w:rPr>
          <w:color w:val="000000"/>
        </w:rPr>
        <w:t xml:space="preserve"> </w:t>
      </w:r>
      <w:r w:rsidR="003475BC">
        <w:rPr>
          <w:color w:val="000000"/>
        </w:rPr>
        <w:t>U</w:t>
      </w:r>
      <w:r w:rsidR="00754957">
        <w:rPr>
          <w:color w:val="000000"/>
        </w:rPr>
        <w:t xml:space="preserve">ltimately, 31 residential, 29 commercial, and 22 industrial measures </w:t>
      </w:r>
      <w:r w:rsidR="008D2CFF">
        <w:rPr>
          <w:color w:val="000000"/>
        </w:rPr>
        <w:t>addressing water heating, cooking, HVAC, laundry, and industrial process use</w:t>
      </w:r>
      <w:r w:rsidR="005135FF">
        <w:rPr>
          <w:color w:val="000000"/>
        </w:rPr>
        <w:t>-</w:t>
      </w:r>
      <w:r w:rsidR="008D2CFF">
        <w:rPr>
          <w:color w:val="000000"/>
        </w:rPr>
        <w:t xml:space="preserve">cases </w:t>
      </w:r>
      <w:r w:rsidR="00754957">
        <w:rPr>
          <w:color w:val="000000"/>
        </w:rPr>
        <w:t>were evaluated.</w:t>
      </w:r>
      <w:r w:rsidR="008670BC">
        <w:rPr>
          <w:rStyle w:val="FootnoteReference"/>
          <w:color w:val="000000"/>
        </w:rPr>
        <w:footnoteReference w:id="5"/>
      </w:r>
      <w:r w:rsidR="003C464E">
        <w:rPr>
          <w:color w:val="000000"/>
        </w:rPr>
        <w:t xml:space="preserve"> Staff </w:t>
      </w:r>
      <w:r w:rsidR="0048023E">
        <w:rPr>
          <w:color w:val="000000"/>
        </w:rPr>
        <w:t>recommends that</w:t>
      </w:r>
      <w:r w:rsidR="003C464E">
        <w:rPr>
          <w:color w:val="000000"/>
        </w:rPr>
        <w:t xml:space="preserve"> the methodology used to compile the list of DSM measures evaluated in </w:t>
      </w:r>
      <w:r w:rsidR="008A5E65">
        <w:rPr>
          <w:color w:val="000000"/>
        </w:rPr>
        <w:t>PGS’</w:t>
      </w:r>
      <w:r w:rsidR="003C464E">
        <w:rPr>
          <w:color w:val="000000"/>
        </w:rPr>
        <w:t xml:space="preserve"> Technical Potential is adequate.</w:t>
      </w:r>
    </w:p>
    <w:p w:rsidR="00710460" w:rsidRDefault="00710460" w:rsidP="00710460">
      <w:pPr>
        <w:pStyle w:val="First-LevelSubheading"/>
      </w:pPr>
      <w:r>
        <w:t>Per-Site DSM Measure Savings</w:t>
      </w:r>
    </w:p>
    <w:p w:rsidR="00751F8D" w:rsidRDefault="00865781" w:rsidP="00733287">
      <w:pPr>
        <w:pStyle w:val="BodyText"/>
        <w:rPr>
          <w:color w:val="000000"/>
        </w:rPr>
      </w:pPr>
      <w:r>
        <w:rPr>
          <w:color w:val="000000"/>
        </w:rPr>
        <w:t>PGS calculated</w:t>
      </w:r>
      <w:r w:rsidR="00776AAB">
        <w:rPr>
          <w:color w:val="000000"/>
        </w:rPr>
        <w:t xml:space="preserve"> </w:t>
      </w:r>
      <w:r w:rsidR="00776AAB" w:rsidRPr="00776AAB">
        <w:rPr>
          <w:color w:val="000000"/>
        </w:rPr>
        <w:t xml:space="preserve">theoretical per-site </w:t>
      </w:r>
      <w:r w:rsidR="002A6AC3">
        <w:rPr>
          <w:color w:val="000000"/>
        </w:rPr>
        <w:t xml:space="preserve">therm </w:t>
      </w:r>
      <w:r w:rsidR="00776AAB" w:rsidRPr="00776AAB">
        <w:rPr>
          <w:color w:val="000000"/>
        </w:rPr>
        <w:t>savings for each DSM measure</w:t>
      </w:r>
      <w:r w:rsidR="00776AAB">
        <w:rPr>
          <w:color w:val="000000"/>
        </w:rPr>
        <w:t xml:space="preserve">. </w:t>
      </w:r>
      <w:r w:rsidR="00816663">
        <w:rPr>
          <w:color w:val="000000"/>
        </w:rPr>
        <w:t>Similar to the methodology used by electric FEECA utilities, o</w:t>
      </w:r>
      <w:r w:rsidR="00776AAB">
        <w:rPr>
          <w:color w:val="000000"/>
        </w:rPr>
        <w:t xml:space="preserve">nly the savings from new, replaced, or retrofitted measures that surpassed those savings based on </w:t>
      </w:r>
      <w:r w:rsidR="00776AAB" w:rsidRPr="00CE2E36">
        <w:rPr>
          <w:color w:val="000000"/>
        </w:rPr>
        <w:t xml:space="preserve">minimum </w:t>
      </w:r>
      <w:r w:rsidR="00776AAB">
        <w:rPr>
          <w:color w:val="000000"/>
        </w:rPr>
        <w:t>appliance energy efficiencies</w:t>
      </w:r>
      <w:r w:rsidR="00776AAB" w:rsidRPr="00CE2E36">
        <w:rPr>
          <w:color w:val="000000"/>
        </w:rPr>
        <w:t xml:space="preserve"> in the Florida Building Code or the associated Federal Appliance Efficiency Standard</w:t>
      </w:r>
      <w:r w:rsidR="00776AAB">
        <w:rPr>
          <w:color w:val="000000"/>
        </w:rPr>
        <w:t>s</w:t>
      </w:r>
      <w:r w:rsidR="00776AAB" w:rsidRPr="00CE2E36">
        <w:rPr>
          <w:color w:val="000000"/>
        </w:rPr>
        <w:t>, wh</w:t>
      </w:r>
      <w:r w:rsidR="00777EF6">
        <w:rPr>
          <w:color w:val="000000"/>
        </w:rPr>
        <w:t>ichever</w:t>
      </w:r>
      <w:r w:rsidR="00776AAB" w:rsidRPr="00CE2E36">
        <w:rPr>
          <w:color w:val="000000"/>
        </w:rPr>
        <w:t xml:space="preserve"> greater</w:t>
      </w:r>
      <w:r w:rsidR="00776AAB">
        <w:rPr>
          <w:color w:val="000000"/>
        </w:rPr>
        <w:t xml:space="preserve">, were counted. Energy consumption parameters used in </w:t>
      </w:r>
      <w:r>
        <w:rPr>
          <w:color w:val="000000"/>
        </w:rPr>
        <w:t>sa</w:t>
      </w:r>
      <w:r w:rsidR="00776AAB">
        <w:rPr>
          <w:color w:val="000000"/>
        </w:rPr>
        <w:t xml:space="preserve">vings calculations were derived from a combination of state and national industry sources, </w:t>
      </w:r>
      <w:r w:rsidR="00776AAB" w:rsidRPr="00733287">
        <w:rPr>
          <w:color w:val="000000"/>
        </w:rPr>
        <w:t xml:space="preserve">current building code and appliance standards, and a review of </w:t>
      </w:r>
      <w:r w:rsidR="00776AAB">
        <w:rPr>
          <w:color w:val="000000"/>
        </w:rPr>
        <w:t xml:space="preserve">historical DSM program activity. </w:t>
      </w:r>
      <w:r w:rsidR="00855DE6">
        <w:rPr>
          <w:color w:val="000000"/>
        </w:rPr>
        <w:t xml:space="preserve">In response to staff-issued data requests, the Company provided updated </w:t>
      </w:r>
      <w:r>
        <w:rPr>
          <w:color w:val="000000"/>
        </w:rPr>
        <w:t>theoretical</w:t>
      </w:r>
      <w:r w:rsidR="00855DE6">
        <w:rPr>
          <w:color w:val="000000"/>
        </w:rPr>
        <w:t xml:space="preserve"> per-site </w:t>
      </w:r>
      <w:r w:rsidR="002A6AC3">
        <w:rPr>
          <w:color w:val="000000"/>
        </w:rPr>
        <w:t xml:space="preserve">therm </w:t>
      </w:r>
      <w:r w:rsidR="003475BC">
        <w:rPr>
          <w:color w:val="000000"/>
        </w:rPr>
        <w:lastRenderedPageBreak/>
        <w:t>savings</w:t>
      </w:r>
      <w:r w:rsidR="00855DE6">
        <w:rPr>
          <w:color w:val="000000"/>
        </w:rPr>
        <w:t>.</w:t>
      </w:r>
      <w:r w:rsidRPr="00865781">
        <w:rPr>
          <w:color w:val="000000"/>
        </w:rPr>
        <w:t xml:space="preserve"> </w:t>
      </w:r>
      <w:r>
        <w:rPr>
          <w:color w:val="000000"/>
        </w:rPr>
        <w:t xml:space="preserve">Staff </w:t>
      </w:r>
      <w:r w:rsidR="00486F30">
        <w:rPr>
          <w:color w:val="000000"/>
        </w:rPr>
        <w:t xml:space="preserve">recommends </w:t>
      </w:r>
      <w:r>
        <w:rPr>
          <w:color w:val="000000"/>
        </w:rPr>
        <w:t xml:space="preserve">that the methodology used by PGS in the updated calculations adequately assesses the </w:t>
      </w:r>
      <w:r w:rsidR="00686329" w:rsidRPr="00776AAB">
        <w:rPr>
          <w:color w:val="000000"/>
        </w:rPr>
        <w:t xml:space="preserve">theoretical per-site </w:t>
      </w:r>
      <w:r w:rsidR="003475BC">
        <w:rPr>
          <w:color w:val="000000"/>
        </w:rPr>
        <w:t>therm</w:t>
      </w:r>
      <w:r w:rsidR="00686329" w:rsidRPr="00776AAB">
        <w:rPr>
          <w:color w:val="000000"/>
        </w:rPr>
        <w:t xml:space="preserve"> savings</w:t>
      </w:r>
      <w:r w:rsidR="00133ECD">
        <w:rPr>
          <w:color w:val="000000"/>
        </w:rPr>
        <w:t xml:space="preserve"> of </w:t>
      </w:r>
      <w:r>
        <w:rPr>
          <w:color w:val="000000"/>
        </w:rPr>
        <w:t xml:space="preserve">the DSM measures </w:t>
      </w:r>
      <w:r w:rsidR="00686329">
        <w:rPr>
          <w:color w:val="000000"/>
        </w:rPr>
        <w:t>evaluated</w:t>
      </w:r>
      <w:r>
        <w:rPr>
          <w:color w:val="000000"/>
        </w:rPr>
        <w:t>.</w:t>
      </w:r>
    </w:p>
    <w:p w:rsidR="003D5ACB" w:rsidRDefault="0052498E" w:rsidP="003D5ACB">
      <w:pPr>
        <w:pStyle w:val="First-LevelSubheading"/>
      </w:pPr>
      <w:r>
        <w:t>System-wide DSM Measure Savings</w:t>
      </w:r>
    </w:p>
    <w:p w:rsidR="00AD19FD" w:rsidRDefault="008D7329" w:rsidP="000E4510">
      <w:pPr>
        <w:pStyle w:val="BodyText"/>
        <w:rPr>
          <w:color w:val="000000"/>
        </w:rPr>
      </w:pPr>
      <w:r w:rsidRPr="003330F4">
        <w:rPr>
          <w:color w:val="000000"/>
        </w:rPr>
        <w:t xml:space="preserve">PGS calculated system-wide theoretical </w:t>
      </w:r>
      <w:r w:rsidR="002A6AC3">
        <w:rPr>
          <w:color w:val="000000"/>
        </w:rPr>
        <w:t xml:space="preserve">therm </w:t>
      </w:r>
      <w:r w:rsidRPr="003330F4">
        <w:rPr>
          <w:color w:val="000000"/>
        </w:rPr>
        <w:t xml:space="preserve">savings on a per-measure basis by applying the per-site </w:t>
      </w:r>
      <w:r w:rsidR="002A6AC3">
        <w:rPr>
          <w:color w:val="000000"/>
        </w:rPr>
        <w:t>therm s</w:t>
      </w:r>
      <w:r w:rsidRPr="003330F4">
        <w:rPr>
          <w:color w:val="000000"/>
        </w:rPr>
        <w:t>avings</w:t>
      </w:r>
      <w:r w:rsidR="00F85E77">
        <w:rPr>
          <w:color w:val="000000"/>
        </w:rPr>
        <w:t xml:space="preserve"> (which were</w:t>
      </w:r>
      <w:r w:rsidRPr="003330F4">
        <w:rPr>
          <w:color w:val="000000"/>
        </w:rPr>
        <w:t xml:space="preserve"> previously calculated</w:t>
      </w:r>
      <w:r w:rsidR="00F85E77">
        <w:rPr>
          <w:color w:val="000000"/>
        </w:rPr>
        <w:t>)</w:t>
      </w:r>
      <w:r w:rsidRPr="003330F4">
        <w:rPr>
          <w:color w:val="000000"/>
        </w:rPr>
        <w:t xml:space="preserve"> to </w:t>
      </w:r>
      <w:r w:rsidR="00611B7E" w:rsidRPr="003330F4">
        <w:rPr>
          <w:color w:val="000000"/>
        </w:rPr>
        <w:t>modified count</w:t>
      </w:r>
      <w:r w:rsidR="004D1350" w:rsidRPr="003330F4">
        <w:rPr>
          <w:color w:val="000000"/>
        </w:rPr>
        <w:t>s</w:t>
      </w:r>
      <w:r w:rsidR="00611B7E" w:rsidRPr="003330F4">
        <w:rPr>
          <w:color w:val="000000"/>
        </w:rPr>
        <w:t xml:space="preserve"> of its sector-specific</w:t>
      </w:r>
      <w:r w:rsidRPr="003330F4">
        <w:rPr>
          <w:color w:val="000000"/>
        </w:rPr>
        <w:t xml:space="preserve"> customer population</w:t>
      </w:r>
      <w:r w:rsidR="00611B7E" w:rsidRPr="003330F4">
        <w:rPr>
          <w:color w:val="000000"/>
        </w:rPr>
        <w:t>s</w:t>
      </w:r>
      <w:r w:rsidR="00AE6B64">
        <w:rPr>
          <w:color w:val="000000"/>
        </w:rPr>
        <w:t xml:space="preserve"> (</w:t>
      </w:r>
      <w:r w:rsidR="00B15997" w:rsidRPr="003330F4">
        <w:rPr>
          <w:color w:val="000000"/>
        </w:rPr>
        <w:t>applicable population</w:t>
      </w:r>
      <w:r w:rsidR="005F46CB" w:rsidRPr="003330F4">
        <w:rPr>
          <w:color w:val="000000"/>
        </w:rPr>
        <w:t>s</w:t>
      </w:r>
      <w:r w:rsidR="00AE6B64">
        <w:rPr>
          <w:color w:val="000000"/>
        </w:rPr>
        <w:t>)</w:t>
      </w:r>
      <w:r w:rsidRPr="003330F4">
        <w:rPr>
          <w:color w:val="000000"/>
        </w:rPr>
        <w:t>.</w:t>
      </w:r>
      <w:r w:rsidR="00611B7E">
        <w:rPr>
          <w:color w:val="000000"/>
        </w:rPr>
        <w:t xml:space="preserve"> The Company utilized the 2019</w:t>
      </w:r>
      <w:r w:rsidR="00F37134">
        <w:rPr>
          <w:color w:val="000000"/>
        </w:rPr>
        <w:t xml:space="preserve"> </w:t>
      </w:r>
      <w:r w:rsidR="00C856E4">
        <w:rPr>
          <w:color w:val="000000"/>
        </w:rPr>
        <w:t xml:space="preserve">residential and small-commercial </w:t>
      </w:r>
      <w:r w:rsidR="00F37134">
        <w:rPr>
          <w:color w:val="000000"/>
        </w:rPr>
        <w:t>population</w:t>
      </w:r>
      <w:r w:rsidR="00B15997">
        <w:rPr>
          <w:color w:val="000000"/>
        </w:rPr>
        <w:t xml:space="preserve"> projections</w:t>
      </w:r>
      <w:r w:rsidR="00F37134">
        <w:rPr>
          <w:color w:val="000000"/>
        </w:rPr>
        <w:t>,</w:t>
      </w:r>
      <w:r w:rsidR="00B15997">
        <w:rPr>
          <w:color w:val="000000"/>
        </w:rPr>
        <w:t xml:space="preserve"> discussed in Issue </w:t>
      </w:r>
      <w:r w:rsidR="003036BC">
        <w:rPr>
          <w:color w:val="000000"/>
        </w:rPr>
        <w:t>3</w:t>
      </w:r>
      <w:r w:rsidR="00F37134">
        <w:rPr>
          <w:color w:val="000000"/>
        </w:rPr>
        <w:t>,</w:t>
      </w:r>
      <w:r w:rsidR="00B15997">
        <w:rPr>
          <w:color w:val="000000"/>
        </w:rPr>
        <w:t xml:space="preserve"> as t</w:t>
      </w:r>
      <w:r w:rsidR="00F37134">
        <w:rPr>
          <w:color w:val="000000"/>
        </w:rPr>
        <w:t xml:space="preserve">he basis for </w:t>
      </w:r>
      <w:r w:rsidR="0048526E">
        <w:rPr>
          <w:color w:val="000000"/>
        </w:rPr>
        <w:t xml:space="preserve">both </w:t>
      </w:r>
      <w:r w:rsidR="00C856E4">
        <w:rPr>
          <w:color w:val="000000"/>
        </w:rPr>
        <w:t>sector</w:t>
      </w:r>
      <w:r w:rsidR="004D1350">
        <w:rPr>
          <w:color w:val="000000"/>
        </w:rPr>
        <w:t>s</w:t>
      </w:r>
      <w:r w:rsidR="0048526E">
        <w:rPr>
          <w:color w:val="000000"/>
        </w:rPr>
        <w:t>’</w:t>
      </w:r>
      <w:r w:rsidR="00F37134">
        <w:rPr>
          <w:color w:val="000000"/>
        </w:rPr>
        <w:t xml:space="preserve"> applicable population.</w:t>
      </w:r>
      <w:r w:rsidR="00C856E4">
        <w:rPr>
          <w:color w:val="000000"/>
        </w:rPr>
        <w:t xml:space="preserve"> The basis of the applicable population for industrial DSM measures, however, was </w:t>
      </w:r>
      <w:r w:rsidR="00E95D22">
        <w:rPr>
          <w:color w:val="000000"/>
        </w:rPr>
        <w:t xml:space="preserve">a simple count of </w:t>
      </w:r>
      <w:r w:rsidR="008A5E65">
        <w:rPr>
          <w:color w:val="000000"/>
        </w:rPr>
        <w:t>PGS’</w:t>
      </w:r>
      <w:r w:rsidR="00E95D22">
        <w:rPr>
          <w:color w:val="000000"/>
        </w:rPr>
        <w:t xml:space="preserve"> 62 industrial and large commercial customers.</w:t>
      </w:r>
      <w:r w:rsidR="00E95D22" w:rsidRPr="000E4510">
        <w:rPr>
          <w:color w:val="000000"/>
        </w:rPr>
        <w:t xml:space="preserve"> </w:t>
      </w:r>
      <w:r w:rsidR="00C856E4">
        <w:rPr>
          <w:color w:val="000000"/>
        </w:rPr>
        <w:t>PGS then modified the baseline</w:t>
      </w:r>
      <w:r w:rsidR="00A772A3">
        <w:rPr>
          <w:color w:val="000000"/>
        </w:rPr>
        <w:t xml:space="preserve"> applicable populations for each DSM measure </w:t>
      </w:r>
      <w:r w:rsidR="00C856E4">
        <w:rPr>
          <w:color w:val="000000"/>
        </w:rPr>
        <w:t>to account for existing measure prevalence</w:t>
      </w:r>
      <w:r w:rsidR="0001719E">
        <w:rPr>
          <w:color w:val="000000"/>
        </w:rPr>
        <w:t xml:space="preserve"> and </w:t>
      </w:r>
      <w:r w:rsidR="00272B5F">
        <w:rPr>
          <w:color w:val="000000"/>
        </w:rPr>
        <w:t>in</w:t>
      </w:r>
      <w:r w:rsidR="0001719E">
        <w:rPr>
          <w:color w:val="000000"/>
        </w:rPr>
        <w:t>compatibility with a customer’s premises, as indicated by the Company’s recent residential equipment market survey</w:t>
      </w:r>
      <w:r w:rsidR="008E71E6">
        <w:rPr>
          <w:color w:val="000000"/>
        </w:rPr>
        <w:t xml:space="preserve"> and </w:t>
      </w:r>
      <w:r w:rsidR="00E95D22">
        <w:rPr>
          <w:color w:val="000000"/>
        </w:rPr>
        <w:t xml:space="preserve">a review of the </w:t>
      </w:r>
      <w:r w:rsidR="00487244">
        <w:rPr>
          <w:color w:val="000000"/>
        </w:rPr>
        <w:t xml:space="preserve">characteristics </w:t>
      </w:r>
      <w:r w:rsidR="00E95D22">
        <w:rPr>
          <w:color w:val="000000"/>
        </w:rPr>
        <w:t>of its commercial and industrial customer populations</w:t>
      </w:r>
      <w:r w:rsidR="0001719E">
        <w:rPr>
          <w:color w:val="000000"/>
        </w:rPr>
        <w:t>.</w:t>
      </w:r>
      <w:r w:rsidR="00190AC2">
        <w:rPr>
          <w:color w:val="000000"/>
        </w:rPr>
        <w:t xml:space="preserve"> Staff </w:t>
      </w:r>
      <w:r w:rsidR="009B2E2D">
        <w:rPr>
          <w:color w:val="000000"/>
        </w:rPr>
        <w:t xml:space="preserve">recommends </w:t>
      </w:r>
      <w:r w:rsidR="00190AC2">
        <w:rPr>
          <w:color w:val="000000"/>
        </w:rPr>
        <w:t>that the methodology used by PGS to calculate system-wide theoretical therm savings on a per-measure basis is adequate.</w:t>
      </w:r>
    </w:p>
    <w:p w:rsidR="003330F4" w:rsidRDefault="00A55B90" w:rsidP="003330F4">
      <w:pPr>
        <w:pStyle w:val="First-LevelSubheading"/>
      </w:pPr>
      <w:r>
        <w:t xml:space="preserve">Consideration of </w:t>
      </w:r>
      <w:r w:rsidR="003330F4">
        <w:t>Measure Interaction</w:t>
      </w:r>
      <w:r>
        <w:t>s</w:t>
      </w:r>
    </w:p>
    <w:p w:rsidR="00327093" w:rsidRDefault="00E36F90" w:rsidP="00E7455E">
      <w:pPr>
        <w:pStyle w:val="BodyText"/>
        <w:spacing w:after="0"/>
        <w:rPr>
          <w:color w:val="000000"/>
        </w:rPr>
      </w:pPr>
      <w:r>
        <w:rPr>
          <w:color w:val="000000"/>
        </w:rPr>
        <w:t>To arrive at its final determination of the Technical Potential, PGS</w:t>
      </w:r>
      <w:r w:rsidR="00803A45">
        <w:rPr>
          <w:color w:val="000000"/>
        </w:rPr>
        <w:t xml:space="preserve"> took into account measure interactions, overlapping effects, and potential rebound effects when combining</w:t>
      </w:r>
      <w:r>
        <w:rPr>
          <w:color w:val="000000"/>
        </w:rPr>
        <w:t xml:space="preserve"> the system-wide </w:t>
      </w:r>
      <w:r w:rsidR="002A6AC3">
        <w:rPr>
          <w:color w:val="000000"/>
        </w:rPr>
        <w:t xml:space="preserve">therm </w:t>
      </w:r>
      <w:r>
        <w:rPr>
          <w:color w:val="000000"/>
        </w:rPr>
        <w:t xml:space="preserve">savings of </w:t>
      </w:r>
      <w:r w:rsidR="00803A45">
        <w:rPr>
          <w:color w:val="000000"/>
        </w:rPr>
        <w:t xml:space="preserve">all </w:t>
      </w:r>
      <w:r w:rsidR="009619C0">
        <w:rPr>
          <w:color w:val="000000"/>
        </w:rPr>
        <w:t xml:space="preserve">evaluated </w:t>
      </w:r>
      <w:r>
        <w:rPr>
          <w:color w:val="000000"/>
        </w:rPr>
        <w:t>DSM</w:t>
      </w:r>
      <w:r w:rsidR="00803A45">
        <w:rPr>
          <w:color w:val="000000"/>
        </w:rPr>
        <w:t xml:space="preserve"> measures.</w:t>
      </w:r>
      <w:r w:rsidR="002D43ED">
        <w:rPr>
          <w:color w:val="000000"/>
        </w:rPr>
        <w:t xml:space="preserve"> The Company approached adjustments for measure interactions by </w:t>
      </w:r>
      <w:r w:rsidR="001C3CC9">
        <w:rPr>
          <w:color w:val="000000"/>
        </w:rPr>
        <w:t>selecting</w:t>
      </w:r>
      <w:r w:rsidR="002D43ED">
        <w:rPr>
          <w:color w:val="000000"/>
        </w:rPr>
        <w:t xml:space="preserve"> DSM measure input assumptions</w:t>
      </w:r>
      <w:r w:rsidR="009F77C1">
        <w:rPr>
          <w:color w:val="000000"/>
        </w:rPr>
        <w:t xml:space="preserve"> that would maximize the Technical Potential. Similarly, PGS addressed overlapping effects by </w:t>
      </w:r>
      <w:r w:rsidR="001C3CC9">
        <w:rPr>
          <w:color w:val="000000"/>
        </w:rPr>
        <w:t>including</w:t>
      </w:r>
      <w:r w:rsidR="009F77C1">
        <w:rPr>
          <w:color w:val="000000"/>
        </w:rPr>
        <w:t xml:space="preserve"> in the final sum</w:t>
      </w:r>
      <w:r w:rsidR="0050595E">
        <w:rPr>
          <w:color w:val="000000"/>
        </w:rPr>
        <w:t xml:space="preserve"> only those DSM measures</w:t>
      </w:r>
      <w:r w:rsidR="009F77C1">
        <w:rPr>
          <w:color w:val="000000"/>
        </w:rPr>
        <w:t xml:space="preserve"> </w:t>
      </w:r>
      <w:r w:rsidR="001C3CC9">
        <w:rPr>
          <w:color w:val="000000"/>
        </w:rPr>
        <w:t xml:space="preserve">that resulted in the maximum </w:t>
      </w:r>
      <w:r w:rsidR="002D43ED">
        <w:rPr>
          <w:color w:val="000000"/>
        </w:rPr>
        <w:t>Technical Potential.</w:t>
      </w:r>
      <w:r w:rsidR="009F77C1">
        <w:rPr>
          <w:color w:val="000000"/>
        </w:rPr>
        <w:t xml:space="preserve"> </w:t>
      </w:r>
      <w:r w:rsidR="0050595E">
        <w:rPr>
          <w:color w:val="000000"/>
        </w:rPr>
        <w:t>PGS examined the potential for rebound effects in its development of the Technical Potential</w:t>
      </w:r>
      <w:r w:rsidR="00DE32FD">
        <w:rPr>
          <w:color w:val="000000"/>
        </w:rPr>
        <w:t>,</w:t>
      </w:r>
      <w:r w:rsidR="0050595E">
        <w:rPr>
          <w:color w:val="000000"/>
        </w:rPr>
        <w:t xml:space="preserve"> but did not find any supporting evidence.</w:t>
      </w:r>
      <w:r w:rsidR="00A55B90">
        <w:rPr>
          <w:color w:val="000000"/>
        </w:rPr>
        <w:t xml:space="preserve"> Staff </w:t>
      </w:r>
      <w:r w:rsidR="007200B8">
        <w:rPr>
          <w:color w:val="000000"/>
        </w:rPr>
        <w:t xml:space="preserve">recommends </w:t>
      </w:r>
      <w:r w:rsidR="00A55B90">
        <w:rPr>
          <w:color w:val="000000"/>
        </w:rPr>
        <w:t xml:space="preserve">that PGS took adequate consideration of measure interaction, overlapping effects, and potential rebound effects in its final determination of the Technical Potential. </w:t>
      </w:r>
      <w:r w:rsidR="0050165D">
        <w:rPr>
          <w:color w:val="000000"/>
        </w:rPr>
        <w:t xml:space="preserve">Using the updated </w:t>
      </w:r>
      <w:r w:rsidR="002A6AC3">
        <w:rPr>
          <w:color w:val="000000"/>
        </w:rPr>
        <w:t xml:space="preserve">therm </w:t>
      </w:r>
      <w:r w:rsidR="0050165D">
        <w:rPr>
          <w:color w:val="000000"/>
        </w:rPr>
        <w:t>savings calculations, PGS developed the Technical P</w:t>
      </w:r>
      <w:r w:rsidR="00BC7946">
        <w:rPr>
          <w:color w:val="000000"/>
        </w:rPr>
        <w:t xml:space="preserve">otential seen in Table </w:t>
      </w:r>
      <w:r w:rsidR="003036BC">
        <w:rPr>
          <w:color w:val="000000"/>
        </w:rPr>
        <w:t>2</w:t>
      </w:r>
      <w:r w:rsidR="00BC7946">
        <w:rPr>
          <w:color w:val="000000"/>
        </w:rPr>
        <w:t>-1</w:t>
      </w:r>
      <w:r w:rsidR="0050165D">
        <w:rPr>
          <w:color w:val="000000"/>
        </w:rPr>
        <w:t>.</w:t>
      </w:r>
    </w:p>
    <w:p w:rsidR="00D568D9" w:rsidRDefault="00D568D9" w:rsidP="00E7455E">
      <w:pPr>
        <w:pStyle w:val="BodyText"/>
        <w:spacing w:after="0"/>
        <w:rPr>
          <w:color w:val="000000"/>
        </w:rPr>
      </w:pPr>
    </w:p>
    <w:p w:rsidR="0050165D" w:rsidRDefault="0050165D" w:rsidP="00E7455E">
      <w:pPr>
        <w:pStyle w:val="TableNumber"/>
        <w:keepNext/>
        <w:spacing w:before="0"/>
      </w:pPr>
      <w:r>
        <w:t xml:space="preserve">Table </w:t>
      </w:r>
      <w:r w:rsidR="00FE4D92">
        <w:fldChar w:fldCharType="begin"/>
      </w:r>
      <w:r w:rsidR="00FE4D92">
        <w:instrText xml:space="preserve"> SEQ Issue \c </w:instrText>
      </w:r>
      <w:r w:rsidR="00FE4D92">
        <w:fldChar w:fldCharType="separate"/>
      </w:r>
      <w:r w:rsidR="000160AB">
        <w:rPr>
          <w:noProof/>
        </w:rPr>
        <w:t>2</w:t>
      </w:r>
      <w:r w:rsidR="00FE4D92">
        <w:rPr>
          <w:noProof/>
        </w:rPr>
        <w:fldChar w:fldCharType="end"/>
      </w:r>
      <w:r>
        <w:t>-1</w:t>
      </w:r>
    </w:p>
    <w:p w:rsidR="0050165D" w:rsidRDefault="0050165D" w:rsidP="0050165D">
      <w:pPr>
        <w:pStyle w:val="TableTitle"/>
        <w:keepNext/>
      </w:pPr>
      <w:r>
        <w:t>2019 Technical Potential</w:t>
      </w:r>
    </w:p>
    <w:tbl>
      <w:tblPr>
        <w:tblStyle w:val="TableGrid"/>
        <w:tblW w:w="3409" w:type="pct"/>
        <w:jc w:val="center"/>
        <w:tblLook w:val="04A0" w:firstRow="1" w:lastRow="0" w:firstColumn="1" w:lastColumn="0" w:noHBand="0" w:noVBand="1"/>
      </w:tblPr>
      <w:tblGrid>
        <w:gridCol w:w="3355"/>
        <w:gridCol w:w="3174"/>
      </w:tblGrid>
      <w:tr w:rsidR="00B469B2" w:rsidTr="00B469B2">
        <w:trPr>
          <w:jc w:val="center"/>
        </w:trPr>
        <w:tc>
          <w:tcPr>
            <w:tcW w:w="2569" w:type="pct"/>
            <w:vAlign w:val="center"/>
          </w:tcPr>
          <w:p w:rsidR="0050165D" w:rsidRDefault="0050165D" w:rsidP="0050165D">
            <w:pPr>
              <w:jc w:val="center"/>
            </w:pPr>
            <w:r>
              <w:t>Sector</w:t>
            </w:r>
          </w:p>
        </w:tc>
        <w:tc>
          <w:tcPr>
            <w:tcW w:w="2431" w:type="pct"/>
            <w:vAlign w:val="center"/>
          </w:tcPr>
          <w:p w:rsidR="0050165D" w:rsidRDefault="0050165D" w:rsidP="0050165D">
            <w:pPr>
              <w:jc w:val="center"/>
            </w:pPr>
            <w:r>
              <w:t>Therm Savings</w:t>
            </w:r>
          </w:p>
        </w:tc>
      </w:tr>
      <w:tr w:rsidR="00B469B2" w:rsidTr="00B469B2">
        <w:trPr>
          <w:jc w:val="center"/>
        </w:trPr>
        <w:tc>
          <w:tcPr>
            <w:tcW w:w="2569" w:type="pct"/>
            <w:vAlign w:val="center"/>
          </w:tcPr>
          <w:p w:rsidR="0050165D" w:rsidRPr="00AB38DA" w:rsidRDefault="0050165D" w:rsidP="00925223">
            <w:r>
              <w:t>Residential</w:t>
            </w:r>
          </w:p>
        </w:tc>
        <w:tc>
          <w:tcPr>
            <w:tcW w:w="2431" w:type="pct"/>
            <w:vAlign w:val="center"/>
          </w:tcPr>
          <w:p w:rsidR="0050165D" w:rsidRPr="00AB38DA" w:rsidRDefault="0050165D" w:rsidP="0050165D">
            <w:pPr>
              <w:jc w:val="right"/>
              <w:rPr>
                <w:color w:val="000000"/>
              </w:rPr>
            </w:pPr>
            <w:r>
              <w:rPr>
                <w:color w:val="000000"/>
              </w:rPr>
              <w:t>60,134,211</w:t>
            </w:r>
          </w:p>
        </w:tc>
      </w:tr>
      <w:tr w:rsidR="00B469B2" w:rsidTr="00B469B2">
        <w:trPr>
          <w:jc w:val="center"/>
        </w:trPr>
        <w:tc>
          <w:tcPr>
            <w:tcW w:w="2569" w:type="pct"/>
            <w:vAlign w:val="center"/>
          </w:tcPr>
          <w:p w:rsidR="0050165D" w:rsidRPr="00AB38DA" w:rsidRDefault="0050165D" w:rsidP="00925223">
            <w:r>
              <w:t>Commercial</w:t>
            </w:r>
          </w:p>
        </w:tc>
        <w:tc>
          <w:tcPr>
            <w:tcW w:w="2431" w:type="pct"/>
            <w:vAlign w:val="center"/>
          </w:tcPr>
          <w:p w:rsidR="0050165D" w:rsidRPr="00AB38DA" w:rsidRDefault="0050165D" w:rsidP="0050165D">
            <w:pPr>
              <w:jc w:val="right"/>
              <w:rPr>
                <w:color w:val="000000"/>
              </w:rPr>
            </w:pPr>
            <w:r>
              <w:rPr>
                <w:color w:val="000000"/>
              </w:rPr>
              <w:t>150,064,380</w:t>
            </w:r>
          </w:p>
        </w:tc>
      </w:tr>
      <w:tr w:rsidR="00B469B2" w:rsidTr="00B469B2">
        <w:trPr>
          <w:jc w:val="center"/>
        </w:trPr>
        <w:tc>
          <w:tcPr>
            <w:tcW w:w="2569" w:type="pct"/>
            <w:vAlign w:val="center"/>
          </w:tcPr>
          <w:p w:rsidR="0050165D" w:rsidRPr="00AB38DA" w:rsidRDefault="0050165D" w:rsidP="00925223">
            <w:r>
              <w:t>Industrial</w:t>
            </w:r>
          </w:p>
        </w:tc>
        <w:tc>
          <w:tcPr>
            <w:tcW w:w="2431" w:type="pct"/>
            <w:vAlign w:val="center"/>
          </w:tcPr>
          <w:p w:rsidR="0050165D" w:rsidRPr="00AB38DA" w:rsidRDefault="0050165D" w:rsidP="0050165D">
            <w:pPr>
              <w:jc w:val="right"/>
              <w:rPr>
                <w:color w:val="000000"/>
              </w:rPr>
            </w:pPr>
            <w:r>
              <w:rPr>
                <w:color w:val="000000"/>
              </w:rPr>
              <w:t>246,275,380</w:t>
            </w:r>
          </w:p>
        </w:tc>
      </w:tr>
      <w:tr w:rsidR="00B469B2" w:rsidTr="00B469B2">
        <w:trPr>
          <w:jc w:val="center"/>
        </w:trPr>
        <w:tc>
          <w:tcPr>
            <w:tcW w:w="2569" w:type="pct"/>
            <w:vAlign w:val="center"/>
          </w:tcPr>
          <w:p w:rsidR="0050165D" w:rsidRPr="00AB38DA" w:rsidRDefault="0050165D" w:rsidP="0050165D">
            <w:r>
              <w:t>Total</w:t>
            </w:r>
          </w:p>
        </w:tc>
        <w:tc>
          <w:tcPr>
            <w:tcW w:w="2431" w:type="pct"/>
            <w:vAlign w:val="center"/>
          </w:tcPr>
          <w:p w:rsidR="0050165D" w:rsidRPr="00AB38DA" w:rsidRDefault="0050165D" w:rsidP="0050165D">
            <w:pPr>
              <w:jc w:val="right"/>
              <w:rPr>
                <w:color w:val="000000"/>
              </w:rPr>
            </w:pPr>
            <w:r>
              <w:rPr>
                <w:color w:val="000000"/>
              </w:rPr>
              <w:t>456,473,972</w:t>
            </w:r>
          </w:p>
        </w:tc>
      </w:tr>
    </w:tbl>
    <w:p w:rsidR="0050165D" w:rsidRPr="007B7C56" w:rsidRDefault="0050165D" w:rsidP="00B469B2">
      <w:pPr>
        <w:pStyle w:val="TableSource"/>
        <w:spacing w:after="240"/>
        <w:ind w:left="1440"/>
        <w:rPr>
          <w:sz w:val="20"/>
          <w:szCs w:val="20"/>
        </w:rPr>
      </w:pPr>
      <w:r w:rsidRPr="00B93757">
        <w:rPr>
          <w:sz w:val="20"/>
          <w:szCs w:val="20"/>
        </w:rPr>
        <w:t xml:space="preserve">Source: </w:t>
      </w:r>
      <w:r w:rsidR="00B469B2" w:rsidRPr="00B93757">
        <w:rPr>
          <w:sz w:val="20"/>
          <w:szCs w:val="20"/>
        </w:rPr>
        <w:t xml:space="preserve">Document No. </w:t>
      </w:r>
      <w:r w:rsidR="00B93757" w:rsidRPr="00B93757">
        <w:rPr>
          <w:sz w:val="20"/>
          <w:szCs w:val="20"/>
        </w:rPr>
        <w:t>03158-2019</w:t>
      </w:r>
    </w:p>
    <w:p w:rsidR="00E8225B" w:rsidRDefault="00E8225B" w:rsidP="00E8225B">
      <w:pPr>
        <w:pStyle w:val="First-LevelSubheading"/>
      </w:pPr>
      <w:r>
        <w:t>Conclusion</w:t>
      </w:r>
    </w:p>
    <w:p w:rsidR="000F0690" w:rsidRDefault="004534C4" w:rsidP="00E5771D">
      <w:pPr>
        <w:pStyle w:val="BodyText"/>
        <w:rPr>
          <w:color w:val="000000"/>
        </w:rPr>
      </w:pPr>
      <w:r w:rsidRPr="004340C0">
        <w:rPr>
          <w:color w:val="000000"/>
        </w:rPr>
        <w:t xml:space="preserve">PGS has analyzed the </w:t>
      </w:r>
      <w:r w:rsidRPr="004340C0">
        <w:t xml:space="preserve">maximum system-wide therm savings theoretically possible from implementation of DSM measures </w:t>
      </w:r>
      <w:r w:rsidRPr="004340C0">
        <w:rPr>
          <w:color w:val="000000"/>
        </w:rPr>
        <w:t>available in Florida.</w:t>
      </w:r>
      <w:r>
        <w:rPr>
          <w:color w:val="000000"/>
        </w:rPr>
        <w:t xml:space="preserve"> As such, s</w:t>
      </w:r>
      <w:r w:rsidRPr="004340C0">
        <w:t xml:space="preserve">taff recommends that the updated Technical Potential seen in Table </w:t>
      </w:r>
      <w:r w:rsidR="003036BC">
        <w:t>2</w:t>
      </w:r>
      <w:r w:rsidRPr="004340C0">
        <w:t>-1 is an adequate assessment of the full technical potential</w:t>
      </w:r>
      <w:r>
        <w:t>,</w:t>
      </w:r>
      <w:r w:rsidRPr="004340C0">
        <w:t xml:space="preserve"> and serves as an acceptable basis for the Company’s annual therm savings goals.</w:t>
      </w:r>
    </w:p>
    <w:p w:rsidR="00750048" w:rsidRDefault="00750048">
      <w:pPr>
        <w:pStyle w:val="IssueHeading"/>
        <w:rPr>
          <w:vanish/>
          <w:specVanish/>
        </w:rPr>
      </w:pPr>
      <w:r w:rsidRPr="004C3641">
        <w:rPr>
          <w:b w:val="0"/>
          <w:i w:val="0"/>
        </w:rPr>
        <w:br w:type="page"/>
      </w:r>
      <w:r w:rsidRPr="004C3641">
        <w:lastRenderedPageBreak/>
        <w:t xml:space="preserve">Issue </w:t>
      </w:r>
      <w:r w:rsidR="00FE4D92">
        <w:fldChar w:fldCharType="begin"/>
      </w:r>
      <w:r w:rsidR="00FE4D92">
        <w:instrText xml:space="preserve"> SEQ Issue \* MERGEFORMAT </w:instrText>
      </w:r>
      <w:r w:rsidR="00FE4D92">
        <w:fldChar w:fldCharType="separate"/>
      </w:r>
      <w:r w:rsidR="000160AB">
        <w:rPr>
          <w:noProof/>
        </w:rPr>
        <w:t>3</w:t>
      </w:r>
      <w:r w:rsidR="00FE4D9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160AB">
        <w:rPr>
          <w:noProof/>
        </w:rPr>
        <w:instrText>3</w:instrText>
      </w:r>
      <w:r>
        <w:fldChar w:fldCharType="end"/>
      </w:r>
      <w:r>
        <w:tab/>
        <w:instrText xml:space="preserve">" \l 1 </w:instrText>
      </w:r>
      <w:r>
        <w:fldChar w:fldCharType="end"/>
      </w:r>
      <w:r>
        <w:t> </w:t>
      </w:r>
    </w:p>
    <w:p w:rsidR="00750048" w:rsidRPr="008F1B3E" w:rsidRDefault="00750048">
      <w:pPr>
        <w:pStyle w:val="BodyText"/>
      </w:pPr>
      <w:r>
        <w:t> </w:t>
      </w:r>
      <w:r w:rsidR="000D59C6" w:rsidRPr="0000286A">
        <w:rPr>
          <w:color w:val="000000"/>
        </w:rPr>
        <w:t>What residential and commercial annual therm savings goals should be established for the period 2019-2028?</w:t>
      </w:r>
    </w:p>
    <w:p w:rsidR="00750048" w:rsidRPr="00EB3D27" w:rsidRDefault="00750048">
      <w:pPr>
        <w:pStyle w:val="IssueSubsectionHeading"/>
        <w:rPr>
          <w:vanish/>
          <w:specVanish/>
        </w:rPr>
      </w:pPr>
      <w:r w:rsidRPr="004C3641">
        <w:t>Recommendatio</w:t>
      </w:r>
      <w:r w:rsidRPr="00EB3D27">
        <w:t>n: </w:t>
      </w:r>
    </w:p>
    <w:p w:rsidR="006D323F" w:rsidRDefault="00750048">
      <w:pPr>
        <w:pStyle w:val="BodyText"/>
      </w:pPr>
      <w:r w:rsidRPr="00EB3D27">
        <w:t> </w:t>
      </w:r>
      <w:r w:rsidR="004070C5">
        <w:t xml:space="preserve">Staff recommends that the Commission establish the annual therm savings seen in Table </w:t>
      </w:r>
      <w:r w:rsidR="003036BC">
        <w:t>3</w:t>
      </w:r>
      <w:r w:rsidR="004070C5">
        <w:t>-</w:t>
      </w:r>
      <w:r w:rsidR="005F5485">
        <w:t>1</w:t>
      </w:r>
      <w:r w:rsidR="004070C5">
        <w:t xml:space="preserve"> as </w:t>
      </w:r>
      <w:r w:rsidR="008A5E65">
        <w:t>PGS’</w:t>
      </w:r>
      <w:r w:rsidR="004070C5">
        <w:t xml:space="preserve"> annual conservation goals for the period 2019-2028. The Company’s proposed conservation goals adequately address the considerations enumerated in Section 366.82(3), F.S</w:t>
      </w:r>
      <w:r w:rsidR="004070C5" w:rsidRPr="002D1ED9">
        <w:t>.</w:t>
      </w:r>
      <w:r w:rsidR="00A80FFB" w:rsidRPr="002D1ED9">
        <w:t xml:space="preserve"> </w:t>
      </w:r>
      <w:r w:rsidR="00875115" w:rsidRPr="002D1ED9">
        <w:t>(Wright</w:t>
      </w:r>
      <w:r w:rsidR="00A80FFB" w:rsidRPr="002D1ED9">
        <w:t>, Doehling</w:t>
      </w:r>
      <w:r w:rsidR="006C4350" w:rsidRPr="002D1ED9">
        <w:t>,</w:t>
      </w:r>
      <w:r w:rsidR="004070C5" w:rsidRPr="002D1ED9">
        <w:t xml:space="preserve"> Wooten,</w:t>
      </w:r>
      <w:r w:rsidR="006C4350" w:rsidRPr="002D1ED9">
        <w:t xml:space="preserve"> </w:t>
      </w:r>
      <w:proofErr w:type="gramStart"/>
      <w:r w:rsidR="006C4350" w:rsidRPr="002D1ED9">
        <w:t>Wu</w:t>
      </w:r>
      <w:proofErr w:type="gramEnd"/>
      <w:r w:rsidR="00875115" w:rsidRPr="002D1ED9">
        <w:t>)</w:t>
      </w:r>
    </w:p>
    <w:p w:rsidR="00432D99" w:rsidRPr="004C3641" w:rsidRDefault="00432D99" w:rsidP="00432D99">
      <w:pPr>
        <w:pStyle w:val="IssueSubsectionHeading"/>
        <w:rPr>
          <w:vanish/>
          <w:specVanish/>
        </w:rPr>
      </w:pPr>
      <w:r w:rsidRPr="004C3641">
        <w:t>Staff Analysis: </w:t>
      </w:r>
    </w:p>
    <w:p w:rsidR="00C74803" w:rsidRDefault="00432D99" w:rsidP="005A0C2C">
      <w:pPr>
        <w:pStyle w:val="BodyText"/>
      </w:pPr>
      <w:r>
        <w:t> </w:t>
      </w:r>
      <w:r w:rsidR="00004DFC">
        <w:t>Section 366.82(2), F.S., requires the Commission</w:t>
      </w:r>
      <w:r w:rsidR="005F5485">
        <w:t xml:space="preserve"> to</w:t>
      </w:r>
      <w:r w:rsidR="00004DFC">
        <w:t xml:space="preserve"> adopt appropriate</w:t>
      </w:r>
      <w:r w:rsidR="00156433">
        <w:t xml:space="preserve"> conservation</w:t>
      </w:r>
      <w:r w:rsidR="00004DFC">
        <w:t xml:space="preserve"> goals to promote energy efficiency and the development of DSM programs.</w:t>
      </w:r>
      <w:r w:rsidR="00156433">
        <w:t xml:space="preserve"> Section 366.82(3), F.S., states that</w:t>
      </w:r>
      <w:r w:rsidR="006C49B5">
        <w:t>,</w:t>
      </w:r>
      <w:r w:rsidR="00156433">
        <w:t xml:space="preserve"> in establishing these goals, the Commission shall take</w:t>
      </w:r>
      <w:r w:rsidR="00C722FF">
        <w:t xml:space="preserve"> into consideration</w:t>
      </w:r>
      <w:r w:rsidR="00387031">
        <w:t>: (1) the costs and benefits to customers participating in a program; (2) t</w:t>
      </w:r>
      <w:r w:rsidR="00387031" w:rsidRPr="00972858">
        <w:t>he costs and benefits to the general</w:t>
      </w:r>
      <w:r w:rsidR="00387031">
        <w:t xml:space="preserve"> body of ratepayers; (3) t</w:t>
      </w:r>
      <w:r w:rsidR="00387031" w:rsidRPr="00972858">
        <w:t>he need for incentives to promote both customer-owned and utility-owned energy efficiency and demand-side renewable energy systems</w:t>
      </w:r>
      <w:r w:rsidR="00387031">
        <w:t xml:space="preserve">; and (4) </w:t>
      </w:r>
      <w:r w:rsidR="0075191D">
        <w:t>t</w:t>
      </w:r>
      <w:r w:rsidR="0075191D" w:rsidRPr="00972858">
        <w:t>he costs imposed by state and federal regulations on the emission of greenhouse gases</w:t>
      </w:r>
      <w:r w:rsidR="00C74803">
        <w:t>.</w:t>
      </w:r>
    </w:p>
    <w:p w:rsidR="00432D99" w:rsidRDefault="00432D99" w:rsidP="005A0C2C">
      <w:pPr>
        <w:pStyle w:val="BodyText"/>
        <w:rPr>
          <w:color w:val="000000"/>
        </w:rPr>
      </w:pPr>
      <w:r w:rsidRPr="00757060">
        <w:rPr>
          <w:color w:val="000000"/>
        </w:rPr>
        <w:t>PGS has proposed</w:t>
      </w:r>
      <w:r w:rsidR="001B704F">
        <w:rPr>
          <w:color w:val="000000"/>
        </w:rPr>
        <w:t xml:space="preserve"> </w:t>
      </w:r>
      <w:r w:rsidRPr="00757060">
        <w:rPr>
          <w:color w:val="000000"/>
        </w:rPr>
        <w:t>annual conservation goals for the years 2019-2028 which focus on achieving overall therm usage reductions at residential and</w:t>
      </w:r>
      <w:r>
        <w:rPr>
          <w:color w:val="000000"/>
        </w:rPr>
        <w:t xml:space="preserve"> small-</w:t>
      </w:r>
      <w:r w:rsidRPr="00757060">
        <w:rPr>
          <w:color w:val="000000"/>
        </w:rPr>
        <w:t>commercial end-use sites.</w:t>
      </w:r>
      <w:r>
        <w:rPr>
          <w:color w:val="000000"/>
        </w:rPr>
        <w:t xml:space="preserve"> </w:t>
      </w:r>
      <w:r w:rsidRPr="00757060">
        <w:rPr>
          <w:color w:val="000000"/>
        </w:rPr>
        <w:t>The Company has based these goals on achievable therm savings from its portfolio of current Commission-approved DSM programs.</w:t>
      </w:r>
      <w:r w:rsidR="00C3350A" w:rsidRPr="00C3350A">
        <w:t xml:space="preserve"> </w:t>
      </w:r>
      <w:r w:rsidR="00C3350A">
        <w:t>The residential DSM programs were approved by the Commission in 2010</w:t>
      </w:r>
      <w:r w:rsidR="00013562">
        <w:t>,</w:t>
      </w:r>
      <w:r w:rsidR="00C3350A">
        <w:rPr>
          <w:rStyle w:val="FootnoteReference"/>
        </w:rPr>
        <w:footnoteReference w:id="6"/>
      </w:r>
      <w:r w:rsidR="00C3350A">
        <w:t xml:space="preserve"> and the commercial programs were approved by the Commission in 201</w:t>
      </w:r>
      <w:r w:rsidR="00013562">
        <w:t>4</w:t>
      </w:r>
      <w:r w:rsidR="00C3350A">
        <w:t>.</w:t>
      </w:r>
      <w:r w:rsidR="00C3350A">
        <w:rPr>
          <w:rStyle w:val="FootnoteReference"/>
        </w:rPr>
        <w:footnoteReference w:id="7"/>
      </w:r>
      <w:r w:rsidRPr="00757060">
        <w:rPr>
          <w:color w:val="000000"/>
        </w:rPr>
        <w:t xml:space="preserve"> </w:t>
      </w:r>
      <w:r>
        <w:rPr>
          <w:color w:val="000000"/>
        </w:rPr>
        <w:t xml:space="preserve">These programs are comprised of </w:t>
      </w:r>
      <w:r w:rsidRPr="00757060">
        <w:rPr>
          <w:color w:val="000000"/>
        </w:rPr>
        <w:t xml:space="preserve">eight residential and ten </w:t>
      </w:r>
      <w:r>
        <w:rPr>
          <w:color w:val="000000"/>
        </w:rPr>
        <w:t>small-</w:t>
      </w:r>
      <w:r w:rsidRPr="00757060">
        <w:rPr>
          <w:color w:val="000000"/>
        </w:rPr>
        <w:t>commercial DSM measures, which each implement use-specific energy-saving technology at natural gas points-of-use throughout a customer’s property.</w:t>
      </w:r>
      <w:r w:rsidR="007C1433">
        <w:rPr>
          <w:color w:val="000000"/>
        </w:rPr>
        <w:t xml:space="preserve"> Because the Company’s DSM programs serve as the basis for its proposed annual conservation goals, staff first reviewed these programs</w:t>
      </w:r>
      <w:r w:rsidR="00533435">
        <w:rPr>
          <w:color w:val="000000"/>
        </w:rPr>
        <w:t>,</w:t>
      </w:r>
      <w:r w:rsidR="007C1433">
        <w:rPr>
          <w:color w:val="000000"/>
        </w:rPr>
        <w:t xml:space="preserve"> </w:t>
      </w:r>
      <w:r w:rsidR="007C1433">
        <w:t>taking into consideration those factors enumerated in Section 366.82(3), F.S.</w:t>
      </w:r>
      <w:r w:rsidR="00C3350A">
        <w:rPr>
          <w:color w:val="000000"/>
        </w:rPr>
        <w:t xml:space="preserve"> Staff</w:t>
      </w:r>
      <w:r w:rsidR="007C1433">
        <w:rPr>
          <w:color w:val="000000"/>
        </w:rPr>
        <w:t xml:space="preserve"> then </w:t>
      </w:r>
      <w:r w:rsidR="00004DFC">
        <w:rPr>
          <w:color w:val="000000"/>
        </w:rPr>
        <w:t>evaluated</w:t>
      </w:r>
      <w:r w:rsidR="007C1433">
        <w:rPr>
          <w:color w:val="000000"/>
        </w:rPr>
        <w:t xml:space="preserve"> the development of</w:t>
      </w:r>
      <w:r w:rsidR="00004DFC">
        <w:rPr>
          <w:color w:val="000000"/>
        </w:rPr>
        <w:t xml:space="preserve"> </w:t>
      </w:r>
      <w:r w:rsidR="008A5E65">
        <w:rPr>
          <w:color w:val="000000"/>
        </w:rPr>
        <w:t>PGS’</w:t>
      </w:r>
      <w:r w:rsidR="00004DFC">
        <w:rPr>
          <w:color w:val="000000"/>
        </w:rPr>
        <w:t xml:space="preserve"> proposed</w:t>
      </w:r>
      <w:r w:rsidRPr="00757060">
        <w:rPr>
          <w:color w:val="000000"/>
        </w:rPr>
        <w:t xml:space="preserve"> achievable </w:t>
      </w:r>
      <w:r>
        <w:rPr>
          <w:color w:val="000000"/>
        </w:rPr>
        <w:t>therm savings</w:t>
      </w:r>
      <w:r w:rsidR="00092FC0">
        <w:rPr>
          <w:color w:val="000000"/>
        </w:rPr>
        <w:t xml:space="preserve"> by reviewing each of its </w:t>
      </w:r>
      <w:r>
        <w:rPr>
          <w:color w:val="000000"/>
        </w:rPr>
        <w:t xml:space="preserve">three </w:t>
      </w:r>
      <w:r w:rsidRPr="00757060">
        <w:rPr>
          <w:color w:val="000000"/>
        </w:rPr>
        <w:t>parts: (1) the projection of DSM measure participation over the years 2019-2028</w:t>
      </w:r>
      <w:r w:rsidR="0092012E">
        <w:rPr>
          <w:color w:val="000000"/>
        </w:rPr>
        <w:t>;</w:t>
      </w:r>
      <w:r w:rsidRPr="00757060">
        <w:rPr>
          <w:color w:val="000000"/>
        </w:rPr>
        <w:t xml:space="preserve"> (2) the calculation of</w:t>
      </w:r>
      <w:r>
        <w:rPr>
          <w:color w:val="000000"/>
        </w:rPr>
        <w:t xml:space="preserve"> achievable</w:t>
      </w:r>
      <w:r w:rsidRPr="00757060">
        <w:rPr>
          <w:color w:val="000000"/>
        </w:rPr>
        <w:t xml:space="preserve"> per-site </w:t>
      </w:r>
      <w:r w:rsidR="001B704F">
        <w:rPr>
          <w:color w:val="000000"/>
        </w:rPr>
        <w:t xml:space="preserve">therm </w:t>
      </w:r>
      <w:r w:rsidRPr="00757060">
        <w:rPr>
          <w:color w:val="000000"/>
        </w:rPr>
        <w:t>savings for each</w:t>
      </w:r>
      <w:r w:rsidR="00A93ECF">
        <w:rPr>
          <w:color w:val="000000"/>
        </w:rPr>
        <w:t xml:space="preserve"> DSM measure</w:t>
      </w:r>
      <w:r w:rsidR="0092012E">
        <w:rPr>
          <w:color w:val="000000"/>
        </w:rPr>
        <w:t>;</w:t>
      </w:r>
      <w:r w:rsidR="00A93ECF">
        <w:rPr>
          <w:color w:val="000000"/>
        </w:rPr>
        <w:t xml:space="preserve"> and (3) the </w:t>
      </w:r>
      <w:r w:rsidRPr="00757060">
        <w:rPr>
          <w:color w:val="000000"/>
        </w:rPr>
        <w:t>project</w:t>
      </w:r>
      <w:r w:rsidR="00A93ECF">
        <w:rPr>
          <w:color w:val="000000"/>
        </w:rPr>
        <w:t>ion of</w:t>
      </w:r>
      <w:r>
        <w:rPr>
          <w:color w:val="000000"/>
        </w:rPr>
        <w:t xml:space="preserve"> achievable</w:t>
      </w:r>
      <w:r w:rsidRPr="00757060">
        <w:rPr>
          <w:color w:val="000000"/>
        </w:rPr>
        <w:t xml:space="preserve"> annual therm savings over the 2019-2028 period.</w:t>
      </w:r>
      <w:r w:rsidR="00314925">
        <w:rPr>
          <w:color w:val="000000"/>
        </w:rPr>
        <w:t xml:space="preserve"> </w:t>
      </w:r>
      <w:r>
        <w:rPr>
          <w:color w:val="000000"/>
        </w:rPr>
        <w:t>Staff notes that PGS did not propose conservation goals</w:t>
      </w:r>
      <w:r w:rsidR="00272B5F">
        <w:rPr>
          <w:color w:val="000000"/>
        </w:rPr>
        <w:t>,</w:t>
      </w:r>
      <w:r w:rsidR="00841B8C">
        <w:rPr>
          <w:color w:val="000000"/>
        </w:rPr>
        <w:t xml:space="preserve"> nor </w:t>
      </w:r>
      <w:r>
        <w:rPr>
          <w:color w:val="000000"/>
        </w:rPr>
        <w:t>incorporated any DSM measures</w:t>
      </w:r>
      <w:r w:rsidR="00272B5F">
        <w:rPr>
          <w:color w:val="000000"/>
        </w:rPr>
        <w:t>,</w:t>
      </w:r>
      <w:r>
        <w:rPr>
          <w:color w:val="000000"/>
        </w:rPr>
        <w:t xml:space="preserve"> into its DSM portfolio for large commercial or industrial customers</w:t>
      </w:r>
      <w:r w:rsidR="00013562">
        <w:rPr>
          <w:color w:val="000000"/>
        </w:rPr>
        <w:t>. This is</w:t>
      </w:r>
      <w:r>
        <w:rPr>
          <w:color w:val="000000"/>
        </w:rPr>
        <w:t xml:space="preserve"> because these customers are entirely either natural gas fired cogenerators or interruptible customers and, per </w:t>
      </w:r>
      <w:r w:rsidRPr="00B84474">
        <w:rPr>
          <w:color w:val="000000"/>
        </w:rPr>
        <w:t>Order No. 23576</w:t>
      </w:r>
      <w:r w:rsidRPr="006F52C8">
        <w:rPr>
          <w:color w:val="000000"/>
        </w:rPr>
        <w:t>, these two rate classes are excluded from cost recovery through the ECCR clause.</w:t>
      </w:r>
      <w:r w:rsidRPr="006F52C8">
        <w:rPr>
          <w:rStyle w:val="FootnoteReference"/>
          <w:color w:val="000000"/>
        </w:rPr>
        <w:footnoteReference w:id="8"/>
      </w:r>
    </w:p>
    <w:p w:rsidR="002D2278" w:rsidRDefault="002D2278" w:rsidP="002D2278">
      <w:pPr>
        <w:pStyle w:val="First-LevelSubheading"/>
      </w:pPr>
      <w:r>
        <w:t>Benefits and Costs to Participants and the General Body of Ratepayers</w:t>
      </w:r>
    </w:p>
    <w:p w:rsidR="002D2278" w:rsidRDefault="002D2278" w:rsidP="002D2278">
      <w:pPr>
        <w:pStyle w:val="BodyText"/>
      </w:pPr>
      <w:r>
        <w:t>Section 366.82(3</w:t>
      </w:r>
      <w:proofErr w:type="gramStart"/>
      <w:r>
        <w:t>)(</w:t>
      </w:r>
      <w:proofErr w:type="gramEnd"/>
      <w:r>
        <w:t>a)</w:t>
      </w:r>
      <w:r w:rsidR="00013562">
        <w:t xml:space="preserve">, F.S., </w:t>
      </w:r>
      <w:r>
        <w:t>requires the Commission take into consideration the costs and benefits to customers participating in a program.</w:t>
      </w:r>
      <w:r w:rsidR="00663857">
        <w:t xml:space="preserve"> Section 366.82(3</w:t>
      </w:r>
      <w:proofErr w:type="gramStart"/>
      <w:r w:rsidR="00663857">
        <w:t>)(</w:t>
      </w:r>
      <w:proofErr w:type="gramEnd"/>
      <w:r w:rsidR="00663857">
        <w:t>b), F.S., requires the Commission take into consideration t</w:t>
      </w:r>
      <w:r w:rsidR="00663857" w:rsidRPr="00972858">
        <w:t xml:space="preserve">he costs and benefits to the general body of ratepayers as a </w:t>
      </w:r>
      <w:r w:rsidR="00663857" w:rsidRPr="00972858">
        <w:lastRenderedPageBreak/>
        <w:t>whole, including uti</w:t>
      </w:r>
      <w:r w:rsidR="00663857">
        <w:t xml:space="preserve">lity incentives and participant </w:t>
      </w:r>
      <w:r w:rsidR="00663857" w:rsidRPr="00972858">
        <w:t>contributions.</w:t>
      </w:r>
      <w:r w:rsidR="008251FC">
        <w:t xml:space="preserve"> Per Rule 25-17.009, F.A.C., utilities seeking cost recovery </w:t>
      </w:r>
      <w:r w:rsidR="008251FC" w:rsidRPr="008251FC">
        <w:t xml:space="preserve">for an existing, new, or modified demand side management program </w:t>
      </w:r>
      <w:r w:rsidR="008251FC">
        <w:t>must</w:t>
      </w:r>
      <w:r w:rsidR="008251FC" w:rsidRPr="008251FC">
        <w:t xml:space="preserve"> file the cost effectiveness test results of the Participants Test and the Rate Impact Measure Test</w:t>
      </w:r>
      <w:r w:rsidR="008251FC">
        <w:t>.</w:t>
      </w:r>
      <w:r>
        <w:t xml:space="preserve"> </w:t>
      </w:r>
      <w:r w:rsidR="006F1673">
        <w:t>T</w:t>
      </w:r>
      <w:r>
        <w:t>he Participants Test measures the impact of a program on the participating customers. In 2010 and 201</w:t>
      </w:r>
      <w:r w:rsidR="00D76A94">
        <w:t>4</w:t>
      </w:r>
      <w:r>
        <w:t>, all PGS residential and commercial programs passed the Participants Test with scores above 1.0.</w:t>
      </w:r>
      <w:r w:rsidR="004550D4">
        <w:rPr>
          <w:rStyle w:val="FootnoteReference"/>
        </w:rPr>
        <w:footnoteReference w:id="9"/>
      </w:r>
      <w:r w:rsidR="004550D4">
        <w:rPr>
          <w:vertAlign w:val="superscript"/>
        </w:rPr>
        <w:t>,</w:t>
      </w:r>
      <w:r w:rsidR="004550D4">
        <w:rPr>
          <w:rStyle w:val="FootnoteReference"/>
        </w:rPr>
        <w:footnoteReference w:id="10"/>
      </w:r>
      <w:r>
        <w:t xml:space="preserve"> </w:t>
      </w:r>
      <w:r w:rsidR="008251FC">
        <w:t>The Gas Rate Impact Measure</w:t>
      </w:r>
      <w:r>
        <w:t xml:space="preserve"> (Gas RIM) Test</w:t>
      </w:r>
      <w:r w:rsidR="008251FC">
        <w:t>, a modified version of the Rate Impact Measure Test specific to natural gas utilities,</w:t>
      </w:r>
      <w:r>
        <w:t xml:space="preserve"> is an indirect measure of the program impact on customer rates that addresses utility incentives and participation. In 2010 and 201</w:t>
      </w:r>
      <w:r w:rsidR="00D76A94">
        <w:t>4</w:t>
      </w:r>
      <w:r>
        <w:t>, all PGS residential and commercial programs pass</w:t>
      </w:r>
      <w:r w:rsidR="000D69A2">
        <w:t>ed</w:t>
      </w:r>
      <w:r>
        <w:t xml:space="preserve"> the Gas RIM with scores above 1.0.</w:t>
      </w:r>
      <w:r w:rsidR="00E64E3F">
        <w:rPr>
          <w:rStyle w:val="FootnoteReference"/>
        </w:rPr>
        <w:footnoteReference w:id="11"/>
      </w:r>
      <w:r w:rsidR="00E64E3F">
        <w:rPr>
          <w:vertAlign w:val="superscript"/>
        </w:rPr>
        <w:t>,</w:t>
      </w:r>
      <w:r w:rsidR="00E64E3F">
        <w:rPr>
          <w:rStyle w:val="FootnoteReference"/>
        </w:rPr>
        <w:footnoteReference w:id="12"/>
      </w:r>
      <w:r>
        <w:t xml:space="preserve"> </w:t>
      </w:r>
      <w:r w:rsidR="00E64E3F">
        <w:t xml:space="preserve">Therefore, staff recommends that both </w:t>
      </w:r>
      <w:r>
        <w:t>Section</w:t>
      </w:r>
      <w:r w:rsidR="00E64E3F">
        <w:t>s 366.82(3</w:t>
      </w:r>
      <w:proofErr w:type="gramStart"/>
      <w:r w:rsidR="00E64E3F">
        <w:t>)(</w:t>
      </w:r>
      <w:proofErr w:type="gramEnd"/>
      <w:r w:rsidR="00E64E3F">
        <w:t>a) and</w:t>
      </w:r>
      <w:r w:rsidR="00631B96">
        <w:t xml:space="preserve"> </w:t>
      </w:r>
      <w:r>
        <w:t>(b)</w:t>
      </w:r>
      <w:r w:rsidR="00E64E3F">
        <w:t>, F.S.,</w:t>
      </w:r>
      <w:r>
        <w:t xml:space="preserve"> are adequately addressed by the proposed DSM goals.</w:t>
      </w:r>
    </w:p>
    <w:p w:rsidR="002D2278" w:rsidRDefault="002D2278" w:rsidP="002D2278">
      <w:pPr>
        <w:pStyle w:val="First-LevelSubheading"/>
      </w:pPr>
      <w:r>
        <w:t>Need for Incentives</w:t>
      </w:r>
    </w:p>
    <w:p w:rsidR="002D2278" w:rsidRDefault="002D2278" w:rsidP="002D2278">
      <w:pPr>
        <w:pStyle w:val="BodyText"/>
      </w:pPr>
      <w:r>
        <w:t>Section 366.82(3)(c)</w:t>
      </w:r>
      <w:r w:rsidR="007D473D">
        <w:t>, F.S.,</w:t>
      </w:r>
      <w:r>
        <w:t xml:space="preserve"> requires the Commission take into consideration t</w:t>
      </w:r>
      <w:r w:rsidRPr="00972858">
        <w:t>he need for incentives to promote both customer-owned and utility-owned energy efficiency and demand-side renewable energy systems.</w:t>
      </w:r>
      <w:r>
        <w:t xml:space="preserve"> As stated previously, the proposed DSM goals are based upon </w:t>
      </w:r>
      <w:r w:rsidR="008A5E65">
        <w:t>PGS’</w:t>
      </w:r>
      <w:r w:rsidR="00841B8C">
        <w:t xml:space="preserve"> current Commission-</w:t>
      </w:r>
      <w:r>
        <w:t>approved DSM programs. The current residential DSM programs were approved in 2010</w:t>
      </w:r>
      <w:r w:rsidR="00F73677">
        <w:t>,</w:t>
      </w:r>
      <w:r>
        <w:t xml:space="preserve"> and the Commission found that the cash incentive allowances were cost-effective and did not impose an undue rate impact on PGS customers’ monthly bills. </w:t>
      </w:r>
      <w:r w:rsidRPr="00E75795">
        <w:t>The current commercial DSM programs were approved in 201</w:t>
      </w:r>
      <w:r w:rsidR="00F73677">
        <w:t>4</w:t>
      </w:r>
      <w:r w:rsidRPr="00E75795">
        <w:t>, when the Commission also found the incentive levels of these programs appropriate. The design of the incentives for both residential and commercial programs included consideration of free ridership and, thus, balanced incentive effectiveness with the ability of these programs to contribute to the defrayal of the costs associated with the installation of natural gas supply lines, internal piping, venting and equipment.</w:t>
      </w:r>
      <w:r w:rsidR="00F73677">
        <w:t xml:space="preserve"> Therefore, staff recommends that</w:t>
      </w:r>
      <w:r>
        <w:t xml:space="preserve"> Section 366.82(3</w:t>
      </w:r>
      <w:proofErr w:type="gramStart"/>
      <w:r>
        <w:t>)(</w:t>
      </w:r>
      <w:proofErr w:type="gramEnd"/>
      <w:r>
        <w:t>c)</w:t>
      </w:r>
      <w:r w:rsidR="00F73677">
        <w:t>, F.S.,</w:t>
      </w:r>
      <w:r>
        <w:t xml:space="preserve"> is adequately addre</w:t>
      </w:r>
      <w:r w:rsidR="00A40805">
        <w:t>ssed by the proposed DSM goals.</w:t>
      </w:r>
    </w:p>
    <w:p w:rsidR="002D2278" w:rsidRDefault="002D2278" w:rsidP="002D2278">
      <w:pPr>
        <w:pStyle w:val="First-LevelSubheading"/>
      </w:pPr>
      <w:r>
        <w:t>Greenhouse Gas Emissions</w:t>
      </w:r>
    </w:p>
    <w:p w:rsidR="002D2278" w:rsidRDefault="002D2278" w:rsidP="002D2278">
      <w:pPr>
        <w:pStyle w:val="BodyText"/>
      </w:pPr>
      <w:r>
        <w:t>Section 366.82(3</w:t>
      </w:r>
      <w:proofErr w:type="gramStart"/>
      <w:r>
        <w:t>)(</w:t>
      </w:r>
      <w:proofErr w:type="gramEnd"/>
      <w:r>
        <w:t>d)</w:t>
      </w:r>
      <w:r w:rsidR="000869EB">
        <w:t>, F.S.,</w:t>
      </w:r>
      <w:r>
        <w:t xml:space="preserve"> requires the Commission take into consideration t</w:t>
      </w:r>
      <w:r w:rsidRPr="00972858">
        <w:t>he costs imposed by state and federal regulations on the emission of greenhouse gases.</w:t>
      </w:r>
      <w:r>
        <w:t xml:space="preserve"> Currently</w:t>
      </w:r>
      <w:r w:rsidR="00272B5F">
        <w:t>,</w:t>
      </w:r>
      <w:r>
        <w:t xml:space="preserve"> there are no costs imposed by state and federal regulations on the emissions of greenhouse gases. </w:t>
      </w:r>
      <w:r w:rsidR="004716B7">
        <w:t xml:space="preserve">In addition, emission costs from fossil fueled power plants are more appropriately considered when reviewing electric utility DSM goals and programs. </w:t>
      </w:r>
      <w:r>
        <w:t>Pursuant to Section 366.82(6), F.S., the Commission</w:t>
      </w:r>
      <w:r w:rsidR="00092D16">
        <w:t xml:space="preserve"> has the authority to </w:t>
      </w:r>
      <w:r>
        <w:t xml:space="preserve">change </w:t>
      </w:r>
      <w:r w:rsidR="00092D16">
        <w:t>conservation</w:t>
      </w:r>
      <w:r>
        <w:t xml:space="preserve"> goals for a reasonable cause. Once compliance costs associated with any regulations on the emission of greenhouse gases are </w:t>
      </w:r>
      <w:r w:rsidR="00020621">
        <w:t>established</w:t>
      </w:r>
      <w:r w:rsidR="00092D16">
        <w:t>, the Commission m</w:t>
      </w:r>
      <w:r w:rsidR="006608CE">
        <w:t xml:space="preserve">ay </w:t>
      </w:r>
      <w:r>
        <w:t>review and, if appropriate, modify goals.</w:t>
      </w:r>
    </w:p>
    <w:p w:rsidR="00D568D9" w:rsidRPr="00B32ED7" w:rsidRDefault="00D568D9" w:rsidP="00432D99">
      <w:pPr>
        <w:pStyle w:val="First-LevelSubheading"/>
        <w:rPr>
          <w:b w:val="0"/>
        </w:rPr>
      </w:pPr>
    </w:p>
    <w:p w:rsidR="00432D99" w:rsidRDefault="0091687F" w:rsidP="00432D99">
      <w:pPr>
        <w:pStyle w:val="First-LevelSubheading"/>
        <w:rPr>
          <w:color w:val="000000"/>
        </w:rPr>
      </w:pPr>
      <w:r>
        <w:t>Projection of DSM Measure Participation</w:t>
      </w:r>
    </w:p>
    <w:p w:rsidR="00432D99" w:rsidRDefault="00432D99" w:rsidP="005A0C2C">
      <w:pPr>
        <w:pStyle w:val="BodyText"/>
      </w:pPr>
      <w:r w:rsidRPr="00757060">
        <w:t>PGS began the process of forecasting DSM measure participation by analyzing customer growth rates. Each of the Company’s 14 divisions maintains both a residential and a</w:t>
      </w:r>
      <w:r>
        <w:t xml:space="preserve"> small-</w:t>
      </w:r>
      <w:r w:rsidRPr="00757060">
        <w:t xml:space="preserve">commercial customer model developed using </w:t>
      </w:r>
      <w:proofErr w:type="spellStart"/>
      <w:r w:rsidRPr="00757060">
        <w:t>Itron’s</w:t>
      </w:r>
      <w:proofErr w:type="spellEnd"/>
      <w:r w:rsidRPr="00757060">
        <w:t xml:space="preserve"> </w:t>
      </w:r>
      <w:proofErr w:type="spellStart"/>
      <w:r w:rsidRPr="00757060">
        <w:t>MetrixND</w:t>
      </w:r>
      <w:proofErr w:type="spellEnd"/>
      <w:r w:rsidRPr="00757060">
        <w:t xml:space="preserve"> forecasting tool. </w:t>
      </w:r>
      <w:r>
        <w:t xml:space="preserve">These </w:t>
      </w:r>
      <w:r w:rsidRPr="00757060">
        <w:t>models primarily use popula</w:t>
      </w:r>
      <w:r>
        <w:t>tion growth as inputs to forecast</w:t>
      </w:r>
      <w:r w:rsidRPr="00757060">
        <w:t xml:space="preserve"> division-specific customer growth, with additional variables used to adjust for customer seasonality, unexpected events, and other variations. PGS combined the customer growth projections of e</w:t>
      </w:r>
      <w:r>
        <w:t>ach of its divisions to derive a</w:t>
      </w:r>
      <w:r w:rsidRPr="00757060">
        <w:t xml:space="preserve"> total</w:t>
      </w:r>
      <w:r>
        <w:t xml:space="preserve"> residential and small-commercial </w:t>
      </w:r>
      <w:r w:rsidRPr="00757060">
        <w:t xml:space="preserve">customer </w:t>
      </w:r>
      <w:r>
        <w:t>forecast for the years 2019-2028. Yearly growth rates were derived from the composite pro</w:t>
      </w:r>
      <w:r w:rsidRPr="005B4A86">
        <w:t>jections.</w:t>
      </w:r>
      <w:r w:rsidR="0091687F">
        <w:t xml:space="preserve"> Residential c</w:t>
      </w:r>
      <w:r w:rsidR="00C723FF">
        <w:t>ustomer</w:t>
      </w:r>
      <w:r w:rsidR="003A7B19">
        <w:t xml:space="preserve">s are projected to grow at an </w:t>
      </w:r>
      <w:r w:rsidR="0091687F">
        <w:t>average</w:t>
      </w:r>
      <w:r w:rsidR="003A7B19">
        <w:t xml:space="preserve"> rate of </w:t>
      </w:r>
      <w:r w:rsidR="0058733D">
        <w:t>2.17 percent</w:t>
      </w:r>
      <w:r w:rsidR="003A7B19">
        <w:t xml:space="preserve"> per year</w:t>
      </w:r>
      <w:r w:rsidR="0091687F">
        <w:t xml:space="preserve"> over the 2019-2028 </w:t>
      </w:r>
      <w:proofErr w:type="gramStart"/>
      <w:r w:rsidR="0091687F">
        <w:t>period</w:t>
      </w:r>
      <w:proofErr w:type="gramEnd"/>
      <w:r w:rsidR="0091687F">
        <w:t>, while over the same period</w:t>
      </w:r>
      <w:r w:rsidR="003A7B19">
        <w:t>,</w:t>
      </w:r>
      <w:r w:rsidR="0091687F">
        <w:t xml:space="preserve"> commercial </w:t>
      </w:r>
      <w:r w:rsidR="003A7B19">
        <w:t xml:space="preserve">customers are expected to grow at an average yearly rate of </w:t>
      </w:r>
      <w:r w:rsidR="0058733D">
        <w:t>2.48 percent</w:t>
      </w:r>
      <w:r w:rsidR="003A7B19">
        <w:t xml:space="preserve">. </w:t>
      </w:r>
      <w:r w:rsidRPr="00AB38DA">
        <w:t xml:space="preserve">PGS </w:t>
      </w:r>
      <w:r w:rsidR="00272B5F">
        <w:t xml:space="preserve">states </w:t>
      </w:r>
      <w:r w:rsidRPr="00AB38DA">
        <w:t>that yearly growth rates calculated in this manner have historically approximated the</w:t>
      </w:r>
      <w:r>
        <w:t xml:space="preserve"> growth in</w:t>
      </w:r>
      <w:r w:rsidRPr="00AB38DA">
        <w:t xml:space="preserve"> yearly participation rates of the Company’s DSM measures. Accordingly, PGS u</w:t>
      </w:r>
      <w:r>
        <w:t>sed these customer growth rates to escalate DSM measure participation t</w:t>
      </w:r>
      <w:r w:rsidRPr="001E7979">
        <w:t xml:space="preserve">hrough the 2019-2028 </w:t>
      </w:r>
      <w:proofErr w:type="gramStart"/>
      <w:r w:rsidRPr="001E7979">
        <w:t>period</w:t>
      </w:r>
      <w:proofErr w:type="gramEnd"/>
      <w:r w:rsidR="0063031F">
        <w:t xml:space="preserve">. </w:t>
      </w:r>
      <w:r w:rsidR="00EA247F">
        <w:t>This method assumes that</w:t>
      </w:r>
      <w:r>
        <w:t xml:space="preserve"> as the customer population grows, the number of customers enrolled in DSM measures will increase proportionally. After reviewing the information presented, including the major</w:t>
      </w:r>
      <w:r w:rsidR="000E0D04">
        <w:t xml:space="preserve"> assumptions, key data sources </w:t>
      </w:r>
      <w:r>
        <w:t>and criteria utilized to develop and e</w:t>
      </w:r>
      <w:r w:rsidR="00ED23F7">
        <w:t>valuate its customer forecast, s</w:t>
      </w:r>
      <w:r>
        <w:t xml:space="preserve">taff </w:t>
      </w:r>
      <w:r w:rsidR="00D76A94">
        <w:t>recommends</w:t>
      </w:r>
      <w:r>
        <w:t xml:space="preserve"> that </w:t>
      </w:r>
      <w:r w:rsidR="008A5E65">
        <w:t>PGS’</w:t>
      </w:r>
      <w:r>
        <w:t xml:space="preserve"> forecasting method and the resulting customer forecast is appropriate for use in DSM goal setting in the instant docket.</w:t>
      </w:r>
    </w:p>
    <w:p w:rsidR="00432D99" w:rsidRPr="00A8395B" w:rsidRDefault="00061DAF" w:rsidP="00432D99">
      <w:pPr>
        <w:pStyle w:val="First-LevelSubheading"/>
      </w:pPr>
      <w:r>
        <w:rPr>
          <w:color w:val="000000"/>
        </w:rPr>
        <w:t>Achievable</w:t>
      </w:r>
      <w:r w:rsidRPr="00757060">
        <w:rPr>
          <w:color w:val="000000"/>
        </w:rPr>
        <w:t xml:space="preserve"> </w:t>
      </w:r>
      <w:r>
        <w:rPr>
          <w:color w:val="000000"/>
        </w:rPr>
        <w:t>P</w:t>
      </w:r>
      <w:r w:rsidRPr="00757060">
        <w:rPr>
          <w:color w:val="000000"/>
        </w:rPr>
        <w:t>er-</w:t>
      </w:r>
      <w:r>
        <w:rPr>
          <w:color w:val="000000"/>
        </w:rPr>
        <w:t>S</w:t>
      </w:r>
      <w:r w:rsidRPr="00757060">
        <w:rPr>
          <w:color w:val="000000"/>
        </w:rPr>
        <w:t xml:space="preserve">ite DSM </w:t>
      </w:r>
      <w:r w:rsidR="00432D99">
        <w:t>Measure Savings</w:t>
      </w:r>
    </w:p>
    <w:p w:rsidR="009E4658" w:rsidRDefault="00432D99" w:rsidP="005A0C2C">
      <w:pPr>
        <w:pStyle w:val="BodyText"/>
      </w:pPr>
      <w:r>
        <w:t xml:space="preserve">PGS </w:t>
      </w:r>
      <w:r w:rsidR="0033145D">
        <w:t xml:space="preserve">next </w:t>
      </w:r>
      <w:r>
        <w:t xml:space="preserve">calculated achievable </w:t>
      </w:r>
      <w:r w:rsidRPr="00757060">
        <w:t xml:space="preserve">per-site </w:t>
      </w:r>
      <w:r w:rsidR="001B704F">
        <w:t xml:space="preserve">therm </w:t>
      </w:r>
      <w:r w:rsidRPr="00757060">
        <w:t>savings for each DSM measure</w:t>
      </w:r>
      <w:r>
        <w:t xml:space="preserve"> currently found </w:t>
      </w:r>
      <w:r w:rsidRPr="00D85A9E">
        <w:t xml:space="preserve">in its DSM program portfolio. Similar to the methodology used in the Technical </w:t>
      </w:r>
      <w:r w:rsidR="00A727A6">
        <w:t xml:space="preserve">Potential </w:t>
      </w:r>
      <w:r w:rsidR="0033145D">
        <w:t xml:space="preserve">discussed in Issue </w:t>
      </w:r>
      <w:r w:rsidR="003036BC">
        <w:t>2</w:t>
      </w:r>
      <w:r w:rsidRPr="00D85A9E">
        <w:t>,</w:t>
      </w:r>
      <w:r>
        <w:t xml:space="preserve"> only the savings from measure implementation that exceeded those savings based on </w:t>
      </w:r>
      <w:r w:rsidRPr="00CE2E36">
        <w:t xml:space="preserve">minimum </w:t>
      </w:r>
      <w:r>
        <w:t>appliance energy efficiencies</w:t>
      </w:r>
      <w:r w:rsidRPr="00CE2E36">
        <w:t xml:space="preserve"> in the Florida Building Code or the associated Federal Appliance Efficiency Standard</w:t>
      </w:r>
      <w:r>
        <w:t>s</w:t>
      </w:r>
      <w:r w:rsidRPr="00CE2E36">
        <w:t>, whichever greater</w:t>
      </w:r>
      <w:r>
        <w:t xml:space="preserve">, were counted. Energy consumption parameters used in DSM measure savings calculations were derived from a combination of state and national industry sources, responses to customer surveys, and a review of historical DSM program activity. In response to staff-issued data requests, the Company provided updated achievable per-site </w:t>
      </w:r>
      <w:r w:rsidR="001B704F">
        <w:t xml:space="preserve">therm </w:t>
      </w:r>
      <w:r>
        <w:t>savings</w:t>
      </w:r>
      <w:r w:rsidR="001B704F">
        <w:t xml:space="preserve">. </w:t>
      </w:r>
      <w:r>
        <w:t xml:space="preserve">Staff </w:t>
      </w:r>
      <w:r w:rsidR="00D76A94">
        <w:t xml:space="preserve">recommends </w:t>
      </w:r>
      <w:r>
        <w:t>that the methodology used by PGS in the updated calculations</w:t>
      </w:r>
      <w:r w:rsidR="001504BE">
        <w:t xml:space="preserve">, as well as </w:t>
      </w:r>
      <w:r>
        <w:t xml:space="preserve">the incorporation of marketplace forces into the determination of achievable therm </w:t>
      </w:r>
      <w:proofErr w:type="gramStart"/>
      <w:r>
        <w:t>savings</w:t>
      </w:r>
      <w:r w:rsidR="001504BE">
        <w:t>,</w:t>
      </w:r>
      <w:proofErr w:type="gramEnd"/>
      <w:r>
        <w:t xml:space="preserve"> result in per-site savings that adequately represent those savings likely to come from real-world implementation </w:t>
      </w:r>
      <w:r w:rsidR="009E4658">
        <w:t>of the DSM measures considered.</w:t>
      </w:r>
    </w:p>
    <w:p w:rsidR="009E4658" w:rsidRDefault="009E4658" w:rsidP="009E4658">
      <w:pPr>
        <w:pStyle w:val="First-LevelSubheading"/>
      </w:pPr>
      <w:r>
        <w:rPr>
          <w:color w:val="000000"/>
        </w:rPr>
        <w:t>Achievable Annual</w:t>
      </w:r>
      <w:r w:rsidRPr="00757060">
        <w:rPr>
          <w:color w:val="000000"/>
        </w:rPr>
        <w:t xml:space="preserve"> </w:t>
      </w:r>
      <w:r>
        <w:rPr>
          <w:color w:val="000000"/>
        </w:rPr>
        <w:t>T</w:t>
      </w:r>
      <w:r w:rsidRPr="00757060">
        <w:rPr>
          <w:color w:val="000000"/>
        </w:rPr>
        <w:t xml:space="preserve">herm </w:t>
      </w:r>
      <w:r>
        <w:rPr>
          <w:color w:val="000000"/>
        </w:rPr>
        <w:t>S</w:t>
      </w:r>
      <w:r w:rsidRPr="00757060">
        <w:rPr>
          <w:color w:val="000000"/>
        </w:rPr>
        <w:t>avings</w:t>
      </w:r>
    </w:p>
    <w:p w:rsidR="00432D99" w:rsidRDefault="00432D99" w:rsidP="008128EB">
      <w:pPr>
        <w:pStyle w:val="BodyText"/>
        <w:spacing w:after="0"/>
      </w:pPr>
      <w:r>
        <w:t xml:space="preserve">By combining projected yearly DSM measure participation with the updated DSM measure achievable per-site </w:t>
      </w:r>
      <w:r w:rsidR="000208F8">
        <w:t>therm</w:t>
      </w:r>
      <w:r>
        <w:t xml:space="preserve"> savings, PGS derived achievable annual therm savings over the 2019-2028 </w:t>
      </w:r>
      <w:proofErr w:type="gramStart"/>
      <w:r>
        <w:t>period</w:t>
      </w:r>
      <w:proofErr w:type="gramEnd"/>
      <w:r>
        <w:t>. Thes</w:t>
      </w:r>
      <w:r w:rsidR="00864F04">
        <w:t xml:space="preserve">e savings can be seen in Table </w:t>
      </w:r>
      <w:r w:rsidR="003036BC">
        <w:t>3</w:t>
      </w:r>
      <w:r>
        <w:t>-</w:t>
      </w:r>
      <w:r w:rsidR="00864F04">
        <w:t>1</w:t>
      </w:r>
      <w:r w:rsidR="00CE7D7D">
        <w:t>,</w:t>
      </w:r>
      <w:r w:rsidR="006E529D">
        <w:t xml:space="preserve"> </w:t>
      </w:r>
      <w:r>
        <w:t>alongside a cumulative count of projected savings</w:t>
      </w:r>
      <w:r w:rsidR="00CE7D7D">
        <w:t xml:space="preserve">, and are the Company’s proposed annual </w:t>
      </w:r>
      <w:r w:rsidR="00B34635">
        <w:t xml:space="preserve">conservation </w:t>
      </w:r>
      <w:r w:rsidR="00CE7D7D">
        <w:t>goals</w:t>
      </w:r>
      <w:r w:rsidR="00B34635">
        <w:t xml:space="preserve"> for the period 2019-2028</w:t>
      </w:r>
      <w:r>
        <w:t>. Staff recommends t</w:t>
      </w:r>
      <w:r w:rsidR="00B34635">
        <w:t>hat the Commission establish the</w:t>
      </w:r>
      <w:r>
        <w:t xml:space="preserve"> annual therm savings seen in Table </w:t>
      </w:r>
      <w:r w:rsidR="003036BC">
        <w:t>3</w:t>
      </w:r>
      <w:r>
        <w:t>-</w:t>
      </w:r>
      <w:r w:rsidR="00DA0848">
        <w:t>1</w:t>
      </w:r>
      <w:r>
        <w:t xml:space="preserve"> as </w:t>
      </w:r>
      <w:r w:rsidR="008A5E65">
        <w:t>PGS’</w:t>
      </w:r>
      <w:r>
        <w:t xml:space="preserve"> annual </w:t>
      </w:r>
      <w:r w:rsidR="00B34635">
        <w:t xml:space="preserve">conservation </w:t>
      </w:r>
      <w:r>
        <w:t>goals for the period 2019-2028.</w:t>
      </w:r>
    </w:p>
    <w:p w:rsidR="00BF620E" w:rsidRPr="000A3F9D" w:rsidRDefault="00BF620E" w:rsidP="000A3F9D">
      <w:pPr>
        <w:pStyle w:val="BodyText"/>
      </w:pPr>
    </w:p>
    <w:p w:rsidR="00432D99" w:rsidRDefault="00432D99" w:rsidP="008128EB">
      <w:pPr>
        <w:pStyle w:val="TableNumber"/>
        <w:keepNext/>
        <w:spacing w:before="0"/>
      </w:pPr>
      <w:r>
        <w:lastRenderedPageBreak/>
        <w:t xml:space="preserve">Table </w:t>
      </w:r>
      <w:r w:rsidR="00FE4D92">
        <w:fldChar w:fldCharType="begin"/>
      </w:r>
      <w:r w:rsidR="00FE4D92">
        <w:instrText xml:space="preserve"> SEQ Issue \c </w:instrText>
      </w:r>
      <w:r w:rsidR="00FE4D92">
        <w:fldChar w:fldCharType="separate"/>
      </w:r>
      <w:r w:rsidR="000160AB">
        <w:rPr>
          <w:noProof/>
        </w:rPr>
        <w:t>3</w:t>
      </w:r>
      <w:r w:rsidR="00FE4D92">
        <w:rPr>
          <w:noProof/>
        </w:rPr>
        <w:fldChar w:fldCharType="end"/>
      </w:r>
      <w:r>
        <w:t>-</w:t>
      </w:r>
      <w:r w:rsidR="00864F04">
        <w:t>1</w:t>
      </w:r>
    </w:p>
    <w:p w:rsidR="00432D99" w:rsidRDefault="00432D99" w:rsidP="00432D99">
      <w:pPr>
        <w:pStyle w:val="TableTitle"/>
        <w:keepNext/>
      </w:pPr>
      <w:r>
        <w:t>2019-2028 Achievable Therm Savings</w:t>
      </w:r>
      <w:r w:rsidR="0014028D">
        <w:t xml:space="preserve"> </w:t>
      </w:r>
      <w:proofErr w:type="gramStart"/>
      <w:r w:rsidR="0014028D">
        <w:t>For</w:t>
      </w:r>
      <w:proofErr w:type="gramEnd"/>
      <w:r w:rsidR="0014028D">
        <w:t xml:space="preserve"> All Current DSM Measures</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432D99" w:rsidRPr="00132C5E" w:rsidTr="00004DFC">
        <w:tc>
          <w:tcPr>
            <w:tcW w:w="1368" w:type="dxa"/>
            <w:vMerge w:val="restart"/>
            <w:vAlign w:val="center"/>
          </w:tcPr>
          <w:p w:rsidR="00432D99" w:rsidRPr="00132C5E" w:rsidRDefault="00432D99" w:rsidP="00004DFC">
            <w:pPr>
              <w:jc w:val="center"/>
            </w:pPr>
            <w:r w:rsidRPr="00132C5E">
              <w:t>Year</w:t>
            </w:r>
          </w:p>
        </w:tc>
        <w:tc>
          <w:tcPr>
            <w:tcW w:w="2736" w:type="dxa"/>
            <w:gridSpan w:val="2"/>
            <w:vAlign w:val="center"/>
          </w:tcPr>
          <w:p w:rsidR="00432D99" w:rsidRPr="00132C5E" w:rsidRDefault="00432D99" w:rsidP="00004DFC">
            <w:pPr>
              <w:jc w:val="center"/>
            </w:pPr>
            <w:r w:rsidRPr="00132C5E">
              <w:t>Residential</w:t>
            </w:r>
          </w:p>
        </w:tc>
        <w:tc>
          <w:tcPr>
            <w:tcW w:w="2736" w:type="dxa"/>
            <w:gridSpan w:val="2"/>
            <w:vAlign w:val="center"/>
          </w:tcPr>
          <w:p w:rsidR="00432D99" w:rsidRPr="00132C5E" w:rsidRDefault="00432D99" w:rsidP="00004DFC">
            <w:pPr>
              <w:jc w:val="center"/>
            </w:pPr>
            <w:r w:rsidRPr="00132C5E">
              <w:t>Small-commercial</w:t>
            </w:r>
          </w:p>
        </w:tc>
        <w:tc>
          <w:tcPr>
            <w:tcW w:w="2736" w:type="dxa"/>
            <w:gridSpan w:val="2"/>
            <w:vAlign w:val="center"/>
          </w:tcPr>
          <w:p w:rsidR="00432D99" w:rsidRPr="00132C5E" w:rsidRDefault="00432D99" w:rsidP="00004DFC">
            <w:pPr>
              <w:jc w:val="center"/>
            </w:pPr>
            <w:r w:rsidRPr="00132C5E">
              <w:t>Combined</w:t>
            </w:r>
          </w:p>
        </w:tc>
      </w:tr>
      <w:tr w:rsidR="00432D99" w:rsidRPr="00132C5E" w:rsidTr="00004DFC">
        <w:tc>
          <w:tcPr>
            <w:tcW w:w="1368" w:type="dxa"/>
            <w:vMerge/>
            <w:vAlign w:val="center"/>
          </w:tcPr>
          <w:p w:rsidR="00432D99" w:rsidRPr="00132C5E" w:rsidRDefault="00432D99" w:rsidP="00004DFC">
            <w:pPr>
              <w:jc w:val="center"/>
            </w:pPr>
          </w:p>
        </w:tc>
        <w:tc>
          <w:tcPr>
            <w:tcW w:w="1368" w:type="dxa"/>
            <w:vAlign w:val="center"/>
          </w:tcPr>
          <w:p w:rsidR="00432D99" w:rsidRPr="00132C5E" w:rsidRDefault="00432D99" w:rsidP="00004DFC">
            <w:pPr>
              <w:jc w:val="center"/>
            </w:pPr>
            <w:r w:rsidRPr="00132C5E">
              <w:t>Yearly</w:t>
            </w:r>
          </w:p>
        </w:tc>
        <w:tc>
          <w:tcPr>
            <w:tcW w:w="1368" w:type="dxa"/>
            <w:vAlign w:val="center"/>
          </w:tcPr>
          <w:p w:rsidR="00432D99" w:rsidRPr="00132C5E" w:rsidRDefault="00432D99" w:rsidP="00004DFC">
            <w:pPr>
              <w:jc w:val="center"/>
            </w:pPr>
            <w:r w:rsidRPr="00132C5E">
              <w:t>Cumulative</w:t>
            </w:r>
          </w:p>
        </w:tc>
        <w:tc>
          <w:tcPr>
            <w:tcW w:w="1368" w:type="dxa"/>
            <w:vAlign w:val="center"/>
          </w:tcPr>
          <w:p w:rsidR="00432D99" w:rsidRPr="00132C5E" w:rsidRDefault="00432D99" w:rsidP="00004DFC">
            <w:pPr>
              <w:jc w:val="center"/>
            </w:pPr>
            <w:r w:rsidRPr="00132C5E">
              <w:t>Yearly</w:t>
            </w:r>
          </w:p>
        </w:tc>
        <w:tc>
          <w:tcPr>
            <w:tcW w:w="1368" w:type="dxa"/>
            <w:vAlign w:val="center"/>
          </w:tcPr>
          <w:p w:rsidR="00432D99" w:rsidRPr="00132C5E" w:rsidRDefault="00432D99" w:rsidP="00004DFC">
            <w:pPr>
              <w:jc w:val="center"/>
            </w:pPr>
            <w:r w:rsidRPr="00132C5E">
              <w:t>Cumulative</w:t>
            </w:r>
          </w:p>
        </w:tc>
        <w:tc>
          <w:tcPr>
            <w:tcW w:w="1368" w:type="dxa"/>
            <w:vAlign w:val="center"/>
          </w:tcPr>
          <w:p w:rsidR="00432D99" w:rsidRPr="00132C5E" w:rsidRDefault="00432D99" w:rsidP="00004DFC">
            <w:pPr>
              <w:jc w:val="center"/>
            </w:pPr>
            <w:r w:rsidRPr="00132C5E">
              <w:t>Yearly</w:t>
            </w:r>
          </w:p>
        </w:tc>
        <w:tc>
          <w:tcPr>
            <w:tcW w:w="1368" w:type="dxa"/>
            <w:vAlign w:val="center"/>
          </w:tcPr>
          <w:p w:rsidR="00432D99" w:rsidRPr="00132C5E" w:rsidRDefault="00432D99" w:rsidP="00004DFC">
            <w:pPr>
              <w:jc w:val="center"/>
            </w:pPr>
            <w:r w:rsidRPr="00132C5E">
              <w:t>Cumulative</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2019</w:t>
            </w:r>
          </w:p>
        </w:tc>
        <w:tc>
          <w:tcPr>
            <w:tcW w:w="1368" w:type="dxa"/>
            <w:vAlign w:val="center"/>
          </w:tcPr>
          <w:p w:rsidR="00432D99" w:rsidRPr="00132C5E" w:rsidRDefault="00432D99" w:rsidP="00004DFC">
            <w:pPr>
              <w:jc w:val="center"/>
              <w:rPr>
                <w:color w:val="000000"/>
              </w:rPr>
            </w:pPr>
            <w:r w:rsidRPr="00132C5E">
              <w:rPr>
                <w:color w:val="000000"/>
              </w:rPr>
              <w:t>338,439</w:t>
            </w:r>
          </w:p>
        </w:tc>
        <w:tc>
          <w:tcPr>
            <w:tcW w:w="1368" w:type="dxa"/>
            <w:vAlign w:val="center"/>
          </w:tcPr>
          <w:p w:rsidR="00432D99" w:rsidRPr="00132C5E" w:rsidRDefault="00432D99" w:rsidP="00004DFC">
            <w:pPr>
              <w:jc w:val="center"/>
              <w:rPr>
                <w:color w:val="000000"/>
              </w:rPr>
            </w:pPr>
            <w:r w:rsidRPr="00132C5E">
              <w:rPr>
                <w:color w:val="000000"/>
              </w:rPr>
              <w:t>338,439</w:t>
            </w:r>
          </w:p>
        </w:tc>
        <w:tc>
          <w:tcPr>
            <w:tcW w:w="1368" w:type="dxa"/>
            <w:vAlign w:val="center"/>
          </w:tcPr>
          <w:p w:rsidR="00432D99" w:rsidRPr="00132C5E" w:rsidRDefault="00432D99" w:rsidP="00004DFC">
            <w:pPr>
              <w:jc w:val="center"/>
              <w:rPr>
                <w:color w:val="000000"/>
              </w:rPr>
            </w:pPr>
            <w:r w:rsidRPr="00132C5E">
              <w:rPr>
                <w:color w:val="000000"/>
              </w:rPr>
              <w:t>216,155</w:t>
            </w:r>
          </w:p>
        </w:tc>
        <w:tc>
          <w:tcPr>
            <w:tcW w:w="1368" w:type="dxa"/>
            <w:vAlign w:val="center"/>
          </w:tcPr>
          <w:p w:rsidR="00432D99" w:rsidRPr="00132C5E" w:rsidRDefault="00432D99" w:rsidP="00004DFC">
            <w:pPr>
              <w:jc w:val="center"/>
              <w:rPr>
                <w:color w:val="000000"/>
              </w:rPr>
            </w:pPr>
            <w:r w:rsidRPr="00132C5E">
              <w:rPr>
                <w:color w:val="000000"/>
              </w:rPr>
              <w:t>216,155</w:t>
            </w:r>
          </w:p>
        </w:tc>
        <w:tc>
          <w:tcPr>
            <w:tcW w:w="1368" w:type="dxa"/>
            <w:vAlign w:val="center"/>
          </w:tcPr>
          <w:p w:rsidR="00432D99" w:rsidRPr="00132C5E" w:rsidRDefault="00432D99" w:rsidP="00004DFC">
            <w:pPr>
              <w:jc w:val="center"/>
              <w:rPr>
                <w:color w:val="000000"/>
              </w:rPr>
            </w:pPr>
            <w:r w:rsidRPr="00132C5E">
              <w:rPr>
                <w:color w:val="000000"/>
              </w:rPr>
              <w:t>554,594</w:t>
            </w:r>
          </w:p>
        </w:tc>
        <w:tc>
          <w:tcPr>
            <w:tcW w:w="1368" w:type="dxa"/>
            <w:vAlign w:val="center"/>
          </w:tcPr>
          <w:p w:rsidR="00432D99" w:rsidRPr="00132C5E" w:rsidRDefault="00432D99" w:rsidP="00004DFC">
            <w:pPr>
              <w:jc w:val="center"/>
              <w:rPr>
                <w:color w:val="000000"/>
              </w:rPr>
            </w:pPr>
            <w:r w:rsidRPr="00132C5E">
              <w:rPr>
                <w:color w:val="000000"/>
              </w:rPr>
              <w:t>554,594</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2020</w:t>
            </w:r>
          </w:p>
        </w:tc>
        <w:tc>
          <w:tcPr>
            <w:tcW w:w="1368" w:type="dxa"/>
            <w:vAlign w:val="center"/>
          </w:tcPr>
          <w:p w:rsidR="00432D99" w:rsidRPr="00132C5E" w:rsidRDefault="00432D99" w:rsidP="00004DFC">
            <w:pPr>
              <w:jc w:val="center"/>
              <w:rPr>
                <w:color w:val="000000"/>
              </w:rPr>
            </w:pPr>
            <w:r w:rsidRPr="00132C5E">
              <w:rPr>
                <w:color w:val="000000"/>
              </w:rPr>
              <w:t>347,108</w:t>
            </w:r>
          </w:p>
        </w:tc>
        <w:tc>
          <w:tcPr>
            <w:tcW w:w="1368" w:type="dxa"/>
            <w:vAlign w:val="center"/>
          </w:tcPr>
          <w:p w:rsidR="00432D99" w:rsidRPr="00132C5E" w:rsidRDefault="00432D99" w:rsidP="00004DFC">
            <w:pPr>
              <w:jc w:val="center"/>
              <w:rPr>
                <w:color w:val="000000"/>
              </w:rPr>
            </w:pPr>
            <w:r w:rsidRPr="00132C5E">
              <w:rPr>
                <w:color w:val="000000"/>
              </w:rPr>
              <w:t>685,548</w:t>
            </w:r>
          </w:p>
        </w:tc>
        <w:tc>
          <w:tcPr>
            <w:tcW w:w="1368" w:type="dxa"/>
            <w:vAlign w:val="center"/>
          </w:tcPr>
          <w:p w:rsidR="00432D99" w:rsidRPr="00132C5E" w:rsidRDefault="00432D99" w:rsidP="00004DFC">
            <w:pPr>
              <w:jc w:val="center"/>
              <w:rPr>
                <w:color w:val="000000"/>
              </w:rPr>
            </w:pPr>
            <w:r w:rsidRPr="00132C5E">
              <w:rPr>
                <w:color w:val="000000"/>
              </w:rPr>
              <w:t>222,062</w:t>
            </w:r>
          </w:p>
        </w:tc>
        <w:tc>
          <w:tcPr>
            <w:tcW w:w="1368" w:type="dxa"/>
            <w:vAlign w:val="center"/>
          </w:tcPr>
          <w:p w:rsidR="00432D99" w:rsidRPr="00132C5E" w:rsidRDefault="00432D99" w:rsidP="00004DFC">
            <w:pPr>
              <w:jc w:val="center"/>
              <w:rPr>
                <w:color w:val="000000"/>
              </w:rPr>
            </w:pPr>
            <w:r w:rsidRPr="00132C5E">
              <w:rPr>
                <w:color w:val="000000"/>
              </w:rPr>
              <w:t>438,217</w:t>
            </w:r>
          </w:p>
        </w:tc>
        <w:tc>
          <w:tcPr>
            <w:tcW w:w="1368" w:type="dxa"/>
            <w:vAlign w:val="center"/>
          </w:tcPr>
          <w:p w:rsidR="00432D99" w:rsidRPr="00132C5E" w:rsidRDefault="00432D99" w:rsidP="00004DFC">
            <w:pPr>
              <w:jc w:val="center"/>
              <w:rPr>
                <w:color w:val="000000"/>
              </w:rPr>
            </w:pPr>
            <w:r w:rsidRPr="00132C5E">
              <w:rPr>
                <w:color w:val="000000"/>
              </w:rPr>
              <w:t>569,170</w:t>
            </w:r>
          </w:p>
        </w:tc>
        <w:tc>
          <w:tcPr>
            <w:tcW w:w="1368" w:type="dxa"/>
            <w:vAlign w:val="center"/>
          </w:tcPr>
          <w:p w:rsidR="00432D99" w:rsidRPr="00132C5E" w:rsidRDefault="00432D99" w:rsidP="00004DFC">
            <w:pPr>
              <w:jc w:val="center"/>
              <w:rPr>
                <w:color w:val="000000"/>
              </w:rPr>
            </w:pPr>
            <w:r w:rsidRPr="00132C5E">
              <w:rPr>
                <w:color w:val="000000"/>
              </w:rPr>
              <w:t>1,123,764</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2021</w:t>
            </w:r>
          </w:p>
        </w:tc>
        <w:tc>
          <w:tcPr>
            <w:tcW w:w="1368" w:type="dxa"/>
            <w:vAlign w:val="center"/>
          </w:tcPr>
          <w:p w:rsidR="00432D99" w:rsidRPr="00132C5E" w:rsidRDefault="00432D99" w:rsidP="00004DFC">
            <w:pPr>
              <w:jc w:val="center"/>
              <w:rPr>
                <w:color w:val="000000"/>
              </w:rPr>
            </w:pPr>
            <w:r w:rsidRPr="00132C5E">
              <w:rPr>
                <w:color w:val="000000"/>
              </w:rPr>
              <w:t>355,569</w:t>
            </w:r>
          </w:p>
        </w:tc>
        <w:tc>
          <w:tcPr>
            <w:tcW w:w="1368" w:type="dxa"/>
            <w:vAlign w:val="center"/>
          </w:tcPr>
          <w:p w:rsidR="00432D99" w:rsidRPr="00132C5E" w:rsidRDefault="00432D99" w:rsidP="00004DFC">
            <w:pPr>
              <w:jc w:val="center"/>
              <w:rPr>
                <w:color w:val="000000"/>
              </w:rPr>
            </w:pPr>
            <w:r w:rsidRPr="00132C5E">
              <w:rPr>
                <w:color w:val="000000"/>
              </w:rPr>
              <w:t>1,041,116</w:t>
            </w:r>
          </w:p>
        </w:tc>
        <w:tc>
          <w:tcPr>
            <w:tcW w:w="1368" w:type="dxa"/>
            <w:vAlign w:val="center"/>
          </w:tcPr>
          <w:p w:rsidR="00432D99" w:rsidRPr="00132C5E" w:rsidRDefault="00432D99" w:rsidP="00004DFC">
            <w:pPr>
              <w:jc w:val="center"/>
              <w:rPr>
                <w:color w:val="000000"/>
              </w:rPr>
            </w:pPr>
            <w:r w:rsidRPr="00132C5E">
              <w:rPr>
                <w:color w:val="000000"/>
              </w:rPr>
              <w:t>227,968</w:t>
            </w:r>
          </w:p>
        </w:tc>
        <w:tc>
          <w:tcPr>
            <w:tcW w:w="1368" w:type="dxa"/>
            <w:vAlign w:val="center"/>
          </w:tcPr>
          <w:p w:rsidR="00432D99" w:rsidRPr="00132C5E" w:rsidRDefault="00432D99" w:rsidP="00004DFC">
            <w:pPr>
              <w:jc w:val="center"/>
              <w:rPr>
                <w:color w:val="000000"/>
              </w:rPr>
            </w:pPr>
            <w:r w:rsidRPr="00132C5E">
              <w:rPr>
                <w:color w:val="000000"/>
              </w:rPr>
              <w:t>666,184</w:t>
            </w:r>
          </w:p>
        </w:tc>
        <w:tc>
          <w:tcPr>
            <w:tcW w:w="1368" w:type="dxa"/>
            <w:vAlign w:val="center"/>
          </w:tcPr>
          <w:p w:rsidR="00432D99" w:rsidRPr="00132C5E" w:rsidRDefault="00432D99" w:rsidP="00004DFC">
            <w:pPr>
              <w:jc w:val="center"/>
              <w:rPr>
                <w:color w:val="000000"/>
              </w:rPr>
            </w:pPr>
            <w:r w:rsidRPr="00132C5E">
              <w:rPr>
                <w:color w:val="000000"/>
              </w:rPr>
              <w:t>583,537</w:t>
            </w:r>
          </w:p>
        </w:tc>
        <w:tc>
          <w:tcPr>
            <w:tcW w:w="1368" w:type="dxa"/>
            <w:vAlign w:val="center"/>
          </w:tcPr>
          <w:p w:rsidR="00432D99" w:rsidRPr="00132C5E" w:rsidRDefault="00432D99" w:rsidP="00004DFC">
            <w:pPr>
              <w:jc w:val="center"/>
              <w:rPr>
                <w:color w:val="000000"/>
              </w:rPr>
            </w:pPr>
            <w:r w:rsidRPr="00132C5E">
              <w:rPr>
                <w:color w:val="000000"/>
              </w:rPr>
              <w:t>1,707,301</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2022</w:t>
            </w:r>
          </w:p>
        </w:tc>
        <w:tc>
          <w:tcPr>
            <w:tcW w:w="1368" w:type="dxa"/>
            <w:vAlign w:val="center"/>
          </w:tcPr>
          <w:p w:rsidR="00432D99" w:rsidRPr="00132C5E" w:rsidRDefault="00432D99" w:rsidP="00004DFC">
            <w:pPr>
              <w:jc w:val="center"/>
              <w:rPr>
                <w:color w:val="000000"/>
              </w:rPr>
            </w:pPr>
            <w:r w:rsidRPr="00132C5E">
              <w:rPr>
                <w:color w:val="000000"/>
              </w:rPr>
              <w:t>363,728</w:t>
            </w:r>
          </w:p>
        </w:tc>
        <w:tc>
          <w:tcPr>
            <w:tcW w:w="1368" w:type="dxa"/>
            <w:vAlign w:val="center"/>
          </w:tcPr>
          <w:p w:rsidR="00432D99" w:rsidRPr="00132C5E" w:rsidRDefault="00432D99" w:rsidP="00004DFC">
            <w:pPr>
              <w:jc w:val="center"/>
              <w:rPr>
                <w:color w:val="000000"/>
              </w:rPr>
            </w:pPr>
            <w:r w:rsidRPr="00132C5E">
              <w:rPr>
                <w:color w:val="000000"/>
              </w:rPr>
              <w:t>1,404,845</w:t>
            </w:r>
          </w:p>
        </w:tc>
        <w:tc>
          <w:tcPr>
            <w:tcW w:w="1368" w:type="dxa"/>
            <w:vAlign w:val="center"/>
          </w:tcPr>
          <w:p w:rsidR="00432D99" w:rsidRPr="00132C5E" w:rsidRDefault="00432D99" w:rsidP="00004DFC">
            <w:pPr>
              <w:jc w:val="center"/>
              <w:rPr>
                <w:color w:val="000000"/>
              </w:rPr>
            </w:pPr>
            <w:r w:rsidRPr="00132C5E">
              <w:rPr>
                <w:color w:val="000000"/>
              </w:rPr>
              <w:t>233,833</w:t>
            </w:r>
          </w:p>
        </w:tc>
        <w:tc>
          <w:tcPr>
            <w:tcW w:w="1368" w:type="dxa"/>
            <w:vAlign w:val="center"/>
          </w:tcPr>
          <w:p w:rsidR="00432D99" w:rsidRPr="00132C5E" w:rsidRDefault="00432D99" w:rsidP="00004DFC">
            <w:pPr>
              <w:jc w:val="center"/>
              <w:rPr>
                <w:color w:val="000000"/>
              </w:rPr>
            </w:pPr>
            <w:r w:rsidRPr="00132C5E">
              <w:rPr>
                <w:color w:val="000000"/>
              </w:rPr>
              <w:t>900,017</w:t>
            </w:r>
          </w:p>
        </w:tc>
        <w:tc>
          <w:tcPr>
            <w:tcW w:w="1368" w:type="dxa"/>
            <w:vAlign w:val="center"/>
          </w:tcPr>
          <w:p w:rsidR="00432D99" w:rsidRPr="00132C5E" w:rsidRDefault="00432D99" w:rsidP="00004DFC">
            <w:pPr>
              <w:jc w:val="center"/>
              <w:rPr>
                <w:color w:val="000000"/>
              </w:rPr>
            </w:pPr>
            <w:r w:rsidRPr="00132C5E">
              <w:rPr>
                <w:color w:val="000000"/>
              </w:rPr>
              <w:t>597,561</w:t>
            </w:r>
          </w:p>
        </w:tc>
        <w:tc>
          <w:tcPr>
            <w:tcW w:w="1368" w:type="dxa"/>
            <w:vAlign w:val="center"/>
          </w:tcPr>
          <w:p w:rsidR="00432D99" w:rsidRPr="00132C5E" w:rsidRDefault="00432D99" w:rsidP="00004DFC">
            <w:pPr>
              <w:jc w:val="center"/>
              <w:rPr>
                <w:color w:val="000000"/>
              </w:rPr>
            </w:pPr>
            <w:r w:rsidRPr="00132C5E">
              <w:rPr>
                <w:color w:val="000000"/>
              </w:rPr>
              <w:t>2,304,862</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2023</w:t>
            </w:r>
          </w:p>
        </w:tc>
        <w:tc>
          <w:tcPr>
            <w:tcW w:w="1368" w:type="dxa"/>
            <w:vAlign w:val="center"/>
          </w:tcPr>
          <w:p w:rsidR="00432D99" w:rsidRPr="00132C5E" w:rsidRDefault="00432D99" w:rsidP="00004DFC">
            <w:pPr>
              <w:jc w:val="center"/>
              <w:rPr>
                <w:color w:val="000000"/>
              </w:rPr>
            </w:pPr>
            <w:r w:rsidRPr="00132C5E">
              <w:rPr>
                <w:color w:val="000000"/>
              </w:rPr>
              <w:t>371,562</w:t>
            </w:r>
          </w:p>
        </w:tc>
        <w:tc>
          <w:tcPr>
            <w:tcW w:w="1368" w:type="dxa"/>
            <w:vAlign w:val="center"/>
          </w:tcPr>
          <w:p w:rsidR="00432D99" w:rsidRPr="00132C5E" w:rsidRDefault="00432D99" w:rsidP="00004DFC">
            <w:pPr>
              <w:jc w:val="center"/>
              <w:rPr>
                <w:color w:val="000000"/>
              </w:rPr>
            </w:pPr>
            <w:r w:rsidRPr="00132C5E">
              <w:rPr>
                <w:color w:val="000000"/>
              </w:rPr>
              <w:t>1,776,406</w:t>
            </w:r>
          </w:p>
        </w:tc>
        <w:tc>
          <w:tcPr>
            <w:tcW w:w="1368" w:type="dxa"/>
            <w:vAlign w:val="center"/>
          </w:tcPr>
          <w:p w:rsidR="00432D99" w:rsidRPr="00132C5E" w:rsidRDefault="00432D99" w:rsidP="00004DFC">
            <w:pPr>
              <w:jc w:val="center"/>
              <w:rPr>
                <w:color w:val="000000"/>
              </w:rPr>
            </w:pPr>
            <w:r w:rsidRPr="00132C5E">
              <w:rPr>
                <w:color w:val="000000"/>
              </w:rPr>
              <w:t>239,661</w:t>
            </w:r>
          </w:p>
        </w:tc>
        <w:tc>
          <w:tcPr>
            <w:tcW w:w="1368" w:type="dxa"/>
            <w:vAlign w:val="center"/>
          </w:tcPr>
          <w:p w:rsidR="00432D99" w:rsidRPr="00132C5E" w:rsidRDefault="00432D99" w:rsidP="00004DFC">
            <w:pPr>
              <w:jc w:val="center"/>
              <w:rPr>
                <w:color w:val="000000"/>
              </w:rPr>
            </w:pPr>
            <w:r w:rsidRPr="00132C5E">
              <w:rPr>
                <w:color w:val="000000"/>
              </w:rPr>
              <w:t>1,139,678</w:t>
            </w:r>
          </w:p>
        </w:tc>
        <w:tc>
          <w:tcPr>
            <w:tcW w:w="1368" w:type="dxa"/>
            <w:vAlign w:val="center"/>
          </w:tcPr>
          <w:p w:rsidR="00432D99" w:rsidRPr="00132C5E" w:rsidRDefault="00432D99" w:rsidP="00004DFC">
            <w:pPr>
              <w:jc w:val="center"/>
              <w:rPr>
                <w:color w:val="000000"/>
              </w:rPr>
            </w:pPr>
            <w:r w:rsidRPr="00132C5E">
              <w:rPr>
                <w:color w:val="000000"/>
              </w:rPr>
              <w:t>611,222</w:t>
            </w:r>
          </w:p>
        </w:tc>
        <w:tc>
          <w:tcPr>
            <w:tcW w:w="1368" w:type="dxa"/>
            <w:vAlign w:val="center"/>
          </w:tcPr>
          <w:p w:rsidR="00432D99" w:rsidRPr="00132C5E" w:rsidRDefault="00432D99" w:rsidP="00004DFC">
            <w:pPr>
              <w:jc w:val="center"/>
              <w:rPr>
                <w:color w:val="000000"/>
              </w:rPr>
            </w:pPr>
            <w:r w:rsidRPr="00132C5E">
              <w:rPr>
                <w:color w:val="000000"/>
              </w:rPr>
              <w:t>2,916,084</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2024</w:t>
            </w:r>
          </w:p>
        </w:tc>
        <w:tc>
          <w:tcPr>
            <w:tcW w:w="1368" w:type="dxa"/>
            <w:vAlign w:val="center"/>
          </w:tcPr>
          <w:p w:rsidR="00432D99" w:rsidRPr="00132C5E" w:rsidRDefault="00432D99" w:rsidP="00004DFC">
            <w:pPr>
              <w:jc w:val="center"/>
              <w:rPr>
                <w:color w:val="000000"/>
              </w:rPr>
            </w:pPr>
            <w:r w:rsidRPr="00132C5E">
              <w:rPr>
                <w:color w:val="000000"/>
              </w:rPr>
              <w:t>379,045</w:t>
            </w:r>
          </w:p>
        </w:tc>
        <w:tc>
          <w:tcPr>
            <w:tcW w:w="1368" w:type="dxa"/>
            <w:vAlign w:val="center"/>
          </w:tcPr>
          <w:p w:rsidR="00432D99" w:rsidRPr="00132C5E" w:rsidRDefault="00432D99" w:rsidP="00004DFC">
            <w:pPr>
              <w:jc w:val="center"/>
              <w:rPr>
                <w:color w:val="000000"/>
              </w:rPr>
            </w:pPr>
            <w:r w:rsidRPr="00132C5E">
              <w:rPr>
                <w:color w:val="000000"/>
              </w:rPr>
              <w:t>2,155,451</w:t>
            </w:r>
          </w:p>
        </w:tc>
        <w:tc>
          <w:tcPr>
            <w:tcW w:w="1368" w:type="dxa"/>
            <w:vAlign w:val="center"/>
          </w:tcPr>
          <w:p w:rsidR="00432D99" w:rsidRPr="00132C5E" w:rsidRDefault="00432D99" w:rsidP="00004DFC">
            <w:pPr>
              <w:jc w:val="center"/>
              <w:rPr>
                <w:color w:val="000000"/>
              </w:rPr>
            </w:pPr>
            <w:r w:rsidRPr="00132C5E">
              <w:rPr>
                <w:color w:val="000000"/>
              </w:rPr>
              <w:t>245,457</w:t>
            </w:r>
          </w:p>
        </w:tc>
        <w:tc>
          <w:tcPr>
            <w:tcW w:w="1368" w:type="dxa"/>
            <w:vAlign w:val="center"/>
          </w:tcPr>
          <w:p w:rsidR="00432D99" w:rsidRPr="00132C5E" w:rsidRDefault="00432D99" w:rsidP="00004DFC">
            <w:pPr>
              <w:jc w:val="center"/>
              <w:rPr>
                <w:color w:val="000000"/>
              </w:rPr>
            </w:pPr>
            <w:r w:rsidRPr="00132C5E">
              <w:rPr>
                <w:color w:val="000000"/>
              </w:rPr>
              <w:t>1,385,135</w:t>
            </w:r>
          </w:p>
        </w:tc>
        <w:tc>
          <w:tcPr>
            <w:tcW w:w="1368" w:type="dxa"/>
            <w:vAlign w:val="center"/>
          </w:tcPr>
          <w:p w:rsidR="00432D99" w:rsidRPr="00132C5E" w:rsidRDefault="00432D99" w:rsidP="00004DFC">
            <w:pPr>
              <w:jc w:val="center"/>
              <w:rPr>
                <w:color w:val="000000"/>
              </w:rPr>
            </w:pPr>
            <w:r w:rsidRPr="00132C5E">
              <w:rPr>
                <w:color w:val="000000"/>
              </w:rPr>
              <w:t>624,502</w:t>
            </w:r>
          </w:p>
        </w:tc>
        <w:tc>
          <w:tcPr>
            <w:tcW w:w="1368" w:type="dxa"/>
            <w:vAlign w:val="center"/>
          </w:tcPr>
          <w:p w:rsidR="00432D99" w:rsidRPr="00132C5E" w:rsidRDefault="00432D99" w:rsidP="00004DFC">
            <w:pPr>
              <w:jc w:val="center"/>
              <w:rPr>
                <w:color w:val="000000"/>
              </w:rPr>
            </w:pPr>
            <w:r w:rsidRPr="00132C5E">
              <w:rPr>
                <w:color w:val="000000"/>
              </w:rPr>
              <w:t>3,540,586</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2025</w:t>
            </w:r>
          </w:p>
        </w:tc>
        <w:tc>
          <w:tcPr>
            <w:tcW w:w="1368" w:type="dxa"/>
            <w:vAlign w:val="center"/>
          </w:tcPr>
          <w:p w:rsidR="00432D99" w:rsidRPr="00132C5E" w:rsidRDefault="00432D99" w:rsidP="00004DFC">
            <w:pPr>
              <w:jc w:val="center"/>
              <w:rPr>
                <w:color w:val="000000"/>
              </w:rPr>
            </w:pPr>
            <w:r w:rsidRPr="00132C5E">
              <w:rPr>
                <w:color w:val="000000"/>
              </w:rPr>
              <w:t>386,682</w:t>
            </w:r>
          </w:p>
        </w:tc>
        <w:tc>
          <w:tcPr>
            <w:tcW w:w="1368" w:type="dxa"/>
            <w:vAlign w:val="center"/>
          </w:tcPr>
          <w:p w:rsidR="00432D99" w:rsidRPr="00132C5E" w:rsidRDefault="00432D99" w:rsidP="00004DFC">
            <w:pPr>
              <w:jc w:val="center"/>
              <w:rPr>
                <w:color w:val="000000"/>
              </w:rPr>
            </w:pPr>
            <w:r w:rsidRPr="00132C5E">
              <w:rPr>
                <w:color w:val="000000"/>
              </w:rPr>
              <w:t>2,542,133</w:t>
            </w:r>
          </w:p>
        </w:tc>
        <w:tc>
          <w:tcPr>
            <w:tcW w:w="1368" w:type="dxa"/>
            <w:vAlign w:val="center"/>
          </w:tcPr>
          <w:p w:rsidR="00432D99" w:rsidRPr="00132C5E" w:rsidRDefault="00432D99" w:rsidP="00004DFC">
            <w:pPr>
              <w:jc w:val="center"/>
              <w:rPr>
                <w:color w:val="000000"/>
              </w:rPr>
            </w:pPr>
            <w:r w:rsidRPr="00132C5E">
              <w:rPr>
                <w:color w:val="000000"/>
              </w:rPr>
              <w:t>251,338</w:t>
            </w:r>
          </w:p>
        </w:tc>
        <w:tc>
          <w:tcPr>
            <w:tcW w:w="1368" w:type="dxa"/>
            <w:vAlign w:val="center"/>
          </w:tcPr>
          <w:p w:rsidR="00432D99" w:rsidRPr="00132C5E" w:rsidRDefault="00432D99" w:rsidP="00004DFC">
            <w:pPr>
              <w:jc w:val="center"/>
              <w:rPr>
                <w:color w:val="000000"/>
              </w:rPr>
            </w:pPr>
            <w:r w:rsidRPr="00132C5E">
              <w:rPr>
                <w:color w:val="000000"/>
              </w:rPr>
              <w:t>1,636,473</w:t>
            </w:r>
          </w:p>
        </w:tc>
        <w:tc>
          <w:tcPr>
            <w:tcW w:w="1368" w:type="dxa"/>
            <w:vAlign w:val="center"/>
          </w:tcPr>
          <w:p w:rsidR="00432D99" w:rsidRPr="00132C5E" w:rsidRDefault="00432D99" w:rsidP="00004DFC">
            <w:pPr>
              <w:jc w:val="center"/>
              <w:rPr>
                <w:color w:val="000000"/>
              </w:rPr>
            </w:pPr>
            <w:r w:rsidRPr="00132C5E">
              <w:rPr>
                <w:color w:val="000000"/>
              </w:rPr>
              <w:t>638,019</w:t>
            </w:r>
          </w:p>
        </w:tc>
        <w:tc>
          <w:tcPr>
            <w:tcW w:w="1368" w:type="dxa"/>
            <w:vAlign w:val="center"/>
          </w:tcPr>
          <w:p w:rsidR="00432D99" w:rsidRPr="00132C5E" w:rsidRDefault="00432D99" w:rsidP="00004DFC">
            <w:pPr>
              <w:jc w:val="center"/>
              <w:rPr>
                <w:color w:val="000000"/>
              </w:rPr>
            </w:pPr>
            <w:r w:rsidRPr="00132C5E">
              <w:rPr>
                <w:color w:val="000000"/>
              </w:rPr>
              <w:t>4,178,605</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2026</w:t>
            </w:r>
          </w:p>
        </w:tc>
        <w:tc>
          <w:tcPr>
            <w:tcW w:w="1368" w:type="dxa"/>
            <w:vAlign w:val="center"/>
          </w:tcPr>
          <w:p w:rsidR="00432D99" w:rsidRPr="00132C5E" w:rsidRDefault="00432D99" w:rsidP="00004DFC">
            <w:pPr>
              <w:jc w:val="center"/>
              <w:rPr>
                <w:color w:val="000000"/>
              </w:rPr>
            </w:pPr>
            <w:r w:rsidRPr="00132C5E">
              <w:rPr>
                <w:color w:val="000000"/>
              </w:rPr>
              <w:t>394,475</w:t>
            </w:r>
          </w:p>
        </w:tc>
        <w:tc>
          <w:tcPr>
            <w:tcW w:w="1368" w:type="dxa"/>
            <w:vAlign w:val="center"/>
          </w:tcPr>
          <w:p w:rsidR="00432D99" w:rsidRPr="00132C5E" w:rsidRDefault="00432D99" w:rsidP="00004DFC">
            <w:pPr>
              <w:jc w:val="center"/>
              <w:rPr>
                <w:color w:val="000000"/>
              </w:rPr>
            </w:pPr>
            <w:r w:rsidRPr="00132C5E">
              <w:rPr>
                <w:color w:val="000000"/>
              </w:rPr>
              <w:t>2,936,608</w:t>
            </w:r>
          </w:p>
        </w:tc>
        <w:tc>
          <w:tcPr>
            <w:tcW w:w="1368" w:type="dxa"/>
            <w:vAlign w:val="center"/>
          </w:tcPr>
          <w:p w:rsidR="00432D99" w:rsidRPr="00132C5E" w:rsidRDefault="00432D99" w:rsidP="00004DFC">
            <w:pPr>
              <w:jc w:val="center"/>
              <w:rPr>
                <w:color w:val="000000"/>
              </w:rPr>
            </w:pPr>
            <w:r w:rsidRPr="00132C5E">
              <w:rPr>
                <w:color w:val="000000"/>
              </w:rPr>
              <w:t>257,304</w:t>
            </w:r>
          </w:p>
        </w:tc>
        <w:tc>
          <w:tcPr>
            <w:tcW w:w="1368" w:type="dxa"/>
            <w:vAlign w:val="center"/>
          </w:tcPr>
          <w:p w:rsidR="00432D99" w:rsidRPr="00132C5E" w:rsidRDefault="00432D99" w:rsidP="00004DFC">
            <w:pPr>
              <w:jc w:val="center"/>
              <w:rPr>
                <w:color w:val="000000"/>
              </w:rPr>
            </w:pPr>
            <w:r w:rsidRPr="00132C5E">
              <w:rPr>
                <w:color w:val="000000"/>
              </w:rPr>
              <w:t>1,893,777</w:t>
            </w:r>
          </w:p>
        </w:tc>
        <w:tc>
          <w:tcPr>
            <w:tcW w:w="1368" w:type="dxa"/>
            <w:vAlign w:val="center"/>
          </w:tcPr>
          <w:p w:rsidR="00432D99" w:rsidRPr="00132C5E" w:rsidRDefault="00432D99" w:rsidP="00004DFC">
            <w:pPr>
              <w:jc w:val="center"/>
              <w:rPr>
                <w:color w:val="000000"/>
              </w:rPr>
            </w:pPr>
            <w:r w:rsidRPr="00132C5E">
              <w:rPr>
                <w:color w:val="000000"/>
              </w:rPr>
              <w:t>651,779</w:t>
            </w:r>
          </w:p>
        </w:tc>
        <w:tc>
          <w:tcPr>
            <w:tcW w:w="1368" w:type="dxa"/>
            <w:vAlign w:val="center"/>
          </w:tcPr>
          <w:p w:rsidR="00432D99" w:rsidRPr="00132C5E" w:rsidRDefault="00432D99" w:rsidP="00004DFC">
            <w:pPr>
              <w:jc w:val="center"/>
              <w:rPr>
                <w:color w:val="000000"/>
              </w:rPr>
            </w:pPr>
            <w:r w:rsidRPr="00132C5E">
              <w:rPr>
                <w:color w:val="000000"/>
              </w:rPr>
              <w:t>4,830,385</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2027</w:t>
            </w:r>
          </w:p>
        </w:tc>
        <w:tc>
          <w:tcPr>
            <w:tcW w:w="1368" w:type="dxa"/>
            <w:vAlign w:val="center"/>
          </w:tcPr>
          <w:p w:rsidR="00432D99" w:rsidRPr="00132C5E" w:rsidRDefault="00432D99" w:rsidP="00004DFC">
            <w:pPr>
              <w:jc w:val="center"/>
              <w:rPr>
                <w:color w:val="000000"/>
              </w:rPr>
            </w:pPr>
            <w:r w:rsidRPr="00132C5E">
              <w:rPr>
                <w:color w:val="000000"/>
              </w:rPr>
              <w:t>402,429</w:t>
            </w:r>
          </w:p>
        </w:tc>
        <w:tc>
          <w:tcPr>
            <w:tcW w:w="1368" w:type="dxa"/>
            <w:vAlign w:val="center"/>
          </w:tcPr>
          <w:p w:rsidR="00432D99" w:rsidRPr="00132C5E" w:rsidRDefault="00432D99" w:rsidP="00004DFC">
            <w:pPr>
              <w:jc w:val="center"/>
              <w:rPr>
                <w:color w:val="000000"/>
              </w:rPr>
            </w:pPr>
            <w:r w:rsidRPr="00132C5E">
              <w:rPr>
                <w:color w:val="000000"/>
              </w:rPr>
              <w:t>3,339,037</w:t>
            </w:r>
          </w:p>
        </w:tc>
        <w:tc>
          <w:tcPr>
            <w:tcW w:w="1368" w:type="dxa"/>
            <w:vAlign w:val="center"/>
          </w:tcPr>
          <w:p w:rsidR="00432D99" w:rsidRPr="00132C5E" w:rsidRDefault="00432D99" w:rsidP="00004DFC">
            <w:pPr>
              <w:jc w:val="center"/>
              <w:rPr>
                <w:color w:val="000000"/>
              </w:rPr>
            </w:pPr>
            <w:r w:rsidRPr="00132C5E">
              <w:rPr>
                <w:color w:val="000000"/>
              </w:rPr>
              <w:t>263,357</w:t>
            </w:r>
          </w:p>
        </w:tc>
        <w:tc>
          <w:tcPr>
            <w:tcW w:w="1368" w:type="dxa"/>
            <w:vAlign w:val="center"/>
          </w:tcPr>
          <w:p w:rsidR="00432D99" w:rsidRPr="00132C5E" w:rsidRDefault="00432D99" w:rsidP="00004DFC">
            <w:pPr>
              <w:jc w:val="center"/>
              <w:rPr>
                <w:color w:val="000000"/>
              </w:rPr>
            </w:pPr>
            <w:r w:rsidRPr="00132C5E">
              <w:rPr>
                <w:color w:val="000000"/>
              </w:rPr>
              <w:t>2,157,134</w:t>
            </w:r>
          </w:p>
        </w:tc>
        <w:tc>
          <w:tcPr>
            <w:tcW w:w="1368" w:type="dxa"/>
            <w:vAlign w:val="center"/>
          </w:tcPr>
          <w:p w:rsidR="00432D99" w:rsidRPr="00132C5E" w:rsidRDefault="00432D99" w:rsidP="00004DFC">
            <w:pPr>
              <w:jc w:val="center"/>
              <w:rPr>
                <w:color w:val="000000"/>
              </w:rPr>
            </w:pPr>
            <w:r w:rsidRPr="00132C5E">
              <w:rPr>
                <w:color w:val="000000"/>
              </w:rPr>
              <w:t>665,786</w:t>
            </w:r>
          </w:p>
        </w:tc>
        <w:tc>
          <w:tcPr>
            <w:tcW w:w="1368" w:type="dxa"/>
            <w:vAlign w:val="center"/>
          </w:tcPr>
          <w:p w:rsidR="00432D99" w:rsidRPr="00132C5E" w:rsidRDefault="00432D99" w:rsidP="00004DFC">
            <w:pPr>
              <w:jc w:val="center"/>
              <w:rPr>
                <w:color w:val="000000"/>
              </w:rPr>
            </w:pPr>
            <w:r w:rsidRPr="00132C5E">
              <w:rPr>
                <w:color w:val="000000"/>
              </w:rPr>
              <w:t>5,496,171</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2028</w:t>
            </w:r>
          </w:p>
        </w:tc>
        <w:tc>
          <w:tcPr>
            <w:tcW w:w="1368" w:type="dxa"/>
            <w:vAlign w:val="center"/>
          </w:tcPr>
          <w:p w:rsidR="00432D99" w:rsidRPr="00132C5E" w:rsidRDefault="00432D99" w:rsidP="00004DFC">
            <w:pPr>
              <w:jc w:val="center"/>
              <w:rPr>
                <w:color w:val="000000"/>
              </w:rPr>
            </w:pPr>
            <w:r w:rsidRPr="00132C5E">
              <w:rPr>
                <w:color w:val="000000"/>
              </w:rPr>
              <w:t>410,546</w:t>
            </w:r>
          </w:p>
        </w:tc>
        <w:tc>
          <w:tcPr>
            <w:tcW w:w="1368" w:type="dxa"/>
            <w:vAlign w:val="center"/>
          </w:tcPr>
          <w:p w:rsidR="00432D99" w:rsidRPr="00132C5E" w:rsidRDefault="00432D99" w:rsidP="00004DFC">
            <w:pPr>
              <w:jc w:val="center"/>
              <w:rPr>
                <w:color w:val="000000"/>
              </w:rPr>
            </w:pPr>
            <w:r w:rsidRPr="00132C5E">
              <w:rPr>
                <w:color w:val="000000"/>
              </w:rPr>
              <w:t>3,749,583</w:t>
            </w:r>
          </w:p>
        </w:tc>
        <w:tc>
          <w:tcPr>
            <w:tcW w:w="1368" w:type="dxa"/>
            <w:vAlign w:val="center"/>
          </w:tcPr>
          <w:p w:rsidR="00432D99" w:rsidRPr="00132C5E" w:rsidRDefault="00432D99" w:rsidP="00004DFC">
            <w:pPr>
              <w:jc w:val="center"/>
              <w:rPr>
                <w:color w:val="000000"/>
              </w:rPr>
            </w:pPr>
            <w:r w:rsidRPr="00132C5E">
              <w:rPr>
                <w:color w:val="000000"/>
              </w:rPr>
              <w:t>269,500</w:t>
            </w:r>
          </w:p>
        </w:tc>
        <w:tc>
          <w:tcPr>
            <w:tcW w:w="1368" w:type="dxa"/>
            <w:vAlign w:val="center"/>
          </w:tcPr>
          <w:p w:rsidR="00432D99" w:rsidRPr="00132C5E" w:rsidRDefault="00432D99" w:rsidP="00004DFC">
            <w:pPr>
              <w:jc w:val="center"/>
              <w:rPr>
                <w:color w:val="000000"/>
              </w:rPr>
            </w:pPr>
            <w:r w:rsidRPr="00132C5E">
              <w:rPr>
                <w:color w:val="000000"/>
              </w:rPr>
              <w:t>2,426,634</w:t>
            </w:r>
          </w:p>
        </w:tc>
        <w:tc>
          <w:tcPr>
            <w:tcW w:w="1368" w:type="dxa"/>
            <w:vAlign w:val="center"/>
          </w:tcPr>
          <w:p w:rsidR="00432D99" w:rsidRPr="00132C5E" w:rsidRDefault="00432D99" w:rsidP="00004DFC">
            <w:pPr>
              <w:jc w:val="center"/>
              <w:rPr>
                <w:color w:val="000000"/>
              </w:rPr>
            </w:pPr>
            <w:r w:rsidRPr="00132C5E">
              <w:rPr>
                <w:color w:val="000000"/>
              </w:rPr>
              <w:t>680,046</w:t>
            </w:r>
          </w:p>
        </w:tc>
        <w:tc>
          <w:tcPr>
            <w:tcW w:w="1368" w:type="dxa"/>
            <w:vAlign w:val="center"/>
          </w:tcPr>
          <w:p w:rsidR="00432D99" w:rsidRPr="00132C5E" w:rsidRDefault="00432D99" w:rsidP="00004DFC">
            <w:pPr>
              <w:jc w:val="center"/>
              <w:rPr>
                <w:color w:val="000000"/>
              </w:rPr>
            </w:pPr>
            <w:r w:rsidRPr="00132C5E">
              <w:rPr>
                <w:color w:val="000000"/>
              </w:rPr>
              <w:t>6,176,217</w:t>
            </w:r>
          </w:p>
        </w:tc>
      </w:tr>
    </w:tbl>
    <w:p w:rsidR="00005A60" w:rsidRDefault="00432D99" w:rsidP="008128EB">
      <w:pPr>
        <w:pStyle w:val="BodyText"/>
        <w:rPr>
          <w:sz w:val="20"/>
          <w:szCs w:val="20"/>
        </w:rPr>
      </w:pPr>
      <w:r w:rsidRPr="00B93757">
        <w:rPr>
          <w:sz w:val="20"/>
          <w:szCs w:val="20"/>
        </w:rPr>
        <w:t xml:space="preserve">Source: </w:t>
      </w:r>
      <w:r w:rsidR="00D3747D" w:rsidRPr="00B93757">
        <w:rPr>
          <w:sz w:val="20"/>
          <w:szCs w:val="20"/>
        </w:rPr>
        <w:t xml:space="preserve">Document No. </w:t>
      </w:r>
      <w:r w:rsidR="00B93757" w:rsidRPr="00B93757">
        <w:rPr>
          <w:sz w:val="20"/>
          <w:szCs w:val="20"/>
        </w:rPr>
        <w:t>03158-2019</w:t>
      </w:r>
    </w:p>
    <w:p w:rsidR="00C2592F" w:rsidRDefault="00C2592F" w:rsidP="00C2592F">
      <w:pPr>
        <w:pStyle w:val="First-LevelSubheading"/>
      </w:pPr>
      <w:r>
        <w:t>Other Matters</w:t>
      </w:r>
    </w:p>
    <w:p w:rsidR="00432D99" w:rsidRDefault="00432D99" w:rsidP="00432D99">
      <w:pPr>
        <w:pStyle w:val="BodyText"/>
      </w:pPr>
      <w:r>
        <w:t>PGS has indicated that, because these savings are based upon current Commission-approved DSM programs, the net effect of establishing these</w:t>
      </w:r>
      <w:r w:rsidR="00DA0848">
        <w:t xml:space="preserve"> savings</w:t>
      </w:r>
      <w:r>
        <w:t xml:space="preserve"> as DSM goals for PGS is zero additional cost to customers, excluding those costs associated with the new Residential Customer Assisted Energy Audit and the Commercial Walk-Through Energy Audit,</w:t>
      </w:r>
      <w:r w:rsidRPr="00AB6E86">
        <w:t xml:space="preserve"> discussed in Issue </w:t>
      </w:r>
      <w:r w:rsidR="00400222">
        <w:t>4</w:t>
      </w:r>
      <w:r w:rsidRPr="00AB6E86">
        <w:t>.</w:t>
      </w:r>
      <w:r>
        <w:t xml:space="preserve"> The Company intends to review its DSM goals every five years, with the next review to occur in 2023, to align it with the Commission’s periodic conservat</w:t>
      </w:r>
      <w:r w:rsidR="00DA0848">
        <w:t xml:space="preserve">ion goals review as required by </w:t>
      </w:r>
      <w:r w:rsidR="00CE7D7D">
        <w:t>Section 366.82(6), F.S.</w:t>
      </w:r>
      <w:r>
        <w:t xml:space="preserve"> Additionally, PGS will provid</w:t>
      </w:r>
      <w:r w:rsidR="00C97F61">
        <w:t xml:space="preserve">e </w:t>
      </w:r>
      <w:r>
        <w:t xml:space="preserve">annual DSM reports </w:t>
      </w:r>
      <w:r w:rsidRPr="00B7535D">
        <w:t>on the achievements of inc</w:t>
      </w:r>
      <w:r>
        <w:t>remental natural gas therm savings by</w:t>
      </w:r>
      <w:r w:rsidRPr="00B7535D">
        <w:t xml:space="preserve"> March 1 of each year</w:t>
      </w:r>
      <w:r w:rsidR="00DA0848">
        <w:t>.</w:t>
      </w:r>
      <w:r w:rsidR="00DA0848">
        <w:rPr>
          <w:rStyle w:val="FootnoteReference"/>
        </w:rPr>
        <w:footnoteReference w:id="13"/>
      </w:r>
      <w:r>
        <w:t xml:space="preserve"> Staff intends to monitor these annual reports in an effort to refine the natural gas goal-setting process used in this proceeding.</w:t>
      </w:r>
    </w:p>
    <w:p w:rsidR="00C2592F" w:rsidRDefault="00C2592F" w:rsidP="00C2592F">
      <w:pPr>
        <w:pStyle w:val="First-LevelSubheading"/>
      </w:pPr>
      <w:r>
        <w:t>Conclusion</w:t>
      </w:r>
    </w:p>
    <w:p w:rsidR="00C2592F" w:rsidRDefault="00D60825" w:rsidP="005A0C2C">
      <w:pPr>
        <w:pStyle w:val="BodyText"/>
      </w:pPr>
      <w:r>
        <w:t>Staff recommends that the Commission establish the annu</w:t>
      </w:r>
      <w:r w:rsidR="00F747DD">
        <w:t xml:space="preserve">al therm savings seen in Table </w:t>
      </w:r>
      <w:r w:rsidR="003036BC">
        <w:t>3</w:t>
      </w:r>
      <w:r>
        <w:t>-</w:t>
      </w:r>
      <w:r w:rsidR="00F747DD">
        <w:t>1</w:t>
      </w:r>
      <w:r>
        <w:t xml:space="preserve"> as </w:t>
      </w:r>
      <w:r w:rsidR="008A5E65">
        <w:t>PGS’</w:t>
      </w:r>
      <w:r>
        <w:t xml:space="preserve"> annual conservation goals for the period 2019-2028.</w:t>
      </w:r>
      <w:r w:rsidR="00B34635">
        <w:t xml:space="preserve"> The Company’s proposed </w:t>
      </w:r>
      <w:r w:rsidR="004070C5">
        <w:t>conservation</w:t>
      </w:r>
      <w:r w:rsidR="00B34635">
        <w:t xml:space="preserve"> goals adequately address the considerations enumerated in Section 366.82(3), F.S.</w:t>
      </w:r>
    </w:p>
    <w:p w:rsidR="00750048" w:rsidRDefault="00750048">
      <w:pPr>
        <w:pStyle w:val="BodyText"/>
      </w:pPr>
    </w:p>
    <w:p w:rsidR="00750048" w:rsidRDefault="00750048">
      <w:pPr>
        <w:pStyle w:val="IssueHeading"/>
        <w:rPr>
          <w:vanish/>
          <w:specVanish/>
        </w:rPr>
      </w:pPr>
      <w:r w:rsidRPr="004C3641">
        <w:rPr>
          <w:b w:val="0"/>
          <w:i w:val="0"/>
        </w:rPr>
        <w:br w:type="page"/>
      </w:r>
      <w:r w:rsidRPr="004C3641">
        <w:lastRenderedPageBreak/>
        <w:t xml:space="preserve">Issue </w:t>
      </w:r>
      <w:r w:rsidR="00FE4D92">
        <w:fldChar w:fldCharType="begin"/>
      </w:r>
      <w:r w:rsidR="00FE4D92">
        <w:instrText xml:space="preserve"> SEQ Issue \* MERGEFORMAT </w:instrText>
      </w:r>
      <w:r w:rsidR="00FE4D92">
        <w:fldChar w:fldCharType="separate"/>
      </w:r>
      <w:r w:rsidR="000160AB">
        <w:rPr>
          <w:noProof/>
        </w:rPr>
        <w:t>4</w:t>
      </w:r>
      <w:r w:rsidR="00FE4D9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160AB">
        <w:rPr>
          <w:noProof/>
        </w:rPr>
        <w:instrText>4</w:instrText>
      </w:r>
      <w:r>
        <w:fldChar w:fldCharType="end"/>
      </w:r>
      <w:r>
        <w:tab/>
        <w:instrText xml:space="preserve">" \l 1 </w:instrText>
      </w:r>
      <w:r>
        <w:fldChar w:fldCharType="end"/>
      </w:r>
      <w:r>
        <w:t> </w:t>
      </w:r>
    </w:p>
    <w:p w:rsidR="00750048" w:rsidRDefault="00750048">
      <w:pPr>
        <w:pStyle w:val="BodyText"/>
      </w:pPr>
      <w:r>
        <w:t> </w:t>
      </w:r>
      <w:r w:rsidR="00C26821" w:rsidRPr="00BB3E2D">
        <w:t>Should the Commission</w:t>
      </w:r>
      <w:r w:rsidR="000E69A8">
        <w:t xml:space="preserve"> approve the </w:t>
      </w:r>
      <w:r w:rsidR="00BB4952">
        <w:t xml:space="preserve">Company’s </w:t>
      </w:r>
      <w:r w:rsidR="00C26821" w:rsidRPr="00BB3E2D">
        <w:t>new residential and commercial audit programs?</w:t>
      </w:r>
    </w:p>
    <w:p w:rsidR="00750048" w:rsidRPr="004C3641" w:rsidRDefault="00750048">
      <w:pPr>
        <w:pStyle w:val="IssueSubsectionHeading"/>
        <w:rPr>
          <w:vanish/>
          <w:specVanish/>
        </w:rPr>
      </w:pPr>
      <w:r w:rsidRPr="004C3641">
        <w:t>Recommendation: </w:t>
      </w:r>
    </w:p>
    <w:p w:rsidR="00750048" w:rsidRDefault="00957D0A">
      <w:pPr>
        <w:pStyle w:val="BodyText"/>
      </w:pPr>
      <w:r>
        <w:t xml:space="preserve">If the Commission approves </w:t>
      </w:r>
      <w:r w:rsidR="0042151C">
        <w:t xml:space="preserve">staff’s recommendation </w:t>
      </w:r>
      <w:r w:rsidR="00D44CF7">
        <w:t xml:space="preserve">in </w:t>
      </w:r>
      <w:r>
        <w:t xml:space="preserve">Issue 1, then the Company’s </w:t>
      </w:r>
      <w:r w:rsidRPr="00BB3E2D">
        <w:t>new residential and commercial audit program</w:t>
      </w:r>
      <w:r w:rsidR="000D1F31">
        <w:t>s</w:t>
      </w:r>
      <w:r w:rsidR="006E536C">
        <w:t xml:space="preserve"> should be approved and </w:t>
      </w:r>
      <w:r w:rsidR="003D06AD">
        <w:rPr>
          <w:color w:val="000000"/>
        </w:rPr>
        <w:t xml:space="preserve">PGS should be allowed recovery of </w:t>
      </w:r>
      <w:r w:rsidR="003D06AD" w:rsidRPr="00C26821">
        <w:t>reasonable and prudent expenditures associated with</w:t>
      </w:r>
      <w:r w:rsidR="003D06AD">
        <w:t xml:space="preserve"> these</w:t>
      </w:r>
      <w:r w:rsidR="00243472">
        <w:t xml:space="preserve"> audit</w:t>
      </w:r>
      <w:r w:rsidR="003D06AD">
        <w:t xml:space="preserve"> programs through the ECCR clause.</w:t>
      </w:r>
      <w:r w:rsidR="006E536C">
        <w:t xml:space="preserve"> </w:t>
      </w:r>
      <w:r w:rsidR="0042151C">
        <w:t>T</w:t>
      </w:r>
      <w:r w:rsidR="0042151C">
        <w:rPr>
          <w:color w:val="000000"/>
        </w:rPr>
        <w:t xml:space="preserve">he scope of both the </w:t>
      </w:r>
      <w:r w:rsidR="0042151C" w:rsidRPr="00A05C6D">
        <w:rPr>
          <w:color w:val="000000"/>
        </w:rPr>
        <w:t>Residential Customer Assisted Energy Audit</w:t>
      </w:r>
      <w:r w:rsidR="0042151C">
        <w:rPr>
          <w:color w:val="000000"/>
        </w:rPr>
        <w:t xml:space="preserve"> </w:t>
      </w:r>
      <w:r w:rsidR="0042151C" w:rsidRPr="00A05C6D">
        <w:rPr>
          <w:color w:val="000000"/>
        </w:rPr>
        <w:t xml:space="preserve">and </w:t>
      </w:r>
      <w:r w:rsidR="0042151C">
        <w:rPr>
          <w:color w:val="000000"/>
        </w:rPr>
        <w:t>the</w:t>
      </w:r>
      <w:r w:rsidR="0042151C" w:rsidRPr="00A05C6D">
        <w:rPr>
          <w:color w:val="000000"/>
        </w:rPr>
        <w:t xml:space="preserve"> Commercial Walk-Through Energy Audit</w:t>
      </w:r>
      <w:r w:rsidR="0042151C">
        <w:rPr>
          <w:color w:val="000000"/>
        </w:rPr>
        <w:t xml:space="preserve"> meet the requirements established by FEECA.</w:t>
      </w:r>
      <w:r w:rsidR="00243472">
        <w:t xml:space="preserve"> If the Commission </w:t>
      </w:r>
      <w:r w:rsidR="006E536C">
        <w:t xml:space="preserve">does not approve staff’s recommendation in Issue 1, </w:t>
      </w:r>
      <w:r w:rsidR="00243472">
        <w:t>then PGS</w:t>
      </w:r>
      <w:r w:rsidR="006E536C">
        <w:t xml:space="preserve"> should</w:t>
      </w:r>
      <w:r w:rsidR="00243472">
        <w:t xml:space="preserve"> file</w:t>
      </w:r>
      <w:r w:rsidR="00D02D55">
        <w:t xml:space="preserve"> revised audit programs</w:t>
      </w:r>
      <w:r w:rsidR="006E536C">
        <w:t xml:space="preserve"> with its proposed DSM plan</w:t>
      </w:r>
      <w:r w:rsidR="00400222">
        <w:t>.</w:t>
      </w:r>
      <w:r w:rsidR="00243472">
        <w:t xml:space="preserve"> </w:t>
      </w:r>
      <w:r w:rsidR="00875115">
        <w:t>(Wright</w:t>
      </w:r>
      <w:r w:rsidR="007C5D3F">
        <w:t>, Doehling</w:t>
      </w:r>
      <w:r w:rsidR="00875115">
        <w:t>)</w:t>
      </w:r>
    </w:p>
    <w:p w:rsidR="00750048" w:rsidRPr="004C3641" w:rsidRDefault="00750048">
      <w:pPr>
        <w:pStyle w:val="IssueSubsectionHeading"/>
        <w:rPr>
          <w:vanish/>
          <w:specVanish/>
        </w:rPr>
      </w:pPr>
      <w:r w:rsidRPr="004C3641">
        <w:t>Staff Analysis: </w:t>
      </w:r>
    </w:p>
    <w:p w:rsidR="007C5D3F" w:rsidRDefault="00750048" w:rsidP="007C5D3F">
      <w:pPr>
        <w:pStyle w:val="BodyText"/>
        <w:rPr>
          <w:color w:val="000000"/>
        </w:rPr>
      </w:pPr>
      <w:r>
        <w:t> </w:t>
      </w:r>
      <w:r w:rsidR="007C5D3F">
        <w:rPr>
          <w:color w:val="000000"/>
        </w:rPr>
        <w:t xml:space="preserve">Pursuant to </w:t>
      </w:r>
      <w:r w:rsidR="007C5D3F" w:rsidRPr="00757060">
        <w:rPr>
          <w:color w:val="000000"/>
        </w:rPr>
        <w:t>Section 366.82(</w:t>
      </w:r>
      <w:r w:rsidR="007C5D3F">
        <w:rPr>
          <w:color w:val="000000"/>
        </w:rPr>
        <w:t>11</w:t>
      </w:r>
      <w:r w:rsidR="007C5D3F" w:rsidRPr="00757060">
        <w:rPr>
          <w:color w:val="000000"/>
        </w:rPr>
        <w:t>), F.S.</w:t>
      </w:r>
      <w:r w:rsidR="007C5D3F">
        <w:rPr>
          <w:color w:val="000000"/>
        </w:rPr>
        <w:t>,</w:t>
      </w:r>
      <w:r w:rsidR="007C5D3F" w:rsidRPr="00757060">
        <w:rPr>
          <w:color w:val="000000"/>
        </w:rPr>
        <w:t xml:space="preserve"> </w:t>
      </w:r>
      <w:r w:rsidR="007C5D3F">
        <w:rPr>
          <w:color w:val="000000"/>
        </w:rPr>
        <w:t xml:space="preserve">the Commission requires FEECA utilities to offer </w:t>
      </w:r>
      <w:r w:rsidR="007C5D3F" w:rsidRPr="00FD2D5F">
        <w:rPr>
          <w:color w:val="000000"/>
        </w:rPr>
        <w:t>energy audits to its residential</w:t>
      </w:r>
      <w:r w:rsidR="007C5D3F">
        <w:rPr>
          <w:color w:val="000000"/>
        </w:rPr>
        <w:t xml:space="preserve"> </w:t>
      </w:r>
      <w:r w:rsidR="007C5D3F" w:rsidRPr="00FD2D5F">
        <w:rPr>
          <w:color w:val="000000"/>
        </w:rPr>
        <w:t>customers.</w:t>
      </w:r>
      <w:r w:rsidR="0023102F">
        <w:rPr>
          <w:color w:val="000000"/>
        </w:rPr>
        <w:t xml:space="preserve"> </w:t>
      </w:r>
      <w:r w:rsidR="0023102F">
        <w:t>The Commission may extend the audit program requirement to some or all commercial customers.</w:t>
      </w:r>
      <w:r w:rsidR="007C5D3F" w:rsidRPr="00757060">
        <w:rPr>
          <w:color w:val="000000"/>
        </w:rPr>
        <w:t xml:space="preserve"> PGS has proposed</w:t>
      </w:r>
      <w:r w:rsidR="007C5D3F">
        <w:rPr>
          <w:color w:val="000000"/>
        </w:rPr>
        <w:t xml:space="preserve"> two new audit programs: </w:t>
      </w:r>
      <w:r w:rsidR="000E0D04">
        <w:rPr>
          <w:color w:val="000000"/>
        </w:rPr>
        <w:t xml:space="preserve">(1) </w:t>
      </w:r>
      <w:r w:rsidR="007C5D3F">
        <w:rPr>
          <w:color w:val="000000"/>
        </w:rPr>
        <w:t>the Residential Customer Assisted Energy Audit (RA)</w:t>
      </w:r>
      <w:r w:rsidR="00054AFE">
        <w:rPr>
          <w:color w:val="000000"/>
        </w:rPr>
        <w:t>;</w:t>
      </w:r>
      <w:r w:rsidR="007C5D3F">
        <w:rPr>
          <w:color w:val="000000"/>
        </w:rPr>
        <w:t xml:space="preserve"> and </w:t>
      </w:r>
      <w:r w:rsidR="000E0D04">
        <w:rPr>
          <w:color w:val="000000"/>
        </w:rPr>
        <w:t xml:space="preserve">(2) </w:t>
      </w:r>
      <w:r w:rsidR="007C5D3F">
        <w:rPr>
          <w:color w:val="000000"/>
        </w:rPr>
        <w:t>the Commercial Walk-Through Energy Audit (CA). Staff has analyzed the scope of these audits and preliminary estimates of their administrative costs on a per-audit basis.</w:t>
      </w:r>
    </w:p>
    <w:p w:rsidR="007C5D3F" w:rsidRDefault="007C5D3F" w:rsidP="007C5D3F">
      <w:pPr>
        <w:pStyle w:val="First-LevelSubheading"/>
      </w:pPr>
      <w:r>
        <w:t>Audit Scope</w:t>
      </w:r>
    </w:p>
    <w:p w:rsidR="007C5D3F" w:rsidRDefault="007C5D3F" w:rsidP="007C5D3F">
      <w:pPr>
        <w:pStyle w:val="BodyText"/>
        <w:rPr>
          <w:color w:val="000000"/>
        </w:rPr>
      </w:pPr>
      <w:r>
        <w:rPr>
          <w:color w:val="000000"/>
        </w:rPr>
        <w:t>Both the RA and CA are designed to increase customer awareness of natural gas energy use on their premises</w:t>
      </w:r>
      <w:r w:rsidR="00A26606">
        <w:rPr>
          <w:color w:val="000000"/>
        </w:rPr>
        <w:t>,</w:t>
      </w:r>
      <w:r>
        <w:rPr>
          <w:color w:val="000000"/>
        </w:rPr>
        <w:t xml:space="preserve"> and are offered for free to all existing PGS customers of the appropriate rate class that are located within </w:t>
      </w:r>
      <w:r w:rsidR="008A5E65">
        <w:rPr>
          <w:color w:val="000000"/>
        </w:rPr>
        <w:t>PGS’</w:t>
      </w:r>
      <w:r>
        <w:rPr>
          <w:color w:val="000000"/>
        </w:rPr>
        <w:t xml:space="preserve"> service area.</w:t>
      </w:r>
      <w:r>
        <w:rPr>
          <w:rStyle w:val="FootnoteReference"/>
          <w:color w:val="000000"/>
        </w:rPr>
        <w:footnoteReference w:id="14"/>
      </w:r>
      <w:r>
        <w:rPr>
          <w:color w:val="000000"/>
        </w:rPr>
        <w:t xml:space="preserve"> The RA is an online energy audit that combines responses to survey questions with either historical or customer-entered natural gas energy usage to provide personalized conservation recommendations. The CA is a walk-through energy audit conducted by a trained commercial energy auditor who inspects the equipment and systems utilized in a customer’s facility</w:t>
      </w:r>
      <w:r w:rsidR="00A26606">
        <w:rPr>
          <w:color w:val="000000"/>
        </w:rPr>
        <w:t>,</w:t>
      </w:r>
      <w:r>
        <w:rPr>
          <w:color w:val="000000"/>
        </w:rPr>
        <w:t xml:space="preserve"> and recommends a tailored list of energy conservation programs aimed at increasing the customer’s overall efficiency. Both audits facilitate customer participation in </w:t>
      </w:r>
      <w:r w:rsidR="008A5E65">
        <w:rPr>
          <w:color w:val="000000"/>
        </w:rPr>
        <w:t>PGS’</w:t>
      </w:r>
      <w:r>
        <w:rPr>
          <w:color w:val="000000"/>
        </w:rPr>
        <w:t xml:space="preserve"> DSM programs. Program descriptions and standards for both audits can be found in </w:t>
      </w:r>
      <w:r w:rsidRPr="008128EB">
        <w:rPr>
          <w:color w:val="000000"/>
        </w:rPr>
        <w:t>Attachment A of this recommendation</w:t>
      </w:r>
      <w:r>
        <w:rPr>
          <w:color w:val="000000"/>
        </w:rPr>
        <w:t>.</w:t>
      </w:r>
    </w:p>
    <w:p w:rsidR="007C5D3F" w:rsidRDefault="007C5D3F" w:rsidP="007C5D3F">
      <w:pPr>
        <w:pStyle w:val="First-LevelSubheading"/>
      </w:pPr>
      <w:r>
        <w:t>Audit Costs</w:t>
      </w:r>
    </w:p>
    <w:p w:rsidR="007C5D3F" w:rsidRDefault="007C5D3F" w:rsidP="007C5D3F">
      <w:pPr>
        <w:pStyle w:val="BodyText"/>
        <w:rPr>
          <w:color w:val="000000"/>
        </w:rPr>
      </w:pPr>
      <w:r>
        <w:rPr>
          <w:color w:val="000000"/>
        </w:rPr>
        <w:t>Staff performed a preliminary analysis of the administrative costs, on a per-audit basis, of both audit programs and believes them to be reasonably comparable to other utilities’ audit program costs. However, staff notes that the determination of reasonable and prudent expenditures should occur within ECCR clause proceeding</w:t>
      </w:r>
      <w:r w:rsidR="00EA247F">
        <w:rPr>
          <w:color w:val="000000"/>
        </w:rPr>
        <w:t>s</w:t>
      </w:r>
      <w:r w:rsidR="00EC5AAB">
        <w:rPr>
          <w:color w:val="000000"/>
        </w:rPr>
        <w:t>,</w:t>
      </w:r>
      <w:r>
        <w:rPr>
          <w:color w:val="000000"/>
        </w:rPr>
        <w:t xml:space="preserve"> and that this preliminary analysis was performed for informational purposes only. PGS has indicated that, given program approval, audit expenses and participation will be reported to the Commission through its annual </w:t>
      </w:r>
      <w:r w:rsidR="00EA247F">
        <w:rPr>
          <w:color w:val="000000"/>
        </w:rPr>
        <w:t xml:space="preserve">FEECA </w:t>
      </w:r>
      <w:r>
        <w:rPr>
          <w:color w:val="000000"/>
        </w:rPr>
        <w:t>DSM</w:t>
      </w:r>
      <w:r w:rsidR="00EA247F">
        <w:rPr>
          <w:color w:val="000000"/>
        </w:rPr>
        <w:t xml:space="preserve"> and ECCR</w:t>
      </w:r>
      <w:r>
        <w:rPr>
          <w:color w:val="000000"/>
        </w:rPr>
        <w:t xml:space="preserve"> filings.</w:t>
      </w:r>
    </w:p>
    <w:p w:rsidR="007C5D3F" w:rsidRDefault="007C5D3F" w:rsidP="007C5D3F">
      <w:pPr>
        <w:pStyle w:val="First-LevelSubheading"/>
      </w:pPr>
      <w:r>
        <w:t>Conclusion</w:t>
      </w:r>
    </w:p>
    <w:p w:rsidR="00453502" w:rsidRDefault="00C53B1C" w:rsidP="007C5D3F">
      <w:pPr>
        <w:pStyle w:val="BodyText"/>
      </w:pPr>
      <w:r>
        <w:t xml:space="preserve">If the Commission approves staff’s recommendation in Issue 1, then staff recommends the Company’s </w:t>
      </w:r>
      <w:r w:rsidRPr="00BB3E2D">
        <w:t>new residential and commercial audit program</w:t>
      </w:r>
      <w:r>
        <w:t xml:space="preserve">s should be approved and </w:t>
      </w:r>
      <w:r>
        <w:rPr>
          <w:color w:val="000000"/>
        </w:rPr>
        <w:t xml:space="preserve">PGS should be allowed recovery of </w:t>
      </w:r>
      <w:r w:rsidRPr="00C26821">
        <w:t>reasonable and prudent expenditures associated with</w:t>
      </w:r>
      <w:r>
        <w:t xml:space="preserve"> these audit programs through the ECCR clause. T</w:t>
      </w:r>
      <w:r>
        <w:rPr>
          <w:color w:val="000000"/>
        </w:rPr>
        <w:t xml:space="preserve">he scope of both the </w:t>
      </w:r>
      <w:r w:rsidRPr="00A05C6D">
        <w:rPr>
          <w:color w:val="000000"/>
        </w:rPr>
        <w:t xml:space="preserve">Residential Customer Assisted </w:t>
      </w:r>
      <w:r w:rsidRPr="00A05C6D">
        <w:rPr>
          <w:color w:val="000000"/>
        </w:rPr>
        <w:lastRenderedPageBreak/>
        <w:t>Energy Audit</w:t>
      </w:r>
      <w:r>
        <w:rPr>
          <w:color w:val="000000"/>
        </w:rPr>
        <w:t xml:space="preserve"> </w:t>
      </w:r>
      <w:r w:rsidRPr="00A05C6D">
        <w:rPr>
          <w:color w:val="000000"/>
        </w:rPr>
        <w:t xml:space="preserve">and </w:t>
      </w:r>
      <w:r>
        <w:rPr>
          <w:color w:val="000000"/>
        </w:rPr>
        <w:t>the</w:t>
      </w:r>
      <w:r w:rsidRPr="00A05C6D">
        <w:rPr>
          <w:color w:val="000000"/>
        </w:rPr>
        <w:t xml:space="preserve"> Commercial Walk-Through Energy Audit</w:t>
      </w:r>
      <w:r>
        <w:rPr>
          <w:color w:val="000000"/>
        </w:rPr>
        <w:t xml:space="preserve"> meet the requirements established by FEECA.</w:t>
      </w:r>
      <w:r>
        <w:t xml:space="preserve"> If the Commission does not approve staff’s recommendation in Issue 1, then staff recommends PGS should file</w:t>
      </w:r>
      <w:r w:rsidR="00FA1B3D">
        <w:t xml:space="preserve"> revised audit programs</w:t>
      </w:r>
      <w:r>
        <w:t xml:space="preserve"> with its proposed DSM plan.</w:t>
      </w:r>
    </w:p>
    <w:p w:rsidR="00750048" w:rsidRDefault="00750048" w:rsidP="004E5ED0">
      <w:pPr>
        <w:pStyle w:val="BodyText"/>
      </w:pPr>
    </w:p>
    <w:p w:rsidR="00F55131" w:rsidRDefault="00F55131">
      <w:pPr>
        <w:pStyle w:val="IssueHeading"/>
        <w:rPr>
          <w:vanish/>
          <w:specVanish/>
        </w:rPr>
      </w:pPr>
      <w:r w:rsidRPr="004C3641">
        <w:rPr>
          <w:b w:val="0"/>
          <w:i w:val="0"/>
        </w:rPr>
        <w:br w:type="page"/>
      </w:r>
      <w:r w:rsidRPr="004C3641">
        <w:lastRenderedPageBreak/>
        <w:t xml:space="preserve">Issue </w:t>
      </w:r>
      <w:r w:rsidR="00FE4D92">
        <w:fldChar w:fldCharType="begin"/>
      </w:r>
      <w:r w:rsidR="00FE4D92">
        <w:instrText xml:space="preserve"> SEQ Issue \* MERGEFORMAT </w:instrText>
      </w:r>
      <w:r w:rsidR="00FE4D92">
        <w:fldChar w:fldCharType="separate"/>
      </w:r>
      <w:r w:rsidR="000160AB">
        <w:rPr>
          <w:noProof/>
        </w:rPr>
        <w:t>5</w:t>
      </w:r>
      <w:r w:rsidR="00FE4D9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160AB">
        <w:rPr>
          <w:noProof/>
        </w:rPr>
        <w:instrText>5</w:instrText>
      </w:r>
      <w:r>
        <w:fldChar w:fldCharType="end"/>
      </w:r>
      <w:r>
        <w:tab/>
        <w:instrText xml:space="preserve">" \l 1 </w:instrText>
      </w:r>
      <w:r>
        <w:fldChar w:fldCharType="end"/>
      </w:r>
      <w:r>
        <w:t> </w:t>
      </w:r>
    </w:p>
    <w:p w:rsidR="00F55131" w:rsidRPr="00A52F71" w:rsidRDefault="00F55131">
      <w:pPr>
        <w:pStyle w:val="BodyText"/>
      </w:pPr>
      <w:r>
        <w:t> </w:t>
      </w:r>
      <w:r w:rsidRPr="00A52F71">
        <w:t>Should this docket be closed?</w:t>
      </w:r>
    </w:p>
    <w:p w:rsidR="00F55131" w:rsidRPr="004C3641" w:rsidRDefault="00F55131">
      <w:pPr>
        <w:pStyle w:val="IssueSubsectionHeading"/>
        <w:rPr>
          <w:vanish/>
          <w:specVanish/>
        </w:rPr>
      </w:pPr>
      <w:r w:rsidRPr="004C3641">
        <w:t>Recommendation: </w:t>
      </w:r>
    </w:p>
    <w:p w:rsidR="00F55131" w:rsidRPr="00622E6E" w:rsidRDefault="00F55131" w:rsidP="000E437B">
      <w:pPr>
        <w:pStyle w:val="BodyText"/>
      </w:pPr>
      <w:r>
        <w:t> </w:t>
      </w:r>
      <w:r w:rsidR="00875115" w:rsidRPr="00622E6E">
        <w:t>Yes. If no person whose substantial interests are affected by the proposed agency action (PAA) files a protest within 21 days of the issuance of the PAA Order, a Consummat</w:t>
      </w:r>
      <w:r w:rsidR="000E437B" w:rsidRPr="00622E6E">
        <w:t>ing Order should be issued and the docket should be closed.</w:t>
      </w:r>
      <w:r w:rsidR="00C27624">
        <w:t xml:space="preserve"> If the Commission approves the proposed</w:t>
      </w:r>
      <w:r w:rsidR="00E6019C">
        <w:t xml:space="preserve"> </w:t>
      </w:r>
      <w:r w:rsidR="00E6019C">
        <w:rPr>
          <w:color w:val="000000"/>
        </w:rPr>
        <w:t>RA</w:t>
      </w:r>
      <w:r w:rsidR="007D63A9">
        <w:rPr>
          <w:color w:val="000000"/>
        </w:rPr>
        <w:t xml:space="preserve"> </w:t>
      </w:r>
      <w:r w:rsidR="00E6019C">
        <w:rPr>
          <w:color w:val="000000"/>
        </w:rPr>
        <w:t>and CA</w:t>
      </w:r>
      <w:r w:rsidR="00C27624">
        <w:t xml:space="preserve"> programs, those programs should become effective on the date of the Consummating Order. If a protest is filed within 21 days of the issuance of the PAA Order, the programs should not be implemented until after the resolution of the protest.</w:t>
      </w:r>
      <w:r w:rsidR="000E437B" w:rsidRPr="00622E6E">
        <w:t xml:space="preserve"> Within 90 days of the issuance of the final order, </w:t>
      </w:r>
      <w:r w:rsidR="00A52F71">
        <w:t xml:space="preserve">PGS </w:t>
      </w:r>
      <w:r w:rsidR="000E437B" w:rsidRPr="00622E6E">
        <w:t xml:space="preserve">should file a demand-side management plan designed to meet the Utility’s approved goals. </w:t>
      </w:r>
      <w:r w:rsidR="00875115" w:rsidRPr="00622E6E">
        <w:t>(</w:t>
      </w:r>
      <w:r w:rsidR="000E437B" w:rsidRPr="00622E6E">
        <w:t>DuVal, Dziechciarz</w:t>
      </w:r>
      <w:r w:rsidR="00875115" w:rsidRPr="00622E6E">
        <w:t>)</w:t>
      </w:r>
    </w:p>
    <w:p w:rsidR="00F55131" w:rsidRPr="00622E6E" w:rsidRDefault="00F55131">
      <w:pPr>
        <w:pStyle w:val="IssueSubsectionHeading"/>
        <w:rPr>
          <w:vanish/>
          <w:specVanish/>
        </w:rPr>
      </w:pPr>
      <w:r w:rsidRPr="00622E6E">
        <w:t>Staff Analysis: </w:t>
      </w:r>
    </w:p>
    <w:p w:rsidR="00F55131" w:rsidRDefault="00F55131">
      <w:pPr>
        <w:pStyle w:val="BodyText"/>
      </w:pPr>
      <w:r w:rsidRPr="00622E6E">
        <w:t> </w:t>
      </w:r>
      <w:r w:rsidR="00E6019C" w:rsidRPr="00622E6E">
        <w:t>If no person whose substantial interests are affected by the proposed agency action (PAA) files a protest within 21 days of the issuance of the PAA Order, a Consummating Order should be issued and the docket should be closed.</w:t>
      </w:r>
      <w:r w:rsidR="00E6019C">
        <w:t xml:space="preserve"> If the Commission approves the proposed </w:t>
      </w:r>
      <w:r w:rsidR="00E6019C">
        <w:rPr>
          <w:color w:val="000000"/>
        </w:rPr>
        <w:t xml:space="preserve">RA and CA </w:t>
      </w:r>
      <w:r w:rsidR="00E6019C">
        <w:t>programs, those programs should become effective on the date of the Consummating Order. If a protest is filed within 21 days of the issuance of the PAA Order, the programs should not be implemented until after the resolution of the protest.</w:t>
      </w:r>
      <w:r w:rsidR="00E6019C" w:rsidRPr="00622E6E">
        <w:t xml:space="preserve"> Within 90 days of the issuance of the final order, </w:t>
      </w:r>
      <w:r w:rsidR="00E6019C">
        <w:t xml:space="preserve">PGS </w:t>
      </w:r>
      <w:r w:rsidR="00E6019C" w:rsidRPr="00622E6E">
        <w:t>should file a demand-side management plan designed to meet the Utility’s approved goals.</w:t>
      </w:r>
    </w:p>
    <w:p w:rsidR="00F71E69" w:rsidRDefault="00F71E69">
      <w:pPr>
        <w:pStyle w:val="BodyText"/>
      </w:pPr>
    </w:p>
    <w:p w:rsidR="00F71E69" w:rsidRDefault="00F71E69" w:rsidP="00E275D8">
      <w:pPr>
        <w:pStyle w:val="BodyText"/>
        <w:sectPr w:rsidR="00F71E69" w:rsidSect="0068481F">
          <w:headerReference w:type="default" r:id="rId12"/>
          <w:footerReference w:type="default" r:id="rId13"/>
          <w:pgSz w:w="12240" w:h="15840" w:code="1"/>
          <w:pgMar w:top="1584" w:right="1440" w:bottom="1440" w:left="1440" w:header="720" w:footer="720" w:gutter="0"/>
          <w:cols w:space="720"/>
          <w:formProt w:val="0"/>
          <w:docGrid w:linePitch="360"/>
        </w:sectPr>
      </w:pPr>
    </w:p>
    <w:p w:rsidR="00CE25D9" w:rsidRDefault="00CE25D9" w:rsidP="00CE25D9">
      <w:pPr>
        <w:pStyle w:val="BodyText"/>
      </w:pPr>
    </w:p>
    <w:p w:rsidR="008128EB" w:rsidRDefault="008128EB" w:rsidP="008128EB">
      <w:pPr>
        <w:tabs>
          <w:tab w:val="left" w:pos="2830"/>
        </w:tabs>
      </w:pPr>
      <w:r>
        <w:rPr>
          <w:noProof/>
        </w:rPr>
        <w:drawing>
          <wp:inline distT="0" distB="0" distL="0" distR="0" wp14:anchorId="6845B585" wp14:editId="5551A973">
            <wp:extent cx="5942128" cy="7277100"/>
            <wp:effectExtent l="0" t="0" r="1905"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278903"/>
                    </a:xfrm>
                    <a:prstGeom prst="rect">
                      <a:avLst/>
                    </a:prstGeom>
                  </pic:spPr>
                </pic:pic>
              </a:graphicData>
            </a:graphic>
          </wp:inline>
        </w:drawing>
      </w:r>
    </w:p>
    <w:p w:rsidR="00576D59" w:rsidRDefault="00576D59" w:rsidP="008128EB">
      <w:pPr>
        <w:tabs>
          <w:tab w:val="left" w:pos="2830"/>
        </w:tabs>
        <w:sectPr w:rsidR="00576D59" w:rsidSect="0068481F">
          <w:headerReference w:type="default" r:id="rId15"/>
          <w:footerReference w:type="default" r:id="rId16"/>
          <w:pgSz w:w="12240" w:h="15840" w:code="1"/>
          <w:pgMar w:top="1584" w:right="1440" w:bottom="1440" w:left="1440" w:header="720" w:footer="720" w:gutter="0"/>
          <w:cols w:space="720"/>
          <w:formProt w:val="0"/>
          <w:docGrid w:linePitch="360"/>
        </w:sectPr>
      </w:pPr>
    </w:p>
    <w:p w:rsidR="00576D59" w:rsidRDefault="00576D59" w:rsidP="008128EB">
      <w:pPr>
        <w:tabs>
          <w:tab w:val="left" w:pos="2830"/>
        </w:tabs>
      </w:pPr>
    </w:p>
    <w:p w:rsidR="008128EB" w:rsidRDefault="008128EB" w:rsidP="008128EB">
      <w:pPr>
        <w:tabs>
          <w:tab w:val="left" w:pos="2830"/>
        </w:tabs>
      </w:pPr>
      <w:r>
        <w:rPr>
          <w:noProof/>
        </w:rPr>
        <w:drawing>
          <wp:inline distT="0" distB="0" distL="0" distR="0" wp14:anchorId="3CC7864E" wp14:editId="4D783BB2">
            <wp:extent cx="5942128" cy="7410450"/>
            <wp:effectExtent l="0" t="0" r="1905"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412286"/>
                    </a:xfrm>
                    <a:prstGeom prst="rect">
                      <a:avLst/>
                    </a:prstGeom>
                  </pic:spPr>
                </pic:pic>
              </a:graphicData>
            </a:graphic>
          </wp:inline>
        </w:drawing>
      </w:r>
    </w:p>
    <w:p w:rsidR="00576D59" w:rsidRDefault="00576D59" w:rsidP="008128EB"/>
    <w:p w:rsidR="001674B9" w:rsidRDefault="001674B9" w:rsidP="008128EB">
      <w:pPr>
        <w:sectPr w:rsidR="001674B9" w:rsidSect="0068481F">
          <w:headerReference w:type="default" r:id="rId18"/>
          <w:footerReference w:type="default" r:id="rId19"/>
          <w:pgSz w:w="12240" w:h="15840" w:code="1"/>
          <w:pgMar w:top="1584" w:right="1440" w:bottom="1440" w:left="1440" w:header="720" w:footer="720" w:gutter="0"/>
          <w:cols w:space="720"/>
          <w:formProt w:val="0"/>
          <w:docGrid w:linePitch="360"/>
        </w:sectPr>
      </w:pPr>
    </w:p>
    <w:p w:rsidR="008128EB" w:rsidRDefault="008128EB" w:rsidP="008128EB">
      <w:pPr>
        <w:tabs>
          <w:tab w:val="left" w:pos="2830"/>
        </w:tabs>
      </w:pPr>
      <w:r>
        <w:rPr>
          <w:noProof/>
        </w:rPr>
        <w:lastRenderedPageBreak/>
        <w:drawing>
          <wp:inline distT="0" distB="0" distL="0" distR="0" wp14:anchorId="7EFA8659" wp14:editId="6C00FF36">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1674B9" w:rsidRDefault="001674B9" w:rsidP="008128EB">
      <w:pPr>
        <w:sectPr w:rsidR="001674B9" w:rsidSect="0068481F">
          <w:headerReference w:type="default" r:id="rId21"/>
          <w:footerReference w:type="default" r:id="rId22"/>
          <w:pgSz w:w="12240" w:h="15840" w:code="1"/>
          <w:pgMar w:top="1584" w:right="1440" w:bottom="1440" w:left="1440" w:header="720" w:footer="720" w:gutter="0"/>
          <w:cols w:space="720"/>
          <w:formProt w:val="0"/>
          <w:docGrid w:linePitch="360"/>
        </w:sectPr>
      </w:pPr>
    </w:p>
    <w:p w:rsidR="008128EB" w:rsidRDefault="008128EB" w:rsidP="008128EB">
      <w:pPr>
        <w:tabs>
          <w:tab w:val="left" w:pos="2830"/>
        </w:tabs>
      </w:pPr>
      <w:r>
        <w:rPr>
          <w:noProof/>
        </w:rPr>
        <w:lastRenderedPageBreak/>
        <w:drawing>
          <wp:inline distT="0" distB="0" distL="0" distR="0" wp14:anchorId="29AD99E6" wp14:editId="03F5D1A4">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1674B9" w:rsidRDefault="001674B9" w:rsidP="008128EB">
      <w:pPr>
        <w:sectPr w:rsidR="001674B9" w:rsidSect="0068481F">
          <w:headerReference w:type="default" r:id="rId24"/>
          <w:footerReference w:type="default" r:id="rId25"/>
          <w:pgSz w:w="12240" w:h="15840" w:code="1"/>
          <w:pgMar w:top="1584" w:right="1440" w:bottom="1440" w:left="1440" w:header="720" w:footer="720" w:gutter="0"/>
          <w:cols w:space="720"/>
          <w:formProt w:val="0"/>
          <w:docGrid w:linePitch="360"/>
        </w:sectPr>
      </w:pPr>
    </w:p>
    <w:p w:rsidR="008128EB" w:rsidRDefault="008128EB" w:rsidP="008128EB"/>
    <w:p w:rsidR="00D42A75" w:rsidRDefault="008128EB" w:rsidP="008128EB">
      <w:pPr>
        <w:tabs>
          <w:tab w:val="left" w:pos="2830"/>
        </w:tabs>
      </w:pPr>
      <w:r>
        <w:rPr>
          <w:noProof/>
        </w:rPr>
        <w:drawing>
          <wp:inline distT="0" distB="0" distL="0" distR="0" wp14:anchorId="7F66F492" wp14:editId="2BC18C23">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sectPr w:rsidR="00D42A75"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3CC" w:rsidRDefault="006D13CC">
      <w:r>
        <w:separator/>
      </w:r>
    </w:p>
  </w:endnote>
  <w:endnote w:type="continuationSeparator" w:id="0">
    <w:p w:rsidR="006D13CC" w:rsidRDefault="006D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2910">
      <w:rPr>
        <w:rStyle w:val="PageNumber"/>
        <w:noProof/>
      </w:rPr>
      <w:t>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2910">
      <w:rPr>
        <w:rStyle w:val="PageNumber"/>
        <w:noProof/>
      </w:rPr>
      <w:t>15</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2910">
      <w:rPr>
        <w:rStyle w:val="PageNumber"/>
        <w:noProof/>
      </w:rPr>
      <w:t>16</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2910">
      <w:rPr>
        <w:rStyle w:val="PageNumber"/>
        <w:noProof/>
      </w:rPr>
      <w:t>17</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2910">
      <w:rPr>
        <w:rStyle w:val="PageNumber"/>
        <w:noProof/>
      </w:rPr>
      <w:t>18</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C2910">
      <w:rPr>
        <w:rStyle w:val="PageNumber"/>
        <w:noProof/>
      </w:rPr>
      <w:t>20</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3CC" w:rsidRDefault="006D13CC">
      <w:r>
        <w:separator/>
      </w:r>
    </w:p>
  </w:footnote>
  <w:footnote w:type="continuationSeparator" w:id="0">
    <w:p w:rsidR="006D13CC" w:rsidRDefault="006D13CC">
      <w:r>
        <w:continuationSeparator/>
      </w:r>
    </w:p>
  </w:footnote>
  <w:footnote w:id="1">
    <w:p w:rsidR="00861172" w:rsidRDefault="00861172" w:rsidP="00861172">
      <w:pPr>
        <w:pStyle w:val="FootnoteText"/>
      </w:pPr>
      <w:r>
        <w:rPr>
          <w:rStyle w:val="FootnoteReference"/>
        </w:rPr>
        <w:footnoteRef/>
      </w:r>
      <w:r>
        <w:t xml:space="preserve">Section </w:t>
      </w:r>
      <w:r w:rsidRPr="00032775">
        <w:t>366.82</w:t>
      </w:r>
      <w:r>
        <w:t xml:space="preserve">, F.S., provides that a natural gas utility is subject to FEECA requirements if a utility’s </w:t>
      </w:r>
      <w:r w:rsidRPr="00032775">
        <w:t>annual</w:t>
      </w:r>
      <w:r w:rsidR="00B02124">
        <w:t xml:space="preserve"> retail</w:t>
      </w:r>
      <w:r w:rsidRPr="00032775">
        <w:t xml:space="preserve"> sales volume is</w:t>
      </w:r>
      <w:r>
        <w:t xml:space="preserve"> equal to or greater than</w:t>
      </w:r>
      <w:r w:rsidRPr="00032775">
        <w:t xml:space="preserve"> 100 million therms</w:t>
      </w:r>
      <w:r>
        <w:t>.</w:t>
      </w:r>
    </w:p>
  </w:footnote>
  <w:footnote w:id="2">
    <w:p w:rsidR="00C90907" w:rsidRDefault="00C90907" w:rsidP="00C90907">
      <w:pPr>
        <w:pStyle w:val="FootnoteText"/>
      </w:pPr>
      <w:r>
        <w:rPr>
          <w:rStyle w:val="FootnoteReference"/>
        </w:rPr>
        <w:footnoteRef/>
      </w:r>
      <w:r>
        <w:t xml:space="preserve">Order No. 23462, issued September 11, 1990, in Docket No. 19900089-EG, </w:t>
      </w:r>
      <w:r w:rsidRPr="00E27B89">
        <w:rPr>
          <w:i/>
        </w:rPr>
        <w:t xml:space="preserve">In re: </w:t>
      </w:r>
      <w:r>
        <w:rPr>
          <w:i/>
        </w:rPr>
        <w:t>Request for approval of Energy Conservation Plan by Peoples Gas System, Inc.</w:t>
      </w:r>
      <w:r>
        <w:t>; Order No. PSC-06-08</w:t>
      </w:r>
      <w:r w:rsidRPr="002E47FC">
        <w:t>16-PAA-EG</w:t>
      </w:r>
      <w:r>
        <w:t xml:space="preserve">, issued October 4, 2006, in Docket No. 20060478-EG, </w:t>
      </w:r>
      <w:r w:rsidRPr="002E47FC">
        <w:rPr>
          <w:i/>
        </w:rPr>
        <w:t>In re: Petition for approval of modifications to</w:t>
      </w:r>
      <w:r>
        <w:rPr>
          <w:i/>
        </w:rPr>
        <w:t xml:space="preserve"> </w:t>
      </w:r>
      <w:r w:rsidRPr="002E47FC">
        <w:rPr>
          <w:i/>
        </w:rPr>
        <w:t>approved energy conservation programs, by</w:t>
      </w:r>
      <w:r>
        <w:rPr>
          <w:i/>
        </w:rPr>
        <w:t xml:space="preserve"> Peoples Gas System.; </w:t>
      </w:r>
      <w:r>
        <w:t>Order No. PSC-10</w:t>
      </w:r>
      <w:r w:rsidRPr="002E47FC">
        <w:t>-0113-PAA-EG</w:t>
      </w:r>
      <w:r>
        <w:t xml:space="preserve">, issued February 25, 2010, in Docket No. 20090122-EG, </w:t>
      </w:r>
      <w:r w:rsidRPr="002E47FC">
        <w:rPr>
          <w:i/>
        </w:rPr>
        <w:t>In re: Petition for approval of modifications to</w:t>
      </w:r>
      <w:r>
        <w:rPr>
          <w:i/>
        </w:rPr>
        <w:t xml:space="preserve"> </w:t>
      </w:r>
      <w:r w:rsidRPr="002E47FC">
        <w:rPr>
          <w:i/>
        </w:rPr>
        <w:t>approved energy conservation programs, by</w:t>
      </w:r>
      <w:r>
        <w:rPr>
          <w:i/>
        </w:rPr>
        <w:t xml:space="preserve"> Associated Gas Distributors of Florida.; </w:t>
      </w:r>
      <w:r>
        <w:t>Order No. PSC-10</w:t>
      </w:r>
      <w:r w:rsidRPr="002E47FC">
        <w:t>-0551-PAA-EG</w:t>
      </w:r>
      <w:r>
        <w:t xml:space="preserve">, issued September 2, 2010, in Docket No. </w:t>
      </w:r>
      <w:r w:rsidRPr="002E47FC">
        <w:t>20100186-EG</w:t>
      </w:r>
      <w:r>
        <w:t xml:space="preserve">, </w:t>
      </w:r>
      <w:r w:rsidRPr="002E47FC">
        <w:rPr>
          <w:i/>
        </w:rPr>
        <w:t xml:space="preserve">In re: Petition for approval of </w:t>
      </w:r>
      <w:r>
        <w:rPr>
          <w:i/>
        </w:rPr>
        <w:t xml:space="preserve">natural gas residential energy conservation programs, </w:t>
      </w:r>
      <w:r w:rsidRPr="002E47FC">
        <w:rPr>
          <w:i/>
        </w:rPr>
        <w:t>by</w:t>
      </w:r>
      <w:r>
        <w:rPr>
          <w:i/>
        </w:rPr>
        <w:t xml:space="preserve"> Associated Gas Distributors of Florida.; </w:t>
      </w:r>
      <w:r>
        <w:t xml:space="preserve">Order No. </w:t>
      </w:r>
      <w:r w:rsidRPr="002E47FC">
        <w:t>PSC-14-0039-PAA-EG</w:t>
      </w:r>
      <w:r>
        <w:t xml:space="preserve">, issued January 14, 2014, in Docket No. </w:t>
      </w:r>
      <w:r w:rsidRPr="002E47FC">
        <w:t>20130167-EG</w:t>
      </w:r>
      <w:r>
        <w:t xml:space="preserve">, </w:t>
      </w:r>
      <w:r w:rsidRPr="002E47FC">
        <w:rPr>
          <w:i/>
        </w:rPr>
        <w:t>In re: Petition for approval of natural gas</w:t>
      </w:r>
      <w:r>
        <w:rPr>
          <w:i/>
        </w:rPr>
        <w:t xml:space="preserve"> </w:t>
      </w:r>
      <w:r w:rsidRPr="002E47FC">
        <w:rPr>
          <w:i/>
        </w:rPr>
        <w:t>energy conservation programs for commercia</w:t>
      </w:r>
      <w:r>
        <w:rPr>
          <w:i/>
        </w:rPr>
        <w:t xml:space="preserve">l customers, </w:t>
      </w:r>
      <w:r w:rsidRPr="002E47FC">
        <w:rPr>
          <w:i/>
        </w:rPr>
        <w:t>by</w:t>
      </w:r>
      <w:r>
        <w:rPr>
          <w:i/>
        </w:rPr>
        <w:t xml:space="preserve"> Associated Gas Distributors of Florida.; </w:t>
      </w:r>
      <w:r>
        <w:t xml:space="preserve">Order No. </w:t>
      </w:r>
      <w:r w:rsidRPr="004C044D">
        <w:t>PSC-15-0095-PAA-EG</w:t>
      </w:r>
      <w:r>
        <w:t xml:space="preserve">, issued February 6, 2015, in Docket No. </w:t>
      </w:r>
      <w:r w:rsidRPr="006D714C">
        <w:t>20140196-EG</w:t>
      </w:r>
      <w:r>
        <w:t xml:space="preserve">, </w:t>
      </w:r>
      <w:r w:rsidRPr="002E47FC">
        <w:rPr>
          <w:i/>
        </w:rPr>
        <w:t xml:space="preserve">In re: </w:t>
      </w:r>
      <w:r w:rsidRPr="004C044D">
        <w:rPr>
          <w:i/>
        </w:rPr>
        <w:t>Petit</w:t>
      </w:r>
      <w:r>
        <w:rPr>
          <w:i/>
        </w:rPr>
        <w:t xml:space="preserve">ion for approval of extension of </w:t>
      </w:r>
      <w:r w:rsidRPr="004C044D">
        <w:rPr>
          <w:i/>
        </w:rPr>
        <w:t>conservation demonstration and development</w:t>
      </w:r>
      <w:r>
        <w:rPr>
          <w:i/>
        </w:rPr>
        <w:t xml:space="preserve"> </w:t>
      </w:r>
      <w:r w:rsidRPr="004C044D">
        <w:rPr>
          <w:i/>
        </w:rPr>
        <w:t>program, by</w:t>
      </w:r>
      <w:r>
        <w:rPr>
          <w:i/>
        </w:rPr>
        <w:t xml:space="preserve"> </w:t>
      </w:r>
      <w:r w:rsidRPr="004C044D">
        <w:rPr>
          <w:i/>
        </w:rPr>
        <w:t>Associated Gas Distributors of</w:t>
      </w:r>
      <w:r>
        <w:rPr>
          <w:i/>
        </w:rPr>
        <w:t xml:space="preserve"> </w:t>
      </w:r>
      <w:r w:rsidRPr="004C044D">
        <w:rPr>
          <w:i/>
        </w:rPr>
        <w:t>Florida.</w:t>
      </w:r>
    </w:p>
  </w:footnote>
  <w:footnote w:id="3">
    <w:p w:rsidR="00F02B01" w:rsidRDefault="00F02B01" w:rsidP="00F02B01">
      <w:pPr>
        <w:pStyle w:val="FootnoteText"/>
      </w:pPr>
      <w:r>
        <w:rPr>
          <w:rStyle w:val="FootnoteReference"/>
        </w:rPr>
        <w:footnoteRef/>
      </w:r>
      <w:r>
        <w:t xml:space="preserve">Report No. 2016-022, issued October 2015, Public Service Commission Nuclear Power Plant Cost Recovery, Florida Energy Efficiency and Conservation Act, and Selected Administrative Activities. </w:t>
      </w:r>
    </w:p>
  </w:footnote>
  <w:footnote w:id="4">
    <w:p w:rsidR="009F71BB" w:rsidRDefault="009F71BB" w:rsidP="009F71BB">
      <w:pPr>
        <w:pStyle w:val="FootnoteText"/>
      </w:pPr>
      <w:r>
        <w:rPr>
          <w:rStyle w:val="FootnoteReference"/>
        </w:rPr>
        <w:footnoteRef/>
      </w:r>
      <w:r>
        <w:t xml:space="preserve"> PGS provided that its service territory is non-contiguous and spans 26 counties, from Dade County to Bay County.</w:t>
      </w:r>
    </w:p>
  </w:footnote>
  <w:footnote w:id="5">
    <w:p w:rsidR="006D13CC" w:rsidRDefault="006D13CC">
      <w:pPr>
        <w:pStyle w:val="FootnoteText"/>
      </w:pPr>
      <w:r>
        <w:rPr>
          <w:rStyle w:val="FootnoteReference"/>
        </w:rPr>
        <w:footnoteRef/>
      </w:r>
      <w:r>
        <w:t xml:space="preserve">A list of all DSM measures evaluated in the Technical Potential can be </w:t>
      </w:r>
      <w:r w:rsidR="003475BC">
        <w:t>found</w:t>
      </w:r>
      <w:r w:rsidR="001504D8">
        <w:t xml:space="preserve"> in </w:t>
      </w:r>
      <w:r w:rsidR="004534C4">
        <w:t xml:space="preserve">Appendix </w:t>
      </w:r>
      <w:proofErr w:type="gramStart"/>
      <w:r w:rsidR="004534C4">
        <w:t>A</w:t>
      </w:r>
      <w:proofErr w:type="gramEnd"/>
      <w:r w:rsidR="004534C4">
        <w:t xml:space="preserve"> of </w:t>
      </w:r>
      <w:r w:rsidR="001504D8">
        <w:t>Exhibit A</w:t>
      </w:r>
      <w:r w:rsidR="003475BC">
        <w:t xml:space="preserve"> on </w:t>
      </w:r>
      <w:r w:rsidR="004534C4">
        <w:t>p</w:t>
      </w:r>
      <w:r w:rsidR="003475BC">
        <w:t>ages</w:t>
      </w:r>
      <w:r>
        <w:t xml:space="preserve"> 20-22 of </w:t>
      </w:r>
      <w:r w:rsidR="008A5E65">
        <w:t>PGS’</w:t>
      </w:r>
      <w:r>
        <w:t xml:space="preserve"> petition.</w:t>
      </w:r>
    </w:p>
  </w:footnote>
  <w:footnote w:id="6">
    <w:p w:rsidR="00C3350A" w:rsidRDefault="00C3350A" w:rsidP="00C3350A">
      <w:pPr>
        <w:pStyle w:val="FootnoteText"/>
      </w:pPr>
      <w:r>
        <w:rPr>
          <w:rStyle w:val="FootnoteReference"/>
        </w:rPr>
        <w:footnoteRef/>
      </w:r>
      <w:proofErr w:type="gramStart"/>
      <w:r>
        <w:t>Order No.</w:t>
      </w:r>
      <w:proofErr w:type="gramEnd"/>
      <w:r>
        <w:t xml:space="preserve">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7">
    <w:p w:rsidR="00C3350A" w:rsidRDefault="00C3350A" w:rsidP="00C3350A">
      <w:pPr>
        <w:pStyle w:val="FootnoteText"/>
      </w:pPr>
      <w:r>
        <w:rPr>
          <w:rStyle w:val="FootnoteReference"/>
        </w:rPr>
        <w:footnoteRef/>
      </w:r>
      <w:proofErr w:type="gramStart"/>
      <w:r>
        <w:t>Order No.</w:t>
      </w:r>
      <w:proofErr w:type="gramEnd"/>
      <w:r>
        <w:t xml:space="preserve">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8">
    <w:p w:rsidR="006D13CC" w:rsidRDefault="006D13CC" w:rsidP="00432D99">
      <w:pPr>
        <w:pStyle w:val="FootnoteText"/>
      </w:pPr>
      <w:r>
        <w:rPr>
          <w:rStyle w:val="FootnoteReference"/>
        </w:rPr>
        <w:footnoteRef/>
      </w:r>
      <w:r>
        <w:t xml:space="preserve">Order No. 23576, issued October 3, 1990, in Docket No. 19900002-EG, </w:t>
      </w:r>
      <w:r w:rsidRPr="00E27B89">
        <w:rPr>
          <w:i/>
        </w:rPr>
        <w:t xml:space="preserve">In re: </w:t>
      </w:r>
      <w:r w:rsidRPr="002E6DE9">
        <w:rPr>
          <w:i/>
        </w:rPr>
        <w:t>Conservation Cost Recovery Clause.</w:t>
      </w:r>
    </w:p>
  </w:footnote>
  <w:footnote w:id="9">
    <w:p w:rsidR="004550D4" w:rsidRDefault="004550D4">
      <w:pPr>
        <w:pStyle w:val="FootnoteText"/>
      </w:pPr>
      <w:r>
        <w:rPr>
          <w:rStyle w:val="FootnoteReference"/>
        </w:rPr>
        <w:footnoteRef/>
      </w:r>
      <w:proofErr w:type="gramStart"/>
      <w:r>
        <w:t>Order No.</w:t>
      </w:r>
      <w:proofErr w:type="gramEnd"/>
      <w:r>
        <w:t xml:space="preserve">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10">
    <w:p w:rsidR="004550D4" w:rsidRDefault="004550D4">
      <w:pPr>
        <w:pStyle w:val="FootnoteText"/>
      </w:pPr>
      <w:r>
        <w:rPr>
          <w:rStyle w:val="FootnoteReference"/>
        </w:rPr>
        <w:footnoteRef/>
      </w:r>
      <w:proofErr w:type="gramStart"/>
      <w:r w:rsidR="001B49C4">
        <w:t>Order No.</w:t>
      </w:r>
      <w:proofErr w:type="gramEnd"/>
      <w:r w:rsidR="001B49C4">
        <w:t xml:space="preserve"> PSC-14-0039-PAA-EG, issued January 14, 2014, in Docket No. 20130167-EG, </w:t>
      </w:r>
      <w:r w:rsidR="001B49C4" w:rsidRPr="00E27B89">
        <w:rPr>
          <w:i/>
        </w:rPr>
        <w:t xml:space="preserve">In re: </w:t>
      </w:r>
      <w:r w:rsidR="001B49C4">
        <w:rPr>
          <w:i/>
        </w:rPr>
        <w:t>Petition for approval of natural gas energy conservation programs for commercial customers, by Associated Gas Distributors of Florida</w:t>
      </w:r>
      <w:r w:rsidR="001B49C4" w:rsidRPr="002E6DE9">
        <w:rPr>
          <w:i/>
        </w:rPr>
        <w:t>.</w:t>
      </w:r>
    </w:p>
  </w:footnote>
  <w:footnote w:id="11">
    <w:p w:rsidR="00E64E3F" w:rsidRDefault="00E64E3F" w:rsidP="00E64E3F">
      <w:pPr>
        <w:pStyle w:val="FootnoteText"/>
      </w:pPr>
      <w:r>
        <w:rPr>
          <w:rStyle w:val="FootnoteReference"/>
        </w:rPr>
        <w:footnoteRef/>
      </w:r>
      <w:proofErr w:type="gramStart"/>
      <w:r>
        <w:t>Order No.</w:t>
      </w:r>
      <w:proofErr w:type="gramEnd"/>
      <w:r>
        <w:t xml:space="preserve">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12">
    <w:p w:rsidR="00E64E3F" w:rsidRDefault="00E64E3F" w:rsidP="00E64E3F">
      <w:pPr>
        <w:pStyle w:val="FootnoteText"/>
      </w:pPr>
      <w:r>
        <w:rPr>
          <w:rStyle w:val="FootnoteReference"/>
        </w:rPr>
        <w:footnoteRef/>
      </w:r>
      <w:proofErr w:type="gramStart"/>
      <w:r>
        <w:t>Order No.</w:t>
      </w:r>
      <w:proofErr w:type="gramEnd"/>
      <w:r>
        <w:t xml:space="preserve">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13">
    <w:p w:rsidR="00DA0848" w:rsidRDefault="00DA0848">
      <w:pPr>
        <w:pStyle w:val="FootnoteText"/>
      </w:pPr>
      <w:r>
        <w:rPr>
          <w:rStyle w:val="FootnoteReference"/>
        </w:rPr>
        <w:footnoteRef/>
      </w:r>
      <w:r>
        <w:t>This requirement corresponds to Rule 25-17.0021(5), F.A.C., that the FEECA electric utilities operate under regarding annual DSM reports.</w:t>
      </w:r>
    </w:p>
  </w:footnote>
  <w:footnote w:id="14">
    <w:p w:rsidR="007C5D3F" w:rsidRDefault="007C5D3F" w:rsidP="007C5D3F">
      <w:pPr>
        <w:pStyle w:val="FootnoteText"/>
      </w:pPr>
      <w:r>
        <w:rPr>
          <w:rStyle w:val="FootnoteReference"/>
        </w:rPr>
        <w:footnoteRef/>
      </w:r>
      <w:r>
        <w:t>The C</w:t>
      </w:r>
      <w:r w:rsidR="00AE01B6">
        <w:t xml:space="preserve">A </w:t>
      </w:r>
      <w:r>
        <w:t>is not offered to commercial natural gas-</w:t>
      </w:r>
      <w:r w:rsidRPr="00515256">
        <w:t>fired cogeneration and interruptible customers</w:t>
      </w:r>
      <w:r>
        <w:t xml:space="preserve"> because expenses associated with these customers do not qualify for cost recovery under the ECCR clause.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20180186-GU</w:t>
    </w:r>
    <w:bookmarkEnd w:id="15"/>
  </w:p>
  <w:p w:rsidR="006D13CC" w:rsidRDefault="006D13CC">
    <w:pPr>
      <w:pStyle w:val="Header"/>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rsidP="00220732">
    <w:pPr>
      <w:pStyle w:val="Header"/>
      <w:tabs>
        <w:tab w:val="clear" w:pos="4320"/>
        <w:tab w:val="clear" w:pos="8640"/>
        <w:tab w:val="right" w:pos="9360"/>
      </w:tabs>
    </w:pPr>
    <w:r>
      <w:fldChar w:fldCharType="begin"/>
    </w:r>
    <w:r>
      <w:instrText xml:space="preserve"> REF DocketLabel</w:instrText>
    </w:r>
    <w:r>
      <w:fldChar w:fldCharType="separate"/>
    </w:r>
    <w:r w:rsidR="000160AB">
      <w:t>Docket No.</w:t>
    </w:r>
    <w:r>
      <w:fldChar w:fldCharType="end"/>
    </w:r>
    <w:r>
      <w:t xml:space="preserve"> </w:t>
    </w:r>
    <w:r>
      <w:fldChar w:fldCharType="begin"/>
    </w:r>
    <w:r>
      <w:instrText xml:space="preserve"> REF DocketList</w:instrText>
    </w:r>
    <w:r>
      <w:fldChar w:fldCharType="separate"/>
    </w:r>
    <w:r w:rsidR="000160AB">
      <w:t>20180186-GU</w:t>
    </w:r>
    <w:r>
      <w:fldChar w:fldCharType="end"/>
    </w:r>
    <w:r>
      <w:tab/>
      <w:t xml:space="preserve">Issue </w:t>
    </w:r>
    <w:r w:rsidR="00FE4D92">
      <w:fldChar w:fldCharType="begin"/>
    </w:r>
    <w:r w:rsidR="00FE4D92">
      <w:instrText xml:space="preserve"> Seq Issue \c \* Arabic </w:instrText>
    </w:r>
    <w:r w:rsidR="00FE4D92">
      <w:fldChar w:fldCharType="separate"/>
    </w:r>
    <w:r w:rsidR="004C2910">
      <w:rPr>
        <w:noProof/>
      </w:rPr>
      <w:t>5</w:t>
    </w:r>
    <w:r w:rsidR="00FE4D92">
      <w:rPr>
        <w:noProof/>
      </w:rPr>
      <w:fldChar w:fldCharType="end"/>
    </w:r>
  </w:p>
  <w:p w:rsidR="006D13CC" w:rsidRDefault="006D13CC">
    <w:pPr>
      <w:pStyle w:val="Header"/>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0160AB">
      <w:t>Docket No.</w:t>
    </w:r>
    <w:r>
      <w:fldChar w:fldCharType="end"/>
    </w:r>
    <w:r>
      <w:t xml:space="preserve"> </w:t>
    </w:r>
    <w:r>
      <w:fldChar w:fldCharType="begin"/>
    </w:r>
    <w:r>
      <w:instrText xml:space="preserve"> REF DocketList</w:instrText>
    </w:r>
    <w:r>
      <w:fldChar w:fldCharType="separate"/>
    </w:r>
    <w:r w:rsidR="000160AB">
      <w:t>20180186-GU</w:t>
    </w:r>
    <w:r>
      <w:fldChar w:fldCharType="end"/>
    </w:r>
    <w:r>
      <w:tab/>
    </w:r>
    <w:r w:rsidR="00576D59">
      <w:tab/>
    </w:r>
    <w:r>
      <w:t>Attachment A</w:t>
    </w:r>
  </w:p>
  <w:p w:rsidR="006D13CC" w:rsidRDefault="006D13CC" w:rsidP="00F71E69">
    <w:pPr>
      <w:pStyle w:val="Header"/>
      <w:tabs>
        <w:tab w:val="clear" w:pos="8640"/>
        <w:tab w:val="right" w:pos="9360"/>
      </w:tabs>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r w:rsidR="008128EB">
      <w:tab/>
    </w:r>
    <w:r w:rsidR="008128EB">
      <w:tab/>
      <w:t xml:space="preserve">Page </w:t>
    </w:r>
    <w:r w:rsidR="00576D59">
      <w:t>1 of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0160AB">
      <w:t>Docket No.</w:t>
    </w:r>
    <w:r>
      <w:fldChar w:fldCharType="end"/>
    </w:r>
    <w:r>
      <w:t xml:space="preserve"> </w:t>
    </w:r>
    <w:r>
      <w:fldChar w:fldCharType="begin"/>
    </w:r>
    <w:r>
      <w:instrText xml:space="preserve"> REF DocketList</w:instrText>
    </w:r>
    <w:r>
      <w:fldChar w:fldCharType="separate"/>
    </w:r>
    <w:r w:rsidR="000160AB">
      <w:t>20180186-GU</w:t>
    </w:r>
    <w:r>
      <w:fldChar w:fldCharType="end"/>
    </w:r>
    <w:r>
      <w:tab/>
    </w:r>
    <w:r>
      <w:tab/>
      <w:t>Attachment A</w:t>
    </w:r>
  </w:p>
  <w:p w:rsidR="00576D59" w:rsidRDefault="00576D59" w:rsidP="00F71E69">
    <w:pPr>
      <w:pStyle w:val="Header"/>
      <w:tabs>
        <w:tab w:val="clear" w:pos="8640"/>
        <w:tab w:val="right" w:pos="9360"/>
      </w:tabs>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r>
      <w:tab/>
    </w:r>
    <w:r>
      <w:tab/>
      <w:t>Page 2 of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0160AB">
      <w:t>Docket No.</w:t>
    </w:r>
    <w:r>
      <w:fldChar w:fldCharType="end"/>
    </w:r>
    <w:r>
      <w:t xml:space="preserve"> </w:t>
    </w:r>
    <w:r>
      <w:fldChar w:fldCharType="begin"/>
    </w:r>
    <w:r>
      <w:instrText xml:space="preserve"> REF DocketList</w:instrText>
    </w:r>
    <w:r>
      <w:fldChar w:fldCharType="separate"/>
    </w:r>
    <w:r w:rsidR="000160AB">
      <w:t>20180186-GU</w:t>
    </w:r>
    <w:r>
      <w:fldChar w:fldCharType="end"/>
    </w:r>
    <w:r>
      <w:tab/>
    </w:r>
    <w:r>
      <w:tab/>
      <w:t>Attachment A</w:t>
    </w:r>
  </w:p>
  <w:p w:rsidR="00576D59" w:rsidRDefault="00576D59" w:rsidP="00F71E69">
    <w:pPr>
      <w:pStyle w:val="Header"/>
      <w:tabs>
        <w:tab w:val="clear" w:pos="8640"/>
        <w:tab w:val="right" w:pos="9360"/>
      </w:tabs>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r>
      <w:tab/>
    </w:r>
    <w:r>
      <w:tab/>
      <w:t xml:space="preserve">Page </w:t>
    </w:r>
    <w:r w:rsidR="001674B9">
      <w:t>3 of 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0160AB">
      <w:t>Docket No.</w:t>
    </w:r>
    <w:r>
      <w:fldChar w:fldCharType="end"/>
    </w:r>
    <w:r>
      <w:t xml:space="preserve"> </w:t>
    </w:r>
    <w:r>
      <w:fldChar w:fldCharType="begin"/>
    </w:r>
    <w:r>
      <w:instrText xml:space="preserve"> REF DocketList</w:instrText>
    </w:r>
    <w:r>
      <w:fldChar w:fldCharType="separate"/>
    </w:r>
    <w:r w:rsidR="000160AB">
      <w:t>20180186-GU</w:t>
    </w:r>
    <w:r>
      <w:fldChar w:fldCharType="end"/>
    </w:r>
    <w:r>
      <w:tab/>
    </w:r>
    <w:r>
      <w:tab/>
      <w:t>Attachment A</w:t>
    </w:r>
  </w:p>
  <w:p w:rsidR="001674B9" w:rsidRDefault="001674B9" w:rsidP="00F71E69">
    <w:pPr>
      <w:pStyle w:val="Header"/>
      <w:tabs>
        <w:tab w:val="clear" w:pos="8640"/>
        <w:tab w:val="right" w:pos="9360"/>
      </w:tabs>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r>
      <w:tab/>
    </w:r>
    <w:r>
      <w:tab/>
      <w:t>Page 4 of 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0160AB">
      <w:t>Docket No.</w:t>
    </w:r>
    <w:r>
      <w:fldChar w:fldCharType="end"/>
    </w:r>
    <w:r>
      <w:t xml:space="preserve"> </w:t>
    </w:r>
    <w:r>
      <w:fldChar w:fldCharType="begin"/>
    </w:r>
    <w:r>
      <w:instrText xml:space="preserve"> REF DocketList</w:instrText>
    </w:r>
    <w:r>
      <w:fldChar w:fldCharType="separate"/>
    </w:r>
    <w:r w:rsidR="000160AB">
      <w:t>20180186-GU</w:t>
    </w:r>
    <w:r>
      <w:fldChar w:fldCharType="end"/>
    </w:r>
    <w:r>
      <w:tab/>
    </w:r>
    <w:r>
      <w:tab/>
      <w:t>Attachment A</w:t>
    </w:r>
  </w:p>
  <w:p w:rsidR="001674B9" w:rsidRDefault="001674B9" w:rsidP="00F71E69">
    <w:pPr>
      <w:pStyle w:val="Header"/>
      <w:tabs>
        <w:tab w:val="clear" w:pos="8640"/>
        <w:tab w:val="right" w:pos="9360"/>
      </w:tabs>
    </w:pPr>
    <w:r>
      <w:t xml:space="preserve">Date: </w:t>
    </w:r>
    <w:r w:rsidR="00FE4D92">
      <w:fldChar w:fldCharType="begin"/>
    </w:r>
    <w:r w:rsidR="00FE4D92">
      <w:instrText xml:space="preserve"> REF FilingDate </w:instrText>
    </w:r>
    <w:r w:rsidR="00FE4D92">
      <w:fldChar w:fldCharType="separate"/>
    </w:r>
    <w:r w:rsidR="000160AB">
      <w:t>July 25</w:t>
    </w:r>
    <w:r w:rsidR="000160AB" w:rsidRPr="006D324D">
      <w:t>, 2019</w:t>
    </w:r>
    <w:r w:rsidR="00FE4D92">
      <w:fldChar w:fldCharType="end"/>
    </w:r>
    <w:r>
      <w:tab/>
    </w:r>
    <w:r>
      <w:tab/>
      <w:t>Page 5 of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0AD6C83"/>
    <w:multiLevelType w:val="multilevel"/>
    <w:tmpl w:val="768C5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006921"/>
    <w:multiLevelType w:val="multilevel"/>
    <w:tmpl w:val="EC80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0B4E30"/>
    <w:multiLevelType w:val="multilevel"/>
    <w:tmpl w:val="B34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ED4C80"/>
    <w:multiLevelType w:val="hybridMultilevel"/>
    <w:tmpl w:val="8DAE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90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50048"/>
    <w:rsid w:val="0000286A"/>
    <w:rsid w:val="000043D5"/>
    <w:rsid w:val="00004DFC"/>
    <w:rsid w:val="0000550D"/>
    <w:rsid w:val="00005A60"/>
    <w:rsid w:val="00006170"/>
    <w:rsid w:val="00010E37"/>
    <w:rsid w:val="00013562"/>
    <w:rsid w:val="000155D6"/>
    <w:rsid w:val="000160AB"/>
    <w:rsid w:val="0001719E"/>
    <w:rsid w:val="000172DA"/>
    <w:rsid w:val="00020621"/>
    <w:rsid w:val="000208F8"/>
    <w:rsid w:val="000247C5"/>
    <w:rsid w:val="0002752B"/>
    <w:rsid w:val="000277C2"/>
    <w:rsid w:val="00035B48"/>
    <w:rsid w:val="00036CE2"/>
    <w:rsid w:val="0003733D"/>
    <w:rsid w:val="00037D05"/>
    <w:rsid w:val="00042E86"/>
    <w:rsid w:val="000437FE"/>
    <w:rsid w:val="000513BE"/>
    <w:rsid w:val="00054AFE"/>
    <w:rsid w:val="00056A19"/>
    <w:rsid w:val="00061DAF"/>
    <w:rsid w:val="00065A06"/>
    <w:rsid w:val="000666F3"/>
    <w:rsid w:val="00070DCB"/>
    <w:rsid w:val="00072CCA"/>
    <w:rsid w:val="00073120"/>
    <w:rsid w:val="000764D0"/>
    <w:rsid w:val="000828D3"/>
    <w:rsid w:val="000869EB"/>
    <w:rsid w:val="00090E30"/>
    <w:rsid w:val="00092D16"/>
    <w:rsid w:val="00092FC0"/>
    <w:rsid w:val="000A290C"/>
    <w:rsid w:val="000A2B57"/>
    <w:rsid w:val="000A3F9D"/>
    <w:rsid w:val="000A418B"/>
    <w:rsid w:val="000A7747"/>
    <w:rsid w:val="000C4431"/>
    <w:rsid w:val="000D1C06"/>
    <w:rsid w:val="000D1F31"/>
    <w:rsid w:val="000D4319"/>
    <w:rsid w:val="000D59C6"/>
    <w:rsid w:val="000D69A2"/>
    <w:rsid w:val="000E0D04"/>
    <w:rsid w:val="000E437B"/>
    <w:rsid w:val="000E4510"/>
    <w:rsid w:val="000E69A8"/>
    <w:rsid w:val="000F0690"/>
    <w:rsid w:val="000F112E"/>
    <w:rsid w:val="000F374A"/>
    <w:rsid w:val="000F555B"/>
    <w:rsid w:val="001076AF"/>
    <w:rsid w:val="00114AAF"/>
    <w:rsid w:val="00117C8C"/>
    <w:rsid w:val="00124E2E"/>
    <w:rsid w:val="00125ED4"/>
    <w:rsid w:val="001305E9"/>
    <w:rsid w:val="001307AF"/>
    <w:rsid w:val="00132C5E"/>
    <w:rsid w:val="00133ECD"/>
    <w:rsid w:val="00135687"/>
    <w:rsid w:val="0014028D"/>
    <w:rsid w:val="00147D4F"/>
    <w:rsid w:val="001504BE"/>
    <w:rsid w:val="001504D8"/>
    <w:rsid w:val="00154B98"/>
    <w:rsid w:val="0015506E"/>
    <w:rsid w:val="00156433"/>
    <w:rsid w:val="00163031"/>
    <w:rsid w:val="001631F6"/>
    <w:rsid w:val="00164E51"/>
    <w:rsid w:val="001654C5"/>
    <w:rsid w:val="00166239"/>
    <w:rsid w:val="00166B6B"/>
    <w:rsid w:val="001674B9"/>
    <w:rsid w:val="0017069B"/>
    <w:rsid w:val="00171A90"/>
    <w:rsid w:val="001774F9"/>
    <w:rsid w:val="00180254"/>
    <w:rsid w:val="00186D67"/>
    <w:rsid w:val="00190AC2"/>
    <w:rsid w:val="00191E1F"/>
    <w:rsid w:val="00192943"/>
    <w:rsid w:val="001A7406"/>
    <w:rsid w:val="001B2069"/>
    <w:rsid w:val="001B49C4"/>
    <w:rsid w:val="001B4FEE"/>
    <w:rsid w:val="001B51C5"/>
    <w:rsid w:val="001B6F3F"/>
    <w:rsid w:val="001B704F"/>
    <w:rsid w:val="001C3CC9"/>
    <w:rsid w:val="001C52B5"/>
    <w:rsid w:val="001C7EF9"/>
    <w:rsid w:val="001D0D3E"/>
    <w:rsid w:val="001D2B9D"/>
    <w:rsid w:val="001E1252"/>
    <w:rsid w:val="001E7979"/>
    <w:rsid w:val="001F2245"/>
    <w:rsid w:val="001F2C63"/>
    <w:rsid w:val="001F48C7"/>
    <w:rsid w:val="001F5EEC"/>
    <w:rsid w:val="001F6DA1"/>
    <w:rsid w:val="002044E6"/>
    <w:rsid w:val="00205C82"/>
    <w:rsid w:val="00205DC2"/>
    <w:rsid w:val="00212B17"/>
    <w:rsid w:val="002163B6"/>
    <w:rsid w:val="00220732"/>
    <w:rsid w:val="00221B33"/>
    <w:rsid w:val="00221D32"/>
    <w:rsid w:val="00222C77"/>
    <w:rsid w:val="00225C3F"/>
    <w:rsid w:val="0023102F"/>
    <w:rsid w:val="002323B9"/>
    <w:rsid w:val="00233F47"/>
    <w:rsid w:val="002378F4"/>
    <w:rsid w:val="00237981"/>
    <w:rsid w:val="00243472"/>
    <w:rsid w:val="0024487E"/>
    <w:rsid w:val="0025245A"/>
    <w:rsid w:val="00253E20"/>
    <w:rsid w:val="00256FFA"/>
    <w:rsid w:val="00261F12"/>
    <w:rsid w:val="00263D44"/>
    <w:rsid w:val="002702AD"/>
    <w:rsid w:val="00272B5F"/>
    <w:rsid w:val="002774C8"/>
    <w:rsid w:val="00284E0E"/>
    <w:rsid w:val="00286B1C"/>
    <w:rsid w:val="00292D82"/>
    <w:rsid w:val="002963CB"/>
    <w:rsid w:val="002A246F"/>
    <w:rsid w:val="002A6AC3"/>
    <w:rsid w:val="002B4D7F"/>
    <w:rsid w:val="002C3EC8"/>
    <w:rsid w:val="002D1ED9"/>
    <w:rsid w:val="002D226D"/>
    <w:rsid w:val="002D2278"/>
    <w:rsid w:val="002D43ED"/>
    <w:rsid w:val="002E6DE9"/>
    <w:rsid w:val="002F3B54"/>
    <w:rsid w:val="002F6030"/>
    <w:rsid w:val="003036BC"/>
    <w:rsid w:val="003037E1"/>
    <w:rsid w:val="00307E51"/>
    <w:rsid w:val="003103EC"/>
    <w:rsid w:val="003144EF"/>
    <w:rsid w:val="00314925"/>
    <w:rsid w:val="00322F74"/>
    <w:rsid w:val="00327093"/>
    <w:rsid w:val="0033018E"/>
    <w:rsid w:val="0033145D"/>
    <w:rsid w:val="003330F4"/>
    <w:rsid w:val="00340073"/>
    <w:rsid w:val="00341D4E"/>
    <w:rsid w:val="003475BC"/>
    <w:rsid w:val="003546A6"/>
    <w:rsid w:val="0036013B"/>
    <w:rsid w:val="00362119"/>
    <w:rsid w:val="00362DDA"/>
    <w:rsid w:val="003632FD"/>
    <w:rsid w:val="003678E5"/>
    <w:rsid w:val="00372805"/>
    <w:rsid w:val="00373094"/>
    <w:rsid w:val="00373180"/>
    <w:rsid w:val="00375AB9"/>
    <w:rsid w:val="00376D11"/>
    <w:rsid w:val="00380282"/>
    <w:rsid w:val="003821A0"/>
    <w:rsid w:val="00385B04"/>
    <w:rsid w:val="003864CF"/>
    <w:rsid w:val="00387031"/>
    <w:rsid w:val="0038772B"/>
    <w:rsid w:val="003A22A6"/>
    <w:rsid w:val="003A43DB"/>
    <w:rsid w:val="003A4462"/>
    <w:rsid w:val="003A5494"/>
    <w:rsid w:val="003A7B19"/>
    <w:rsid w:val="003B15E3"/>
    <w:rsid w:val="003B2510"/>
    <w:rsid w:val="003B441C"/>
    <w:rsid w:val="003C2CC4"/>
    <w:rsid w:val="003C3710"/>
    <w:rsid w:val="003C3BE6"/>
    <w:rsid w:val="003C464E"/>
    <w:rsid w:val="003D06AD"/>
    <w:rsid w:val="003D4C57"/>
    <w:rsid w:val="003D5541"/>
    <w:rsid w:val="003D5ACB"/>
    <w:rsid w:val="003E011B"/>
    <w:rsid w:val="003E0EFC"/>
    <w:rsid w:val="003E4A2B"/>
    <w:rsid w:val="003E74D0"/>
    <w:rsid w:val="003E76C2"/>
    <w:rsid w:val="003F1679"/>
    <w:rsid w:val="003F21EB"/>
    <w:rsid w:val="003F2792"/>
    <w:rsid w:val="003F4A35"/>
    <w:rsid w:val="003F7FDD"/>
    <w:rsid w:val="00400222"/>
    <w:rsid w:val="00401DC7"/>
    <w:rsid w:val="00402481"/>
    <w:rsid w:val="004042B4"/>
    <w:rsid w:val="004070C5"/>
    <w:rsid w:val="00410DC4"/>
    <w:rsid w:val="00412DAE"/>
    <w:rsid w:val="0042151C"/>
    <w:rsid w:val="004242E6"/>
    <w:rsid w:val="00425F27"/>
    <w:rsid w:val="00426CC2"/>
    <w:rsid w:val="004307F0"/>
    <w:rsid w:val="00431598"/>
    <w:rsid w:val="004319AD"/>
    <w:rsid w:val="004321AC"/>
    <w:rsid w:val="00432D99"/>
    <w:rsid w:val="004340C0"/>
    <w:rsid w:val="00436929"/>
    <w:rsid w:val="004426B8"/>
    <w:rsid w:val="00444432"/>
    <w:rsid w:val="00445AE2"/>
    <w:rsid w:val="00445E50"/>
    <w:rsid w:val="004534C4"/>
    <w:rsid w:val="00453502"/>
    <w:rsid w:val="004550D4"/>
    <w:rsid w:val="00461BB7"/>
    <w:rsid w:val="00462473"/>
    <w:rsid w:val="00464002"/>
    <w:rsid w:val="004716B7"/>
    <w:rsid w:val="00471860"/>
    <w:rsid w:val="00477026"/>
    <w:rsid w:val="0048023E"/>
    <w:rsid w:val="0048526E"/>
    <w:rsid w:val="00486F30"/>
    <w:rsid w:val="00487244"/>
    <w:rsid w:val="0049092A"/>
    <w:rsid w:val="0049126C"/>
    <w:rsid w:val="00495C88"/>
    <w:rsid w:val="004A53AA"/>
    <w:rsid w:val="004A744D"/>
    <w:rsid w:val="004B4843"/>
    <w:rsid w:val="004B5BB0"/>
    <w:rsid w:val="004B60BD"/>
    <w:rsid w:val="004C2910"/>
    <w:rsid w:val="004C3150"/>
    <w:rsid w:val="004C3641"/>
    <w:rsid w:val="004C4390"/>
    <w:rsid w:val="004C4AF7"/>
    <w:rsid w:val="004D086A"/>
    <w:rsid w:val="004D1350"/>
    <w:rsid w:val="004D173B"/>
    <w:rsid w:val="004D2881"/>
    <w:rsid w:val="004D385F"/>
    <w:rsid w:val="004D5B39"/>
    <w:rsid w:val="004D5B5E"/>
    <w:rsid w:val="004D7359"/>
    <w:rsid w:val="004E330D"/>
    <w:rsid w:val="004E5147"/>
    <w:rsid w:val="004E5ED0"/>
    <w:rsid w:val="004E69B5"/>
    <w:rsid w:val="004F5C43"/>
    <w:rsid w:val="0050165D"/>
    <w:rsid w:val="00504341"/>
    <w:rsid w:val="0050595E"/>
    <w:rsid w:val="0050652D"/>
    <w:rsid w:val="00506C03"/>
    <w:rsid w:val="00506DAF"/>
    <w:rsid w:val="0050750B"/>
    <w:rsid w:val="005117AE"/>
    <w:rsid w:val="00511A11"/>
    <w:rsid w:val="00512EFB"/>
    <w:rsid w:val="005135FF"/>
    <w:rsid w:val="00515256"/>
    <w:rsid w:val="00516496"/>
    <w:rsid w:val="00522542"/>
    <w:rsid w:val="00523B11"/>
    <w:rsid w:val="0052498E"/>
    <w:rsid w:val="0052572A"/>
    <w:rsid w:val="00531DFD"/>
    <w:rsid w:val="00533435"/>
    <w:rsid w:val="005353FB"/>
    <w:rsid w:val="00535567"/>
    <w:rsid w:val="00543CB3"/>
    <w:rsid w:val="005442E4"/>
    <w:rsid w:val="00546F07"/>
    <w:rsid w:val="00552798"/>
    <w:rsid w:val="005528C2"/>
    <w:rsid w:val="00554E9B"/>
    <w:rsid w:val="0055529B"/>
    <w:rsid w:val="00560FF0"/>
    <w:rsid w:val="005614BD"/>
    <w:rsid w:val="0056227C"/>
    <w:rsid w:val="00562BBD"/>
    <w:rsid w:val="0057154F"/>
    <w:rsid w:val="0057216D"/>
    <w:rsid w:val="00576D59"/>
    <w:rsid w:val="005802CB"/>
    <w:rsid w:val="00580F69"/>
    <w:rsid w:val="00581CA3"/>
    <w:rsid w:val="0058216E"/>
    <w:rsid w:val="0058651C"/>
    <w:rsid w:val="0058733D"/>
    <w:rsid w:val="00587A44"/>
    <w:rsid w:val="0059005E"/>
    <w:rsid w:val="00597730"/>
    <w:rsid w:val="005977EC"/>
    <w:rsid w:val="00597DE7"/>
    <w:rsid w:val="005A0C2C"/>
    <w:rsid w:val="005A4AA2"/>
    <w:rsid w:val="005B2DBE"/>
    <w:rsid w:val="005B34B6"/>
    <w:rsid w:val="005B3C4E"/>
    <w:rsid w:val="005B4A86"/>
    <w:rsid w:val="005B6C8F"/>
    <w:rsid w:val="005B6EC3"/>
    <w:rsid w:val="005C2F56"/>
    <w:rsid w:val="005C5FDD"/>
    <w:rsid w:val="005C77B0"/>
    <w:rsid w:val="005D0F74"/>
    <w:rsid w:val="005D20E8"/>
    <w:rsid w:val="005D2E7D"/>
    <w:rsid w:val="005D41AC"/>
    <w:rsid w:val="005D4A8F"/>
    <w:rsid w:val="005D561B"/>
    <w:rsid w:val="005D5C77"/>
    <w:rsid w:val="005D5ECF"/>
    <w:rsid w:val="005D6740"/>
    <w:rsid w:val="005E1DA7"/>
    <w:rsid w:val="005F468D"/>
    <w:rsid w:val="005F46CB"/>
    <w:rsid w:val="005F5485"/>
    <w:rsid w:val="005F69A3"/>
    <w:rsid w:val="0060344E"/>
    <w:rsid w:val="00603EE9"/>
    <w:rsid w:val="00604CC7"/>
    <w:rsid w:val="00605E04"/>
    <w:rsid w:val="00610384"/>
    <w:rsid w:val="00611B7E"/>
    <w:rsid w:val="006136EE"/>
    <w:rsid w:val="00614C80"/>
    <w:rsid w:val="00615423"/>
    <w:rsid w:val="006165B2"/>
    <w:rsid w:val="00617276"/>
    <w:rsid w:val="00622E6E"/>
    <w:rsid w:val="0062527B"/>
    <w:rsid w:val="00625D97"/>
    <w:rsid w:val="00625F1C"/>
    <w:rsid w:val="006279E1"/>
    <w:rsid w:val="0063031F"/>
    <w:rsid w:val="00630CEB"/>
    <w:rsid w:val="00631B96"/>
    <w:rsid w:val="00632264"/>
    <w:rsid w:val="006470BC"/>
    <w:rsid w:val="00654F2F"/>
    <w:rsid w:val="006554D3"/>
    <w:rsid w:val="006608CE"/>
    <w:rsid w:val="00663857"/>
    <w:rsid w:val="00667036"/>
    <w:rsid w:val="00673BDB"/>
    <w:rsid w:val="00674341"/>
    <w:rsid w:val="006771B8"/>
    <w:rsid w:val="00677CFE"/>
    <w:rsid w:val="006843B6"/>
    <w:rsid w:val="0068481F"/>
    <w:rsid w:val="00686329"/>
    <w:rsid w:val="006877A4"/>
    <w:rsid w:val="00692D05"/>
    <w:rsid w:val="00696F5D"/>
    <w:rsid w:val="00697249"/>
    <w:rsid w:val="006A0296"/>
    <w:rsid w:val="006A49E0"/>
    <w:rsid w:val="006A4B6C"/>
    <w:rsid w:val="006B3947"/>
    <w:rsid w:val="006B4293"/>
    <w:rsid w:val="006B624F"/>
    <w:rsid w:val="006C0C95"/>
    <w:rsid w:val="006C31E3"/>
    <w:rsid w:val="006C4350"/>
    <w:rsid w:val="006C49B5"/>
    <w:rsid w:val="006D13CC"/>
    <w:rsid w:val="006D18D3"/>
    <w:rsid w:val="006D269B"/>
    <w:rsid w:val="006D323F"/>
    <w:rsid w:val="006D324D"/>
    <w:rsid w:val="006E08CB"/>
    <w:rsid w:val="006E322E"/>
    <w:rsid w:val="006E529D"/>
    <w:rsid w:val="006E536C"/>
    <w:rsid w:val="006E598D"/>
    <w:rsid w:val="006E62EE"/>
    <w:rsid w:val="006F1673"/>
    <w:rsid w:val="006F47CB"/>
    <w:rsid w:val="006F4874"/>
    <w:rsid w:val="006F52C8"/>
    <w:rsid w:val="0070437D"/>
    <w:rsid w:val="00704919"/>
    <w:rsid w:val="00704CF1"/>
    <w:rsid w:val="00705B04"/>
    <w:rsid w:val="00710460"/>
    <w:rsid w:val="0071210D"/>
    <w:rsid w:val="007200B8"/>
    <w:rsid w:val="00721FB0"/>
    <w:rsid w:val="00724992"/>
    <w:rsid w:val="00733287"/>
    <w:rsid w:val="00734820"/>
    <w:rsid w:val="007349DC"/>
    <w:rsid w:val="00737ADF"/>
    <w:rsid w:val="0074365E"/>
    <w:rsid w:val="00744B55"/>
    <w:rsid w:val="00750048"/>
    <w:rsid w:val="007515FD"/>
    <w:rsid w:val="0075191D"/>
    <w:rsid w:val="00751F8D"/>
    <w:rsid w:val="007540B0"/>
    <w:rsid w:val="00754957"/>
    <w:rsid w:val="00757060"/>
    <w:rsid w:val="00760D80"/>
    <w:rsid w:val="00772BB6"/>
    <w:rsid w:val="00776AAB"/>
    <w:rsid w:val="00777EF6"/>
    <w:rsid w:val="00780C09"/>
    <w:rsid w:val="00780DDF"/>
    <w:rsid w:val="00782152"/>
    <w:rsid w:val="007827BB"/>
    <w:rsid w:val="007834E9"/>
    <w:rsid w:val="007862BD"/>
    <w:rsid w:val="00787DBC"/>
    <w:rsid w:val="0079019A"/>
    <w:rsid w:val="00792935"/>
    <w:rsid w:val="00795B63"/>
    <w:rsid w:val="007A04A1"/>
    <w:rsid w:val="007A1840"/>
    <w:rsid w:val="007B36CC"/>
    <w:rsid w:val="007B4B45"/>
    <w:rsid w:val="007B7C56"/>
    <w:rsid w:val="007C0528"/>
    <w:rsid w:val="007C1433"/>
    <w:rsid w:val="007C3D38"/>
    <w:rsid w:val="007C5D3F"/>
    <w:rsid w:val="007D0F35"/>
    <w:rsid w:val="007D473D"/>
    <w:rsid w:val="007D4FEB"/>
    <w:rsid w:val="007D6146"/>
    <w:rsid w:val="007D63A9"/>
    <w:rsid w:val="007E0CE7"/>
    <w:rsid w:val="007E36E4"/>
    <w:rsid w:val="007E45D7"/>
    <w:rsid w:val="007E7824"/>
    <w:rsid w:val="007F1193"/>
    <w:rsid w:val="007F1636"/>
    <w:rsid w:val="007F417F"/>
    <w:rsid w:val="007F7644"/>
    <w:rsid w:val="00803A45"/>
    <w:rsid w:val="008042BD"/>
    <w:rsid w:val="008128EB"/>
    <w:rsid w:val="00816624"/>
    <w:rsid w:val="00816663"/>
    <w:rsid w:val="00820730"/>
    <w:rsid w:val="00822427"/>
    <w:rsid w:val="00822562"/>
    <w:rsid w:val="00823663"/>
    <w:rsid w:val="008251FC"/>
    <w:rsid w:val="00832DDC"/>
    <w:rsid w:val="00841B8C"/>
    <w:rsid w:val="008444CF"/>
    <w:rsid w:val="00850BAC"/>
    <w:rsid w:val="008525E9"/>
    <w:rsid w:val="00854974"/>
    <w:rsid w:val="00854A3E"/>
    <w:rsid w:val="00855D08"/>
    <w:rsid w:val="00855DE6"/>
    <w:rsid w:val="00861172"/>
    <w:rsid w:val="00864E26"/>
    <w:rsid w:val="00864F04"/>
    <w:rsid w:val="00865781"/>
    <w:rsid w:val="008670BC"/>
    <w:rsid w:val="008737BB"/>
    <w:rsid w:val="00874344"/>
    <w:rsid w:val="00875115"/>
    <w:rsid w:val="00875DDC"/>
    <w:rsid w:val="00882155"/>
    <w:rsid w:val="0088233B"/>
    <w:rsid w:val="0088599E"/>
    <w:rsid w:val="00886C37"/>
    <w:rsid w:val="008905D7"/>
    <w:rsid w:val="00892D99"/>
    <w:rsid w:val="00893315"/>
    <w:rsid w:val="00896C3F"/>
    <w:rsid w:val="008A00C3"/>
    <w:rsid w:val="008A06F0"/>
    <w:rsid w:val="008A5E65"/>
    <w:rsid w:val="008A759B"/>
    <w:rsid w:val="008B62AE"/>
    <w:rsid w:val="008B77C5"/>
    <w:rsid w:val="008C04B5"/>
    <w:rsid w:val="008C14FA"/>
    <w:rsid w:val="008C1F64"/>
    <w:rsid w:val="008C548D"/>
    <w:rsid w:val="008C7B0B"/>
    <w:rsid w:val="008D2CFF"/>
    <w:rsid w:val="008D4057"/>
    <w:rsid w:val="008D7329"/>
    <w:rsid w:val="008E1F19"/>
    <w:rsid w:val="008E1FC1"/>
    <w:rsid w:val="008E71E6"/>
    <w:rsid w:val="008E7735"/>
    <w:rsid w:val="008F0B92"/>
    <w:rsid w:val="008F1B3E"/>
    <w:rsid w:val="008F2262"/>
    <w:rsid w:val="008F4D2B"/>
    <w:rsid w:val="008F736D"/>
    <w:rsid w:val="008F7736"/>
    <w:rsid w:val="00900190"/>
    <w:rsid w:val="0090019E"/>
    <w:rsid w:val="00901086"/>
    <w:rsid w:val="00901C8A"/>
    <w:rsid w:val="00905886"/>
    <w:rsid w:val="009068A4"/>
    <w:rsid w:val="009070D6"/>
    <w:rsid w:val="009076C6"/>
    <w:rsid w:val="0091019E"/>
    <w:rsid w:val="009106F1"/>
    <w:rsid w:val="00912404"/>
    <w:rsid w:val="009145D6"/>
    <w:rsid w:val="0091465C"/>
    <w:rsid w:val="0091687F"/>
    <w:rsid w:val="0092012E"/>
    <w:rsid w:val="00920E64"/>
    <w:rsid w:val="00922002"/>
    <w:rsid w:val="0092246E"/>
    <w:rsid w:val="00924020"/>
    <w:rsid w:val="00925223"/>
    <w:rsid w:val="009271A7"/>
    <w:rsid w:val="009274D9"/>
    <w:rsid w:val="00927BE2"/>
    <w:rsid w:val="0093266B"/>
    <w:rsid w:val="0093658B"/>
    <w:rsid w:val="009429FF"/>
    <w:rsid w:val="00943113"/>
    <w:rsid w:val="00945BD6"/>
    <w:rsid w:val="00946D14"/>
    <w:rsid w:val="009479FB"/>
    <w:rsid w:val="00951C45"/>
    <w:rsid w:val="00957D0A"/>
    <w:rsid w:val="009619C0"/>
    <w:rsid w:val="009656F2"/>
    <w:rsid w:val="00965EC7"/>
    <w:rsid w:val="00966A08"/>
    <w:rsid w:val="00971207"/>
    <w:rsid w:val="00975CB4"/>
    <w:rsid w:val="009801A0"/>
    <w:rsid w:val="009863B0"/>
    <w:rsid w:val="00987DE1"/>
    <w:rsid w:val="00990571"/>
    <w:rsid w:val="0099673A"/>
    <w:rsid w:val="009A026B"/>
    <w:rsid w:val="009A3330"/>
    <w:rsid w:val="009A7C96"/>
    <w:rsid w:val="009B2E2D"/>
    <w:rsid w:val="009C3DB9"/>
    <w:rsid w:val="009D46E5"/>
    <w:rsid w:val="009D568A"/>
    <w:rsid w:val="009E058F"/>
    <w:rsid w:val="009E4658"/>
    <w:rsid w:val="009E684E"/>
    <w:rsid w:val="009E73A7"/>
    <w:rsid w:val="009F04EC"/>
    <w:rsid w:val="009F2A7C"/>
    <w:rsid w:val="009F3B36"/>
    <w:rsid w:val="009F71BB"/>
    <w:rsid w:val="009F77C1"/>
    <w:rsid w:val="00A019B9"/>
    <w:rsid w:val="00A05C6D"/>
    <w:rsid w:val="00A12508"/>
    <w:rsid w:val="00A1282B"/>
    <w:rsid w:val="00A13A27"/>
    <w:rsid w:val="00A175B6"/>
    <w:rsid w:val="00A21835"/>
    <w:rsid w:val="00A2374B"/>
    <w:rsid w:val="00A26606"/>
    <w:rsid w:val="00A27B8F"/>
    <w:rsid w:val="00A27D6E"/>
    <w:rsid w:val="00A328EC"/>
    <w:rsid w:val="00A33A51"/>
    <w:rsid w:val="00A3594F"/>
    <w:rsid w:val="00A40805"/>
    <w:rsid w:val="00A41CA6"/>
    <w:rsid w:val="00A47927"/>
    <w:rsid w:val="00A47FFC"/>
    <w:rsid w:val="00A52F71"/>
    <w:rsid w:val="00A5442F"/>
    <w:rsid w:val="00A54FF9"/>
    <w:rsid w:val="00A55B90"/>
    <w:rsid w:val="00A56765"/>
    <w:rsid w:val="00A65A69"/>
    <w:rsid w:val="00A675AC"/>
    <w:rsid w:val="00A67BBE"/>
    <w:rsid w:val="00A727A6"/>
    <w:rsid w:val="00A7581F"/>
    <w:rsid w:val="00A772A3"/>
    <w:rsid w:val="00A80FFB"/>
    <w:rsid w:val="00A838E8"/>
    <w:rsid w:val="00A86747"/>
    <w:rsid w:val="00A9103A"/>
    <w:rsid w:val="00A91E99"/>
    <w:rsid w:val="00A92FB1"/>
    <w:rsid w:val="00A93ECF"/>
    <w:rsid w:val="00A95A0C"/>
    <w:rsid w:val="00AA143D"/>
    <w:rsid w:val="00AA2765"/>
    <w:rsid w:val="00AA77B5"/>
    <w:rsid w:val="00AB2D75"/>
    <w:rsid w:val="00AB38DA"/>
    <w:rsid w:val="00AB48BC"/>
    <w:rsid w:val="00AB5715"/>
    <w:rsid w:val="00AB5E61"/>
    <w:rsid w:val="00AB6C5D"/>
    <w:rsid w:val="00AB6E86"/>
    <w:rsid w:val="00AC3401"/>
    <w:rsid w:val="00AC49A1"/>
    <w:rsid w:val="00AC51A7"/>
    <w:rsid w:val="00AD19FD"/>
    <w:rsid w:val="00AD4224"/>
    <w:rsid w:val="00AD444B"/>
    <w:rsid w:val="00AD5614"/>
    <w:rsid w:val="00AD6C78"/>
    <w:rsid w:val="00AE01B6"/>
    <w:rsid w:val="00AE28CE"/>
    <w:rsid w:val="00AE2EAB"/>
    <w:rsid w:val="00AE4250"/>
    <w:rsid w:val="00AE6B64"/>
    <w:rsid w:val="00AE78E9"/>
    <w:rsid w:val="00AF1713"/>
    <w:rsid w:val="00AF5F89"/>
    <w:rsid w:val="00AF7097"/>
    <w:rsid w:val="00AF73CB"/>
    <w:rsid w:val="00B002D6"/>
    <w:rsid w:val="00B02124"/>
    <w:rsid w:val="00B03379"/>
    <w:rsid w:val="00B05B51"/>
    <w:rsid w:val="00B14E5A"/>
    <w:rsid w:val="00B15370"/>
    <w:rsid w:val="00B15997"/>
    <w:rsid w:val="00B16BAA"/>
    <w:rsid w:val="00B16DA4"/>
    <w:rsid w:val="00B17BEB"/>
    <w:rsid w:val="00B17CC0"/>
    <w:rsid w:val="00B21A3C"/>
    <w:rsid w:val="00B223C0"/>
    <w:rsid w:val="00B22658"/>
    <w:rsid w:val="00B234ED"/>
    <w:rsid w:val="00B249B2"/>
    <w:rsid w:val="00B25B0D"/>
    <w:rsid w:val="00B25CA3"/>
    <w:rsid w:val="00B2765A"/>
    <w:rsid w:val="00B27CB1"/>
    <w:rsid w:val="00B31077"/>
    <w:rsid w:val="00B3109A"/>
    <w:rsid w:val="00B32ED7"/>
    <w:rsid w:val="00B34635"/>
    <w:rsid w:val="00B35B87"/>
    <w:rsid w:val="00B4280F"/>
    <w:rsid w:val="00B469B2"/>
    <w:rsid w:val="00B516ED"/>
    <w:rsid w:val="00B57A6A"/>
    <w:rsid w:val="00B65A7B"/>
    <w:rsid w:val="00B70877"/>
    <w:rsid w:val="00B735D9"/>
    <w:rsid w:val="00B7535D"/>
    <w:rsid w:val="00B760F1"/>
    <w:rsid w:val="00B7669E"/>
    <w:rsid w:val="00B77DA1"/>
    <w:rsid w:val="00B822A0"/>
    <w:rsid w:val="00B8362F"/>
    <w:rsid w:val="00B84474"/>
    <w:rsid w:val="00B844C0"/>
    <w:rsid w:val="00B85780"/>
    <w:rsid w:val="00B858AE"/>
    <w:rsid w:val="00B85964"/>
    <w:rsid w:val="00B92C01"/>
    <w:rsid w:val="00B93757"/>
    <w:rsid w:val="00B96250"/>
    <w:rsid w:val="00BA0D55"/>
    <w:rsid w:val="00BA37B3"/>
    <w:rsid w:val="00BA4CC6"/>
    <w:rsid w:val="00BB3493"/>
    <w:rsid w:val="00BB3E2D"/>
    <w:rsid w:val="00BB4952"/>
    <w:rsid w:val="00BB7468"/>
    <w:rsid w:val="00BC188A"/>
    <w:rsid w:val="00BC2A47"/>
    <w:rsid w:val="00BC402E"/>
    <w:rsid w:val="00BC7946"/>
    <w:rsid w:val="00BD0F48"/>
    <w:rsid w:val="00BD62F6"/>
    <w:rsid w:val="00BE6DDB"/>
    <w:rsid w:val="00BF1472"/>
    <w:rsid w:val="00BF5010"/>
    <w:rsid w:val="00BF620E"/>
    <w:rsid w:val="00C03D5F"/>
    <w:rsid w:val="00C07ACB"/>
    <w:rsid w:val="00C13791"/>
    <w:rsid w:val="00C23396"/>
    <w:rsid w:val="00C2592F"/>
    <w:rsid w:val="00C26821"/>
    <w:rsid w:val="00C27624"/>
    <w:rsid w:val="00C31BB3"/>
    <w:rsid w:val="00C330DA"/>
    <w:rsid w:val="00C3350A"/>
    <w:rsid w:val="00C36977"/>
    <w:rsid w:val="00C44C20"/>
    <w:rsid w:val="00C46207"/>
    <w:rsid w:val="00C467DA"/>
    <w:rsid w:val="00C477D9"/>
    <w:rsid w:val="00C53B1C"/>
    <w:rsid w:val="00C60BA3"/>
    <w:rsid w:val="00C623F7"/>
    <w:rsid w:val="00C64073"/>
    <w:rsid w:val="00C70F61"/>
    <w:rsid w:val="00C722FF"/>
    <w:rsid w:val="00C723FF"/>
    <w:rsid w:val="00C73FCA"/>
    <w:rsid w:val="00C74803"/>
    <w:rsid w:val="00C75BC5"/>
    <w:rsid w:val="00C81670"/>
    <w:rsid w:val="00C81773"/>
    <w:rsid w:val="00C82647"/>
    <w:rsid w:val="00C82861"/>
    <w:rsid w:val="00C8447E"/>
    <w:rsid w:val="00C84A41"/>
    <w:rsid w:val="00C84DFB"/>
    <w:rsid w:val="00C856E4"/>
    <w:rsid w:val="00C86896"/>
    <w:rsid w:val="00C907A8"/>
    <w:rsid w:val="00C90907"/>
    <w:rsid w:val="00C93211"/>
    <w:rsid w:val="00C93F91"/>
    <w:rsid w:val="00C942EC"/>
    <w:rsid w:val="00C96047"/>
    <w:rsid w:val="00C979D0"/>
    <w:rsid w:val="00C97F61"/>
    <w:rsid w:val="00CA0818"/>
    <w:rsid w:val="00CA15C8"/>
    <w:rsid w:val="00CA2C8F"/>
    <w:rsid w:val="00CA30DA"/>
    <w:rsid w:val="00CA3A24"/>
    <w:rsid w:val="00CB1777"/>
    <w:rsid w:val="00CB33E9"/>
    <w:rsid w:val="00CB6B42"/>
    <w:rsid w:val="00CC10A9"/>
    <w:rsid w:val="00CC12DD"/>
    <w:rsid w:val="00CC3DD8"/>
    <w:rsid w:val="00CC4505"/>
    <w:rsid w:val="00CC4A9B"/>
    <w:rsid w:val="00CD559C"/>
    <w:rsid w:val="00CD6F63"/>
    <w:rsid w:val="00CE25D9"/>
    <w:rsid w:val="00CE2BF8"/>
    <w:rsid w:val="00CE2E36"/>
    <w:rsid w:val="00CE3A2C"/>
    <w:rsid w:val="00CE484E"/>
    <w:rsid w:val="00CE4C8F"/>
    <w:rsid w:val="00CE656F"/>
    <w:rsid w:val="00CE7D7D"/>
    <w:rsid w:val="00CF0DA8"/>
    <w:rsid w:val="00CF2E25"/>
    <w:rsid w:val="00CF4453"/>
    <w:rsid w:val="00CF5D94"/>
    <w:rsid w:val="00CF7E0F"/>
    <w:rsid w:val="00D02D55"/>
    <w:rsid w:val="00D034D7"/>
    <w:rsid w:val="00D04BE4"/>
    <w:rsid w:val="00D06FC7"/>
    <w:rsid w:val="00D12565"/>
    <w:rsid w:val="00D133EE"/>
    <w:rsid w:val="00D14127"/>
    <w:rsid w:val="00D14AFA"/>
    <w:rsid w:val="00D219D3"/>
    <w:rsid w:val="00D21C87"/>
    <w:rsid w:val="00D318F8"/>
    <w:rsid w:val="00D33E70"/>
    <w:rsid w:val="00D35F9C"/>
    <w:rsid w:val="00D36C3B"/>
    <w:rsid w:val="00D3747D"/>
    <w:rsid w:val="00D42A75"/>
    <w:rsid w:val="00D44CF7"/>
    <w:rsid w:val="00D46ED4"/>
    <w:rsid w:val="00D568D9"/>
    <w:rsid w:val="00D60825"/>
    <w:rsid w:val="00D60B16"/>
    <w:rsid w:val="00D60F02"/>
    <w:rsid w:val="00D6369E"/>
    <w:rsid w:val="00D649B1"/>
    <w:rsid w:val="00D66E49"/>
    <w:rsid w:val="00D70D71"/>
    <w:rsid w:val="00D722B7"/>
    <w:rsid w:val="00D72F74"/>
    <w:rsid w:val="00D76A94"/>
    <w:rsid w:val="00D81563"/>
    <w:rsid w:val="00D81E0A"/>
    <w:rsid w:val="00D85907"/>
    <w:rsid w:val="00D85A9E"/>
    <w:rsid w:val="00D9073E"/>
    <w:rsid w:val="00D9221D"/>
    <w:rsid w:val="00D9502A"/>
    <w:rsid w:val="00D958DF"/>
    <w:rsid w:val="00D96DA1"/>
    <w:rsid w:val="00DA0848"/>
    <w:rsid w:val="00DA2B42"/>
    <w:rsid w:val="00DA51E7"/>
    <w:rsid w:val="00DB0260"/>
    <w:rsid w:val="00DB1320"/>
    <w:rsid w:val="00DB1C78"/>
    <w:rsid w:val="00DB7D96"/>
    <w:rsid w:val="00DB7F69"/>
    <w:rsid w:val="00DC23FE"/>
    <w:rsid w:val="00DC59E6"/>
    <w:rsid w:val="00DC66AC"/>
    <w:rsid w:val="00DC7A4C"/>
    <w:rsid w:val="00DD150B"/>
    <w:rsid w:val="00DD5025"/>
    <w:rsid w:val="00DE2CEC"/>
    <w:rsid w:val="00DE32FD"/>
    <w:rsid w:val="00DE5695"/>
    <w:rsid w:val="00DE7C9B"/>
    <w:rsid w:val="00DF1510"/>
    <w:rsid w:val="00DF5E31"/>
    <w:rsid w:val="00E02F1F"/>
    <w:rsid w:val="00E04736"/>
    <w:rsid w:val="00E06484"/>
    <w:rsid w:val="00E150FB"/>
    <w:rsid w:val="00E20A7D"/>
    <w:rsid w:val="00E275D8"/>
    <w:rsid w:val="00E27EEE"/>
    <w:rsid w:val="00E30F6A"/>
    <w:rsid w:val="00E3117C"/>
    <w:rsid w:val="00E36F90"/>
    <w:rsid w:val="00E375CA"/>
    <w:rsid w:val="00E37750"/>
    <w:rsid w:val="00E40DDC"/>
    <w:rsid w:val="00E567E8"/>
    <w:rsid w:val="00E5771D"/>
    <w:rsid w:val="00E6019C"/>
    <w:rsid w:val="00E622AD"/>
    <w:rsid w:val="00E64679"/>
    <w:rsid w:val="00E64E3F"/>
    <w:rsid w:val="00E65EBC"/>
    <w:rsid w:val="00E667EC"/>
    <w:rsid w:val="00E677FE"/>
    <w:rsid w:val="00E73432"/>
    <w:rsid w:val="00E7455E"/>
    <w:rsid w:val="00E75795"/>
    <w:rsid w:val="00E77B0C"/>
    <w:rsid w:val="00E77FB8"/>
    <w:rsid w:val="00E8225B"/>
    <w:rsid w:val="00E82B04"/>
    <w:rsid w:val="00E838B0"/>
    <w:rsid w:val="00E86A7C"/>
    <w:rsid w:val="00E878E1"/>
    <w:rsid w:val="00E87F2C"/>
    <w:rsid w:val="00E925B1"/>
    <w:rsid w:val="00E928B2"/>
    <w:rsid w:val="00E95278"/>
    <w:rsid w:val="00E95D22"/>
    <w:rsid w:val="00EA1584"/>
    <w:rsid w:val="00EA2273"/>
    <w:rsid w:val="00EA247F"/>
    <w:rsid w:val="00EA7C3C"/>
    <w:rsid w:val="00EB2DB3"/>
    <w:rsid w:val="00EB3A0C"/>
    <w:rsid w:val="00EB3D27"/>
    <w:rsid w:val="00EC0DDE"/>
    <w:rsid w:val="00EC3FBB"/>
    <w:rsid w:val="00EC5AAB"/>
    <w:rsid w:val="00EC60AF"/>
    <w:rsid w:val="00EC6B7A"/>
    <w:rsid w:val="00ED0DD0"/>
    <w:rsid w:val="00ED144B"/>
    <w:rsid w:val="00ED23F7"/>
    <w:rsid w:val="00ED3A87"/>
    <w:rsid w:val="00ED5B67"/>
    <w:rsid w:val="00ED77F6"/>
    <w:rsid w:val="00EE00F9"/>
    <w:rsid w:val="00EF264C"/>
    <w:rsid w:val="00EF3FEE"/>
    <w:rsid w:val="00EF6D46"/>
    <w:rsid w:val="00F02B01"/>
    <w:rsid w:val="00F04B59"/>
    <w:rsid w:val="00F06AE1"/>
    <w:rsid w:val="00F11741"/>
    <w:rsid w:val="00F12B1C"/>
    <w:rsid w:val="00F13CF8"/>
    <w:rsid w:val="00F15855"/>
    <w:rsid w:val="00F227DC"/>
    <w:rsid w:val="00F26BA2"/>
    <w:rsid w:val="00F31EF4"/>
    <w:rsid w:val="00F32978"/>
    <w:rsid w:val="00F37134"/>
    <w:rsid w:val="00F3728B"/>
    <w:rsid w:val="00F40C0D"/>
    <w:rsid w:val="00F42C2A"/>
    <w:rsid w:val="00F45CB2"/>
    <w:rsid w:val="00F544C0"/>
    <w:rsid w:val="00F55131"/>
    <w:rsid w:val="00F55332"/>
    <w:rsid w:val="00F62393"/>
    <w:rsid w:val="00F6504A"/>
    <w:rsid w:val="00F65519"/>
    <w:rsid w:val="00F713C0"/>
    <w:rsid w:val="00F71E69"/>
    <w:rsid w:val="00F73677"/>
    <w:rsid w:val="00F73FA6"/>
    <w:rsid w:val="00F747DD"/>
    <w:rsid w:val="00F75DDC"/>
    <w:rsid w:val="00F7792F"/>
    <w:rsid w:val="00F842AA"/>
    <w:rsid w:val="00F8476F"/>
    <w:rsid w:val="00F853E1"/>
    <w:rsid w:val="00F85604"/>
    <w:rsid w:val="00F85E77"/>
    <w:rsid w:val="00F94B7A"/>
    <w:rsid w:val="00FA17AC"/>
    <w:rsid w:val="00FA1B3D"/>
    <w:rsid w:val="00FA32DE"/>
    <w:rsid w:val="00FA3382"/>
    <w:rsid w:val="00FA59CD"/>
    <w:rsid w:val="00FA65F4"/>
    <w:rsid w:val="00FB1740"/>
    <w:rsid w:val="00FC20F3"/>
    <w:rsid w:val="00FC24E3"/>
    <w:rsid w:val="00FC5469"/>
    <w:rsid w:val="00FC6D7D"/>
    <w:rsid w:val="00FD16B0"/>
    <w:rsid w:val="00FD2D5F"/>
    <w:rsid w:val="00FD464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2E6DE9"/>
    <w:rPr>
      <w:vertAlign w:val="superscript"/>
    </w:rPr>
  </w:style>
  <w:style w:type="character" w:customStyle="1" w:styleId="FootnoteTextChar">
    <w:name w:val="Footnote Text Char"/>
    <w:basedOn w:val="DefaultParagraphFont"/>
    <w:link w:val="FootnoteText"/>
    <w:uiPriority w:val="99"/>
    <w:rsid w:val="00C330DA"/>
  </w:style>
  <w:style w:type="paragraph" w:styleId="ListParagraph">
    <w:name w:val="List Paragraph"/>
    <w:basedOn w:val="Normal"/>
    <w:uiPriority w:val="34"/>
    <w:qFormat/>
    <w:rsid w:val="00C330DA"/>
    <w:pPr>
      <w:ind w:left="720"/>
      <w:contextualSpacing/>
    </w:pPr>
  </w:style>
  <w:style w:type="character" w:customStyle="1" w:styleId="HeaderChar">
    <w:name w:val="Header Char"/>
    <w:basedOn w:val="DefaultParagraphFont"/>
    <w:link w:val="Header"/>
    <w:uiPriority w:val="99"/>
    <w:rsid w:val="00F71E6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2E6DE9"/>
    <w:rPr>
      <w:vertAlign w:val="superscript"/>
    </w:rPr>
  </w:style>
  <w:style w:type="character" w:customStyle="1" w:styleId="FootnoteTextChar">
    <w:name w:val="Footnote Text Char"/>
    <w:basedOn w:val="DefaultParagraphFont"/>
    <w:link w:val="FootnoteText"/>
    <w:uiPriority w:val="99"/>
    <w:rsid w:val="00C330DA"/>
  </w:style>
  <w:style w:type="paragraph" w:styleId="ListParagraph">
    <w:name w:val="List Paragraph"/>
    <w:basedOn w:val="Normal"/>
    <w:uiPriority w:val="34"/>
    <w:qFormat/>
    <w:rsid w:val="00C330DA"/>
    <w:pPr>
      <w:ind w:left="720"/>
      <w:contextualSpacing/>
    </w:pPr>
  </w:style>
  <w:style w:type="character" w:customStyle="1" w:styleId="HeaderChar">
    <w:name w:val="Header Char"/>
    <w:basedOn w:val="DefaultParagraphFont"/>
    <w:link w:val="Header"/>
    <w:uiPriority w:val="99"/>
    <w:rsid w:val="00F71E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03371">
      <w:bodyDiv w:val="1"/>
      <w:marLeft w:val="0"/>
      <w:marRight w:val="0"/>
      <w:marTop w:val="0"/>
      <w:marBottom w:val="0"/>
      <w:divBdr>
        <w:top w:val="none" w:sz="0" w:space="0" w:color="auto"/>
        <w:left w:val="none" w:sz="0" w:space="0" w:color="auto"/>
        <w:bottom w:val="none" w:sz="0" w:space="0" w:color="auto"/>
        <w:right w:val="none" w:sz="0" w:space="0" w:color="auto"/>
      </w:divBdr>
    </w:div>
    <w:div w:id="760100463">
      <w:bodyDiv w:val="1"/>
      <w:marLeft w:val="0"/>
      <w:marRight w:val="0"/>
      <w:marTop w:val="0"/>
      <w:marBottom w:val="0"/>
      <w:divBdr>
        <w:top w:val="none" w:sz="0" w:space="0" w:color="auto"/>
        <w:left w:val="none" w:sz="0" w:space="0" w:color="auto"/>
        <w:bottom w:val="none" w:sz="0" w:space="0" w:color="auto"/>
        <w:right w:val="none" w:sz="0" w:space="0" w:color="auto"/>
      </w:divBdr>
    </w:div>
    <w:div w:id="944921809">
      <w:bodyDiv w:val="1"/>
      <w:marLeft w:val="0"/>
      <w:marRight w:val="0"/>
      <w:marTop w:val="0"/>
      <w:marBottom w:val="0"/>
      <w:divBdr>
        <w:top w:val="none" w:sz="0" w:space="0" w:color="auto"/>
        <w:left w:val="none" w:sz="0" w:space="0" w:color="auto"/>
        <w:bottom w:val="none" w:sz="0" w:space="0" w:color="auto"/>
        <w:right w:val="none" w:sz="0" w:space="0" w:color="auto"/>
      </w:divBdr>
    </w:div>
    <w:div w:id="1211071956">
      <w:bodyDiv w:val="1"/>
      <w:marLeft w:val="0"/>
      <w:marRight w:val="0"/>
      <w:marTop w:val="0"/>
      <w:marBottom w:val="0"/>
      <w:divBdr>
        <w:top w:val="none" w:sz="0" w:space="0" w:color="auto"/>
        <w:left w:val="none" w:sz="0" w:space="0" w:color="auto"/>
        <w:bottom w:val="none" w:sz="0" w:space="0" w:color="auto"/>
        <w:right w:val="none" w:sz="0" w:space="0" w:color="auto"/>
      </w:divBdr>
    </w:div>
    <w:div w:id="1268125665">
      <w:bodyDiv w:val="1"/>
      <w:marLeft w:val="0"/>
      <w:marRight w:val="0"/>
      <w:marTop w:val="0"/>
      <w:marBottom w:val="0"/>
      <w:divBdr>
        <w:top w:val="none" w:sz="0" w:space="0" w:color="auto"/>
        <w:left w:val="none" w:sz="0" w:space="0" w:color="auto"/>
        <w:bottom w:val="none" w:sz="0" w:space="0" w:color="auto"/>
        <w:right w:val="none" w:sz="0" w:space="0" w:color="auto"/>
      </w:divBdr>
    </w:div>
    <w:div w:id="1336150769">
      <w:bodyDiv w:val="1"/>
      <w:marLeft w:val="0"/>
      <w:marRight w:val="0"/>
      <w:marTop w:val="0"/>
      <w:marBottom w:val="0"/>
      <w:divBdr>
        <w:top w:val="none" w:sz="0" w:space="0" w:color="auto"/>
        <w:left w:val="none" w:sz="0" w:space="0" w:color="auto"/>
        <w:bottom w:val="none" w:sz="0" w:space="0" w:color="auto"/>
        <w:right w:val="none" w:sz="0" w:space="0" w:color="auto"/>
      </w:divBdr>
    </w:div>
    <w:div w:id="153172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86632-A5DC-4877-8240-6458BC6A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1</TotalTime>
  <Pages>20</Pages>
  <Words>4943</Words>
  <Characters>29694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Joann Parsons</cp:lastModifiedBy>
  <cp:revision>2</cp:revision>
  <cp:lastPrinted>2019-07-24T19:36:00Z</cp:lastPrinted>
  <dcterms:created xsi:type="dcterms:W3CDTF">2019-07-25T14:13:00Z</dcterms:created>
  <dcterms:modified xsi:type="dcterms:W3CDTF">2019-07-25T14:13:00Z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20180186-GU</vt:lpwstr>
  </property>
  <property fmtid="{D5CDD505-2E9C-101B-9397-08002B2CF9AE}" pid="3" name="MasterDocument">
    <vt:bool>false</vt:bool>
  </property>
</Properties>
</file>