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01E6D7" w14:textId="5C0E145D" w:rsidR="000728CE" w:rsidRDefault="00743750" w:rsidP="00E9074A">
      <w:pPr>
        <w:pStyle w:val="Text"/>
        <w:rPr>
          <w:noProof/>
        </w:rPr>
      </w:pPr>
      <w:bookmarkStart w:id="0" w:name="OLE_LINK1"/>
      <w:bookmarkStart w:id="1" w:name="_GoBack"/>
      <w:bookmarkEnd w:id="1"/>
      <w:r>
        <w:rPr>
          <w:rFonts w:asciiTheme="minorHAnsi" w:hAnsiTheme="minorHAnsi" w:cs="Times New Roman"/>
          <w:noProof/>
          <w:color w:val="auto"/>
          <w:szCs w:val="20"/>
        </w:rPr>
        <w:drawing>
          <wp:anchor distT="0" distB="0" distL="114300" distR="114300" simplePos="0" relativeHeight="251655680" behindDoc="0" locked="0" layoutInCell="1" allowOverlap="1" wp14:anchorId="6401F684" wp14:editId="06ACB79C">
            <wp:simplePos x="0" y="0"/>
            <wp:positionH relativeFrom="page">
              <wp:posOffset>4629150</wp:posOffset>
            </wp:positionH>
            <wp:positionV relativeFrom="page">
              <wp:posOffset>504825</wp:posOffset>
            </wp:positionV>
            <wp:extent cx="2714625" cy="866775"/>
            <wp:effectExtent l="0" t="0" r="0" b="0"/>
            <wp:wrapNone/>
            <wp:docPr id="9" name="Picture 9" descr="Mos Eisley:Users:Jonny1:Dropbox:Nexant Master Assets:02 Logos:Nexant Logos:Tagline:PNG:Large:Nexant_Tagline_Logo_LG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s Eisley:Users:Jonny1:Dropbox:Nexant Master Assets:02 Logos:Nexant Logos:Tagline:PNG:Large:Nexant_Tagline_Logo_LG_colo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4625" cy="866775"/>
                    </a:xfrm>
                    <a:prstGeom prst="rect">
                      <a:avLst/>
                    </a:prstGeom>
                    <a:noFill/>
                    <a:ln>
                      <a:noFill/>
                    </a:ln>
                  </pic:spPr>
                </pic:pic>
              </a:graphicData>
            </a:graphic>
          </wp:anchor>
        </w:drawing>
      </w:r>
      <w:bookmarkStart w:id="2" w:name="Title_of_Proposal"/>
      <w:bookmarkStart w:id="3" w:name="RFPNo"/>
    </w:p>
    <w:p w14:paraId="03287458" w14:textId="23301545" w:rsidR="00246DA8" w:rsidRDefault="00246DA8" w:rsidP="00E9074A">
      <w:pPr>
        <w:pStyle w:val="Text"/>
      </w:pPr>
      <w:r w:rsidRPr="00EC34FD">
        <w:rPr>
          <w:noProof/>
        </w:rPr>
        <w:drawing>
          <wp:anchor distT="0" distB="0" distL="114300" distR="114300" simplePos="0" relativeHeight="251657728" behindDoc="0" locked="0" layoutInCell="1" allowOverlap="1" wp14:anchorId="2F9B9238" wp14:editId="3C3E0B2D">
            <wp:simplePos x="0" y="0"/>
            <wp:positionH relativeFrom="column">
              <wp:posOffset>-904875</wp:posOffset>
            </wp:positionH>
            <wp:positionV relativeFrom="paragraph">
              <wp:posOffset>275590</wp:posOffset>
            </wp:positionV>
            <wp:extent cx="7863840" cy="4173889"/>
            <wp:effectExtent l="0" t="0" r="3810" b="0"/>
            <wp:wrapNone/>
            <wp:docPr id="18" name="Picture Placehold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Placeholder 1" descr="NEIGH_7_.jpg"/>
                    <pic:cNvPicPr>
                      <a:picLocks noGrp="1"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7863840" cy="4173889"/>
                    </a:xfrm>
                    <a:prstGeom prst="rect">
                      <a:avLst/>
                    </a:prstGeom>
                  </pic:spPr>
                </pic:pic>
              </a:graphicData>
            </a:graphic>
            <wp14:sizeRelH relativeFrom="page">
              <wp14:pctWidth>0</wp14:pctWidth>
            </wp14:sizeRelH>
            <wp14:sizeRelV relativeFrom="page">
              <wp14:pctHeight>0</wp14:pctHeight>
            </wp14:sizeRelV>
          </wp:anchor>
        </w:drawing>
      </w:r>
    </w:p>
    <w:bookmarkEnd w:id="0"/>
    <w:bookmarkEnd w:id="2"/>
    <w:p w14:paraId="6401E6D8" w14:textId="5020AC06" w:rsidR="001279D0" w:rsidRPr="008F61ED" w:rsidRDefault="00B61740" w:rsidP="00D440F4">
      <w:pPr>
        <w:pStyle w:val="Title"/>
        <w:spacing w:before="7440"/>
      </w:pPr>
      <w:r>
        <w:t>M</w:t>
      </w:r>
      <w:r w:rsidR="00543704">
        <w:t>arket Potential Study</w:t>
      </w:r>
      <w:r>
        <w:t xml:space="preserve"> of Demand</w:t>
      </w:r>
      <w:r w:rsidR="00997D93">
        <w:t>-S</w:t>
      </w:r>
      <w:r>
        <w:t xml:space="preserve">ide Management </w:t>
      </w:r>
      <w:r w:rsidR="006D5337">
        <w:t xml:space="preserve">in </w:t>
      </w:r>
      <w:r w:rsidR="00A054CB">
        <w:t>Tampa Electric Company’s Service Territory</w:t>
      </w:r>
    </w:p>
    <w:p w14:paraId="6401E6D9" w14:textId="70B38978" w:rsidR="00431986" w:rsidRDefault="0052201F" w:rsidP="00006602">
      <w:pPr>
        <w:pStyle w:val="Titlepage-clientandsubctr"/>
      </w:pPr>
      <w:r w:rsidRPr="00B76D64">
        <w:t xml:space="preserve">Submitted to </w:t>
      </w:r>
      <w:r w:rsidR="00145C87">
        <w:t>Tampa Electric Company</w:t>
      </w:r>
      <w:r w:rsidR="00137355">
        <w:t xml:space="preserve"> </w:t>
      </w:r>
    </w:p>
    <w:bookmarkEnd w:id="3"/>
    <w:p w14:paraId="0AC00947" w14:textId="77777777" w:rsidR="000605AE" w:rsidRDefault="000605AE" w:rsidP="000605AE">
      <w:pPr>
        <w:pStyle w:val="Titlepage-clientandsubctr"/>
        <w:rPr>
          <w:b/>
        </w:rPr>
      </w:pPr>
    </w:p>
    <w:p w14:paraId="1074556C" w14:textId="77777777" w:rsidR="00A054CB" w:rsidRPr="00431986" w:rsidRDefault="00A054CB" w:rsidP="000605AE">
      <w:pPr>
        <w:pStyle w:val="Titlepage-clientandsubctr"/>
        <w:rPr>
          <w:b/>
        </w:rPr>
      </w:pPr>
    </w:p>
    <w:p w14:paraId="6401E6DB" w14:textId="18F5061F" w:rsidR="00EA5290" w:rsidRPr="00C67E9A" w:rsidRDefault="000605AE" w:rsidP="000728CE">
      <w:pPr>
        <w:pStyle w:val="Titlepage-Date"/>
      </w:pPr>
      <w:r>
        <w:t xml:space="preserve">April, 2019 </w:t>
      </w:r>
      <w:r w:rsidR="001B7E62">
        <w:br/>
      </w:r>
    </w:p>
    <w:p w14:paraId="6401E6DC" w14:textId="77777777" w:rsidR="00FD58D7" w:rsidRDefault="00FD58D7" w:rsidP="004E1E10">
      <w:pPr>
        <w:pStyle w:val="zOther-Internalnotes"/>
        <w:rPr>
          <w:highlight w:val="yellow"/>
        </w:rPr>
        <w:sectPr w:rsidR="00FD58D7" w:rsidSect="000243C9">
          <w:headerReference w:type="first" r:id="rId11"/>
          <w:footnotePr>
            <w:numRestart w:val="eachSect"/>
          </w:footnotePr>
          <w:endnotePr>
            <w:numFmt w:val="decimal"/>
          </w:endnotePr>
          <w:type w:val="continuous"/>
          <w:pgSz w:w="12240" w:h="15840" w:code="1"/>
          <w:pgMar w:top="1440" w:right="1440" w:bottom="720" w:left="1440" w:header="720" w:footer="720" w:gutter="0"/>
          <w:pgNumType w:start="1"/>
          <w:cols w:space="360"/>
          <w:titlePg/>
          <w:docGrid w:linePitch="299"/>
        </w:sectPr>
      </w:pPr>
    </w:p>
    <w:p w14:paraId="6401E6DD" w14:textId="77777777" w:rsidR="00E461CD" w:rsidRPr="001219AB" w:rsidRDefault="001219AB" w:rsidP="001219AB">
      <w:pPr>
        <w:pStyle w:val="Text"/>
        <w:jc w:val="center"/>
        <w:rPr>
          <w:color w:val="A6A6A6" w:themeColor="background1" w:themeShade="A6"/>
        </w:rPr>
      </w:pPr>
      <w:r w:rsidRPr="001219AB">
        <w:rPr>
          <w:color w:val="A6A6A6" w:themeColor="background1" w:themeShade="A6"/>
        </w:rPr>
        <w:lastRenderedPageBreak/>
        <w:t>(This page intentionally left blank)</w:t>
      </w:r>
    </w:p>
    <w:p w14:paraId="6401E6DE" w14:textId="77777777" w:rsidR="003A7FA8" w:rsidRDefault="003A7FA8" w:rsidP="003A7FA8">
      <w:pPr>
        <w:pStyle w:val="Text"/>
      </w:pPr>
    </w:p>
    <w:p w14:paraId="6401E6DF" w14:textId="77777777" w:rsidR="00E9074A" w:rsidRDefault="00E9074A" w:rsidP="003A7FA8">
      <w:pPr>
        <w:pStyle w:val="Text"/>
        <w:sectPr w:rsidR="00E9074A" w:rsidSect="00AC4E83">
          <w:headerReference w:type="default" r:id="rId12"/>
          <w:footerReference w:type="default" r:id="rId13"/>
          <w:headerReference w:type="first" r:id="rId14"/>
          <w:footerReference w:type="first" r:id="rId15"/>
          <w:pgSz w:w="12240" w:h="15840"/>
          <w:pgMar w:top="1440" w:right="1224" w:bottom="1440" w:left="1224" w:header="720" w:footer="720" w:gutter="0"/>
          <w:cols w:space="720"/>
          <w:titlePg/>
          <w:docGrid w:linePitch="299"/>
        </w:sectPr>
      </w:pPr>
    </w:p>
    <w:p w14:paraId="6401E6E0" w14:textId="77777777" w:rsidR="00150AC7" w:rsidRPr="001F2A51" w:rsidRDefault="00D22B11" w:rsidP="001F2A51">
      <w:pPr>
        <w:pStyle w:val="Intropages-tableofcontentstitle"/>
      </w:pPr>
      <w:r>
        <w:lastRenderedPageBreak/>
        <mc:AlternateContent>
          <mc:Choice Requires="wps">
            <w:drawing>
              <wp:anchor distT="4294967295" distB="4294967295" distL="114300" distR="114300" simplePos="0" relativeHeight="251656704" behindDoc="0" locked="0" layoutInCell="1" allowOverlap="1" wp14:anchorId="6401F688" wp14:editId="6401F689">
                <wp:simplePos x="0" y="0"/>
                <wp:positionH relativeFrom="column">
                  <wp:posOffset>2480945</wp:posOffset>
                </wp:positionH>
                <wp:positionV relativeFrom="paragraph">
                  <wp:posOffset>3809999</wp:posOffset>
                </wp:positionV>
                <wp:extent cx="7772400" cy="0"/>
                <wp:effectExtent l="0" t="57150" r="0" b="57150"/>
                <wp:wrapNone/>
                <wp:docPr id="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C8426" id="Rectangle 15" o:spid="_x0000_s1026" style="position:absolute;margin-left:195.35pt;margin-top:300pt;width:612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" filled="f" stroked="f"/>
            </w:pict>
          </mc:Fallback>
        </mc:AlternateContent>
      </w:r>
      <w:bookmarkStart w:id="4" w:name="_Ref251750205"/>
      <w:r w:rsidR="00150AC7" w:rsidRPr="001F2A51">
        <w:t>Contents</w:t>
      </w:r>
      <w:bookmarkEnd w:id="4"/>
    </w:p>
    <w:p w14:paraId="6401E6E1" w14:textId="77777777" w:rsidR="00150AC7" w:rsidRPr="00291444" w:rsidRDefault="00150AC7" w:rsidP="00620E42">
      <w:pPr>
        <w:pStyle w:val="Text"/>
      </w:pPr>
    </w:p>
    <w:p w14:paraId="3A3E271D" w14:textId="77777777" w:rsidR="00454284" w:rsidRDefault="00552DF3">
      <w:pPr>
        <w:pStyle w:val="TOC1"/>
        <w:rPr>
          <w:rFonts w:asciiTheme="minorHAnsi" w:eastAsiaTheme="minorEastAsia" w:hAnsiTheme="minorHAnsi" w:cstheme="minorBidi"/>
          <w:b w:val="0"/>
          <w:bCs w:val="0"/>
          <w:snapToGrid/>
          <w:color w:val="auto"/>
          <w:w w:val="100"/>
          <w:sz w:val="22"/>
        </w:rPr>
      </w:pPr>
      <w:r>
        <w:rPr>
          <w:rFonts w:ascii="Microsoft Sans Serif" w:hAnsi="Microsoft Sans Serif" w:cs="Times New Roman"/>
          <w:smallCaps/>
          <w:noProof w:val="0"/>
          <w:color w:val="1673CA"/>
          <w:sz w:val="22"/>
          <w:u w:color="1F497D" w:themeColor="text2"/>
        </w:rPr>
        <w:fldChar w:fldCharType="begin"/>
      </w:r>
      <w:r w:rsidR="000F1001">
        <w:rPr>
          <w:rFonts w:ascii="Microsoft Sans Serif" w:hAnsi="Microsoft Sans Serif"/>
          <w:smallCaps/>
          <w:u w:color="1F497D" w:themeColor="text2"/>
        </w:rPr>
        <w:instrText xml:space="preserve"> TOC \o "1-4" \h \z \u \t "Heading 7,1" </w:instrText>
      </w:r>
      <w:r>
        <w:rPr>
          <w:rFonts w:ascii="Microsoft Sans Serif" w:hAnsi="Microsoft Sans Serif" w:cs="Times New Roman"/>
          <w:smallCaps/>
          <w:noProof w:val="0"/>
          <w:color w:val="1673CA"/>
          <w:sz w:val="22"/>
          <w:u w:color="1F497D" w:themeColor="text2"/>
        </w:rPr>
        <w:fldChar w:fldCharType="separate"/>
      </w:r>
      <w:hyperlink w:anchor="_Toc5715465" w:history="1">
        <w:r w:rsidR="00454284" w:rsidRPr="00391746">
          <w:rPr>
            <w:rStyle w:val="Hyperlink"/>
          </w:rPr>
          <w:t>1</w:t>
        </w:r>
        <w:r w:rsidR="00454284">
          <w:rPr>
            <w:rFonts w:asciiTheme="minorHAnsi" w:eastAsiaTheme="minorEastAsia" w:hAnsiTheme="minorHAnsi" w:cstheme="minorBidi"/>
            <w:b w:val="0"/>
            <w:bCs w:val="0"/>
            <w:snapToGrid/>
            <w:color w:val="auto"/>
            <w:w w:val="100"/>
            <w:sz w:val="22"/>
          </w:rPr>
          <w:tab/>
        </w:r>
        <w:r w:rsidR="00454284" w:rsidRPr="00391746">
          <w:rPr>
            <w:rStyle w:val="Hyperlink"/>
          </w:rPr>
          <w:t>Executive Summary</w:t>
        </w:r>
        <w:r w:rsidR="00454284">
          <w:rPr>
            <w:webHidden/>
          </w:rPr>
          <w:tab/>
        </w:r>
        <w:r w:rsidR="00454284">
          <w:rPr>
            <w:webHidden/>
          </w:rPr>
          <w:fldChar w:fldCharType="begin"/>
        </w:r>
        <w:r w:rsidR="00454284">
          <w:rPr>
            <w:webHidden/>
          </w:rPr>
          <w:instrText xml:space="preserve"> PAGEREF _Toc5715465 \h </w:instrText>
        </w:r>
        <w:r w:rsidR="00454284">
          <w:rPr>
            <w:webHidden/>
          </w:rPr>
        </w:r>
        <w:r w:rsidR="00454284">
          <w:rPr>
            <w:webHidden/>
          </w:rPr>
          <w:fldChar w:fldCharType="separate"/>
        </w:r>
        <w:r w:rsidR="00454284">
          <w:rPr>
            <w:webHidden/>
          </w:rPr>
          <w:t>5</w:t>
        </w:r>
        <w:r w:rsidR="00454284">
          <w:rPr>
            <w:webHidden/>
          </w:rPr>
          <w:fldChar w:fldCharType="end"/>
        </w:r>
      </w:hyperlink>
    </w:p>
    <w:p w14:paraId="7D6F573A" w14:textId="77777777" w:rsidR="00454284" w:rsidRDefault="001A6304">
      <w:pPr>
        <w:pStyle w:val="TOC2"/>
        <w:rPr>
          <w:rFonts w:asciiTheme="minorHAnsi" w:eastAsiaTheme="minorEastAsia" w:hAnsiTheme="minorHAnsi" w:cstheme="minorBidi"/>
          <w:b w:val="0"/>
          <w:color w:val="auto"/>
          <w:sz w:val="22"/>
          <w:szCs w:val="22"/>
        </w:rPr>
      </w:pPr>
      <w:hyperlink w:anchor="_Toc5715466" w:history="1">
        <w:r w:rsidR="00454284" w:rsidRPr="00391746">
          <w:rPr>
            <w:rStyle w:val="Hyperlink"/>
          </w:rPr>
          <w:t>1.1</w:t>
        </w:r>
        <w:r w:rsidR="00454284">
          <w:rPr>
            <w:rFonts w:asciiTheme="minorHAnsi" w:eastAsiaTheme="minorEastAsia" w:hAnsiTheme="minorHAnsi" w:cstheme="minorBidi"/>
            <w:b w:val="0"/>
            <w:color w:val="auto"/>
            <w:sz w:val="22"/>
            <w:szCs w:val="22"/>
          </w:rPr>
          <w:tab/>
        </w:r>
        <w:r w:rsidR="00454284" w:rsidRPr="00391746">
          <w:rPr>
            <w:rStyle w:val="Hyperlink"/>
          </w:rPr>
          <w:t>Methodology</w:t>
        </w:r>
        <w:r w:rsidR="00454284">
          <w:rPr>
            <w:webHidden/>
          </w:rPr>
          <w:tab/>
        </w:r>
        <w:r w:rsidR="00454284">
          <w:rPr>
            <w:webHidden/>
          </w:rPr>
          <w:fldChar w:fldCharType="begin"/>
        </w:r>
        <w:r w:rsidR="00454284">
          <w:rPr>
            <w:webHidden/>
          </w:rPr>
          <w:instrText xml:space="preserve"> PAGEREF _Toc5715466 \h </w:instrText>
        </w:r>
        <w:r w:rsidR="00454284">
          <w:rPr>
            <w:webHidden/>
          </w:rPr>
        </w:r>
        <w:r w:rsidR="00454284">
          <w:rPr>
            <w:webHidden/>
          </w:rPr>
          <w:fldChar w:fldCharType="separate"/>
        </w:r>
        <w:r w:rsidR="00454284">
          <w:rPr>
            <w:webHidden/>
          </w:rPr>
          <w:t>5</w:t>
        </w:r>
        <w:r w:rsidR="00454284">
          <w:rPr>
            <w:webHidden/>
          </w:rPr>
          <w:fldChar w:fldCharType="end"/>
        </w:r>
      </w:hyperlink>
    </w:p>
    <w:p w14:paraId="33724827" w14:textId="77777777" w:rsidR="00454284" w:rsidRDefault="001A6304">
      <w:pPr>
        <w:pStyle w:val="TOC3"/>
        <w:rPr>
          <w:rFonts w:asciiTheme="minorHAnsi" w:eastAsiaTheme="minorEastAsia" w:hAnsiTheme="minorHAnsi" w:cstheme="minorBidi"/>
          <w:iCs w:val="0"/>
          <w:color w:val="auto"/>
          <w:sz w:val="22"/>
          <w:szCs w:val="22"/>
        </w:rPr>
      </w:pPr>
      <w:hyperlink w:anchor="_Toc5715467" w:history="1">
        <w:r w:rsidR="00454284" w:rsidRPr="00391746">
          <w:rPr>
            <w:rStyle w:val="Hyperlink"/>
          </w:rPr>
          <w:t>1.1.1</w:t>
        </w:r>
        <w:r w:rsidR="00454284">
          <w:rPr>
            <w:rFonts w:asciiTheme="minorHAnsi" w:eastAsiaTheme="minorEastAsia" w:hAnsiTheme="minorHAnsi" w:cstheme="minorBidi"/>
            <w:iCs w:val="0"/>
            <w:color w:val="auto"/>
            <w:sz w:val="22"/>
            <w:szCs w:val="22"/>
          </w:rPr>
          <w:tab/>
        </w:r>
        <w:r w:rsidR="00454284" w:rsidRPr="00391746">
          <w:rPr>
            <w:rStyle w:val="Hyperlink"/>
          </w:rPr>
          <w:t>EE Potential</w:t>
        </w:r>
        <w:r w:rsidR="00454284">
          <w:rPr>
            <w:webHidden/>
          </w:rPr>
          <w:tab/>
        </w:r>
        <w:r w:rsidR="00454284">
          <w:rPr>
            <w:webHidden/>
          </w:rPr>
          <w:fldChar w:fldCharType="begin"/>
        </w:r>
        <w:r w:rsidR="00454284">
          <w:rPr>
            <w:webHidden/>
          </w:rPr>
          <w:instrText xml:space="preserve"> PAGEREF _Toc5715467 \h </w:instrText>
        </w:r>
        <w:r w:rsidR="00454284">
          <w:rPr>
            <w:webHidden/>
          </w:rPr>
        </w:r>
        <w:r w:rsidR="00454284">
          <w:rPr>
            <w:webHidden/>
          </w:rPr>
          <w:fldChar w:fldCharType="separate"/>
        </w:r>
        <w:r w:rsidR="00454284">
          <w:rPr>
            <w:webHidden/>
          </w:rPr>
          <w:t>5</w:t>
        </w:r>
        <w:r w:rsidR="00454284">
          <w:rPr>
            <w:webHidden/>
          </w:rPr>
          <w:fldChar w:fldCharType="end"/>
        </w:r>
      </w:hyperlink>
    </w:p>
    <w:p w14:paraId="4246D237" w14:textId="77777777" w:rsidR="00454284" w:rsidRDefault="001A6304">
      <w:pPr>
        <w:pStyle w:val="TOC3"/>
        <w:rPr>
          <w:rFonts w:asciiTheme="minorHAnsi" w:eastAsiaTheme="minorEastAsia" w:hAnsiTheme="minorHAnsi" w:cstheme="minorBidi"/>
          <w:iCs w:val="0"/>
          <w:color w:val="auto"/>
          <w:sz w:val="22"/>
          <w:szCs w:val="22"/>
        </w:rPr>
      </w:pPr>
      <w:hyperlink w:anchor="_Toc5715468" w:history="1">
        <w:r w:rsidR="00454284" w:rsidRPr="00391746">
          <w:rPr>
            <w:rStyle w:val="Hyperlink"/>
          </w:rPr>
          <w:t>1.1.2</w:t>
        </w:r>
        <w:r w:rsidR="00454284">
          <w:rPr>
            <w:rFonts w:asciiTheme="minorHAnsi" w:eastAsiaTheme="minorEastAsia" w:hAnsiTheme="minorHAnsi" w:cstheme="minorBidi"/>
            <w:iCs w:val="0"/>
            <w:color w:val="auto"/>
            <w:sz w:val="22"/>
            <w:szCs w:val="22"/>
          </w:rPr>
          <w:tab/>
        </w:r>
        <w:r w:rsidR="00454284" w:rsidRPr="00391746">
          <w:rPr>
            <w:rStyle w:val="Hyperlink"/>
          </w:rPr>
          <w:t>DR Potential</w:t>
        </w:r>
        <w:r w:rsidR="00454284">
          <w:rPr>
            <w:webHidden/>
          </w:rPr>
          <w:tab/>
        </w:r>
        <w:r w:rsidR="00454284">
          <w:rPr>
            <w:webHidden/>
          </w:rPr>
          <w:fldChar w:fldCharType="begin"/>
        </w:r>
        <w:r w:rsidR="00454284">
          <w:rPr>
            <w:webHidden/>
          </w:rPr>
          <w:instrText xml:space="preserve"> PAGEREF _Toc5715468 \h </w:instrText>
        </w:r>
        <w:r w:rsidR="00454284">
          <w:rPr>
            <w:webHidden/>
          </w:rPr>
        </w:r>
        <w:r w:rsidR="00454284">
          <w:rPr>
            <w:webHidden/>
          </w:rPr>
          <w:fldChar w:fldCharType="separate"/>
        </w:r>
        <w:r w:rsidR="00454284">
          <w:rPr>
            <w:webHidden/>
          </w:rPr>
          <w:t>5</w:t>
        </w:r>
        <w:r w:rsidR="00454284">
          <w:rPr>
            <w:webHidden/>
          </w:rPr>
          <w:fldChar w:fldCharType="end"/>
        </w:r>
      </w:hyperlink>
    </w:p>
    <w:p w14:paraId="31FB5DD9" w14:textId="77777777" w:rsidR="00454284" w:rsidRDefault="001A6304">
      <w:pPr>
        <w:pStyle w:val="TOC3"/>
        <w:rPr>
          <w:rFonts w:asciiTheme="minorHAnsi" w:eastAsiaTheme="minorEastAsia" w:hAnsiTheme="minorHAnsi" w:cstheme="minorBidi"/>
          <w:iCs w:val="0"/>
          <w:color w:val="auto"/>
          <w:sz w:val="22"/>
          <w:szCs w:val="22"/>
        </w:rPr>
      </w:pPr>
      <w:hyperlink w:anchor="_Toc5715469" w:history="1">
        <w:r w:rsidR="00454284" w:rsidRPr="00391746">
          <w:rPr>
            <w:rStyle w:val="Hyperlink"/>
          </w:rPr>
          <w:t>1.1.3</w:t>
        </w:r>
        <w:r w:rsidR="00454284">
          <w:rPr>
            <w:rFonts w:asciiTheme="minorHAnsi" w:eastAsiaTheme="minorEastAsia" w:hAnsiTheme="minorHAnsi" w:cstheme="minorBidi"/>
            <w:iCs w:val="0"/>
            <w:color w:val="auto"/>
            <w:sz w:val="22"/>
            <w:szCs w:val="22"/>
          </w:rPr>
          <w:tab/>
        </w:r>
        <w:r w:rsidR="00454284" w:rsidRPr="00391746">
          <w:rPr>
            <w:rStyle w:val="Hyperlink"/>
          </w:rPr>
          <w:t>DSRE Potential</w:t>
        </w:r>
        <w:r w:rsidR="00454284">
          <w:rPr>
            <w:webHidden/>
          </w:rPr>
          <w:tab/>
        </w:r>
        <w:r w:rsidR="00454284">
          <w:rPr>
            <w:webHidden/>
          </w:rPr>
          <w:fldChar w:fldCharType="begin"/>
        </w:r>
        <w:r w:rsidR="00454284">
          <w:rPr>
            <w:webHidden/>
          </w:rPr>
          <w:instrText xml:space="preserve"> PAGEREF _Toc5715469 \h </w:instrText>
        </w:r>
        <w:r w:rsidR="00454284">
          <w:rPr>
            <w:webHidden/>
          </w:rPr>
        </w:r>
        <w:r w:rsidR="00454284">
          <w:rPr>
            <w:webHidden/>
          </w:rPr>
          <w:fldChar w:fldCharType="separate"/>
        </w:r>
        <w:r w:rsidR="00454284">
          <w:rPr>
            <w:webHidden/>
          </w:rPr>
          <w:t>6</w:t>
        </w:r>
        <w:r w:rsidR="00454284">
          <w:rPr>
            <w:webHidden/>
          </w:rPr>
          <w:fldChar w:fldCharType="end"/>
        </w:r>
      </w:hyperlink>
    </w:p>
    <w:p w14:paraId="134C2DD1" w14:textId="77777777" w:rsidR="00454284" w:rsidRDefault="001A6304">
      <w:pPr>
        <w:pStyle w:val="TOC2"/>
        <w:rPr>
          <w:rFonts w:asciiTheme="minorHAnsi" w:eastAsiaTheme="minorEastAsia" w:hAnsiTheme="minorHAnsi" w:cstheme="minorBidi"/>
          <w:b w:val="0"/>
          <w:color w:val="auto"/>
          <w:sz w:val="22"/>
          <w:szCs w:val="22"/>
        </w:rPr>
      </w:pPr>
      <w:hyperlink w:anchor="_Toc5715470" w:history="1">
        <w:r w:rsidR="00454284" w:rsidRPr="00391746">
          <w:rPr>
            <w:rStyle w:val="Hyperlink"/>
          </w:rPr>
          <w:t>1.2</w:t>
        </w:r>
        <w:r w:rsidR="00454284">
          <w:rPr>
            <w:rFonts w:asciiTheme="minorHAnsi" w:eastAsiaTheme="minorEastAsia" w:hAnsiTheme="minorHAnsi" w:cstheme="minorBidi"/>
            <w:b w:val="0"/>
            <w:color w:val="auto"/>
            <w:sz w:val="22"/>
            <w:szCs w:val="22"/>
          </w:rPr>
          <w:tab/>
        </w:r>
        <w:r w:rsidR="00454284" w:rsidRPr="00391746">
          <w:rPr>
            <w:rStyle w:val="Hyperlink"/>
          </w:rPr>
          <w:t>Savings Potential</w:t>
        </w:r>
        <w:r w:rsidR="00454284">
          <w:rPr>
            <w:webHidden/>
          </w:rPr>
          <w:tab/>
        </w:r>
        <w:r w:rsidR="00454284">
          <w:rPr>
            <w:webHidden/>
          </w:rPr>
          <w:fldChar w:fldCharType="begin"/>
        </w:r>
        <w:r w:rsidR="00454284">
          <w:rPr>
            <w:webHidden/>
          </w:rPr>
          <w:instrText xml:space="preserve"> PAGEREF _Toc5715470 \h </w:instrText>
        </w:r>
        <w:r w:rsidR="00454284">
          <w:rPr>
            <w:webHidden/>
          </w:rPr>
        </w:r>
        <w:r w:rsidR="00454284">
          <w:rPr>
            <w:webHidden/>
          </w:rPr>
          <w:fldChar w:fldCharType="separate"/>
        </w:r>
        <w:r w:rsidR="00454284">
          <w:rPr>
            <w:webHidden/>
          </w:rPr>
          <w:t>6</w:t>
        </w:r>
        <w:r w:rsidR="00454284">
          <w:rPr>
            <w:webHidden/>
          </w:rPr>
          <w:fldChar w:fldCharType="end"/>
        </w:r>
      </w:hyperlink>
    </w:p>
    <w:p w14:paraId="6C86788D" w14:textId="77777777" w:rsidR="00454284" w:rsidRDefault="001A6304">
      <w:pPr>
        <w:pStyle w:val="TOC3"/>
        <w:rPr>
          <w:rFonts w:asciiTheme="minorHAnsi" w:eastAsiaTheme="minorEastAsia" w:hAnsiTheme="minorHAnsi" w:cstheme="minorBidi"/>
          <w:iCs w:val="0"/>
          <w:color w:val="auto"/>
          <w:sz w:val="22"/>
          <w:szCs w:val="22"/>
        </w:rPr>
      </w:pPr>
      <w:hyperlink w:anchor="_Toc5715471" w:history="1">
        <w:r w:rsidR="00454284" w:rsidRPr="00391746">
          <w:rPr>
            <w:rStyle w:val="Hyperlink"/>
          </w:rPr>
          <w:t>1.2.1</w:t>
        </w:r>
        <w:r w:rsidR="00454284">
          <w:rPr>
            <w:rFonts w:asciiTheme="minorHAnsi" w:eastAsiaTheme="minorEastAsia" w:hAnsiTheme="minorHAnsi" w:cstheme="minorBidi"/>
            <w:iCs w:val="0"/>
            <w:color w:val="auto"/>
            <w:sz w:val="22"/>
            <w:szCs w:val="22"/>
          </w:rPr>
          <w:tab/>
        </w:r>
        <w:r w:rsidR="00454284" w:rsidRPr="00391746">
          <w:rPr>
            <w:rStyle w:val="Hyperlink"/>
          </w:rPr>
          <w:t>EE Technical Potential</w:t>
        </w:r>
        <w:r w:rsidR="00454284">
          <w:rPr>
            <w:webHidden/>
          </w:rPr>
          <w:tab/>
        </w:r>
        <w:r w:rsidR="00454284">
          <w:rPr>
            <w:webHidden/>
          </w:rPr>
          <w:fldChar w:fldCharType="begin"/>
        </w:r>
        <w:r w:rsidR="00454284">
          <w:rPr>
            <w:webHidden/>
          </w:rPr>
          <w:instrText xml:space="preserve"> PAGEREF _Toc5715471 \h </w:instrText>
        </w:r>
        <w:r w:rsidR="00454284">
          <w:rPr>
            <w:webHidden/>
          </w:rPr>
        </w:r>
        <w:r w:rsidR="00454284">
          <w:rPr>
            <w:webHidden/>
          </w:rPr>
          <w:fldChar w:fldCharType="separate"/>
        </w:r>
        <w:r w:rsidR="00454284">
          <w:rPr>
            <w:webHidden/>
          </w:rPr>
          <w:t>6</w:t>
        </w:r>
        <w:r w:rsidR="00454284">
          <w:rPr>
            <w:webHidden/>
          </w:rPr>
          <w:fldChar w:fldCharType="end"/>
        </w:r>
      </w:hyperlink>
    </w:p>
    <w:p w14:paraId="7DCB99F4" w14:textId="77777777" w:rsidR="00454284" w:rsidRDefault="001A6304">
      <w:pPr>
        <w:pStyle w:val="TOC3"/>
        <w:rPr>
          <w:rFonts w:asciiTheme="minorHAnsi" w:eastAsiaTheme="minorEastAsia" w:hAnsiTheme="minorHAnsi" w:cstheme="minorBidi"/>
          <w:iCs w:val="0"/>
          <w:color w:val="auto"/>
          <w:sz w:val="22"/>
          <w:szCs w:val="22"/>
        </w:rPr>
      </w:pPr>
      <w:hyperlink w:anchor="_Toc5715472" w:history="1">
        <w:r w:rsidR="00454284" w:rsidRPr="00391746">
          <w:rPr>
            <w:rStyle w:val="Hyperlink"/>
          </w:rPr>
          <w:t>1.2.2</w:t>
        </w:r>
        <w:r w:rsidR="00454284">
          <w:rPr>
            <w:rFonts w:asciiTheme="minorHAnsi" w:eastAsiaTheme="minorEastAsia" w:hAnsiTheme="minorHAnsi" w:cstheme="minorBidi"/>
            <w:iCs w:val="0"/>
            <w:color w:val="auto"/>
            <w:sz w:val="22"/>
            <w:szCs w:val="22"/>
          </w:rPr>
          <w:tab/>
        </w:r>
        <w:r w:rsidR="00454284" w:rsidRPr="00391746">
          <w:rPr>
            <w:rStyle w:val="Hyperlink"/>
          </w:rPr>
          <w:t>DR Technical Potential</w:t>
        </w:r>
        <w:r w:rsidR="00454284">
          <w:rPr>
            <w:webHidden/>
          </w:rPr>
          <w:tab/>
        </w:r>
        <w:r w:rsidR="00454284">
          <w:rPr>
            <w:webHidden/>
          </w:rPr>
          <w:fldChar w:fldCharType="begin"/>
        </w:r>
        <w:r w:rsidR="00454284">
          <w:rPr>
            <w:webHidden/>
          </w:rPr>
          <w:instrText xml:space="preserve"> PAGEREF _Toc5715472 \h </w:instrText>
        </w:r>
        <w:r w:rsidR="00454284">
          <w:rPr>
            <w:webHidden/>
          </w:rPr>
        </w:r>
        <w:r w:rsidR="00454284">
          <w:rPr>
            <w:webHidden/>
          </w:rPr>
          <w:fldChar w:fldCharType="separate"/>
        </w:r>
        <w:r w:rsidR="00454284">
          <w:rPr>
            <w:webHidden/>
          </w:rPr>
          <w:t>6</w:t>
        </w:r>
        <w:r w:rsidR="00454284">
          <w:rPr>
            <w:webHidden/>
          </w:rPr>
          <w:fldChar w:fldCharType="end"/>
        </w:r>
      </w:hyperlink>
    </w:p>
    <w:p w14:paraId="06DE12AA" w14:textId="77777777" w:rsidR="00454284" w:rsidRDefault="001A6304">
      <w:pPr>
        <w:pStyle w:val="TOC3"/>
        <w:rPr>
          <w:rFonts w:asciiTheme="minorHAnsi" w:eastAsiaTheme="minorEastAsia" w:hAnsiTheme="minorHAnsi" w:cstheme="minorBidi"/>
          <w:iCs w:val="0"/>
          <w:color w:val="auto"/>
          <w:sz w:val="22"/>
          <w:szCs w:val="22"/>
        </w:rPr>
      </w:pPr>
      <w:hyperlink w:anchor="_Toc5715473" w:history="1">
        <w:r w:rsidR="00454284" w:rsidRPr="00391746">
          <w:rPr>
            <w:rStyle w:val="Hyperlink"/>
          </w:rPr>
          <w:t>1.2.3</w:t>
        </w:r>
        <w:r w:rsidR="00454284">
          <w:rPr>
            <w:rFonts w:asciiTheme="minorHAnsi" w:eastAsiaTheme="minorEastAsia" w:hAnsiTheme="minorHAnsi" w:cstheme="minorBidi"/>
            <w:iCs w:val="0"/>
            <w:color w:val="auto"/>
            <w:sz w:val="22"/>
            <w:szCs w:val="22"/>
          </w:rPr>
          <w:tab/>
        </w:r>
        <w:r w:rsidR="00454284" w:rsidRPr="00391746">
          <w:rPr>
            <w:rStyle w:val="Hyperlink"/>
          </w:rPr>
          <w:t>DSRE Technical Potential</w:t>
        </w:r>
        <w:r w:rsidR="00454284">
          <w:rPr>
            <w:webHidden/>
          </w:rPr>
          <w:tab/>
        </w:r>
        <w:r w:rsidR="00454284">
          <w:rPr>
            <w:webHidden/>
          </w:rPr>
          <w:fldChar w:fldCharType="begin"/>
        </w:r>
        <w:r w:rsidR="00454284">
          <w:rPr>
            <w:webHidden/>
          </w:rPr>
          <w:instrText xml:space="preserve"> PAGEREF _Toc5715473 \h </w:instrText>
        </w:r>
        <w:r w:rsidR="00454284">
          <w:rPr>
            <w:webHidden/>
          </w:rPr>
        </w:r>
        <w:r w:rsidR="00454284">
          <w:rPr>
            <w:webHidden/>
          </w:rPr>
          <w:fldChar w:fldCharType="separate"/>
        </w:r>
        <w:r w:rsidR="00454284">
          <w:rPr>
            <w:webHidden/>
          </w:rPr>
          <w:t>7</w:t>
        </w:r>
        <w:r w:rsidR="00454284">
          <w:rPr>
            <w:webHidden/>
          </w:rPr>
          <w:fldChar w:fldCharType="end"/>
        </w:r>
      </w:hyperlink>
    </w:p>
    <w:p w14:paraId="107EC253" w14:textId="77777777" w:rsidR="00454284" w:rsidRDefault="001A6304">
      <w:pPr>
        <w:pStyle w:val="TOC1"/>
        <w:rPr>
          <w:rFonts w:asciiTheme="minorHAnsi" w:eastAsiaTheme="minorEastAsia" w:hAnsiTheme="minorHAnsi" w:cstheme="minorBidi"/>
          <w:b w:val="0"/>
          <w:bCs w:val="0"/>
          <w:snapToGrid/>
          <w:color w:val="auto"/>
          <w:w w:val="100"/>
          <w:sz w:val="22"/>
        </w:rPr>
      </w:pPr>
      <w:hyperlink w:anchor="_Toc5715474" w:history="1">
        <w:r w:rsidR="00454284" w:rsidRPr="00391746">
          <w:rPr>
            <w:rStyle w:val="Hyperlink"/>
          </w:rPr>
          <w:t>2</w:t>
        </w:r>
        <w:r w:rsidR="00454284">
          <w:rPr>
            <w:rFonts w:asciiTheme="minorHAnsi" w:eastAsiaTheme="minorEastAsia" w:hAnsiTheme="minorHAnsi" w:cstheme="minorBidi"/>
            <w:b w:val="0"/>
            <w:bCs w:val="0"/>
            <w:snapToGrid/>
            <w:color w:val="auto"/>
            <w:w w:val="100"/>
            <w:sz w:val="22"/>
          </w:rPr>
          <w:tab/>
        </w:r>
        <w:r w:rsidR="00454284" w:rsidRPr="00391746">
          <w:rPr>
            <w:rStyle w:val="Hyperlink"/>
          </w:rPr>
          <w:t>Introduction</w:t>
        </w:r>
        <w:r w:rsidR="00454284">
          <w:rPr>
            <w:webHidden/>
          </w:rPr>
          <w:tab/>
        </w:r>
        <w:r w:rsidR="00454284">
          <w:rPr>
            <w:webHidden/>
          </w:rPr>
          <w:fldChar w:fldCharType="begin"/>
        </w:r>
        <w:r w:rsidR="00454284">
          <w:rPr>
            <w:webHidden/>
          </w:rPr>
          <w:instrText xml:space="preserve"> PAGEREF _Toc5715474 \h </w:instrText>
        </w:r>
        <w:r w:rsidR="00454284">
          <w:rPr>
            <w:webHidden/>
          </w:rPr>
        </w:r>
        <w:r w:rsidR="00454284">
          <w:rPr>
            <w:webHidden/>
          </w:rPr>
          <w:fldChar w:fldCharType="separate"/>
        </w:r>
        <w:r w:rsidR="00454284">
          <w:rPr>
            <w:webHidden/>
          </w:rPr>
          <w:t>8</w:t>
        </w:r>
        <w:r w:rsidR="00454284">
          <w:rPr>
            <w:webHidden/>
          </w:rPr>
          <w:fldChar w:fldCharType="end"/>
        </w:r>
      </w:hyperlink>
    </w:p>
    <w:p w14:paraId="69F1B754" w14:textId="77777777" w:rsidR="00454284" w:rsidRDefault="001A6304">
      <w:pPr>
        <w:pStyle w:val="TOC2"/>
        <w:rPr>
          <w:rFonts w:asciiTheme="minorHAnsi" w:eastAsiaTheme="minorEastAsia" w:hAnsiTheme="minorHAnsi" w:cstheme="minorBidi"/>
          <w:b w:val="0"/>
          <w:color w:val="auto"/>
          <w:sz w:val="22"/>
          <w:szCs w:val="22"/>
        </w:rPr>
      </w:pPr>
      <w:hyperlink w:anchor="_Toc5715475" w:history="1">
        <w:r w:rsidR="00454284" w:rsidRPr="00391746">
          <w:rPr>
            <w:rStyle w:val="Hyperlink"/>
          </w:rPr>
          <w:t>2.1</w:t>
        </w:r>
        <w:r w:rsidR="00454284">
          <w:rPr>
            <w:rFonts w:asciiTheme="minorHAnsi" w:eastAsiaTheme="minorEastAsia" w:hAnsiTheme="minorHAnsi" w:cstheme="minorBidi"/>
            <w:b w:val="0"/>
            <w:color w:val="auto"/>
            <w:sz w:val="22"/>
            <w:szCs w:val="22"/>
          </w:rPr>
          <w:tab/>
        </w:r>
        <w:r w:rsidR="00454284" w:rsidRPr="00391746">
          <w:rPr>
            <w:rStyle w:val="Hyperlink"/>
          </w:rPr>
          <w:t>Market Potential Study Approach</w:t>
        </w:r>
        <w:r w:rsidR="00454284">
          <w:rPr>
            <w:webHidden/>
          </w:rPr>
          <w:tab/>
        </w:r>
        <w:r w:rsidR="00454284">
          <w:rPr>
            <w:webHidden/>
          </w:rPr>
          <w:fldChar w:fldCharType="begin"/>
        </w:r>
        <w:r w:rsidR="00454284">
          <w:rPr>
            <w:webHidden/>
          </w:rPr>
          <w:instrText xml:space="preserve"> PAGEREF _Toc5715475 \h </w:instrText>
        </w:r>
        <w:r w:rsidR="00454284">
          <w:rPr>
            <w:webHidden/>
          </w:rPr>
        </w:r>
        <w:r w:rsidR="00454284">
          <w:rPr>
            <w:webHidden/>
          </w:rPr>
          <w:fldChar w:fldCharType="separate"/>
        </w:r>
        <w:r w:rsidR="00454284">
          <w:rPr>
            <w:webHidden/>
          </w:rPr>
          <w:t>8</w:t>
        </w:r>
        <w:r w:rsidR="00454284">
          <w:rPr>
            <w:webHidden/>
          </w:rPr>
          <w:fldChar w:fldCharType="end"/>
        </w:r>
      </w:hyperlink>
    </w:p>
    <w:p w14:paraId="7912EECC" w14:textId="77777777" w:rsidR="00454284" w:rsidRDefault="001A6304">
      <w:pPr>
        <w:pStyle w:val="TOC2"/>
        <w:rPr>
          <w:rFonts w:asciiTheme="minorHAnsi" w:eastAsiaTheme="minorEastAsia" w:hAnsiTheme="minorHAnsi" w:cstheme="minorBidi"/>
          <w:b w:val="0"/>
          <w:color w:val="auto"/>
          <w:sz w:val="22"/>
          <w:szCs w:val="22"/>
        </w:rPr>
      </w:pPr>
      <w:hyperlink w:anchor="_Toc5715476" w:history="1">
        <w:r w:rsidR="00454284" w:rsidRPr="00391746">
          <w:rPr>
            <w:rStyle w:val="Hyperlink"/>
          </w:rPr>
          <w:t>2.2</w:t>
        </w:r>
        <w:r w:rsidR="00454284">
          <w:rPr>
            <w:rFonts w:asciiTheme="minorHAnsi" w:eastAsiaTheme="minorEastAsia" w:hAnsiTheme="minorHAnsi" w:cstheme="minorBidi"/>
            <w:b w:val="0"/>
            <w:color w:val="auto"/>
            <w:sz w:val="22"/>
            <w:szCs w:val="22"/>
          </w:rPr>
          <w:tab/>
        </w:r>
        <w:r w:rsidR="00454284" w:rsidRPr="00391746">
          <w:rPr>
            <w:rStyle w:val="Hyperlink"/>
          </w:rPr>
          <w:t>EE Potential Overview</w:t>
        </w:r>
        <w:r w:rsidR="00454284">
          <w:rPr>
            <w:webHidden/>
          </w:rPr>
          <w:tab/>
        </w:r>
        <w:r w:rsidR="00454284">
          <w:rPr>
            <w:webHidden/>
          </w:rPr>
          <w:fldChar w:fldCharType="begin"/>
        </w:r>
        <w:r w:rsidR="00454284">
          <w:rPr>
            <w:webHidden/>
          </w:rPr>
          <w:instrText xml:space="preserve"> PAGEREF _Toc5715476 \h </w:instrText>
        </w:r>
        <w:r w:rsidR="00454284">
          <w:rPr>
            <w:webHidden/>
          </w:rPr>
        </w:r>
        <w:r w:rsidR="00454284">
          <w:rPr>
            <w:webHidden/>
          </w:rPr>
          <w:fldChar w:fldCharType="separate"/>
        </w:r>
        <w:r w:rsidR="00454284">
          <w:rPr>
            <w:webHidden/>
          </w:rPr>
          <w:t>10</w:t>
        </w:r>
        <w:r w:rsidR="00454284">
          <w:rPr>
            <w:webHidden/>
          </w:rPr>
          <w:fldChar w:fldCharType="end"/>
        </w:r>
      </w:hyperlink>
    </w:p>
    <w:p w14:paraId="66600DC8" w14:textId="77777777" w:rsidR="00454284" w:rsidRDefault="001A6304">
      <w:pPr>
        <w:pStyle w:val="TOC2"/>
        <w:rPr>
          <w:rFonts w:asciiTheme="minorHAnsi" w:eastAsiaTheme="minorEastAsia" w:hAnsiTheme="minorHAnsi" w:cstheme="minorBidi"/>
          <w:b w:val="0"/>
          <w:color w:val="auto"/>
          <w:sz w:val="22"/>
          <w:szCs w:val="22"/>
        </w:rPr>
      </w:pPr>
      <w:hyperlink w:anchor="_Toc5715477" w:history="1">
        <w:r w:rsidR="00454284" w:rsidRPr="00391746">
          <w:rPr>
            <w:rStyle w:val="Hyperlink"/>
          </w:rPr>
          <w:t>2.3</w:t>
        </w:r>
        <w:r w:rsidR="00454284">
          <w:rPr>
            <w:rFonts w:asciiTheme="minorHAnsi" w:eastAsiaTheme="minorEastAsia" w:hAnsiTheme="minorHAnsi" w:cstheme="minorBidi"/>
            <w:b w:val="0"/>
            <w:color w:val="auto"/>
            <w:sz w:val="22"/>
            <w:szCs w:val="22"/>
          </w:rPr>
          <w:tab/>
        </w:r>
        <w:r w:rsidR="00454284" w:rsidRPr="00391746">
          <w:rPr>
            <w:rStyle w:val="Hyperlink"/>
          </w:rPr>
          <w:t>DR Potential Overview</w:t>
        </w:r>
        <w:r w:rsidR="00454284">
          <w:rPr>
            <w:webHidden/>
          </w:rPr>
          <w:tab/>
        </w:r>
        <w:r w:rsidR="00454284">
          <w:rPr>
            <w:webHidden/>
          </w:rPr>
          <w:fldChar w:fldCharType="begin"/>
        </w:r>
        <w:r w:rsidR="00454284">
          <w:rPr>
            <w:webHidden/>
          </w:rPr>
          <w:instrText xml:space="preserve"> PAGEREF _Toc5715477 \h </w:instrText>
        </w:r>
        <w:r w:rsidR="00454284">
          <w:rPr>
            <w:webHidden/>
          </w:rPr>
        </w:r>
        <w:r w:rsidR="00454284">
          <w:rPr>
            <w:webHidden/>
          </w:rPr>
          <w:fldChar w:fldCharType="separate"/>
        </w:r>
        <w:r w:rsidR="00454284">
          <w:rPr>
            <w:webHidden/>
          </w:rPr>
          <w:t>11</w:t>
        </w:r>
        <w:r w:rsidR="00454284">
          <w:rPr>
            <w:webHidden/>
          </w:rPr>
          <w:fldChar w:fldCharType="end"/>
        </w:r>
      </w:hyperlink>
    </w:p>
    <w:p w14:paraId="0DFD8D4C" w14:textId="77777777" w:rsidR="00454284" w:rsidRDefault="001A6304">
      <w:pPr>
        <w:pStyle w:val="TOC2"/>
        <w:rPr>
          <w:rFonts w:asciiTheme="minorHAnsi" w:eastAsiaTheme="minorEastAsia" w:hAnsiTheme="minorHAnsi" w:cstheme="minorBidi"/>
          <w:b w:val="0"/>
          <w:color w:val="auto"/>
          <w:sz w:val="22"/>
          <w:szCs w:val="22"/>
        </w:rPr>
      </w:pPr>
      <w:hyperlink w:anchor="_Toc5715478" w:history="1">
        <w:r w:rsidR="00454284" w:rsidRPr="00391746">
          <w:rPr>
            <w:rStyle w:val="Hyperlink"/>
          </w:rPr>
          <w:t>2.4</w:t>
        </w:r>
        <w:r w:rsidR="00454284">
          <w:rPr>
            <w:rFonts w:asciiTheme="minorHAnsi" w:eastAsiaTheme="minorEastAsia" w:hAnsiTheme="minorHAnsi" w:cstheme="minorBidi"/>
            <w:b w:val="0"/>
            <w:color w:val="auto"/>
            <w:sz w:val="22"/>
            <w:szCs w:val="22"/>
          </w:rPr>
          <w:tab/>
        </w:r>
        <w:r w:rsidR="00454284" w:rsidRPr="00391746">
          <w:rPr>
            <w:rStyle w:val="Hyperlink"/>
          </w:rPr>
          <w:t>DSRE Potential Overview</w:t>
        </w:r>
        <w:r w:rsidR="00454284">
          <w:rPr>
            <w:webHidden/>
          </w:rPr>
          <w:tab/>
        </w:r>
        <w:r w:rsidR="00454284">
          <w:rPr>
            <w:webHidden/>
          </w:rPr>
          <w:fldChar w:fldCharType="begin"/>
        </w:r>
        <w:r w:rsidR="00454284">
          <w:rPr>
            <w:webHidden/>
          </w:rPr>
          <w:instrText xml:space="preserve"> PAGEREF _Toc5715478 \h </w:instrText>
        </w:r>
        <w:r w:rsidR="00454284">
          <w:rPr>
            <w:webHidden/>
          </w:rPr>
        </w:r>
        <w:r w:rsidR="00454284">
          <w:rPr>
            <w:webHidden/>
          </w:rPr>
          <w:fldChar w:fldCharType="separate"/>
        </w:r>
        <w:r w:rsidR="00454284">
          <w:rPr>
            <w:webHidden/>
          </w:rPr>
          <w:t>11</w:t>
        </w:r>
        <w:r w:rsidR="00454284">
          <w:rPr>
            <w:webHidden/>
          </w:rPr>
          <w:fldChar w:fldCharType="end"/>
        </w:r>
      </w:hyperlink>
    </w:p>
    <w:p w14:paraId="532255B4" w14:textId="77777777" w:rsidR="00454284" w:rsidRDefault="001A6304">
      <w:pPr>
        <w:pStyle w:val="TOC1"/>
        <w:rPr>
          <w:rFonts w:asciiTheme="minorHAnsi" w:eastAsiaTheme="minorEastAsia" w:hAnsiTheme="minorHAnsi" w:cstheme="minorBidi"/>
          <w:b w:val="0"/>
          <w:bCs w:val="0"/>
          <w:snapToGrid/>
          <w:color w:val="auto"/>
          <w:w w:val="100"/>
          <w:sz w:val="22"/>
        </w:rPr>
      </w:pPr>
      <w:hyperlink w:anchor="_Toc5715479" w:history="1">
        <w:r w:rsidR="00454284" w:rsidRPr="00391746">
          <w:rPr>
            <w:rStyle w:val="Hyperlink"/>
          </w:rPr>
          <w:t>3</w:t>
        </w:r>
        <w:r w:rsidR="00454284">
          <w:rPr>
            <w:rFonts w:asciiTheme="minorHAnsi" w:eastAsiaTheme="minorEastAsia" w:hAnsiTheme="minorHAnsi" w:cstheme="minorBidi"/>
            <w:b w:val="0"/>
            <w:bCs w:val="0"/>
            <w:snapToGrid/>
            <w:color w:val="auto"/>
            <w:w w:val="100"/>
            <w:sz w:val="22"/>
          </w:rPr>
          <w:tab/>
        </w:r>
        <w:r w:rsidR="00454284" w:rsidRPr="00391746">
          <w:rPr>
            <w:rStyle w:val="Hyperlink"/>
          </w:rPr>
          <w:t>Baseline Forecast Development</w:t>
        </w:r>
        <w:r w:rsidR="00454284">
          <w:rPr>
            <w:webHidden/>
          </w:rPr>
          <w:tab/>
        </w:r>
        <w:r w:rsidR="00454284">
          <w:rPr>
            <w:webHidden/>
          </w:rPr>
          <w:fldChar w:fldCharType="begin"/>
        </w:r>
        <w:r w:rsidR="00454284">
          <w:rPr>
            <w:webHidden/>
          </w:rPr>
          <w:instrText xml:space="preserve"> PAGEREF _Toc5715479 \h </w:instrText>
        </w:r>
        <w:r w:rsidR="00454284">
          <w:rPr>
            <w:webHidden/>
          </w:rPr>
        </w:r>
        <w:r w:rsidR="00454284">
          <w:rPr>
            <w:webHidden/>
          </w:rPr>
          <w:fldChar w:fldCharType="separate"/>
        </w:r>
        <w:r w:rsidR="00454284">
          <w:rPr>
            <w:webHidden/>
          </w:rPr>
          <w:t>12</w:t>
        </w:r>
        <w:r w:rsidR="00454284">
          <w:rPr>
            <w:webHidden/>
          </w:rPr>
          <w:fldChar w:fldCharType="end"/>
        </w:r>
      </w:hyperlink>
    </w:p>
    <w:p w14:paraId="673EC3F6" w14:textId="77777777" w:rsidR="00454284" w:rsidRDefault="001A6304">
      <w:pPr>
        <w:pStyle w:val="TOC2"/>
        <w:rPr>
          <w:rFonts w:asciiTheme="minorHAnsi" w:eastAsiaTheme="minorEastAsia" w:hAnsiTheme="minorHAnsi" w:cstheme="minorBidi"/>
          <w:b w:val="0"/>
          <w:color w:val="auto"/>
          <w:sz w:val="22"/>
          <w:szCs w:val="22"/>
        </w:rPr>
      </w:pPr>
      <w:hyperlink w:anchor="_Toc5715480" w:history="1">
        <w:r w:rsidR="00454284" w:rsidRPr="00391746">
          <w:rPr>
            <w:rStyle w:val="Hyperlink"/>
          </w:rPr>
          <w:t>3.1</w:t>
        </w:r>
        <w:r w:rsidR="00454284">
          <w:rPr>
            <w:rFonts w:asciiTheme="minorHAnsi" w:eastAsiaTheme="minorEastAsia" w:hAnsiTheme="minorHAnsi" w:cstheme="minorBidi"/>
            <w:b w:val="0"/>
            <w:color w:val="auto"/>
            <w:sz w:val="22"/>
            <w:szCs w:val="22"/>
          </w:rPr>
          <w:tab/>
        </w:r>
        <w:r w:rsidR="00454284" w:rsidRPr="00391746">
          <w:rPr>
            <w:rStyle w:val="Hyperlink"/>
          </w:rPr>
          <w:t>Market Characterization</w:t>
        </w:r>
        <w:r w:rsidR="00454284">
          <w:rPr>
            <w:webHidden/>
          </w:rPr>
          <w:tab/>
        </w:r>
        <w:r w:rsidR="00454284">
          <w:rPr>
            <w:webHidden/>
          </w:rPr>
          <w:fldChar w:fldCharType="begin"/>
        </w:r>
        <w:r w:rsidR="00454284">
          <w:rPr>
            <w:webHidden/>
          </w:rPr>
          <w:instrText xml:space="preserve"> PAGEREF _Toc5715480 \h </w:instrText>
        </w:r>
        <w:r w:rsidR="00454284">
          <w:rPr>
            <w:webHidden/>
          </w:rPr>
        </w:r>
        <w:r w:rsidR="00454284">
          <w:rPr>
            <w:webHidden/>
          </w:rPr>
          <w:fldChar w:fldCharType="separate"/>
        </w:r>
        <w:r w:rsidR="00454284">
          <w:rPr>
            <w:webHidden/>
          </w:rPr>
          <w:t>12</w:t>
        </w:r>
        <w:r w:rsidR="00454284">
          <w:rPr>
            <w:webHidden/>
          </w:rPr>
          <w:fldChar w:fldCharType="end"/>
        </w:r>
      </w:hyperlink>
    </w:p>
    <w:p w14:paraId="6DF0B1F2" w14:textId="77777777" w:rsidR="00454284" w:rsidRDefault="001A6304">
      <w:pPr>
        <w:pStyle w:val="TOC3"/>
        <w:rPr>
          <w:rFonts w:asciiTheme="minorHAnsi" w:eastAsiaTheme="minorEastAsia" w:hAnsiTheme="minorHAnsi" w:cstheme="minorBidi"/>
          <w:iCs w:val="0"/>
          <w:color w:val="auto"/>
          <w:sz w:val="22"/>
          <w:szCs w:val="22"/>
        </w:rPr>
      </w:pPr>
      <w:hyperlink w:anchor="_Toc5715481" w:history="1">
        <w:r w:rsidR="00454284" w:rsidRPr="00391746">
          <w:rPr>
            <w:rStyle w:val="Hyperlink"/>
          </w:rPr>
          <w:t>3.1.1</w:t>
        </w:r>
        <w:r w:rsidR="00454284">
          <w:rPr>
            <w:rFonts w:asciiTheme="minorHAnsi" w:eastAsiaTheme="minorEastAsia" w:hAnsiTheme="minorHAnsi" w:cstheme="minorBidi"/>
            <w:iCs w:val="0"/>
            <w:color w:val="auto"/>
            <w:sz w:val="22"/>
            <w:szCs w:val="22"/>
          </w:rPr>
          <w:tab/>
        </w:r>
        <w:r w:rsidR="00454284" w:rsidRPr="00391746">
          <w:rPr>
            <w:rStyle w:val="Hyperlink"/>
          </w:rPr>
          <w:t>Customer Segmentation</w:t>
        </w:r>
        <w:r w:rsidR="00454284">
          <w:rPr>
            <w:webHidden/>
          </w:rPr>
          <w:tab/>
        </w:r>
        <w:r w:rsidR="00454284">
          <w:rPr>
            <w:webHidden/>
          </w:rPr>
          <w:fldChar w:fldCharType="begin"/>
        </w:r>
        <w:r w:rsidR="00454284">
          <w:rPr>
            <w:webHidden/>
          </w:rPr>
          <w:instrText xml:space="preserve"> PAGEREF _Toc5715481 \h </w:instrText>
        </w:r>
        <w:r w:rsidR="00454284">
          <w:rPr>
            <w:webHidden/>
          </w:rPr>
        </w:r>
        <w:r w:rsidR="00454284">
          <w:rPr>
            <w:webHidden/>
          </w:rPr>
          <w:fldChar w:fldCharType="separate"/>
        </w:r>
        <w:r w:rsidR="00454284">
          <w:rPr>
            <w:webHidden/>
          </w:rPr>
          <w:t>12</w:t>
        </w:r>
        <w:r w:rsidR="00454284">
          <w:rPr>
            <w:webHidden/>
          </w:rPr>
          <w:fldChar w:fldCharType="end"/>
        </w:r>
      </w:hyperlink>
    </w:p>
    <w:p w14:paraId="45E77B3D" w14:textId="77777777" w:rsidR="00454284" w:rsidRDefault="001A6304">
      <w:pPr>
        <w:pStyle w:val="TOC3"/>
        <w:rPr>
          <w:rFonts w:asciiTheme="minorHAnsi" w:eastAsiaTheme="minorEastAsia" w:hAnsiTheme="minorHAnsi" w:cstheme="minorBidi"/>
          <w:iCs w:val="0"/>
          <w:color w:val="auto"/>
          <w:sz w:val="22"/>
          <w:szCs w:val="22"/>
        </w:rPr>
      </w:pPr>
      <w:hyperlink w:anchor="_Toc5715482" w:history="1">
        <w:r w:rsidR="00454284" w:rsidRPr="00391746">
          <w:rPr>
            <w:rStyle w:val="Hyperlink"/>
          </w:rPr>
          <w:t>3.1.2</w:t>
        </w:r>
        <w:r w:rsidR="00454284">
          <w:rPr>
            <w:rFonts w:asciiTheme="minorHAnsi" w:eastAsiaTheme="minorEastAsia" w:hAnsiTheme="minorHAnsi" w:cstheme="minorBidi"/>
            <w:iCs w:val="0"/>
            <w:color w:val="auto"/>
            <w:sz w:val="22"/>
            <w:szCs w:val="22"/>
          </w:rPr>
          <w:tab/>
        </w:r>
        <w:r w:rsidR="00454284" w:rsidRPr="00391746">
          <w:rPr>
            <w:rStyle w:val="Hyperlink"/>
          </w:rPr>
          <w:t>Forecast Disaggregation</w:t>
        </w:r>
        <w:r w:rsidR="00454284">
          <w:rPr>
            <w:webHidden/>
          </w:rPr>
          <w:tab/>
        </w:r>
        <w:r w:rsidR="00454284">
          <w:rPr>
            <w:webHidden/>
          </w:rPr>
          <w:fldChar w:fldCharType="begin"/>
        </w:r>
        <w:r w:rsidR="00454284">
          <w:rPr>
            <w:webHidden/>
          </w:rPr>
          <w:instrText xml:space="preserve"> PAGEREF _Toc5715482 \h </w:instrText>
        </w:r>
        <w:r w:rsidR="00454284">
          <w:rPr>
            <w:webHidden/>
          </w:rPr>
        </w:r>
        <w:r w:rsidR="00454284">
          <w:rPr>
            <w:webHidden/>
          </w:rPr>
          <w:fldChar w:fldCharType="separate"/>
        </w:r>
        <w:r w:rsidR="00454284">
          <w:rPr>
            <w:webHidden/>
          </w:rPr>
          <w:t>14</w:t>
        </w:r>
        <w:r w:rsidR="00454284">
          <w:rPr>
            <w:webHidden/>
          </w:rPr>
          <w:fldChar w:fldCharType="end"/>
        </w:r>
      </w:hyperlink>
    </w:p>
    <w:p w14:paraId="5C6FA368" w14:textId="77777777" w:rsidR="00454284" w:rsidRDefault="001A6304">
      <w:pPr>
        <w:pStyle w:val="TOC4"/>
        <w:rPr>
          <w:rFonts w:asciiTheme="minorHAnsi" w:eastAsiaTheme="minorEastAsia" w:hAnsiTheme="minorHAnsi" w:cstheme="minorBidi"/>
          <w:i w:val="0"/>
          <w:color w:val="auto"/>
          <w:sz w:val="22"/>
          <w:szCs w:val="22"/>
        </w:rPr>
      </w:pPr>
      <w:hyperlink w:anchor="_Toc5715483" w:history="1">
        <w:r w:rsidR="00454284" w:rsidRPr="00391746">
          <w:rPr>
            <w:rStyle w:val="Hyperlink"/>
          </w:rPr>
          <w:t>3.1.2.1</w:t>
        </w:r>
        <w:r w:rsidR="00454284">
          <w:rPr>
            <w:rFonts w:asciiTheme="minorHAnsi" w:eastAsiaTheme="minorEastAsia" w:hAnsiTheme="minorHAnsi" w:cstheme="minorBidi"/>
            <w:i w:val="0"/>
            <w:color w:val="auto"/>
            <w:sz w:val="22"/>
            <w:szCs w:val="22"/>
          </w:rPr>
          <w:tab/>
        </w:r>
        <w:r w:rsidR="00454284" w:rsidRPr="00391746">
          <w:rPr>
            <w:rStyle w:val="Hyperlink"/>
          </w:rPr>
          <w:t>Electricity Consumption (kWh) Forecast</w:t>
        </w:r>
        <w:r w:rsidR="00454284">
          <w:rPr>
            <w:webHidden/>
          </w:rPr>
          <w:tab/>
        </w:r>
        <w:r w:rsidR="00454284">
          <w:rPr>
            <w:webHidden/>
          </w:rPr>
          <w:fldChar w:fldCharType="begin"/>
        </w:r>
        <w:r w:rsidR="00454284">
          <w:rPr>
            <w:webHidden/>
          </w:rPr>
          <w:instrText xml:space="preserve"> PAGEREF _Toc5715483 \h </w:instrText>
        </w:r>
        <w:r w:rsidR="00454284">
          <w:rPr>
            <w:webHidden/>
          </w:rPr>
        </w:r>
        <w:r w:rsidR="00454284">
          <w:rPr>
            <w:webHidden/>
          </w:rPr>
          <w:fldChar w:fldCharType="separate"/>
        </w:r>
        <w:r w:rsidR="00454284">
          <w:rPr>
            <w:webHidden/>
          </w:rPr>
          <w:t>14</w:t>
        </w:r>
        <w:r w:rsidR="00454284">
          <w:rPr>
            <w:webHidden/>
          </w:rPr>
          <w:fldChar w:fldCharType="end"/>
        </w:r>
      </w:hyperlink>
    </w:p>
    <w:p w14:paraId="41DCBB3A" w14:textId="77777777" w:rsidR="00454284" w:rsidRDefault="001A6304">
      <w:pPr>
        <w:pStyle w:val="TOC4"/>
        <w:rPr>
          <w:rFonts w:asciiTheme="minorHAnsi" w:eastAsiaTheme="minorEastAsia" w:hAnsiTheme="minorHAnsi" w:cstheme="minorBidi"/>
          <w:i w:val="0"/>
          <w:color w:val="auto"/>
          <w:sz w:val="22"/>
          <w:szCs w:val="22"/>
        </w:rPr>
      </w:pPr>
      <w:hyperlink w:anchor="_Toc5715484" w:history="1">
        <w:r w:rsidR="00454284" w:rsidRPr="00391746">
          <w:rPr>
            <w:rStyle w:val="Hyperlink"/>
          </w:rPr>
          <w:t>3.1.2.2</w:t>
        </w:r>
        <w:r w:rsidR="00454284">
          <w:rPr>
            <w:rFonts w:asciiTheme="minorHAnsi" w:eastAsiaTheme="minorEastAsia" w:hAnsiTheme="minorHAnsi" w:cstheme="minorBidi"/>
            <w:i w:val="0"/>
            <w:color w:val="auto"/>
            <w:sz w:val="22"/>
            <w:szCs w:val="22"/>
          </w:rPr>
          <w:tab/>
        </w:r>
        <w:r w:rsidR="00454284" w:rsidRPr="00391746">
          <w:rPr>
            <w:rStyle w:val="Hyperlink"/>
          </w:rPr>
          <w:t>Peak Demand (kW) Forecast</w:t>
        </w:r>
        <w:r w:rsidR="00454284">
          <w:rPr>
            <w:webHidden/>
          </w:rPr>
          <w:tab/>
        </w:r>
        <w:r w:rsidR="00454284">
          <w:rPr>
            <w:webHidden/>
          </w:rPr>
          <w:fldChar w:fldCharType="begin"/>
        </w:r>
        <w:r w:rsidR="00454284">
          <w:rPr>
            <w:webHidden/>
          </w:rPr>
          <w:instrText xml:space="preserve"> PAGEREF _Toc5715484 \h </w:instrText>
        </w:r>
        <w:r w:rsidR="00454284">
          <w:rPr>
            <w:webHidden/>
          </w:rPr>
        </w:r>
        <w:r w:rsidR="00454284">
          <w:rPr>
            <w:webHidden/>
          </w:rPr>
          <w:fldChar w:fldCharType="separate"/>
        </w:r>
        <w:r w:rsidR="00454284">
          <w:rPr>
            <w:webHidden/>
          </w:rPr>
          <w:t>14</w:t>
        </w:r>
        <w:r w:rsidR="00454284">
          <w:rPr>
            <w:webHidden/>
          </w:rPr>
          <w:fldChar w:fldCharType="end"/>
        </w:r>
      </w:hyperlink>
    </w:p>
    <w:p w14:paraId="4C076FDE" w14:textId="77777777" w:rsidR="00454284" w:rsidRDefault="001A6304">
      <w:pPr>
        <w:pStyle w:val="TOC4"/>
        <w:rPr>
          <w:rFonts w:asciiTheme="minorHAnsi" w:eastAsiaTheme="minorEastAsia" w:hAnsiTheme="minorHAnsi" w:cstheme="minorBidi"/>
          <w:i w:val="0"/>
          <w:color w:val="auto"/>
          <w:sz w:val="22"/>
          <w:szCs w:val="22"/>
        </w:rPr>
      </w:pPr>
      <w:hyperlink w:anchor="_Toc5715485" w:history="1">
        <w:r w:rsidR="00454284" w:rsidRPr="00391746">
          <w:rPr>
            <w:rStyle w:val="Hyperlink"/>
          </w:rPr>
          <w:t>3.1.2.3</w:t>
        </w:r>
        <w:r w:rsidR="00454284">
          <w:rPr>
            <w:rFonts w:asciiTheme="minorHAnsi" w:eastAsiaTheme="minorEastAsia" w:hAnsiTheme="minorHAnsi" w:cstheme="minorBidi"/>
            <w:i w:val="0"/>
            <w:color w:val="auto"/>
            <w:sz w:val="22"/>
            <w:szCs w:val="22"/>
          </w:rPr>
          <w:tab/>
        </w:r>
        <w:r w:rsidR="00454284" w:rsidRPr="00391746">
          <w:rPr>
            <w:rStyle w:val="Hyperlink"/>
          </w:rPr>
          <w:t>Estimating Consumption by End-Use Technology</w:t>
        </w:r>
        <w:r w:rsidR="00454284">
          <w:rPr>
            <w:webHidden/>
          </w:rPr>
          <w:tab/>
        </w:r>
        <w:r w:rsidR="00454284">
          <w:rPr>
            <w:webHidden/>
          </w:rPr>
          <w:fldChar w:fldCharType="begin"/>
        </w:r>
        <w:r w:rsidR="00454284">
          <w:rPr>
            <w:webHidden/>
          </w:rPr>
          <w:instrText xml:space="preserve"> PAGEREF _Toc5715485 \h </w:instrText>
        </w:r>
        <w:r w:rsidR="00454284">
          <w:rPr>
            <w:webHidden/>
          </w:rPr>
        </w:r>
        <w:r w:rsidR="00454284">
          <w:rPr>
            <w:webHidden/>
          </w:rPr>
          <w:fldChar w:fldCharType="separate"/>
        </w:r>
        <w:r w:rsidR="00454284">
          <w:rPr>
            <w:webHidden/>
          </w:rPr>
          <w:t>14</w:t>
        </w:r>
        <w:r w:rsidR="00454284">
          <w:rPr>
            <w:webHidden/>
          </w:rPr>
          <w:fldChar w:fldCharType="end"/>
        </w:r>
      </w:hyperlink>
    </w:p>
    <w:p w14:paraId="545B82A5" w14:textId="77777777" w:rsidR="00454284" w:rsidRDefault="001A6304">
      <w:pPr>
        <w:pStyle w:val="TOC2"/>
        <w:rPr>
          <w:rFonts w:asciiTheme="minorHAnsi" w:eastAsiaTheme="minorEastAsia" w:hAnsiTheme="minorHAnsi" w:cstheme="minorBidi"/>
          <w:b w:val="0"/>
          <w:color w:val="auto"/>
          <w:sz w:val="22"/>
          <w:szCs w:val="22"/>
        </w:rPr>
      </w:pPr>
      <w:hyperlink w:anchor="_Toc5715486" w:history="1">
        <w:r w:rsidR="00454284" w:rsidRPr="00391746">
          <w:rPr>
            <w:rStyle w:val="Hyperlink"/>
          </w:rPr>
          <w:t>3.2</w:t>
        </w:r>
        <w:r w:rsidR="00454284">
          <w:rPr>
            <w:rFonts w:asciiTheme="minorHAnsi" w:eastAsiaTheme="minorEastAsia" w:hAnsiTheme="minorHAnsi" w:cstheme="minorBidi"/>
            <w:b w:val="0"/>
            <w:color w:val="auto"/>
            <w:sz w:val="22"/>
            <w:szCs w:val="22"/>
          </w:rPr>
          <w:tab/>
        </w:r>
        <w:r w:rsidR="00454284" w:rsidRPr="00391746">
          <w:rPr>
            <w:rStyle w:val="Hyperlink"/>
          </w:rPr>
          <w:t>Analysis of Customer Segmentation</w:t>
        </w:r>
        <w:r w:rsidR="00454284">
          <w:rPr>
            <w:webHidden/>
          </w:rPr>
          <w:tab/>
        </w:r>
        <w:r w:rsidR="00454284">
          <w:rPr>
            <w:webHidden/>
          </w:rPr>
          <w:fldChar w:fldCharType="begin"/>
        </w:r>
        <w:r w:rsidR="00454284">
          <w:rPr>
            <w:webHidden/>
          </w:rPr>
          <w:instrText xml:space="preserve"> PAGEREF _Toc5715486 \h </w:instrText>
        </w:r>
        <w:r w:rsidR="00454284">
          <w:rPr>
            <w:webHidden/>
          </w:rPr>
        </w:r>
        <w:r w:rsidR="00454284">
          <w:rPr>
            <w:webHidden/>
          </w:rPr>
          <w:fldChar w:fldCharType="separate"/>
        </w:r>
        <w:r w:rsidR="00454284">
          <w:rPr>
            <w:webHidden/>
          </w:rPr>
          <w:t>15</w:t>
        </w:r>
        <w:r w:rsidR="00454284">
          <w:rPr>
            <w:webHidden/>
          </w:rPr>
          <w:fldChar w:fldCharType="end"/>
        </w:r>
      </w:hyperlink>
    </w:p>
    <w:p w14:paraId="55AFDC77" w14:textId="77777777" w:rsidR="00454284" w:rsidRDefault="001A6304">
      <w:pPr>
        <w:pStyle w:val="TOC3"/>
        <w:rPr>
          <w:rFonts w:asciiTheme="minorHAnsi" w:eastAsiaTheme="minorEastAsia" w:hAnsiTheme="minorHAnsi" w:cstheme="minorBidi"/>
          <w:iCs w:val="0"/>
          <w:color w:val="auto"/>
          <w:sz w:val="22"/>
          <w:szCs w:val="22"/>
        </w:rPr>
      </w:pPr>
      <w:hyperlink w:anchor="_Toc5715487" w:history="1">
        <w:r w:rsidR="00454284" w:rsidRPr="00391746">
          <w:rPr>
            <w:rStyle w:val="Hyperlink"/>
          </w:rPr>
          <w:t>3.2.1</w:t>
        </w:r>
        <w:r w:rsidR="00454284">
          <w:rPr>
            <w:rFonts w:asciiTheme="minorHAnsi" w:eastAsiaTheme="minorEastAsia" w:hAnsiTheme="minorHAnsi" w:cstheme="minorBidi"/>
            <w:iCs w:val="0"/>
            <w:color w:val="auto"/>
            <w:sz w:val="22"/>
            <w:szCs w:val="22"/>
          </w:rPr>
          <w:tab/>
        </w:r>
        <w:r w:rsidR="00454284" w:rsidRPr="00391746">
          <w:rPr>
            <w:rStyle w:val="Hyperlink"/>
          </w:rPr>
          <w:t>Residential Customers (EE, DR, and DSRE Analysis)</w:t>
        </w:r>
        <w:r w:rsidR="00454284">
          <w:rPr>
            <w:webHidden/>
          </w:rPr>
          <w:tab/>
        </w:r>
        <w:r w:rsidR="00454284">
          <w:rPr>
            <w:webHidden/>
          </w:rPr>
          <w:fldChar w:fldCharType="begin"/>
        </w:r>
        <w:r w:rsidR="00454284">
          <w:rPr>
            <w:webHidden/>
          </w:rPr>
          <w:instrText xml:space="preserve"> PAGEREF _Toc5715487 \h </w:instrText>
        </w:r>
        <w:r w:rsidR="00454284">
          <w:rPr>
            <w:webHidden/>
          </w:rPr>
        </w:r>
        <w:r w:rsidR="00454284">
          <w:rPr>
            <w:webHidden/>
          </w:rPr>
          <w:fldChar w:fldCharType="separate"/>
        </w:r>
        <w:r w:rsidR="00454284">
          <w:rPr>
            <w:webHidden/>
          </w:rPr>
          <w:t>15</w:t>
        </w:r>
        <w:r w:rsidR="00454284">
          <w:rPr>
            <w:webHidden/>
          </w:rPr>
          <w:fldChar w:fldCharType="end"/>
        </w:r>
      </w:hyperlink>
    </w:p>
    <w:p w14:paraId="56A9A9FB" w14:textId="77777777" w:rsidR="00454284" w:rsidRDefault="001A6304">
      <w:pPr>
        <w:pStyle w:val="TOC3"/>
        <w:rPr>
          <w:rFonts w:asciiTheme="minorHAnsi" w:eastAsiaTheme="minorEastAsia" w:hAnsiTheme="minorHAnsi" w:cstheme="minorBidi"/>
          <w:iCs w:val="0"/>
          <w:color w:val="auto"/>
          <w:sz w:val="22"/>
          <w:szCs w:val="22"/>
        </w:rPr>
      </w:pPr>
      <w:hyperlink w:anchor="_Toc5715488" w:history="1">
        <w:r w:rsidR="00454284" w:rsidRPr="00391746">
          <w:rPr>
            <w:rStyle w:val="Hyperlink"/>
          </w:rPr>
          <w:t>3.2.2</w:t>
        </w:r>
        <w:r w:rsidR="00454284">
          <w:rPr>
            <w:rFonts w:asciiTheme="minorHAnsi" w:eastAsiaTheme="minorEastAsia" w:hAnsiTheme="minorHAnsi" w:cstheme="minorBidi"/>
            <w:iCs w:val="0"/>
            <w:color w:val="auto"/>
            <w:sz w:val="22"/>
            <w:szCs w:val="22"/>
          </w:rPr>
          <w:tab/>
        </w:r>
        <w:r w:rsidR="00454284" w:rsidRPr="00391746">
          <w:rPr>
            <w:rStyle w:val="Hyperlink"/>
          </w:rPr>
          <w:t>Non-Residential (Commercial and Industrial) Customers (EE and DSRE Analysis)</w:t>
        </w:r>
        <w:r w:rsidR="00454284">
          <w:rPr>
            <w:webHidden/>
          </w:rPr>
          <w:tab/>
        </w:r>
        <w:r w:rsidR="00454284">
          <w:rPr>
            <w:webHidden/>
          </w:rPr>
          <w:fldChar w:fldCharType="begin"/>
        </w:r>
        <w:r w:rsidR="00454284">
          <w:rPr>
            <w:webHidden/>
          </w:rPr>
          <w:instrText xml:space="preserve"> PAGEREF _Toc5715488 \h </w:instrText>
        </w:r>
        <w:r w:rsidR="00454284">
          <w:rPr>
            <w:webHidden/>
          </w:rPr>
        </w:r>
        <w:r w:rsidR="00454284">
          <w:rPr>
            <w:webHidden/>
          </w:rPr>
          <w:fldChar w:fldCharType="separate"/>
        </w:r>
        <w:r w:rsidR="00454284">
          <w:rPr>
            <w:webHidden/>
          </w:rPr>
          <w:t>16</w:t>
        </w:r>
        <w:r w:rsidR="00454284">
          <w:rPr>
            <w:webHidden/>
          </w:rPr>
          <w:fldChar w:fldCharType="end"/>
        </w:r>
      </w:hyperlink>
    </w:p>
    <w:p w14:paraId="45EAD97A" w14:textId="77777777" w:rsidR="00454284" w:rsidRDefault="001A6304">
      <w:pPr>
        <w:pStyle w:val="TOC3"/>
        <w:rPr>
          <w:rFonts w:asciiTheme="minorHAnsi" w:eastAsiaTheme="minorEastAsia" w:hAnsiTheme="minorHAnsi" w:cstheme="minorBidi"/>
          <w:iCs w:val="0"/>
          <w:color w:val="auto"/>
          <w:sz w:val="22"/>
          <w:szCs w:val="22"/>
        </w:rPr>
      </w:pPr>
      <w:hyperlink w:anchor="_Toc5715489" w:history="1">
        <w:r w:rsidR="00454284" w:rsidRPr="00391746">
          <w:rPr>
            <w:rStyle w:val="Hyperlink"/>
          </w:rPr>
          <w:t>3.2.3</w:t>
        </w:r>
        <w:r w:rsidR="00454284">
          <w:rPr>
            <w:rFonts w:asciiTheme="minorHAnsi" w:eastAsiaTheme="minorEastAsia" w:hAnsiTheme="minorHAnsi" w:cstheme="minorBidi"/>
            <w:iCs w:val="0"/>
            <w:color w:val="auto"/>
            <w:sz w:val="22"/>
            <w:szCs w:val="22"/>
          </w:rPr>
          <w:tab/>
        </w:r>
        <w:r w:rsidR="00454284" w:rsidRPr="00391746">
          <w:rPr>
            <w:rStyle w:val="Hyperlink"/>
          </w:rPr>
          <w:t>Commercial and Industrial Customers (DR Analysis)</w:t>
        </w:r>
        <w:r w:rsidR="00454284">
          <w:rPr>
            <w:webHidden/>
          </w:rPr>
          <w:tab/>
        </w:r>
        <w:r w:rsidR="00454284">
          <w:rPr>
            <w:webHidden/>
          </w:rPr>
          <w:fldChar w:fldCharType="begin"/>
        </w:r>
        <w:r w:rsidR="00454284">
          <w:rPr>
            <w:webHidden/>
          </w:rPr>
          <w:instrText xml:space="preserve"> PAGEREF _Toc5715489 \h </w:instrText>
        </w:r>
        <w:r w:rsidR="00454284">
          <w:rPr>
            <w:webHidden/>
          </w:rPr>
        </w:r>
        <w:r w:rsidR="00454284">
          <w:rPr>
            <w:webHidden/>
          </w:rPr>
          <w:fldChar w:fldCharType="separate"/>
        </w:r>
        <w:r w:rsidR="00454284">
          <w:rPr>
            <w:webHidden/>
          </w:rPr>
          <w:t>18</w:t>
        </w:r>
        <w:r w:rsidR="00454284">
          <w:rPr>
            <w:webHidden/>
          </w:rPr>
          <w:fldChar w:fldCharType="end"/>
        </w:r>
      </w:hyperlink>
    </w:p>
    <w:p w14:paraId="5DA5E83F" w14:textId="77777777" w:rsidR="00454284" w:rsidRDefault="001A6304">
      <w:pPr>
        <w:pStyle w:val="TOC2"/>
        <w:rPr>
          <w:rFonts w:asciiTheme="minorHAnsi" w:eastAsiaTheme="minorEastAsia" w:hAnsiTheme="minorHAnsi" w:cstheme="minorBidi"/>
          <w:b w:val="0"/>
          <w:color w:val="auto"/>
          <w:sz w:val="22"/>
          <w:szCs w:val="22"/>
        </w:rPr>
      </w:pPr>
      <w:hyperlink w:anchor="_Toc5715490" w:history="1">
        <w:r w:rsidR="00454284" w:rsidRPr="00391746">
          <w:rPr>
            <w:rStyle w:val="Hyperlink"/>
          </w:rPr>
          <w:t>3.3</w:t>
        </w:r>
        <w:r w:rsidR="00454284">
          <w:rPr>
            <w:rFonts w:asciiTheme="minorHAnsi" w:eastAsiaTheme="minorEastAsia" w:hAnsiTheme="minorHAnsi" w:cstheme="minorBidi"/>
            <w:b w:val="0"/>
            <w:color w:val="auto"/>
            <w:sz w:val="22"/>
            <w:szCs w:val="22"/>
          </w:rPr>
          <w:tab/>
        </w:r>
        <w:r w:rsidR="00454284" w:rsidRPr="00391746">
          <w:rPr>
            <w:rStyle w:val="Hyperlink"/>
          </w:rPr>
          <w:t>Analysis of System Load</w:t>
        </w:r>
        <w:r w:rsidR="00454284">
          <w:rPr>
            <w:webHidden/>
          </w:rPr>
          <w:tab/>
        </w:r>
        <w:r w:rsidR="00454284">
          <w:rPr>
            <w:webHidden/>
          </w:rPr>
          <w:fldChar w:fldCharType="begin"/>
        </w:r>
        <w:r w:rsidR="00454284">
          <w:rPr>
            <w:webHidden/>
          </w:rPr>
          <w:instrText xml:space="preserve"> PAGEREF _Toc5715490 \h </w:instrText>
        </w:r>
        <w:r w:rsidR="00454284">
          <w:rPr>
            <w:webHidden/>
          </w:rPr>
        </w:r>
        <w:r w:rsidR="00454284">
          <w:rPr>
            <w:webHidden/>
          </w:rPr>
          <w:fldChar w:fldCharType="separate"/>
        </w:r>
        <w:r w:rsidR="00454284">
          <w:rPr>
            <w:webHidden/>
          </w:rPr>
          <w:t>18</w:t>
        </w:r>
        <w:r w:rsidR="00454284">
          <w:rPr>
            <w:webHidden/>
          </w:rPr>
          <w:fldChar w:fldCharType="end"/>
        </w:r>
      </w:hyperlink>
    </w:p>
    <w:p w14:paraId="40CBAB4D" w14:textId="77777777" w:rsidR="00454284" w:rsidRDefault="001A6304">
      <w:pPr>
        <w:pStyle w:val="TOC3"/>
        <w:rPr>
          <w:rFonts w:asciiTheme="minorHAnsi" w:eastAsiaTheme="minorEastAsia" w:hAnsiTheme="minorHAnsi" w:cstheme="minorBidi"/>
          <w:iCs w:val="0"/>
          <w:color w:val="auto"/>
          <w:sz w:val="22"/>
          <w:szCs w:val="22"/>
        </w:rPr>
      </w:pPr>
      <w:hyperlink w:anchor="_Toc5715491" w:history="1">
        <w:r w:rsidR="00454284" w:rsidRPr="00391746">
          <w:rPr>
            <w:rStyle w:val="Hyperlink"/>
          </w:rPr>
          <w:t>3.3.1</w:t>
        </w:r>
        <w:r w:rsidR="00454284">
          <w:rPr>
            <w:rFonts w:asciiTheme="minorHAnsi" w:eastAsiaTheme="minorEastAsia" w:hAnsiTheme="minorHAnsi" w:cstheme="minorBidi"/>
            <w:iCs w:val="0"/>
            <w:color w:val="auto"/>
            <w:sz w:val="22"/>
            <w:szCs w:val="22"/>
          </w:rPr>
          <w:tab/>
        </w:r>
        <w:r w:rsidR="00454284" w:rsidRPr="00391746">
          <w:rPr>
            <w:rStyle w:val="Hyperlink"/>
          </w:rPr>
          <w:t>System Energy Sales</w:t>
        </w:r>
        <w:r w:rsidR="00454284">
          <w:rPr>
            <w:webHidden/>
          </w:rPr>
          <w:tab/>
        </w:r>
        <w:r w:rsidR="00454284">
          <w:rPr>
            <w:webHidden/>
          </w:rPr>
          <w:fldChar w:fldCharType="begin"/>
        </w:r>
        <w:r w:rsidR="00454284">
          <w:rPr>
            <w:webHidden/>
          </w:rPr>
          <w:instrText xml:space="preserve"> PAGEREF _Toc5715491 \h </w:instrText>
        </w:r>
        <w:r w:rsidR="00454284">
          <w:rPr>
            <w:webHidden/>
          </w:rPr>
        </w:r>
        <w:r w:rsidR="00454284">
          <w:rPr>
            <w:webHidden/>
          </w:rPr>
          <w:fldChar w:fldCharType="separate"/>
        </w:r>
        <w:r w:rsidR="00454284">
          <w:rPr>
            <w:webHidden/>
          </w:rPr>
          <w:t>18</w:t>
        </w:r>
        <w:r w:rsidR="00454284">
          <w:rPr>
            <w:webHidden/>
          </w:rPr>
          <w:fldChar w:fldCharType="end"/>
        </w:r>
      </w:hyperlink>
    </w:p>
    <w:p w14:paraId="607790D2" w14:textId="77777777" w:rsidR="00454284" w:rsidRDefault="001A6304">
      <w:pPr>
        <w:pStyle w:val="TOC3"/>
        <w:rPr>
          <w:rFonts w:asciiTheme="minorHAnsi" w:eastAsiaTheme="minorEastAsia" w:hAnsiTheme="minorHAnsi" w:cstheme="minorBidi"/>
          <w:iCs w:val="0"/>
          <w:color w:val="auto"/>
          <w:sz w:val="22"/>
          <w:szCs w:val="22"/>
        </w:rPr>
      </w:pPr>
      <w:hyperlink w:anchor="_Toc5715492" w:history="1">
        <w:r w:rsidR="00454284" w:rsidRPr="00391746">
          <w:rPr>
            <w:rStyle w:val="Hyperlink"/>
          </w:rPr>
          <w:t>3.3.2</w:t>
        </w:r>
        <w:r w:rsidR="00454284">
          <w:rPr>
            <w:rFonts w:asciiTheme="minorHAnsi" w:eastAsiaTheme="minorEastAsia" w:hAnsiTheme="minorHAnsi" w:cstheme="minorBidi"/>
            <w:iCs w:val="0"/>
            <w:color w:val="auto"/>
            <w:sz w:val="22"/>
            <w:szCs w:val="22"/>
          </w:rPr>
          <w:tab/>
        </w:r>
        <w:r w:rsidR="00454284" w:rsidRPr="00391746">
          <w:rPr>
            <w:rStyle w:val="Hyperlink"/>
          </w:rPr>
          <w:t>System Demand</w:t>
        </w:r>
        <w:r w:rsidR="00454284">
          <w:rPr>
            <w:webHidden/>
          </w:rPr>
          <w:tab/>
        </w:r>
        <w:r w:rsidR="00454284">
          <w:rPr>
            <w:webHidden/>
          </w:rPr>
          <w:fldChar w:fldCharType="begin"/>
        </w:r>
        <w:r w:rsidR="00454284">
          <w:rPr>
            <w:webHidden/>
          </w:rPr>
          <w:instrText xml:space="preserve"> PAGEREF _Toc5715492 \h </w:instrText>
        </w:r>
        <w:r w:rsidR="00454284">
          <w:rPr>
            <w:webHidden/>
          </w:rPr>
        </w:r>
        <w:r w:rsidR="00454284">
          <w:rPr>
            <w:webHidden/>
          </w:rPr>
          <w:fldChar w:fldCharType="separate"/>
        </w:r>
        <w:r w:rsidR="00454284">
          <w:rPr>
            <w:webHidden/>
          </w:rPr>
          <w:t>19</w:t>
        </w:r>
        <w:r w:rsidR="00454284">
          <w:rPr>
            <w:webHidden/>
          </w:rPr>
          <w:fldChar w:fldCharType="end"/>
        </w:r>
      </w:hyperlink>
    </w:p>
    <w:p w14:paraId="65FBBF0C" w14:textId="77777777" w:rsidR="00454284" w:rsidRDefault="001A6304">
      <w:pPr>
        <w:pStyle w:val="TOC3"/>
        <w:rPr>
          <w:rFonts w:asciiTheme="minorHAnsi" w:eastAsiaTheme="minorEastAsia" w:hAnsiTheme="minorHAnsi" w:cstheme="minorBidi"/>
          <w:iCs w:val="0"/>
          <w:color w:val="auto"/>
          <w:sz w:val="22"/>
          <w:szCs w:val="22"/>
        </w:rPr>
      </w:pPr>
      <w:hyperlink w:anchor="_Toc5715493" w:history="1">
        <w:r w:rsidR="00454284" w:rsidRPr="00391746">
          <w:rPr>
            <w:rStyle w:val="Hyperlink"/>
          </w:rPr>
          <w:t>3.3.3</w:t>
        </w:r>
        <w:r w:rsidR="00454284">
          <w:rPr>
            <w:rFonts w:asciiTheme="minorHAnsi" w:eastAsiaTheme="minorEastAsia" w:hAnsiTheme="minorHAnsi" w:cstheme="minorBidi"/>
            <w:iCs w:val="0"/>
            <w:color w:val="auto"/>
            <w:sz w:val="22"/>
            <w:szCs w:val="22"/>
          </w:rPr>
          <w:tab/>
        </w:r>
        <w:r w:rsidR="00454284" w:rsidRPr="00391746">
          <w:rPr>
            <w:rStyle w:val="Hyperlink"/>
          </w:rPr>
          <w:t>Load Disaggregation</w:t>
        </w:r>
        <w:r w:rsidR="00454284">
          <w:rPr>
            <w:webHidden/>
          </w:rPr>
          <w:tab/>
        </w:r>
        <w:r w:rsidR="00454284">
          <w:rPr>
            <w:webHidden/>
          </w:rPr>
          <w:fldChar w:fldCharType="begin"/>
        </w:r>
        <w:r w:rsidR="00454284">
          <w:rPr>
            <w:webHidden/>
          </w:rPr>
          <w:instrText xml:space="preserve"> PAGEREF _Toc5715493 \h </w:instrText>
        </w:r>
        <w:r w:rsidR="00454284">
          <w:rPr>
            <w:webHidden/>
          </w:rPr>
        </w:r>
        <w:r w:rsidR="00454284">
          <w:rPr>
            <w:webHidden/>
          </w:rPr>
          <w:fldChar w:fldCharType="separate"/>
        </w:r>
        <w:r w:rsidR="00454284">
          <w:rPr>
            <w:webHidden/>
          </w:rPr>
          <w:t>19</w:t>
        </w:r>
        <w:r w:rsidR="00454284">
          <w:rPr>
            <w:webHidden/>
          </w:rPr>
          <w:fldChar w:fldCharType="end"/>
        </w:r>
      </w:hyperlink>
    </w:p>
    <w:p w14:paraId="05DD2BBF" w14:textId="77777777" w:rsidR="00454284" w:rsidRDefault="001A6304">
      <w:pPr>
        <w:pStyle w:val="TOC1"/>
        <w:rPr>
          <w:rFonts w:asciiTheme="minorHAnsi" w:eastAsiaTheme="minorEastAsia" w:hAnsiTheme="minorHAnsi" w:cstheme="minorBidi"/>
          <w:b w:val="0"/>
          <w:bCs w:val="0"/>
          <w:snapToGrid/>
          <w:color w:val="auto"/>
          <w:w w:val="100"/>
          <w:sz w:val="22"/>
        </w:rPr>
      </w:pPr>
      <w:hyperlink w:anchor="_Toc5715494" w:history="1">
        <w:r w:rsidR="00454284" w:rsidRPr="00391746">
          <w:rPr>
            <w:rStyle w:val="Hyperlink"/>
          </w:rPr>
          <w:t>4</w:t>
        </w:r>
        <w:r w:rsidR="00454284">
          <w:rPr>
            <w:rFonts w:asciiTheme="minorHAnsi" w:eastAsiaTheme="minorEastAsia" w:hAnsiTheme="minorHAnsi" w:cstheme="minorBidi"/>
            <w:b w:val="0"/>
            <w:bCs w:val="0"/>
            <w:snapToGrid/>
            <w:color w:val="auto"/>
            <w:w w:val="100"/>
            <w:sz w:val="22"/>
          </w:rPr>
          <w:tab/>
        </w:r>
        <w:r w:rsidR="00454284" w:rsidRPr="00391746">
          <w:rPr>
            <w:rStyle w:val="Hyperlink"/>
          </w:rPr>
          <w:t>DSM Measure Development</w:t>
        </w:r>
        <w:r w:rsidR="00454284">
          <w:rPr>
            <w:webHidden/>
          </w:rPr>
          <w:tab/>
        </w:r>
        <w:r w:rsidR="00454284">
          <w:rPr>
            <w:webHidden/>
          </w:rPr>
          <w:fldChar w:fldCharType="begin"/>
        </w:r>
        <w:r w:rsidR="00454284">
          <w:rPr>
            <w:webHidden/>
          </w:rPr>
          <w:instrText xml:space="preserve"> PAGEREF _Toc5715494 \h </w:instrText>
        </w:r>
        <w:r w:rsidR="00454284">
          <w:rPr>
            <w:webHidden/>
          </w:rPr>
        </w:r>
        <w:r w:rsidR="00454284">
          <w:rPr>
            <w:webHidden/>
          </w:rPr>
          <w:fldChar w:fldCharType="separate"/>
        </w:r>
        <w:r w:rsidR="00454284">
          <w:rPr>
            <w:webHidden/>
          </w:rPr>
          <w:t>22</w:t>
        </w:r>
        <w:r w:rsidR="00454284">
          <w:rPr>
            <w:webHidden/>
          </w:rPr>
          <w:fldChar w:fldCharType="end"/>
        </w:r>
      </w:hyperlink>
    </w:p>
    <w:p w14:paraId="10E3DF95" w14:textId="77777777" w:rsidR="00454284" w:rsidRDefault="001A6304">
      <w:pPr>
        <w:pStyle w:val="TOC2"/>
        <w:rPr>
          <w:rFonts w:asciiTheme="minorHAnsi" w:eastAsiaTheme="minorEastAsia" w:hAnsiTheme="minorHAnsi" w:cstheme="minorBidi"/>
          <w:b w:val="0"/>
          <w:color w:val="auto"/>
          <w:sz w:val="22"/>
          <w:szCs w:val="22"/>
        </w:rPr>
      </w:pPr>
      <w:hyperlink w:anchor="_Toc5715495" w:history="1">
        <w:r w:rsidR="00454284" w:rsidRPr="00391746">
          <w:rPr>
            <w:rStyle w:val="Hyperlink"/>
          </w:rPr>
          <w:t>4.1</w:t>
        </w:r>
        <w:r w:rsidR="00454284">
          <w:rPr>
            <w:rFonts w:asciiTheme="minorHAnsi" w:eastAsiaTheme="minorEastAsia" w:hAnsiTheme="minorHAnsi" w:cstheme="minorBidi"/>
            <w:b w:val="0"/>
            <w:color w:val="auto"/>
            <w:sz w:val="22"/>
            <w:szCs w:val="22"/>
          </w:rPr>
          <w:tab/>
        </w:r>
        <w:r w:rsidR="00454284" w:rsidRPr="00391746">
          <w:rPr>
            <w:rStyle w:val="Hyperlink"/>
          </w:rPr>
          <w:t>Methodology</w:t>
        </w:r>
        <w:r w:rsidR="00454284">
          <w:rPr>
            <w:webHidden/>
          </w:rPr>
          <w:tab/>
        </w:r>
        <w:r w:rsidR="00454284">
          <w:rPr>
            <w:webHidden/>
          </w:rPr>
          <w:fldChar w:fldCharType="begin"/>
        </w:r>
        <w:r w:rsidR="00454284">
          <w:rPr>
            <w:webHidden/>
          </w:rPr>
          <w:instrText xml:space="preserve"> PAGEREF _Toc5715495 \h </w:instrText>
        </w:r>
        <w:r w:rsidR="00454284">
          <w:rPr>
            <w:webHidden/>
          </w:rPr>
        </w:r>
        <w:r w:rsidR="00454284">
          <w:rPr>
            <w:webHidden/>
          </w:rPr>
          <w:fldChar w:fldCharType="separate"/>
        </w:r>
        <w:r w:rsidR="00454284">
          <w:rPr>
            <w:webHidden/>
          </w:rPr>
          <w:t>22</w:t>
        </w:r>
        <w:r w:rsidR="00454284">
          <w:rPr>
            <w:webHidden/>
          </w:rPr>
          <w:fldChar w:fldCharType="end"/>
        </w:r>
      </w:hyperlink>
    </w:p>
    <w:p w14:paraId="11051C84" w14:textId="77777777" w:rsidR="00454284" w:rsidRDefault="001A6304">
      <w:pPr>
        <w:pStyle w:val="TOC2"/>
        <w:rPr>
          <w:rFonts w:asciiTheme="minorHAnsi" w:eastAsiaTheme="minorEastAsia" w:hAnsiTheme="minorHAnsi" w:cstheme="minorBidi"/>
          <w:b w:val="0"/>
          <w:color w:val="auto"/>
          <w:sz w:val="22"/>
          <w:szCs w:val="22"/>
        </w:rPr>
      </w:pPr>
      <w:hyperlink w:anchor="_Toc5715496" w:history="1">
        <w:r w:rsidR="00454284" w:rsidRPr="00391746">
          <w:rPr>
            <w:rStyle w:val="Hyperlink"/>
          </w:rPr>
          <w:t>4.2</w:t>
        </w:r>
        <w:r w:rsidR="00454284">
          <w:rPr>
            <w:rFonts w:asciiTheme="minorHAnsi" w:eastAsiaTheme="minorEastAsia" w:hAnsiTheme="minorHAnsi" w:cstheme="minorBidi"/>
            <w:b w:val="0"/>
            <w:color w:val="auto"/>
            <w:sz w:val="22"/>
            <w:szCs w:val="22"/>
          </w:rPr>
          <w:tab/>
        </w:r>
        <w:r w:rsidR="00454284" w:rsidRPr="00391746">
          <w:rPr>
            <w:rStyle w:val="Hyperlink"/>
          </w:rPr>
          <w:t>EE Measures</w:t>
        </w:r>
        <w:r w:rsidR="00454284">
          <w:rPr>
            <w:webHidden/>
          </w:rPr>
          <w:tab/>
        </w:r>
        <w:r w:rsidR="00454284">
          <w:rPr>
            <w:webHidden/>
          </w:rPr>
          <w:fldChar w:fldCharType="begin"/>
        </w:r>
        <w:r w:rsidR="00454284">
          <w:rPr>
            <w:webHidden/>
          </w:rPr>
          <w:instrText xml:space="preserve"> PAGEREF _Toc5715496 \h </w:instrText>
        </w:r>
        <w:r w:rsidR="00454284">
          <w:rPr>
            <w:webHidden/>
          </w:rPr>
        </w:r>
        <w:r w:rsidR="00454284">
          <w:rPr>
            <w:webHidden/>
          </w:rPr>
          <w:fldChar w:fldCharType="separate"/>
        </w:r>
        <w:r w:rsidR="00454284">
          <w:rPr>
            <w:webHidden/>
          </w:rPr>
          <w:t>22</w:t>
        </w:r>
        <w:r w:rsidR="00454284">
          <w:rPr>
            <w:webHidden/>
          </w:rPr>
          <w:fldChar w:fldCharType="end"/>
        </w:r>
      </w:hyperlink>
    </w:p>
    <w:p w14:paraId="0C23AF13" w14:textId="77777777" w:rsidR="00454284" w:rsidRDefault="001A6304">
      <w:pPr>
        <w:pStyle w:val="TOC2"/>
        <w:rPr>
          <w:rFonts w:asciiTheme="minorHAnsi" w:eastAsiaTheme="minorEastAsia" w:hAnsiTheme="minorHAnsi" w:cstheme="minorBidi"/>
          <w:b w:val="0"/>
          <w:color w:val="auto"/>
          <w:sz w:val="22"/>
          <w:szCs w:val="22"/>
        </w:rPr>
      </w:pPr>
      <w:hyperlink w:anchor="_Toc5715497" w:history="1">
        <w:r w:rsidR="00454284" w:rsidRPr="00391746">
          <w:rPr>
            <w:rStyle w:val="Hyperlink"/>
          </w:rPr>
          <w:t>4.3</w:t>
        </w:r>
        <w:r w:rsidR="00454284">
          <w:rPr>
            <w:rFonts w:asciiTheme="minorHAnsi" w:eastAsiaTheme="minorEastAsia" w:hAnsiTheme="minorHAnsi" w:cstheme="minorBidi"/>
            <w:b w:val="0"/>
            <w:color w:val="auto"/>
            <w:sz w:val="22"/>
            <w:szCs w:val="22"/>
          </w:rPr>
          <w:tab/>
        </w:r>
        <w:r w:rsidR="00454284" w:rsidRPr="00391746">
          <w:rPr>
            <w:rStyle w:val="Hyperlink"/>
          </w:rPr>
          <w:t>DR Measures</w:t>
        </w:r>
        <w:r w:rsidR="00454284">
          <w:rPr>
            <w:webHidden/>
          </w:rPr>
          <w:tab/>
        </w:r>
        <w:r w:rsidR="00454284">
          <w:rPr>
            <w:webHidden/>
          </w:rPr>
          <w:fldChar w:fldCharType="begin"/>
        </w:r>
        <w:r w:rsidR="00454284">
          <w:rPr>
            <w:webHidden/>
          </w:rPr>
          <w:instrText xml:space="preserve"> PAGEREF _Toc5715497 \h </w:instrText>
        </w:r>
        <w:r w:rsidR="00454284">
          <w:rPr>
            <w:webHidden/>
          </w:rPr>
        </w:r>
        <w:r w:rsidR="00454284">
          <w:rPr>
            <w:webHidden/>
          </w:rPr>
          <w:fldChar w:fldCharType="separate"/>
        </w:r>
        <w:r w:rsidR="00454284">
          <w:rPr>
            <w:webHidden/>
          </w:rPr>
          <w:t>25</w:t>
        </w:r>
        <w:r w:rsidR="00454284">
          <w:rPr>
            <w:webHidden/>
          </w:rPr>
          <w:fldChar w:fldCharType="end"/>
        </w:r>
      </w:hyperlink>
    </w:p>
    <w:p w14:paraId="50002B71" w14:textId="77777777" w:rsidR="00454284" w:rsidRDefault="001A6304">
      <w:pPr>
        <w:pStyle w:val="TOC2"/>
        <w:rPr>
          <w:rFonts w:asciiTheme="minorHAnsi" w:eastAsiaTheme="minorEastAsia" w:hAnsiTheme="minorHAnsi" w:cstheme="minorBidi"/>
          <w:b w:val="0"/>
          <w:color w:val="auto"/>
          <w:sz w:val="22"/>
          <w:szCs w:val="22"/>
        </w:rPr>
      </w:pPr>
      <w:hyperlink w:anchor="_Toc5715498" w:history="1">
        <w:r w:rsidR="00454284" w:rsidRPr="00391746">
          <w:rPr>
            <w:rStyle w:val="Hyperlink"/>
          </w:rPr>
          <w:t>4.4</w:t>
        </w:r>
        <w:r w:rsidR="00454284">
          <w:rPr>
            <w:rFonts w:asciiTheme="minorHAnsi" w:eastAsiaTheme="minorEastAsia" w:hAnsiTheme="minorHAnsi" w:cstheme="minorBidi"/>
            <w:b w:val="0"/>
            <w:color w:val="auto"/>
            <w:sz w:val="22"/>
            <w:szCs w:val="22"/>
          </w:rPr>
          <w:tab/>
        </w:r>
        <w:r w:rsidR="00454284" w:rsidRPr="00391746">
          <w:rPr>
            <w:rStyle w:val="Hyperlink"/>
          </w:rPr>
          <w:t>DSRE Measures</w:t>
        </w:r>
        <w:r w:rsidR="00454284">
          <w:rPr>
            <w:webHidden/>
          </w:rPr>
          <w:tab/>
        </w:r>
        <w:r w:rsidR="00454284">
          <w:rPr>
            <w:webHidden/>
          </w:rPr>
          <w:fldChar w:fldCharType="begin"/>
        </w:r>
        <w:r w:rsidR="00454284">
          <w:rPr>
            <w:webHidden/>
          </w:rPr>
          <w:instrText xml:space="preserve"> PAGEREF _Toc5715498 \h </w:instrText>
        </w:r>
        <w:r w:rsidR="00454284">
          <w:rPr>
            <w:webHidden/>
          </w:rPr>
        </w:r>
        <w:r w:rsidR="00454284">
          <w:rPr>
            <w:webHidden/>
          </w:rPr>
          <w:fldChar w:fldCharType="separate"/>
        </w:r>
        <w:r w:rsidR="00454284">
          <w:rPr>
            <w:webHidden/>
          </w:rPr>
          <w:t>25</w:t>
        </w:r>
        <w:r w:rsidR="00454284">
          <w:rPr>
            <w:webHidden/>
          </w:rPr>
          <w:fldChar w:fldCharType="end"/>
        </w:r>
      </w:hyperlink>
    </w:p>
    <w:p w14:paraId="318F6917" w14:textId="77777777" w:rsidR="00454284" w:rsidRDefault="001A6304">
      <w:pPr>
        <w:pStyle w:val="TOC1"/>
        <w:rPr>
          <w:rFonts w:asciiTheme="minorHAnsi" w:eastAsiaTheme="minorEastAsia" w:hAnsiTheme="minorHAnsi" w:cstheme="minorBidi"/>
          <w:b w:val="0"/>
          <w:bCs w:val="0"/>
          <w:snapToGrid/>
          <w:color w:val="auto"/>
          <w:w w:val="100"/>
          <w:sz w:val="22"/>
        </w:rPr>
      </w:pPr>
      <w:hyperlink w:anchor="_Toc5715499" w:history="1">
        <w:r w:rsidR="00454284" w:rsidRPr="00391746">
          <w:rPr>
            <w:rStyle w:val="Hyperlink"/>
          </w:rPr>
          <w:t>5</w:t>
        </w:r>
        <w:r w:rsidR="00454284">
          <w:rPr>
            <w:rFonts w:asciiTheme="minorHAnsi" w:eastAsiaTheme="minorEastAsia" w:hAnsiTheme="minorHAnsi" w:cstheme="minorBidi"/>
            <w:b w:val="0"/>
            <w:bCs w:val="0"/>
            <w:snapToGrid/>
            <w:color w:val="auto"/>
            <w:w w:val="100"/>
            <w:sz w:val="22"/>
          </w:rPr>
          <w:tab/>
        </w:r>
        <w:r w:rsidR="00454284" w:rsidRPr="00391746">
          <w:rPr>
            <w:rStyle w:val="Hyperlink"/>
          </w:rPr>
          <w:t>Technical Potential</w:t>
        </w:r>
        <w:r w:rsidR="00454284">
          <w:rPr>
            <w:webHidden/>
          </w:rPr>
          <w:tab/>
        </w:r>
        <w:r w:rsidR="00454284">
          <w:rPr>
            <w:webHidden/>
          </w:rPr>
          <w:fldChar w:fldCharType="begin"/>
        </w:r>
        <w:r w:rsidR="00454284">
          <w:rPr>
            <w:webHidden/>
          </w:rPr>
          <w:instrText xml:space="preserve"> PAGEREF _Toc5715499 \h </w:instrText>
        </w:r>
        <w:r w:rsidR="00454284">
          <w:rPr>
            <w:webHidden/>
          </w:rPr>
        </w:r>
        <w:r w:rsidR="00454284">
          <w:rPr>
            <w:webHidden/>
          </w:rPr>
          <w:fldChar w:fldCharType="separate"/>
        </w:r>
        <w:r w:rsidR="00454284">
          <w:rPr>
            <w:webHidden/>
          </w:rPr>
          <w:t>27</w:t>
        </w:r>
        <w:r w:rsidR="00454284">
          <w:rPr>
            <w:webHidden/>
          </w:rPr>
          <w:fldChar w:fldCharType="end"/>
        </w:r>
      </w:hyperlink>
    </w:p>
    <w:p w14:paraId="65BF656E" w14:textId="77777777" w:rsidR="00454284" w:rsidRDefault="001A6304">
      <w:pPr>
        <w:pStyle w:val="TOC2"/>
        <w:rPr>
          <w:rFonts w:asciiTheme="minorHAnsi" w:eastAsiaTheme="minorEastAsia" w:hAnsiTheme="minorHAnsi" w:cstheme="minorBidi"/>
          <w:b w:val="0"/>
          <w:color w:val="auto"/>
          <w:sz w:val="22"/>
          <w:szCs w:val="22"/>
        </w:rPr>
      </w:pPr>
      <w:hyperlink w:anchor="_Toc5715500" w:history="1">
        <w:r w:rsidR="00454284" w:rsidRPr="00391746">
          <w:rPr>
            <w:rStyle w:val="Hyperlink"/>
          </w:rPr>
          <w:t>5.1</w:t>
        </w:r>
        <w:r w:rsidR="00454284">
          <w:rPr>
            <w:rFonts w:asciiTheme="minorHAnsi" w:eastAsiaTheme="minorEastAsia" w:hAnsiTheme="minorHAnsi" w:cstheme="minorBidi"/>
            <w:b w:val="0"/>
            <w:color w:val="auto"/>
            <w:sz w:val="22"/>
            <w:szCs w:val="22"/>
          </w:rPr>
          <w:tab/>
        </w:r>
        <w:r w:rsidR="00454284" w:rsidRPr="00391746">
          <w:rPr>
            <w:rStyle w:val="Hyperlink"/>
          </w:rPr>
          <w:t>Methodology</w:t>
        </w:r>
        <w:r w:rsidR="00454284">
          <w:rPr>
            <w:webHidden/>
          </w:rPr>
          <w:tab/>
        </w:r>
        <w:r w:rsidR="00454284">
          <w:rPr>
            <w:webHidden/>
          </w:rPr>
          <w:fldChar w:fldCharType="begin"/>
        </w:r>
        <w:r w:rsidR="00454284">
          <w:rPr>
            <w:webHidden/>
          </w:rPr>
          <w:instrText xml:space="preserve"> PAGEREF _Toc5715500 \h </w:instrText>
        </w:r>
        <w:r w:rsidR="00454284">
          <w:rPr>
            <w:webHidden/>
          </w:rPr>
        </w:r>
        <w:r w:rsidR="00454284">
          <w:rPr>
            <w:webHidden/>
          </w:rPr>
          <w:fldChar w:fldCharType="separate"/>
        </w:r>
        <w:r w:rsidR="00454284">
          <w:rPr>
            <w:webHidden/>
          </w:rPr>
          <w:t>27</w:t>
        </w:r>
        <w:r w:rsidR="00454284">
          <w:rPr>
            <w:webHidden/>
          </w:rPr>
          <w:fldChar w:fldCharType="end"/>
        </w:r>
      </w:hyperlink>
    </w:p>
    <w:p w14:paraId="7AA31123" w14:textId="77777777" w:rsidR="00454284" w:rsidRDefault="001A6304">
      <w:pPr>
        <w:pStyle w:val="TOC3"/>
        <w:rPr>
          <w:rFonts w:asciiTheme="minorHAnsi" w:eastAsiaTheme="minorEastAsia" w:hAnsiTheme="minorHAnsi" w:cstheme="minorBidi"/>
          <w:iCs w:val="0"/>
          <w:color w:val="auto"/>
          <w:sz w:val="22"/>
          <w:szCs w:val="22"/>
        </w:rPr>
      </w:pPr>
      <w:hyperlink w:anchor="_Toc5715501" w:history="1">
        <w:r w:rsidR="00454284" w:rsidRPr="00391746">
          <w:rPr>
            <w:rStyle w:val="Hyperlink"/>
          </w:rPr>
          <w:t>5.1.1</w:t>
        </w:r>
        <w:r w:rsidR="00454284">
          <w:rPr>
            <w:rFonts w:asciiTheme="minorHAnsi" w:eastAsiaTheme="minorEastAsia" w:hAnsiTheme="minorHAnsi" w:cstheme="minorBidi"/>
            <w:iCs w:val="0"/>
            <w:color w:val="auto"/>
            <w:sz w:val="22"/>
            <w:szCs w:val="22"/>
          </w:rPr>
          <w:tab/>
        </w:r>
        <w:r w:rsidR="00454284" w:rsidRPr="00391746">
          <w:rPr>
            <w:rStyle w:val="Hyperlink"/>
          </w:rPr>
          <w:t>EE Technical Potential</w:t>
        </w:r>
        <w:r w:rsidR="00454284">
          <w:rPr>
            <w:webHidden/>
          </w:rPr>
          <w:tab/>
        </w:r>
        <w:r w:rsidR="00454284">
          <w:rPr>
            <w:webHidden/>
          </w:rPr>
          <w:fldChar w:fldCharType="begin"/>
        </w:r>
        <w:r w:rsidR="00454284">
          <w:rPr>
            <w:webHidden/>
          </w:rPr>
          <w:instrText xml:space="preserve"> PAGEREF _Toc5715501 \h </w:instrText>
        </w:r>
        <w:r w:rsidR="00454284">
          <w:rPr>
            <w:webHidden/>
          </w:rPr>
        </w:r>
        <w:r w:rsidR="00454284">
          <w:rPr>
            <w:webHidden/>
          </w:rPr>
          <w:fldChar w:fldCharType="separate"/>
        </w:r>
        <w:r w:rsidR="00454284">
          <w:rPr>
            <w:webHidden/>
          </w:rPr>
          <w:t>27</w:t>
        </w:r>
        <w:r w:rsidR="00454284">
          <w:rPr>
            <w:webHidden/>
          </w:rPr>
          <w:fldChar w:fldCharType="end"/>
        </w:r>
      </w:hyperlink>
    </w:p>
    <w:p w14:paraId="5CD5664C" w14:textId="77777777" w:rsidR="00454284" w:rsidRDefault="001A6304">
      <w:pPr>
        <w:pStyle w:val="TOC3"/>
        <w:rPr>
          <w:rFonts w:asciiTheme="minorHAnsi" w:eastAsiaTheme="minorEastAsia" w:hAnsiTheme="minorHAnsi" w:cstheme="minorBidi"/>
          <w:iCs w:val="0"/>
          <w:color w:val="auto"/>
          <w:sz w:val="22"/>
          <w:szCs w:val="22"/>
        </w:rPr>
      </w:pPr>
      <w:hyperlink w:anchor="_Toc5715502" w:history="1">
        <w:r w:rsidR="00454284" w:rsidRPr="00391746">
          <w:rPr>
            <w:rStyle w:val="Hyperlink"/>
          </w:rPr>
          <w:t>5.1.2</w:t>
        </w:r>
        <w:r w:rsidR="00454284">
          <w:rPr>
            <w:rFonts w:asciiTheme="minorHAnsi" w:eastAsiaTheme="minorEastAsia" w:hAnsiTheme="minorHAnsi" w:cstheme="minorBidi"/>
            <w:iCs w:val="0"/>
            <w:color w:val="auto"/>
            <w:sz w:val="22"/>
            <w:szCs w:val="22"/>
          </w:rPr>
          <w:tab/>
        </w:r>
        <w:r w:rsidR="00454284" w:rsidRPr="00391746">
          <w:rPr>
            <w:rStyle w:val="Hyperlink"/>
          </w:rPr>
          <w:t>DR Technical Potential</w:t>
        </w:r>
        <w:r w:rsidR="00454284">
          <w:rPr>
            <w:webHidden/>
          </w:rPr>
          <w:tab/>
        </w:r>
        <w:r w:rsidR="00454284">
          <w:rPr>
            <w:webHidden/>
          </w:rPr>
          <w:fldChar w:fldCharType="begin"/>
        </w:r>
        <w:r w:rsidR="00454284">
          <w:rPr>
            <w:webHidden/>
          </w:rPr>
          <w:instrText xml:space="preserve"> PAGEREF _Toc5715502 \h </w:instrText>
        </w:r>
        <w:r w:rsidR="00454284">
          <w:rPr>
            <w:webHidden/>
          </w:rPr>
        </w:r>
        <w:r w:rsidR="00454284">
          <w:rPr>
            <w:webHidden/>
          </w:rPr>
          <w:fldChar w:fldCharType="separate"/>
        </w:r>
        <w:r w:rsidR="00454284">
          <w:rPr>
            <w:webHidden/>
          </w:rPr>
          <w:t>30</w:t>
        </w:r>
        <w:r w:rsidR="00454284">
          <w:rPr>
            <w:webHidden/>
          </w:rPr>
          <w:fldChar w:fldCharType="end"/>
        </w:r>
      </w:hyperlink>
    </w:p>
    <w:p w14:paraId="01C251BF" w14:textId="77777777" w:rsidR="00454284" w:rsidRDefault="001A6304">
      <w:pPr>
        <w:pStyle w:val="TOC3"/>
        <w:rPr>
          <w:rFonts w:asciiTheme="minorHAnsi" w:eastAsiaTheme="minorEastAsia" w:hAnsiTheme="minorHAnsi" w:cstheme="minorBidi"/>
          <w:iCs w:val="0"/>
          <w:color w:val="auto"/>
          <w:sz w:val="22"/>
          <w:szCs w:val="22"/>
        </w:rPr>
      </w:pPr>
      <w:hyperlink w:anchor="_Toc5715503" w:history="1">
        <w:r w:rsidR="00454284" w:rsidRPr="00391746">
          <w:rPr>
            <w:rStyle w:val="Hyperlink"/>
          </w:rPr>
          <w:t>5.1.3</w:t>
        </w:r>
        <w:r w:rsidR="00454284">
          <w:rPr>
            <w:rFonts w:asciiTheme="minorHAnsi" w:eastAsiaTheme="minorEastAsia" w:hAnsiTheme="minorHAnsi" w:cstheme="minorBidi"/>
            <w:iCs w:val="0"/>
            <w:color w:val="auto"/>
            <w:sz w:val="22"/>
            <w:szCs w:val="22"/>
          </w:rPr>
          <w:tab/>
        </w:r>
        <w:r w:rsidR="00454284" w:rsidRPr="00391746">
          <w:rPr>
            <w:rStyle w:val="Hyperlink"/>
          </w:rPr>
          <w:t>DSRE Technical Potential</w:t>
        </w:r>
        <w:r w:rsidR="00454284">
          <w:rPr>
            <w:webHidden/>
          </w:rPr>
          <w:tab/>
        </w:r>
        <w:r w:rsidR="00454284">
          <w:rPr>
            <w:webHidden/>
          </w:rPr>
          <w:fldChar w:fldCharType="begin"/>
        </w:r>
        <w:r w:rsidR="00454284">
          <w:rPr>
            <w:webHidden/>
          </w:rPr>
          <w:instrText xml:space="preserve"> PAGEREF _Toc5715503 \h </w:instrText>
        </w:r>
        <w:r w:rsidR="00454284">
          <w:rPr>
            <w:webHidden/>
          </w:rPr>
        </w:r>
        <w:r w:rsidR="00454284">
          <w:rPr>
            <w:webHidden/>
          </w:rPr>
          <w:fldChar w:fldCharType="separate"/>
        </w:r>
        <w:r w:rsidR="00454284">
          <w:rPr>
            <w:webHidden/>
          </w:rPr>
          <w:t>32</w:t>
        </w:r>
        <w:r w:rsidR="00454284">
          <w:rPr>
            <w:webHidden/>
          </w:rPr>
          <w:fldChar w:fldCharType="end"/>
        </w:r>
      </w:hyperlink>
    </w:p>
    <w:p w14:paraId="16C6C197" w14:textId="77777777" w:rsidR="00454284" w:rsidRDefault="001A6304">
      <w:pPr>
        <w:pStyle w:val="TOC4"/>
        <w:rPr>
          <w:rFonts w:asciiTheme="minorHAnsi" w:eastAsiaTheme="minorEastAsia" w:hAnsiTheme="minorHAnsi" w:cstheme="minorBidi"/>
          <w:i w:val="0"/>
          <w:color w:val="auto"/>
          <w:sz w:val="22"/>
          <w:szCs w:val="22"/>
        </w:rPr>
      </w:pPr>
      <w:hyperlink w:anchor="_Toc5715504" w:history="1">
        <w:r w:rsidR="00454284" w:rsidRPr="00391746">
          <w:rPr>
            <w:rStyle w:val="Hyperlink"/>
          </w:rPr>
          <w:t>5.1.3.1</w:t>
        </w:r>
        <w:r w:rsidR="00454284">
          <w:rPr>
            <w:rFonts w:asciiTheme="minorHAnsi" w:eastAsiaTheme="minorEastAsia" w:hAnsiTheme="minorHAnsi" w:cstheme="minorBidi"/>
            <w:i w:val="0"/>
            <w:color w:val="auto"/>
            <w:sz w:val="22"/>
            <w:szCs w:val="22"/>
          </w:rPr>
          <w:tab/>
        </w:r>
        <w:r w:rsidR="00454284" w:rsidRPr="00391746">
          <w:rPr>
            <w:rStyle w:val="Hyperlink"/>
          </w:rPr>
          <w:t>PV Systems</w:t>
        </w:r>
        <w:r w:rsidR="00454284">
          <w:rPr>
            <w:webHidden/>
          </w:rPr>
          <w:tab/>
        </w:r>
        <w:r w:rsidR="00454284">
          <w:rPr>
            <w:webHidden/>
          </w:rPr>
          <w:fldChar w:fldCharType="begin"/>
        </w:r>
        <w:r w:rsidR="00454284">
          <w:rPr>
            <w:webHidden/>
          </w:rPr>
          <w:instrText xml:space="preserve"> PAGEREF _Toc5715504 \h </w:instrText>
        </w:r>
        <w:r w:rsidR="00454284">
          <w:rPr>
            <w:webHidden/>
          </w:rPr>
        </w:r>
        <w:r w:rsidR="00454284">
          <w:rPr>
            <w:webHidden/>
          </w:rPr>
          <w:fldChar w:fldCharType="separate"/>
        </w:r>
        <w:r w:rsidR="00454284">
          <w:rPr>
            <w:webHidden/>
          </w:rPr>
          <w:t>32</w:t>
        </w:r>
        <w:r w:rsidR="00454284">
          <w:rPr>
            <w:webHidden/>
          </w:rPr>
          <w:fldChar w:fldCharType="end"/>
        </w:r>
      </w:hyperlink>
    </w:p>
    <w:p w14:paraId="61FD6FFC" w14:textId="77777777" w:rsidR="00454284" w:rsidRDefault="001A6304">
      <w:pPr>
        <w:pStyle w:val="TOC4"/>
        <w:rPr>
          <w:rFonts w:asciiTheme="minorHAnsi" w:eastAsiaTheme="minorEastAsia" w:hAnsiTheme="minorHAnsi" w:cstheme="minorBidi"/>
          <w:i w:val="0"/>
          <w:color w:val="auto"/>
          <w:sz w:val="22"/>
          <w:szCs w:val="22"/>
        </w:rPr>
      </w:pPr>
      <w:hyperlink w:anchor="_Toc5715505" w:history="1">
        <w:r w:rsidR="00454284" w:rsidRPr="00391746">
          <w:rPr>
            <w:rStyle w:val="Hyperlink"/>
          </w:rPr>
          <w:t>5.1.3.2</w:t>
        </w:r>
        <w:r w:rsidR="00454284">
          <w:rPr>
            <w:rFonts w:asciiTheme="minorHAnsi" w:eastAsiaTheme="minorEastAsia" w:hAnsiTheme="minorHAnsi" w:cstheme="minorBidi"/>
            <w:i w:val="0"/>
            <w:color w:val="auto"/>
            <w:sz w:val="22"/>
            <w:szCs w:val="22"/>
          </w:rPr>
          <w:tab/>
        </w:r>
        <w:r w:rsidR="00454284" w:rsidRPr="00391746">
          <w:rPr>
            <w:rStyle w:val="Hyperlink"/>
          </w:rPr>
          <w:t>Battery Storage Systems</w:t>
        </w:r>
        <w:r w:rsidR="00454284">
          <w:rPr>
            <w:webHidden/>
          </w:rPr>
          <w:tab/>
        </w:r>
        <w:r w:rsidR="00454284">
          <w:rPr>
            <w:webHidden/>
          </w:rPr>
          <w:fldChar w:fldCharType="begin"/>
        </w:r>
        <w:r w:rsidR="00454284">
          <w:rPr>
            <w:webHidden/>
          </w:rPr>
          <w:instrText xml:space="preserve"> PAGEREF _Toc5715505 \h </w:instrText>
        </w:r>
        <w:r w:rsidR="00454284">
          <w:rPr>
            <w:webHidden/>
          </w:rPr>
        </w:r>
        <w:r w:rsidR="00454284">
          <w:rPr>
            <w:webHidden/>
          </w:rPr>
          <w:fldChar w:fldCharType="separate"/>
        </w:r>
        <w:r w:rsidR="00454284">
          <w:rPr>
            <w:webHidden/>
          </w:rPr>
          <w:t>33</w:t>
        </w:r>
        <w:r w:rsidR="00454284">
          <w:rPr>
            <w:webHidden/>
          </w:rPr>
          <w:fldChar w:fldCharType="end"/>
        </w:r>
      </w:hyperlink>
    </w:p>
    <w:p w14:paraId="52BDF4E1" w14:textId="77777777" w:rsidR="00454284" w:rsidRDefault="001A6304">
      <w:pPr>
        <w:pStyle w:val="TOC4"/>
        <w:rPr>
          <w:rFonts w:asciiTheme="minorHAnsi" w:eastAsiaTheme="minorEastAsia" w:hAnsiTheme="minorHAnsi" w:cstheme="minorBidi"/>
          <w:i w:val="0"/>
          <w:color w:val="auto"/>
          <w:sz w:val="22"/>
          <w:szCs w:val="22"/>
        </w:rPr>
      </w:pPr>
      <w:hyperlink w:anchor="_Toc5715506" w:history="1">
        <w:r w:rsidR="00454284" w:rsidRPr="00391746">
          <w:rPr>
            <w:rStyle w:val="Hyperlink"/>
          </w:rPr>
          <w:t>5.1.3.3</w:t>
        </w:r>
        <w:r w:rsidR="00454284">
          <w:rPr>
            <w:rFonts w:asciiTheme="minorHAnsi" w:eastAsiaTheme="minorEastAsia" w:hAnsiTheme="minorHAnsi" w:cstheme="minorBidi"/>
            <w:i w:val="0"/>
            <w:color w:val="auto"/>
            <w:sz w:val="22"/>
            <w:szCs w:val="22"/>
          </w:rPr>
          <w:tab/>
        </w:r>
        <w:r w:rsidR="00454284" w:rsidRPr="00391746">
          <w:rPr>
            <w:rStyle w:val="Hyperlink"/>
          </w:rPr>
          <w:t>CHP Systems</w:t>
        </w:r>
        <w:r w:rsidR="00454284">
          <w:rPr>
            <w:webHidden/>
          </w:rPr>
          <w:tab/>
        </w:r>
        <w:r w:rsidR="00454284">
          <w:rPr>
            <w:webHidden/>
          </w:rPr>
          <w:fldChar w:fldCharType="begin"/>
        </w:r>
        <w:r w:rsidR="00454284">
          <w:rPr>
            <w:webHidden/>
          </w:rPr>
          <w:instrText xml:space="preserve"> PAGEREF _Toc5715506 \h </w:instrText>
        </w:r>
        <w:r w:rsidR="00454284">
          <w:rPr>
            <w:webHidden/>
          </w:rPr>
        </w:r>
        <w:r w:rsidR="00454284">
          <w:rPr>
            <w:webHidden/>
          </w:rPr>
          <w:fldChar w:fldCharType="separate"/>
        </w:r>
        <w:r w:rsidR="00454284">
          <w:rPr>
            <w:webHidden/>
          </w:rPr>
          <w:t>34</w:t>
        </w:r>
        <w:r w:rsidR="00454284">
          <w:rPr>
            <w:webHidden/>
          </w:rPr>
          <w:fldChar w:fldCharType="end"/>
        </w:r>
      </w:hyperlink>
    </w:p>
    <w:p w14:paraId="5C684FE0" w14:textId="77777777" w:rsidR="00454284" w:rsidRDefault="001A6304">
      <w:pPr>
        <w:pStyle w:val="TOC3"/>
        <w:rPr>
          <w:rFonts w:asciiTheme="minorHAnsi" w:eastAsiaTheme="minorEastAsia" w:hAnsiTheme="minorHAnsi" w:cstheme="minorBidi"/>
          <w:iCs w:val="0"/>
          <w:color w:val="auto"/>
          <w:sz w:val="22"/>
          <w:szCs w:val="22"/>
        </w:rPr>
      </w:pPr>
      <w:hyperlink w:anchor="_Toc5715507" w:history="1">
        <w:r w:rsidR="00454284" w:rsidRPr="00391746">
          <w:rPr>
            <w:rStyle w:val="Hyperlink"/>
          </w:rPr>
          <w:t>5.1.4</w:t>
        </w:r>
        <w:r w:rsidR="00454284">
          <w:rPr>
            <w:rFonts w:asciiTheme="minorHAnsi" w:eastAsiaTheme="minorEastAsia" w:hAnsiTheme="minorHAnsi" w:cstheme="minorBidi"/>
            <w:iCs w:val="0"/>
            <w:color w:val="auto"/>
            <w:sz w:val="22"/>
            <w:szCs w:val="22"/>
          </w:rPr>
          <w:tab/>
        </w:r>
        <w:r w:rsidR="00454284" w:rsidRPr="00391746">
          <w:rPr>
            <w:rStyle w:val="Hyperlink"/>
          </w:rPr>
          <w:t>Interaction of Technical Potential Impacts</w:t>
        </w:r>
        <w:r w:rsidR="00454284">
          <w:rPr>
            <w:webHidden/>
          </w:rPr>
          <w:tab/>
        </w:r>
        <w:r w:rsidR="00454284">
          <w:rPr>
            <w:webHidden/>
          </w:rPr>
          <w:fldChar w:fldCharType="begin"/>
        </w:r>
        <w:r w:rsidR="00454284">
          <w:rPr>
            <w:webHidden/>
          </w:rPr>
          <w:instrText xml:space="preserve"> PAGEREF _Toc5715507 \h </w:instrText>
        </w:r>
        <w:r w:rsidR="00454284">
          <w:rPr>
            <w:webHidden/>
          </w:rPr>
        </w:r>
        <w:r w:rsidR="00454284">
          <w:rPr>
            <w:webHidden/>
          </w:rPr>
          <w:fldChar w:fldCharType="separate"/>
        </w:r>
        <w:r w:rsidR="00454284">
          <w:rPr>
            <w:webHidden/>
          </w:rPr>
          <w:t>35</w:t>
        </w:r>
        <w:r w:rsidR="00454284">
          <w:rPr>
            <w:webHidden/>
          </w:rPr>
          <w:fldChar w:fldCharType="end"/>
        </w:r>
      </w:hyperlink>
    </w:p>
    <w:p w14:paraId="28CD330C" w14:textId="77777777" w:rsidR="00454284" w:rsidRDefault="001A6304">
      <w:pPr>
        <w:pStyle w:val="TOC2"/>
        <w:rPr>
          <w:rFonts w:asciiTheme="minorHAnsi" w:eastAsiaTheme="minorEastAsia" w:hAnsiTheme="minorHAnsi" w:cstheme="minorBidi"/>
          <w:b w:val="0"/>
          <w:color w:val="auto"/>
          <w:sz w:val="22"/>
          <w:szCs w:val="22"/>
        </w:rPr>
      </w:pPr>
      <w:hyperlink w:anchor="_Toc5715508" w:history="1">
        <w:r w:rsidR="00454284" w:rsidRPr="00391746">
          <w:rPr>
            <w:rStyle w:val="Hyperlink"/>
          </w:rPr>
          <w:t>5.2</w:t>
        </w:r>
        <w:r w:rsidR="00454284">
          <w:rPr>
            <w:rFonts w:asciiTheme="minorHAnsi" w:eastAsiaTheme="minorEastAsia" w:hAnsiTheme="minorHAnsi" w:cstheme="minorBidi"/>
            <w:b w:val="0"/>
            <w:color w:val="auto"/>
            <w:sz w:val="22"/>
            <w:szCs w:val="22"/>
          </w:rPr>
          <w:tab/>
        </w:r>
        <w:r w:rsidR="00454284" w:rsidRPr="00391746">
          <w:rPr>
            <w:rStyle w:val="Hyperlink"/>
          </w:rPr>
          <w:t>EE Technical Potential</w:t>
        </w:r>
        <w:r w:rsidR="00454284">
          <w:rPr>
            <w:webHidden/>
          </w:rPr>
          <w:tab/>
        </w:r>
        <w:r w:rsidR="00454284">
          <w:rPr>
            <w:webHidden/>
          </w:rPr>
          <w:fldChar w:fldCharType="begin"/>
        </w:r>
        <w:r w:rsidR="00454284">
          <w:rPr>
            <w:webHidden/>
          </w:rPr>
          <w:instrText xml:space="preserve"> PAGEREF _Toc5715508 \h </w:instrText>
        </w:r>
        <w:r w:rsidR="00454284">
          <w:rPr>
            <w:webHidden/>
          </w:rPr>
        </w:r>
        <w:r w:rsidR="00454284">
          <w:rPr>
            <w:webHidden/>
          </w:rPr>
          <w:fldChar w:fldCharType="separate"/>
        </w:r>
        <w:r w:rsidR="00454284">
          <w:rPr>
            <w:webHidden/>
          </w:rPr>
          <w:t>36</w:t>
        </w:r>
        <w:r w:rsidR="00454284">
          <w:rPr>
            <w:webHidden/>
          </w:rPr>
          <w:fldChar w:fldCharType="end"/>
        </w:r>
      </w:hyperlink>
    </w:p>
    <w:p w14:paraId="632C11B3" w14:textId="77777777" w:rsidR="00454284" w:rsidRDefault="001A6304">
      <w:pPr>
        <w:pStyle w:val="TOC3"/>
        <w:rPr>
          <w:rFonts w:asciiTheme="minorHAnsi" w:eastAsiaTheme="minorEastAsia" w:hAnsiTheme="minorHAnsi" w:cstheme="minorBidi"/>
          <w:iCs w:val="0"/>
          <w:color w:val="auto"/>
          <w:sz w:val="22"/>
          <w:szCs w:val="22"/>
        </w:rPr>
      </w:pPr>
      <w:hyperlink w:anchor="_Toc5715509" w:history="1">
        <w:r w:rsidR="00454284" w:rsidRPr="00391746">
          <w:rPr>
            <w:rStyle w:val="Hyperlink"/>
          </w:rPr>
          <w:t>5.2.1</w:t>
        </w:r>
        <w:r w:rsidR="00454284">
          <w:rPr>
            <w:rFonts w:asciiTheme="minorHAnsi" w:eastAsiaTheme="minorEastAsia" w:hAnsiTheme="minorHAnsi" w:cstheme="minorBidi"/>
            <w:iCs w:val="0"/>
            <w:color w:val="auto"/>
            <w:sz w:val="22"/>
            <w:szCs w:val="22"/>
          </w:rPr>
          <w:tab/>
        </w:r>
        <w:r w:rsidR="00454284" w:rsidRPr="00391746">
          <w:rPr>
            <w:rStyle w:val="Hyperlink"/>
          </w:rPr>
          <w:t>Summary</w:t>
        </w:r>
        <w:r w:rsidR="00454284">
          <w:rPr>
            <w:webHidden/>
          </w:rPr>
          <w:tab/>
        </w:r>
        <w:r w:rsidR="00454284">
          <w:rPr>
            <w:webHidden/>
          </w:rPr>
          <w:fldChar w:fldCharType="begin"/>
        </w:r>
        <w:r w:rsidR="00454284">
          <w:rPr>
            <w:webHidden/>
          </w:rPr>
          <w:instrText xml:space="preserve"> PAGEREF _Toc5715509 \h </w:instrText>
        </w:r>
        <w:r w:rsidR="00454284">
          <w:rPr>
            <w:webHidden/>
          </w:rPr>
        </w:r>
        <w:r w:rsidR="00454284">
          <w:rPr>
            <w:webHidden/>
          </w:rPr>
          <w:fldChar w:fldCharType="separate"/>
        </w:r>
        <w:r w:rsidR="00454284">
          <w:rPr>
            <w:webHidden/>
          </w:rPr>
          <w:t>36</w:t>
        </w:r>
        <w:r w:rsidR="00454284">
          <w:rPr>
            <w:webHidden/>
          </w:rPr>
          <w:fldChar w:fldCharType="end"/>
        </w:r>
      </w:hyperlink>
    </w:p>
    <w:p w14:paraId="2CAFDEAA" w14:textId="77777777" w:rsidR="00454284" w:rsidRDefault="001A6304">
      <w:pPr>
        <w:pStyle w:val="TOC3"/>
        <w:rPr>
          <w:rFonts w:asciiTheme="minorHAnsi" w:eastAsiaTheme="minorEastAsia" w:hAnsiTheme="minorHAnsi" w:cstheme="minorBidi"/>
          <w:iCs w:val="0"/>
          <w:color w:val="auto"/>
          <w:sz w:val="22"/>
          <w:szCs w:val="22"/>
        </w:rPr>
      </w:pPr>
      <w:hyperlink w:anchor="_Toc5715510" w:history="1">
        <w:r w:rsidR="00454284" w:rsidRPr="00391746">
          <w:rPr>
            <w:rStyle w:val="Hyperlink"/>
          </w:rPr>
          <w:t>5.2.2</w:t>
        </w:r>
        <w:r w:rsidR="00454284">
          <w:rPr>
            <w:rFonts w:asciiTheme="minorHAnsi" w:eastAsiaTheme="minorEastAsia" w:hAnsiTheme="minorHAnsi" w:cstheme="minorBidi"/>
            <w:iCs w:val="0"/>
            <w:color w:val="auto"/>
            <w:sz w:val="22"/>
            <w:szCs w:val="22"/>
          </w:rPr>
          <w:tab/>
        </w:r>
        <w:r w:rsidR="00454284" w:rsidRPr="00391746">
          <w:rPr>
            <w:rStyle w:val="Hyperlink"/>
          </w:rPr>
          <w:t>Residential</w:t>
        </w:r>
        <w:r w:rsidR="00454284">
          <w:rPr>
            <w:webHidden/>
          </w:rPr>
          <w:tab/>
        </w:r>
        <w:r w:rsidR="00454284">
          <w:rPr>
            <w:webHidden/>
          </w:rPr>
          <w:fldChar w:fldCharType="begin"/>
        </w:r>
        <w:r w:rsidR="00454284">
          <w:rPr>
            <w:webHidden/>
          </w:rPr>
          <w:instrText xml:space="preserve"> PAGEREF _Toc5715510 \h </w:instrText>
        </w:r>
        <w:r w:rsidR="00454284">
          <w:rPr>
            <w:webHidden/>
          </w:rPr>
        </w:r>
        <w:r w:rsidR="00454284">
          <w:rPr>
            <w:webHidden/>
          </w:rPr>
          <w:fldChar w:fldCharType="separate"/>
        </w:r>
        <w:r w:rsidR="00454284">
          <w:rPr>
            <w:webHidden/>
          </w:rPr>
          <w:t>36</w:t>
        </w:r>
        <w:r w:rsidR="00454284">
          <w:rPr>
            <w:webHidden/>
          </w:rPr>
          <w:fldChar w:fldCharType="end"/>
        </w:r>
      </w:hyperlink>
    </w:p>
    <w:p w14:paraId="71FDE30A" w14:textId="77777777" w:rsidR="00454284" w:rsidRDefault="001A6304">
      <w:pPr>
        <w:pStyle w:val="TOC3"/>
        <w:rPr>
          <w:rFonts w:asciiTheme="minorHAnsi" w:eastAsiaTheme="minorEastAsia" w:hAnsiTheme="minorHAnsi" w:cstheme="minorBidi"/>
          <w:iCs w:val="0"/>
          <w:color w:val="auto"/>
          <w:sz w:val="22"/>
          <w:szCs w:val="22"/>
        </w:rPr>
      </w:pPr>
      <w:hyperlink w:anchor="_Toc5715511" w:history="1">
        <w:r w:rsidR="00454284" w:rsidRPr="00391746">
          <w:rPr>
            <w:rStyle w:val="Hyperlink"/>
          </w:rPr>
          <w:t>5.2.3</w:t>
        </w:r>
        <w:r w:rsidR="00454284">
          <w:rPr>
            <w:rFonts w:asciiTheme="minorHAnsi" w:eastAsiaTheme="minorEastAsia" w:hAnsiTheme="minorHAnsi" w:cstheme="minorBidi"/>
            <w:iCs w:val="0"/>
            <w:color w:val="auto"/>
            <w:sz w:val="22"/>
            <w:szCs w:val="22"/>
          </w:rPr>
          <w:tab/>
        </w:r>
        <w:r w:rsidR="00454284" w:rsidRPr="00391746">
          <w:rPr>
            <w:rStyle w:val="Hyperlink"/>
          </w:rPr>
          <w:t>Non-Residential</w:t>
        </w:r>
        <w:r w:rsidR="00454284">
          <w:rPr>
            <w:webHidden/>
          </w:rPr>
          <w:tab/>
        </w:r>
        <w:r w:rsidR="00454284">
          <w:rPr>
            <w:webHidden/>
          </w:rPr>
          <w:fldChar w:fldCharType="begin"/>
        </w:r>
        <w:r w:rsidR="00454284">
          <w:rPr>
            <w:webHidden/>
          </w:rPr>
          <w:instrText xml:space="preserve"> PAGEREF _Toc5715511 \h </w:instrText>
        </w:r>
        <w:r w:rsidR="00454284">
          <w:rPr>
            <w:webHidden/>
          </w:rPr>
        </w:r>
        <w:r w:rsidR="00454284">
          <w:rPr>
            <w:webHidden/>
          </w:rPr>
          <w:fldChar w:fldCharType="separate"/>
        </w:r>
        <w:r w:rsidR="00454284">
          <w:rPr>
            <w:webHidden/>
          </w:rPr>
          <w:t>38</w:t>
        </w:r>
        <w:r w:rsidR="00454284">
          <w:rPr>
            <w:webHidden/>
          </w:rPr>
          <w:fldChar w:fldCharType="end"/>
        </w:r>
      </w:hyperlink>
    </w:p>
    <w:p w14:paraId="33FBFB2F" w14:textId="77777777" w:rsidR="00454284" w:rsidRDefault="001A6304">
      <w:pPr>
        <w:pStyle w:val="TOC4"/>
        <w:rPr>
          <w:rFonts w:asciiTheme="minorHAnsi" w:eastAsiaTheme="minorEastAsia" w:hAnsiTheme="minorHAnsi" w:cstheme="minorBidi"/>
          <w:i w:val="0"/>
          <w:color w:val="auto"/>
          <w:sz w:val="22"/>
          <w:szCs w:val="22"/>
        </w:rPr>
      </w:pPr>
      <w:hyperlink w:anchor="_Toc5715512" w:history="1">
        <w:r w:rsidR="00454284" w:rsidRPr="00391746">
          <w:rPr>
            <w:rStyle w:val="Hyperlink"/>
          </w:rPr>
          <w:t>5.2.3.1</w:t>
        </w:r>
        <w:r w:rsidR="00454284">
          <w:rPr>
            <w:rFonts w:asciiTheme="minorHAnsi" w:eastAsiaTheme="minorEastAsia" w:hAnsiTheme="minorHAnsi" w:cstheme="minorBidi"/>
            <w:i w:val="0"/>
            <w:color w:val="auto"/>
            <w:sz w:val="22"/>
            <w:szCs w:val="22"/>
          </w:rPr>
          <w:tab/>
        </w:r>
        <w:r w:rsidR="00454284" w:rsidRPr="00391746">
          <w:rPr>
            <w:rStyle w:val="Hyperlink"/>
          </w:rPr>
          <w:t>Commercial Segments</w:t>
        </w:r>
        <w:r w:rsidR="00454284">
          <w:rPr>
            <w:webHidden/>
          </w:rPr>
          <w:tab/>
        </w:r>
        <w:r w:rsidR="00454284">
          <w:rPr>
            <w:webHidden/>
          </w:rPr>
          <w:fldChar w:fldCharType="begin"/>
        </w:r>
        <w:r w:rsidR="00454284">
          <w:rPr>
            <w:webHidden/>
          </w:rPr>
          <w:instrText xml:space="preserve"> PAGEREF _Toc5715512 \h </w:instrText>
        </w:r>
        <w:r w:rsidR="00454284">
          <w:rPr>
            <w:webHidden/>
          </w:rPr>
        </w:r>
        <w:r w:rsidR="00454284">
          <w:rPr>
            <w:webHidden/>
          </w:rPr>
          <w:fldChar w:fldCharType="separate"/>
        </w:r>
        <w:r w:rsidR="00454284">
          <w:rPr>
            <w:webHidden/>
          </w:rPr>
          <w:t>38</w:t>
        </w:r>
        <w:r w:rsidR="00454284">
          <w:rPr>
            <w:webHidden/>
          </w:rPr>
          <w:fldChar w:fldCharType="end"/>
        </w:r>
      </w:hyperlink>
    </w:p>
    <w:p w14:paraId="64DFF9FC" w14:textId="77777777" w:rsidR="00454284" w:rsidRDefault="001A6304">
      <w:pPr>
        <w:pStyle w:val="TOC4"/>
        <w:rPr>
          <w:rFonts w:asciiTheme="minorHAnsi" w:eastAsiaTheme="minorEastAsia" w:hAnsiTheme="minorHAnsi" w:cstheme="minorBidi"/>
          <w:i w:val="0"/>
          <w:color w:val="auto"/>
          <w:sz w:val="22"/>
          <w:szCs w:val="22"/>
        </w:rPr>
      </w:pPr>
      <w:hyperlink w:anchor="_Toc5715513" w:history="1">
        <w:r w:rsidR="00454284" w:rsidRPr="00391746">
          <w:rPr>
            <w:rStyle w:val="Hyperlink"/>
          </w:rPr>
          <w:t>5.2.3.2</w:t>
        </w:r>
        <w:r w:rsidR="00454284">
          <w:rPr>
            <w:rFonts w:asciiTheme="minorHAnsi" w:eastAsiaTheme="minorEastAsia" w:hAnsiTheme="minorHAnsi" w:cstheme="minorBidi"/>
            <w:i w:val="0"/>
            <w:color w:val="auto"/>
            <w:sz w:val="22"/>
            <w:szCs w:val="22"/>
          </w:rPr>
          <w:tab/>
        </w:r>
        <w:r w:rsidR="00454284" w:rsidRPr="00391746">
          <w:rPr>
            <w:rStyle w:val="Hyperlink"/>
          </w:rPr>
          <w:t>Industrial Segments</w:t>
        </w:r>
        <w:r w:rsidR="00454284">
          <w:rPr>
            <w:webHidden/>
          </w:rPr>
          <w:tab/>
        </w:r>
        <w:r w:rsidR="00454284">
          <w:rPr>
            <w:webHidden/>
          </w:rPr>
          <w:fldChar w:fldCharType="begin"/>
        </w:r>
        <w:r w:rsidR="00454284">
          <w:rPr>
            <w:webHidden/>
          </w:rPr>
          <w:instrText xml:space="preserve"> PAGEREF _Toc5715513 \h </w:instrText>
        </w:r>
        <w:r w:rsidR="00454284">
          <w:rPr>
            <w:webHidden/>
          </w:rPr>
        </w:r>
        <w:r w:rsidR="00454284">
          <w:rPr>
            <w:webHidden/>
          </w:rPr>
          <w:fldChar w:fldCharType="separate"/>
        </w:r>
        <w:r w:rsidR="00454284">
          <w:rPr>
            <w:webHidden/>
          </w:rPr>
          <w:t>39</w:t>
        </w:r>
        <w:r w:rsidR="00454284">
          <w:rPr>
            <w:webHidden/>
          </w:rPr>
          <w:fldChar w:fldCharType="end"/>
        </w:r>
      </w:hyperlink>
    </w:p>
    <w:p w14:paraId="7F86366C" w14:textId="77777777" w:rsidR="00454284" w:rsidRDefault="001A6304">
      <w:pPr>
        <w:pStyle w:val="TOC2"/>
        <w:rPr>
          <w:rFonts w:asciiTheme="minorHAnsi" w:eastAsiaTheme="minorEastAsia" w:hAnsiTheme="minorHAnsi" w:cstheme="minorBidi"/>
          <w:b w:val="0"/>
          <w:color w:val="auto"/>
          <w:sz w:val="22"/>
          <w:szCs w:val="22"/>
        </w:rPr>
      </w:pPr>
      <w:hyperlink w:anchor="_Toc5715514" w:history="1">
        <w:r w:rsidR="00454284" w:rsidRPr="00391746">
          <w:rPr>
            <w:rStyle w:val="Hyperlink"/>
          </w:rPr>
          <w:t>5.3</w:t>
        </w:r>
        <w:r w:rsidR="00454284">
          <w:rPr>
            <w:rFonts w:asciiTheme="minorHAnsi" w:eastAsiaTheme="minorEastAsia" w:hAnsiTheme="minorHAnsi" w:cstheme="minorBidi"/>
            <w:b w:val="0"/>
            <w:color w:val="auto"/>
            <w:sz w:val="22"/>
            <w:szCs w:val="22"/>
          </w:rPr>
          <w:tab/>
        </w:r>
        <w:r w:rsidR="00454284" w:rsidRPr="00391746">
          <w:rPr>
            <w:rStyle w:val="Hyperlink"/>
          </w:rPr>
          <w:t>DR Technical Potential</w:t>
        </w:r>
        <w:r w:rsidR="00454284">
          <w:rPr>
            <w:webHidden/>
          </w:rPr>
          <w:tab/>
        </w:r>
        <w:r w:rsidR="00454284">
          <w:rPr>
            <w:webHidden/>
          </w:rPr>
          <w:fldChar w:fldCharType="begin"/>
        </w:r>
        <w:r w:rsidR="00454284">
          <w:rPr>
            <w:webHidden/>
          </w:rPr>
          <w:instrText xml:space="preserve"> PAGEREF _Toc5715514 \h </w:instrText>
        </w:r>
        <w:r w:rsidR="00454284">
          <w:rPr>
            <w:webHidden/>
          </w:rPr>
        </w:r>
        <w:r w:rsidR="00454284">
          <w:rPr>
            <w:webHidden/>
          </w:rPr>
          <w:fldChar w:fldCharType="separate"/>
        </w:r>
        <w:r w:rsidR="00454284">
          <w:rPr>
            <w:webHidden/>
          </w:rPr>
          <w:t>41</w:t>
        </w:r>
        <w:r w:rsidR="00454284">
          <w:rPr>
            <w:webHidden/>
          </w:rPr>
          <w:fldChar w:fldCharType="end"/>
        </w:r>
      </w:hyperlink>
    </w:p>
    <w:p w14:paraId="5AE2D36E" w14:textId="77777777" w:rsidR="00454284" w:rsidRDefault="001A6304">
      <w:pPr>
        <w:pStyle w:val="TOC3"/>
        <w:rPr>
          <w:rFonts w:asciiTheme="minorHAnsi" w:eastAsiaTheme="minorEastAsia" w:hAnsiTheme="minorHAnsi" w:cstheme="minorBidi"/>
          <w:iCs w:val="0"/>
          <w:color w:val="auto"/>
          <w:sz w:val="22"/>
          <w:szCs w:val="22"/>
        </w:rPr>
      </w:pPr>
      <w:hyperlink w:anchor="_Toc5715515" w:history="1">
        <w:r w:rsidR="00454284" w:rsidRPr="00391746">
          <w:rPr>
            <w:rStyle w:val="Hyperlink"/>
          </w:rPr>
          <w:t>5.3.1</w:t>
        </w:r>
        <w:r w:rsidR="00454284">
          <w:rPr>
            <w:rFonts w:asciiTheme="minorHAnsi" w:eastAsiaTheme="minorEastAsia" w:hAnsiTheme="minorHAnsi" w:cstheme="minorBidi"/>
            <w:iCs w:val="0"/>
            <w:color w:val="auto"/>
            <w:sz w:val="22"/>
            <w:szCs w:val="22"/>
          </w:rPr>
          <w:tab/>
        </w:r>
        <w:r w:rsidR="00454284" w:rsidRPr="00391746">
          <w:rPr>
            <w:rStyle w:val="Hyperlink"/>
          </w:rPr>
          <w:t>Residential</w:t>
        </w:r>
        <w:r w:rsidR="00454284">
          <w:rPr>
            <w:webHidden/>
          </w:rPr>
          <w:tab/>
        </w:r>
        <w:r w:rsidR="00454284">
          <w:rPr>
            <w:webHidden/>
          </w:rPr>
          <w:fldChar w:fldCharType="begin"/>
        </w:r>
        <w:r w:rsidR="00454284">
          <w:rPr>
            <w:webHidden/>
          </w:rPr>
          <w:instrText xml:space="preserve"> PAGEREF _Toc5715515 \h </w:instrText>
        </w:r>
        <w:r w:rsidR="00454284">
          <w:rPr>
            <w:webHidden/>
          </w:rPr>
        </w:r>
        <w:r w:rsidR="00454284">
          <w:rPr>
            <w:webHidden/>
          </w:rPr>
          <w:fldChar w:fldCharType="separate"/>
        </w:r>
        <w:r w:rsidR="00454284">
          <w:rPr>
            <w:webHidden/>
          </w:rPr>
          <w:t>41</w:t>
        </w:r>
        <w:r w:rsidR="00454284">
          <w:rPr>
            <w:webHidden/>
          </w:rPr>
          <w:fldChar w:fldCharType="end"/>
        </w:r>
      </w:hyperlink>
    </w:p>
    <w:p w14:paraId="4AD60916" w14:textId="77777777" w:rsidR="00454284" w:rsidRDefault="001A6304">
      <w:pPr>
        <w:pStyle w:val="TOC3"/>
        <w:rPr>
          <w:rFonts w:asciiTheme="minorHAnsi" w:eastAsiaTheme="minorEastAsia" w:hAnsiTheme="minorHAnsi" w:cstheme="minorBidi"/>
          <w:iCs w:val="0"/>
          <w:color w:val="auto"/>
          <w:sz w:val="22"/>
          <w:szCs w:val="22"/>
        </w:rPr>
      </w:pPr>
      <w:hyperlink w:anchor="_Toc5715516" w:history="1">
        <w:r w:rsidR="00454284" w:rsidRPr="00391746">
          <w:rPr>
            <w:rStyle w:val="Hyperlink"/>
          </w:rPr>
          <w:t>5.3.2</w:t>
        </w:r>
        <w:r w:rsidR="00454284">
          <w:rPr>
            <w:rFonts w:asciiTheme="minorHAnsi" w:eastAsiaTheme="minorEastAsia" w:hAnsiTheme="minorHAnsi" w:cstheme="minorBidi"/>
            <w:iCs w:val="0"/>
            <w:color w:val="auto"/>
            <w:sz w:val="22"/>
            <w:szCs w:val="22"/>
          </w:rPr>
          <w:tab/>
        </w:r>
        <w:r w:rsidR="00454284" w:rsidRPr="00391746">
          <w:rPr>
            <w:rStyle w:val="Hyperlink"/>
          </w:rPr>
          <w:t>Non-Residential</w:t>
        </w:r>
        <w:r w:rsidR="00454284">
          <w:rPr>
            <w:webHidden/>
          </w:rPr>
          <w:tab/>
        </w:r>
        <w:r w:rsidR="00454284">
          <w:rPr>
            <w:webHidden/>
          </w:rPr>
          <w:fldChar w:fldCharType="begin"/>
        </w:r>
        <w:r w:rsidR="00454284">
          <w:rPr>
            <w:webHidden/>
          </w:rPr>
          <w:instrText xml:space="preserve"> PAGEREF _Toc5715516 \h </w:instrText>
        </w:r>
        <w:r w:rsidR="00454284">
          <w:rPr>
            <w:webHidden/>
          </w:rPr>
        </w:r>
        <w:r w:rsidR="00454284">
          <w:rPr>
            <w:webHidden/>
          </w:rPr>
          <w:fldChar w:fldCharType="separate"/>
        </w:r>
        <w:r w:rsidR="00454284">
          <w:rPr>
            <w:webHidden/>
          </w:rPr>
          <w:t>42</w:t>
        </w:r>
        <w:r w:rsidR="00454284">
          <w:rPr>
            <w:webHidden/>
          </w:rPr>
          <w:fldChar w:fldCharType="end"/>
        </w:r>
      </w:hyperlink>
    </w:p>
    <w:p w14:paraId="102780F0" w14:textId="77777777" w:rsidR="00454284" w:rsidRDefault="001A6304">
      <w:pPr>
        <w:pStyle w:val="TOC4"/>
        <w:rPr>
          <w:rFonts w:asciiTheme="minorHAnsi" w:eastAsiaTheme="minorEastAsia" w:hAnsiTheme="minorHAnsi" w:cstheme="minorBidi"/>
          <w:i w:val="0"/>
          <w:color w:val="auto"/>
          <w:sz w:val="22"/>
          <w:szCs w:val="22"/>
        </w:rPr>
      </w:pPr>
      <w:hyperlink w:anchor="_Toc5715517" w:history="1">
        <w:r w:rsidR="00454284" w:rsidRPr="00391746">
          <w:rPr>
            <w:rStyle w:val="Hyperlink"/>
          </w:rPr>
          <w:t>5.3.2.1</w:t>
        </w:r>
        <w:r w:rsidR="00454284">
          <w:rPr>
            <w:rFonts w:asciiTheme="minorHAnsi" w:eastAsiaTheme="minorEastAsia" w:hAnsiTheme="minorHAnsi" w:cstheme="minorBidi"/>
            <w:i w:val="0"/>
            <w:color w:val="auto"/>
            <w:sz w:val="22"/>
            <w:szCs w:val="22"/>
          </w:rPr>
          <w:tab/>
        </w:r>
        <w:r w:rsidR="00454284" w:rsidRPr="00391746">
          <w:rPr>
            <w:rStyle w:val="Hyperlink"/>
          </w:rPr>
          <w:t>Small C&amp;I Customers</w:t>
        </w:r>
        <w:r w:rsidR="00454284">
          <w:rPr>
            <w:webHidden/>
          </w:rPr>
          <w:tab/>
        </w:r>
        <w:r w:rsidR="00454284">
          <w:rPr>
            <w:webHidden/>
          </w:rPr>
          <w:fldChar w:fldCharType="begin"/>
        </w:r>
        <w:r w:rsidR="00454284">
          <w:rPr>
            <w:webHidden/>
          </w:rPr>
          <w:instrText xml:space="preserve"> PAGEREF _Toc5715517 \h </w:instrText>
        </w:r>
        <w:r w:rsidR="00454284">
          <w:rPr>
            <w:webHidden/>
          </w:rPr>
        </w:r>
        <w:r w:rsidR="00454284">
          <w:rPr>
            <w:webHidden/>
          </w:rPr>
          <w:fldChar w:fldCharType="separate"/>
        </w:r>
        <w:r w:rsidR="00454284">
          <w:rPr>
            <w:webHidden/>
          </w:rPr>
          <w:t>42</w:t>
        </w:r>
        <w:r w:rsidR="00454284">
          <w:rPr>
            <w:webHidden/>
          </w:rPr>
          <w:fldChar w:fldCharType="end"/>
        </w:r>
      </w:hyperlink>
    </w:p>
    <w:p w14:paraId="568A38E6" w14:textId="77777777" w:rsidR="00454284" w:rsidRDefault="001A6304">
      <w:pPr>
        <w:pStyle w:val="TOC4"/>
        <w:rPr>
          <w:rFonts w:asciiTheme="minorHAnsi" w:eastAsiaTheme="minorEastAsia" w:hAnsiTheme="minorHAnsi" w:cstheme="minorBidi"/>
          <w:i w:val="0"/>
          <w:color w:val="auto"/>
          <w:sz w:val="22"/>
          <w:szCs w:val="22"/>
        </w:rPr>
      </w:pPr>
      <w:hyperlink w:anchor="_Toc5715518" w:history="1">
        <w:r w:rsidR="00454284" w:rsidRPr="00391746">
          <w:rPr>
            <w:rStyle w:val="Hyperlink"/>
          </w:rPr>
          <w:t>5.3.2.2</w:t>
        </w:r>
        <w:r w:rsidR="00454284">
          <w:rPr>
            <w:rFonts w:asciiTheme="minorHAnsi" w:eastAsiaTheme="minorEastAsia" w:hAnsiTheme="minorHAnsi" w:cstheme="minorBidi"/>
            <w:i w:val="0"/>
            <w:color w:val="auto"/>
            <w:sz w:val="22"/>
            <w:szCs w:val="22"/>
          </w:rPr>
          <w:tab/>
        </w:r>
        <w:r w:rsidR="00454284" w:rsidRPr="00391746">
          <w:rPr>
            <w:rStyle w:val="Hyperlink"/>
          </w:rPr>
          <w:t>Large C&amp;I Customers</w:t>
        </w:r>
        <w:r w:rsidR="00454284">
          <w:rPr>
            <w:webHidden/>
          </w:rPr>
          <w:tab/>
        </w:r>
        <w:r w:rsidR="00454284">
          <w:rPr>
            <w:webHidden/>
          </w:rPr>
          <w:fldChar w:fldCharType="begin"/>
        </w:r>
        <w:r w:rsidR="00454284">
          <w:rPr>
            <w:webHidden/>
          </w:rPr>
          <w:instrText xml:space="preserve"> PAGEREF _Toc5715518 \h </w:instrText>
        </w:r>
        <w:r w:rsidR="00454284">
          <w:rPr>
            <w:webHidden/>
          </w:rPr>
        </w:r>
        <w:r w:rsidR="00454284">
          <w:rPr>
            <w:webHidden/>
          </w:rPr>
          <w:fldChar w:fldCharType="separate"/>
        </w:r>
        <w:r w:rsidR="00454284">
          <w:rPr>
            <w:webHidden/>
          </w:rPr>
          <w:t>43</w:t>
        </w:r>
        <w:r w:rsidR="00454284">
          <w:rPr>
            <w:webHidden/>
          </w:rPr>
          <w:fldChar w:fldCharType="end"/>
        </w:r>
      </w:hyperlink>
    </w:p>
    <w:p w14:paraId="0FB5B4DC" w14:textId="77777777" w:rsidR="00454284" w:rsidRDefault="001A6304">
      <w:pPr>
        <w:pStyle w:val="TOC2"/>
        <w:rPr>
          <w:rFonts w:asciiTheme="minorHAnsi" w:eastAsiaTheme="minorEastAsia" w:hAnsiTheme="minorHAnsi" w:cstheme="minorBidi"/>
          <w:b w:val="0"/>
          <w:color w:val="auto"/>
          <w:sz w:val="22"/>
          <w:szCs w:val="22"/>
        </w:rPr>
      </w:pPr>
      <w:hyperlink w:anchor="_Toc5715519" w:history="1">
        <w:r w:rsidR="00454284" w:rsidRPr="00391746">
          <w:rPr>
            <w:rStyle w:val="Hyperlink"/>
          </w:rPr>
          <w:t>5.4</w:t>
        </w:r>
        <w:r w:rsidR="00454284">
          <w:rPr>
            <w:rFonts w:asciiTheme="minorHAnsi" w:eastAsiaTheme="minorEastAsia" w:hAnsiTheme="minorHAnsi" w:cstheme="minorBidi"/>
            <w:b w:val="0"/>
            <w:color w:val="auto"/>
            <w:sz w:val="22"/>
            <w:szCs w:val="22"/>
          </w:rPr>
          <w:tab/>
        </w:r>
        <w:r w:rsidR="00454284" w:rsidRPr="00391746">
          <w:rPr>
            <w:rStyle w:val="Hyperlink"/>
          </w:rPr>
          <w:t>DSRE Technical Potential</w:t>
        </w:r>
        <w:r w:rsidR="00454284">
          <w:rPr>
            <w:webHidden/>
          </w:rPr>
          <w:tab/>
        </w:r>
        <w:r w:rsidR="00454284">
          <w:rPr>
            <w:webHidden/>
          </w:rPr>
          <w:fldChar w:fldCharType="begin"/>
        </w:r>
        <w:r w:rsidR="00454284">
          <w:rPr>
            <w:webHidden/>
          </w:rPr>
          <w:instrText xml:space="preserve"> PAGEREF _Toc5715519 \h </w:instrText>
        </w:r>
        <w:r w:rsidR="00454284">
          <w:rPr>
            <w:webHidden/>
          </w:rPr>
        </w:r>
        <w:r w:rsidR="00454284">
          <w:rPr>
            <w:webHidden/>
          </w:rPr>
          <w:fldChar w:fldCharType="separate"/>
        </w:r>
        <w:r w:rsidR="00454284">
          <w:rPr>
            <w:webHidden/>
          </w:rPr>
          <w:t>44</w:t>
        </w:r>
        <w:r w:rsidR="00454284">
          <w:rPr>
            <w:webHidden/>
          </w:rPr>
          <w:fldChar w:fldCharType="end"/>
        </w:r>
      </w:hyperlink>
    </w:p>
    <w:p w14:paraId="48E82593" w14:textId="77777777" w:rsidR="00454284" w:rsidRDefault="001A6304">
      <w:pPr>
        <w:pStyle w:val="TOC1"/>
        <w:rPr>
          <w:rFonts w:asciiTheme="minorHAnsi" w:eastAsiaTheme="minorEastAsia" w:hAnsiTheme="minorHAnsi" w:cstheme="minorBidi"/>
          <w:b w:val="0"/>
          <w:bCs w:val="0"/>
          <w:snapToGrid/>
          <w:color w:val="auto"/>
          <w:w w:val="100"/>
          <w:sz w:val="22"/>
        </w:rPr>
      </w:pPr>
      <w:hyperlink w:anchor="_Toc5715520" w:history="1">
        <w:r w:rsidR="00454284" w:rsidRPr="00391746">
          <w:rPr>
            <w:rStyle w:val="Hyperlink"/>
          </w:rPr>
          <w:t>6</w:t>
        </w:r>
        <w:r w:rsidR="00454284">
          <w:rPr>
            <w:rFonts w:asciiTheme="minorHAnsi" w:eastAsiaTheme="minorEastAsia" w:hAnsiTheme="minorHAnsi" w:cstheme="minorBidi"/>
            <w:b w:val="0"/>
            <w:bCs w:val="0"/>
            <w:snapToGrid/>
            <w:color w:val="auto"/>
            <w:w w:val="100"/>
            <w:sz w:val="22"/>
          </w:rPr>
          <w:tab/>
        </w:r>
        <w:r w:rsidR="00454284" w:rsidRPr="00391746">
          <w:rPr>
            <w:rStyle w:val="Hyperlink"/>
          </w:rPr>
          <w:t>Appendices</w:t>
        </w:r>
        <w:r w:rsidR="00454284">
          <w:rPr>
            <w:webHidden/>
          </w:rPr>
          <w:tab/>
        </w:r>
        <w:r w:rsidR="00454284">
          <w:rPr>
            <w:webHidden/>
          </w:rPr>
          <w:fldChar w:fldCharType="begin"/>
        </w:r>
        <w:r w:rsidR="00454284">
          <w:rPr>
            <w:webHidden/>
          </w:rPr>
          <w:instrText xml:space="preserve"> PAGEREF _Toc5715520 \h </w:instrText>
        </w:r>
        <w:r w:rsidR="00454284">
          <w:rPr>
            <w:webHidden/>
          </w:rPr>
        </w:r>
        <w:r w:rsidR="00454284">
          <w:rPr>
            <w:webHidden/>
          </w:rPr>
          <w:fldChar w:fldCharType="separate"/>
        </w:r>
        <w:r w:rsidR="00454284">
          <w:rPr>
            <w:webHidden/>
          </w:rPr>
          <w:t>45</w:t>
        </w:r>
        <w:r w:rsidR="00454284">
          <w:rPr>
            <w:webHidden/>
          </w:rPr>
          <w:fldChar w:fldCharType="end"/>
        </w:r>
      </w:hyperlink>
    </w:p>
    <w:p w14:paraId="0CF66773" w14:textId="77777777" w:rsidR="00454284" w:rsidRDefault="001A6304">
      <w:pPr>
        <w:pStyle w:val="TOC1"/>
        <w:tabs>
          <w:tab w:val="left" w:pos="1980"/>
        </w:tabs>
        <w:rPr>
          <w:rFonts w:asciiTheme="minorHAnsi" w:eastAsiaTheme="minorEastAsia" w:hAnsiTheme="minorHAnsi" w:cstheme="minorBidi"/>
          <w:b w:val="0"/>
          <w:bCs w:val="0"/>
          <w:snapToGrid/>
          <w:color w:val="auto"/>
          <w:w w:val="100"/>
          <w:sz w:val="22"/>
        </w:rPr>
      </w:pPr>
      <w:hyperlink w:anchor="_Toc5715521" w:history="1">
        <w:r w:rsidR="00454284" w:rsidRPr="00391746">
          <w:rPr>
            <w:rStyle w:val="Hyperlink"/>
            <w:rFonts w:cs="Times New Roman"/>
          </w:rPr>
          <w:t>Appendix A</w:t>
        </w:r>
        <w:r w:rsidR="00454284">
          <w:rPr>
            <w:rFonts w:asciiTheme="minorHAnsi" w:eastAsiaTheme="minorEastAsia" w:hAnsiTheme="minorHAnsi" w:cstheme="minorBidi"/>
            <w:b w:val="0"/>
            <w:bCs w:val="0"/>
            <w:snapToGrid/>
            <w:color w:val="auto"/>
            <w:w w:val="100"/>
            <w:sz w:val="22"/>
          </w:rPr>
          <w:tab/>
        </w:r>
        <w:r w:rsidR="00454284" w:rsidRPr="00391746">
          <w:rPr>
            <w:rStyle w:val="Hyperlink"/>
          </w:rPr>
          <w:t>EE MPS Measure List</w:t>
        </w:r>
        <w:r w:rsidR="00454284">
          <w:rPr>
            <w:webHidden/>
          </w:rPr>
          <w:tab/>
        </w:r>
        <w:r w:rsidR="00454284">
          <w:rPr>
            <w:webHidden/>
          </w:rPr>
          <w:fldChar w:fldCharType="begin"/>
        </w:r>
        <w:r w:rsidR="00454284">
          <w:rPr>
            <w:webHidden/>
          </w:rPr>
          <w:instrText xml:space="preserve"> PAGEREF _Toc5715521 \h </w:instrText>
        </w:r>
        <w:r w:rsidR="00454284">
          <w:rPr>
            <w:webHidden/>
          </w:rPr>
        </w:r>
        <w:r w:rsidR="00454284">
          <w:rPr>
            <w:webHidden/>
          </w:rPr>
          <w:fldChar w:fldCharType="separate"/>
        </w:r>
        <w:r w:rsidR="00454284">
          <w:rPr>
            <w:webHidden/>
          </w:rPr>
          <w:t>A-1</w:t>
        </w:r>
        <w:r w:rsidR="00454284">
          <w:rPr>
            <w:webHidden/>
          </w:rPr>
          <w:fldChar w:fldCharType="end"/>
        </w:r>
      </w:hyperlink>
    </w:p>
    <w:p w14:paraId="63EB6198" w14:textId="77777777" w:rsidR="00454284" w:rsidRDefault="001A6304">
      <w:pPr>
        <w:pStyle w:val="TOC1"/>
        <w:tabs>
          <w:tab w:val="left" w:pos="1980"/>
        </w:tabs>
        <w:rPr>
          <w:rFonts w:asciiTheme="minorHAnsi" w:eastAsiaTheme="minorEastAsia" w:hAnsiTheme="minorHAnsi" w:cstheme="minorBidi"/>
          <w:b w:val="0"/>
          <w:bCs w:val="0"/>
          <w:snapToGrid/>
          <w:color w:val="auto"/>
          <w:w w:val="100"/>
          <w:sz w:val="22"/>
        </w:rPr>
      </w:pPr>
      <w:hyperlink w:anchor="_Toc5715522" w:history="1">
        <w:r w:rsidR="00454284" w:rsidRPr="00391746">
          <w:rPr>
            <w:rStyle w:val="Hyperlink"/>
            <w:rFonts w:cs="Times New Roman"/>
          </w:rPr>
          <w:t>Appendix B</w:t>
        </w:r>
        <w:r w:rsidR="00454284">
          <w:rPr>
            <w:rFonts w:asciiTheme="minorHAnsi" w:eastAsiaTheme="minorEastAsia" w:hAnsiTheme="minorHAnsi" w:cstheme="minorBidi"/>
            <w:b w:val="0"/>
            <w:bCs w:val="0"/>
            <w:snapToGrid/>
            <w:color w:val="auto"/>
            <w:w w:val="100"/>
            <w:sz w:val="22"/>
          </w:rPr>
          <w:tab/>
        </w:r>
        <w:r w:rsidR="00454284" w:rsidRPr="00391746">
          <w:rPr>
            <w:rStyle w:val="Hyperlink"/>
          </w:rPr>
          <w:t>DR MPS Measure List</w:t>
        </w:r>
        <w:r w:rsidR="00454284">
          <w:rPr>
            <w:webHidden/>
          </w:rPr>
          <w:tab/>
        </w:r>
        <w:r w:rsidR="00454284">
          <w:rPr>
            <w:webHidden/>
          </w:rPr>
          <w:fldChar w:fldCharType="begin"/>
        </w:r>
        <w:r w:rsidR="00454284">
          <w:rPr>
            <w:webHidden/>
          </w:rPr>
          <w:instrText xml:space="preserve"> PAGEREF _Toc5715522 \h </w:instrText>
        </w:r>
        <w:r w:rsidR="00454284">
          <w:rPr>
            <w:webHidden/>
          </w:rPr>
        </w:r>
        <w:r w:rsidR="00454284">
          <w:rPr>
            <w:webHidden/>
          </w:rPr>
          <w:fldChar w:fldCharType="separate"/>
        </w:r>
        <w:r w:rsidR="00454284">
          <w:rPr>
            <w:webHidden/>
          </w:rPr>
          <w:t>B-1</w:t>
        </w:r>
        <w:r w:rsidR="00454284">
          <w:rPr>
            <w:webHidden/>
          </w:rPr>
          <w:fldChar w:fldCharType="end"/>
        </w:r>
      </w:hyperlink>
    </w:p>
    <w:p w14:paraId="580BF49C" w14:textId="77777777" w:rsidR="00454284" w:rsidRDefault="001A6304">
      <w:pPr>
        <w:pStyle w:val="TOC1"/>
        <w:tabs>
          <w:tab w:val="left" w:pos="1980"/>
        </w:tabs>
        <w:rPr>
          <w:rFonts w:asciiTheme="minorHAnsi" w:eastAsiaTheme="minorEastAsia" w:hAnsiTheme="minorHAnsi" w:cstheme="minorBidi"/>
          <w:b w:val="0"/>
          <w:bCs w:val="0"/>
          <w:snapToGrid/>
          <w:color w:val="auto"/>
          <w:w w:val="100"/>
          <w:sz w:val="22"/>
        </w:rPr>
      </w:pPr>
      <w:hyperlink w:anchor="_Toc5715523" w:history="1">
        <w:r w:rsidR="00454284" w:rsidRPr="00391746">
          <w:rPr>
            <w:rStyle w:val="Hyperlink"/>
            <w:rFonts w:cs="Times New Roman"/>
          </w:rPr>
          <w:t>Appendix C</w:t>
        </w:r>
        <w:r w:rsidR="00454284">
          <w:rPr>
            <w:rFonts w:asciiTheme="minorHAnsi" w:eastAsiaTheme="minorEastAsia" w:hAnsiTheme="minorHAnsi" w:cstheme="minorBidi"/>
            <w:b w:val="0"/>
            <w:bCs w:val="0"/>
            <w:snapToGrid/>
            <w:color w:val="auto"/>
            <w:w w:val="100"/>
            <w:sz w:val="22"/>
          </w:rPr>
          <w:tab/>
        </w:r>
        <w:r w:rsidR="00454284" w:rsidRPr="00391746">
          <w:rPr>
            <w:rStyle w:val="Hyperlink"/>
          </w:rPr>
          <w:t>DSRE Measure List</w:t>
        </w:r>
        <w:r w:rsidR="00454284">
          <w:rPr>
            <w:webHidden/>
          </w:rPr>
          <w:tab/>
        </w:r>
        <w:r w:rsidR="00454284">
          <w:rPr>
            <w:webHidden/>
          </w:rPr>
          <w:fldChar w:fldCharType="begin"/>
        </w:r>
        <w:r w:rsidR="00454284">
          <w:rPr>
            <w:webHidden/>
          </w:rPr>
          <w:instrText xml:space="preserve"> PAGEREF _Toc5715523 \h </w:instrText>
        </w:r>
        <w:r w:rsidR="00454284">
          <w:rPr>
            <w:webHidden/>
          </w:rPr>
        </w:r>
        <w:r w:rsidR="00454284">
          <w:rPr>
            <w:webHidden/>
          </w:rPr>
          <w:fldChar w:fldCharType="separate"/>
        </w:r>
        <w:r w:rsidR="00454284">
          <w:rPr>
            <w:webHidden/>
          </w:rPr>
          <w:t>C-1</w:t>
        </w:r>
        <w:r w:rsidR="00454284">
          <w:rPr>
            <w:webHidden/>
          </w:rPr>
          <w:fldChar w:fldCharType="end"/>
        </w:r>
      </w:hyperlink>
    </w:p>
    <w:p w14:paraId="5DB3F031" w14:textId="77777777" w:rsidR="00454284" w:rsidRDefault="001A6304">
      <w:pPr>
        <w:pStyle w:val="TOC1"/>
        <w:tabs>
          <w:tab w:val="left" w:pos="1980"/>
        </w:tabs>
        <w:rPr>
          <w:rFonts w:asciiTheme="minorHAnsi" w:eastAsiaTheme="minorEastAsia" w:hAnsiTheme="minorHAnsi" w:cstheme="minorBidi"/>
          <w:b w:val="0"/>
          <w:bCs w:val="0"/>
          <w:snapToGrid/>
          <w:color w:val="auto"/>
          <w:w w:val="100"/>
          <w:sz w:val="22"/>
        </w:rPr>
      </w:pPr>
      <w:hyperlink w:anchor="_Toc5715524" w:history="1">
        <w:r w:rsidR="00454284" w:rsidRPr="00391746">
          <w:rPr>
            <w:rStyle w:val="Hyperlink"/>
            <w:rFonts w:cs="Times New Roman"/>
          </w:rPr>
          <w:t>Appendix D</w:t>
        </w:r>
        <w:r w:rsidR="00454284">
          <w:rPr>
            <w:rFonts w:asciiTheme="minorHAnsi" w:eastAsiaTheme="minorEastAsia" w:hAnsiTheme="minorHAnsi" w:cstheme="minorBidi"/>
            <w:b w:val="0"/>
            <w:bCs w:val="0"/>
            <w:snapToGrid/>
            <w:color w:val="auto"/>
            <w:w w:val="100"/>
            <w:sz w:val="22"/>
          </w:rPr>
          <w:tab/>
        </w:r>
        <w:r w:rsidR="00454284" w:rsidRPr="00391746">
          <w:rPr>
            <w:rStyle w:val="Hyperlink"/>
          </w:rPr>
          <w:t>Customer Demand Characteristics</w:t>
        </w:r>
        <w:r w:rsidR="00454284">
          <w:rPr>
            <w:webHidden/>
          </w:rPr>
          <w:tab/>
        </w:r>
        <w:r w:rsidR="00454284">
          <w:rPr>
            <w:webHidden/>
          </w:rPr>
          <w:fldChar w:fldCharType="begin"/>
        </w:r>
        <w:r w:rsidR="00454284">
          <w:rPr>
            <w:webHidden/>
          </w:rPr>
          <w:instrText xml:space="preserve"> PAGEREF _Toc5715524 \h </w:instrText>
        </w:r>
        <w:r w:rsidR="00454284">
          <w:rPr>
            <w:webHidden/>
          </w:rPr>
        </w:r>
        <w:r w:rsidR="00454284">
          <w:rPr>
            <w:webHidden/>
          </w:rPr>
          <w:fldChar w:fldCharType="separate"/>
        </w:r>
        <w:r w:rsidR="00454284">
          <w:rPr>
            <w:webHidden/>
          </w:rPr>
          <w:t>D-1</w:t>
        </w:r>
        <w:r w:rsidR="00454284">
          <w:rPr>
            <w:webHidden/>
          </w:rPr>
          <w:fldChar w:fldCharType="end"/>
        </w:r>
      </w:hyperlink>
    </w:p>
    <w:p w14:paraId="6401E72B" w14:textId="77777777" w:rsidR="008C2744" w:rsidRDefault="00552DF3" w:rsidP="008C2744">
      <w:pPr>
        <w:pStyle w:val="Text"/>
        <w:rPr>
          <w:noProof/>
          <w:u w:color="1F497D" w:themeColor="text2"/>
        </w:rPr>
      </w:pPr>
      <w:r>
        <w:rPr>
          <w:noProof/>
          <w:u w:color="1F497D" w:themeColor="text2"/>
        </w:rPr>
        <w:fldChar w:fldCharType="end"/>
      </w:r>
      <w:bookmarkStart w:id="5" w:name="_Ref251758771"/>
      <w:bookmarkStart w:id="6" w:name="_Toc345532899"/>
    </w:p>
    <w:p w14:paraId="6401E72C" w14:textId="77777777" w:rsidR="008C2744" w:rsidRDefault="008C2744" w:rsidP="008C2744">
      <w:pPr>
        <w:pStyle w:val="Text"/>
        <w:rPr>
          <w:noProof/>
          <w:u w:color="1F497D" w:themeColor="text2"/>
        </w:rPr>
        <w:sectPr w:rsidR="008C2744" w:rsidSect="008C2744">
          <w:headerReference w:type="default" r:id="rId16"/>
          <w:footerReference w:type="default" r:id="rId17"/>
          <w:headerReference w:type="first" r:id="rId18"/>
          <w:footerReference w:type="first" r:id="rId19"/>
          <w:pgSz w:w="12240" w:h="15840"/>
          <w:pgMar w:top="1440" w:right="1224" w:bottom="1440" w:left="1224" w:header="720" w:footer="720" w:gutter="0"/>
          <w:pgNumType w:fmt="lowerRoman" w:start="1"/>
          <w:cols w:space="720"/>
          <w:titlePg/>
          <w:docGrid w:linePitch="299"/>
        </w:sectPr>
      </w:pPr>
    </w:p>
    <w:p w14:paraId="6401E72D" w14:textId="77777777" w:rsidR="008C2744" w:rsidRDefault="008C2744" w:rsidP="008C2744">
      <w:pPr>
        <w:pStyle w:val="Text"/>
        <w:rPr>
          <w:noProof/>
          <w:u w:color="1F497D" w:themeColor="text2"/>
        </w:rPr>
      </w:pPr>
    </w:p>
    <w:p w14:paraId="6401E72E" w14:textId="77777777" w:rsidR="008C2744" w:rsidRDefault="008C2744" w:rsidP="008C2744">
      <w:pPr>
        <w:pStyle w:val="Text"/>
        <w:rPr>
          <w:noProof/>
          <w:u w:color="1F497D" w:themeColor="text2"/>
        </w:rPr>
        <w:sectPr w:rsidR="008C2744" w:rsidSect="008C2744">
          <w:type w:val="continuous"/>
          <w:pgSz w:w="12240" w:h="15840"/>
          <w:pgMar w:top="1440" w:right="1224" w:bottom="1440" w:left="1224" w:header="720" w:footer="720" w:gutter="0"/>
          <w:cols w:space="720"/>
          <w:titlePg/>
          <w:docGrid w:linePitch="299"/>
        </w:sectPr>
      </w:pPr>
    </w:p>
    <w:p w14:paraId="6401E72F" w14:textId="77777777" w:rsidR="00266EB9" w:rsidRPr="00FE10C1" w:rsidRDefault="00266EB9" w:rsidP="00E9074A">
      <w:pPr>
        <w:pStyle w:val="IntroPages-Listoffiguresheadings"/>
      </w:pPr>
      <w:bookmarkStart w:id="7" w:name="_Toc411075548"/>
      <w:r w:rsidRPr="00FE10C1">
        <w:t xml:space="preserve">List of </w:t>
      </w:r>
      <w:bookmarkEnd w:id="7"/>
      <w:r w:rsidRPr="00FE10C1">
        <w:t>Figures</w:t>
      </w:r>
    </w:p>
    <w:p w14:paraId="28E1852B" w14:textId="77777777" w:rsidR="00454284" w:rsidRDefault="003C34F8">
      <w:pPr>
        <w:pStyle w:val="TableofFigures"/>
        <w:tabs>
          <w:tab w:val="right" w:leader="dot" w:pos="9782"/>
        </w:tabs>
        <w:rPr>
          <w:rFonts w:eastAsiaTheme="minorEastAsia" w:cstheme="minorBidi"/>
          <w:noProof/>
          <w:szCs w:val="22"/>
        </w:rPr>
      </w:pPr>
      <w:r>
        <w:fldChar w:fldCharType="begin"/>
      </w:r>
      <w:r>
        <w:instrText xml:space="preserve"> TOC \h \z \c "Figure" </w:instrText>
      </w:r>
      <w:r>
        <w:fldChar w:fldCharType="separate"/>
      </w:r>
      <w:hyperlink w:anchor="_Toc5715414" w:history="1">
        <w:r w:rsidR="00454284" w:rsidRPr="00B26EC3">
          <w:rPr>
            <w:rStyle w:val="Hyperlink"/>
            <w:noProof/>
          </w:rPr>
          <w:t>Figure 2</w:t>
        </w:r>
        <w:r w:rsidR="00454284" w:rsidRPr="00B26EC3">
          <w:rPr>
            <w:rStyle w:val="Hyperlink"/>
            <w:noProof/>
          </w:rPr>
          <w:noBreakHyphen/>
          <w:t>1: Approach to Market Potential Modeling</w:t>
        </w:r>
        <w:r w:rsidR="00454284">
          <w:rPr>
            <w:noProof/>
            <w:webHidden/>
          </w:rPr>
          <w:tab/>
        </w:r>
        <w:r w:rsidR="00454284">
          <w:rPr>
            <w:noProof/>
            <w:webHidden/>
          </w:rPr>
          <w:fldChar w:fldCharType="begin"/>
        </w:r>
        <w:r w:rsidR="00454284">
          <w:rPr>
            <w:noProof/>
            <w:webHidden/>
          </w:rPr>
          <w:instrText xml:space="preserve"> PAGEREF _Toc5715414 \h </w:instrText>
        </w:r>
        <w:r w:rsidR="00454284">
          <w:rPr>
            <w:noProof/>
            <w:webHidden/>
          </w:rPr>
        </w:r>
        <w:r w:rsidR="00454284">
          <w:rPr>
            <w:noProof/>
            <w:webHidden/>
          </w:rPr>
          <w:fldChar w:fldCharType="separate"/>
        </w:r>
        <w:r w:rsidR="00454284">
          <w:rPr>
            <w:noProof/>
            <w:webHidden/>
          </w:rPr>
          <w:t>10</w:t>
        </w:r>
        <w:r w:rsidR="00454284">
          <w:rPr>
            <w:noProof/>
            <w:webHidden/>
          </w:rPr>
          <w:fldChar w:fldCharType="end"/>
        </w:r>
      </w:hyperlink>
    </w:p>
    <w:p w14:paraId="6EBE90C5" w14:textId="77777777" w:rsidR="00454284" w:rsidRDefault="001A6304">
      <w:pPr>
        <w:pStyle w:val="TableofFigures"/>
        <w:tabs>
          <w:tab w:val="right" w:leader="dot" w:pos="9782"/>
        </w:tabs>
        <w:rPr>
          <w:rFonts w:eastAsiaTheme="minorEastAsia" w:cstheme="minorBidi"/>
          <w:noProof/>
          <w:szCs w:val="22"/>
        </w:rPr>
      </w:pPr>
      <w:hyperlink w:anchor="_Toc5715415" w:history="1">
        <w:r w:rsidR="00454284" w:rsidRPr="00B26EC3">
          <w:rPr>
            <w:rStyle w:val="Hyperlink"/>
            <w:noProof/>
          </w:rPr>
          <w:t>Figure 3</w:t>
        </w:r>
        <w:r w:rsidR="00454284" w:rsidRPr="00B26EC3">
          <w:rPr>
            <w:rStyle w:val="Hyperlink"/>
            <w:noProof/>
          </w:rPr>
          <w:noBreakHyphen/>
          <w:t>1: Residential Customer Segmentation</w:t>
        </w:r>
        <w:r w:rsidR="00454284">
          <w:rPr>
            <w:noProof/>
            <w:webHidden/>
          </w:rPr>
          <w:tab/>
        </w:r>
        <w:r w:rsidR="00454284">
          <w:rPr>
            <w:noProof/>
            <w:webHidden/>
          </w:rPr>
          <w:fldChar w:fldCharType="begin"/>
        </w:r>
        <w:r w:rsidR="00454284">
          <w:rPr>
            <w:noProof/>
            <w:webHidden/>
          </w:rPr>
          <w:instrText xml:space="preserve"> PAGEREF _Toc5715415 \h </w:instrText>
        </w:r>
        <w:r w:rsidR="00454284">
          <w:rPr>
            <w:noProof/>
            <w:webHidden/>
          </w:rPr>
        </w:r>
        <w:r w:rsidR="00454284">
          <w:rPr>
            <w:noProof/>
            <w:webHidden/>
          </w:rPr>
          <w:fldChar w:fldCharType="separate"/>
        </w:r>
        <w:r w:rsidR="00454284">
          <w:rPr>
            <w:noProof/>
            <w:webHidden/>
          </w:rPr>
          <w:t>16</w:t>
        </w:r>
        <w:r w:rsidR="00454284">
          <w:rPr>
            <w:noProof/>
            <w:webHidden/>
          </w:rPr>
          <w:fldChar w:fldCharType="end"/>
        </w:r>
      </w:hyperlink>
    </w:p>
    <w:p w14:paraId="1FC4C0B7" w14:textId="77777777" w:rsidR="00454284" w:rsidRDefault="001A6304">
      <w:pPr>
        <w:pStyle w:val="TableofFigures"/>
        <w:tabs>
          <w:tab w:val="right" w:leader="dot" w:pos="9782"/>
        </w:tabs>
        <w:rPr>
          <w:rFonts w:eastAsiaTheme="minorEastAsia" w:cstheme="minorBidi"/>
          <w:noProof/>
          <w:szCs w:val="22"/>
        </w:rPr>
      </w:pPr>
      <w:hyperlink w:anchor="_Toc5715416" w:history="1">
        <w:r w:rsidR="00454284" w:rsidRPr="00B26EC3">
          <w:rPr>
            <w:rStyle w:val="Hyperlink"/>
            <w:noProof/>
          </w:rPr>
          <w:t>Figure 3</w:t>
        </w:r>
        <w:r w:rsidR="00454284" w:rsidRPr="00B26EC3">
          <w:rPr>
            <w:rStyle w:val="Hyperlink"/>
            <w:noProof/>
          </w:rPr>
          <w:noBreakHyphen/>
          <w:t>2: Commercial Customer Segmentation</w:t>
        </w:r>
        <w:r w:rsidR="00454284">
          <w:rPr>
            <w:noProof/>
            <w:webHidden/>
          </w:rPr>
          <w:tab/>
        </w:r>
        <w:r w:rsidR="00454284">
          <w:rPr>
            <w:noProof/>
            <w:webHidden/>
          </w:rPr>
          <w:fldChar w:fldCharType="begin"/>
        </w:r>
        <w:r w:rsidR="00454284">
          <w:rPr>
            <w:noProof/>
            <w:webHidden/>
          </w:rPr>
          <w:instrText xml:space="preserve"> PAGEREF _Toc5715416 \h </w:instrText>
        </w:r>
        <w:r w:rsidR="00454284">
          <w:rPr>
            <w:noProof/>
            <w:webHidden/>
          </w:rPr>
        </w:r>
        <w:r w:rsidR="00454284">
          <w:rPr>
            <w:noProof/>
            <w:webHidden/>
          </w:rPr>
          <w:fldChar w:fldCharType="separate"/>
        </w:r>
        <w:r w:rsidR="00454284">
          <w:rPr>
            <w:noProof/>
            <w:webHidden/>
          </w:rPr>
          <w:t>17</w:t>
        </w:r>
        <w:r w:rsidR="00454284">
          <w:rPr>
            <w:noProof/>
            <w:webHidden/>
          </w:rPr>
          <w:fldChar w:fldCharType="end"/>
        </w:r>
      </w:hyperlink>
    </w:p>
    <w:p w14:paraId="5A21FCBA" w14:textId="77777777" w:rsidR="00454284" w:rsidRDefault="001A6304">
      <w:pPr>
        <w:pStyle w:val="TableofFigures"/>
        <w:tabs>
          <w:tab w:val="right" w:leader="dot" w:pos="9782"/>
        </w:tabs>
        <w:rPr>
          <w:rFonts w:eastAsiaTheme="minorEastAsia" w:cstheme="minorBidi"/>
          <w:noProof/>
          <w:szCs w:val="22"/>
        </w:rPr>
      </w:pPr>
      <w:hyperlink w:anchor="_Toc5715417" w:history="1">
        <w:r w:rsidR="00454284" w:rsidRPr="00B26EC3">
          <w:rPr>
            <w:rStyle w:val="Hyperlink"/>
            <w:noProof/>
          </w:rPr>
          <w:t>Figure 3</w:t>
        </w:r>
        <w:r w:rsidR="00454284" w:rsidRPr="00B26EC3">
          <w:rPr>
            <w:rStyle w:val="Hyperlink"/>
            <w:noProof/>
          </w:rPr>
          <w:noBreakHyphen/>
          <w:t>3: Industrial Customer Segmentation</w:t>
        </w:r>
        <w:r w:rsidR="00454284">
          <w:rPr>
            <w:noProof/>
            <w:webHidden/>
          </w:rPr>
          <w:tab/>
        </w:r>
        <w:r w:rsidR="00454284">
          <w:rPr>
            <w:noProof/>
            <w:webHidden/>
          </w:rPr>
          <w:fldChar w:fldCharType="begin"/>
        </w:r>
        <w:r w:rsidR="00454284">
          <w:rPr>
            <w:noProof/>
            <w:webHidden/>
          </w:rPr>
          <w:instrText xml:space="preserve"> PAGEREF _Toc5715417 \h </w:instrText>
        </w:r>
        <w:r w:rsidR="00454284">
          <w:rPr>
            <w:noProof/>
            <w:webHidden/>
          </w:rPr>
        </w:r>
        <w:r w:rsidR="00454284">
          <w:rPr>
            <w:noProof/>
            <w:webHidden/>
          </w:rPr>
          <w:fldChar w:fldCharType="separate"/>
        </w:r>
        <w:r w:rsidR="00454284">
          <w:rPr>
            <w:noProof/>
            <w:webHidden/>
          </w:rPr>
          <w:t>17</w:t>
        </w:r>
        <w:r w:rsidR="00454284">
          <w:rPr>
            <w:noProof/>
            <w:webHidden/>
          </w:rPr>
          <w:fldChar w:fldCharType="end"/>
        </w:r>
      </w:hyperlink>
    </w:p>
    <w:p w14:paraId="64E95A03" w14:textId="77777777" w:rsidR="00454284" w:rsidRDefault="001A6304">
      <w:pPr>
        <w:pStyle w:val="TableofFigures"/>
        <w:tabs>
          <w:tab w:val="right" w:leader="dot" w:pos="9782"/>
        </w:tabs>
        <w:rPr>
          <w:rFonts w:eastAsiaTheme="minorEastAsia" w:cstheme="minorBidi"/>
          <w:noProof/>
          <w:szCs w:val="22"/>
        </w:rPr>
      </w:pPr>
      <w:hyperlink w:anchor="_Toc5715418" w:history="1">
        <w:r w:rsidR="00454284" w:rsidRPr="00B26EC3">
          <w:rPr>
            <w:rStyle w:val="Hyperlink"/>
            <w:noProof/>
          </w:rPr>
          <w:t>Figure 3</w:t>
        </w:r>
        <w:r w:rsidR="00454284" w:rsidRPr="00B26EC3">
          <w:rPr>
            <w:rStyle w:val="Hyperlink"/>
            <w:noProof/>
          </w:rPr>
          <w:noBreakHyphen/>
          <w:t>4: 2020 Electricity Sales Forecast by Sector</w:t>
        </w:r>
        <w:r w:rsidR="00454284">
          <w:rPr>
            <w:noProof/>
            <w:webHidden/>
          </w:rPr>
          <w:tab/>
        </w:r>
        <w:r w:rsidR="00454284">
          <w:rPr>
            <w:noProof/>
            <w:webHidden/>
          </w:rPr>
          <w:fldChar w:fldCharType="begin"/>
        </w:r>
        <w:r w:rsidR="00454284">
          <w:rPr>
            <w:noProof/>
            <w:webHidden/>
          </w:rPr>
          <w:instrText xml:space="preserve"> PAGEREF _Toc5715418 \h </w:instrText>
        </w:r>
        <w:r w:rsidR="00454284">
          <w:rPr>
            <w:noProof/>
            <w:webHidden/>
          </w:rPr>
        </w:r>
        <w:r w:rsidR="00454284">
          <w:rPr>
            <w:noProof/>
            <w:webHidden/>
          </w:rPr>
          <w:fldChar w:fldCharType="separate"/>
        </w:r>
        <w:r w:rsidR="00454284">
          <w:rPr>
            <w:noProof/>
            <w:webHidden/>
          </w:rPr>
          <w:t>19</w:t>
        </w:r>
        <w:r w:rsidR="00454284">
          <w:rPr>
            <w:noProof/>
            <w:webHidden/>
          </w:rPr>
          <w:fldChar w:fldCharType="end"/>
        </w:r>
      </w:hyperlink>
    </w:p>
    <w:p w14:paraId="672F1B40" w14:textId="77777777" w:rsidR="00454284" w:rsidRDefault="001A6304">
      <w:pPr>
        <w:pStyle w:val="TableofFigures"/>
        <w:tabs>
          <w:tab w:val="right" w:leader="dot" w:pos="9782"/>
        </w:tabs>
        <w:rPr>
          <w:rFonts w:eastAsiaTheme="minorEastAsia" w:cstheme="minorBidi"/>
          <w:noProof/>
          <w:szCs w:val="22"/>
        </w:rPr>
      </w:pPr>
      <w:hyperlink w:anchor="_Toc5715419" w:history="1">
        <w:r w:rsidR="00454284" w:rsidRPr="00B26EC3">
          <w:rPr>
            <w:rStyle w:val="Hyperlink"/>
            <w:noProof/>
          </w:rPr>
          <w:t>Figure 3</w:t>
        </w:r>
        <w:r w:rsidR="00454284" w:rsidRPr="00B26EC3">
          <w:rPr>
            <w:rStyle w:val="Hyperlink"/>
            <w:noProof/>
          </w:rPr>
          <w:noBreakHyphen/>
          <w:t>5: Residential Baseline (2020) Energy Sales by End-Use</w:t>
        </w:r>
        <w:r w:rsidR="00454284">
          <w:rPr>
            <w:noProof/>
            <w:webHidden/>
          </w:rPr>
          <w:tab/>
        </w:r>
        <w:r w:rsidR="00454284">
          <w:rPr>
            <w:noProof/>
            <w:webHidden/>
          </w:rPr>
          <w:fldChar w:fldCharType="begin"/>
        </w:r>
        <w:r w:rsidR="00454284">
          <w:rPr>
            <w:noProof/>
            <w:webHidden/>
          </w:rPr>
          <w:instrText xml:space="preserve"> PAGEREF _Toc5715419 \h </w:instrText>
        </w:r>
        <w:r w:rsidR="00454284">
          <w:rPr>
            <w:noProof/>
            <w:webHidden/>
          </w:rPr>
        </w:r>
        <w:r w:rsidR="00454284">
          <w:rPr>
            <w:noProof/>
            <w:webHidden/>
          </w:rPr>
          <w:fldChar w:fldCharType="separate"/>
        </w:r>
        <w:r w:rsidR="00454284">
          <w:rPr>
            <w:noProof/>
            <w:webHidden/>
          </w:rPr>
          <w:t>20</w:t>
        </w:r>
        <w:r w:rsidR="00454284">
          <w:rPr>
            <w:noProof/>
            <w:webHidden/>
          </w:rPr>
          <w:fldChar w:fldCharType="end"/>
        </w:r>
      </w:hyperlink>
    </w:p>
    <w:p w14:paraId="15355140" w14:textId="77777777" w:rsidR="00454284" w:rsidRDefault="001A6304">
      <w:pPr>
        <w:pStyle w:val="TableofFigures"/>
        <w:tabs>
          <w:tab w:val="right" w:leader="dot" w:pos="9782"/>
        </w:tabs>
        <w:rPr>
          <w:rFonts w:eastAsiaTheme="minorEastAsia" w:cstheme="minorBidi"/>
          <w:noProof/>
          <w:szCs w:val="22"/>
        </w:rPr>
      </w:pPr>
      <w:hyperlink w:anchor="_Toc5715420" w:history="1">
        <w:r w:rsidR="00454284" w:rsidRPr="00B26EC3">
          <w:rPr>
            <w:rStyle w:val="Hyperlink"/>
            <w:noProof/>
          </w:rPr>
          <w:t>Figure 3</w:t>
        </w:r>
        <w:r w:rsidR="00454284" w:rsidRPr="00B26EC3">
          <w:rPr>
            <w:rStyle w:val="Hyperlink"/>
            <w:noProof/>
          </w:rPr>
          <w:noBreakHyphen/>
          <w:t>6: Commercial Baseline (2020) Energy Sales by End-Use</w:t>
        </w:r>
        <w:r w:rsidR="00454284">
          <w:rPr>
            <w:noProof/>
            <w:webHidden/>
          </w:rPr>
          <w:tab/>
        </w:r>
        <w:r w:rsidR="00454284">
          <w:rPr>
            <w:noProof/>
            <w:webHidden/>
          </w:rPr>
          <w:fldChar w:fldCharType="begin"/>
        </w:r>
        <w:r w:rsidR="00454284">
          <w:rPr>
            <w:noProof/>
            <w:webHidden/>
          </w:rPr>
          <w:instrText xml:space="preserve"> PAGEREF _Toc5715420 \h </w:instrText>
        </w:r>
        <w:r w:rsidR="00454284">
          <w:rPr>
            <w:noProof/>
            <w:webHidden/>
          </w:rPr>
        </w:r>
        <w:r w:rsidR="00454284">
          <w:rPr>
            <w:noProof/>
            <w:webHidden/>
          </w:rPr>
          <w:fldChar w:fldCharType="separate"/>
        </w:r>
        <w:r w:rsidR="00454284">
          <w:rPr>
            <w:noProof/>
            <w:webHidden/>
          </w:rPr>
          <w:t>20</w:t>
        </w:r>
        <w:r w:rsidR="00454284">
          <w:rPr>
            <w:noProof/>
            <w:webHidden/>
          </w:rPr>
          <w:fldChar w:fldCharType="end"/>
        </w:r>
      </w:hyperlink>
    </w:p>
    <w:p w14:paraId="397AC66A" w14:textId="77777777" w:rsidR="00454284" w:rsidRDefault="001A6304">
      <w:pPr>
        <w:pStyle w:val="TableofFigures"/>
        <w:tabs>
          <w:tab w:val="right" w:leader="dot" w:pos="9782"/>
        </w:tabs>
        <w:rPr>
          <w:rFonts w:eastAsiaTheme="minorEastAsia" w:cstheme="minorBidi"/>
          <w:noProof/>
          <w:szCs w:val="22"/>
        </w:rPr>
      </w:pPr>
      <w:hyperlink w:anchor="_Toc5715421" w:history="1">
        <w:r w:rsidR="00454284" w:rsidRPr="00B26EC3">
          <w:rPr>
            <w:rStyle w:val="Hyperlink"/>
            <w:noProof/>
          </w:rPr>
          <w:t>Figure 3</w:t>
        </w:r>
        <w:r w:rsidR="00454284" w:rsidRPr="00B26EC3">
          <w:rPr>
            <w:rStyle w:val="Hyperlink"/>
            <w:noProof/>
          </w:rPr>
          <w:noBreakHyphen/>
          <w:t>7: Industrial Baseline (2020) Energy Sales by End-Use</w:t>
        </w:r>
        <w:r w:rsidR="00454284">
          <w:rPr>
            <w:noProof/>
            <w:webHidden/>
          </w:rPr>
          <w:tab/>
        </w:r>
        <w:r w:rsidR="00454284">
          <w:rPr>
            <w:noProof/>
            <w:webHidden/>
          </w:rPr>
          <w:fldChar w:fldCharType="begin"/>
        </w:r>
        <w:r w:rsidR="00454284">
          <w:rPr>
            <w:noProof/>
            <w:webHidden/>
          </w:rPr>
          <w:instrText xml:space="preserve"> PAGEREF _Toc5715421 \h </w:instrText>
        </w:r>
        <w:r w:rsidR="00454284">
          <w:rPr>
            <w:noProof/>
            <w:webHidden/>
          </w:rPr>
        </w:r>
        <w:r w:rsidR="00454284">
          <w:rPr>
            <w:noProof/>
            <w:webHidden/>
          </w:rPr>
          <w:fldChar w:fldCharType="separate"/>
        </w:r>
        <w:r w:rsidR="00454284">
          <w:rPr>
            <w:noProof/>
            <w:webHidden/>
          </w:rPr>
          <w:t>21</w:t>
        </w:r>
        <w:r w:rsidR="00454284">
          <w:rPr>
            <w:noProof/>
            <w:webHidden/>
          </w:rPr>
          <w:fldChar w:fldCharType="end"/>
        </w:r>
      </w:hyperlink>
    </w:p>
    <w:p w14:paraId="361A92E5" w14:textId="77777777" w:rsidR="00454284" w:rsidRDefault="001A6304">
      <w:pPr>
        <w:pStyle w:val="TableofFigures"/>
        <w:tabs>
          <w:tab w:val="right" w:leader="dot" w:pos="9782"/>
        </w:tabs>
        <w:rPr>
          <w:rFonts w:eastAsiaTheme="minorEastAsia" w:cstheme="minorBidi"/>
          <w:noProof/>
          <w:szCs w:val="22"/>
        </w:rPr>
      </w:pPr>
      <w:hyperlink w:anchor="_Toc5715422" w:history="1">
        <w:r w:rsidR="00454284" w:rsidRPr="00B26EC3">
          <w:rPr>
            <w:rStyle w:val="Hyperlink"/>
            <w:noProof/>
          </w:rPr>
          <w:t>Figure 5</w:t>
        </w:r>
        <w:r w:rsidR="00454284" w:rsidRPr="00B26EC3">
          <w:rPr>
            <w:rStyle w:val="Hyperlink"/>
            <w:noProof/>
          </w:rPr>
          <w:noBreakHyphen/>
          <w:t>1: Methodology for Estimating Cooling Loads</w:t>
        </w:r>
        <w:r w:rsidR="00454284">
          <w:rPr>
            <w:noProof/>
            <w:webHidden/>
          </w:rPr>
          <w:tab/>
        </w:r>
        <w:r w:rsidR="00454284">
          <w:rPr>
            <w:noProof/>
            <w:webHidden/>
          </w:rPr>
          <w:fldChar w:fldCharType="begin"/>
        </w:r>
        <w:r w:rsidR="00454284">
          <w:rPr>
            <w:noProof/>
            <w:webHidden/>
          </w:rPr>
          <w:instrText xml:space="preserve"> PAGEREF _Toc5715422 \h </w:instrText>
        </w:r>
        <w:r w:rsidR="00454284">
          <w:rPr>
            <w:noProof/>
            <w:webHidden/>
          </w:rPr>
        </w:r>
        <w:r w:rsidR="00454284">
          <w:rPr>
            <w:noProof/>
            <w:webHidden/>
          </w:rPr>
          <w:fldChar w:fldCharType="separate"/>
        </w:r>
        <w:r w:rsidR="00454284">
          <w:rPr>
            <w:noProof/>
            <w:webHidden/>
          </w:rPr>
          <w:t>31</w:t>
        </w:r>
        <w:r w:rsidR="00454284">
          <w:rPr>
            <w:noProof/>
            <w:webHidden/>
          </w:rPr>
          <w:fldChar w:fldCharType="end"/>
        </w:r>
      </w:hyperlink>
    </w:p>
    <w:p w14:paraId="3482327C" w14:textId="77777777" w:rsidR="00454284" w:rsidRDefault="001A6304">
      <w:pPr>
        <w:pStyle w:val="TableofFigures"/>
        <w:tabs>
          <w:tab w:val="right" w:leader="dot" w:pos="9782"/>
        </w:tabs>
        <w:rPr>
          <w:rFonts w:eastAsiaTheme="minorEastAsia" w:cstheme="minorBidi"/>
          <w:noProof/>
          <w:szCs w:val="22"/>
        </w:rPr>
      </w:pPr>
      <w:hyperlink w:anchor="_Toc5715423" w:history="1">
        <w:r w:rsidR="00454284" w:rsidRPr="00B26EC3">
          <w:rPr>
            <w:rStyle w:val="Hyperlink"/>
            <w:noProof/>
          </w:rPr>
          <w:t>Figure 5</w:t>
        </w:r>
        <w:r w:rsidR="00454284" w:rsidRPr="00B26EC3">
          <w:rPr>
            <w:rStyle w:val="Hyperlink"/>
            <w:noProof/>
          </w:rPr>
          <w:noBreakHyphen/>
          <w:t>2: Residential EE Technical Potential by End-Use (Energy Savings)</w:t>
        </w:r>
        <w:r w:rsidR="00454284">
          <w:rPr>
            <w:noProof/>
            <w:webHidden/>
          </w:rPr>
          <w:tab/>
        </w:r>
        <w:r w:rsidR="00454284">
          <w:rPr>
            <w:noProof/>
            <w:webHidden/>
          </w:rPr>
          <w:fldChar w:fldCharType="begin"/>
        </w:r>
        <w:r w:rsidR="00454284">
          <w:rPr>
            <w:noProof/>
            <w:webHidden/>
          </w:rPr>
          <w:instrText xml:space="preserve"> PAGEREF _Toc5715423 \h </w:instrText>
        </w:r>
        <w:r w:rsidR="00454284">
          <w:rPr>
            <w:noProof/>
            <w:webHidden/>
          </w:rPr>
        </w:r>
        <w:r w:rsidR="00454284">
          <w:rPr>
            <w:noProof/>
            <w:webHidden/>
          </w:rPr>
          <w:fldChar w:fldCharType="separate"/>
        </w:r>
        <w:r w:rsidR="00454284">
          <w:rPr>
            <w:noProof/>
            <w:webHidden/>
          </w:rPr>
          <w:t>36</w:t>
        </w:r>
        <w:r w:rsidR="00454284">
          <w:rPr>
            <w:noProof/>
            <w:webHidden/>
          </w:rPr>
          <w:fldChar w:fldCharType="end"/>
        </w:r>
      </w:hyperlink>
    </w:p>
    <w:p w14:paraId="01D789FB" w14:textId="77777777" w:rsidR="00454284" w:rsidRDefault="001A6304">
      <w:pPr>
        <w:pStyle w:val="TableofFigures"/>
        <w:tabs>
          <w:tab w:val="right" w:leader="dot" w:pos="9782"/>
        </w:tabs>
        <w:rPr>
          <w:rFonts w:eastAsiaTheme="minorEastAsia" w:cstheme="minorBidi"/>
          <w:noProof/>
          <w:szCs w:val="22"/>
        </w:rPr>
      </w:pPr>
      <w:hyperlink w:anchor="_Toc5715424" w:history="1">
        <w:r w:rsidR="00454284" w:rsidRPr="00B26EC3">
          <w:rPr>
            <w:rStyle w:val="Hyperlink"/>
            <w:noProof/>
          </w:rPr>
          <w:t>Figure 5</w:t>
        </w:r>
        <w:r w:rsidR="00454284" w:rsidRPr="00B26EC3">
          <w:rPr>
            <w:rStyle w:val="Hyperlink"/>
            <w:noProof/>
          </w:rPr>
          <w:noBreakHyphen/>
          <w:t>3: Residential EE Technical Potential by End-Use (Summer Peak Savings)</w:t>
        </w:r>
        <w:r w:rsidR="00454284">
          <w:rPr>
            <w:noProof/>
            <w:webHidden/>
          </w:rPr>
          <w:tab/>
        </w:r>
        <w:r w:rsidR="00454284">
          <w:rPr>
            <w:noProof/>
            <w:webHidden/>
          </w:rPr>
          <w:fldChar w:fldCharType="begin"/>
        </w:r>
        <w:r w:rsidR="00454284">
          <w:rPr>
            <w:noProof/>
            <w:webHidden/>
          </w:rPr>
          <w:instrText xml:space="preserve"> PAGEREF _Toc5715424 \h </w:instrText>
        </w:r>
        <w:r w:rsidR="00454284">
          <w:rPr>
            <w:noProof/>
            <w:webHidden/>
          </w:rPr>
        </w:r>
        <w:r w:rsidR="00454284">
          <w:rPr>
            <w:noProof/>
            <w:webHidden/>
          </w:rPr>
          <w:fldChar w:fldCharType="separate"/>
        </w:r>
        <w:r w:rsidR="00454284">
          <w:rPr>
            <w:noProof/>
            <w:webHidden/>
          </w:rPr>
          <w:t>37</w:t>
        </w:r>
        <w:r w:rsidR="00454284">
          <w:rPr>
            <w:noProof/>
            <w:webHidden/>
          </w:rPr>
          <w:fldChar w:fldCharType="end"/>
        </w:r>
      </w:hyperlink>
    </w:p>
    <w:p w14:paraId="44D507DF" w14:textId="77777777" w:rsidR="00454284" w:rsidRDefault="001A6304">
      <w:pPr>
        <w:pStyle w:val="TableofFigures"/>
        <w:tabs>
          <w:tab w:val="right" w:leader="dot" w:pos="9782"/>
        </w:tabs>
        <w:rPr>
          <w:rFonts w:eastAsiaTheme="minorEastAsia" w:cstheme="minorBidi"/>
          <w:noProof/>
          <w:szCs w:val="22"/>
        </w:rPr>
      </w:pPr>
      <w:hyperlink w:anchor="_Toc5715425" w:history="1">
        <w:r w:rsidR="00454284" w:rsidRPr="00B26EC3">
          <w:rPr>
            <w:rStyle w:val="Hyperlink"/>
            <w:noProof/>
          </w:rPr>
          <w:t>Figure 5</w:t>
        </w:r>
        <w:r w:rsidR="00454284" w:rsidRPr="00B26EC3">
          <w:rPr>
            <w:rStyle w:val="Hyperlink"/>
            <w:noProof/>
          </w:rPr>
          <w:noBreakHyphen/>
          <w:t>4: Residential EE Technical Potential by End-Use (Winter Peak Savings)</w:t>
        </w:r>
        <w:r w:rsidR="00454284">
          <w:rPr>
            <w:noProof/>
            <w:webHidden/>
          </w:rPr>
          <w:tab/>
        </w:r>
        <w:r w:rsidR="00454284">
          <w:rPr>
            <w:noProof/>
            <w:webHidden/>
          </w:rPr>
          <w:fldChar w:fldCharType="begin"/>
        </w:r>
        <w:r w:rsidR="00454284">
          <w:rPr>
            <w:noProof/>
            <w:webHidden/>
          </w:rPr>
          <w:instrText xml:space="preserve"> PAGEREF _Toc5715425 \h </w:instrText>
        </w:r>
        <w:r w:rsidR="00454284">
          <w:rPr>
            <w:noProof/>
            <w:webHidden/>
          </w:rPr>
        </w:r>
        <w:r w:rsidR="00454284">
          <w:rPr>
            <w:noProof/>
            <w:webHidden/>
          </w:rPr>
          <w:fldChar w:fldCharType="separate"/>
        </w:r>
        <w:r w:rsidR="00454284">
          <w:rPr>
            <w:noProof/>
            <w:webHidden/>
          </w:rPr>
          <w:t>37</w:t>
        </w:r>
        <w:r w:rsidR="00454284">
          <w:rPr>
            <w:noProof/>
            <w:webHidden/>
          </w:rPr>
          <w:fldChar w:fldCharType="end"/>
        </w:r>
      </w:hyperlink>
    </w:p>
    <w:p w14:paraId="3B9BDDDE" w14:textId="77777777" w:rsidR="00454284" w:rsidRDefault="001A6304">
      <w:pPr>
        <w:pStyle w:val="TableofFigures"/>
        <w:tabs>
          <w:tab w:val="right" w:leader="dot" w:pos="9782"/>
        </w:tabs>
        <w:rPr>
          <w:rFonts w:eastAsiaTheme="minorEastAsia" w:cstheme="minorBidi"/>
          <w:noProof/>
          <w:szCs w:val="22"/>
        </w:rPr>
      </w:pPr>
      <w:hyperlink w:anchor="_Toc5715426" w:history="1">
        <w:r w:rsidR="00454284" w:rsidRPr="00B26EC3">
          <w:rPr>
            <w:rStyle w:val="Hyperlink"/>
            <w:noProof/>
          </w:rPr>
          <w:t>Figure 5</w:t>
        </w:r>
        <w:r w:rsidR="00454284" w:rsidRPr="00B26EC3">
          <w:rPr>
            <w:rStyle w:val="Hyperlink"/>
            <w:noProof/>
          </w:rPr>
          <w:noBreakHyphen/>
          <w:t>5: Commercial EE Technical Potential by End-Use (Energy Savings)</w:t>
        </w:r>
        <w:r w:rsidR="00454284">
          <w:rPr>
            <w:noProof/>
            <w:webHidden/>
          </w:rPr>
          <w:tab/>
        </w:r>
        <w:r w:rsidR="00454284">
          <w:rPr>
            <w:noProof/>
            <w:webHidden/>
          </w:rPr>
          <w:fldChar w:fldCharType="begin"/>
        </w:r>
        <w:r w:rsidR="00454284">
          <w:rPr>
            <w:noProof/>
            <w:webHidden/>
          </w:rPr>
          <w:instrText xml:space="preserve"> PAGEREF _Toc5715426 \h </w:instrText>
        </w:r>
        <w:r w:rsidR="00454284">
          <w:rPr>
            <w:noProof/>
            <w:webHidden/>
          </w:rPr>
        </w:r>
        <w:r w:rsidR="00454284">
          <w:rPr>
            <w:noProof/>
            <w:webHidden/>
          </w:rPr>
          <w:fldChar w:fldCharType="separate"/>
        </w:r>
        <w:r w:rsidR="00454284">
          <w:rPr>
            <w:noProof/>
            <w:webHidden/>
          </w:rPr>
          <w:t>38</w:t>
        </w:r>
        <w:r w:rsidR="00454284">
          <w:rPr>
            <w:noProof/>
            <w:webHidden/>
          </w:rPr>
          <w:fldChar w:fldCharType="end"/>
        </w:r>
      </w:hyperlink>
    </w:p>
    <w:p w14:paraId="659B4EAF" w14:textId="77777777" w:rsidR="00454284" w:rsidRDefault="001A6304">
      <w:pPr>
        <w:pStyle w:val="TableofFigures"/>
        <w:tabs>
          <w:tab w:val="right" w:leader="dot" w:pos="9782"/>
        </w:tabs>
        <w:rPr>
          <w:rFonts w:eastAsiaTheme="minorEastAsia" w:cstheme="minorBidi"/>
          <w:noProof/>
          <w:szCs w:val="22"/>
        </w:rPr>
      </w:pPr>
      <w:hyperlink w:anchor="_Toc5715427" w:history="1">
        <w:r w:rsidR="00454284" w:rsidRPr="00B26EC3">
          <w:rPr>
            <w:rStyle w:val="Hyperlink"/>
            <w:noProof/>
          </w:rPr>
          <w:t>Figure 5</w:t>
        </w:r>
        <w:r w:rsidR="00454284" w:rsidRPr="00B26EC3">
          <w:rPr>
            <w:rStyle w:val="Hyperlink"/>
            <w:noProof/>
          </w:rPr>
          <w:noBreakHyphen/>
          <w:t>6: Commercial EE Technical Potential by End-Use (Summer Peak Savings)</w:t>
        </w:r>
        <w:r w:rsidR="00454284">
          <w:rPr>
            <w:noProof/>
            <w:webHidden/>
          </w:rPr>
          <w:tab/>
        </w:r>
        <w:r w:rsidR="00454284">
          <w:rPr>
            <w:noProof/>
            <w:webHidden/>
          </w:rPr>
          <w:fldChar w:fldCharType="begin"/>
        </w:r>
        <w:r w:rsidR="00454284">
          <w:rPr>
            <w:noProof/>
            <w:webHidden/>
          </w:rPr>
          <w:instrText xml:space="preserve"> PAGEREF _Toc5715427 \h </w:instrText>
        </w:r>
        <w:r w:rsidR="00454284">
          <w:rPr>
            <w:noProof/>
            <w:webHidden/>
          </w:rPr>
        </w:r>
        <w:r w:rsidR="00454284">
          <w:rPr>
            <w:noProof/>
            <w:webHidden/>
          </w:rPr>
          <w:fldChar w:fldCharType="separate"/>
        </w:r>
        <w:r w:rsidR="00454284">
          <w:rPr>
            <w:noProof/>
            <w:webHidden/>
          </w:rPr>
          <w:t>38</w:t>
        </w:r>
        <w:r w:rsidR="00454284">
          <w:rPr>
            <w:noProof/>
            <w:webHidden/>
          </w:rPr>
          <w:fldChar w:fldCharType="end"/>
        </w:r>
      </w:hyperlink>
    </w:p>
    <w:p w14:paraId="122682E4" w14:textId="77777777" w:rsidR="00454284" w:rsidRDefault="001A6304">
      <w:pPr>
        <w:pStyle w:val="TableofFigures"/>
        <w:tabs>
          <w:tab w:val="right" w:leader="dot" w:pos="9782"/>
        </w:tabs>
        <w:rPr>
          <w:rFonts w:eastAsiaTheme="minorEastAsia" w:cstheme="minorBidi"/>
          <w:noProof/>
          <w:szCs w:val="22"/>
        </w:rPr>
      </w:pPr>
      <w:hyperlink w:anchor="_Toc5715428" w:history="1">
        <w:r w:rsidR="00454284" w:rsidRPr="00B26EC3">
          <w:rPr>
            <w:rStyle w:val="Hyperlink"/>
            <w:noProof/>
          </w:rPr>
          <w:t>Figure 5</w:t>
        </w:r>
        <w:r w:rsidR="00454284" w:rsidRPr="00B26EC3">
          <w:rPr>
            <w:rStyle w:val="Hyperlink"/>
            <w:noProof/>
          </w:rPr>
          <w:noBreakHyphen/>
          <w:t>7: Commercial EE Technical Potential by End-Use (Winter Peak Savings)</w:t>
        </w:r>
        <w:r w:rsidR="00454284">
          <w:rPr>
            <w:noProof/>
            <w:webHidden/>
          </w:rPr>
          <w:tab/>
        </w:r>
        <w:r w:rsidR="00454284">
          <w:rPr>
            <w:noProof/>
            <w:webHidden/>
          </w:rPr>
          <w:fldChar w:fldCharType="begin"/>
        </w:r>
        <w:r w:rsidR="00454284">
          <w:rPr>
            <w:noProof/>
            <w:webHidden/>
          </w:rPr>
          <w:instrText xml:space="preserve"> PAGEREF _Toc5715428 \h </w:instrText>
        </w:r>
        <w:r w:rsidR="00454284">
          <w:rPr>
            <w:noProof/>
            <w:webHidden/>
          </w:rPr>
        </w:r>
        <w:r w:rsidR="00454284">
          <w:rPr>
            <w:noProof/>
            <w:webHidden/>
          </w:rPr>
          <w:fldChar w:fldCharType="separate"/>
        </w:r>
        <w:r w:rsidR="00454284">
          <w:rPr>
            <w:noProof/>
            <w:webHidden/>
          </w:rPr>
          <w:t>39</w:t>
        </w:r>
        <w:r w:rsidR="00454284">
          <w:rPr>
            <w:noProof/>
            <w:webHidden/>
          </w:rPr>
          <w:fldChar w:fldCharType="end"/>
        </w:r>
      </w:hyperlink>
    </w:p>
    <w:p w14:paraId="6A782D35" w14:textId="77777777" w:rsidR="00454284" w:rsidRDefault="001A6304">
      <w:pPr>
        <w:pStyle w:val="TableofFigures"/>
        <w:tabs>
          <w:tab w:val="right" w:leader="dot" w:pos="9782"/>
        </w:tabs>
        <w:rPr>
          <w:rFonts w:eastAsiaTheme="minorEastAsia" w:cstheme="minorBidi"/>
          <w:noProof/>
          <w:szCs w:val="22"/>
        </w:rPr>
      </w:pPr>
      <w:hyperlink w:anchor="_Toc5715429" w:history="1">
        <w:r w:rsidR="00454284" w:rsidRPr="00B26EC3">
          <w:rPr>
            <w:rStyle w:val="Hyperlink"/>
            <w:noProof/>
          </w:rPr>
          <w:t>Figure 5</w:t>
        </w:r>
        <w:r w:rsidR="00454284" w:rsidRPr="00B26EC3">
          <w:rPr>
            <w:rStyle w:val="Hyperlink"/>
            <w:noProof/>
          </w:rPr>
          <w:noBreakHyphen/>
          <w:t>8: Industrial EE Technical Potential by End-Use (Energy Savings)</w:t>
        </w:r>
        <w:r w:rsidR="00454284">
          <w:rPr>
            <w:noProof/>
            <w:webHidden/>
          </w:rPr>
          <w:tab/>
        </w:r>
        <w:r w:rsidR="00454284">
          <w:rPr>
            <w:noProof/>
            <w:webHidden/>
          </w:rPr>
          <w:fldChar w:fldCharType="begin"/>
        </w:r>
        <w:r w:rsidR="00454284">
          <w:rPr>
            <w:noProof/>
            <w:webHidden/>
          </w:rPr>
          <w:instrText xml:space="preserve"> PAGEREF _Toc5715429 \h </w:instrText>
        </w:r>
        <w:r w:rsidR="00454284">
          <w:rPr>
            <w:noProof/>
            <w:webHidden/>
          </w:rPr>
        </w:r>
        <w:r w:rsidR="00454284">
          <w:rPr>
            <w:noProof/>
            <w:webHidden/>
          </w:rPr>
          <w:fldChar w:fldCharType="separate"/>
        </w:r>
        <w:r w:rsidR="00454284">
          <w:rPr>
            <w:noProof/>
            <w:webHidden/>
          </w:rPr>
          <w:t>39</w:t>
        </w:r>
        <w:r w:rsidR="00454284">
          <w:rPr>
            <w:noProof/>
            <w:webHidden/>
          </w:rPr>
          <w:fldChar w:fldCharType="end"/>
        </w:r>
      </w:hyperlink>
    </w:p>
    <w:p w14:paraId="1F6B35EE" w14:textId="77777777" w:rsidR="00454284" w:rsidRDefault="001A6304">
      <w:pPr>
        <w:pStyle w:val="TableofFigures"/>
        <w:tabs>
          <w:tab w:val="right" w:leader="dot" w:pos="9782"/>
        </w:tabs>
        <w:rPr>
          <w:rFonts w:eastAsiaTheme="minorEastAsia" w:cstheme="minorBidi"/>
          <w:noProof/>
          <w:szCs w:val="22"/>
        </w:rPr>
      </w:pPr>
      <w:hyperlink w:anchor="_Toc5715430" w:history="1">
        <w:r w:rsidR="00454284" w:rsidRPr="00B26EC3">
          <w:rPr>
            <w:rStyle w:val="Hyperlink"/>
            <w:noProof/>
          </w:rPr>
          <w:t>Figure 5</w:t>
        </w:r>
        <w:r w:rsidR="00454284" w:rsidRPr="00B26EC3">
          <w:rPr>
            <w:rStyle w:val="Hyperlink"/>
            <w:noProof/>
          </w:rPr>
          <w:noBreakHyphen/>
          <w:t>9: Industrial EE Technical Potential by End-Use (Summer Peak Savings)</w:t>
        </w:r>
        <w:r w:rsidR="00454284">
          <w:rPr>
            <w:noProof/>
            <w:webHidden/>
          </w:rPr>
          <w:tab/>
        </w:r>
        <w:r w:rsidR="00454284">
          <w:rPr>
            <w:noProof/>
            <w:webHidden/>
          </w:rPr>
          <w:fldChar w:fldCharType="begin"/>
        </w:r>
        <w:r w:rsidR="00454284">
          <w:rPr>
            <w:noProof/>
            <w:webHidden/>
          </w:rPr>
          <w:instrText xml:space="preserve"> PAGEREF _Toc5715430 \h </w:instrText>
        </w:r>
        <w:r w:rsidR="00454284">
          <w:rPr>
            <w:noProof/>
            <w:webHidden/>
          </w:rPr>
        </w:r>
        <w:r w:rsidR="00454284">
          <w:rPr>
            <w:noProof/>
            <w:webHidden/>
          </w:rPr>
          <w:fldChar w:fldCharType="separate"/>
        </w:r>
        <w:r w:rsidR="00454284">
          <w:rPr>
            <w:noProof/>
            <w:webHidden/>
          </w:rPr>
          <w:t>40</w:t>
        </w:r>
        <w:r w:rsidR="00454284">
          <w:rPr>
            <w:noProof/>
            <w:webHidden/>
          </w:rPr>
          <w:fldChar w:fldCharType="end"/>
        </w:r>
      </w:hyperlink>
    </w:p>
    <w:p w14:paraId="6F009F9C" w14:textId="77777777" w:rsidR="00454284" w:rsidRDefault="001A6304">
      <w:pPr>
        <w:pStyle w:val="TableofFigures"/>
        <w:tabs>
          <w:tab w:val="right" w:leader="dot" w:pos="9782"/>
        </w:tabs>
        <w:rPr>
          <w:rFonts w:eastAsiaTheme="minorEastAsia" w:cstheme="minorBidi"/>
          <w:noProof/>
          <w:szCs w:val="22"/>
        </w:rPr>
      </w:pPr>
      <w:hyperlink w:anchor="_Toc5715431" w:history="1">
        <w:r w:rsidR="00454284" w:rsidRPr="00B26EC3">
          <w:rPr>
            <w:rStyle w:val="Hyperlink"/>
            <w:noProof/>
          </w:rPr>
          <w:t>Figure 5</w:t>
        </w:r>
        <w:r w:rsidR="00454284" w:rsidRPr="00B26EC3">
          <w:rPr>
            <w:rStyle w:val="Hyperlink"/>
            <w:noProof/>
          </w:rPr>
          <w:noBreakHyphen/>
          <w:t>10: Industrial EE Technical Potential by End-Use (Winter Peak Savings)</w:t>
        </w:r>
        <w:r w:rsidR="00454284">
          <w:rPr>
            <w:noProof/>
            <w:webHidden/>
          </w:rPr>
          <w:tab/>
        </w:r>
        <w:r w:rsidR="00454284">
          <w:rPr>
            <w:noProof/>
            <w:webHidden/>
          </w:rPr>
          <w:fldChar w:fldCharType="begin"/>
        </w:r>
        <w:r w:rsidR="00454284">
          <w:rPr>
            <w:noProof/>
            <w:webHidden/>
          </w:rPr>
          <w:instrText xml:space="preserve"> PAGEREF _Toc5715431 \h </w:instrText>
        </w:r>
        <w:r w:rsidR="00454284">
          <w:rPr>
            <w:noProof/>
            <w:webHidden/>
          </w:rPr>
        </w:r>
        <w:r w:rsidR="00454284">
          <w:rPr>
            <w:noProof/>
            <w:webHidden/>
          </w:rPr>
          <w:fldChar w:fldCharType="separate"/>
        </w:r>
        <w:r w:rsidR="00454284">
          <w:rPr>
            <w:noProof/>
            <w:webHidden/>
          </w:rPr>
          <w:t>40</w:t>
        </w:r>
        <w:r w:rsidR="00454284">
          <w:rPr>
            <w:noProof/>
            <w:webHidden/>
          </w:rPr>
          <w:fldChar w:fldCharType="end"/>
        </w:r>
      </w:hyperlink>
    </w:p>
    <w:p w14:paraId="05F80DB3" w14:textId="77777777" w:rsidR="00454284" w:rsidRDefault="001A6304">
      <w:pPr>
        <w:pStyle w:val="TableofFigures"/>
        <w:tabs>
          <w:tab w:val="right" w:leader="dot" w:pos="9782"/>
        </w:tabs>
        <w:rPr>
          <w:rFonts w:eastAsiaTheme="minorEastAsia" w:cstheme="minorBidi"/>
          <w:noProof/>
          <w:szCs w:val="22"/>
        </w:rPr>
      </w:pPr>
      <w:hyperlink w:anchor="_Toc5715432" w:history="1">
        <w:r w:rsidR="00454284" w:rsidRPr="00B26EC3">
          <w:rPr>
            <w:rStyle w:val="Hyperlink"/>
            <w:noProof/>
          </w:rPr>
          <w:t>Figure 5</w:t>
        </w:r>
        <w:r w:rsidR="00454284" w:rsidRPr="00B26EC3">
          <w:rPr>
            <w:rStyle w:val="Hyperlink"/>
            <w:noProof/>
          </w:rPr>
          <w:noBreakHyphen/>
          <w:t>11: Residential DR Technical Potential by End-Use</w:t>
        </w:r>
        <w:r w:rsidR="00454284">
          <w:rPr>
            <w:noProof/>
            <w:webHidden/>
          </w:rPr>
          <w:tab/>
        </w:r>
        <w:r w:rsidR="00454284">
          <w:rPr>
            <w:noProof/>
            <w:webHidden/>
          </w:rPr>
          <w:fldChar w:fldCharType="begin"/>
        </w:r>
        <w:r w:rsidR="00454284">
          <w:rPr>
            <w:noProof/>
            <w:webHidden/>
          </w:rPr>
          <w:instrText xml:space="preserve"> PAGEREF _Toc5715432 \h </w:instrText>
        </w:r>
        <w:r w:rsidR="00454284">
          <w:rPr>
            <w:noProof/>
            <w:webHidden/>
          </w:rPr>
        </w:r>
        <w:r w:rsidR="00454284">
          <w:rPr>
            <w:noProof/>
            <w:webHidden/>
          </w:rPr>
          <w:fldChar w:fldCharType="separate"/>
        </w:r>
        <w:r w:rsidR="00454284">
          <w:rPr>
            <w:noProof/>
            <w:webHidden/>
          </w:rPr>
          <w:t>42</w:t>
        </w:r>
        <w:r w:rsidR="00454284">
          <w:rPr>
            <w:noProof/>
            <w:webHidden/>
          </w:rPr>
          <w:fldChar w:fldCharType="end"/>
        </w:r>
      </w:hyperlink>
    </w:p>
    <w:p w14:paraId="18324068" w14:textId="77777777" w:rsidR="00454284" w:rsidRDefault="001A6304">
      <w:pPr>
        <w:pStyle w:val="TableofFigures"/>
        <w:tabs>
          <w:tab w:val="right" w:leader="dot" w:pos="9782"/>
        </w:tabs>
        <w:rPr>
          <w:rFonts w:eastAsiaTheme="minorEastAsia" w:cstheme="minorBidi"/>
          <w:noProof/>
          <w:szCs w:val="22"/>
        </w:rPr>
      </w:pPr>
      <w:hyperlink w:anchor="_Toc5715433" w:history="1">
        <w:r w:rsidR="00454284" w:rsidRPr="00B26EC3">
          <w:rPr>
            <w:rStyle w:val="Hyperlink"/>
            <w:noProof/>
          </w:rPr>
          <w:t>Figure 5</w:t>
        </w:r>
        <w:r w:rsidR="00454284" w:rsidRPr="00B26EC3">
          <w:rPr>
            <w:rStyle w:val="Hyperlink"/>
            <w:noProof/>
          </w:rPr>
          <w:noBreakHyphen/>
          <w:t>12: Small C&amp;I DR Technical Potential by End-Use</w:t>
        </w:r>
        <w:r w:rsidR="00454284">
          <w:rPr>
            <w:noProof/>
            <w:webHidden/>
          </w:rPr>
          <w:tab/>
        </w:r>
        <w:r w:rsidR="00454284">
          <w:rPr>
            <w:noProof/>
            <w:webHidden/>
          </w:rPr>
          <w:fldChar w:fldCharType="begin"/>
        </w:r>
        <w:r w:rsidR="00454284">
          <w:rPr>
            <w:noProof/>
            <w:webHidden/>
          </w:rPr>
          <w:instrText xml:space="preserve"> PAGEREF _Toc5715433 \h </w:instrText>
        </w:r>
        <w:r w:rsidR="00454284">
          <w:rPr>
            <w:noProof/>
            <w:webHidden/>
          </w:rPr>
        </w:r>
        <w:r w:rsidR="00454284">
          <w:rPr>
            <w:noProof/>
            <w:webHidden/>
          </w:rPr>
          <w:fldChar w:fldCharType="separate"/>
        </w:r>
        <w:r w:rsidR="00454284">
          <w:rPr>
            <w:noProof/>
            <w:webHidden/>
          </w:rPr>
          <w:t>42</w:t>
        </w:r>
        <w:r w:rsidR="00454284">
          <w:rPr>
            <w:noProof/>
            <w:webHidden/>
          </w:rPr>
          <w:fldChar w:fldCharType="end"/>
        </w:r>
      </w:hyperlink>
    </w:p>
    <w:p w14:paraId="5ADD87FB" w14:textId="77777777" w:rsidR="00454284" w:rsidRDefault="001A6304">
      <w:pPr>
        <w:pStyle w:val="TableofFigures"/>
        <w:tabs>
          <w:tab w:val="right" w:leader="dot" w:pos="9782"/>
        </w:tabs>
        <w:rPr>
          <w:rFonts w:eastAsiaTheme="minorEastAsia" w:cstheme="minorBidi"/>
          <w:noProof/>
          <w:szCs w:val="22"/>
        </w:rPr>
      </w:pPr>
      <w:hyperlink w:anchor="_Toc5715434" w:history="1">
        <w:r w:rsidR="00454284" w:rsidRPr="00B26EC3">
          <w:rPr>
            <w:rStyle w:val="Hyperlink"/>
            <w:noProof/>
          </w:rPr>
          <w:t>Figure 5</w:t>
        </w:r>
        <w:r w:rsidR="00454284" w:rsidRPr="00B26EC3">
          <w:rPr>
            <w:rStyle w:val="Hyperlink"/>
            <w:noProof/>
          </w:rPr>
          <w:noBreakHyphen/>
          <w:t>13: Large C&amp;I DR Technical Potential by Segment</w:t>
        </w:r>
        <w:r w:rsidR="00454284">
          <w:rPr>
            <w:noProof/>
            <w:webHidden/>
          </w:rPr>
          <w:tab/>
        </w:r>
        <w:r w:rsidR="00454284">
          <w:rPr>
            <w:noProof/>
            <w:webHidden/>
          </w:rPr>
          <w:fldChar w:fldCharType="begin"/>
        </w:r>
        <w:r w:rsidR="00454284">
          <w:rPr>
            <w:noProof/>
            <w:webHidden/>
          </w:rPr>
          <w:instrText xml:space="preserve"> PAGEREF _Toc5715434 \h </w:instrText>
        </w:r>
        <w:r w:rsidR="00454284">
          <w:rPr>
            <w:noProof/>
            <w:webHidden/>
          </w:rPr>
        </w:r>
        <w:r w:rsidR="00454284">
          <w:rPr>
            <w:noProof/>
            <w:webHidden/>
          </w:rPr>
          <w:fldChar w:fldCharType="separate"/>
        </w:r>
        <w:r w:rsidR="00454284">
          <w:rPr>
            <w:noProof/>
            <w:webHidden/>
          </w:rPr>
          <w:t>43</w:t>
        </w:r>
        <w:r w:rsidR="00454284">
          <w:rPr>
            <w:noProof/>
            <w:webHidden/>
          </w:rPr>
          <w:fldChar w:fldCharType="end"/>
        </w:r>
      </w:hyperlink>
    </w:p>
    <w:p w14:paraId="7FB69CD8" w14:textId="77777777" w:rsidR="00454284" w:rsidRDefault="001A6304">
      <w:pPr>
        <w:pStyle w:val="TableofFigures"/>
        <w:tabs>
          <w:tab w:val="right" w:leader="dot" w:pos="9782"/>
        </w:tabs>
        <w:rPr>
          <w:rFonts w:eastAsiaTheme="minorEastAsia" w:cstheme="minorBidi"/>
          <w:noProof/>
          <w:szCs w:val="22"/>
        </w:rPr>
      </w:pPr>
      <w:hyperlink w:anchor="_Toc5715435" w:history="1">
        <w:r w:rsidR="00454284" w:rsidRPr="00B26EC3">
          <w:rPr>
            <w:rStyle w:val="Hyperlink"/>
            <w:noProof/>
          </w:rPr>
          <w:t xml:space="preserve">Figure </w:t>
        </w:r>
        <w:r w:rsidR="00454284" w:rsidRPr="00B26EC3">
          <w:rPr>
            <w:rStyle w:val="Hyperlink"/>
            <w:noProof/>
          </w:rPr>
          <w:noBreakHyphen/>
          <w:t>1: Average Water Heaters Load Shapes</w:t>
        </w:r>
        <w:r w:rsidR="00454284">
          <w:rPr>
            <w:noProof/>
            <w:webHidden/>
          </w:rPr>
          <w:tab/>
        </w:r>
        <w:r w:rsidR="00454284">
          <w:rPr>
            <w:noProof/>
            <w:webHidden/>
          </w:rPr>
          <w:fldChar w:fldCharType="begin"/>
        </w:r>
        <w:r w:rsidR="00454284">
          <w:rPr>
            <w:noProof/>
            <w:webHidden/>
          </w:rPr>
          <w:instrText xml:space="preserve"> PAGEREF _Toc5715435 \h </w:instrText>
        </w:r>
        <w:r w:rsidR="00454284">
          <w:rPr>
            <w:noProof/>
            <w:webHidden/>
          </w:rPr>
        </w:r>
        <w:r w:rsidR="00454284">
          <w:rPr>
            <w:noProof/>
            <w:webHidden/>
          </w:rPr>
          <w:fldChar w:fldCharType="separate"/>
        </w:r>
        <w:r w:rsidR="00454284">
          <w:rPr>
            <w:noProof/>
            <w:webHidden/>
          </w:rPr>
          <w:t>D-2</w:t>
        </w:r>
        <w:r w:rsidR="00454284">
          <w:rPr>
            <w:noProof/>
            <w:webHidden/>
          </w:rPr>
          <w:fldChar w:fldCharType="end"/>
        </w:r>
      </w:hyperlink>
    </w:p>
    <w:p w14:paraId="1BAC038E" w14:textId="77777777" w:rsidR="00454284" w:rsidRDefault="001A6304">
      <w:pPr>
        <w:pStyle w:val="TableofFigures"/>
        <w:tabs>
          <w:tab w:val="right" w:leader="dot" w:pos="9782"/>
        </w:tabs>
        <w:rPr>
          <w:rFonts w:eastAsiaTheme="minorEastAsia" w:cstheme="minorBidi"/>
          <w:noProof/>
          <w:szCs w:val="22"/>
        </w:rPr>
      </w:pPr>
      <w:hyperlink w:anchor="_Toc5715436" w:history="1">
        <w:r w:rsidR="00454284" w:rsidRPr="00B26EC3">
          <w:rPr>
            <w:rStyle w:val="Hyperlink"/>
            <w:noProof/>
          </w:rPr>
          <w:t>Figure 6</w:t>
        </w:r>
        <w:r w:rsidR="00454284" w:rsidRPr="00B26EC3">
          <w:rPr>
            <w:rStyle w:val="Hyperlink"/>
            <w:noProof/>
          </w:rPr>
          <w:noBreakHyphen/>
          <w:t>2: Average Pool Pumps Load Shapes</w:t>
        </w:r>
        <w:r w:rsidR="00454284">
          <w:rPr>
            <w:noProof/>
            <w:webHidden/>
          </w:rPr>
          <w:tab/>
        </w:r>
        <w:r w:rsidR="00454284">
          <w:rPr>
            <w:noProof/>
            <w:webHidden/>
          </w:rPr>
          <w:fldChar w:fldCharType="begin"/>
        </w:r>
        <w:r w:rsidR="00454284">
          <w:rPr>
            <w:noProof/>
            <w:webHidden/>
          </w:rPr>
          <w:instrText xml:space="preserve"> PAGEREF _Toc5715436 \h </w:instrText>
        </w:r>
        <w:r w:rsidR="00454284">
          <w:rPr>
            <w:noProof/>
            <w:webHidden/>
          </w:rPr>
        </w:r>
        <w:r w:rsidR="00454284">
          <w:rPr>
            <w:noProof/>
            <w:webHidden/>
          </w:rPr>
          <w:fldChar w:fldCharType="separate"/>
        </w:r>
        <w:r w:rsidR="00454284">
          <w:rPr>
            <w:noProof/>
            <w:webHidden/>
          </w:rPr>
          <w:t>D-3</w:t>
        </w:r>
        <w:r w:rsidR="00454284">
          <w:rPr>
            <w:noProof/>
            <w:webHidden/>
          </w:rPr>
          <w:fldChar w:fldCharType="end"/>
        </w:r>
      </w:hyperlink>
    </w:p>
    <w:p w14:paraId="31112672" w14:textId="77777777" w:rsidR="00454284" w:rsidRDefault="001A6304">
      <w:pPr>
        <w:pStyle w:val="TableofFigures"/>
        <w:tabs>
          <w:tab w:val="right" w:leader="dot" w:pos="9782"/>
        </w:tabs>
        <w:rPr>
          <w:rFonts w:eastAsiaTheme="minorEastAsia" w:cstheme="minorBidi"/>
          <w:noProof/>
          <w:szCs w:val="22"/>
        </w:rPr>
      </w:pPr>
      <w:hyperlink w:anchor="_Toc5715437" w:history="1">
        <w:r w:rsidR="00454284" w:rsidRPr="00B26EC3">
          <w:rPr>
            <w:rStyle w:val="Hyperlink"/>
            <w:noProof/>
          </w:rPr>
          <w:t>Figure 6</w:t>
        </w:r>
        <w:r w:rsidR="00454284" w:rsidRPr="00B26EC3">
          <w:rPr>
            <w:rStyle w:val="Hyperlink"/>
            <w:noProof/>
          </w:rPr>
          <w:noBreakHyphen/>
          <w:t>3: Aggregate Load Shapes for TECO Large C&amp;I Customers</w:t>
        </w:r>
        <w:r w:rsidR="00454284">
          <w:rPr>
            <w:noProof/>
            <w:webHidden/>
          </w:rPr>
          <w:tab/>
        </w:r>
        <w:r w:rsidR="00454284">
          <w:rPr>
            <w:noProof/>
            <w:webHidden/>
          </w:rPr>
          <w:fldChar w:fldCharType="begin"/>
        </w:r>
        <w:r w:rsidR="00454284">
          <w:rPr>
            <w:noProof/>
            <w:webHidden/>
          </w:rPr>
          <w:instrText xml:space="preserve"> PAGEREF _Toc5715437 \h </w:instrText>
        </w:r>
        <w:r w:rsidR="00454284">
          <w:rPr>
            <w:noProof/>
            <w:webHidden/>
          </w:rPr>
        </w:r>
        <w:r w:rsidR="00454284">
          <w:rPr>
            <w:noProof/>
            <w:webHidden/>
          </w:rPr>
          <w:fldChar w:fldCharType="separate"/>
        </w:r>
        <w:r w:rsidR="00454284">
          <w:rPr>
            <w:noProof/>
            <w:webHidden/>
          </w:rPr>
          <w:t>D-4</w:t>
        </w:r>
        <w:r w:rsidR="00454284">
          <w:rPr>
            <w:noProof/>
            <w:webHidden/>
          </w:rPr>
          <w:fldChar w:fldCharType="end"/>
        </w:r>
      </w:hyperlink>
    </w:p>
    <w:p w14:paraId="6401E75C" w14:textId="6A0EE1BF" w:rsidR="00025141" w:rsidRDefault="003C34F8" w:rsidP="00DE6FEA">
      <w:pPr>
        <w:pStyle w:val="IntroPages-Listoffiguresbody"/>
      </w:pPr>
      <w:r>
        <w:fldChar w:fldCharType="end"/>
      </w:r>
    </w:p>
    <w:p w14:paraId="6401E75D" w14:textId="77777777" w:rsidR="00266EB9" w:rsidRPr="00266EB9" w:rsidRDefault="00266EB9" w:rsidP="00FE10C1">
      <w:pPr>
        <w:pStyle w:val="IntroPages-Listoffiguresheadings"/>
      </w:pPr>
      <w:r w:rsidRPr="00266EB9">
        <w:t>List of Tables</w:t>
      </w:r>
    </w:p>
    <w:p w14:paraId="14FD3CBB" w14:textId="77777777" w:rsidR="00454284" w:rsidRDefault="000677AC">
      <w:pPr>
        <w:pStyle w:val="TableofFigures"/>
        <w:tabs>
          <w:tab w:val="right" w:leader="dot" w:pos="9782"/>
        </w:tabs>
        <w:rPr>
          <w:rFonts w:eastAsiaTheme="minorEastAsia" w:cstheme="minorBidi"/>
          <w:noProof/>
          <w:szCs w:val="22"/>
        </w:rPr>
      </w:pPr>
      <w:r>
        <w:fldChar w:fldCharType="begin"/>
      </w:r>
      <w:r>
        <w:instrText xml:space="preserve"> TOC \h \z \c "Table" </w:instrText>
      </w:r>
      <w:r>
        <w:fldChar w:fldCharType="separate"/>
      </w:r>
      <w:hyperlink w:anchor="_Toc5715438" w:history="1">
        <w:r w:rsidR="00454284" w:rsidRPr="00E3626F">
          <w:rPr>
            <w:rStyle w:val="Hyperlink"/>
            <w:noProof/>
          </w:rPr>
          <w:t>Table 1</w:t>
        </w:r>
        <w:r w:rsidR="00454284" w:rsidRPr="00E3626F">
          <w:rPr>
            <w:rStyle w:val="Hyperlink"/>
            <w:noProof/>
          </w:rPr>
          <w:noBreakHyphen/>
          <w:t>1: EE Technical Potential</w:t>
        </w:r>
        <w:r w:rsidR="00454284">
          <w:rPr>
            <w:noProof/>
            <w:webHidden/>
          </w:rPr>
          <w:tab/>
        </w:r>
        <w:r w:rsidR="00454284">
          <w:rPr>
            <w:noProof/>
            <w:webHidden/>
          </w:rPr>
          <w:fldChar w:fldCharType="begin"/>
        </w:r>
        <w:r w:rsidR="00454284">
          <w:rPr>
            <w:noProof/>
            <w:webHidden/>
          </w:rPr>
          <w:instrText xml:space="preserve"> PAGEREF _Toc5715438 \h </w:instrText>
        </w:r>
        <w:r w:rsidR="00454284">
          <w:rPr>
            <w:noProof/>
            <w:webHidden/>
          </w:rPr>
        </w:r>
        <w:r w:rsidR="00454284">
          <w:rPr>
            <w:noProof/>
            <w:webHidden/>
          </w:rPr>
          <w:fldChar w:fldCharType="separate"/>
        </w:r>
        <w:r w:rsidR="00454284">
          <w:rPr>
            <w:noProof/>
            <w:webHidden/>
          </w:rPr>
          <w:t>6</w:t>
        </w:r>
        <w:r w:rsidR="00454284">
          <w:rPr>
            <w:noProof/>
            <w:webHidden/>
          </w:rPr>
          <w:fldChar w:fldCharType="end"/>
        </w:r>
      </w:hyperlink>
    </w:p>
    <w:p w14:paraId="520FA0FB" w14:textId="77777777" w:rsidR="00454284" w:rsidRDefault="001A6304">
      <w:pPr>
        <w:pStyle w:val="TableofFigures"/>
        <w:tabs>
          <w:tab w:val="right" w:leader="dot" w:pos="9782"/>
        </w:tabs>
        <w:rPr>
          <w:rFonts w:eastAsiaTheme="minorEastAsia" w:cstheme="minorBidi"/>
          <w:noProof/>
          <w:szCs w:val="22"/>
        </w:rPr>
      </w:pPr>
      <w:hyperlink w:anchor="_Toc5715439" w:history="1">
        <w:r w:rsidR="00454284" w:rsidRPr="00E3626F">
          <w:rPr>
            <w:rStyle w:val="Hyperlink"/>
            <w:noProof/>
          </w:rPr>
          <w:t>Table 1</w:t>
        </w:r>
        <w:r w:rsidR="00454284" w:rsidRPr="00E3626F">
          <w:rPr>
            <w:rStyle w:val="Hyperlink"/>
            <w:noProof/>
          </w:rPr>
          <w:noBreakHyphen/>
          <w:t>2: DR Technical Potential</w:t>
        </w:r>
        <w:r w:rsidR="00454284">
          <w:rPr>
            <w:noProof/>
            <w:webHidden/>
          </w:rPr>
          <w:tab/>
        </w:r>
        <w:r w:rsidR="00454284">
          <w:rPr>
            <w:noProof/>
            <w:webHidden/>
          </w:rPr>
          <w:fldChar w:fldCharType="begin"/>
        </w:r>
        <w:r w:rsidR="00454284">
          <w:rPr>
            <w:noProof/>
            <w:webHidden/>
          </w:rPr>
          <w:instrText xml:space="preserve"> PAGEREF _Toc5715439 \h </w:instrText>
        </w:r>
        <w:r w:rsidR="00454284">
          <w:rPr>
            <w:noProof/>
            <w:webHidden/>
          </w:rPr>
        </w:r>
        <w:r w:rsidR="00454284">
          <w:rPr>
            <w:noProof/>
            <w:webHidden/>
          </w:rPr>
          <w:fldChar w:fldCharType="separate"/>
        </w:r>
        <w:r w:rsidR="00454284">
          <w:rPr>
            <w:noProof/>
            <w:webHidden/>
          </w:rPr>
          <w:t>7</w:t>
        </w:r>
        <w:r w:rsidR="00454284">
          <w:rPr>
            <w:noProof/>
            <w:webHidden/>
          </w:rPr>
          <w:fldChar w:fldCharType="end"/>
        </w:r>
      </w:hyperlink>
    </w:p>
    <w:p w14:paraId="3C9FAF3A" w14:textId="77777777" w:rsidR="00454284" w:rsidRDefault="001A6304">
      <w:pPr>
        <w:pStyle w:val="TableofFigures"/>
        <w:tabs>
          <w:tab w:val="right" w:leader="dot" w:pos="9782"/>
        </w:tabs>
        <w:rPr>
          <w:rFonts w:eastAsiaTheme="minorEastAsia" w:cstheme="minorBidi"/>
          <w:noProof/>
          <w:szCs w:val="22"/>
        </w:rPr>
      </w:pPr>
      <w:hyperlink w:anchor="_Toc5715440" w:history="1">
        <w:r w:rsidR="00454284" w:rsidRPr="00E3626F">
          <w:rPr>
            <w:rStyle w:val="Hyperlink"/>
            <w:noProof/>
          </w:rPr>
          <w:t>Table 1</w:t>
        </w:r>
        <w:r w:rsidR="00454284" w:rsidRPr="00E3626F">
          <w:rPr>
            <w:rStyle w:val="Hyperlink"/>
            <w:noProof/>
          </w:rPr>
          <w:noBreakHyphen/>
          <w:t>3: DSRE Technical Potential</w:t>
        </w:r>
        <w:r w:rsidR="00454284">
          <w:rPr>
            <w:noProof/>
            <w:webHidden/>
          </w:rPr>
          <w:tab/>
        </w:r>
        <w:r w:rsidR="00454284">
          <w:rPr>
            <w:noProof/>
            <w:webHidden/>
          </w:rPr>
          <w:fldChar w:fldCharType="begin"/>
        </w:r>
        <w:r w:rsidR="00454284">
          <w:rPr>
            <w:noProof/>
            <w:webHidden/>
          </w:rPr>
          <w:instrText xml:space="preserve"> PAGEREF _Toc5715440 \h </w:instrText>
        </w:r>
        <w:r w:rsidR="00454284">
          <w:rPr>
            <w:noProof/>
            <w:webHidden/>
          </w:rPr>
        </w:r>
        <w:r w:rsidR="00454284">
          <w:rPr>
            <w:noProof/>
            <w:webHidden/>
          </w:rPr>
          <w:fldChar w:fldCharType="separate"/>
        </w:r>
        <w:r w:rsidR="00454284">
          <w:rPr>
            <w:noProof/>
            <w:webHidden/>
          </w:rPr>
          <w:t>7</w:t>
        </w:r>
        <w:r w:rsidR="00454284">
          <w:rPr>
            <w:noProof/>
            <w:webHidden/>
          </w:rPr>
          <w:fldChar w:fldCharType="end"/>
        </w:r>
      </w:hyperlink>
    </w:p>
    <w:p w14:paraId="55120914" w14:textId="77777777" w:rsidR="00454284" w:rsidRDefault="001A6304">
      <w:pPr>
        <w:pStyle w:val="TableofFigures"/>
        <w:tabs>
          <w:tab w:val="right" w:leader="dot" w:pos="9782"/>
        </w:tabs>
        <w:rPr>
          <w:rFonts w:eastAsiaTheme="minorEastAsia" w:cstheme="minorBidi"/>
          <w:noProof/>
          <w:szCs w:val="22"/>
        </w:rPr>
      </w:pPr>
      <w:hyperlink w:anchor="_Toc5715441" w:history="1">
        <w:r w:rsidR="00454284" w:rsidRPr="00E3626F">
          <w:rPr>
            <w:rStyle w:val="Hyperlink"/>
            <w:noProof/>
          </w:rPr>
          <w:t>Table 3</w:t>
        </w:r>
        <w:r w:rsidR="00454284" w:rsidRPr="00E3626F">
          <w:rPr>
            <w:rStyle w:val="Hyperlink"/>
            <w:noProof/>
          </w:rPr>
          <w:noBreakHyphen/>
          <w:t>1: Customer Segmentation</w:t>
        </w:r>
        <w:r w:rsidR="00454284">
          <w:rPr>
            <w:noProof/>
            <w:webHidden/>
          </w:rPr>
          <w:tab/>
        </w:r>
        <w:r w:rsidR="00454284">
          <w:rPr>
            <w:noProof/>
            <w:webHidden/>
          </w:rPr>
          <w:fldChar w:fldCharType="begin"/>
        </w:r>
        <w:r w:rsidR="00454284">
          <w:rPr>
            <w:noProof/>
            <w:webHidden/>
          </w:rPr>
          <w:instrText xml:space="preserve"> PAGEREF _Toc5715441 \h </w:instrText>
        </w:r>
        <w:r w:rsidR="00454284">
          <w:rPr>
            <w:noProof/>
            <w:webHidden/>
          </w:rPr>
        </w:r>
        <w:r w:rsidR="00454284">
          <w:rPr>
            <w:noProof/>
            <w:webHidden/>
          </w:rPr>
          <w:fldChar w:fldCharType="separate"/>
        </w:r>
        <w:r w:rsidR="00454284">
          <w:rPr>
            <w:noProof/>
            <w:webHidden/>
          </w:rPr>
          <w:t>13</w:t>
        </w:r>
        <w:r w:rsidR="00454284">
          <w:rPr>
            <w:noProof/>
            <w:webHidden/>
          </w:rPr>
          <w:fldChar w:fldCharType="end"/>
        </w:r>
      </w:hyperlink>
    </w:p>
    <w:p w14:paraId="2FF32945" w14:textId="77777777" w:rsidR="00454284" w:rsidRDefault="001A6304">
      <w:pPr>
        <w:pStyle w:val="TableofFigures"/>
        <w:tabs>
          <w:tab w:val="right" w:leader="dot" w:pos="9782"/>
        </w:tabs>
        <w:rPr>
          <w:rFonts w:eastAsiaTheme="minorEastAsia" w:cstheme="minorBidi"/>
          <w:noProof/>
          <w:szCs w:val="22"/>
        </w:rPr>
      </w:pPr>
      <w:hyperlink w:anchor="_Toc5715442" w:history="1">
        <w:r w:rsidR="00454284" w:rsidRPr="00E3626F">
          <w:rPr>
            <w:rStyle w:val="Hyperlink"/>
            <w:noProof/>
          </w:rPr>
          <w:t>Table 3</w:t>
        </w:r>
        <w:r w:rsidR="00454284" w:rsidRPr="00E3626F">
          <w:rPr>
            <w:rStyle w:val="Hyperlink"/>
            <w:noProof/>
          </w:rPr>
          <w:noBreakHyphen/>
          <w:t>2: End-Uses</w:t>
        </w:r>
        <w:r w:rsidR="00454284">
          <w:rPr>
            <w:noProof/>
            <w:webHidden/>
          </w:rPr>
          <w:tab/>
        </w:r>
        <w:r w:rsidR="00454284">
          <w:rPr>
            <w:noProof/>
            <w:webHidden/>
          </w:rPr>
          <w:fldChar w:fldCharType="begin"/>
        </w:r>
        <w:r w:rsidR="00454284">
          <w:rPr>
            <w:noProof/>
            <w:webHidden/>
          </w:rPr>
          <w:instrText xml:space="preserve"> PAGEREF _Toc5715442 \h </w:instrText>
        </w:r>
        <w:r w:rsidR="00454284">
          <w:rPr>
            <w:noProof/>
            <w:webHidden/>
          </w:rPr>
        </w:r>
        <w:r w:rsidR="00454284">
          <w:rPr>
            <w:noProof/>
            <w:webHidden/>
          </w:rPr>
          <w:fldChar w:fldCharType="separate"/>
        </w:r>
        <w:r w:rsidR="00454284">
          <w:rPr>
            <w:noProof/>
            <w:webHidden/>
          </w:rPr>
          <w:t>13</w:t>
        </w:r>
        <w:r w:rsidR="00454284">
          <w:rPr>
            <w:noProof/>
            <w:webHidden/>
          </w:rPr>
          <w:fldChar w:fldCharType="end"/>
        </w:r>
      </w:hyperlink>
    </w:p>
    <w:p w14:paraId="1E831037" w14:textId="77777777" w:rsidR="00454284" w:rsidRDefault="001A6304">
      <w:pPr>
        <w:pStyle w:val="TableofFigures"/>
        <w:tabs>
          <w:tab w:val="right" w:leader="dot" w:pos="9782"/>
        </w:tabs>
        <w:rPr>
          <w:rFonts w:eastAsiaTheme="minorEastAsia" w:cstheme="minorBidi"/>
          <w:noProof/>
          <w:szCs w:val="22"/>
        </w:rPr>
      </w:pPr>
      <w:hyperlink w:anchor="_Toc5715443" w:history="1">
        <w:r w:rsidR="00454284" w:rsidRPr="00E3626F">
          <w:rPr>
            <w:rStyle w:val="Hyperlink"/>
            <w:noProof/>
          </w:rPr>
          <w:t>Table 3</w:t>
        </w:r>
        <w:r w:rsidR="00454284" w:rsidRPr="00E3626F">
          <w:rPr>
            <w:rStyle w:val="Hyperlink"/>
            <w:noProof/>
          </w:rPr>
          <w:noBreakHyphen/>
          <w:t>3: Summary of Customer Classes for DR Analysis</w:t>
        </w:r>
        <w:r w:rsidR="00454284">
          <w:rPr>
            <w:noProof/>
            <w:webHidden/>
          </w:rPr>
          <w:tab/>
        </w:r>
        <w:r w:rsidR="00454284">
          <w:rPr>
            <w:noProof/>
            <w:webHidden/>
          </w:rPr>
          <w:fldChar w:fldCharType="begin"/>
        </w:r>
        <w:r w:rsidR="00454284">
          <w:rPr>
            <w:noProof/>
            <w:webHidden/>
          </w:rPr>
          <w:instrText xml:space="preserve"> PAGEREF _Toc5715443 \h </w:instrText>
        </w:r>
        <w:r w:rsidR="00454284">
          <w:rPr>
            <w:noProof/>
            <w:webHidden/>
          </w:rPr>
        </w:r>
        <w:r w:rsidR="00454284">
          <w:rPr>
            <w:noProof/>
            <w:webHidden/>
          </w:rPr>
          <w:fldChar w:fldCharType="separate"/>
        </w:r>
        <w:r w:rsidR="00454284">
          <w:rPr>
            <w:noProof/>
            <w:webHidden/>
          </w:rPr>
          <w:t>18</w:t>
        </w:r>
        <w:r w:rsidR="00454284">
          <w:rPr>
            <w:noProof/>
            <w:webHidden/>
          </w:rPr>
          <w:fldChar w:fldCharType="end"/>
        </w:r>
      </w:hyperlink>
    </w:p>
    <w:p w14:paraId="2511C0C9" w14:textId="77777777" w:rsidR="00454284" w:rsidRDefault="001A6304">
      <w:pPr>
        <w:pStyle w:val="TableofFigures"/>
        <w:tabs>
          <w:tab w:val="right" w:leader="dot" w:pos="9782"/>
        </w:tabs>
        <w:rPr>
          <w:rFonts w:eastAsiaTheme="minorEastAsia" w:cstheme="minorBidi"/>
          <w:noProof/>
          <w:szCs w:val="22"/>
        </w:rPr>
      </w:pPr>
      <w:hyperlink w:anchor="_Toc5715444" w:history="1">
        <w:r w:rsidR="00454284" w:rsidRPr="00E3626F">
          <w:rPr>
            <w:rStyle w:val="Hyperlink"/>
            <w:noProof/>
          </w:rPr>
          <w:t>Table 4</w:t>
        </w:r>
        <w:r w:rsidR="00454284" w:rsidRPr="00E3626F">
          <w:rPr>
            <w:rStyle w:val="Hyperlink"/>
            <w:noProof/>
          </w:rPr>
          <w:noBreakHyphen/>
          <w:t>1: Measure Applicability Factors</w:t>
        </w:r>
        <w:r w:rsidR="00454284">
          <w:rPr>
            <w:noProof/>
            <w:webHidden/>
          </w:rPr>
          <w:tab/>
        </w:r>
        <w:r w:rsidR="00454284">
          <w:rPr>
            <w:noProof/>
            <w:webHidden/>
          </w:rPr>
          <w:fldChar w:fldCharType="begin"/>
        </w:r>
        <w:r w:rsidR="00454284">
          <w:rPr>
            <w:noProof/>
            <w:webHidden/>
          </w:rPr>
          <w:instrText xml:space="preserve"> PAGEREF _Toc5715444 \h </w:instrText>
        </w:r>
        <w:r w:rsidR="00454284">
          <w:rPr>
            <w:noProof/>
            <w:webHidden/>
          </w:rPr>
        </w:r>
        <w:r w:rsidR="00454284">
          <w:rPr>
            <w:noProof/>
            <w:webHidden/>
          </w:rPr>
          <w:fldChar w:fldCharType="separate"/>
        </w:r>
        <w:r w:rsidR="00454284">
          <w:rPr>
            <w:noProof/>
            <w:webHidden/>
          </w:rPr>
          <w:t>24</w:t>
        </w:r>
        <w:r w:rsidR="00454284">
          <w:rPr>
            <w:noProof/>
            <w:webHidden/>
          </w:rPr>
          <w:fldChar w:fldCharType="end"/>
        </w:r>
      </w:hyperlink>
    </w:p>
    <w:p w14:paraId="351D9857" w14:textId="77777777" w:rsidR="00454284" w:rsidRDefault="001A6304">
      <w:pPr>
        <w:pStyle w:val="TableofFigures"/>
        <w:tabs>
          <w:tab w:val="right" w:leader="dot" w:pos="9782"/>
        </w:tabs>
        <w:rPr>
          <w:rFonts w:eastAsiaTheme="minorEastAsia" w:cstheme="minorBidi"/>
          <w:noProof/>
          <w:szCs w:val="22"/>
        </w:rPr>
      </w:pPr>
      <w:hyperlink w:anchor="_Toc5715445" w:history="1">
        <w:r w:rsidR="00454284" w:rsidRPr="00E3626F">
          <w:rPr>
            <w:rStyle w:val="Hyperlink"/>
            <w:noProof/>
          </w:rPr>
          <w:t>Table 4</w:t>
        </w:r>
        <w:r w:rsidR="00454284" w:rsidRPr="00E3626F">
          <w:rPr>
            <w:rStyle w:val="Hyperlink"/>
            <w:noProof/>
          </w:rPr>
          <w:noBreakHyphen/>
          <w:t>2: EE Measure Counts by Sector</w:t>
        </w:r>
        <w:r w:rsidR="00454284">
          <w:rPr>
            <w:noProof/>
            <w:webHidden/>
          </w:rPr>
          <w:tab/>
        </w:r>
        <w:r w:rsidR="00454284">
          <w:rPr>
            <w:noProof/>
            <w:webHidden/>
          </w:rPr>
          <w:fldChar w:fldCharType="begin"/>
        </w:r>
        <w:r w:rsidR="00454284">
          <w:rPr>
            <w:noProof/>
            <w:webHidden/>
          </w:rPr>
          <w:instrText xml:space="preserve"> PAGEREF _Toc5715445 \h </w:instrText>
        </w:r>
        <w:r w:rsidR="00454284">
          <w:rPr>
            <w:noProof/>
            <w:webHidden/>
          </w:rPr>
        </w:r>
        <w:r w:rsidR="00454284">
          <w:rPr>
            <w:noProof/>
            <w:webHidden/>
          </w:rPr>
          <w:fldChar w:fldCharType="separate"/>
        </w:r>
        <w:r w:rsidR="00454284">
          <w:rPr>
            <w:noProof/>
            <w:webHidden/>
          </w:rPr>
          <w:t>24</w:t>
        </w:r>
        <w:r w:rsidR="00454284">
          <w:rPr>
            <w:noProof/>
            <w:webHidden/>
          </w:rPr>
          <w:fldChar w:fldCharType="end"/>
        </w:r>
      </w:hyperlink>
    </w:p>
    <w:p w14:paraId="4B6A19B9" w14:textId="77777777" w:rsidR="00454284" w:rsidRDefault="001A6304">
      <w:pPr>
        <w:pStyle w:val="TableofFigures"/>
        <w:tabs>
          <w:tab w:val="right" w:leader="dot" w:pos="9782"/>
        </w:tabs>
        <w:rPr>
          <w:rFonts w:eastAsiaTheme="minorEastAsia" w:cstheme="minorBidi"/>
          <w:noProof/>
          <w:szCs w:val="22"/>
        </w:rPr>
      </w:pPr>
      <w:hyperlink w:anchor="_Toc5715446" w:history="1">
        <w:r w:rsidR="00454284" w:rsidRPr="00E3626F">
          <w:rPr>
            <w:rStyle w:val="Hyperlink"/>
            <w:noProof/>
          </w:rPr>
          <w:t>Table 5</w:t>
        </w:r>
        <w:r w:rsidR="00454284" w:rsidRPr="00E3626F">
          <w:rPr>
            <w:rStyle w:val="Hyperlink"/>
            <w:noProof/>
          </w:rPr>
          <w:noBreakHyphen/>
          <w:t>1: EE Technical Potential by Sector</w:t>
        </w:r>
        <w:r w:rsidR="00454284">
          <w:rPr>
            <w:noProof/>
            <w:webHidden/>
          </w:rPr>
          <w:tab/>
        </w:r>
        <w:r w:rsidR="00454284">
          <w:rPr>
            <w:noProof/>
            <w:webHidden/>
          </w:rPr>
          <w:fldChar w:fldCharType="begin"/>
        </w:r>
        <w:r w:rsidR="00454284">
          <w:rPr>
            <w:noProof/>
            <w:webHidden/>
          </w:rPr>
          <w:instrText xml:space="preserve"> PAGEREF _Toc5715446 \h </w:instrText>
        </w:r>
        <w:r w:rsidR="00454284">
          <w:rPr>
            <w:noProof/>
            <w:webHidden/>
          </w:rPr>
        </w:r>
        <w:r w:rsidR="00454284">
          <w:rPr>
            <w:noProof/>
            <w:webHidden/>
          </w:rPr>
          <w:fldChar w:fldCharType="separate"/>
        </w:r>
        <w:r w:rsidR="00454284">
          <w:rPr>
            <w:noProof/>
            <w:webHidden/>
          </w:rPr>
          <w:t>36</w:t>
        </w:r>
        <w:r w:rsidR="00454284">
          <w:rPr>
            <w:noProof/>
            <w:webHidden/>
          </w:rPr>
          <w:fldChar w:fldCharType="end"/>
        </w:r>
      </w:hyperlink>
    </w:p>
    <w:p w14:paraId="40699910" w14:textId="77777777" w:rsidR="00454284" w:rsidRDefault="001A6304">
      <w:pPr>
        <w:pStyle w:val="TableofFigures"/>
        <w:tabs>
          <w:tab w:val="right" w:leader="dot" w:pos="9782"/>
        </w:tabs>
        <w:rPr>
          <w:rFonts w:eastAsiaTheme="minorEastAsia" w:cstheme="minorBidi"/>
          <w:noProof/>
          <w:szCs w:val="22"/>
        </w:rPr>
      </w:pPr>
      <w:hyperlink w:anchor="_Toc5715447" w:history="1">
        <w:r w:rsidR="00454284" w:rsidRPr="00E3626F">
          <w:rPr>
            <w:rStyle w:val="Hyperlink"/>
            <w:noProof/>
          </w:rPr>
          <w:t>Table 5</w:t>
        </w:r>
        <w:r w:rsidR="00454284" w:rsidRPr="00E3626F">
          <w:rPr>
            <w:rStyle w:val="Hyperlink"/>
            <w:noProof/>
          </w:rPr>
          <w:noBreakHyphen/>
          <w:t>2: DR Technical Potential by Sector</w:t>
        </w:r>
        <w:r w:rsidR="00454284">
          <w:rPr>
            <w:noProof/>
            <w:webHidden/>
          </w:rPr>
          <w:tab/>
        </w:r>
        <w:r w:rsidR="00454284">
          <w:rPr>
            <w:noProof/>
            <w:webHidden/>
          </w:rPr>
          <w:fldChar w:fldCharType="begin"/>
        </w:r>
        <w:r w:rsidR="00454284">
          <w:rPr>
            <w:noProof/>
            <w:webHidden/>
          </w:rPr>
          <w:instrText xml:space="preserve"> PAGEREF _Toc5715447 \h </w:instrText>
        </w:r>
        <w:r w:rsidR="00454284">
          <w:rPr>
            <w:noProof/>
            <w:webHidden/>
          </w:rPr>
        </w:r>
        <w:r w:rsidR="00454284">
          <w:rPr>
            <w:noProof/>
            <w:webHidden/>
          </w:rPr>
          <w:fldChar w:fldCharType="separate"/>
        </w:r>
        <w:r w:rsidR="00454284">
          <w:rPr>
            <w:noProof/>
            <w:webHidden/>
          </w:rPr>
          <w:t>41</w:t>
        </w:r>
        <w:r w:rsidR="00454284">
          <w:rPr>
            <w:noProof/>
            <w:webHidden/>
          </w:rPr>
          <w:fldChar w:fldCharType="end"/>
        </w:r>
      </w:hyperlink>
    </w:p>
    <w:p w14:paraId="2E21BFE6" w14:textId="77777777" w:rsidR="00454284" w:rsidRDefault="001A6304">
      <w:pPr>
        <w:pStyle w:val="TableofFigures"/>
        <w:tabs>
          <w:tab w:val="right" w:leader="dot" w:pos="9782"/>
        </w:tabs>
        <w:rPr>
          <w:rFonts w:eastAsiaTheme="minorEastAsia" w:cstheme="minorBidi"/>
          <w:noProof/>
          <w:szCs w:val="22"/>
        </w:rPr>
      </w:pPr>
      <w:hyperlink w:anchor="_Toc5715448" w:history="1">
        <w:r w:rsidR="00454284" w:rsidRPr="00E3626F">
          <w:rPr>
            <w:rStyle w:val="Hyperlink"/>
            <w:noProof/>
          </w:rPr>
          <w:t>Table 5</w:t>
        </w:r>
        <w:r w:rsidR="00454284" w:rsidRPr="00E3626F">
          <w:rPr>
            <w:rStyle w:val="Hyperlink"/>
            <w:noProof/>
          </w:rPr>
          <w:noBreakHyphen/>
          <w:t>3: DSRE Technical Potential</w:t>
        </w:r>
        <w:r w:rsidR="00454284">
          <w:rPr>
            <w:noProof/>
            <w:webHidden/>
          </w:rPr>
          <w:tab/>
        </w:r>
        <w:r w:rsidR="00454284">
          <w:rPr>
            <w:noProof/>
            <w:webHidden/>
          </w:rPr>
          <w:fldChar w:fldCharType="begin"/>
        </w:r>
        <w:r w:rsidR="00454284">
          <w:rPr>
            <w:noProof/>
            <w:webHidden/>
          </w:rPr>
          <w:instrText xml:space="preserve"> PAGEREF _Toc5715448 \h </w:instrText>
        </w:r>
        <w:r w:rsidR="00454284">
          <w:rPr>
            <w:noProof/>
            <w:webHidden/>
          </w:rPr>
        </w:r>
        <w:r w:rsidR="00454284">
          <w:rPr>
            <w:noProof/>
            <w:webHidden/>
          </w:rPr>
          <w:fldChar w:fldCharType="separate"/>
        </w:r>
        <w:r w:rsidR="00454284">
          <w:rPr>
            <w:noProof/>
            <w:webHidden/>
          </w:rPr>
          <w:t>44</w:t>
        </w:r>
        <w:r w:rsidR="00454284">
          <w:rPr>
            <w:noProof/>
            <w:webHidden/>
          </w:rPr>
          <w:fldChar w:fldCharType="end"/>
        </w:r>
      </w:hyperlink>
    </w:p>
    <w:p w14:paraId="6401E786" w14:textId="77777777" w:rsidR="00266EB9" w:rsidRDefault="000677AC" w:rsidP="00FE10C1">
      <w:pPr>
        <w:pStyle w:val="IntroPages-Listoffiguresbody"/>
      </w:pPr>
      <w:r>
        <w:fldChar w:fldCharType="end"/>
      </w:r>
    </w:p>
    <w:p w14:paraId="2728E49B" w14:textId="77777777" w:rsidR="00597D63" w:rsidRDefault="00597D63" w:rsidP="00FE10C1">
      <w:pPr>
        <w:pStyle w:val="IntroPages-Listoffiguresbody"/>
        <w:sectPr w:rsidR="00597D63" w:rsidSect="00597D63">
          <w:headerReference w:type="default" r:id="rId20"/>
          <w:footerReference w:type="default" r:id="rId21"/>
          <w:headerReference w:type="first" r:id="rId22"/>
          <w:footerReference w:type="first" r:id="rId23"/>
          <w:pgSz w:w="12240" w:h="15840"/>
          <w:pgMar w:top="1440" w:right="1224" w:bottom="1440" w:left="1224" w:header="720" w:footer="720" w:gutter="0"/>
          <w:pgNumType w:fmt="lowerRoman"/>
          <w:cols w:space="720"/>
          <w:titlePg/>
          <w:docGrid w:linePitch="299"/>
        </w:sectPr>
      </w:pPr>
    </w:p>
    <w:p w14:paraId="6401E789" w14:textId="77777777" w:rsidR="00150AC7" w:rsidRPr="008278A3" w:rsidRDefault="00A5468E" w:rsidP="0062163A">
      <w:pPr>
        <w:pStyle w:val="Heading1"/>
        <w:tabs>
          <w:tab w:val="num" w:pos="720"/>
          <w:tab w:val="num" w:pos="1620"/>
        </w:tabs>
        <w:ind w:left="720" w:hanging="720"/>
      </w:pPr>
      <w:bookmarkStart w:id="8" w:name="_Ref458697910"/>
      <w:bookmarkStart w:id="9" w:name="_Ref458697921"/>
      <w:bookmarkStart w:id="10" w:name="_Toc5715465"/>
      <w:r w:rsidRPr="00B6622C">
        <w:t>E</w:t>
      </w:r>
      <w:r w:rsidR="00B279FC" w:rsidRPr="00B6622C">
        <w:t>xecutive</w:t>
      </w:r>
      <w:r w:rsidR="00B279FC" w:rsidRPr="008278A3">
        <w:t xml:space="preserve"> Summary</w:t>
      </w:r>
      <w:bookmarkEnd w:id="5"/>
      <w:bookmarkEnd w:id="6"/>
      <w:bookmarkEnd w:id="8"/>
      <w:bookmarkEnd w:id="9"/>
      <w:bookmarkEnd w:id="10"/>
    </w:p>
    <w:p w14:paraId="10A2AB42" w14:textId="66ACAE34" w:rsidR="003A114D" w:rsidRDefault="003A114D" w:rsidP="00C42451">
      <w:pPr>
        <w:pStyle w:val="Text"/>
        <w:jc w:val="both"/>
      </w:pPr>
      <w:r>
        <w:t xml:space="preserve">In October, 2017, the </w:t>
      </w:r>
      <w:r w:rsidR="00CA4476">
        <w:t xml:space="preserve">seven electric utilities subject to the </w:t>
      </w:r>
      <w:r>
        <w:t>Florida Energy Efficiency and Conservation Act (FEECA</w:t>
      </w:r>
      <w:r w:rsidR="00CA4476">
        <w:t xml:space="preserve"> </w:t>
      </w:r>
      <w:r w:rsidR="00C42451">
        <w:t>U</w:t>
      </w:r>
      <w:r w:rsidR="00CA4476">
        <w:t>tilities</w:t>
      </w:r>
      <w:r>
        <w:t>) retained Nexant, Inc. for the purpose of i</w:t>
      </w:r>
      <w:r w:rsidRPr="001061D9">
        <w:t>dentifying and characterizing the market for</w:t>
      </w:r>
      <w:r>
        <w:t xml:space="preserve"> </w:t>
      </w:r>
      <w:r w:rsidRPr="001061D9">
        <w:t>dem</w:t>
      </w:r>
      <w:r>
        <w:t>and-</w:t>
      </w:r>
      <w:r w:rsidRPr="001061D9">
        <w:t>side management</w:t>
      </w:r>
      <w:r>
        <w:t xml:space="preserve"> </w:t>
      </w:r>
      <w:r w:rsidRPr="001061D9">
        <w:t xml:space="preserve">(DSM) </w:t>
      </w:r>
      <w:r>
        <w:t xml:space="preserve">opportunities, including energy efficiency </w:t>
      </w:r>
      <w:r w:rsidR="00CA4476">
        <w:t xml:space="preserve">(EE) </w:t>
      </w:r>
      <w:r>
        <w:t>improvement</w:t>
      </w:r>
      <w:r w:rsidR="00CA4476">
        <w:t xml:space="preserve"> and </w:t>
      </w:r>
      <w:r>
        <w:t xml:space="preserve">building retrofits, peak load reductions </w:t>
      </w:r>
      <w:r w:rsidR="00B417B0">
        <w:t>from</w:t>
      </w:r>
      <w:r w:rsidR="00D440F4">
        <w:t xml:space="preserve"> </w:t>
      </w:r>
      <w:r>
        <w:t>demand response</w:t>
      </w:r>
      <w:r w:rsidR="00D440F4">
        <w:t xml:space="preserve"> (DR)</w:t>
      </w:r>
      <w:r>
        <w:t>, a</w:t>
      </w:r>
      <w:r w:rsidR="00CA4476">
        <w:t xml:space="preserve">nd demand-side renewable energy </w:t>
      </w:r>
      <w:r>
        <w:t>(DSRE)</w:t>
      </w:r>
      <w:r w:rsidR="00CA4476">
        <w:t xml:space="preserve"> systems</w:t>
      </w:r>
      <w:r>
        <w:t>. The main objectives of the study included:</w:t>
      </w:r>
    </w:p>
    <w:p w14:paraId="77A3707A" w14:textId="0601B8EC" w:rsidR="0028184E" w:rsidRPr="006D5337" w:rsidRDefault="0028184E" w:rsidP="00C42451">
      <w:pPr>
        <w:pStyle w:val="Mainbody-Bullets"/>
        <w:jc w:val="both"/>
      </w:pPr>
      <w:r w:rsidRPr="006D5337">
        <w:t>Assess</w:t>
      </w:r>
      <w:r>
        <w:t>ing</w:t>
      </w:r>
      <w:r w:rsidRPr="006D5337">
        <w:t xml:space="preserve"> </w:t>
      </w:r>
      <w:r w:rsidR="00D440F4">
        <w:t xml:space="preserve">the </w:t>
      </w:r>
      <w:r w:rsidRPr="006D5337">
        <w:t xml:space="preserve">technical potential of demand-side resources for reducing </w:t>
      </w:r>
      <w:r>
        <w:t>customer electric</w:t>
      </w:r>
      <w:r w:rsidRPr="006D5337">
        <w:t xml:space="preserve"> </w:t>
      </w:r>
      <w:r>
        <w:t xml:space="preserve">energy </w:t>
      </w:r>
      <w:r w:rsidRPr="006D5337">
        <w:t xml:space="preserve">consumption and </w:t>
      </w:r>
      <w:r>
        <w:t xml:space="preserve">seasonal peak </w:t>
      </w:r>
      <w:r w:rsidRPr="006D5337">
        <w:t>capacity demands.</w:t>
      </w:r>
    </w:p>
    <w:p w14:paraId="11463AD3" w14:textId="7E864C39" w:rsidR="001A1A00" w:rsidRPr="006D5337" w:rsidRDefault="001A1A00" w:rsidP="00C42451">
      <w:pPr>
        <w:pStyle w:val="Text"/>
        <w:jc w:val="both"/>
      </w:pPr>
      <w:r>
        <w:t xml:space="preserve">This report provides the detailed methodology and results for </w:t>
      </w:r>
      <w:r w:rsidR="00F243BB">
        <w:t xml:space="preserve">the </w:t>
      </w:r>
      <w:r w:rsidR="00D440F4">
        <w:t xml:space="preserve">technical potential </w:t>
      </w:r>
      <w:r>
        <w:t xml:space="preserve">analysis of </w:t>
      </w:r>
      <w:r w:rsidR="00145C87">
        <w:t>Tampa Electric Company’s (TECO</w:t>
      </w:r>
      <w:r>
        <w:t>) service territory.</w:t>
      </w:r>
    </w:p>
    <w:p w14:paraId="6401E78E" w14:textId="77777777" w:rsidR="00150211" w:rsidRDefault="00150211" w:rsidP="00C42451">
      <w:pPr>
        <w:pStyle w:val="Heading2"/>
        <w:jc w:val="both"/>
      </w:pPr>
      <w:bookmarkStart w:id="11" w:name="_Toc5715466"/>
      <w:r>
        <w:t>Methodology</w:t>
      </w:r>
      <w:bookmarkEnd w:id="11"/>
    </w:p>
    <w:p w14:paraId="68F130A5" w14:textId="4240B627" w:rsidR="00C0168F" w:rsidRPr="002B69DF" w:rsidRDefault="00C0168F" w:rsidP="00C42451">
      <w:pPr>
        <w:pStyle w:val="Text"/>
        <w:jc w:val="both"/>
      </w:pPr>
      <w:r>
        <w:t>Nexant estimates DSM savings potential by applying an analytical framework that aligns baseline market conditions for energy consumption and demand with DSM opportunities. After describing the baseline condition, Nexant applies estimated measure savings to disaggregated consumption and demand data. The approach varies slightly according to the type of DSM resources and available data; the specific approaches used for each type of DSM are described below.</w:t>
      </w:r>
    </w:p>
    <w:p w14:paraId="1517D516" w14:textId="2821DC86" w:rsidR="00110837" w:rsidRDefault="00997D93" w:rsidP="00C42451">
      <w:pPr>
        <w:pStyle w:val="Heading3"/>
        <w:jc w:val="both"/>
      </w:pPr>
      <w:bookmarkStart w:id="12" w:name="_Toc5715467"/>
      <w:r>
        <w:t>EE</w:t>
      </w:r>
      <w:r w:rsidR="00110837">
        <w:t xml:space="preserve"> Potential</w:t>
      </w:r>
      <w:bookmarkEnd w:id="12"/>
    </w:p>
    <w:p w14:paraId="6401E78F" w14:textId="09DB3CC7" w:rsidR="00150211" w:rsidRDefault="00150211" w:rsidP="00C42451">
      <w:pPr>
        <w:pStyle w:val="Text"/>
        <w:jc w:val="both"/>
      </w:pPr>
      <w:r w:rsidRPr="00DF1DB0">
        <w:t xml:space="preserve">This study utilized Nexant’s Microsoft Excel-based </w:t>
      </w:r>
      <w:r w:rsidR="006D5337">
        <w:t xml:space="preserve">EE </w:t>
      </w:r>
      <w:r w:rsidRPr="00DF1DB0">
        <w:t>modeling tool, TEA-POT (Technical</w:t>
      </w:r>
      <w:r>
        <w:t xml:space="preserve"> </w:t>
      </w:r>
      <w:r w:rsidRPr="00DF1DB0">
        <w:t>/</w:t>
      </w:r>
      <w:r>
        <w:t xml:space="preserve"> </w:t>
      </w:r>
      <w:r w:rsidRPr="00DF1DB0">
        <w:t>Economic</w:t>
      </w:r>
      <w:r>
        <w:t xml:space="preserve"> </w:t>
      </w:r>
      <w:r w:rsidRPr="00DF1DB0">
        <w:t>/</w:t>
      </w:r>
      <w:r>
        <w:t xml:space="preserve"> </w:t>
      </w:r>
      <w:r w:rsidRPr="00DF1DB0">
        <w:t xml:space="preserve">Achievable </w:t>
      </w:r>
      <w:r w:rsidR="00B05DBA" w:rsidRPr="00DF1DB0">
        <w:t>P</w:t>
      </w:r>
      <w:r w:rsidR="00B05DBA">
        <w:t>OT</w:t>
      </w:r>
      <w:r w:rsidR="00B05DBA" w:rsidRPr="00DF1DB0">
        <w:t>ential</w:t>
      </w:r>
      <w:r w:rsidRPr="00DF1DB0">
        <w:t xml:space="preserve">). This modeling tool </w:t>
      </w:r>
      <w:r w:rsidR="00B05DBA">
        <w:t>was</w:t>
      </w:r>
      <w:r w:rsidR="00B05DBA" w:rsidRPr="00DF1DB0">
        <w:t xml:space="preserve"> </w:t>
      </w:r>
      <w:r w:rsidRPr="00DF1DB0">
        <w:t>built on a platform that provides the ability to calculate multiple scenarios and recalculate potential savings based on variable inputs such as sales/load forecasts, electricity prices, discount rates, and actual program savings.</w:t>
      </w:r>
      <w:r>
        <w:t xml:space="preserve"> </w:t>
      </w:r>
      <w:r w:rsidRPr="00DF1DB0">
        <w:t xml:space="preserve">The methodology for the </w:t>
      </w:r>
      <w:r w:rsidR="00997D93">
        <w:t>EE</w:t>
      </w:r>
      <w:r w:rsidRPr="00DF1DB0">
        <w:t xml:space="preserve"> potential assessment </w:t>
      </w:r>
      <w:r w:rsidR="00B05DBA">
        <w:t>was</w:t>
      </w:r>
      <w:r w:rsidR="00B05DBA" w:rsidRPr="00DF1DB0">
        <w:t xml:space="preserve"> </w:t>
      </w:r>
      <w:r w:rsidRPr="00DF1DB0">
        <w:t>based on a hybrid “top-down/bottom-up” approach</w:t>
      </w:r>
      <w:r w:rsidR="006D5337">
        <w:t>, which</w:t>
      </w:r>
      <w:r w:rsidRPr="00DF1DB0">
        <w:t xml:space="preserve"> </w:t>
      </w:r>
      <w:r w:rsidR="00B05DBA">
        <w:t>started</w:t>
      </w:r>
      <w:r w:rsidR="00B05DBA" w:rsidRPr="00DF1DB0">
        <w:t xml:space="preserve"> </w:t>
      </w:r>
      <w:r w:rsidRPr="00DF1DB0">
        <w:t xml:space="preserve">with the current </w:t>
      </w:r>
      <w:r w:rsidR="006D5337">
        <w:t xml:space="preserve">utility </w:t>
      </w:r>
      <w:r w:rsidRPr="00DF1DB0">
        <w:t xml:space="preserve">load forecast, then </w:t>
      </w:r>
      <w:r w:rsidR="00B05DBA">
        <w:t>disaggregated</w:t>
      </w:r>
      <w:r w:rsidR="00B05DBA" w:rsidRPr="00DF1DB0">
        <w:t xml:space="preserve"> </w:t>
      </w:r>
      <w:r w:rsidRPr="00DF1DB0">
        <w:t xml:space="preserve">it into its constituent customer-class and </w:t>
      </w:r>
      <w:r w:rsidR="007576CB">
        <w:t>end-use</w:t>
      </w:r>
      <w:r w:rsidRPr="00DF1DB0">
        <w:t xml:space="preserve"> components</w:t>
      </w:r>
      <w:r w:rsidR="003E0CD4">
        <w:t xml:space="preserve">. </w:t>
      </w:r>
      <w:r w:rsidR="002B69DF">
        <w:t>Our</w:t>
      </w:r>
      <w:r w:rsidR="003E0CD4">
        <w:t xml:space="preserve"> assessment </w:t>
      </w:r>
      <w:r w:rsidRPr="00DF1DB0">
        <w:t>examine</w:t>
      </w:r>
      <w:r w:rsidR="00B05DBA">
        <w:t>d</w:t>
      </w:r>
      <w:r w:rsidRPr="00DF1DB0">
        <w:t xml:space="preserve"> the effect of the range of </w:t>
      </w:r>
      <w:r w:rsidR="00997D93">
        <w:t>EE</w:t>
      </w:r>
      <w:r w:rsidRPr="00DF1DB0">
        <w:t xml:space="preserve"> measures and practices on each </w:t>
      </w:r>
      <w:r w:rsidR="007576CB">
        <w:t>end-use</w:t>
      </w:r>
      <w:r w:rsidRPr="00DF1DB0">
        <w:t>, taking into</w:t>
      </w:r>
      <w:r w:rsidR="007576CB">
        <w:t xml:space="preserve"> account </w:t>
      </w:r>
      <w:r w:rsidRPr="00DF1DB0">
        <w:t xml:space="preserve">current market saturations, </w:t>
      </w:r>
      <w:r w:rsidR="00B417B0">
        <w:t xml:space="preserve">and </w:t>
      </w:r>
      <w:r w:rsidRPr="00DF1DB0">
        <w:t xml:space="preserve">technical feasibility. These unique impacts </w:t>
      </w:r>
      <w:r w:rsidR="00B05DBA">
        <w:t>were</w:t>
      </w:r>
      <w:r w:rsidR="00B05DBA" w:rsidRPr="00DF1DB0">
        <w:t xml:space="preserve"> </w:t>
      </w:r>
      <w:r w:rsidRPr="00DF1DB0">
        <w:t>aggregated to produce estimates of potential at the end</w:t>
      </w:r>
      <w:r w:rsidR="007576CB">
        <w:t>-</w:t>
      </w:r>
      <w:r w:rsidRPr="00DF1DB0">
        <w:t>use, customer</w:t>
      </w:r>
      <w:r>
        <w:t xml:space="preserve"> </w:t>
      </w:r>
      <w:r w:rsidRPr="00DF1DB0">
        <w:t>class, and system levels.</w:t>
      </w:r>
    </w:p>
    <w:p w14:paraId="1D4367B2" w14:textId="4B7FC39C" w:rsidR="00110837" w:rsidRDefault="00997D93" w:rsidP="00C42451">
      <w:pPr>
        <w:pStyle w:val="Heading3"/>
        <w:jc w:val="both"/>
      </w:pPr>
      <w:bookmarkStart w:id="13" w:name="_Toc5715468"/>
      <w:r>
        <w:t>DR</w:t>
      </w:r>
      <w:r w:rsidR="00110837">
        <w:t xml:space="preserve"> Potential</w:t>
      </w:r>
      <w:bookmarkEnd w:id="13"/>
    </w:p>
    <w:p w14:paraId="34A908C6" w14:textId="34B43E73" w:rsidR="00903A03" w:rsidRPr="00903A03" w:rsidRDefault="00903A03" w:rsidP="00C42451">
      <w:pPr>
        <w:pStyle w:val="Text"/>
        <w:jc w:val="both"/>
      </w:pPr>
      <w:r>
        <w:t xml:space="preserve">The assessment of DR potential in </w:t>
      </w:r>
      <w:r w:rsidR="00145C87">
        <w:t>TECO</w:t>
      </w:r>
      <w:r>
        <w:t>’s service territory was an analysis of mass market direct load control programs for residential and small commercial and industrial</w:t>
      </w:r>
      <w:r w:rsidR="007F2D0C">
        <w:t xml:space="preserve"> (C&amp;I)</w:t>
      </w:r>
      <w:r>
        <w:t xml:space="preserve"> customers, and an analysis of DR programs for large commercial and industrial customers. The direct load control program assessment focused on the potential for demand reduction through </w:t>
      </w:r>
      <w:r w:rsidR="00B417B0">
        <w:t>heating, ventilation, and air conditioning (HVAC)</w:t>
      </w:r>
      <w:r>
        <w:t xml:space="preserve">, water heater, and pool pump load control. These </w:t>
      </w:r>
      <w:r w:rsidR="007576CB">
        <w:t>end-use</w:t>
      </w:r>
      <w:r>
        <w:t xml:space="preserve">s were of particular interest because of their large contribution to peak period system load. For this analysis, a </w:t>
      </w:r>
      <w:r w:rsidR="000E017E">
        <w:t>range of direct load control measures were examined for each customer segment</w:t>
      </w:r>
      <w:r>
        <w:t xml:space="preserve"> to highlight the range of potential. </w:t>
      </w:r>
      <w:r w:rsidR="000E017E">
        <w:t xml:space="preserve">The assessment further accounted for existing DR programs for </w:t>
      </w:r>
      <w:r w:rsidR="00145C87">
        <w:t>TECO</w:t>
      </w:r>
      <w:r w:rsidR="000E017E">
        <w:t xml:space="preserve"> when calculating the total</w:t>
      </w:r>
      <w:r w:rsidR="00553D4A">
        <w:t xml:space="preserve"> DR</w:t>
      </w:r>
      <w:r w:rsidR="000E017E">
        <w:t xml:space="preserve"> potential</w:t>
      </w:r>
      <w:r>
        <w:t xml:space="preserve">. </w:t>
      </w:r>
    </w:p>
    <w:p w14:paraId="292B1DC4" w14:textId="61FF1752" w:rsidR="00110837" w:rsidRDefault="00553D4A" w:rsidP="00110837">
      <w:pPr>
        <w:pStyle w:val="Heading3"/>
      </w:pPr>
      <w:bookmarkStart w:id="14" w:name="_Toc5715469"/>
      <w:r>
        <w:t>DSRE</w:t>
      </w:r>
      <w:r w:rsidR="00110837">
        <w:t xml:space="preserve"> Potential</w:t>
      </w:r>
      <w:bookmarkEnd w:id="14"/>
    </w:p>
    <w:p w14:paraId="5431D583" w14:textId="3F988557" w:rsidR="007529AE" w:rsidRDefault="000A7E4C" w:rsidP="00C42451">
      <w:pPr>
        <w:pStyle w:val="Text"/>
        <w:jc w:val="both"/>
        <w:rPr>
          <w:rFonts w:cs="Garamond"/>
        </w:rPr>
      </w:pPr>
      <w:r>
        <w:t>T</w:t>
      </w:r>
      <w:r w:rsidR="00997D93">
        <w:t xml:space="preserve">he </w:t>
      </w:r>
      <w:r w:rsidR="00553D4A">
        <w:t>DSRE</w:t>
      </w:r>
      <w:r w:rsidR="007529AE">
        <w:t xml:space="preserve"> technologies included in this study are rooftop solar photovoltaic (PV) systems, battery storage systems</w:t>
      </w:r>
      <w:r w:rsidR="00B417B0">
        <w:t xml:space="preserve"> charged from customer’s PV systems</w:t>
      </w:r>
      <w:r w:rsidR="007529AE">
        <w:t xml:space="preserve">, and combined heat and power (CHP) systems.  The study leveraged the customer segmentation and load disaggregation data assembled for the EE and DR analyses, and used a </w:t>
      </w:r>
      <w:r w:rsidR="007529AE" w:rsidRPr="00B93EA8">
        <w:t xml:space="preserve">“bottom-up” modeling approach </w:t>
      </w:r>
      <w:r w:rsidR="007529AE">
        <w:t xml:space="preserve">to estimate the potential of the </w:t>
      </w:r>
      <w:r w:rsidR="00B417B0">
        <w:t>various DSRE technologies for</w:t>
      </w:r>
      <w:r w:rsidR="007529AE">
        <w:t xml:space="preserve"> residential, commercial</w:t>
      </w:r>
      <w:r w:rsidR="00B417B0">
        <w:t>,</w:t>
      </w:r>
      <w:r w:rsidR="007529AE">
        <w:t xml:space="preserve"> and industrial </w:t>
      </w:r>
      <w:r w:rsidR="00B417B0">
        <w:t>customer</w:t>
      </w:r>
      <w:r w:rsidR="007529AE">
        <w:t>s</w:t>
      </w:r>
      <w:r w:rsidR="007529AE" w:rsidRPr="006058F6">
        <w:rPr>
          <w:rFonts w:cs="Garamond"/>
        </w:rPr>
        <w:t>.</w:t>
      </w:r>
      <w:r w:rsidR="007529AE">
        <w:rPr>
          <w:rFonts w:cs="Garamond"/>
        </w:rPr>
        <w:t xml:space="preserve">  Individual distributed generation models were created for the three DSRE technologies studied to estimate market potential.</w:t>
      </w:r>
    </w:p>
    <w:p w14:paraId="6401E791" w14:textId="77777777" w:rsidR="00150211" w:rsidRDefault="00150211" w:rsidP="001057BD">
      <w:pPr>
        <w:pStyle w:val="Heading2"/>
      </w:pPr>
      <w:bookmarkStart w:id="15" w:name="_Toc5715470"/>
      <w:r>
        <w:t>Savings Potential</w:t>
      </w:r>
      <w:bookmarkEnd w:id="15"/>
    </w:p>
    <w:p w14:paraId="7656D5E0" w14:textId="5B7A2760" w:rsidR="000A7E4C" w:rsidRPr="002B69DF" w:rsidRDefault="007C0077" w:rsidP="002B69DF">
      <w:pPr>
        <w:pStyle w:val="Text"/>
      </w:pPr>
      <w:r>
        <w:t>Technical</w:t>
      </w:r>
      <w:r w:rsidR="007749E8">
        <w:t xml:space="preserve"> potential for EE, DR, DSRE are as follows:</w:t>
      </w:r>
    </w:p>
    <w:p w14:paraId="6401E792" w14:textId="1E7B11D7" w:rsidR="001057BD" w:rsidRDefault="00997D93" w:rsidP="001057BD">
      <w:pPr>
        <w:pStyle w:val="Heading3"/>
      </w:pPr>
      <w:bookmarkStart w:id="16" w:name="_Toc5715471"/>
      <w:r>
        <w:t>EE</w:t>
      </w:r>
      <w:r w:rsidR="00B244D6">
        <w:t xml:space="preserve"> </w:t>
      </w:r>
      <w:r w:rsidR="007749E8">
        <w:t xml:space="preserve">Technical </w:t>
      </w:r>
      <w:r w:rsidR="00B244D6">
        <w:t>Potential</w:t>
      </w:r>
      <w:bookmarkEnd w:id="16"/>
    </w:p>
    <w:p w14:paraId="183B9089" w14:textId="4FEAAB42" w:rsidR="003B7D53" w:rsidRDefault="00997D93" w:rsidP="00C42451">
      <w:pPr>
        <w:pStyle w:val="Text"/>
        <w:jc w:val="both"/>
      </w:pPr>
      <w:r>
        <w:t>EE</w:t>
      </w:r>
      <w:r w:rsidR="003B7D53">
        <w:t xml:space="preserve"> technical potential </w:t>
      </w:r>
      <w:r w:rsidR="000A7E4C">
        <w:t xml:space="preserve">describes </w:t>
      </w:r>
      <w:r w:rsidR="003B7D53">
        <w:t xml:space="preserve">the savings potential when all technically feasible </w:t>
      </w:r>
      <w:r>
        <w:t>EE</w:t>
      </w:r>
      <w:r w:rsidR="003B7D53">
        <w:t xml:space="preserve"> measures are fully implemented, ignoring all non-technical constraints on electricity savings, such as cost-effectiveness and customer willingness to adopt </w:t>
      </w:r>
      <w:r>
        <w:t>EE</w:t>
      </w:r>
      <w:r w:rsidR="003B7D53">
        <w:t xml:space="preserve">.  </w:t>
      </w:r>
    </w:p>
    <w:p w14:paraId="048E99E8" w14:textId="7D004293" w:rsidR="00513A5C" w:rsidRDefault="00513A5C" w:rsidP="003B7D53">
      <w:pPr>
        <w:pStyle w:val="Text"/>
      </w:pPr>
      <w:r>
        <w:t xml:space="preserve">The estimated </w:t>
      </w:r>
      <w:r w:rsidR="000A7E4C">
        <w:t>technical</w:t>
      </w:r>
      <w:r>
        <w:t xml:space="preserve"> potential results are summarized in </w:t>
      </w:r>
      <w:r>
        <w:fldChar w:fldCharType="begin"/>
      </w:r>
      <w:r>
        <w:instrText xml:space="preserve"> REF _Ref2523874 \h </w:instrText>
      </w:r>
      <w:r>
        <w:fldChar w:fldCharType="separate"/>
      </w:r>
      <w:r w:rsidR="00B30110">
        <w:t xml:space="preserve">Table </w:t>
      </w:r>
      <w:r w:rsidR="00B30110">
        <w:rPr>
          <w:noProof/>
        </w:rPr>
        <w:t>1</w:t>
      </w:r>
      <w:r w:rsidR="00B30110">
        <w:noBreakHyphen/>
      </w:r>
      <w:r w:rsidR="00B30110">
        <w:rPr>
          <w:noProof/>
        </w:rPr>
        <w:t>1</w:t>
      </w:r>
      <w:r>
        <w:fldChar w:fldCharType="end"/>
      </w:r>
      <w:r>
        <w:t>.</w:t>
      </w:r>
    </w:p>
    <w:p w14:paraId="71BDFCFA" w14:textId="49AC797D" w:rsidR="00513A5C" w:rsidRDefault="00513A5C" w:rsidP="00513A5C">
      <w:pPr>
        <w:pStyle w:val="Mainbody-Captiontable"/>
      </w:pPr>
      <w:bookmarkStart w:id="17" w:name="_Ref2523874"/>
      <w:bookmarkStart w:id="18" w:name="_Toc5715438"/>
      <w:r>
        <w:t xml:space="preserve">Table </w:t>
      </w:r>
      <w:r w:rsidR="000C7BC6">
        <w:rPr>
          <w:noProof/>
        </w:rPr>
        <w:fldChar w:fldCharType="begin"/>
      </w:r>
      <w:r w:rsidR="000C7BC6">
        <w:rPr>
          <w:noProof/>
        </w:rPr>
        <w:instrText xml:space="preserve"> STYLEREF 1 \s </w:instrText>
      </w:r>
      <w:r w:rsidR="000C7BC6">
        <w:rPr>
          <w:noProof/>
        </w:rPr>
        <w:fldChar w:fldCharType="separate"/>
      </w:r>
      <w:r w:rsidR="00B30110">
        <w:rPr>
          <w:noProof/>
        </w:rPr>
        <w:t>1</w:t>
      </w:r>
      <w:r w:rsidR="000C7BC6">
        <w:rPr>
          <w:noProof/>
        </w:rPr>
        <w:fldChar w:fldCharType="end"/>
      </w:r>
      <w:r w:rsidR="00B417B0">
        <w:noBreakHyphen/>
      </w:r>
      <w:r w:rsidR="000C7BC6">
        <w:rPr>
          <w:noProof/>
        </w:rPr>
        <w:fldChar w:fldCharType="begin"/>
      </w:r>
      <w:r w:rsidR="000C7BC6">
        <w:rPr>
          <w:noProof/>
        </w:rPr>
        <w:instrText xml:space="preserve"> SEQ Table \* ARABIC \s 1 </w:instrText>
      </w:r>
      <w:r w:rsidR="000C7BC6">
        <w:rPr>
          <w:noProof/>
        </w:rPr>
        <w:fldChar w:fldCharType="separate"/>
      </w:r>
      <w:r w:rsidR="00B30110">
        <w:rPr>
          <w:noProof/>
        </w:rPr>
        <w:t>1</w:t>
      </w:r>
      <w:r w:rsidR="000C7BC6">
        <w:rPr>
          <w:noProof/>
        </w:rPr>
        <w:fldChar w:fldCharType="end"/>
      </w:r>
      <w:bookmarkEnd w:id="17"/>
      <w:r>
        <w:t xml:space="preserve">: </w:t>
      </w:r>
      <w:r w:rsidR="00997D93">
        <w:t>EE</w:t>
      </w:r>
      <w:r>
        <w:t xml:space="preserve"> Technical Potential</w:t>
      </w:r>
      <w:bookmarkEnd w:id="18"/>
      <w:r>
        <w:t xml:space="preserve"> </w:t>
      </w:r>
    </w:p>
    <w:tbl>
      <w:tblPr>
        <w:tblW w:w="6840" w:type="dxa"/>
        <w:jc w:val="center"/>
        <w:tblBorders>
          <w:top w:val="single" w:sz="4" w:space="0" w:color="0070CD"/>
          <w:bottom w:val="single" w:sz="4" w:space="0" w:color="0070CD"/>
          <w:insideH w:val="dotted" w:sz="4" w:space="0" w:color="0070CD"/>
          <w:insideV w:val="dotted" w:sz="4" w:space="0" w:color="0070CD"/>
        </w:tblBorders>
        <w:tblLayout w:type="fixed"/>
        <w:tblLook w:val="04A0" w:firstRow="1" w:lastRow="0" w:firstColumn="1" w:lastColumn="0" w:noHBand="0" w:noVBand="1"/>
      </w:tblPr>
      <w:tblGrid>
        <w:gridCol w:w="2252"/>
        <w:gridCol w:w="1528"/>
        <w:gridCol w:w="1620"/>
        <w:gridCol w:w="1440"/>
      </w:tblGrid>
      <w:tr w:rsidR="00513A5C" w:rsidRPr="00C95CDE" w14:paraId="1A07F19F" w14:textId="77777777" w:rsidTr="00B417B0">
        <w:trPr>
          <w:trHeight w:val="300"/>
          <w:jc w:val="center"/>
        </w:trPr>
        <w:tc>
          <w:tcPr>
            <w:tcW w:w="2252" w:type="dxa"/>
            <w:tcBorders>
              <w:top w:val="single" w:sz="4" w:space="0" w:color="0070CD"/>
              <w:bottom w:val="nil"/>
            </w:tcBorders>
            <w:shd w:val="clear" w:color="auto" w:fill="0070CD"/>
            <w:noWrap/>
            <w:vAlign w:val="bottom"/>
            <w:hideMark/>
          </w:tcPr>
          <w:p w14:paraId="209EFCA8" w14:textId="77777777" w:rsidR="00513A5C" w:rsidRPr="0065130B" w:rsidRDefault="00513A5C" w:rsidP="00CB2313">
            <w:pPr>
              <w:pStyle w:val="Tables-Bodycells"/>
              <w:keepNext w:val="0"/>
              <w:rPr>
                <w:color w:val="FFFFFF" w:themeColor="background1"/>
                <w:lang w:val="en-CA" w:eastAsia="en-CA"/>
              </w:rPr>
            </w:pPr>
          </w:p>
        </w:tc>
        <w:tc>
          <w:tcPr>
            <w:tcW w:w="4588" w:type="dxa"/>
            <w:gridSpan w:val="3"/>
            <w:shd w:val="clear" w:color="auto" w:fill="0070CD"/>
            <w:vAlign w:val="center"/>
          </w:tcPr>
          <w:p w14:paraId="0E4F79FF" w14:textId="77777777" w:rsidR="00513A5C" w:rsidRPr="00901BE2" w:rsidRDefault="00513A5C" w:rsidP="00CB2313">
            <w:pPr>
              <w:pStyle w:val="Tables-Bodycells"/>
              <w:keepNext w:val="0"/>
              <w:jc w:val="center"/>
              <w:rPr>
                <w:b/>
                <w:bCs/>
                <w:color w:val="FFFFFF" w:themeColor="background1"/>
                <w:lang w:val="en-CA" w:eastAsia="en-CA"/>
              </w:rPr>
            </w:pPr>
            <w:r>
              <w:rPr>
                <w:b/>
                <w:bCs/>
                <w:color w:val="FFFFFF" w:themeColor="background1"/>
                <w:lang w:val="en-CA" w:eastAsia="en-CA"/>
              </w:rPr>
              <w:t>Savings</w:t>
            </w:r>
            <w:r w:rsidRPr="00901BE2">
              <w:rPr>
                <w:b/>
                <w:bCs/>
                <w:color w:val="FFFFFF" w:themeColor="background1"/>
                <w:lang w:val="en-CA" w:eastAsia="en-CA"/>
              </w:rPr>
              <w:t xml:space="preserve"> </w:t>
            </w:r>
            <w:r>
              <w:rPr>
                <w:b/>
                <w:bCs/>
                <w:color w:val="FFFFFF" w:themeColor="background1"/>
                <w:lang w:val="en-CA" w:eastAsia="en-CA"/>
              </w:rPr>
              <w:t>Potential</w:t>
            </w:r>
          </w:p>
        </w:tc>
      </w:tr>
      <w:tr w:rsidR="00B417B0" w:rsidRPr="00C95CDE" w14:paraId="7EC5C42D" w14:textId="77777777" w:rsidTr="00B417B0">
        <w:trPr>
          <w:trHeight w:val="300"/>
          <w:jc w:val="center"/>
        </w:trPr>
        <w:tc>
          <w:tcPr>
            <w:tcW w:w="2252" w:type="dxa"/>
            <w:tcBorders>
              <w:top w:val="nil"/>
              <w:bottom w:val="single" w:sz="4" w:space="0" w:color="0070CD"/>
            </w:tcBorders>
            <w:shd w:val="clear" w:color="auto" w:fill="0070CD"/>
            <w:noWrap/>
            <w:vAlign w:val="bottom"/>
            <w:hideMark/>
          </w:tcPr>
          <w:p w14:paraId="3DCD2D44" w14:textId="77777777" w:rsidR="00B417B0" w:rsidRPr="0065130B" w:rsidRDefault="00B417B0" w:rsidP="00AC1108">
            <w:pPr>
              <w:pStyle w:val="Tables-Bodycells"/>
              <w:keepNext w:val="0"/>
              <w:rPr>
                <w:color w:val="FFFFFF" w:themeColor="background1"/>
                <w:lang w:val="en-CA" w:eastAsia="en-CA"/>
              </w:rPr>
            </w:pPr>
          </w:p>
        </w:tc>
        <w:tc>
          <w:tcPr>
            <w:tcW w:w="1528" w:type="dxa"/>
            <w:tcBorders>
              <w:bottom w:val="single" w:sz="4" w:space="0" w:color="0070CD"/>
            </w:tcBorders>
            <w:shd w:val="clear" w:color="auto" w:fill="0070CD"/>
            <w:noWrap/>
            <w:vAlign w:val="center"/>
          </w:tcPr>
          <w:p w14:paraId="3D486039" w14:textId="77777777" w:rsidR="00B417B0" w:rsidRDefault="00B417B0" w:rsidP="00AC1108">
            <w:pPr>
              <w:pStyle w:val="Tables-Bodycells"/>
              <w:keepNext w:val="0"/>
              <w:jc w:val="center"/>
              <w:rPr>
                <w:b/>
                <w:bCs/>
                <w:color w:val="FFFFFF" w:themeColor="background1"/>
                <w:lang w:val="en-CA" w:eastAsia="en-CA"/>
              </w:rPr>
            </w:pPr>
            <w:r>
              <w:rPr>
                <w:b/>
                <w:bCs/>
                <w:color w:val="FFFFFF" w:themeColor="background1"/>
                <w:lang w:val="en-CA" w:eastAsia="en-CA"/>
              </w:rPr>
              <w:t xml:space="preserve">Summer </w:t>
            </w:r>
          </w:p>
          <w:p w14:paraId="034E4EA4" w14:textId="1CA041DA" w:rsidR="00B417B0" w:rsidRPr="00901BE2" w:rsidRDefault="00B417B0" w:rsidP="00AC1108">
            <w:pPr>
              <w:pStyle w:val="Tables-Bodycells"/>
              <w:keepNext w:val="0"/>
              <w:jc w:val="center"/>
              <w:rPr>
                <w:b/>
                <w:bCs/>
                <w:color w:val="FFFFFF" w:themeColor="background1"/>
                <w:lang w:val="en-CA" w:eastAsia="en-CA"/>
              </w:rPr>
            </w:pPr>
            <w:r>
              <w:rPr>
                <w:b/>
                <w:bCs/>
                <w:color w:val="FFFFFF" w:themeColor="background1"/>
                <w:lang w:val="en-CA" w:eastAsia="en-CA"/>
              </w:rPr>
              <w:t xml:space="preserve">Peak </w:t>
            </w:r>
            <w:r w:rsidRPr="00901BE2">
              <w:rPr>
                <w:b/>
                <w:bCs/>
                <w:color w:val="FFFFFF" w:themeColor="background1"/>
                <w:lang w:val="en-CA" w:eastAsia="en-CA"/>
              </w:rPr>
              <w:t>Demand (MW)</w:t>
            </w:r>
          </w:p>
        </w:tc>
        <w:tc>
          <w:tcPr>
            <w:tcW w:w="1620" w:type="dxa"/>
            <w:tcBorders>
              <w:bottom w:val="single" w:sz="4" w:space="0" w:color="0070CD"/>
            </w:tcBorders>
            <w:shd w:val="clear" w:color="auto" w:fill="0070CD"/>
            <w:noWrap/>
          </w:tcPr>
          <w:p w14:paraId="1436A949" w14:textId="77777777" w:rsidR="00B417B0" w:rsidRDefault="00B417B0" w:rsidP="00AC1108">
            <w:pPr>
              <w:pStyle w:val="Tables-Bodycells"/>
              <w:keepNext w:val="0"/>
              <w:jc w:val="center"/>
              <w:rPr>
                <w:b/>
                <w:bCs/>
                <w:color w:val="FFFFFF" w:themeColor="background1"/>
                <w:lang w:val="en-CA" w:eastAsia="en-CA"/>
              </w:rPr>
            </w:pPr>
            <w:r>
              <w:rPr>
                <w:b/>
                <w:bCs/>
                <w:color w:val="FFFFFF" w:themeColor="background1"/>
                <w:lang w:val="en-CA" w:eastAsia="en-CA"/>
              </w:rPr>
              <w:t>Winter</w:t>
            </w:r>
          </w:p>
          <w:p w14:paraId="1AD5EC85" w14:textId="100921E0" w:rsidR="00B417B0" w:rsidRPr="00901BE2" w:rsidRDefault="00B417B0" w:rsidP="00AC1108">
            <w:pPr>
              <w:pStyle w:val="Tables-Bodycells"/>
              <w:keepNext w:val="0"/>
              <w:jc w:val="center"/>
              <w:rPr>
                <w:b/>
                <w:bCs/>
                <w:color w:val="FFFFFF" w:themeColor="background1"/>
                <w:lang w:val="en-CA" w:eastAsia="en-CA"/>
              </w:rPr>
            </w:pPr>
            <w:r>
              <w:rPr>
                <w:b/>
                <w:bCs/>
                <w:color w:val="FFFFFF" w:themeColor="background1"/>
                <w:lang w:val="en-CA" w:eastAsia="en-CA"/>
              </w:rPr>
              <w:t xml:space="preserve"> Peak </w:t>
            </w:r>
            <w:r w:rsidRPr="00901BE2">
              <w:rPr>
                <w:b/>
                <w:bCs/>
                <w:color w:val="FFFFFF" w:themeColor="background1"/>
                <w:lang w:val="en-CA" w:eastAsia="en-CA"/>
              </w:rPr>
              <w:t>Demand (MW)</w:t>
            </w:r>
          </w:p>
        </w:tc>
        <w:tc>
          <w:tcPr>
            <w:tcW w:w="1440" w:type="dxa"/>
            <w:tcBorders>
              <w:bottom w:val="single" w:sz="4" w:space="0" w:color="0070CD"/>
            </w:tcBorders>
            <w:shd w:val="clear" w:color="auto" w:fill="0070CD"/>
            <w:vAlign w:val="center"/>
          </w:tcPr>
          <w:p w14:paraId="4B0B0530" w14:textId="77777777" w:rsidR="00B417B0" w:rsidRDefault="00B417B0" w:rsidP="00AC1108">
            <w:pPr>
              <w:pStyle w:val="Tables-Bodycells"/>
              <w:keepNext w:val="0"/>
              <w:jc w:val="center"/>
              <w:rPr>
                <w:b/>
                <w:bCs/>
                <w:color w:val="FFFFFF" w:themeColor="background1"/>
                <w:lang w:val="en-CA" w:eastAsia="en-CA"/>
              </w:rPr>
            </w:pPr>
            <w:r w:rsidRPr="00901BE2">
              <w:rPr>
                <w:b/>
                <w:bCs/>
                <w:color w:val="FFFFFF" w:themeColor="background1"/>
                <w:lang w:val="en-CA" w:eastAsia="en-CA"/>
              </w:rPr>
              <w:t xml:space="preserve">Energy </w:t>
            </w:r>
          </w:p>
          <w:p w14:paraId="666B2065" w14:textId="00D2D6BC" w:rsidR="00B417B0" w:rsidRPr="00901BE2" w:rsidRDefault="00B417B0" w:rsidP="00AC1108">
            <w:pPr>
              <w:pStyle w:val="Tables-Bodycells"/>
              <w:keepNext w:val="0"/>
              <w:jc w:val="center"/>
              <w:rPr>
                <w:b/>
                <w:bCs/>
                <w:color w:val="FFFFFF" w:themeColor="background1"/>
                <w:lang w:val="en-CA" w:eastAsia="en-CA"/>
              </w:rPr>
            </w:pPr>
            <w:r w:rsidRPr="00901BE2">
              <w:rPr>
                <w:b/>
                <w:bCs/>
                <w:color w:val="FFFFFF" w:themeColor="background1"/>
                <w:lang w:val="en-CA" w:eastAsia="en-CA"/>
              </w:rPr>
              <w:t>(GWh)</w:t>
            </w:r>
          </w:p>
        </w:tc>
      </w:tr>
      <w:tr w:rsidR="00B417B0" w:rsidRPr="00C95CDE" w14:paraId="5F8C661F" w14:textId="77777777" w:rsidTr="00B417B0">
        <w:trPr>
          <w:trHeight w:val="305"/>
          <w:jc w:val="center"/>
        </w:trPr>
        <w:tc>
          <w:tcPr>
            <w:tcW w:w="2252" w:type="dxa"/>
            <w:tcBorders>
              <w:top w:val="single" w:sz="4" w:space="0" w:color="0070CD"/>
              <w:bottom w:val="single" w:sz="4" w:space="0" w:color="0070CD"/>
            </w:tcBorders>
            <w:shd w:val="clear" w:color="auto" w:fill="auto"/>
            <w:vAlign w:val="center"/>
            <w:hideMark/>
          </w:tcPr>
          <w:p w14:paraId="0403E4EB" w14:textId="679403B2" w:rsidR="00B417B0" w:rsidRPr="00920CF7" w:rsidRDefault="00B417B0" w:rsidP="00145C87">
            <w:pPr>
              <w:pStyle w:val="Tables-Bodycells"/>
              <w:keepNext w:val="0"/>
              <w:spacing w:before="0" w:after="0"/>
              <w:rPr>
                <w:color w:val="000000"/>
                <w:lang w:val="en-CA" w:eastAsia="en-CA"/>
              </w:rPr>
            </w:pPr>
            <w:r>
              <w:t>Residential</w:t>
            </w:r>
          </w:p>
        </w:tc>
        <w:tc>
          <w:tcPr>
            <w:tcW w:w="1528" w:type="dxa"/>
            <w:tcBorders>
              <w:top w:val="single" w:sz="4" w:space="0" w:color="0070CD"/>
              <w:bottom w:val="single" w:sz="4" w:space="0" w:color="0070CD"/>
            </w:tcBorders>
            <w:shd w:val="clear" w:color="auto" w:fill="auto"/>
            <w:vAlign w:val="center"/>
          </w:tcPr>
          <w:p w14:paraId="2471B482" w14:textId="30517022" w:rsidR="00B417B0" w:rsidRDefault="00B417B0" w:rsidP="00145C87">
            <w:pPr>
              <w:spacing w:after="0"/>
              <w:ind w:left="0"/>
              <w:jc w:val="center"/>
              <w:rPr>
                <w:rFonts w:ascii="Arial" w:hAnsi="Arial" w:cs="Arial"/>
                <w:color w:val="000000"/>
                <w:sz w:val="18"/>
                <w:szCs w:val="18"/>
              </w:rPr>
            </w:pPr>
            <w:r>
              <w:rPr>
                <w:rFonts w:ascii="Arial" w:hAnsi="Arial" w:cs="Arial"/>
                <w:color w:val="000000"/>
                <w:sz w:val="18"/>
                <w:szCs w:val="18"/>
              </w:rPr>
              <w:t>755</w:t>
            </w:r>
          </w:p>
        </w:tc>
        <w:tc>
          <w:tcPr>
            <w:tcW w:w="1620" w:type="dxa"/>
            <w:tcBorders>
              <w:top w:val="single" w:sz="4" w:space="0" w:color="0070CD"/>
              <w:bottom w:val="single" w:sz="4" w:space="0" w:color="0070CD"/>
            </w:tcBorders>
            <w:shd w:val="clear" w:color="auto" w:fill="auto"/>
            <w:noWrap/>
            <w:vAlign w:val="center"/>
          </w:tcPr>
          <w:p w14:paraId="1BFB8558" w14:textId="371826A6" w:rsidR="00B417B0" w:rsidRDefault="00B417B0" w:rsidP="00145C87">
            <w:pPr>
              <w:spacing w:after="0"/>
              <w:ind w:left="0"/>
              <w:jc w:val="center"/>
              <w:rPr>
                <w:rFonts w:ascii="Arial" w:hAnsi="Arial" w:cs="Arial"/>
                <w:color w:val="000000"/>
                <w:sz w:val="18"/>
                <w:szCs w:val="18"/>
              </w:rPr>
            </w:pPr>
            <w:r>
              <w:rPr>
                <w:rFonts w:ascii="Arial" w:hAnsi="Arial" w:cs="Arial"/>
                <w:color w:val="000000"/>
                <w:sz w:val="18"/>
                <w:szCs w:val="18"/>
              </w:rPr>
              <w:t>388</w:t>
            </w:r>
          </w:p>
        </w:tc>
        <w:tc>
          <w:tcPr>
            <w:tcW w:w="1440" w:type="dxa"/>
            <w:tcBorders>
              <w:top w:val="single" w:sz="4" w:space="0" w:color="0070CD"/>
              <w:bottom w:val="single" w:sz="4" w:space="0" w:color="0070CD"/>
            </w:tcBorders>
            <w:vAlign w:val="center"/>
          </w:tcPr>
          <w:p w14:paraId="31E653F0" w14:textId="02977769" w:rsidR="00B417B0" w:rsidRDefault="00B417B0" w:rsidP="00145C87">
            <w:pPr>
              <w:spacing w:after="0"/>
              <w:ind w:left="0"/>
              <w:jc w:val="center"/>
              <w:rPr>
                <w:rFonts w:ascii="Arial" w:hAnsi="Arial" w:cs="Arial"/>
                <w:color w:val="000000"/>
                <w:sz w:val="18"/>
                <w:szCs w:val="18"/>
              </w:rPr>
            </w:pPr>
            <w:r>
              <w:rPr>
                <w:rFonts w:ascii="Arial" w:hAnsi="Arial" w:cs="Arial"/>
                <w:color w:val="000000"/>
                <w:sz w:val="18"/>
                <w:szCs w:val="18"/>
              </w:rPr>
              <w:t>2,791</w:t>
            </w:r>
          </w:p>
        </w:tc>
      </w:tr>
      <w:tr w:rsidR="00B417B0" w:rsidRPr="00C95CDE" w14:paraId="3153068B" w14:textId="77777777" w:rsidTr="00B417B0">
        <w:trPr>
          <w:trHeight w:val="305"/>
          <w:jc w:val="center"/>
        </w:trPr>
        <w:tc>
          <w:tcPr>
            <w:tcW w:w="2252" w:type="dxa"/>
            <w:tcBorders>
              <w:top w:val="single" w:sz="4" w:space="0" w:color="0070CD"/>
              <w:bottom w:val="single" w:sz="4" w:space="0" w:color="0070CD"/>
            </w:tcBorders>
            <w:shd w:val="clear" w:color="auto" w:fill="auto"/>
            <w:vAlign w:val="center"/>
          </w:tcPr>
          <w:p w14:paraId="283694E5" w14:textId="4E9F7F0C" w:rsidR="00B417B0" w:rsidRPr="00920CF7" w:rsidRDefault="00B417B0" w:rsidP="00145C87">
            <w:pPr>
              <w:pStyle w:val="Tables-Bodycells"/>
              <w:keepNext w:val="0"/>
              <w:spacing w:before="0" w:after="0"/>
            </w:pPr>
            <w:r>
              <w:t>Non-Residential</w:t>
            </w:r>
            <w:r>
              <w:rPr>
                <w:rStyle w:val="FootnoteReference"/>
              </w:rPr>
              <w:footnoteReference w:id="1"/>
            </w:r>
          </w:p>
        </w:tc>
        <w:tc>
          <w:tcPr>
            <w:tcW w:w="1528" w:type="dxa"/>
            <w:tcBorders>
              <w:top w:val="single" w:sz="4" w:space="0" w:color="0070CD"/>
              <w:bottom w:val="single" w:sz="4" w:space="0" w:color="0070CD"/>
            </w:tcBorders>
            <w:shd w:val="clear" w:color="auto" w:fill="auto"/>
            <w:vAlign w:val="center"/>
          </w:tcPr>
          <w:p w14:paraId="50FAE2AB" w14:textId="5A27FBA0" w:rsidR="00B417B0" w:rsidRDefault="00B417B0" w:rsidP="00145C87">
            <w:pPr>
              <w:spacing w:after="0"/>
              <w:ind w:left="0"/>
              <w:jc w:val="center"/>
              <w:rPr>
                <w:rFonts w:ascii="Arial" w:hAnsi="Arial" w:cs="Arial"/>
                <w:color w:val="000000"/>
                <w:sz w:val="18"/>
                <w:szCs w:val="18"/>
              </w:rPr>
            </w:pPr>
            <w:r>
              <w:rPr>
                <w:rFonts w:ascii="Arial" w:hAnsi="Arial" w:cs="Arial"/>
                <w:color w:val="000000"/>
                <w:sz w:val="18"/>
                <w:szCs w:val="18"/>
              </w:rPr>
              <w:t>383</w:t>
            </w:r>
          </w:p>
        </w:tc>
        <w:tc>
          <w:tcPr>
            <w:tcW w:w="1620" w:type="dxa"/>
            <w:tcBorders>
              <w:top w:val="single" w:sz="4" w:space="0" w:color="0070CD"/>
              <w:bottom w:val="single" w:sz="4" w:space="0" w:color="0070CD"/>
            </w:tcBorders>
            <w:shd w:val="clear" w:color="auto" w:fill="auto"/>
            <w:noWrap/>
            <w:vAlign w:val="center"/>
          </w:tcPr>
          <w:p w14:paraId="18E8E233" w14:textId="037799CF" w:rsidR="00B417B0" w:rsidRDefault="00B417B0" w:rsidP="00145C87">
            <w:pPr>
              <w:spacing w:after="0"/>
              <w:ind w:left="0"/>
              <w:jc w:val="center"/>
              <w:rPr>
                <w:rFonts w:ascii="Arial" w:hAnsi="Arial" w:cs="Arial"/>
                <w:color w:val="000000"/>
                <w:sz w:val="18"/>
                <w:szCs w:val="18"/>
              </w:rPr>
            </w:pPr>
            <w:r>
              <w:rPr>
                <w:rFonts w:ascii="Arial" w:hAnsi="Arial" w:cs="Arial"/>
                <w:color w:val="000000"/>
                <w:sz w:val="18"/>
                <w:szCs w:val="18"/>
              </w:rPr>
              <w:t>195</w:t>
            </w:r>
          </w:p>
        </w:tc>
        <w:tc>
          <w:tcPr>
            <w:tcW w:w="1440" w:type="dxa"/>
            <w:tcBorders>
              <w:top w:val="single" w:sz="4" w:space="0" w:color="0070CD"/>
              <w:bottom w:val="single" w:sz="4" w:space="0" w:color="0070CD"/>
            </w:tcBorders>
            <w:vAlign w:val="center"/>
          </w:tcPr>
          <w:p w14:paraId="12B2DC59" w14:textId="237C944A" w:rsidR="00B417B0" w:rsidRDefault="00B417B0" w:rsidP="00145C87">
            <w:pPr>
              <w:spacing w:after="0"/>
              <w:ind w:left="0"/>
              <w:jc w:val="center"/>
              <w:rPr>
                <w:rFonts w:ascii="Arial" w:hAnsi="Arial" w:cs="Arial"/>
                <w:color w:val="000000"/>
                <w:sz w:val="18"/>
                <w:szCs w:val="18"/>
              </w:rPr>
            </w:pPr>
            <w:r>
              <w:rPr>
                <w:rFonts w:ascii="Arial" w:hAnsi="Arial" w:cs="Arial"/>
                <w:color w:val="000000"/>
                <w:sz w:val="18"/>
                <w:szCs w:val="18"/>
              </w:rPr>
              <w:t>1,691</w:t>
            </w:r>
          </w:p>
        </w:tc>
      </w:tr>
      <w:tr w:rsidR="00B417B0" w:rsidRPr="00C95CDE" w14:paraId="70730735" w14:textId="77777777" w:rsidTr="00B417B0">
        <w:trPr>
          <w:trHeight w:val="300"/>
          <w:jc w:val="center"/>
        </w:trPr>
        <w:tc>
          <w:tcPr>
            <w:tcW w:w="2252" w:type="dxa"/>
            <w:tcBorders>
              <w:top w:val="single" w:sz="4" w:space="0" w:color="0070CD"/>
              <w:bottom w:val="single" w:sz="4" w:space="0" w:color="0070CD"/>
            </w:tcBorders>
            <w:shd w:val="clear" w:color="auto" w:fill="auto"/>
            <w:vAlign w:val="center"/>
            <w:hideMark/>
          </w:tcPr>
          <w:p w14:paraId="15DE4AD7" w14:textId="77777777" w:rsidR="00B417B0" w:rsidRPr="00920CF7" w:rsidRDefault="00B417B0" w:rsidP="00145C87">
            <w:pPr>
              <w:pStyle w:val="Tables-Bodycells"/>
              <w:keepNext w:val="0"/>
              <w:spacing w:before="0" w:after="0"/>
              <w:rPr>
                <w:color w:val="000000"/>
                <w:lang w:val="en-CA" w:eastAsia="en-CA"/>
              </w:rPr>
            </w:pPr>
            <w:r>
              <w:t>Total</w:t>
            </w:r>
          </w:p>
        </w:tc>
        <w:tc>
          <w:tcPr>
            <w:tcW w:w="1528" w:type="dxa"/>
            <w:tcBorders>
              <w:top w:val="single" w:sz="4" w:space="0" w:color="0070CD"/>
              <w:bottom w:val="single" w:sz="4" w:space="0" w:color="0070CD"/>
            </w:tcBorders>
            <w:shd w:val="clear" w:color="auto" w:fill="auto"/>
            <w:vAlign w:val="center"/>
          </w:tcPr>
          <w:p w14:paraId="0BE9DAD9" w14:textId="250852B3" w:rsidR="00B417B0" w:rsidRDefault="00B417B0" w:rsidP="00145C87">
            <w:pPr>
              <w:spacing w:after="0"/>
              <w:ind w:left="0"/>
              <w:jc w:val="center"/>
              <w:rPr>
                <w:rFonts w:ascii="Arial" w:hAnsi="Arial" w:cs="Arial"/>
                <w:color w:val="000000"/>
                <w:sz w:val="18"/>
                <w:szCs w:val="18"/>
              </w:rPr>
            </w:pPr>
            <w:r>
              <w:rPr>
                <w:rFonts w:ascii="Arial" w:hAnsi="Arial" w:cs="Arial"/>
                <w:color w:val="000000"/>
                <w:sz w:val="18"/>
                <w:szCs w:val="18"/>
              </w:rPr>
              <w:t>1,138</w:t>
            </w:r>
          </w:p>
        </w:tc>
        <w:tc>
          <w:tcPr>
            <w:tcW w:w="1620" w:type="dxa"/>
            <w:tcBorders>
              <w:top w:val="single" w:sz="4" w:space="0" w:color="0070CD"/>
              <w:bottom w:val="single" w:sz="4" w:space="0" w:color="0070CD"/>
            </w:tcBorders>
            <w:shd w:val="clear" w:color="auto" w:fill="auto"/>
            <w:noWrap/>
            <w:vAlign w:val="center"/>
          </w:tcPr>
          <w:p w14:paraId="57082E82" w14:textId="3E2722E1" w:rsidR="00B417B0" w:rsidRDefault="00B417B0" w:rsidP="00145C87">
            <w:pPr>
              <w:spacing w:after="0"/>
              <w:ind w:left="0"/>
              <w:jc w:val="center"/>
              <w:rPr>
                <w:rFonts w:ascii="Arial" w:hAnsi="Arial" w:cs="Arial"/>
                <w:color w:val="000000"/>
                <w:sz w:val="18"/>
                <w:szCs w:val="18"/>
              </w:rPr>
            </w:pPr>
            <w:r>
              <w:rPr>
                <w:rFonts w:ascii="Arial" w:hAnsi="Arial" w:cs="Arial"/>
                <w:color w:val="000000"/>
                <w:sz w:val="18"/>
                <w:szCs w:val="18"/>
              </w:rPr>
              <w:t>583</w:t>
            </w:r>
          </w:p>
        </w:tc>
        <w:tc>
          <w:tcPr>
            <w:tcW w:w="1440" w:type="dxa"/>
            <w:tcBorders>
              <w:top w:val="single" w:sz="4" w:space="0" w:color="0070CD"/>
              <w:bottom w:val="single" w:sz="4" w:space="0" w:color="0070CD"/>
            </w:tcBorders>
            <w:vAlign w:val="center"/>
          </w:tcPr>
          <w:p w14:paraId="764100A7" w14:textId="717334F0" w:rsidR="00B417B0" w:rsidRDefault="00B417B0" w:rsidP="00145C87">
            <w:pPr>
              <w:spacing w:after="0"/>
              <w:ind w:left="0"/>
              <w:jc w:val="center"/>
              <w:rPr>
                <w:rFonts w:ascii="Arial" w:hAnsi="Arial" w:cs="Arial"/>
                <w:color w:val="000000"/>
                <w:sz w:val="18"/>
                <w:szCs w:val="18"/>
              </w:rPr>
            </w:pPr>
            <w:r>
              <w:rPr>
                <w:rFonts w:ascii="Arial" w:hAnsi="Arial" w:cs="Arial"/>
                <w:color w:val="000000"/>
                <w:sz w:val="18"/>
                <w:szCs w:val="18"/>
              </w:rPr>
              <w:t>4,483</w:t>
            </w:r>
          </w:p>
        </w:tc>
      </w:tr>
    </w:tbl>
    <w:p w14:paraId="6401E7F6" w14:textId="59D4EF43" w:rsidR="00920CF7" w:rsidRDefault="00553D4A" w:rsidP="001E2CF9">
      <w:pPr>
        <w:pStyle w:val="Heading3"/>
        <w:spacing w:before="360"/>
      </w:pPr>
      <w:bookmarkStart w:id="19" w:name="_Toc5715472"/>
      <w:r>
        <w:t>DR</w:t>
      </w:r>
      <w:r w:rsidR="00875FB4">
        <w:t xml:space="preserve"> </w:t>
      </w:r>
      <w:r w:rsidR="007C0077">
        <w:t xml:space="preserve">Technical </w:t>
      </w:r>
      <w:r w:rsidR="00875FB4">
        <w:t>Potential</w:t>
      </w:r>
      <w:bookmarkEnd w:id="19"/>
      <w:r w:rsidR="00875FB4">
        <w:t xml:space="preserve"> </w:t>
      </w:r>
    </w:p>
    <w:p w14:paraId="50533BD5" w14:textId="0BDAB690" w:rsidR="0090454E" w:rsidRDefault="00553D4A" w:rsidP="00C42451">
      <w:pPr>
        <w:pStyle w:val="Text"/>
        <w:jc w:val="both"/>
      </w:pPr>
      <w:r>
        <w:t>DR</w:t>
      </w:r>
      <w:r w:rsidR="0090454E">
        <w:t xml:space="preserve"> technical potential describes the magnitude of loads that can be managed during conditions when grid operators need peak capacity.</w:t>
      </w:r>
      <w:r w:rsidR="0090454E" w:rsidRPr="0090454E">
        <w:t xml:space="preserve"> </w:t>
      </w:r>
      <w:r w:rsidR="0090454E" w:rsidRPr="002571E4">
        <w:t xml:space="preserve">For residential and small C&amp;I </w:t>
      </w:r>
      <w:r w:rsidR="00B417B0">
        <w:t>customer</w:t>
      </w:r>
      <w:r w:rsidR="0090454E" w:rsidRPr="002571E4">
        <w:t xml:space="preserve">s where DR generally takes the form of direct utility control, technical potential for </w:t>
      </w:r>
      <w:r>
        <w:t>DR</w:t>
      </w:r>
      <w:r w:rsidR="0090454E" w:rsidRPr="002571E4">
        <w:t xml:space="preserve"> is limited by the loads that can </w:t>
      </w:r>
      <w:r w:rsidR="0090454E">
        <w:t>be controlled remotely at scale such as heating, cooling, water heaters, and pool pumps. For large C&amp;I customers this included their entire electric demand during a utility’s system peak, as many of these types of customers</w:t>
      </w:r>
      <w:r w:rsidR="0090454E" w:rsidRPr="002571E4">
        <w:t xml:space="preserve"> will forego virtually all electric demand temporarily if the financial incentive is large enough. </w:t>
      </w:r>
    </w:p>
    <w:p w14:paraId="30E1F058" w14:textId="3F460BA7" w:rsidR="0090454E" w:rsidRPr="0090454E" w:rsidRDefault="0090454E" w:rsidP="0090454E">
      <w:pPr>
        <w:pStyle w:val="Text"/>
      </w:pPr>
      <w:r>
        <w:t xml:space="preserve">The estimated technical potential results are summarized in </w:t>
      </w:r>
      <w:r>
        <w:fldChar w:fldCharType="begin"/>
      </w:r>
      <w:r>
        <w:instrText xml:space="preserve"> REF _Ref3876162 \h </w:instrText>
      </w:r>
      <w:r>
        <w:fldChar w:fldCharType="separate"/>
      </w:r>
      <w:r w:rsidR="00B30110" w:rsidRPr="00E31623">
        <w:t xml:space="preserve">Table </w:t>
      </w:r>
      <w:r w:rsidR="00B30110">
        <w:rPr>
          <w:noProof/>
        </w:rPr>
        <w:t>1</w:t>
      </w:r>
      <w:r w:rsidR="00B30110">
        <w:noBreakHyphen/>
      </w:r>
      <w:r w:rsidR="00B30110">
        <w:rPr>
          <w:noProof/>
        </w:rPr>
        <w:t>2</w:t>
      </w:r>
      <w:r>
        <w:fldChar w:fldCharType="end"/>
      </w:r>
      <w:r>
        <w:t>.</w:t>
      </w:r>
    </w:p>
    <w:p w14:paraId="659C9638" w14:textId="1D74CBFC" w:rsidR="00017D3E" w:rsidRDefault="00017D3E" w:rsidP="00017D3E">
      <w:pPr>
        <w:pStyle w:val="Mainbody-Captiontable"/>
      </w:pPr>
      <w:bookmarkStart w:id="20" w:name="_Ref3876162"/>
      <w:bookmarkStart w:id="21" w:name="_Ref3876153"/>
      <w:bookmarkStart w:id="22" w:name="_Toc5715439"/>
      <w:r w:rsidRPr="00E31623">
        <w:t xml:space="preserve">Table </w:t>
      </w:r>
      <w:r w:rsidR="000C7BC6">
        <w:rPr>
          <w:noProof/>
        </w:rPr>
        <w:fldChar w:fldCharType="begin"/>
      </w:r>
      <w:r w:rsidR="000C7BC6">
        <w:rPr>
          <w:noProof/>
        </w:rPr>
        <w:instrText xml:space="preserve"> STYLEREF 1 \s </w:instrText>
      </w:r>
      <w:r w:rsidR="000C7BC6">
        <w:rPr>
          <w:noProof/>
        </w:rPr>
        <w:fldChar w:fldCharType="separate"/>
      </w:r>
      <w:r w:rsidR="00B30110">
        <w:rPr>
          <w:noProof/>
        </w:rPr>
        <w:t>1</w:t>
      </w:r>
      <w:r w:rsidR="000C7BC6">
        <w:rPr>
          <w:noProof/>
        </w:rPr>
        <w:fldChar w:fldCharType="end"/>
      </w:r>
      <w:r w:rsidR="00B417B0">
        <w:noBreakHyphen/>
      </w:r>
      <w:r w:rsidR="000C7BC6">
        <w:rPr>
          <w:noProof/>
        </w:rPr>
        <w:fldChar w:fldCharType="begin"/>
      </w:r>
      <w:r w:rsidR="000C7BC6">
        <w:rPr>
          <w:noProof/>
        </w:rPr>
        <w:instrText xml:space="preserve"> SEQ Table \* ARABIC \s 1 </w:instrText>
      </w:r>
      <w:r w:rsidR="000C7BC6">
        <w:rPr>
          <w:noProof/>
        </w:rPr>
        <w:fldChar w:fldCharType="separate"/>
      </w:r>
      <w:r w:rsidR="00B30110">
        <w:rPr>
          <w:noProof/>
        </w:rPr>
        <w:t>2</w:t>
      </w:r>
      <w:r w:rsidR="000C7BC6">
        <w:rPr>
          <w:noProof/>
        </w:rPr>
        <w:fldChar w:fldCharType="end"/>
      </w:r>
      <w:bookmarkEnd w:id="20"/>
      <w:r w:rsidRPr="00E31623">
        <w:t xml:space="preserve">: </w:t>
      </w:r>
      <w:bookmarkEnd w:id="21"/>
      <w:r w:rsidR="00553D4A">
        <w:t>DR</w:t>
      </w:r>
      <w:r w:rsidR="0090454E">
        <w:t xml:space="preserve"> Technical Potential</w:t>
      </w:r>
      <w:bookmarkEnd w:id="22"/>
    </w:p>
    <w:tbl>
      <w:tblPr>
        <w:tblW w:w="5400" w:type="dxa"/>
        <w:jc w:val="center"/>
        <w:tblBorders>
          <w:top w:val="single" w:sz="4" w:space="0" w:color="0070CD"/>
          <w:bottom w:val="single" w:sz="4" w:space="0" w:color="0070CD"/>
          <w:insideH w:val="dotted" w:sz="4" w:space="0" w:color="0070CD"/>
          <w:insideV w:val="dotted" w:sz="4" w:space="0" w:color="0070CD"/>
        </w:tblBorders>
        <w:tblLayout w:type="fixed"/>
        <w:tblLook w:val="04A0" w:firstRow="1" w:lastRow="0" w:firstColumn="1" w:lastColumn="0" w:noHBand="0" w:noVBand="1"/>
      </w:tblPr>
      <w:tblGrid>
        <w:gridCol w:w="2252"/>
        <w:gridCol w:w="1618"/>
        <w:gridCol w:w="1530"/>
      </w:tblGrid>
      <w:tr w:rsidR="00B417B0" w:rsidRPr="00C95CDE" w14:paraId="3E375931" w14:textId="77777777" w:rsidTr="00B417B0">
        <w:trPr>
          <w:trHeight w:val="300"/>
          <w:jc w:val="center"/>
        </w:trPr>
        <w:tc>
          <w:tcPr>
            <w:tcW w:w="2252" w:type="dxa"/>
            <w:tcBorders>
              <w:top w:val="single" w:sz="4" w:space="0" w:color="0070CD"/>
              <w:bottom w:val="nil"/>
            </w:tcBorders>
            <w:shd w:val="clear" w:color="auto" w:fill="0070CD"/>
            <w:noWrap/>
            <w:vAlign w:val="bottom"/>
            <w:hideMark/>
          </w:tcPr>
          <w:p w14:paraId="39AB2B8D" w14:textId="77777777" w:rsidR="00B417B0" w:rsidRPr="0065130B" w:rsidRDefault="00B417B0" w:rsidP="00B417B0">
            <w:pPr>
              <w:pStyle w:val="Tables-Bodycells"/>
              <w:keepNext w:val="0"/>
              <w:rPr>
                <w:color w:val="FFFFFF" w:themeColor="background1"/>
                <w:lang w:val="en-CA" w:eastAsia="en-CA"/>
              </w:rPr>
            </w:pPr>
          </w:p>
        </w:tc>
        <w:tc>
          <w:tcPr>
            <w:tcW w:w="3148" w:type="dxa"/>
            <w:gridSpan w:val="2"/>
            <w:shd w:val="clear" w:color="auto" w:fill="0070CD"/>
            <w:vAlign w:val="center"/>
          </w:tcPr>
          <w:p w14:paraId="76B2A380" w14:textId="77777777" w:rsidR="00B417B0" w:rsidRPr="00901BE2" w:rsidRDefault="00B417B0" w:rsidP="00B417B0">
            <w:pPr>
              <w:pStyle w:val="Tables-Bodycells"/>
              <w:keepNext w:val="0"/>
              <w:jc w:val="center"/>
              <w:rPr>
                <w:b/>
                <w:bCs/>
                <w:color w:val="FFFFFF" w:themeColor="background1"/>
                <w:lang w:val="en-CA" w:eastAsia="en-CA"/>
              </w:rPr>
            </w:pPr>
            <w:r>
              <w:rPr>
                <w:b/>
                <w:bCs/>
                <w:color w:val="FFFFFF" w:themeColor="background1"/>
                <w:lang w:val="en-CA" w:eastAsia="en-CA"/>
              </w:rPr>
              <w:t>Savings</w:t>
            </w:r>
            <w:r w:rsidRPr="00901BE2">
              <w:rPr>
                <w:b/>
                <w:bCs/>
                <w:color w:val="FFFFFF" w:themeColor="background1"/>
                <w:lang w:val="en-CA" w:eastAsia="en-CA"/>
              </w:rPr>
              <w:t xml:space="preserve"> </w:t>
            </w:r>
            <w:r>
              <w:rPr>
                <w:b/>
                <w:bCs/>
                <w:color w:val="FFFFFF" w:themeColor="background1"/>
                <w:lang w:val="en-CA" w:eastAsia="en-CA"/>
              </w:rPr>
              <w:t>Potential</w:t>
            </w:r>
          </w:p>
        </w:tc>
      </w:tr>
      <w:tr w:rsidR="00B417B0" w:rsidRPr="00C95CDE" w14:paraId="44773D2D" w14:textId="77777777" w:rsidTr="00B417B0">
        <w:trPr>
          <w:trHeight w:val="300"/>
          <w:jc w:val="center"/>
        </w:trPr>
        <w:tc>
          <w:tcPr>
            <w:tcW w:w="2252" w:type="dxa"/>
            <w:tcBorders>
              <w:top w:val="nil"/>
              <w:bottom w:val="single" w:sz="4" w:space="0" w:color="0070CD"/>
            </w:tcBorders>
            <w:shd w:val="clear" w:color="auto" w:fill="0070CD"/>
            <w:noWrap/>
            <w:vAlign w:val="bottom"/>
            <w:hideMark/>
          </w:tcPr>
          <w:p w14:paraId="6C6571A8" w14:textId="77777777" w:rsidR="00B417B0" w:rsidRPr="0065130B" w:rsidRDefault="00B417B0" w:rsidP="00B417B0">
            <w:pPr>
              <w:pStyle w:val="Tables-Bodycells"/>
              <w:keepNext w:val="0"/>
              <w:rPr>
                <w:color w:val="FFFFFF" w:themeColor="background1"/>
                <w:lang w:val="en-CA" w:eastAsia="en-CA"/>
              </w:rPr>
            </w:pPr>
          </w:p>
        </w:tc>
        <w:tc>
          <w:tcPr>
            <w:tcW w:w="1618" w:type="dxa"/>
            <w:tcBorders>
              <w:bottom w:val="single" w:sz="4" w:space="0" w:color="0070CD"/>
            </w:tcBorders>
            <w:shd w:val="clear" w:color="auto" w:fill="0070CD"/>
            <w:vAlign w:val="center"/>
          </w:tcPr>
          <w:p w14:paraId="0AC63777" w14:textId="77777777" w:rsidR="00B417B0" w:rsidRDefault="00B417B0" w:rsidP="00B417B0">
            <w:pPr>
              <w:pStyle w:val="Tables-Bodycells"/>
              <w:keepNext w:val="0"/>
              <w:jc w:val="center"/>
              <w:rPr>
                <w:b/>
                <w:bCs/>
                <w:color w:val="FFFFFF" w:themeColor="background1"/>
                <w:lang w:val="en-CA" w:eastAsia="en-CA"/>
              </w:rPr>
            </w:pPr>
            <w:r>
              <w:rPr>
                <w:b/>
                <w:bCs/>
                <w:color w:val="FFFFFF" w:themeColor="background1"/>
                <w:lang w:val="en-CA" w:eastAsia="en-CA"/>
              </w:rPr>
              <w:t>Summer Peak Demand</w:t>
            </w:r>
          </w:p>
          <w:p w14:paraId="714A8667" w14:textId="77777777" w:rsidR="00B417B0" w:rsidRPr="00901BE2" w:rsidRDefault="00B417B0" w:rsidP="00B417B0">
            <w:pPr>
              <w:pStyle w:val="Tables-Bodycells"/>
              <w:keepNext w:val="0"/>
              <w:jc w:val="center"/>
              <w:rPr>
                <w:b/>
                <w:bCs/>
                <w:color w:val="FFFFFF" w:themeColor="background1"/>
                <w:lang w:val="en-CA" w:eastAsia="en-CA"/>
              </w:rPr>
            </w:pPr>
            <w:r>
              <w:rPr>
                <w:b/>
                <w:bCs/>
                <w:color w:val="FFFFFF" w:themeColor="background1"/>
                <w:lang w:val="en-CA" w:eastAsia="en-CA"/>
              </w:rPr>
              <w:t>(MW)</w:t>
            </w:r>
          </w:p>
        </w:tc>
        <w:tc>
          <w:tcPr>
            <w:tcW w:w="1530" w:type="dxa"/>
            <w:tcBorders>
              <w:bottom w:val="single" w:sz="4" w:space="0" w:color="0070CD"/>
            </w:tcBorders>
            <w:shd w:val="clear" w:color="auto" w:fill="0070CD"/>
            <w:vAlign w:val="center"/>
          </w:tcPr>
          <w:p w14:paraId="531303C5" w14:textId="77777777" w:rsidR="00B417B0" w:rsidRDefault="00B417B0" w:rsidP="00B417B0">
            <w:pPr>
              <w:pStyle w:val="Tables-Bodycells"/>
              <w:keepNext w:val="0"/>
              <w:jc w:val="center"/>
              <w:rPr>
                <w:b/>
                <w:bCs/>
                <w:color w:val="FFFFFF" w:themeColor="background1"/>
                <w:lang w:val="en-CA" w:eastAsia="en-CA"/>
              </w:rPr>
            </w:pPr>
            <w:r>
              <w:rPr>
                <w:b/>
                <w:bCs/>
                <w:color w:val="FFFFFF" w:themeColor="background1"/>
                <w:lang w:val="en-CA" w:eastAsia="en-CA"/>
              </w:rPr>
              <w:t xml:space="preserve">Winter Peak Demand </w:t>
            </w:r>
          </w:p>
          <w:p w14:paraId="1B847B34" w14:textId="77777777" w:rsidR="00B417B0" w:rsidRPr="00901BE2" w:rsidRDefault="00B417B0" w:rsidP="00B417B0">
            <w:pPr>
              <w:pStyle w:val="Tables-Bodycells"/>
              <w:keepNext w:val="0"/>
              <w:jc w:val="center"/>
              <w:rPr>
                <w:b/>
                <w:bCs/>
                <w:color w:val="FFFFFF" w:themeColor="background1"/>
                <w:lang w:val="en-CA" w:eastAsia="en-CA"/>
              </w:rPr>
            </w:pPr>
            <w:r>
              <w:rPr>
                <w:b/>
                <w:bCs/>
                <w:color w:val="FFFFFF" w:themeColor="background1"/>
                <w:lang w:val="en-CA" w:eastAsia="en-CA"/>
              </w:rPr>
              <w:t>(MW)</w:t>
            </w:r>
          </w:p>
        </w:tc>
      </w:tr>
      <w:tr w:rsidR="00B417B0" w:rsidRPr="00C95CDE" w14:paraId="1A32AD4D" w14:textId="77777777" w:rsidTr="00B417B0">
        <w:trPr>
          <w:trHeight w:val="305"/>
          <w:jc w:val="center"/>
        </w:trPr>
        <w:tc>
          <w:tcPr>
            <w:tcW w:w="2252" w:type="dxa"/>
            <w:tcBorders>
              <w:top w:val="single" w:sz="4" w:space="0" w:color="0070CD"/>
              <w:bottom w:val="single" w:sz="4" w:space="0" w:color="0070CD"/>
            </w:tcBorders>
            <w:shd w:val="clear" w:color="auto" w:fill="auto"/>
            <w:vAlign w:val="center"/>
            <w:hideMark/>
          </w:tcPr>
          <w:p w14:paraId="2D72C589" w14:textId="77777777" w:rsidR="00B417B0" w:rsidRPr="00920CF7" w:rsidRDefault="00B417B0" w:rsidP="00B417B0">
            <w:pPr>
              <w:pStyle w:val="Tables-Bodycells"/>
              <w:keepNext w:val="0"/>
              <w:spacing w:before="0" w:after="0"/>
              <w:rPr>
                <w:color w:val="000000"/>
                <w:lang w:val="en-CA" w:eastAsia="en-CA"/>
              </w:rPr>
            </w:pPr>
            <w:r>
              <w:t>Residential</w:t>
            </w:r>
          </w:p>
        </w:tc>
        <w:tc>
          <w:tcPr>
            <w:tcW w:w="1618" w:type="dxa"/>
            <w:tcBorders>
              <w:top w:val="single" w:sz="4" w:space="0" w:color="0070CD"/>
              <w:bottom w:val="single" w:sz="4" w:space="0" w:color="0070CD"/>
            </w:tcBorders>
            <w:vAlign w:val="center"/>
          </w:tcPr>
          <w:p w14:paraId="2710D89C" w14:textId="49910E1A" w:rsidR="00B417B0" w:rsidRPr="0018631B" w:rsidRDefault="00B417B0" w:rsidP="00B417B0">
            <w:pPr>
              <w:pStyle w:val="Tables-Bodycells"/>
              <w:jc w:val="center"/>
              <w:rPr>
                <w:color w:val="000000"/>
              </w:rPr>
            </w:pPr>
            <w:r w:rsidRPr="001C0FB0">
              <w:t>1,208</w:t>
            </w:r>
          </w:p>
        </w:tc>
        <w:tc>
          <w:tcPr>
            <w:tcW w:w="1530" w:type="dxa"/>
            <w:tcBorders>
              <w:top w:val="single" w:sz="4" w:space="0" w:color="0070CD"/>
              <w:bottom w:val="single" w:sz="4" w:space="0" w:color="0070CD"/>
            </w:tcBorders>
            <w:vAlign w:val="center"/>
          </w:tcPr>
          <w:p w14:paraId="4C52A938" w14:textId="530483D3" w:rsidR="00B417B0" w:rsidRPr="0018631B" w:rsidRDefault="00B417B0" w:rsidP="00B417B0">
            <w:pPr>
              <w:pStyle w:val="Tables-Bodycells"/>
              <w:jc w:val="center"/>
              <w:rPr>
                <w:color w:val="000000"/>
              </w:rPr>
            </w:pPr>
            <w:r w:rsidRPr="001C0FB0">
              <w:t>1,645</w:t>
            </w:r>
          </w:p>
        </w:tc>
      </w:tr>
      <w:tr w:rsidR="00B417B0" w:rsidRPr="00C95CDE" w14:paraId="478503E2" w14:textId="77777777" w:rsidTr="00B417B0">
        <w:trPr>
          <w:trHeight w:val="305"/>
          <w:jc w:val="center"/>
        </w:trPr>
        <w:tc>
          <w:tcPr>
            <w:tcW w:w="2252" w:type="dxa"/>
            <w:tcBorders>
              <w:top w:val="single" w:sz="4" w:space="0" w:color="0070CD"/>
              <w:bottom w:val="single" w:sz="4" w:space="0" w:color="0070CD"/>
            </w:tcBorders>
            <w:shd w:val="clear" w:color="auto" w:fill="auto"/>
            <w:vAlign w:val="center"/>
          </w:tcPr>
          <w:p w14:paraId="252F224A" w14:textId="77777777" w:rsidR="00B417B0" w:rsidRPr="00920CF7" w:rsidRDefault="00B417B0" w:rsidP="00B417B0">
            <w:pPr>
              <w:pStyle w:val="Tables-Bodycells"/>
              <w:keepNext w:val="0"/>
              <w:spacing w:before="0" w:after="0"/>
            </w:pPr>
            <w:r>
              <w:t>Non-Residential</w:t>
            </w:r>
          </w:p>
        </w:tc>
        <w:tc>
          <w:tcPr>
            <w:tcW w:w="1618" w:type="dxa"/>
            <w:tcBorders>
              <w:top w:val="single" w:sz="4" w:space="0" w:color="0070CD"/>
              <w:bottom w:val="single" w:sz="4" w:space="0" w:color="0070CD"/>
            </w:tcBorders>
            <w:vAlign w:val="center"/>
          </w:tcPr>
          <w:p w14:paraId="1C433705" w14:textId="36E9B867" w:rsidR="00B417B0" w:rsidRPr="0018631B" w:rsidRDefault="00B417B0" w:rsidP="00B417B0">
            <w:pPr>
              <w:pStyle w:val="Tables-Bodycells"/>
              <w:jc w:val="center"/>
              <w:rPr>
                <w:color w:val="000000"/>
              </w:rPr>
            </w:pPr>
            <w:r w:rsidRPr="001C0FB0">
              <w:t>1,191</w:t>
            </w:r>
          </w:p>
        </w:tc>
        <w:tc>
          <w:tcPr>
            <w:tcW w:w="1530" w:type="dxa"/>
            <w:tcBorders>
              <w:top w:val="single" w:sz="4" w:space="0" w:color="0070CD"/>
              <w:bottom w:val="single" w:sz="4" w:space="0" w:color="0070CD"/>
            </w:tcBorders>
            <w:vAlign w:val="center"/>
          </w:tcPr>
          <w:p w14:paraId="59A26EE4" w14:textId="5750044D" w:rsidR="00B417B0" w:rsidRPr="0018631B" w:rsidRDefault="00B417B0" w:rsidP="00B417B0">
            <w:pPr>
              <w:pStyle w:val="Tables-Bodycells"/>
              <w:jc w:val="center"/>
              <w:rPr>
                <w:color w:val="000000"/>
              </w:rPr>
            </w:pPr>
            <w:r w:rsidRPr="001C0FB0">
              <w:t>673</w:t>
            </w:r>
          </w:p>
        </w:tc>
      </w:tr>
      <w:tr w:rsidR="00B417B0" w:rsidRPr="00C95CDE" w14:paraId="66E73BB1" w14:textId="77777777" w:rsidTr="00B417B0">
        <w:trPr>
          <w:trHeight w:val="300"/>
          <w:jc w:val="center"/>
        </w:trPr>
        <w:tc>
          <w:tcPr>
            <w:tcW w:w="2252" w:type="dxa"/>
            <w:tcBorders>
              <w:top w:val="single" w:sz="4" w:space="0" w:color="0070CD"/>
              <w:bottom w:val="single" w:sz="4" w:space="0" w:color="0070CD"/>
            </w:tcBorders>
            <w:shd w:val="clear" w:color="auto" w:fill="auto"/>
            <w:vAlign w:val="center"/>
            <w:hideMark/>
          </w:tcPr>
          <w:p w14:paraId="54F2D3E3" w14:textId="77777777" w:rsidR="00B417B0" w:rsidRPr="00920CF7" w:rsidRDefault="00B417B0" w:rsidP="00B417B0">
            <w:pPr>
              <w:pStyle w:val="Tables-Bodycells"/>
              <w:keepNext w:val="0"/>
              <w:spacing w:before="0" w:after="0"/>
              <w:rPr>
                <w:color w:val="000000"/>
                <w:lang w:val="en-CA" w:eastAsia="en-CA"/>
              </w:rPr>
            </w:pPr>
            <w:r>
              <w:t>Total</w:t>
            </w:r>
          </w:p>
        </w:tc>
        <w:tc>
          <w:tcPr>
            <w:tcW w:w="1618" w:type="dxa"/>
            <w:tcBorders>
              <w:top w:val="single" w:sz="4" w:space="0" w:color="0070CD"/>
              <w:bottom w:val="single" w:sz="4" w:space="0" w:color="0070CD"/>
            </w:tcBorders>
            <w:vAlign w:val="center"/>
          </w:tcPr>
          <w:p w14:paraId="02B77CB1" w14:textId="17480CC6" w:rsidR="00B417B0" w:rsidRPr="0018631B" w:rsidRDefault="00B417B0" w:rsidP="00B417B0">
            <w:pPr>
              <w:pStyle w:val="Tables-Bodycells"/>
              <w:jc w:val="center"/>
              <w:rPr>
                <w:color w:val="000000"/>
              </w:rPr>
            </w:pPr>
            <w:r w:rsidRPr="001C0FB0">
              <w:t>2,398</w:t>
            </w:r>
          </w:p>
        </w:tc>
        <w:tc>
          <w:tcPr>
            <w:tcW w:w="1530" w:type="dxa"/>
            <w:tcBorders>
              <w:top w:val="single" w:sz="4" w:space="0" w:color="0070CD"/>
              <w:bottom w:val="single" w:sz="4" w:space="0" w:color="0070CD"/>
            </w:tcBorders>
            <w:vAlign w:val="center"/>
          </w:tcPr>
          <w:p w14:paraId="543741E1" w14:textId="3AA993C3" w:rsidR="00B417B0" w:rsidRPr="0018631B" w:rsidRDefault="00B417B0" w:rsidP="00B417B0">
            <w:pPr>
              <w:pStyle w:val="Tables-Bodycells"/>
              <w:jc w:val="center"/>
              <w:rPr>
                <w:color w:val="000000"/>
              </w:rPr>
            </w:pPr>
            <w:r w:rsidRPr="001C0FB0">
              <w:t>2</w:t>
            </w:r>
            <w:r>
              <w:t>,</w:t>
            </w:r>
            <w:r w:rsidRPr="001C0FB0">
              <w:t>318</w:t>
            </w:r>
          </w:p>
        </w:tc>
      </w:tr>
    </w:tbl>
    <w:p w14:paraId="2DE6AD6C" w14:textId="7F0A75C0" w:rsidR="007444CE" w:rsidRDefault="00553D4A" w:rsidP="000605AE">
      <w:pPr>
        <w:pStyle w:val="Heading3"/>
        <w:spacing w:before="360"/>
      </w:pPr>
      <w:bookmarkStart w:id="23" w:name="_Toc5715473"/>
      <w:bookmarkStart w:id="24" w:name="_Ref458697838"/>
      <w:bookmarkStart w:id="25" w:name="_Ref458697845"/>
      <w:r>
        <w:t>DSRE</w:t>
      </w:r>
      <w:r w:rsidR="00997CEE">
        <w:t xml:space="preserve"> </w:t>
      </w:r>
      <w:r w:rsidR="000605AE">
        <w:t xml:space="preserve">Technical </w:t>
      </w:r>
      <w:r w:rsidR="00997CEE">
        <w:t>Potential</w:t>
      </w:r>
      <w:bookmarkEnd w:id="23"/>
      <w:r w:rsidR="00997CEE">
        <w:t xml:space="preserve"> </w:t>
      </w:r>
    </w:p>
    <w:p w14:paraId="3241087D" w14:textId="24FAC311" w:rsidR="0024185F" w:rsidRDefault="0024185F" w:rsidP="00C42451">
      <w:pPr>
        <w:pStyle w:val="Text"/>
        <w:jc w:val="both"/>
      </w:pPr>
      <w:r>
        <w:t xml:space="preserve">DSRE technical potential estimates quantify all technically feasible </w:t>
      </w:r>
      <w:r w:rsidR="007444CE">
        <w:t>distributed genera</w:t>
      </w:r>
      <w:r w:rsidR="004237CC">
        <w:t xml:space="preserve">tion opportunities from </w:t>
      </w:r>
      <w:r w:rsidR="007444CE">
        <w:t>PV</w:t>
      </w:r>
      <w:r w:rsidR="004237CC">
        <w:t xml:space="preserve"> systems</w:t>
      </w:r>
      <w:r w:rsidR="007444CE">
        <w:t>, battery storage</w:t>
      </w:r>
      <w:r w:rsidR="004237CC">
        <w:t xml:space="preserve"> systems </w:t>
      </w:r>
      <w:r w:rsidR="00B417B0">
        <w:t xml:space="preserve">charged </w:t>
      </w:r>
      <w:r w:rsidR="004237CC">
        <w:t>from PV</w:t>
      </w:r>
      <w:r w:rsidR="007444CE">
        <w:t>, and CHP technologies based on the customer charact</w:t>
      </w:r>
      <w:r w:rsidR="004237CC">
        <w:t>eristics of each FEECA utility’s</w:t>
      </w:r>
      <w:r w:rsidR="007444CE">
        <w:t xml:space="preserve"> customer base.  </w:t>
      </w:r>
      <w:r>
        <w:t xml:space="preserve"> </w:t>
      </w:r>
    </w:p>
    <w:p w14:paraId="70F05064" w14:textId="79A20DC4" w:rsidR="006D5337" w:rsidRDefault="006D5337" w:rsidP="006D5337">
      <w:pPr>
        <w:pStyle w:val="Caption"/>
      </w:pPr>
      <w:bookmarkStart w:id="26" w:name="_Toc5715440"/>
      <w:r>
        <w:t xml:space="preserve">Table </w:t>
      </w:r>
      <w:r w:rsidR="000C7BC6">
        <w:rPr>
          <w:noProof/>
        </w:rPr>
        <w:fldChar w:fldCharType="begin"/>
      </w:r>
      <w:r w:rsidR="000C7BC6">
        <w:rPr>
          <w:noProof/>
        </w:rPr>
        <w:instrText xml:space="preserve"> STYLEREF 1 \s </w:instrText>
      </w:r>
      <w:r w:rsidR="000C7BC6">
        <w:rPr>
          <w:noProof/>
        </w:rPr>
        <w:fldChar w:fldCharType="separate"/>
      </w:r>
      <w:r w:rsidR="00B30110">
        <w:rPr>
          <w:noProof/>
        </w:rPr>
        <w:t>1</w:t>
      </w:r>
      <w:r w:rsidR="000C7BC6">
        <w:rPr>
          <w:noProof/>
        </w:rPr>
        <w:fldChar w:fldCharType="end"/>
      </w:r>
      <w:r w:rsidR="00B417B0">
        <w:noBreakHyphen/>
      </w:r>
      <w:r w:rsidR="000C7BC6">
        <w:rPr>
          <w:noProof/>
        </w:rPr>
        <w:fldChar w:fldCharType="begin"/>
      </w:r>
      <w:r w:rsidR="000C7BC6">
        <w:rPr>
          <w:noProof/>
        </w:rPr>
        <w:instrText xml:space="preserve"> SEQ Table \* ARABIC \s 1 </w:instrText>
      </w:r>
      <w:r w:rsidR="000C7BC6">
        <w:rPr>
          <w:noProof/>
        </w:rPr>
        <w:fldChar w:fldCharType="separate"/>
      </w:r>
      <w:r w:rsidR="00B30110">
        <w:rPr>
          <w:noProof/>
        </w:rPr>
        <w:t>3</w:t>
      </w:r>
      <w:r w:rsidR="000C7BC6">
        <w:rPr>
          <w:noProof/>
        </w:rPr>
        <w:fldChar w:fldCharType="end"/>
      </w:r>
      <w:r w:rsidR="00997D93">
        <w:t xml:space="preserve">: </w:t>
      </w:r>
      <w:r w:rsidR="00553D4A">
        <w:t>DSRE</w:t>
      </w:r>
      <w:r>
        <w:t xml:space="preserve"> Technical Potential</w:t>
      </w:r>
      <w:r w:rsidR="0068345D">
        <w:rPr>
          <w:rStyle w:val="FootnoteReference"/>
        </w:rPr>
        <w:footnoteReference w:id="2"/>
      </w:r>
      <w:bookmarkEnd w:id="26"/>
    </w:p>
    <w:tbl>
      <w:tblPr>
        <w:tblW w:w="7470" w:type="dxa"/>
        <w:jc w:val="center"/>
        <w:tblBorders>
          <w:top w:val="single" w:sz="4" w:space="0" w:color="0070CD"/>
          <w:bottom w:val="single" w:sz="4" w:space="0" w:color="0070CD"/>
          <w:insideH w:val="dotted" w:sz="4" w:space="0" w:color="0070CD"/>
          <w:insideV w:val="dotted" w:sz="4" w:space="0" w:color="0070CD"/>
        </w:tblBorders>
        <w:tblLayout w:type="fixed"/>
        <w:tblLook w:val="04A0" w:firstRow="1" w:lastRow="0" w:firstColumn="1" w:lastColumn="0" w:noHBand="0" w:noVBand="1"/>
      </w:tblPr>
      <w:tblGrid>
        <w:gridCol w:w="1982"/>
        <w:gridCol w:w="1822"/>
        <w:gridCol w:w="1822"/>
        <w:gridCol w:w="1844"/>
      </w:tblGrid>
      <w:tr w:rsidR="006D5337" w:rsidRPr="00C95CDE" w14:paraId="6815A53C" w14:textId="77777777" w:rsidTr="0068345D">
        <w:trPr>
          <w:trHeight w:val="300"/>
          <w:tblHeader/>
          <w:jc w:val="center"/>
        </w:trPr>
        <w:tc>
          <w:tcPr>
            <w:tcW w:w="1982" w:type="dxa"/>
            <w:tcBorders>
              <w:top w:val="single" w:sz="4" w:space="0" w:color="0070CD"/>
              <w:bottom w:val="nil"/>
            </w:tcBorders>
            <w:shd w:val="clear" w:color="auto" w:fill="0070CD"/>
            <w:noWrap/>
            <w:vAlign w:val="bottom"/>
            <w:hideMark/>
          </w:tcPr>
          <w:p w14:paraId="4E49124D" w14:textId="77777777" w:rsidR="006D5337" w:rsidRPr="0065130B" w:rsidRDefault="006D5337" w:rsidP="006D5337">
            <w:pPr>
              <w:pStyle w:val="Tables-Bodycells"/>
              <w:keepNext w:val="0"/>
              <w:rPr>
                <w:color w:val="FFFFFF" w:themeColor="background1"/>
                <w:lang w:val="en-CA" w:eastAsia="en-CA"/>
              </w:rPr>
            </w:pPr>
          </w:p>
        </w:tc>
        <w:tc>
          <w:tcPr>
            <w:tcW w:w="5488" w:type="dxa"/>
            <w:gridSpan w:val="3"/>
            <w:tcBorders>
              <w:top w:val="single" w:sz="4" w:space="0" w:color="0070CD"/>
            </w:tcBorders>
            <w:shd w:val="clear" w:color="auto" w:fill="0070CD"/>
            <w:vAlign w:val="center"/>
          </w:tcPr>
          <w:p w14:paraId="644FE51E" w14:textId="77777777" w:rsidR="006D5337" w:rsidRPr="00901BE2" w:rsidRDefault="006D5337" w:rsidP="006D5337">
            <w:pPr>
              <w:pStyle w:val="Tables-Bodycells"/>
              <w:keepNext w:val="0"/>
              <w:jc w:val="center"/>
              <w:rPr>
                <w:b/>
                <w:bCs/>
                <w:color w:val="FFFFFF" w:themeColor="background1"/>
                <w:lang w:val="en-CA" w:eastAsia="en-CA"/>
              </w:rPr>
            </w:pPr>
            <w:r>
              <w:rPr>
                <w:b/>
                <w:bCs/>
                <w:color w:val="FFFFFF" w:themeColor="background1"/>
                <w:lang w:val="en-CA" w:eastAsia="en-CA"/>
              </w:rPr>
              <w:t>Savings</w:t>
            </w:r>
            <w:r w:rsidRPr="00901BE2">
              <w:rPr>
                <w:b/>
                <w:bCs/>
                <w:color w:val="FFFFFF" w:themeColor="background1"/>
                <w:lang w:val="en-CA" w:eastAsia="en-CA"/>
              </w:rPr>
              <w:t xml:space="preserve"> </w:t>
            </w:r>
            <w:r>
              <w:rPr>
                <w:b/>
                <w:bCs/>
                <w:color w:val="FFFFFF" w:themeColor="background1"/>
                <w:lang w:val="en-CA" w:eastAsia="en-CA"/>
              </w:rPr>
              <w:t>Potential</w:t>
            </w:r>
          </w:p>
        </w:tc>
      </w:tr>
      <w:tr w:rsidR="0068345D" w:rsidRPr="00C95CDE" w14:paraId="64CDF1A7" w14:textId="77777777" w:rsidTr="0068345D">
        <w:trPr>
          <w:trHeight w:val="300"/>
          <w:tblHeader/>
          <w:jc w:val="center"/>
        </w:trPr>
        <w:tc>
          <w:tcPr>
            <w:tcW w:w="1982" w:type="dxa"/>
            <w:tcBorders>
              <w:top w:val="nil"/>
              <w:bottom w:val="single" w:sz="4" w:space="0" w:color="0070CD"/>
            </w:tcBorders>
            <w:shd w:val="clear" w:color="auto" w:fill="0070CD"/>
            <w:noWrap/>
            <w:vAlign w:val="bottom"/>
            <w:hideMark/>
          </w:tcPr>
          <w:p w14:paraId="2170D9DF" w14:textId="77777777" w:rsidR="0068345D" w:rsidRPr="0065130B" w:rsidRDefault="0068345D" w:rsidP="00AC1108">
            <w:pPr>
              <w:pStyle w:val="Tables-Bodycells"/>
              <w:keepNext w:val="0"/>
              <w:rPr>
                <w:color w:val="FFFFFF" w:themeColor="background1"/>
                <w:lang w:val="en-CA" w:eastAsia="en-CA"/>
              </w:rPr>
            </w:pPr>
          </w:p>
        </w:tc>
        <w:tc>
          <w:tcPr>
            <w:tcW w:w="1822" w:type="dxa"/>
            <w:tcBorders>
              <w:bottom w:val="single" w:sz="4" w:space="0" w:color="0070CD"/>
            </w:tcBorders>
            <w:shd w:val="clear" w:color="auto" w:fill="0070CD"/>
            <w:noWrap/>
            <w:vAlign w:val="center"/>
          </w:tcPr>
          <w:p w14:paraId="5EA26A9A" w14:textId="77777777" w:rsidR="0068345D" w:rsidRDefault="0068345D" w:rsidP="00AC1108">
            <w:pPr>
              <w:pStyle w:val="Tables-Bodycells"/>
              <w:keepNext w:val="0"/>
              <w:jc w:val="center"/>
              <w:rPr>
                <w:b/>
                <w:bCs/>
                <w:color w:val="FFFFFF" w:themeColor="background1"/>
                <w:lang w:val="en-CA" w:eastAsia="en-CA"/>
              </w:rPr>
            </w:pPr>
            <w:r>
              <w:rPr>
                <w:b/>
                <w:bCs/>
                <w:color w:val="FFFFFF" w:themeColor="background1"/>
                <w:lang w:val="en-CA" w:eastAsia="en-CA"/>
              </w:rPr>
              <w:t xml:space="preserve">Summer </w:t>
            </w:r>
          </w:p>
          <w:p w14:paraId="4F628EB5" w14:textId="17E079DD" w:rsidR="0068345D" w:rsidRPr="00901BE2" w:rsidRDefault="0068345D" w:rsidP="00AC1108">
            <w:pPr>
              <w:pStyle w:val="Tables-Bodycells"/>
              <w:keepNext w:val="0"/>
              <w:jc w:val="center"/>
              <w:rPr>
                <w:b/>
                <w:bCs/>
                <w:color w:val="FFFFFF" w:themeColor="background1"/>
                <w:lang w:val="en-CA" w:eastAsia="en-CA"/>
              </w:rPr>
            </w:pPr>
            <w:r>
              <w:rPr>
                <w:b/>
                <w:bCs/>
                <w:color w:val="FFFFFF" w:themeColor="background1"/>
                <w:lang w:val="en-CA" w:eastAsia="en-CA"/>
              </w:rPr>
              <w:t xml:space="preserve">Peak </w:t>
            </w:r>
            <w:r w:rsidRPr="00901BE2">
              <w:rPr>
                <w:b/>
                <w:bCs/>
                <w:color w:val="FFFFFF" w:themeColor="background1"/>
                <w:lang w:val="en-CA" w:eastAsia="en-CA"/>
              </w:rPr>
              <w:t>Demand (MW)</w:t>
            </w:r>
          </w:p>
        </w:tc>
        <w:tc>
          <w:tcPr>
            <w:tcW w:w="1822" w:type="dxa"/>
            <w:tcBorders>
              <w:bottom w:val="single" w:sz="4" w:space="0" w:color="0070CD"/>
            </w:tcBorders>
            <w:shd w:val="clear" w:color="auto" w:fill="0070CD"/>
            <w:noWrap/>
          </w:tcPr>
          <w:p w14:paraId="7FCB7B71" w14:textId="77777777" w:rsidR="0068345D" w:rsidRDefault="0068345D" w:rsidP="00AC1108">
            <w:pPr>
              <w:pStyle w:val="Tables-Bodycells"/>
              <w:keepNext w:val="0"/>
              <w:jc w:val="center"/>
              <w:rPr>
                <w:b/>
                <w:bCs/>
                <w:color w:val="FFFFFF" w:themeColor="background1"/>
                <w:lang w:val="en-CA" w:eastAsia="en-CA"/>
              </w:rPr>
            </w:pPr>
            <w:r>
              <w:rPr>
                <w:b/>
                <w:bCs/>
                <w:color w:val="FFFFFF" w:themeColor="background1"/>
                <w:lang w:val="en-CA" w:eastAsia="en-CA"/>
              </w:rPr>
              <w:t>Winter</w:t>
            </w:r>
          </w:p>
          <w:p w14:paraId="70833B1A" w14:textId="3C4B8D2C" w:rsidR="0068345D" w:rsidRPr="00901BE2" w:rsidRDefault="0068345D" w:rsidP="00AC1108">
            <w:pPr>
              <w:pStyle w:val="Tables-Bodycells"/>
              <w:keepNext w:val="0"/>
              <w:jc w:val="center"/>
              <w:rPr>
                <w:b/>
                <w:bCs/>
                <w:color w:val="FFFFFF" w:themeColor="background1"/>
                <w:lang w:val="en-CA" w:eastAsia="en-CA"/>
              </w:rPr>
            </w:pPr>
            <w:r>
              <w:rPr>
                <w:b/>
                <w:bCs/>
                <w:color w:val="FFFFFF" w:themeColor="background1"/>
                <w:lang w:val="en-CA" w:eastAsia="en-CA"/>
              </w:rPr>
              <w:t xml:space="preserve"> Peak </w:t>
            </w:r>
            <w:r w:rsidRPr="00901BE2">
              <w:rPr>
                <w:b/>
                <w:bCs/>
                <w:color w:val="FFFFFF" w:themeColor="background1"/>
                <w:lang w:val="en-CA" w:eastAsia="en-CA"/>
              </w:rPr>
              <w:t>Demand (MW)</w:t>
            </w:r>
          </w:p>
        </w:tc>
        <w:tc>
          <w:tcPr>
            <w:tcW w:w="1844" w:type="dxa"/>
            <w:tcBorders>
              <w:bottom w:val="single" w:sz="4" w:space="0" w:color="0070CD"/>
            </w:tcBorders>
            <w:shd w:val="clear" w:color="auto" w:fill="0070CD"/>
            <w:vAlign w:val="center"/>
          </w:tcPr>
          <w:p w14:paraId="19AFE243" w14:textId="77777777" w:rsidR="0068345D" w:rsidRDefault="0068345D" w:rsidP="00AC1108">
            <w:pPr>
              <w:pStyle w:val="Tables-Bodycells"/>
              <w:keepNext w:val="0"/>
              <w:jc w:val="center"/>
              <w:rPr>
                <w:b/>
                <w:bCs/>
                <w:color w:val="FFFFFF" w:themeColor="background1"/>
                <w:lang w:val="en-CA" w:eastAsia="en-CA"/>
              </w:rPr>
            </w:pPr>
            <w:r w:rsidRPr="00901BE2">
              <w:rPr>
                <w:b/>
                <w:bCs/>
                <w:color w:val="FFFFFF" w:themeColor="background1"/>
                <w:lang w:val="en-CA" w:eastAsia="en-CA"/>
              </w:rPr>
              <w:t xml:space="preserve">Energy </w:t>
            </w:r>
          </w:p>
          <w:p w14:paraId="3043FD09" w14:textId="0B87E90D" w:rsidR="0068345D" w:rsidRPr="00901BE2" w:rsidRDefault="0068345D" w:rsidP="00AC1108">
            <w:pPr>
              <w:pStyle w:val="Tables-Bodycells"/>
              <w:keepNext w:val="0"/>
              <w:jc w:val="center"/>
              <w:rPr>
                <w:b/>
                <w:bCs/>
                <w:color w:val="FFFFFF" w:themeColor="background1"/>
                <w:lang w:val="en-CA" w:eastAsia="en-CA"/>
              </w:rPr>
            </w:pPr>
            <w:r w:rsidRPr="00901BE2">
              <w:rPr>
                <w:b/>
                <w:bCs/>
                <w:color w:val="FFFFFF" w:themeColor="background1"/>
                <w:lang w:val="en-CA" w:eastAsia="en-CA"/>
              </w:rPr>
              <w:t>(GWh)</w:t>
            </w:r>
          </w:p>
        </w:tc>
      </w:tr>
      <w:tr w:rsidR="0068345D" w:rsidRPr="00C95CDE" w14:paraId="19964550" w14:textId="77777777" w:rsidTr="0068345D">
        <w:trPr>
          <w:trHeight w:val="305"/>
          <w:jc w:val="center"/>
        </w:trPr>
        <w:tc>
          <w:tcPr>
            <w:tcW w:w="7470" w:type="dxa"/>
            <w:gridSpan w:val="4"/>
            <w:tcBorders>
              <w:top w:val="single" w:sz="4" w:space="0" w:color="0070CD"/>
              <w:bottom w:val="single" w:sz="4" w:space="0" w:color="0070CD"/>
            </w:tcBorders>
            <w:shd w:val="clear" w:color="auto" w:fill="auto"/>
            <w:vAlign w:val="center"/>
          </w:tcPr>
          <w:p w14:paraId="077BE525" w14:textId="77777777" w:rsidR="0068345D" w:rsidRPr="006D5337" w:rsidRDefault="0068345D" w:rsidP="006D5337">
            <w:pPr>
              <w:spacing w:after="0"/>
              <w:ind w:left="0"/>
              <w:rPr>
                <w:rFonts w:ascii="Arial" w:hAnsi="Arial" w:cs="Arial"/>
                <w:b/>
                <w:color w:val="000000"/>
                <w:sz w:val="18"/>
                <w:szCs w:val="18"/>
              </w:rPr>
            </w:pPr>
            <w:r>
              <w:rPr>
                <w:b/>
              </w:rPr>
              <w:t>PV</w:t>
            </w:r>
            <w:r w:rsidRPr="006D5337">
              <w:rPr>
                <w:b/>
              </w:rPr>
              <w:t xml:space="preserve"> Systems</w:t>
            </w:r>
          </w:p>
        </w:tc>
      </w:tr>
      <w:tr w:rsidR="0068345D" w:rsidRPr="00C95CDE" w14:paraId="2530E55D" w14:textId="77777777" w:rsidTr="0068345D">
        <w:trPr>
          <w:trHeight w:val="305"/>
          <w:jc w:val="center"/>
        </w:trPr>
        <w:tc>
          <w:tcPr>
            <w:tcW w:w="1982" w:type="dxa"/>
            <w:tcBorders>
              <w:top w:val="single" w:sz="4" w:space="0" w:color="0070CD"/>
              <w:bottom w:val="single" w:sz="4" w:space="0" w:color="0070CD"/>
            </w:tcBorders>
            <w:shd w:val="clear" w:color="auto" w:fill="auto"/>
            <w:vAlign w:val="center"/>
            <w:hideMark/>
          </w:tcPr>
          <w:p w14:paraId="34EDBE64" w14:textId="77777777" w:rsidR="0068345D" w:rsidRPr="00920CF7" w:rsidRDefault="0068345D" w:rsidP="00F626E2">
            <w:pPr>
              <w:pStyle w:val="Tables-Bodycells"/>
              <w:keepNext w:val="0"/>
              <w:spacing w:before="0" w:after="0"/>
              <w:rPr>
                <w:color w:val="000000"/>
                <w:lang w:val="en-CA" w:eastAsia="en-CA"/>
              </w:rPr>
            </w:pPr>
            <w:r>
              <w:t>Residential</w:t>
            </w:r>
          </w:p>
        </w:tc>
        <w:tc>
          <w:tcPr>
            <w:tcW w:w="1822" w:type="dxa"/>
            <w:tcBorders>
              <w:top w:val="single" w:sz="4" w:space="0" w:color="0070CD"/>
              <w:bottom w:val="single" w:sz="4" w:space="0" w:color="0070CD"/>
            </w:tcBorders>
            <w:shd w:val="clear" w:color="auto" w:fill="auto"/>
            <w:vAlign w:val="center"/>
          </w:tcPr>
          <w:p w14:paraId="6CCD04D1" w14:textId="49E88F9F" w:rsidR="0068345D" w:rsidRDefault="0068345D" w:rsidP="00F626E2">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509 </w:t>
            </w:r>
          </w:p>
        </w:tc>
        <w:tc>
          <w:tcPr>
            <w:tcW w:w="1822" w:type="dxa"/>
            <w:tcBorders>
              <w:top w:val="single" w:sz="4" w:space="0" w:color="0070CD"/>
              <w:bottom w:val="single" w:sz="4" w:space="0" w:color="0070CD"/>
            </w:tcBorders>
            <w:shd w:val="clear" w:color="auto" w:fill="auto"/>
            <w:noWrap/>
            <w:vAlign w:val="center"/>
          </w:tcPr>
          <w:p w14:paraId="4F2A8103" w14:textId="6E65CC04" w:rsidR="0068345D" w:rsidRDefault="0068345D" w:rsidP="00F626E2">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19 </w:t>
            </w:r>
          </w:p>
        </w:tc>
        <w:tc>
          <w:tcPr>
            <w:tcW w:w="1844" w:type="dxa"/>
            <w:tcBorders>
              <w:top w:val="single" w:sz="4" w:space="0" w:color="0070CD"/>
              <w:bottom w:val="single" w:sz="4" w:space="0" w:color="0070CD"/>
            </w:tcBorders>
            <w:vAlign w:val="center"/>
          </w:tcPr>
          <w:p w14:paraId="2CA43F6F" w14:textId="6D7D43AA" w:rsidR="0068345D" w:rsidRDefault="0068345D" w:rsidP="00F626E2">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3,461 </w:t>
            </w:r>
          </w:p>
        </w:tc>
      </w:tr>
      <w:tr w:rsidR="0068345D" w:rsidRPr="00C95CDE" w14:paraId="79A63037" w14:textId="77777777" w:rsidTr="0068345D">
        <w:trPr>
          <w:trHeight w:val="305"/>
          <w:jc w:val="center"/>
        </w:trPr>
        <w:tc>
          <w:tcPr>
            <w:tcW w:w="1982" w:type="dxa"/>
            <w:tcBorders>
              <w:top w:val="single" w:sz="4" w:space="0" w:color="0070CD"/>
              <w:bottom w:val="single" w:sz="4" w:space="0" w:color="0070CD"/>
            </w:tcBorders>
            <w:shd w:val="clear" w:color="auto" w:fill="auto"/>
            <w:vAlign w:val="center"/>
          </w:tcPr>
          <w:p w14:paraId="5FDBE771" w14:textId="6A369FE1" w:rsidR="0068345D" w:rsidRPr="00920CF7" w:rsidRDefault="0068345D" w:rsidP="00F626E2">
            <w:pPr>
              <w:pStyle w:val="Tables-Bodycells"/>
              <w:keepNext w:val="0"/>
              <w:spacing w:before="0" w:after="0"/>
            </w:pPr>
            <w:r>
              <w:t>Non-Residential</w:t>
            </w:r>
          </w:p>
        </w:tc>
        <w:tc>
          <w:tcPr>
            <w:tcW w:w="1822" w:type="dxa"/>
            <w:tcBorders>
              <w:top w:val="single" w:sz="4" w:space="0" w:color="0070CD"/>
              <w:bottom w:val="single" w:sz="4" w:space="0" w:color="0070CD"/>
            </w:tcBorders>
            <w:shd w:val="clear" w:color="auto" w:fill="auto"/>
            <w:vAlign w:val="center"/>
          </w:tcPr>
          <w:p w14:paraId="588A907D" w14:textId="79DA96A2" w:rsidR="0068345D" w:rsidRDefault="0068345D" w:rsidP="00F626E2">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835 </w:t>
            </w:r>
          </w:p>
        </w:tc>
        <w:tc>
          <w:tcPr>
            <w:tcW w:w="1822" w:type="dxa"/>
            <w:tcBorders>
              <w:top w:val="single" w:sz="4" w:space="0" w:color="0070CD"/>
              <w:bottom w:val="single" w:sz="4" w:space="0" w:color="0070CD"/>
            </w:tcBorders>
            <w:shd w:val="clear" w:color="auto" w:fill="auto"/>
            <w:noWrap/>
            <w:vAlign w:val="center"/>
          </w:tcPr>
          <w:p w14:paraId="67EAECDC" w14:textId="52509848" w:rsidR="0068345D" w:rsidRDefault="0068345D" w:rsidP="00F626E2">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31 </w:t>
            </w:r>
          </w:p>
        </w:tc>
        <w:tc>
          <w:tcPr>
            <w:tcW w:w="1844" w:type="dxa"/>
            <w:tcBorders>
              <w:top w:val="single" w:sz="4" w:space="0" w:color="0070CD"/>
              <w:bottom w:val="single" w:sz="4" w:space="0" w:color="0070CD"/>
            </w:tcBorders>
            <w:vAlign w:val="center"/>
          </w:tcPr>
          <w:p w14:paraId="3A8D9315" w14:textId="7999BBAD" w:rsidR="0068345D" w:rsidRDefault="0068345D" w:rsidP="00F626E2">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5,679 </w:t>
            </w:r>
          </w:p>
        </w:tc>
      </w:tr>
      <w:tr w:rsidR="0068345D" w:rsidRPr="00057D26" w14:paraId="61C4B2D7" w14:textId="77777777" w:rsidTr="0068345D">
        <w:trPr>
          <w:trHeight w:val="300"/>
          <w:jc w:val="center"/>
        </w:trPr>
        <w:tc>
          <w:tcPr>
            <w:tcW w:w="1982" w:type="dxa"/>
            <w:tcBorders>
              <w:top w:val="single" w:sz="4" w:space="0" w:color="0070CD"/>
              <w:bottom w:val="single" w:sz="4" w:space="0" w:color="0070CD"/>
            </w:tcBorders>
            <w:shd w:val="clear" w:color="auto" w:fill="auto"/>
            <w:vAlign w:val="center"/>
            <w:hideMark/>
          </w:tcPr>
          <w:p w14:paraId="3579FF4F" w14:textId="77777777" w:rsidR="0068345D" w:rsidRPr="00057D26" w:rsidRDefault="0068345D" w:rsidP="00F626E2">
            <w:pPr>
              <w:pStyle w:val="Tables-Bodycells"/>
              <w:keepNext w:val="0"/>
              <w:spacing w:before="0" w:after="0"/>
              <w:rPr>
                <w:color w:val="000000"/>
                <w:lang w:val="en-CA" w:eastAsia="en-CA"/>
              </w:rPr>
            </w:pPr>
            <w:r w:rsidRPr="00057D26">
              <w:t>Total</w:t>
            </w:r>
          </w:p>
        </w:tc>
        <w:tc>
          <w:tcPr>
            <w:tcW w:w="1822" w:type="dxa"/>
            <w:tcBorders>
              <w:top w:val="single" w:sz="4" w:space="0" w:color="0070CD"/>
              <w:bottom w:val="single" w:sz="4" w:space="0" w:color="0070CD"/>
            </w:tcBorders>
            <w:shd w:val="clear" w:color="auto" w:fill="auto"/>
            <w:vAlign w:val="center"/>
          </w:tcPr>
          <w:p w14:paraId="6D9317CD" w14:textId="51D1B6D1" w:rsidR="0068345D" w:rsidRPr="00057D26" w:rsidRDefault="0068345D" w:rsidP="00F626E2">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1,344 </w:t>
            </w:r>
          </w:p>
        </w:tc>
        <w:tc>
          <w:tcPr>
            <w:tcW w:w="1822" w:type="dxa"/>
            <w:tcBorders>
              <w:top w:val="single" w:sz="4" w:space="0" w:color="0070CD"/>
              <w:bottom w:val="single" w:sz="4" w:space="0" w:color="0070CD"/>
            </w:tcBorders>
            <w:shd w:val="clear" w:color="auto" w:fill="auto"/>
            <w:noWrap/>
            <w:vAlign w:val="center"/>
          </w:tcPr>
          <w:p w14:paraId="3E1904E4" w14:textId="78EEF278" w:rsidR="0068345D" w:rsidRPr="00057D26" w:rsidRDefault="0068345D" w:rsidP="00F626E2">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50 </w:t>
            </w:r>
          </w:p>
        </w:tc>
        <w:tc>
          <w:tcPr>
            <w:tcW w:w="1844" w:type="dxa"/>
            <w:tcBorders>
              <w:top w:val="single" w:sz="4" w:space="0" w:color="0070CD"/>
              <w:bottom w:val="single" w:sz="4" w:space="0" w:color="0070CD"/>
            </w:tcBorders>
            <w:vAlign w:val="center"/>
          </w:tcPr>
          <w:p w14:paraId="60DD7F09" w14:textId="19C1E3D8" w:rsidR="0068345D" w:rsidRPr="00057D26" w:rsidRDefault="0068345D" w:rsidP="00F626E2">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9,140 </w:t>
            </w:r>
          </w:p>
        </w:tc>
      </w:tr>
      <w:tr w:rsidR="0068345D" w:rsidRPr="006D5337" w14:paraId="76F821AA" w14:textId="77777777" w:rsidTr="0068345D">
        <w:trPr>
          <w:trHeight w:val="305"/>
          <w:jc w:val="center"/>
        </w:trPr>
        <w:tc>
          <w:tcPr>
            <w:tcW w:w="7470" w:type="dxa"/>
            <w:gridSpan w:val="4"/>
            <w:tcBorders>
              <w:top w:val="single" w:sz="4" w:space="0" w:color="0070CD"/>
              <w:bottom w:val="single" w:sz="4" w:space="0" w:color="0070CD"/>
            </w:tcBorders>
            <w:shd w:val="clear" w:color="auto" w:fill="auto"/>
            <w:vAlign w:val="center"/>
          </w:tcPr>
          <w:p w14:paraId="0F43DD6E" w14:textId="2F23A72B" w:rsidR="0068345D" w:rsidRPr="006D5337" w:rsidRDefault="0068345D" w:rsidP="0028184E">
            <w:pPr>
              <w:spacing w:after="0"/>
              <w:ind w:left="0"/>
              <w:rPr>
                <w:rFonts w:ascii="Arial" w:hAnsi="Arial" w:cs="Arial"/>
                <w:b/>
                <w:color w:val="000000"/>
                <w:sz w:val="18"/>
                <w:szCs w:val="18"/>
              </w:rPr>
            </w:pPr>
            <w:r w:rsidRPr="006D5337">
              <w:rPr>
                <w:b/>
              </w:rPr>
              <w:t xml:space="preserve">Battery Storage </w:t>
            </w:r>
            <w:r w:rsidR="00F77BBF">
              <w:rPr>
                <w:b/>
              </w:rPr>
              <w:t xml:space="preserve">charged </w:t>
            </w:r>
            <w:r>
              <w:rPr>
                <w:b/>
              </w:rPr>
              <w:t xml:space="preserve">from PV </w:t>
            </w:r>
            <w:r w:rsidRPr="006D5337">
              <w:rPr>
                <w:b/>
              </w:rPr>
              <w:t>Systems</w:t>
            </w:r>
          </w:p>
        </w:tc>
      </w:tr>
      <w:tr w:rsidR="0068345D" w:rsidRPr="00C95CDE" w14:paraId="1E37325C" w14:textId="77777777" w:rsidTr="0068345D">
        <w:trPr>
          <w:trHeight w:val="305"/>
          <w:jc w:val="center"/>
        </w:trPr>
        <w:tc>
          <w:tcPr>
            <w:tcW w:w="1982" w:type="dxa"/>
            <w:tcBorders>
              <w:top w:val="single" w:sz="4" w:space="0" w:color="0070CD"/>
              <w:bottom w:val="single" w:sz="4" w:space="0" w:color="0070CD"/>
            </w:tcBorders>
            <w:shd w:val="clear" w:color="auto" w:fill="auto"/>
            <w:vAlign w:val="center"/>
            <w:hideMark/>
          </w:tcPr>
          <w:p w14:paraId="2830765D" w14:textId="77777777" w:rsidR="0068345D" w:rsidRPr="00920CF7" w:rsidRDefault="0068345D" w:rsidP="00F626E2">
            <w:pPr>
              <w:pStyle w:val="Tables-Bodycells"/>
              <w:keepNext w:val="0"/>
              <w:spacing w:before="0" w:after="0"/>
              <w:rPr>
                <w:color w:val="000000"/>
                <w:lang w:val="en-CA" w:eastAsia="en-CA"/>
              </w:rPr>
            </w:pPr>
            <w:r>
              <w:t>Residential</w:t>
            </w:r>
          </w:p>
        </w:tc>
        <w:tc>
          <w:tcPr>
            <w:tcW w:w="1822" w:type="dxa"/>
            <w:tcBorders>
              <w:top w:val="single" w:sz="4" w:space="0" w:color="0070CD"/>
              <w:bottom w:val="single" w:sz="4" w:space="0" w:color="0070CD"/>
            </w:tcBorders>
            <w:shd w:val="clear" w:color="auto" w:fill="auto"/>
            <w:vAlign w:val="center"/>
          </w:tcPr>
          <w:p w14:paraId="490F22C4" w14:textId="14604955" w:rsidR="0068345D" w:rsidRDefault="0068345D" w:rsidP="00F626E2">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214 </w:t>
            </w:r>
          </w:p>
        </w:tc>
        <w:tc>
          <w:tcPr>
            <w:tcW w:w="1822" w:type="dxa"/>
            <w:tcBorders>
              <w:top w:val="single" w:sz="4" w:space="0" w:color="0070CD"/>
              <w:bottom w:val="single" w:sz="4" w:space="0" w:color="0070CD"/>
            </w:tcBorders>
            <w:shd w:val="clear" w:color="auto" w:fill="auto"/>
            <w:noWrap/>
            <w:vAlign w:val="center"/>
          </w:tcPr>
          <w:p w14:paraId="27C7FCC9" w14:textId="056C1BF3" w:rsidR="0068345D" w:rsidRDefault="0068345D" w:rsidP="00F626E2">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211 </w:t>
            </w:r>
          </w:p>
        </w:tc>
        <w:tc>
          <w:tcPr>
            <w:tcW w:w="1844" w:type="dxa"/>
            <w:tcBorders>
              <w:top w:val="single" w:sz="4" w:space="0" w:color="0070CD"/>
              <w:bottom w:val="single" w:sz="4" w:space="0" w:color="0070CD"/>
            </w:tcBorders>
            <w:vAlign w:val="center"/>
          </w:tcPr>
          <w:p w14:paraId="3E397EDD" w14:textId="57801EA2" w:rsidR="0068345D" w:rsidRDefault="0068345D" w:rsidP="00F626E2">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   </w:t>
            </w:r>
          </w:p>
        </w:tc>
      </w:tr>
      <w:tr w:rsidR="0068345D" w:rsidRPr="00C95CDE" w14:paraId="656E01E1" w14:textId="77777777" w:rsidTr="0068345D">
        <w:trPr>
          <w:trHeight w:val="305"/>
          <w:jc w:val="center"/>
        </w:trPr>
        <w:tc>
          <w:tcPr>
            <w:tcW w:w="1982" w:type="dxa"/>
            <w:tcBorders>
              <w:top w:val="single" w:sz="4" w:space="0" w:color="0070CD"/>
              <w:bottom w:val="single" w:sz="4" w:space="0" w:color="0070CD"/>
            </w:tcBorders>
            <w:shd w:val="clear" w:color="auto" w:fill="auto"/>
            <w:vAlign w:val="center"/>
          </w:tcPr>
          <w:p w14:paraId="3261950C" w14:textId="4CA07805" w:rsidR="0068345D" w:rsidRPr="00920CF7" w:rsidRDefault="0068345D" w:rsidP="00F626E2">
            <w:pPr>
              <w:pStyle w:val="Tables-Bodycells"/>
              <w:keepNext w:val="0"/>
              <w:spacing w:before="0" w:after="0"/>
            </w:pPr>
            <w:r>
              <w:t>Non-Residential</w:t>
            </w:r>
          </w:p>
        </w:tc>
        <w:tc>
          <w:tcPr>
            <w:tcW w:w="1822" w:type="dxa"/>
            <w:tcBorders>
              <w:top w:val="single" w:sz="4" w:space="0" w:color="0070CD"/>
              <w:bottom w:val="single" w:sz="4" w:space="0" w:color="0070CD"/>
            </w:tcBorders>
            <w:shd w:val="clear" w:color="auto" w:fill="auto"/>
            <w:vAlign w:val="center"/>
          </w:tcPr>
          <w:p w14:paraId="5F313224" w14:textId="4CEA0DA2" w:rsidR="0068345D" w:rsidRDefault="0068345D" w:rsidP="00F626E2">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1 </w:t>
            </w:r>
          </w:p>
        </w:tc>
        <w:tc>
          <w:tcPr>
            <w:tcW w:w="1822" w:type="dxa"/>
            <w:tcBorders>
              <w:top w:val="single" w:sz="4" w:space="0" w:color="0070CD"/>
              <w:bottom w:val="single" w:sz="4" w:space="0" w:color="0070CD"/>
            </w:tcBorders>
            <w:shd w:val="clear" w:color="auto" w:fill="auto"/>
            <w:noWrap/>
            <w:vAlign w:val="center"/>
          </w:tcPr>
          <w:p w14:paraId="03E7ED0A" w14:textId="1F78E63D" w:rsidR="0068345D" w:rsidRDefault="0068345D" w:rsidP="00F626E2">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   </w:t>
            </w:r>
          </w:p>
        </w:tc>
        <w:tc>
          <w:tcPr>
            <w:tcW w:w="1844" w:type="dxa"/>
            <w:tcBorders>
              <w:top w:val="single" w:sz="4" w:space="0" w:color="0070CD"/>
              <w:bottom w:val="single" w:sz="4" w:space="0" w:color="0070CD"/>
            </w:tcBorders>
            <w:vAlign w:val="center"/>
          </w:tcPr>
          <w:p w14:paraId="737D3F11" w14:textId="6924015E" w:rsidR="0068345D" w:rsidRDefault="0068345D" w:rsidP="00F626E2">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   </w:t>
            </w:r>
          </w:p>
        </w:tc>
      </w:tr>
      <w:tr w:rsidR="0068345D" w:rsidRPr="00057D26" w14:paraId="377C5FB1" w14:textId="77777777" w:rsidTr="0068345D">
        <w:trPr>
          <w:trHeight w:val="300"/>
          <w:jc w:val="center"/>
        </w:trPr>
        <w:tc>
          <w:tcPr>
            <w:tcW w:w="1982" w:type="dxa"/>
            <w:tcBorders>
              <w:top w:val="single" w:sz="4" w:space="0" w:color="0070CD"/>
              <w:bottom w:val="single" w:sz="4" w:space="0" w:color="0070CD"/>
            </w:tcBorders>
            <w:shd w:val="clear" w:color="auto" w:fill="auto"/>
            <w:vAlign w:val="center"/>
            <w:hideMark/>
          </w:tcPr>
          <w:p w14:paraId="093898B3" w14:textId="77777777" w:rsidR="0068345D" w:rsidRPr="00057D26" w:rsidRDefault="0068345D" w:rsidP="00F626E2">
            <w:pPr>
              <w:pStyle w:val="Tables-Bodycells"/>
              <w:keepNext w:val="0"/>
              <w:spacing w:before="0" w:after="0"/>
              <w:rPr>
                <w:color w:val="000000"/>
                <w:lang w:val="en-CA" w:eastAsia="en-CA"/>
              </w:rPr>
            </w:pPr>
            <w:r w:rsidRPr="00057D26">
              <w:t>Total</w:t>
            </w:r>
          </w:p>
        </w:tc>
        <w:tc>
          <w:tcPr>
            <w:tcW w:w="1822" w:type="dxa"/>
            <w:tcBorders>
              <w:top w:val="single" w:sz="4" w:space="0" w:color="0070CD"/>
              <w:bottom w:val="single" w:sz="4" w:space="0" w:color="0070CD"/>
            </w:tcBorders>
            <w:shd w:val="clear" w:color="auto" w:fill="auto"/>
            <w:vAlign w:val="center"/>
          </w:tcPr>
          <w:p w14:paraId="42A2BC92" w14:textId="4A19CBD4" w:rsidR="0068345D" w:rsidRPr="00057D26" w:rsidRDefault="0068345D" w:rsidP="00F626E2">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216 </w:t>
            </w:r>
          </w:p>
        </w:tc>
        <w:tc>
          <w:tcPr>
            <w:tcW w:w="1822" w:type="dxa"/>
            <w:tcBorders>
              <w:top w:val="single" w:sz="4" w:space="0" w:color="0070CD"/>
              <w:bottom w:val="single" w:sz="4" w:space="0" w:color="0070CD"/>
            </w:tcBorders>
            <w:shd w:val="clear" w:color="auto" w:fill="auto"/>
            <w:noWrap/>
            <w:vAlign w:val="center"/>
          </w:tcPr>
          <w:p w14:paraId="5ABFE2FA" w14:textId="7C256508" w:rsidR="0068345D" w:rsidRPr="00057D26" w:rsidRDefault="0068345D" w:rsidP="00F626E2">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211 </w:t>
            </w:r>
          </w:p>
        </w:tc>
        <w:tc>
          <w:tcPr>
            <w:tcW w:w="1844" w:type="dxa"/>
            <w:tcBorders>
              <w:top w:val="single" w:sz="4" w:space="0" w:color="0070CD"/>
              <w:bottom w:val="single" w:sz="4" w:space="0" w:color="0070CD"/>
            </w:tcBorders>
            <w:vAlign w:val="center"/>
          </w:tcPr>
          <w:p w14:paraId="0E736B43" w14:textId="25556F28" w:rsidR="0068345D" w:rsidRPr="00057D26" w:rsidRDefault="0068345D" w:rsidP="00F626E2">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   </w:t>
            </w:r>
          </w:p>
        </w:tc>
      </w:tr>
      <w:tr w:rsidR="0068345D" w:rsidRPr="006D5337" w14:paraId="69B03E3B" w14:textId="77777777" w:rsidTr="0068345D">
        <w:trPr>
          <w:trHeight w:val="305"/>
          <w:jc w:val="center"/>
        </w:trPr>
        <w:tc>
          <w:tcPr>
            <w:tcW w:w="7470" w:type="dxa"/>
            <w:gridSpan w:val="4"/>
            <w:tcBorders>
              <w:top w:val="single" w:sz="4" w:space="0" w:color="0070CD"/>
              <w:bottom w:val="single" w:sz="4" w:space="0" w:color="0070CD"/>
            </w:tcBorders>
            <w:shd w:val="clear" w:color="auto" w:fill="auto"/>
            <w:vAlign w:val="center"/>
          </w:tcPr>
          <w:p w14:paraId="3AD92B91" w14:textId="77777777" w:rsidR="0068345D" w:rsidRPr="006D5337" w:rsidRDefault="0068345D" w:rsidP="006D5337">
            <w:pPr>
              <w:spacing w:after="0"/>
              <w:ind w:left="0"/>
              <w:rPr>
                <w:rFonts w:ascii="Arial" w:hAnsi="Arial" w:cs="Arial"/>
                <w:b/>
                <w:color w:val="000000"/>
                <w:sz w:val="18"/>
                <w:szCs w:val="18"/>
              </w:rPr>
            </w:pPr>
            <w:r>
              <w:rPr>
                <w:b/>
              </w:rPr>
              <w:t>CHP</w:t>
            </w:r>
            <w:r w:rsidRPr="006D5337">
              <w:rPr>
                <w:b/>
              </w:rPr>
              <w:t xml:space="preserve"> Systems</w:t>
            </w:r>
          </w:p>
        </w:tc>
      </w:tr>
      <w:tr w:rsidR="0068345D" w:rsidRPr="00057D26" w14:paraId="0C5D6DD7" w14:textId="77777777" w:rsidTr="0068345D">
        <w:trPr>
          <w:trHeight w:val="300"/>
          <w:jc w:val="center"/>
        </w:trPr>
        <w:tc>
          <w:tcPr>
            <w:tcW w:w="1982" w:type="dxa"/>
            <w:tcBorders>
              <w:top w:val="single" w:sz="4" w:space="0" w:color="0070CD"/>
              <w:bottom w:val="single" w:sz="4" w:space="0" w:color="0070CD"/>
            </w:tcBorders>
            <w:shd w:val="clear" w:color="auto" w:fill="auto"/>
            <w:vAlign w:val="center"/>
            <w:hideMark/>
          </w:tcPr>
          <w:p w14:paraId="5F9F6A98" w14:textId="77777777" w:rsidR="0068345D" w:rsidRPr="00057D26" w:rsidRDefault="0068345D" w:rsidP="006D5337">
            <w:pPr>
              <w:pStyle w:val="Tables-Bodycells"/>
              <w:keepNext w:val="0"/>
              <w:spacing w:before="0" w:after="0"/>
              <w:rPr>
                <w:color w:val="000000"/>
                <w:lang w:val="en-CA" w:eastAsia="en-CA"/>
              </w:rPr>
            </w:pPr>
            <w:r w:rsidRPr="00057D26">
              <w:t>Total</w:t>
            </w:r>
          </w:p>
        </w:tc>
        <w:tc>
          <w:tcPr>
            <w:tcW w:w="1822" w:type="dxa"/>
            <w:tcBorders>
              <w:top w:val="single" w:sz="4" w:space="0" w:color="0070CD"/>
              <w:bottom w:val="single" w:sz="4" w:space="0" w:color="0070CD"/>
            </w:tcBorders>
            <w:shd w:val="clear" w:color="auto" w:fill="auto"/>
            <w:vAlign w:val="center"/>
          </w:tcPr>
          <w:p w14:paraId="1E46F19F" w14:textId="5482F426" w:rsidR="0068345D" w:rsidRPr="00057D26" w:rsidRDefault="0068345D" w:rsidP="006D5337">
            <w:pPr>
              <w:spacing w:after="0"/>
              <w:ind w:left="0"/>
              <w:jc w:val="center"/>
              <w:rPr>
                <w:rFonts w:ascii="Arial" w:hAnsi="Arial" w:cs="Arial"/>
                <w:color w:val="000000"/>
                <w:sz w:val="18"/>
                <w:szCs w:val="18"/>
              </w:rPr>
            </w:pPr>
            <w:r w:rsidRPr="00F626E2">
              <w:rPr>
                <w:rFonts w:ascii="Arial" w:hAnsi="Arial" w:cs="Arial"/>
                <w:color w:val="000000"/>
                <w:sz w:val="18"/>
                <w:szCs w:val="18"/>
              </w:rPr>
              <w:t>656</w:t>
            </w:r>
          </w:p>
        </w:tc>
        <w:tc>
          <w:tcPr>
            <w:tcW w:w="1822" w:type="dxa"/>
            <w:tcBorders>
              <w:top w:val="single" w:sz="4" w:space="0" w:color="0070CD"/>
              <w:bottom w:val="single" w:sz="4" w:space="0" w:color="0070CD"/>
            </w:tcBorders>
            <w:shd w:val="clear" w:color="auto" w:fill="auto"/>
            <w:noWrap/>
            <w:vAlign w:val="center"/>
          </w:tcPr>
          <w:p w14:paraId="59BA3D2D" w14:textId="60EA2349" w:rsidR="0068345D" w:rsidRPr="00057D26" w:rsidRDefault="0068345D" w:rsidP="006D5337">
            <w:pPr>
              <w:spacing w:after="0"/>
              <w:ind w:left="0"/>
              <w:jc w:val="center"/>
              <w:rPr>
                <w:rFonts w:ascii="Arial" w:hAnsi="Arial" w:cs="Arial"/>
                <w:color w:val="000000"/>
                <w:sz w:val="18"/>
                <w:szCs w:val="18"/>
              </w:rPr>
            </w:pPr>
            <w:r w:rsidRPr="00F626E2">
              <w:rPr>
                <w:rFonts w:ascii="Arial" w:hAnsi="Arial" w:cs="Arial"/>
                <w:color w:val="000000"/>
                <w:sz w:val="18"/>
                <w:szCs w:val="18"/>
              </w:rPr>
              <w:t>358</w:t>
            </w:r>
          </w:p>
        </w:tc>
        <w:tc>
          <w:tcPr>
            <w:tcW w:w="1844" w:type="dxa"/>
            <w:tcBorders>
              <w:top w:val="single" w:sz="4" w:space="0" w:color="0070CD"/>
              <w:bottom w:val="single" w:sz="4" w:space="0" w:color="0070CD"/>
            </w:tcBorders>
            <w:vAlign w:val="center"/>
          </w:tcPr>
          <w:p w14:paraId="58C9D172" w14:textId="0872C86A" w:rsidR="0068345D" w:rsidRPr="00057D26" w:rsidRDefault="0068345D" w:rsidP="006D5337">
            <w:pPr>
              <w:spacing w:after="0"/>
              <w:ind w:left="0"/>
              <w:jc w:val="center"/>
              <w:rPr>
                <w:rFonts w:ascii="Arial" w:hAnsi="Arial" w:cs="Arial"/>
                <w:color w:val="000000"/>
                <w:sz w:val="18"/>
                <w:szCs w:val="18"/>
              </w:rPr>
            </w:pPr>
            <w:r w:rsidRPr="00F626E2">
              <w:rPr>
                <w:rFonts w:ascii="Arial" w:hAnsi="Arial" w:cs="Arial"/>
                <w:color w:val="000000"/>
                <w:sz w:val="18"/>
                <w:szCs w:val="18"/>
              </w:rPr>
              <w:t>3,126</w:t>
            </w:r>
          </w:p>
        </w:tc>
      </w:tr>
    </w:tbl>
    <w:p w14:paraId="70056CA1" w14:textId="77777777" w:rsidR="00F243BB" w:rsidRDefault="00F243BB" w:rsidP="00997CEE">
      <w:pPr>
        <w:pStyle w:val="Intropages-coverlettersubjectline"/>
        <w:sectPr w:rsidR="00F243BB" w:rsidSect="00AC4E83">
          <w:headerReference w:type="default" r:id="rId24"/>
          <w:footerReference w:type="default" r:id="rId25"/>
          <w:headerReference w:type="first" r:id="rId26"/>
          <w:footerReference w:type="first" r:id="rId27"/>
          <w:pgSz w:w="12240" w:h="15840"/>
          <w:pgMar w:top="1440" w:right="1224" w:bottom="1440" w:left="1224" w:header="720" w:footer="720" w:gutter="0"/>
          <w:cols w:space="720"/>
          <w:titlePg/>
          <w:docGrid w:linePitch="299"/>
        </w:sectPr>
      </w:pPr>
    </w:p>
    <w:p w14:paraId="6401E7FD" w14:textId="65BA6C2C" w:rsidR="000432D0" w:rsidRDefault="00B61740" w:rsidP="00B6622C">
      <w:pPr>
        <w:pStyle w:val="Heading1"/>
        <w:tabs>
          <w:tab w:val="num" w:pos="720"/>
          <w:tab w:val="num" w:pos="1620"/>
        </w:tabs>
        <w:ind w:left="720" w:hanging="720"/>
      </w:pPr>
      <w:bookmarkStart w:id="27" w:name="_Toc5715474"/>
      <w:bookmarkEnd w:id="24"/>
      <w:bookmarkEnd w:id="25"/>
      <w:r>
        <w:t>Introduction</w:t>
      </w:r>
      <w:bookmarkEnd w:id="27"/>
    </w:p>
    <w:p w14:paraId="5ADA62EE" w14:textId="5B1FE5A1" w:rsidR="007444CE" w:rsidRDefault="007444CE" w:rsidP="00C42451">
      <w:pPr>
        <w:pStyle w:val="Text"/>
        <w:jc w:val="both"/>
      </w:pPr>
      <w:r>
        <w:t>In October, 2017, the seven electric utilities subject to the Florida Energy Efficiency and Conservation Act (</w:t>
      </w:r>
      <w:r w:rsidR="00B30110">
        <w:t>FEECA Utilities</w:t>
      </w:r>
      <w:r>
        <w:t>) retained Nexant, Inc. for the purpose of i</w:t>
      </w:r>
      <w:r w:rsidRPr="001061D9">
        <w:t>dentifying and characterizing the market for</w:t>
      </w:r>
      <w:r>
        <w:t xml:space="preserve"> </w:t>
      </w:r>
      <w:r w:rsidRPr="001061D9">
        <w:t>dem</w:t>
      </w:r>
      <w:r>
        <w:t>and-</w:t>
      </w:r>
      <w:r w:rsidRPr="001061D9">
        <w:t>side management</w:t>
      </w:r>
      <w:r>
        <w:t xml:space="preserve"> </w:t>
      </w:r>
      <w:r w:rsidRPr="001061D9">
        <w:t xml:space="preserve">(DSM) </w:t>
      </w:r>
      <w:r>
        <w:t>opportunities, including energy efficiency (EE) improvement and building retrofits, peak load reductions</w:t>
      </w:r>
      <w:r w:rsidR="0068345D">
        <w:t xml:space="preserve"> from demand response</w:t>
      </w:r>
      <w:r>
        <w:t xml:space="preserve"> </w:t>
      </w:r>
      <w:r w:rsidR="0068345D">
        <w:t>(</w:t>
      </w:r>
      <w:r>
        <w:t xml:space="preserve">DR), and </w:t>
      </w:r>
      <w:r w:rsidR="0068345D">
        <w:t xml:space="preserve">demand-side renewable energy (DSRE) </w:t>
      </w:r>
      <w:r>
        <w:t>systems. The main objectives of the study included:</w:t>
      </w:r>
    </w:p>
    <w:p w14:paraId="516A962A" w14:textId="60DEBFF2" w:rsidR="00A86858" w:rsidRPr="006D5337" w:rsidRDefault="00A86858" w:rsidP="00C42451">
      <w:pPr>
        <w:pStyle w:val="Mainbody-Bullets"/>
        <w:jc w:val="both"/>
      </w:pPr>
      <w:r w:rsidRPr="006D5337">
        <w:t>Assess</w:t>
      </w:r>
      <w:r>
        <w:t>ing</w:t>
      </w:r>
      <w:r w:rsidRPr="006D5337">
        <w:t xml:space="preserve"> technical potential of demand-side resources for reducing </w:t>
      </w:r>
      <w:r w:rsidR="0028184E">
        <w:t>customer electric</w:t>
      </w:r>
      <w:r w:rsidRPr="006D5337">
        <w:t xml:space="preserve"> </w:t>
      </w:r>
      <w:r w:rsidR="0028184E">
        <w:t xml:space="preserve">energy </w:t>
      </w:r>
      <w:r w:rsidRPr="006D5337">
        <w:t xml:space="preserve">consumption and </w:t>
      </w:r>
      <w:r>
        <w:t xml:space="preserve">seasonal peak </w:t>
      </w:r>
      <w:r w:rsidRPr="006D5337">
        <w:t>capacity demands.</w:t>
      </w:r>
    </w:p>
    <w:p w14:paraId="17A1B703" w14:textId="3A44B9E2" w:rsidR="001A1A00" w:rsidRDefault="001A1A00" w:rsidP="00C42451">
      <w:pPr>
        <w:pStyle w:val="Text"/>
        <w:jc w:val="both"/>
      </w:pPr>
      <w:r>
        <w:t xml:space="preserve">This report provides the detailed methodology and results for </w:t>
      </w:r>
      <w:r w:rsidR="0068345D">
        <w:t xml:space="preserve">technical potential </w:t>
      </w:r>
      <w:r>
        <w:t xml:space="preserve">analysis of </w:t>
      </w:r>
      <w:r w:rsidR="00145C87">
        <w:t>Tampa Electric Company</w:t>
      </w:r>
      <w:r>
        <w:t>’s (</w:t>
      </w:r>
      <w:r w:rsidR="00145C87">
        <w:t>TECO</w:t>
      </w:r>
      <w:r>
        <w:t>) service territory.</w:t>
      </w:r>
    </w:p>
    <w:p w14:paraId="6401E803" w14:textId="1435FD73" w:rsidR="000259FE" w:rsidRDefault="00A86858" w:rsidP="00C42451">
      <w:pPr>
        <w:pStyle w:val="Text"/>
        <w:jc w:val="both"/>
      </w:pPr>
      <w:r>
        <w:t>The following</w:t>
      </w:r>
      <w:r w:rsidR="00910BC7">
        <w:t xml:space="preserve"> deliverables </w:t>
      </w:r>
      <w:r w:rsidR="008E7E68">
        <w:t>were</w:t>
      </w:r>
      <w:r w:rsidR="002F31C5">
        <w:t xml:space="preserve"> </w:t>
      </w:r>
      <w:r w:rsidR="004D7D4F">
        <w:t>developed</w:t>
      </w:r>
      <w:r w:rsidR="002F31C5">
        <w:t xml:space="preserve"> by Nexant</w:t>
      </w:r>
      <w:r w:rsidR="008E7E68">
        <w:t xml:space="preserve"> as part of the project </w:t>
      </w:r>
      <w:r w:rsidR="00910BC7">
        <w:t>and are addressed in this report:</w:t>
      </w:r>
    </w:p>
    <w:p w14:paraId="6401E805" w14:textId="42C0E365" w:rsidR="00910BC7" w:rsidRDefault="0028184E" w:rsidP="00C42451">
      <w:pPr>
        <w:pStyle w:val="Mainbody-Bullets"/>
        <w:jc w:val="both"/>
      </w:pPr>
      <w:r>
        <w:t>DSM m</w:t>
      </w:r>
      <w:r w:rsidR="00910BC7">
        <w:t>easure list and detailed assumption workbooks</w:t>
      </w:r>
    </w:p>
    <w:p w14:paraId="4A979981" w14:textId="7CE07A58" w:rsidR="00CE3E51" w:rsidRDefault="00910BC7" w:rsidP="00C42451">
      <w:pPr>
        <w:pStyle w:val="Mainbody-Bullets"/>
        <w:jc w:val="both"/>
      </w:pPr>
      <w:r>
        <w:t xml:space="preserve">Disaggregated baseline </w:t>
      </w:r>
      <w:r w:rsidR="0028184E">
        <w:t xml:space="preserve">demand and energy use </w:t>
      </w:r>
      <w:r w:rsidR="002F31C5">
        <w:t xml:space="preserve">by </w:t>
      </w:r>
      <w:r>
        <w:t>year</w:t>
      </w:r>
      <w:r w:rsidR="008E7E68">
        <w:t>,</w:t>
      </w:r>
      <w:r>
        <w:t xml:space="preserve"> state, sector, </w:t>
      </w:r>
      <w:r w:rsidR="00CE3E51">
        <w:t xml:space="preserve">and </w:t>
      </w:r>
      <w:r w:rsidR="007576CB">
        <w:t>end-use</w:t>
      </w:r>
    </w:p>
    <w:p w14:paraId="6401E807" w14:textId="65C85CCB" w:rsidR="00910BC7" w:rsidRDefault="00CE3E51" w:rsidP="00C42451">
      <w:pPr>
        <w:pStyle w:val="Mainbody-Bullets"/>
        <w:jc w:val="both"/>
      </w:pPr>
      <w:r>
        <w:t>Baseline t</w:t>
      </w:r>
      <w:r w:rsidR="00910BC7">
        <w:t>echnology saturations</w:t>
      </w:r>
      <w:r>
        <w:t>,</w:t>
      </w:r>
      <w:r w:rsidR="007C2CC3">
        <w:t xml:space="preserve"> </w:t>
      </w:r>
      <w:r w:rsidR="002B2356">
        <w:t>energy</w:t>
      </w:r>
      <w:r>
        <w:t xml:space="preserve"> consumption,</w:t>
      </w:r>
      <w:r w:rsidR="002B2356">
        <w:t xml:space="preserve"> and demand</w:t>
      </w:r>
    </w:p>
    <w:p w14:paraId="6401E80A" w14:textId="1BC7AEEF" w:rsidR="00910BC7" w:rsidRDefault="0068345D" w:rsidP="00C42451">
      <w:pPr>
        <w:pStyle w:val="Mainbody-Bullets"/>
        <w:jc w:val="both"/>
      </w:pPr>
      <w:r>
        <w:t>Technical p</w:t>
      </w:r>
      <w:r w:rsidR="00910BC7">
        <w:t>otential</w:t>
      </w:r>
      <w:r>
        <w:t xml:space="preserve"> demand and</w:t>
      </w:r>
      <w:r w:rsidR="00910BC7">
        <w:t xml:space="preserve"> energy savings</w:t>
      </w:r>
    </w:p>
    <w:p w14:paraId="6401E80C" w14:textId="77777777" w:rsidR="00910BC7" w:rsidRDefault="00910BC7" w:rsidP="00C42451">
      <w:pPr>
        <w:pStyle w:val="Mainbody-Bulletsoutforlastbullet"/>
        <w:jc w:val="both"/>
      </w:pPr>
      <w:r>
        <w:t>Supporting calculation spreadshe</w:t>
      </w:r>
      <w:r w:rsidR="002B2356">
        <w:t>ets</w:t>
      </w:r>
    </w:p>
    <w:p w14:paraId="6401E80D" w14:textId="3E5FD758" w:rsidR="00910BC7" w:rsidRDefault="0068345D" w:rsidP="00C42451">
      <w:pPr>
        <w:pStyle w:val="Heading2"/>
        <w:jc w:val="both"/>
      </w:pPr>
      <w:bookmarkStart w:id="28" w:name="_Toc5715475"/>
      <w:r>
        <w:t>Market Potential Study</w:t>
      </w:r>
      <w:r w:rsidR="006B782E">
        <w:t xml:space="preserve"> Approach</w:t>
      </w:r>
      <w:bookmarkEnd w:id="28"/>
    </w:p>
    <w:p w14:paraId="72BFEA77" w14:textId="29B6507A" w:rsidR="0068345D" w:rsidRDefault="00F531DC" w:rsidP="00C42451">
      <w:pPr>
        <w:pStyle w:val="Text"/>
        <w:jc w:val="both"/>
      </w:pPr>
      <w:r>
        <w:t>DSM</w:t>
      </w:r>
      <w:r w:rsidR="009F2401">
        <w:t xml:space="preserve"> market </w:t>
      </w:r>
      <w:r w:rsidR="00DF1DB0" w:rsidRPr="00DF1DB0">
        <w:t xml:space="preserve">potential studies </w:t>
      </w:r>
      <w:r w:rsidR="0068345D">
        <w:t xml:space="preserve">(MPS) </w:t>
      </w:r>
      <w:r w:rsidR="006B782E">
        <w:t>typically include three scenarios: technical, economic, and achievable potential. Each scenario is defined by specific criteria, which c</w:t>
      </w:r>
      <w:r w:rsidR="00CE3E51">
        <w:t>ollectively describe</w:t>
      </w:r>
      <w:r w:rsidR="006744D8">
        <w:t xml:space="preserve"> levels of opportunity</w:t>
      </w:r>
      <w:r w:rsidR="00CE3E51">
        <w:t xml:space="preserve"> for DSM savings</w:t>
      </w:r>
      <w:r w:rsidR="006744D8">
        <w:t xml:space="preserve">. </w:t>
      </w:r>
      <w:r w:rsidR="0068345D">
        <w:t>Nexant only estimated technical potential for TECO, and TECO conducted their economic and achievable potential analyses.</w:t>
      </w:r>
    </w:p>
    <w:p w14:paraId="2F29300D" w14:textId="1D7522A3" w:rsidR="006744D8" w:rsidRDefault="006B782E" w:rsidP="00C42451">
      <w:pPr>
        <w:pStyle w:val="Text"/>
        <w:jc w:val="both"/>
      </w:pPr>
      <w:r>
        <w:t>Nexant</w:t>
      </w:r>
      <w:r w:rsidR="006744D8">
        <w:t xml:space="preserve"> </w:t>
      </w:r>
      <w:r>
        <w:t>estimates</w:t>
      </w:r>
      <w:r w:rsidR="006744D8">
        <w:t xml:space="preserve"> levels of </w:t>
      </w:r>
      <w:r w:rsidR="0068345D">
        <w:t>DSM</w:t>
      </w:r>
      <w:r w:rsidR="006744D8">
        <w:t xml:space="preserve"> potential according to the </w:t>
      </w:r>
      <w:r w:rsidR="0028184E">
        <w:t>industry standard categorization</w:t>
      </w:r>
      <w:r w:rsidR="006744D8">
        <w:t xml:space="preserve">, as follows: </w:t>
      </w:r>
    </w:p>
    <w:p w14:paraId="5A253FB5" w14:textId="06471BBA" w:rsidR="006744D8" w:rsidRDefault="006744D8" w:rsidP="00C42451">
      <w:pPr>
        <w:pStyle w:val="Mainbody-Bullets"/>
        <w:jc w:val="both"/>
      </w:pPr>
      <w:r>
        <w:t xml:space="preserve">Technical Potential is the theoretical maximum amount of energy and capacity that could be displaced by </w:t>
      </w:r>
      <w:r w:rsidR="0068345D">
        <w:t>DSM</w:t>
      </w:r>
      <w:r>
        <w:t xml:space="preserve">, regardless of cost and other barriers that may prevent the installation or adoption of </w:t>
      </w:r>
      <w:r w:rsidR="00B665E8">
        <w:t>a DSM</w:t>
      </w:r>
      <w:r>
        <w:t xml:space="preserve"> measure.</w:t>
      </w:r>
      <w:r w:rsidR="00B665E8">
        <w:t xml:space="preserve"> </w:t>
      </w:r>
      <w:r w:rsidR="0068345D">
        <w:t>For this study, technical potential</w:t>
      </w:r>
      <w:r w:rsidR="0028184E">
        <w:t xml:space="preserve"> included full application of commercially available DSM technologies to all residential, commercial, and industrial customers in the utility’s service territory.</w:t>
      </w:r>
    </w:p>
    <w:p w14:paraId="6209EC8D" w14:textId="01AFF2BA" w:rsidR="006744D8" w:rsidRDefault="006744D8" w:rsidP="00C42451">
      <w:pPr>
        <w:pStyle w:val="Mainbody-Bullets"/>
        <w:jc w:val="both"/>
      </w:pPr>
      <w:r>
        <w:t xml:space="preserve">Economic Potential is the amount of energy and capacity that could be reduced by </w:t>
      </w:r>
      <w:r w:rsidR="0068345D">
        <w:t>DSM</w:t>
      </w:r>
      <w:r>
        <w:t xml:space="preserve"> measures that </w:t>
      </w:r>
      <w:r w:rsidR="00922E11">
        <w:t>are considered cost-effective</w:t>
      </w:r>
      <w:r>
        <w:t xml:space="preserve">. </w:t>
      </w:r>
      <w:r w:rsidR="0068345D">
        <w:t>Nexant did not perform this analysis for TECO.</w:t>
      </w:r>
      <w:r>
        <w:t xml:space="preserve"> </w:t>
      </w:r>
    </w:p>
    <w:p w14:paraId="069A0BE2" w14:textId="04B13F08" w:rsidR="00922E11" w:rsidRDefault="006744D8" w:rsidP="00C42451">
      <w:pPr>
        <w:pStyle w:val="Mainbody-Bullets"/>
        <w:jc w:val="both"/>
      </w:pPr>
      <w:r>
        <w:t>Achievable Potential</w:t>
      </w:r>
      <w:r w:rsidR="0068345D">
        <w:t xml:space="preserve"> is the DSM</w:t>
      </w:r>
      <w:r>
        <w:t xml:space="preserve"> savings </w:t>
      </w:r>
      <w:r w:rsidR="006B782E">
        <w:t xml:space="preserve">feasible when considering how utility-sponsored program might address </w:t>
      </w:r>
      <w:r>
        <w:t xml:space="preserve">market barriers and </w:t>
      </w:r>
      <w:r w:rsidR="006B782E">
        <w:t xml:space="preserve">affect </w:t>
      </w:r>
      <w:r>
        <w:t>customer adoption of DSM technologies</w:t>
      </w:r>
      <w:r w:rsidR="0068345D">
        <w:t xml:space="preserve">. </w:t>
      </w:r>
      <w:r w:rsidR="0068345D" w:rsidRPr="0068345D">
        <w:t xml:space="preserve"> </w:t>
      </w:r>
      <w:r w:rsidR="0068345D">
        <w:t>Nexant did not perform this analysis for TECO.</w:t>
      </w:r>
    </w:p>
    <w:p w14:paraId="0C860D14" w14:textId="1782FEF8" w:rsidR="00C63F23" w:rsidRDefault="00CE3E51" w:rsidP="00C42451">
      <w:pPr>
        <w:pStyle w:val="Text"/>
        <w:jc w:val="both"/>
      </w:pPr>
      <w:r>
        <w:t>Quantifying these</w:t>
      </w:r>
      <w:r w:rsidR="00B665E8">
        <w:t xml:space="preserve"> levels of </w:t>
      </w:r>
      <w:r w:rsidR="00C63F23">
        <w:t>DSM</w:t>
      </w:r>
      <w:r w:rsidR="00B665E8">
        <w:t xml:space="preserve"> </w:t>
      </w:r>
      <w:r>
        <w:t>potential</w:t>
      </w:r>
      <w:r w:rsidR="00B665E8">
        <w:t xml:space="preserve"> is </w:t>
      </w:r>
      <w:r w:rsidR="008B5CD8">
        <w:t>the result of an analytical</w:t>
      </w:r>
      <w:r w:rsidR="00B665E8">
        <w:t xml:space="preserve"> process that refine</w:t>
      </w:r>
      <w:r w:rsidR="008B5CD8">
        <w:t>s</w:t>
      </w:r>
      <w:r w:rsidR="00B665E8">
        <w:t xml:space="preserve"> </w:t>
      </w:r>
      <w:r w:rsidR="008B5CD8">
        <w:t>DSM opportunities</w:t>
      </w:r>
      <w:r w:rsidR="00B665E8">
        <w:t xml:space="preserve"> from the theoretical maximum to realistic </w:t>
      </w:r>
      <w:r w:rsidR="0068345D">
        <w:t>measure</w:t>
      </w:r>
      <w:r w:rsidR="00B665E8">
        <w:t xml:space="preserve"> savings. Nexant’s</w:t>
      </w:r>
      <w:r w:rsidR="00B665E8" w:rsidRPr="000B0138">
        <w:t xml:space="preserve"> general methodology </w:t>
      </w:r>
      <w:r>
        <w:t>for estimating</w:t>
      </w:r>
      <w:r w:rsidR="00B665E8">
        <w:t xml:space="preserve"> DSM market potential </w:t>
      </w:r>
      <w:r>
        <w:t>is</w:t>
      </w:r>
      <w:r w:rsidR="00B665E8" w:rsidRPr="000B0138">
        <w:t xml:space="preserve"> a hybri</w:t>
      </w:r>
      <w:r w:rsidR="00B665E8">
        <w:t xml:space="preserve">d “top-down/bottom-up” approach, which </w:t>
      </w:r>
      <w:r w:rsidR="00C63F23">
        <w:t>includes the following steps:</w:t>
      </w:r>
    </w:p>
    <w:p w14:paraId="5752D749" w14:textId="52B72B08" w:rsidR="00C63F23" w:rsidRDefault="008B5CD8" w:rsidP="00C42451">
      <w:pPr>
        <w:pStyle w:val="Mainbody-Bullets"/>
        <w:jc w:val="both"/>
      </w:pPr>
      <w:r>
        <w:t>Develop a baseline forecast: t</w:t>
      </w:r>
      <w:r w:rsidR="00C63F23" w:rsidRPr="003A6197">
        <w:t xml:space="preserve">he study </w:t>
      </w:r>
      <w:r w:rsidR="00921D1E">
        <w:t xml:space="preserve">began with a disaggregation of the utility’s </w:t>
      </w:r>
      <w:r w:rsidR="00921D1E" w:rsidRPr="003A6197">
        <w:t>official electric energy forecast</w:t>
      </w:r>
      <w:r w:rsidR="00921D1E">
        <w:t xml:space="preserve"> </w:t>
      </w:r>
      <w:r w:rsidR="00CE3E51">
        <w:t>to</w:t>
      </w:r>
      <w:r w:rsidR="00921D1E" w:rsidRPr="003A6197">
        <w:t xml:space="preserve"> </w:t>
      </w:r>
      <w:r w:rsidR="00C63F23" w:rsidRPr="003A6197">
        <w:t xml:space="preserve">create a baseline electric energy forecast. This </w:t>
      </w:r>
      <w:r w:rsidR="00921D1E">
        <w:t>forecast</w:t>
      </w:r>
      <w:r w:rsidR="00CE3E51">
        <w:t xml:space="preserve"> does not include any utility-specific assumptions around DSM performance. Nexant</w:t>
      </w:r>
      <w:r w:rsidR="00921D1E">
        <w:t xml:space="preserve"> </w:t>
      </w:r>
      <w:r w:rsidR="00CE3E51">
        <w:t xml:space="preserve">applied </w:t>
      </w:r>
      <w:r w:rsidR="00921D1E">
        <w:t>customer segmentation and consumption data</w:t>
      </w:r>
      <w:r w:rsidR="00CE3E51">
        <w:t xml:space="preserve"> from each utility and data from </w:t>
      </w:r>
      <w:r w:rsidR="00921D1E">
        <w:t xml:space="preserve">secondary </w:t>
      </w:r>
      <w:r w:rsidR="00CE3E51">
        <w:t>sources</w:t>
      </w:r>
      <w:r w:rsidR="00921D1E">
        <w:t xml:space="preserve"> to</w:t>
      </w:r>
      <w:r w:rsidR="00C63F23" w:rsidRPr="000B0138">
        <w:t xml:space="preserve"> </w:t>
      </w:r>
      <w:r w:rsidR="00CE3E51">
        <w:t>describe baseline</w:t>
      </w:r>
      <w:r w:rsidR="00C63F23" w:rsidRPr="000B0138">
        <w:t xml:space="preserve"> customer-class and end-use components.</w:t>
      </w:r>
    </w:p>
    <w:p w14:paraId="6F43244B" w14:textId="356482EF" w:rsidR="008B5CD8" w:rsidRPr="003A6197" w:rsidRDefault="008B5CD8" w:rsidP="00C42451">
      <w:pPr>
        <w:pStyle w:val="Mainbody-Bullets"/>
        <w:jc w:val="both"/>
      </w:pPr>
      <w:r w:rsidRPr="003A6197">
        <w:t xml:space="preserve">Collect cost and impact data for measures: </w:t>
      </w:r>
      <w:r>
        <w:t>For those</w:t>
      </w:r>
      <w:r w:rsidRPr="003A6197">
        <w:t xml:space="preserve"> measures passing the qualitative screening, </w:t>
      </w:r>
      <w:r>
        <w:t xml:space="preserve">conduct market research and </w:t>
      </w:r>
      <w:r w:rsidRPr="003A6197">
        <w:t>estimate costs, energy,</w:t>
      </w:r>
      <w:r>
        <w:t xml:space="preserve"> measure life,</w:t>
      </w:r>
      <w:r w:rsidRPr="003A6197">
        <w:t xml:space="preserve"> and demand savings.</w:t>
      </w:r>
      <w:r>
        <w:t xml:space="preserve"> We d</w:t>
      </w:r>
      <w:r w:rsidRPr="003A6197">
        <w:t>ifferentiated between the type of cost (capital, installation labor, maintenance, etc.) to separately evaluate different implementation modes: retrofit (capital plus installation labor plus incremental maintenance); new construction (incremental capital and incremental maintenance); and burnout costs (incremental capital and incremental maintenance).</w:t>
      </w:r>
    </w:p>
    <w:p w14:paraId="1C05BA44" w14:textId="1D4F61C0" w:rsidR="008B5CD8" w:rsidRDefault="00921D1E" w:rsidP="00C42451">
      <w:pPr>
        <w:pStyle w:val="Mainbody-Bullets"/>
        <w:jc w:val="both"/>
      </w:pPr>
      <w:r>
        <w:t>Identify DSM opportunities</w:t>
      </w:r>
      <w:r w:rsidR="00C63F23" w:rsidRPr="003A6197">
        <w:t xml:space="preserve">: </w:t>
      </w:r>
      <w:r>
        <w:t xml:space="preserve">DSM opportunities </w:t>
      </w:r>
      <w:r w:rsidR="00C63F23" w:rsidRPr="003A6197">
        <w:t xml:space="preserve">applicable to </w:t>
      </w:r>
      <w:r w:rsidR="00145C87">
        <w:t>TECO</w:t>
      </w:r>
      <w:r w:rsidR="00C63F23" w:rsidRPr="003A6197">
        <w:t xml:space="preserve">’s climate and customers were analyzed to best depict </w:t>
      </w:r>
      <w:r>
        <w:t>DSM market</w:t>
      </w:r>
      <w:r w:rsidR="00C63F23" w:rsidRPr="003A6197">
        <w:t xml:space="preserve"> potential</w:t>
      </w:r>
      <w:r>
        <w:t xml:space="preserve">.  </w:t>
      </w:r>
      <w:r w:rsidRPr="000B0138">
        <w:t xml:space="preserve">Effects for a range of </w:t>
      </w:r>
      <w:r>
        <w:t>DSM technologies</w:t>
      </w:r>
      <w:r w:rsidRPr="000B0138">
        <w:t xml:space="preserve"> for each </w:t>
      </w:r>
      <w:r w:rsidR="007576CB">
        <w:t>end-use</w:t>
      </w:r>
      <w:r w:rsidRPr="000B0138">
        <w:t xml:space="preserve"> could then be examined, while accounting for current market saturations</w:t>
      </w:r>
      <w:r w:rsidR="008B5CD8">
        <w:t xml:space="preserve">, </w:t>
      </w:r>
      <w:r w:rsidRPr="000B0138">
        <w:t>technical feasibility</w:t>
      </w:r>
      <w:r w:rsidR="008B5CD8">
        <w:t>, measure impacts, and costs</w:t>
      </w:r>
      <w:r w:rsidRPr="000B0138">
        <w:t>.</w:t>
      </w:r>
    </w:p>
    <w:p w14:paraId="4EDAA1D1" w14:textId="22C7767B" w:rsidR="00C63F23" w:rsidRPr="003A6197" w:rsidRDefault="00921D1E" w:rsidP="00C42451">
      <w:pPr>
        <w:pStyle w:val="Mainbody-Bullets"/>
        <w:numPr>
          <w:ilvl w:val="0"/>
          <w:numId w:val="0"/>
        </w:numPr>
        <w:jc w:val="both"/>
      </w:pPr>
      <w:r>
        <w:t xml:space="preserve"> </w:t>
      </w:r>
      <w:r w:rsidR="00C63F23" w:rsidRPr="003A6197">
        <w:t xml:space="preserve"> </w:t>
      </w:r>
    </w:p>
    <w:p w14:paraId="3DB51917" w14:textId="4A3E19F8" w:rsidR="00C31B12" w:rsidRDefault="007444CE" w:rsidP="00C42451">
      <w:pPr>
        <w:pStyle w:val="Text"/>
        <w:jc w:val="both"/>
      </w:pPr>
      <w:r>
        <w:fldChar w:fldCharType="begin"/>
      </w:r>
      <w:r>
        <w:instrText xml:space="preserve"> REF _Ref2941507 \h </w:instrText>
      </w:r>
      <w:r w:rsidR="005B0452">
        <w:instrText xml:space="preserve"> \* MERGEFORMAT </w:instrText>
      </w:r>
      <w:r>
        <w:fldChar w:fldCharType="separate"/>
      </w:r>
      <w:r w:rsidR="00B30110">
        <w:t xml:space="preserve">Figure </w:t>
      </w:r>
      <w:r w:rsidR="00B30110">
        <w:rPr>
          <w:noProof/>
        </w:rPr>
        <w:t>2</w:t>
      </w:r>
      <w:r w:rsidR="00B30110">
        <w:rPr>
          <w:noProof/>
        </w:rPr>
        <w:noBreakHyphen/>
        <w:t>1</w:t>
      </w:r>
      <w:r>
        <w:fldChar w:fldCharType="end"/>
      </w:r>
      <w:r>
        <w:t xml:space="preserve"> </w:t>
      </w:r>
      <w:r w:rsidR="00C31B12">
        <w:t xml:space="preserve">provides an illustration of the </w:t>
      </w:r>
      <w:r w:rsidR="0068345D">
        <w:t>MPS</w:t>
      </w:r>
      <w:r w:rsidR="00494787">
        <w:t xml:space="preserve"> </w:t>
      </w:r>
      <w:r w:rsidR="00C31B12">
        <w:t xml:space="preserve">process, with </w:t>
      </w:r>
      <w:r w:rsidR="00C31B12" w:rsidRPr="00DF1DB0">
        <w:t xml:space="preserve">the assessment </w:t>
      </w:r>
      <w:r w:rsidR="00C31B12">
        <w:t>starting</w:t>
      </w:r>
      <w:r w:rsidR="00C31B12" w:rsidRPr="00DF1DB0">
        <w:t xml:space="preserve"> with the current </w:t>
      </w:r>
      <w:r w:rsidR="00C31B12">
        <w:t xml:space="preserve">utility </w:t>
      </w:r>
      <w:r w:rsidR="00C31B12" w:rsidRPr="00DF1DB0">
        <w:t xml:space="preserve">load forecast, </w:t>
      </w:r>
      <w:r w:rsidR="00C31B12">
        <w:t>disaggregated</w:t>
      </w:r>
      <w:r w:rsidR="00C31B12" w:rsidRPr="00DF1DB0">
        <w:t xml:space="preserve"> into its constituent customer-class and </w:t>
      </w:r>
      <w:r w:rsidR="007576CB">
        <w:t>end-use</w:t>
      </w:r>
      <w:r w:rsidR="00C31B12">
        <w:t xml:space="preserve"> components, and calibrated to ensure consistency with the overall forecast.  </w:t>
      </w:r>
      <w:r w:rsidR="00813CFE">
        <w:t>Nexant considered</w:t>
      </w:r>
      <w:r w:rsidR="00C31B12" w:rsidRPr="00DF1DB0">
        <w:t xml:space="preserve"> the range of </w:t>
      </w:r>
      <w:r w:rsidR="00C31B12">
        <w:t>DSM</w:t>
      </w:r>
      <w:r w:rsidR="00C31B12" w:rsidRPr="00DF1DB0">
        <w:t xml:space="preserve"> measures and practices </w:t>
      </w:r>
      <w:r w:rsidR="00813CFE">
        <w:t>application</w:t>
      </w:r>
      <w:r w:rsidR="00C31B12">
        <w:t xml:space="preserve"> </w:t>
      </w:r>
      <w:r w:rsidR="00813CFE">
        <w:t>to</w:t>
      </w:r>
      <w:r w:rsidR="00813CFE" w:rsidRPr="00DF1DB0">
        <w:t xml:space="preserve"> </w:t>
      </w:r>
      <w:r w:rsidR="00C31B12" w:rsidRPr="00DF1DB0">
        <w:t xml:space="preserve">each </w:t>
      </w:r>
      <w:r w:rsidR="007576CB">
        <w:t>end-use</w:t>
      </w:r>
      <w:r w:rsidR="00C31B12" w:rsidRPr="00DF1DB0">
        <w:t xml:space="preserve">, </w:t>
      </w:r>
      <w:r w:rsidR="00813CFE">
        <w:t>accounting for</w:t>
      </w:r>
      <w:r w:rsidR="00C31B12" w:rsidRPr="00DF1DB0">
        <w:t xml:space="preserve"> current market saturations, </w:t>
      </w:r>
      <w:r w:rsidR="0068345D">
        <w:t xml:space="preserve">and </w:t>
      </w:r>
      <w:r w:rsidR="00C31B12" w:rsidRPr="00DF1DB0">
        <w:t xml:space="preserve">technical feasibility. These unique impacts </w:t>
      </w:r>
      <w:r w:rsidR="00C31B12">
        <w:t>were</w:t>
      </w:r>
      <w:r w:rsidR="00C31B12" w:rsidRPr="00DF1DB0">
        <w:t xml:space="preserve"> aggregated to produce estimates of potential at the </w:t>
      </w:r>
      <w:r w:rsidR="00C31B12">
        <w:t xml:space="preserve">technology, </w:t>
      </w:r>
      <w:r w:rsidR="007576CB">
        <w:t>end-use</w:t>
      </w:r>
      <w:r w:rsidR="00C31B12" w:rsidRPr="00DF1DB0">
        <w:t>, customer</w:t>
      </w:r>
      <w:r w:rsidR="00C31B12">
        <w:t xml:space="preserve"> </w:t>
      </w:r>
      <w:r w:rsidR="00C31B12" w:rsidRPr="00DF1DB0">
        <w:t>class, and system levels.</w:t>
      </w:r>
    </w:p>
    <w:p w14:paraId="78E9C5A7" w14:textId="77777777" w:rsidR="00C31B12" w:rsidRDefault="00C31B12" w:rsidP="00C31B12">
      <w:pPr>
        <w:pStyle w:val="Mainbody-Captiontable"/>
      </w:pPr>
      <w:bookmarkStart w:id="29" w:name="_Ref2941507"/>
      <w:bookmarkStart w:id="30" w:name="_Toc5715414"/>
      <w:r>
        <w:t xml:space="preserve">Figure </w:t>
      </w:r>
      <w:r>
        <w:rPr>
          <w:noProof/>
        </w:rPr>
        <w:fldChar w:fldCharType="begin"/>
      </w:r>
      <w:r>
        <w:rPr>
          <w:noProof/>
        </w:rPr>
        <w:instrText xml:space="preserve"> STYLEREF 1 \s </w:instrText>
      </w:r>
      <w:r>
        <w:rPr>
          <w:noProof/>
        </w:rPr>
        <w:fldChar w:fldCharType="separate"/>
      </w:r>
      <w:r w:rsidR="00B30110">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B30110">
        <w:rPr>
          <w:noProof/>
        </w:rPr>
        <w:t>1</w:t>
      </w:r>
      <w:r>
        <w:rPr>
          <w:noProof/>
        </w:rPr>
        <w:fldChar w:fldCharType="end"/>
      </w:r>
      <w:bookmarkEnd w:id="29"/>
      <w:r>
        <w:t>:</w:t>
      </w:r>
      <w:r w:rsidRPr="001253FE">
        <w:t xml:space="preserve"> </w:t>
      </w:r>
      <w:r>
        <w:t>Approach to Market Potential Modeling</w:t>
      </w:r>
      <w:bookmarkEnd w:id="30"/>
    </w:p>
    <w:p w14:paraId="5D38CD50" w14:textId="2F74B7EA" w:rsidR="00442332" w:rsidRDefault="00A7495D" w:rsidP="00C31B12">
      <w:pPr>
        <w:pStyle w:val="Text"/>
        <w:jc w:val="center"/>
      </w:pPr>
      <w:r>
        <w:rPr>
          <w:noProof/>
        </w:rPr>
        <w:drawing>
          <wp:inline distT="0" distB="0" distL="0" distR="0" wp14:anchorId="6560A189" wp14:editId="1F3A3986">
            <wp:extent cx="5163326" cy="4634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71804" cy="4641839"/>
                    </a:xfrm>
                    <a:prstGeom prst="rect">
                      <a:avLst/>
                    </a:prstGeom>
                    <a:noFill/>
                  </pic:spPr>
                </pic:pic>
              </a:graphicData>
            </a:graphic>
          </wp:inline>
        </w:drawing>
      </w:r>
    </w:p>
    <w:p w14:paraId="55AC4CF7" w14:textId="77777777" w:rsidR="000605AE" w:rsidRDefault="000605AE" w:rsidP="006744D8">
      <w:pPr>
        <w:pStyle w:val="Text"/>
      </w:pPr>
    </w:p>
    <w:p w14:paraId="44F5C063" w14:textId="2D1DFFBD" w:rsidR="006744D8" w:rsidRDefault="006744D8" w:rsidP="00C42451">
      <w:pPr>
        <w:pStyle w:val="Text"/>
        <w:jc w:val="both"/>
      </w:pPr>
      <w:r>
        <w:t xml:space="preserve">Nexant estimated DSM savings based on a combination of market research, analysis, and a review of </w:t>
      </w:r>
      <w:r w:rsidR="00145C87">
        <w:t>TECO</w:t>
      </w:r>
      <w:r w:rsidR="00F45DF9">
        <w:t xml:space="preserve">’s </w:t>
      </w:r>
      <w:r>
        <w:t xml:space="preserve">existing DSM programs, all in coordination with </w:t>
      </w:r>
      <w:r w:rsidR="00145C87">
        <w:t>TECO</w:t>
      </w:r>
      <w:r>
        <w:t>. Nexant examined</w:t>
      </w:r>
      <w:r w:rsidR="00F45DF9">
        <w:t xml:space="preserve"> </w:t>
      </w:r>
      <w:r w:rsidR="007873CB">
        <w:t xml:space="preserve">the technical potential for </w:t>
      </w:r>
      <w:r w:rsidR="00A37F1E">
        <w:t>EE</w:t>
      </w:r>
      <w:r w:rsidR="007576CB">
        <w:t xml:space="preserve">, </w:t>
      </w:r>
      <w:r w:rsidRPr="00340FBA">
        <w:t>DR</w:t>
      </w:r>
      <w:r w:rsidR="007576CB">
        <w:t>, and DSRE</w:t>
      </w:r>
      <w:r w:rsidR="00F45DF9">
        <w:t xml:space="preserve"> opportunities</w:t>
      </w:r>
      <w:r>
        <w:t>; this report is o</w:t>
      </w:r>
      <w:r w:rsidR="00F45DF9">
        <w:t>rganized to offer detail on each DSM category</w:t>
      </w:r>
      <w:r w:rsidRPr="00340FBA">
        <w:t>.</w:t>
      </w:r>
    </w:p>
    <w:p w14:paraId="50FB24A9" w14:textId="48883DAA" w:rsidR="00F45DF9" w:rsidRDefault="00A37F1E" w:rsidP="00F243BB">
      <w:pPr>
        <w:pStyle w:val="Heading2"/>
      </w:pPr>
      <w:bookmarkStart w:id="31" w:name="_Toc5715476"/>
      <w:r>
        <w:t>EE</w:t>
      </w:r>
      <w:r w:rsidR="00F45DF9">
        <w:t xml:space="preserve"> Potential Overview</w:t>
      </w:r>
      <w:bookmarkEnd w:id="31"/>
    </w:p>
    <w:p w14:paraId="4DBA4C3F" w14:textId="08D87764" w:rsidR="00F45DF9" w:rsidRDefault="00922E11" w:rsidP="00C42451">
      <w:pPr>
        <w:pStyle w:val="Text"/>
        <w:jc w:val="both"/>
      </w:pPr>
      <w:r>
        <w:t xml:space="preserve">To estimate </w:t>
      </w:r>
      <w:r w:rsidR="007576CB">
        <w:t>EE</w:t>
      </w:r>
      <w:r>
        <w:t xml:space="preserve"> market potential, t</w:t>
      </w:r>
      <w:r w:rsidR="00F45DF9" w:rsidRPr="00DF1DB0">
        <w:t>his study utilized Nexant’s Microsoft Excel-based modeling tool, TEA-POT (Technical</w:t>
      </w:r>
      <w:r w:rsidR="00F45DF9">
        <w:t xml:space="preserve"> </w:t>
      </w:r>
      <w:r w:rsidR="00F45DF9" w:rsidRPr="00DF1DB0">
        <w:t>/</w:t>
      </w:r>
      <w:r w:rsidR="00F45DF9">
        <w:t xml:space="preserve"> </w:t>
      </w:r>
      <w:r w:rsidR="00F45DF9" w:rsidRPr="00DF1DB0">
        <w:t>Economic</w:t>
      </w:r>
      <w:r w:rsidR="00F45DF9">
        <w:t xml:space="preserve"> </w:t>
      </w:r>
      <w:r w:rsidR="00F45DF9" w:rsidRPr="00DF1DB0">
        <w:t>/</w:t>
      </w:r>
      <w:r w:rsidR="00F45DF9">
        <w:t xml:space="preserve"> </w:t>
      </w:r>
      <w:r w:rsidR="00F45DF9" w:rsidRPr="00DF1DB0">
        <w:t xml:space="preserve">Achievable </w:t>
      </w:r>
      <w:r w:rsidR="007F2D0C">
        <w:t>POT</w:t>
      </w:r>
      <w:r w:rsidR="00F45DF9" w:rsidRPr="00DF1DB0">
        <w:t xml:space="preserve">ential). This modeling tool </w:t>
      </w:r>
      <w:r w:rsidR="00F45DF9">
        <w:t>was</w:t>
      </w:r>
      <w:r w:rsidR="00F45DF9" w:rsidRPr="00DF1DB0">
        <w:t xml:space="preserve"> built on a platform that provides the ability to calculate multiple scenarios and recalculate potential savings based on variable inputs such as sales/load forecasts, electricity prices, discount rates, and actual </w:t>
      </w:r>
      <w:r w:rsidR="007F2D0C">
        <w:t xml:space="preserve">utility </w:t>
      </w:r>
      <w:r w:rsidR="00F45DF9" w:rsidRPr="00DF1DB0">
        <w:t>program savings. Th</w:t>
      </w:r>
      <w:r w:rsidR="00F45DF9">
        <w:t>e</w:t>
      </w:r>
      <w:r w:rsidR="00F45DF9" w:rsidRPr="00DF1DB0">
        <w:t xml:space="preserve"> model provides transparency into the assumptions and calculations for estimating market potential.</w:t>
      </w:r>
    </w:p>
    <w:p w14:paraId="397E5FED" w14:textId="52ECAF04" w:rsidR="00F45DF9" w:rsidRDefault="00F45DF9" w:rsidP="007F2D0C">
      <w:pPr>
        <w:pStyle w:val="Heading2"/>
      </w:pPr>
      <w:bookmarkStart w:id="32" w:name="_Toc5715477"/>
      <w:r>
        <w:t>D</w:t>
      </w:r>
      <w:r w:rsidR="007576CB">
        <w:t>R</w:t>
      </w:r>
      <w:r>
        <w:t xml:space="preserve"> Potential Overview</w:t>
      </w:r>
      <w:bookmarkEnd w:id="32"/>
    </w:p>
    <w:p w14:paraId="632C40E4" w14:textId="401986DD" w:rsidR="00864C3E" w:rsidRDefault="00864C3E" w:rsidP="00C42451">
      <w:pPr>
        <w:pStyle w:val="Text"/>
        <w:jc w:val="both"/>
      </w:pPr>
      <w:r>
        <w:t>To estimate DR market potential, Nexant considered</w:t>
      </w:r>
      <w:r w:rsidR="0068345D">
        <w:t xml:space="preserve"> c</w:t>
      </w:r>
      <w:r>
        <w:t>ustomer demand during utility peaking conditions</w:t>
      </w:r>
      <w:r w:rsidR="0068345D">
        <w:t xml:space="preserve"> and p</w:t>
      </w:r>
      <w:r>
        <w:t>rojected customer response to DR measures</w:t>
      </w:r>
      <w:r w:rsidR="0068345D">
        <w:t xml:space="preserve">.  </w:t>
      </w:r>
      <w:r>
        <w:t xml:space="preserve">Customer demand was determined by looking at interval data for a sample of each customer segment. For each segment, Nexant determined the portion of a customer’s load that could be curtailed during the system peak. Projected customer response to DR measures was developed based on the performance of existing Florida DR programs. If a DR strategy did not currently exist in Florida, other programs in the United States were used as a proxy to estimate the performance of the program if it were implemented in Florida. </w:t>
      </w:r>
    </w:p>
    <w:p w14:paraId="08595707" w14:textId="0F2DED81" w:rsidR="00F45DF9" w:rsidRDefault="00553D4A" w:rsidP="00122129">
      <w:pPr>
        <w:pStyle w:val="Heading2"/>
      </w:pPr>
      <w:bookmarkStart w:id="33" w:name="_Toc5715478"/>
      <w:r>
        <w:t>DSRE</w:t>
      </w:r>
      <w:r w:rsidR="00F45DF9">
        <w:t xml:space="preserve"> Potential Overview</w:t>
      </w:r>
      <w:bookmarkEnd w:id="33"/>
    </w:p>
    <w:p w14:paraId="6F5B619D" w14:textId="77777777" w:rsidR="005B0452" w:rsidRDefault="00B208C3" w:rsidP="005B0452">
      <w:pPr>
        <w:pStyle w:val="Text"/>
        <w:jc w:val="both"/>
        <w:rPr>
          <w:rFonts w:cs="Garamond"/>
        </w:rPr>
      </w:pPr>
      <w:r>
        <w:t>T</w:t>
      </w:r>
      <w:r w:rsidR="00CB799A">
        <w:t xml:space="preserve">he </w:t>
      </w:r>
      <w:r w:rsidR="00553D4A">
        <w:t>DSRE</w:t>
      </w:r>
      <w:r w:rsidR="00CB799A">
        <w:t xml:space="preserve"> technologies included in this study are rooftop solar photovoltaic (PV) systems, battery storage systems, and combined heat and power (CHP) systems.  </w:t>
      </w:r>
      <w:r>
        <w:t>Nexant</w:t>
      </w:r>
      <w:r w:rsidR="00CB799A">
        <w:t xml:space="preserve"> </w:t>
      </w:r>
      <w:r w:rsidR="007529AE">
        <w:t xml:space="preserve">leveraged the customer segmentation and load disaggregation data assembled for the EE and DR analyses and </w:t>
      </w:r>
      <w:r w:rsidR="00CB799A">
        <w:t xml:space="preserve">used a </w:t>
      </w:r>
      <w:r w:rsidR="00CB799A" w:rsidRPr="00B93EA8">
        <w:t xml:space="preserve">“bottom-up” modeling approach </w:t>
      </w:r>
      <w:r w:rsidR="00CB799A">
        <w:t>to estimate the potential of the various DSRE technologies in the residential, commercial</w:t>
      </w:r>
      <w:r>
        <w:t>,</w:t>
      </w:r>
      <w:r w:rsidR="00CB799A">
        <w:t xml:space="preserve"> and industrial sectors</w:t>
      </w:r>
      <w:r w:rsidR="00CB799A" w:rsidRPr="006058F6">
        <w:rPr>
          <w:rFonts w:cs="Garamond"/>
        </w:rPr>
        <w:t>.</w:t>
      </w:r>
      <w:r w:rsidR="007529AE">
        <w:rPr>
          <w:rFonts w:cs="Garamond"/>
        </w:rPr>
        <w:t xml:space="preserve"> Individual distributed generation models were created for the three DSRE technologies studied to estimate market potential. </w:t>
      </w:r>
    </w:p>
    <w:p w14:paraId="28685E32" w14:textId="4446E8BD" w:rsidR="000605AE" w:rsidRDefault="007529AE" w:rsidP="00C42451">
      <w:pPr>
        <w:pStyle w:val="Text"/>
        <w:jc w:val="both"/>
        <w:rPr>
          <w:rFonts w:cs="Garamond"/>
        </w:rPr>
        <w:sectPr w:rsidR="000605AE" w:rsidSect="00AC4E83">
          <w:pgSz w:w="12240" w:h="15840"/>
          <w:pgMar w:top="1440" w:right="1224" w:bottom="1440" w:left="1224" w:header="720" w:footer="720" w:gutter="0"/>
          <w:cols w:space="720"/>
          <w:titlePg/>
          <w:docGrid w:linePitch="299"/>
        </w:sectPr>
      </w:pPr>
      <w:r>
        <w:rPr>
          <w:rFonts w:cs="Garamond"/>
        </w:rPr>
        <w:t xml:space="preserve">  </w:t>
      </w:r>
      <w:r w:rsidR="00CB799A" w:rsidRPr="006058F6">
        <w:rPr>
          <w:rFonts w:cs="Garamond"/>
        </w:rPr>
        <w:t xml:space="preserve">  </w:t>
      </w:r>
    </w:p>
    <w:p w14:paraId="763DE13B" w14:textId="67646B9D" w:rsidR="00F531DC" w:rsidRDefault="00921D1E" w:rsidP="00F04AC9">
      <w:pPr>
        <w:pStyle w:val="Heading1"/>
      </w:pPr>
      <w:bookmarkStart w:id="34" w:name="_Toc5715479"/>
      <w:bookmarkStart w:id="35" w:name="_Ref456951883"/>
      <w:r>
        <w:t>Baseline Forecast</w:t>
      </w:r>
      <w:r w:rsidR="00340EDD">
        <w:t xml:space="preserve"> Development</w:t>
      </w:r>
      <w:bookmarkEnd w:id="34"/>
    </w:p>
    <w:p w14:paraId="6401E825" w14:textId="10A3ADEF" w:rsidR="00886FCB" w:rsidRPr="00BD6182" w:rsidRDefault="00EE455B" w:rsidP="006744D8">
      <w:pPr>
        <w:pStyle w:val="Heading2"/>
      </w:pPr>
      <w:bookmarkStart w:id="36" w:name="_Toc5715480"/>
      <w:r>
        <w:t>Market Characterization</w:t>
      </w:r>
      <w:bookmarkEnd w:id="35"/>
      <w:bookmarkEnd w:id="36"/>
    </w:p>
    <w:p w14:paraId="6401E826" w14:textId="2E57B603" w:rsidR="006141DD" w:rsidRDefault="00985030" w:rsidP="00C42451">
      <w:pPr>
        <w:pStyle w:val="Text"/>
        <w:jc w:val="both"/>
      </w:pPr>
      <w:r>
        <w:t xml:space="preserve">The </w:t>
      </w:r>
      <w:r w:rsidR="00145C87">
        <w:t>TECO</w:t>
      </w:r>
      <w:r w:rsidR="003C6F4C">
        <w:t xml:space="preserve"> </w:t>
      </w:r>
      <w:r>
        <w:t xml:space="preserve">base year energy use and </w:t>
      </w:r>
      <w:r w:rsidR="00457A82">
        <w:t>sales</w:t>
      </w:r>
      <w:r>
        <w:t xml:space="preserve"> forecast provide</w:t>
      </w:r>
      <w:r w:rsidR="00457A82">
        <w:t>d</w:t>
      </w:r>
      <w:r>
        <w:t xml:space="preserve"> the reference point to determine potential savings. The </w:t>
      </w:r>
      <w:r w:rsidR="007576CB">
        <w:t>end-use</w:t>
      </w:r>
      <w:r>
        <w:t xml:space="preserve"> market characterization of the base year energy use and reference case f</w:t>
      </w:r>
      <w:r w:rsidR="00E8391F">
        <w:t>o</w:t>
      </w:r>
      <w:r>
        <w:t>recast included customer segmentation and load forecast disaggregation. Th</w:t>
      </w:r>
      <w:r w:rsidR="00E8391F">
        <w:t xml:space="preserve">e characterization is described in this section, while the subsequent section </w:t>
      </w:r>
      <w:r w:rsidR="006E6E24">
        <w:t xml:space="preserve">addresses </w:t>
      </w:r>
      <w:r w:rsidR="00E8391F">
        <w:t xml:space="preserve">the measures and market potential energy </w:t>
      </w:r>
      <w:r w:rsidR="0078025C">
        <w:t xml:space="preserve">and demand </w:t>
      </w:r>
      <w:r w:rsidR="00E8391F">
        <w:t>savings scenarios.</w:t>
      </w:r>
      <w:r>
        <w:t xml:space="preserve"> </w:t>
      </w:r>
    </w:p>
    <w:p w14:paraId="6401E828" w14:textId="77777777" w:rsidR="00E8391F" w:rsidRDefault="00E8391F" w:rsidP="00C42451">
      <w:pPr>
        <w:pStyle w:val="Heading3"/>
        <w:jc w:val="both"/>
      </w:pPr>
      <w:bookmarkStart w:id="37" w:name="_Toc455045038"/>
      <w:bookmarkStart w:id="38" w:name="_Ref456953849"/>
      <w:bookmarkStart w:id="39" w:name="_Toc5715481"/>
      <w:r>
        <w:t>Customer Segmentation</w:t>
      </w:r>
      <w:bookmarkEnd w:id="37"/>
      <w:bookmarkEnd w:id="38"/>
      <w:bookmarkEnd w:id="39"/>
    </w:p>
    <w:p w14:paraId="6401E829" w14:textId="55EDC51E" w:rsidR="00E8391F" w:rsidRDefault="00E8391F" w:rsidP="00C42451">
      <w:pPr>
        <w:pStyle w:val="Text"/>
        <w:jc w:val="both"/>
      </w:pPr>
      <w:r>
        <w:t>In order to esti</w:t>
      </w:r>
      <w:r w:rsidR="00C31B12">
        <w:t xml:space="preserve">mate </w:t>
      </w:r>
      <w:r w:rsidR="007576CB">
        <w:t>EE, DR, and DSRE</w:t>
      </w:r>
      <w:r w:rsidR="00C31B12">
        <w:t xml:space="preserve"> </w:t>
      </w:r>
      <w:r>
        <w:t xml:space="preserve">potential, the sales forecast and peak load forecasts were segmented by customer characteristics. As electricity consumption patterns vary by customer type, Nexant segmented customers into homogenous groups to identify which customer groups are eligible to adopt specific </w:t>
      </w:r>
      <w:r w:rsidR="0078025C">
        <w:t>DSM</w:t>
      </w:r>
      <w:r>
        <w:t xml:space="preserve"> technologies</w:t>
      </w:r>
      <w:r w:rsidR="00057D26">
        <w:t xml:space="preserve">, have similar building characteristics and load profiles, </w:t>
      </w:r>
      <w:r>
        <w:t xml:space="preserve">or </w:t>
      </w:r>
      <w:r w:rsidR="00057D26">
        <w:t>are able to</w:t>
      </w:r>
      <w:r>
        <w:t xml:space="preserve"> provide DSM grid services.</w:t>
      </w:r>
      <w:r w:rsidR="007133CF">
        <w:t xml:space="preserve"> </w:t>
      </w:r>
    </w:p>
    <w:p w14:paraId="6401E82A" w14:textId="6FFD326C" w:rsidR="00E8391F" w:rsidRDefault="00E8391F" w:rsidP="00C42451">
      <w:pPr>
        <w:pStyle w:val="Text"/>
        <w:jc w:val="both"/>
      </w:pPr>
      <w:r>
        <w:t>Nexant segmented customers according to the following:</w:t>
      </w:r>
    </w:p>
    <w:p w14:paraId="6401E82B" w14:textId="79592EA1" w:rsidR="00E8391F" w:rsidRPr="00E17547" w:rsidRDefault="00E8391F" w:rsidP="00C42451">
      <w:pPr>
        <w:pStyle w:val="Mainbody-Outline"/>
        <w:jc w:val="both"/>
      </w:pPr>
      <w:r w:rsidRPr="0066746E">
        <w:t>By Sector</w:t>
      </w:r>
      <w:r w:rsidRPr="00E17547">
        <w:t xml:space="preserve"> – how much of </w:t>
      </w:r>
      <w:r w:rsidR="00145C87">
        <w:t>TECO</w:t>
      </w:r>
      <w:r w:rsidRPr="00E17547">
        <w:t>’s energy sales, summer peak, and winter peak load forecast is attributable to the residential, commercial, and industrial sectors?</w:t>
      </w:r>
    </w:p>
    <w:p w14:paraId="6401E82C" w14:textId="28932BCA" w:rsidR="00E8391F" w:rsidRPr="00E17547" w:rsidRDefault="00E8391F" w:rsidP="00C42451">
      <w:pPr>
        <w:pStyle w:val="Mainbody-Outline"/>
        <w:jc w:val="both"/>
      </w:pPr>
      <w:r w:rsidRPr="0066746E">
        <w:t>By Customer</w:t>
      </w:r>
      <w:r w:rsidRPr="00E17547">
        <w:t xml:space="preserve"> – how much electricity does each customer typically consume annually and during system peaking conditions?</w:t>
      </w:r>
      <w:r w:rsidR="00AC2459">
        <w:t xml:space="preserve"> </w:t>
      </w:r>
    </w:p>
    <w:p w14:paraId="6401E82D" w14:textId="3103AD5D" w:rsidR="00E8391F" w:rsidRPr="00E17547" w:rsidRDefault="00E8391F" w:rsidP="00C42451">
      <w:pPr>
        <w:pStyle w:val="Mainbody-Outline"/>
        <w:jc w:val="both"/>
      </w:pPr>
      <w:r w:rsidRPr="0066746E">
        <w:t>By End</w:t>
      </w:r>
      <w:r w:rsidR="007576CB">
        <w:t>-</w:t>
      </w:r>
      <w:r w:rsidRPr="0066746E">
        <w:t>Use</w:t>
      </w:r>
      <w:r w:rsidRPr="00E17547">
        <w:t xml:space="preserve"> – within a home or business, what equipment is using electricity during the </w:t>
      </w:r>
      <w:r w:rsidR="00122129">
        <w:t xml:space="preserve">system </w:t>
      </w:r>
      <w:r w:rsidRPr="00E17547">
        <w:t>peak? How much energy does this end-use consume over the course of a year?</w:t>
      </w:r>
    </w:p>
    <w:p w14:paraId="6401E82F" w14:textId="1DAFE1A6" w:rsidR="006B0F11" w:rsidRDefault="00A1064A" w:rsidP="00C42451">
      <w:pPr>
        <w:pStyle w:val="Text"/>
        <w:jc w:val="both"/>
      </w:pPr>
      <w:r>
        <w:fldChar w:fldCharType="begin"/>
      </w:r>
      <w:r>
        <w:instrText xml:space="preserve"> REF _Ref430764203 \h </w:instrText>
      </w:r>
      <w:r w:rsidR="005B0452">
        <w:instrText xml:space="preserve"> \* MERGEFORMAT </w:instrText>
      </w:r>
      <w:r>
        <w:fldChar w:fldCharType="separate"/>
      </w:r>
      <w:r w:rsidR="00B30110">
        <w:t xml:space="preserve">Table </w:t>
      </w:r>
      <w:r w:rsidR="00B30110">
        <w:rPr>
          <w:noProof/>
        </w:rPr>
        <w:t>3</w:t>
      </w:r>
      <w:r w:rsidR="00B30110">
        <w:rPr>
          <w:noProof/>
        </w:rPr>
        <w:noBreakHyphen/>
        <w:t>1</w:t>
      </w:r>
      <w:r>
        <w:fldChar w:fldCharType="end"/>
      </w:r>
      <w:r>
        <w:t xml:space="preserve"> s</w:t>
      </w:r>
      <w:r w:rsidR="00E8391F">
        <w:t xml:space="preserve">ummarizes the segmentation within each sector. </w:t>
      </w:r>
      <w:r>
        <w:t>The customer segmentation is discussed in Section</w:t>
      </w:r>
      <w:r w:rsidR="00B6622C">
        <w:t xml:space="preserve"> </w:t>
      </w:r>
      <w:r w:rsidR="00B6622C">
        <w:fldChar w:fldCharType="begin"/>
      </w:r>
      <w:r w:rsidR="00B6622C">
        <w:instrText xml:space="preserve"> REF _Ref456953849 \r \h </w:instrText>
      </w:r>
      <w:r w:rsidR="005B0452">
        <w:instrText xml:space="preserve"> \* MERGEFORMAT </w:instrText>
      </w:r>
      <w:r w:rsidR="00B6622C">
        <w:fldChar w:fldCharType="separate"/>
      </w:r>
      <w:r w:rsidR="00B30110">
        <w:t>3.1.1</w:t>
      </w:r>
      <w:r w:rsidR="00B6622C">
        <w:fldChar w:fldCharType="end"/>
      </w:r>
      <w:r>
        <w:t>.</w:t>
      </w:r>
      <w:r w:rsidR="00E8391F">
        <w:t xml:space="preserve"> </w:t>
      </w:r>
      <w:r w:rsidR="006B0F11">
        <w:t xml:space="preserve">In addition to the segmentation described here for the EE </w:t>
      </w:r>
      <w:r w:rsidR="00057D26">
        <w:t xml:space="preserve">and DSRE </w:t>
      </w:r>
      <w:r w:rsidR="006B0F11">
        <w:t>analys</w:t>
      </w:r>
      <w:r w:rsidR="00057D26">
        <w:t>e</w:t>
      </w:r>
      <w:r w:rsidR="006B0F11">
        <w:t xml:space="preserve">s, the residential customer segments were further segmented by heating type (electric heat, gas heat, or unknown) and by annual consumption </w:t>
      </w:r>
      <w:r w:rsidR="00AC2459">
        <w:t>bins</w:t>
      </w:r>
      <w:r w:rsidR="006B0F11">
        <w:t xml:space="preserve"> within each sub-segment for the DR analysis. </w:t>
      </w:r>
    </w:p>
    <w:p w14:paraId="6401E830" w14:textId="03E8FAB0" w:rsidR="00E8391F" w:rsidRDefault="00E8391F" w:rsidP="00901BE2">
      <w:pPr>
        <w:pStyle w:val="Mainbody-Captiontable"/>
      </w:pPr>
      <w:r>
        <w:t xml:space="preserve"> </w:t>
      </w:r>
      <w:bookmarkStart w:id="40" w:name="_Ref430764203"/>
      <w:bookmarkStart w:id="41" w:name="_Toc430854543"/>
      <w:bookmarkStart w:id="42" w:name="_Ref439773089"/>
      <w:bookmarkStart w:id="43" w:name="_Toc439793912"/>
      <w:bookmarkStart w:id="44" w:name="_Toc458153362"/>
      <w:bookmarkStart w:id="45" w:name="_Toc458153490"/>
      <w:bookmarkStart w:id="46" w:name="_Toc5715441"/>
      <w:r>
        <w:t xml:space="preserve">Table </w:t>
      </w:r>
      <w:r w:rsidR="000C7BC6">
        <w:rPr>
          <w:noProof/>
        </w:rPr>
        <w:fldChar w:fldCharType="begin"/>
      </w:r>
      <w:r w:rsidR="000C7BC6">
        <w:rPr>
          <w:noProof/>
        </w:rPr>
        <w:instrText xml:space="preserve"> STYLEREF 1 \s </w:instrText>
      </w:r>
      <w:r w:rsidR="000C7BC6">
        <w:rPr>
          <w:noProof/>
        </w:rPr>
        <w:fldChar w:fldCharType="separate"/>
      </w:r>
      <w:r w:rsidR="00B30110">
        <w:rPr>
          <w:noProof/>
        </w:rPr>
        <w:t>3</w:t>
      </w:r>
      <w:r w:rsidR="000C7BC6">
        <w:rPr>
          <w:noProof/>
        </w:rPr>
        <w:fldChar w:fldCharType="end"/>
      </w:r>
      <w:r w:rsidR="00B417B0">
        <w:noBreakHyphen/>
      </w:r>
      <w:r w:rsidR="000C7BC6">
        <w:rPr>
          <w:noProof/>
        </w:rPr>
        <w:fldChar w:fldCharType="begin"/>
      </w:r>
      <w:r w:rsidR="000C7BC6">
        <w:rPr>
          <w:noProof/>
        </w:rPr>
        <w:instrText xml:space="preserve"> SEQ Table \* ARABIC \s 1 </w:instrText>
      </w:r>
      <w:r w:rsidR="000C7BC6">
        <w:rPr>
          <w:noProof/>
        </w:rPr>
        <w:fldChar w:fldCharType="separate"/>
      </w:r>
      <w:r w:rsidR="00B30110">
        <w:rPr>
          <w:noProof/>
        </w:rPr>
        <w:t>1</w:t>
      </w:r>
      <w:r w:rsidR="000C7BC6">
        <w:rPr>
          <w:noProof/>
        </w:rPr>
        <w:fldChar w:fldCharType="end"/>
      </w:r>
      <w:bookmarkEnd w:id="40"/>
      <w:r w:rsidR="007133CF">
        <w:rPr>
          <w:noProof/>
        </w:rPr>
        <w:t>:</w:t>
      </w:r>
      <w:r>
        <w:t xml:space="preserve"> Customer </w:t>
      </w:r>
      <w:bookmarkEnd w:id="41"/>
      <w:bookmarkEnd w:id="42"/>
      <w:bookmarkEnd w:id="43"/>
      <w:bookmarkEnd w:id="44"/>
      <w:bookmarkEnd w:id="45"/>
      <w:r w:rsidR="00122129">
        <w:t>Segmentation</w:t>
      </w:r>
      <w:bookmarkEnd w:id="46"/>
    </w:p>
    <w:tbl>
      <w:tblPr>
        <w:tblStyle w:val="NEXANTNEWTABLESTYLE"/>
        <w:tblW w:w="9269" w:type="dxa"/>
        <w:jc w:val="center"/>
        <w:tblLook w:val="0020" w:firstRow="1" w:lastRow="0" w:firstColumn="0" w:lastColumn="0" w:noHBand="0" w:noVBand="0"/>
      </w:tblPr>
      <w:tblGrid>
        <w:gridCol w:w="1700"/>
        <w:gridCol w:w="1639"/>
        <w:gridCol w:w="1710"/>
        <w:gridCol w:w="2160"/>
        <w:gridCol w:w="2060"/>
      </w:tblGrid>
      <w:tr w:rsidR="00E8391F" w:rsidRPr="00443675" w14:paraId="6401E834" w14:textId="77777777" w:rsidTr="00E540CA">
        <w:trPr>
          <w:cnfStyle w:val="100000000000" w:firstRow="1" w:lastRow="0" w:firstColumn="0" w:lastColumn="0" w:oddVBand="0" w:evenVBand="0" w:oddHBand="0" w:evenHBand="0" w:firstRowFirstColumn="0" w:firstRowLastColumn="0" w:lastRowFirstColumn="0" w:lastRowLastColumn="0"/>
          <w:jc w:val="center"/>
        </w:trPr>
        <w:tc>
          <w:tcPr>
            <w:tcW w:w="1700" w:type="dxa"/>
          </w:tcPr>
          <w:p w14:paraId="6401E831" w14:textId="77777777" w:rsidR="00E8391F" w:rsidRPr="00DB256E" w:rsidRDefault="00E8391F" w:rsidP="00BE22AB">
            <w:pPr>
              <w:pStyle w:val="Tables-Bodycells"/>
            </w:pPr>
            <w:r w:rsidRPr="00DB256E">
              <w:t>Residential</w:t>
            </w:r>
          </w:p>
        </w:tc>
        <w:tc>
          <w:tcPr>
            <w:tcW w:w="3349" w:type="dxa"/>
            <w:gridSpan w:val="2"/>
          </w:tcPr>
          <w:p w14:paraId="6401E832" w14:textId="77777777" w:rsidR="00E8391F" w:rsidRPr="00DB256E" w:rsidRDefault="00E8391F" w:rsidP="00BE22AB">
            <w:pPr>
              <w:pStyle w:val="Tables-Bodycells"/>
              <w:rPr>
                <w:b w:val="0"/>
              </w:rPr>
            </w:pPr>
            <w:r w:rsidRPr="00DB256E">
              <w:t>Commercial</w:t>
            </w:r>
          </w:p>
        </w:tc>
        <w:tc>
          <w:tcPr>
            <w:tcW w:w="4220" w:type="dxa"/>
            <w:gridSpan w:val="2"/>
          </w:tcPr>
          <w:p w14:paraId="6401E833" w14:textId="77777777" w:rsidR="00E8391F" w:rsidRPr="00DB256E" w:rsidRDefault="00E8391F" w:rsidP="00BE22AB">
            <w:pPr>
              <w:pStyle w:val="Tables-Bodycells"/>
              <w:rPr>
                <w:b w:val="0"/>
              </w:rPr>
            </w:pPr>
            <w:r w:rsidRPr="00DB256E">
              <w:t>Industrial</w:t>
            </w:r>
          </w:p>
        </w:tc>
      </w:tr>
      <w:tr w:rsidR="00E540CA" w:rsidRPr="00443675" w14:paraId="6401E83A" w14:textId="77777777" w:rsidTr="00E540CA">
        <w:trPr>
          <w:trHeight w:val="233"/>
          <w:jc w:val="center"/>
        </w:trPr>
        <w:tc>
          <w:tcPr>
            <w:tcW w:w="1700" w:type="dxa"/>
          </w:tcPr>
          <w:p w14:paraId="6401E835" w14:textId="77777777" w:rsidR="00E540CA" w:rsidRPr="00443675" w:rsidRDefault="00E540CA" w:rsidP="00E540CA">
            <w:pPr>
              <w:pStyle w:val="Tables-Bodycells"/>
              <w:spacing w:after="0"/>
              <w:jc w:val="center"/>
            </w:pPr>
            <w:r>
              <w:t>Single Family</w:t>
            </w:r>
          </w:p>
        </w:tc>
        <w:tc>
          <w:tcPr>
            <w:tcW w:w="1639" w:type="dxa"/>
          </w:tcPr>
          <w:p w14:paraId="6401E836" w14:textId="77777777" w:rsidR="00E540CA" w:rsidRPr="00443675" w:rsidRDefault="00E540CA" w:rsidP="00E540CA">
            <w:pPr>
              <w:pStyle w:val="Tables-Bodycells"/>
              <w:spacing w:after="0"/>
              <w:jc w:val="center"/>
            </w:pPr>
            <w:r>
              <w:t>Assembly</w:t>
            </w:r>
          </w:p>
        </w:tc>
        <w:tc>
          <w:tcPr>
            <w:tcW w:w="1710" w:type="dxa"/>
          </w:tcPr>
          <w:p w14:paraId="6401E837" w14:textId="0EB09D66" w:rsidR="00E540CA" w:rsidRPr="00443675" w:rsidRDefault="00E540CA" w:rsidP="00E540CA">
            <w:pPr>
              <w:pStyle w:val="Tables-Bodycells"/>
              <w:spacing w:after="0"/>
              <w:jc w:val="center"/>
            </w:pPr>
            <w:r>
              <w:t>Miscellaneous</w:t>
            </w:r>
          </w:p>
        </w:tc>
        <w:tc>
          <w:tcPr>
            <w:tcW w:w="2160" w:type="dxa"/>
          </w:tcPr>
          <w:p w14:paraId="6401E838" w14:textId="77777777" w:rsidR="00E540CA" w:rsidRPr="00443675" w:rsidRDefault="00E540CA" w:rsidP="00E540CA">
            <w:pPr>
              <w:pStyle w:val="Tables-Bodycells"/>
              <w:spacing w:after="0"/>
              <w:jc w:val="center"/>
            </w:pPr>
            <w:r>
              <w:t>Agriculture and Assembly</w:t>
            </w:r>
          </w:p>
        </w:tc>
        <w:tc>
          <w:tcPr>
            <w:tcW w:w="2060" w:type="dxa"/>
          </w:tcPr>
          <w:p w14:paraId="6401E839" w14:textId="020D5817" w:rsidR="00E540CA" w:rsidRPr="00443675" w:rsidRDefault="00E540CA" w:rsidP="00E540CA">
            <w:pPr>
              <w:pStyle w:val="Tables-Bodycells"/>
              <w:spacing w:after="0"/>
              <w:jc w:val="center"/>
            </w:pPr>
            <w:r>
              <w:t>Primary Resources Industries</w:t>
            </w:r>
          </w:p>
        </w:tc>
      </w:tr>
      <w:tr w:rsidR="00E540CA" w:rsidRPr="00443675" w14:paraId="6401E840" w14:textId="77777777" w:rsidTr="00E540CA">
        <w:trPr>
          <w:jc w:val="center"/>
        </w:trPr>
        <w:tc>
          <w:tcPr>
            <w:tcW w:w="1700" w:type="dxa"/>
          </w:tcPr>
          <w:p w14:paraId="6401E83B" w14:textId="1216D2B5" w:rsidR="00E540CA" w:rsidRPr="00443675" w:rsidRDefault="00122129" w:rsidP="00E540CA">
            <w:pPr>
              <w:pStyle w:val="Tables-Bodycells"/>
              <w:spacing w:after="0"/>
              <w:jc w:val="center"/>
            </w:pPr>
            <w:r>
              <w:t>Multi-</w:t>
            </w:r>
            <w:r w:rsidR="00E540CA">
              <w:t>Family</w:t>
            </w:r>
          </w:p>
        </w:tc>
        <w:tc>
          <w:tcPr>
            <w:tcW w:w="1639" w:type="dxa"/>
          </w:tcPr>
          <w:p w14:paraId="6401E83C" w14:textId="77777777" w:rsidR="00E540CA" w:rsidRPr="00443675" w:rsidRDefault="00E540CA" w:rsidP="00E540CA">
            <w:pPr>
              <w:pStyle w:val="Tables-Bodycells"/>
              <w:spacing w:after="0"/>
              <w:jc w:val="center"/>
            </w:pPr>
            <w:r>
              <w:t>College and University</w:t>
            </w:r>
          </w:p>
        </w:tc>
        <w:tc>
          <w:tcPr>
            <w:tcW w:w="1710" w:type="dxa"/>
          </w:tcPr>
          <w:p w14:paraId="6401E83D" w14:textId="289302D6" w:rsidR="00E540CA" w:rsidRPr="00443675" w:rsidRDefault="00E540CA" w:rsidP="00E540CA">
            <w:pPr>
              <w:pStyle w:val="Tables-Bodycells"/>
              <w:spacing w:after="0"/>
              <w:jc w:val="center"/>
            </w:pPr>
            <w:r>
              <w:t>Offices</w:t>
            </w:r>
          </w:p>
        </w:tc>
        <w:tc>
          <w:tcPr>
            <w:tcW w:w="2160" w:type="dxa"/>
          </w:tcPr>
          <w:p w14:paraId="6401E83E" w14:textId="6AE7E7FB" w:rsidR="00E540CA" w:rsidRPr="00443675" w:rsidRDefault="00E540CA" w:rsidP="00E540CA">
            <w:pPr>
              <w:pStyle w:val="Tables-Bodycells"/>
              <w:spacing w:after="0"/>
              <w:jc w:val="center"/>
            </w:pPr>
            <w:r>
              <w:t>Chemicals and Plastics</w:t>
            </w:r>
          </w:p>
        </w:tc>
        <w:tc>
          <w:tcPr>
            <w:tcW w:w="2060" w:type="dxa"/>
          </w:tcPr>
          <w:p w14:paraId="6401E83F" w14:textId="098AD319" w:rsidR="00E540CA" w:rsidRPr="00443675" w:rsidRDefault="00E540CA" w:rsidP="00E540CA">
            <w:pPr>
              <w:pStyle w:val="Tables-Bodycells"/>
              <w:spacing w:after="0"/>
              <w:jc w:val="center"/>
            </w:pPr>
            <w:r>
              <w:t>Stone/Glass/ Clay/Concrete</w:t>
            </w:r>
          </w:p>
        </w:tc>
      </w:tr>
      <w:tr w:rsidR="00E540CA" w:rsidRPr="00443675" w14:paraId="6401E846" w14:textId="77777777" w:rsidTr="00E540CA">
        <w:trPr>
          <w:trHeight w:val="647"/>
          <w:jc w:val="center"/>
        </w:trPr>
        <w:tc>
          <w:tcPr>
            <w:tcW w:w="1700" w:type="dxa"/>
          </w:tcPr>
          <w:p w14:paraId="6401E841" w14:textId="331B5056" w:rsidR="00E540CA" w:rsidRPr="00443675" w:rsidRDefault="00E540CA" w:rsidP="00E540CA">
            <w:pPr>
              <w:pStyle w:val="Tables-Bodycells"/>
              <w:spacing w:after="0"/>
              <w:jc w:val="center"/>
            </w:pPr>
            <w:r>
              <w:t>Manufactured Homes</w:t>
            </w:r>
          </w:p>
        </w:tc>
        <w:tc>
          <w:tcPr>
            <w:tcW w:w="1639" w:type="dxa"/>
          </w:tcPr>
          <w:p w14:paraId="6401E842" w14:textId="217DA80A" w:rsidR="00E540CA" w:rsidRPr="00443675" w:rsidRDefault="00E540CA" w:rsidP="00E540CA">
            <w:pPr>
              <w:pStyle w:val="Tables-Bodycells"/>
              <w:spacing w:after="0"/>
              <w:jc w:val="center"/>
            </w:pPr>
            <w:r>
              <w:t>Grocery</w:t>
            </w:r>
          </w:p>
        </w:tc>
        <w:tc>
          <w:tcPr>
            <w:tcW w:w="1710" w:type="dxa"/>
          </w:tcPr>
          <w:p w14:paraId="6401E843" w14:textId="2AE088BC" w:rsidR="00E540CA" w:rsidRPr="00443675" w:rsidRDefault="00E540CA" w:rsidP="00E540CA">
            <w:pPr>
              <w:pStyle w:val="Tables-Bodycells"/>
              <w:spacing w:after="0"/>
              <w:jc w:val="center"/>
            </w:pPr>
            <w:r>
              <w:t>Restaurant</w:t>
            </w:r>
          </w:p>
        </w:tc>
        <w:tc>
          <w:tcPr>
            <w:tcW w:w="2160" w:type="dxa"/>
          </w:tcPr>
          <w:p w14:paraId="6401E844" w14:textId="1FCB3E1F" w:rsidR="00E540CA" w:rsidRPr="00443675" w:rsidRDefault="00E540CA" w:rsidP="00E540CA">
            <w:pPr>
              <w:pStyle w:val="Tables-Bodycells"/>
              <w:spacing w:after="0"/>
              <w:jc w:val="center"/>
            </w:pPr>
            <w:r>
              <w:t>Construction</w:t>
            </w:r>
          </w:p>
        </w:tc>
        <w:tc>
          <w:tcPr>
            <w:tcW w:w="2060" w:type="dxa"/>
          </w:tcPr>
          <w:p w14:paraId="6401E845" w14:textId="20B2E1BD" w:rsidR="00E540CA" w:rsidRPr="00443675" w:rsidRDefault="00E540CA" w:rsidP="00E540CA">
            <w:pPr>
              <w:pStyle w:val="Tables-Bodycells"/>
              <w:spacing w:after="0"/>
              <w:jc w:val="center"/>
            </w:pPr>
            <w:r>
              <w:t>Textiles and Leather</w:t>
            </w:r>
          </w:p>
        </w:tc>
      </w:tr>
      <w:tr w:rsidR="00E540CA" w:rsidRPr="00443675" w14:paraId="6401E84C" w14:textId="77777777" w:rsidTr="00E540CA">
        <w:trPr>
          <w:jc w:val="center"/>
        </w:trPr>
        <w:tc>
          <w:tcPr>
            <w:tcW w:w="1700" w:type="dxa"/>
          </w:tcPr>
          <w:p w14:paraId="6401E847" w14:textId="77777777" w:rsidR="00E540CA" w:rsidRDefault="00E540CA" w:rsidP="00E540CA">
            <w:pPr>
              <w:pStyle w:val="Tables-Bodycells"/>
              <w:spacing w:after="0"/>
              <w:jc w:val="center"/>
            </w:pPr>
          </w:p>
        </w:tc>
        <w:tc>
          <w:tcPr>
            <w:tcW w:w="1639" w:type="dxa"/>
          </w:tcPr>
          <w:p w14:paraId="6401E848" w14:textId="6CA43C01" w:rsidR="00E540CA" w:rsidRPr="00443675" w:rsidRDefault="00E540CA" w:rsidP="00E540CA">
            <w:pPr>
              <w:pStyle w:val="Tables-Bodycells"/>
              <w:spacing w:after="0"/>
              <w:jc w:val="center"/>
            </w:pPr>
            <w:r>
              <w:t>Healthcare</w:t>
            </w:r>
          </w:p>
        </w:tc>
        <w:tc>
          <w:tcPr>
            <w:tcW w:w="1710" w:type="dxa"/>
          </w:tcPr>
          <w:p w14:paraId="6401E849" w14:textId="02EA6898" w:rsidR="00E540CA" w:rsidRPr="00443675" w:rsidRDefault="00E540CA" w:rsidP="00E540CA">
            <w:pPr>
              <w:pStyle w:val="Tables-Bodycells"/>
              <w:spacing w:after="0"/>
              <w:jc w:val="center"/>
            </w:pPr>
            <w:r>
              <w:t>Retail</w:t>
            </w:r>
          </w:p>
        </w:tc>
        <w:tc>
          <w:tcPr>
            <w:tcW w:w="2160" w:type="dxa"/>
          </w:tcPr>
          <w:p w14:paraId="6401E84A" w14:textId="531AE46E" w:rsidR="00E540CA" w:rsidRPr="00443675" w:rsidRDefault="00E540CA" w:rsidP="00E540CA">
            <w:pPr>
              <w:pStyle w:val="Tables-Bodycells"/>
              <w:spacing w:after="0"/>
              <w:jc w:val="center"/>
            </w:pPr>
            <w:r>
              <w:t>Electrical and Electronic Equipment</w:t>
            </w:r>
          </w:p>
        </w:tc>
        <w:tc>
          <w:tcPr>
            <w:tcW w:w="2060" w:type="dxa"/>
          </w:tcPr>
          <w:p w14:paraId="6401E84B" w14:textId="708491D5" w:rsidR="00E540CA" w:rsidRPr="00443675" w:rsidRDefault="00E540CA" w:rsidP="00E540CA">
            <w:pPr>
              <w:pStyle w:val="Tables-Bodycells"/>
              <w:spacing w:after="0"/>
              <w:jc w:val="center"/>
            </w:pPr>
            <w:r w:rsidRPr="00293808">
              <w:t>Transportation Equipment</w:t>
            </w:r>
          </w:p>
        </w:tc>
      </w:tr>
      <w:tr w:rsidR="00E540CA" w:rsidRPr="00443675" w14:paraId="6401E852" w14:textId="77777777" w:rsidTr="00E540CA">
        <w:trPr>
          <w:jc w:val="center"/>
        </w:trPr>
        <w:tc>
          <w:tcPr>
            <w:tcW w:w="1700" w:type="dxa"/>
          </w:tcPr>
          <w:p w14:paraId="6401E84D" w14:textId="77777777" w:rsidR="00E540CA" w:rsidRDefault="00E540CA" w:rsidP="00E540CA">
            <w:pPr>
              <w:pStyle w:val="Tables-Bodycells"/>
              <w:spacing w:after="0"/>
              <w:jc w:val="center"/>
            </w:pPr>
          </w:p>
        </w:tc>
        <w:tc>
          <w:tcPr>
            <w:tcW w:w="1639" w:type="dxa"/>
          </w:tcPr>
          <w:p w14:paraId="6401E84E" w14:textId="739EF14A" w:rsidR="00E540CA" w:rsidRPr="00E416DD" w:rsidRDefault="00E540CA" w:rsidP="00E540CA">
            <w:pPr>
              <w:pStyle w:val="Tables-Bodycells"/>
              <w:spacing w:after="0"/>
              <w:jc w:val="center"/>
            </w:pPr>
            <w:r>
              <w:t>Hospitals</w:t>
            </w:r>
          </w:p>
        </w:tc>
        <w:tc>
          <w:tcPr>
            <w:tcW w:w="1710" w:type="dxa"/>
          </w:tcPr>
          <w:p w14:paraId="6401E84F" w14:textId="75BB4FF4" w:rsidR="00E540CA" w:rsidRPr="00443675" w:rsidRDefault="00E540CA" w:rsidP="00E540CA">
            <w:pPr>
              <w:pStyle w:val="Tables-Bodycells"/>
              <w:spacing w:after="0"/>
              <w:jc w:val="center"/>
            </w:pPr>
            <w:r>
              <w:t>Schools K-12</w:t>
            </w:r>
          </w:p>
        </w:tc>
        <w:tc>
          <w:tcPr>
            <w:tcW w:w="2160" w:type="dxa"/>
          </w:tcPr>
          <w:p w14:paraId="6401E850" w14:textId="20309642" w:rsidR="00E540CA" w:rsidRDefault="00E540CA" w:rsidP="00E540CA">
            <w:pPr>
              <w:pStyle w:val="Tables-Bodycells"/>
              <w:spacing w:after="0"/>
              <w:jc w:val="center"/>
            </w:pPr>
            <w:r>
              <w:t>Lumber/Furniture/ Pulp/Paper</w:t>
            </w:r>
          </w:p>
        </w:tc>
        <w:tc>
          <w:tcPr>
            <w:tcW w:w="2060" w:type="dxa"/>
          </w:tcPr>
          <w:p w14:paraId="6401E851" w14:textId="28DB93DD" w:rsidR="00E540CA" w:rsidRPr="00443675" w:rsidRDefault="00E540CA" w:rsidP="00E540CA">
            <w:pPr>
              <w:pStyle w:val="Tables-Bodycells"/>
              <w:spacing w:after="0"/>
              <w:jc w:val="center"/>
            </w:pPr>
            <w:r>
              <w:t>Water and Wastewater</w:t>
            </w:r>
          </w:p>
        </w:tc>
      </w:tr>
      <w:tr w:rsidR="00E540CA" w:rsidRPr="00443675" w14:paraId="6401E858" w14:textId="77777777" w:rsidTr="00E540CA">
        <w:trPr>
          <w:jc w:val="center"/>
        </w:trPr>
        <w:tc>
          <w:tcPr>
            <w:tcW w:w="1700" w:type="dxa"/>
          </w:tcPr>
          <w:p w14:paraId="6401E853" w14:textId="77777777" w:rsidR="00E540CA" w:rsidRPr="00443675" w:rsidRDefault="00E540CA" w:rsidP="00E540CA">
            <w:pPr>
              <w:pStyle w:val="Tables-Bodycells"/>
              <w:spacing w:after="0"/>
              <w:jc w:val="center"/>
            </w:pPr>
          </w:p>
        </w:tc>
        <w:tc>
          <w:tcPr>
            <w:tcW w:w="1639" w:type="dxa"/>
          </w:tcPr>
          <w:p w14:paraId="6401E854" w14:textId="339B98B2" w:rsidR="00E540CA" w:rsidRPr="00E416DD" w:rsidRDefault="00E540CA" w:rsidP="00E540CA">
            <w:pPr>
              <w:pStyle w:val="Tables-Bodycells"/>
              <w:spacing w:after="0"/>
              <w:jc w:val="center"/>
            </w:pPr>
            <w:r>
              <w:t>Institutional</w:t>
            </w:r>
          </w:p>
        </w:tc>
        <w:tc>
          <w:tcPr>
            <w:tcW w:w="1710" w:type="dxa"/>
          </w:tcPr>
          <w:p w14:paraId="6401E855" w14:textId="2DF74173" w:rsidR="00E540CA" w:rsidRDefault="00E540CA" w:rsidP="00E540CA">
            <w:pPr>
              <w:pStyle w:val="Tables-Bodycells"/>
              <w:spacing w:after="0"/>
              <w:jc w:val="center"/>
            </w:pPr>
            <w:r>
              <w:t>Warehouse</w:t>
            </w:r>
          </w:p>
        </w:tc>
        <w:tc>
          <w:tcPr>
            <w:tcW w:w="2160" w:type="dxa"/>
          </w:tcPr>
          <w:p w14:paraId="6401E856" w14:textId="0BA6FC7A" w:rsidR="00E540CA" w:rsidRDefault="00E540CA" w:rsidP="00E540CA">
            <w:pPr>
              <w:pStyle w:val="Tables-Bodycells"/>
              <w:spacing w:after="0"/>
              <w:jc w:val="center"/>
            </w:pPr>
            <w:r>
              <w:t>Metal Products and Machinery</w:t>
            </w:r>
          </w:p>
        </w:tc>
        <w:tc>
          <w:tcPr>
            <w:tcW w:w="2060" w:type="dxa"/>
          </w:tcPr>
          <w:p w14:paraId="6401E857" w14:textId="151FFECF" w:rsidR="00E540CA" w:rsidRPr="00443675" w:rsidRDefault="00E540CA" w:rsidP="00E540CA">
            <w:pPr>
              <w:pStyle w:val="Tables-Bodycells"/>
              <w:spacing w:after="0"/>
              <w:jc w:val="center"/>
            </w:pPr>
          </w:p>
        </w:tc>
      </w:tr>
      <w:tr w:rsidR="00E540CA" w:rsidRPr="00443675" w14:paraId="6401E85E" w14:textId="77777777" w:rsidTr="00E540CA">
        <w:trPr>
          <w:jc w:val="center"/>
        </w:trPr>
        <w:tc>
          <w:tcPr>
            <w:tcW w:w="1700" w:type="dxa"/>
          </w:tcPr>
          <w:p w14:paraId="6401E859" w14:textId="77777777" w:rsidR="00E540CA" w:rsidRPr="00443675" w:rsidRDefault="00E540CA" w:rsidP="00E540CA">
            <w:pPr>
              <w:pStyle w:val="Tables-Bodycells"/>
              <w:spacing w:after="0"/>
              <w:jc w:val="center"/>
            </w:pPr>
          </w:p>
        </w:tc>
        <w:tc>
          <w:tcPr>
            <w:tcW w:w="1639" w:type="dxa"/>
          </w:tcPr>
          <w:p w14:paraId="6401E85A" w14:textId="2F816B40" w:rsidR="00E540CA" w:rsidRPr="00443675" w:rsidRDefault="00E540CA" w:rsidP="00E540CA">
            <w:pPr>
              <w:pStyle w:val="Tables-Bodycells"/>
              <w:spacing w:after="0"/>
              <w:jc w:val="center"/>
            </w:pPr>
            <w:r>
              <w:t>Lodging/ Hospitality</w:t>
            </w:r>
          </w:p>
        </w:tc>
        <w:tc>
          <w:tcPr>
            <w:tcW w:w="1710" w:type="dxa"/>
          </w:tcPr>
          <w:p w14:paraId="6401E85B" w14:textId="63C50C39" w:rsidR="00E540CA" w:rsidRDefault="00E540CA" w:rsidP="00E540CA">
            <w:pPr>
              <w:pStyle w:val="Tables-Bodycells"/>
              <w:spacing w:after="0"/>
              <w:jc w:val="center"/>
            </w:pPr>
          </w:p>
        </w:tc>
        <w:tc>
          <w:tcPr>
            <w:tcW w:w="2160" w:type="dxa"/>
          </w:tcPr>
          <w:p w14:paraId="6401E85C" w14:textId="5AE3B9B8" w:rsidR="00E540CA" w:rsidRPr="00443675" w:rsidRDefault="00E540CA" w:rsidP="00E540CA">
            <w:pPr>
              <w:pStyle w:val="Tables-Bodycells"/>
              <w:spacing w:after="0"/>
              <w:jc w:val="center"/>
            </w:pPr>
            <w:r>
              <w:t>Miscellaneous Manufacturing</w:t>
            </w:r>
          </w:p>
        </w:tc>
        <w:tc>
          <w:tcPr>
            <w:tcW w:w="2060" w:type="dxa"/>
          </w:tcPr>
          <w:p w14:paraId="6401E85D" w14:textId="077F0BE7" w:rsidR="00E540CA" w:rsidRPr="00443675" w:rsidRDefault="00E540CA" w:rsidP="00E540CA">
            <w:pPr>
              <w:pStyle w:val="Tables-Bodycells"/>
              <w:spacing w:after="0"/>
              <w:jc w:val="center"/>
            </w:pPr>
          </w:p>
        </w:tc>
      </w:tr>
    </w:tbl>
    <w:p w14:paraId="6401E85F" w14:textId="41DEC917" w:rsidR="00A1064A" w:rsidRDefault="00E8391F" w:rsidP="00C42451">
      <w:pPr>
        <w:pStyle w:val="Text"/>
        <w:spacing w:before="240"/>
        <w:jc w:val="both"/>
      </w:pPr>
      <w:r>
        <w:t xml:space="preserve">From an equipment and energy use perspective, each </w:t>
      </w:r>
      <w:r w:rsidR="00A1064A">
        <w:t>segment has</w:t>
      </w:r>
      <w:r>
        <w:t xml:space="preserve"> variation within each building type</w:t>
      </w:r>
      <w:r w:rsidR="00A1064A">
        <w:t xml:space="preserve"> or sub-sector</w:t>
      </w:r>
      <w:r>
        <w:t xml:space="preserve">. For example, the energy </w:t>
      </w:r>
      <w:r w:rsidR="00457A82">
        <w:t xml:space="preserve">consuming </w:t>
      </w:r>
      <w:r>
        <w:t xml:space="preserve">equipment in a convenience store will vary significantly from the equipment found in a supermarket. To account for </w:t>
      </w:r>
      <w:r w:rsidR="00A1064A">
        <w:t xml:space="preserve">this </w:t>
      </w:r>
      <w:r>
        <w:t xml:space="preserve">variation, the selected </w:t>
      </w:r>
      <w:r w:rsidR="007576CB">
        <w:t>end-use</w:t>
      </w:r>
      <w:r>
        <w:t>s de</w:t>
      </w:r>
      <w:r w:rsidR="00007475">
        <w:t xml:space="preserve">scribe energy consumption patterns </w:t>
      </w:r>
      <w:r>
        <w:t>that are consistent with those typically studied in national or regional surveys</w:t>
      </w:r>
      <w:r w:rsidR="00007475">
        <w:t>, such as the U.S. Energy Information Administration’s Residential Energy Consumption Survey (RECS), Commercial Building Energy Consumption Survey (CBECS) and Manufacturing Energy Consumption Survey (MECS), among others</w:t>
      </w:r>
      <w:r>
        <w:t>.</w:t>
      </w:r>
      <w:r w:rsidR="007133CF">
        <w:t xml:space="preserve"> </w:t>
      </w:r>
      <w:r>
        <w:t xml:space="preserve">The </w:t>
      </w:r>
      <w:r w:rsidR="007576CB">
        <w:t>end-use</w:t>
      </w:r>
      <w:r>
        <w:t xml:space="preserve">s </w:t>
      </w:r>
      <w:r w:rsidR="00007475">
        <w:t xml:space="preserve">selected for this study </w:t>
      </w:r>
      <w:r>
        <w:t>are listed in</w:t>
      </w:r>
      <w:r w:rsidR="00A1064A">
        <w:t xml:space="preserve"> </w:t>
      </w:r>
      <w:r w:rsidR="00A1064A">
        <w:fldChar w:fldCharType="begin"/>
      </w:r>
      <w:r w:rsidR="00A1064A">
        <w:instrText xml:space="preserve"> REF _Ref430765058 \h </w:instrText>
      </w:r>
      <w:r w:rsidR="00A1064A">
        <w:fldChar w:fldCharType="separate"/>
      </w:r>
      <w:r w:rsidR="00B30110">
        <w:t xml:space="preserve">Table </w:t>
      </w:r>
      <w:r w:rsidR="00B30110">
        <w:rPr>
          <w:noProof/>
        </w:rPr>
        <w:t>3</w:t>
      </w:r>
      <w:r w:rsidR="00B30110">
        <w:noBreakHyphen/>
      </w:r>
      <w:r w:rsidR="00B30110">
        <w:rPr>
          <w:noProof/>
        </w:rPr>
        <w:t>2</w:t>
      </w:r>
      <w:r w:rsidR="00A1064A">
        <w:fldChar w:fldCharType="end"/>
      </w:r>
      <w:r w:rsidR="007133CF">
        <w:t>.</w:t>
      </w:r>
    </w:p>
    <w:p w14:paraId="6401E860" w14:textId="7D161C4F" w:rsidR="00E8391F" w:rsidRDefault="00E8391F" w:rsidP="00901BE2">
      <w:pPr>
        <w:pStyle w:val="Mainbody-Captiontable"/>
      </w:pPr>
      <w:bookmarkStart w:id="47" w:name="_Ref430765058"/>
      <w:bookmarkStart w:id="48" w:name="_Toc430854544"/>
      <w:bookmarkStart w:id="49" w:name="_Toc439793913"/>
      <w:bookmarkStart w:id="50" w:name="_Toc458153363"/>
      <w:bookmarkStart w:id="51" w:name="_Toc458153491"/>
      <w:bookmarkStart w:id="52" w:name="_Toc5715442"/>
      <w:r>
        <w:t xml:space="preserve">Table </w:t>
      </w:r>
      <w:r w:rsidR="000C7BC6">
        <w:rPr>
          <w:noProof/>
        </w:rPr>
        <w:fldChar w:fldCharType="begin"/>
      </w:r>
      <w:r w:rsidR="000C7BC6">
        <w:rPr>
          <w:noProof/>
        </w:rPr>
        <w:instrText xml:space="preserve"> STYLEREF 1 \s </w:instrText>
      </w:r>
      <w:r w:rsidR="000C7BC6">
        <w:rPr>
          <w:noProof/>
        </w:rPr>
        <w:fldChar w:fldCharType="separate"/>
      </w:r>
      <w:r w:rsidR="00B30110">
        <w:rPr>
          <w:noProof/>
        </w:rPr>
        <w:t>3</w:t>
      </w:r>
      <w:r w:rsidR="000C7BC6">
        <w:rPr>
          <w:noProof/>
        </w:rPr>
        <w:fldChar w:fldCharType="end"/>
      </w:r>
      <w:r w:rsidR="00B417B0">
        <w:noBreakHyphen/>
      </w:r>
      <w:r w:rsidR="000C7BC6">
        <w:rPr>
          <w:noProof/>
        </w:rPr>
        <w:fldChar w:fldCharType="begin"/>
      </w:r>
      <w:r w:rsidR="000C7BC6">
        <w:rPr>
          <w:noProof/>
        </w:rPr>
        <w:instrText xml:space="preserve"> SEQ Table \* ARABIC \s 1 </w:instrText>
      </w:r>
      <w:r w:rsidR="000C7BC6">
        <w:rPr>
          <w:noProof/>
        </w:rPr>
        <w:fldChar w:fldCharType="separate"/>
      </w:r>
      <w:r w:rsidR="00B30110">
        <w:rPr>
          <w:noProof/>
        </w:rPr>
        <w:t>2</w:t>
      </w:r>
      <w:r w:rsidR="000C7BC6">
        <w:rPr>
          <w:noProof/>
        </w:rPr>
        <w:fldChar w:fldCharType="end"/>
      </w:r>
      <w:bookmarkEnd w:id="47"/>
      <w:r w:rsidR="007133CF">
        <w:rPr>
          <w:noProof/>
        </w:rPr>
        <w:t>:</w:t>
      </w:r>
      <w:r>
        <w:t xml:space="preserve"> End</w:t>
      </w:r>
      <w:r w:rsidR="007576CB">
        <w:t>-</w:t>
      </w:r>
      <w:r>
        <w:t>Uses</w:t>
      </w:r>
      <w:bookmarkEnd w:id="48"/>
      <w:bookmarkEnd w:id="49"/>
      <w:bookmarkEnd w:id="50"/>
      <w:bookmarkEnd w:id="51"/>
      <w:bookmarkEnd w:id="52"/>
    </w:p>
    <w:tbl>
      <w:tblPr>
        <w:tblStyle w:val="NEXANTNEWTABLESTYLE"/>
        <w:tblW w:w="8108" w:type="dxa"/>
        <w:jc w:val="center"/>
        <w:tblLayout w:type="fixed"/>
        <w:tblLook w:val="04A0" w:firstRow="1" w:lastRow="0" w:firstColumn="1" w:lastColumn="0" w:noHBand="0" w:noVBand="1"/>
      </w:tblPr>
      <w:tblGrid>
        <w:gridCol w:w="3027"/>
        <w:gridCol w:w="2643"/>
        <w:gridCol w:w="2438"/>
      </w:tblGrid>
      <w:tr w:rsidR="00A1064A" w:rsidRPr="00001A1A" w14:paraId="6401E864" w14:textId="77777777" w:rsidTr="00A1064A">
        <w:trPr>
          <w:cnfStyle w:val="100000000000" w:firstRow="1" w:lastRow="0" w:firstColumn="0" w:lastColumn="0" w:oddVBand="0" w:evenVBand="0" w:oddHBand="0" w:evenHBand="0" w:firstRowFirstColumn="0" w:firstRowLastColumn="0" w:lastRowFirstColumn="0" w:lastRowLastColumn="0"/>
          <w:trHeight w:val="70"/>
          <w:jc w:val="center"/>
        </w:trPr>
        <w:tc>
          <w:tcPr>
            <w:tcW w:w="3027" w:type="dxa"/>
          </w:tcPr>
          <w:p w14:paraId="6401E861" w14:textId="3F7F08C8" w:rsidR="00A1064A" w:rsidRPr="00434B26" w:rsidRDefault="007576CB" w:rsidP="00BE22AB">
            <w:pPr>
              <w:pStyle w:val="Tables-Headingcells"/>
              <w:rPr>
                <w:b/>
              </w:rPr>
            </w:pPr>
            <w:r>
              <w:rPr>
                <w:b/>
              </w:rPr>
              <w:t>Residential End-</w:t>
            </w:r>
            <w:r w:rsidR="00A1064A" w:rsidRPr="00434B26">
              <w:rPr>
                <w:b/>
              </w:rPr>
              <w:t>Uses</w:t>
            </w:r>
          </w:p>
        </w:tc>
        <w:tc>
          <w:tcPr>
            <w:tcW w:w="2643" w:type="dxa"/>
          </w:tcPr>
          <w:p w14:paraId="6401E862" w14:textId="77DF65B2" w:rsidR="00A1064A" w:rsidRPr="00434B26" w:rsidRDefault="007576CB" w:rsidP="00BE22AB">
            <w:pPr>
              <w:pStyle w:val="Tables-Headingcells"/>
              <w:rPr>
                <w:b/>
              </w:rPr>
            </w:pPr>
            <w:r>
              <w:rPr>
                <w:b/>
              </w:rPr>
              <w:t>Commercial End-</w:t>
            </w:r>
            <w:r w:rsidR="00A1064A" w:rsidRPr="00434B26">
              <w:rPr>
                <w:b/>
              </w:rPr>
              <w:t>Uses</w:t>
            </w:r>
          </w:p>
        </w:tc>
        <w:tc>
          <w:tcPr>
            <w:tcW w:w="2438" w:type="dxa"/>
          </w:tcPr>
          <w:p w14:paraId="6401E863" w14:textId="6DE1A9F0" w:rsidR="00A1064A" w:rsidRPr="00434B26" w:rsidRDefault="007576CB" w:rsidP="00BE22AB">
            <w:pPr>
              <w:pStyle w:val="Tables-Headingcells"/>
              <w:rPr>
                <w:b/>
              </w:rPr>
            </w:pPr>
            <w:r>
              <w:rPr>
                <w:b/>
              </w:rPr>
              <w:t>Industrial End-</w:t>
            </w:r>
            <w:r w:rsidR="00A1064A" w:rsidRPr="00434B26">
              <w:rPr>
                <w:b/>
              </w:rPr>
              <w:t>Uses</w:t>
            </w:r>
          </w:p>
        </w:tc>
      </w:tr>
      <w:tr w:rsidR="00A1064A" w:rsidRPr="00001A1A" w14:paraId="6401E868" w14:textId="77777777" w:rsidTr="00A1064A">
        <w:trPr>
          <w:jc w:val="center"/>
        </w:trPr>
        <w:tc>
          <w:tcPr>
            <w:tcW w:w="3027" w:type="dxa"/>
          </w:tcPr>
          <w:p w14:paraId="6401E865" w14:textId="77777777" w:rsidR="00A1064A" w:rsidRPr="00A1064A" w:rsidRDefault="00A1064A" w:rsidP="00A1064A">
            <w:pPr>
              <w:pStyle w:val="Tables-Bodycells"/>
              <w:jc w:val="center"/>
            </w:pPr>
            <w:r w:rsidRPr="00A1064A">
              <w:t>Space heating</w:t>
            </w:r>
          </w:p>
        </w:tc>
        <w:tc>
          <w:tcPr>
            <w:tcW w:w="2643" w:type="dxa"/>
          </w:tcPr>
          <w:p w14:paraId="6401E866" w14:textId="77777777" w:rsidR="00A1064A" w:rsidRPr="0055451F" w:rsidRDefault="00A1064A" w:rsidP="00BE22AB">
            <w:pPr>
              <w:pStyle w:val="Tables-Bodycells"/>
              <w:jc w:val="center"/>
            </w:pPr>
            <w:r w:rsidRPr="0055451F">
              <w:t>Space heating</w:t>
            </w:r>
          </w:p>
        </w:tc>
        <w:tc>
          <w:tcPr>
            <w:tcW w:w="2438" w:type="dxa"/>
          </w:tcPr>
          <w:p w14:paraId="6401E867" w14:textId="77777777" w:rsidR="00A1064A" w:rsidRPr="00587B8D" w:rsidRDefault="00A1064A" w:rsidP="00BE22AB">
            <w:pPr>
              <w:pStyle w:val="Tables-Bodycells"/>
              <w:jc w:val="center"/>
            </w:pPr>
            <w:r w:rsidRPr="00587B8D">
              <w:t>Process heating</w:t>
            </w:r>
          </w:p>
        </w:tc>
      </w:tr>
      <w:tr w:rsidR="00A1064A" w:rsidRPr="00001A1A" w14:paraId="6401E86C" w14:textId="77777777" w:rsidTr="00A1064A">
        <w:trPr>
          <w:jc w:val="center"/>
        </w:trPr>
        <w:tc>
          <w:tcPr>
            <w:tcW w:w="3027" w:type="dxa"/>
          </w:tcPr>
          <w:p w14:paraId="6401E869" w14:textId="77777777" w:rsidR="00A1064A" w:rsidRPr="00A1064A" w:rsidRDefault="00A1064A" w:rsidP="00A1064A">
            <w:pPr>
              <w:pStyle w:val="Tables-Bodycells"/>
              <w:jc w:val="center"/>
            </w:pPr>
            <w:r w:rsidRPr="00A1064A">
              <w:t>Space cooling</w:t>
            </w:r>
          </w:p>
        </w:tc>
        <w:tc>
          <w:tcPr>
            <w:tcW w:w="2643" w:type="dxa"/>
          </w:tcPr>
          <w:p w14:paraId="6401E86A" w14:textId="77777777" w:rsidR="00A1064A" w:rsidRPr="0055451F" w:rsidRDefault="00A1064A" w:rsidP="00BE22AB">
            <w:pPr>
              <w:pStyle w:val="Tables-Bodycells"/>
              <w:jc w:val="center"/>
            </w:pPr>
            <w:r w:rsidRPr="0055451F">
              <w:t>Space cooling</w:t>
            </w:r>
          </w:p>
        </w:tc>
        <w:tc>
          <w:tcPr>
            <w:tcW w:w="2438" w:type="dxa"/>
          </w:tcPr>
          <w:p w14:paraId="6401E86B" w14:textId="22C821EE" w:rsidR="00BF68C7" w:rsidRPr="00587B8D" w:rsidRDefault="00E540CA" w:rsidP="00BF68C7">
            <w:pPr>
              <w:pStyle w:val="Tables-Bodycells"/>
              <w:jc w:val="center"/>
            </w:pPr>
            <w:r>
              <w:t>Process cooling</w:t>
            </w:r>
          </w:p>
        </w:tc>
      </w:tr>
      <w:tr w:rsidR="00A1064A" w:rsidRPr="00001A1A" w14:paraId="6401E870" w14:textId="77777777" w:rsidTr="00A1064A">
        <w:trPr>
          <w:trHeight w:val="254"/>
          <w:jc w:val="center"/>
        </w:trPr>
        <w:tc>
          <w:tcPr>
            <w:tcW w:w="3027" w:type="dxa"/>
          </w:tcPr>
          <w:p w14:paraId="6401E86D" w14:textId="77777777" w:rsidR="00A1064A" w:rsidRPr="00A1064A" w:rsidRDefault="00A1064A" w:rsidP="00A1064A">
            <w:pPr>
              <w:pStyle w:val="Tables-Bodycells"/>
              <w:jc w:val="center"/>
            </w:pPr>
            <w:r w:rsidRPr="00A1064A">
              <w:t>Domestic hot water</w:t>
            </w:r>
          </w:p>
        </w:tc>
        <w:tc>
          <w:tcPr>
            <w:tcW w:w="2643" w:type="dxa"/>
          </w:tcPr>
          <w:p w14:paraId="6401E86E" w14:textId="77777777" w:rsidR="00A1064A" w:rsidRPr="0055451F" w:rsidRDefault="00A1064A" w:rsidP="00BE22AB">
            <w:pPr>
              <w:pStyle w:val="Tables-Bodycells"/>
              <w:jc w:val="center"/>
            </w:pPr>
            <w:r w:rsidRPr="0055451F">
              <w:t>Domestic hot water</w:t>
            </w:r>
          </w:p>
        </w:tc>
        <w:tc>
          <w:tcPr>
            <w:tcW w:w="2438" w:type="dxa"/>
          </w:tcPr>
          <w:p w14:paraId="6401E86F" w14:textId="4B2EBF9C" w:rsidR="00A1064A" w:rsidRPr="00587B8D" w:rsidRDefault="00E540CA" w:rsidP="00BF68C7">
            <w:pPr>
              <w:pStyle w:val="Tables-Bodycells"/>
              <w:jc w:val="center"/>
            </w:pPr>
            <w:r>
              <w:t>Compressed air</w:t>
            </w:r>
          </w:p>
        </w:tc>
      </w:tr>
      <w:tr w:rsidR="00E540CA" w:rsidRPr="00001A1A" w14:paraId="6401E874" w14:textId="77777777" w:rsidTr="00A1064A">
        <w:trPr>
          <w:trHeight w:val="254"/>
          <w:jc w:val="center"/>
        </w:trPr>
        <w:tc>
          <w:tcPr>
            <w:tcW w:w="3027" w:type="dxa"/>
          </w:tcPr>
          <w:p w14:paraId="6401E871" w14:textId="77777777" w:rsidR="00E540CA" w:rsidRPr="00A1064A" w:rsidRDefault="00E540CA" w:rsidP="00E540CA">
            <w:pPr>
              <w:pStyle w:val="Tables-Bodycells"/>
              <w:jc w:val="center"/>
            </w:pPr>
            <w:r w:rsidRPr="00A1064A">
              <w:t>Ventilation and circulation</w:t>
            </w:r>
          </w:p>
        </w:tc>
        <w:tc>
          <w:tcPr>
            <w:tcW w:w="2643" w:type="dxa"/>
          </w:tcPr>
          <w:p w14:paraId="6401E872" w14:textId="77777777" w:rsidR="00E540CA" w:rsidRPr="0055451F" w:rsidRDefault="00E540CA" w:rsidP="00E540CA">
            <w:pPr>
              <w:pStyle w:val="Tables-Bodycells"/>
              <w:jc w:val="center"/>
            </w:pPr>
            <w:r w:rsidRPr="0055451F">
              <w:t>Ventilation and circulation</w:t>
            </w:r>
          </w:p>
        </w:tc>
        <w:tc>
          <w:tcPr>
            <w:tcW w:w="2438" w:type="dxa"/>
          </w:tcPr>
          <w:p w14:paraId="6401E873" w14:textId="3CA0C4F7" w:rsidR="00E540CA" w:rsidRPr="00587B8D" w:rsidRDefault="00122129" w:rsidP="00E540CA">
            <w:pPr>
              <w:pStyle w:val="Tables-Bodycells"/>
              <w:jc w:val="center"/>
            </w:pPr>
            <w:r>
              <w:t>Motors/</w:t>
            </w:r>
            <w:r w:rsidR="00E540CA">
              <w:t>pumps</w:t>
            </w:r>
          </w:p>
        </w:tc>
      </w:tr>
      <w:tr w:rsidR="00E540CA" w:rsidRPr="00001A1A" w14:paraId="6401E878" w14:textId="77777777" w:rsidTr="00A1064A">
        <w:trPr>
          <w:jc w:val="center"/>
        </w:trPr>
        <w:tc>
          <w:tcPr>
            <w:tcW w:w="3027" w:type="dxa"/>
          </w:tcPr>
          <w:p w14:paraId="6401E875" w14:textId="77777777" w:rsidR="00E540CA" w:rsidRPr="00A1064A" w:rsidRDefault="00E540CA" w:rsidP="00E540CA">
            <w:pPr>
              <w:pStyle w:val="Tables-Bodycells"/>
              <w:jc w:val="center"/>
            </w:pPr>
            <w:r w:rsidRPr="00A1064A">
              <w:t>Lighting</w:t>
            </w:r>
          </w:p>
        </w:tc>
        <w:tc>
          <w:tcPr>
            <w:tcW w:w="2643" w:type="dxa"/>
          </w:tcPr>
          <w:p w14:paraId="6401E876" w14:textId="77777777" w:rsidR="00E540CA" w:rsidRPr="0055451F" w:rsidRDefault="00E540CA" w:rsidP="00E540CA">
            <w:pPr>
              <w:pStyle w:val="Tables-Bodycells"/>
              <w:jc w:val="center"/>
            </w:pPr>
            <w:r w:rsidRPr="0055451F">
              <w:t>Interior lighting</w:t>
            </w:r>
          </w:p>
        </w:tc>
        <w:tc>
          <w:tcPr>
            <w:tcW w:w="2438" w:type="dxa"/>
          </w:tcPr>
          <w:p w14:paraId="6401E877" w14:textId="1F4D8139" w:rsidR="00E540CA" w:rsidRPr="00587B8D" w:rsidRDefault="00122129" w:rsidP="00E540CA">
            <w:pPr>
              <w:pStyle w:val="Tables-Bodycells"/>
              <w:jc w:val="center"/>
            </w:pPr>
            <w:r>
              <w:t>Fan, blower motors</w:t>
            </w:r>
          </w:p>
        </w:tc>
      </w:tr>
      <w:tr w:rsidR="00E540CA" w:rsidRPr="00001A1A" w14:paraId="6401E87C" w14:textId="77777777" w:rsidTr="00A1064A">
        <w:trPr>
          <w:jc w:val="center"/>
        </w:trPr>
        <w:tc>
          <w:tcPr>
            <w:tcW w:w="3027" w:type="dxa"/>
          </w:tcPr>
          <w:p w14:paraId="6401E879" w14:textId="77777777" w:rsidR="00E540CA" w:rsidRPr="00A1064A" w:rsidRDefault="00E540CA" w:rsidP="00E540CA">
            <w:pPr>
              <w:pStyle w:val="Tables-Bodycells"/>
              <w:jc w:val="center"/>
            </w:pPr>
            <w:r w:rsidRPr="00A1064A">
              <w:t>Cooking</w:t>
            </w:r>
          </w:p>
        </w:tc>
        <w:tc>
          <w:tcPr>
            <w:tcW w:w="2643" w:type="dxa"/>
          </w:tcPr>
          <w:p w14:paraId="6401E87A" w14:textId="77777777" w:rsidR="00E540CA" w:rsidRPr="0055451F" w:rsidRDefault="00E540CA" w:rsidP="00E540CA">
            <w:pPr>
              <w:pStyle w:val="Tables-Bodycells"/>
              <w:jc w:val="center"/>
            </w:pPr>
            <w:r w:rsidRPr="0055451F">
              <w:t>Exterior lighting</w:t>
            </w:r>
          </w:p>
        </w:tc>
        <w:tc>
          <w:tcPr>
            <w:tcW w:w="2438" w:type="dxa"/>
          </w:tcPr>
          <w:p w14:paraId="6401E87B" w14:textId="2CEAEB0B" w:rsidR="00E540CA" w:rsidRPr="00587B8D" w:rsidRDefault="00E540CA" w:rsidP="00E540CA">
            <w:pPr>
              <w:pStyle w:val="Tables-Bodycells"/>
              <w:jc w:val="center"/>
            </w:pPr>
            <w:r>
              <w:t>Process-specific</w:t>
            </w:r>
          </w:p>
        </w:tc>
      </w:tr>
      <w:tr w:rsidR="00E540CA" w:rsidRPr="00001A1A" w14:paraId="6401E880" w14:textId="77777777" w:rsidTr="00A1064A">
        <w:trPr>
          <w:jc w:val="center"/>
        </w:trPr>
        <w:tc>
          <w:tcPr>
            <w:tcW w:w="3027" w:type="dxa"/>
          </w:tcPr>
          <w:p w14:paraId="6401E87D" w14:textId="2DDB16D4" w:rsidR="00E540CA" w:rsidRPr="00A1064A" w:rsidRDefault="00E540CA" w:rsidP="00E540CA">
            <w:pPr>
              <w:pStyle w:val="Tables-Bodycells"/>
              <w:jc w:val="center"/>
            </w:pPr>
            <w:r>
              <w:t>Appliances</w:t>
            </w:r>
          </w:p>
        </w:tc>
        <w:tc>
          <w:tcPr>
            <w:tcW w:w="2643" w:type="dxa"/>
          </w:tcPr>
          <w:p w14:paraId="6401E87E" w14:textId="77777777" w:rsidR="00E540CA" w:rsidRPr="0055451F" w:rsidRDefault="00E540CA" w:rsidP="00E540CA">
            <w:pPr>
              <w:pStyle w:val="Tables-Bodycells"/>
              <w:jc w:val="center"/>
            </w:pPr>
            <w:r w:rsidRPr="0055451F">
              <w:t>Cooking</w:t>
            </w:r>
          </w:p>
        </w:tc>
        <w:tc>
          <w:tcPr>
            <w:tcW w:w="2438" w:type="dxa"/>
          </w:tcPr>
          <w:p w14:paraId="6401E87F" w14:textId="3BEE1639" w:rsidR="00E540CA" w:rsidRPr="00587B8D" w:rsidRDefault="00E540CA" w:rsidP="00E540CA">
            <w:pPr>
              <w:pStyle w:val="Tables-Bodycells"/>
              <w:jc w:val="center"/>
            </w:pPr>
            <w:r>
              <w:t>Industrial lighting</w:t>
            </w:r>
          </w:p>
        </w:tc>
      </w:tr>
      <w:tr w:rsidR="00E540CA" w:rsidRPr="00001A1A" w14:paraId="6401E884" w14:textId="77777777" w:rsidTr="00A1064A">
        <w:trPr>
          <w:jc w:val="center"/>
        </w:trPr>
        <w:tc>
          <w:tcPr>
            <w:tcW w:w="3027" w:type="dxa"/>
          </w:tcPr>
          <w:p w14:paraId="6401E881" w14:textId="23D6B688" w:rsidR="00E540CA" w:rsidRPr="00A1064A" w:rsidRDefault="00E540CA" w:rsidP="00E540CA">
            <w:pPr>
              <w:pStyle w:val="Tables-Bodycells"/>
              <w:jc w:val="center"/>
            </w:pPr>
            <w:r>
              <w:t>Electronics</w:t>
            </w:r>
          </w:p>
        </w:tc>
        <w:tc>
          <w:tcPr>
            <w:tcW w:w="2643" w:type="dxa"/>
          </w:tcPr>
          <w:p w14:paraId="6401E882" w14:textId="77777777" w:rsidR="00E540CA" w:rsidRPr="0055451F" w:rsidRDefault="00E540CA" w:rsidP="00E540CA">
            <w:pPr>
              <w:pStyle w:val="Tables-Bodycells"/>
              <w:jc w:val="center"/>
            </w:pPr>
            <w:r w:rsidRPr="0055451F">
              <w:t>Refrigeration</w:t>
            </w:r>
          </w:p>
        </w:tc>
        <w:tc>
          <w:tcPr>
            <w:tcW w:w="2438" w:type="dxa"/>
          </w:tcPr>
          <w:p w14:paraId="6401E883" w14:textId="0A82BF7A" w:rsidR="00E540CA" w:rsidRPr="00587B8D" w:rsidRDefault="00E540CA" w:rsidP="00E540CA">
            <w:pPr>
              <w:pStyle w:val="Tables-Bodycells"/>
              <w:jc w:val="center"/>
            </w:pPr>
            <w:r>
              <w:t>Exterior lighting</w:t>
            </w:r>
          </w:p>
        </w:tc>
      </w:tr>
      <w:tr w:rsidR="00E540CA" w:rsidRPr="00001A1A" w14:paraId="6401E888" w14:textId="77777777" w:rsidTr="00A1064A">
        <w:trPr>
          <w:jc w:val="center"/>
        </w:trPr>
        <w:tc>
          <w:tcPr>
            <w:tcW w:w="3027" w:type="dxa"/>
          </w:tcPr>
          <w:p w14:paraId="6401E885" w14:textId="5FAC59DE" w:rsidR="00E540CA" w:rsidRPr="00A1064A" w:rsidRDefault="00E540CA" w:rsidP="00E540CA">
            <w:pPr>
              <w:pStyle w:val="Tables-Bodycells"/>
              <w:jc w:val="center"/>
            </w:pPr>
            <w:r w:rsidRPr="00A1064A">
              <w:t>Miscellaneous</w:t>
            </w:r>
          </w:p>
        </w:tc>
        <w:tc>
          <w:tcPr>
            <w:tcW w:w="2643" w:type="dxa"/>
          </w:tcPr>
          <w:p w14:paraId="6401E886" w14:textId="77777777" w:rsidR="00E540CA" w:rsidRPr="0055451F" w:rsidRDefault="00E540CA" w:rsidP="00E540CA">
            <w:pPr>
              <w:pStyle w:val="Tables-Bodycells"/>
              <w:jc w:val="center"/>
            </w:pPr>
            <w:r w:rsidRPr="0055451F">
              <w:t>Office equipment</w:t>
            </w:r>
          </w:p>
        </w:tc>
        <w:tc>
          <w:tcPr>
            <w:tcW w:w="2438" w:type="dxa"/>
          </w:tcPr>
          <w:p w14:paraId="6401E887" w14:textId="6A28391C" w:rsidR="00E540CA" w:rsidRPr="00587B8D" w:rsidRDefault="00E540CA" w:rsidP="00E540CA">
            <w:pPr>
              <w:pStyle w:val="Tables-Bodycells"/>
              <w:jc w:val="center"/>
            </w:pPr>
            <w:r>
              <w:t>HVAC</w:t>
            </w:r>
          </w:p>
        </w:tc>
      </w:tr>
      <w:tr w:rsidR="00E540CA" w:rsidRPr="00001A1A" w14:paraId="6401E88C" w14:textId="77777777" w:rsidTr="00A1064A">
        <w:trPr>
          <w:jc w:val="center"/>
        </w:trPr>
        <w:tc>
          <w:tcPr>
            <w:tcW w:w="3027" w:type="dxa"/>
          </w:tcPr>
          <w:p w14:paraId="6401E889" w14:textId="7200737C" w:rsidR="00E540CA" w:rsidRPr="00A1064A" w:rsidRDefault="00E540CA" w:rsidP="00E540CA">
            <w:pPr>
              <w:pStyle w:val="Tables-Bodycells"/>
              <w:jc w:val="center"/>
            </w:pPr>
          </w:p>
        </w:tc>
        <w:tc>
          <w:tcPr>
            <w:tcW w:w="2643" w:type="dxa"/>
          </w:tcPr>
          <w:p w14:paraId="6401E88A" w14:textId="77777777" w:rsidR="00E540CA" w:rsidRDefault="00E540CA" w:rsidP="00E540CA">
            <w:pPr>
              <w:pStyle w:val="Tables-Bodycells"/>
              <w:jc w:val="center"/>
            </w:pPr>
            <w:r w:rsidRPr="0055451F">
              <w:t>Miscellaneous</w:t>
            </w:r>
          </w:p>
        </w:tc>
        <w:tc>
          <w:tcPr>
            <w:tcW w:w="2438" w:type="dxa"/>
          </w:tcPr>
          <w:p w14:paraId="6401E88B" w14:textId="2423CF40" w:rsidR="00E540CA" w:rsidRDefault="00E540CA" w:rsidP="00E540CA">
            <w:pPr>
              <w:pStyle w:val="Tables-Bodycells"/>
              <w:jc w:val="center"/>
            </w:pPr>
            <w:r>
              <w:t>Other</w:t>
            </w:r>
          </w:p>
        </w:tc>
      </w:tr>
    </w:tbl>
    <w:p w14:paraId="6401E899" w14:textId="6B59AAC1" w:rsidR="00A1064A" w:rsidRDefault="00007475" w:rsidP="00C42451">
      <w:pPr>
        <w:pStyle w:val="Text"/>
        <w:spacing w:before="240"/>
        <w:jc w:val="both"/>
      </w:pPr>
      <w:r>
        <w:t>For DR</w:t>
      </w:r>
      <w:r w:rsidR="006B0F11">
        <w:t xml:space="preserve">, the </w:t>
      </w:r>
      <w:r w:rsidR="007576CB">
        <w:t>end-use</w:t>
      </w:r>
      <w:r w:rsidR="006B0F11">
        <w:t xml:space="preserve">s targeted </w:t>
      </w:r>
      <w:r>
        <w:t>were those</w:t>
      </w:r>
      <w:r w:rsidR="006B0F11">
        <w:t xml:space="preserve"> with controllable load for residential customers </w:t>
      </w:r>
      <w:r w:rsidR="00DB3B24">
        <w:t>(</w:t>
      </w:r>
      <w:r w:rsidR="00DB3B24" w:rsidRPr="00AA6369">
        <w:rPr>
          <w:i/>
        </w:rPr>
        <w:t>i.e.</w:t>
      </w:r>
      <w:r w:rsidR="00DB3B24">
        <w:t xml:space="preserve"> HVAC, water heaters, and pool pumps) </w:t>
      </w:r>
      <w:r w:rsidR="006B0F11">
        <w:t xml:space="preserve">and </w:t>
      </w:r>
      <w:r w:rsidR="0078025C">
        <w:t>small C&amp;I customers</w:t>
      </w:r>
      <w:r w:rsidR="00DB3B24">
        <w:t xml:space="preserve"> (HVAC).  F</w:t>
      </w:r>
      <w:r w:rsidR="001550C8">
        <w:t>or</w:t>
      </w:r>
      <w:r w:rsidR="00DB3B24">
        <w:t xml:space="preserve"> </w:t>
      </w:r>
      <w:r w:rsidR="001550C8">
        <w:t xml:space="preserve">large </w:t>
      </w:r>
      <w:r w:rsidR="00122129">
        <w:t>C&amp;I</w:t>
      </w:r>
      <w:r w:rsidR="001550C8">
        <w:t xml:space="preserve"> </w:t>
      </w:r>
      <w:r w:rsidR="0078025C">
        <w:t>customers</w:t>
      </w:r>
      <w:r w:rsidR="001550C8">
        <w:t xml:space="preserve">, </w:t>
      </w:r>
      <w:r w:rsidR="00DB3B24">
        <w:t>all load during peak hours was included assuming these customers would</w:t>
      </w:r>
      <w:r w:rsidR="001550C8">
        <w:t xml:space="preserve"> potentially would be willing to </w:t>
      </w:r>
      <w:r w:rsidR="00457A82">
        <w:t>reduce electricity consumption for a limited time</w:t>
      </w:r>
      <w:r w:rsidR="007133CF">
        <w:t xml:space="preserve"> </w:t>
      </w:r>
      <w:r w:rsidR="006B0F11">
        <w:t>if offered a large enough incentive</w:t>
      </w:r>
      <w:r w:rsidR="00165D52">
        <w:t xml:space="preserve"> during temporary </w:t>
      </w:r>
      <w:r w:rsidR="00457A82">
        <w:t xml:space="preserve">system </w:t>
      </w:r>
      <w:r w:rsidR="00165D52">
        <w:t>peak</w:t>
      </w:r>
      <w:r w:rsidR="00457A82">
        <w:t xml:space="preserve"> demand</w:t>
      </w:r>
      <w:r w:rsidR="00165D52">
        <w:t xml:space="preserve"> conditions</w:t>
      </w:r>
      <w:r w:rsidR="006B0F11">
        <w:t xml:space="preserve">. </w:t>
      </w:r>
    </w:p>
    <w:p w14:paraId="6401E89A" w14:textId="77777777" w:rsidR="00E8391F" w:rsidRDefault="00E8391F" w:rsidP="00C42451">
      <w:pPr>
        <w:pStyle w:val="Heading3"/>
        <w:jc w:val="both"/>
      </w:pPr>
      <w:bookmarkStart w:id="53" w:name="_Toc455045039"/>
      <w:bookmarkStart w:id="54" w:name="_Toc5715482"/>
      <w:r>
        <w:t>Forecast Disaggregation</w:t>
      </w:r>
      <w:bookmarkEnd w:id="53"/>
      <w:bookmarkEnd w:id="54"/>
    </w:p>
    <w:p w14:paraId="6401E89C" w14:textId="6B1CCD82" w:rsidR="00E8391F" w:rsidRDefault="00DB3B24" w:rsidP="00C42451">
      <w:pPr>
        <w:pStyle w:val="Text"/>
        <w:jc w:val="both"/>
      </w:pPr>
      <w:r>
        <w:t>A</w:t>
      </w:r>
      <w:r w:rsidR="00E8391F">
        <w:t xml:space="preserve"> common understanding of the assumptions and granularity in the baseline load forecast</w:t>
      </w:r>
      <w:r w:rsidR="00165A83">
        <w:t xml:space="preserve"> </w:t>
      </w:r>
      <w:r w:rsidR="00457A82">
        <w:t xml:space="preserve">was </w:t>
      </w:r>
      <w:r w:rsidR="00165A83">
        <w:t>developed</w:t>
      </w:r>
      <w:r w:rsidR="00B40E9D">
        <w:t xml:space="preserve"> with input </w:t>
      </w:r>
      <w:r>
        <w:t>from</w:t>
      </w:r>
      <w:r w:rsidR="00B40E9D">
        <w:t xml:space="preserve"> </w:t>
      </w:r>
      <w:r w:rsidR="00145C87">
        <w:t>TECO</w:t>
      </w:r>
      <w:r w:rsidR="00E8391F">
        <w:t xml:space="preserve">. Key discussion topics </w:t>
      </w:r>
      <w:r w:rsidR="00431986">
        <w:t xml:space="preserve">reviewed </w:t>
      </w:r>
      <w:r w:rsidR="00E8391F">
        <w:t>include</w:t>
      </w:r>
      <w:r w:rsidR="00165A83">
        <w:t>d</w:t>
      </w:r>
      <w:r w:rsidR="00E8391F">
        <w:t>:</w:t>
      </w:r>
    </w:p>
    <w:p w14:paraId="6401E89D" w14:textId="1126DBD7" w:rsidR="00E8391F" w:rsidRDefault="00E8391F" w:rsidP="00C42451">
      <w:pPr>
        <w:pStyle w:val="Mainbody-Bullets"/>
        <w:jc w:val="both"/>
      </w:pPr>
      <w:r>
        <w:t>How are current DSM offerings reflected in the energy and demand forecast?</w:t>
      </w:r>
    </w:p>
    <w:p w14:paraId="6401E89E" w14:textId="77777777" w:rsidR="00E8391F" w:rsidRDefault="00E8391F" w:rsidP="00C42451">
      <w:pPr>
        <w:pStyle w:val="Mainbody-Bullets"/>
        <w:jc w:val="both"/>
      </w:pPr>
      <w:r>
        <w:t>What are the assumed weather conditions and hour(s) of the day when the system is projected to peak?</w:t>
      </w:r>
    </w:p>
    <w:p w14:paraId="6401E89F" w14:textId="5A36E8D6" w:rsidR="00E8391F" w:rsidRDefault="00E8391F" w:rsidP="00C42451">
      <w:pPr>
        <w:pStyle w:val="Mainbody-Bullets"/>
        <w:jc w:val="both"/>
      </w:pPr>
      <w:r>
        <w:t xml:space="preserve">How much of the load forecast is attributable to </w:t>
      </w:r>
      <w:r w:rsidR="0078025C">
        <w:t>customer</w:t>
      </w:r>
      <w:r>
        <w:t>s that are not eligible for DSM programs</w:t>
      </w:r>
      <w:r w:rsidR="00DB3B24">
        <w:t>?</w:t>
      </w:r>
    </w:p>
    <w:p w14:paraId="6401E8A0" w14:textId="74BCFB60" w:rsidR="00E8391F" w:rsidRDefault="00E8391F" w:rsidP="00C42451">
      <w:pPr>
        <w:pStyle w:val="Mainbody-Bullets"/>
        <w:jc w:val="both"/>
      </w:pPr>
      <w:r>
        <w:t xml:space="preserve">How are projections of population increase, changes in appliance efficiency, and evolving distribution of </w:t>
      </w:r>
      <w:r w:rsidR="007576CB">
        <w:t>end-use</w:t>
      </w:r>
      <w:r>
        <w:t xml:space="preserve"> load shares accounted for in the peak demand forecast? </w:t>
      </w:r>
    </w:p>
    <w:p w14:paraId="6401E8A1" w14:textId="77777777" w:rsidR="00E8391F" w:rsidRDefault="00E8391F" w:rsidP="00C42451">
      <w:pPr>
        <w:pStyle w:val="Mainbody-Bulletsoutforlastbullet"/>
        <w:jc w:val="both"/>
      </w:pPr>
      <w:r>
        <w:t>If separate forecasts are not developed by region or sector, are there trends in the load composition that Nexant should account for in the study?</w:t>
      </w:r>
    </w:p>
    <w:p w14:paraId="6401E8A2" w14:textId="77777777" w:rsidR="00E8391F" w:rsidRDefault="00E8391F" w:rsidP="00E8391F">
      <w:pPr>
        <w:pStyle w:val="Heading4"/>
      </w:pPr>
      <w:bookmarkStart w:id="55" w:name="_Toc455045040"/>
      <w:bookmarkStart w:id="56" w:name="_Toc5715483"/>
      <w:r>
        <w:t>Electricity Consumption (kWh) Forecast</w:t>
      </w:r>
      <w:bookmarkEnd w:id="55"/>
      <w:bookmarkEnd w:id="56"/>
    </w:p>
    <w:p w14:paraId="6401E8A3" w14:textId="43B18428" w:rsidR="00B40E9D" w:rsidRDefault="00E8391F" w:rsidP="00C42451">
      <w:pPr>
        <w:pStyle w:val="Text"/>
        <w:jc w:val="both"/>
      </w:pPr>
      <w:r>
        <w:t>Nexant segment</w:t>
      </w:r>
      <w:r w:rsidR="00165A83">
        <w:t>ed</w:t>
      </w:r>
      <w:r>
        <w:t xml:space="preserve"> the </w:t>
      </w:r>
      <w:r w:rsidR="00145C87">
        <w:t>TECO</w:t>
      </w:r>
      <w:r w:rsidR="00A118ED">
        <w:t xml:space="preserve"> </w:t>
      </w:r>
      <w:r>
        <w:t xml:space="preserve">electricity consumption forecast </w:t>
      </w:r>
      <w:r w:rsidR="00A42F63">
        <w:t xml:space="preserve">into </w:t>
      </w:r>
      <w:r>
        <w:t xml:space="preserve">electricity consumption load shares by customer class and </w:t>
      </w:r>
      <w:r w:rsidR="007576CB">
        <w:t>end-use</w:t>
      </w:r>
      <w:r>
        <w:t xml:space="preserve">. The baseline customer segmentation </w:t>
      </w:r>
      <w:r w:rsidR="000A22FB">
        <w:t xml:space="preserve">represents </w:t>
      </w:r>
      <w:r w:rsidR="00A118ED">
        <w:t>the</w:t>
      </w:r>
      <w:r w:rsidR="00457A82">
        <w:t xml:space="preserve"> </w:t>
      </w:r>
      <w:r>
        <w:t xml:space="preserve">electricity market by describing how electricity </w:t>
      </w:r>
      <w:r w:rsidR="00165A83">
        <w:t>was</w:t>
      </w:r>
      <w:r>
        <w:t xml:space="preserve"> consumed within the service territory</w:t>
      </w:r>
      <w:r w:rsidR="00B40E9D">
        <w:t xml:space="preserve">. Nexant developed these forecasts for the years </w:t>
      </w:r>
      <w:r w:rsidR="00A118ED">
        <w:t>2020-2029</w:t>
      </w:r>
      <w:r w:rsidR="00B40E9D">
        <w:t xml:space="preserve">, and based it on data provided by </w:t>
      </w:r>
      <w:r w:rsidR="00145C87">
        <w:t>TECO</w:t>
      </w:r>
      <w:r w:rsidR="00B76D81">
        <w:t>, primarily their 2017 Ten-Year Site Plan, which was the most rece</w:t>
      </w:r>
      <w:r w:rsidR="00DB3B24">
        <w:t>nt plan available at the time the studies were initiated</w:t>
      </w:r>
      <w:r w:rsidR="00B40E9D">
        <w:t>. The data addressed current baseline consumption, system load</w:t>
      </w:r>
      <w:r w:rsidR="00EC3AA9">
        <w:t>,</w:t>
      </w:r>
      <w:r w:rsidR="00B40E9D">
        <w:t xml:space="preserve"> and sales forecasts. </w:t>
      </w:r>
    </w:p>
    <w:p w14:paraId="6401E8A4" w14:textId="77777777" w:rsidR="00ED5AD5" w:rsidRDefault="00ED5AD5" w:rsidP="00C42451">
      <w:pPr>
        <w:pStyle w:val="Heading4"/>
        <w:jc w:val="both"/>
      </w:pPr>
      <w:bookmarkStart w:id="57" w:name="_Toc455045041"/>
      <w:bookmarkStart w:id="58" w:name="_Toc5715484"/>
      <w:r>
        <w:t>Peak Demand (kW) Forecast</w:t>
      </w:r>
      <w:bookmarkEnd w:id="57"/>
      <w:bookmarkEnd w:id="58"/>
    </w:p>
    <w:p w14:paraId="6401E8A5" w14:textId="6C9EE3BE" w:rsidR="00ED5AD5" w:rsidRDefault="00ED5AD5" w:rsidP="00C42451">
      <w:pPr>
        <w:pStyle w:val="Text"/>
        <w:jc w:val="both"/>
      </w:pPr>
      <w:r w:rsidRPr="008F424E">
        <w:t>A</w:t>
      </w:r>
      <w:r>
        <w:t xml:space="preserve"> </w:t>
      </w:r>
      <w:r w:rsidRPr="008F424E">
        <w:t>fundamental</w:t>
      </w:r>
      <w:r>
        <w:t xml:space="preserve"> </w:t>
      </w:r>
      <w:r w:rsidRPr="008F424E">
        <w:t>component</w:t>
      </w:r>
      <w:r>
        <w:t xml:space="preserve"> </w:t>
      </w:r>
      <w:r w:rsidRPr="008F424E">
        <w:t>of</w:t>
      </w:r>
      <w:r>
        <w:t xml:space="preserve"> </w:t>
      </w:r>
      <w:r w:rsidRPr="008F424E">
        <w:t>DR</w:t>
      </w:r>
      <w:r>
        <w:t xml:space="preserve"> </w:t>
      </w:r>
      <w:r w:rsidRPr="008F424E">
        <w:t>potential</w:t>
      </w:r>
      <w:r>
        <w:t xml:space="preserve"> wa</w:t>
      </w:r>
      <w:r w:rsidRPr="008F424E">
        <w:t>s</w:t>
      </w:r>
      <w:r>
        <w:t xml:space="preserve"> </w:t>
      </w:r>
      <w:r w:rsidRPr="008F424E">
        <w:t>establishing</w:t>
      </w:r>
      <w:r>
        <w:t xml:space="preserve"> </w:t>
      </w:r>
      <w:r w:rsidRPr="008F424E">
        <w:t>a</w:t>
      </w:r>
      <w:r>
        <w:t xml:space="preserve"> </w:t>
      </w:r>
      <w:r w:rsidRPr="008F424E">
        <w:t>baseline</w:t>
      </w:r>
      <w:r>
        <w:t xml:space="preserve"> forecast of w</w:t>
      </w:r>
      <w:r w:rsidRPr="008F424E">
        <w:t>hat</w:t>
      </w:r>
      <w:r>
        <w:t xml:space="preserve"> </w:t>
      </w:r>
      <w:r w:rsidRPr="008F424E">
        <w:t>loads</w:t>
      </w:r>
      <w:r>
        <w:t xml:space="preserve"> </w:t>
      </w:r>
      <w:r w:rsidRPr="008F424E">
        <w:t>or</w:t>
      </w:r>
      <w:r>
        <w:t xml:space="preserve"> operational </w:t>
      </w:r>
      <w:r w:rsidRPr="008F424E">
        <w:t>requiremen</w:t>
      </w:r>
      <w:r>
        <w:t xml:space="preserve">ts </w:t>
      </w:r>
      <w:r w:rsidRPr="008F424E">
        <w:t>would</w:t>
      </w:r>
      <w:r>
        <w:t xml:space="preserve"> </w:t>
      </w:r>
      <w:r w:rsidRPr="008F424E">
        <w:t>be</w:t>
      </w:r>
      <w:r>
        <w:t xml:space="preserve"> </w:t>
      </w:r>
      <w:r w:rsidRPr="008F424E">
        <w:t>absent</w:t>
      </w:r>
      <w:r>
        <w:t xml:space="preserve"> </w:t>
      </w:r>
      <w:r w:rsidR="00DB3B24">
        <w:t xml:space="preserve">due to </w:t>
      </w:r>
      <w:r>
        <w:t xml:space="preserve">existing </w:t>
      </w:r>
      <w:r w:rsidRPr="008F424E">
        <w:t>dispatc</w:t>
      </w:r>
      <w:r>
        <w:t>ha</w:t>
      </w:r>
      <w:r w:rsidRPr="008F424E">
        <w:t>ble</w:t>
      </w:r>
      <w:r>
        <w:t xml:space="preserve"> </w:t>
      </w:r>
      <w:r w:rsidRPr="008F424E">
        <w:t>DR</w:t>
      </w:r>
      <w:r>
        <w:t xml:space="preserve"> </w:t>
      </w:r>
      <w:r w:rsidRPr="008F424E">
        <w:t>or</w:t>
      </w:r>
      <w:r>
        <w:t xml:space="preserve"> time varying </w:t>
      </w:r>
      <w:r w:rsidRPr="008F424E">
        <w:t>rates.</w:t>
      </w:r>
      <w:r>
        <w:t xml:space="preserve"> This </w:t>
      </w:r>
      <w:r w:rsidRPr="008F424E">
        <w:t>baseline</w:t>
      </w:r>
      <w:r>
        <w:t xml:space="preserve"> was necessary to assess how </w:t>
      </w:r>
      <w:r w:rsidRPr="008F424E">
        <w:t>DR</w:t>
      </w:r>
      <w:r>
        <w:t xml:space="preserve"> </w:t>
      </w:r>
      <w:r w:rsidRPr="008F424E">
        <w:t>can</w:t>
      </w:r>
      <w:r>
        <w:t xml:space="preserve"> </w:t>
      </w:r>
      <w:r w:rsidRPr="008F424E">
        <w:t>assist</w:t>
      </w:r>
      <w:r>
        <w:t xml:space="preserve"> </w:t>
      </w:r>
      <w:r w:rsidRPr="008F424E">
        <w:t>in</w:t>
      </w:r>
      <w:r>
        <w:t xml:space="preserve"> </w:t>
      </w:r>
      <w:r w:rsidRPr="008F424E">
        <w:t>meeting</w:t>
      </w:r>
      <w:r>
        <w:t xml:space="preserve"> </w:t>
      </w:r>
      <w:r w:rsidRPr="008F424E">
        <w:t>specific</w:t>
      </w:r>
      <w:r>
        <w:t xml:space="preserve"> </w:t>
      </w:r>
      <w:r w:rsidRPr="008F424E">
        <w:t>planning</w:t>
      </w:r>
      <w:r>
        <w:t xml:space="preserve"> </w:t>
      </w:r>
      <w:r w:rsidRPr="008F424E">
        <w:t>and</w:t>
      </w:r>
      <w:r>
        <w:t xml:space="preserve"> </w:t>
      </w:r>
      <w:r w:rsidRPr="008F424E">
        <w:t>operation</w:t>
      </w:r>
      <w:r>
        <w:t xml:space="preserve">al requirements. We utilized </w:t>
      </w:r>
      <w:r w:rsidR="00145C87">
        <w:t>TECO</w:t>
      </w:r>
      <w:r>
        <w:t xml:space="preserve">’s summer and winter peak demand forecast, which was developed for system planning purposes. </w:t>
      </w:r>
    </w:p>
    <w:p w14:paraId="6401E8A6" w14:textId="77777777" w:rsidR="00ED5AD5" w:rsidRDefault="00ED5AD5" w:rsidP="00C42451">
      <w:pPr>
        <w:pStyle w:val="Heading4"/>
        <w:jc w:val="both"/>
      </w:pPr>
      <w:bookmarkStart w:id="59" w:name="_Toc5715485"/>
      <w:r>
        <w:t>Estimating Consumption by End-Use Technology</w:t>
      </w:r>
      <w:bookmarkEnd w:id="59"/>
    </w:p>
    <w:p w14:paraId="6401E8A7" w14:textId="0924982D" w:rsidR="00ED5AD5" w:rsidRDefault="00ED5AD5" w:rsidP="00C42451">
      <w:pPr>
        <w:pStyle w:val="Text"/>
        <w:jc w:val="both"/>
      </w:pPr>
      <w:r>
        <w:t xml:space="preserve">As part of the forecast disaggregation, Nexant developed a list of electricity </w:t>
      </w:r>
      <w:r w:rsidR="007576CB">
        <w:t>end-use</w:t>
      </w:r>
      <w:r>
        <w:t>s by sector (</w:t>
      </w:r>
      <w:r>
        <w:fldChar w:fldCharType="begin"/>
      </w:r>
      <w:r>
        <w:instrText xml:space="preserve"> REF _Ref430765058 \h </w:instrText>
      </w:r>
      <w:r w:rsidR="005B0452">
        <w:instrText xml:space="preserve"> \* MERGEFORMAT </w:instrText>
      </w:r>
      <w:r>
        <w:fldChar w:fldCharType="separate"/>
      </w:r>
      <w:r w:rsidR="00B30110">
        <w:t xml:space="preserve">Table </w:t>
      </w:r>
      <w:r w:rsidR="00B30110">
        <w:rPr>
          <w:noProof/>
        </w:rPr>
        <w:t>3</w:t>
      </w:r>
      <w:r w:rsidR="00B30110">
        <w:rPr>
          <w:noProof/>
        </w:rPr>
        <w:noBreakHyphen/>
        <w:t>2</w:t>
      </w:r>
      <w:r>
        <w:fldChar w:fldCharType="end"/>
      </w:r>
      <w:r>
        <w:t xml:space="preserve">). To develop this list, Nexant began with </w:t>
      </w:r>
      <w:r w:rsidR="00145C87">
        <w:t>TECO</w:t>
      </w:r>
      <w:r w:rsidR="00070CC1">
        <w:t>’s</w:t>
      </w:r>
      <w:r>
        <w:t xml:space="preserve"> estimates of average end-use consumption by customer and sector. Nexant combined these data with other information, such as </w:t>
      </w:r>
      <w:r w:rsidR="00056560">
        <w:t>utility</w:t>
      </w:r>
      <w:r>
        <w:t xml:space="preserve"> residential appliance saturation surveys, to develop estimates of customers’ baseline consumption. Nexant </w:t>
      </w:r>
      <w:r w:rsidR="002F4F7A">
        <w:t>calibrat</w:t>
      </w:r>
      <w:r>
        <w:t xml:space="preserve">ed the </w:t>
      </w:r>
      <w:r w:rsidR="00B76D81">
        <w:t>utility-provided</w:t>
      </w:r>
      <w:r>
        <w:t xml:space="preserve"> data with data available from public sources, such as</w:t>
      </w:r>
      <w:r w:rsidR="0078025C">
        <w:t xml:space="preserve"> the EIA’s</w:t>
      </w:r>
      <w:r>
        <w:t xml:space="preserve"> recurring data-collection efforts that describe energy end-use consumption for the residential, commercial, and manufacturing sectors.</w:t>
      </w:r>
    </w:p>
    <w:p w14:paraId="6401E8A8" w14:textId="14772636" w:rsidR="00B4188E" w:rsidRDefault="00ED5AD5" w:rsidP="00C42451">
      <w:pPr>
        <w:pStyle w:val="Text"/>
        <w:jc w:val="both"/>
      </w:pPr>
      <w:r>
        <w:t xml:space="preserve">To develop estimates of end-use electricity consumption by customer segment and </w:t>
      </w:r>
      <w:r w:rsidR="007576CB">
        <w:t>end-use</w:t>
      </w:r>
      <w:r>
        <w:t>, Nexant applied estimates of end-use and equipment-type saturation to the average energy consumption for each sector.</w:t>
      </w:r>
      <w:r w:rsidR="00B4188E">
        <w:t xml:space="preserve"> The following data sources and adjustments were used in developing the base year </w:t>
      </w:r>
      <w:r w:rsidR="00B76D81">
        <w:t>2020</w:t>
      </w:r>
      <w:r w:rsidR="00EC3AA9">
        <w:t xml:space="preserve"> </w:t>
      </w:r>
      <w:r w:rsidR="00B4188E">
        <w:t xml:space="preserve">sales by </w:t>
      </w:r>
      <w:r w:rsidR="007576CB">
        <w:t>end-use</w:t>
      </w:r>
      <w:r w:rsidR="00B4188E">
        <w:t>:</w:t>
      </w:r>
    </w:p>
    <w:p w14:paraId="6401E8A9" w14:textId="77777777" w:rsidR="00106AAE" w:rsidRDefault="00106AAE" w:rsidP="00C42451">
      <w:pPr>
        <w:pStyle w:val="Heading5"/>
        <w:jc w:val="both"/>
      </w:pPr>
      <w:r w:rsidRPr="00106AAE">
        <w:t>Residential sector</w:t>
      </w:r>
      <w:r>
        <w:t>:</w:t>
      </w:r>
    </w:p>
    <w:p w14:paraId="6401E8AA" w14:textId="70B8917F" w:rsidR="00106AAE" w:rsidRDefault="00067814" w:rsidP="00C42451">
      <w:pPr>
        <w:pStyle w:val="Mainbody-Bullets"/>
        <w:jc w:val="both"/>
      </w:pPr>
      <w:r>
        <w:t>The disaggregation</w:t>
      </w:r>
      <w:r w:rsidR="00B4188E">
        <w:t xml:space="preserve"> was based on </w:t>
      </w:r>
      <w:r w:rsidR="00145C87">
        <w:t>TECO</w:t>
      </w:r>
      <w:r w:rsidR="00457A82" w:rsidRPr="00B4188E">
        <w:t xml:space="preserve"> </w:t>
      </w:r>
      <w:r w:rsidR="00B4188E" w:rsidRPr="00B4188E">
        <w:t>rate class load shares</w:t>
      </w:r>
      <w:r w:rsidR="009F72DE">
        <w:t xml:space="preserve"> and </w:t>
      </w:r>
      <w:r w:rsidR="00B4188E" w:rsidRPr="00B4188E">
        <w:t>intensities</w:t>
      </w:r>
      <w:r w:rsidR="00106AAE">
        <w:t xml:space="preserve">. </w:t>
      </w:r>
    </w:p>
    <w:p w14:paraId="6401E8AB" w14:textId="1A9B2416" w:rsidR="00106AAE" w:rsidRDefault="002F4F7A" w:rsidP="00C42451">
      <w:pPr>
        <w:pStyle w:val="Mainbody-Bullets"/>
        <w:jc w:val="both"/>
      </w:pPr>
      <w:r>
        <w:t>B</w:t>
      </w:r>
      <w:r w:rsidR="00106AAE">
        <w:t xml:space="preserve">aseline intensity </w:t>
      </w:r>
      <w:r>
        <w:t xml:space="preserve">was calibrated </w:t>
      </w:r>
      <w:r w:rsidR="009F72DE">
        <w:t xml:space="preserve">to account for differences in </w:t>
      </w:r>
      <w:r w:rsidR="007576CB">
        <w:t>end-use</w:t>
      </w:r>
      <w:r w:rsidR="00106AAE">
        <w:t xml:space="preserve"> saturation, fuel source, and equipment saturation as follows: </w:t>
      </w:r>
    </w:p>
    <w:p w14:paraId="6401E8AC" w14:textId="282050BC" w:rsidR="00B4188E" w:rsidRDefault="00145C87" w:rsidP="00C42451">
      <w:pPr>
        <w:pStyle w:val="Mainbody-Bullets"/>
        <w:numPr>
          <w:ilvl w:val="1"/>
          <w:numId w:val="4"/>
        </w:numPr>
        <w:jc w:val="both"/>
      </w:pPr>
      <w:r>
        <w:t>TECO</w:t>
      </w:r>
      <w:r w:rsidR="00106AAE" w:rsidRPr="00106AAE">
        <w:t xml:space="preserve"> rate class load share </w:t>
      </w:r>
      <w:r w:rsidR="00106AAE">
        <w:t xml:space="preserve">is </w:t>
      </w:r>
      <w:r w:rsidR="00106AAE" w:rsidRPr="00106AAE">
        <w:t>based on average per customer</w:t>
      </w:r>
      <w:r w:rsidR="00106AAE">
        <w:t>.</w:t>
      </w:r>
    </w:p>
    <w:p w14:paraId="6401E8AD" w14:textId="4F76C76B" w:rsidR="00106AAE" w:rsidRDefault="00106AAE" w:rsidP="00C42451">
      <w:pPr>
        <w:pStyle w:val="Mainbody-Bullets"/>
        <w:numPr>
          <w:ilvl w:val="1"/>
          <w:numId w:val="4"/>
        </w:numPr>
        <w:jc w:val="both"/>
      </w:pPr>
      <w:r>
        <w:t xml:space="preserve">Nexant made conversions to </w:t>
      </w:r>
      <w:r w:rsidR="00636537">
        <w:t xml:space="preserve">usage </w:t>
      </w:r>
      <w:r w:rsidR="00031E08">
        <w:t xml:space="preserve">estimates generated by applying </w:t>
      </w:r>
      <w:r w:rsidR="00494787">
        <w:t xml:space="preserve">utility-provided </w:t>
      </w:r>
      <w:r w:rsidR="00031E08">
        <w:t xml:space="preserve">residential appliance saturation </w:t>
      </w:r>
      <w:r w:rsidR="00494787">
        <w:t xml:space="preserve">surveys </w:t>
      </w:r>
      <w:r w:rsidR="00031E08">
        <w:t xml:space="preserve">(RASS) and EIA </w:t>
      </w:r>
      <w:r w:rsidR="007576CB">
        <w:t>end-use</w:t>
      </w:r>
      <w:r w:rsidR="00031E08">
        <w:t xml:space="preserve"> modeling estimates</w:t>
      </w:r>
      <w:r>
        <w:t>.</w:t>
      </w:r>
    </w:p>
    <w:p w14:paraId="6401E8AF" w14:textId="1ACD3308" w:rsidR="00EF10DC" w:rsidRDefault="00EF10DC" w:rsidP="00C42451">
      <w:pPr>
        <w:pStyle w:val="Heading5"/>
        <w:jc w:val="both"/>
      </w:pPr>
      <w:r>
        <w:t>Commercial</w:t>
      </w:r>
      <w:r w:rsidRPr="00106AAE">
        <w:t xml:space="preserve"> sector</w:t>
      </w:r>
      <w:r>
        <w:t>:</w:t>
      </w:r>
    </w:p>
    <w:p w14:paraId="6401E8B0" w14:textId="17CE421F" w:rsidR="00EF10DC" w:rsidRDefault="00067814" w:rsidP="00C42451">
      <w:pPr>
        <w:pStyle w:val="Mainbody-Bullets"/>
        <w:jc w:val="both"/>
      </w:pPr>
      <w:r>
        <w:t xml:space="preserve">The disaggregation </w:t>
      </w:r>
      <w:r w:rsidR="00EF10DC">
        <w:t>was b</w:t>
      </w:r>
      <w:r w:rsidR="00EF10DC" w:rsidRPr="00EF10DC">
        <w:t xml:space="preserve">ased on </w:t>
      </w:r>
      <w:r w:rsidR="00145C87">
        <w:t>TECO</w:t>
      </w:r>
      <w:r w:rsidR="009F72DE" w:rsidRPr="00EF10DC">
        <w:t xml:space="preserve"> </w:t>
      </w:r>
      <w:r w:rsidR="00EF10DC" w:rsidRPr="00EF10DC">
        <w:t xml:space="preserve">rate class load shares, intensities, and EIA </w:t>
      </w:r>
      <w:r w:rsidR="00494787">
        <w:t>CBECS</w:t>
      </w:r>
      <w:r w:rsidR="00EF10DC" w:rsidRPr="00EF10DC">
        <w:t xml:space="preserve"> data</w:t>
      </w:r>
      <w:r w:rsidR="00EF10DC">
        <w:t>.</w:t>
      </w:r>
    </w:p>
    <w:p w14:paraId="6401E8B1" w14:textId="38F870EB" w:rsidR="00EF10DC" w:rsidRDefault="00494787" w:rsidP="00C42451">
      <w:pPr>
        <w:pStyle w:val="Mainbody-Bullets"/>
        <w:jc w:val="both"/>
      </w:pPr>
      <w:r>
        <w:t>Segment data from EIA</w:t>
      </w:r>
      <w:r w:rsidR="00EF10DC" w:rsidRPr="00EF10DC">
        <w:t xml:space="preserve"> </w:t>
      </w:r>
      <w:r w:rsidR="00A118ED">
        <w:t xml:space="preserve">and </w:t>
      </w:r>
      <w:r w:rsidR="00145C87">
        <w:t>TECO</w:t>
      </w:r>
      <w:r w:rsidR="00EF10DC">
        <w:t>.</w:t>
      </w:r>
    </w:p>
    <w:p w14:paraId="6401E8B2" w14:textId="2BC72C5B" w:rsidR="00EF10DC" w:rsidRDefault="002F4F7A" w:rsidP="00C42451">
      <w:pPr>
        <w:pStyle w:val="Mainbody-Bullets"/>
        <w:jc w:val="both"/>
      </w:pPr>
      <w:r>
        <w:t xml:space="preserve">Baseline intensity was calibrated to account for differences in </w:t>
      </w:r>
      <w:r w:rsidR="007576CB">
        <w:t>end-use</w:t>
      </w:r>
      <w:r>
        <w:t xml:space="preserve"> saturation, fuel source, and equipment saturation as follows</w:t>
      </w:r>
      <w:r w:rsidR="00EF10DC">
        <w:t xml:space="preserve">: </w:t>
      </w:r>
    </w:p>
    <w:p w14:paraId="6401E8B3" w14:textId="549A3D3C" w:rsidR="00EF10DC" w:rsidRDefault="00A118ED" w:rsidP="00C42451">
      <w:pPr>
        <w:pStyle w:val="Mainbody-Bullets"/>
        <w:numPr>
          <w:ilvl w:val="1"/>
          <w:numId w:val="4"/>
        </w:numPr>
        <w:jc w:val="both"/>
      </w:pPr>
      <w:r>
        <w:t>R</w:t>
      </w:r>
      <w:r w:rsidR="00EF10DC" w:rsidRPr="00EF10DC">
        <w:t xml:space="preserve">ate class load share based on EIA CBECS and </w:t>
      </w:r>
      <w:r w:rsidR="007576CB">
        <w:t>end-use</w:t>
      </w:r>
      <w:r w:rsidR="00EF10DC" w:rsidRPr="00EF10DC">
        <w:t xml:space="preserve"> forecasts from </w:t>
      </w:r>
      <w:r w:rsidR="00145C87">
        <w:t>TECO</w:t>
      </w:r>
      <w:r w:rsidR="00EF10DC">
        <w:t>.</w:t>
      </w:r>
    </w:p>
    <w:p w14:paraId="6401E8B5" w14:textId="4EB96C4C" w:rsidR="00EF10DC" w:rsidRDefault="00EF10DC" w:rsidP="00C42451">
      <w:pPr>
        <w:pStyle w:val="Heading5"/>
        <w:jc w:val="both"/>
      </w:pPr>
      <w:r>
        <w:t>Industrial</w:t>
      </w:r>
      <w:r w:rsidRPr="00106AAE">
        <w:t xml:space="preserve"> sector</w:t>
      </w:r>
      <w:r>
        <w:t>:</w:t>
      </w:r>
    </w:p>
    <w:p w14:paraId="6401E8B6" w14:textId="6128CB2C" w:rsidR="00EF10DC" w:rsidRDefault="00067814" w:rsidP="00C42451">
      <w:pPr>
        <w:pStyle w:val="Mainbody-Bullets"/>
        <w:jc w:val="both"/>
      </w:pPr>
      <w:r>
        <w:t xml:space="preserve">The disaggregation </w:t>
      </w:r>
      <w:r w:rsidR="00EF10DC">
        <w:t>was b</w:t>
      </w:r>
      <w:r w:rsidR="00A118ED">
        <w:t>ased on</w:t>
      </w:r>
      <w:r w:rsidR="009C36CE">
        <w:t xml:space="preserve"> </w:t>
      </w:r>
      <w:r w:rsidR="00EF10DC" w:rsidRPr="00EF10DC">
        <w:t xml:space="preserve">rate class load shares, intensities, and EIA </w:t>
      </w:r>
      <w:r w:rsidR="00494787">
        <w:t xml:space="preserve">MECS </w:t>
      </w:r>
      <w:r w:rsidR="00EF10DC" w:rsidRPr="00EF10DC">
        <w:t>data</w:t>
      </w:r>
      <w:r w:rsidR="00EF10DC">
        <w:t>.</w:t>
      </w:r>
    </w:p>
    <w:p w14:paraId="6401E8B7" w14:textId="01D31FDA" w:rsidR="00EF10DC" w:rsidRDefault="00494787" w:rsidP="00C42451">
      <w:pPr>
        <w:pStyle w:val="Mainbody-Bullets"/>
        <w:jc w:val="both"/>
      </w:pPr>
      <w:r>
        <w:t>Segment data from EIA</w:t>
      </w:r>
      <w:r w:rsidR="00EF10DC" w:rsidRPr="00EF10DC">
        <w:t xml:space="preserve"> </w:t>
      </w:r>
      <w:r w:rsidR="00A118ED">
        <w:t xml:space="preserve">and </w:t>
      </w:r>
      <w:r w:rsidR="00145C87">
        <w:t>TECO</w:t>
      </w:r>
      <w:r w:rsidR="00EF10DC">
        <w:t>.</w:t>
      </w:r>
    </w:p>
    <w:p w14:paraId="6401E8B8" w14:textId="64AF2467" w:rsidR="00EF10DC" w:rsidRDefault="002F4F7A" w:rsidP="00C42451">
      <w:pPr>
        <w:pStyle w:val="Mainbody-Bullets"/>
        <w:jc w:val="both"/>
      </w:pPr>
      <w:r>
        <w:t xml:space="preserve">Baseline intensity was calibrated to account for differences in </w:t>
      </w:r>
      <w:r w:rsidR="007576CB">
        <w:t>end-use</w:t>
      </w:r>
      <w:r>
        <w:t xml:space="preserve"> saturation, fuel source, and equipment saturation as follows</w:t>
      </w:r>
      <w:r w:rsidR="00EF10DC">
        <w:t xml:space="preserve">: </w:t>
      </w:r>
    </w:p>
    <w:p w14:paraId="6401E8B9" w14:textId="256CC774" w:rsidR="00EF10DC" w:rsidRDefault="00A118ED" w:rsidP="00C42451">
      <w:pPr>
        <w:pStyle w:val="Mainbody-Bullets"/>
        <w:numPr>
          <w:ilvl w:val="1"/>
          <w:numId w:val="4"/>
        </w:numPr>
        <w:jc w:val="both"/>
      </w:pPr>
      <w:r>
        <w:t>R</w:t>
      </w:r>
      <w:r w:rsidR="00EF10DC" w:rsidRPr="00EF10DC">
        <w:t xml:space="preserve">ate class load share based on EIA MECS and </w:t>
      </w:r>
      <w:r w:rsidR="007576CB">
        <w:t>end-use</w:t>
      </w:r>
      <w:r w:rsidR="00EF10DC" w:rsidRPr="00EF10DC">
        <w:t xml:space="preserve"> forecasts from </w:t>
      </w:r>
      <w:r w:rsidR="00145C87">
        <w:t>TECO</w:t>
      </w:r>
      <w:r w:rsidR="00EF10DC">
        <w:t>.</w:t>
      </w:r>
    </w:p>
    <w:p w14:paraId="6401E8BB" w14:textId="77777777" w:rsidR="00165A83" w:rsidRDefault="00165A83" w:rsidP="00C42451">
      <w:pPr>
        <w:pStyle w:val="Heading2"/>
        <w:jc w:val="both"/>
      </w:pPr>
      <w:bookmarkStart w:id="60" w:name="_Toc5715486"/>
      <w:r>
        <w:t>Analysis</w:t>
      </w:r>
      <w:r w:rsidR="00CB696C">
        <w:t xml:space="preserve"> of Customer Segmentation</w:t>
      </w:r>
      <w:bookmarkEnd w:id="60"/>
      <w:r w:rsidR="00CB696C">
        <w:t xml:space="preserve"> </w:t>
      </w:r>
    </w:p>
    <w:p w14:paraId="6401E8BC" w14:textId="0B3791C6" w:rsidR="003E0048" w:rsidRDefault="009F72DE" w:rsidP="00C42451">
      <w:pPr>
        <w:pStyle w:val="Text"/>
        <w:jc w:val="both"/>
      </w:pPr>
      <w:r>
        <w:t xml:space="preserve">Customer segmentation </w:t>
      </w:r>
      <w:r w:rsidR="000B7C91">
        <w:t>is important to ensuring that a M</w:t>
      </w:r>
      <w:r w:rsidR="00494787">
        <w:t xml:space="preserve">PS examines DSM measure savings </w:t>
      </w:r>
      <w:r>
        <w:t xml:space="preserve">potential in a manner that reflects the diversity of energy savings opportunities existing across </w:t>
      </w:r>
      <w:r w:rsidR="00A118ED">
        <w:t>the utility’s</w:t>
      </w:r>
      <w:r>
        <w:t xml:space="preserve"> customer base</w:t>
      </w:r>
      <w:r w:rsidR="000B7C91">
        <w:t xml:space="preserve">. </w:t>
      </w:r>
      <w:r w:rsidR="00145C87">
        <w:t>TECO</w:t>
      </w:r>
      <w:r w:rsidR="00466C63">
        <w:t xml:space="preserve"> provided Nexant with data </w:t>
      </w:r>
      <w:r w:rsidR="00E11295">
        <w:t>concerning</w:t>
      </w:r>
      <w:r w:rsidR="00466C63">
        <w:t xml:space="preserve"> </w:t>
      </w:r>
      <w:r w:rsidR="00E11295">
        <w:t xml:space="preserve">the </w:t>
      </w:r>
      <w:r w:rsidR="00C42F4B">
        <w:t xml:space="preserve">premise type and loads </w:t>
      </w:r>
      <w:r w:rsidR="00466C63">
        <w:t xml:space="preserve">characteristics for all customers </w:t>
      </w:r>
      <w:r w:rsidR="00C42F4B">
        <w:t xml:space="preserve">for </w:t>
      </w:r>
      <w:r w:rsidR="00466C63">
        <w:t>the MPS</w:t>
      </w:r>
      <w:r w:rsidR="00C42F4B">
        <w:t xml:space="preserve"> analysis</w:t>
      </w:r>
      <w:r w:rsidR="00466C63">
        <w:t xml:space="preserve">. Nexant examined </w:t>
      </w:r>
      <w:r w:rsidR="00C42F4B">
        <w:t xml:space="preserve">the </w:t>
      </w:r>
      <w:r w:rsidR="00494787">
        <w:t>provided</w:t>
      </w:r>
      <w:r w:rsidR="00C42F4B">
        <w:t xml:space="preserve"> </w:t>
      </w:r>
      <w:r w:rsidR="00466C63">
        <w:t xml:space="preserve">data from multiple perspectives to identify customer segments. </w:t>
      </w:r>
      <w:r w:rsidR="00DD4C4D">
        <w:t>Nexant’s</w:t>
      </w:r>
      <w:r w:rsidR="00466C63">
        <w:t xml:space="preserve"> approach to</w:t>
      </w:r>
      <w:r w:rsidR="00734683">
        <w:t xml:space="preserve"> </w:t>
      </w:r>
      <w:r w:rsidR="00466C63">
        <w:t>segmentation varie</w:t>
      </w:r>
      <w:r w:rsidR="00DD4C4D">
        <w:t>d</w:t>
      </w:r>
      <w:r w:rsidR="00466C63">
        <w:t xml:space="preserve"> slightly for </w:t>
      </w:r>
      <w:r w:rsidR="0078025C">
        <w:t>non-residential</w:t>
      </w:r>
      <w:r w:rsidR="00466C63">
        <w:t xml:space="preserve"> and residential </w:t>
      </w:r>
      <w:r w:rsidR="00454284">
        <w:t>customers</w:t>
      </w:r>
      <w:r w:rsidR="00466C63">
        <w:t xml:space="preserve">, but the overall logic </w:t>
      </w:r>
      <w:r w:rsidR="00DD4C4D">
        <w:t>was</w:t>
      </w:r>
      <w:r w:rsidR="00466C63">
        <w:t xml:space="preserve"> consistent with </w:t>
      </w:r>
      <w:r w:rsidR="00DD4C4D">
        <w:t xml:space="preserve">the concept of </w:t>
      </w:r>
      <w:r w:rsidR="00466C63">
        <w:t xml:space="preserve">expressing </w:t>
      </w:r>
      <w:r w:rsidR="00DD4C4D">
        <w:t xml:space="preserve">the </w:t>
      </w:r>
      <w:r w:rsidR="00454284">
        <w:t>customers</w:t>
      </w:r>
      <w:r w:rsidR="00466C63">
        <w:t xml:space="preserve"> in terms that </w:t>
      </w:r>
      <w:r w:rsidR="00DD4C4D">
        <w:t>we</w:t>
      </w:r>
      <w:r w:rsidR="00466C63">
        <w:t xml:space="preserve">re relevant to DSM opportunities. </w:t>
      </w:r>
    </w:p>
    <w:p w14:paraId="64DF006C" w14:textId="18A1BF34" w:rsidR="00162C9E" w:rsidRDefault="00162C9E" w:rsidP="00162C9E">
      <w:pPr>
        <w:pStyle w:val="Heading3"/>
      </w:pPr>
      <w:bookmarkStart w:id="61" w:name="_Toc5715487"/>
      <w:r>
        <w:t xml:space="preserve">Residential </w:t>
      </w:r>
      <w:r w:rsidR="0078025C">
        <w:t>Customers</w:t>
      </w:r>
      <w:r>
        <w:t xml:space="preserve"> (EE</w:t>
      </w:r>
      <w:r w:rsidR="00E540CA">
        <w:t>, DR,</w:t>
      </w:r>
      <w:r>
        <w:t xml:space="preserve"> and DSRE Analysis)</w:t>
      </w:r>
      <w:bookmarkEnd w:id="61"/>
    </w:p>
    <w:p w14:paraId="5A202EE9" w14:textId="7EAC3D78" w:rsidR="00162C9E" w:rsidRDefault="00162C9E" w:rsidP="00C42451">
      <w:pPr>
        <w:pStyle w:val="Text"/>
        <w:jc w:val="both"/>
      </w:pPr>
      <w:r>
        <w:t xml:space="preserve">Segmentation of residential customer accounts enabled Nexant to align DSM opportunities with appropriate DSM measures. Nexant used </w:t>
      </w:r>
      <w:r w:rsidR="00B76D81">
        <w:t xml:space="preserve">utility customer data, supplemented with EIA data, </w:t>
      </w:r>
      <w:r>
        <w:t xml:space="preserve">to segment the residential sector by customer dwelling type </w:t>
      </w:r>
      <w:r w:rsidR="0078025C">
        <w:t>(single family,</w:t>
      </w:r>
      <w:r w:rsidR="00DC25AD">
        <w:t xml:space="preserve"> multi-family</w:t>
      </w:r>
      <w:r w:rsidR="0078025C">
        <w:t>, or manufactured home</w:t>
      </w:r>
      <w:r w:rsidR="00DC25AD">
        <w:t>)</w:t>
      </w:r>
      <w:r>
        <w:t xml:space="preserve">. The resulting distribution of customers according to dwelling unit type is presented in </w:t>
      </w:r>
      <w:r>
        <w:fldChar w:fldCharType="begin"/>
      </w:r>
      <w:r>
        <w:instrText xml:space="preserve"> REF _Ref2530408 \h </w:instrText>
      </w:r>
      <w:r>
        <w:fldChar w:fldCharType="separate"/>
      </w:r>
      <w:r w:rsidR="00B30110">
        <w:t xml:space="preserve">Figure </w:t>
      </w:r>
      <w:r w:rsidR="00B30110">
        <w:rPr>
          <w:noProof/>
        </w:rPr>
        <w:t>3</w:t>
      </w:r>
      <w:r w:rsidR="00B30110">
        <w:noBreakHyphen/>
      </w:r>
      <w:r w:rsidR="00B30110">
        <w:rPr>
          <w:noProof/>
        </w:rPr>
        <w:t>1</w:t>
      </w:r>
      <w:r>
        <w:fldChar w:fldCharType="end"/>
      </w:r>
      <w:r>
        <w:t>.</w:t>
      </w:r>
    </w:p>
    <w:p w14:paraId="1FB48E44" w14:textId="77777777" w:rsidR="00162C9E" w:rsidRDefault="00162C9E" w:rsidP="00162C9E">
      <w:pPr>
        <w:pStyle w:val="Caption"/>
      </w:pPr>
      <w:bookmarkStart w:id="62" w:name="_Ref2530408"/>
      <w:bookmarkStart w:id="63" w:name="_Toc5715415"/>
      <w:r>
        <w:t xml:space="preserve">Figure </w:t>
      </w:r>
      <w:r>
        <w:rPr>
          <w:noProof/>
        </w:rPr>
        <w:fldChar w:fldCharType="begin"/>
      </w:r>
      <w:r>
        <w:rPr>
          <w:noProof/>
        </w:rPr>
        <w:instrText xml:space="preserve"> STYLEREF 1 \s </w:instrText>
      </w:r>
      <w:r>
        <w:rPr>
          <w:noProof/>
        </w:rPr>
        <w:fldChar w:fldCharType="separate"/>
      </w:r>
      <w:r w:rsidR="00B30110">
        <w:rPr>
          <w:noProof/>
        </w:rPr>
        <w:t>3</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B30110">
        <w:rPr>
          <w:noProof/>
        </w:rPr>
        <w:t>1</w:t>
      </w:r>
      <w:r>
        <w:rPr>
          <w:noProof/>
        </w:rPr>
        <w:fldChar w:fldCharType="end"/>
      </w:r>
      <w:bookmarkEnd w:id="62"/>
      <w:r>
        <w:t>: Residential Customer Segmentation</w:t>
      </w:r>
      <w:bookmarkEnd w:id="63"/>
    </w:p>
    <w:p w14:paraId="6CC29693" w14:textId="6B8A49B7" w:rsidR="00162C9E" w:rsidRDefault="008141FC" w:rsidP="00162C9E">
      <w:pPr>
        <w:pStyle w:val="Caption"/>
      </w:pPr>
      <w:r>
        <w:rPr>
          <w:noProof/>
        </w:rPr>
        <w:drawing>
          <wp:inline distT="0" distB="0" distL="0" distR="0" wp14:anchorId="7AA15E17" wp14:editId="250AE837">
            <wp:extent cx="4314825" cy="33592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38385" cy="3377629"/>
                    </a:xfrm>
                    <a:prstGeom prst="rect">
                      <a:avLst/>
                    </a:prstGeom>
                    <a:noFill/>
                  </pic:spPr>
                </pic:pic>
              </a:graphicData>
            </a:graphic>
          </wp:inline>
        </w:drawing>
      </w:r>
    </w:p>
    <w:p w14:paraId="0017775F" w14:textId="77777777" w:rsidR="00162C9E" w:rsidRDefault="00162C9E" w:rsidP="00162C9E">
      <w:pPr>
        <w:pStyle w:val="Text"/>
      </w:pPr>
    </w:p>
    <w:p w14:paraId="6401E8BD" w14:textId="657186EB" w:rsidR="00EE455B" w:rsidRDefault="0078025C" w:rsidP="00B4188E">
      <w:pPr>
        <w:pStyle w:val="Heading3"/>
      </w:pPr>
      <w:bookmarkStart w:id="64" w:name="_Toc5715488"/>
      <w:r>
        <w:t>Non-Residential (</w:t>
      </w:r>
      <w:r w:rsidR="00C127DF">
        <w:t>Commercial and Industrial</w:t>
      </w:r>
      <w:r>
        <w:t>) Customers</w:t>
      </w:r>
      <w:r w:rsidR="003E0048">
        <w:t xml:space="preserve"> (EE </w:t>
      </w:r>
      <w:r w:rsidR="009365E0">
        <w:t xml:space="preserve">and DSRE </w:t>
      </w:r>
      <w:r w:rsidR="003E0048">
        <w:t>Analysis)</w:t>
      </w:r>
      <w:bookmarkEnd w:id="64"/>
    </w:p>
    <w:p w14:paraId="6401E8BE" w14:textId="4D7F12AE" w:rsidR="001C16C9" w:rsidRDefault="00DC25AD" w:rsidP="00C42451">
      <w:pPr>
        <w:pStyle w:val="Text"/>
        <w:jc w:val="both"/>
      </w:pPr>
      <w:r>
        <w:t xml:space="preserve">For the EE and DSRE analysis, Nexant segmented C&amp;I </w:t>
      </w:r>
      <w:r w:rsidR="00454284">
        <w:t>customers</w:t>
      </w:r>
      <w:r>
        <w:t xml:space="preserve"> using the utility’s North American Industry Classification System (NAICS) or Standard Industrial Classification (SIC) codes, </w:t>
      </w:r>
      <w:r w:rsidR="003434B6">
        <w:t xml:space="preserve">supplemented by </w:t>
      </w:r>
      <w:r w:rsidR="00D947DF">
        <w:t xml:space="preserve">data produced by the </w:t>
      </w:r>
      <w:r w:rsidR="00B43C2B">
        <w:t>EIA’s</w:t>
      </w:r>
      <w:r w:rsidR="00D947DF">
        <w:t xml:space="preserve"> CBECS</w:t>
      </w:r>
      <w:r w:rsidR="001C16C9">
        <w:t xml:space="preserve"> and MECS</w:t>
      </w:r>
      <w:r w:rsidR="007B385B">
        <w:t>.</w:t>
      </w:r>
      <w:r w:rsidR="00DD4C4D">
        <w:t xml:space="preserve"> </w:t>
      </w:r>
      <w:r w:rsidR="00466C63">
        <w:t xml:space="preserve">Nexant classified </w:t>
      </w:r>
      <w:r w:rsidR="00437B5D">
        <w:t>the customers</w:t>
      </w:r>
      <w:r w:rsidR="00466C63">
        <w:t xml:space="preserve"> </w:t>
      </w:r>
      <w:r w:rsidR="00437B5D">
        <w:t xml:space="preserve">in this group </w:t>
      </w:r>
      <w:r w:rsidR="00466C63">
        <w:t xml:space="preserve">as </w:t>
      </w:r>
      <w:r w:rsidR="00466C63" w:rsidRPr="00977BF2">
        <w:rPr>
          <w:i/>
        </w:rPr>
        <w:t>either</w:t>
      </w:r>
      <w:r w:rsidR="00466C63">
        <w:t xml:space="preserve"> commercial or industrial, on the basis of DSM measure information available and applicable to each. </w:t>
      </w:r>
      <w:r w:rsidR="00437B5D">
        <w:t>For example, agriculture and forestry DSM measures are commonly considered industrial savings opportunities</w:t>
      </w:r>
      <w:r w:rsidR="001C16C9">
        <w:t xml:space="preserve">. </w:t>
      </w:r>
      <w:r w:rsidR="00437B5D">
        <w:t xml:space="preserve">Nexant based this classification on the types of DSM measures applicable by segment, rather than on the annual energy consumption or maximum instantaneous demand from the segment as a whole. </w:t>
      </w:r>
      <w:r w:rsidR="001C16C9">
        <w:t xml:space="preserve">The estimated </w:t>
      </w:r>
      <w:r w:rsidR="0078025C">
        <w:t xml:space="preserve">energy </w:t>
      </w:r>
      <w:r w:rsidR="001C16C9">
        <w:t xml:space="preserve">sales distributions Nexant applied are </w:t>
      </w:r>
      <w:r>
        <w:t xml:space="preserve">shown </w:t>
      </w:r>
      <w:r w:rsidR="001C16C9">
        <w:t xml:space="preserve">below in </w:t>
      </w:r>
      <w:r w:rsidR="00D81D20">
        <w:fldChar w:fldCharType="begin"/>
      </w:r>
      <w:r w:rsidR="00D81D20">
        <w:instrText xml:space="preserve"> REF _Ref497471515 \h </w:instrText>
      </w:r>
      <w:r w:rsidR="00D81D20">
        <w:fldChar w:fldCharType="separate"/>
      </w:r>
      <w:r w:rsidR="00B30110">
        <w:t xml:space="preserve">Figure </w:t>
      </w:r>
      <w:r w:rsidR="00B30110">
        <w:rPr>
          <w:noProof/>
        </w:rPr>
        <w:t>3</w:t>
      </w:r>
      <w:r w:rsidR="00B30110">
        <w:noBreakHyphen/>
      </w:r>
      <w:r w:rsidR="00B30110">
        <w:rPr>
          <w:noProof/>
        </w:rPr>
        <w:t>2</w:t>
      </w:r>
      <w:r w:rsidR="00D81D20">
        <w:fldChar w:fldCharType="end"/>
      </w:r>
      <w:r w:rsidR="00D81D20">
        <w:t xml:space="preserve"> </w:t>
      </w:r>
      <w:r w:rsidR="001C16C9">
        <w:t xml:space="preserve">and </w:t>
      </w:r>
      <w:r w:rsidR="00D81D20">
        <w:fldChar w:fldCharType="begin"/>
      </w:r>
      <w:r w:rsidR="00D81D20">
        <w:instrText xml:space="preserve"> REF _Ref497471521 \h </w:instrText>
      </w:r>
      <w:r w:rsidR="00D81D20">
        <w:fldChar w:fldCharType="separate"/>
      </w:r>
      <w:r w:rsidR="00B30110">
        <w:t xml:space="preserve">Figure </w:t>
      </w:r>
      <w:r w:rsidR="00B30110">
        <w:rPr>
          <w:noProof/>
        </w:rPr>
        <w:t>3</w:t>
      </w:r>
      <w:r w:rsidR="00B30110">
        <w:noBreakHyphen/>
      </w:r>
      <w:r w:rsidR="00B30110">
        <w:rPr>
          <w:noProof/>
        </w:rPr>
        <w:t>3</w:t>
      </w:r>
      <w:r w:rsidR="00D81D20">
        <w:fldChar w:fldCharType="end"/>
      </w:r>
      <w:r w:rsidR="001C16C9">
        <w:t>.</w:t>
      </w:r>
    </w:p>
    <w:p w14:paraId="6401E8BF" w14:textId="37CABFC0" w:rsidR="001C16C9" w:rsidRDefault="001C16C9" w:rsidP="001C16C9">
      <w:pPr>
        <w:pStyle w:val="Caption"/>
      </w:pPr>
      <w:bookmarkStart w:id="65" w:name="_Ref497471515"/>
      <w:bookmarkStart w:id="66" w:name="_Toc5715416"/>
      <w:r>
        <w:t xml:space="preserve">Figure </w:t>
      </w:r>
      <w:r w:rsidR="0025777A">
        <w:rPr>
          <w:noProof/>
        </w:rPr>
        <w:fldChar w:fldCharType="begin"/>
      </w:r>
      <w:r w:rsidR="0025777A">
        <w:rPr>
          <w:noProof/>
        </w:rPr>
        <w:instrText xml:space="preserve"> STYLEREF 1 \s </w:instrText>
      </w:r>
      <w:r w:rsidR="0025777A">
        <w:rPr>
          <w:noProof/>
        </w:rPr>
        <w:fldChar w:fldCharType="separate"/>
      </w:r>
      <w:r w:rsidR="00B30110">
        <w:rPr>
          <w:noProof/>
        </w:rPr>
        <w:t>3</w:t>
      </w:r>
      <w:r w:rsidR="0025777A">
        <w:rPr>
          <w:noProof/>
        </w:rPr>
        <w:fldChar w:fldCharType="end"/>
      </w:r>
      <w:r w:rsidR="00A118ED">
        <w:noBreakHyphen/>
      </w:r>
      <w:r w:rsidR="0025777A">
        <w:rPr>
          <w:noProof/>
        </w:rPr>
        <w:fldChar w:fldCharType="begin"/>
      </w:r>
      <w:r w:rsidR="0025777A">
        <w:rPr>
          <w:noProof/>
        </w:rPr>
        <w:instrText xml:space="preserve"> SEQ Figure \* ARABIC \s 1 </w:instrText>
      </w:r>
      <w:r w:rsidR="0025777A">
        <w:rPr>
          <w:noProof/>
        </w:rPr>
        <w:fldChar w:fldCharType="separate"/>
      </w:r>
      <w:r w:rsidR="00B30110">
        <w:rPr>
          <w:noProof/>
        </w:rPr>
        <w:t>2</w:t>
      </w:r>
      <w:r w:rsidR="0025777A">
        <w:rPr>
          <w:noProof/>
        </w:rPr>
        <w:fldChar w:fldCharType="end"/>
      </w:r>
      <w:bookmarkEnd w:id="65"/>
      <w:r>
        <w:t xml:space="preserve">: </w:t>
      </w:r>
      <w:r w:rsidR="00A118ED">
        <w:t>Commercial Customer</w:t>
      </w:r>
      <w:r w:rsidRPr="00F14B02">
        <w:t xml:space="preserve"> </w:t>
      </w:r>
      <w:r>
        <w:t>S</w:t>
      </w:r>
      <w:r w:rsidRPr="00F14B02">
        <w:t>egmentation</w:t>
      </w:r>
      <w:bookmarkEnd w:id="66"/>
    </w:p>
    <w:p w14:paraId="6401E8C0" w14:textId="236CF54E" w:rsidR="001C16C9" w:rsidRDefault="008141FC" w:rsidP="008141FC">
      <w:pPr>
        <w:pStyle w:val="Text"/>
        <w:ind w:firstLine="720"/>
        <w:jc w:val="center"/>
      </w:pPr>
      <w:r>
        <w:rPr>
          <w:noProof/>
        </w:rPr>
        <w:drawing>
          <wp:inline distT="0" distB="0" distL="0" distR="0" wp14:anchorId="45F211B5" wp14:editId="2FF29E15">
            <wp:extent cx="5048250" cy="380962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67403" cy="3824083"/>
                    </a:xfrm>
                    <a:prstGeom prst="rect">
                      <a:avLst/>
                    </a:prstGeom>
                    <a:noFill/>
                  </pic:spPr>
                </pic:pic>
              </a:graphicData>
            </a:graphic>
          </wp:inline>
        </w:drawing>
      </w:r>
    </w:p>
    <w:p w14:paraId="69ED5420" w14:textId="77777777" w:rsidR="00465414" w:rsidRDefault="001C16C9" w:rsidP="00465414">
      <w:pPr>
        <w:pStyle w:val="Caption"/>
      </w:pPr>
      <w:bookmarkStart w:id="67" w:name="_Ref497471521"/>
      <w:bookmarkStart w:id="68" w:name="_Toc5715417"/>
      <w:r>
        <w:t xml:space="preserve">Figure </w:t>
      </w:r>
      <w:r w:rsidR="00D440F4">
        <w:rPr>
          <w:noProof/>
        </w:rPr>
        <w:fldChar w:fldCharType="begin"/>
      </w:r>
      <w:r w:rsidR="00D440F4">
        <w:rPr>
          <w:noProof/>
        </w:rPr>
        <w:instrText xml:space="preserve"> STYLEREF 1 \s </w:instrText>
      </w:r>
      <w:r w:rsidR="00D440F4">
        <w:rPr>
          <w:noProof/>
        </w:rPr>
        <w:fldChar w:fldCharType="separate"/>
      </w:r>
      <w:r w:rsidR="00B30110">
        <w:rPr>
          <w:noProof/>
        </w:rPr>
        <w:t>3</w:t>
      </w:r>
      <w:r w:rsidR="00D440F4">
        <w:rPr>
          <w:noProof/>
        </w:rPr>
        <w:fldChar w:fldCharType="end"/>
      </w:r>
      <w:r w:rsidR="00A118ED">
        <w:noBreakHyphen/>
      </w:r>
      <w:r w:rsidR="00D440F4">
        <w:rPr>
          <w:noProof/>
        </w:rPr>
        <w:fldChar w:fldCharType="begin"/>
      </w:r>
      <w:r w:rsidR="00D440F4">
        <w:rPr>
          <w:noProof/>
        </w:rPr>
        <w:instrText xml:space="preserve"> SEQ Figure \* ARABIC \s 1 </w:instrText>
      </w:r>
      <w:r w:rsidR="00D440F4">
        <w:rPr>
          <w:noProof/>
        </w:rPr>
        <w:fldChar w:fldCharType="separate"/>
      </w:r>
      <w:r w:rsidR="00B30110">
        <w:rPr>
          <w:noProof/>
        </w:rPr>
        <w:t>3</w:t>
      </w:r>
      <w:r w:rsidR="00D440F4">
        <w:rPr>
          <w:noProof/>
        </w:rPr>
        <w:fldChar w:fldCharType="end"/>
      </w:r>
      <w:bookmarkEnd w:id="67"/>
      <w:r w:rsidR="00A118ED">
        <w:t>: Industrial Customer</w:t>
      </w:r>
      <w:r>
        <w:t xml:space="preserve"> Segmentation</w:t>
      </w:r>
      <w:bookmarkEnd w:id="68"/>
      <w:r w:rsidR="00465414">
        <w:t xml:space="preserve"> </w:t>
      </w:r>
    </w:p>
    <w:p w14:paraId="6401E8C1" w14:textId="109EBC2E" w:rsidR="001C16C9" w:rsidRDefault="008141FC" w:rsidP="00465414">
      <w:pPr>
        <w:pStyle w:val="Text"/>
        <w:jc w:val="center"/>
      </w:pPr>
      <w:r>
        <w:rPr>
          <w:noProof/>
        </w:rPr>
        <w:drawing>
          <wp:inline distT="0" distB="0" distL="0" distR="0" wp14:anchorId="0061E2E2" wp14:editId="56858953">
            <wp:extent cx="4838700" cy="37767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4387" cy="3812403"/>
                    </a:xfrm>
                    <a:prstGeom prst="rect">
                      <a:avLst/>
                    </a:prstGeom>
                    <a:noFill/>
                  </pic:spPr>
                </pic:pic>
              </a:graphicData>
            </a:graphic>
          </wp:inline>
        </w:drawing>
      </w:r>
    </w:p>
    <w:p w14:paraId="6401E8E2" w14:textId="7C2C71B0" w:rsidR="003E0048" w:rsidRDefault="003E0048" w:rsidP="003E0048">
      <w:pPr>
        <w:pStyle w:val="Heading3"/>
      </w:pPr>
      <w:bookmarkStart w:id="69" w:name="_Toc5715489"/>
      <w:r>
        <w:t xml:space="preserve">Commercial and Industrial </w:t>
      </w:r>
      <w:r w:rsidR="00454284">
        <w:t>Customers</w:t>
      </w:r>
      <w:r>
        <w:t xml:space="preserve"> (DR Analysis)</w:t>
      </w:r>
      <w:bookmarkEnd w:id="69"/>
    </w:p>
    <w:p w14:paraId="6401E8E3" w14:textId="73ED6A51" w:rsidR="003E0048" w:rsidRDefault="00D44056" w:rsidP="00C42451">
      <w:pPr>
        <w:pStyle w:val="Text"/>
        <w:jc w:val="both"/>
      </w:pPr>
      <w:r>
        <w:t xml:space="preserve">For the </w:t>
      </w:r>
      <w:r w:rsidR="00553D4A">
        <w:t>DR</w:t>
      </w:r>
      <w:r>
        <w:t xml:space="preserve"> analysis, </w:t>
      </w:r>
      <w:r w:rsidR="003E0048" w:rsidRPr="00215C19">
        <w:t xml:space="preserve">Nexant </w:t>
      </w:r>
      <w:r w:rsidR="003E0048">
        <w:t xml:space="preserve">divided the non-residential customers into the two customer classes of </w:t>
      </w:r>
      <w:r w:rsidR="00C523FD">
        <w:t>small C&amp;I and l</w:t>
      </w:r>
      <w:r w:rsidR="00DC25AD">
        <w:t>arge C&amp;I</w:t>
      </w:r>
      <w:r w:rsidR="003E0048">
        <w:t xml:space="preserve"> using rate class and annual consumption. </w:t>
      </w:r>
      <w:r w:rsidR="003E0048" w:rsidRPr="001264A6">
        <w:t xml:space="preserve">For the </w:t>
      </w:r>
      <w:r w:rsidR="00845633">
        <w:t xml:space="preserve">purposes of this analysis, </w:t>
      </w:r>
      <w:r w:rsidR="00C523FD">
        <w:t>small C&amp;I</w:t>
      </w:r>
      <w:r w:rsidR="003E0048" w:rsidRPr="001264A6">
        <w:t xml:space="preserve"> customers are those on the</w:t>
      </w:r>
      <w:r w:rsidR="00F30DEB" w:rsidRPr="001264A6">
        <w:t xml:space="preserve"> General Service (G</w:t>
      </w:r>
      <w:r w:rsidR="003E0048" w:rsidRPr="001264A6">
        <w:t>S) tariff. Large C&amp;I customers are all custom</w:t>
      </w:r>
      <w:r w:rsidR="00F30DEB" w:rsidRPr="001264A6">
        <w:t>ers on the General Service Demand (GSD</w:t>
      </w:r>
      <w:r w:rsidR="003E0048" w:rsidRPr="001264A6">
        <w:t>) tariff</w:t>
      </w:r>
      <w:r w:rsidR="003E0048" w:rsidRPr="001264A6">
        <w:rPr>
          <w:rStyle w:val="FootnoteReference"/>
        </w:rPr>
        <w:footnoteReference w:id="3"/>
      </w:r>
      <w:r w:rsidR="003E0048" w:rsidRPr="001264A6">
        <w:t>.</w:t>
      </w:r>
      <w:r w:rsidR="001264A6">
        <w:t xml:space="preserve"> </w:t>
      </w:r>
      <w:r w:rsidR="0013096B">
        <w:t xml:space="preserve">Nexant </w:t>
      </w:r>
      <w:r w:rsidR="00845633">
        <w:t xml:space="preserve">further </w:t>
      </w:r>
      <w:r w:rsidR="0013096B" w:rsidRPr="00215C19">
        <w:t xml:space="preserve">segmented </w:t>
      </w:r>
      <w:r w:rsidR="00845633">
        <w:t>these two groups</w:t>
      </w:r>
      <w:r w:rsidR="001264A6">
        <w:t xml:space="preserve"> </w:t>
      </w:r>
      <w:r w:rsidR="00845633">
        <w:t xml:space="preserve">based on customer size. For </w:t>
      </w:r>
      <w:r w:rsidR="00C523FD">
        <w:t>small C&amp;I</w:t>
      </w:r>
      <w:r w:rsidR="001264A6">
        <w:t xml:space="preserve"> </w:t>
      </w:r>
      <w:r w:rsidR="00845633">
        <w:t>segmentation was</w:t>
      </w:r>
      <w:r w:rsidR="001264A6">
        <w:t xml:space="preserve"> determined using annual c</w:t>
      </w:r>
      <w:r w:rsidR="00845633">
        <w:t xml:space="preserve">ustomer consumption and for </w:t>
      </w:r>
      <w:r w:rsidR="001264A6">
        <w:t>Large C&amp;I the customer’s maximum demand</w:t>
      </w:r>
      <w:r w:rsidR="00845633">
        <w:t xml:space="preserve"> was used</w:t>
      </w:r>
      <w:r w:rsidR="001264A6">
        <w:t xml:space="preserve">. Both customer maximum demand and customer annual consumption were calculated using billing data provided by </w:t>
      </w:r>
      <w:r w:rsidR="00145C87">
        <w:t>TECO</w:t>
      </w:r>
      <w:r w:rsidR="001264A6">
        <w:t xml:space="preserve">. </w:t>
      </w:r>
      <w:r w:rsidR="0013096B" w:rsidRPr="00215C19">
        <w:t xml:space="preserve"> </w:t>
      </w:r>
    </w:p>
    <w:p w14:paraId="6401E8E4" w14:textId="0FD6901A" w:rsidR="003E0048" w:rsidRDefault="00B417B0" w:rsidP="00C42451">
      <w:pPr>
        <w:pStyle w:val="Text"/>
        <w:jc w:val="both"/>
      </w:pPr>
      <w:r>
        <w:fldChar w:fldCharType="begin"/>
      </w:r>
      <w:r>
        <w:instrText xml:space="preserve"> REF _Ref5365817 \h </w:instrText>
      </w:r>
      <w:r>
        <w:fldChar w:fldCharType="separate"/>
      </w:r>
      <w:r w:rsidR="00B30110">
        <w:t xml:space="preserve">Table </w:t>
      </w:r>
      <w:r w:rsidR="00B30110">
        <w:rPr>
          <w:noProof/>
        </w:rPr>
        <w:t>3</w:t>
      </w:r>
      <w:r w:rsidR="00B30110">
        <w:noBreakHyphen/>
      </w:r>
      <w:r w:rsidR="00B30110">
        <w:rPr>
          <w:noProof/>
        </w:rPr>
        <w:t>3</w:t>
      </w:r>
      <w:r>
        <w:fldChar w:fldCharType="end"/>
      </w:r>
      <w:r>
        <w:t xml:space="preserve"> </w:t>
      </w:r>
      <w:r w:rsidR="003E0048">
        <w:t xml:space="preserve">shows the account breakout between </w:t>
      </w:r>
      <w:r w:rsidR="00C523FD">
        <w:t>small C&amp;I</w:t>
      </w:r>
      <w:r w:rsidR="003E0048">
        <w:t xml:space="preserve"> and large C&amp;I.</w:t>
      </w:r>
    </w:p>
    <w:p w14:paraId="6401E8E5" w14:textId="16E4A104" w:rsidR="003E0048" w:rsidRPr="00CD782B" w:rsidRDefault="00B417B0" w:rsidP="00B417B0">
      <w:pPr>
        <w:pStyle w:val="Caption"/>
      </w:pPr>
      <w:bookmarkStart w:id="70" w:name="_Ref5365817"/>
      <w:bookmarkStart w:id="71" w:name="_Toc5715443"/>
      <w:r>
        <w:t xml:space="preserve">Table </w:t>
      </w:r>
      <w:r w:rsidR="000C7BC6">
        <w:rPr>
          <w:noProof/>
        </w:rPr>
        <w:fldChar w:fldCharType="begin"/>
      </w:r>
      <w:r w:rsidR="000C7BC6">
        <w:rPr>
          <w:noProof/>
        </w:rPr>
        <w:instrText xml:space="preserve"> STYLEREF 1 \s </w:instrText>
      </w:r>
      <w:r w:rsidR="000C7BC6">
        <w:rPr>
          <w:noProof/>
        </w:rPr>
        <w:fldChar w:fldCharType="separate"/>
      </w:r>
      <w:r w:rsidR="00B30110">
        <w:rPr>
          <w:noProof/>
        </w:rPr>
        <w:t>3</w:t>
      </w:r>
      <w:r w:rsidR="000C7BC6">
        <w:rPr>
          <w:noProof/>
        </w:rPr>
        <w:fldChar w:fldCharType="end"/>
      </w:r>
      <w:r>
        <w:noBreakHyphen/>
      </w:r>
      <w:r w:rsidR="000C7BC6">
        <w:rPr>
          <w:noProof/>
        </w:rPr>
        <w:fldChar w:fldCharType="begin"/>
      </w:r>
      <w:r w:rsidR="000C7BC6">
        <w:rPr>
          <w:noProof/>
        </w:rPr>
        <w:instrText xml:space="preserve"> SEQ Table \* ARABIC \s 1 </w:instrText>
      </w:r>
      <w:r w:rsidR="000C7BC6">
        <w:rPr>
          <w:noProof/>
        </w:rPr>
        <w:fldChar w:fldCharType="separate"/>
      </w:r>
      <w:r w:rsidR="00B30110">
        <w:rPr>
          <w:noProof/>
        </w:rPr>
        <w:t>3</w:t>
      </w:r>
      <w:r w:rsidR="000C7BC6">
        <w:rPr>
          <w:noProof/>
        </w:rPr>
        <w:fldChar w:fldCharType="end"/>
      </w:r>
      <w:bookmarkEnd w:id="70"/>
      <w:r>
        <w:t xml:space="preserve">: </w:t>
      </w:r>
      <w:r w:rsidRPr="00CD782B">
        <w:t xml:space="preserve">Summary of </w:t>
      </w:r>
      <w:r>
        <w:t>Customer Classes for DR Analysis</w:t>
      </w:r>
      <w:bookmarkEnd w:id="71"/>
    </w:p>
    <w:tbl>
      <w:tblPr>
        <w:tblW w:w="7393" w:type="dxa"/>
        <w:tblInd w:w="816" w:type="dxa"/>
        <w:tblBorders>
          <w:top w:val="single" w:sz="8" w:space="0" w:color="0070CD"/>
          <w:bottom w:val="single" w:sz="8" w:space="0" w:color="0070CD"/>
          <w:insideH w:val="single" w:sz="8" w:space="0" w:color="0070CD"/>
          <w:insideV w:val="dotted" w:sz="4" w:space="0" w:color="1673CA"/>
        </w:tblBorders>
        <w:tblLayout w:type="fixed"/>
        <w:tblLook w:val="04A0" w:firstRow="1" w:lastRow="0" w:firstColumn="1" w:lastColumn="0" w:noHBand="0" w:noVBand="1"/>
      </w:tblPr>
      <w:tblGrid>
        <w:gridCol w:w="1452"/>
        <w:gridCol w:w="3151"/>
        <w:gridCol w:w="2790"/>
      </w:tblGrid>
      <w:tr w:rsidR="00B417B0" w:rsidRPr="000B2871" w14:paraId="6401E8EB" w14:textId="77777777" w:rsidTr="00B417B0">
        <w:trPr>
          <w:trHeight w:val="993"/>
          <w:tblHeader/>
        </w:trPr>
        <w:tc>
          <w:tcPr>
            <w:tcW w:w="1452" w:type="dxa"/>
            <w:tcBorders>
              <w:top w:val="dotted" w:sz="4" w:space="0" w:color="1673CA"/>
            </w:tcBorders>
            <w:shd w:val="clear" w:color="000000" w:fill="0070CD"/>
            <w:noWrap/>
            <w:vAlign w:val="center"/>
            <w:hideMark/>
          </w:tcPr>
          <w:p w14:paraId="6401E8E6" w14:textId="77777777" w:rsidR="00B417B0" w:rsidRPr="00DD0E55" w:rsidRDefault="00B417B0" w:rsidP="00DD0E55">
            <w:pPr>
              <w:keepNext/>
              <w:tabs>
                <w:tab w:val="clear" w:pos="-1440"/>
                <w:tab w:val="clear" w:pos="-720"/>
              </w:tabs>
              <w:spacing w:after="0" w:line="240" w:lineRule="auto"/>
              <w:ind w:left="0"/>
              <w:jc w:val="center"/>
              <w:rPr>
                <w:rFonts w:ascii="Arial" w:hAnsi="Arial" w:cs="Arial"/>
                <w:b/>
                <w:bCs/>
                <w:color w:val="FFFFFF"/>
                <w:sz w:val="18"/>
                <w:szCs w:val="16"/>
              </w:rPr>
            </w:pPr>
            <w:r w:rsidRPr="00DD0E55">
              <w:rPr>
                <w:rFonts w:ascii="Arial" w:hAnsi="Arial" w:cs="Arial"/>
                <w:b/>
                <w:bCs/>
                <w:color w:val="FFFFFF"/>
                <w:sz w:val="18"/>
                <w:szCs w:val="16"/>
              </w:rPr>
              <w:t>Customer Class</w:t>
            </w:r>
          </w:p>
        </w:tc>
        <w:tc>
          <w:tcPr>
            <w:tcW w:w="3151" w:type="dxa"/>
            <w:tcBorders>
              <w:top w:val="dotted" w:sz="4" w:space="0" w:color="1673CA"/>
            </w:tcBorders>
            <w:shd w:val="clear" w:color="000000" w:fill="0070CD"/>
            <w:vAlign w:val="center"/>
          </w:tcPr>
          <w:p w14:paraId="6401E8E9" w14:textId="77777777" w:rsidR="00B417B0" w:rsidRPr="00DD0E55" w:rsidRDefault="00B417B0" w:rsidP="00DD0E55">
            <w:pPr>
              <w:keepNext/>
              <w:tabs>
                <w:tab w:val="clear" w:pos="-1440"/>
                <w:tab w:val="clear" w:pos="-720"/>
              </w:tabs>
              <w:spacing w:after="0" w:line="240" w:lineRule="auto"/>
              <w:ind w:left="0"/>
              <w:jc w:val="center"/>
              <w:rPr>
                <w:rFonts w:ascii="Arial" w:hAnsi="Arial" w:cs="Arial"/>
                <w:b/>
                <w:bCs/>
                <w:color w:val="FFFFFF"/>
                <w:sz w:val="18"/>
                <w:szCs w:val="16"/>
              </w:rPr>
            </w:pPr>
            <w:r w:rsidRPr="00DD0E55">
              <w:rPr>
                <w:rFonts w:ascii="Arial" w:hAnsi="Arial" w:cs="Arial"/>
                <w:b/>
                <w:bCs/>
                <w:color w:val="FFFFFF"/>
                <w:sz w:val="18"/>
                <w:szCs w:val="16"/>
              </w:rPr>
              <w:t>Annual kWh</w:t>
            </w:r>
          </w:p>
        </w:tc>
        <w:tc>
          <w:tcPr>
            <w:tcW w:w="2790" w:type="dxa"/>
            <w:tcBorders>
              <w:top w:val="dotted" w:sz="4" w:space="0" w:color="1673CA"/>
            </w:tcBorders>
            <w:shd w:val="clear" w:color="000000" w:fill="0070CD"/>
            <w:vAlign w:val="center"/>
          </w:tcPr>
          <w:p w14:paraId="6401E8EA" w14:textId="77777777" w:rsidR="00B417B0" w:rsidRPr="00DD0E55" w:rsidRDefault="00B417B0" w:rsidP="00DD0E55">
            <w:pPr>
              <w:keepNext/>
              <w:tabs>
                <w:tab w:val="clear" w:pos="-1440"/>
                <w:tab w:val="clear" w:pos="-720"/>
              </w:tabs>
              <w:spacing w:after="0" w:line="240" w:lineRule="auto"/>
              <w:ind w:left="0"/>
              <w:jc w:val="center"/>
              <w:rPr>
                <w:rFonts w:ascii="Arial" w:hAnsi="Arial" w:cs="Arial"/>
                <w:b/>
                <w:bCs/>
                <w:color w:val="FFFFFF"/>
                <w:sz w:val="18"/>
                <w:szCs w:val="16"/>
              </w:rPr>
            </w:pPr>
            <w:r w:rsidRPr="00DD0E55">
              <w:rPr>
                <w:rFonts w:ascii="Arial" w:hAnsi="Arial" w:cs="Arial"/>
                <w:b/>
                <w:bCs/>
                <w:color w:val="FFFFFF"/>
                <w:sz w:val="18"/>
                <w:szCs w:val="16"/>
              </w:rPr>
              <w:t>Number of Accounts</w:t>
            </w:r>
          </w:p>
        </w:tc>
      </w:tr>
      <w:tr w:rsidR="00B417B0" w:rsidRPr="000B2871" w14:paraId="6401E8F1" w14:textId="77777777" w:rsidTr="00B417B0">
        <w:trPr>
          <w:trHeight w:val="325"/>
        </w:trPr>
        <w:tc>
          <w:tcPr>
            <w:tcW w:w="1452" w:type="dxa"/>
            <w:vMerge w:val="restart"/>
            <w:shd w:val="clear" w:color="auto" w:fill="auto"/>
            <w:noWrap/>
            <w:vAlign w:val="center"/>
          </w:tcPr>
          <w:p w14:paraId="46B1E6BB" w14:textId="2F466F21" w:rsidR="00B417B0" w:rsidRPr="00DD0E55" w:rsidRDefault="00C523FD" w:rsidP="00407166">
            <w:pPr>
              <w:tabs>
                <w:tab w:val="clear" w:pos="-1440"/>
                <w:tab w:val="clear" w:pos="-720"/>
              </w:tabs>
              <w:spacing w:after="0" w:line="240" w:lineRule="auto"/>
              <w:ind w:left="0"/>
              <w:contextualSpacing/>
              <w:jc w:val="center"/>
              <w:rPr>
                <w:rFonts w:ascii="Arial" w:hAnsi="Arial" w:cs="Arial"/>
                <w:color w:val="000000"/>
                <w:sz w:val="18"/>
                <w:szCs w:val="16"/>
              </w:rPr>
            </w:pPr>
            <w:r>
              <w:rPr>
                <w:rFonts w:ascii="Arial" w:hAnsi="Arial" w:cs="Arial"/>
                <w:color w:val="000000"/>
                <w:sz w:val="18"/>
                <w:szCs w:val="16"/>
              </w:rPr>
              <w:t>Small C&amp;I</w:t>
            </w:r>
          </w:p>
          <w:p w14:paraId="6401E8EC" w14:textId="7614A1CE" w:rsidR="00B417B0" w:rsidRPr="00DD0E55" w:rsidRDefault="00B417B0" w:rsidP="00407166">
            <w:pPr>
              <w:spacing w:after="0" w:line="240" w:lineRule="auto"/>
              <w:ind w:left="0"/>
              <w:jc w:val="center"/>
              <w:rPr>
                <w:rFonts w:ascii="Arial" w:hAnsi="Arial" w:cs="Arial"/>
                <w:color w:val="000000"/>
                <w:sz w:val="18"/>
                <w:szCs w:val="16"/>
              </w:rPr>
            </w:pPr>
          </w:p>
        </w:tc>
        <w:tc>
          <w:tcPr>
            <w:tcW w:w="3151" w:type="dxa"/>
            <w:vAlign w:val="center"/>
          </w:tcPr>
          <w:p w14:paraId="6401E8EF" w14:textId="378B04C9" w:rsidR="00B417B0" w:rsidRPr="00DD0E55" w:rsidRDefault="00B417B0" w:rsidP="000B2871">
            <w:pPr>
              <w:tabs>
                <w:tab w:val="clear" w:pos="-1440"/>
                <w:tab w:val="clear" w:pos="-720"/>
              </w:tabs>
              <w:spacing w:after="0" w:line="240" w:lineRule="auto"/>
              <w:ind w:left="0"/>
              <w:contextualSpacing/>
              <w:jc w:val="center"/>
              <w:rPr>
                <w:rFonts w:ascii="Arial" w:hAnsi="Arial" w:cs="Arial"/>
                <w:color w:val="000000"/>
                <w:sz w:val="18"/>
                <w:szCs w:val="16"/>
              </w:rPr>
            </w:pPr>
            <w:r w:rsidRPr="00DD0E55">
              <w:rPr>
                <w:rFonts w:ascii="Arial" w:hAnsi="Arial" w:cs="Arial"/>
                <w:color w:val="000000"/>
                <w:sz w:val="18"/>
                <w:szCs w:val="16"/>
              </w:rPr>
              <w:t>0-15,000 kWh</w:t>
            </w:r>
          </w:p>
        </w:tc>
        <w:tc>
          <w:tcPr>
            <w:tcW w:w="2790" w:type="dxa"/>
            <w:vAlign w:val="center"/>
          </w:tcPr>
          <w:p w14:paraId="6401E8F0" w14:textId="6CE44F4B" w:rsidR="00B417B0" w:rsidRPr="00DD0E55" w:rsidRDefault="00B417B0" w:rsidP="000B2871">
            <w:pPr>
              <w:pStyle w:val="Tables-Bodycells"/>
              <w:jc w:val="center"/>
              <w:rPr>
                <w:rFonts w:cs="Arial"/>
                <w:szCs w:val="16"/>
              </w:rPr>
            </w:pPr>
            <w:r w:rsidRPr="00DD0E55">
              <w:rPr>
                <w:szCs w:val="16"/>
              </w:rPr>
              <w:t>43,096</w:t>
            </w:r>
          </w:p>
        </w:tc>
      </w:tr>
      <w:tr w:rsidR="00B417B0" w:rsidRPr="000B2871" w14:paraId="6401E8F7" w14:textId="77777777" w:rsidTr="00B417B0">
        <w:trPr>
          <w:trHeight w:val="325"/>
        </w:trPr>
        <w:tc>
          <w:tcPr>
            <w:tcW w:w="1452" w:type="dxa"/>
            <w:vMerge/>
            <w:shd w:val="clear" w:color="auto" w:fill="auto"/>
            <w:noWrap/>
            <w:vAlign w:val="center"/>
          </w:tcPr>
          <w:p w14:paraId="6401E8F2" w14:textId="245E09FD" w:rsidR="00B417B0" w:rsidRPr="00DD0E55" w:rsidRDefault="00B417B0" w:rsidP="00407166">
            <w:pPr>
              <w:spacing w:after="0" w:line="240" w:lineRule="auto"/>
              <w:ind w:left="0"/>
              <w:jc w:val="center"/>
              <w:rPr>
                <w:rFonts w:ascii="Arial" w:hAnsi="Arial" w:cs="Arial"/>
                <w:color w:val="000000"/>
                <w:sz w:val="18"/>
                <w:szCs w:val="16"/>
              </w:rPr>
            </w:pPr>
          </w:p>
        </w:tc>
        <w:tc>
          <w:tcPr>
            <w:tcW w:w="3151" w:type="dxa"/>
            <w:vAlign w:val="center"/>
          </w:tcPr>
          <w:p w14:paraId="6401E8F5" w14:textId="112A8E56" w:rsidR="00B417B0" w:rsidRPr="00DD0E55" w:rsidRDefault="00B417B0" w:rsidP="000B2871">
            <w:pPr>
              <w:tabs>
                <w:tab w:val="clear" w:pos="-1440"/>
                <w:tab w:val="clear" w:pos="-720"/>
              </w:tabs>
              <w:spacing w:after="0" w:line="240" w:lineRule="auto"/>
              <w:ind w:left="0"/>
              <w:contextualSpacing/>
              <w:jc w:val="center"/>
              <w:rPr>
                <w:rFonts w:ascii="Arial" w:hAnsi="Arial" w:cs="Arial"/>
                <w:color w:val="000000"/>
                <w:sz w:val="18"/>
                <w:szCs w:val="16"/>
              </w:rPr>
            </w:pPr>
            <w:r w:rsidRPr="00DD0E55">
              <w:rPr>
                <w:rFonts w:ascii="Arial" w:hAnsi="Arial" w:cs="Arial"/>
                <w:color w:val="000000"/>
                <w:sz w:val="18"/>
                <w:szCs w:val="16"/>
              </w:rPr>
              <w:t>15,001-25,000 kWh</w:t>
            </w:r>
          </w:p>
        </w:tc>
        <w:tc>
          <w:tcPr>
            <w:tcW w:w="2790" w:type="dxa"/>
            <w:vAlign w:val="center"/>
          </w:tcPr>
          <w:p w14:paraId="6401E8F6" w14:textId="0DC2F240" w:rsidR="00B417B0" w:rsidRPr="00DD0E55" w:rsidRDefault="00B417B0" w:rsidP="000B2871">
            <w:pPr>
              <w:pStyle w:val="Tables-Bodycells"/>
              <w:jc w:val="center"/>
              <w:rPr>
                <w:rFonts w:cs="Arial"/>
                <w:szCs w:val="16"/>
              </w:rPr>
            </w:pPr>
            <w:r w:rsidRPr="00DD0E55">
              <w:rPr>
                <w:szCs w:val="16"/>
              </w:rPr>
              <w:t>9,401</w:t>
            </w:r>
          </w:p>
        </w:tc>
      </w:tr>
      <w:tr w:rsidR="00B417B0" w:rsidRPr="000B2871" w14:paraId="6401E8FB" w14:textId="77777777" w:rsidTr="00B417B0">
        <w:trPr>
          <w:trHeight w:val="325"/>
        </w:trPr>
        <w:tc>
          <w:tcPr>
            <w:tcW w:w="1452" w:type="dxa"/>
            <w:vMerge/>
            <w:shd w:val="clear" w:color="auto" w:fill="auto"/>
            <w:noWrap/>
            <w:vAlign w:val="center"/>
          </w:tcPr>
          <w:p w14:paraId="6401E8F8" w14:textId="52F50501" w:rsidR="00B417B0" w:rsidRPr="00DD0E55" w:rsidRDefault="00B417B0" w:rsidP="00407166">
            <w:pPr>
              <w:spacing w:after="0" w:line="240" w:lineRule="auto"/>
              <w:ind w:left="0"/>
              <w:jc w:val="center"/>
              <w:rPr>
                <w:rFonts w:ascii="Arial" w:hAnsi="Arial" w:cs="Arial"/>
                <w:b/>
                <w:color w:val="000000"/>
                <w:sz w:val="18"/>
                <w:szCs w:val="16"/>
              </w:rPr>
            </w:pPr>
          </w:p>
        </w:tc>
        <w:tc>
          <w:tcPr>
            <w:tcW w:w="3151" w:type="dxa"/>
            <w:shd w:val="clear" w:color="auto" w:fill="auto"/>
            <w:vAlign w:val="center"/>
          </w:tcPr>
          <w:p w14:paraId="6401E8F9" w14:textId="28A32620" w:rsidR="00B417B0" w:rsidRPr="00DD0E55" w:rsidRDefault="00B417B0" w:rsidP="000B2871">
            <w:pPr>
              <w:tabs>
                <w:tab w:val="clear" w:pos="-1440"/>
                <w:tab w:val="clear" w:pos="-720"/>
              </w:tabs>
              <w:spacing w:after="0" w:line="240" w:lineRule="auto"/>
              <w:ind w:left="0"/>
              <w:contextualSpacing/>
              <w:jc w:val="center"/>
              <w:rPr>
                <w:rFonts w:ascii="Arial" w:hAnsi="Arial" w:cs="Arial"/>
                <w:b/>
                <w:color w:val="000000"/>
                <w:sz w:val="18"/>
                <w:szCs w:val="16"/>
              </w:rPr>
            </w:pPr>
            <w:r w:rsidRPr="00DD0E55">
              <w:rPr>
                <w:rFonts w:ascii="Arial" w:hAnsi="Arial" w:cs="Arial"/>
                <w:color w:val="000000"/>
                <w:sz w:val="18"/>
                <w:szCs w:val="16"/>
              </w:rPr>
              <w:t>25,001-50,000 kWh</w:t>
            </w:r>
          </w:p>
        </w:tc>
        <w:tc>
          <w:tcPr>
            <w:tcW w:w="2790" w:type="dxa"/>
            <w:vAlign w:val="center"/>
          </w:tcPr>
          <w:p w14:paraId="6401E8FA" w14:textId="0AD43A6D" w:rsidR="00B417B0" w:rsidRPr="00DD0E55" w:rsidRDefault="00B417B0" w:rsidP="000B2871">
            <w:pPr>
              <w:pStyle w:val="Tables-Bodycells"/>
              <w:jc w:val="center"/>
              <w:rPr>
                <w:rFonts w:cs="Arial"/>
                <w:b/>
                <w:szCs w:val="16"/>
              </w:rPr>
            </w:pPr>
            <w:r w:rsidRPr="00DD0E55">
              <w:rPr>
                <w:szCs w:val="16"/>
              </w:rPr>
              <w:t>9,062</w:t>
            </w:r>
          </w:p>
        </w:tc>
      </w:tr>
      <w:tr w:rsidR="00B417B0" w:rsidRPr="000B2871" w14:paraId="6401E901" w14:textId="77777777" w:rsidTr="00B417B0">
        <w:trPr>
          <w:trHeight w:val="277"/>
        </w:trPr>
        <w:tc>
          <w:tcPr>
            <w:tcW w:w="1452" w:type="dxa"/>
            <w:vMerge/>
            <w:shd w:val="clear" w:color="auto" w:fill="auto"/>
            <w:noWrap/>
            <w:vAlign w:val="center"/>
          </w:tcPr>
          <w:p w14:paraId="6401E8FC" w14:textId="37C612DA" w:rsidR="00B417B0" w:rsidRPr="00DD0E55" w:rsidRDefault="00B417B0" w:rsidP="00407166">
            <w:pPr>
              <w:tabs>
                <w:tab w:val="clear" w:pos="-1440"/>
                <w:tab w:val="clear" w:pos="-720"/>
              </w:tabs>
              <w:spacing w:after="0" w:line="240" w:lineRule="auto"/>
              <w:ind w:left="0"/>
              <w:jc w:val="center"/>
              <w:rPr>
                <w:rFonts w:ascii="Arial" w:hAnsi="Arial" w:cs="Arial"/>
                <w:color w:val="000000"/>
                <w:sz w:val="18"/>
                <w:szCs w:val="16"/>
              </w:rPr>
            </w:pPr>
          </w:p>
        </w:tc>
        <w:tc>
          <w:tcPr>
            <w:tcW w:w="3151" w:type="dxa"/>
            <w:vAlign w:val="center"/>
          </w:tcPr>
          <w:p w14:paraId="6401E8FF" w14:textId="430A1AF7" w:rsidR="00B417B0" w:rsidRPr="00DD0E55" w:rsidRDefault="00B417B0" w:rsidP="000B2871">
            <w:pPr>
              <w:tabs>
                <w:tab w:val="clear" w:pos="-1440"/>
                <w:tab w:val="clear" w:pos="-720"/>
              </w:tabs>
              <w:spacing w:after="0" w:line="240" w:lineRule="auto"/>
              <w:ind w:left="0"/>
              <w:jc w:val="center"/>
              <w:rPr>
                <w:rFonts w:ascii="Arial" w:hAnsi="Arial" w:cs="Arial"/>
                <w:color w:val="000000"/>
                <w:sz w:val="18"/>
                <w:szCs w:val="16"/>
              </w:rPr>
            </w:pPr>
            <w:r w:rsidRPr="00DD0E55">
              <w:rPr>
                <w:rFonts w:ascii="Arial" w:hAnsi="Arial" w:cs="Arial"/>
                <w:color w:val="000000"/>
                <w:sz w:val="18"/>
                <w:szCs w:val="16"/>
              </w:rPr>
              <w:t>50,001 kWh +</w:t>
            </w:r>
          </w:p>
        </w:tc>
        <w:tc>
          <w:tcPr>
            <w:tcW w:w="2790" w:type="dxa"/>
            <w:vAlign w:val="center"/>
          </w:tcPr>
          <w:p w14:paraId="6401E900" w14:textId="0AD20B6B" w:rsidR="00B417B0" w:rsidRPr="00DD0E55" w:rsidRDefault="00B417B0" w:rsidP="000B2871">
            <w:pPr>
              <w:pStyle w:val="Tables-Bodycells"/>
              <w:jc w:val="center"/>
              <w:rPr>
                <w:rFonts w:cs="Arial"/>
                <w:szCs w:val="16"/>
              </w:rPr>
            </w:pPr>
            <w:r w:rsidRPr="00DD0E55">
              <w:rPr>
                <w:szCs w:val="16"/>
              </w:rPr>
              <w:t>3,289</w:t>
            </w:r>
          </w:p>
        </w:tc>
      </w:tr>
      <w:tr w:rsidR="00B417B0" w:rsidRPr="000B2871" w14:paraId="6401E907" w14:textId="77777777" w:rsidTr="00B417B0">
        <w:trPr>
          <w:trHeight w:val="277"/>
        </w:trPr>
        <w:tc>
          <w:tcPr>
            <w:tcW w:w="1452" w:type="dxa"/>
            <w:vMerge/>
            <w:shd w:val="clear" w:color="auto" w:fill="auto"/>
            <w:noWrap/>
            <w:vAlign w:val="center"/>
          </w:tcPr>
          <w:p w14:paraId="6401E902" w14:textId="77777777" w:rsidR="00B417B0" w:rsidRPr="00DD0E55" w:rsidRDefault="00B417B0" w:rsidP="00407166">
            <w:pPr>
              <w:tabs>
                <w:tab w:val="clear" w:pos="-1440"/>
                <w:tab w:val="clear" w:pos="-720"/>
              </w:tabs>
              <w:spacing w:after="0" w:line="240" w:lineRule="auto"/>
              <w:ind w:left="0"/>
              <w:jc w:val="center"/>
              <w:rPr>
                <w:rFonts w:ascii="Arial" w:hAnsi="Arial" w:cs="Arial"/>
                <w:color w:val="000000"/>
                <w:sz w:val="18"/>
                <w:szCs w:val="16"/>
              </w:rPr>
            </w:pPr>
          </w:p>
        </w:tc>
        <w:tc>
          <w:tcPr>
            <w:tcW w:w="3151" w:type="dxa"/>
            <w:vAlign w:val="center"/>
          </w:tcPr>
          <w:p w14:paraId="6401E905" w14:textId="1F494A32" w:rsidR="00B417B0" w:rsidRPr="00DD0E55" w:rsidRDefault="00B417B0" w:rsidP="000B2871">
            <w:pPr>
              <w:tabs>
                <w:tab w:val="clear" w:pos="-1440"/>
                <w:tab w:val="clear" w:pos="-720"/>
              </w:tabs>
              <w:spacing w:after="0" w:line="240" w:lineRule="auto"/>
              <w:ind w:left="0"/>
              <w:jc w:val="center"/>
              <w:rPr>
                <w:rFonts w:ascii="Arial" w:hAnsi="Arial" w:cs="Arial"/>
                <w:color w:val="000000"/>
                <w:sz w:val="18"/>
                <w:szCs w:val="16"/>
              </w:rPr>
            </w:pPr>
            <w:r w:rsidRPr="00DD0E55">
              <w:rPr>
                <w:rFonts w:ascii="Arial" w:hAnsi="Arial" w:cs="Arial"/>
                <w:sz w:val="18"/>
                <w:szCs w:val="16"/>
              </w:rPr>
              <w:t>Total</w:t>
            </w:r>
          </w:p>
        </w:tc>
        <w:tc>
          <w:tcPr>
            <w:tcW w:w="2790" w:type="dxa"/>
            <w:vAlign w:val="center"/>
          </w:tcPr>
          <w:p w14:paraId="6401E906" w14:textId="370CB49B" w:rsidR="00B417B0" w:rsidRPr="00DD0E55" w:rsidRDefault="00B417B0" w:rsidP="000B2871">
            <w:pPr>
              <w:pStyle w:val="Tables-Bodycells"/>
              <w:jc w:val="center"/>
              <w:rPr>
                <w:rFonts w:cs="Arial"/>
                <w:szCs w:val="16"/>
              </w:rPr>
            </w:pPr>
            <w:r w:rsidRPr="00DD0E55">
              <w:rPr>
                <w:szCs w:val="16"/>
              </w:rPr>
              <w:t>64,848</w:t>
            </w:r>
          </w:p>
        </w:tc>
      </w:tr>
      <w:tr w:rsidR="00B417B0" w:rsidRPr="000B2871" w14:paraId="6401E90D" w14:textId="77777777" w:rsidTr="00B417B0">
        <w:trPr>
          <w:trHeight w:val="277"/>
        </w:trPr>
        <w:tc>
          <w:tcPr>
            <w:tcW w:w="1452" w:type="dxa"/>
            <w:vMerge w:val="restart"/>
            <w:shd w:val="clear" w:color="auto" w:fill="auto"/>
            <w:noWrap/>
            <w:vAlign w:val="center"/>
          </w:tcPr>
          <w:p w14:paraId="6401E908" w14:textId="61AEF1A4" w:rsidR="00B417B0" w:rsidRPr="00DD0E55" w:rsidRDefault="00B417B0" w:rsidP="00407166">
            <w:pPr>
              <w:tabs>
                <w:tab w:val="clear" w:pos="-1440"/>
                <w:tab w:val="clear" w:pos="-720"/>
              </w:tabs>
              <w:spacing w:after="0" w:line="240" w:lineRule="auto"/>
              <w:ind w:left="0"/>
              <w:jc w:val="center"/>
              <w:rPr>
                <w:rFonts w:ascii="Arial" w:hAnsi="Arial" w:cs="Arial"/>
                <w:color w:val="000000"/>
                <w:sz w:val="18"/>
                <w:szCs w:val="16"/>
              </w:rPr>
            </w:pPr>
            <w:r w:rsidRPr="00DD0E55">
              <w:rPr>
                <w:rFonts w:ascii="Arial" w:hAnsi="Arial" w:cs="Arial"/>
                <w:color w:val="000000"/>
                <w:sz w:val="18"/>
                <w:szCs w:val="16"/>
              </w:rPr>
              <w:t>Large C&amp;I</w:t>
            </w:r>
          </w:p>
        </w:tc>
        <w:tc>
          <w:tcPr>
            <w:tcW w:w="3151" w:type="dxa"/>
            <w:vAlign w:val="center"/>
          </w:tcPr>
          <w:p w14:paraId="6401E90B" w14:textId="10D6547D" w:rsidR="00B417B0" w:rsidRPr="00DD0E55" w:rsidRDefault="00B417B0" w:rsidP="000B2871">
            <w:pPr>
              <w:tabs>
                <w:tab w:val="clear" w:pos="-1440"/>
                <w:tab w:val="clear" w:pos="-720"/>
              </w:tabs>
              <w:spacing w:after="0" w:line="240" w:lineRule="auto"/>
              <w:ind w:left="0"/>
              <w:jc w:val="center"/>
              <w:rPr>
                <w:rFonts w:ascii="Arial" w:hAnsi="Arial" w:cs="Arial"/>
                <w:color w:val="000000"/>
                <w:sz w:val="18"/>
                <w:szCs w:val="16"/>
              </w:rPr>
            </w:pPr>
            <w:r w:rsidRPr="00DD0E55">
              <w:rPr>
                <w:rFonts w:ascii="Arial" w:hAnsi="Arial" w:cs="Arial"/>
                <w:color w:val="000000"/>
                <w:sz w:val="18"/>
                <w:szCs w:val="16"/>
              </w:rPr>
              <w:t>0-50 kW</w:t>
            </w:r>
          </w:p>
        </w:tc>
        <w:tc>
          <w:tcPr>
            <w:tcW w:w="2790" w:type="dxa"/>
            <w:vAlign w:val="center"/>
          </w:tcPr>
          <w:p w14:paraId="6401E90C" w14:textId="7D7962A4" w:rsidR="00B417B0" w:rsidRPr="00DD0E55" w:rsidRDefault="00B417B0" w:rsidP="000B2871">
            <w:pPr>
              <w:pStyle w:val="Tables-Bodycells"/>
              <w:jc w:val="center"/>
              <w:rPr>
                <w:rFonts w:cs="Arial"/>
                <w:szCs w:val="16"/>
              </w:rPr>
            </w:pPr>
            <w:r w:rsidRPr="00DD0E55">
              <w:rPr>
                <w:szCs w:val="16"/>
              </w:rPr>
              <w:t>8,294</w:t>
            </w:r>
          </w:p>
        </w:tc>
      </w:tr>
      <w:tr w:rsidR="00B417B0" w:rsidRPr="000B2871" w14:paraId="6401E913" w14:textId="77777777" w:rsidTr="00B417B0">
        <w:trPr>
          <w:trHeight w:val="277"/>
        </w:trPr>
        <w:tc>
          <w:tcPr>
            <w:tcW w:w="1452" w:type="dxa"/>
            <w:vMerge/>
            <w:shd w:val="clear" w:color="auto" w:fill="auto"/>
            <w:noWrap/>
            <w:vAlign w:val="center"/>
          </w:tcPr>
          <w:p w14:paraId="6401E90E" w14:textId="77777777" w:rsidR="00B417B0" w:rsidRPr="00DD0E55" w:rsidRDefault="00B417B0" w:rsidP="00407166">
            <w:pPr>
              <w:tabs>
                <w:tab w:val="clear" w:pos="-1440"/>
                <w:tab w:val="clear" w:pos="-720"/>
              </w:tabs>
              <w:spacing w:after="0" w:line="240" w:lineRule="auto"/>
              <w:ind w:left="0"/>
              <w:jc w:val="center"/>
              <w:rPr>
                <w:rFonts w:ascii="Arial" w:hAnsi="Arial" w:cs="Arial"/>
                <w:color w:val="000000"/>
                <w:sz w:val="18"/>
                <w:szCs w:val="16"/>
              </w:rPr>
            </w:pPr>
          </w:p>
        </w:tc>
        <w:tc>
          <w:tcPr>
            <w:tcW w:w="3151" w:type="dxa"/>
            <w:vAlign w:val="center"/>
          </w:tcPr>
          <w:p w14:paraId="6401E911" w14:textId="42140ACC" w:rsidR="00B417B0" w:rsidRPr="00DD0E55" w:rsidRDefault="00B417B0" w:rsidP="000B2871">
            <w:pPr>
              <w:tabs>
                <w:tab w:val="clear" w:pos="-1440"/>
                <w:tab w:val="clear" w:pos="-720"/>
              </w:tabs>
              <w:spacing w:after="0" w:line="240" w:lineRule="auto"/>
              <w:ind w:left="0"/>
              <w:jc w:val="center"/>
              <w:rPr>
                <w:rFonts w:ascii="Arial" w:hAnsi="Arial" w:cs="Arial"/>
                <w:color w:val="000000"/>
                <w:sz w:val="18"/>
                <w:szCs w:val="16"/>
              </w:rPr>
            </w:pPr>
            <w:r w:rsidRPr="00DD0E55">
              <w:rPr>
                <w:rFonts w:ascii="Arial" w:hAnsi="Arial" w:cs="Arial"/>
                <w:color w:val="000000"/>
                <w:sz w:val="18"/>
                <w:szCs w:val="16"/>
              </w:rPr>
              <w:t>51-300 kW</w:t>
            </w:r>
          </w:p>
        </w:tc>
        <w:tc>
          <w:tcPr>
            <w:tcW w:w="2790" w:type="dxa"/>
            <w:vAlign w:val="center"/>
          </w:tcPr>
          <w:p w14:paraId="6401E912" w14:textId="34CA2098" w:rsidR="00B417B0" w:rsidRPr="00DD0E55" w:rsidRDefault="00B417B0" w:rsidP="000B2871">
            <w:pPr>
              <w:pStyle w:val="Tables-Bodycells"/>
              <w:jc w:val="center"/>
              <w:rPr>
                <w:rFonts w:cs="Arial"/>
                <w:szCs w:val="16"/>
              </w:rPr>
            </w:pPr>
            <w:r w:rsidRPr="00DD0E55">
              <w:rPr>
                <w:szCs w:val="16"/>
              </w:rPr>
              <w:t>6,173</w:t>
            </w:r>
          </w:p>
        </w:tc>
      </w:tr>
      <w:tr w:rsidR="00B417B0" w:rsidRPr="000B2871" w14:paraId="6401E919" w14:textId="77777777" w:rsidTr="00B417B0">
        <w:trPr>
          <w:trHeight w:val="277"/>
        </w:trPr>
        <w:tc>
          <w:tcPr>
            <w:tcW w:w="1452" w:type="dxa"/>
            <w:vMerge/>
            <w:shd w:val="clear" w:color="auto" w:fill="auto"/>
            <w:noWrap/>
            <w:vAlign w:val="center"/>
          </w:tcPr>
          <w:p w14:paraId="6401E914" w14:textId="77777777" w:rsidR="00B417B0" w:rsidRPr="00DD0E55" w:rsidRDefault="00B417B0" w:rsidP="00407166">
            <w:pPr>
              <w:tabs>
                <w:tab w:val="clear" w:pos="-1440"/>
                <w:tab w:val="clear" w:pos="-720"/>
              </w:tabs>
              <w:spacing w:after="0" w:line="240" w:lineRule="auto"/>
              <w:ind w:left="0"/>
              <w:jc w:val="center"/>
              <w:rPr>
                <w:rFonts w:ascii="Arial" w:hAnsi="Arial" w:cs="Arial"/>
                <w:color w:val="000000"/>
                <w:sz w:val="18"/>
                <w:szCs w:val="16"/>
              </w:rPr>
            </w:pPr>
          </w:p>
        </w:tc>
        <w:tc>
          <w:tcPr>
            <w:tcW w:w="3151" w:type="dxa"/>
            <w:vAlign w:val="center"/>
          </w:tcPr>
          <w:p w14:paraId="6401E917" w14:textId="107B037E" w:rsidR="00B417B0" w:rsidRPr="00DD0E55" w:rsidRDefault="00B417B0" w:rsidP="000B2871">
            <w:pPr>
              <w:tabs>
                <w:tab w:val="clear" w:pos="-1440"/>
                <w:tab w:val="clear" w:pos="-720"/>
              </w:tabs>
              <w:spacing w:after="0" w:line="240" w:lineRule="auto"/>
              <w:ind w:left="0"/>
              <w:jc w:val="center"/>
              <w:rPr>
                <w:rFonts w:ascii="Arial" w:hAnsi="Arial" w:cs="Arial"/>
                <w:color w:val="000000"/>
                <w:sz w:val="18"/>
                <w:szCs w:val="16"/>
              </w:rPr>
            </w:pPr>
            <w:r w:rsidRPr="00DD0E55">
              <w:rPr>
                <w:rFonts w:ascii="Arial" w:hAnsi="Arial" w:cs="Arial"/>
                <w:color w:val="000000"/>
                <w:sz w:val="18"/>
                <w:szCs w:val="16"/>
              </w:rPr>
              <w:t>301-500 kW</w:t>
            </w:r>
          </w:p>
        </w:tc>
        <w:tc>
          <w:tcPr>
            <w:tcW w:w="2790" w:type="dxa"/>
            <w:vAlign w:val="center"/>
          </w:tcPr>
          <w:p w14:paraId="6401E918" w14:textId="49513A2A" w:rsidR="00B417B0" w:rsidRPr="00DD0E55" w:rsidRDefault="00B417B0" w:rsidP="000B2871">
            <w:pPr>
              <w:pStyle w:val="Tables-Bodycells"/>
              <w:jc w:val="center"/>
              <w:rPr>
                <w:rFonts w:cs="Arial"/>
                <w:szCs w:val="16"/>
              </w:rPr>
            </w:pPr>
            <w:r w:rsidRPr="00DD0E55">
              <w:rPr>
                <w:szCs w:val="16"/>
              </w:rPr>
              <w:t>702</w:t>
            </w:r>
          </w:p>
        </w:tc>
      </w:tr>
      <w:tr w:rsidR="00B417B0" w:rsidRPr="000B2871" w14:paraId="6401E91F" w14:textId="77777777" w:rsidTr="00B417B0">
        <w:trPr>
          <w:trHeight w:val="277"/>
        </w:trPr>
        <w:tc>
          <w:tcPr>
            <w:tcW w:w="1452" w:type="dxa"/>
            <w:vMerge/>
            <w:shd w:val="clear" w:color="auto" w:fill="auto"/>
            <w:noWrap/>
            <w:vAlign w:val="center"/>
          </w:tcPr>
          <w:p w14:paraId="6401E91A" w14:textId="77777777" w:rsidR="00B417B0" w:rsidRPr="00DD0E55" w:rsidRDefault="00B417B0" w:rsidP="00407166">
            <w:pPr>
              <w:tabs>
                <w:tab w:val="clear" w:pos="-1440"/>
                <w:tab w:val="clear" w:pos="-720"/>
              </w:tabs>
              <w:spacing w:after="0" w:line="240" w:lineRule="auto"/>
              <w:ind w:left="0"/>
              <w:jc w:val="center"/>
              <w:rPr>
                <w:rFonts w:ascii="Arial" w:hAnsi="Arial" w:cs="Arial"/>
                <w:color w:val="000000"/>
                <w:sz w:val="18"/>
                <w:szCs w:val="16"/>
              </w:rPr>
            </w:pPr>
          </w:p>
        </w:tc>
        <w:tc>
          <w:tcPr>
            <w:tcW w:w="3151" w:type="dxa"/>
            <w:vAlign w:val="center"/>
          </w:tcPr>
          <w:p w14:paraId="6401E91D" w14:textId="2745A4B9" w:rsidR="00B417B0" w:rsidRPr="00DD0E55" w:rsidRDefault="00B417B0" w:rsidP="000B2871">
            <w:pPr>
              <w:tabs>
                <w:tab w:val="clear" w:pos="-1440"/>
                <w:tab w:val="clear" w:pos="-720"/>
              </w:tabs>
              <w:spacing w:after="0" w:line="240" w:lineRule="auto"/>
              <w:ind w:left="0"/>
              <w:jc w:val="center"/>
              <w:rPr>
                <w:rFonts w:ascii="Arial" w:hAnsi="Arial" w:cs="Arial"/>
                <w:color w:val="000000"/>
                <w:sz w:val="18"/>
                <w:szCs w:val="16"/>
              </w:rPr>
            </w:pPr>
            <w:r w:rsidRPr="00DD0E55">
              <w:rPr>
                <w:rFonts w:ascii="Arial" w:hAnsi="Arial" w:cs="Arial"/>
                <w:color w:val="000000"/>
                <w:sz w:val="18"/>
                <w:szCs w:val="16"/>
              </w:rPr>
              <w:t>501 kW +</w:t>
            </w:r>
          </w:p>
        </w:tc>
        <w:tc>
          <w:tcPr>
            <w:tcW w:w="2790" w:type="dxa"/>
            <w:vAlign w:val="center"/>
          </w:tcPr>
          <w:p w14:paraId="6401E91E" w14:textId="4C313A05" w:rsidR="00B417B0" w:rsidRPr="00DD0E55" w:rsidRDefault="00B417B0" w:rsidP="000B2871">
            <w:pPr>
              <w:pStyle w:val="Tables-Bodycells"/>
              <w:jc w:val="center"/>
              <w:rPr>
                <w:rFonts w:cs="Arial"/>
                <w:szCs w:val="16"/>
              </w:rPr>
            </w:pPr>
            <w:r w:rsidRPr="00DD0E55">
              <w:rPr>
                <w:szCs w:val="16"/>
              </w:rPr>
              <w:t>702</w:t>
            </w:r>
          </w:p>
        </w:tc>
      </w:tr>
      <w:tr w:rsidR="00B417B0" w:rsidRPr="000B2871" w14:paraId="6401E925" w14:textId="77777777" w:rsidTr="00B417B0">
        <w:trPr>
          <w:trHeight w:val="277"/>
        </w:trPr>
        <w:tc>
          <w:tcPr>
            <w:tcW w:w="1452" w:type="dxa"/>
            <w:vMerge/>
            <w:shd w:val="clear" w:color="auto" w:fill="auto"/>
            <w:noWrap/>
            <w:vAlign w:val="center"/>
          </w:tcPr>
          <w:p w14:paraId="6401E920" w14:textId="77777777" w:rsidR="00B417B0" w:rsidRPr="00DD0E55" w:rsidRDefault="00B417B0" w:rsidP="00407166">
            <w:pPr>
              <w:tabs>
                <w:tab w:val="clear" w:pos="-1440"/>
                <w:tab w:val="clear" w:pos="-720"/>
              </w:tabs>
              <w:spacing w:after="0" w:line="240" w:lineRule="auto"/>
              <w:ind w:left="0"/>
              <w:jc w:val="center"/>
              <w:rPr>
                <w:rFonts w:ascii="Arial" w:hAnsi="Arial" w:cs="Arial"/>
                <w:color w:val="000000"/>
                <w:sz w:val="18"/>
                <w:szCs w:val="16"/>
              </w:rPr>
            </w:pPr>
          </w:p>
        </w:tc>
        <w:tc>
          <w:tcPr>
            <w:tcW w:w="3151" w:type="dxa"/>
            <w:vAlign w:val="center"/>
          </w:tcPr>
          <w:p w14:paraId="6401E923" w14:textId="16019B58" w:rsidR="00B417B0" w:rsidRPr="00DD0E55" w:rsidRDefault="00B417B0" w:rsidP="000B2871">
            <w:pPr>
              <w:tabs>
                <w:tab w:val="clear" w:pos="-1440"/>
                <w:tab w:val="clear" w:pos="-720"/>
              </w:tabs>
              <w:spacing w:after="0" w:line="240" w:lineRule="auto"/>
              <w:ind w:left="0"/>
              <w:jc w:val="center"/>
              <w:rPr>
                <w:rFonts w:ascii="Arial" w:hAnsi="Arial" w:cs="Arial"/>
                <w:color w:val="000000"/>
                <w:sz w:val="18"/>
                <w:szCs w:val="16"/>
              </w:rPr>
            </w:pPr>
            <w:r w:rsidRPr="00DD0E55">
              <w:rPr>
                <w:rFonts w:ascii="Arial" w:hAnsi="Arial" w:cs="Arial"/>
                <w:color w:val="000000"/>
                <w:sz w:val="18"/>
                <w:szCs w:val="16"/>
              </w:rPr>
              <w:t>Total</w:t>
            </w:r>
          </w:p>
        </w:tc>
        <w:tc>
          <w:tcPr>
            <w:tcW w:w="2790" w:type="dxa"/>
            <w:vAlign w:val="center"/>
          </w:tcPr>
          <w:p w14:paraId="6401E924" w14:textId="178BA6B7" w:rsidR="00B417B0" w:rsidRPr="00DD0E55" w:rsidRDefault="00B417B0" w:rsidP="000B2871">
            <w:pPr>
              <w:pStyle w:val="Tables-Bodycells"/>
              <w:jc w:val="center"/>
              <w:rPr>
                <w:rFonts w:cs="Arial"/>
                <w:szCs w:val="16"/>
              </w:rPr>
            </w:pPr>
            <w:r w:rsidRPr="00DD0E55">
              <w:rPr>
                <w:szCs w:val="16"/>
              </w:rPr>
              <w:t>15,841</w:t>
            </w:r>
          </w:p>
        </w:tc>
      </w:tr>
    </w:tbl>
    <w:p w14:paraId="6401E93C" w14:textId="77777777" w:rsidR="003E0048" w:rsidRDefault="003E0048" w:rsidP="003E0048">
      <w:pPr>
        <w:pStyle w:val="Text"/>
      </w:pPr>
    </w:p>
    <w:p w14:paraId="6401E9C3" w14:textId="2E16C151" w:rsidR="00B4188E" w:rsidRDefault="002F4F7A" w:rsidP="00B4188E">
      <w:pPr>
        <w:pStyle w:val="Heading2"/>
      </w:pPr>
      <w:bookmarkStart w:id="72" w:name="_Toc5715490"/>
      <w:r>
        <w:t>Analysis of System</w:t>
      </w:r>
      <w:r w:rsidR="00B4188E">
        <w:t xml:space="preserve"> Load</w:t>
      </w:r>
      <w:bookmarkEnd w:id="72"/>
    </w:p>
    <w:p w14:paraId="3884267D" w14:textId="77777777" w:rsidR="008C3B76" w:rsidRDefault="008C3B76" w:rsidP="008C3B76">
      <w:pPr>
        <w:pStyle w:val="Heading3"/>
      </w:pPr>
      <w:bookmarkStart w:id="73" w:name="_Toc5715491"/>
      <w:r>
        <w:t>System Energy Sales</w:t>
      </w:r>
      <w:bookmarkEnd w:id="73"/>
    </w:p>
    <w:p w14:paraId="40C54EF2" w14:textId="66EABB9C" w:rsidR="008C3B76" w:rsidRDefault="008C3B76" w:rsidP="008C3B76">
      <w:pPr>
        <w:pStyle w:val="Text"/>
      </w:pPr>
      <w:r>
        <w:t xml:space="preserve">Technical potential is based on </w:t>
      </w:r>
      <w:r w:rsidR="00C523FD">
        <w:t xml:space="preserve">TECO’s load forecast for </w:t>
      </w:r>
      <w:r>
        <w:t>the year 2020</w:t>
      </w:r>
      <w:r w:rsidR="00C523FD">
        <w:t xml:space="preserve"> from their 2017 Ten Year Site Plan</w:t>
      </w:r>
      <w:r>
        <w:t xml:space="preserve">, </w:t>
      </w:r>
      <w:r w:rsidR="00465414">
        <w:t>which is</w:t>
      </w:r>
      <w:r>
        <w:t xml:space="preserve"> illustrated in </w:t>
      </w:r>
      <w:r>
        <w:fldChar w:fldCharType="begin"/>
      </w:r>
      <w:r>
        <w:instrText xml:space="preserve"> REF _Ref494707641 \h </w:instrText>
      </w:r>
      <w:r>
        <w:fldChar w:fldCharType="separate"/>
      </w:r>
      <w:r w:rsidR="00B30110">
        <w:t xml:space="preserve">Figure </w:t>
      </w:r>
      <w:r w:rsidR="00B30110">
        <w:rPr>
          <w:noProof/>
        </w:rPr>
        <w:t>3</w:t>
      </w:r>
      <w:r w:rsidR="00B30110">
        <w:noBreakHyphen/>
      </w:r>
      <w:r w:rsidR="00B30110">
        <w:rPr>
          <w:noProof/>
        </w:rPr>
        <w:t>4</w:t>
      </w:r>
      <w:r>
        <w:fldChar w:fldCharType="end"/>
      </w:r>
      <w:r>
        <w:t>.</w:t>
      </w:r>
    </w:p>
    <w:p w14:paraId="6C7262F7" w14:textId="7FDD22BE" w:rsidR="008C3B76" w:rsidRDefault="008C3B76" w:rsidP="008C3B76">
      <w:pPr>
        <w:pStyle w:val="Caption"/>
      </w:pPr>
      <w:bookmarkStart w:id="74" w:name="_Ref494707641"/>
      <w:bookmarkStart w:id="75" w:name="_Toc5715418"/>
      <w:r>
        <w:t xml:space="preserve">Figure </w:t>
      </w:r>
      <w:r>
        <w:rPr>
          <w:noProof/>
        </w:rPr>
        <w:fldChar w:fldCharType="begin"/>
      </w:r>
      <w:r>
        <w:rPr>
          <w:noProof/>
        </w:rPr>
        <w:instrText xml:space="preserve"> STYLEREF 1 \s </w:instrText>
      </w:r>
      <w:r>
        <w:rPr>
          <w:noProof/>
        </w:rPr>
        <w:fldChar w:fldCharType="separate"/>
      </w:r>
      <w:r w:rsidR="00B30110">
        <w:rPr>
          <w:noProof/>
        </w:rPr>
        <w:t>3</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B30110">
        <w:rPr>
          <w:noProof/>
        </w:rPr>
        <w:t>4</w:t>
      </w:r>
      <w:r>
        <w:rPr>
          <w:noProof/>
        </w:rPr>
        <w:fldChar w:fldCharType="end"/>
      </w:r>
      <w:bookmarkEnd w:id="74"/>
      <w:r>
        <w:t>: 2020 Electricity Sales Forecast by Sector</w:t>
      </w:r>
      <w:bookmarkEnd w:id="75"/>
      <w:r>
        <w:t xml:space="preserve"> </w:t>
      </w:r>
    </w:p>
    <w:p w14:paraId="7B4BA1C0" w14:textId="1A510205" w:rsidR="008C3B76" w:rsidRDefault="009320C0" w:rsidP="008C3B76">
      <w:pPr>
        <w:pStyle w:val="Text"/>
        <w:jc w:val="center"/>
      </w:pPr>
      <w:r>
        <w:rPr>
          <w:noProof/>
        </w:rPr>
        <w:drawing>
          <wp:inline distT="0" distB="0" distL="0" distR="0" wp14:anchorId="6DE3F965" wp14:editId="1E6EC38F">
            <wp:extent cx="3590925" cy="27495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90925" cy="2749550"/>
                    </a:xfrm>
                    <a:prstGeom prst="rect">
                      <a:avLst/>
                    </a:prstGeom>
                    <a:noFill/>
                  </pic:spPr>
                </pic:pic>
              </a:graphicData>
            </a:graphic>
          </wp:inline>
        </w:drawing>
      </w:r>
    </w:p>
    <w:p w14:paraId="1F89450D" w14:textId="77777777" w:rsidR="008C3B76" w:rsidRDefault="008C3B76" w:rsidP="008C3B76">
      <w:pPr>
        <w:pStyle w:val="Heading3"/>
      </w:pPr>
      <w:bookmarkStart w:id="76" w:name="_Toc5715492"/>
      <w:r>
        <w:t>System Demand</w:t>
      </w:r>
      <w:bookmarkEnd w:id="76"/>
    </w:p>
    <w:p w14:paraId="702AD8C3" w14:textId="16079B61" w:rsidR="008C3B76" w:rsidRDefault="00C523FD" w:rsidP="00C42451">
      <w:pPr>
        <w:pStyle w:val="Text"/>
        <w:jc w:val="both"/>
      </w:pPr>
      <w:r>
        <w:t xml:space="preserve">To determine the technical potential for DR, Nexant first established peaking conditions for each utility by looking at when each utility historically experienced its maximum demand. The primary data source used to determine when maximum DR impact was the historical system load for TECO. The data provided contained the system loads all 8,760 hours of the most recent five years leading up to the study (2011-2016). </w:t>
      </w:r>
      <w:r w:rsidR="000C7BC6">
        <w:t>The utility summer and winter peaks were then identified within the utility-defined peaking conditions. For TECO the summer peaking conditions were defined as July and August from 5:00-6:00 PM and the winter peaking conditions were defined as January and February from 7:00-8:00 AM. The seasonal peaks were then selected as the maximum demand during utility peaking conditions.</w:t>
      </w:r>
    </w:p>
    <w:p w14:paraId="3A031E89" w14:textId="7F64F384" w:rsidR="002F4F7A" w:rsidRPr="002F4F7A" w:rsidRDefault="00684ECB" w:rsidP="002F4F7A">
      <w:pPr>
        <w:pStyle w:val="Heading3"/>
      </w:pPr>
      <w:bookmarkStart w:id="77" w:name="_Toc5715493"/>
      <w:r>
        <w:t>Load Disaggregation</w:t>
      </w:r>
      <w:bookmarkEnd w:id="77"/>
    </w:p>
    <w:p w14:paraId="6401E9C4" w14:textId="4F432FCE" w:rsidR="00CB696C" w:rsidRDefault="00B4188E" w:rsidP="00C42451">
      <w:pPr>
        <w:pStyle w:val="Text"/>
        <w:jc w:val="both"/>
      </w:pPr>
      <w:r>
        <w:t>The disaggreg</w:t>
      </w:r>
      <w:r w:rsidR="009365E0">
        <w:t>ated loads for the base year 2020</w:t>
      </w:r>
      <w:r>
        <w:t xml:space="preserve"> by sector and </w:t>
      </w:r>
      <w:r w:rsidR="007576CB">
        <w:t>end-use</w:t>
      </w:r>
      <w:r>
        <w:t xml:space="preserve"> are summarized in</w:t>
      </w:r>
      <w:r w:rsidR="00B4724C">
        <w:t xml:space="preserve"> </w:t>
      </w:r>
      <w:r w:rsidR="00B4724C">
        <w:fldChar w:fldCharType="begin"/>
      </w:r>
      <w:r w:rsidR="00B4724C">
        <w:instrText xml:space="preserve"> REF _Ref494707401 \h </w:instrText>
      </w:r>
      <w:r w:rsidR="00B4724C">
        <w:fldChar w:fldCharType="separate"/>
      </w:r>
      <w:r w:rsidR="00B30110">
        <w:t xml:space="preserve">Figure </w:t>
      </w:r>
      <w:r w:rsidR="00B30110">
        <w:rPr>
          <w:noProof/>
        </w:rPr>
        <w:t>3</w:t>
      </w:r>
      <w:r w:rsidR="00B30110">
        <w:noBreakHyphen/>
      </w:r>
      <w:r w:rsidR="00B30110">
        <w:rPr>
          <w:noProof/>
        </w:rPr>
        <w:t>5</w:t>
      </w:r>
      <w:r w:rsidR="00B4724C">
        <w:fldChar w:fldCharType="end"/>
      </w:r>
      <w:r w:rsidR="00B4724C">
        <w:t xml:space="preserve">, </w:t>
      </w:r>
      <w:r w:rsidR="00B4724C">
        <w:fldChar w:fldCharType="begin"/>
      </w:r>
      <w:r w:rsidR="00B4724C">
        <w:instrText xml:space="preserve"> REF _Ref494707426 \h </w:instrText>
      </w:r>
      <w:r w:rsidR="00B4724C">
        <w:fldChar w:fldCharType="separate"/>
      </w:r>
      <w:r w:rsidR="00B30110">
        <w:t xml:space="preserve">Figure </w:t>
      </w:r>
      <w:r w:rsidR="00B30110">
        <w:rPr>
          <w:noProof/>
        </w:rPr>
        <w:t>3</w:t>
      </w:r>
      <w:r w:rsidR="00B30110">
        <w:noBreakHyphen/>
      </w:r>
      <w:r w:rsidR="00B30110">
        <w:rPr>
          <w:noProof/>
        </w:rPr>
        <w:t>6</w:t>
      </w:r>
      <w:r w:rsidR="00B4724C">
        <w:fldChar w:fldCharType="end"/>
      </w:r>
      <w:r>
        <w:t xml:space="preserve"> and</w:t>
      </w:r>
      <w:r w:rsidR="00B4724C">
        <w:t xml:space="preserve"> </w:t>
      </w:r>
      <w:r w:rsidR="00B4724C">
        <w:fldChar w:fldCharType="begin"/>
      </w:r>
      <w:r w:rsidR="00B4724C">
        <w:instrText xml:space="preserve"> REF _Ref494707434 \h </w:instrText>
      </w:r>
      <w:r w:rsidR="00B4724C">
        <w:fldChar w:fldCharType="separate"/>
      </w:r>
      <w:r w:rsidR="00B30110">
        <w:t xml:space="preserve">Figure </w:t>
      </w:r>
      <w:r w:rsidR="00B30110">
        <w:rPr>
          <w:noProof/>
        </w:rPr>
        <w:t>3</w:t>
      </w:r>
      <w:r w:rsidR="00B30110">
        <w:noBreakHyphen/>
      </w:r>
      <w:r w:rsidR="00B30110">
        <w:rPr>
          <w:noProof/>
        </w:rPr>
        <w:t>7</w:t>
      </w:r>
      <w:r w:rsidR="00B4724C">
        <w:fldChar w:fldCharType="end"/>
      </w:r>
      <w:r>
        <w:t>.</w:t>
      </w:r>
    </w:p>
    <w:p w14:paraId="6401E9C5" w14:textId="7A657855" w:rsidR="00B4724C" w:rsidRDefault="00B4724C" w:rsidP="00B4724C">
      <w:pPr>
        <w:pStyle w:val="Caption"/>
      </w:pPr>
      <w:bookmarkStart w:id="78" w:name="_Ref494707401"/>
      <w:bookmarkStart w:id="79" w:name="_Toc5715419"/>
      <w:r>
        <w:t xml:space="preserve">Figure </w:t>
      </w:r>
      <w:r w:rsidR="0025777A">
        <w:rPr>
          <w:noProof/>
        </w:rPr>
        <w:fldChar w:fldCharType="begin"/>
      </w:r>
      <w:r w:rsidR="0025777A">
        <w:rPr>
          <w:noProof/>
        </w:rPr>
        <w:instrText xml:space="preserve"> STYLEREF 1 \s </w:instrText>
      </w:r>
      <w:r w:rsidR="0025777A">
        <w:rPr>
          <w:noProof/>
        </w:rPr>
        <w:fldChar w:fldCharType="separate"/>
      </w:r>
      <w:r w:rsidR="00B30110">
        <w:rPr>
          <w:noProof/>
        </w:rPr>
        <w:t>3</w:t>
      </w:r>
      <w:r w:rsidR="0025777A">
        <w:rPr>
          <w:noProof/>
        </w:rPr>
        <w:fldChar w:fldCharType="end"/>
      </w:r>
      <w:r w:rsidR="00A118ED">
        <w:noBreakHyphen/>
      </w:r>
      <w:r w:rsidR="0025777A">
        <w:rPr>
          <w:noProof/>
        </w:rPr>
        <w:fldChar w:fldCharType="begin"/>
      </w:r>
      <w:r w:rsidR="0025777A">
        <w:rPr>
          <w:noProof/>
        </w:rPr>
        <w:instrText xml:space="preserve"> SEQ Figure \* ARABIC \s 1 </w:instrText>
      </w:r>
      <w:r w:rsidR="0025777A">
        <w:rPr>
          <w:noProof/>
        </w:rPr>
        <w:fldChar w:fldCharType="separate"/>
      </w:r>
      <w:r w:rsidR="00B30110">
        <w:rPr>
          <w:noProof/>
        </w:rPr>
        <w:t>5</w:t>
      </w:r>
      <w:r w:rsidR="0025777A">
        <w:rPr>
          <w:noProof/>
        </w:rPr>
        <w:fldChar w:fldCharType="end"/>
      </w:r>
      <w:bookmarkEnd w:id="78"/>
      <w:r w:rsidR="009365E0">
        <w:t xml:space="preserve">: </w:t>
      </w:r>
      <w:r>
        <w:t>Residential Baseline</w:t>
      </w:r>
      <w:r w:rsidR="009365E0">
        <w:t xml:space="preserve"> (2020</w:t>
      </w:r>
      <w:r w:rsidR="00D96EBA">
        <w:t>)</w:t>
      </w:r>
      <w:r>
        <w:t xml:space="preserve"> </w:t>
      </w:r>
      <w:r w:rsidR="00C523FD">
        <w:t xml:space="preserve">Energy </w:t>
      </w:r>
      <w:r w:rsidR="007576CB">
        <w:t>Sales by End-</w:t>
      </w:r>
      <w:r w:rsidR="00D96EBA">
        <w:t>Use</w:t>
      </w:r>
      <w:bookmarkEnd w:id="79"/>
    </w:p>
    <w:p w14:paraId="6401E9C6" w14:textId="6BC1DCEF" w:rsidR="00B4188E" w:rsidRPr="00E61221" w:rsidRDefault="00C523FD" w:rsidP="00B4724C">
      <w:pPr>
        <w:pStyle w:val="Text"/>
        <w:jc w:val="center"/>
      </w:pPr>
      <w:r>
        <w:rPr>
          <w:noProof/>
        </w:rPr>
        <w:drawing>
          <wp:inline distT="0" distB="0" distL="0" distR="0" wp14:anchorId="09E36538" wp14:editId="29C5D1DD">
            <wp:extent cx="4810125" cy="374007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7058" cy="3753243"/>
                    </a:xfrm>
                    <a:prstGeom prst="rect">
                      <a:avLst/>
                    </a:prstGeom>
                    <a:noFill/>
                  </pic:spPr>
                </pic:pic>
              </a:graphicData>
            </a:graphic>
          </wp:inline>
        </w:drawing>
      </w:r>
    </w:p>
    <w:p w14:paraId="6401E9C7" w14:textId="21C65E60" w:rsidR="00B4724C" w:rsidRDefault="00B4724C" w:rsidP="00B4724C">
      <w:pPr>
        <w:pStyle w:val="Caption"/>
      </w:pPr>
      <w:bookmarkStart w:id="80" w:name="_Ref494707426"/>
      <w:bookmarkStart w:id="81" w:name="_Toc5715420"/>
      <w:r>
        <w:t xml:space="preserve">Figure </w:t>
      </w:r>
      <w:r w:rsidR="0025777A">
        <w:rPr>
          <w:noProof/>
        </w:rPr>
        <w:fldChar w:fldCharType="begin"/>
      </w:r>
      <w:r w:rsidR="0025777A">
        <w:rPr>
          <w:noProof/>
        </w:rPr>
        <w:instrText xml:space="preserve"> STYLEREF 1 \s </w:instrText>
      </w:r>
      <w:r w:rsidR="0025777A">
        <w:rPr>
          <w:noProof/>
        </w:rPr>
        <w:fldChar w:fldCharType="separate"/>
      </w:r>
      <w:r w:rsidR="00B30110">
        <w:rPr>
          <w:noProof/>
        </w:rPr>
        <w:t>3</w:t>
      </w:r>
      <w:r w:rsidR="0025777A">
        <w:rPr>
          <w:noProof/>
        </w:rPr>
        <w:fldChar w:fldCharType="end"/>
      </w:r>
      <w:r w:rsidR="00A118ED">
        <w:noBreakHyphen/>
      </w:r>
      <w:r w:rsidR="0025777A">
        <w:rPr>
          <w:noProof/>
        </w:rPr>
        <w:fldChar w:fldCharType="begin"/>
      </w:r>
      <w:r w:rsidR="0025777A">
        <w:rPr>
          <w:noProof/>
        </w:rPr>
        <w:instrText xml:space="preserve"> SEQ Figure \* ARABIC \s 1 </w:instrText>
      </w:r>
      <w:r w:rsidR="0025777A">
        <w:rPr>
          <w:noProof/>
        </w:rPr>
        <w:fldChar w:fldCharType="separate"/>
      </w:r>
      <w:r w:rsidR="00B30110">
        <w:rPr>
          <w:noProof/>
        </w:rPr>
        <w:t>6</w:t>
      </w:r>
      <w:r w:rsidR="0025777A">
        <w:rPr>
          <w:noProof/>
        </w:rPr>
        <w:fldChar w:fldCharType="end"/>
      </w:r>
      <w:bookmarkEnd w:id="80"/>
      <w:r w:rsidR="009365E0">
        <w:t xml:space="preserve">: </w:t>
      </w:r>
      <w:r>
        <w:t>Commercial Baseline</w:t>
      </w:r>
      <w:r w:rsidR="009365E0">
        <w:t xml:space="preserve"> (2020</w:t>
      </w:r>
      <w:r w:rsidR="00D96EBA">
        <w:t>)</w:t>
      </w:r>
      <w:r>
        <w:t xml:space="preserve"> </w:t>
      </w:r>
      <w:r w:rsidR="00C523FD">
        <w:t xml:space="preserve">Energy </w:t>
      </w:r>
      <w:r w:rsidR="00D96EBA">
        <w:t>Sales</w:t>
      </w:r>
      <w:r>
        <w:t xml:space="preserve"> </w:t>
      </w:r>
      <w:r w:rsidR="007576CB">
        <w:t>by End-</w:t>
      </w:r>
      <w:r w:rsidR="00D96EBA">
        <w:t>Use</w:t>
      </w:r>
      <w:bookmarkEnd w:id="81"/>
    </w:p>
    <w:p w14:paraId="6401E9C8" w14:textId="46FD45B7" w:rsidR="00B4188E" w:rsidRDefault="008141FC" w:rsidP="00B4188E">
      <w:pPr>
        <w:pStyle w:val="Text"/>
        <w:jc w:val="center"/>
      </w:pPr>
      <w:r>
        <w:rPr>
          <w:noProof/>
        </w:rPr>
        <w:drawing>
          <wp:inline distT="0" distB="0" distL="0" distR="0" wp14:anchorId="140F268C" wp14:editId="77D1A896">
            <wp:extent cx="4791075" cy="38121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9898" cy="3835089"/>
                    </a:xfrm>
                    <a:prstGeom prst="rect">
                      <a:avLst/>
                    </a:prstGeom>
                    <a:noFill/>
                  </pic:spPr>
                </pic:pic>
              </a:graphicData>
            </a:graphic>
          </wp:inline>
        </w:drawing>
      </w:r>
    </w:p>
    <w:p w14:paraId="6401E9C9" w14:textId="521F4857" w:rsidR="00B4724C" w:rsidRDefault="00B4724C" w:rsidP="00B4724C">
      <w:pPr>
        <w:pStyle w:val="Caption"/>
      </w:pPr>
      <w:bookmarkStart w:id="82" w:name="_Ref494707434"/>
      <w:bookmarkStart w:id="83" w:name="_Toc5715421"/>
      <w:r>
        <w:t xml:space="preserve">Figure </w:t>
      </w:r>
      <w:r w:rsidR="0025777A">
        <w:rPr>
          <w:noProof/>
        </w:rPr>
        <w:fldChar w:fldCharType="begin"/>
      </w:r>
      <w:r w:rsidR="0025777A">
        <w:rPr>
          <w:noProof/>
        </w:rPr>
        <w:instrText xml:space="preserve"> STYLEREF 1 \s </w:instrText>
      </w:r>
      <w:r w:rsidR="0025777A">
        <w:rPr>
          <w:noProof/>
        </w:rPr>
        <w:fldChar w:fldCharType="separate"/>
      </w:r>
      <w:r w:rsidR="00B30110">
        <w:rPr>
          <w:noProof/>
        </w:rPr>
        <w:t>3</w:t>
      </w:r>
      <w:r w:rsidR="0025777A">
        <w:rPr>
          <w:noProof/>
        </w:rPr>
        <w:fldChar w:fldCharType="end"/>
      </w:r>
      <w:r w:rsidR="00A118ED">
        <w:noBreakHyphen/>
      </w:r>
      <w:r w:rsidR="0025777A">
        <w:rPr>
          <w:noProof/>
        </w:rPr>
        <w:fldChar w:fldCharType="begin"/>
      </w:r>
      <w:r w:rsidR="0025777A">
        <w:rPr>
          <w:noProof/>
        </w:rPr>
        <w:instrText xml:space="preserve"> SEQ Figure \* ARABIC \s 1 </w:instrText>
      </w:r>
      <w:r w:rsidR="0025777A">
        <w:rPr>
          <w:noProof/>
        </w:rPr>
        <w:fldChar w:fldCharType="separate"/>
      </w:r>
      <w:r w:rsidR="00B30110">
        <w:rPr>
          <w:noProof/>
        </w:rPr>
        <w:t>7</w:t>
      </w:r>
      <w:r w:rsidR="0025777A">
        <w:rPr>
          <w:noProof/>
        </w:rPr>
        <w:fldChar w:fldCharType="end"/>
      </w:r>
      <w:bookmarkEnd w:id="82"/>
      <w:r w:rsidR="009365E0">
        <w:t xml:space="preserve">: </w:t>
      </w:r>
      <w:r>
        <w:t xml:space="preserve">Industrial Baseline </w:t>
      </w:r>
      <w:r w:rsidR="00845633">
        <w:t xml:space="preserve">(2020) </w:t>
      </w:r>
      <w:r w:rsidR="00C523FD">
        <w:t xml:space="preserve">Energy </w:t>
      </w:r>
      <w:r w:rsidR="00845633">
        <w:t>Sales by End-Use</w:t>
      </w:r>
      <w:bookmarkEnd w:id="83"/>
    </w:p>
    <w:p w14:paraId="6401E9E7" w14:textId="3A340AE3" w:rsidR="00D92075" w:rsidRDefault="00C523FD" w:rsidP="00F92D7C">
      <w:pPr>
        <w:pStyle w:val="Caption"/>
        <w:keepNext w:val="0"/>
      </w:pPr>
      <w:bookmarkStart w:id="84" w:name="_Ref456949617"/>
      <w:r>
        <w:rPr>
          <w:noProof/>
        </w:rPr>
        <w:drawing>
          <wp:inline distT="0" distB="0" distL="0" distR="0" wp14:anchorId="590A653E" wp14:editId="028089DC">
            <wp:extent cx="4895850" cy="381589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03456" cy="3821819"/>
                    </a:xfrm>
                    <a:prstGeom prst="rect">
                      <a:avLst/>
                    </a:prstGeom>
                    <a:noFill/>
                  </pic:spPr>
                </pic:pic>
              </a:graphicData>
            </a:graphic>
          </wp:inline>
        </w:drawing>
      </w:r>
    </w:p>
    <w:p w14:paraId="322FEE03" w14:textId="73794BC1" w:rsidR="001C5B4B" w:rsidRDefault="001C5B4B" w:rsidP="00F15E6D">
      <w:pPr>
        <w:pStyle w:val="Text"/>
        <w:sectPr w:rsidR="001C5B4B" w:rsidSect="00AC4E83">
          <w:pgSz w:w="12240" w:h="15840"/>
          <w:pgMar w:top="1440" w:right="1224" w:bottom="1440" w:left="1224" w:header="720" w:footer="720" w:gutter="0"/>
          <w:cols w:space="720"/>
          <w:titlePg/>
          <w:docGrid w:linePitch="299"/>
        </w:sectPr>
      </w:pPr>
    </w:p>
    <w:p w14:paraId="6401E9E9" w14:textId="7E4F7A12" w:rsidR="00EE455B" w:rsidRDefault="00EE455B" w:rsidP="00EE455B">
      <w:pPr>
        <w:pStyle w:val="Heading1"/>
      </w:pPr>
      <w:bookmarkStart w:id="85" w:name="_Toc5715494"/>
      <w:r>
        <w:t xml:space="preserve">DSM Measure </w:t>
      </w:r>
      <w:bookmarkEnd w:id="84"/>
      <w:r w:rsidR="00340EDD">
        <w:t>Development</w:t>
      </w:r>
      <w:bookmarkEnd w:id="85"/>
    </w:p>
    <w:p w14:paraId="6401E9EA" w14:textId="55280A9F" w:rsidR="000A223C" w:rsidRDefault="00C523FD" w:rsidP="00C42451">
      <w:pPr>
        <w:pStyle w:val="Text"/>
        <w:jc w:val="both"/>
      </w:pPr>
      <w:r>
        <w:t>Market potential is described by comparing baseline market consumption with opportunities for savings. Describing these individual savings opportunities results in a list of DSM measures to analyze. This section presents the methodology to develop the EE, DR, and DSRE measure lists</w:t>
      </w:r>
      <w:r w:rsidR="008E7E68">
        <w:t>.</w:t>
      </w:r>
    </w:p>
    <w:p w14:paraId="6401E9EB" w14:textId="77777777" w:rsidR="000A223C" w:rsidRDefault="000A223C" w:rsidP="000A223C">
      <w:pPr>
        <w:pStyle w:val="Heading2"/>
      </w:pPr>
      <w:bookmarkStart w:id="86" w:name="_Toc5715495"/>
      <w:r>
        <w:t>Methodology</w:t>
      </w:r>
      <w:bookmarkEnd w:id="86"/>
    </w:p>
    <w:p w14:paraId="6401E9ED" w14:textId="20723603" w:rsidR="00D624D7" w:rsidRDefault="00D624D7" w:rsidP="00C42451">
      <w:pPr>
        <w:pStyle w:val="Text"/>
        <w:jc w:val="both"/>
      </w:pPr>
      <w:r w:rsidRPr="00D624D7">
        <w:t xml:space="preserve">Nexant identified </w:t>
      </w:r>
      <w:r w:rsidR="005A500D">
        <w:t xml:space="preserve">a comprehensive catalog of </w:t>
      </w:r>
      <w:r w:rsidRPr="00D624D7">
        <w:t xml:space="preserve">DSM measures for </w:t>
      </w:r>
      <w:r w:rsidR="008F5180">
        <w:t xml:space="preserve">the study.  The measure list is the same for all </w:t>
      </w:r>
      <w:r w:rsidR="00B30110">
        <w:t>FEECA Utilities</w:t>
      </w:r>
      <w:r w:rsidR="008F5180">
        <w:t>.  The iterative vetting process with the utilities to develop the measure list began</w:t>
      </w:r>
      <w:r w:rsidRPr="00D624D7">
        <w:t xml:space="preserve"> by initially examining </w:t>
      </w:r>
      <w:r w:rsidR="00340EDD">
        <w:t>the</w:t>
      </w:r>
      <w:r w:rsidRPr="00D624D7">
        <w:t xml:space="preserve"> list of measures </w:t>
      </w:r>
      <w:r w:rsidR="00340EDD">
        <w:t xml:space="preserve">included in the 2014 </w:t>
      </w:r>
      <w:r w:rsidR="008F5180">
        <w:t>Goals docket</w:t>
      </w:r>
      <w:r w:rsidR="00340EDD">
        <w:t xml:space="preserve">.  This list was </w:t>
      </w:r>
      <w:r w:rsidR="008F5180">
        <w:t xml:space="preserve">then adjusted based on </w:t>
      </w:r>
      <w:r w:rsidR="00340EDD">
        <w:t>proposed measure</w:t>
      </w:r>
      <w:r w:rsidR="008F5180">
        <w:t xml:space="preserve"> additions and revision</w:t>
      </w:r>
      <w:r w:rsidR="00340EDD">
        <w:t xml:space="preserve">s </w:t>
      </w:r>
      <w:r w:rsidR="002D05FA">
        <w:t>provided by the FEECA U</w:t>
      </w:r>
      <w:r w:rsidR="005A500D">
        <w:t>tilities.</w:t>
      </w:r>
      <w:r w:rsidR="009279D3">
        <w:t xml:space="preserve">  N</w:t>
      </w:r>
      <w:r w:rsidR="003434B6">
        <w:t xml:space="preserve">exant </w:t>
      </w:r>
      <w:r w:rsidR="002D05FA">
        <w:t>further refined the measure list based on reviews of Nexant’s DSM measure library, compiled from similar ma</w:t>
      </w:r>
      <w:r w:rsidR="00340EDD">
        <w:t>rket potential studies conducted in recent years throughout the United States</w:t>
      </w:r>
      <w:r w:rsidR="004D6014">
        <w:t>, including recent studies for Georgia Power Company and Duke Energy Carolinas</w:t>
      </w:r>
      <w:r w:rsidR="00340EDD">
        <w:t xml:space="preserve">, as well as measures included in other utility programs where Nexant is involved with program design, implementation, or evaluation.  </w:t>
      </w:r>
      <w:r w:rsidR="002D05FA">
        <w:t xml:space="preserve">In addition, Nexant evaluated whether each measure had the appropriate data available to estimate impacts in the potential analyses.  </w:t>
      </w:r>
      <w:r w:rsidR="00C523FD">
        <w:t xml:space="preserve">A draft version of the measure list was shared with interested parties Earthjustice/Southern Alliance for Clean Energy (SACE) for Nexant and the FEECA Utilities to gather and consider their input.  The results of that consideration were provided to Earthjustice/SACE and later shared with the Florida Public Service Commission Staff (Staff) and all other interested parties at an informal meeting held by Staff.  </w:t>
      </w:r>
      <w:r w:rsidR="002D05FA">
        <w:t xml:space="preserve">The extensive, iterative review process involving </w:t>
      </w:r>
      <w:r w:rsidR="00144B5B">
        <w:t>multiple parties</w:t>
      </w:r>
      <w:r w:rsidRPr="00D624D7">
        <w:t xml:space="preserve"> </w:t>
      </w:r>
      <w:r w:rsidR="002D05FA">
        <w:t xml:space="preserve">has </w:t>
      </w:r>
      <w:r w:rsidRPr="00D624D7">
        <w:t>ensure</w:t>
      </w:r>
      <w:r w:rsidR="00340EDD">
        <w:t>d</w:t>
      </w:r>
      <w:r w:rsidRPr="00D624D7">
        <w:t xml:space="preserve"> that the study </w:t>
      </w:r>
      <w:r w:rsidR="005A500D">
        <w:t>included</w:t>
      </w:r>
      <w:r w:rsidRPr="00D624D7">
        <w:t xml:space="preserve"> a robust and comprehensive set of </w:t>
      </w:r>
      <w:r w:rsidR="003434B6">
        <w:t xml:space="preserve">DSM </w:t>
      </w:r>
      <w:r w:rsidRPr="00D624D7">
        <w:t>measures.</w:t>
      </w:r>
    </w:p>
    <w:p w14:paraId="6401E9EE" w14:textId="56828E8F" w:rsidR="008F63DF" w:rsidRDefault="00B017CD" w:rsidP="00C42451">
      <w:pPr>
        <w:pStyle w:val="Text"/>
        <w:jc w:val="both"/>
      </w:pPr>
      <w:r w:rsidRPr="00144B5B">
        <w:t xml:space="preserve">See </w:t>
      </w:r>
      <w:r w:rsidR="0035546C" w:rsidRPr="00144B5B">
        <w:fldChar w:fldCharType="begin"/>
      </w:r>
      <w:r w:rsidR="0035546C" w:rsidRPr="00144B5B">
        <w:instrText xml:space="preserve"> REF _Ref497473321 \r \h </w:instrText>
      </w:r>
      <w:r w:rsidR="00340EDD" w:rsidRPr="00144B5B">
        <w:instrText xml:space="preserve"> \* MERGEFORMAT </w:instrText>
      </w:r>
      <w:r w:rsidR="0035546C" w:rsidRPr="00144B5B">
        <w:fldChar w:fldCharType="separate"/>
      </w:r>
      <w:r w:rsidR="00B30110">
        <w:t>Appendix A</w:t>
      </w:r>
      <w:r w:rsidR="0035546C" w:rsidRPr="00144B5B">
        <w:fldChar w:fldCharType="end"/>
      </w:r>
      <w:r w:rsidR="0035546C" w:rsidRPr="00144B5B">
        <w:t xml:space="preserve"> </w:t>
      </w:r>
      <w:r w:rsidRPr="00144B5B">
        <w:t xml:space="preserve">for the </w:t>
      </w:r>
      <w:r w:rsidR="002D05FA">
        <w:t>list of EE</w:t>
      </w:r>
      <w:r w:rsidRPr="00144B5B">
        <w:t xml:space="preserve"> measure</w:t>
      </w:r>
      <w:r w:rsidR="002D05FA">
        <w:t xml:space="preserve">s, </w:t>
      </w:r>
      <w:r w:rsidR="00350E31" w:rsidRPr="00144B5B">
        <w:t xml:space="preserve">Appendix </w:t>
      </w:r>
      <w:r w:rsidR="0039298A">
        <w:t>B</w:t>
      </w:r>
      <w:r w:rsidR="00350E31" w:rsidRPr="00144B5B">
        <w:t xml:space="preserve"> for the </w:t>
      </w:r>
      <w:r w:rsidR="002D05FA">
        <w:t>list of</w:t>
      </w:r>
      <w:r w:rsidR="00350E31" w:rsidRPr="00144B5B">
        <w:t xml:space="preserve"> DR</w:t>
      </w:r>
      <w:r w:rsidR="002D05FA">
        <w:t xml:space="preserve"> measures, a</w:t>
      </w:r>
      <w:r w:rsidR="003434B6" w:rsidRPr="00144B5B">
        <w:t>nd Appendix</w:t>
      </w:r>
      <w:r w:rsidR="002D05FA">
        <w:t xml:space="preserve"> </w:t>
      </w:r>
      <w:r w:rsidR="0039298A">
        <w:t>C</w:t>
      </w:r>
      <w:r w:rsidR="002D05FA">
        <w:t xml:space="preserve"> for the list of </w:t>
      </w:r>
      <w:r w:rsidR="003434B6" w:rsidRPr="00144B5B">
        <w:t>DSRE</w:t>
      </w:r>
      <w:r w:rsidR="002D05FA">
        <w:t xml:space="preserve"> measures analyzed in the study</w:t>
      </w:r>
      <w:r w:rsidRPr="00144B5B">
        <w:t>.</w:t>
      </w:r>
      <w:r w:rsidR="000A223C">
        <w:t xml:space="preserve"> </w:t>
      </w:r>
    </w:p>
    <w:p w14:paraId="6401E9EF" w14:textId="7C458B33" w:rsidR="00EE455B" w:rsidRDefault="007576CB" w:rsidP="00C42451">
      <w:pPr>
        <w:pStyle w:val="Heading2"/>
        <w:jc w:val="both"/>
      </w:pPr>
      <w:bookmarkStart w:id="87" w:name="_Ref456948455"/>
      <w:bookmarkStart w:id="88" w:name="_Toc5715496"/>
      <w:r>
        <w:t>EE</w:t>
      </w:r>
      <w:r w:rsidR="00EE455B">
        <w:t xml:space="preserve"> Measures</w:t>
      </w:r>
      <w:bookmarkEnd w:id="87"/>
      <w:bookmarkEnd w:id="88"/>
    </w:p>
    <w:p w14:paraId="2211D62D" w14:textId="07972959" w:rsidR="003A114D" w:rsidRDefault="00C523FD" w:rsidP="00C42451">
      <w:pPr>
        <w:pStyle w:val="Text"/>
        <w:jc w:val="both"/>
      </w:pPr>
      <w:r>
        <w:t>EE measures represent technologies applicable to the residential, commercial, and industrial customers in the FEECA Utilities’ service territories.  The development of EE measures included consideration of</w:t>
      </w:r>
      <w:r w:rsidR="003A114D">
        <w:t>:</w:t>
      </w:r>
    </w:p>
    <w:p w14:paraId="1195833C" w14:textId="19CBEE73" w:rsidR="00452AE3" w:rsidRDefault="00452AE3" w:rsidP="00C42451">
      <w:pPr>
        <w:pStyle w:val="Mainbody-Bullets"/>
        <w:jc w:val="both"/>
      </w:pPr>
      <w:r>
        <w:t xml:space="preserve">Applicability and commercial availability of </w:t>
      </w:r>
      <w:r w:rsidR="007576CB">
        <w:t>EE</w:t>
      </w:r>
      <w:r>
        <w:t xml:space="preserve"> technologies in Florida.  Measures that are not applicable due to climate or customer characteristics were excluded, as were “emerging” technologies that are not currently commercially available to FEECA utility customers.</w:t>
      </w:r>
      <w:r w:rsidR="00144B5B">
        <w:t xml:space="preserve">  </w:t>
      </w:r>
    </w:p>
    <w:p w14:paraId="4F3F00EF" w14:textId="0B4A9A38" w:rsidR="003A114D" w:rsidRDefault="003A114D" w:rsidP="00C42451">
      <w:pPr>
        <w:pStyle w:val="Mainbody-Bullets"/>
        <w:jc w:val="both"/>
      </w:pPr>
      <w:r>
        <w:t>C</w:t>
      </w:r>
      <w:r w:rsidR="0019516D">
        <w:t xml:space="preserve">urrent and planned </w:t>
      </w:r>
      <w:r w:rsidR="002D05FA">
        <w:t>Florida Building C</w:t>
      </w:r>
      <w:r w:rsidR="0019516D">
        <w:t xml:space="preserve">odes and </w:t>
      </w:r>
      <w:r w:rsidR="002D05FA">
        <w:t xml:space="preserve">federal equipment </w:t>
      </w:r>
      <w:r w:rsidR="0019516D">
        <w:t>standards</w:t>
      </w:r>
      <w:r w:rsidRPr="003A114D">
        <w:t xml:space="preserve"> </w:t>
      </w:r>
      <w:r w:rsidR="002D05FA">
        <w:t xml:space="preserve">(Codes &amp; standards) </w:t>
      </w:r>
      <w:r>
        <w:t>for baseline equipment</w:t>
      </w:r>
      <w:r>
        <w:rPr>
          <w:rStyle w:val="FootnoteReference"/>
        </w:rPr>
        <w:footnoteReference w:id="4"/>
      </w:r>
      <w:r w:rsidR="00C6127D">
        <w:t>.  Measures included from prior studies we</w:t>
      </w:r>
      <w:r w:rsidR="002D05FA">
        <w:t>re adjusted to reflect current Codes &amp;</w:t>
      </w:r>
      <w:r w:rsidR="00C6127D">
        <w:t xml:space="preserve"> standards as well as updated efficiency tiers</w:t>
      </w:r>
      <w:r w:rsidR="00C00D68">
        <w:t>, as appropriate</w:t>
      </w:r>
      <w:r w:rsidR="00C6127D">
        <w:t>.</w:t>
      </w:r>
    </w:p>
    <w:p w14:paraId="6401E9F1" w14:textId="445097BA" w:rsidR="008F63DF" w:rsidRDefault="001476AC" w:rsidP="00C42451">
      <w:pPr>
        <w:pStyle w:val="Mainbody-Bullets"/>
        <w:jc w:val="both"/>
      </w:pPr>
      <w:r>
        <w:t xml:space="preserve">Eligibility for utility </w:t>
      </w:r>
      <w:r w:rsidR="00C6127D">
        <w:t xml:space="preserve">DSM </w:t>
      </w:r>
      <w:r>
        <w:t>offerings in Florida.  For example, behavioral measures were excluded from consideration</w:t>
      </w:r>
      <w:r w:rsidR="00026E6C">
        <w:t xml:space="preserve"> as they are not allowed to be counted towards utility DSM goals.</w:t>
      </w:r>
      <w:r>
        <w:t xml:space="preserve"> </w:t>
      </w:r>
      <w:r w:rsidR="00452AE3" w:rsidRPr="00452AE3">
        <w:t>Behavioral measures are intended to motivate customers to operate in a more energy-efficient manner (</w:t>
      </w:r>
      <w:r w:rsidR="00452AE3" w:rsidRPr="00AA6369">
        <w:rPr>
          <w:i/>
        </w:rPr>
        <w:t>e.g.</w:t>
      </w:r>
      <w:r w:rsidR="00452AE3" w:rsidRPr="00452AE3">
        <w:t>, setting an air-conditioner thermostat to a higher temperature) without accompanying: a) physical changes to more efficient end-use equipment or to their building envelope,</w:t>
      </w:r>
      <w:r w:rsidR="00026E6C">
        <w:t xml:space="preserve"> </w:t>
      </w:r>
      <w:r w:rsidR="00452AE3" w:rsidRPr="00452AE3">
        <w:t>b) utility-provided products and tools to facilitate the efficiency improvements, or c) permanent operational changes that improve efficiency which are not easily revertible to prior conditio</w:t>
      </w:r>
      <w:r w:rsidR="00C6127D">
        <w:t xml:space="preserve">ns.  These </w:t>
      </w:r>
      <w:r w:rsidR="00026E6C">
        <w:t xml:space="preserve">types of </w:t>
      </w:r>
      <w:r w:rsidR="00C6127D">
        <w:t>behavioral measures we</w:t>
      </w:r>
      <w:r w:rsidR="00452AE3" w:rsidRPr="00452AE3">
        <w:t>re excluded because of the variability in forecasting the magnitude and persistence of energy and demand savings from the utility’s perspective.  Additionally, behavioral measure savings may be obtained in part from the installation of EE technologies, which would overlap with other EE measures included in the study</w:t>
      </w:r>
      <w:r w:rsidR="00026E6C">
        <w:t>.</w:t>
      </w:r>
    </w:p>
    <w:p w14:paraId="6401E9F2" w14:textId="481E8D6E" w:rsidR="00BE22AB" w:rsidRDefault="00C6127D" w:rsidP="00C42451">
      <w:pPr>
        <w:pStyle w:val="Text"/>
        <w:jc w:val="both"/>
      </w:pPr>
      <w:r>
        <w:t>Upon development of the final EE measure list, a</w:t>
      </w:r>
      <w:r w:rsidR="001476AC">
        <w:t xml:space="preserve"> Microsoft Excel </w:t>
      </w:r>
      <w:r w:rsidR="008E29CF">
        <w:t xml:space="preserve">workbook was developed for each measure </w:t>
      </w:r>
      <w:r>
        <w:t>to quantify measure inputs necessary for assessment of the measure’s potential and cost-</w:t>
      </w:r>
      <w:r w:rsidR="00144B5B">
        <w:t>effectiveness</w:t>
      </w:r>
      <w:r>
        <w:t>.  Relevant inputs included the following:</w:t>
      </w:r>
    </w:p>
    <w:p w14:paraId="5C8CC680" w14:textId="31005A71" w:rsidR="00C00D68" w:rsidRPr="009A35A5" w:rsidRDefault="00B25A7B" w:rsidP="00C42451">
      <w:pPr>
        <w:pStyle w:val="Mainbody-Bullets"/>
        <w:jc w:val="both"/>
      </w:pPr>
      <w:r>
        <w:t xml:space="preserve">Measure </w:t>
      </w:r>
      <w:r w:rsidR="000A199D">
        <w:t>description</w:t>
      </w:r>
      <w:r>
        <w:t xml:space="preserve">: </w:t>
      </w:r>
      <w:r w:rsidR="00BE22AB" w:rsidRPr="009A35A5">
        <w:t xml:space="preserve">measure </w:t>
      </w:r>
      <w:r w:rsidR="000A199D">
        <w:t xml:space="preserve">classification </w:t>
      </w:r>
      <w:r w:rsidR="00BE22AB" w:rsidRPr="009A35A5">
        <w:t xml:space="preserve">by type, </w:t>
      </w:r>
      <w:r w:rsidR="007576CB">
        <w:t>end-use</w:t>
      </w:r>
      <w:r w:rsidR="00BE22AB" w:rsidRPr="009A35A5">
        <w:t>, and subsector</w:t>
      </w:r>
      <w:r>
        <w:t>, and d</w:t>
      </w:r>
      <w:r w:rsidR="00C00D68" w:rsidRPr="009A35A5">
        <w:t>escription of the base-case scenario</w:t>
      </w:r>
      <w:r w:rsidR="0038287E">
        <w:t>.</w:t>
      </w:r>
    </w:p>
    <w:p w14:paraId="7BCC7B9F" w14:textId="2C94C748" w:rsidR="004D6014" w:rsidRDefault="0038287E" w:rsidP="00C42451">
      <w:pPr>
        <w:pStyle w:val="Mainbody-Bullets"/>
        <w:jc w:val="both"/>
      </w:pPr>
      <w:r>
        <w:t xml:space="preserve">kWh </w:t>
      </w:r>
      <w:r w:rsidR="00C00D68" w:rsidRPr="004C389D">
        <w:t xml:space="preserve">savings: </w:t>
      </w:r>
      <w:r w:rsidR="006B19B6">
        <w:t>Energy savings associated with each</w:t>
      </w:r>
      <w:r w:rsidR="00C00D68" w:rsidRPr="004C389D">
        <w:t xml:space="preserve"> measure </w:t>
      </w:r>
      <w:r w:rsidR="000A199D">
        <w:t xml:space="preserve">were </w:t>
      </w:r>
      <w:r w:rsidR="00C00D68">
        <w:t xml:space="preserve">developed through </w:t>
      </w:r>
      <w:r w:rsidR="006B19B6">
        <w:t>engineering</w:t>
      </w:r>
      <w:r w:rsidR="00C00D68">
        <w:t xml:space="preserve"> algorithms or building simulation modeling, taking weather zones and customer segments into consideration as appropriate.  Reference sources used for developing </w:t>
      </w:r>
      <w:r w:rsidR="004D6014">
        <w:t xml:space="preserve">residential and commercial </w:t>
      </w:r>
      <w:r w:rsidR="00C00D68">
        <w:t xml:space="preserve">measure savings included a variety of Florida-specific, as well as regional and national sources, such utility-specific </w:t>
      </w:r>
      <w:r>
        <w:t>measurement &amp; verification (</w:t>
      </w:r>
      <w:r w:rsidR="00C00D68">
        <w:t>M&amp;V</w:t>
      </w:r>
      <w:r>
        <w:t>)</w:t>
      </w:r>
      <w:r w:rsidR="00C00D68">
        <w:t xml:space="preserve"> data, technical reference manuals</w:t>
      </w:r>
      <w:r w:rsidR="00C523FD">
        <w:t xml:space="preserve"> (TRM)</w:t>
      </w:r>
      <w:r w:rsidR="00C00D68">
        <w:t xml:space="preserve"> from other jurisdictions, ENERGY STAR calculators, and manufacturer or retailer specifications on particular products.  </w:t>
      </w:r>
      <w:r w:rsidR="004D6014">
        <w:t xml:space="preserve">Industrial measure savings were primarily based on </w:t>
      </w:r>
      <w:r>
        <w:t>Department of Energy’s (</w:t>
      </w:r>
      <w:r w:rsidR="004D6014">
        <w:t>DOE</w:t>
      </w:r>
      <w:r>
        <w:t>)</w:t>
      </w:r>
      <w:r w:rsidR="004D6014">
        <w:t xml:space="preserve"> Industrial Assessment Center database</w:t>
      </w:r>
      <w:r w:rsidR="007444CE">
        <w:t>, using assessments conducted in the Southeast region</w:t>
      </w:r>
      <w:r w:rsidR="004D6014">
        <w:t xml:space="preserve">, as well as </w:t>
      </w:r>
      <w:r w:rsidR="00C523FD">
        <w:t>TRMs</w:t>
      </w:r>
      <w:r w:rsidR="004D6014">
        <w:t>, utility reference data, and Nexant DSM program experience.</w:t>
      </w:r>
    </w:p>
    <w:p w14:paraId="0AE14AED" w14:textId="5C72814B" w:rsidR="00C00D68" w:rsidRPr="004C389D" w:rsidRDefault="00C00D68" w:rsidP="00C42451">
      <w:pPr>
        <w:pStyle w:val="Mainbody-Bullets"/>
        <w:numPr>
          <w:ilvl w:val="0"/>
          <w:numId w:val="0"/>
        </w:numPr>
        <w:ind w:left="720"/>
        <w:jc w:val="both"/>
      </w:pPr>
      <w:r>
        <w:t xml:space="preserve">Energy savings were applied in Nexant’s TEA-POT model </w:t>
      </w:r>
      <w:r w:rsidRPr="004C389D">
        <w:t>as a percentag</w:t>
      </w:r>
      <w:r>
        <w:t xml:space="preserve">e of total </w:t>
      </w:r>
      <w:r w:rsidR="000A199D">
        <w:t>baseline</w:t>
      </w:r>
      <w:r>
        <w:t xml:space="preserve"> consumption.  Peak demand savings were determined using utility-specific load shapes or </w:t>
      </w:r>
      <w:r w:rsidR="000A199D">
        <w:t xml:space="preserve">coincidence </w:t>
      </w:r>
      <w:r>
        <w:t>factors</w:t>
      </w:r>
      <w:r w:rsidR="00B25A7B">
        <w:t>.</w:t>
      </w:r>
    </w:p>
    <w:p w14:paraId="6BB1AE87" w14:textId="7047E8AC" w:rsidR="00C00D68" w:rsidRDefault="0038287E" w:rsidP="00C42451">
      <w:pPr>
        <w:pStyle w:val="Mainbody-Bullets"/>
        <w:jc w:val="both"/>
      </w:pPr>
      <w:r>
        <w:t>Measure E</w:t>
      </w:r>
      <w:r w:rsidR="00C00D68" w:rsidRPr="004C389D">
        <w:t>xpec</w:t>
      </w:r>
      <w:r>
        <w:t>ted Useful Li</w:t>
      </w:r>
      <w:r w:rsidR="00C00D68">
        <w:t>fetime:</w:t>
      </w:r>
      <w:r w:rsidR="00C00D68" w:rsidRPr="004C389D">
        <w:t xml:space="preserve"> Sources included the Database for Energy Efficient Resources (</w:t>
      </w:r>
      <w:r>
        <w:t>DEER</w:t>
      </w:r>
      <w:r w:rsidR="00C00D68" w:rsidRPr="004C389D">
        <w:t>), the American Society of Heating, Refrigerating and Air Conditioning Engineers (</w:t>
      </w:r>
      <w:r>
        <w:t>ASHRAE</w:t>
      </w:r>
      <w:r w:rsidR="00C00D68" w:rsidRPr="004C389D">
        <w:t xml:space="preserve">) Handbook, and other regional and national measure databases and </w:t>
      </w:r>
      <w:r w:rsidR="007576CB">
        <w:t>EE</w:t>
      </w:r>
      <w:r w:rsidR="00C00D68" w:rsidRPr="004C389D">
        <w:t xml:space="preserve"> program evaluations</w:t>
      </w:r>
    </w:p>
    <w:p w14:paraId="6401E9F8" w14:textId="288BA24F" w:rsidR="00BE22AB" w:rsidRPr="009A35A5" w:rsidRDefault="0038287E" w:rsidP="00C42451">
      <w:pPr>
        <w:pStyle w:val="Mainbody-Bullets"/>
        <w:jc w:val="both"/>
      </w:pPr>
      <w:r>
        <w:t>Measure C</w:t>
      </w:r>
      <w:r w:rsidR="00B25A7B" w:rsidRPr="004C389D">
        <w:t xml:space="preserve">osts: Per-unit costs (full or incremental, depending on the application) associated with measure installations. Sources included: </w:t>
      </w:r>
      <w:r w:rsidR="00C523FD">
        <w:t>TRMs</w:t>
      </w:r>
      <w:r w:rsidR="00B25A7B">
        <w:t>, ENERGY STAR calculator, online market research</w:t>
      </w:r>
      <w:r>
        <w:t>, RS</w:t>
      </w:r>
      <w:r w:rsidR="00B25A7B" w:rsidRPr="004C389D">
        <w:t>Means</w:t>
      </w:r>
      <w:r>
        <w:t xml:space="preserve"> database</w:t>
      </w:r>
      <w:r w:rsidR="00B25A7B" w:rsidRPr="004C389D">
        <w:t xml:space="preserve">, </w:t>
      </w:r>
      <w:r w:rsidR="00B25A7B">
        <w:t>and other secondary sources</w:t>
      </w:r>
      <w:r w:rsidR="00B25A7B" w:rsidRPr="004C389D">
        <w:t>.</w:t>
      </w:r>
    </w:p>
    <w:p w14:paraId="400EAD6F" w14:textId="4AE096CB" w:rsidR="00B25A7B" w:rsidRPr="003A6197" w:rsidRDefault="0038287E" w:rsidP="00C42451">
      <w:pPr>
        <w:pStyle w:val="Mainbody-Bulletsoutforlastbullet"/>
        <w:jc w:val="both"/>
      </w:pPr>
      <w:r>
        <w:t>Measure A</w:t>
      </w:r>
      <w:r w:rsidR="00B25A7B" w:rsidRPr="004C389D">
        <w:t>pplicability: A general term encompassing an array of facto</w:t>
      </w:r>
      <w:r w:rsidR="00B453BC">
        <w:t xml:space="preserve">rs, including: </w:t>
      </w:r>
      <w:r w:rsidR="00B25A7B" w:rsidRPr="004C389D">
        <w:t xml:space="preserve">technical feasibility of installation, and the measure’s current saturation as well as factors to allocate savings associated with competing measures. Information used primarily derived from data in current regional and national databases, as well as </w:t>
      </w:r>
      <w:r w:rsidR="00145C87">
        <w:t>TECO</w:t>
      </w:r>
      <w:r>
        <w:t>’s</w:t>
      </w:r>
      <w:r w:rsidR="00B25A7B" w:rsidRPr="004C389D">
        <w:t xml:space="preserve"> program tracking data. These factors are described in</w:t>
      </w:r>
      <w:r w:rsidR="00AB7A03">
        <w:t xml:space="preserve"> </w:t>
      </w:r>
      <w:r w:rsidR="00AB7A03">
        <w:fldChar w:fldCharType="begin"/>
      </w:r>
      <w:r w:rsidR="00AB7A03">
        <w:instrText xml:space="preserve"> REF _Ref2686577 \h </w:instrText>
      </w:r>
      <w:r w:rsidR="00AB7A03">
        <w:fldChar w:fldCharType="separate"/>
      </w:r>
      <w:r w:rsidR="00B30110">
        <w:t xml:space="preserve">Table </w:t>
      </w:r>
      <w:r w:rsidR="00B30110">
        <w:rPr>
          <w:noProof/>
        </w:rPr>
        <w:t>4</w:t>
      </w:r>
      <w:r w:rsidR="00B30110">
        <w:noBreakHyphen/>
      </w:r>
      <w:r w:rsidR="00B30110">
        <w:rPr>
          <w:noProof/>
        </w:rPr>
        <w:t>1</w:t>
      </w:r>
      <w:r w:rsidR="00AB7A03">
        <w:fldChar w:fldCharType="end"/>
      </w:r>
      <w:r w:rsidR="00B25A7B" w:rsidRPr="004C389D">
        <w:t>.</w:t>
      </w:r>
    </w:p>
    <w:p w14:paraId="3D96E8F2" w14:textId="286983B1" w:rsidR="00AB7A03" w:rsidRDefault="00AB7A03" w:rsidP="00AB7A03">
      <w:pPr>
        <w:pStyle w:val="Caption"/>
      </w:pPr>
      <w:bookmarkStart w:id="89" w:name="_Ref2686577"/>
      <w:bookmarkStart w:id="90" w:name="_Toc5715444"/>
      <w:r>
        <w:t xml:space="preserve">Table </w:t>
      </w:r>
      <w:r w:rsidR="000C7BC6">
        <w:rPr>
          <w:noProof/>
        </w:rPr>
        <w:fldChar w:fldCharType="begin"/>
      </w:r>
      <w:r w:rsidR="000C7BC6">
        <w:rPr>
          <w:noProof/>
        </w:rPr>
        <w:instrText xml:space="preserve"> STYLEREF 1 \s </w:instrText>
      </w:r>
      <w:r w:rsidR="000C7BC6">
        <w:rPr>
          <w:noProof/>
        </w:rPr>
        <w:fldChar w:fldCharType="separate"/>
      </w:r>
      <w:r w:rsidR="00B30110">
        <w:rPr>
          <w:noProof/>
        </w:rPr>
        <w:t>4</w:t>
      </w:r>
      <w:r w:rsidR="000C7BC6">
        <w:rPr>
          <w:noProof/>
        </w:rPr>
        <w:fldChar w:fldCharType="end"/>
      </w:r>
      <w:r w:rsidR="00B417B0">
        <w:noBreakHyphen/>
      </w:r>
      <w:r w:rsidR="000C7BC6">
        <w:rPr>
          <w:noProof/>
        </w:rPr>
        <w:fldChar w:fldCharType="begin"/>
      </w:r>
      <w:r w:rsidR="000C7BC6">
        <w:rPr>
          <w:noProof/>
        </w:rPr>
        <w:instrText xml:space="preserve"> SEQ Table \* ARABIC \s 1 </w:instrText>
      </w:r>
      <w:r w:rsidR="000C7BC6">
        <w:rPr>
          <w:noProof/>
        </w:rPr>
        <w:fldChar w:fldCharType="separate"/>
      </w:r>
      <w:r w:rsidR="00B30110">
        <w:rPr>
          <w:noProof/>
        </w:rPr>
        <w:t>1</w:t>
      </w:r>
      <w:r w:rsidR="000C7BC6">
        <w:rPr>
          <w:noProof/>
        </w:rPr>
        <w:fldChar w:fldCharType="end"/>
      </w:r>
      <w:bookmarkEnd w:id="89"/>
      <w:r>
        <w:t xml:space="preserve">: </w:t>
      </w:r>
      <w:r w:rsidRPr="003A6197">
        <w:t>Measure Applicability Factors</w:t>
      </w:r>
      <w:bookmarkEnd w:id="90"/>
    </w:p>
    <w:tbl>
      <w:tblPr>
        <w:tblW w:w="8640" w:type="dxa"/>
        <w:jc w:val="center"/>
        <w:tblCellMar>
          <w:left w:w="0" w:type="dxa"/>
          <w:right w:w="0" w:type="dxa"/>
        </w:tblCellMar>
        <w:tblLook w:val="04A0" w:firstRow="1" w:lastRow="0" w:firstColumn="1" w:lastColumn="0" w:noHBand="0" w:noVBand="1"/>
      </w:tblPr>
      <w:tblGrid>
        <w:gridCol w:w="1529"/>
        <w:gridCol w:w="5053"/>
        <w:gridCol w:w="2058"/>
      </w:tblGrid>
      <w:tr w:rsidR="00B25A7B" w:rsidRPr="003A6197" w14:paraId="5DFAB083" w14:textId="77777777" w:rsidTr="00AB7A03">
        <w:trPr>
          <w:cantSplit/>
          <w:tblHeader/>
          <w:jc w:val="center"/>
        </w:trPr>
        <w:tc>
          <w:tcPr>
            <w:tcW w:w="1529" w:type="dxa"/>
            <w:shd w:val="clear" w:color="auto" w:fill="0070CD"/>
            <w:tcMar>
              <w:top w:w="0" w:type="dxa"/>
              <w:left w:w="108" w:type="dxa"/>
              <w:bottom w:w="0" w:type="dxa"/>
              <w:right w:w="108" w:type="dxa"/>
            </w:tcMar>
            <w:vAlign w:val="bottom"/>
            <w:hideMark/>
          </w:tcPr>
          <w:p w14:paraId="61871469" w14:textId="77777777" w:rsidR="00B25A7B" w:rsidRPr="003A6197" w:rsidRDefault="00B25A7B" w:rsidP="006B19B6">
            <w:pPr>
              <w:pStyle w:val="Tables-Headingcells"/>
            </w:pPr>
            <w:r w:rsidRPr="003A6197">
              <w:t>Measure Impact</w:t>
            </w:r>
          </w:p>
        </w:tc>
        <w:tc>
          <w:tcPr>
            <w:tcW w:w="5053" w:type="dxa"/>
            <w:shd w:val="clear" w:color="auto" w:fill="0070CD"/>
            <w:tcMar>
              <w:top w:w="0" w:type="dxa"/>
              <w:left w:w="108" w:type="dxa"/>
              <w:bottom w:w="0" w:type="dxa"/>
              <w:right w:w="108" w:type="dxa"/>
            </w:tcMar>
            <w:vAlign w:val="bottom"/>
            <w:hideMark/>
          </w:tcPr>
          <w:p w14:paraId="1626F63C" w14:textId="77777777" w:rsidR="00B25A7B" w:rsidRPr="003A6197" w:rsidRDefault="00B25A7B" w:rsidP="006B19B6">
            <w:pPr>
              <w:pStyle w:val="Tables-Headingcells"/>
            </w:pPr>
            <w:r w:rsidRPr="003A6197">
              <w:t>Explanation</w:t>
            </w:r>
          </w:p>
        </w:tc>
        <w:tc>
          <w:tcPr>
            <w:tcW w:w="2058" w:type="dxa"/>
            <w:shd w:val="clear" w:color="auto" w:fill="0070CD"/>
            <w:tcMar>
              <w:top w:w="0" w:type="dxa"/>
              <w:left w:w="108" w:type="dxa"/>
              <w:bottom w:w="0" w:type="dxa"/>
              <w:right w:w="108" w:type="dxa"/>
            </w:tcMar>
            <w:vAlign w:val="bottom"/>
            <w:hideMark/>
          </w:tcPr>
          <w:p w14:paraId="6FC11976" w14:textId="77777777" w:rsidR="00B25A7B" w:rsidRPr="003A6197" w:rsidRDefault="00B25A7B" w:rsidP="006B19B6">
            <w:pPr>
              <w:pStyle w:val="Tables-Headingcells"/>
            </w:pPr>
            <w:r w:rsidRPr="003A6197">
              <w:t>Sources</w:t>
            </w:r>
          </w:p>
        </w:tc>
      </w:tr>
      <w:tr w:rsidR="00B25A7B" w:rsidRPr="003A6197" w14:paraId="2A125514" w14:textId="77777777" w:rsidTr="00AB7A03">
        <w:trPr>
          <w:cantSplit/>
          <w:jc w:val="center"/>
        </w:trPr>
        <w:tc>
          <w:tcPr>
            <w:tcW w:w="1529" w:type="dxa"/>
            <w:tcBorders>
              <w:top w:val="single" w:sz="4" w:space="0" w:color="1F497D" w:themeColor="text2"/>
              <w:bottom w:val="single" w:sz="4" w:space="0" w:color="1F497D" w:themeColor="text2"/>
              <w:right w:val="dotted" w:sz="4" w:space="0" w:color="1F497D" w:themeColor="text2"/>
            </w:tcBorders>
            <w:tcMar>
              <w:top w:w="0" w:type="dxa"/>
              <w:left w:w="108" w:type="dxa"/>
              <w:bottom w:w="0" w:type="dxa"/>
              <w:right w:w="108" w:type="dxa"/>
            </w:tcMar>
            <w:hideMark/>
          </w:tcPr>
          <w:p w14:paraId="2F7D4A01" w14:textId="77777777" w:rsidR="00B25A7B" w:rsidRPr="003A6197" w:rsidRDefault="00B25A7B" w:rsidP="006B19B6">
            <w:pPr>
              <w:pStyle w:val="Tables-Bodycells"/>
            </w:pPr>
            <w:r w:rsidRPr="003A6197">
              <w:t>Technical Feasibility</w:t>
            </w:r>
          </w:p>
        </w:tc>
        <w:tc>
          <w:tcPr>
            <w:tcW w:w="5053" w:type="dxa"/>
            <w:tcBorders>
              <w:top w:val="single" w:sz="4" w:space="0" w:color="1F497D" w:themeColor="text2"/>
              <w:left w:val="dotted" w:sz="4" w:space="0" w:color="1F497D" w:themeColor="text2"/>
              <w:bottom w:val="single" w:sz="4" w:space="0" w:color="1F497D" w:themeColor="text2"/>
              <w:right w:val="dotted" w:sz="4" w:space="0" w:color="1F497D" w:themeColor="text2"/>
            </w:tcBorders>
            <w:tcMar>
              <w:top w:w="0" w:type="dxa"/>
              <w:left w:w="108" w:type="dxa"/>
              <w:bottom w:w="0" w:type="dxa"/>
              <w:right w:w="108" w:type="dxa"/>
            </w:tcMar>
            <w:hideMark/>
          </w:tcPr>
          <w:p w14:paraId="748CE56C" w14:textId="1680BFCF" w:rsidR="00B25A7B" w:rsidRPr="003A6197" w:rsidRDefault="00B453BC" w:rsidP="006B19B6">
            <w:pPr>
              <w:pStyle w:val="Tables-Bodycells"/>
            </w:pPr>
            <w:r>
              <w:t>T</w:t>
            </w:r>
            <w:r w:rsidR="00B25A7B" w:rsidRPr="003A6197">
              <w:t>he percentage of buildings that can have the measure physically installed. Various fa</w:t>
            </w:r>
            <w:r>
              <w:t>ctors may affect this</w:t>
            </w:r>
            <w:r w:rsidR="00B25A7B" w:rsidRPr="003A6197">
              <w:t>, including</w:t>
            </w:r>
            <w:r>
              <w:t>, but not limited to,</w:t>
            </w:r>
            <w:r w:rsidR="00B25A7B" w:rsidRPr="003A6197">
              <w:t xml:space="preserve"> whether the building already has the baseline measure (</w:t>
            </w:r>
            <w:r w:rsidR="00B25A7B" w:rsidRPr="00B453BC">
              <w:rPr>
                <w:i/>
              </w:rPr>
              <w:t>e.g.,</w:t>
            </w:r>
            <w:r w:rsidR="00B25A7B" w:rsidRPr="003A6197">
              <w:t xml:space="preserve"> dishwasher), and limitations on installation (</w:t>
            </w:r>
            <w:r w:rsidR="00B25A7B" w:rsidRPr="00B453BC">
              <w:rPr>
                <w:i/>
              </w:rPr>
              <w:t>e.g.,</w:t>
            </w:r>
            <w:r w:rsidR="00B25A7B" w:rsidRPr="003A6197">
              <w:t xml:space="preserve"> size of unit and space available to install the unit).</w:t>
            </w:r>
          </w:p>
        </w:tc>
        <w:tc>
          <w:tcPr>
            <w:tcW w:w="2058" w:type="dxa"/>
            <w:tcBorders>
              <w:top w:val="single" w:sz="4" w:space="0" w:color="1F497D" w:themeColor="text2"/>
              <w:left w:val="dotted" w:sz="4" w:space="0" w:color="1F497D" w:themeColor="text2"/>
              <w:bottom w:val="single" w:sz="4" w:space="0" w:color="1F497D" w:themeColor="text2"/>
            </w:tcBorders>
            <w:tcMar>
              <w:top w:w="0" w:type="dxa"/>
              <w:left w:w="108" w:type="dxa"/>
              <w:bottom w:w="0" w:type="dxa"/>
              <w:right w:w="108" w:type="dxa"/>
            </w:tcMar>
            <w:hideMark/>
          </w:tcPr>
          <w:p w14:paraId="5C4A5100" w14:textId="77777777" w:rsidR="00B25A7B" w:rsidRPr="003A6197" w:rsidRDefault="00B25A7B" w:rsidP="006B19B6">
            <w:pPr>
              <w:pStyle w:val="Tables-Bodycells"/>
            </w:pPr>
            <w:r w:rsidRPr="003A6197">
              <w:t>Various secondary sources and engineering experience.</w:t>
            </w:r>
          </w:p>
        </w:tc>
      </w:tr>
      <w:tr w:rsidR="00B25A7B" w:rsidRPr="003A6197" w14:paraId="2D807D56" w14:textId="77777777" w:rsidTr="00AB7A03">
        <w:trPr>
          <w:cantSplit/>
          <w:jc w:val="center"/>
        </w:trPr>
        <w:tc>
          <w:tcPr>
            <w:tcW w:w="1529" w:type="dxa"/>
            <w:tcBorders>
              <w:top w:val="single" w:sz="4" w:space="0" w:color="1F497D" w:themeColor="text2"/>
              <w:bottom w:val="single" w:sz="4" w:space="0" w:color="1F497D" w:themeColor="text2"/>
              <w:right w:val="dotted" w:sz="4" w:space="0" w:color="1F497D" w:themeColor="text2"/>
            </w:tcBorders>
            <w:tcMar>
              <w:top w:w="0" w:type="dxa"/>
              <w:left w:w="108" w:type="dxa"/>
              <w:bottom w:w="0" w:type="dxa"/>
              <w:right w:w="108" w:type="dxa"/>
            </w:tcMar>
            <w:hideMark/>
          </w:tcPr>
          <w:p w14:paraId="1C569F35" w14:textId="77777777" w:rsidR="00B25A7B" w:rsidRPr="003A6197" w:rsidRDefault="00B25A7B" w:rsidP="006B19B6">
            <w:pPr>
              <w:pStyle w:val="Tables-Bodycells"/>
            </w:pPr>
            <w:r w:rsidRPr="003A6197">
              <w:t>Measure Incomplete Factor</w:t>
            </w:r>
          </w:p>
        </w:tc>
        <w:tc>
          <w:tcPr>
            <w:tcW w:w="5053" w:type="dxa"/>
            <w:tcBorders>
              <w:top w:val="single" w:sz="4" w:space="0" w:color="1F497D" w:themeColor="text2"/>
              <w:left w:val="dotted" w:sz="4" w:space="0" w:color="1F497D" w:themeColor="text2"/>
              <w:bottom w:val="single" w:sz="4" w:space="0" w:color="1F497D" w:themeColor="text2"/>
              <w:right w:val="dotted" w:sz="4" w:space="0" w:color="1F497D" w:themeColor="text2"/>
            </w:tcBorders>
            <w:tcMar>
              <w:top w:w="0" w:type="dxa"/>
              <w:left w:w="108" w:type="dxa"/>
              <w:bottom w:w="0" w:type="dxa"/>
              <w:right w:w="108" w:type="dxa"/>
            </w:tcMar>
            <w:hideMark/>
          </w:tcPr>
          <w:p w14:paraId="42267DE9" w14:textId="659B5724" w:rsidR="00B25A7B" w:rsidRPr="003A6197" w:rsidRDefault="00C523FD" w:rsidP="006B19B6">
            <w:pPr>
              <w:pStyle w:val="Tables-Bodycells"/>
            </w:pPr>
            <w:r>
              <w:t>T</w:t>
            </w:r>
            <w:r w:rsidR="00B25A7B" w:rsidRPr="003A6197">
              <w:t xml:space="preserve">he percentage of buildings without the specific measure currently installed. </w:t>
            </w:r>
          </w:p>
        </w:tc>
        <w:tc>
          <w:tcPr>
            <w:tcW w:w="2058" w:type="dxa"/>
            <w:tcBorders>
              <w:top w:val="single" w:sz="4" w:space="0" w:color="1F497D" w:themeColor="text2"/>
              <w:left w:val="dotted" w:sz="4" w:space="0" w:color="1F497D" w:themeColor="text2"/>
              <w:bottom w:val="single" w:sz="4" w:space="0" w:color="1F497D" w:themeColor="text2"/>
            </w:tcBorders>
            <w:tcMar>
              <w:top w:w="0" w:type="dxa"/>
              <w:left w:w="108" w:type="dxa"/>
              <w:bottom w:w="0" w:type="dxa"/>
              <w:right w:w="108" w:type="dxa"/>
            </w:tcMar>
            <w:hideMark/>
          </w:tcPr>
          <w:p w14:paraId="59B91C53" w14:textId="66FFF95F" w:rsidR="00B25A7B" w:rsidRPr="003A6197" w:rsidRDefault="00AB7A03" w:rsidP="006B19B6">
            <w:pPr>
              <w:pStyle w:val="Tables-Bodycells"/>
            </w:pPr>
            <w:r>
              <w:t xml:space="preserve">Utility </w:t>
            </w:r>
            <w:r w:rsidRPr="003A6197">
              <w:t>R</w:t>
            </w:r>
            <w:r>
              <w:t>A</w:t>
            </w:r>
            <w:r w:rsidRPr="003A6197">
              <w:t xml:space="preserve">SS; </w:t>
            </w:r>
            <w:r>
              <w:t xml:space="preserve">EIA RECS, </w:t>
            </w:r>
            <w:r w:rsidR="00B25A7B" w:rsidRPr="003A6197">
              <w:t>CBECS; MECS; ENERGY STAR sales figures; and engineering experience.</w:t>
            </w:r>
          </w:p>
        </w:tc>
      </w:tr>
      <w:tr w:rsidR="007314D2" w:rsidRPr="003A6197" w14:paraId="0C5970FF" w14:textId="77777777" w:rsidTr="007314D2">
        <w:trPr>
          <w:cantSplit/>
          <w:jc w:val="center"/>
        </w:trPr>
        <w:tc>
          <w:tcPr>
            <w:tcW w:w="1529" w:type="dxa"/>
            <w:tcBorders>
              <w:top w:val="single" w:sz="4" w:space="0" w:color="1F497D" w:themeColor="text2"/>
              <w:bottom w:val="single" w:sz="4" w:space="0" w:color="1F497D" w:themeColor="text2"/>
              <w:right w:val="dotted" w:sz="4" w:space="0" w:color="1F497D" w:themeColor="text2"/>
            </w:tcBorders>
            <w:tcMar>
              <w:top w:w="0" w:type="dxa"/>
              <w:left w:w="108" w:type="dxa"/>
              <w:bottom w:w="0" w:type="dxa"/>
              <w:right w:w="108" w:type="dxa"/>
            </w:tcMar>
            <w:hideMark/>
          </w:tcPr>
          <w:p w14:paraId="199F3E58" w14:textId="77777777" w:rsidR="007314D2" w:rsidRPr="003A6197" w:rsidRDefault="007314D2" w:rsidP="00726FCD">
            <w:pPr>
              <w:pStyle w:val="Tables-Bodycells"/>
            </w:pPr>
            <w:r w:rsidRPr="003A6197">
              <w:t>Measure Share</w:t>
            </w:r>
          </w:p>
        </w:tc>
        <w:tc>
          <w:tcPr>
            <w:tcW w:w="5053" w:type="dxa"/>
            <w:tcBorders>
              <w:top w:val="single" w:sz="4" w:space="0" w:color="1F497D" w:themeColor="text2"/>
              <w:left w:val="dotted" w:sz="4" w:space="0" w:color="1F497D" w:themeColor="text2"/>
              <w:bottom w:val="single" w:sz="4" w:space="0" w:color="1F497D" w:themeColor="text2"/>
              <w:right w:val="dotted" w:sz="4" w:space="0" w:color="1F497D" w:themeColor="text2"/>
            </w:tcBorders>
            <w:tcMar>
              <w:top w:w="0" w:type="dxa"/>
              <w:left w:w="108" w:type="dxa"/>
              <w:bottom w:w="0" w:type="dxa"/>
              <w:right w:w="108" w:type="dxa"/>
            </w:tcMar>
            <w:hideMark/>
          </w:tcPr>
          <w:p w14:paraId="0D2787DE" w14:textId="77777777" w:rsidR="007314D2" w:rsidRPr="003A6197" w:rsidRDefault="007314D2" w:rsidP="00726FCD">
            <w:pPr>
              <w:pStyle w:val="Tables-Bodycells"/>
            </w:pPr>
            <w:r w:rsidRPr="003A6197">
              <w:t>Used to distribute the percentage of market shares for competing measures (</w:t>
            </w:r>
            <w:r w:rsidRPr="00AA6369">
              <w:rPr>
                <w:i/>
              </w:rPr>
              <w:t>e.g</w:t>
            </w:r>
            <w:r w:rsidRPr="007314D2">
              <w:t>.,</w:t>
            </w:r>
            <w:r w:rsidRPr="003A6197">
              <w:t xml:space="preserve"> </w:t>
            </w:r>
            <w:r>
              <w:t>only blown-in ceiling insulation or spray foam insulation, not both would be installed in an attic)</w:t>
            </w:r>
            <w:r w:rsidRPr="003A6197">
              <w:t>.</w:t>
            </w:r>
          </w:p>
        </w:tc>
        <w:tc>
          <w:tcPr>
            <w:tcW w:w="2058" w:type="dxa"/>
            <w:tcBorders>
              <w:top w:val="single" w:sz="4" w:space="0" w:color="1F497D" w:themeColor="text2"/>
              <w:left w:val="dotted" w:sz="4" w:space="0" w:color="1F497D" w:themeColor="text2"/>
              <w:bottom w:val="single" w:sz="4" w:space="0" w:color="1F497D" w:themeColor="text2"/>
            </w:tcBorders>
            <w:tcMar>
              <w:top w:w="0" w:type="dxa"/>
              <w:left w:w="108" w:type="dxa"/>
              <w:bottom w:w="0" w:type="dxa"/>
              <w:right w:w="108" w:type="dxa"/>
            </w:tcMar>
            <w:hideMark/>
          </w:tcPr>
          <w:p w14:paraId="40941794" w14:textId="77777777" w:rsidR="007314D2" w:rsidRPr="003A6197" w:rsidRDefault="007314D2" w:rsidP="00726FCD">
            <w:pPr>
              <w:pStyle w:val="Tables-Bodycells"/>
            </w:pPr>
            <w:r>
              <w:t xml:space="preserve">Utility customer data, </w:t>
            </w:r>
            <w:r w:rsidRPr="003A6197">
              <w:t>Various secondary sources and engineering experience.</w:t>
            </w:r>
          </w:p>
        </w:tc>
      </w:tr>
    </w:tbl>
    <w:p w14:paraId="050EA162" w14:textId="77777777" w:rsidR="00AB7A03" w:rsidRDefault="00AB7A03" w:rsidP="00AB7A03">
      <w:pPr>
        <w:pStyle w:val="Mainbody-Bulletsoutforlastbullet"/>
        <w:numPr>
          <w:ilvl w:val="0"/>
          <w:numId w:val="0"/>
        </w:numPr>
        <w:ind w:left="720"/>
      </w:pPr>
    </w:p>
    <w:p w14:paraId="057ACB73" w14:textId="0A20A495" w:rsidR="00BE77EA" w:rsidRDefault="00BE77EA" w:rsidP="00C42451">
      <w:pPr>
        <w:pStyle w:val="Text"/>
        <w:jc w:val="both"/>
      </w:pPr>
      <w:bookmarkStart w:id="91" w:name="_Ref456948462"/>
      <w:r>
        <w:t xml:space="preserve">As shown in </w:t>
      </w:r>
      <w:r>
        <w:fldChar w:fldCharType="begin"/>
      </w:r>
      <w:r>
        <w:instrText xml:space="preserve"> REF _Ref494708810 \h  \* MERGEFORMAT </w:instrText>
      </w:r>
      <w:r>
        <w:fldChar w:fldCharType="separate"/>
      </w:r>
      <w:r w:rsidR="00B30110">
        <w:t xml:space="preserve">Table </w:t>
      </w:r>
      <w:r w:rsidR="00B30110">
        <w:rPr>
          <w:noProof/>
        </w:rPr>
        <w:t>4</w:t>
      </w:r>
      <w:r w:rsidR="00B30110">
        <w:rPr>
          <w:noProof/>
        </w:rPr>
        <w:noBreakHyphen/>
        <w:t>2</w:t>
      </w:r>
      <w:r>
        <w:fldChar w:fldCharType="end"/>
      </w:r>
      <w:r>
        <w:t xml:space="preserve">, </w:t>
      </w:r>
      <w:r w:rsidR="007314D2">
        <w:t>the measure list includes</w:t>
      </w:r>
      <w:r>
        <w:t xml:space="preserve"> </w:t>
      </w:r>
      <w:r w:rsidR="00E44363">
        <w:t>24</w:t>
      </w:r>
      <w:r w:rsidR="000D4F80">
        <w:t>8</w:t>
      </w:r>
      <w:r w:rsidRPr="007A02F0">
        <w:t xml:space="preserve"> unique energy-efficiency measures. Expanding the measures to account for all appropriate combinations of segments, </w:t>
      </w:r>
      <w:r w:rsidR="007576CB">
        <w:t>end-use</w:t>
      </w:r>
      <w:r w:rsidRPr="007A02F0">
        <w:t xml:space="preserve">s, and construction types resulted in </w:t>
      </w:r>
      <w:r w:rsidR="000D4F80">
        <w:t>4,164</w:t>
      </w:r>
      <w:r>
        <w:t xml:space="preserve"> measure permutations. </w:t>
      </w:r>
    </w:p>
    <w:p w14:paraId="52DBBE96" w14:textId="6AB63FC7" w:rsidR="00BE77EA" w:rsidRDefault="00BE77EA" w:rsidP="00BE77EA">
      <w:pPr>
        <w:pStyle w:val="Mainbody-Captiontable"/>
      </w:pPr>
      <w:bookmarkStart w:id="92" w:name="_Ref494708810"/>
      <w:bookmarkStart w:id="93" w:name="_Toc5715445"/>
      <w:r>
        <w:t xml:space="preserve">Table </w:t>
      </w:r>
      <w:r w:rsidR="000C7BC6">
        <w:rPr>
          <w:noProof/>
        </w:rPr>
        <w:fldChar w:fldCharType="begin"/>
      </w:r>
      <w:r w:rsidR="000C7BC6">
        <w:rPr>
          <w:noProof/>
        </w:rPr>
        <w:instrText xml:space="preserve"> STYLEREF 1 \s </w:instrText>
      </w:r>
      <w:r w:rsidR="000C7BC6">
        <w:rPr>
          <w:noProof/>
        </w:rPr>
        <w:fldChar w:fldCharType="separate"/>
      </w:r>
      <w:r w:rsidR="00B30110">
        <w:rPr>
          <w:noProof/>
        </w:rPr>
        <w:t>4</w:t>
      </w:r>
      <w:r w:rsidR="000C7BC6">
        <w:rPr>
          <w:noProof/>
        </w:rPr>
        <w:fldChar w:fldCharType="end"/>
      </w:r>
      <w:r w:rsidR="00B417B0">
        <w:noBreakHyphen/>
      </w:r>
      <w:r w:rsidR="000C7BC6">
        <w:rPr>
          <w:noProof/>
        </w:rPr>
        <w:fldChar w:fldCharType="begin"/>
      </w:r>
      <w:r w:rsidR="000C7BC6">
        <w:rPr>
          <w:noProof/>
        </w:rPr>
        <w:instrText xml:space="preserve"> SEQ Table \* ARABIC \s 1 </w:instrText>
      </w:r>
      <w:r w:rsidR="000C7BC6">
        <w:rPr>
          <w:noProof/>
        </w:rPr>
        <w:fldChar w:fldCharType="separate"/>
      </w:r>
      <w:r w:rsidR="00B30110">
        <w:rPr>
          <w:noProof/>
        </w:rPr>
        <w:t>2</w:t>
      </w:r>
      <w:r w:rsidR="000C7BC6">
        <w:rPr>
          <w:noProof/>
        </w:rPr>
        <w:fldChar w:fldCharType="end"/>
      </w:r>
      <w:bookmarkEnd w:id="92"/>
      <w:r>
        <w:t>: EE Measure Counts by Sector</w:t>
      </w:r>
      <w:bookmarkEnd w:id="93"/>
    </w:p>
    <w:tbl>
      <w:tblPr>
        <w:tblStyle w:val="NEXANTNEWTABLESTYLE"/>
        <w:tblW w:w="6480" w:type="dxa"/>
        <w:jc w:val="center"/>
        <w:tblLook w:val="04A0" w:firstRow="1" w:lastRow="0" w:firstColumn="1" w:lastColumn="0" w:noHBand="0" w:noVBand="1"/>
      </w:tblPr>
      <w:tblGrid>
        <w:gridCol w:w="2160"/>
        <w:gridCol w:w="2160"/>
        <w:gridCol w:w="2160"/>
      </w:tblGrid>
      <w:tr w:rsidR="00BE77EA" w:rsidRPr="00C95CDE" w14:paraId="4E611F34" w14:textId="77777777" w:rsidTr="00CD1C71">
        <w:trPr>
          <w:cnfStyle w:val="100000000000" w:firstRow="1" w:lastRow="0" w:firstColumn="0" w:lastColumn="0" w:oddVBand="0" w:evenVBand="0" w:oddHBand="0" w:evenHBand="0" w:firstRowFirstColumn="0" w:firstRowLastColumn="0" w:lastRowFirstColumn="0" w:lastRowLastColumn="0"/>
          <w:trHeight w:val="300"/>
          <w:jc w:val="center"/>
        </w:trPr>
        <w:tc>
          <w:tcPr>
            <w:tcW w:w="2160" w:type="dxa"/>
            <w:noWrap/>
            <w:hideMark/>
          </w:tcPr>
          <w:p w14:paraId="532B6917" w14:textId="77777777" w:rsidR="00BE77EA" w:rsidRPr="000D7FA3" w:rsidRDefault="00BE77EA" w:rsidP="00CD1C71">
            <w:pPr>
              <w:pStyle w:val="Tables-Bodycells"/>
              <w:rPr>
                <w:b w:val="0"/>
                <w:lang w:val="en-CA" w:eastAsia="en-CA"/>
              </w:rPr>
            </w:pPr>
            <w:r w:rsidRPr="00A72CBB">
              <w:rPr>
                <w:lang w:val="en-CA" w:eastAsia="en-CA"/>
              </w:rPr>
              <w:t>Sector</w:t>
            </w:r>
          </w:p>
        </w:tc>
        <w:tc>
          <w:tcPr>
            <w:tcW w:w="2160" w:type="dxa"/>
            <w:noWrap/>
          </w:tcPr>
          <w:p w14:paraId="436B8713" w14:textId="77777777" w:rsidR="00BE77EA" w:rsidRPr="000D7FA3" w:rsidRDefault="00BE77EA" w:rsidP="00CD1C71">
            <w:pPr>
              <w:pStyle w:val="Tables-Bodycells"/>
              <w:rPr>
                <w:b w:val="0"/>
                <w:bCs/>
                <w:color w:val="FFFFFF"/>
                <w:lang w:val="en-CA" w:eastAsia="en-CA"/>
              </w:rPr>
            </w:pPr>
            <w:r w:rsidRPr="00A72CBB">
              <w:rPr>
                <w:bCs/>
                <w:color w:val="FFFFFF"/>
                <w:lang w:val="en-CA" w:eastAsia="en-CA"/>
              </w:rPr>
              <w:t>Unique Measures</w:t>
            </w:r>
          </w:p>
        </w:tc>
        <w:tc>
          <w:tcPr>
            <w:tcW w:w="2160" w:type="dxa"/>
          </w:tcPr>
          <w:p w14:paraId="0F29B713" w14:textId="77777777" w:rsidR="00BE77EA" w:rsidRPr="000D7FA3" w:rsidRDefault="00BE77EA" w:rsidP="00CD1C71">
            <w:pPr>
              <w:pStyle w:val="Tables-Bodycells"/>
              <w:rPr>
                <w:b w:val="0"/>
                <w:bCs/>
                <w:color w:val="FFFFFF"/>
                <w:lang w:val="en-CA" w:eastAsia="en-CA"/>
              </w:rPr>
            </w:pPr>
            <w:r w:rsidRPr="00A72CBB">
              <w:rPr>
                <w:bCs/>
                <w:color w:val="FFFFFF"/>
                <w:lang w:val="en-CA" w:eastAsia="en-CA"/>
              </w:rPr>
              <w:t>Permutations</w:t>
            </w:r>
          </w:p>
        </w:tc>
      </w:tr>
      <w:tr w:rsidR="00BE77EA" w:rsidRPr="00C95CDE" w14:paraId="17F1C31A" w14:textId="77777777" w:rsidTr="00CD1C71">
        <w:trPr>
          <w:trHeight w:val="300"/>
          <w:jc w:val="center"/>
        </w:trPr>
        <w:tc>
          <w:tcPr>
            <w:tcW w:w="2160" w:type="dxa"/>
            <w:hideMark/>
          </w:tcPr>
          <w:p w14:paraId="7EF6FCC8" w14:textId="77777777" w:rsidR="00BE77EA" w:rsidRPr="00C95CDE" w:rsidRDefault="00BE77EA" w:rsidP="00CD1C71">
            <w:pPr>
              <w:pStyle w:val="Tables-Bodycells"/>
              <w:rPr>
                <w:color w:val="000000"/>
                <w:lang w:val="en-CA" w:eastAsia="en-CA"/>
              </w:rPr>
            </w:pPr>
            <w:r>
              <w:t>Residential</w:t>
            </w:r>
          </w:p>
        </w:tc>
        <w:tc>
          <w:tcPr>
            <w:tcW w:w="2160" w:type="dxa"/>
            <w:vAlign w:val="center"/>
          </w:tcPr>
          <w:p w14:paraId="644C7E43" w14:textId="77777777" w:rsidR="00BE77EA" w:rsidRPr="00C95CDE" w:rsidRDefault="00BE77EA" w:rsidP="00CD1C71">
            <w:pPr>
              <w:pStyle w:val="Tables-Bodycells"/>
              <w:jc w:val="center"/>
              <w:rPr>
                <w:color w:val="000000"/>
                <w:lang w:val="en-CA" w:eastAsia="en-CA"/>
              </w:rPr>
            </w:pPr>
            <w:r>
              <w:rPr>
                <w:color w:val="000000"/>
                <w:lang w:val="en-CA" w:eastAsia="en-CA"/>
              </w:rPr>
              <w:t>91</w:t>
            </w:r>
          </w:p>
        </w:tc>
        <w:tc>
          <w:tcPr>
            <w:tcW w:w="2160" w:type="dxa"/>
            <w:vAlign w:val="center"/>
          </w:tcPr>
          <w:p w14:paraId="6594C90C" w14:textId="2B26C232" w:rsidR="00BE77EA" w:rsidRPr="00C95CDE" w:rsidRDefault="000D4F80" w:rsidP="00CD1C71">
            <w:pPr>
              <w:pStyle w:val="Tables-Bodycells"/>
              <w:jc w:val="center"/>
              <w:rPr>
                <w:color w:val="000000"/>
                <w:lang w:val="en-CA" w:eastAsia="en-CA"/>
              </w:rPr>
            </w:pPr>
            <w:r>
              <w:rPr>
                <w:color w:val="000000"/>
                <w:lang w:val="en-CA" w:eastAsia="en-CA"/>
              </w:rPr>
              <w:t>546</w:t>
            </w:r>
          </w:p>
        </w:tc>
      </w:tr>
      <w:tr w:rsidR="00BE77EA" w:rsidRPr="00C95CDE" w14:paraId="72CEF70B" w14:textId="77777777" w:rsidTr="00CD1C71">
        <w:trPr>
          <w:trHeight w:val="300"/>
          <w:jc w:val="center"/>
        </w:trPr>
        <w:tc>
          <w:tcPr>
            <w:tcW w:w="2160" w:type="dxa"/>
            <w:hideMark/>
          </w:tcPr>
          <w:p w14:paraId="30D68BF2" w14:textId="77777777" w:rsidR="00BE77EA" w:rsidRPr="00C95CDE" w:rsidRDefault="00BE77EA" w:rsidP="00CD1C71">
            <w:pPr>
              <w:pStyle w:val="Tables-Bodycells"/>
              <w:rPr>
                <w:color w:val="000000"/>
                <w:lang w:val="en-CA" w:eastAsia="en-CA"/>
              </w:rPr>
            </w:pPr>
            <w:r>
              <w:t>Commercial</w:t>
            </w:r>
          </w:p>
        </w:tc>
        <w:tc>
          <w:tcPr>
            <w:tcW w:w="2160" w:type="dxa"/>
            <w:vAlign w:val="center"/>
          </w:tcPr>
          <w:p w14:paraId="31C3920A" w14:textId="09500ED8" w:rsidR="00BE77EA" w:rsidRPr="00C95CDE" w:rsidRDefault="00C91E69" w:rsidP="00CD1C71">
            <w:pPr>
              <w:pStyle w:val="Tables-Bodycells"/>
              <w:jc w:val="center"/>
              <w:rPr>
                <w:color w:val="000000"/>
                <w:lang w:val="en-CA" w:eastAsia="en-CA"/>
              </w:rPr>
            </w:pPr>
            <w:r>
              <w:rPr>
                <w:color w:val="000000"/>
                <w:lang w:val="en-CA" w:eastAsia="en-CA"/>
              </w:rPr>
              <w:t>12</w:t>
            </w:r>
            <w:r w:rsidR="00C523FD">
              <w:rPr>
                <w:color w:val="000000"/>
                <w:lang w:val="en-CA" w:eastAsia="en-CA"/>
              </w:rPr>
              <w:t>7</w:t>
            </w:r>
          </w:p>
        </w:tc>
        <w:tc>
          <w:tcPr>
            <w:tcW w:w="2160" w:type="dxa"/>
            <w:vAlign w:val="center"/>
          </w:tcPr>
          <w:p w14:paraId="36C65C48" w14:textId="1002D7BD" w:rsidR="00BE77EA" w:rsidRPr="00C95CDE" w:rsidRDefault="000D4F80" w:rsidP="00CD1C71">
            <w:pPr>
              <w:pStyle w:val="Tables-Bodycells"/>
              <w:jc w:val="center"/>
              <w:rPr>
                <w:color w:val="000000"/>
                <w:lang w:val="en-CA" w:eastAsia="en-CA"/>
              </w:rPr>
            </w:pPr>
            <w:r>
              <w:rPr>
                <w:color w:val="000000"/>
                <w:lang w:val="en-CA" w:eastAsia="en-CA"/>
              </w:rPr>
              <w:t>3,298</w:t>
            </w:r>
          </w:p>
        </w:tc>
      </w:tr>
      <w:tr w:rsidR="00BE77EA" w:rsidRPr="00C95CDE" w14:paraId="613E3AE5" w14:textId="77777777" w:rsidTr="00CD1C71">
        <w:trPr>
          <w:trHeight w:val="300"/>
          <w:jc w:val="center"/>
        </w:trPr>
        <w:tc>
          <w:tcPr>
            <w:tcW w:w="2160" w:type="dxa"/>
            <w:hideMark/>
          </w:tcPr>
          <w:p w14:paraId="08E84661" w14:textId="0CD5894C" w:rsidR="00BE77EA" w:rsidRPr="00C95CDE" w:rsidRDefault="00BE77EA" w:rsidP="00CD1C71">
            <w:pPr>
              <w:pStyle w:val="Tables-Bodycells"/>
              <w:rPr>
                <w:color w:val="000000"/>
                <w:lang w:val="en-CA" w:eastAsia="en-CA"/>
              </w:rPr>
            </w:pPr>
            <w:r>
              <w:t>Industrial</w:t>
            </w:r>
            <w:r w:rsidR="00FA3B35">
              <w:rPr>
                <w:rStyle w:val="FootnoteReference"/>
              </w:rPr>
              <w:footnoteReference w:id="5"/>
            </w:r>
          </w:p>
        </w:tc>
        <w:tc>
          <w:tcPr>
            <w:tcW w:w="2160" w:type="dxa"/>
            <w:vAlign w:val="center"/>
          </w:tcPr>
          <w:p w14:paraId="51E0A192" w14:textId="6992A825" w:rsidR="00BE77EA" w:rsidRPr="00C95CDE" w:rsidRDefault="00C91E69" w:rsidP="00CD1C71">
            <w:pPr>
              <w:pStyle w:val="Tables-Bodycells"/>
              <w:jc w:val="center"/>
              <w:rPr>
                <w:color w:val="000000"/>
                <w:lang w:val="en-CA" w:eastAsia="en-CA"/>
              </w:rPr>
            </w:pPr>
            <w:r>
              <w:rPr>
                <w:color w:val="000000"/>
                <w:lang w:val="en-CA" w:eastAsia="en-CA"/>
              </w:rPr>
              <w:t>30</w:t>
            </w:r>
          </w:p>
        </w:tc>
        <w:tc>
          <w:tcPr>
            <w:tcW w:w="2160" w:type="dxa"/>
            <w:vAlign w:val="center"/>
          </w:tcPr>
          <w:p w14:paraId="31A34FEE" w14:textId="76C16AB1" w:rsidR="00BE77EA" w:rsidRPr="00C95CDE" w:rsidRDefault="000D4F80" w:rsidP="00CD1C71">
            <w:pPr>
              <w:pStyle w:val="Tables-Bodycells"/>
              <w:jc w:val="center"/>
              <w:rPr>
                <w:color w:val="000000"/>
                <w:lang w:val="en-CA" w:eastAsia="en-CA"/>
              </w:rPr>
            </w:pPr>
            <w:r>
              <w:rPr>
                <w:color w:val="000000"/>
                <w:lang w:val="en-CA" w:eastAsia="en-CA"/>
              </w:rPr>
              <w:t>320</w:t>
            </w:r>
          </w:p>
        </w:tc>
      </w:tr>
    </w:tbl>
    <w:p w14:paraId="6401EA0D" w14:textId="77777777" w:rsidR="003359C7" w:rsidRDefault="003359C7" w:rsidP="003359C7">
      <w:pPr>
        <w:pStyle w:val="Text"/>
      </w:pPr>
    </w:p>
    <w:p w14:paraId="2A3ADBB3" w14:textId="77777777" w:rsidR="00A7495D" w:rsidRDefault="00A7495D" w:rsidP="003359C7">
      <w:pPr>
        <w:pStyle w:val="Text"/>
      </w:pPr>
    </w:p>
    <w:p w14:paraId="6401EA0E" w14:textId="5FF6B23C" w:rsidR="00EE455B" w:rsidRDefault="00EE455B" w:rsidP="00434B26">
      <w:pPr>
        <w:pStyle w:val="Heading2"/>
        <w:spacing w:before="240"/>
      </w:pPr>
      <w:bookmarkStart w:id="94" w:name="_Toc5715497"/>
      <w:r>
        <w:t xml:space="preserve">DR </w:t>
      </w:r>
      <w:bookmarkEnd w:id="91"/>
      <w:r w:rsidR="007314D2">
        <w:t>Measures</w:t>
      </w:r>
      <w:bookmarkEnd w:id="94"/>
    </w:p>
    <w:p w14:paraId="65FA9EF5" w14:textId="77777777" w:rsidR="00C523FD" w:rsidRDefault="00C523FD" w:rsidP="00C523FD">
      <w:pPr>
        <w:pStyle w:val="Text"/>
      </w:pPr>
      <w:r>
        <w:t>The DR measures included in the measure list utilize the following DR strategies:</w:t>
      </w:r>
    </w:p>
    <w:p w14:paraId="5AB11D18" w14:textId="77777777" w:rsidR="00C523FD" w:rsidRDefault="00C523FD" w:rsidP="00C523FD">
      <w:pPr>
        <w:pStyle w:val="Mainbody-Bullets"/>
      </w:pPr>
      <w:r w:rsidRPr="00665145">
        <w:rPr>
          <w:b/>
        </w:rPr>
        <w:t xml:space="preserve">Direct </w:t>
      </w:r>
      <w:r>
        <w:rPr>
          <w:b/>
        </w:rPr>
        <w:t>L</w:t>
      </w:r>
      <w:r w:rsidRPr="00665145">
        <w:rPr>
          <w:b/>
        </w:rPr>
        <w:t xml:space="preserve">oad </w:t>
      </w:r>
      <w:r>
        <w:rPr>
          <w:b/>
        </w:rPr>
        <w:t>C</w:t>
      </w:r>
      <w:r w:rsidRPr="00665145">
        <w:rPr>
          <w:b/>
        </w:rPr>
        <w:t>ontrol.</w:t>
      </w:r>
      <w:r>
        <w:t xml:space="preserve"> C</w:t>
      </w:r>
      <w:r w:rsidRPr="00640B6F">
        <w:t xml:space="preserve">ustomers receive incentive payments for allowing the utility </w:t>
      </w:r>
      <w:r>
        <w:t>to</w:t>
      </w:r>
      <w:r w:rsidRPr="00640B6F">
        <w:t xml:space="preserve"> control </w:t>
      </w:r>
      <w:r>
        <w:t>their selected</w:t>
      </w:r>
      <w:r w:rsidRPr="00640B6F">
        <w:t xml:space="preserve"> equipment, such as </w:t>
      </w:r>
      <w:r>
        <w:t>HVAC</w:t>
      </w:r>
      <w:r w:rsidRPr="00640B6F">
        <w:t xml:space="preserve"> or water heaters</w:t>
      </w:r>
      <w:r>
        <w:t>.</w:t>
      </w:r>
    </w:p>
    <w:p w14:paraId="57B5FC15" w14:textId="77777777" w:rsidR="00C523FD" w:rsidRDefault="00C523FD" w:rsidP="00C523FD">
      <w:pPr>
        <w:pStyle w:val="Mainbody-Bullets"/>
      </w:pPr>
      <w:r>
        <w:rPr>
          <w:b/>
        </w:rPr>
        <w:t>Critical Peak Pricing (CPP) with Technology.</w:t>
      </w:r>
      <w:r>
        <w:t xml:space="preserve"> </w:t>
      </w:r>
      <w:r w:rsidRPr="006B3903">
        <w:t xml:space="preserve">Electricity rate </w:t>
      </w:r>
      <w:r>
        <w:t>structures that vary</w:t>
      </w:r>
      <w:r w:rsidRPr="006B3903">
        <w:t xml:space="preserve"> based on time of day</w:t>
      </w:r>
      <w:r>
        <w:t>. I</w:t>
      </w:r>
      <w:r w:rsidRPr="006B3903">
        <w:t>nclude</w:t>
      </w:r>
      <w:r>
        <w:t>s</w:t>
      </w:r>
      <w:r w:rsidRPr="006B3903">
        <w:t xml:space="preserve"> </w:t>
      </w:r>
      <w:r>
        <w:t xml:space="preserve">CPP </w:t>
      </w:r>
      <w:r w:rsidRPr="006B3903">
        <w:t xml:space="preserve">when </w:t>
      </w:r>
      <w:r>
        <w:t>the</w:t>
      </w:r>
      <w:r w:rsidRPr="006B3903">
        <w:t xml:space="preserve"> rate</w:t>
      </w:r>
      <w:r>
        <w:t xml:space="preserve"> i</w:t>
      </w:r>
      <w:r w:rsidRPr="006B3903">
        <w:t xml:space="preserve">s substantially higher for a limited number of </w:t>
      </w:r>
      <w:r>
        <w:t xml:space="preserve">hours or </w:t>
      </w:r>
      <w:r w:rsidRPr="006B3903">
        <w:t>days per year (customers receive advance notification of CPP event)</w:t>
      </w:r>
      <w:r>
        <w:t xml:space="preserve"> coupled with technology that enables customer to lower their usage in a specific end-use in response to the event (</w:t>
      </w:r>
      <w:r w:rsidRPr="007314D2">
        <w:rPr>
          <w:i/>
        </w:rPr>
        <w:t>e.g.</w:t>
      </w:r>
      <w:r>
        <w:t xml:space="preserve"> HVAC via smart thermostat)</w:t>
      </w:r>
      <w:r w:rsidRPr="006B3903">
        <w:t>.</w:t>
      </w:r>
    </w:p>
    <w:p w14:paraId="7B948DB6" w14:textId="77777777" w:rsidR="00C523FD" w:rsidRDefault="00C523FD" w:rsidP="00C523FD">
      <w:pPr>
        <w:pStyle w:val="Mainbody-Bullets"/>
      </w:pPr>
      <w:r>
        <w:rPr>
          <w:b/>
        </w:rPr>
        <w:t>Contractual DR.</w:t>
      </w:r>
      <w:r>
        <w:t xml:space="preserve"> C</w:t>
      </w:r>
      <w:r w:rsidRPr="00640B6F">
        <w:t xml:space="preserve">ustomers receive </w:t>
      </w:r>
      <w:r>
        <w:t xml:space="preserve">incentive </w:t>
      </w:r>
      <w:r w:rsidRPr="00640B6F">
        <w:t xml:space="preserve">payments </w:t>
      </w:r>
      <w:r>
        <w:t xml:space="preserve">or a rate discount </w:t>
      </w:r>
      <w:r w:rsidRPr="00640B6F">
        <w:t>for committing to reduce load</w:t>
      </w:r>
      <w:r>
        <w:t xml:space="preserve"> by a pre-determined amount or to a pre-determined firm service level upon utility request.</w:t>
      </w:r>
    </w:p>
    <w:p w14:paraId="0D0D8864" w14:textId="77777777" w:rsidR="00C523FD" w:rsidRDefault="00C523FD" w:rsidP="00C523FD">
      <w:pPr>
        <w:pStyle w:val="Mainbody-Bullets"/>
      </w:pPr>
      <w:r>
        <w:rPr>
          <w:b/>
        </w:rPr>
        <w:t>Automated DR</w:t>
      </w:r>
      <w:r w:rsidRPr="00665145">
        <w:rPr>
          <w:b/>
        </w:rPr>
        <w:t>.</w:t>
      </w:r>
      <w:r>
        <w:t xml:space="preserve"> Utility dispatched control of specific end-uses at a customer facility.</w:t>
      </w:r>
    </w:p>
    <w:p w14:paraId="5B360ED0" w14:textId="77777777" w:rsidR="00C523FD" w:rsidRDefault="00C523FD" w:rsidP="00C523FD">
      <w:pPr>
        <w:pStyle w:val="Text"/>
      </w:pPr>
      <w:r w:rsidRPr="00EC7DCA">
        <w:t xml:space="preserve">DR initiatives that do not rely on the installation of a specific </w:t>
      </w:r>
      <w:r>
        <w:t xml:space="preserve">device or technology </w:t>
      </w:r>
      <w:r w:rsidRPr="00EC7DCA">
        <w:t xml:space="preserve">to implement (such as a voluntary curtailment program) </w:t>
      </w:r>
      <w:r>
        <w:t>we</w:t>
      </w:r>
      <w:r w:rsidRPr="00EC7DCA">
        <w:t xml:space="preserve">re not </w:t>
      </w:r>
      <w:r>
        <w:t>includ</w:t>
      </w:r>
      <w:r w:rsidRPr="00EC7DCA">
        <w:t>ed.</w:t>
      </w:r>
    </w:p>
    <w:p w14:paraId="43E31B07" w14:textId="77777777" w:rsidR="00C523FD" w:rsidRDefault="00C523FD" w:rsidP="00C523FD">
      <w:pPr>
        <w:pStyle w:val="Text"/>
      </w:pPr>
      <w:r>
        <w:t>A workbook was developed for each measure which included the same measure inputs as previously described for the EE measures.  In addition, the DR workbook included:</w:t>
      </w:r>
    </w:p>
    <w:p w14:paraId="7A90B0BC" w14:textId="77777777" w:rsidR="00C523FD" w:rsidRDefault="00C523FD" w:rsidP="00C523FD">
      <w:pPr>
        <w:pStyle w:val="Mainbody-Bullets"/>
      </w:pPr>
      <w:r>
        <w:t>Expected load reduction from the measure, based on utility technical potential, existing utility DR programs, and other nationwide DR programs if needed</w:t>
      </w:r>
    </w:p>
    <w:p w14:paraId="2A2303A3" w14:textId="1BD90A4B" w:rsidR="00F92D7C" w:rsidRPr="009A35A5" w:rsidRDefault="00C523FD" w:rsidP="00C523FD">
      <w:pPr>
        <w:pStyle w:val="Mainbody-Bullets"/>
        <w:numPr>
          <w:ilvl w:val="0"/>
          <w:numId w:val="0"/>
        </w:numPr>
        <w:jc w:val="both"/>
      </w:pPr>
      <w:r>
        <w:t>For technical potential, Nexant did not break out results by measure because all of the developed measures target the end uses estimated for technical potential.</w:t>
      </w:r>
    </w:p>
    <w:p w14:paraId="25236CDE" w14:textId="29DE0F39" w:rsidR="00246DA8" w:rsidRDefault="00246DA8" w:rsidP="00C42451">
      <w:pPr>
        <w:pStyle w:val="Heading2"/>
        <w:jc w:val="both"/>
      </w:pPr>
      <w:bookmarkStart w:id="95" w:name="_Toc5715498"/>
      <w:r>
        <w:t>DSRE Measures</w:t>
      </w:r>
      <w:bookmarkEnd w:id="95"/>
    </w:p>
    <w:p w14:paraId="4765342A" w14:textId="6B55F62B" w:rsidR="00B729FB" w:rsidRDefault="00C523FD" w:rsidP="00C42451">
      <w:pPr>
        <w:pStyle w:val="Text"/>
        <w:jc w:val="both"/>
      </w:pPr>
      <w:r>
        <w:t>The DSRE measure list includes rooftop PV systems, battery storage systems charged from PV systems, and CHP systems</w:t>
      </w:r>
      <w:r w:rsidR="00B729FB">
        <w:t>.</w:t>
      </w:r>
    </w:p>
    <w:p w14:paraId="48182FB6" w14:textId="6143ECFA" w:rsidR="00B75F6C" w:rsidRDefault="0013336F" w:rsidP="00C42451">
      <w:pPr>
        <w:pStyle w:val="Intropages-coverlettersubjectline"/>
        <w:jc w:val="both"/>
      </w:pPr>
      <w:r>
        <w:t>PV</w:t>
      </w:r>
      <w:r w:rsidR="00B75F6C">
        <w:t xml:space="preserve"> Systems</w:t>
      </w:r>
    </w:p>
    <w:p w14:paraId="2DEDA369" w14:textId="3AD55D4B" w:rsidR="00401F36" w:rsidRDefault="0013336F" w:rsidP="00C42451">
      <w:pPr>
        <w:pStyle w:val="Text"/>
        <w:jc w:val="both"/>
      </w:pPr>
      <w:r>
        <w:t>PV systems utilize solar panels (</w:t>
      </w:r>
      <w:r w:rsidR="007529AE">
        <w:t>a packaged collection of</w:t>
      </w:r>
      <w:r>
        <w:t xml:space="preserve"> PV cells)</w:t>
      </w:r>
      <w:r w:rsidR="007529AE">
        <w:t xml:space="preserve"> to convert sunlight into electricity.  A system is constructed with multiple solar panels, a DC/AC inverter, a racking system to hold the panels, and electrical system interconnections.  These systems are often roof-mounted systems that face south-west, south, and/or, south-east.  The potential associated with roof-mounted systems installed on residential and commercial buildings</w:t>
      </w:r>
      <w:r>
        <w:t xml:space="preserve"> was analyzed</w:t>
      </w:r>
      <w:r w:rsidR="00401F36">
        <w:rPr>
          <w:rStyle w:val="FootnoteReference"/>
        </w:rPr>
        <w:footnoteReference w:id="6"/>
      </w:r>
      <w:r w:rsidR="007529AE">
        <w:t xml:space="preserve">.  </w:t>
      </w:r>
    </w:p>
    <w:p w14:paraId="7425B1A3" w14:textId="29108BF4" w:rsidR="00B75F6C" w:rsidRDefault="00B75F6C" w:rsidP="00AA6369">
      <w:pPr>
        <w:pStyle w:val="Intropages-coverlettersubjectline"/>
        <w:keepNext/>
      </w:pPr>
      <w:r>
        <w:t>Battery Storage Systems</w:t>
      </w:r>
      <w:r w:rsidR="0013336F">
        <w:t xml:space="preserve"> </w:t>
      </w:r>
      <w:r w:rsidR="00C523FD">
        <w:t>Charged from PV Systems</w:t>
      </w:r>
    </w:p>
    <w:p w14:paraId="651CBF5C" w14:textId="12704385" w:rsidR="00B75F6C" w:rsidRDefault="00401F36" w:rsidP="00C42451">
      <w:pPr>
        <w:pStyle w:val="Text"/>
        <w:jc w:val="both"/>
      </w:pPr>
      <w:r>
        <w:t xml:space="preserve">Distributed battery storage systems included in this study consist of behind-the-meter battery systems </w:t>
      </w:r>
      <w:r w:rsidR="0013336F">
        <w:t xml:space="preserve">installed in conjunction with an appropriately-sized PV system </w:t>
      </w:r>
      <w:r>
        <w:t xml:space="preserve">at residential and commercial customer facilities.  These battery systems typically consist of a </w:t>
      </w:r>
      <w:r w:rsidR="0024185F">
        <w:t>DC-charged</w:t>
      </w:r>
      <w:r>
        <w:t xml:space="preserve"> battery, a DC/AC inverter, and electrical system interconnections to a PV system.  On their own battery storage systems do not generate or conserve energy, but can collect and store excess </w:t>
      </w:r>
      <w:r w:rsidR="0013336F">
        <w:t>PV</w:t>
      </w:r>
      <w:r>
        <w:t xml:space="preserve"> gene</w:t>
      </w:r>
      <w:r w:rsidR="0013336F">
        <w:t xml:space="preserve">ration to </w:t>
      </w:r>
      <w:r>
        <w:t>provide power</w:t>
      </w:r>
      <w:r w:rsidR="0013336F">
        <w:t xml:space="preserve"> during particular time periods; which for DSM purposes would be to offset customer demand during the utility’s system peak.</w:t>
      </w:r>
    </w:p>
    <w:p w14:paraId="1AE62416" w14:textId="7AF552C6" w:rsidR="00B75F6C" w:rsidRDefault="00B75F6C" w:rsidP="00C42451">
      <w:pPr>
        <w:pStyle w:val="Intropages-coverlettersubjectline"/>
        <w:jc w:val="both"/>
      </w:pPr>
      <w:r>
        <w:t xml:space="preserve">CHP </w:t>
      </w:r>
      <w:r w:rsidR="00C523FD">
        <w:t>Systems</w:t>
      </w:r>
    </w:p>
    <w:p w14:paraId="7F6D639B" w14:textId="3075766F" w:rsidR="00B75F6C" w:rsidRDefault="00B75F6C" w:rsidP="00C42451">
      <w:pPr>
        <w:pStyle w:val="Text"/>
        <w:jc w:val="both"/>
      </w:pPr>
      <w:r>
        <w:t xml:space="preserve">In most CHP applications, a heat engine creates shaft power that drives an electrical generator (fuel cells can produce electrical power directly from electrochemical reactions). The waste heat from the engine is then recovered to provide steam or hot water to meet on-site needs. </w:t>
      </w:r>
      <w:r w:rsidR="0013336F">
        <w:t>C</w:t>
      </w:r>
      <w:r>
        <w:t xml:space="preserve">ommon </w:t>
      </w:r>
      <w:r w:rsidR="00C523FD">
        <w:t xml:space="preserve">prime mover </w:t>
      </w:r>
      <w:r>
        <w:t>technologies used in CHP applications and explored in this study include:</w:t>
      </w:r>
    </w:p>
    <w:p w14:paraId="22933542" w14:textId="77777777" w:rsidR="00B75F6C" w:rsidRDefault="00B75F6C" w:rsidP="00B75F6C">
      <w:pPr>
        <w:pStyle w:val="Mainbody-Bullets"/>
      </w:pPr>
      <w:r>
        <w:t>Steam turbines</w:t>
      </w:r>
    </w:p>
    <w:p w14:paraId="046EF9E0" w14:textId="77777777" w:rsidR="00B75F6C" w:rsidRDefault="00B75F6C" w:rsidP="00B75F6C">
      <w:pPr>
        <w:pStyle w:val="Mainbody-Bullets"/>
      </w:pPr>
      <w:r>
        <w:t>Gas turbines</w:t>
      </w:r>
    </w:p>
    <w:p w14:paraId="3074B222" w14:textId="77777777" w:rsidR="00B75F6C" w:rsidRDefault="00B75F6C" w:rsidP="00B75F6C">
      <w:pPr>
        <w:pStyle w:val="Mainbody-Bullets"/>
      </w:pPr>
      <w:r>
        <w:t>Micro turbines</w:t>
      </w:r>
    </w:p>
    <w:p w14:paraId="07E29F31" w14:textId="77777777" w:rsidR="00B75F6C" w:rsidRDefault="00B75F6C" w:rsidP="00B75F6C">
      <w:pPr>
        <w:pStyle w:val="Mainbody-Bullets"/>
      </w:pPr>
      <w:r>
        <w:t>Fuel Cells</w:t>
      </w:r>
    </w:p>
    <w:p w14:paraId="1C01D04D" w14:textId="77777777" w:rsidR="00B75F6C" w:rsidRDefault="00B75F6C" w:rsidP="00B75F6C">
      <w:pPr>
        <w:pStyle w:val="Mainbody-Bullets"/>
      </w:pPr>
      <w:r>
        <w:t>Internal combustion engines</w:t>
      </w:r>
    </w:p>
    <w:p w14:paraId="26E889E8" w14:textId="15D11C23" w:rsidR="001476AC" w:rsidRPr="00CA4476" w:rsidRDefault="00C523FD" w:rsidP="00CA4476">
      <w:pPr>
        <w:pStyle w:val="Text"/>
      </w:pPr>
      <w:r>
        <w:t>A workbook was developed for e</w:t>
      </w:r>
      <w:r w:rsidRPr="00CA4476">
        <w:t xml:space="preserve">ach </w:t>
      </w:r>
      <w:r>
        <w:t>measure which included the inputs previously described for EE measures and prime mover operating parameters.</w:t>
      </w:r>
      <w:r w:rsidR="00B76D81" w:rsidRPr="00CA4476">
        <w:t xml:space="preserve">  </w:t>
      </w:r>
    </w:p>
    <w:p w14:paraId="7901222E" w14:textId="5ECAE2B2" w:rsidR="001476AC" w:rsidRDefault="001476AC" w:rsidP="007749E8">
      <w:pPr>
        <w:pStyle w:val="Heading3"/>
        <w:numPr>
          <w:ilvl w:val="0"/>
          <w:numId w:val="0"/>
        </w:numPr>
        <w:ind w:left="720" w:hanging="720"/>
        <w:sectPr w:rsidR="001476AC" w:rsidSect="000243C9">
          <w:footnotePr>
            <w:numRestart w:val="eachSect"/>
          </w:footnotePr>
          <w:endnotePr>
            <w:numFmt w:val="decimal"/>
          </w:endnotePr>
          <w:pgSz w:w="12240" w:h="15840" w:code="1"/>
          <w:pgMar w:top="1440" w:right="1440" w:bottom="720" w:left="1440" w:header="720" w:footer="720" w:gutter="0"/>
          <w:cols w:space="360"/>
          <w:titlePg/>
        </w:sectPr>
      </w:pPr>
    </w:p>
    <w:p w14:paraId="6401EA18" w14:textId="77777777" w:rsidR="00EE455B" w:rsidRDefault="00EE455B" w:rsidP="003E47DC">
      <w:pPr>
        <w:pStyle w:val="Heading1"/>
      </w:pPr>
      <w:bookmarkStart w:id="96" w:name="_Ref458697585"/>
      <w:bookmarkStart w:id="97" w:name="_Ref458697590"/>
      <w:bookmarkStart w:id="98" w:name="_Ref458697621"/>
      <w:bookmarkStart w:id="99" w:name="_Toc5715499"/>
      <w:r>
        <w:t>Technical Potential</w:t>
      </w:r>
      <w:bookmarkEnd w:id="96"/>
      <w:bookmarkEnd w:id="97"/>
      <w:bookmarkEnd w:id="98"/>
      <w:bookmarkEnd w:id="99"/>
    </w:p>
    <w:p w14:paraId="6401EA19" w14:textId="48CAF608" w:rsidR="00CB696C" w:rsidRDefault="00CB696C" w:rsidP="00C42451">
      <w:pPr>
        <w:pStyle w:val="Text"/>
        <w:jc w:val="both"/>
      </w:pPr>
      <w:r>
        <w:t xml:space="preserve">In the previous sections, </w:t>
      </w:r>
      <w:r w:rsidR="00C11CE4">
        <w:t>the approach for DSM</w:t>
      </w:r>
      <w:r>
        <w:t xml:space="preserve"> measure</w:t>
      </w:r>
      <w:r w:rsidR="00C11CE4">
        <w:t xml:space="preserve"> development w</w:t>
      </w:r>
      <w:r w:rsidR="00982A9B">
        <w:t>as</w:t>
      </w:r>
      <w:r w:rsidR="00C11CE4">
        <w:t xml:space="preserve"> summarized, and the 2020</w:t>
      </w:r>
      <w:r>
        <w:t xml:space="preserve"> base</w:t>
      </w:r>
      <w:r w:rsidR="009A0734">
        <w:t xml:space="preserve"> </w:t>
      </w:r>
      <w:r>
        <w:t xml:space="preserve">year </w:t>
      </w:r>
      <w:r w:rsidR="009A0734">
        <w:t xml:space="preserve">load shares </w:t>
      </w:r>
      <w:r>
        <w:t>and reference-case</w:t>
      </w:r>
      <w:r w:rsidR="009A0734">
        <w:t xml:space="preserve"> load</w:t>
      </w:r>
      <w:r>
        <w:t xml:space="preserve"> forecast were de</w:t>
      </w:r>
      <w:r w:rsidR="00C11CE4">
        <w:t>scribed</w:t>
      </w:r>
      <w:r>
        <w:t xml:space="preserve">. The outputs from these tasks provided the input for estimating the technical potential scenario, which is discussed in this section. </w:t>
      </w:r>
    </w:p>
    <w:p w14:paraId="7FC067FB" w14:textId="3D5AD00B" w:rsidR="00207153" w:rsidRDefault="00CB696C" w:rsidP="00C42451">
      <w:pPr>
        <w:pStyle w:val="Text"/>
        <w:jc w:val="both"/>
      </w:pPr>
      <w:r>
        <w:t xml:space="preserve">The technical potential scenario estimates the savings potential when all technically feasible </w:t>
      </w:r>
      <w:r w:rsidR="00207153">
        <w:t>DSM</w:t>
      </w:r>
      <w:r>
        <w:t xml:space="preserve"> measures are implemented at their full market potential</w:t>
      </w:r>
      <w:r w:rsidR="00207153">
        <w:t xml:space="preserve"> without regard for cost-effectiveness</w:t>
      </w:r>
      <w:r w:rsidR="00726FCD">
        <w:t xml:space="preserve"> and customer willingness to adopt the most impactful EE, DR, or DSRE technologies</w:t>
      </w:r>
      <w:r>
        <w:t xml:space="preserve">. </w:t>
      </w:r>
      <w:r w:rsidR="00726FCD">
        <w:t>Since the technical potential does not consider the costs or time required to achieve these savings, the estimates provide</w:t>
      </w:r>
      <w:r>
        <w:t xml:space="preserve"> a </w:t>
      </w:r>
      <w:r w:rsidR="00726FCD">
        <w:t>theoretical upper limit on electricity savings potential</w:t>
      </w:r>
      <w:r>
        <w:t>.</w:t>
      </w:r>
      <w:r w:rsidR="00636CC1" w:rsidRPr="00636CC1">
        <w:t xml:space="preserve"> </w:t>
      </w:r>
      <w:r w:rsidR="00636CC1">
        <w:t xml:space="preserve">Technical potential is only constrained by factors such as technical feasibility and applicability of measures.  For this study, technical potential included full application of commercially available </w:t>
      </w:r>
      <w:r w:rsidR="00726FCD">
        <w:t>DSM</w:t>
      </w:r>
      <w:r w:rsidR="00636CC1">
        <w:t xml:space="preserve"> </w:t>
      </w:r>
      <w:r w:rsidR="00C523FD">
        <w:t>measures</w:t>
      </w:r>
      <w:r w:rsidR="00636CC1">
        <w:t xml:space="preserve"> to all residential, commercial, and industrial customers in the utility’s service territory.  </w:t>
      </w:r>
      <w:r w:rsidR="00207153">
        <w:t xml:space="preserve">  </w:t>
      </w:r>
    </w:p>
    <w:p w14:paraId="6401EA1C" w14:textId="77777777" w:rsidR="00BE22AB" w:rsidRDefault="00BE22AB" w:rsidP="00BE22AB">
      <w:pPr>
        <w:pStyle w:val="Heading2"/>
      </w:pPr>
      <w:bookmarkStart w:id="100" w:name="_Ref458697612"/>
      <w:bookmarkStart w:id="101" w:name="_Toc5715500"/>
      <w:r>
        <w:t>Methodology</w:t>
      </w:r>
      <w:bookmarkEnd w:id="100"/>
      <w:bookmarkEnd w:id="101"/>
    </w:p>
    <w:p w14:paraId="6401EA1D" w14:textId="633DB237" w:rsidR="00BE22AB" w:rsidRPr="008F35A9" w:rsidRDefault="00553D4A" w:rsidP="00C42451">
      <w:pPr>
        <w:pStyle w:val="Heading3"/>
        <w:tabs>
          <w:tab w:val="num" w:pos="-4950"/>
        </w:tabs>
        <w:jc w:val="both"/>
      </w:pPr>
      <w:bookmarkStart w:id="102" w:name="_Toc5715501"/>
      <w:r>
        <w:t>EE Technical Potential</w:t>
      </w:r>
      <w:bookmarkEnd w:id="102"/>
    </w:p>
    <w:p w14:paraId="6401EA1E" w14:textId="0DFBE500" w:rsidR="00BE22AB" w:rsidRDefault="007576CB" w:rsidP="00C42451">
      <w:pPr>
        <w:pStyle w:val="Text"/>
        <w:jc w:val="both"/>
      </w:pPr>
      <w:r>
        <w:t>EE</w:t>
      </w:r>
      <w:r w:rsidR="00BE22AB">
        <w:t xml:space="preserve"> technical potential refers to delivering less electricity to the same </w:t>
      </w:r>
      <w:r>
        <w:t>end-use</w:t>
      </w:r>
      <w:r w:rsidR="00BE22AB">
        <w:t>s. In other words, technical potential might be summarized as “doing the same thing with less energy, regardless of the cost.”</w:t>
      </w:r>
    </w:p>
    <w:p w14:paraId="6401EA1F" w14:textId="04F32370" w:rsidR="00BE22AB" w:rsidRDefault="00953126" w:rsidP="00C42451">
      <w:pPr>
        <w:pStyle w:val="Text"/>
        <w:jc w:val="both"/>
      </w:pPr>
      <w:r>
        <w:t xml:space="preserve">DSM measures </w:t>
      </w:r>
      <w:r w:rsidR="00726FCD">
        <w:t xml:space="preserve">were applied </w:t>
      </w:r>
      <w:r w:rsidR="00BE22AB">
        <w:t xml:space="preserve">to the disaggregated </w:t>
      </w:r>
      <w:r w:rsidR="0078245D">
        <w:t xml:space="preserve">utility </w:t>
      </w:r>
      <w:r w:rsidR="00BE22AB">
        <w:t xml:space="preserve">electricity </w:t>
      </w:r>
      <w:r w:rsidR="008F0245">
        <w:t xml:space="preserve">sales </w:t>
      </w:r>
      <w:r w:rsidR="00BE22AB">
        <w:t>forecast</w:t>
      </w:r>
      <w:r w:rsidR="008F0245">
        <w:t>s</w:t>
      </w:r>
      <w:r w:rsidR="00BE22AB">
        <w:t xml:space="preserve"> to estimate technical potential. </w:t>
      </w:r>
      <w:r w:rsidR="008F0245">
        <w:t xml:space="preserve">This </w:t>
      </w:r>
      <w:r w:rsidR="00BE22AB">
        <w:t>involve</w:t>
      </w:r>
      <w:r>
        <w:t>d</w:t>
      </w:r>
      <w:r w:rsidR="00BE22AB">
        <w:t xml:space="preserve"> applying estimated energy savings from equipment </w:t>
      </w:r>
      <w:r w:rsidR="00726FCD">
        <w:t>and</w:t>
      </w:r>
      <w:r w:rsidR="00BE22AB">
        <w:t xml:space="preserve"> non-equipment measures to all electricity </w:t>
      </w:r>
      <w:r w:rsidR="007576CB">
        <w:t>end-use</w:t>
      </w:r>
      <w:r w:rsidR="00BE22AB">
        <w:t xml:space="preserve">s and customers. Technical potential consists of the total </w:t>
      </w:r>
      <w:r w:rsidR="00F77BBF">
        <w:t>energy and demand</w:t>
      </w:r>
      <w:r w:rsidR="00BE22AB">
        <w:t xml:space="preserve"> that can be saved in the market</w:t>
      </w:r>
      <w:r w:rsidR="00726FCD">
        <w:t xml:space="preserve"> which</w:t>
      </w:r>
      <w:r w:rsidR="00BE22AB">
        <w:t xml:space="preserve"> Nexant report</w:t>
      </w:r>
      <w:r>
        <w:t>ed</w:t>
      </w:r>
      <w:r w:rsidR="00F77BBF">
        <w:t xml:space="preserve"> as</w:t>
      </w:r>
      <w:r w:rsidR="00726FCD">
        <w:t xml:space="preserve"> single numerical value</w:t>
      </w:r>
      <w:r w:rsidR="00F77BBF">
        <w:t>s</w:t>
      </w:r>
      <w:r w:rsidR="00726FCD">
        <w:t xml:space="preserve"> for each utility’s</w:t>
      </w:r>
      <w:r w:rsidR="009B4740">
        <w:t xml:space="preserve"> service territory</w:t>
      </w:r>
      <w:r w:rsidR="00734683">
        <w:t>.</w:t>
      </w:r>
      <w:r w:rsidR="007133CF">
        <w:t xml:space="preserve"> </w:t>
      </w:r>
    </w:p>
    <w:p w14:paraId="6401EA20" w14:textId="129F7D5B" w:rsidR="00BE22AB" w:rsidRPr="00F0301F" w:rsidRDefault="00BE22AB" w:rsidP="00C42451">
      <w:pPr>
        <w:pStyle w:val="Text"/>
        <w:jc w:val="both"/>
        <w:rPr>
          <w:color w:val="auto"/>
        </w:rPr>
      </w:pPr>
      <w:r w:rsidRPr="00F0301F">
        <w:rPr>
          <w:color w:val="auto"/>
        </w:rPr>
        <w:t>The</w:t>
      </w:r>
      <w:r>
        <w:rPr>
          <w:color w:val="auto"/>
        </w:rPr>
        <w:t xml:space="preserve"> </w:t>
      </w:r>
      <w:r w:rsidRPr="00F0301F">
        <w:rPr>
          <w:color w:val="auto"/>
        </w:rPr>
        <w:t>core</w:t>
      </w:r>
      <w:r>
        <w:rPr>
          <w:color w:val="auto"/>
        </w:rPr>
        <w:t xml:space="preserve"> </w:t>
      </w:r>
      <w:r w:rsidRPr="00F0301F">
        <w:rPr>
          <w:color w:val="auto"/>
        </w:rPr>
        <w:t>equation</w:t>
      </w:r>
      <w:r>
        <w:rPr>
          <w:color w:val="auto"/>
        </w:rPr>
        <w:t xml:space="preserve"> </w:t>
      </w:r>
      <w:r w:rsidRPr="00F0301F">
        <w:rPr>
          <w:color w:val="auto"/>
        </w:rPr>
        <w:t>used</w:t>
      </w:r>
      <w:r>
        <w:rPr>
          <w:color w:val="auto"/>
        </w:rPr>
        <w:t xml:space="preserve"> </w:t>
      </w:r>
      <w:r w:rsidRPr="00F0301F">
        <w:rPr>
          <w:color w:val="auto"/>
        </w:rPr>
        <w:t>in</w:t>
      </w:r>
      <w:r>
        <w:rPr>
          <w:color w:val="auto"/>
        </w:rPr>
        <w:t xml:space="preserve"> </w:t>
      </w:r>
      <w:r w:rsidRPr="00F0301F">
        <w:rPr>
          <w:color w:val="auto"/>
        </w:rPr>
        <w:t>the</w:t>
      </w:r>
      <w:r>
        <w:rPr>
          <w:color w:val="auto"/>
        </w:rPr>
        <w:t xml:space="preserve"> </w:t>
      </w:r>
      <w:r w:rsidRPr="00F0301F">
        <w:rPr>
          <w:color w:val="auto"/>
        </w:rPr>
        <w:t>residential</w:t>
      </w:r>
      <w:r>
        <w:rPr>
          <w:color w:val="auto"/>
        </w:rPr>
        <w:t xml:space="preserve"> </w:t>
      </w:r>
      <w:r w:rsidRPr="00F0301F">
        <w:rPr>
          <w:color w:val="auto"/>
        </w:rPr>
        <w:t>sector</w:t>
      </w:r>
      <w:r>
        <w:rPr>
          <w:color w:val="auto"/>
        </w:rPr>
        <w:t xml:space="preserve"> </w:t>
      </w:r>
      <w:r w:rsidR="007576CB">
        <w:rPr>
          <w:color w:val="auto"/>
        </w:rPr>
        <w:t>EE</w:t>
      </w:r>
      <w:r>
        <w:rPr>
          <w:color w:val="auto"/>
        </w:rPr>
        <w:t xml:space="preserve"> </w:t>
      </w:r>
      <w:r w:rsidRPr="00F0301F">
        <w:rPr>
          <w:color w:val="auto"/>
        </w:rPr>
        <w:t>technical</w:t>
      </w:r>
      <w:r>
        <w:rPr>
          <w:color w:val="auto"/>
        </w:rPr>
        <w:t xml:space="preserve"> </w:t>
      </w:r>
      <w:r w:rsidRPr="00F0301F">
        <w:rPr>
          <w:color w:val="auto"/>
        </w:rPr>
        <w:t>potential</w:t>
      </w:r>
      <w:r>
        <w:rPr>
          <w:color w:val="auto"/>
        </w:rPr>
        <w:t xml:space="preserve"> </w:t>
      </w:r>
      <w:r w:rsidRPr="00F0301F">
        <w:rPr>
          <w:color w:val="auto"/>
        </w:rPr>
        <w:t>analysis</w:t>
      </w:r>
      <w:r>
        <w:rPr>
          <w:color w:val="auto"/>
        </w:rPr>
        <w:t xml:space="preserve"> </w:t>
      </w:r>
      <w:r w:rsidRPr="00F0301F">
        <w:rPr>
          <w:color w:val="auto"/>
        </w:rPr>
        <w:t>for</w:t>
      </w:r>
      <w:r>
        <w:rPr>
          <w:color w:val="auto"/>
        </w:rPr>
        <w:t xml:space="preserve"> </w:t>
      </w:r>
      <w:r w:rsidRPr="00F0301F">
        <w:rPr>
          <w:color w:val="auto"/>
        </w:rPr>
        <w:t>each</w:t>
      </w:r>
      <w:r>
        <w:rPr>
          <w:color w:val="auto"/>
        </w:rPr>
        <w:t xml:space="preserve"> </w:t>
      </w:r>
      <w:r w:rsidRPr="00F0301F">
        <w:rPr>
          <w:color w:val="auto"/>
        </w:rPr>
        <w:t>individual</w:t>
      </w:r>
      <w:r>
        <w:rPr>
          <w:color w:val="auto"/>
        </w:rPr>
        <w:t xml:space="preserve"> </w:t>
      </w:r>
      <w:r w:rsidRPr="00F0301F">
        <w:rPr>
          <w:color w:val="auto"/>
        </w:rPr>
        <w:t>efficiency</w:t>
      </w:r>
      <w:r>
        <w:rPr>
          <w:color w:val="auto"/>
        </w:rPr>
        <w:t xml:space="preserve"> </w:t>
      </w:r>
      <w:r w:rsidRPr="00F0301F">
        <w:rPr>
          <w:color w:val="auto"/>
        </w:rPr>
        <w:t>measure</w:t>
      </w:r>
      <w:r>
        <w:rPr>
          <w:color w:val="auto"/>
        </w:rPr>
        <w:t xml:space="preserve"> </w:t>
      </w:r>
      <w:r w:rsidRPr="00F0301F">
        <w:rPr>
          <w:color w:val="auto"/>
        </w:rPr>
        <w:t>is</w:t>
      </w:r>
      <w:r>
        <w:rPr>
          <w:color w:val="auto"/>
        </w:rPr>
        <w:t xml:space="preserve"> </w:t>
      </w:r>
      <w:r w:rsidRPr="00F0301F">
        <w:rPr>
          <w:color w:val="auto"/>
        </w:rPr>
        <w:t>shown</w:t>
      </w:r>
      <w:r>
        <w:rPr>
          <w:color w:val="auto"/>
        </w:rPr>
        <w:t xml:space="preserve"> </w:t>
      </w:r>
      <w:r w:rsidRPr="00F0301F">
        <w:rPr>
          <w:color w:val="auto"/>
        </w:rPr>
        <w:t>in</w:t>
      </w:r>
      <w:r>
        <w:rPr>
          <w:color w:val="auto"/>
        </w:rPr>
        <w:t xml:space="preserve"> </w:t>
      </w:r>
      <w:r w:rsidR="0035546C">
        <w:rPr>
          <w:color w:val="auto"/>
        </w:rPr>
        <w:fldChar w:fldCharType="begin"/>
      </w:r>
      <w:r w:rsidR="0035546C">
        <w:rPr>
          <w:color w:val="auto"/>
        </w:rPr>
        <w:instrText xml:space="preserve"> REF _Ref458688525 \h </w:instrText>
      </w:r>
      <w:r w:rsidR="005B0452">
        <w:rPr>
          <w:color w:val="auto"/>
        </w:rPr>
        <w:instrText xml:space="preserve"> \* MERGEFORMAT </w:instrText>
      </w:r>
      <w:r w:rsidR="0035546C">
        <w:rPr>
          <w:color w:val="auto"/>
        </w:rPr>
      </w:r>
      <w:r w:rsidR="0035546C">
        <w:rPr>
          <w:color w:val="auto"/>
        </w:rPr>
        <w:fldChar w:fldCharType="separate"/>
      </w:r>
      <w:r w:rsidR="00B30110" w:rsidRPr="00434B26">
        <w:t xml:space="preserve">Equation </w:t>
      </w:r>
      <w:r w:rsidR="00B30110">
        <w:rPr>
          <w:noProof/>
        </w:rPr>
        <w:t>5</w:t>
      </w:r>
      <w:r w:rsidR="00B30110">
        <w:rPr>
          <w:noProof/>
        </w:rPr>
        <w:noBreakHyphen/>
        <w:t>1</w:t>
      </w:r>
      <w:r w:rsidR="0035546C">
        <w:rPr>
          <w:color w:val="auto"/>
        </w:rPr>
        <w:fldChar w:fldCharType="end"/>
      </w:r>
      <w:r w:rsidR="0035546C">
        <w:rPr>
          <w:color w:val="auto"/>
        </w:rPr>
        <w:t xml:space="preserve"> </w:t>
      </w:r>
      <w:r w:rsidRPr="00F0301F">
        <w:rPr>
          <w:color w:val="auto"/>
        </w:rPr>
        <w:t>below,</w:t>
      </w:r>
      <w:r>
        <w:rPr>
          <w:color w:val="auto"/>
        </w:rPr>
        <w:t xml:space="preserve"> </w:t>
      </w:r>
      <w:r w:rsidRPr="00F0301F">
        <w:rPr>
          <w:color w:val="auto"/>
        </w:rPr>
        <w:t>while</w:t>
      </w:r>
      <w:r>
        <w:rPr>
          <w:color w:val="auto"/>
        </w:rPr>
        <w:t xml:space="preserve"> </w:t>
      </w:r>
      <w:r w:rsidRPr="00F0301F">
        <w:rPr>
          <w:color w:val="auto"/>
        </w:rPr>
        <w:t>the</w:t>
      </w:r>
      <w:r>
        <w:rPr>
          <w:color w:val="auto"/>
        </w:rPr>
        <w:t xml:space="preserve"> </w:t>
      </w:r>
      <w:r w:rsidRPr="00F0301F">
        <w:rPr>
          <w:color w:val="auto"/>
        </w:rPr>
        <w:t>core</w:t>
      </w:r>
      <w:r>
        <w:rPr>
          <w:color w:val="auto"/>
        </w:rPr>
        <w:t xml:space="preserve"> </w:t>
      </w:r>
      <w:r w:rsidRPr="00F0301F">
        <w:rPr>
          <w:color w:val="auto"/>
        </w:rPr>
        <w:t>equation</w:t>
      </w:r>
      <w:r>
        <w:rPr>
          <w:color w:val="auto"/>
        </w:rPr>
        <w:t xml:space="preserve"> </w:t>
      </w:r>
      <w:r w:rsidR="008F0245">
        <w:rPr>
          <w:color w:val="auto"/>
        </w:rPr>
        <w:t xml:space="preserve">used </w:t>
      </w:r>
      <w:r w:rsidRPr="00F0301F">
        <w:rPr>
          <w:color w:val="auto"/>
        </w:rPr>
        <w:t>in</w:t>
      </w:r>
      <w:r>
        <w:rPr>
          <w:color w:val="auto"/>
        </w:rPr>
        <w:t xml:space="preserve"> </w:t>
      </w:r>
      <w:r w:rsidRPr="00F0301F">
        <w:rPr>
          <w:color w:val="auto"/>
        </w:rPr>
        <w:t>the</w:t>
      </w:r>
      <w:r>
        <w:rPr>
          <w:color w:val="auto"/>
        </w:rPr>
        <w:t xml:space="preserve"> </w:t>
      </w:r>
      <w:r w:rsidRPr="00F0301F">
        <w:rPr>
          <w:color w:val="auto"/>
        </w:rPr>
        <w:t>nonresidential</w:t>
      </w:r>
      <w:r>
        <w:rPr>
          <w:color w:val="auto"/>
        </w:rPr>
        <w:t xml:space="preserve"> </w:t>
      </w:r>
      <w:r w:rsidRPr="00F0301F">
        <w:rPr>
          <w:color w:val="auto"/>
        </w:rPr>
        <w:t>sector</w:t>
      </w:r>
      <w:r>
        <w:rPr>
          <w:color w:val="auto"/>
        </w:rPr>
        <w:t xml:space="preserve"> </w:t>
      </w:r>
      <w:r w:rsidRPr="00F0301F">
        <w:rPr>
          <w:color w:val="auto"/>
        </w:rPr>
        <w:t>technical</w:t>
      </w:r>
      <w:r>
        <w:rPr>
          <w:color w:val="auto"/>
        </w:rPr>
        <w:t xml:space="preserve"> </w:t>
      </w:r>
      <w:r w:rsidRPr="00F0301F">
        <w:rPr>
          <w:color w:val="auto"/>
        </w:rPr>
        <w:t>potential</w:t>
      </w:r>
      <w:r>
        <w:rPr>
          <w:color w:val="auto"/>
        </w:rPr>
        <w:t xml:space="preserve"> </w:t>
      </w:r>
      <w:r w:rsidRPr="00F0301F">
        <w:rPr>
          <w:color w:val="auto"/>
        </w:rPr>
        <w:t>analysis</w:t>
      </w:r>
      <w:r>
        <w:rPr>
          <w:color w:val="auto"/>
        </w:rPr>
        <w:t xml:space="preserve"> </w:t>
      </w:r>
      <w:r w:rsidRPr="00F0301F">
        <w:rPr>
          <w:color w:val="auto"/>
        </w:rPr>
        <w:t>for</w:t>
      </w:r>
      <w:r>
        <w:rPr>
          <w:color w:val="auto"/>
        </w:rPr>
        <w:t xml:space="preserve"> </w:t>
      </w:r>
      <w:r w:rsidRPr="00F0301F">
        <w:rPr>
          <w:color w:val="auto"/>
        </w:rPr>
        <w:t>each</w:t>
      </w:r>
      <w:r>
        <w:rPr>
          <w:color w:val="auto"/>
        </w:rPr>
        <w:t xml:space="preserve"> </w:t>
      </w:r>
      <w:r w:rsidRPr="00F0301F">
        <w:rPr>
          <w:color w:val="auto"/>
        </w:rPr>
        <w:t>individual</w:t>
      </w:r>
      <w:r>
        <w:rPr>
          <w:color w:val="auto"/>
        </w:rPr>
        <w:t xml:space="preserve"> </w:t>
      </w:r>
      <w:r w:rsidRPr="00F0301F">
        <w:rPr>
          <w:color w:val="auto"/>
        </w:rPr>
        <w:t>efficiency</w:t>
      </w:r>
      <w:r>
        <w:rPr>
          <w:color w:val="auto"/>
        </w:rPr>
        <w:t xml:space="preserve"> </w:t>
      </w:r>
      <w:r w:rsidRPr="00F0301F">
        <w:rPr>
          <w:color w:val="auto"/>
        </w:rPr>
        <w:t>measure</w:t>
      </w:r>
      <w:r>
        <w:rPr>
          <w:color w:val="auto"/>
        </w:rPr>
        <w:t xml:space="preserve"> </w:t>
      </w:r>
      <w:r w:rsidRPr="00F0301F">
        <w:rPr>
          <w:color w:val="auto"/>
        </w:rPr>
        <w:t>is</w:t>
      </w:r>
      <w:r>
        <w:rPr>
          <w:color w:val="auto"/>
        </w:rPr>
        <w:t xml:space="preserve"> </w:t>
      </w:r>
      <w:r w:rsidRPr="00F0301F">
        <w:rPr>
          <w:color w:val="auto"/>
        </w:rPr>
        <w:t>shown</w:t>
      </w:r>
      <w:r>
        <w:rPr>
          <w:color w:val="auto"/>
        </w:rPr>
        <w:t xml:space="preserve"> </w:t>
      </w:r>
      <w:r w:rsidRPr="00F0301F">
        <w:rPr>
          <w:color w:val="auto"/>
        </w:rPr>
        <w:t>in</w:t>
      </w:r>
      <w:r>
        <w:rPr>
          <w:color w:val="auto"/>
        </w:rPr>
        <w:t xml:space="preserve"> </w:t>
      </w:r>
      <w:r w:rsidR="0035546C">
        <w:rPr>
          <w:color w:val="auto"/>
        </w:rPr>
        <w:fldChar w:fldCharType="begin"/>
      </w:r>
      <w:r w:rsidR="0035546C">
        <w:rPr>
          <w:color w:val="auto"/>
        </w:rPr>
        <w:instrText xml:space="preserve"> REF _Ref458688515 \h </w:instrText>
      </w:r>
      <w:r w:rsidR="0035546C">
        <w:rPr>
          <w:color w:val="auto"/>
        </w:rPr>
      </w:r>
      <w:r w:rsidR="0035546C">
        <w:rPr>
          <w:color w:val="auto"/>
        </w:rPr>
        <w:fldChar w:fldCharType="separate"/>
      </w:r>
      <w:r w:rsidR="00B30110">
        <w:t xml:space="preserve">Equation </w:t>
      </w:r>
      <w:r w:rsidR="00B30110">
        <w:rPr>
          <w:noProof/>
        </w:rPr>
        <w:t>5</w:t>
      </w:r>
      <w:r w:rsidR="00B30110">
        <w:noBreakHyphen/>
      </w:r>
      <w:r w:rsidR="00B30110">
        <w:rPr>
          <w:noProof/>
        </w:rPr>
        <w:t>2</w:t>
      </w:r>
      <w:r w:rsidR="0035546C">
        <w:rPr>
          <w:color w:val="auto"/>
        </w:rPr>
        <w:fldChar w:fldCharType="end"/>
      </w:r>
      <w:r w:rsidRPr="00F0301F">
        <w:rPr>
          <w:color w:val="auto"/>
        </w:rPr>
        <w:t>.</w:t>
      </w:r>
      <w:r>
        <w:rPr>
          <w:color w:val="auto"/>
        </w:rPr>
        <w:t xml:space="preserve"> </w:t>
      </w:r>
    </w:p>
    <w:p w14:paraId="6401EA21" w14:textId="77777777" w:rsidR="00434B26" w:rsidRPr="00434B26" w:rsidRDefault="00434B26" w:rsidP="00434B26">
      <w:pPr>
        <w:pStyle w:val="Mainbody-Captionequation"/>
      </w:pPr>
      <w:bookmarkStart w:id="103" w:name="_Ref458688525"/>
      <w:r w:rsidRPr="00434B26">
        <w:t xml:space="preserve">Equation </w:t>
      </w:r>
      <w:r w:rsidR="00246DA8">
        <w:rPr>
          <w:noProof/>
        </w:rPr>
        <w:fldChar w:fldCharType="begin"/>
      </w:r>
      <w:r w:rsidR="00246DA8">
        <w:rPr>
          <w:noProof/>
        </w:rPr>
        <w:instrText xml:space="preserve"> STYLEREF 1 \s </w:instrText>
      </w:r>
      <w:r w:rsidR="00246DA8">
        <w:rPr>
          <w:noProof/>
        </w:rPr>
        <w:fldChar w:fldCharType="separate"/>
      </w:r>
      <w:r w:rsidR="00B30110">
        <w:rPr>
          <w:noProof/>
        </w:rPr>
        <w:t>5</w:t>
      </w:r>
      <w:r w:rsidR="00246DA8">
        <w:rPr>
          <w:noProof/>
        </w:rPr>
        <w:fldChar w:fldCharType="end"/>
      </w:r>
      <w:r>
        <w:noBreakHyphen/>
      </w:r>
      <w:r w:rsidR="00246DA8">
        <w:rPr>
          <w:noProof/>
        </w:rPr>
        <w:fldChar w:fldCharType="begin"/>
      </w:r>
      <w:r w:rsidR="00246DA8">
        <w:rPr>
          <w:noProof/>
        </w:rPr>
        <w:instrText xml:space="preserve"> SEQ Equation \* ARABIC \s 1 </w:instrText>
      </w:r>
      <w:r w:rsidR="00246DA8">
        <w:rPr>
          <w:noProof/>
        </w:rPr>
        <w:fldChar w:fldCharType="separate"/>
      </w:r>
      <w:r w:rsidR="00B30110">
        <w:rPr>
          <w:noProof/>
        </w:rPr>
        <w:t>1</w:t>
      </w:r>
      <w:r w:rsidR="00246DA8">
        <w:rPr>
          <w:noProof/>
        </w:rPr>
        <w:fldChar w:fldCharType="end"/>
      </w:r>
      <w:bookmarkEnd w:id="103"/>
      <w:r w:rsidRPr="00434B26">
        <w:t>: Core Equation for Residential Sector Technical Potential</w:t>
      </w:r>
    </w:p>
    <w:p w14:paraId="6401EA22" w14:textId="3694F84D" w:rsidR="00BE22AB" w:rsidRPr="00DB3BCB" w:rsidRDefault="007F2D0C" w:rsidP="00434B26">
      <w:pPr>
        <w:pStyle w:val="Caption"/>
        <w:rPr>
          <w:rFonts w:ascii="Microsoft Sans Serif" w:hAnsi="Microsoft Sans Serif"/>
          <w:szCs w:val="22"/>
        </w:rPr>
      </w:pPr>
      <w:r>
        <w:rPr>
          <w:rFonts w:ascii="Microsoft Sans Serif" w:hAnsi="Microsoft Sans Serif"/>
          <w:noProof/>
          <w:szCs w:val="22"/>
        </w:rPr>
        <w:drawing>
          <wp:inline distT="0" distB="0" distL="0" distR="0" wp14:anchorId="74E01324" wp14:editId="76FC7F9F">
            <wp:extent cx="6300470" cy="834148"/>
            <wp:effectExtent l="0" t="0" r="508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96924" cy="846918"/>
                    </a:xfrm>
                    <a:prstGeom prst="rect">
                      <a:avLst/>
                    </a:prstGeom>
                    <a:noFill/>
                  </pic:spPr>
                </pic:pic>
              </a:graphicData>
            </a:graphic>
          </wp:inline>
        </w:drawing>
      </w:r>
    </w:p>
    <w:p w14:paraId="6401EA23" w14:textId="77777777" w:rsidR="00BE22AB" w:rsidRPr="00DB3BCB" w:rsidRDefault="00BE22AB" w:rsidP="00726FCD">
      <w:pPr>
        <w:pStyle w:val="Text"/>
        <w:keepNext/>
        <w:spacing w:before="240"/>
      </w:pPr>
      <w:r w:rsidRPr="00DB3BCB">
        <w:t>Where:</w:t>
      </w:r>
    </w:p>
    <w:p w14:paraId="6401EA24" w14:textId="59CFBB3F" w:rsidR="00BE22AB" w:rsidRPr="00DB3BCB" w:rsidRDefault="00BE22AB" w:rsidP="00C42451">
      <w:pPr>
        <w:pStyle w:val="Text"/>
        <w:jc w:val="both"/>
      </w:pPr>
      <w:r w:rsidRPr="00DB3BCB">
        <w:rPr>
          <w:b/>
        </w:rPr>
        <w:t>Base</w:t>
      </w:r>
      <w:r w:rsidR="007F2D0C">
        <w:rPr>
          <w:b/>
        </w:rPr>
        <w:t>line</w:t>
      </w:r>
      <w:r>
        <w:rPr>
          <w:b/>
        </w:rPr>
        <w:t xml:space="preserve"> </w:t>
      </w:r>
      <w:r w:rsidRPr="00DB3BCB">
        <w:rPr>
          <w:b/>
        </w:rPr>
        <w:t>Equipment</w:t>
      </w:r>
      <w:r>
        <w:rPr>
          <w:b/>
        </w:rPr>
        <w:t xml:space="preserve"> </w:t>
      </w:r>
      <w:r w:rsidRPr="00DB3BCB">
        <w:rPr>
          <w:b/>
        </w:rPr>
        <w:t>Energy</w:t>
      </w:r>
      <w:r>
        <w:rPr>
          <w:b/>
        </w:rPr>
        <w:t xml:space="preserve"> </w:t>
      </w:r>
      <w:r w:rsidRPr="00DB3BCB">
        <w:rPr>
          <w:b/>
        </w:rPr>
        <w:t>Use</w:t>
      </w:r>
      <w:r>
        <w:rPr>
          <w:b/>
        </w:rPr>
        <w:t xml:space="preserve"> </w:t>
      </w:r>
      <w:r w:rsidRPr="00DB3BCB">
        <w:rPr>
          <w:b/>
        </w:rPr>
        <w:t>Intensity</w:t>
      </w:r>
      <w:r>
        <w:rPr>
          <w:b/>
        </w:rPr>
        <w:t xml:space="preserve"> </w:t>
      </w:r>
      <w:r w:rsidRPr="00DB3BCB">
        <w:t>=</w:t>
      </w:r>
      <w:r>
        <w:t xml:space="preserve"> </w:t>
      </w:r>
      <w:r w:rsidRPr="00DB3BCB">
        <w:t>the</w:t>
      </w:r>
      <w:r>
        <w:t xml:space="preserve"> </w:t>
      </w:r>
      <w:r w:rsidRPr="00DB3BCB">
        <w:t>electricity</w:t>
      </w:r>
      <w:r>
        <w:t xml:space="preserve"> </w:t>
      </w:r>
      <w:r w:rsidRPr="00DB3BCB">
        <w:t>used</w:t>
      </w:r>
      <w:r>
        <w:t xml:space="preserve"> </w:t>
      </w:r>
      <w:r w:rsidRPr="00DB3BCB">
        <w:t>per</w:t>
      </w:r>
      <w:r>
        <w:t xml:space="preserve"> </w:t>
      </w:r>
      <w:r w:rsidRPr="00DB3BCB">
        <w:t>customer</w:t>
      </w:r>
      <w:r>
        <w:t xml:space="preserve"> </w:t>
      </w:r>
      <w:r w:rsidRPr="00DB3BCB">
        <w:t>per</w:t>
      </w:r>
      <w:r>
        <w:t xml:space="preserve"> </w:t>
      </w:r>
      <w:r w:rsidRPr="00DB3BCB">
        <w:t>year</w:t>
      </w:r>
      <w:r>
        <w:t xml:space="preserve"> </w:t>
      </w:r>
      <w:r w:rsidRPr="00DB3BCB">
        <w:t>by</w:t>
      </w:r>
      <w:r>
        <w:t xml:space="preserve"> </w:t>
      </w:r>
      <w:r w:rsidRPr="00DB3BCB">
        <w:t>each</w:t>
      </w:r>
      <w:r>
        <w:t xml:space="preserve"> </w:t>
      </w:r>
      <w:r w:rsidRPr="00DB3BCB">
        <w:t>base</w:t>
      </w:r>
      <w:r w:rsidR="00726FCD">
        <w:t>line</w:t>
      </w:r>
      <w:r>
        <w:t xml:space="preserve"> </w:t>
      </w:r>
      <w:r w:rsidRPr="00DB3BCB">
        <w:t>technology</w:t>
      </w:r>
      <w:r>
        <w:t xml:space="preserve"> </w:t>
      </w:r>
      <w:r w:rsidRPr="00DB3BCB">
        <w:t>in</w:t>
      </w:r>
      <w:r>
        <w:t xml:space="preserve"> </w:t>
      </w:r>
      <w:r w:rsidRPr="00DB3BCB">
        <w:t>each</w:t>
      </w:r>
      <w:r>
        <w:t xml:space="preserve"> </w:t>
      </w:r>
      <w:r w:rsidRPr="00DB3BCB">
        <w:t>market</w:t>
      </w:r>
      <w:r>
        <w:t xml:space="preserve"> </w:t>
      </w:r>
      <w:r w:rsidRPr="00DB3BCB">
        <w:t>segment.</w:t>
      </w:r>
      <w:r>
        <w:t xml:space="preserve"> </w:t>
      </w:r>
      <w:r w:rsidRPr="00DB3BCB">
        <w:t>In</w:t>
      </w:r>
      <w:r>
        <w:t xml:space="preserve"> </w:t>
      </w:r>
      <w:r w:rsidRPr="00DB3BCB">
        <w:t>other</w:t>
      </w:r>
      <w:r>
        <w:t xml:space="preserve"> </w:t>
      </w:r>
      <w:r w:rsidRPr="00DB3BCB">
        <w:t>words,</w:t>
      </w:r>
      <w:r>
        <w:t xml:space="preserve"> </w:t>
      </w:r>
      <w:r w:rsidRPr="00DB3BCB">
        <w:t>the</w:t>
      </w:r>
      <w:r>
        <w:t xml:space="preserve"> </w:t>
      </w:r>
      <w:r w:rsidRPr="00DB3BCB">
        <w:t>base</w:t>
      </w:r>
      <w:r w:rsidR="00726FCD">
        <w:t>line</w:t>
      </w:r>
      <w:r>
        <w:t xml:space="preserve"> </w:t>
      </w:r>
      <w:r w:rsidRPr="00DB3BCB">
        <w:t>equipment</w:t>
      </w:r>
      <w:r>
        <w:t xml:space="preserve"> </w:t>
      </w:r>
      <w:r w:rsidRPr="00DB3BCB">
        <w:t>energy-use</w:t>
      </w:r>
      <w:r>
        <w:t xml:space="preserve"> </w:t>
      </w:r>
      <w:r w:rsidRPr="00DB3BCB">
        <w:t>intensity</w:t>
      </w:r>
      <w:r>
        <w:t xml:space="preserve"> </w:t>
      </w:r>
      <w:r w:rsidRPr="00DB3BCB">
        <w:t>is</w:t>
      </w:r>
      <w:r>
        <w:t xml:space="preserve"> </w:t>
      </w:r>
      <w:r w:rsidRPr="00DB3BCB">
        <w:t>the</w:t>
      </w:r>
      <w:r>
        <w:t xml:space="preserve"> </w:t>
      </w:r>
      <w:r w:rsidRPr="00DB3BCB">
        <w:t>consumption</w:t>
      </w:r>
      <w:r>
        <w:t xml:space="preserve"> </w:t>
      </w:r>
      <w:r w:rsidRPr="00DB3BCB">
        <w:t>of</w:t>
      </w:r>
      <w:r>
        <w:t xml:space="preserve"> </w:t>
      </w:r>
      <w:r w:rsidRPr="00DB3BCB">
        <w:t>the</w:t>
      </w:r>
      <w:r>
        <w:t xml:space="preserve"> </w:t>
      </w:r>
      <w:r w:rsidRPr="00DB3BCB">
        <w:t>electrical</w:t>
      </w:r>
      <w:r>
        <w:t xml:space="preserve"> </w:t>
      </w:r>
      <w:r w:rsidRPr="00DB3BCB">
        <w:t>energy</w:t>
      </w:r>
      <w:r>
        <w:t xml:space="preserve"> </w:t>
      </w:r>
      <w:r w:rsidRPr="00DB3BCB">
        <w:t>using</w:t>
      </w:r>
      <w:r>
        <w:t xml:space="preserve"> </w:t>
      </w:r>
      <w:r w:rsidRPr="00DB3BCB">
        <w:t>equipment</w:t>
      </w:r>
      <w:r>
        <w:t xml:space="preserve"> </w:t>
      </w:r>
      <w:r w:rsidRPr="00DB3BCB">
        <w:t>that</w:t>
      </w:r>
      <w:r>
        <w:t xml:space="preserve"> </w:t>
      </w:r>
      <w:r w:rsidRPr="00DB3BCB">
        <w:t>the</w:t>
      </w:r>
      <w:r>
        <w:t xml:space="preserve"> </w:t>
      </w:r>
      <w:r w:rsidRPr="00DB3BCB">
        <w:t>efficient</w:t>
      </w:r>
      <w:r>
        <w:t xml:space="preserve"> </w:t>
      </w:r>
      <w:r w:rsidRPr="00DB3BCB">
        <w:t>technology</w:t>
      </w:r>
      <w:r>
        <w:t xml:space="preserve"> </w:t>
      </w:r>
      <w:r w:rsidRPr="00DB3BCB">
        <w:t>replaces</w:t>
      </w:r>
      <w:r>
        <w:t xml:space="preserve"> </w:t>
      </w:r>
      <w:r w:rsidRPr="00DB3BCB">
        <w:t>or</w:t>
      </w:r>
      <w:r>
        <w:t xml:space="preserve"> </w:t>
      </w:r>
      <w:r w:rsidRPr="00DB3BCB">
        <w:t>affects.</w:t>
      </w:r>
      <w:r>
        <w:t xml:space="preserve"> </w:t>
      </w:r>
    </w:p>
    <w:p w14:paraId="6401EA25" w14:textId="0776C194" w:rsidR="00BE22AB" w:rsidRPr="00DB3BCB" w:rsidRDefault="007F2D0C" w:rsidP="00C42451">
      <w:pPr>
        <w:pStyle w:val="Text"/>
        <w:jc w:val="both"/>
      </w:pPr>
      <w:r>
        <w:rPr>
          <w:b/>
        </w:rPr>
        <w:t xml:space="preserve">Equipment </w:t>
      </w:r>
      <w:r w:rsidR="00BE22AB" w:rsidRPr="00DB3BCB">
        <w:rPr>
          <w:b/>
        </w:rPr>
        <w:t>Saturation</w:t>
      </w:r>
      <w:r w:rsidR="00BE22AB">
        <w:rPr>
          <w:b/>
        </w:rPr>
        <w:t xml:space="preserve"> </w:t>
      </w:r>
      <w:r w:rsidR="00BE22AB" w:rsidRPr="00DB3BCB">
        <w:rPr>
          <w:b/>
        </w:rPr>
        <w:t>Share</w:t>
      </w:r>
      <w:r w:rsidR="00BE22AB">
        <w:t xml:space="preserve"> </w:t>
      </w:r>
      <w:r w:rsidR="00BE22AB" w:rsidRPr="00DB3BCB">
        <w:t>=</w:t>
      </w:r>
      <w:r w:rsidR="00BE22AB">
        <w:t xml:space="preserve"> </w:t>
      </w:r>
      <w:r w:rsidR="00BE22AB" w:rsidRPr="00DB3BCB">
        <w:t>the</w:t>
      </w:r>
      <w:r w:rsidR="00BE22AB">
        <w:t xml:space="preserve"> </w:t>
      </w:r>
      <w:r w:rsidR="00BE22AB" w:rsidRPr="00DB3BCB">
        <w:t>fraction</w:t>
      </w:r>
      <w:r w:rsidR="00BE22AB">
        <w:t xml:space="preserve"> </w:t>
      </w:r>
      <w:r w:rsidR="00BE22AB" w:rsidRPr="00DB3BCB">
        <w:t>of</w:t>
      </w:r>
      <w:r w:rsidR="00BE22AB">
        <w:t xml:space="preserve"> </w:t>
      </w:r>
      <w:r w:rsidR="00BE22AB" w:rsidRPr="00DB3BCB">
        <w:t>the</w:t>
      </w:r>
      <w:r w:rsidR="00BE22AB">
        <w:t xml:space="preserve"> </w:t>
      </w:r>
      <w:r w:rsidR="00BE22AB" w:rsidRPr="00DB3BCB">
        <w:t>end-use</w:t>
      </w:r>
      <w:r w:rsidR="00BE22AB">
        <w:t xml:space="preserve"> </w:t>
      </w:r>
      <w:r w:rsidR="00BE22AB" w:rsidRPr="00DB3BCB">
        <w:t>electrical</w:t>
      </w:r>
      <w:r w:rsidR="00BE22AB">
        <w:t xml:space="preserve"> </w:t>
      </w:r>
      <w:r w:rsidR="00BE22AB" w:rsidRPr="00DB3BCB">
        <w:t>energy</w:t>
      </w:r>
      <w:r w:rsidR="00BE22AB">
        <w:t xml:space="preserve"> </w:t>
      </w:r>
      <w:r w:rsidR="00BE22AB" w:rsidRPr="00DB3BCB">
        <w:t>that</w:t>
      </w:r>
      <w:r w:rsidR="00BE22AB">
        <w:t xml:space="preserve"> </w:t>
      </w:r>
      <w:r w:rsidR="00BE22AB" w:rsidRPr="00DB3BCB">
        <w:t>is</w:t>
      </w:r>
      <w:r w:rsidR="00BE22AB">
        <w:t xml:space="preserve"> </w:t>
      </w:r>
      <w:r w:rsidR="00BE22AB" w:rsidRPr="00DB3BCB">
        <w:t>applicable</w:t>
      </w:r>
      <w:r w:rsidR="00BE22AB">
        <w:t xml:space="preserve"> </w:t>
      </w:r>
      <w:r w:rsidR="00BE22AB" w:rsidRPr="00DB3BCB">
        <w:t>for</w:t>
      </w:r>
      <w:r w:rsidR="00BE22AB">
        <w:t xml:space="preserve"> </w:t>
      </w:r>
      <w:r w:rsidR="00BE22AB" w:rsidRPr="00DB3BCB">
        <w:t>the</w:t>
      </w:r>
      <w:r w:rsidR="00BE22AB">
        <w:t xml:space="preserve"> </w:t>
      </w:r>
      <w:r w:rsidR="00BE22AB" w:rsidRPr="00DB3BCB">
        <w:t>efficient</w:t>
      </w:r>
      <w:r w:rsidR="00BE22AB">
        <w:t xml:space="preserve"> </w:t>
      </w:r>
      <w:r w:rsidR="00BE22AB" w:rsidRPr="00DB3BCB">
        <w:t>technology</w:t>
      </w:r>
      <w:r w:rsidR="00BE22AB">
        <w:t xml:space="preserve"> </w:t>
      </w:r>
      <w:r w:rsidR="00BE22AB" w:rsidRPr="00DB3BCB">
        <w:t>in</w:t>
      </w:r>
      <w:r w:rsidR="00BE22AB">
        <w:t xml:space="preserve"> </w:t>
      </w:r>
      <w:r w:rsidR="00BE22AB" w:rsidRPr="00DB3BCB">
        <w:t>a</w:t>
      </w:r>
      <w:r w:rsidR="00BE22AB">
        <w:t xml:space="preserve"> </w:t>
      </w:r>
      <w:r w:rsidR="00BE22AB" w:rsidRPr="00DB3BCB">
        <w:t>given</w:t>
      </w:r>
      <w:r w:rsidR="00BE22AB">
        <w:t xml:space="preserve"> </w:t>
      </w:r>
      <w:r w:rsidR="00BE22AB" w:rsidRPr="00DB3BCB">
        <w:t>market</w:t>
      </w:r>
      <w:r w:rsidR="00BE22AB">
        <w:t xml:space="preserve"> </w:t>
      </w:r>
      <w:r w:rsidR="00BE22AB" w:rsidRPr="00DB3BCB">
        <w:t>segment.</w:t>
      </w:r>
      <w:r w:rsidR="00BE22AB">
        <w:t xml:space="preserve"> </w:t>
      </w:r>
      <w:r w:rsidR="00BE22AB" w:rsidRPr="00DB3BCB">
        <w:t>For</w:t>
      </w:r>
      <w:r w:rsidR="00BE22AB">
        <w:t xml:space="preserve"> </w:t>
      </w:r>
      <w:r w:rsidR="00BE22AB" w:rsidRPr="00DB3BCB">
        <w:t>example,</w:t>
      </w:r>
      <w:r w:rsidR="00BE22AB">
        <w:t xml:space="preserve"> </w:t>
      </w:r>
      <w:r w:rsidR="00BE22AB" w:rsidRPr="00DB3BCB">
        <w:t>for</w:t>
      </w:r>
      <w:r w:rsidR="00BE22AB">
        <w:t xml:space="preserve"> </w:t>
      </w:r>
      <w:r w:rsidR="00BE22AB" w:rsidRPr="00DB3BCB">
        <w:t>residential</w:t>
      </w:r>
      <w:r w:rsidR="00BE22AB">
        <w:t xml:space="preserve"> </w:t>
      </w:r>
      <w:r w:rsidR="00DB28DE">
        <w:t>cooling</w:t>
      </w:r>
      <w:r w:rsidR="00BE22AB" w:rsidRPr="00DB3BCB">
        <w:t>,</w:t>
      </w:r>
      <w:r w:rsidR="00BE22AB">
        <w:t xml:space="preserve"> </w:t>
      </w:r>
      <w:r w:rsidR="00BE22AB" w:rsidRPr="00DB3BCB">
        <w:t>the</w:t>
      </w:r>
      <w:r w:rsidR="00BE22AB">
        <w:t xml:space="preserve"> </w:t>
      </w:r>
      <w:r w:rsidR="00BE22AB" w:rsidRPr="00DB3BCB">
        <w:t>saturation</w:t>
      </w:r>
      <w:r w:rsidR="00BE22AB">
        <w:t xml:space="preserve"> </w:t>
      </w:r>
      <w:r w:rsidR="00BE22AB" w:rsidRPr="00DB3BCB">
        <w:t>share</w:t>
      </w:r>
      <w:r w:rsidR="00BE22AB">
        <w:t xml:space="preserve"> </w:t>
      </w:r>
      <w:r w:rsidR="00BE22AB" w:rsidRPr="00DB3BCB">
        <w:t>would</w:t>
      </w:r>
      <w:r w:rsidR="00BE22AB">
        <w:t xml:space="preserve"> </w:t>
      </w:r>
      <w:r w:rsidR="00BE22AB" w:rsidRPr="00DB3BCB">
        <w:t>be</w:t>
      </w:r>
      <w:r w:rsidR="00BE22AB">
        <w:t xml:space="preserve"> </w:t>
      </w:r>
      <w:r w:rsidR="00BE22AB" w:rsidRPr="00DB3BCB">
        <w:t>the</w:t>
      </w:r>
      <w:r w:rsidR="00BE22AB">
        <w:t xml:space="preserve"> </w:t>
      </w:r>
      <w:r w:rsidR="00BE22AB" w:rsidRPr="00DB3BCB">
        <w:t>fraction</w:t>
      </w:r>
      <w:r w:rsidR="00BE22AB">
        <w:t xml:space="preserve"> </w:t>
      </w:r>
      <w:r w:rsidR="00BE22AB" w:rsidRPr="00DB3BCB">
        <w:t>of</w:t>
      </w:r>
      <w:r w:rsidR="00BE22AB">
        <w:t xml:space="preserve"> </w:t>
      </w:r>
      <w:r w:rsidR="00BE22AB" w:rsidRPr="00DB3BCB">
        <w:t>all</w:t>
      </w:r>
      <w:r w:rsidR="00BE22AB">
        <w:t xml:space="preserve"> </w:t>
      </w:r>
      <w:r w:rsidR="00BE22AB" w:rsidRPr="00DB3BCB">
        <w:t>residential</w:t>
      </w:r>
      <w:r w:rsidR="00BE22AB">
        <w:t xml:space="preserve"> </w:t>
      </w:r>
      <w:r w:rsidR="00BE22AB" w:rsidRPr="00DB3BCB">
        <w:t>electric</w:t>
      </w:r>
      <w:r w:rsidR="00BE22AB">
        <w:t xml:space="preserve"> </w:t>
      </w:r>
      <w:r w:rsidR="00BE22AB" w:rsidRPr="00DB3BCB">
        <w:t>customers</w:t>
      </w:r>
      <w:r w:rsidR="00BE22AB">
        <w:t xml:space="preserve"> </w:t>
      </w:r>
      <w:r w:rsidR="00BE22AB" w:rsidRPr="00DB3BCB">
        <w:t>that</w:t>
      </w:r>
      <w:r w:rsidR="00BE22AB">
        <w:t xml:space="preserve"> </w:t>
      </w:r>
      <w:r w:rsidR="00BE22AB" w:rsidRPr="00DB3BCB">
        <w:t>have</w:t>
      </w:r>
      <w:r w:rsidR="00BE22AB">
        <w:t xml:space="preserve"> </w:t>
      </w:r>
      <w:r w:rsidR="00DB28DE">
        <w:t>central air conditioners</w:t>
      </w:r>
      <w:r w:rsidR="00BE22AB">
        <w:t xml:space="preserve"> </w:t>
      </w:r>
      <w:r w:rsidR="00BE22AB" w:rsidRPr="00DB3BCB">
        <w:t>in</w:t>
      </w:r>
      <w:r w:rsidR="00BE22AB">
        <w:t xml:space="preserve"> </w:t>
      </w:r>
      <w:r w:rsidR="00BE22AB" w:rsidRPr="00DB3BCB">
        <w:t>their</w:t>
      </w:r>
      <w:r w:rsidR="00BE22AB">
        <w:t xml:space="preserve"> </w:t>
      </w:r>
      <w:r w:rsidR="00BE22AB" w:rsidRPr="00DB3BCB">
        <w:t>household.</w:t>
      </w:r>
    </w:p>
    <w:p w14:paraId="6401EA26" w14:textId="3514D241" w:rsidR="00BE22AB" w:rsidRPr="00DB3BCB" w:rsidRDefault="00BE22AB" w:rsidP="00C42451">
      <w:pPr>
        <w:pStyle w:val="Text"/>
        <w:jc w:val="both"/>
      </w:pPr>
      <w:r w:rsidRPr="00DB3BCB">
        <w:rPr>
          <w:b/>
        </w:rPr>
        <w:t>Remaining</w:t>
      </w:r>
      <w:r>
        <w:rPr>
          <w:b/>
        </w:rPr>
        <w:t xml:space="preserve"> </w:t>
      </w:r>
      <w:r w:rsidRPr="00DB3BCB">
        <w:rPr>
          <w:b/>
        </w:rPr>
        <w:t>Factor</w:t>
      </w:r>
      <w:r>
        <w:t xml:space="preserve"> </w:t>
      </w:r>
      <w:r w:rsidRPr="00DB3BCB">
        <w:t>=</w:t>
      </w:r>
      <w:r>
        <w:t xml:space="preserve"> </w:t>
      </w:r>
      <w:r w:rsidRPr="00DB3BCB">
        <w:t>the</w:t>
      </w:r>
      <w:r>
        <w:t xml:space="preserve"> </w:t>
      </w:r>
      <w:r w:rsidRPr="00DB3BCB">
        <w:t>fraction</w:t>
      </w:r>
      <w:r>
        <w:t xml:space="preserve"> </w:t>
      </w:r>
      <w:r w:rsidRPr="00DB3BCB">
        <w:t>of</w:t>
      </w:r>
      <w:r>
        <w:t xml:space="preserve"> </w:t>
      </w:r>
      <w:r w:rsidRPr="00DB3BCB">
        <w:t>equipment</w:t>
      </w:r>
      <w:r>
        <w:t xml:space="preserve"> </w:t>
      </w:r>
      <w:r w:rsidRPr="00DB3BCB">
        <w:t>that</w:t>
      </w:r>
      <w:r>
        <w:t xml:space="preserve"> </w:t>
      </w:r>
      <w:r w:rsidRPr="00DB3BCB">
        <w:t>is</w:t>
      </w:r>
      <w:r>
        <w:t xml:space="preserve"> </w:t>
      </w:r>
      <w:r w:rsidRPr="00DB3BCB">
        <w:t>not</w:t>
      </w:r>
      <w:r>
        <w:t xml:space="preserve"> </w:t>
      </w:r>
      <w:r w:rsidRPr="00DB3BCB">
        <w:t>considered</w:t>
      </w:r>
      <w:r>
        <w:t xml:space="preserve"> </w:t>
      </w:r>
      <w:r w:rsidRPr="00DB3BCB">
        <w:t>to</w:t>
      </w:r>
      <w:r>
        <w:t xml:space="preserve"> </w:t>
      </w:r>
      <w:r w:rsidRPr="00DB3BCB">
        <w:t>already</w:t>
      </w:r>
      <w:r>
        <w:t xml:space="preserve"> </w:t>
      </w:r>
      <w:r w:rsidRPr="00DB3BCB">
        <w:t>be</w:t>
      </w:r>
      <w:r>
        <w:t xml:space="preserve"> </w:t>
      </w:r>
      <w:r w:rsidRPr="00DB3BCB">
        <w:t>energy</w:t>
      </w:r>
      <w:r>
        <w:t xml:space="preserve"> </w:t>
      </w:r>
      <w:r w:rsidRPr="00DB3BCB">
        <w:t>efficient.</w:t>
      </w:r>
      <w:r>
        <w:t xml:space="preserve"> </w:t>
      </w:r>
      <w:r w:rsidRPr="00DB3BCB">
        <w:t>To</w:t>
      </w:r>
      <w:r>
        <w:t xml:space="preserve"> </w:t>
      </w:r>
      <w:r w:rsidRPr="00DB3BCB">
        <w:t>extend</w:t>
      </w:r>
      <w:r>
        <w:t xml:space="preserve"> </w:t>
      </w:r>
      <w:r w:rsidRPr="00DB3BCB">
        <w:t>the</w:t>
      </w:r>
      <w:r>
        <w:t xml:space="preserve"> </w:t>
      </w:r>
      <w:r w:rsidRPr="00DB3BCB">
        <w:t>example</w:t>
      </w:r>
      <w:r>
        <w:t xml:space="preserve"> </w:t>
      </w:r>
      <w:r w:rsidRPr="00DB3BCB">
        <w:t>above,</w:t>
      </w:r>
      <w:r>
        <w:t xml:space="preserve"> </w:t>
      </w:r>
      <w:r w:rsidRPr="00DB3BCB">
        <w:t>the</w:t>
      </w:r>
      <w:r>
        <w:t xml:space="preserve"> </w:t>
      </w:r>
      <w:r w:rsidRPr="00DB3BCB">
        <w:t>fraction</w:t>
      </w:r>
      <w:r>
        <w:t xml:space="preserve"> </w:t>
      </w:r>
      <w:r w:rsidRPr="00DB3BCB">
        <w:t>of</w:t>
      </w:r>
      <w:r>
        <w:t xml:space="preserve"> </w:t>
      </w:r>
      <w:r w:rsidR="00F77BBF">
        <w:t>central air conditioners</w:t>
      </w:r>
      <w:r>
        <w:t xml:space="preserve"> </w:t>
      </w:r>
      <w:r w:rsidRPr="00DB3BCB">
        <w:t>that</w:t>
      </w:r>
      <w:r>
        <w:t xml:space="preserve"> </w:t>
      </w:r>
      <w:r w:rsidRPr="00DB3BCB">
        <w:t>is</w:t>
      </w:r>
      <w:r>
        <w:t xml:space="preserve"> </w:t>
      </w:r>
      <w:r w:rsidRPr="00DB3BCB">
        <w:t>not</w:t>
      </w:r>
      <w:r>
        <w:t xml:space="preserve"> </w:t>
      </w:r>
      <w:r w:rsidRPr="00DB3BCB">
        <w:t>already</w:t>
      </w:r>
      <w:r>
        <w:t xml:space="preserve"> </w:t>
      </w:r>
      <w:r w:rsidR="00726FCD">
        <w:t xml:space="preserve">the most </w:t>
      </w:r>
      <w:r w:rsidRPr="00DB3BCB">
        <w:t>energy</w:t>
      </w:r>
      <w:r>
        <w:t xml:space="preserve"> </w:t>
      </w:r>
      <w:r w:rsidRPr="00DB3BCB">
        <w:t>efficient</w:t>
      </w:r>
      <w:r w:rsidR="00726FCD">
        <w:t xml:space="preserve"> technology</w:t>
      </w:r>
      <w:r w:rsidRPr="00DB3BCB">
        <w:t>.</w:t>
      </w:r>
    </w:p>
    <w:p w14:paraId="6401EA27" w14:textId="0B1EB3E3" w:rsidR="00BE22AB" w:rsidRPr="00DB3BCB" w:rsidRDefault="00BE22AB" w:rsidP="00C42451">
      <w:pPr>
        <w:pStyle w:val="Text"/>
        <w:jc w:val="both"/>
      </w:pPr>
      <w:r w:rsidRPr="00DB3BCB">
        <w:rPr>
          <w:b/>
        </w:rPr>
        <w:t>Applicability</w:t>
      </w:r>
      <w:r>
        <w:rPr>
          <w:b/>
        </w:rPr>
        <w:t xml:space="preserve"> </w:t>
      </w:r>
      <w:r w:rsidRPr="00DB3BCB">
        <w:rPr>
          <w:b/>
        </w:rPr>
        <w:t>Factor</w:t>
      </w:r>
      <w:r>
        <w:t xml:space="preserve"> </w:t>
      </w:r>
      <w:r w:rsidRPr="00DB3BCB">
        <w:t>=</w:t>
      </w:r>
      <w:r>
        <w:t xml:space="preserve"> </w:t>
      </w:r>
      <w:r w:rsidRPr="00DB3BCB">
        <w:t>the</w:t>
      </w:r>
      <w:r>
        <w:t xml:space="preserve"> </w:t>
      </w:r>
      <w:r w:rsidRPr="00DB3BCB">
        <w:t>fraction</w:t>
      </w:r>
      <w:r>
        <w:t xml:space="preserve"> </w:t>
      </w:r>
      <w:r w:rsidRPr="00DB3BCB">
        <w:t>of</w:t>
      </w:r>
      <w:r>
        <w:t xml:space="preserve"> </w:t>
      </w:r>
      <w:r w:rsidRPr="00DB3BCB">
        <w:t>units</w:t>
      </w:r>
      <w:r>
        <w:t xml:space="preserve"> </w:t>
      </w:r>
      <w:r w:rsidRPr="00DB3BCB">
        <w:t>that</w:t>
      </w:r>
      <w:r>
        <w:t xml:space="preserve"> </w:t>
      </w:r>
      <w:r w:rsidRPr="00DB3BCB">
        <w:t>is</w:t>
      </w:r>
      <w:r>
        <w:t xml:space="preserve"> </w:t>
      </w:r>
      <w:r w:rsidRPr="00DB3BCB">
        <w:t>technically</w:t>
      </w:r>
      <w:r>
        <w:t xml:space="preserve"> </w:t>
      </w:r>
      <w:r w:rsidRPr="00DB3BCB">
        <w:t>feasible</w:t>
      </w:r>
      <w:r>
        <w:t xml:space="preserve"> </w:t>
      </w:r>
      <w:r w:rsidRPr="00DB3BCB">
        <w:t>for</w:t>
      </w:r>
      <w:r>
        <w:t xml:space="preserve"> </w:t>
      </w:r>
      <w:r w:rsidRPr="00DB3BCB">
        <w:t>conversion</w:t>
      </w:r>
      <w:r>
        <w:t xml:space="preserve"> </w:t>
      </w:r>
      <w:r w:rsidRPr="00DB3BCB">
        <w:t>to</w:t>
      </w:r>
      <w:r>
        <w:t xml:space="preserve"> </w:t>
      </w:r>
      <w:r w:rsidRPr="00DB3BCB">
        <w:t>the</w:t>
      </w:r>
      <w:r>
        <w:t xml:space="preserve"> </w:t>
      </w:r>
      <w:r w:rsidRPr="00DB3BCB">
        <w:t>most</w:t>
      </w:r>
      <w:r>
        <w:t xml:space="preserve"> </w:t>
      </w:r>
      <w:r w:rsidRPr="00DB3BCB">
        <w:t>efficient</w:t>
      </w:r>
      <w:r>
        <w:t xml:space="preserve"> </w:t>
      </w:r>
      <w:r w:rsidRPr="00DB3BCB">
        <w:t>available</w:t>
      </w:r>
      <w:r>
        <w:t xml:space="preserve"> </w:t>
      </w:r>
      <w:r w:rsidRPr="00DB3BCB">
        <w:t>technology</w:t>
      </w:r>
      <w:r>
        <w:t xml:space="preserve"> </w:t>
      </w:r>
      <w:r w:rsidRPr="00DB3BCB">
        <w:t>from</w:t>
      </w:r>
      <w:r>
        <w:t xml:space="preserve"> </w:t>
      </w:r>
      <w:r w:rsidRPr="00DB3BCB">
        <w:t>an</w:t>
      </w:r>
      <w:r>
        <w:t xml:space="preserve"> </w:t>
      </w:r>
      <w:r w:rsidRPr="00DB3BCB">
        <w:t>engineering</w:t>
      </w:r>
      <w:r>
        <w:t xml:space="preserve"> </w:t>
      </w:r>
      <w:r w:rsidRPr="00DB3BCB">
        <w:t>perspective</w:t>
      </w:r>
      <w:r>
        <w:t xml:space="preserve"> </w:t>
      </w:r>
      <w:r w:rsidRPr="00DB3BCB">
        <w:t>(</w:t>
      </w:r>
      <w:r w:rsidRPr="00726FCD">
        <w:rPr>
          <w:i/>
        </w:rPr>
        <w:t>i.e.,</w:t>
      </w:r>
      <w:r>
        <w:t xml:space="preserve"> </w:t>
      </w:r>
      <w:r w:rsidRPr="00DB3BCB">
        <w:t>it</w:t>
      </w:r>
      <w:r>
        <w:t xml:space="preserve"> </w:t>
      </w:r>
      <w:r w:rsidRPr="00DB3BCB">
        <w:t>may</w:t>
      </w:r>
      <w:r>
        <w:t xml:space="preserve"> </w:t>
      </w:r>
      <w:r w:rsidRPr="00DB3BCB">
        <w:t>not</w:t>
      </w:r>
      <w:r>
        <w:t xml:space="preserve"> </w:t>
      </w:r>
      <w:r w:rsidRPr="00DB3BCB">
        <w:t>be</w:t>
      </w:r>
      <w:r>
        <w:t xml:space="preserve"> </w:t>
      </w:r>
      <w:r w:rsidRPr="00DB3BCB">
        <w:t>possible</w:t>
      </w:r>
      <w:r>
        <w:t xml:space="preserve"> </w:t>
      </w:r>
      <w:r w:rsidRPr="00DB3BCB">
        <w:t>to</w:t>
      </w:r>
      <w:r>
        <w:t xml:space="preserve"> </w:t>
      </w:r>
      <w:r w:rsidRPr="00DB3BCB">
        <w:t>install</w:t>
      </w:r>
      <w:r>
        <w:t xml:space="preserve"> </w:t>
      </w:r>
      <w:r w:rsidR="00726FCD">
        <w:t>LED</w:t>
      </w:r>
      <w:r w:rsidRPr="00DB3BCB">
        <w:t>s</w:t>
      </w:r>
      <w:r>
        <w:t xml:space="preserve"> </w:t>
      </w:r>
      <w:r w:rsidRPr="00DB3BCB">
        <w:t>in</w:t>
      </w:r>
      <w:r>
        <w:t xml:space="preserve"> </w:t>
      </w:r>
      <w:r w:rsidRPr="00DB3BCB">
        <w:t>all</w:t>
      </w:r>
      <w:r>
        <w:t xml:space="preserve"> </w:t>
      </w:r>
      <w:r w:rsidRPr="00DB3BCB">
        <w:t>light</w:t>
      </w:r>
      <w:r>
        <w:t xml:space="preserve"> </w:t>
      </w:r>
      <w:r w:rsidRPr="00DB3BCB">
        <w:t>sockets</w:t>
      </w:r>
      <w:r>
        <w:t xml:space="preserve"> </w:t>
      </w:r>
      <w:r w:rsidRPr="00DB3BCB">
        <w:t>in</w:t>
      </w:r>
      <w:r>
        <w:t xml:space="preserve"> </w:t>
      </w:r>
      <w:r w:rsidRPr="00DB3BCB">
        <w:t>a</w:t>
      </w:r>
      <w:r>
        <w:t xml:space="preserve"> </w:t>
      </w:r>
      <w:r w:rsidRPr="00DB3BCB">
        <w:t>home</w:t>
      </w:r>
      <w:r>
        <w:t xml:space="preserve"> </w:t>
      </w:r>
      <w:r w:rsidRPr="00DB3BCB">
        <w:t>because</w:t>
      </w:r>
      <w:r>
        <w:t xml:space="preserve"> </w:t>
      </w:r>
      <w:r w:rsidRPr="00DB3BCB">
        <w:t>the</w:t>
      </w:r>
      <w:r>
        <w:t xml:space="preserve"> </w:t>
      </w:r>
      <w:r w:rsidR="00F77BBF">
        <w:t>available styles</w:t>
      </w:r>
      <w:r>
        <w:t xml:space="preserve"> </w:t>
      </w:r>
      <w:r w:rsidRPr="00DB3BCB">
        <w:t>may</w:t>
      </w:r>
      <w:r>
        <w:t xml:space="preserve"> </w:t>
      </w:r>
      <w:r w:rsidRPr="00DB3BCB">
        <w:t>not</w:t>
      </w:r>
      <w:r>
        <w:t xml:space="preserve"> </w:t>
      </w:r>
      <w:r w:rsidRPr="00DB3BCB">
        <w:t>fit</w:t>
      </w:r>
      <w:r>
        <w:t xml:space="preserve"> </w:t>
      </w:r>
      <w:r w:rsidRPr="00DB3BCB">
        <w:t>in</w:t>
      </w:r>
      <w:r>
        <w:t xml:space="preserve"> </w:t>
      </w:r>
      <w:r w:rsidRPr="00DB3BCB">
        <w:t>every</w:t>
      </w:r>
      <w:r>
        <w:t xml:space="preserve"> </w:t>
      </w:r>
      <w:r w:rsidRPr="00DB3BCB">
        <w:t>socket).</w:t>
      </w:r>
    </w:p>
    <w:p w14:paraId="6401EA28" w14:textId="77777777" w:rsidR="00BE22AB" w:rsidRDefault="00BE22AB" w:rsidP="00C42451">
      <w:pPr>
        <w:pStyle w:val="Text"/>
        <w:jc w:val="both"/>
      </w:pPr>
      <w:r w:rsidRPr="00DB3BCB">
        <w:rPr>
          <w:b/>
        </w:rPr>
        <w:t>Savings</w:t>
      </w:r>
      <w:r>
        <w:rPr>
          <w:b/>
        </w:rPr>
        <w:t xml:space="preserve"> </w:t>
      </w:r>
      <w:r w:rsidRPr="00DB3BCB">
        <w:rPr>
          <w:b/>
        </w:rPr>
        <w:t>Factor</w:t>
      </w:r>
      <w:r>
        <w:t xml:space="preserve"> </w:t>
      </w:r>
      <w:r w:rsidRPr="00DB3BCB">
        <w:t>=</w:t>
      </w:r>
      <w:r>
        <w:t xml:space="preserve"> </w:t>
      </w:r>
      <w:r w:rsidRPr="00DB3BCB">
        <w:t>the</w:t>
      </w:r>
      <w:r>
        <w:t xml:space="preserve"> </w:t>
      </w:r>
      <w:r w:rsidRPr="00DB3BCB">
        <w:t>percentage</w:t>
      </w:r>
      <w:r>
        <w:t xml:space="preserve"> </w:t>
      </w:r>
      <w:r w:rsidRPr="00DB3BCB">
        <w:t>reduction</w:t>
      </w:r>
      <w:r>
        <w:t xml:space="preserve"> </w:t>
      </w:r>
      <w:r w:rsidRPr="00DB3BCB">
        <w:t>in</w:t>
      </w:r>
      <w:r>
        <w:t xml:space="preserve"> </w:t>
      </w:r>
      <w:r w:rsidRPr="00DB3BCB">
        <w:t>electricity</w:t>
      </w:r>
      <w:r>
        <w:t xml:space="preserve"> </w:t>
      </w:r>
      <w:r w:rsidRPr="00DB3BCB">
        <w:t>consumption</w:t>
      </w:r>
      <w:r>
        <w:t xml:space="preserve"> </w:t>
      </w:r>
      <w:r w:rsidRPr="00DB3BCB">
        <w:t>resulting</w:t>
      </w:r>
      <w:r>
        <w:t xml:space="preserve"> </w:t>
      </w:r>
      <w:r w:rsidRPr="00DB3BCB">
        <w:t>from</w:t>
      </w:r>
      <w:r>
        <w:t xml:space="preserve"> </w:t>
      </w:r>
      <w:r w:rsidRPr="00DB3BCB">
        <w:t>the</w:t>
      </w:r>
      <w:r>
        <w:t xml:space="preserve"> </w:t>
      </w:r>
      <w:r w:rsidRPr="00DB3BCB">
        <w:t>application</w:t>
      </w:r>
      <w:r>
        <w:t xml:space="preserve"> </w:t>
      </w:r>
      <w:r w:rsidRPr="00DB3BCB">
        <w:t>of</w:t>
      </w:r>
      <w:r>
        <w:t xml:space="preserve"> </w:t>
      </w:r>
      <w:r w:rsidRPr="00DB3BCB">
        <w:t>the</w:t>
      </w:r>
      <w:r>
        <w:t xml:space="preserve"> </w:t>
      </w:r>
      <w:r w:rsidRPr="00DB3BCB">
        <w:t>efficient</w:t>
      </w:r>
      <w:r>
        <w:t xml:space="preserve"> </w:t>
      </w:r>
      <w:r w:rsidRPr="00DB3BCB">
        <w:t>technology.</w:t>
      </w:r>
    </w:p>
    <w:p w14:paraId="6401EA2A" w14:textId="5D164F67" w:rsidR="00434B26" w:rsidRDefault="00434B26" w:rsidP="00434B26">
      <w:pPr>
        <w:pStyle w:val="Caption"/>
        <w:rPr>
          <w:rFonts w:ascii="Microsoft Sans Serif" w:hAnsi="Microsoft Sans Serif"/>
          <w:szCs w:val="22"/>
        </w:rPr>
      </w:pPr>
      <w:bookmarkStart w:id="104" w:name="_Ref458688515"/>
      <w:r>
        <w:t xml:space="preserve">Equation </w:t>
      </w:r>
      <w:r w:rsidR="00246DA8">
        <w:rPr>
          <w:noProof/>
        </w:rPr>
        <w:fldChar w:fldCharType="begin"/>
      </w:r>
      <w:r w:rsidR="00246DA8">
        <w:rPr>
          <w:noProof/>
        </w:rPr>
        <w:instrText xml:space="preserve"> STYLEREF 1 \s </w:instrText>
      </w:r>
      <w:r w:rsidR="00246DA8">
        <w:rPr>
          <w:noProof/>
        </w:rPr>
        <w:fldChar w:fldCharType="separate"/>
      </w:r>
      <w:r w:rsidR="00B30110">
        <w:rPr>
          <w:noProof/>
        </w:rPr>
        <w:t>5</w:t>
      </w:r>
      <w:r w:rsidR="00246DA8">
        <w:rPr>
          <w:noProof/>
        </w:rPr>
        <w:fldChar w:fldCharType="end"/>
      </w:r>
      <w:r>
        <w:noBreakHyphen/>
      </w:r>
      <w:r w:rsidR="00246DA8">
        <w:rPr>
          <w:noProof/>
        </w:rPr>
        <w:fldChar w:fldCharType="begin"/>
      </w:r>
      <w:r w:rsidR="00246DA8">
        <w:rPr>
          <w:noProof/>
        </w:rPr>
        <w:instrText xml:space="preserve"> SEQ Equation \* ARABIC \s 1 </w:instrText>
      </w:r>
      <w:r w:rsidR="00246DA8">
        <w:rPr>
          <w:noProof/>
        </w:rPr>
        <w:fldChar w:fldCharType="separate"/>
      </w:r>
      <w:r w:rsidR="00B30110">
        <w:rPr>
          <w:noProof/>
        </w:rPr>
        <w:t>2</w:t>
      </w:r>
      <w:r w:rsidR="00246DA8">
        <w:rPr>
          <w:noProof/>
        </w:rPr>
        <w:fldChar w:fldCharType="end"/>
      </w:r>
      <w:bookmarkEnd w:id="104"/>
      <w:r>
        <w:t xml:space="preserve">: </w:t>
      </w:r>
      <w:r w:rsidRPr="00DB3BCB">
        <w:t>Core</w:t>
      </w:r>
      <w:r>
        <w:t xml:space="preserve"> </w:t>
      </w:r>
      <w:r w:rsidRPr="00DB3BCB">
        <w:t>Equation</w:t>
      </w:r>
      <w:r>
        <w:t xml:space="preserve"> </w:t>
      </w:r>
      <w:r w:rsidRPr="00DB3BCB">
        <w:t>for</w:t>
      </w:r>
      <w:r>
        <w:t xml:space="preserve"> </w:t>
      </w:r>
      <w:r w:rsidR="00F77BBF">
        <w:t>Non-R</w:t>
      </w:r>
      <w:r w:rsidRPr="00DB3BCB">
        <w:t>esidential</w:t>
      </w:r>
      <w:r>
        <w:t xml:space="preserve"> </w:t>
      </w:r>
      <w:r w:rsidRPr="00DB3BCB">
        <w:t>Sector</w:t>
      </w:r>
      <w:r>
        <w:t xml:space="preserve"> </w:t>
      </w:r>
      <w:r w:rsidRPr="00DB3BCB">
        <w:t>Technical</w:t>
      </w:r>
      <w:r>
        <w:t xml:space="preserve"> </w:t>
      </w:r>
      <w:r w:rsidRPr="00DB3BCB">
        <w:t>Potential</w:t>
      </w:r>
    </w:p>
    <w:p w14:paraId="6401EA2B" w14:textId="71C7EDA5" w:rsidR="00BE22AB" w:rsidRPr="00DB3BCB" w:rsidRDefault="007F2D0C" w:rsidP="00BE22AB">
      <w:pPr>
        <w:tabs>
          <w:tab w:val="clear" w:pos="-1440"/>
          <w:tab w:val="clear" w:pos="-720"/>
        </w:tabs>
        <w:ind w:left="0"/>
        <w:contextualSpacing/>
        <w:rPr>
          <w:rFonts w:ascii="Microsoft Sans Serif" w:hAnsi="Microsoft Sans Serif" w:cs="Microsoft Sans Serif"/>
          <w:szCs w:val="22"/>
        </w:rPr>
      </w:pPr>
      <w:r>
        <w:rPr>
          <w:rFonts w:ascii="Microsoft Sans Serif" w:hAnsi="Microsoft Sans Serif" w:cs="Microsoft Sans Serif"/>
          <w:noProof/>
          <w:szCs w:val="22"/>
        </w:rPr>
        <w:drawing>
          <wp:inline distT="0" distB="0" distL="0" distR="0" wp14:anchorId="22AD11C2" wp14:editId="36D1788E">
            <wp:extent cx="6106158" cy="812855"/>
            <wp:effectExtent l="0" t="0" r="9525"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09584" cy="826623"/>
                    </a:xfrm>
                    <a:prstGeom prst="rect">
                      <a:avLst/>
                    </a:prstGeom>
                    <a:noFill/>
                  </pic:spPr>
                </pic:pic>
              </a:graphicData>
            </a:graphic>
          </wp:inline>
        </w:drawing>
      </w:r>
    </w:p>
    <w:p w14:paraId="6401EA2C" w14:textId="77777777" w:rsidR="00BE22AB" w:rsidRPr="00DB3BCB" w:rsidRDefault="00BE22AB" w:rsidP="00BE22AB">
      <w:pPr>
        <w:pStyle w:val="Text"/>
      </w:pPr>
      <w:r w:rsidRPr="00DB3BCB">
        <w:t>Where:</w:t>
      </w:r>
    </w:p>
    <w:p w14:paraId="6401EA2D" w14:textId="09DBF4F3" w:rsidR="00BE22AB" w:rsidRPr="00DB3BCB" w:rsidRDefault="00BE22AB" w:rsidP="00C42451">
      <w:pPr>
        <w:pStyle w:val="Text"/>
        <w:jc w:val="both"/>
      </w:pPr>
      <w:r w:rsidRPr="00DB3BCB">
        <w:rPr>
          <w:b/>
        </w:rPr>
        <w:t>Total</w:t>
      </w:r>
      <w:r>
        <w:rPr>
          <w:b/>
        </w:rPr>
        <w:t xml:space="preserve"> </w:t>
      </w:r>
      <w:r w:rsidRPr="00DB3BCB">
        <w:rPr>
          <w:b/>
        </w:rPr>
        <w:t>Stock</w:t>
      </w:r>
      <w:r>
        <w:rPr>
          <w:b/>
        </w:rPr>
        <w:t xml:space="preserve"> </w:t>
      </w:r>
      <w:r w:rsidRPr="00DB3BCB">
        <w:rPr>
          <w:b/>
        </w:rPr>
        <w:t>Square</w:t>
      </w:r>
      <w:r>
        <w:rPr>
          <w:b/>
        </w:rPr>
        <w:t xml:space="preserve"> </w:t>
      </w:r>
      <w:r w:rsidRPr="00DB3BCB">
        <w:rPr>
          <w:b/>
        </w:rPr>
        <w:t>Footage</w:t>
      </w:r>
      <w:r>
        <w:rPr>
          <w:b/>
        </w:rPr>
        <w:t xml:space="preserve"> </w:t>
      </w:r>
      <w:r w:rsidRPr="00DB3BCB">
        <w:rPr>
          <w:b/>
        </w:rPr>
        <w:t>by</w:t>
      </w:r>
      <w:r>
        <w:rPr>
          <w:b/>
        </w:rPr>
        <w:t xml:space="preserve"> </w:t>
      </w:r>
      <w:r w:rsidR="007F2D0C">
        <w:rPr>
          <w:b/>
        </w:rPr>
        <w:t>Segment</w:t>
      </w:r>
      <w:r>
        <w:t xml:space="preserve"> </w:t>
      </w:r>
      <w:r w:rsidRPr="00DB3BCB">
        <w:t>=</w:t>
      </w:r>
      <w:r>
        <w:t xml:space="preserve"> </w:t>
      </w:r>
      <w:r w:rsidRPr="00DB3BCB">
        <w:t>the</w:t>
      </w:r>
      <w:r>
        <w:t xml:space="preserve"> </w:t>
      </w:r>
      <w:r w:rsidRPr="00DB3BCB">
        <w:t>forecasted</w:t>
      </w:r>
      <w:r>
        <w:t xml:space="preserve"> </w:t>
      </w:r>
      <w:r w:rsidRPr="00DB3BCB">
        <w:t>square</w:t>
      </w:r>
      <w:r>
        <w:t xml:space="preserve"> </w:t>
      </w:r>
      <w:r w:rsidRPr="00DB3BCB">
        <w:t>footage</w:t>
      </w:r>
      <w:r>
        <w:t xml:space="preserve"> </w:t>
      </w:r>
      <w:r w:rsidRPr="00DB3BCB">
        <w:t>level</w:t>
      </w:r>
      <w:r>
        <w:t xml:space="preserve"> </w:t>
      </w:r>
      <w:r w:rsidRPr="00DB3BCB">
        <w:t>for</w:t>
      </w:r>
      <w:r>
        <w:t xml:space="preserve"> </w:t>
      </w:r>
      <w:r w:rsidRPr="00DB3BCB">
        <w:t>a</w:t>
      </w:r>
      <w:r>
        <w:t xml:space="preserve"> </w:t>
      </w:r>
      <w:r w:rsidRPr="00DB3BCB">
        <w:t>given</w:t>
      </w:r>
      <w:r>
        <w:t xml:space="preserve"> </w:t>
      </w:r>
      <w:r w:rsidRPr="00DB3BCB">
        <w:t>building</w:t>
      </w:r>
      <w:r>
        <w:t xml:space="preserve"> </w:t>
      </w:r>
      <w:r w:rsidRPr="00DB3BCB">
        <w:t>type</w:t>
      </w:r>
      <w:r>
        <w:t xml:space="preserve"> </w:t>
      </w:r>
      <w:r w:rsidRPr="00DB3BCB">
        <w:t>(</w:t>
      </w:r>
      <w:r w:rsidRPr="00013966">
        <w:rPr>
          <w:i/>
        </w:rPr>
        <w:t xml:space="preserve">e.g., </w:t>
      </w:r>
      <w:r w:rsidR="008F0245">
        <w:t xml:space="preserve">square feet of </w:t>
      </w:r>
      <w:r w:rsidRPr="00DB3BCB">
        <w:t>office</w:t>
      </w:r>
      <w:r>
        <w:t xml:space="preserve"> </w:t>
      </w:r>
      <w:r w:rsidRPr="00DB3BCB">
        <w:t>buildings).</w:t>
      </w:r>
    </w:p>
    <w:p w14:paraId="6401EA2E" w14:textId="36E64172" w:rsidR="00BE22AB" w:rsidRPr="00DB3BCB" w:rsidRDefault="00BE22AB" w:rsidP="00C42451">
      <w:pPr>
        <w:pStyle w:val="Text"/>
        <w:jc w:val="both"/>
      </w:pPr>
      <w:r w:rsidRPr="00DB3BCB">
        <w:rPr>
          <w:b/>
        </w:rPr>
        <w:t>Base</w:t>
      </w:r>
      <w:r w:rsidR="007F2D0C">
        <w:rPr>
          <w:b/>
        </w:rPr>
        <w:t>line</w:t>
      </w:r>
      <w:r>
        <w:rPr>
          <w:b/>
        </w:rPr>
        <w:t xml:space="preserve"> </w:t>
      </w:r>
      <w:r w:rsidRPr="00DB3BCB">
        <w:rPr>
          <w:b/>
        </w:rPr>
        <w:t>Equipment</w:t>
      </w:r>
      <w:r>
        <w:rPr>
          <w:b/>
        </w:rPr>
        <w:t xml:space="preserve"> </w:t>
      </w:r>
      <w:r w:rsidRPr="00DB3BCB">
        <w:rPr>
          <w:b/>
        </w:rPr>
        <w:t>Energy</w:t>
      </w:r>
      <w:r>
        <w:rPr>
          <w:b/>
        </w:rPr>
        <w:t xml:space="preserve"> </w:t>
      </w:r>
      <w:r w:rsidRPr="00DB3BCB">
        <w:rPr>
          <w:b/>
        </w:rPr>
        <w:t>Use</w:t>
      </w:r>
      <w:r>
        <w:rPr>
          <w:b/>
        </w:rPr>
        <w:t xml:space="preserve"> </w:t>
      </w:r>
      <w:r w:rsidRPr="00DB3BCB">
        <w:rPr>
          <w:b/>
        </w:rPr>
        <w:t>Intensity</w:t>
      </w:r>
      <w:r>
        <w:rPr>
          <w:b/>
        </w:rPr>
        <w:t xml:space="preserve"> </w:t>
      </w:r>
      <w:r w:rsidRPr="00DB3BCB">
        <w:t>=</w:t>
      </w:r>
      <w:r>
        <w:t xml:space="preserve"> </w:t>
      </w:r>
      <w:r w:rsidRPr="00DB3BCB">
        <w:t>the</w:t>
      </w:r>
      <w:r>
        <w:t xml:space="preserve"> </w:t>
      </w:r>
      <w:r w:rsidRPr="00DB3BCB">
        <w:t>electricity</w:t>
      </w:r>
      <w:r>
        <w:t xml:space="preserve"> </w:t>
      </w:r>
      <w:r w:rsidRPr="00DB3BCB">
        <w:t>used</w:t>
      </w:r>
      <w:r>
        <w:t xml:space="preserve"> </w:t>
      </w:r>
      <w:r w:rsidRPr="00DB3BCB">
        <w:t>per</w:t>
      </w:r>
      <w:r>
        <w:t xml:space="preserve"> </w:t>
      </w:r>
      <w:r w:rsidRPr="00DB3BCB">
        <w:t>square</w:t>
      </w:r>
      <w:r>
        <w:t xml:space="preserve"> </w:t>
      </w:r>
      <w:r w:rsidRPr="00DB3BCB">
        <w:t>foot</w:t>
      </w:r>
      <w:r>
        <w:t xml:space="preserve"> </w:t>
      </w:r>
      <w:r w:rsidRPr="00DB3BCB">
        <w:t>per</w:t>
      </w:r>
      <w:r>
        <w:t xml:space="preserve"> </w:t>
      </w:r>
      <w:r w:rsidRPr="00DB3BCB">
        <w:t>year</w:t>
      </w:r>
      <w:r>
        <w:t xml:space="preserve"> </w:t>
      </w:r>
      <w:r w:rsidRPr="00DB3BCB">
        <w:t>by</w:t>
      </w:r>
      <w:r>
        <w:t xml:space="preserve"> </w:t>
      </w:r>
      <w:r w:rsidRPr="00DB3BCB">
        <w:t>each</w:t>
      </w:r>
      <w:r>
        <w:t xml:space="preserve"> </w:t>
      </w:r>
      <w:r w:rsidRPr="00DB3BCB">
        <w:t>base</w:t>
      </w:r>
      <w:r w:rsidR="00AA6369">
        <w:t>line</w:t>
      </w:r>
      <w:r>
        <w:t xml:space="preserve"> </w:t>
      </w:r>
      <w:r w:rsidRPr="00DB3BCB">
        <w:t>equipment</w:t>
      </w:r>
      <w:r>
        <w:t xml:space="preserve"> </w:t>
      </w:r>
      <w:r w:rsidRPr="00DB3BCB">
        <w:t>type</w:t>
      </w:r>
      <w:r>
        <w:t xml:space="preserve"> </w:t>
      </w:r>
      <w:r w:rsidRPr="00DB3BCB">
        <w:t>in</w:t>
      </w:r>
      <w:r>
        <w:t xml:space="preserve"> </w:t>
      </w:r>
      <w:r w:rsidRPr="00DB3BCB">
        <w:t>each</w:t>
      </w:r>
      <w:r>
        <w:t xml:space="preserve"> </w:t>
      </w:r>
      <w:r w:rsidRPr="00DB3BCB">
        <w:t>market</w:t>
      </w:r>
      <w:r>
        <w:t xml:space="preserve"> </w:t>
      </w:r>
      <w:r w:rsidRPr="00DB3BCB">
        <w:t>segment.</w:t>
      </w:r>
      <w:r>
        <w:t xml:space="preserve"> </w:t>
      </w:r>
    </w:p>
    <w:p w14:paraId="6401EA2F" w14:textId="7169A758" w:rsidR="00BE22AB" w:rsidRPr="00DB3BCB" w:rsidRDefault="00BE22AB" w:rsidP="00C42451">
      <w:pPr>
        <w:pStyle w:val="Text"/>
        <w:jc w:val="both"/>
      </w:pPr>
      <w:r w:rsidRPr="00DB3BCB">
        <w:rPr>
          <w:b/>
        </w:rPr>
        <w:t>Equipment</w:t>
      </w:r>
      <w:r>
        <w:rPr>
          <w:b/>
        </w:rPr>
        <w:t xml:space="preserve"> </w:t>
      </w:r>
      <w:r w:rsidRPr="00DB3BCB">
        <w:rPr>
          <w:b/>
        </w:rPr>
        <w:t>Saturation</w:t>
      </w:r>
      <w:r>
        <w:rPr>
          <w:b/>
        </w:rPr>
        <w:t xml:space="preserve"> </w:t>
      </w:r>
      <w:r w:rsidRPr="00DB3BCB">
        <w:rPr>
          <w:b/>
        </w:rPr>
        <w:t>Share</w:t>
      </w:r>
      <w:r>
        <w:t xml:space="preserve"> </w:t>
      </w:r>
      <w:r w:rsidRPr="00DB3BCB">
        <w:t>=</w:t>
      </w:r>
      <w:r>
        <w:t xml:space="preserve"> </w:t>
      </w:r>
      <w:r w:rsidRPr="00DB3BCB">
        <w:t>the</w:t>
      </w:r>
      <w:r>
        <w:t xml:space="preserve"> </w:t>
      </w:r>
      <w:r w:rsidRPr="00DB3BCB">
        <w:t>fraction</w:t>
      </w:r>
      <w:r>
        <w:t xml:space="preserve"> </w:t>
      </w:r>
      <w:r w:rsidRPr="00DB3BCB">
        <w:t>of</w:t>
      </w:r>
      <w:r>
        <w:t xml:space="preserve"> </w:t>
      </w:r>
      <w:r w:rsidR="00A775E4">
        <w:t xml:space="preserve">total </w:t>
      </w:r>
      <w:r w:rsidR="007576CB">
        <w:t>end-use</w:t>
      </w:r>
      <w:r>
        <w:t xml:space="preserve"> </w:t>
      </w:r>
      <w:r w:rsidRPr="00DB3BCB">
        <w:t>energy</w:t>
      </w:r>
      <w:r w:rsidR="00A775E4">
        <w:t xml:space="preserve"> consumption</w:t>
      </w:r>
      <w:r>
        <w:t xml:space="preserve"> </w:t>
      </w:r>
      <w:r w:rsidR="00A775E4">
        <w:t>associated with</w:t>
      </w:r>
      <w:r>
        <w:t xml:space="preserve"> </w:t>
      </w:r>
      <w:r w:rsidRPr="00DB3BCB">
        <w:t>the</w:t>
      </w:r>
      <w:r>
        <w:t xml:space="preserve"> </w:t>
      </w:r>
      <w:r w:rsidRPr="00DB3BCB">
        <w:t>efficient</w:t>
      </w:r>
      <w:r>
        <w:t xml:space="preserve"> </w:t>
      </w:r>
      <w:r w:rsidRPr="00DB3BCB">
        <w:t>technology</w:t>
      </w:r>
      <w:r>
        <w:t xml:space="preserve"> </w:t>
      </w:r>
      <w:r w:rsidRPr="00DB3BCB">
        <w:t>in</w:t>
      </w:r>
      <w:r>
        <w:t xml:space="preserve"> </w:t>
      </w:r>
      <w:r w:rsidRPr="00DB3BCB">
        <w:t>a</w:t>
      </w:r>
      <w:r>
        <w:t xml:space="preserve"> </w:t>
      </w:r>
      <w:r w:rsidRPr="00DB3BCB">
        <w:t>given</w:t>
      </w:r>
      <w:r>
        <w:t xml:space="preserve"> </w:t>
      </w:r>
      <w:r w:rsidRPr="00DB3BCB">
        <w:t>market</w:t>
      </w:r>
      <w:r>
        <w:t xml:space="preserve"> </w:t>
      </w:r>
      <w:r w:rsidRPr="00DB3BCB">
        <w:t>segment.</w:t>
      </w:r>
      <w:r>
        <w:t xml:space="preserve"> </w:t>
      </w:r>
      <w:r w:rsidRPr="00DB3BCB">
        <w:t>For</w:t>
      </w:r>
      <w:r>
        <w:t xml:space="preserve"> </w:t>
      </w:r>
      <w:r w:rsidRPr="00DB3BCB">
        <w:t>example,</w:t>
      </w:r>
      <w:r>
        <w:t xml:space="preserve"> </w:t>
      </w:r>
      <w:r w:rsidRPr="00DB3BCB">
        <w:t>for</w:t>
      </w:r>
      <w:r>
        <w:t xml:space="preserve"> </w:t>
      </w:r>
      <w:r w:rsidR="00AA6369">
        <w:t>packaged terminal</w:t>
      </w:r>
      <w:r w:rsidR="00D378DA">
        <w:t xml:space="preserve"> air-conditioner (PTAC)</w:t>
      </w:r>
      <w:r w:rsidRPr="00DB3BCB">
        <w:t>,</w:t>
      </w:r>
      <w:r>
        <w:t xml:space="preserve"> </w:t>
      </w:r>
      <w:r w:rsidRPr="00DB3BCB">
        <w:t>the</w:t>
      </w:r>
      <w:r>
        <w:t xml:space="preserve"> </w:t>
      </w:r>
      <w:r w:rsidRPr="00DB3BCB">
        <w:t>saturation</w:t>
      </w:r>
      <w:r>
        <w:t xml:space="preserve"> </w:t>
      </w:r>
      <w:r w:rsidRPr="00DB3BCB">
        <w:t>share</w:t>
      </w:r>
      <w:r>
        <w:t xml:space="preserve"> </w:t>
      </w:r>
      <w:r w:rsidRPr="00DB3BCB">
        <w:t>would</w:t>
      </w:r>
      <w:r>
        <w:t xml:space="preserve"> </w:t>
      </w:r>
      <w:r w:rsidRPr="00DB3BCB">
        <w:t>be</w:t>
      </w:r>
      <w:r>
        <w:t xml:space="preserve"> </w:t>
      </w:r>
      <w:r w:rsidRPr="00DB3BCB">
        <w:t>the</w:t>
      </w:r>
      <w:r>
        <w:t xml:space="preserve"> </w:t>
      </w:r>
      <w:r w:rsidRPr="00DB3BCB">
        <w:t>fraction</w:t>
      </w:r>
      <w:r>
        <w:t xml:space="preserve"> </w:t>
      </w:r>
      <w:r w:rsidRPr="00DB3BCB">
        <w:t>of</w:t>
      </w:r>
      <w:r>
        <w:t xml:space="preserve"> </w:t>
      </w:r>
      <w:r w:rsidRPr="00DB3BCB">
        <w:t>all</w:t>
      </w:r>
      <w:r>
        <w:t xml:space="preserve"> </w:t>
      </w:r>
      <w:r w:rsidRPr="00DB3BCB">
        <w:t>space</w:t>
      </w:r>
      <w:r>
        <w:t xml:space="preserve"> </w:t>
      </w:r>
      <w:r w:rsidRPr="00DB3BCB">
        <w:t>cooling</w:t>
      </w:r>
      <w:r>
        <w:t xml:space="preserve"> </w:t>
      </w:r>
      <w:r w:rsidRPr="00DB3BCB">
        <w:t>kWh</w:t>
      </w:r>
      <w:r>
        <w:t xml:space="preserve"> </w:t>
      </w:r>
      <w:r w:rsidRPr="00DB3BCB">
        <w:t>in</w:t>
      </w:r>
      <w:r>
        <w:t xml:space="preserve"> </w:t>
      </w:r>
      <w:r w:rsidRPr="00DB3BCB">
        <w:t>a</w:t>
      </w:r>
      <w:r>
        <w:t xml:space="preserve"> </w:t>
      </w:r>
      <w:r w:rsidRPr="00DB3BCB">
        <w:t>given</w:t>
      </w:r>
      <w:r>
        <w:t xml:space="preserve"> </w:t>
      </w:r>
      <w:r w:rsidRPr="00DB3BCB">
        <w:t>market</w:t>
      </w:r>
      <w:r>
        <w:t xml:space="preserve"> </w:t>
      </w:r>
      <w:r w:rsidRPr="00DB3BCB">
        <w:t>segment</w:t>
      </w:r>
      <w:r>
        <w:t xml:space="preserve"> </w:t>
      </w:r>
      <w:r w:rsidRPr="00DB3BCB">
        <w:t>that</w:t>
      </w:r>
      <w:r>
        <w:t xml:space="preserve"> </w:t>
      </w:r>
      <w:r w:rsidRPr="00DB3BCB">
        <w:t>is</w:t>
      </w:r>
      <w:r>
        <w:t xml:space="preserve"> </w:t>
      </w:r>
      <w:r w:rsidRPr="00DB3BCB">
        <w:t>associated</w:t>
      </w:r>
      <w:r>
        <w:t xml:space="preserve"> </w:t>
      </w:r>
      <w:r w:rsidRPr="00DB3BCB">
        <w:t>with</w:t>
      </w:r>
      <w:r>
        <w:t xml:space="preserve"> </w:t>
      </w:r>
      <w:r w:rsidR="00D378DA">
        <w:t>PTAC</w:t>
      </w:r>
      <w:r>
        <w:t xml:space="preserve"> </w:t>
      </w:r>
      <w:r w:rsidRPr="00DB3BCB">
        <w:t>equipment.</w:t>
      </w:r>
    </w:p>
    <w:p w14:paraId="6401EA30" w14:textId="3BF1022D" w:rsidR="00BE22AB" w:rsidRPr="00DB3BCB" w:rsidRDefault="00BE22AB" w:rsidP="00C42451">
      <w:pPr>
        <w:pStyle w:val="Text"/>
        <w:jc w:val="both"/>
      </w:pPr>
      <w:r w:rsidRPr="00DB3BCB">
        <w:rPr>
          <w:b/>
        </w:rPr>
        <w:t>Remaining</w:t>
      </w:r>
      <w:r>
        <w:rPr>
          <w:b/>
        </w:rPr>
        <w:t xml:space="preserve"> </w:t>
      </w:r>
      <w:r w:rsidRPr="00DB3BCB">
        <w:rPr>
          <w:b/>
        </w:rPr>
        <w:t>Factor</w:t>
      </w:r>
      <w:r>
        <w:t xml:space="preserve"> </w:t>
      </w:r>
      <w:r w:rsidRPr="00DB3BCB">
        <w:t>=</w:t>
      </w:r>
      <w:r>
        <w:t xml:space="preserve"> </w:t>
      </w:r>
      <w:r w:rsidRPr="00DB3BCB">
        <w:t>the</w:t>
      </w:r>
      <w:r>
        <w:t xml:space="preserve"> </w:t>
      </w:r>
      <w:r w:rsidRPr="00DB3BCB">
        <w:t>fraction</w:t>
      </w:r>
      <w:r>
        <w:t xml:space="preserve"> </w:t>
      </w:r>
      <w:r w:rsidRPr="00DB3BCB">
        <w:t>of</w:t>
      </w:r>
      <w:r>
        <w:t xml:space="preserve"> </w:t>
      </w:r>
      <w:r w:rsidRPr="00DB3BCB">
        <w:t>equipment</w:t>
      </w:r>
      <w:r>
        <w:t xml:space="preserve"> </w:t>
      </w:r>
      <w:r w:rsidRPr="00DB3BCB">
        <w:t>that</w:t>
      </w:r>
      <w:r>
        <w:t xml:space="preserve"> </w:t>
      </w:r>
      <w:r w:rsidRPr="00DB3BCB">
        <w:t>is</w:t>
      </w:r>
      <w:r>
        <w:t xml:space="preserve"> </w:t>
      </w:r>
      <w:r w:rsidRPr="00DB3BCB">
        <w:t>not</w:t>
      </w:r>
      <w:r>
        <w:t xml:space="preserve"> </w:t>
      </w:r>
      <w:r w:rsidRPr="00DB3BCB">
        <w:t>considered</w:t>
      </w:r>
      <w:r>
        <w:t xml:space="preserve"> </w:t>
      </w:r>
      <w:r w:rsidRPr="00DB3BCB">
        <w:t>to</w:t>
      </w:r>
      <w:r>
        <w:t xml:space="preserve"> </w:t>
      </w:r>
      <w:r w:rsidRPr="00DB3BCB">
        <w:t>already</w:t>
      </w:r>
      <w:r>
        <w:t xml:space="preserve"> </w:t>
      </w:r>
      <w:r w:rsidRPr="00DB3BCB">
        <w:t>be</w:t>
      </w:r>
      <w:r>
        <w:t xml:space="preserve"> </w:t>
      </w:r>
      <w:r w:rsidRPr="00DB3BCB">
        <w:t>energy</w:t>
      </w:r>
      <w:r>
        <w:t xml:space="preserve"> </w:t>
      </w:r>
      <w:r w:rsidRPr="00DB3BCB">
        <w:t>efficient.</w:t>
      </w:r>
      <w:r>
        <w:t xml:space="preserve"> </w:t>
      </w:r>
    </w:p>
    <w:p w14:paraId="6401EA31" w14:textId="24D0DACC" w:rsidR="00BE22AB" w:rsidRPr="00DB3BCB" w:rsidRDefault="00BE22AB" w:rsidP="00C42451">
      <w:pPr>
        <w:pStyle w:val="Text"/>
        <w:jc w:val="both"/>
      </w:pPr>
      <w:r w:rsidRPr="00DB3BCB">
        <w:rPr>
          <w:b/>
        </w:rPr>
        <w:t>Applicability</w:t>
      </w:r>
      <w:r>
        <w:rPr>
          <w:b/>
        </w:rPr>
        <w:t xml:space="preserve"> </w:t>
      </w:r>
      <w:r w:rsidRPr="00DB3BCB">
        <w:rPr>
          <w:b/>
        </w:rPr>
        <w:t>Factor</w:t>
      </w:r>
      <w:r>
        <w:t xml:space="preserve"> </w:t>
      </w:r>
      <w:r w:rsidRPr="00DB3BCB">
        <w:t>=</w:t>
      </w:r>
      <w:r>
        <w:t xml:space="preserve"> </w:t>
      </w:r>
      <w:r w:rsidRPr="00DB3BCB">
        <w:t>the</w:t>
      </w:r>
      <w:r>
        <w:t xml:space="preserve"> </w:t>
      </w:r>
      <w:r w:rsidRPr="00DB3BCB">
        <w:t>fraction</w:t>
      </w:r>
      <w:r>
        <w:t xml:space="preserve"> </w:t>
      </w:r>
      <w:r w:rsidRPr="00DB3BCB">
        <w:t>of</w:t>
      </w:r>
      <w:r>
        <w:t xml:space="preserve"> </w:t>
      </w:r>
      <w:r w:rsidRPr="00DB3BCB">
        <w:t>the</w:t>
      </w:r>
      <w:r>
        <w:t xml:space="preserve"> </w:t>
      </w:r>
      <w:r w:rsidRPr="00DB3BCB">
        <w:t>equipment</w:t>
      </w:r>
      <w:r>
        <w:t xml:space="preserve"> </w:t>
      </w:r>
      <w:r w:rsidRPr="00DB3BCB">
        <w:t>or</w:t>
      </w:r>
      <w:r>
        <w:t xml:space="preserve"> </w:t>
      </w:r>
      <w:r w:rsidRPr="00DB3BCB">
        <w:t>practice</w:t>
      </w:r>
      <w:r>
        <w:t xml:space="preserve"> </w:t>
      </w:r>
      <w:r w:rsidRPr="00DB3BCB">
        <w:t>that</w:t>
      </w:r>
      <w:r>
        <w:t xml:space="preserve"> </w:t>
      </w:r>
      <w:r w:rsidRPr="00DB3BCB">
        <w:t>is</w:t>
      </w:r>
      <w:r>
        <w:t xml:space="preserve"> </w:t>
      </w:r>
      <w:r w:rsidRPr="00DB3BCB">
        <w:t>technically</w:t>
      </w:r>
      <w:r>
        <w:t xml:space="preserve"> </w:t>
      </w:r>
      <w:r w:rsidRPr="00DB3BCB">
        <w:t>feasible</w:t>
      </w:r>
      <w:r>
        <w:t xml:space="preserve"> </w:t>
      </w:r>
      <w:r w:rsidRPr="00DB3BCB">
        <w:t>for</w:t>
      </w:r>
      <w:r>
        <w:t xml:space="preserve"> </w:t>
      </w:r>
      <w:r w:rsidRPr="00DB3BCB">
        <w:t>conversion</w:t>
      </w:r>
      <w:r>
        <w:t xml:space="preserve"> </w:t>
      </w:r>
      <w:r w:rsidRPr="00DB3BCB">
        <w:t>to</w:t>
      </w:r>
      <w:r>
        <w:t xml:space="preserve"> </w:t>
      </w:r>
      <w:r w:rsidRPr="00DB3BCB">
        <w:t>the</w:t>
      </w:r>
      <w:r>
        <w:t xml:space="preserve"> </w:t>
      </w:r>
      <w:r w:rsidRPr="00DB3BCB">
        <w:t>efficient</w:t>
      </w:r>
      <w:r>
        <w:t xml:space="preserve"> </w:t>
      </w:r>
      <w:r w:rsidRPr="00DB3BCB">
        <w:t>technology</w:t>
      </w:r>
      <w:r>
        <w:t xml:space="preserve"> </w:t>
      </w:r>
      <w:r w:rsidRPr="00DB3BCB">
        <w:t>from</w:t>
      </w:r>
      <w:r>
        <w:t xml:space="preserve"> </w:t>
      </w:r>
      <w:r w:rsidRPr="00DB3BCB">
        <w:t>an</w:t>
      </w:r>
      <w:r>
        <w:t xml:space="preserve"> </w:t>
      </w:r>
      <w:r w:rsidRPr="00DB3BCB">
        <w:t>engineering</w:t>
      </w:r>
      <w:r>
        <w:t xml:space="preserve"> </w:t>
      </w:r>
      <w:r w:rsidRPr="00DB3BCB">
        <w:t>perspective</w:t>
      </w:r>
      <w:r>
        <w:t xml:space="preserve"> </w:t>
      </w:r>
      <w:r w:rsidRPr="00DB3BCB">
        <w:t>(</w:t>
      </w:r>
      <w:r w:rsidRPr="00AA6369">
        <w:rPr>
          <w:i/>
        </w:rPr>
        <w:t>i.e.,</w:t>
      </w:r>
      <w:r>
        <w:t xml:space="preserve"> </w:t>
      </w:r>
      <w:r w:rsidRPr="00DB3BCB">
        <w:t>it</w:t>
      </w:r>
      <w:r>
        <w:t xml:space="preserve"> </w:t>
      </w:r>
      <w:r w:rsidRPr="00DB3BCB">
        <w:t>may</w:t>
      </w:r>
      <w:r>
        <w:t xml:space="preserve"> </w:t>
      </w:r>
      <w:r w:rsidRPr="00DB3BCB">
        <w:t>not</w:t>
      </w:r>
      <w:r>
        <w:t xml:space="preserve"> </w:t>
      </w:r>
      <w:r w:rsidRPr="00DB3BCB">
        <w:t>be</w:t>
      </w:r>
      <w:r>
        <w:t xml:space="preserve"> </w:t>
      </w:r>
      <w:r w:rsidRPr="00DB3BCB">
        <w:t>possible</w:t>
      </w:r>
      <w:r>
        <w:t xml:space="preserve"> </w:t>
      </w:r>
      <w:r w:rsidRPr="00DB3BCB">
        <w:t>to</w:t>
      </w:r>
      <w:r>
        <w:t xml:space="preserve"> </w:t>
      </w:r>
      <w:r w:rsidRPr="00DB3BCB">
        <w:t>install</w:t>
      </w:r>
      <w:r>
        <w:t xml:space="preserve"> </w:t>
      </w:r>
      <w:r w:rsidR="00D378DA">
        <w:t>Variable Frequency Drives (VFD)</w:t>
      </w:r>
      <w:r>
        <w:t xml:space="preserve"> </w:t>
      </w:r>
      <w:r w:rsidRPr="00DB3BCB">
        <w:t>on</w:t>
      </w:r>
      <w:r>
        <w:t xml:space="preserve"> </w:t>
      </w:r>
      <w:r w:rsidRPr="00DB3BCB">
        <w:t>all</w:t>
      </w:r>
      <w:r>
        <w:t xml:space="preserve"> </w:t>
      </w:r>
      <w:r w:rsidRPr="00DB3BCB">
        <w:t>motors</w:t>
      </w:r>
      <w:r>
        <w:t xml:space="preserve"> </w:t>
      </w:r>
      <w:r w:rsidRPr="00DB3BCB">
        <w:t>in</w:t>
      </w:r>
      <w:r>
        <w:t xml:space="preserve"> </w:t>
      </w:r>
      <w:r w:rsidRPr="00DB3BCB">
        <w:t>a</w:t>
      </w:r>
      <w:r>
        <w:t xml:space="preserve"> </w:t>
      </w:r>
      <w:r w:rsidRPr="00DB3BCB">
        <w:t>given</w:t>
      </w:r>
      <w:r>
        <w:t xml:space="preserve"> </w:t>
      </w:r>
      <w:r w:rsidRPr="00DB3BCB">
        <w:t>market</w:t>
      </w:r>
      <w:r>
        <w:t xml:space="preserve"> </w:t>
      </w:r>
      <w:r w:rsidRPr="00DB3BCB">
        <w:t>segment).</w:t>
      </w:r>
    </w:p>
    <w:p w14:paraId="6401EA32" w14:textId="77777777" w:rsidR="00BE22AB" w:rsidRPr="00DB3BCB" w:rsidRDefault="00BE22AB" w:rsidP="00C42451">
      <w:pPr>
        <w:pStyle w:val="Text"/>
        <w:jc w:val="both"/>
      </w:pPr>
      <w:r w:rsidRPr="00DB3BCB">
        <w:rPr>
          <w:b/>
        </w:rPr>
        <w:t>Savings</w:t>
      </w:r>
      <w:r>
        <w:rPr>
          <w:b/>
        </w:rPr>
        <w:t xml:space="preserve"> </w:t>
      </w:r>
      <w:r w:rsidRPr="00DB3BCB">
        <w:rPr>
          <w:b/>
        </w:rPr>
        <w:t>Factor</w:t>
      </w:r>
      <w:r>
        <w:t xml:space="preserve"> </w:t>
      </w:r>
      <w:r w:rsidRPr="00DB3BCB">
        <w:t>=</w:t>
      </w:r>
      <w:r>
        <w:t xml:space="preserve"> </w:t>
      </w:r>
      <w:r w:rsidRPr="00DB3BCB">
        <w:t>the</w:t>
      </w:r>
      <w:r>
        <w:t xml:space="preserve"> </w:t>
      </w:r>
      <w:r w:rsidRPr="00DB3BCB">
        <w:t>percentage</w:t>
      </w:r>
      <w:r>
        <w:t xml:space="preserve"> </w:t>
      </w:r>
      <w:r w:rsidRPr="00DB3BCB">
        <w:t>reduction</w:t>
      </w:r>
      <w:r>
        <w:t xml:space="preserve"> </w:t>
      </w:r>
      <w:r w:rsidRPr="00DB3BCB">
        <w:t>in</w:t>
      </w:r>
      <w:r>
        <w:t xml:space="preserve"> </w:t>
      </w:r>
      <w:r w:rsidRPr="00DB3BCB">
        <w:t>electricity</w:t>
      </w:r>
      <w:r>
        <w:t xml:space="preserve"> </w:t>
      </w:r>
      <w:r w:rsidRPr="00DB3BCB">
        <w:t>consumption</w:t>
      </w:r>
      <w:r>
        <w:t xml:space="preserve"> </w:t>
      </w:r>
      <w:r w:rsidRPr="00DB3BCB">
        <w:t>resulting</w:t>
      </w:r>
      <w:r>
        <w:t xml:space="preserve"> </w:t>
      </w:r>
      <w:r w:rsidRPr="00DB3BCB">
        <w:t>from</w:t>
      </w:r>
      <w:r>
        <w:t xml:space="preserve"> </w:t>
      </w:r>
      <w:r w:rsidRPr="00DB3BCB">
        <w:t>the</w:t>
      </w:r>
      <w:r>
        <w:t xml:space="preserve"> </w:t>
      </w:r>
      <w:r w:rsidRPr="00DB3BCB">
        <w:t>application</w:t>
      </w:r>
      <w:r>
        <w:t xml:space="preserve"> </w:t>
      </w:r>
      <w:r w:rsidRPr="00DB3BCB">
        <w:t>of</w:t>
      </w:r>
      <w:r>
        <w:t xml:space="preserve"> </w:t>
      </w:r>
      <w:r w:rsidRPr="00DB3BCB">
        <w:t>the</w:t>
      </w:r>
      <w:r>
        <w:t xml:space="preserve"> </w:t>
      </w:r>
      <w:r w:rsidRPr="00DB3BCB">
        <w:t>efficient</w:t>
      </w:r>
      <w:r>
        <w:t xml:space="preserve"> </w:t>
      </w:r>
      <w:r w:rsidRPr="00DB3BCB">
        <w:t>technology.</w:t>
      </w:r>
    </w:p>
    <w:p w14:paraId="6401EA33" w14:textId="2E184C72" w:rsidR="00BE22AB" w:rsidRDefault="00BE22AB" w:rsidP="00C42451">
      <w:pPr>
        <w:pStyle w:val="Text"/>
        <w:jc w:val="both"/>
      </w:pPr>
      <w:r>
        <w:t>It is important to note that the technical potential estimate represent</w:t>
      </w:r>
      <w:r w:rsidR="00953126">
        <w:t>s</w:t>
      </w:r>
      <w:r>
        <w:t xml:space="preserve"> electricity savings potential at a specific point in time.</w:t>
      </w:r>
      <w:r w:rsidR="007133CF">
        <w:t xml:space="preserve"> </w:t>
      </w:r>
      <w:r>
        <w:t xml:space="preserve">In other words, the technical potential estimate is based on data describing </w:t>
      </w:r>
      <w:r>
        <w:rPr>
          <w:i/>
        </w:rPr>
        <w:t xml:space="preserve">status </w:t>
      </w:r>
      <w:r w:rsidRPr="00E62C76">
        <w:rPr>
          <w:i/>
        </w:rPr>
        <w:t>quo</w:t>
      </w:r>
      <w:r>
        <w:rPr>
          <w:i/>
        </w:rPr>
        <w:t xml:space="preserve"> </w:t>
      </w:r>
      <w:r w:rsidRPr="00E62C76">
        <w:t>customer</w:t>
      </w:r>
      <w:r>
        <w:t xml:space="preserve"> electricity use and technologies known to exist today.</w:t>
      </w:r>
      <w:r w:rsidR="007133CF">
        <w:t xml:space="preserve"> </w:t>
      </w:r>
      <w:r>
        <w:t>As technology and electricity consumption patterns evolve over time, the baseline electricity consumption will also change accordingly.</w:t>
      </w:r>
      <w:r w:rsidR="007133CF">
        <w:t xml:space="preserve"> </w:t>
      </w:r>
      <w:r>
        <w:t>For this reason, technical potential is a discrete estimate of a dynamic market.</w:t>
      </w:r>
      <w:r w:rsidR="007133CF">
        <w:t xml:space="preserve"> </w:t>
      </w:r>
      <w:r>
        <w:t>Nexant report</w:t>
      </w:r>
      <w:r w:rsidR="00953126">
        <w:t>ed</w:t>
      </w:r>
      <w:r>
        <w:t xml:space="preserve"> </w:t>
      </w:r>
      <w:r w:rsidR="00D378DA">
        <w:t xml:space="preserve">the </w:t>
      </w:r>
      <w:r>
        <w:t xml:space="preserve">technical potential </w:t>
      </w:r>
      <w:r w:rsidR="00D378DA">
        <w:t>for 2020</w:t>
      </w:r>
      <w:r>
        <w:t>, based on currently known DSM measures and observed electricity consumption patterns.</w:t>
      </w:r>
    </w:p>
    <w:p w14:paraId="5DCDBB5F" w14:textId="27ED576F" w:rsidR="00C17834" w:rsidRDefault="00C17834" w:rsidP="00C42451">
      <w:pPr>
        <w:pStyle w:val="Heading5"/>
        <w:jc w:val="both"/>
      </w:pPr>
      <w:r>
        <w:t>Measure Interaction</w:t>
      </w:r>
      <w:r w:rsidR="00F77BBF">
        <w:t xml:space="preserve"> and Competition</w:t>
      </w:r>
    </w:p>
    <w:p w14:paraId="5C8529D2" w14:textId="033A9A8B" w:rsidR="00C17834" w:rsidRPr="003A6197" w:rsidRDefault="00C17834" w:rsidP="00C42451">
      <w:pPr>
        <w:pStyle w:val="Text"/>
        <w:jc w:val="both"/>
      </w:pPr>
      <w:r>
        <w:t xml:space="preserve">While the technical potential equations listed above focus on the technical potential of a single measure or technology, Nexant’s modeling approach does recognize the overlap of individual measure impacts within an </w:t>
      </w:r>
      <w:r w:rsidR="007576CB">
        <w:t>end-use</w:t>
      </w:r>
      <w:r>
        <w:t xml:space="preserve"> or equipment type, and accounts for the fo</w:t>
      </w:r>
      <w:r w:rsidRPr="004C389D">
        <w:t>llowing interactive effects:</w:t>
      </w:r>
    </w:p>
    <w:p w14:paraId="7BA25027" w14:textId="2E3F2928" w:rsidR="00C17834" w:rsidRPr="003A6197" w:rsidRDefault="00F77BBF" w:rsidP="00C42451">
      <w:pPr>
        <w:pStyle w:val="Mainbody-Bullets"/>
        <w:jc w:val="both"/>
      </w:pPr>
      <w:r>
        <w:t>Measure interaction</w:t>
      </w:r>
      <w:r w:rsidRPr="003A6197">
        <w:t>: Installing high-efficiency equipment could reduce energy savings in absolute terms (kWh) associated with non-equipment measures</w:t>
      </w:r>
      <w:r>
        <w:t xml:space="preserve"> that impact the same end-use</w:t>
      </w:r>
      <w:r w:rsidRPr="003A6197">
        <w:t xml:space="preserve">. For example, installing a high-efficiency heat pump </w:t>
      </w:r>
      <w:r>
        <w:t xml:space="preserve">will </w:t>
      </w:r>
      <w:r w:rsidRPr="003A6197">
        <w:t>reduc</w:t>
      </w:r>
      <w:r>
        <w:t>e</w:t>
      </w:r>
      <w:r w:rsidRPr="003A6197">
        <w:t xml:space="preserve"> heating and cooling consumption </w:t>
      </w:r>
      <w:r>
        <w:t>which will</w:t>
      </w:r>
      <w:r w:rsidRPr="003A6197">
        <w:t xml:space="preserve"> reduce the baseline against which </w:t>
      </w:r>
      <w:r>
        <w:t xml:space="preserve">attic </w:t>
      </w:r>
      <w:r w:rsidRPr="003A6197">
        <w:t>insulation would be applied, thus reducing savings associated with installing insulation.</w:t>
      </w:r>
      <w:r>
        <w:t xml:space="preserve">  To account for this interaction, Nexant’s TEA-POT model ranks measures that interact with one another and reduces the baseline consumption for the subsequent measure based on the savings achieved by the preceding measure.  For technical potential, interactive measures are ranked based on total end-use energy savings percentage</w:t>
      </w:r>
      <w:r w:rsidR="001E3373">
        <w:t xml:space="preserve">. </w:t>
      </w:r>
    </w:p>
    <w:p w14:paraId="1CE9D378" w14:textId="24B18507" w:rsidR="00C17834" w:rsidRPr="003A6197" w:rsidRDefault="001E3373" w:rsidP="00C42451">
      <w:pPr>
        <w:pStyle w:val="Mainbody-Bullets"/>
        <w:jc w:val="both"/>
      </w:pPr>
      <w:r>
        <w:t>Measure competition</w:t>
      </w:r>
      <w:r w:rsidR="00C17834" w:rsidRPr="003A6197">
        <w:t xml:space="preserve">: The “measure share”—as defined above—accounted for competing measures, ensuring savings were not double-counted. This interaction occurred when two or more measures “competed” for the same </w:t>
      </w:r>
      <w:r w:rsidR="007576CB">
        <w:t>end-use</w:t>
      </w:r>
      <w:r w:rsidR="00C17834" w:rsidRPr="003A6197">
        <w:t xml:space="preserve">. For example, a T-12 lamp could be replaced with a T-8 or </w:t>
      </w:r>
      <w:r w:rsidR="00C17834">
        <w:t>linear LED</w:t>
      </w:r>
      <w:r w:rsidR="00C17834" w:rsidRPr="003A6197">
        <w:t xml:space="preserve"> lamp.</w:t>
      </w:r>
    </w:p>
    <w:p w14:paraId="6401EA34" w14:textId="5CEC0287" w:rsidR="00BE22AB" w:rsidRPr="00DB3BCB" w:rsidRDefault="00BE22AB" w:rsidP="000D7FA3">
      <w:pPr>
        <w:pStyle w:val="Heading5"/>
      </w:pPr>
      <w:r w:rsidRPr="00DB3BCB">
        <w:t>Addressing</w:t>
      </w:r>
      <w:r>
        <w:t xml:space="preserve"> </w:t>
      </w:r>
      <w:r w:rsidRPr="00DB3BCB">
        <w:t>Naturally-Occurring</w:t>
      </w:r>
      <w:r>
        <w:t xml:space="preserve"> </w:t>
      </w:r>
      <w:r w:rsidR="007576CB">
        <w:t>EE</w:t>
      </w:r>
    </w:p>
    <w:p w14:paraId="6401EA35" w14:textId="018B04CC" w:rsidR="00BE22AB" w:rsidRPr="00DB3BCB" w:rsidRDefault="00BE22AB" w:rsidP="00C42451">
      <w:pPr>
        <w:pStyle w:val="Text"/>
        <w:jc w:val="both"/>
      </w:pPr>
      <w:r w:rsidRPr="00DB3BCB">
        <w:t>Because</w:t>
      </w:r>
      <w:r>
        <w:t xml:space="preserve"> </w:t>
      </w:r>
      <w:r w:rsidRPr="00DB3BCB">
        <w:t>the</w:t>
      </w:r>
      <w:r>
        <w:t xml:space="preserve"> </w:t>
      </w:r>
      <w:r w:rsidRPr="00DB3BCB">
        <w:t>anticipated</w:t>
      </w:r>
      <w:r>
        <w:t xml:space="preserve"> </w:t>
      </w:r>
      <w:r w:rsidRPr="00DB3BCB">
        <w:t>impacts</w:t>
      </w:r>
      <w:r>
        <w:t xml:space="preserve"> </w:t>
      </w:r>
      <w:r w:rsidRPr="00DB3BCB">
        <w:t>of</w:t>
      </w:r>
      <w:r>
        <w:t xml:space="preserve"> </w:t>
      </w:r>
      <w:r w:rsidRPr="00DB3BCB">
        <w:t>efficiency</w:t>
      </w:r>
      <w:r>
        <w:t xml:space="preserve"> </w:t>
      </w:r>
      <w:r w:rsidRPr="00DB3BCB">
        <w:t>actions</w:t>
      </w:r>
      <w:r>
        <w:t xml:space="preserve"> </w:t>
      </w:r>
      <w:r w:rsidRPr="00DB3BCB">
        <w:t>that</w:t>
      </w:r>
      <w:r>
        <w:t xml:space="preserve"> </w:t>
      </w:r>
      <w:r w:rsidRPr="00DB3BCB">
        <w:t>may</w:t>
      </w:r>
      <w:r>
        <w:t xml:space="preserve"> </w:t>
      </w:r>
      <w:r w:rsidRPr="00DB3BCB">
        <w:t>be</w:t>
      </w:r>
      <w:r>
        <w:t xml:space="preserve"> </w:t>
      </w:r>
      <w:r w:rsidRPr="00DB3BCB">
        <w:t>taken</w:t>
      </w:r>
      <w:r>
        <w:t xml:space="preserve"> </w:t>
      </w:r>
      <w:r w:rsidRPr="00DB3BCB">
        <w:t>even</w:t>
      </w:r>
      <w:r>
        <w:t xml:space="preserve"> </w:t>
      </w:r>
      <w:r w:rsidRPr="00DB3BCB">
        <w:t>in</w:t>
      </w:r>
      <w:r>
        <w:t xml:space="preserve"> </w:t>
      </w:r>
      <w:r w:rsidRPr="00DB3BCB">
        <w:t>the</w:t>
      </w:r>
      <w:r>
        <w:t xml:space="preserve"> </w:t>
      </w:r>
      <w:r w:rsidRPr="00DB3BCB">
        <w:t>absence</w:t>
      </w:r>
      <w:r>
        <w:t xml:space="preserve"> </w:t>
      </w:r>
      <w:r w:rsidRPr="00DB3BCB">
        <w:t>of</w:t>
      </w:r>
      <w:r>
        <w:t xml:space="preserve"> </w:t>
      </w:r>
      <w:r w:rsidRPr="00DB3BCB">
        <w:t>utility</w:t>
      </w:r>
      <w:r>
        <w:t xml:space="preserve"> </w:t>
      </w:r>
      <w:r w:rsidRPr="00DB3BCB">
        <w:t>intervention</w:t>
      </w:r>
      <w:r>
        <w:t xml:space="preserve"> </w:t>
      </w:r>
      <w:r w:rsidRPr="00DB3BCB">
        <w:t>are</w:t>
      </w:r>
      <w:r>
        <w:t xml:space="preserve"> </w:t>
      </w:r>
      <w:r w:rsidRPr="00DB3BCB">
        <w:t>included</w:t>
      </w:r>
      <w:r>
        <w:t xml:space="preserve"> </w:t>
      </w:r>
      <w:r w:rsidRPr="00DB3BCB">
        <w:t>in</w:t>
      </w:r>
      <w:r>
        <w:t xml:space="preserve"> </w:t>
      </w:r>
      <w:r w:rsidRPr="00DB3BCB">
        <w:t>the</w:t>
      </w:r>
      <w:r>
        <w:t xml:space="preserve"> </w:t>
      </w:r>
      <w:r w:rsidRPr="00DB3BCB">
        <w:t>baseline</w:t>
      </w:r>
      <w:r>
        <w:t xml:space="preserve"> </w:t>
      </w:r>
      <w:r w:rsidRPr="00DB3BCB">
        <w:t>forecast,</w:t>
      </w:r>
      <w:r>
        <w:t xml:space="preserve"> </w:t>
      </w:r>
      <w:r w:rsidRPr="00DB3BCB">
        <w:t>savings</w:t>
      </w:r>
      <w:r>
        <w:t xml:space="preserve"> </w:t>
      </w:r>
      <w:r w:rsidRPr="00DB3BCB">
        <w:t>due</w:t>
      </w:r>
      <w:r>
        <w:t xml:space="preserve"> </w:t>
      </w:r>
      <w:r w:rsidRPr="00DB3BCB">
        <w:t>to</w:t>
      </w:r>
      <w:r>
        <w:t xml:space="preserve"> </w:t>
      </w:r>
      <w:r w:rsidRPr="00DB3BCB">
        <w:t>naturally-occurring</w:t>
      </w:r>
      <w:r>
        <w:t xml:space="preserve"> </w:t>
      </w:r>
      <w:r w:rsidR="00F77BBF">
        <w:t>EE</w:t>
      </w:r>
      <w:r>
        <w:t xml:space="preserve"> </w:t>
      </w:r>
      <w:r w:rsidR="00953126">
        <w:t>were</w:t>
      </w:r>
      <w:r>
        <w:t xml:space="preserve"> </w:t>
      </w:r>
      <w:r w:rsidRPr="00DB3BCB">
        <w:t>considered</w:t>
      </w:r>
      <w:r>
        <w:t xml:space="preserve"> </w:t>
      </w:r>
      <w:r w:rsidRPr="00DB3BCB">
        <w:t>separate</w:t>
      </w:r>
      <w:r>
        <w:t xml:space="preserve">ly </w:t>
      </w:r>
      <w:r w:rsidRPr="00DB3BCB">
        <w:t>in</w:t>
      </w:r>
      <w:r>
        <w:t xml:space="preserve"> </w:t>
      </w:r>
      <w:r w:rsidRPr="00DB3BCB">
        <w:t>the</w:t>
      </w:r>
      <w:r>
        <w:t xml:space="preserve"> </w:t>
      </w:r>
      <w:r w:rsidRPr="00DB3BCB">
        <w:t>potential</w:t>
      </w:r>
      <w:r>
        <w:t xml:space="preserve"> </w:t>
      </w:r>
      <w:r w:rsidRPr="00DB3BCB">
        <w:t>estimates.</w:t>
      </w:r>
      <w:r>
        <w:t xml:space="preserve"> </w:t>
      </w:r>
      <w:r w:rsidRPr="00DB3BCB">
        <w:t>Nexant</w:t>
      </w:r>
      <w:r>
        <w:t xml:space="preserve"> </w:t>
      </w:r>
      <w:r w:rsidR="00D378DA">
        <w:t>verified</w:t>
      </w:r>
      <w:r>
        <w:t xml:space="preserve"> </w:t>
      </w:r>
      <w:r w:rsidRPr="00DB3BCB">
        <w:t>with</w:t>
      </w:r>
      <w:r>
        <w:t xml:space="preserve"> </w:t>
      </w:r>
      <w:r w:rsidR="00145C87">
        <w:t>TECO</w:t>
      </w:r>
      <w:r w:rsidR="00982A9B">
        <w:t>’s</w:t>
      </w:r>
      <w:r>
        <w:t xml:space="preserve"> forecasting group </w:t>
      </w:r>
      <w:r w:rsidRPr="00DB3BCB">
        <w:t>to</w:t>
      </w:r>
      <w:r>
        <w:t xml:space="preserve"> </w:t>
      </w:r>
      <w:r w:rsidRPr="00DB3BCB">
        <w:t>ensure</w:t>
      </w:r>
      <w:r>
        <w:t xml:space="preserve"> </w:t>
      </w:r>
      <w:r w:rsidRPr="00DB3BCB">
        <w:t>that</w:t>
      </w:r>
      <w:r>
        <w:t xml:space="preserve"> </w:t>
      </w:r>
      <w:r w:rsidRPr="00DB3BCB">
        <w:t>the</w:t>
      </w:r>
      <w:r>
        <w:t xml:space="preserve"> </w:t>
      </w:r>
      <w:r w:rsidRPr="00DB3BCB">
        <w:t>sales</w:t>
      </w:r>
      <w:r>
        <w:t xml:space="preserve"> </w:t>
      </w:r>
      <w:r w:rsidRPr="00DB3BCB">
        <w:t>forecasts</w:t>
      </w:r>
      <w:r>
        <w:t xml:space="preserve"> </w:t>
      </w:r>
      <w:r w:rsidRPr="00DB3BCB">
        <w:t>incorporate</w:t>
      </w:r>
      <w:r w:rsidR="00953126">
        <w:t>d</w:t>
      </w:r>
      <w:r>
        <w:t xml:space="preserve"> </w:t>
      </w:r>
      <w:r w:rsidRPr="00DB3BCB">
        <w:t>two</w:t>
      </w:r>
      <w:r>
        <w:t xml:space="preserve"> </w:t>
      </w:r>
      <w:r w:rsidRPr="00DB3BCB">
        <w:t>known</w:t>
      </w:r>
      <w:r>
        <w:t xml:space="preserve"> </w:t>
      </w:r>
      <w:r w:rsidRPr="00DB3BCB">
        <w:t>sources</w:t>
      </w:r>
      <w:r>
        <w:t xml:space="preserve"> </w:t>
      </w:r>
      <w:r w:rsidRPr="00DB3BCB">
        <w:t>of</w:t>
      </w:r>
      <w:r>
        <w:t xml:space="preserve"> </w:t>
      </w:r>
      <w:r w:rsidRPr="00DB3BCB">
        <w:t>naturally-occurring</w:t>
      </w:r>
      <w:r>
        <w:t xml:space="preserve"> </w:t>
      </w:r>
      <w:r w:rsidRPr="00DB3BCB">
        <w:t>efficiency:</w:t>
      </w:r>
    </w:p>
    <w:p w14:paraId="6401EA36" w14:textId="1E60699F" w:rsidR="00BE22AB" w:rsidRPr="00DB3BCB" w:rsidRDefault="00BE22AB" w:rsidP="00C42451">
      <w:pPr>
        <w:pStyle w:val="Mainbody-Bullets"/>
        <w:jc w:val="both"/>
      </w:pPr>
      <w:r w:rsidRPr="00DB3BCB">
        <w:rPr>
          <w:b/>
        </w:rPr>
        <w:t>Codes</w:t>
      </w:r>
      <w:r>
        <w:rPr>
          <w:b/>
        </w:rPr>
        <w:t xml:space="preserve"> </w:t>
      </w:r>
      <w:r w:rsidRPr="00DB3BCB">
        <w:rPr>
          <w:b/>
        </w:rPr>
        <w:t>and</w:t>
      </w:r>
      <w:r>
        <w:rPr>
          <w:b/>
        </w:rPr>
        <w:t xml:space="preserve"> </w:t>
      </w:r>
      <w:r w:rsidRPr="00DB3BCB">
        <w:rPr>
          <w:b/>
        </w:rPr>
        <w:t>Standards:</w:t>
      </w:r>
      <w:r>
        <w:rPr>
          <w:b/>
        </w:rPr>
        <w:t xml:space="preserve"> </w:t>
      </w:r>
      <w:r w:rsidRPr="00DB3BCB">
        <w:t>The</w:t>
      </w:r>
      <w:r>
        <w:t xml:space="preserve"> </w:t>
      </w:r>
      <w:r w:rsidRPr="00DB3BCB">
        <w:t>sales</w:t>
      </w:r>
      <w:r>
        <w:t xml:space="preserve"> </w:t>
      </w:r>
      <w:r w:rsidRPr="00DB3BCB">
        <w:t>forecasts</w:t>
      </w:r>
      <w:r>
        <w:t xml:space="preserve"> </w:t>
      </w:r>
      <w:r w:rsidR="00D378DA">
        <w:t xml:space="preserve">already </w:t>
      </w:r>
      <w:r w:rsidRPr="00DB3BCB">
        <w:t>incorporate</w:t>
      </w:r>
      <w:r w:rsidR="00953126">
        <w:t>d</w:t>
      </w:r>
      <w:r>
        <w:t xml:space="preserve"> </w:t>
      </w:r>
      <w:r w:rsidRPr="00DB3BCB">
        <w:t>the</w:t>
      </w:r>
      <w:r>
        <w:t xml:space="preserve"> </w:t>
      </w:r>
      <w:r w:rsidRPr="00DB3BCB">
        <w:t>impacts</w:t>
      </w:r>
      <w:r>
        <w:t xml:space="preserve"> </w:t>
      </w:r>
      <w:r w:rsidRPr="00DB3BCB">
        <w:t>of</w:t>
      </w:r>
      <w:r>
        <w:t xml:space="preserve"> </w:t>
      </w:r>
      <w:r w:rsidRPr="00DB3BCB">
        <w:t>known</w:t>
      </w:r>
      <w:r>
        <w:t xml:space="preserve"> </w:t>
      </w:r>
      <w:r w:rsidR="00D378DA">
        <w:t>C</w:t>
      </w:r>
      <w:r w:rsidRPr="00DB3BCB">
        <w:t>ode</w:t>
      </w:r>
      <w:r w:rsidR="00D378DA">
        <w:t xml:space="preserve"> &amp; standards</w:t>
      </w:r>
      <w:r>
        <w:t xml:space="preserve"> </w:t>
      </w:r>
      <w:r w:rsidRPr="00DB3BCB">
        <w:t>changes.</w:t>
      </w:r>
      <w:r>
        <w:t xml:space="preserve"> </w:t>
      </w:r>
      <w:r w:rsidRPr="00DB3BCB">
        <w:t>While</w:t>
      </w:r>
      <w:r>
        <w:t xml:space="preserve"> </w:t>
      </w:r>
      <w:r w:rsidRPr="00DB3BCB">
        <w:t>some</w:t>
      </w:r>
      <w:r>
        <w:t xml:space="preserve"> </w:t>
      </w:r>
      <w:r w:rsidRPr="00DB3BCB">
        <w:t>changes</w:t>
      </w:r>
      <w:r>
        <w:t xml:space="preserve"> </w:t>
      </w:r>
      <w:r w:rsidRPr="00DB3BCB">
        <w:t>have</w:t>
      </w:r>
      <w:r>
        <w:t xml:space="preserve"> </w:t>
      </w:r>
      <w:r w:rsidRPr="00DB3BCB">
        <w:t>relatively</w:t>
      </w:r>
      <w:r>
        <w:t xml:space="preserve"> </w:t>
      </w:r>
      <w:r w:rsidRPr="00DB3BCB">
        <w:t>little</w:t>
      </w:r>
      <w:r>
        <w:t xml:space="preserve"> </w:t>
      </w:r>
      <w:r w:rsidRPr="00DB3BCB">
        <w:t>impact</w:t>
      </w:r>
      <w:r>
        <w:t xml:space="preserve"> </w:t>
      </w:r>
      <w:r w:rsidRPr="00DB3BCB">
        <w:t>on</w:t>
      </w:r>
      <w:r>
        <w:t xml:space="preserve"> </w:t>
      </w:r>
      <w:r w:rsidRPr="00DB3BCB">
        <w:t>overall</w:t>
      </w:r>
      <w:r>
        <w:t xml:space="preserve"> </w:t>
      </w:r>
      <w:r w:rsidRPr="00DB3BCB">
        <w:t>sales,</w:t>
      </w:r>
      <w:r>
        <w:t xml:space="preserve"> </w:t>
      </w:r>
      <w:r w:rsidRPr="00DB3BCB">
        <w:t>others—particularly</w:t>
      </w:r>
      <w:r>
        <w:t xml:space="preserve"> </w:t>
      </w:r>
      <w:r w:rsidRPr="00DB3BCB">
        <w:t>the</w:t>
      </w:r>
      <w:r>
        <w:t xml:space="preserve"> </w:t>
      </w:r>
      <w:r w:rsidRPr="00DB3BCB">
        <w:t>Energy</w:t>
      </w:r>
      <w:r>
        <w:t xml:space="preserve"> </w:t>
      </w:r>
      <w:r w:rsidRPr="00DB3BCB">
        <w:t>Independence</w:t>
      </w:r>
      <w:r>
        <w:t xml:space="preserve"> </w:t>
      </w:r>
      <w:r w:rsidRPr="00DB3BCB">
        <w:t>and</w:t>
      </w:r>
      <w:r>
        <w:t xml:space="preserve"> </w:t>
      </w:r>
      <w:r w:rsidRPr="00DB3BCB">
        <w:t>Security</w:t>
      </w:r>
      <w:r>
        <w:t xml:space="preserve"> </w:t>
      </w:r>
      <w:r w:rsidRPr="00DB3BCB">
        <w:t>Act</w:t>
      </w:r>
      <w:r>
        <w:t xml:space="preserve"> </w:t>
      </w:r>
      <w:r w:rsidRPr="00DB3BCB">
        <w:t>(EISA)</w:t>
      </w:r>
      <w:r>
        <w:t xml:space="preserve"> </w:t>
      </w:r>
      <w:r w:rsidRPr="00DB3BCB">
        <w:t>and</w:t>
      </w:r>
      <w:r>
        <w:t xml:space="preserve"> </w:t>
      </w:r>
      <w:r w:rsidRPr="00DB3BCB">
        <w:t>other</w:t>
      </w:r>
      <w:r>
        <w:t xml:space="preserve"> </w:t>
      </w:r>
      <w:r w:rsidRPr="00DB3BCB">
        <w:t>federal</w:t>
      </w:r>
      <w:r>
        <w:t xml:space="preserve"> </w:t>
      </w:r>
      <w:r w:rsidRPr="00DB3BCB">
        <w:t>legislation—will</w:t>
      </w:r>
      <w:r>
        <w:t xml:space="preserve"> </w:t>
      </w:r>
      <w:r w:rsidRPr="00DB3BCB">
        <w:t>have</w:t>
      </w:r>
      <w:r>
        <w:t xml:space="preserve"> </w:t>
      </w:r>
      <w:r w:rsidRPr="00DB3BCB">
        <w:t>noticeable</w:t>
      </w:r>
      <w:r>
        <w:t xml:space="preserve"> </w:t>
      </w:r>
      <w:r w:rsidRPr="00DB3BCB">
        <w:t>influence.</w:t>
      </w:r>
    </w:p>
    <w:p w14:paraId="6401EA37" w14:textId="72F78CAA" w:rsidR="00BE22AB" w:rsidRPr="00DB3BCB" w:rsidRDefault="00BE22AB" w:rsidP="00C42451">
      <w:pPr>
        <w:pStyle w:val="Mainbody-Bulletsoutforlastbullet"/>
        <w:jc w:val="both"/>
      </w:pPr>
      <w:r w:rsidRPr="00DB3BCB">
        <w:rPr>
          <w:b/>
        </w:rPr>
        <w:t>Baseline</w:t>
      </w:r>
      <w:r>
        <w:rPr>
          <w:b/>
        </w:rPr>
        <w:t xml:space="preserve"> </w:t>
      </w:r>
      <w:r w:rsidRPr="00DB3BCB">
        <w:rPr>
          <w:b/>
        </w:rPr>
        <w:t>Measure</w:t>
      </w:r>
      <w:r>
        <w:rPr>
          <w:b/>
        </w:rPr>
        <w:t xml:space="preserve"> </w:t>
      </w:r>
      <w:r w:rsidRPr="00DB3BCB">
        <w:rPr>
          <w:b/>
        </w:rPr>
        <w:t>Adoption:</w:t>
      </w:r>
      <w:r>
        <w:t xml:space="preserve"> </w:t>
      </w:r>
      <w:r w:rsidR="00D378DA">
        <w:t>The s</w:t>
      </w:r>
      <w:r w:rsidRPr="00DB3BCB">
        <w:t>ales</w:t>
      </w:r>
      <w:r>
        <w:t xml:space="preserve"> </w:t>
      </w:r>
      <w:r w:rsidR="00D378DA">
        <w:t>forecast</w:t>
      </w:r>
      <w:r>
        <w:t xml:space="preserve"> </w:t>
      </w:r>
      <w:r w:rsidRPr="00DB3BCB">
        <w:t>exclude</w:t>
      </w:r>
      <w:r w:rsidR="00D378DA">
        <w:t>d</w:t>
      </w:r>
      <w:r>
        <w:t xml:space="preserve"> </w:t>
      </w:r>
      <w:r w:rsidRPr="00DB3BCB">
        <w:t>the</w:t>
      </w:r>
      <w:r>
        <w:t xml:space="preserve"> </w:t>
      </w:r>
      <w:r w:rsidRPr="00DB3BCB">
        <w:t>projected</w:t>
      </w:r>
      <w:r>
        <w:t xml:space="preserve"> </w:t>
      </w:r>
      <w:r w:rsidRPr="00DB3BCB">
        <w:t>impacts</w:t>
      </w:r>
      <w:r>
        <w:t xml:space="preserve"> </w:t>
      </w:r>
      <w:r w:rsidRPr="00DB3BCB">
        <w:t>of</w:t>
      </w:r>
      <w:r>
        <w:t xml:space="preserve"> </w:t>
      </w:r>
      <w:r w:rsidRPr="00DB3BCB">
        <w:t>future</w:t>
      </w:r>
      <w:r>
        <w:t xml:space="preserve"> </w:t>
      </w:r>
      <w:r w:rsidRPr="00DB3BCB">
        <w:t>DSM</w:t>
      </w:r>
      <w:r>
        <w:t xml:space="preserve"> </w:t>
      </w:r>
      <w:r w:rsidRPr="00DB3BCB">
        <w:t>efforts,</w:t>
      </w:r>
      <w:r>
        <w:t xml:space="preserve"> </w:t>
      </w:r>
      <w:r w:rsidRPr="00DB3BCB">
        <w:t>but</w:t>
      </w:r>
      <w:r>
        <w:t xml:space="preserve"> </w:t>
      </w:r>
      <w:r w:rsidR="00D378DA">
        <w:t>included already implemented DSM</w:t>
      </w:r>
      <w:r>
        <w:t xml:space="preserve"> </w:t>
      </w:r>
      <w:r w:rsidRPr="00DB3BCB">
        <w:t>penetration</w:t>
      </w:r>
      <w:r w:rsidR="00D378DA">
        <w:t>.</w:t>
      </w:r>
    </w:p>
    <w:p w14:paraId="6401EA38" w14:textId="774E4475" w:rsidR="00BE22AB" w:rsidRPr="00DB3BCB" w:rsidRDefault="00BE22AB" w:rsidP="00C42451">
      <w:pPr>
        <w:pStyle w:val="Text"/>
        <w:jc w:val="both"/>
      </w:pPr>
      <w:r w:rsidRPr="00DB3BCB">
        <w:t>By</w:t>
      </w:r>
      <w:r>
        <w:t xml:space="preserve"> </w:t>
      </w:r>
      <w:r w:rsidRPr="00DB3BCB">
        <w:t>properly</w:t>
      </w:r>
      <w:r>
        <w:t xml:space="preserve"> </w:t>
      </w:r>
      <w:r w:rsidRPr="00DB3BCB">
        <w:t>accounting</w:t>
      </w:r>
      <w:r>
        <w:t xml:space="preserve"> </w:t>
      </w:r>
      <w:r w:rsidRPr="00DB3BCB">
        <w:t>for</w:t>
      </w:r>
      <w:r>
        <w:t xml:space="preserve"> </w:t>
      </w:r>
      <w:r w:rsidRPr="00DB3BCB">
        <w:t>these</w:t>
      </w:r>
      <w:r>
        <w:t xml:space="preserve"> </w:t>
      </w:r>
      <w:r w:rsidRPr="00DB3BCB">
        <w:t>factors,</w:t>
      </w:r>
      <w:r>
        <w:t xml:space="preserve"> </w:t>
      </w:r>
      <w:r w:rsidRPr="00DB3BCB">
        <w:t>the</w:t>
      </w:r>
      <w:r>
        <w:t xml:space="preserve"> </w:t>
      </w:r>
      <w:r w:rsidRPr="00DB3BCB">
        <w:t>potential</w:t>
      </w:r>
      <w:r>
        <w:t xml:space="preserve"> </w:t>
      </w:r>
      <w:r w:rsidRPr="00DB3BCB">
        <w:t>study</w:t>
      </w:r>
      <w:r>
        <w:t xml:space="preserve"> </w:t>
      </w:r>
      <w:r w:rsidRPr="00DB3BCB">
        <w:t>estimate</w:t>
      </w:r>
      <w:r w:rsidR="00953126">
        <w:t>d</w:t>
      </w:r>
      <w:r>
        <w:t xml:space="preserve"> </w:t>
      </w:r>
      <w:r w:rsidRPr="00DB3BCB">
        <w:t>the</w:t>
      </w:r>
      <w:r>
        <w:t xml:space="preserve"> </w:t>
      </w:r>
      <w:r w:rsidRPr="00DB3BCB">
        <w:t>net</w:t>
      </w:r>
      <w:r>
        <w:t xml:space="preserve"> </w:t>
      </w:r>
      <w:r w:rsidRPr="00DB3BCB">
        <w:t>penetration</w:t>
      </w:r>
      <w:r>
        <w:t xml:space="preserve"> </w:t>
      </w:r>
      <w:r w:rsidRPr="00DB3BCB">
        <w:t>rates,</w:t>
      </w:r>
      <w:r>
        <w:t xml:space="preserve"> </w:t>
      </w:r>
      <w:r w:rsidRPr="00DB3BCB">
        <w:t>representing</w:t>
      </w:r>
      <w:r>
        <w:t xml:space="preserve"> </w:t>
      </w:r>
      <w:r w:rsidRPr="00DB3BCB">
        <w:t>the</w:t>
      </w:r>
      <w:r>
        <w:t xml:space="preserve"> </w:t>
      </w:r>
      <w:r w:rsidRPr="00DB3BCB">
        <w:t>difference</w:t>
      </w:r>
      <w:r>
        <w:t xml:space="preserve"> </w:t>
      </w:r>
      <w:r w:rsidRPr="00DB3BCB">
        <w:t>between</w:t>
      </w:r>
      <w:r>
        <w:t xml:space="preserve"> </w:t>
      </w:r>
      <w:r w:rsidRPr="00DB3BCB">
        <w:t>the</w:t>
      </w:r>
      <w:r>
        <w:t xml:space="preserve"> </w:t>
      </w:r>
      <w:r w:rsidRPr="00DB3BCB">
        <w:t>anticipated</w:t>
      </w:r>
      <w:r>
        <w:t xml:space="preserve"> </w:t>
      </w:r>
      <w:r w:rsidRPr="00DB3BCB">
        <w:t>adoption</w:t>
      </w:r>
      <w:r>
        <w:t xml:space="preserve"> </w:t>
      </w:r>
      <w:r w:rsidRPr="00DB3BCB">
        <w:t>of</w:t>
      </w:r>
      <w:r>
        <w:t xml:space="preserve"> </w:t>
      </w:r>
      <w:r w:rsidRPr="00DB3BCB">
        <w:t>efficiency</w:t>
      </w:r>
      <w:r>
        <w:t xml:space="preserve"> </w:t>
      </w:r>
      <w:r w:rsidRPr="00DB3BCB">
        <w:t>measures</w:t>
      </w:r>
      <w:r>
        <w:t xml:space="preserve"> </w:t>
      </w:r>
      <w:r w:rsidRPr="00DB3BCB">
        <w:t>as</w:t>
      </w:r>
      <w:r>
        <w:t xml:space="preserve"> </w:t>
      </w:r>
      <w:r w:rsidRPr="00DB3BCB">
        <w:t>a</w:t>
      </w:r>
      <w:r>
        <w:t xml:space="preserve"> </w:t>
      </w:r>
      <w:r w:rsidRPr="00DB3BCB">
        <w:t>result</w:t>
      </w:r>
      <w:r>
        <w:t xml:space="preserve"> </w:t>
      </w:r>
      <w:r w:rsidRPr="00DB3BCB">
        <w:t>of</w:t>
      </w:r>
      <w:r>
        <w:t xml:space="preserve"> </w:t>
      </w:r>
      <w:r w:rsidRPr="00DB3BCB">
        <w:t>DSM</w:t>
      </w:r>
      <w:r>
        <w:t xml:space="preserve"> </w:t>
      </w:r>
      <w:r w:rsidRPr="00DB3BCB">
        <w:t>efforts</w:t>
      </w:r>
      <w:r>
        <w:t xml:space="preserve"> </w:t>
      </w:r>
      <w:r w:rsidRPr="00DB3BCB">
        <w:t>and</w:t>
      </w:r>
      <w:r>
        <w:t xml:space="preserve"> </w:t>
      </w:r>
      <w:r w:rsidRPr="00DB3BCB">
        <w:t>the</w:t>
      </w:r>
      <w:r>
        <w:t xml:space="preserve"> </w:t>
      </w:r>
      <w:r w:rsidRPr="00DB3BCB">
        <w:t>“business</w:t>
      </w:r>
      <w:r>
        <w:t xml:space="preserve"> </w:t>
      </w:r>
      <w:r w:rsidRPr="00DB3BCB">
        <w:t>as</w:t>
      </w:r>
      <w:r>
        <w:t xml:space="preserve"> </w:t>
      </w:r>
      <w:r w:rsidRPr="00DB3BCB">
        <w:t>usual”</w:t>
      </w:r>
      <w:r>
        <w:t xml:space="preserve"> </w:t>
      </w:r>
      <w:r w:rsidRPr="00DB3BCB">
        <w:t>adoption</w:t>
      </w:r>
      <w:r>
        <w:t xml:space="preserve"> </w:t>
      </w:r>
      <w:r w:rsidRPr="00DB3BCB">
        <w:t>rates</w:t>
      </w:r>
      <w:r>
        <w:t xml:space="preserve"> </w:t>
      </w:r>
      <w:r w:rsidRPr="00DB3BCB">
        <w:t>absent</w:t>
      </w:r>
      <w:r>
        <w:t xml:space="preserve"> </w:t>
      </w:r>
      <w:r w:rsidRPr="00DB3BCB">
        <w:t>DSM</w:t>
      </w:r>
      <w:r>
        <w:t xml:space="preserve"> </w:t>
      </w:r>
      <w:r w:rsidRPr="00DB3BCB">
        <w:t>intervention.</w:t>
      </w:r>
      <w:r>
        <w:t xml:space="preserve"> </w:t>
      </w:r>
      <w:r w:rsidRPr="00DB3BCB">
        <w:t>This</w:t>
      </w:r>
      <w:r>
        <w:t xml:space="preserve"> </w:t>
      </w:r>
      <w:r w:rsidRPr="00DB3BCB">
        <w:t>is</w:t>
      </w:r>
      <w:r>
        <w:t xml:space="preserve"> </w:t>
      </w:r>
      <w:r w:rsidRPr="00DB3BCB">
        <w:t>true</w:t>
      </w:r>
      <w:r>
        <w:t xml:space="preserve"> </w:t>
      </w:r>
      <w:r w:rsidRPr="00DB3BCB">
        <w:t>even</w:t>
      </w:r>
      <w:r>
        <w:t xml:space="preserve"> </w:t>
      </w:r>
      <w:r w:rsidRPr="00DB3BCB">
        <w:t>in</w:t>
      </w:r>
      <w:r>
        <w:t xml:space="preserve"> </w:t>
      </w:r>
      <w:r w:rsidRPr="00DB3BCB">
        <w:t>the</w:t>
      </w:r>
      <w:r>
        <w:t xml:space="preserve"> </w:t>
      </w:r>
      <w:r w:rsidRPr="00DB3BCB">
        <w:t>technical</w:t>
      </w:r>
      <w:r>
        <w:t xml:space="preserve"> </w:t>
      </w:r>
      <w:r w:rsidR="007F7014">
        <w:t>potential</w:t>
      </w:r>
      <w:r w:rsidRPr="00DB3BCB">
        <w:t>,</w:t>
      </w:r>
      <w:r>
        <w:t xml:space="preserve"> </w:t>
      </w:r>
      <w:r w:rsidRPr="00DB3BCB">
        <w:t>where</w:t>
      </w:r>
      <w:r>
        <w:t xml:space="preserve"> </w:t>
      </w:r>
      <w:r w:rsidRPr="00DB3BCB">
        <w:t>adoption</w:t>
      </w:r>
      <w:r>
        <w:t xml:space="preserve"> </w:t>
      </w:r>
      <w:r w:rsidR="007D7651">
        <w:t>wa</w:t>
      </w:r>
      <w:r w:rsidRPr="00DB3BCB">
        <w:t>s</w:t>
      </w:r>
      <w:r>
        <w:t xml:space="preserve"> </w:t>
      </w:r>
      <w:r w:rsidRPr="00DB3BCB">
        <w:t>assumed</w:t>
      </w:r>
      <w:r>
        <w:t xml:space="preserve"> </w:t>
      </w:r>
      <w:r w:rsidRPr="00DB3BCB">
        <w:t>to</w:t>
      </w:r>
      <w:r>
        <w:t xml:space="preserve"> </w:t>
      </w:r>
      <w:r w:rsidRPr="00DB3BCB">
        <w:t>be</w:t>
      </w:r>
      <w:r>
        <w:t xml:space="preserve"> </w:t>
      </w:r>
      <w:r w:rsidRPr="00DB3BCB">
        <w:t>100%.</w:t>
      </w:r>
    </w:p>
    <w:p w14:paraId="6401EA39" w14:textId="50EAD47A" w:rsidR="00BE22AB" w:rsidRDefault="00553D4A" w:rsidP="00C42451">
      <w:pPr>
        <w:pStyle w:val="Heading3"/>
        <w:tabs>
          <w:tab w:val="num" w:pos="-4950"/>
        </w:tabs>
        <w:jc w:val="both"/>
      </w:pPr>
      <w:bookmarkStart w:id="105" w:name="_Toc5715502"/>
      <w:r>
        <w:t>DR Technical Potential</w:t>
      </w:r>
      <w:bookmarkEnd w:id="105"/>
    </w:p>
    <w:p w14:paraId="34880D4C" w14:textId="70BEB202" w:rsidR="007E1157" w:rsidRPr="002673C9" w:rsidRDefault="00F77BBF" w:rsidP="00C42451">
      <w:pPr>
        <w:pStyle w:val="Text"/>
        <w:jc w:val="both"/>
        <w:rPr>
          <w:highlight w:val="cyan"/>
        </w:rPr>
      </w:pPr>
      <w:r w:rsidRPr="002571E4">
        <w:t xml:space="preserve">The concept of technical potential applies differently to </w:t>
      </w:r>
      <w:r>
        <w:t>DR</w:t>
      </w:r>
      <w:r w:rsidRPr="002571E4">
        <w:t xml:space="preserve"> than for </w:t>
      </w:r>
      <w:r>
        <w:t>EE</w:t>
      </w:r>
      <w:r w:rsidRPr="002571E4">
        <w:t xml:space="preserve">. Technical potential for </w:t>
      </w:r>
      <w:r>
        <w:t>DR</w:t>
      </w:r>
      <w:r w:rsidRPr="002571E4">
        <w:t xml:space="preserve"> is effectively the magnitude of loads that can be </w:t>
      </w:r>
      <w:r>
        <w:t>curtail</w:t>
      </w:r>
      <w:r w:rsidRPr="002571E4">
        <w:t xml:space="preserve">ed during conditions when </w:t>
      </w:r>
      <w:r>
        <w:t>utilities</w:t>
      </w:r>
      <w:r w:rsidRPr="002571E4">
        <w:t xml:space="preserve"> need peak capacity</w:t>
      </w:r>
      <w:r>
        <w:t xml:space="preserve"> reductions</w:t>
      </w:r>
      <w:r w:rsidRPr="002571E4">
        <w:t xml:space="preserve">. </w:t>
      </w:r>
      <w:r>
        <w:t>In evaluating this potential at peak capacity, the following were considered: w</w:t>
      </w:r>
      <w:r w:rsidRPr="002571E4">
        <w:t xml:space="preserve">hich </w:t>
      </w:r>
      <w:r>
        <w:t>customer</w:t>
      </w:r>
      <w:r w:rsidRPr="002571E4">
        <w:t>s are consumi</w:t>
      </w:r>
      <w:r>
        <w:t>ng electricity at those times? W</w:t>
      </w:r>
      <w:r w:rsidRPr="002571E4">
        <w:t xml:space="preserve">hat end-uses are in play? </w:t>
      </w:r>
      <w:r>
        <w:t>C</w:t>
      </w:r>
      <w:r w:rsidRPr="002571E4">
        <w:t xml:space="preserve">an those </w:t>
      </w:r>
      <w:r>
        <w:t>end-use</w:t>
      </w:r>
      <w:r w:rsidRPr="002571E4">
        <w:t xml:space="preserve"> loads be managed? Large </w:t>
      </w:r>
      <w:r w:rsidR="00454284">
        <w:t>C&amp;I customers</w:t>
      </w:r>
      <w:r w:rsidRPr="002571E4">
        <w:t xml:space="preserve"> generally do not provide the utility with direct control over </w:t>
      </w:r>
      <w:r>
        <w:t xml:space="preserve">particular </w:t>
      </w:r>
      <w:r w:rsidRPr="002571E4">
        <w:t xml:space="preserve">end-uses. </w:t>
      </w:r>
      <w:r>
        <w:t>Instead</w:t>
      </w:r>
      <w:r w:rsidRPr="002571E4">
        <w:t xml:space="preserve">, </w:t>
      </w:r>
      <w:r>
        <w:t>many of these customers</w:t>
      </w:r>
      <w:r w:rsidRPr="002571E4">
        <w:t xml:space="preserve"> will forego virtually all electric demand temporarily if the financial incentive is large enough. For residential and </w:t>
      </w:r>
      <w:r>
        <w:t>small C&amp;I customers</w:t>
      </w:r>
      <w:r w:rsidRPr="002571E4">
        <w:t xml:space="preserve"> where DR generally takes the form of direct utility control, technical potential for </w:t>
      </w:r>
      <w:r>
        <w:t>DR</w:t>
      </w:r>
      <w:r w:rsidRPr="002571E4">
        <w:t xml:space="preserve"> is limited by the loads that can be controlled remotely at scale.</w:t>
      </w:r>
    </w:p>
    <w:p w14:paraId="6272EC42" w14:textId="46D957D8" w:rsidR="007E1157" w:rsidRDefault="007E1157" w:rsidP="00C42451">
      <w:pPr>
        <w:pStyle w:val="Text"/>
        <w:jc w:val="both"/>
      </w:pPr>
      <w:r w:rsidRPr="002571E4">
        <w:t xml:space="preserve">This framework makes </w:t>
      </w:r>
      <w:r w:rsidR="007576CB">
        <w:t>end-use</w:t>
      </w:r>
      <w:r w:rsidRPr="002571E4">
        <w:t xml:space="preserve"> disaggregation an important element for understanding DR potential, particularly in the residential and </w:t>
      </w:r>
      <w:r w:rsidR="00C523FD">
        <w:t>small C&amp;I</w:t>
      </w:r>
      <w:r w:rsidRPr="002571E4">
        <w:t xml:space="preserve"> sectors. When done properly, end-use disaggregation not only provides insights into which loads are on and off when specific grid services are needed, it also provides insight concerning how key loads and end-uses, such as air conditioning use, vary across customers. </w:t>
      </w:r>
      <w:r w:rsidR="007F7014">
        <w:t>Nexant’s</w:t>
      </w:r>
      <w:r w:rsidRPr="002571E4">
        <w:t xml:space="preserve"> approach used for load disaggregation is more advanced than what is used for most potential studies. Instead of disaggregating annual consumption or peak demand, Nexant produced end-use load disaggregation for all 8760 hours. This was needed because the loads available at times when different grid applications are needed can vary substantially. Instead of producing disaggregated loads for the average </w:t>
      </w:r>
      <w:r>
        <w:t>customer</w:t>
      </w:r>
      <w:r w:rsidRPr="002571E4">
        <w:t xml:space="preserve">, the study was produced for several customer segments. </w:t>
      </w:r>
      <w:r w:rsidR="001D47A8">
        <w:t xml:space="preserve">For </w:t>
      </w:r>
      <w:r w:rsidR="00145C87">
        <w:t>TECO</w:t>
      </w:r>
      <w:r w:rsidR="001D47A8">
        <w:t xml:space="preserve">, Nexant examined three residential segments based on customer housing type, four different </w:t>
      </w:r>
      <w:r w:rsidR="00C523FD">
        <w:t>small C&amp;I</w:t>
      </w:r>
      <w:r w:rsidR="001D47A8">
        <w:t xml:space="preserve"> segments based on customer size, and four different large C&amp;I segments based on customer size, for a total of 11 different customer segments. </w:t>
      </w:r>
    </w:p>
    <w:p w14:paraId="6DDE7D09" w14:textId="222F2D6C" w:rsidR="007E1157" w:rsidRPr="006912EF" w:rsidRDefault="007E1157" w:rsidP="00C42451">
      <w:pPr>
        <w:pStyle w:val="Text"/>
        <w:jc w:val="both"/>
      </w:pPr>
      <w:r w:rsidRPr="006912EF">
        <w:t>Technical potential, in the context of DR, is defined as the total amount of load available for reduction that is coincident with the period of interest</w:t>
      </w:r>
      <w:r w:rsidR="009A29D0">
        <w:t xml:space="preserve">; in this case, </w:t>
      </w:r>
      <w:r w:rsidRPr="006912EF">
        <w:t>the system peak hour for the summer and winter seasons. Thus, two sets of capacity values are estimated: a summer capacity and a winter capacity.</w:t>
      </w:r>
    </w:p>
    <w:p w14:paraId="0B6FB30A" w14:textId="5404DC2F" w:rsidR="007E1157" w:rsidRPr="002571E4" w:rsidRDefault="007E1157" w:rsidP="00C42451">
      <w:pPr>
        <w:pStyle w:val="Text"/>
        <w:jc w:val="both"/>
      </w:pPr>
      <w:r w:rsidRPr="002571E4">
        <w:t xml:space="preserve">As previously mentioned, </w:t>
      </w:r>
      <w:r w:rsidR="009A29D0">
        <w:t xml:space="preserve">for technical potential purposes, </w:t>
      </w:r>
      <w:r w:rsidRPr="002571E4">
        <w:t xml:space="preserve">all </w:t>
      </w:r>
      <w:r w:rsidR="00F77BBF">
        <w:t xml:space="preserve">coincident </w:t>
      </w:r>
      <w:r w:rsidRPr="002571E4">
        <w:t xml:space="preserve">large C&amp;I load is considered dispatchable, while residential and </w:t>
      </w:r>
      <w:r w:rsidR="00C523FD">
        <w:t>small C&amp;I</w:t>
      </w:r>
      <w:r w:rsidRPr="002571E4">
        <w:t xml:space="preserve"> DR capacity is based on specific </w:t>
      </w:r>
      <w:r w:rsidR="007576CB">
        <w:t>end-use</w:t>
      </w:r>
      <w:r w:rsidRPr="002571E4">
        <w:t xml:space="preserve">s. </w:t>
      </w:r>
      <w:r w:rsidR="009A29D0">
        <w:t>S</w:t>
      </w:r>
      <w:r w:rsidRPr="002571E4">
        <w:t xml:space="preserve">ummer DR capacity for residential customers </w:t>
      </w:r>
      <w:r w:rsidR="009A29D0">
        <w:t>was</w:t>
      </w:r>
      <w:r w:rsidRPr="002571E4">
        <w:t xml:space="preserve"> comprised of </w:t>
      </w:r>
      <w:r w:rsidR="009A29D0">
        <w:t>air-conditioning (</w:t>
      </w:r>
      <w:r w:rsidRPr="002571E4">
        <w:t>AC</w:t>
      </w:r>
      <w:r w:rsidR="009A29D0">
        <w:t>)</w:t>
      </w:r>
      <w:r w:rsidRPr="002571E4">
        <w:t xml:space="preserve">, pool pumps, and water heaters. For </w:t>
      </w:r>
      <w:r w:rsidR="00C523FD">
        <w:t>small C&amp;I</w:t>
      </w:r>
      <w:r w:rsidRPr="002571E4">
        <w:t xml:space="preserve"> customers, summer capacity </w:t>
      </w:r>
      <w:r w:rsidR="009A29D0">
        <w:t>was</w:t>
      </w:r>
      <w:r w:rsidRPr="002571E4">
        <w:t xml:space="preserve"> based on AC load. For winter </w:t>
      </w:r>
      <w:r w:rsidR="009A29D0">
        <w:t xml:space="preserve">DR </w:t>
      </w:r>
      <w:r w:rsidRPr="002571E4">
        <w:t xml:space="preserve">capacity, residential </w:t>
      </w:r>
      <w:r w:rsidR="009A29D0">
        <w:t>was</w:t>
      </w:r>
      <w:r w:rsidRPr="002571E4">
        <w:t xml:space="preserve"> based on electric heating</w:t>
      </w:r>
      <w:r>
        <w:t>, pool pumps,</w:t>
      </w:r>
      <w:r w:rsidRPr="002571E4">
        <w:t xml:space="preserve"> and water heaters. For </w:t>
      </w:r>
      <w:r w:rsidR="00C523FD">
        <w:t>small C&amp;I</w:t>
      </w:r>
      <w:r w:rsidRPr="002571E4">
        <w:t xml:space="preserve"> customers, winter capacity w</w:t>
      </w:r>
      <w:r w:rsidR="009A29D0">
        <w:t>as</w:t>
      </w:r>
      <w:r w:rsidRPr="002571E4">
        <w:t xml:space="preserve"> based on </w:t>
      </w:r>
      <w:r w:rsidR="009A29D0">
        <w:t xml:space="preserve">electric </w:t>
      </w:r>
      <w:r w:rsidRPr="002571E4">
        <w:t>heating.</w:t>
      </w:r>
    </w:p>
    <w:p w14:paraId="58A30A05" w14:textId="5F1B4B45" w:rsidR="00F30DEB" w:rsidRDefault="007E1157" w:rsidP="00C42451">
      <w:pPr>
        <w:pStyle w:val="Text"/>
        <w:jc w:val="both"/>
      </w:pPr>
      <w:r w:rsidRPr="00E31623">
        <w:t xml:space="preserve">AC and heating load profiles were generated for residential and </w:t>
      </w:r>
      <w:r w:rsidR="00C523FD">
        <w:t>small C&amp;I</w:t>
      </w:r>
      <w:r w:rsidRPr="00E31623">
        <w:t xml:space="preserve"> customers using</w:t>
      </w:r>
      <w:r w:rsidR="00F92D7C">
        <w:t xml:space="preserve"> interval data from</w:t>
      </w:r>
      <w:r>
        <w:t xml:space="preserve"> a sample of customers provided by </w:t>
      </w:r>
      <w:r w:rsidR="00145C87">
        <w:t>TECO</w:t>
      </w:r>
      <w:r w:rsidR="001D47A8">
        <w:t xml:space="preserve">. This sample </w:t>
      </w:r>
      <w:r w:rsidR="00F85C60">
        <w:t>included a customer breakout based on size and housing type for each rate class</w:t>
      </w:r>
      <w:r w:rsidR="001D47A8" w:rsidRPr="00BE2CA9">
        <w:t>.</w:t>
      </w:r>
      <w:r w:rsidR="00F85C60">
        <w:t xml:space="preserve"> Nexant then used the interval data from these customers to create an average load profile for each customer segment.</w:t>
      </w:r>
    </w:p>
    <w:p w14:paraId="57344858" w14:textId="60931D7A" w:rsidR="007E1157" w:rsidRPr="00E31623" w:rsidRDefault="00F85C60" w:rsidP="00C42451">
      <w:pPr>
        <w:pStyle w:val="Text"/>
        <w:jc w:val="both"/>
      </w:pPr>
      <w:r>
        <w:t>T</w:t>
      </w:r>
      <w:r w:rsidR="007E1157" w:rsidRPr="00E31623">
        <w:t>he a</w:t>
      </w:r>
      <w:r>
        <w:t>verage</w:t>
      </w:r>
      <w:r w:rsidR="007E1157" w:rsidRPr="00E31623">
        <w:t xml:space="preserve"> load</w:t>
      </w:r>
      <w:r>
        <w:t xml:space="preserve"> profile for each customer segment</w:t>
      </w:r>
      <w:r w:rsidR="007E1157" w:rsidRPr="00E31623">
        <w:t xml:space="preserve"> was combined with historical weather data, and used to estimate hourly load as a function of weather conditions. AC and heating loads were estimated by first calculating the baseline load on days when cooling degree days (CDD) and heating degree days (HDD) were equal to zero, and then subtracting this baseline load. This methodology is illustrated by </w:t>
      </w:r>
      <w:r w:rsidR="000117C3">
        <w:fldChar w:fldCharType="begin"/>
      </w:r>
      <w:r w:rsidR="000117C3">
        <w:instrText xml:space="preserve"> REF _Ref3969445 \h </w:instrText>
      </w:r>
      <w:r w:rsidR="000117C3">
        <w:fldChar w:fldCharType="separate"/>
      </w:r>
      <w:r w:rsidR="00B30110" w:rsidRPr="00E31623">
        <w:t xml:space="preserve">Figure </w:t>
      </w:r>
      <w:r w:rsidR="00B30110">
        <w:rPr>
          <w:noProof/>
        </w:rPr>
        <w:t>5</w:t>
      </w:r>
      <w:r w:rsidR="00B30110" w:rsidRPr="00E31623">
        <w:noBreakHyphen/>
      </w:r>
      <w:r w:rsidR="00B30110">
        <w:rPr>
          <w:noProof/>
        </w:rPr>
        <w:t>1</w:t>
      </w:r>
      <w:r w:rsidR="000117C3">
        <w:fldChar w:fldCharType="end"/>
      </w:r>
      <w:r w:rsidR="000117C3">
        <w:t xml:space="preserve"> </w:t>
      </w:r>
      <w:r w:rsidR="007E1157" w:rsidRPr="00E31623">
        <w:t>(a similar methodology was used to predict heating loads).</w:t>
      </w:r>
    </w:p>
    <w:p w14:paraId="0BC83D46" w14:textId="77777777" w:rsidR="007E1157" w:rsidRPr="00E31623" w:rsidRDefault="007E1157" w:rsidP="007E1157">
      <w:pPr>
        <w:pStyle w:val="Caption"/>
      </w:pPr>
      <w:bookmarkStart w:id="106" w:name="_Ref3969445"/>
      <w:bookmarkStart w:id="107" w:name="_Toc5715422"/>
      <w:r w:rsidRPr="00E31623">
        <w:t xml:space="preserve">Figure </w:t>
      </w:r>
      <w:r w:rsidR="009F2E74">
        <w:rPr>
          <w:noProof/>
        </w:rPr>
        <w:fldChar w:fldCharType="begin"/>
      </w:r>
      <w:r w:rsidR="009F2E74">
        <w:rPr>
          <w:noProof/>
        </w:rPr>
        <w:instrText xml:space="preserve"> STYLEREF 1 \s </w:instrText>
      </w:r>
      <w:r w:rsidR="009F2E74">
        <w:rPr>
          <w:noProof/>
        </w:rPr>
        <w:fldChar w:fldCharType="separate"/>
      </w:r>
      <w:r w:rsidR="00B30110">
        <w:rPr>
          <w:noProof/>
        </w:rPr>
        <w:t>5</w:t>
      </w:r>
      <w:r w:rsidR="009F2E74">
        <w:rPr>
          <w:noProof/>
        </w:rPr>
        <w:fldChar w:fldCharType="end"/>
      </w:r>
      <w:r w:rsidRPr="00E31623">
        <w:noBreakHyphen/>
      </w:r>
      <w:r w:rsidR="009F2E74">
        <w:rPr>
          <w:noProof/>
        </w:rPr>
        <w:fldChar w:fldCharType="begin"/>
      </w:r>
      <w:r w:rsidR="009F2E74">
        <w:rPr>
          <w:noProof/>
        </w:rPr>
        <w:instrText xml:space="preserve"> SEQ Figure \* ARABIC \s 1 </w:instrText>
      </w:r>
      <w:r w:rsidR="009F2E74">
        <w:rPr>
          <w:noProof/>
        </w:rPr>
        <w:fldChar w:fldCharType="separate"/>
      </w:r>
      <w:r w:rsidR="00B30110">
        <w:rPr>
          <w:noProof/>
        </w:rPr>
        <w:t>1</w:t>
      </w:r>
      <w:r w:rsidR="009F2E74">
        <w:rPr>
          <w:noProof/>
        </w:rPr>
        <w:fldChar w:fldCharType="end"/>
      </w:r>
      <w:bookmarkEnd w:id="106"/>
      <w:r w:rsidRPr="00E31623">
        <w:t>: Methodology for Estimating Cooling Loads</w:t>
      </w:r>
      <w:bookmarkEnd w:id="107"/>
    </w:p>
    <w:p w14:paraId="1BE37016" w14:textId="77777777" w:rsidR="007E1157" w:rsidRPr="002673C9" w:rsidRDefault="007E1157" w:rsidP="007E1157">
      <w:pPr>
        <w:pStyle w:val="Text"/>
        <w:jc w:val="center"/>
        <w:rPr>
          <w:highlight w:val="cyan"/>
        </w:rPr>
      </w:pPr>
      <w:r w:rsidRPr="002673C9">
        <w:rPr>
          <w:noProof/>
          <w:highlight w:val="cyan"/>
        </w:rPr>
        <w:drawing>
          <wp:inline distT="0" distB="0" distL="0" distR="0" wp14:anchorId="7918F232" wp14:editId="21A398F4">
            <wp:extent cx="5181600" cy="3762347"/>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8510" cy="3789147"/>
                    </a:xfrm>
                    <a:prstGeom prst="rect">
                      <a:avLst/>
                    </a:prstGeom>
                    <a:noFill/>
                  </pic:spPr>
                </pic:pic>
              </a:graphicData>
            </a:graphic>
          </wp:inline>
        </w:drawing>
      </w:r>
    </w:p>
    <w:p w14:paraId="7F4FC4AB" w14:textId="2DDEDC71" w:rsidR="007E1157" w:rsidRPr="00F04381" w:rsidRDefault="007E1157" w:rsidP="00C42451">
      <w:pPr>
        <w:pStyle w:val="Text"/>
        <w:jc w:val="both"/>
      </w:pPr>
      <w:r w:rsidRPr="00F04381">
        <w:t xml:space="preserve">This method was able to produce estimates for average AC/heating load profiles for </w:t>
      </w:r>
      <w:r w:rsidR="00F85C60">
        <w:t>the seven</w:t>
      </w:r>
      <w:r w:rsidRPr="00F04381">
        <w:t xml:space="preserve"> different customer segments within the residential and </w:t>
      </w:r>
      <w:r w:rsidR="00C523FD">
        <w:t>small C&amp;I</w:t>
      </w:r>
      <w:r w:rsidRPr="00F04381">
        <w:t xml:space="preserve"> sectors. </w:t>
      </w:r>
    </w:p>
    <w:p w14:paraId="3238DBAB" w14:textId="5AB57298" w:rsidR="007E1157" w:rsidRPr="00F04381" w:rsidRDefault="007E1157" w:rsidP="00C42451">
      <w:pPr>
        <w:pStyle w:val="Text"/>
        <w:jc w:val="both"/>
      </w:pPr>
      <w:r w:rsidRPr="00F04381">
        <w:t xml:space="preserve">Profiles for residential water heater and pool pump loads were estimated by utilizing </w:t>
      </w:r>
      <w:r w:rsidR="007576CB">
        <w:t>end-use</w:t>
      </w:r>
      <w:r w:rsidRPr="00F04381">
        <w:t xml:space="preserve"> load data from CPS Energy’s Home Manager </w:t>
      </w:r>
      <w:r w:rsidR="00F837AA">
        <w:t>DR p</w:t>
      </w:r>
      <w:r w:rsidRPr="00F04381">
        <w:t>ro</w:t>
      </w:r>
      <w:r w:rsidR="00F92D7C">
        <w:t>gram</w:t>
      </w:r>
      <w:r w:rsidRPr="00F04381">
        <w:t xml:space="preserve">. </w:t>
      </w:r>
    </w:p>
    <w:p w14:paraId="31BCD6C5" w14:textId="5EEEC02B" w:rsidR="007E1157" w:rsidRDefault="007E1157" w:rsidP="00C42451">
      <w:pPr>
        <w:pStyle w:val="Text"/>
        <w:jc w:val="both"/>
      </w:pPr>
      <w:r w:rsidRPr="00E31623">
        <w:t>For all eligible loads, the technical potential was defined as the amount that was coincident with system peak hours for each season</w:t>
      </w:r>
      <w:r w:rsidR="00F837AA">
        <w:t xml:space="preserve">, which are </w:t>
      </w:r>
      <w:r w:rsidR="00F92D7C">
        <w:t>July and August from 5:00-6</w:t>
      </w:r>
      <w:r w:rsidR="00F837AA">
        <w:t>:00 PM for summer, and January</w:t>
      </w:r>
      <w:r w:rsidR="00F92D7C">
        <w:t xml:space="preserve"> and February</w:t>
      </w:r>
      <w:r w:rsidR="00F837AA">
        <w:t xml:space="preserve"> from 7:00-8:00 AM for winter</w:t>
      </w:r>
      <w:r w:rsidRPr="00E31623">
        <w:t xml:space="preserve">. </w:t>
      </w:r>
    </w:p>
    <w:p w14:paraId="7FAECBC7" w14:textId="597FD69B" w:rsidR="00F92D7C" w:rsidRDefault="00F92D7C" w:rsidP="00C42451">
      <w:pPr>
        <w:pStyle w:val="Text"/>
        <w:jc w:val="both"/>
      </w:pPr>
      <w:r>
        <w:t xml:space="preserve">As mentioned in Section 4, for technical potential there was also no measure breakout needed, because all measures will target the end-uses’ estimated total loads. </w:t>
      </w:r>
    </w:p>
    <w:p w14:paraId="7D841286" w14:textId="73A0B72F" w:rsidR="00F77BBF" w:rsidRDefault="00F77BBF" w:rsidP="00C42451">
      <w:pPr>
        <w:pStyle w:val="Text"/>
        <w:jc w:val="both"/>
      </w:pPr>
      <w:r>
        <w:t>In order to account for existing utility DR programs, all customers currently enrolled in a DR offering were excluded from the technical potential. This methodology was consistent across all three sectors.</w:t>
      </w:r>
    </w:p>
    <w:p w14:paraId="30C0FCF8" w14:textId="1F7F1731" w:rsidR="00246DA8" w:rsidRDefault="00553D4A" w:rsidP="00246DA8">
      <w:pPr>
        <w:pStyle w:val="Heading3"/>
        <w:tabs>
          <w:tab w:val="num" w:pos="-4950"/>
        </w:tabs>
      </w:pPr>
      <w:bookmarkStart w:id="108" w:name="_Toc5715503"/>
      <w:r>
        <w:t>DSRE Technical Potential</w:t>
      </w:r>
      <w:bookmarkEnd w:id="108"/>
    </w:p>
    <w:p w14:paraId="7232A12E" w14:textId="369617C3" w:rsidR="001C5B4B" w:rsidRDefault="00F837AA" w:rsidP="001C5B4B">
      <w:pPr>
        <w:pStyle w:val="Heading4"/>
      </w:pPr>
      <w:bookmarkStart w:id="109" w:name="_Toc5715504"/>
      <w:r>
        <w:t>PV</w:t>
      </w:r>
      <w:r w:rsidR="001C5B4B">
        <w:t xml:space="preserve"> Systems</w:t>
      </w:r>
      <w:bookmarkEnd w:id="109"/>
    </w:p>
    <w:p w14:paraId="0AB4AFAA" w14:textId="595061A4" w:rsidR="001C5B4B" w:rsidRDefault="00207153" w:rsidP="00C42451">
      <w:pPr>
        <w:pStyle w:val="Text"/>
        <w:jc w:val="both"/>
      </w:pPr>
      <w:r>
        <w:t xml:space="preserve">To determine technical potential for </w:t>
      </w:r>
      <w:r w:rsidR="00F837AA">
        <w:t>PV</w:t>
      </w:r>
      <w:r>
        <w:t xml:space="preserve"> systems, </w:t>
      </w:r>
      <w:r w:rsidR="001C5B4B">
        <w:t>Nexant estimated the percentage of rooftop</w:t>
      </w:r>
      <w:r w:rsidR="00F77BBF">
        <w:t xml:space="preserve"> square footage</w:t>
      </w:r>
      <w:r w:rsidR="001C5B4B">
        <w:t xml:space="preserve"> in </w:t>
      </w:r>
      <w:r w:rsidR="00982A9B">
        <w:t>Florida</w:t>
      </w:r>
      <w:r w:rsidR="001C5B4B">
        <w:t xml:space="preserve"> that </w:t>
      </w:r>
      <w:r w:rsidR="00F77BBF">
        <w:t>is</w:t>
      </w:r>
      <w:r w:rsidR="001C5B4B">
        <w:t xml:space="preserve"> suitable for hosting PV technology. Our estimate of technical potential for </w:t>
      </w:r>
      <w:r w:rsidR="00F837AA">
        <w:t>PV</w:t>
      </w:r>
      <w:r w:rsidR="001C5B4B">
        <w:t xml:space="preserve"> systems in this report is based in part on the available roof area and consisted of the following steps:</w:t>
      </w:r>
    </w:p>
    <w:p w14:paraId="50C3BA2A" w14:textId="645BC6A6" w:rsidR="001C5B4B" w:rsidRPr="00B1059A" w:rsidRDefault="001C5B4B" w:rsidP="00C42451">
      <w:pPr>
        <w:pStyle w:val="Mainbody-Bullets"/>
        <w:jc w:val="both"/>
      </w:pPr>
      <w:r>
        <w:t xml:space="preserve">Step 1: </w:t>
      </w:r>
      <w:r w:rsidRPr="00B1059A">
        <w:t xml:space="preserve">Outcomes from the </w:t>
      </w:r>
      <w:r>
        <w:t>forecast disaggregation</w:t>
      </w:r>
      <w:r w:rsidRPr="00B1059A">
        <w:t xml:space="preserve"> analysis were used to characterize the existing and new residential, commercial and industrial building stocks.  Relevant parameters include</w:t>
      </w:r>
      <w:r>
        <w:t>d</w:t>
      </w:r>
      <w:r w:rsidRPr="00B1059A">
        <w:t xml:space="preserve"> number of facilities</w:t>
      </w:r>
      <w:r>
        <w:t>, average number of floors,</w:t>
      </w:r>
      <w:r w:rsidRPr="00B1059A">
        <w:t xml:space="preserve"> and average premise</w:t>
      </w:r>
      <w:r>
        <w:t>s</w:t>
      </w:r>
      <w:r w:rsidRPr="00B1059A">
        <w:t xml:space="preserve"> square footage.</w:t>
      </w:r>
    </w:p>
    <w:p w14:paraId="7FC9B9F1" w14:textId="59BED82E" w:rsidR="001C5B4B" w:rsidRPr="00B1059A" w:rsidRDefault="001C5B4B" w:rsidP="00C42451">
      <w:pPr>
        <w:pStyle w:val="Mainbody-Bullets"/>
        <w:jc w:val="both"/>
      </w:pPr>
      <w:r>
        <w:t xml:space="preserve">Step 2: </w:t>
      </w:r>
      <w:r w:rsidRPr="00B1059A">
        <w:t>The total available roof area feasible for installing PV systems</w:t>
      </w:r>
      <w:r>
        <w:t xml:space="preserve"> was calculated</w:t>
      </w:r>
      <w:r w:rsidRPr="00B1059A">
        <w:t>.  Relevant parameters include</w:t>
      </w:r>
      <w:r>
        <w:t>d</w:t>
      </w:r>
      <w:r w:rsidRPr="00B1059A">
        <w:t xml:space="preserve"> share of pitched and flat roofs and unusable area due to other rooftop equipment.</w:t>
      </w:r>
    </w:p>
    <w:p w14:paraId="78EF46D6" w14:textId="77777777" w:rsidR="001C5B4B" w:rsidRPr="00B1059A" w:rsidRDefault="001C5B4B" w:rsidP="00C42451">
      <w:pPr>
        <w:pStyle w:val="Mainbody-Bullets"/>
        <w:jc w:val="both"/>
      </w:pPr>
      <w:r>
        <w:t xml:space="preserve">Step 3: </w:t>
      </w:r>
      <w:r w:rsidRPr="00B1059A">
        <w:t>Estimate</w:t>
      </w:r>
      <w:r>
        <w:t>d</w:t>
      </w:r>
      <w:r w:rsidRPr="00B1059A">
        <w:t xml:space="preserve"> the expected power density (kW per square foot of roof area).</w:t>
      </w:r>
    </w:p>
    <w:p w14:paraId="0E7D7C5A" w14:textId="0C202191" w:rsidR="001C5B4B" w:rsidRDefault="001C5B4B" w:rsidP="00C42451">
      <w:pPr>
        <w:pStyle w:val="Mainbody-Bullets"/>
        <w:jc w:val="both"/>
      </w:pPr>
      <w:r>
        <w:t>Step 4: Using PVWatts</w:t>
      </w:r>
      <w:r>
        <w:rPr>
          <w:rStyle w:val="FootnoteReference"/>
        </w:rPr>
        <w:footnoteReference w:id="7"/>
      </w:r>
      <w:r w:rsidR="00845C08">
        <w:t>, secondary research,</w:t>
      </w:r>
      <w:r w:rsidR="00F837AA">
        <w:t xml:space="preserve"> </w:t>
      </w:r>
      <w:r>
        <w:t>a</w:t>
      </w:r>
      <w:r w:rsidRPr="00B1059A">
        <w:t xml:space="preserve">nd </w:t>
      </w:r>
      <w:r w:rsidR="00F837AA">
        <w:t>M&amp;V</w:t>
      </w:r>
      <w:r>
        <w:t xml:space="preserve"> </w:t>
      </w:r>
      <w:r w:rsidRPr="00B1059A">
        <w:t xml:space="preserve">evaluations </w:t>
      </w:r>
      <w:r w:rsidR="00F837AA">
        <w:t>of</w:t>
      </w:r>
      <w:r w:rsidRPr="00B1059A">
        <w:t xml:space="preserve"> PV systems</w:t>
      </w:r>
      <w:r>
        <w:t xml:space="preserve">, Nexant used its technical potential </w:t>
      </w:r>
      <w:r w:rsidR="00F837AA">
        <w:t>PV</w:t>
      </w:r>
      <w:r>
        <w:t xml:space="preserve"> calculator to calculate energy generation/savings using researched</w:t>
      </w:r>
      <w:r w:rsidRPr="00B1059A">
        <w:t xml:space="preserve"> system capacity factors. </w:t>
      </w:r>
    </w:p>
    <w:p w14:paraId="7F183EDD" w14:textId="171937FA" w:rsidR="001C5B4B" w:rsidRDefault="001C5B4B" w:rsidP="00C42451">
      <w:pPr>
        <w:pStyle w:val="Text"/>
        <w:jc w:val="both"/>
      </w:pPr>
      <w:r>
        <w:t xml:space="preserve">The methodology presented in this report uses the following formula to estimate overall technical potential of </w:t>
      </w:r>
      <w:r w:rsidR="00F837AA">
        <w:t>PVs</w:t>
      </w:r>
      <w:r>
        <w:t>:</w:t>
      </w:r>
    </w:p>
    <w:p w14:paraId="2C94ED17" w14:textId="6A3C8615" w:rsidR="00E1466F" w:rsidRDefault="00E1466F" w:rsidP="0031633B">
      <w:pPr>
        <w:pStyle w:val="Caption"/>
        <w:spacing w:after="120"/>
        <w:rPr>
          <w:rFonts w:ascii="Microsoft Sans Serif" w:hAnsi="Microsoft Sans Serif"/>
          <w:szCs w:val="22"/>
        </w:rPr>
      </w:pPr>
      <w:r>
        <w:t xml:space="preserve">Equation </w:t>
      </w:r>
      <w:r>
        <w:rPr>
          <w:noProof/>
        </w:rPr>
        <w:fldChar w:fldCharType="begin"/>
      </w:r>
      <w:r>
        <w:rPr>
          <w:noProof/>
        </w:rPr>
        <w:instrText xml:space="preserve"> STYLEREF 1 \s </w:instrText>
      </w:r>
      <w:r>
        <w:rPr>
          <w:noProof/>
        </w:rPr>
        <w:fldChar w:fldCharType="separate"/>
      </w:r>
      <w:r w:rsidR="00B30110">
        <w:rPr>
          <w:noProof/>
        </w:rPr>
        <w:t>5</w:t>
      </w:r>
      <w:r>
        <w:rPr>
          <w:noProof/>
        </w:rPr>
        <w:fldChar w:fldCharType="end"/>
      </w:r>
      <w:r>
        <w:noBreakHyphen/>
      </w:r>
      <w:r>
        <w:rPr>
          <w:noProof/>
        </w:rPr>
        <w:fldChar w:fldCharType="begin"/>
      </w:r>
      <w:r>
        <w:rPr>
          <w:noProof/>
        </w:rPr>
        <w:instrText xml:space="preserve"> SEQ Equation \* ARABIC \s 1 </w:instrText>
      </w:r>
      <w:r>
        <w:rPr>
          <w:noProof/>
        </w:rPr>
        <w:fldChar w:fldCharType="separate"/>
      </w:r>
      <w:r w:rsidR="00B30110">
        <w:rPr>
          <w:noProof/>
        </w:rPr>
        <w:t>3</w:t>
      </w:r>
      <w:r>
        <w:rPr>
          <w:noProof/>
        </w:rPr>
        <w:fldChar w:fldCharType="end"/>
      </w:r>
      <w:r>
        <w:t xml:space="preserve">: </w:t>
      </w:r>
      <w:r w:rsidRPr="00DB3BCB">
        <w:t>Core</w:t>
      </w:r>
      <w:r>
        <w:t xml:space="preserve"> </w:t>
      </w:r>
      <w:r w:rsidRPr="00DB3BCB">
        <w:t>Equation</w:t>
      </w:r>
      <w:r>
        <w:t xml:space="preserve"> </w:t>
      </w:r>
      <w:r w:rsidRPr="00DB3BCB">
        <w:t>for</w:t>
      </w:r>
      <w:r>
        <w:t xml:space="preserve"> </w:t>
      </w:r>
      <w:r w:rsidR="00A9155B">
        <w:t>Solar</w:t>
      </w:r>
      <w:r>
        <w:t xml:space="preserve"> </w:t>
      </w:r>
      <w:r w:rsidRPr="00DB3BCB">
        <w:t>Technical</w:t>
      </w:r>
      <w:r>
        <w:t xml:space="preserve"> </w:t>
      </w:r>
      <w:r w:rsidRPr="00DB3BCB">
        <w:t>Potential</w:t>
      </w:r>
    </w:p>
    <w:p w14:paraId="370186DC" w14:textId="457938D9" w:rsidR="00B76D81" w:rsidRDefault="00B76D81" w:rsidP="00B76D81">
      <w:pPr>
        <w:pStyle w:val="Text"/>
        <w:jc w:val="center"/>
      </w:pPr>
      <w:r>
        <w:rPr>
          <w:noProof/>
        </w:rPr>
        <w:drawing>
          <wp:inline distT="0" distB="0" distL="0" distR="0" wp14:anchorId="24447A4D" wp14:editId="26A0FFE7">
            <wp:extent cx="5654040" cy="1055143"/>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9281" cy="1061720"/>
                    </a:xfrm>
                    <a:prstGeom prst="rect">
                      <a:avLst/>
                    </a:prstGeom>
                    <a:noFill/>
                  </pic:spPr>
                </pic:pic>
              </a:graphicData>
            </a:graphic>
          </wp:inline>
        </w:drawing>
      </w:r>
    </w:p>
    <w:p w14:paraId="4B81E255" w14:textId="77777777" w:rsidR="00F15E6D" w:rsidRDefault="00F15E6D" w:rsidP="00F15E6D">
      <w:pPr>
        <w:pStyle w:val="Text"/>
      </w:pPr>
      <w:r>
        <w:t>Where:</w:t>
      </w:r>
    </w:p>
    <w:p w14:paraId="50D4AD7F" w14:textId="77777777" w:rsidR="00F15E6D" w:rsidRPr="00174841" w:rsidRDefault="00F15E6D" w:rsidP="00C42451">
      <w:pPr>
        <w:pStyle w:val="Text"/>
        <w:jc w:val="both"/>
      </w:pPr>
      <w:r w:rsidRPr="00174841">
        <w:rPr>
          <w:b/>
        </w:rPr>
        <w:t>Usable PV Area for Residential</w:t>
      </w:r>
      <w:r>
        <w:t xml:space="preserve">: </w:t>
      </w:r>
      <w:r w:rsidRPr="00174841">
        <w:t>(Total Floor Area</w:t>
      </w:r>
      <w:r w:rsidRPr="00174841">
        <w:rPr>
          <w:rStyle w:val="FootnoteReference"/>
          <w:rFonts w:cs="Microsoft Sans Serif"/>
        </w:rPr>
        <w:footnoteReference w:id="8"/>
      </w:r>
      <w:r w:rsidRPr="00174841">
        <w:t xml:space="preserve"> / Average No. of Stories</w:t>
      </w:r>
      <w:r w:rsidRPr="00174841">
        <w:rPr>
          <w:rStyle w:val="FootnoteReference"/>
          <w:rFonts w:cs="Microsoft Sans Serif"/>
        </w:rPr>
        <w:footnoteReference w:id="9"/>
      </w:r>
      <w:r w:rsidRPr="00174841">
        <w:t>) x ((% of Sloped Roofs x Usable Area of Sloped Roofs) + (% of Flat Roofs x Usable Area of Flat Roofs))</w:t>
      </w:r>
    </w:p>
    <w:p w14:paraId="0A10BA15" w14:textId="77777777" w:rsidR="00F15E6D" w:rsidRPr="00174841" w:rsidRDefault="00F15E6D" w:rsidP="00C42451">
      <w:pPr>
        <w:pStyle w:val="Text"/>
        <w:jc w:val="both"/>
      </w:pPr>
      <w:r w:rsidRPr="00174841">
        <w:rPr>
          <w:b/>
        </w:rPr>
        <w:t>Usable PV Area for Commercial</w:t>
      </w:r>
      <w:r>
        <w:t>:</w:t>
      </w:r>
      <w:r w:rsidRPr="00174841">
        <w:t xml:space="preserve"> Total Floor Area</w:t>
      </w:r>
      <w:r w:rsidRPr="00174841">
        <w:rPr>
          <w:rStyle w:val="FootnoteReference"/>
          <w:rFonts w:cs="Microsoft Sans Serif"/>
        </w:rPr>
        <w:footnoteReference w:id="10"/>
      </w:r>
      <w:r w:rsidRPr="00174841">
        <w:t xml:space="preserve"> x ((% of Sloped Roofs x Usable Area of Sloped Roofs) + (% of Flat Roofs x Usable Area of Flat Roofs))</w:t>
      </w:r>
    </w:p>
    <w:p w14:paraId="3EBF5C0B" w14:textId="77777777" w:rsidR="00F15E6D" w:rsidRPr="00174841" w:rsidRDefault="00F15E6D" w:rsidP="00C42451">
      <w:pPr>
        <w:pStyle w:val="Text"/>
        <w:jc w:val="both"/>
      </w:pPr>
      <w:r>
        <w:rPr>
          <w:b/>
        </w:rPr>
        <w:t xml:space="preserve">PV Density </w:t>
      </w:r>
      <w:r w:rsidRPr="00174841">
        <w:rPr>
          <w:b/>
        </w:rPr>
        <w:t xml:space="preserve">(Watts/Square foot): </w:t>
      </w:r>
      <w:r w:rsidRPr="00174841">
        <w:t xml:space="preserve">Maximum power generated in Watts per square foot of solar panel. </w:t>
      </w:r>
    </w:p>
    <w:p w14:paraId="4E3AF679" w14:textId="77777777" w:rsidR="00F15E6D" w:rsidRPr="00174841" w:rsidRDefault="00F15E6D" w:rsidP="00C42451">
      <w:pPr>
        <w:pStyle w:val="Text"/>
        <w:jc w:val="both"/>
      </w:pPr>
      <w:r w:rsidRPr="00174841">
        <w:rPr>
          <w:b/>
        </w:rPr>
        <w:t>Capacity Factor:</w:t>
      </w:r>
      <w:r w:rsidRPr="00174841">
        <w:t xml:space="preserve"> Annual Energy Generation Factor for PV</w:t>
      </w:r>
    </w:p>
    <w:p w14:paraId="470E700D" w14:textId="020EC4DB" w:rsidR="00F15E6D" w:rsidRPr="00174841" w:rsidRDefault="00F15E6D" w:rsidP="00C42451">
      <w:pPr>
        <w:pStyle w:val="Text"/>
        <w:jc w:val="both"/>
      </w:pPr>
      <w:r w:rsidRPr="00174841">
        <w:rPr>
          <w:b/>
        </w:rPr>
        <w:t>Energy Savings Factor:</w:t>
      </w:r>
      <w:r w:rsidRPr="00174841">
        <w:t xml:space="preserve"> AC Energy Conversion factor for each kW of the system, obtained from PV W</w:t>
      </w:r>
      <w:r w:rsidR="00F77BBF">
        <w:t>atts. Energy Savings Factor = Alternating Current System Output (kWh)/ Direct Current</w:t>
      </w:r>
      <w:r w:rsidRPr="00174841">
        <w:t xml:space="preserve"> System Size (kW) </w:t>
      </w:r>
    </w:p>
    <w:p w14:paraId="72245F26" w14:textId="3C6AD285" w:rsidR="001C5B4B" w:rsidRDefault="00E60A9C" w:rsidP="00C42451">
      <w:pPr>
        <w:pStyle w:val="Heading4"/>
        <w:jc w:val="both"/>
      </w:pPr>
      <w:bookmarkStart w:id="110" w:name="_Toc5715505"/>
      <w:r>
        <w:t xml:space="preserve">Battery Storage </w:t>
      </w:r>
      <w:r w:rsidR="001C5B4B">
        <w:t>Systems</w:t>
      </w:r>
      <w:bookmarkEnd w:id="110"/>
    </w:p>
    <w:p w14:paraId="1020A90C" w14:textId="1764F022" w:rsidR="001C5B4B" w:rsidRDefault="00D245DB" w:rsidP="00C42451">
      <w:pPr>
        <w:pStyle w:val="Text"/>
        <w:jc w:val="both"/>
      </w:pPr>
      <w:r>
        <w:t>Battery</w:t>
      </w:r>
      <w:r w:rsidR="00207153">
        <w:t xml:space="preserve"> storage systems </w:t>
      </w:r>
      <w:r>
        <w:t xml:space="preserve">on their own do not generate power or create efficiency improvements, but store power for use at different times.  Therefore, in analyzing the technical potential for battery storage systems, the source of the stored power and overlap with technical potential identified in other categories was considered.  </w:t>
      </w:r>
    </w:p>
    <w:p w14:paraId="7E998CCF" w14:textId="52092868" w:rsidR="00E1466F" w:rsidRDefault="00D245DB" w:rsidP="00C42451">
      <w:pPr>
        <w:pStyle w:val="Text"/>
        <w:jc w:val="both"/>
      </w:pPr>
      <w:r>
        <w:t xml:space="preserve">Battery storage systems that are powered directly from the grid do not produce </w:t>
      </w:r>
      <w:r w:rsidR="00E1466F">
        <w:t xml:space="preserve">annual </w:t>
      </w:r>
      <w:r>
        <w:t xml:space="preserve">energy savings but may be used to shift or curtail load during particular time periods.  As the DR technical potential analyzes curtailment opportunities </w:t>
      </w:r>
      <w:r w:rsidR="00E1466F">
        <w:t>for the summer and winter peak period, and battery storage systems can be used as a DR technology, the study concluded that no additional technical potential should be claimed for grid-powered battery systems</w:t>
      </w:r>
      <w:r w:rsidR="00A40EA1">
        <w:t xml:space="preserve"> beyond that already attributed to DR</w:t>
      </w:r>
      <w:r w:rsidR="00E1466F">
        <w:t>.</w:t>
      </w:r>
    </w:p>
    <w:p w14:paraId="0BB2A19A" w14:textId="4460021C" w:rsidR="0031633B" w:rsidRDefault="00E1466F" w:rsidP="00C42451">
      <w:pPr>
        <w:pStyle w:val="Text"/>
        <w:jc w:val="both"/>
      </w:pPr>
      <w:r>
        <w:t xml:space="preserve">Battery storage systems that are connected to on-site PV systems also do not produce additional energy savings beyond the energy produced from the PV system.  However, PV-connected battery systems do create the opportunity to store energy during period when the PV system is generating more than the home or business is consuming, and use that stored power during </w:t>
      </w:r>
      <w:r w:rsidR="00A40EA1">
        <w:t xml:space="preserve">utility system </w:t>
      </w:r>
      <w:r>
        <w:t>peak periods.  To determine the additional technical potential peak demand savings for “solar plus storage” systems,</w:t>
      </w:r>
      <w:r w:rsidR="0031633B">
        <w:t xml:space="preserve"> our methodology consisted of the following steps:</w:t>
      </w:r>
    </w:p>
    <w:p w14:paraId="4BE12568" w14:textId="331666C8" w:rsidR="00D245DB" w:rsidRDefault="0031633B" w:rsidP="00C42451">
      <w:pPr>
        <w:pStyle w:val="Mainbody-Bullets"/>
        <w:jc w:val="both"/>
      </w:pPr>
      <w:r>
        <w:t>Develop an 8,760 hour annual load shape for a PV system based on estimated annual hours of available sunlight.</w:t>
      </w:r>
    </w:p>
    <w:p w14:paraId="49C853B7" w14:textId="11B61CBB" w:rsidR="0031633B" w:rsidRDefault="0031633B" w:rsidP="00C42451">
      <w:pPr>
        <w:pStyle w:val="Mainbody-Bullets"/>
        <w:jc w:val="both"/>
      </w:pPr>
      <w:r>
        <w:t>Compare the PV generation with a total home or total business 8,760 hour annual load shape to determine the hours that the full solar energy is used and the hours where excess solar power is generated.</w:t>
      </w:r>
    </w:p>
    <w:p w14:paraId="7D71CC43" w14:textId="6962A647" w:rsidR="0031633B" w:rsidRDefault="0031633B" w:rsidP="00C42451">
      <w:pPr>
        <w:pStyle w:val="Mainbody-Bullets"/>
        <w:jc w:val="both"/>
      </w:pPr>
      <w:r>
        <w:t>Develop a battery charg</w:t>
      </w:r>
      <w:r w:rsidR="00102DA8">
        <w:t>e/discharge</w:t>
      </w:r>
      <w:r>
        <w:t xml:space="preserve"> </w:t>
      </w:r>
      <w:r w:rsidR="00102DA8">
        <w:t xml:space="preserve">8,760 </w:t>
      </w:r>
      <w:r>
        <w:t xml:space="preserve">load profile to identify available </w:t>
      </w:r>
      <w:r w:rsidR="00E10600">
        <w:t xml:space="preserve">stored </w:t>
      </w:r>
      <w:r>
        <w:t>load during summer and winter peak periods</w:t>
      </w:r>
      <w:r w:rsidR="00E10600">
        <w:t>, which was applied as the technical potential</w:t>
      </w:r>
      <w:r>
        <w:t>.</w:t>
      </w:r>
    </w:p>
    <w:p w14:paraId="7466EF65" w14:textId="1AEA054F" w:rsidR="001C5B4B" w:rsidRDefault="00F77BBF" w:rsidP="00C42451">
      <w:pPr>
        <w:pStyle w:val="Heading4"/>
        <w:jc w:val="both"/>
      </w:pPr>
      <w:bookmarkStart w:id="111" w:name="_Toc5715506"/>
      <w:r>
        <w:t>CHP</w:t>
      </w:r>
      <w:r w:rsidR="001C5B4B">
        <w:t xml:space="preserve"> Systems</w:t>
      </w:r>
      <w:bookmarkEnd w:id="111"/>
    </w:p>
    <w:p w14:paraId="51DB506D" w14:textId="37547A60" w:rsidR="001C5B4B" w:rsidRPr="000E10EF" w:rsidRDefault="00F77BBF" w:rsidP="00C42451">
      <w:pPr>
        <w:pStyle w:val="Text"/>
        <w:jc w:val="both"/>
      </w:pPr>
      <w:r>
        <w:t>The CHP</w:t>
      </w:r>
      <w:r w:rsidR="001C5B4B">
        <w:t xml:space="preserve"> analysis created </w:t>
      </w:r>
      <w:r w:rsidR="001C5B4B" w:rsidRPr="000E10EF">
        <w:t xml:space="preserve">a </w:t>
      </w:r>
      <w:r w:rsidR="001C5B4B">
        <w:t xml:space="preserve">series of </w:t>
      </w:r>
      <w:r w:rsidR="001C5B4B" w:rsidRPr="000E10EF">
        <w:t xml:space="preserve">unique </w:t>
      </w:r>
      <w:r w:rsidR="001C5B4B">
        <w:t xml:space="preserve">distributed generation </w:t>
      </w:r>
      <w:r w:rsidR="001C5B4B" w:rsidRPr="000E10EF">
        <w:t>potential model</w:t>
      </w:r>
      <w:r w:rsidR="001C5B4B">
        <w:t>s</w:t>
      </w:r>
      <w:r w:rsidR="001C5B4B" w:rsidRPr="000E10EF">
        <w:t xml:space="preserve"> for each pr</w:t>
      </w:r>
      <w:r w:rsidR="008F6EEB">
        <w:t>imary market sector</w:t>
      </w:r>
      <w:r w:rsidR="00B75F6C">
        <w:t xml:space="preserve"> (commercial</w:t>
      </w:r>
      <w:r w:rsidR="001C5B4B" w:rsidRPr="000E10EF">
        <w:t xml:space="preserve"> and industrial</w:t>
      </w:r>
      <w:r w:rsidR="001C5B4B">
        <w:t>)</w:t>
      </w:r>
      <w:r w:rsidR="001C5B4B" w:rsidRPr="000E10EF">
        <w:t xml:space="preserve">. </w:t>
      </w:r>
    </w:p>
    <w:p w14:paraId="29A89537" w14:textId="2C6FAB84" w:rsidR="001C5B4B" w:rsidRDefault="00A40EA1" w:rsidP="00C42451">
      <w:pPr>
        <w:pStyle w:val="Text"/>
        <w:jc w:val="both"/>
      </w:pPr>
      <w:r>
        <w:t xml:space="preserve">Only </w:t>
      </w:r>
      <w:r w:rsidR="00F77BBF">
        <w:t xml:space="preserve">non-residential </w:t>
      </w:r>
      <w:r>
        <w:t>customer segments</w:t>
      </w:r>
      <w:r w:rsidR="001C5B4B">
        <w:t xml:space="preserve"> </w:t>
      </w:r>
      <w:r w:rsidR="00F77BBF">
        <w:t>w</w:t>
      </w:r>
      <w:r w:rsidR="001C5B4B">
        <w:t xml:space="preserve">hose electric and thermal load profiles allow for the application of CHP were considered. </w:t>
      </w:r>
      <w:r w:rsidR="00EB3723">
        <w:t>T</w:t>
      </w:r>
      <w:r w:rsidR="00327C93">
        <w:t>he technical p</w:t>
      </w:r>
      <w:r w:rsidR="00EB3723">
        <w:t>otential analysis followed a three</w:t>
      </w:r>
      <w:r w:rsidR="00D66C62">
        <w:t>-step process</w:t>
      </w:r>
      <w:r>
        <w:t>.  F</w:t>
      </w:r>
      <w:r w:rsidR="00D66C62">
        <w:t xml:space="preserve">irst, </w:t>
      </w:r>
      <w:r w:rsidR="00327C93">
        <w:t xml:space="preserve">minimum </w:t>
      </w:r>
      <w:r w:rsidR="00EB3723">
        <w:t>facilities size thresholds were determined for each non-residential customer segment.  Next, the full population of non-residential customers were segmented and screened based on the size threshold established for that segment.  Finally, the facilities that were of sufficient size were matched with the app</w:t>
      </w:r>
      <w:r>
        <w:t>ropriately sized CHP technology</w:t>
      </w:r>
      <w:r w:rsidR="00EB3723">
        <w:t>.</w:t>
      </w:r>
    </w:p>
    <w:p w14:paraId="43711AEC" w14:textId="20B4B125" w:rsidR="00A40EA1" w:rsidRDefault="00EB3723" w:rsidP="00C42451">
      <w:pPr>
        <w:pStyle w:val="Text"/>
        <w:jc w:val="both"/>
      </w:pPr>
      <w:r>
        <w:t>To determine the minimum threshold for CHP suitability, a</w:t>
      </w:r>
      <w:r w:rsidR="001C5B4B">
        <w:t xml:space="preserve"> thermal factor was applied to potential candidate customer loads to reflect thermal load considerations in CHP sizing. In most cases, on-site thermal energy demand is smaller than electrical demand. Thus, CHP size is usually dictated by the thermal load in order to achieve </w:t>
      </w:r>
      <w:r w:rsidR="00A40EA1">
        <w:t xml:space="preserve">improved </w:t>
      </w:r>
      <w:r w:rsidR="001C5B4B">
        <w:t>efficiencies</w:t>
      </w:r>
      <w:r w:rsidR="00A40EA1">
        <w:t>.</w:t>
      </w:r>
      <w:r w:rsidR="001C5B4B">
        <w:t xml:space="preserve"> </w:t>
      </w:r>
    </w:p>
    <w:p w14:paraId="1EBCE22D" w14:textId="77777777" w:rsidR="00F77BBF" w:rsidRDefault="00F77BBF" w:rsidP="00F77BBF">
      <w:pPr>
        <w:pStyle w:val="Text"/>
      </w:pPr>
      <w:r>
        <w:t xml:space="preserve">The study collected electric and thermal intensity data from other recent CHP studies.  For industrial customers, Nexant assumed that the thermal load would primarily be used for process operations and was not modified from the secondary data sources for Florida climate conditions.  For commercial customers, the thermal load is more commonly made up of water heating, space heating, and space cooling (through the use of an absorption chiller).  Therefore, to account for the hot and humid climate in Florida, which traditionally limits weather-dependent internal heating loads, commercial customers’ thermal loads were adjusted to incorporate a higher proportion of space cooling to space heating as available opportunities for waste heat recovery.  </w:t>
      </w:r>
    </w:p>
    <w:p w14:paraId="4F3DA8AC" w14:textId="77777777" w:rsidR="00F77BBF" w:rsidRDefault="00F77BBF" w:rsidP="00F77BBF">
      <w:pPr>
        <w:pStyle w:val="Text"/>
      </w:pPr>
      <w:r>
        <w:t xml:space="preserve">After determination of minimum kWh thresholds by segment, Nexant used the utility-provided customer data with NAICS or SIC codes as well as annual consumption data, and categorized all non-residential customers by segment and size.  </w:t>
      </w:r>
      <w:r w:rsidRPr="006F1030">
        <w:t xml:space="preserve">Customers with </w:t>
      </w:r>
      <w:r>
        <w:t>annual loads below the kWh thresholds</w:t>
      </w:r>
      <w:r w:rsidRPr="006F1030">
        <w:t xml:space="preserve"> are not expected to have the consistent electric and thermal loads necessary to support CHP</w:t>
      </w:r>
      <w:r>
        <w:t xml:space="preserve"> and were eliminated from consideration</w:t>
      </w:r>
      <w:r w:rsidRPr="006F1030">
        <w:t>.</w:t>
      </w:r>
      <w:r>
        <w:t xml:space="preserve"> </w:t>
      </w:r>
    </w:p>
    <w:p w14:paraId="02C60E86" w14:textId="0B7C9D8A" w:rsidR="006F1030" w:rsidRDefault="00F77BBF" w:rsidP="00F77BBF">
      <w:pPr>
        <w:pStyle w:val="Text"/>
        <w:jc w:val="both"/>
      </w:pPr>
      <w:r>
        <w:t>In general, internal combustion engines are the prime mover for systems under 500kW with gas turbines becoming progressively more popular as system size increases above that. Based on the available load by customer, adjusted by the estimated thermal factor for each segment, CHP technologies were assigned to utility customers in a top-down fashion (</w:t>
      </w:r>
      <w:r w:rsidRPr="00AA6369">
        <w:rPr>
          <w:i/>
        </w:rPr>
        <w:t>i.e.</w:t>
      </w:r>
      <w:r>
        <w:t xml:space="preserve"> starting with the largest CHP generators).  </w:t>
      </w:r>
      <w:r w:rsidR="006F1030">
        <w:t xml:space="preserve">  </w:t>
      </w:r>
    </w:p>
    <w:p w14:paraId="046A8C0E" w14:textId="77777777" w:rsidR="00E374E3" w:rsidRDefault="00E374E3" w:rsidP="00E374E3">
      <w:pPr>
        <w:pStyle w:val="Heading5"/>
      </w:pPr>
      <w:r>
        <w:t>Measure Interaction</w:t>
      </w:r>
    </w:p>
    <w:p w14:paraId="068BB65A" w14:textId="6A39FA52" w:rsidR="00E374E3" w:rsidRDefault="00F77BBF" w:rsidP="00E374E3">
      <w:pPr>
        <w:pStyle w:val="Text"/>
      </w:pPr>
      <w:r>
        <w:t>PV systems and battery storage charged from PV systems were analyzed collectively due to their common power generation source; and therefore, the identified technical potential for these systems is additive.  However, CHP systems were independently analyzed for technical potential without consideration of the competition between DSRE technologies or customer preference for a particular DSRE system.  Therefore, results for CHP technical potential should not be combined with PV systems or battery storage systems for overall DSRE potential but used as independent estimates.</w:t>
      </w:r>
    </w:p>
    <w:p w14:paraId="03CE4A06" w14:textId="46DF622C" w:rsidR="001C5B4B" w:rsidRDefault="00207153" w:rsidP="00C42451">
      <w:pPr>
        <w:pStyle w:val="Heading3"/>
        <w:jc w:val="both"/>
      </w:pPr>
      <w:bookmarkStart w:id="112" w:name="_Toc5715507"/>
      <w:r>
        <w:t>Interaction of Technical Potential Impacts</w:t>
      </w:r>
      <w:bookmarkEnd w:id="112"/>
    </w:p>
    <w:p w14:paraId="03358B74" w14:textId="77777777" w:rsidR="00E374E3" w:rsidRDefault="00E374E3" w:rsidP="00E374E3">
      <w:pPr>
        <w:pStyle w:val="Text"/>
      </w:pPr>
      <w:r>
        <w:t>As described above, the technical potential was estimated using separate models for EE, DR, and DSRE systems.  However, there is interaction between these technologies; for example, a more efficient HVAC system would result in a reduced peak demand available for DR curtailment.  Therefore, after development of the independent models, the interaction between EE, DR, and DSRE was incorporated as follows:</w:t>
      </w:r>
    </w:p>
    <w:p w14:paraId="383386C1" w14:textId="77777777" w:rsidR="00E374E3" w:rsidRDefault="00E374E3" w:rsidP="00E374E3">
      <w:pPr>
        <w:pStyle w:val="Mainbody-Bullets"/>
      </w:pPr>
      <w:r>
        <w:t>The EE technical potential was assumed to be implemented first, followed by DR technical potential and DSRE technical potential.</w:t>
      </w:r>
    </w:p>
    <w:p w14:paraId="2BC57B00" w14:textId="77777777" w:rsidR="00E374E3" w:rsidRDefault="00E374E3" w:rsidP="00E374E3">
      <w:pPr>
        <w:pStyle w:val="Mainbody-Bullets"/>
      </w:pPr>
      <w:r>
        <w:t>To account for the impact of EE technical potential on DR, the baseline load forecast for the applicable end-uses was adjusted by the EE technical potential, resulting in a reduction in baseline load available for curtailment.</w:t>
      </w:r>
    </w:p>
    <w:p w14:paraId="520C7428" w14:textId="77777777" w:rsidR="00E374E3" w:rsidRDefault="00E374E3" w:rsidP="00E374E3">
      <w:pPr>
        <w:pStyle w:val="Mainbody-Bullets"/>
      </w:pPr>
      <w:r>
        <w:t xml:space="preserve">For DSRE systems, the EE and DR technical potential was incorporated in a similar fashion, adjusting the baseline load used to estimate DSRE potential.  </w:t>
      </w:r>
    </w:p>
    <w:p w14:paraId="42D11579" w14:textId="77777777" w:rsidR="00E374E3" w:rsidRDefault="00E374E3" w:rsidP="00E374E3">
      <w:pPr>
        <w:pStyle w:val="Mainbody-Bullets"/>
        <w:numPr>
          <w:ilvl w:val="1"/>
          <w:numId w:val="4"/>
        </w:numPr>
      </w:pPr>
      <w:r>
        <w:t xml:space="preserve">For the PV analysis this did not impact the results as the EE and DR technical potential did not affect the amount of PV that could be installed on available rooftops.  </w:t>
      </w:r>
    </w:p>
    <w:p w14:paraId="6A318EDB" w14:textId="77777777" w:rsidR="00E374E3" w:rsidRDefault="00E374E3" w:rsidP="00E374E3">
      <w:pPr>
        <w:pStyle w:val="Mainbody-Bullets"/>
        <w:numPr>
          <w:ilvl w:val="1"/>
          <w:numId w:val="4"/>
        </w:numPr>
      </w:pPr>
      <w:r>
        <w:t xml:space="preserve">For the battery storage coupled with PV, the reduced baseline load from EE resulted in additional PV-generated energy being available for the battery systems and for use during peak periods.  The impact of DR events during the assumed curtailment hours was incorporated into the modeling of available battery storage and discharge loads.  </w:t>
      </w:r>
    </w:p>
    <w:p w14:paraId="0A4267D7" w14:textId="763E544B" w:rsidR="00E374E3" w:rsidRDefault="00E374E3" w:rsidP="00E374E3">
      <w:pPr>
        <w:pStyle w:val="Mainbody-Bullets"/>
        <w:numPr>
          <w:ilvl w:val="1"/>
          <w:numId w:val="4"/>
        </w:numPr>
      </w:pPr>
      <w:r>
        <w:t xml:space="preserve">For CHP systems, the reduced baseline load from EE resulted in a reduction in the number of facilities that met the annual energy threshold needed for CHP installations.  Installed DR capacity was assumed to not impact CHP potential as the CHP system feasibility was determined based on energy and thermal consumption at the facility.  It should be noted that CHP systems not connected to the grid could impact the amount of load available for curtailment with utility-sponsored DR. Therefore, CHP technical potential should not be combined with DR potential but used as independent estimates. </w:t>
      </w:r>
    </w:p>
    <w:p w14:paraId="20C7305C" w14:textId="77777777" w:rsidR="00E10600" w:rsidRPr="00E10600" w:rsidRDefault="00E10600" w:rsidP="00E10600">
      <w:pPr>
        <w:pStyle w:val="Text"/>
        <w:sectPr w:rsidR="00E10600" w:rsidRPr="00E10600" w:rsidSect="00AC4E83">
          <w:headerReference w:type="default" r:id="rId40"/>
          <w:footerReference w:type="default" r:id="rId41"/>
          <w:headerReference w:type="first" r:id="rId42"/>
          <w:footerReference w:type="first" r:id="rId43"/>
          <w:pgSz w:w="12240" w:h="15840"/>
          <w:pgMar w:top="1440" w:right="1224" w:bottom="1440" w:left="1224" w:header="720" w:footer="720" w:gutter="0"/>
          <w:cols w:space="720"/>
          <w:titlePg/>
          <w:docGrid w:linePitch="299"/>
        </w:sectPr>
      </w:pPr>
    </w:p>
    <w:p w14:paraId="6401EA44" w14:textId="400247A5" w:rsidR="00EE455B" w:rsidRDefault="007576CB" w:rsidP="00A205AA">
      <w:pPr>
        <w:pStyle w:val="Heading2"/>
      </w:pPr>
      <w:bookmarkStart w:id="113" w:name="_Toc5715508"/>
      <w:r>
        <w:t>EE</w:t>
      </w:r>
      <w:r w:rsidR="00CC6896">
        <w:t xml:space="preserve"> </w:t>
      </w:r>
      <w:r w:rsidR="00EE455B">
        <w:t>Technical Potential</w:t>
      </w:r>
      <w:bookmarkEnd w:id="113"/>
    </w:p>
    <w:p w14:paraId="6401EA46" w14:textId="77777777" w:rsidR="00BD2252" w:rsidRDefault="00BD2252" w:rsidP="00901758">
      <w:pPr>
        <w:pStyle w:val="Heading3"/>
      </w:pPr>
      <w:bookmarkStart w:id="114" w:name="_Toc5715509"/>
      <w:r>
        <w:t>Summary</w:t>
      </w:r>
      <w:bookmarkEnd w:id="114"/>
    </w:p>
    <w:p w14:paraId="6401EA47" w14:textId="0ED047DA" w:rsidR="00BD2252" w:rsidRDefault="00B826F5" w:rsidP="00BD2252">
      <w:pPr>
        <w:pStyle w:val="Text"/>
      </w:pPr>
      <w:r>
        <w:fldChar w:fldCharType="begin"/>
      </w:r>
      <w:r>
        <w:instrText xml:space="preserve"> REF _Ref457987424 \h </w:instrText>
      </w:r>
      <w:r>
        <w:fldChar w:fldCharType="separate"/>
      </w:r>
      <w:r w:rsidR="00B30110">
        <w:t xml:space="preserve">Table </w:t>
      </w:r>
      <w:r w:rsidR="00B30110">
        <w:rPr>
          <w:noProof/>
        </w:rPr>
        <w:t>5</w:t>
      </w:r>
      <w:r w:rsidR="00B30110">
        <w:noBreakHyphen/>
      </w:r>
      <w:r w:rsidR="00B30110">
        <w:rPr>
          <w:noProof/>
        </w:rPr>
        <w:t>1</w:t>
      </w:r>
      <w:r>
        <w:fldChar w:fldCharType="end"/>
      </w:r>
      <w:r>
        <w:t xml:space="preserve"> </w:t>
      </w:r>
      <w:r w:rsidR="00BD2252">
        <w:t xml:space="preserve">summarizes the </w:t>
      </w:r>
      <w:r w:rsidR="007576CB">
        <w:t>EE</w:t>
      </w:r>
      <w:r w:rsidR="00475AE0">
        <w:t xml:space="preserve"> </w:t>
      </w:r>
      <w:r w:rsidR="00BD2252">
        <w:t>technical potential by sector:</w:t>
      </w:r>
    </w:p>
    <w:p w14:paraId="6401EA48" w14:textId="114F72F7" w:rsidR="00B826F5" w:rsidRDefault="00B826F5" w:rsidP="00434B26">
      <w:pPr>
        <w:pStyle w:val="Mainbody-Captiontable"/>
      </w:pPr>
      <w:bookmarkStart w:id="115" w:name="_Ref457987424"/>
      <w:bookmarkStart w:id="116" w:name="_Toc458153381"/>
      <w:bookmarkStart w:id="117" w:name="_Toc458153509"/>
      <w:bookmarkStart w:id="118" w:name="_Toc5715446"/>
      <w:r>
        <w:t xml:space="preserve">Table </w:t>
      </w:r>
      <w:r w:rsidR="000C7BC6">
        <w:rPr>
          <w:noProof/>
        </w:rPr>
        <w:fldChar w:fldCharType="begin"/>
      </w:r>
      <w:r w:rsidR="000C7BC6">
        <w:rPr>
          <w:noProof/>
        </w:rPr>
        <w:instrText xml:space="preserve"> STYLEREF 1 \s </w:instrText>
      </w:r>
      <w:r w:rsidR="000C7BC6">
        <w:rPr>
          <w:noProof/>
        </w:rPr>
        <w:fldChar w:fldCharType="separate"/>
      </w:r>
      <w:r w:rsidR="00B30110">
        <w:rPr>
          <w:noProof/>
        </w:rPr>
        <w:t>5</w:t>
      </w:r>
      <w:r w:rsidR="000C7BC6">
        <w:rPr>
          <w:noProof/>
        </w:rPr>
        <w:fldChar w:fldCharType="end"/>
      </w:r>
      <w:r w:rsidR="00B417B0">
        <w:noBreakHyphen/>
      </w:r>
      <w:r w:rsidR="000C7BC6">
        <w:rPr>
          <w:noProof/>
        </w:rPr>
        <w:fldChar w:fldCharType="begin"/>
      </w:r>
      <w:r w:rsidR="000C7BC6">
        <w:rPr>
          <w:noProof/>
        </w:rPr>
        <w:instrText xml:space="preserve"> SEQ Table \* ARABIC \s 1 </w:instrText>
      </w:r>
      <w:r w:rsidR="000C7BC6">
        <w:rPr>
          <w:noProof/>
        </w:rPr>
        <w:fldChar w:fldCharType="separate"/>
      </w:r>
      <w:r w:rsidR="00B30110">
        <w:rPr>
          <w:noProof/>
        </w:rPr>
        <w:t>1</w:t>
      </w:r>
      <w:r w:rsidR="000C7BC6">
        <w:rPr>
          <w:noProof/>
        </w:rPr>
        <w:fldChar w:fldCharType="end"/>
      </w:r>
      <w:bookmarkEnd w:id="115"/>
      <w:r>
        <w:t>:</w:t>
      </w:r>
      <w:r w:rsidR="00C11CE4">
        <w:t xml:space="preserve"> </w:t>
      </w:r>
      <w:r w:rsidR="007576CB">
        <w:t>EE</w:t>
      </w:r>
      <w:r w:rsidR="00475AE0">
        <w:t xml:space="preserve"> </w:t>
      </w:r>
      <w:r>
        <w:t>Technical Potential by Sector</w:t>
      </w:r>
      <w:bookmarkEnd w:id="116"/>
      <w:bookmarkEnd w:id="117"/>
      <w:bookmarkEnd w:id="118"/>
    </w:p>
    <w:tbl>
      <w:tblPr>
        <w:tblW w:w="6840" w:type="dxa"/>
        <w:jc w:val="center"/>
        <w:tblBorders>
          <w:top w:val="single" w:sz="4" w:space="0" w:color="0070CD"/>
          <w:bottom w:val="single" w:sz="4" w:space="0" w:color="0070CD"/>
          <w:insideH w:val="dotted" w:sz="4" w:space="0" w:color="0070CD"/>
          <w:insideV w:val="dotted" w:sz="4" w:space="0" w:color="0070CD"/>
        </w:tblBorders>
        <w:tblLayout w:type="fixed"/>
        <w:tblLook w:val="04A0" w:firstRow="1" w:lastRow="0" w:firstColumn="1" w:lastColumn="0" w:noHBand="0" w:noVBand="1"/>
      </w:tblPr>
      <w:tblGrid>
        <w:gridCol w:w="2252"/>
        <w:gridCol w:w="1528"/>
        <w:gridCol w:w="1620"/>
        <w:gridCol w:w="1440"/>
      </w:tblGrid>
      <w:tr w:rsidR="00F5068A" w:rsidRPr="00C95CDE" w14:paraId="216B88EF" w14:textId="77777777" w:rsidTr="00F77BBF">
        <w:trPr>
          <w:trHeight w:val="300"/>
          <w:jc w:val="center"/>
        </w:trPr>
        <w:tc>
          <w:tcPr>
            <w:tcW w:w="2252" w:type="dxa"/>
            <w:tcBorders>
              <w:top w:val="single" w:sz="4" w:space="0" w:color="0070CD"/>
              <w:bottom w:val="nil"/>
            </w:tcBorders>
            <w:shd w:val="clear" w:color="auto" w:fill="0070CD"/>
            <w:noWrap/>
            <w:vAlign w:val="bottom"/>
            <w:hideMark/>
          </w:tcPr>
          <w:p w14:paraId="3CC201FA" w14:textId="77777777" w:rsidR="00F5068A" w:rsidRPr="0065130B" w:rsidRDefault="00F5068A" w:rsidP="00465414">
            <w:pPr>
              <w:pStyle w:val="Tables-Bodycells"/>
              <w:keepNext w:val="0"/>
              <w:rPr>
                <w:color w:val="FFFFFF" w:themeColor="background1"/>
                <w:lang w:val="en-CA" w:eastAsia="en-CA"/>
              </w:rPr>
            </w:pPr>
          </w:p>
        </w:tc>
        <w:tc>
          <w:tcPr>
            <w:tcW w:w="4588" w:type="dxa"/>
            <w:gridSpan w:val="3"/>
            <w:shd w:val="clear" w:color="auto" w:fill="0070CD"/>
            <w:vAlign w:val="center"/>
          </w:tcPr>
          <w:p w14:paraId="79D2A75D" w14:textId="77777777" w:rsidR="00F5068A" w:rsidRPr="00901BE2" w:rsidRDefault="00F5068A" w:rsidP="00465414">
            <w:pPr>
              <w:pStyle w:val="Tables-Bodycells"/>
              <w:keepNext w:val="0"/>
              <w:jc w:val="center"/>
              <w:rPr>
                <w:b/>
                <w:bCs/>
                <w:color w:val="FFFFFF" w:themeColor="background1"/>
                <w:lang w:val="en-CA" w:eastAsia="en-CA"/>
              </w:rPr>
            </w:pPr>
            <w:r>
              <w:rPr>
                <w:b/>
                <w:bCs/>
                <w:color w:val="FFFFFF" w:themeColor="background1"/>
                <w:lang w:val="en-CA" w:eastAsia="en-CA"/>
              </w:rPr>
              <w:t>Savings</w:t>
            </w:r>
            <w:r w:rsidRPr="00901BE2">
              <w:rPr>
                <w:b/>
                <w:bCs/>
                <w:color w:val="FFFFFF" w:themeColor="background1"/>
                <w:lang w:val="en-CA" w:eastAsia="en-CA"/>
              </w:rPr>
              <w:t xml:space="preserve"> </w:t>
            </w:r>
            <w:r>
              <w:rPr>
                <w:b/>
                <w:bCs/>
                <w:color w:val="FFFFFF" w:themeColor="background1"/>
                <w:lang w:val="en-CA" w:eastAsia="en-CA"/>
              </w:rPr>
              <w:t>Potential</w:t>
            </w:r>
          </w:p>
        </w:tc>
      </w:tr>
      <w:tr w:rsidR="00F77BBF" w:rsidRPr="00C95CDE" w14:paraId="0E1C873C" w14:textId="77777777" w:rsidTr="00F77BBF">
        <w:trPr>
          <w:trHeight w:val="300"/>
          <w:jc w:val="center"/>
        </w:trPr>
        <w:tc>
          <w:tcPr>
            <w:tcW w:w="2252" w:type="dxa"/>
            <w:tcBorders>
              <w:top w:val="nil"/>
              <w:bottom w:val="single" w:sz="4" w:space="0" w:color="0070CD"/>
            </w:tcBorders>
            <w:shd w:val="clear" w:color="auto" w:fill="0070CD"/>
            <w:noWrap/>
            <w:vAlign w:val="bottom"/>
            <w:hideMark/>
          </w:tcPr>
          <w:p w14:paraId="3570ECE6" w14:textId="77777777" w:rsidR="00F77BBF" w:rsidRPr="0065130B" w:rsidRDefault="00F77BBF" w:rsidP="00465414">
            <w:pPr>
              <w:pStyle w:val="Tables-Bodycells"/>
              <w:keepNext w:val="0"/>
              <w:rPr>
                <w:color w:val="FFFFFF" w:themeColor="background1"/>
                <w:lang w:val="en-CA" w:eastAsia="en-CA"/>
              </w:rPr>
            </w:pPr>
          </w:p>
        </w:tc>
        <w:tc>
          <w:tcPr>
            <w:tcW w:w="1528" w:type="dxa"/>
            <w:tcBorders>
              <w:bottom w:val="single" w:sz="4" w:space="0" w:color="0070CD"/>
            </w:tcBorders>
            <w:shd w:val="clear" w:color="auto" w:fill="0070CD"/>
            <w:noWrap/>
            <w:vAlign w:val="center"/>
          </w:tcPr>
          <w:p w14:paraId="483D169C" w14:textId="77777777" w:rsidR="00F77BBF" w:rsidRDefault="00F77BBF" w:rsidP="00465414">
            <w:pPr>
              <w:pStyle w:val="Tables-Bodycells"/>
              <w:keepNext w:val="0"/>
              <w:jc w:val="center"/>
              <w:rPr>
                <w:b/>
                <w:bCs/>
                <w:color w:val="FFFFFF" w:themeColor="background1"/>
                <w:lang w:val="en-CA" w:eastAsia="en-CA"/>
              </w:rPr>
            </w:pPr>
            <w:r>
              <w:rPr>
                <w:b/>
                <w:bCs/>
                <w:color w:val="FFFFFF" w:themeColor="background1"/>
                <w:lang w:val="en-CA" w:eastAsia="en-CA"/>
              </w:rPr>
              <w:t xml:space="preserve">Summer </w:t>
            </w:r>
          </w:p>
          <w:p w14:paraId="6A993D74" w14:textId="77777777" w:rsidR="00F77BBF" w:rsidRPr="00901BE2" w:rsidRDefault="00F77BBF" w:rsidP="00465414">
            <w:pPr>
              <w:pStyle w:val="Tables-Bodycells"/>
              <w:keepNext w:val="0"/>
              <w:jc w:val="center"/>
              <w:rPr>
                <w:b/>
                <w:bCs/>
                <w:color w:val="FFFFFF" w:themeColor="background1"/>
                <w:lang w:val="en-CA" w:eastAsia="en-CA"/>
              </w:rPr>
            </w:pPr>
            <w:r>
              <w:rPr>
                <w:b/>
                <w:bCs/>
                <w:color w:val="FFFFFF" w:themeColor="background1"/>
                <w:lang w:val="en-CA" w:eastAsia="en-CA"/>
              </w:rPr>
              <w:t xml:space="preserve">Peak </w:t>
            </w:r>
            <w:r w:rsidRPr="00901BE2">
              <w:rPr>
                <w:b/>
                <w:bCs/>
                <w:color w:val="FFFFFF" w:themeColor="background1"/>
                <w:lang w:val="en-CA" w:eastAsia="en-CA"/>
              </w:rPr>
              <w:t>Demand (MW)</w:t>
            </w:r>
          </w:p>
        </w:tc>
        <w:tc>
          <w:tcPr>
            <w:tcW w:w="1620" w:type="dxa"/>
            <w:tcBorders>
              <w:bottom w:val="single" w:sz="4" w:space="0" w:color="0070CD"/>
            </w:tcBorders>
            <w:shd w:val="clear" w:color="auto" w:fill="0070CD"/>
            <w:noWrap/>
          </w:tcPr>
          <w:p w14:paraId="13D782BB" w14:textId="77777777" w:rsidR="00F77BBF" w:rsidRDefault="00F77BBF" w:rsidP="00465414">
            <w:pPr>
              <w:pStyle w:val="Tables-Bodycells"/>
              <w:keepNext w:val="0"/>
              <w:jc w:val="center"/>
              <w:rPr>
                <w:b/>
                <w:bCs/>
                <w:color w:val="FFFFFF" w:themeColor="background1"/>
                <w:lang w:val="en-CA" w:eastAsia="en-CA"/>
              </w:rPr>
            </w:pPr>
            <w:r>
              <w:rPr>
                <w:b/>
                <w:bCs/>
                <w:color w:val="FFFFFF" w:themeColor="background1"/>
                <w:lang w:val="en-CA" w:eastAsia="en-CA"/>
              </w:rPr>
              <w:t>Winter</w:t>
            </w:r>
          </w:p>
          <w:p w14:paraId="4DBEEF83" w14:textId="77777777" w:rsidR="00F77BBF" w:rsidRPr="00901BE2" w:rsidRDefault="00F77BBF" w:rsidP="00465414">
            <w:pPr>
              <w:pStyle w:val="Tables-Bodycells"/>
              <w:keepNext w:val="0"/>
              <w:jc w:val="center"/>
              <w:rPr>
                <w:b/>
                <w:bCs/>
                <w:color w:val="FFFFFF" w:themeColor="background1"/>
                <w:lang w:val="en-CA" w:eastAsia="en-CA"/>
              </w:rPr>
            </w:pPr>
            <w:r>
              <w:rPr>
                <w:b/>
                <w:bCs/>
                <w:color w:val="FFFFFF" w:themeColor="background1"/>
                <w:lang w:val="en-CA" w:eastAsia="en-CA"/>
              </w:rPr>
              <w:t xml:space="preserve"> Peak </w:t>
            </w:r>
            <w:r w:rsidRPr="00901BE2">
              <w:rPr>
                <w:b/>
                <w:bCs/>
                <w:color w:val="FFFFFF" w:themeColor="background1"/>
                <w:lang w:val="en-CA" w:eastAsia="en-CA"/>
              </w:rPr>
              <w:t>Demand (MW)</w:t>
            </w:r>
          </w:p>
        </w:tc>
        <w:tc>
          <w:tcPr>
            <w:tcW w:w="1440" w:type="dxa"/>
            <w:tcBorders>
              <w:bottom w:val="single" w:sz="4" w:space="0" w:color="0070CD"/>
            </w:tcBorders>
            <w:shd w:val="clear" w:color="auto" w:fill="0070CD"/>
            <w:vAlign w:val="center"/>
          </w:tcPr>
          <w:p w14:paraId="30F75B8B" w14:textId="77777777" w:rsidR="00F77BBF" w:rsidRDefault="00F77BBF" w:rsidP="00465414">
            <w:pPr>
              <w:pStyle w:val="Tables-Bodycells"/>
              <w:keepNext w:val="0"/>
              <w:jc w:val="center"/>
              <w:rPr>
                <w:b/>
                <w:bCs/>
                <w:color w:val="FFFFFF" w:themeColor="background1"/>
                <w:lang w:val="en-CA" w:eastAsia="en-CA"/>
              </w:rPr>
            </w:pPr>
            <w:r w:rsidRPr="00901BE2">
              <w:rPr>
                <w:b/>
                <w:bCs/>
                <w:color w:val="FFFFFF" w:themeColor="background1"/>
                <w:lang w:val="en-CA" w:eastAsia="en-CA"/>
              </w:rPr>
              <w:t xml:space="preserve">Energy </w:t>
            </w:r>
          </w:p>
          <w:p w14:paraId="1C7FAD01" w14:textId="77777777" w:rsidR="00F77BBF" w:rsidRPr="00901BE2" w:rsidRDefault="00F77BBF" w:rsidP="00465414">
            <w:pPr>
              <w:pStyle w:val="Tables-Bodycells"/>
              <w:keepNext w:val="0"/>
              <w:jc w:val="center"/>
              <w:rPr>
                <w:b/>
                <w:bCs/>
                <w:color w:val="FFFFFF" w:themeColor="background1"/>
                <w:lang w:val="en-CA" w:eastAsia="en-CA"/>
              </w:rPr>
            </w:pPr>
            <w:r w:rsidRPr="00901BE2">
              <w:rPr>
                <w:b/>
                <w:bCs/>
                <w:color w:val="FFFFFF" w:themeColor="background1"/>
                <w:lang w:val="en-CA" w:eastAsia="en-CA"/>
              </w:rPr>
              <w:t>(GWh)</w:t>
            </w:r>
          </w:p>
        </w:tc>
      </w:tr>
      <w:tr w:rsidR="00F77BBF" w:rsidRPr="00C95CDE" w14:paraId="233807CA" w14:textId="77777777" w:rsidTr="00F77BBF">
        <w:trPr>
          <w:trHeight w:val="305"/>
          <w:jc w:val="center"/>
        </w:trPr>
        <w:tc>
          <w:tcPr>
            <w:tcW w:w="2252" w:type="dxa"/>
            <w:tcBorders>
              <w:top w:val="single" w:sz="4" w:space="0" w:color="0070CD"/>
              <w:bottom w:val="single" w:sz="4" w:space="0" w:color="0070CD"/>
            </w:tcBorders>
            <w:shd w:val="clear" w:color="auto" w:fill="auto"/>
            <w:vAlign w:val="center"/>
            <w:hideMark/>
          </w:tcPr>
          <w:p w14:paraId="777CD213" w14:textId="0B914E10" w:rsidR="00F77BBF" w:rsidRPr="00920CF7" w:rsidRDefault="00F77BBF" w:rsidP="009320C0">
            <w:pPr>
              <w:pStyle w:val="Tables-Bodycells"/>
              <w:keepNext w:val="0"/>
              <w:spacing w:before="0" w:after="0"/>
              <w:rPr>
                <w:color w:val="000000"/>
                <w:lang w:val="en-CA" w:eastAsia="en-CA"/>
              </w:rPr>
            </w:pPr>
            <w:r>
              <w:t>Residential</w:t>
            </w:r>
          </w:p>
        </w:tc>
        <w:tc>
          <w:tcPr>
            <w:tcW w:w="1528" w:type="dxa"/>
            <w:tcBorders>
              <w:top w:val="single" w:sz="4" w:space="0" w:color="0070CD"/>
              <w:bottom w:val="single" w:sz="4" w:space="0" w:color="0070CD"/>
            </w:tcBorders>
            <w:shd w:val="clear" w:color="auto" w:fill="auto"/>
            <w:vAlign w:val="center"/>
          </w:tcPr>
          <w:p w14:paraId="0A941579" w14:textId="3E1DF737" w:rsidR="00F77BBF" w:rsidRDefault="00F77BBF" w:rsidP="009320C0">
            <w:pPr>
              <w:spacing w:after="0"/>
              <w:ind w:left="0"/>
              <w:jc w:val="center"/>
              <w:rPr>
                <w:rFonts w:ascii="Arial" w:hAnsi="Arial" w:cs="Arial"/>
                <w:color w:val="000000"/>
                <w:sz w:val="18"/>
                <w:szCs w:val="18"/>
              </w:rPr>
            </w:pPr>
            <w:r>
              <w:rPr>
                <w:rFonts w:ascii="Arial" w:hAnsi="Arial" w:cs="Arial"/>
                <w:color w:val="000000"/>
                <w:sz w:val="18"/>
                <w:szCs w:val="18"/>
              </w:rPr>
              <w:t>755</w:t>
            </w:r>
          </w:p>
        </w:tc>
        <w:tc>
          <w:tcPr>
            <w:tcW w:w="1620" w:type="dxa"/>
            <w:tcBorders>
              <w:top w:val="single" w:sz="4" w:space="0" w:color="0070CD"/>
              <w:bottom w:val="single" w:sz="4" w:space="0" w:color="0070CD"/>
            </w:tcBorders>
            <w:shd w:val="clear" w:color="auto" w:fill="auto"/>
            <w:noWrap/>
            <w:vAlign w:val="center"/>
          </w:tcPr>
          <w:p w14:paraId="6E086C17" w14:textId="3FFF4106" w:rsidR="00F77BBF" w:rsidRDefault="00F77BBF" w:rsidP="009320C0">
            <w:pPr>
              <w:spacing w:after="0"/>
              <w:ind w:left="0"/>
              <w:jc w:val="center"/>
              <w:rPr>
                <w:rFonts w:ascii="Arial" w:hAnsi="Arial" w:cs="Arial"/>
                <w:color w:val="000000"/>
                <w:sz w:val="18"/>
                <w:szCs w:val="18"/>
              </w:rPr>
            </w:pPr>
            <w:r>
              <w:rPr>
                <w:rFonts w:ascii="Arial" w:hAnsi="Arial" w:cs="Arial"/>
                <w:color w:val="000000"/>
                <w:sz w:val="18"/>
                <w:szCs w:val="18"/>
              </w:rPr>
              <w:t>388</w:t>
            </w:r>
          </w:p>
        </w:tc>
        <w:tc>
          <w:tcPr>
            <w:tcW w:w="1440" w:type="dxa"/>
            <w:tcBorders>
              <w:top w:val="single" w:sz="4" w:space="0" w:color="0070CD"/>
              <w:bottom w:val="single" w:sz="4" w:space="0" w:color="0070CD"/>
            </w:tcBorders>
            <w:vAlign w:val="center"/>
          </w:tcPr>
          <w:p w14:paraId="5427A3D8" w14:textId="2A04C539" w:rsidR="00F77BBF" w:rsidRDefault="00F77BBF" w:rsidP="009320C0">
            <w:pPr>
              <w:spacing w:after="0"/>
              <w:ind w:left="0"/>
              <w:jc w:val="center"/>
              <w:rPr>
                <w:rFonts w:ascii="Arial" w:hAnsi="Arial" w:cs="Arial"/>
                <w:color w:val="000000"/>
                <w:sz w:val="18"/>
                <w:szCs w:val="18"/>
              </w:rPr>
            </w:pPr>
            <w:r>
              <w:rPr>
                <w:rFonts w:ascii="Arial" w:hAnsi="Arial" w:cs="Arial"/>
                <w:color w:val="000000"/>
                <w:sz w:val="18"/>
                <w:szCs w:val="18"/>
              </w:rPr>
              <w:t>2,791</w:t>
            </w:r>
          </w:p>
        </w:tc>
      </w:tr>
      <w:tr w:rsidR="00F77BBF" w:rsidRPr="00C95CDE" w14:paraId="3B209703" w14:textId="77777777" w:rsidTr="00F77BBF">
        <w:trPr>
          <w:trHeight w:val="305"/>
          <w:jc w:val="center"/>
        </w:trPr>
        <w:tc>
          <w:tcPr>
            <w:tcW w:w="2252" w:type="dxa"/>
            <w:tcBorders>
              <w:top w:val="single" w:sz="4" w:space="0" w:color="0070CD"/>
              <w:bottom w:val="single" w:sz="4" w:space="0" w:color="0070CD"/>
            </w:tcBorders>
            <w:shd w:val="clear" w:color="auto" w:fill="auto"/>
            <w:vAlign w:val="center"/>
          </w:tcPr>
          <w:p w14:paraId="378F8F66" w14:textId="191169FB" w:rsidR="00F77BBF" w:rsidRPr="00920CF7" w:rsidRDefault="00F77BBF" w:rsidP="009320C0">
            <w:pPr>
              <w:pStyle w:val="Tables-Bodycells"/>
              <w:keepNext w:val="0"/>
              <w:spacing w:before="0" w:after="0"/>
            </w:pPr>
            <w:r>
              <w:t>Non-Residential</w:t>
            </w:r>
            <w:r>
              <w:rPr>
                <w:rStyle w:val="FootnoteReference"/>
              </w:rPr>
              <w:footnoteReference w:id="11"/>
            </w:r>
          </w:p>
        </w:tc>
        <w:tc>
          <w:tcPr>
            <w:tcW w:w="1528" w:type="dxa"/>
            <w:tcBorders>
              <w:top w:val="single" w:sz="4" w:space="0" w:color="0070CD"/>
              <w:bottom w:val="single" w:sz="4" w:space="0" w:color="0070CD"/>
            </w:tcBorders>
            <w:shd w:val="clear" w:color="auto" w:fill="auto"/>
            <w:vAlign w:val="center"/>
          </w:tcPr>
          <w:p w14:paraId="197D0CAE" w14:textId="01202913" w:rsidR="00F77BBF" w:rsidRDefault="00F77BBF" w:rsidP="009320C0">
            <w:pPr>
              <w:spacing w:after="0"/>
              <w:ind w:left="0"/>
              <w:jc w:val="center"/>
              <w:rPr>
                <w:rFonts w:ascii="Arial" w:hAnsi="Arial" w:cs="Arial"/>
                <w:color w:val="000000"/>
                <w:sz w:val="18"/>
                <w:szCs w:val="18"/>
              </w:rPr>
            </w:pPr>
            <w:r>
              <w:rPr>
                <w:rFonts w:ascii="Arial" w:hAnsi="Arial" w:cs="Arial"/>
                <w:color w:val="000000"/>
                <w:sz w:val="18"/>
                <w:szCs w:val="18"/>
              </w:rPr>
              <w:t>383</w:t>
            </w:r>
          </w:p>
        </w:tc>
        <w:tc>
          <w:tcPr>
            <w:tcW w:w="1620" w:type="dxa"/>
            <w:tcBorders>
              <w:top w:val="single" w:sz="4" w:space="0" w:color="0070CD"/>
              <w:bottom w:val="single" w:sz="4" w:space="0" w:color="0070CD"/>
            </w:tcBorders>
            <w:shd w:val="clear" w:color="auto" w:fill="auto"/>
            <w:noWrap/>
            <w:vAlign w:val="center"/>
          </w:tcPr>
          <w:p w14:paraId="6D5C33C5" w14:textId="743CBCDC" w:rsidR="00F77BBF" w:rsidRDefault="00F77BBF" w:rsidP="009320C0">
            <w:pPr>
              <w:spacing w:after="0"/>
              <w:ind w:left="0"/>
              <w:jc w:val="center"/>
              <w:rPr>
                <w:rFonts w:ascii="Arial" w:hAnsi="Arial" w:cs="Arial"/>
                <w:color w:val="000000"/>
                <w:sz w:val="18"/>
                <w:szCs w:val="18"/>
              </w:rPr>
            </w:pPr>
            <w:r>
              <w:rPr>
                <w:rFonts w:ascii="Arial" w:hAnsi="Arial" w:cs="Arial"/>
                <w:color w:val="000000"/>
                <w:sz w:val="18"/>
                <w:szCs w:val="18"/>
              </w:rPr>
              <w:t>195</w:t>
            </w:r>
          </w:p>
        </w:tc>
        <w:tc>
          <w:tcPr>
            <w:tcW w:w="1440" w:type="dxa"/>
            <w:tcBorders>
              <w:top w:val="single" w:sz="4" w:space="0" w:color="0070CD"/>
              <w:bottom w:val="single" w:sz="4" w:space="0" w:color="0070CD"/>
            </w:tcBorders>
            <w:vAlign w:val="center"/>
          </w:tcPr>
          <w:p w14:paraId="053AEE21" w14:textId="2A4745DC" w:rsidR="00F77BBF" w:rsidRDefault="00F77BBF" w:rsidP="009320C0">
            <w:pPr>
              <w:spacing w:after="0"/>
              <w:ind w:left="0"/>
              <w:jc w:val="center"/>
              <w:rPr>
                <w:rFonts w:ascii="Arial" w:hAnsi="Arial" w:cs="Arial"/>
                <w:color w:val="000000"/>
                <w:sz w:val="18"/>
                <w:szCs w:val="18"/>
              </w:rPr>
            </w:pPr>
            <w:r>
              <w:rPr>
                <w:rFonts w:ascii="Arial" w:hAnsi="Arial" w:cs="Arial"/>
                <w:color w:val="000000"/>
                <w:sz w:val="18"/>
                <w:szCs w:val="18"/>
              </w:rPr>
              <w:t>1,691</w:t>
            </w:r>
          </w:p>
        </w:tc>
      </w:tr>
      <w:tr w:rsidR="00F77BBF" w:rsidRPr="00C95CDE" w14:paraId="00253ADB" w14:textId="77777777" w:rsidTr="00F77BBF">
        <w:trPr>
          <w:trHeight w:val="300"/>
          <w:jc w:val="center"/>
        </w:trPr>
        <w:tc>
          <w:tcPr>
            <w:tcW w:w="2252" w:type="dxa"/>
            <w:tcBorders>
              <w:top w:val="single" w:sz="4" w:space="0" w:color="0070CD"/>
              <w:bottom w:val="single" w:sz="4" w:space="0" w:color="0070CD"/>
            </w:tcBorders>
            <w:shd w:val="clear" w:color="auto" w:fill="auto"/>
            <w:vAlign w:val="center"/>
            <w:hideMark/>
          </w:tcPr>
          <w:p w14:paraId="6C4E144C" w14:textId="760CF881" w:rsidR="00F77BBF" w:rsidRPr="00920CF7" w:rsidRDefault="00F77BBF" w:rsidP="009320C0">
            <w:pPr>
              <w:pStyle w:val="Tables-Bodycells"/>
              <w:keepNext w:val="0"/>
              <w:spacing w:before="0" w:after="0"/>
              <w:rPr>
                <w:color w:val="000000"/>
                <w:lang w:val="en-CA" w:eastAsia="en-CA"/>
              </w:rPr>
            </w:pPr>
            <w:r>
              <w:t>Total</w:t>
            </w:r>
          </w:p>
        </w:tc>
        <w:tc>
          <w:tcPr>
            <w:tcW w:w="1528" w:type="dxa"/>
            <w:tcBorders>
              <w:top w:val="single" w:sz="4" w:space="0" w:color="0070CD"/>
              <w:bottom w:val="single" w:sz="4" w:space="0" w:color="0070CD"/>
            </w:tcBorders>
            <w:shd w:val="clear" w:color="auto" w:fill="auto"/>
            <w:vAlign w:val="center"/>
          </w:tcPr>
          <w:p w14:paraId="0A6D8905" w14:textId="0A5D3D69" w:rsidR="00F77BBF" w:rsidRDefault="00F77BBF" w:rsidP="009320C0">
            <w:pPr>
              <w:spacing w:after="0"/>
              <w:ind w:left="0"/>
              <w:jc w:val="center"/>
              <w:rPr>
                <w:rFonts w:ascii="Arial" w:hAnsi="Arial" w:cs="Arial"/>
                <w:color w:val="000000"/>
                <w:sz w:val="18"/>
                <w:szCs w:val="18"/>
              </w:rPr>
            </w:pPr>
            <w:r>
              <w:rPr>
                <w:rFonts w:ascii="Arial" w:hAnsi="Arial" w:cs="Arial"/>
                <w:color w:val="000000"/>
                <w:sz w:val="18"/>
                <w:szCs w:val="18"/>
              </w:rPr>
              <w:t>1,138</w:t>
            </w:r>
          </w:p>
        </w:tc>
        <w:tc>
          <w:tcPr>
            <w:tcW w:w="1620" w:type="dxa"/>
            <w:tcBorders>
              <w:top w:val="single" w:sz="4" w:space="0" w:color="0070CD"/>
              <w:bottom w:val="single" w:sz="4" w:space="0" w:color="0070CD"/>
            </w:tcBorders>
            <w:shd w:val="clear" w:color="auto" w:fill="auto"/>
            <w:noWrap/>
            <w:vAlign w:val="center"/>
          </w:tcPr>
          <w:p w14:paraId="272E3D64" w14:textId="2AA96C7E" w:rsidR="00F77BBF" w:rsidRDefault="00F77BBF" w:rsidP="009320C0">
            <w:pPr>
              <w:spacing w:after="0"/>
              <w:ind w:left="0"/>
              <w:jc w:val="center"/>
              <w:rPr>
                <w:rFonts w:ascii="Arial" w:hAnsi="Arial" w:cs="Arial"/>
                <w:color w:val="000000"/>
                <w:sz w:val="18"/>
                <w:szCs w:val="18"/>
              </w:rPr>
            </w:pPr>
            <w:r>
              <w:rPr>
                <w:rFonts w:ascii="Arial" w:hAnsi="Arial" w:cs="Arial"/>
                <w:color w:val="000000"/>
                <w:sz w:val="18"/>
                <w:szCs w:val="18"/>
              </w:rPr>
              <w:t>583</w:t>
            </w:r>
          </w:p>
        </w:tc>
        <w:tc>
          <w:tcPr>
            <w:tcW w:w="1440" w:type="dxa"/>
            <w:tcBorders>
              <w:top w:val="single" w:sz="4" w:space="0" w:color="0070CD"/>
              <w:bottom w:val="single" w:sz="4" w:space="0" w:color="0070CD"/>
            </w:tcBorders>
            <w:vAlign w:val="center"/>
          </w:tcPr>
          <w:p w14:paraId="33F5DE20" w14:textId="52B37944" w:rsidR="00F77BBF" w:rsidRDefault="00F77BBF" w:rsidP="009320C0">
            <w:pPr>
              <w:spacing w:after="0"/>
              <w:ind w:left="0"/>
              <w:jc w:val="center"/>
              <w:rPr>
                <w:rFonts w:ascii="Arial" w:hAnsi="Arial" w:cs="Arial"/>
                <w:color w:val="000000"/>
                <w:sz w:val="18"/>
                <w:szCs w:val="18"/>
              </w:rPr>
            </w:pPr>
            <w:r>
              <w:rPr>
                <w:rFonts w:ascii="Arial" w:hAnsi="Arial" w:cs="Arial"/>
                <w:color w:val="000000"/>
                <w:sz w:val="18"/>
                <w:szCs w:val="18"/>
              </w:rPr>
              <w:t>4,483</w:t>
            </w:r>
          </w:p>
        </w:tc>
      </w:tr>
    </w:tbl>
    <w:p w14:paraId="6401EA6A" w14:textId="77777777" w:rsidR="0035546C" w:rsidRDefault="0035546C" w:rsidP="0035546C">
      <w:pPr>
        <w:pStyle w:val="Heading3"/>
        <w:numPr>
          <w:ilvl w:val="0"/>
          <w:numId w:val="0"/>
        </w:numPr>
        <w:ind w:left="720"/>
      </w:pPr>
    </w:p>
    <w:p w14:paraId="6401EA6B" w14:textId="513BF2BB" w:rsidR="00901758" w:rsidRDefault="00F77BBF" w:rsidP="00901758">
      <w:pPr>
        <w:pStyle w:val="Heading3"/>
      </w:pPr>
      <w:bookmarkStart w:id="119" w:name="_Toc5715510"/>
      <w:r>
        <w:t>Residential</w:t>
      </w:r>
      <w:bookmarkEnd w:id="119"/>
    </w:p>
    <w:p w14:paraId="6401EA6C" w14:textId="4890E1A2" w:rsidR="00A205AA" w:rsidRDefault="00C05657" w:rsidP="00E83BC6">
      <w:pPr>
        <w:pStyle w:val="Text"/>
      </w:pPr>
      <w:r>
        <w:fldChar w:fldCharType="begin"/>
      </w:r>
      <w:r>
        <w:instrText xml:space="preserve"> REF _Ref457988310 \h </w:instrText>
      </w:r>
      <w:r>
        <w:fldChar w:fldCharType="separate"/>
      </w:r>
      <w:r w:rsidR="00B30110">
        <w:t xml:space="preserve">Figure </w:t>
      </w:r>
      <w:r w:rsidR="00B30110">
        <w:rPr>
          <w:noProof/>
        </w:rPr>
        <w:t>5</w:t>
      </w:r>
      <w:r w:rsidR="00B30110">
        <w:noBreakHyphen/>
      </w:r>
      <w:r w:rsidR="00B30110">
        <w:rPr>
          <w:noProof/>
        </w:rPr>
        <w:t>2</w:t>
      </w:r>
      <w:r>
        <w:fldChar w:fldCharType="end"/>
      </w:r>
      <w:r w:rsidR="00460641">
        <w:t xml:space="preserve">, </w:t>
      </w:r>
      <w:r w:rsidR="00460641">
        <w:fldChar w:fldCharType="begin"/>
      </w:r>
      <w:r w:rsidR="00460641">
        <w:instrText xml:space="preserve"> REF _Ref4418456 \h </w:instrText>
      </w:r>
      <w:r w:rsidR="00460641">
        <w:fldChar w:fldCharType="separate"/>
      </w:r>
      <w:r w:rsidR="00B30110">
        <w:t xml:space="preserve">Figure </w:t>
      </w:r>
      <w:r w:rsidR="00B30110">
        <w:rPr>
          <w:noProof/>
        </w:rPr>
        <w:t>5</w:t>
      </w:r>
      <w:r w:rsidR="00B30110">
        <w:noBreakHyphen/>
      </w:r>
      <w:r w:rsidR="00B30110">
        <w:rPr>
          <w:noProof/>
        </w:rPr>
        <w:t>3</w:t>
      </w:r>
      <w:r w:rsidR="00460641">
        <w:fldChar w:fldCharType="end"/>
      </w:r>
      <w:r w:rsidR="00460641">
        <w:t xml:space="preserve">, and </w:t>
      </w:r>
      <w:r w:rsidR="00460641">
        <w:fldChar w:fldCharType="begin"/>
      </w:r>
      <w:r w:rsidR="00460641">
        <w:instrText xml:space="preserve"> REF _Ref4418460 \h </w:instrText>
      </w:r>
      <w:r w:rsidR="00460641">
        <w:fldChar w:fldCharType="separate"/>
      </w:r>
      <w:r w:rsidR="00B30110">
        <w:t xml:space="preserve">Figure </w:t>
      </w:r>
      <w:r w:rsidR="00B30110">
        <w:rPr>
          <w:noProof/>
        </w:rPr>
        <w:t>5</w:t>
      </w:r>
      <w:r w:rsidR="00B30110">
        <w:noBreakHyphen/>
      </w:r>
      <w:r w:rsidR="00B30110">
        <w:rPr>
          <w:noProof/>
        </w:rPr>
        <w:t>4</w:t>
      </w:r>
      <w:r w:rsidR="00460641">
        <w:fldChar w:fldCharType="end"/>
      </w:r>
      <w:r w:rsidR="00460641">
        <w:t xml:space="preserve"> summarize</w:t>
      </w:r>
      <w:r>
        <w:t xml:space="preserve"> the residential sector </w:t>
      </w:r>
      <w:r w:rsidR="007576CB">
        <w:t>EE</w:t>
      </w:r>
      <w:r w:rsidR="00475AE0">
        <w:t xml:space="preserve"> </w:t>
      </w:r>
      <w:r>
        <w:t xml:space="preserve">technical potential by </w:t>
      </w:r>
      <w:r w:rsidR="007576CB">
        <w:t>end-use</w:t>
      </w:r>
      <w:r>
        <w:t>.</w:t>
      </w:r>
      <w:r w:rsidR="007133CF">
        <w:t xml:space="preserve"> </w:t>
      </w:r>
    </w:p>
    <w:p w14:paraId="6401EA6D" w14:textId="795C0629" w:rsidR="00F60D78" w:rsidRDefault="00F60D78" w:rsidP="00F60D78">
      <w:pPr>
        <w:pStyle w:val="Caption"/>
      </w:pPr>
      <w:bookmarkStart w:id="120" w:name="_Ref457988310"/>
      <w:bookmarkStart w:id="121" w:name="_Toc458153382"/>
      <w:bookmarkStart w:id="122" w:name="_Toc458153510"/>
      <w:bookmarkStart w:id="123" w:name="_Toc5715423"/>
      <w:r>
        <w:t xml:space="preserve">Figure </w:t>
      </w:r>
      <w:r w:rsidR="0025777A">
        <w:rPr>
          <w:noProof/>
        </w:rPr>
        <w:fldChar w:fldCharType="begin"/>
      </w:r>
      <w:r w:rsidR="0025777A">
        <w:rPr>
          <w:noProof/>
        </w:rPr>
        <w:instrText xml:space="preserve"> STYLEREF 1 \s </w:instrText>
      </w:r>
      <w:r w:rsidR="0025777A">
        <w:rPr>
          <w:noProof/>
        </w:rPr>
        <w:fldChar w:fldCharType="separate"/>
      </w:r>
      <w:r w:rsidR="00B30110">
        <w:rPr>
          <w:noProof/>
        </w:rPr>
        <w:t>5</w:t>
      </w:r>
      <w:r w:rsidR="0025777A">
        <w:rPr>
          <w:noProof/>
        </w:rPr>
        <w:fldChar w:fldCharType="end"/>
      </w:r>
      <w:r w:rsidR="00A118ED">
        <w:noBreakHyphen/>
      </w:r>
      <w:r w:rsidR="0025777A">
        <w:rPr>
          <w:noProof/>
        </w:rPr>
        <w:fldChar w:fldCharType="begin"/>
      </w:r>
      <w:r w:rsidR="0025777A">
        <w:rPr>
          <w:noProof/>
        </w:rPr>
        <w:instrText xml:space="preserve"> SEQ Figure \* ARABIC \s 1 </w:instrText>
      </w:r>
      <w:r w:rsidR="0025777A">
        <w:rPr>
          <w:noProof/>
        </w:rPr>
        <w:fldChar w:fldCharType="separate"/>
      </w:r>
      <w:r w:rsidR="00B30110">
        <w:rPr>
          <w:noProof/>
        </w:rPr>
        <w:t>2</w:t>
      </w:r>
      <w:r w:rsidR="0025777A">
        <w:rPr>
          <w:noProof/>
        </w:rPr>
        <w:fldChar w:fldCharType="end"/>
      </w:r>
      <w:bookmarkEnd w:id="120"/>
      <w:r>
        <w:t xml:space="preserve">: </w:t>
      </w:r>
      <w:r w:rsidR="00C11CE4">
        <w:t>R</w:t>
      </w:r>
      <w:r w:rsidR="00901758">
        <w:t>esidential EE Technical Potential</w:t>
      </w:r>
      <w:bookmarkEnd w:id="121"/>
      <w:bookmarkEnd w:id="122"/>
      <w:r w:rsidR="00C11CE4">
        <w:t xml:space="preserve"> by En</w:t>
      </w:r>
      <w:r w:rsidR="007576CB">
        <w:t>d-</w:t>
      </w:r>
      <w:r w:rsidR="00C11CE4">
        <w:t>Use</w:t>
      </w:r>
      <w:r w:rsidR="00460641">
        <w:t xml:space="preserve"> (Energy Savings)</w:t>
      </w:r>
      <w:bookmarkEnd w:id="123"/>
    </w:p>
    <w:p w14:paraId="6401EA6E" w14:textId="64E3BC4C" w:rsidR="00F60D78" w:rsidRDefault="00F15E6D" w:rsidP="00232FCC">
      <w:pPr>
        <w:pStyle w:val="Text"/>
        <w:jc w:val="center"/>
      </w:pPr>
      <w:r>
        <w:rPr>
          <w:noProof/>
        </w:rPr>
        <w:drawing>
          <wp:inline distT="0" distB="0" distL="0" distR="0" wp14:anchorId="24679052" wp14:editId="2823FC75">
            <wp:extent cx="5219700" cy="3223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23948" cy="3226574"/>
                    </a:xfrm>
                    <a:prstGeom prst="rect">
                      <a:avLst/>
                    </a:prstGeom>
                    <a:noFill/>
                  </pic:spPr>
                </pic:pic>
              </a:graphicData>
            </a:graphic>
          </wp:inline>
        </w:drawing>
      </w:r>
    </w:p>
    <w:p w14:paraId="2BAF2A6D" w14:textId="03C39D17" w:rsidR="00460641" w:rsidRDefault="00460641" w:rsidP="00460641">
      <w:pPr>
        <w:pStyle w:val="Caption"/>
      </w:pPr>
      <w:bookmarkStart w:id="124" w:name="_Ref4418456"/>
      <w:bookmarkStart w:id="125" w:name="_Toc5715424"/>
      <w:r>
        <w:t xml:space="preserve">Figure </w:t>
      </w:r>
      <w:r>
        <w:rPr>
          <w:noProof/>
        </w:rPr>
        <w:fldChar w:fldCharType="begin"/>
      </w:r>
      <w:r>
        <w:rPr>
          <w:noProof/>
        </w:rPr>
        <w:instrText xml:space="preserve"> STYLEREF 1 \s </w:instrText>
      </w:r>
      <w:r>
        <w:rPr>
          <w:noProof/>
        </w:rPr>
        <w:fldChar w:fldCharType="separate"/>
      </w:r>
      <w:r w:rsidR="00B30110">
        <w:rPr>
          <w:noProof/>
        </w:rPr>
        <w:t>5</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B30110">
        <w:rPr>
          <w:noProof/>
        </w:rPr>
        <w:t>3</w:t>
      </w:r>
      <w:r>
        <w:rPr>
          <w:noProof/>
        </w:rPr>
        <w:fldChar w:fldCharType="end"/>
      </w:r>
      <w:bookmarkEnd w:id="124"/>
      <w:r>
        <w:t>: Residential EE Technical Potential by End-Use (Summer Peak Savings)</w:t>
      </w:r>
      <w:bookmarkEnd w:id="125"/>
    </w:p>
    <w:p w14:paraId="57DBD76B" w14:textId="103E16FF" w:rsidR="00460641" w:rsidRDefault="00F15E6D" w:rsidP="00232FCC">
      <w:pPr>
        <w:pStyle w:val="Text"/>
        <w:jc w:val="center"/>
      </w:pPr>
      <w:r>
        <w:rPr>
          <w:noProof/>
        </w:rPr>
        <w:drawing>
          <wp:inline distT="0" distB="0" distL="0" distR="0" wp14:anchorId="3B4E7034" wp14:editId="0B4C0C17">
            <wp:extent cx="5535827" cy="33813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37669" cy="3382500"/>
                    </a:xfrm>
                    <a:prstGeom prst="rect">
                      <a:avLst/>
                    </a:prstGeom>
                    <a:noFill/>
                  </pic:spPr>
                </pic:pic>
              </a:graphicData>
            </a:graphic>
          </wp:inline>
        </w:drawing>
      </w:r>
    </w:p>
    <w:p w14:paraId="50809397" w14:textId="53E411FB" w:rsidR="00460641" w:rsidRDefault="00460641" w:rsidP="00460641">
      <w:pPr>
        <w:pStyle w:val="Caption"/>
      </w:pPr>
      <w:bookmarkStart w:id="126" w:name="_Ref4418460"/>
      <w:bookmarkStart w:id="127" w:name="_Toc5715425"/>
      <w:r>
        <w:t xml:space="preserve">Figure </w:t>
      </w:r>
      <w:r>
        <w:rPr>
          <w:noProof/>
        </w:rPr>
        <w:fldChar w:fldCharType="begin"/>
      </w:r>
      <w:r>
        <w:rPr>
          <w:noProof/>
        </w:rPr>
        <w:instrText xml:space="preserve"> STYLEREF 1 \s </w:instrText>
      </w:r>
      <w:r>
        <w:rPr>
          <w:noProof/>
        </w:rPr>
        <w:fldChar w:fldCharType="separate"/>
      </w:r>
      <w:r w:rsidR="00B30110">
        <w:rPr>
          <w:noProof/>
        </w:rPr>
        <w:t>5</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B30110">
        <w:rPr>
          <w:noProof/>
        </w:rPr>
        <w:t>4</w:t>
      </w:r>
      <w:r>
        <w:rPr>
          <w:noProof/>
        </w:rPr>
        <w:fldChar w:fldCharType="end"/>
      </w:r>
      <w:bookmarkEnd w:id="126"/>
      <w:r>
        <w:t>: Residential EE Technical Potential by End-Use (Winter Peak Savings)</w:t>
      </w:r>
      <w:bookmarkEnd w:id="127"/>
    </w:p>
    <w:p w14:paraId="57B1205C" w14:textId="66A86774" w:rsidR="00460641" w:rsidRDefault="00F15E6D" w:rsidP="00232FCC">
      <w:pPr>
        <w:pStyle w:val="Text"/>
        <w:jc w:val="center"/>
      </w:pPr>
      <w:r>
        <w:rPr>
          <w:noProof/>
        </w:rPr>
        <w:drawing>
          <wp:inline distT="0" distB="0" distL="0" distR="0" wp14:anchorId="2FC2DB09" wp14:editId="7A976C66">
            <wp:extent cx="5524500" cy="339984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27079" cy="3401430"/>
                    </a:xfrm>
                    <a:prstGeom prst="rect">
                      <a:avLst/>
                    </a:prstGeom>
                    <a:noFill/>
                  </pic:spPr>
                </pic:pic>
              </a:graphicData>
            </a:graphic>
          </wp:inline>
        </w:drawing>
      </w:r>
    </w:p>
    <w:p w14:paraId="6D9478DB" w14:textId="77777777" w:rsidR="00F77BBF" w:rsidRDefault="00F77BBF" w:rsidP="00F77BBF">
      <w:pPr>
        <w:pStyle w:val="Heading3"/>
      </w:pPr>
      <w:bookmarkStart w:id="128" w:name="_Toc5715511"/>
      <w:r>
        <w:t>Non-Residential</w:t>
      </w:r>
      <w:bookmarkEnd w:id="128"/>
    </w:p>
    <w:p w14:paraId="7A579AFC" w14:textId="468E4B13" w:rsidR="00460641" w:rsidRDefault="00460641" w:rsidP="00F77BBF">
      <w:pPr>
        <w:pStyle w:val="Heading4"/>
      </w:pPr>
      <w:bookmarkStart w:id="129" w:name="_Toc5715512"/>
      <w:r>
        <w:t>Commercial</w:t>
      </w:r>
      <w:r w:rsidR="00F77BBF">
        <w:t xml:space="preserve"> Segments</w:t>
      </w:r>
      <w:bookmarkEnd w:id="129"/>
    </w:p>
    <w:p w14:paraId="6401EA6F" w14:textId="31B0FBA3" w:rsidR="00A205AA" w:rsidRDefault="00DD3C75" w:rsidP="003167D7">
      <w:pPr>
        <w:pStyle w:val="Text"/>
        <w:keepNext/>
      </w:pPr>
      <w:r>
        <w:fldChar w:fldCharType="begin"/>
      </w:r>
      <w:r>
        <w:instrText xml:space="preserve"> REF _Ref457990010 \h </w:instrText>
      </w:r>
      <w:r>
        <w:fldChar w:fldCharType="separate"/>
      </w:r>
      <w:r w:rsidR="00B30110">
        <w:t xml:space="preserve">Figure </w:t>
      </w:r>
      <w:r w:rsidR="00B30110">
        <w:rPr>
          <w:noProof/>
        </w:rPr>
        <w:t>5</w:t>
      </w:r>
      <w:r w:rsidR="00B30110">
        <w:noBreakHyphen/>
      </w:r>
      <w:r w:rsidR="00B30110">
        <w:rPr>
          <w:noProof/>
        </w:rPr>
        <w:t>5</w:t>
      </w:r>
      <w:r>
        <w:fldChar w:fldCharType="end"/>
      </w:r>
      <w:r w:rsidR="004A02AD">
        <w:t xml:space="preserve">, </w:t>
      </w:r>
      <w:r w:rsidR="004A02AD">
        <w:fldChar w:fldCharType="begin"/>
      </w:r>
      <w:r w:rsidR="004A02AD">
        <w:instrText xml:space="preserve"> REF _Ref4418903 \h </w:instrText>
      </w:r>
      <w:r w:rsidR="004A02AD">
        <w:fldChar w:fldCharType="separate"/>
      </w:r>
      <w:r w:rsidR="00B30110">
        <w:t xml:space="preserve">Figure </w:t>
      </w:r>
      <w:r w:rsidR="00B30110">
        <w:rPr>
          <w:noProof/>
        </w:rPr>
        <w:t>5</w:t>
      </w:r>
      <w:r w:rsidR="00B30110">
        <w:noBreakHyphen/>
      </w:r>
      <w:r w:rsidR="00B30110">
        <w:rPr>
          <w:noProof/>
        </w:rPr>
        <w:t>6</w:t>
      </w:r>
      <w:r w:rsidR="004A02AD">
        <w:fldChar w:fldCharType="end"/>
      </w:r>
      <w:r w:rsidR="004A02AD">
        <w:t xml:space="preserve">, and </w:t>
      </w:r>
      <w:r w:rsidR="004A02AD">
        <w:fldChar w:fldCharType="begin"/>
      </w:r>
      <w:r w:rsidR="004A02AD">
        <w:instrText xml:space="preserve"> REF _Ref4418905 \h </w:instrText>
      </w:r>
      <w:r w:rsidR="004A02AD">
        <w:fldChar w:fldCharType="separate"/>
      </w:r>
      <w:r w:rsidR="00B30110">
        <w:t xml:space="preserve">Figure </w:t>
      </w:r>
      <w:r w:rsidR="00B30110">
        <w:rPr>
          <w:noProof/>
        </w:rPr>
        <w:t>5</w:t>
      </w:r>
      <w:r w:rsidR="00B30110">
        <w:noBreakHyphen/>
      </w:r>
      <w:r w:rsidR="00B30110">
        <w:rPr>
          <w:noProof/>
        </w:rPr>
        <w:t>7</w:t>
      </w:r>
      <w:r w:rsidR="004A02AD">
        <w:fldChar w:fldCharType="end"/>
      </w:r>
      <w:r>
        <w:t xml:space="preserve"> summarize the</w:t>
      </w:r>
      <w:r w:rsidR="00C11CE4">
        <w:t xml:space="preserve"> </w:t>
      </w:r>
      <w:r>
        <w:t xml:space="preserve">commercial EE technical potential by </w:t>
      </w:r>
      <w:r w:rsidR="007576CB">
        <w:t>end-use</w:t>
      </w:r>
      <w:r>
        <w:t>.</w:t>
      </w:r>
      <w:r w:rsidR="007133CF">
        <w:t xml:space="preserve"> </w:t>
      </w:r>
    </w:p>
    <w:p w14:paraId="6401EA70" w14:textId="4A6CAF59" w:rsidR="009342D9" w:rsidRDefault="00DD3C75" w:rsidP="009342D9">
      <w:pPr>
        <w:pStyle w:val="Caption"/>
        <w:rPr>
          <w:noProof/>
          <w:lang w:val="en-CA" w:eastAsia="en-CA"/>
        </w:rPr>
      </w:pPr>
      <w:bookmarkStart w:id="130" w:name="_Ref457990010"/>
      <w:bookmarkStart w:id="131" w:name="_Toc458153383"/>
      <w:bookmarkStart w:id="132" w:name="_Toc458153511"/>
      <w:bookmarkStart w:id="133" w:name="_Toc5715426"/>
      <w:r>
        <w:t>F</w:t>
      </w:r>
      <w:r w:rsidR="009342D9">
        <w:t xml:space="preserve">igure </w:t>
      </w:r>
      <w:r w:rsidR="0025777A">
        <w:rPr>
          <w:noProof/>
        </w:rPr>
        <w:fldChar w:fldCharType="begin"/>
      </w:r>
      <w:r w:rsidR="0025777A">
        <w:rPr>
          <w:noProof/>
        </w:rPr>
        <w:instrText xml:space="preserve"> STYLEREF 1 \s </w:instrText>
      </w:r>
      <w:r w:rsidR="0025777A">
        <w:rPr>
          <w:noProof/>
        </w:rPr>
        <w:fldChar w:fldCharType="separate"/>
      </w:r>
      <w:r w:rsidR="00B30110">
        <w:rPr>
          <w:noProof/>
        </w:rPr>
        <w:t>5</w:t>
      </w:r>
      <w:r w:rsidR="0025777A">
        <w:rPr>
          <w:noProof/>
        </w:rPr>
        <w:fldChar w:fldCharType="end"/>
      </w:r>
      <w:r w:rsidR="00A118ED">
        <w:noBreakHyphen/>
      </w:r>
      <w:r w:rsidR="0025777A">
        <w:rPr>
          <w:noProof/>
        </w:rPr>
        <w:fldChar w:fldCharType="begin"/>
      </w:r>
      <w:r w:rsidR="0025777A">
        <w:rPr>
          <w:noProof/>
        </w:rPr>
        <w:instrText xml:space="preserve"> SEQ Figure \* ARABIC \s 1 </w:instrText>
      </w:r>
      <w:r w:rsidR="0025777A">
        <w:rPr>
          <w:noProof/>
        </w:rPr>
        <w:fldChar w:fldCharType="separate"/>
      </w:r>
      <w:r w:rsidR="00B30110">
        <w:rPr>
          <w:noProof/>
        </w:rPr>
        <w:t>5</w:t>
      </w:r>
      <w:r w:rsidR="0025777A">
        <w:rPr>
          <w:noProof/>
        </w:rPr>
        <w:fldChar w:fldCharType="end"/>
      </w:r>
      <w:bookmarkEnd w:id="130"/>
      <w:r w:rsidR="009342D9">
        <w:t>:</w:t>
      </w:r>
      <w:r w:rsidR="00C11CE4">
        <w:t xml:space="preserve"> </w:t>
      </w:r>
      <w:r w:rsidR="009342D9">
        <w:t>Commercial EE Technical Potential</w:t>
      </w:r>
      <w:bookmarkEnd w:id="131"/>
      <w:bookmarkEnd w:id="132"/>
      <w:r w:rsidR="007576CB">
        <w:t xml:space="preserve"> by End-</w:t>
      </w:r>
      <w:r w:rsidR="00C11CE4">
        <w:t>Use</w:t>
      </w:r>
      <w:r w:rsidR="00460641">
        <w:t xml:space="preserve"> (Energy Savings)</w:t>
      </w:r>
      <w:bookmarkEnd w:id="133"/>
    </w:p>
    <w:p w14:paraId="6401EA71" w14:textId="3B8EDA6E" w:rsidR="009342D9" w:rsidRDefault="00F15E6D" w:rsidP="009342D9">
      <w:pPr>
        <w:pStyle w:val="Text"/>
        <w:jc w:val="center"/>
        <w:rPr>
          <w:lang w:val="en-CA" w:eastAsia="en-CA"/>
        </w:rPr>
      </w:pPr>
      <w:r>
        <w:rPr>
          <w:noProof/>
        </w:rPr>
        <w:drawing>
          <wp:inline distT="0" distB="0" distL="0" distR="0" wp14:anchorId="5A33DEDF" wp14:editId="498CE1A7">
            <wp:extent cx="5286375" cy="333222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92917" cy="3336350"/>
                    </a:xfrm>
                    <a:prstGeom prst="rect">
                      <a:avLst/>
                    </a:prstGeom>
                    <a:noFill/>
                  </pic:spPr>
                </pic:pic>
              </a:graphicData>
            </a:graphic>
          </wp:inline>
        </w:drawing>
      </w:r>
    </w:p>
    <w:p w14:paraId="72219243" w14:textId="3E00A25D" w:rsidR="00460641" w:rsidRDefault="004A02AD" w:rsidP="004A02AD">
      <w:pPr>
        <w:pStyle w:val="Caption"/>
        <w:tabs>
          <w:tab w:val="center" w:pos="4896"/>
          <w:tab w:val="right" w:pos="9792"/>
        </w:tabs>
        <w:jc w:val="left"/>
        <w:rPr>
          <w:noProof/>
          <w:lang w:val="en-CA" w:eastAsia="en-CA"/>
        </w:rPr>
      </w:pPr>
      <w:r>
        <w:tab/>
      </w:r>
      <w:bookmarkStart w:id="134" w:name="_Ref4418903"/>
      <w:bookmarkStart w:id="135" w:name="_Toc5715427"/>
      <w:r w:rsidR="00460641">
        <w:t xml:space="preserve">Figure </w:t>
      </w:r>
      <w:r w:rsidR="00460641">
        <w:rPr>
          <w:noProof/>
        </w:rPr>
        <w:fldChar w:fldCharType="begin"/>
      </w:r>
      <w:r w:rsidR="00460641">
        <w:rPr>
          <w:noProof/>
        </w:rPr>
        <w:instrText xml:space="preserve"> STYLEREF 1 \s </w:instrText>
      </w:r>
      <w:r w:rsidR="00460641">
        <w:rPr>
          <w:noProof/>
        </w:rPr>
        <w:fldChar w:fldCharType="separate"/>
      </w:r>
      <w:r w:rsidR="00B30110">
        <w:rPr>
          <w:noProof/>
        </w:rPr>
        <w:t>5</w:t>
      </w:r>
      <w:r w:rsidR="00460641">
        <w:rPr>
          <w:noProof/>
        </w:rPr>
        <w:fldChar w:fldCharType="end"/>
      </w:r>
      <w:r w:rsidR="00460641">
        <w:noBreakHyphen/>
      </w:r>
      <w:r w:rsidR="00460641">
        <w:rPr>
          <w:noProof/>
        </w:rPr>
        <w:fldChar w:fldCharType="begin"/>
      </w:r>
      <w:r w:rsidR="00460641">
        <w:rPr>
          <w:noProof/>
        </w:rPr>
        <w:instrText xml:space="preserve"> SEQ Figure \* ARABIC \s 1 </w:instrText>
      </w:r>
      <w:r w:rsidR="00460641">
        <w:rPr>
          <w:noProof/>
        </w:rPr>
        <w:fldChar w:fldCharType="separate"/>
      </w:r>
      <w:r w:rsidR="00B30110">
        <w:rPr>
          <w:noProof/>
        </w:rPr>
        <w:t>6</w:t>
      </w:r>
      <w:r w:rsidR="00460641">
        <w:rPr>
          <w:noProof/>
        </w:rPr>
        <w:fldChar w:fldCharType="end"/>
      </w:r>
      <w:bookmarkEnd w:id="134"/>
      <w:r w:rsidR="00460641">
        <w:t>: Commercial EE Technical Potential by End-Use (Summer Peak Savings)</w:t>
      </w:r>
      <w:bookmarkEnd w:id="135"/>
      <w:r>
        <w:tab/>
      </w:r>
    </w:p>
    <w:p w14:paraId="2FF39252" w14:textId="7AFDE092" w:rsidR="00460641" w:rsidRDefault="00F15E6D" w:rsidP="009342D9">
      <w:pPr>
        <w:pStyle w:val="Text"/>
        <w:jc w:val="center"/>
        <w:rPr>
          <w:lang w:val="en-CA" w:eastAsia="en-CA"/>
        </w:rPr>
      </w:pPr>
      <w:r>
        <w:rPr>
          <w:noProof/>
        </w:rPr>
        <w:drawing>
          <wp:inline distT="0" distB="0" distL="0" distR="0" wp14:anchorId="3FF40803" wp14:editId="2A683675">
            <wp:extent cx="5688330" cy="34747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88330" cy="3474720"/>
                    </a:xfrm>
                    <a:prstGeom prst="rect">
                      <a:avLst/>
                    </a:prstGeom>
                    <a:noFill/>
                  </pic:spPr>
                </pic:pic>
              </a:graphicData>
            </a:graphic>
          </wp:inline>
        </w:drawing>
      </w:r>
    </w:p>
    <w:p w14:paraId="725EBC54" w14:textId="4BA37B15" w:rsidR="004A02AD" w:rsidRPr="009342D9" w:rsidRDefault="004A02AD" w:rsidP="004A02AD">
      <w:pPr>
        <w:pStyle w:val="Caption"/>
        <w:tabs>
          <w:tab w:val="center" w:pos="4896"/>
          <w:tab w:val="right" w:pos="9792"/>
        </w:tabs>
        <w:jc w:val="left"/>
        <w:rPr>
          <w:lang w:val="en-CA" w:eastAsia="en-CA"/>
        </w:rPr>
      </w:pPr>
      <w:r>
        <w:tab/>
      </w:r>
      <w:bookmarkStart w:id="136" w:name="_Ref4418905"/>
      <w:bookmarkStart w:id="137" w:name="_Toc5715428"/>
      <w:r>
        <w:t xml:space="preserve">Figure </w:t>
      </w:r>
      <w:r>
        <w:rPr>
          <w:noProof/>
        </w:rPr>
        <w:fldChar w:fldCharType="begin"/>
      </w:r>
      <w:r>
        <w:rPr>
          <w:noProof/>
        </w:rPr>
        <w:instrText xml:space="preserve"> STYLEREF 1 \s </w:instrText>
      </w:r>
      <w:r>
        <w:rPr>
          <w:noProof/>
        </w:rPr>
        <w:fldChar w:fldCharType="separate"/>
      </w:r>
      <w:r w:rsidR="00B30110">
        <w:rPr>
          <w:noProof/>
        </w:rPr>
        <w:t>5</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B30110">
        <w:rPr>
          <w:noProof/>
        </w:rPr>
        <w:t>7</w:t>
      </w:r>
      <w:r>
        <w:rPr>
          <w:noProof/>
        </w:rPr>
        <w:fldChar w:fldCharType="end"/>
      </w:r>
      <w:bookmarkEnd w:id="136"/>
      <w:r>
        <w:t>: Commercial EE Technical Potential by End-Use (Winter</w:t>
      </w:r>
      <w:r w:rsidR="00BB3332">
        <w:t xml:space="preserve"> </w:t>
      </w:r>
      <w:r>
        <w:t>Peak Savings)</w:t>
      </w:r>
      <w:bookmarkEnd w:id="137"/>
    </w:p>
    <w:p w14:paraId="19E96B58" w14:textId="3956A46F" w:rsidR="004A02AD" w:rsidRDefault="00F15E6D" w:rsidP="004A02AD">
      <w:pPr>
        <w:pStyle w:val="Text"/>
        <w:keepNext/>
        <w:jc w:val="center"/>
      </w:pPr>
      <w:r>
        <w:rPr>
          <w:noProof/>
        </w:rPr>
        <w:drawing>
          <wp:inline distT="0" distB="0" distL="0" distR="0" wp14:anchorId="142304D9" wp14:editId="37F9B7F0">
            <wp:extent cx="5534025" cy="356835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40195" cy="3572335"/>
                    </a:xfrm>
                    <a:prstGeom prst="rect">
                      <a:avLst/>
                    </a:prstGeom>
                    <a:noFill/>
                  </pic:spPr>
                </pic:pic>
              </a:graphicData>
            </a:graphic>
          </wp:inline>
        </w:drawing>
      </w:r>
    </w:p>
    <w:p w14:paraId="07D4E9BB" w14:textId="4E4C9DA5" w:rsidR="004A02AD" w:rsidRDefault="004A02AD" w:rsidP="00F77BBF">
      <w:pPr>
        <w:pStyle w:val="Heading4"/>
      </w:pPr>
      <w:bookmarkStart w:id="138" w:name="_Toc5715513"/>
      <w:r>
        <w:t>Industrial</w:t>
      </w:r>
      <w:r w:rsidR="00F77BBF">
        <w:t xml:space="preserve"> Segments</w:t>
      </w:r>
      <w:bookmarkEnd w:id="138"/>
    </w:p>
    <w:p w14:paraId="6401EA75" w14:textId="543BCF03" w:rsidR="009342D9" w:rsidRDefault="003167D7" w:rsidP="003167D7">
      <w:pPr>
        <w:pStyle w:val="Text"/>
        <w:keepNext/>
      </w:pPr>
      <w:r>
        <w:fldChar w:fldCharType="begin"/>
      </w:r>
      <w:r>
        <w:instrText xml:space="preserve"> REF _Ref458120847 \h </w:instrText>
      </w:r>
      <w:r>
        <w:fldChar w:fldCharType="separate"/>
      </w:r>
      <w:r w:rsidR="00B30110">
        <w:t xml:space="preserve">Figure </w:t>
      </w:r>
      <w:r w:rsidR="00B30110">
        <w:rPr>
          <w:noProof/>
        </w:rPr>
        <w:t>5</w:t>
      </w:r>
      <w:r w:rsidR="00B30110">
        <w:noBreakHyphen/>
      </w:r>
      <w:r w:rsidR="00B30110">
        <w:rPr>
          <w:noProof/>
        </w:rPr>
        <w:t>8</w:t>
      </w:r>
      <w:r>
        <w:fldChar w:fldCharType="end"/>
      </w:r>
      <w:r w:rsidR="00F77BBF">
        <w:t xml:space="preserve">, </w:t>
      </w:r>
      <w:r w:rsidR="00F77BBF">
        <w:fldChar w:fldCharType="begin"/>
      </w:r>
      <w:r w:rsidR="00F77BBF">
        <w:instrText xml:space="preserve"> REF _Ref5368794 \h </w:instrText>
      </w:r>
      <w:r w:rsidR="00F77BBF">
        <w:fldChar w:fldCharType="separate"/>
      </w:r>
      <w:r w:rsidR="00B30110">
        <w:t xml:space="preserve">Figure </w:t>
      </w:r>
      <w:r w:rsidR="00B30110">
        <w:rPr>
          <w:noProof/>
        </w:rPr>
        <w:t>5</w:t>
      </w:r>
      <w:r w:rsidR="00B30110">
        <w:noBreakHyphen/>
      </w:r>
      <w:r w:rsidR="00B30110">
        <w:rPr>
          <w:noProof/>
        </w:rPr>
        <w:t>9</w:t>
      </w:r>
      <w:r w:rsidR="00F77BBF">
        <w:fldChar w:fldCharType="end"/>
      </w:r>
      <w:r w:rsidR="00F77BBF">
        <w:t xml:space="preserve">, and </w:t>
      </w:r>
      <w:r w:rsidR="00F77BBF">
        <w:fldChar w:fldCharType="begin"/>
      </w:r>
      <w:r w:rsidR="00F77BBF">
        <w:instrText xml:space="preserve"> REF _Ref5368795 \h </w:instrText>
      </w:r>
      <w:r w:rsidR="00F77BBF">
        <w:fldChar w:fldCharType="separate"/>
      </w:r>
      <w:r w:rsidR="00B30110">
        <w:t xml:space="preserve">Figure </w:t>
      </w:r>
      <w:r w:rsidR="00B30110">
        <w:rPr>
          <w:noProof/>
        </w:rPr>
        <w:t>5</w:t>
      </w:r>
      <w:r w:rsidR="00B30110">
        <w:noBreakHyphen/>
      </w:r>
      <w:r w:rsidR="00B30110">
        <w:rPr>
          <w:noProof/>
        </w:rPr>
        <w:t>10</w:t>
      </w:r>
      <w:r w:rsidR="00F77BBF">
        <w:fldChar w:fldCharType="end"/>
      </w:r>
      <w:r w:rsidR="00F77BBF">
        <w:t xml:space="preserve"> summarize</w:t>
      </w:r>
      <w:r w:rsidR="00AD7123">
        <w:t xml:space="preserve"> the</w:t>
      </w:r>
      <w:r w:rsidR="00C11CE4">
        <w:t xml:space="preserve"> </w:t>
      </w:r>
      <w:r w:rsidR="00AD7123">
        <w:t>industrial</w:t>
      </w:r>
      <w:r>
        <w:t xml:space="preserve"> </w:t>
      </w:r>
      <w:r w:rsidR="007576CB">
        <w:t>EE</w:t>
      </w:r>
      <w:r w:rsidR="00475AE0">
        <w:t xml:space="preserve"> </w:t>
      </w:r>
      <w:r>
        <w:t xml:space="preserve">technical potential by </w:t>
      </w:r>
      <w:r w:rsidR="007576CB">
        <w:t>end-use</w:t>
      </w:r>
      <w:r>
        <w:t>.</w:t>
      </w:r>
      <w:r w:rsidR="007133CF">
        <w:t xml:space="preserve"> </w:t>
      </w:r>
    </w:p>
    <w:p w14:paraId="6401EA76" w14:textId="4DF19D29" w:rsidR="00425789" w:rsidRDefault="00425789" w:rsidP="00425789">
      <w:pPr>
        <w:pStyle w:val="Caption"/>
        <w:rPr>
          <w:noProof/>
          <w:lang w:val="en-CA" w:eastAsia="en-CA"/>
        </w:rPr>
      </w:pPr>
      <w:bookmarkStart w:id="139" w:name="_Ref458120847"/>
      <w:bookmarkStart w:id="140" w:name="_Toc458153385"/>
      <w:bookmarkStart w:id="141" w:name="_Toc458153513"/>
      <w:bookmarkStart w:id="142" w:name="_Toc5715429"/>
      <w:r>
        <w:t xml:space="preserve">Figure </w:t>
      </w:r>
      <w:r w:rsidR="0025777A">
        <w:rPr>
          <w:noProof/>
        </w:rPr>
        <w:fldChar w:fldCharType="begin"/>
      </w:r>
      <w:r w:rsidR="0025777A">
        <w:rPr>
          <w:noProof/>
        </w:rPr>
        <w:instrText xml:space="preserve"> STYLEREF 1 \s </w:instrText>
      </w:r>
      <w:r w:rsidR="0025777A">
        <w:rPr>
          <w:noProof/>
        </w:rPr>
        <w:fldChar w:fldCharType="separate"/>
      </w:r>
      <w:r w:rsidR="00B30110">
        <w:rPr>
          <w:noProof/>
        </w:rPr>
        <w:t>5</w:t>
      </w:r>
      <w:r w:rsidR="0025777A">
        <w:rPr>
          <w:noProof/>
        </w:rPr>
        <w:fldChar w:fldCharType="end"/>
      </w:r>
      <w:r w:rsidR="00A118ED">
        <w:noBreakHyphen/>
      </w:r>
      <w:r w:rsidR="0025777A">
        <w:rPr>
          <w:noProof/>
        </w:rPr>
        <w:fldChar w:fldCharType="begin"/>
      </w:r>
      <w:r w:rsidR="0025777A">
        <w:rPr>
          <w:noProof/>
        </w:rPr>
        <w:instrText xml:space="preserve"> SEQ Figure \* ARABIC \s 1 </w:instrText>
      </w:r>
      <w:r w:rsidR="0025777A">
        <w:rPr>
          <w:noProof/>
        </w:rPr>
        <w:fldChar w:fldCharType="separate"/>
      </w:r>
      <w:r w:rsidR="00B30110">
        <w:rPr>
          <w:noProof/>
        </w:rPr>
        <w:t>8</w:t>
      </w:r>
      <w:r w:rsidR="0025777A">
        <w:rPr>
          <w:noProof/>
        </w:rPr>
        <w:fldChar w:fldCharType="end"/>
      </w:r>
      <w:bookmarkEnd w:id="139"/>
      <w:r>
        <w:t>:</w:t>
      </w:r>
      <w:r w:rsidR="00C11CE4">
        <w:t xml:space="preserve"> </w:t>
      </w:r>
      <w:r>
        <w:t>Industrial EE Tech</w:t>
      </w:r>
      <w:r w:rsidR="00C11CE4">
        <w:t>nical Potential</w:t>
      </w:r>
      <w:r>
        <w:t xml:space="preserve"> by End-Use</w:t>
      </w:r>
      <w:bookmarkEnd w:id="140"/>
      <w:bookmarkEnd w:id="141"/>
      <w:r w:rsidR="004A02AD">
        <w:t xml:space="preserve"> (Energy Savings)</w:t>
      </w:r>
      <w:bookmarkEnd w:id="142"/>
    </w:p>
    <w:p w14:paraId="6401EA77" w14:textId="6B684CC8" w:rsidR="00425789" w:rsidRDefault="00F15E6D" w:rsidP="00425789">
      <w:pPr>
        <w:pStyle w:val="Text"/>
        <w:jc w:val="center"/>
        <w:rPr>
          <w:lang w:val="en-CA" w:eastAsia="en-CA"/>
        </w:rPr>
      </w:pPr>
      <w:r>
        <w:rPr>
          <w:noProof/>
        </w:rPr>
        <w:drawing>
          <wp:inline distT="0" distB="0" distL="0" distR="0" wp14:anchorId="70D682B8" wp14:editId="22BDEE36">
            <wp:extent cx="5377180" cy="31394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7180" cy="3139440"/>
                    </a:xfrm>
                    <a:prstGeom prst="rect">
                      <a:avLst/>
                    </a:prstGeom>
                    <a:noFill/>
                  </pic:spPr>
                </pic:pic>
              </a:graphicData>
            </a:graphic>
          </wp:inline>
        </w:drawing>
      </w:r>
    </w:p>
    <w:p w14:paraId="56147148" w14:textId="6B9525FA" w:rsidR="004A02AD" w:rsidRDefault="004A02AD" w:rsidP="004A02AD">
      <w:pPr>
        <w:pStyle w:val="Caption"/>
        <w:rPr>
          <w:noProof/>
          <w:lang w:val="en-CA" w:eastAsia="en-CA"/>
        </w:rPr>
      </w:pPr>
      <w:bookmarkStart w:id="143" w:name="_Ref5368794"/>
      <w:bookmarkStart w:id="144" w:name="_Toc5715430"/>
      <w:r>
        <w:t xml:space="preserve">Figure </w:t>
      </w:r>
      <w:r>
        <w:rPr>
          <w:noProof/>
        </w:rPr>
        <w:fldChar w:fldCharType="begin"/>
      </w:r>
      <w:r>
        <w:rPr>
          <w:noProof/>
        </w:rPr>
        <w:instrText xml:space="preserve"> STYLEREF 1 \s </w:instrText>
      </w:r>
      <w:r>
        <w:rPr>
          <w:noProof/>
        </w:rPr>
        <w:fldChar w:fldCharType="separate"/>
      </w:r>
      <w:r w:rsidR="00B30110">
        <w:rPr>
          <w:noProof/>
        </w:rPr>
        <w:t>5</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B30110">
        <w:rPr>
          <w:noProof/>
        </w:rPr>
        <w:t>9</w:t>
      </w:r>
      <w:r>
        <w:rPr>
          <w:noProof/>
        </w:rPr>
        <w:fldChar w:fldCharType="end"/>
      </w:r>
      <w:bookmarkEnd w:id="143"/>
      <w:r>
        <w:t>: Industrial EE Technical Potential by End-Use (Summer Peak Savings)</w:t>
      </w:r>
      <w:bookmarkEnd w:id="144"/>
    </w:p>
    <w:p w14:paraId="7A381F44" w14:textId="77972660" w:rsidR="004A02AD" w:rsidRDefault="00F15E6D" w:rsidP="00425789">
      <w:pPr>
        <w:pStyle w:val="Text"/>
        <w:jc w:val="center"/>
        <w:rPr>
          <w:lang w:val="en-CA" w:eastAsia="en-CA"/>
        </w:rPr>
      </w:pPr>
      <w:r>
        <w:rPr>
          <w:noProof/>
        </w:rPr>
        <w:drawing>
          <wp:inline distT="0" distB="0" distL="0" distR="0" wp14:anchorId="69CDFD01" wp14:editId="71D45997">
            <wp:extent cx="5610225" cy="323773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6374" cy="3241287"/>
                    </a:xfrm>
                    <a:prstGeom prst="rect">
                      <a:avLst/>
                    </a:prstGeom>
                    <a:noFill/>
                  </pic:spPr>
                </pic:pic>
              </a:graphicData>
            </a:graphic>
          </wp:inline>
        </w:drawing>
      </w:r>
    </w:p>
    <w:p w14:paraId="5D215D01" w14:textId="48F7BABA" w:rsidR="004A02AD" w:rsidRDefault="004A02AD" w:rsidP="004A02AD">
      <w:pPr>
        <w:pStyle w:val="Caption"/>
        <w:rPr>
          <w:noProof/>
          <w:lang w:val="en-CA" w:eastAsia="en-CA"/>
        </w:rPr>
      </w:pPr>
      <w:bookmarkStart w:id="145" w:name="_Ref5368795"/>
      <w:bookmarkStart w:id="146" w:name="_Toc5715431"/>
      <w:r>
        <w:t xml:space="preserve">Figure </w:t>
      </w:r>
      <w:r>
        <w:rPr>
          <w:noProof/>
        </w:rPr>
        <w:fldChar w:fldCharType="begin"/>
      </w:r>
      <w:r>
        <w:rPr>
          <w:noProof/>
        </w:rPr>
        <w:instrText xml:space="preserve"> STYLEREF 1 \s </w:instrText>
      </w:r>
      <w:r>
        <w:rPr>
          <w:noProof/>
        </w:rPr>
        <w:fldChar w:fldCharType="separate"/>
      </w:r>
      <w:r w:rsidR="00B30110">
        <w:rPr>
          <w:noProof/>
        </w:rPr>
        <w:t>5</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B30110">
        <w:rPr>
          <w:noProof/>
        </w:rPr>
        <w:t>10</w:t>
      </w:r>
      <w:r>
        <w:rPr>
          <w:noProof/>
        </w:rPr>
        <w:fldChar w:fldCharType="end"/>
      </w:r>
      <w:bookmarkEnd w:id="145"/>
      <w:r>
        <w:t>: Industrial EE Technical Potential by End-Use (Winter Peak Savings)</w:t>
      </w:r>
      <w:bookmarkEnd w:id="146"/>
    </w:p>
    <w:p w14:paraId="694AC17A" w14:textId="017FB262" w:rsidR="004A02AD" w:rsidRDefault="00F15E6D" w:rsidP="00425789">
      <w:pPr>
        <w:pStyle w:val="Text"/>
        <w:jc w:val="center"/>
        <w:rPr>
          <w:lang w:val="en-CA" w:eastAsia="en-CA"/>
        </w:rPr>
      </w:pPr>
      <w:r>
        <w:rPr>
          <w:noProof/>
        </w:rPr>
        <w:drawing>
          <wp:inline distT="0" distB="0" distL="0" distR="0" wp14:anchorId="2133636E" wp14:editId="19ABFBCD">
            <wp:extent cx="5621834" cy="3429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25449" cy="3431205"/>
                    </a:xfrm>
                    <a:prstGeom prst="rect">
                      <a:avLst/>
                    </a:prstGeom>
                    <a:noFill/>
                  </pic:spPr>
                </pic:pic>
              </a:graphicData>
            </a:graphic>
          </wp:inline>
        </w:drawing>
      </w:r>
    </w:p>
    <w:p w14:paraId="319DD1FF" w14:textId="7A7DD7C9" w:rsidR="00F15E6D" w:rsidRDefault="00F15E6D">
      <w:pPr>
        <w:tabs>
          <w:tab w:val="clear" w:pos="-1440"/>
          <w:tab w:val="clear" w:pos="-720"/>
        </w:tabs>
        <w:spacing w:after="0" w:line="240" w:lineRule="auto"/>
        <w:ind w:left="0"/>
        <w:rPr>
          <w:rFonts w:ascii="Arial" w:hAnsi="Arial" w:cs="Arial"/>
          <w:color w:val="333333"/>
          <w:szCs w:val="22"/>
          <w:lang w:val="en-CA" w:eastAsia="en-CA"/>
        </w:rPr>
      </w:pPr>
      <w:r>
        <w:rPr>
          <w:lang w:val="en-CA" w:eastAsia="en-CA"/>
        </w:rPr>
        <w:br w:type="page"/>
      </w:r>
    </w:p>
    <w:p w14:paraId="6401EA7B" w14:textId="3126E838" w:rsidR="00EE455B" w:rsidRPr="003E47DC" w:rsidRDefault="00553D4A" w:rsidP="00CA2B67">
      <w:pPr>
        <w:pStyle w:val="Heading2"/>
      </w:pPr>
      <w:bookmarkStart w:id="147" w:name="_Toc5715514"/>
      <w:r>
        <w:t>DR</w:t>
      </w:r>
      <w:r w:rsidR="006B3903">
        <w:t xml:space="preserve"> Technical Potential</w:t>
      </w:r>
      <w:bookmarkEnd w:id="147"/>
    </w:p>
    <w:p w14:paraId="6401EA7C" w14:textId="00387D3E" w:rsidR="00FA3022" w:rsidRPr="00AA120B" w:rsidRDefault="00FA3022" w:rsidP="007873CB">
      <w:pPr>
        <w:pStyle w:val="Text"/>
        <w:jc w:val="both"/>
      </w:pPr>
      <w:r w:rsidRPr="00AA120B">
        <w:t xml:space="preserve">Technical potential for </w:t>
      </w:r>
      <w:r w:rsidR="00553D4A">
        <w:t>DR</w:t>
      </w:r>
      <w:r w:rsidRPr="00AA120B">
        <w:t xml:space="preserve"> is defined for each class of customers as follows:</w:t>
      </w:r>
    </w:p>
    <w:p w14:paraId="6401EA7D" w14:textId="58C0D22C" w:rsidR="00FA3022" w:rsidRPr="00AA120B" w:rsidRDefault="00FA3022" w:rsidP="007873CB">
      <w:pPr>
        <w:pStyle w:val="Mainbody-Bullets"/>
        <w:jc w:val="both"/>
      </w:pPr>
      <w:r w:rsidRPr="00AA120B">
        <w:rPr>
          <w:b/>
        </w:rPr>
        <w:t xml:space="preserve">Residential &amp; </w:t>
      </w:r>
      <w:r w:rsidR="00C523FD">
        <w:rPr>
          <w:b/>
        </w:rPr>
        <w:t>Small C&amp;I</w:t>
      </w:r>
      <w:r w:rsidRPr="00AA120B">
        <w:rPr>
          <w:b/>
        </w:rPr>
        <w:t xml:space="preserve"> customers</w:t>
      </w:r>
      <w:r w:rsidRPr="00AA120B">
        <w:t xml:space="preserve"> – Technical potential is equal to the aggregate load for all </w:t>
      </w:r>
      <w:r w:rsidR="007576CB">
        <w:t>end-use</w:t>
      </w:r>
      <w:r w:rsidRPr="00AA120B">
        <w:t xml:space="preserve">s that can participate in </w:t>
      </w:r>
      <w:r w:rsidR="00145C87">
        <w:t>TECO</w:t>
      </w:r>
      <w:r w:rsidR="006B3903">
        <w:t>’s</w:t>
      </w:r>
      <w:r w:rsidRPr="00AA120B">
        <w:t xml:space="preserve"> current </w:t>
      </w:r>
      <w:r w:rsidR="007A3F82">
        <w:t>programs plus</w:t>
      </w:r>
      <w:r w:rsidRPr="00AA120B">
        <w:t xml:space="preserve"> </w:t>
      </w:r>
      <w:r w:rsidR="00553D4A">
        <w:t>DR</w:t>
      </w:r>
      <w:r w:rsidRPr="00AA120B">
        <w:t xml:space="preserve"> </w:t>
      </w:r>
      <w:r w:rsidR="007A3F82">
        <w:t xml:space="preserve">measures not currently offered </w:t>
      </w:r>
      <w:r w:rsidRPr="00AA120B">
        <w:t>in which the utility uses specialized devices to control loads (</w:t>
      </w:r>
      <w:r w:rsidRPr="00AA6369">
        <w:rPr>
          <w:i/>
        </w:rPr>
        <w:t>i.e.</w:t>
      </w:r>
      <w:r w:rsidRPr="00AA120B">
        <w:t xml:space="preserve"> direct load control programs). This includes </w:t>
      </w:r>
      <w:r w:rsidR="007A3F82">
        <w:t xml:space="preserve">cooling and </w:t>
      </w:r>
      <w:r w:rsidRPr="00AA120B">
        <w:t xml:space="preserve">heating loads for residential and </w:t>
      </w:r>
      <w:r w:rsidR="00C523FD">
        <w:t>small C&amp;I</w:t>
      </w:r>
      <w:r w:rsidRPr="00AA120B">
        <w:t xml:space="preserve"> customers and water heater and pool pump loads for residential customers. Not all demand reductions are delivered via direct load control of end-uses. The magnitude of demand reductions from </w:t>
      </w:r>
      <w:r w:rsidR="002E5455">
        <w:t>non-direct load control</w:t>
      </w:r>
      <w:r w:rsidRPr="00AA120B">
        <w:t xml:space="preserve"> such as time varying pricing, peak time rebates and targeted notifications is linked to cooling and heating loads. </w:t>
      </w:r>
    </w:p>
    <w:p w14:paraId="6401EA7E" w14:textId="34CF169A" w:rsidR="00FA3022" w:rsidRPr="00E31623" w:rsidRDefault="00FA3022" w:rsidP="007873CB">
      <w:pPr>
        <w:pStyle w:val="Mainbody-Bullets"/>
        <w:jc w:val="both"/>
      </w:pPr>
      <w:r w:rsidRPr="00E31623">
        <w:rPr>
          <w:b/>
        </w:rPr>
        <w:t>Large C&amp;I customers</w:t>
      </w:r>
      <w:r w:rsidRPr="00E31623">
        <w:t xml:space="preserve"> – Technical potential is equal to the total amount of load for each customer segment</w:t>
      </w:r>
      <w:r w:rsidR="007A3F82">
        <w:t xml:space="preserve"> (</w:t>
      </w:r>
      <w:r w:rsidR="007A3F82" w:rsidRPr="007A3F82">
        <w:rPr>
          <w:i/>
        </w:rPr>
        <w:t>i.e.</w:t>
      </w:r>
      <w:r w:rsidR="007A3F82">
        <w:rPr>
          <w:i/>
        </w:rPr>
        <w:t>,</w:t>
      </w:r>
      <w:r w:rsidR="007A3F82">
        <w:t xml:space="preserve"> that customers reduce their total load to zero when called upon)</w:t>
      </w:r>
      <w:r w:rsidRPr="00E31623">
        <w:t xml:space="preserve">. </w:t>
      </w:r>
    </w:p>
    <w:p w14:paraId="6401EA7F" w14:textId="3EF7821E" w:rsidR="00FA3022" w:rsidRDefault="00FA3022" w:rsidP="00FA3022">
      <w:pPr>
        <w:pStyle w:val="Text"/>
      </w:pPr>
      <w:r w:rsidRPr="00E31623">
        <w:fldChar w:fldCharType="begin"/>
      </w:r>
      <w:r w:rsidRPr="00E31623">
        <w:instrText xml:space="preserve"> REF _Ref458085093 \h  \* MERGEFORMAT </w:instrText>
      </w:r>
      <w:r w:rsidRPr="00E31623">
        <w:fldChar w:fldCharType="separate"/>
      </w:r>
      <w:r w:rsidR="00B30110" w:rsidRPr="00E31623">
        <w:t xml:space="preserve">Table </w:t>
      </w:r>
      <w:r w:rsidR="00B30110">
        <w:rPr>
          <w:noProof/>
        </w:rPr>
        <w:t>5</w:t>
      </w:r>
      <w:r w:rsidR="00B30110">
        <w:rPr>
          <w:noProof/>
        </w:rPr>
        <w:noBreakHyphen/>
        <w:t>2</w:t>
      </w:r>
      <w:r w:rsidRPr="00E31623">
        <w:fldChar w:fldCharType="end"/>
      </w:r>
      <w:r w:rsidRPr="00E31623">
        <w:t xml:space="preserve"> summarizes the seasonal </w:t>
      </w:r>
      <w:r w:rsidR="00553D4A">
        <w:t>DR</w:t>
      </w:r>
      <w:r w:rsidRPr="00E31623">
        <w:t xml:space="preserve"> technical potential by sector:</w:t>
      </w:r>
    </w:p>
    <w:p w14:paraId="6401EA80" w14:textId="1523DF62" w:rsidR="00FA3022" w:rsidRDefault="00FA3022" w:rsidP="00FA3022">
      <w:pPr>
        <w:pStyle w:val="Mainbody-Captiontable"/>
      </w:pPr>
      <w:bookmarkStart w:id="148" w:name="_Ref458085093"/>
      <w:bookmarkStart w:id="149" w:name="_Toc458153393"/>
      <w:bookmarkStart w:id="150" w:name="_Toc458153521"/>
      <w:bookmarkStart w:id="151" w:name="_Toc458758884"/>
      <w:bookmarkStart w:id="152" w:name="_Toc5715447"/>
      <w:r w:rsidRPr="00E31623">
        <w:t xml:space="preserve">Table </w:t>
      </w:r>
      <w:r w:rsidR="000C7BC6">
        <w:rPr>
          <w:noProof/>
        </w:rPr>
        <w:fldChar w:fldCharType="begin"/>
      </w:r>
      <w:r w:rsidR="000C7BC6">
        <w:rPr>
          <w:noProof/>
        </w:rPr>
        <w:instrText xml:space="preserve"> STYLEREF 1 \s </w:instrText>
      </w:r>
      <w:r w:rsidR="000C7BC6">
        <w:rPr>
          <w:noProof/>
        </w:rPr>
        <w:fldChar w:fldCharType="separate"/>
      </w:r>
      <w:r w:rsidR="00B30110">
        <w:rPr>
          <w:noProof/>
        </w:rPr>
        <w:t>5</w:t>
      </w:r>
      <w:r w:rsidR="000C7BC6">
        <w:rPr>
          <w:noProof/>
        </w:rPr>
        <w:fldChar w:fldCharType="end"/>
      </w:r>
      <w:r w:rsidR="00B417B0">
        <w:noBreakHyphen/>
      </w:r>
      <w:r w:rsidR="000C7BC6">
        <w:rPr>
          <w:noProof/>
        </w:rPr>
        <w:fldChar w:fldCharType="begin"/>
      </w:r>
      <w:r w:rsidR="000C7BC6">
        <w:rPr>
          <w:noProof/>
        </w:rPr>
        <w:instrText xml:space="preserve"> SEQ Table \* ARABIC \s 1 </w:instrText>
      </w:r>
      <w:r w:rsidR="000C7BC6">
        <w:rPr>
          <w:noProof/>
        </w:rPr>
        <w:fldChar w:fldCharType="separate"/>
      </w:r>
      <w:r w:rsidR="00B30110">
        <w:rPr>
          <w:noProof/>
        </w:rPr>
        <w:t>2</w:t>
      </w:r>
      <w:r w:rsidR="000C7BC6">
        <w:rPr>
          <w:noProof/>
        </w:rPr>
        <w:fldChar w:fldCharType="end"/>
      </w:r>
      <w:bookmarkEnd w:id="148"/>
      <w:r w:rsidRPr="00E31623">
        <w:t>: DR Technical Potential by Sector</w:t>
      </w:r>
      <w:bookmarkEnd w:id="149"/>
      <w:bookmarkEnd w:id="150"/>
      <w:bookmarkEnd w:id="151"/>
      <w:bookmarkEnd w:id="152"/>
    </w:p>
    <w:tbl>
      <w:tblPr>
        <w:tblW w:w="5400" w:type="dxa"/>
        <w:jc w:val="center"/>
        <w:tblBorders>
          <w:top w:val="single" w:sz="4" w:space="0" w:color="0070CD"/>
          <w:bottom w:val="single" w:sz="4" w:space="0" w:color="0070CD"/>
          <w:insideH w:val="dotted" w:sz="4" w:space="0" w:color="0070CD"/>
          <w:insideV w:val="dotted" w:sz="4" w:space="0" w:color="0070CD"/>
        </w:tblBorders>
        <w:tblLayout w:type="fixed"/>
        <w:tblLook w:val="04A0" w:firstRow="1" w:lastRow="0" w:firstColumn="1" w:lastColumn="0" w:noHBand="0" w:noVBand="1"/>
      </w:tblPr>
      <w:tblGrid>
        <w:gridCol w:w="2252"/>
        <w:gridCol w:w="1618"/>
        <w:gridCol w:w="1530"/>
      </w:tblGrid>
      <w:tr w:rsidR="00F77BBF" w:rsidRPr="00C95CDE" w14:paraId="6CEE080A" w14:textId="77777777" w:rsidTr="00D7421B">
        <w:trPr>
          <w:trHeight w:val="300"/>
          <w:jc w:val="center"/>
        </w:trPr>
        <w:tc>
          <w:tcPr>
            <w:tcW w:w="2252" w:type="dxa"/>
            <w:tcBorders>
              <w:top w:val="single" w:sz="4" w:space="0" w:color="0070CD"/>
              <w:bottom w:val="nil"/>
            </w:tcBorders>
            <w:shd w:val="clear" w:color="auto" w:fill="0070CD"/>
            <w:noWrap/>
            <w:vAlign w:val="bottom"/>
            <w:hideMark/>
          </w:tcPr>
          <w:p w14:paraId="0F1F6857" w14:textId="77777777" w:rsidR="00F77BBF" w:rsidRPr="0065130B" w:rsidRDefault="00F77BBF" w:rsidP="00D7421B">
            <w:pPr>
              <w:pStyle w:val="Tables-Bodycells"/>
              <w:keepNext w:val="0"/>
              <w:rPr>
                <w:color w:val="FFFFFF" w:themeColor="background1"/>
                <w:lang w:val="en-CA" w:eastAsia="en-CA"/>
              </w:rPr>
            </w:pPr>
          </w:p>
        </w:tc>
        <w:tc>
          <w:tcPr>
            <w:tcW w:w="3148" w:type="dxa"/>
            <w:gridSpan w:val="2"/>
            <w:shd w:val="clear" w:color="auto" w:fill="0070CD"/>
            <w:vAlign w:val="center"/>
          </w:tcPr>
          <w:p w14:paraId="42F2853B" w14:textId="77777777" w:rsidR="00F77BBF" w:rsidRPr="00901BE2" w:rsidRDefault="00F77BBF" w:rsidP="00D7421B">
            <w:pPr>
              <w:pStyle w:val="Tables-Bodycells"/>
              <w:keepNext w:val="0"/>
              <w:jc w:val="center"/>
              <w:rPr>
                <w:b/>
                <w:bCs/>
                <w:color w:val="FFFFFF" w:themeColor="background1"/>
                <w:lang w:val="en-CA" w:eastAsia="en-CA"/>
              </w:rPr>
            </w:pPr>
            <w:r>
              <w:rPr>
                <w:b/>
                <w:bCs/>
                <w:color w:val="FFFFFF" w:themeColor="background1"/>
                <w:lang w:val="en-CA" w:eastAsia="en-CA"/>
              </w:rPr>
              <w:t>Savings</w:t>
            </w:r>
            <w:r w:rsidRPr="00901BE2">
              <w:rPr>
                <w:b/>
                <w:bCs/>
                <w:color w:val="FFFFFF" w:themeColor="background1"/>
                <w:lang w:val="en-CA" w:eastAsia="en-CA"/>
              </w:rPr>
              <w:t xml:space="preserve"> </w:t>
            </w:r>
            <w:r>
              <w:rPr>
                <w:b/>
                <w:bCs/>
                <w:color w:val="FFFFFF" w:themeColor="background1"/>
                <w:lang w:val="en-CA" w:eastAsia="en-CA"/>
              </w:rPr>
              <w:t>Potential</w:t>
            </w:r>
          </w:p>
        </w:tc>
      </w:tr>
      <w:tr w:rsidR="00F77BBF" w:rsidRPr="00C95CDE" w14:paraId="7197C0C6" w14:textId="77777777" w:rsidTr="00D7421B">
        <w:trPr>
          <w:trHeight w:val="300"/>
          <w:jc w:val="center"/>
        </w:trPr>
        <w:tc>
          <w:tcPr>
            <w:tcW w:w="2252" w:type="dxa"/>
            <w:tcBorders>
              <w:top w:val="nil"/>
              <w:bottom w:val="single" w:sz="4" w:space="0" w:color="0070CD"/>
            </w:tcBorders>
            <w:shd w:val="clear" w:color="auto" w:fill="0070CD"/>
            <w:noWrap/>
            <w:vAlign w:val="bottom"/>
            <w:hideMark/>
          </w:tcPr>
          <w:p w14:paraId="02B75F26" w14:textId="77777777" w:rsidR="00F77BBF" w:rsidRPr="0065130B" w:rsidRDefault="00F77BBF" w:rsidP="00D7421B">
            <w:pPr>
              <w:pStyle w:val="Tables-Bodycells"/>
              <w:keepNext w:val="0"/>
              <w:rPr>
                <w:color w:val="FFFFFF" w:themeColor="background1"/>
                <w:lang w:val="en-CA" w:eastAsia="en-CA"/>
              </w:rPr>
            </w:pPr>
          </w:p>
        </w:tc>
        <w:tc>
          <w:tcPr>
            <w:tcW w:w="1618" w:type="dxa"/>
            <w:tcBorders>
              <w:bottom w:val="single" w:sz="4" w:space="0" w:color="0070CD"/>
            </w:tcBorders>
            <w:shd w:val="clear" w:color="auto" w:fill="0070CD"/>
            <w:vAlign w:val="center"/>
          </w:tcPr>
          <w:p w14:paraId="4FC9DD7D" w14:textId="77777777" w:rsidR="00F77BBF" w:rsidRDefault="00F77BBF" w:rsidP="00D7421B">
            <w:pPr>
              <w:pStyle w:val="Tables-Bodycells"/>
              <w:keepNext w:val="0"/>
              <w:jc w:val="center"/>
              <w:rPr>
                <w:b/>
                <w:bCs/>
                <w:color w:val="FFFFFF" w:themeColor="background1"/>
                <w:lang w:val="en-CA" w:eastAsia="en-CA"/>
              </w:rPr>
            </w:pPr>
            <w:r>
              <w:rPr>
                <w:b/>
                <w:bCs/>
                <w:color w:val="FFFFFF" w:themeColor="background1"/>
                <w:lang w:val="en-CA" w:eastAsia="en-CA"/>
              </w:rPr>
              <w:t>Summer Peak Demand</w:t>
            </w:r>
          </w:p>
          <w:p w14:paraId="0E42F675" w14:textId="77777777" w:rsidR="00F77BBF" w:rsidRPr="00901BE2" w:rsidRDefault="00F77BBF" w:rsidP="00D7421B">
            <w:pPr>
              <w:pStyle w:val="Tables-Bodycells"/>
              <w:keepNext w:val="0"/>
              <w:jc w:val="center"/>
              <w:rPr>
                <w:b/>
                <w:bCs/>
                <w:color w:val="FFFFFF" w:themeColor="background1"/>
                <w:lang w:val="en-CA" w:eastAsia="en-CA"/>
              </w:rPr>
            </w:pPr>
            <w:r>
              <w:rPr>
                <w:b/>
                <w:bCs/>
                <w:color w:val="FFFFFF" w:themeColor="background1"/>
                <w:lang w:val="en-CA" w:eastAsia="en-CA"/>
              </w:rPr>
              <w:t>(MW)</w:t>
            </w:r>
          </w:p>
        </w:tc>
        <w:tc>
          <w:tcPr>
            <w:tcW w:w="1530" w:type="dxa"/>
            <w:tcBorders>
              <w:bottom w:val="single" w:sz="4" w:space="0" w:color="0070CD"/>
            </w:tcBorders>
            <w:shd w:val="clear" w:color="auto" w:fill="0070CD"/>
            <w:vAlign w:val="center"/>
          </w:tcPr>
          <w:p w14:paraId="39F59C27" w14:textId="77777777" w:rsidR="00F77BBF" w:rsidRDefault="00F77BBF" w:rsidP="00D7421B">
            <w:pPr>
              <w:pStyle w:val="Tables-Bodycells"/>
              <w:keepNext w:val="0"/>
              <w:jc w:val="center"/>
              <w:rPr>
                <w:b/>
                <w:bCs/>
                <w:color w:val="FFFFFF" w:themeColor="background1"/>
                <w:lang w:val="en-CA" w:eastAsia="en-CA"/>
              </w:rPr>
            </w:pPr>
            <w:r>
              <w:rPr>
                <w:b/>
                <w:bCs/>
                <w:color w:val="FFFFFF" w:themeColor="background1"/>
                <w:lang w:val="en-CA" w:eastAsia="en-CA"/>
              </w:rPr>
              <w:t xml:space="preserve">Winter Peak Demand </w:t>
            </w:r>
          </w:p>
          <w:p w14:paraId="1E74601B" w14:textId="77777777" w:rsidR="00F77BBF" w:rsidRPr="00901BE2" w:rsidRDefault="00F77BBF" w:rsidP="00D7421B">
            <w:pPr>
              <w:pStyle w:val="Tables-Bodycells"/>
              <w:keepNext w:val="0"/>
              <w:jc w:val="center"/>
              <w:rPr>
                <w:b/>
                <w:bCs/>
                <w:color w:val="FFFFFF" w:themeColor="background1"/>
                <w:lang w:val="en-CA" w:eastAsia="en-CA"/>
              </w:rPr>
            </w:pPr>
            <w:r>
              <w:rPr>
                <w:b/>
                <w:bCs/>
                <w:color w:val="FFFFFF" w:themeColor="background1"/>
                <w:lang w:val="en-CA" w:eastAsia="en-CA"/>
              </w:rPr>
              <w:t>(MW)</w:t>
            </w:r>
          </w:p>
        </w:tc>
      </w:tr>
      <w:tr w:rsidR="00F77BBF" w:rsidRPr="00C95CDE" w14:paraId="44F23021" w14:textId="77777777" w:rsidTr="00D7421B">
        <w:trPr>
          <w:trHeight w:val="305"/>
          <w:jc w:val="center"/>
        </w:trPr>
        <w:tc>
          <w:tcPr>
            <w:tcW w:w="2252" w:type="dxa"/>
            <w:tcBorders>
              <w:top w:val="single" w:sz="4" w:space="0" w:color="0070CD"/>
              <w:bottom w:val="single" w:sz="4" w:space="0" w:color="0070CD"/>
            </w:tcBorders>
            <w:shd w:val="clear" w:color="auto" w:fill="auto"/>
            <w:vAlign w:val="center"/>
            <w:hideMark/>
          </w:tcPr>
          <w:p w14:paraId="65CB6B61" w14:textId="77777777" w:rsidR="00F77BBF" w:rsidRPr="00920CF7" w:rsidRDefault="00F77BBF" w:rsidP="00D7421B">
            <w:pPr>
              <w:pStyle w:val="Tables-Bodycells"/>
              <w:keepNext w:val="0"/>
              <w:spacing w:before="0" w:after="0"/>
              <w:rPr>
                <w:color w:val="000000"/>
                <w:lang w:val="en-CA" w:eastAsia="en-CA"/>
              </w:rPr>
            </w:pPr>
            <w:r>
              <w:t>Residential</w:t>
            </w:r>
          </w:p>
        </w:tc>
        <w:tc>
          <w:tcPr>
            <w:tcW w:w="1618" w:type="dxa"/>
            <w:tcBorders>
              <w:top w:val="single" w:sz="4" w:space="0" w:color="0070CD"/>
              <w:bottom w:val="single" w:sz="4" w:space="0" w:color="0070CD"/>
            </w:tcBorders>
            <w:vAlign w:val="center"/>
          </w:tcPr>
          <w:p w14:paraId="47E36764" w14:textId="77777777" w:rsidR="00F77BBF" w:rsidRPr="0018631B" w:rsidRDefault="00F77BBF" w:rsidP="00D7421B">
            <w:pPr>
              <w:pStyle w:val="Tables-Bodycells"/>
              <w:jc w:val="center"/>
              <w:rPr>
                <w:color w:val="000000"/>
              </w:rPr>
            </w:pPr>
            <w:r w:rsidRPr="001C0FB0">
              <w:t>1,208</w:t>
            </w:r>
          </w:p>
        </w:tc>
        <w:tc>
          <w:tcPr>
            <w:tcW w:w="1530" w:type="dxa"/>
            <w:tcBorders>
              <w:top w:val="single" w:sz="4" w:space="0" w:color="0070CD"/>
              <w:bottom w:val="single" w:sz="4" w:space="0" w:color="0070CD"/>
            </w:tcBorders>
            <w:vAlign w:val="center"/>
          </w:tcPr>
          <w:p w14:paraId="7A024A88" w14:textId="77777777" w:rsidR="00F77BBF" w:rsidRPr="0018631B" w:rsidRDefault="00F77BBF" w:rsidP="00D7421B">
            <w:pPr>
              <w:pStyle w:val="Tables-Bodycells"/>
              <w:jc w:val="center"/>
              <w:rPr>
                <w:color w:val="000000"/>
              </w:rPr>
            </w:pPr>
            <w:r w:rsidRPr="001C0FB0">
              <w:t>1,645</w:t>
            </w:r>
          </w:p>
        </w:tc>
      </w:tr>
      <w:tr w:rsidR="00F77BBF" w:rsidRPr="00C95CDE" w14:paraId="0CC2D953" w14:textId="77777777" w:rsidTr="00D7421B">
        <w:trPr>
          <w:trHeight w:val="305"/>
          <w:jc w:val="center"/>
        </w:trPr>
        <w:tc>
          <w:tcPr>
            <w:tcW w:w="2252" w:type="dxa"/>
            <w:tcBorders>
              <w:top w:val="single" w:sz="4" w:space="0" w:color="0070CD"/>
              <w:bottom w:val="single" w:sz="4" w:space="0" w:color="0070CD"/>
            </w:tcBorders>
            <w:shd w:val="clear" w:color="auto" w:fill="auto"/>
            <w:vAlign w:val="center"/>
          </w:tcPr>
          <w:p w14:paraId="1A2D2B0C" w14:textId="77777777" w:rsidR="00F77BBF" w:rsidRPr="00920CF7" w:rsidRDefault="00F77BBF" w:rsidP="00D7421B">
            <w:pPr>
              <w:pStyle w:val="Tables-Bodycells"/>
              <w:keepNext w:val="0"/>
              <w:spacing w:before="0" w:after="0"/>
            </w:pPr>
            <w:r>
              <w:t>Non-Residential</w:t>
            </w:r>
          </w:p>
        </w:tc>
        <w:tc>
          <w:tcPr>
            <w:tcW w:w="1618" w:type="dxa"/>
            <w:tcBorders>
              <w:top w:val="single" w:sz="4" w:space="0" w:color="0070CD"/>
              <w:bottom w:val="single" w:sz="4" w:space="0" w:color="0070CD"/>
            </w:tcBorders>
            <w:vAlign w:val="center"/>
          </w:tcPr>
          <w:p w14:paraId="51D922A8" w14:textId="77777777" w:rsidR="00F77BBF" w:rsidRPr="0018631B" w:rsidRDefault="00F77BBF" w:rsidP="00D7421B">
            <w:pPr>
              <w:pStyle w:val="Tables-Bodycells"/>
              <w:jc w:val="center"/>
              <w:rPr>
                <w:color w:val="000000"/>
              </w:rPr>
            </w:pPr>
            <w:r w:rsidRPr="001C0FB0">
              <w:t>1,191</w:t>
            </w:r>
          </w:p>
        </w:tc>
        <w:tc>
          <w:tcPr>
            <w:tcW w:w="1530" w:type="dxa"/>
            <w:tcBorders>
              <w:top w:val="single" w:sz="4" w:space="0" w:color="0070CD"/>
              <w:bottom w:val="single" w:sz="4" w:space="0" w:color="0070CD"/>
            </w:tcBorders>
            <w:vAlign w:val="center"/>
          </w:tcPr>
          <w:p w14:paraId="121362D2" w14:textId="77777777" w:rsidR="00F77BBF" w:rsidRPr="0018631B" w:rsidRDefault="00F77BBF" w:rsidP="00D7421B">
            <w:pPr>
              <w:pStyle w:val="Tables-Bodycells"/>
              <w:jc w:val="center"/>
              <w:rPr>
                <w:color w:val="000000"/>
              </w:rPr>
            </w:pPr>
            <w:r w:rsidRPr="001C0FB0">
              <w:t>673</w:t>
            </w:r>
          </w:p>
        </w:tc>
      </w:tr>
      <w:tr w:rsidR="00F77BBF" w:rsidRPr="00C95CDE" w14:paraId="25653319" w14:textId="77777777" w:rsidTr="00D7421B">
        <w:trPr>
          <w:trHeight w:val="300"/>
          <w:jc w:val="center"/>
        </w:trPr>
        <w:tc>
          <w:tcPr>
            <w:tcW w:w="2252" w:type="dxa"/>
            <w:tcBorders>
              <w:top w:val="single" w:sz="4" w:space="0" w:color="0070CD"/>
              <w:bottom w:val="single" w:sz="4" w:space="0" w:color="0070CD"/>
            </w:tcBorders>
            <w:shd w:val="clear" w:color="auto" w:fill="auto"/>
            <w:vAlign w:val="center"/>
            <w:hideMark/>
          </w:tcPr>
          <w:p w14:paraId="2A18001F" w14:textId="77777777" w:rsidR="00F77BBF" w:rsidRPr="00920CF7" w:rsidRDefault="00F77BBF" w:rsidP="00D7421B">
            <w:pPr>
              <w:pStyle w:val="Tables-Bodycells"/>
              <w:keepNext w:val="0"/>
              <w:spacing w:before="0" w:after="0"/>
              <w:rPr>
                <w:color w:val="000000"/>
                <w:lang w:val="en-CA" w:eastAsia="en-CA"/>
              </w:rPr>
            </w:pPr>
            <w:r>
              <w:t>Total</w:t>
            </w:r>
          </w:p>
        </w:tc>
        <w:tc>
          <w:tcPr>
            <w:tcW w:w="1618" w:type="dxa"/>
            <w:tcBorders>
              <w:top w:val="single" w:sz="4" w:space="0" w:color="0070CD"/>
              <w:bottom w:val="single" w:sz="4" w:space="0" w:color="0070CD"/>
            </w:tcBorders>
            <w:vAlign w:val="center"/>
          </w:tcPr>
          <w:p w14:paraId="75C97D39" w14:textId="77777777" w:rsidR="00F77BBF" w:rsidRPr="0018631B" w:rsidRDefault="00F77BBF" w:rsidP="00D7421B">
            <w:pPr>
              <w:pStyle w:val="Tables-Bodycells"/>
              <w:jc w:val="center"/>
              <w:rPr>
                <w:color w:val="000000"/>
              </w:rPr>
            </w:pPr>
            <w:r w:rsidRPr="001C0FB0">
              <w:t>2,398</w:t>
            </w:r>
          </w:p>
        </w:tc>
        <w:tc>
          <w:tcPr>
            <w:tcW w:w="1530" w:type="dxa"/>
            <w:tcBorders>
              <w:top w:val="single" w:sz="4" w:space="0" w:color="0070CD"/>
              <w:bottom w:val="single" w:sz="4" w:space="0" w:color="0070CD"/>
            </w:tcBorders>
            <w:vAlign w:val="center"/>
          </w:tcPr>
          <w:p w14:paraId="4DD5FD5A" w14:textId="77777777" w:rsidR="00F77BBF" w:rsidRPr="0018631B" w:rsidRDefault="00F77BBF" w:rsidP="00D7421B">
            <w:pPr>
              <w:pStyle w:val="Tables-Bodycells"/>
              <w:jc w:val="center"/>
              <w:rPr>
                <w:color w:val="000000"/>
              </w:rPr>
            </w:pPr>
            <w:r w:rsidRPr="001C0FB0">
              <w:t>2</w:t>
            </w:r>
            <w:r>
              <w:t>,</w:t>
            </w:r>
            <w:r w:rsidRPr="001C0FB0">
              <w:t>318</w:t>
            </w:r>
          </w:p>
        </w:tc>
      </w:tr>
    </w:tbl>
    <w:p w14:paraId="146B6831" w14:textId="77777777" w:rsidR="00F77BBF" w:rsidRDefault="00F77BBF" w:rsidP="00F77BBF">
      <w:pPr>
        <w:pStyle w:val="Heading3"/>
        <w:numPr>
          <w:ilvl w:val="0"/>
          <w:numId w:val="0"/>
        </w:numPr>
        <w:ind w:left="720"/>
      </w:pPr>
      <w:bookmarkStart w:id="153" w:name="_Toc458757792"/>
    </w:p>
    <w:p w14:paraId="6401EA99" w14:textId="5DFD2E08" w:rsidR="00FA3022" w:rsidRPr="00DB5B48" w:rsidRDefault="00FA3022" w:rsidP="00FA3022">
      <w:pPr>
        <w:pStyle w:val="Heading3"/>
      </w:pPr>
      <w:bookmarkStart w:id="154" w:name="_Toc5715515"/>
      <w:r w:rsidRPr="00DB5B48">
        <w:t>Residential</w:t>
      </w:r>
      <w:bookmarkEnd w:id="153"/>
      <w:bookmarkEnd w:id="154"/>
    </w:p>
    <w:p w14:paraId="7C55CFC3" w14:textId="36DB10BB" w:rsidR="00E7259A" w:rsidRDefault="00FA3022" w:rsidP="00FB074A">
      <w:pPr>
        <w:pStyle w:val="Text"/>
      </w:pPr>
      <w:r w:rsidRPr="00DB5B48">
        <w:t>Residential technical potential is summarized</w:t>
      </w:r>
      <w:r w:rsidR="007444CE">
        <w:t xml:space="preserve"> in</w:t>
      </w:r>
      <w:r w:rsidR="00791768">
        <w:t xml:space="preserve"> </w:t>
      </w:r>
      <w:r w:rsidR="00791768">
        <w:fldChar w:fldCharType="begin"/>
      </w:r>
      <w:r w:rsidR="00791768">
        <w:instrText xml:space="preserve"> REF _Ref3883523 \h </w:instrText>
      </w:r>
      <w:r w:rsidR="00791768">
        <w:fldChar w:fldCharType="separate"/>
      </w:r>
      <w:r w:rsidR="00B30110">
        <w:t xml:space="preserve">Figure </w:t>
      </w:r>
      <w:r w:rsidR="00B30110">
        <w:rPr>
          <w:noProof/>
        </w:rPr>
        <w:t>5</w:t>
      </w:r>
      <w:r w:rsidR="00B30110">
        <w:noBreakHyphen/>
      </w:r>
      <w:r w:rsidR="00B30110">
        <w:rPr>
          <w:noProof/>
        </w:rPr>
        <w:t>11</w:t>
      </w:r>
      <w:r w:rsidR="00791768">
        <w:fldChar w:fldCharType="end"/>
      </w:r>
      <w:r w:rsidR="00791768">
        <w:t xml:space="preserve">. </w:t>
      </w:r>
      <w:bookmarkStart w:id="155" w:name="_Ref457896813"/>
      <w:bookmarkStart w:id="156" w:name="_Toc458153394"/>
      <w:bookmarkStart w:id="157" w:name="_Toc458153522"/>
      <w:bookmarkStart w:id="158" w:name="_Toc458758885"/>
    </w:p>
    <w:p w14:paraId="53EA5263" w14:textId="77777777" w:rsidR="00E7259A" w:rsidRDefault="00E7259A" w:rsidP="00FA3022">
      <w:pPr>
        <w:pStyle w:val="Mainbody-Captiontable"/>
      </w:pPr>
    </w:p>
    <w:p w14:paraId="3D954B10" w14:textId="7788DB24" w:rsidR="00CE4389" w:rsidRDefault="00CE4389" w:rsidP="00CE4389">
      <w:pPr>
        <w:pStyle w:val="Caption"/>
        <w:rPr>
          <w:noProof/>
          <w:lang w:val="en-CA" w:eastAsia="en-CA"/>
        </w:rPr>
      </w:pPr>
      <w:bookmarkStart w:id="159" w:name="_Ref3883523"/>
      <w:bookmarkStart w:id="160" w:name="_Ref3883486"/>
      <w:bookmarkStart w:id="161" w:name="_Toc5715432"/>
      <w:bookmarkEnd w:id="155"/>
      <w:bookmarkEnd w:id="156"/>
      <w:bookmarkEnd w:id="157"/>
      <w:bookmarkEnd w:id="158"/>
      <w:r>
        <w:t xml:space="preserve">Figure </w:t>
      </w:r>
      <w:r>
        <w:rPr>
          <w:noProof/>
        </w:rPr>
        <w:fldChar w:fldCharType="begin"/>
      </w:r>
      <w:r>
        <w:rPr>
          <w:noProof/>
        </w:rPr>
        <w:instrText xml:space="preserve"> STYLEREF 1 \s </w:instrText>
      </w:r>
      <w:r>
        <w:rPr>
          <w:noProof/>
        </w:rPr>
        <w:fldChar w:fldCharType="separate"/>
      </w:r>
      <w:r w:rsidR="00B30110">
        <w:rPr>
          <w:noProof/>
        </w:rPr>
        <w:t>5</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B30110">
        <w:rPr>
          <w:noProof/>
        </w:rPr>
        <w:t>11</w:t>
      </w:r>
      <w:r>
        <w:rPr>
          <w:noProof/>
        </w:rPr>
        <w:fldChar w:fldCharType="end"/>
      </w:r>
      <w:bookmarkEnd w:id="159"/>
      <w:r>
        <w:t>: Residen</w:t>
      </w:r>
      <w:r w:rsidR="007576CB">
        <w:t xml:space="preserve">tial </w:t>
      </w:r>
      <w:r w:rsidR="00F77BBF">
        <w:t xml:space="preserve">DR </w:t>
      </w:r>
      <w:r w:rsidR="007576CB">
        <w:t>Technical Potential by End-</w:t>
      </w:r>
      <w:r>
        <w:t>Use</w:t>
      </w:r>
      <w:bookmarkEnd w:id="160"/>
      <w:bookmarkEnd w:id="161"/>
    </w:p>
    <w:p w14:paraId="6401EA9B" w14:textId="6AE466C6" w:rsidR="00FA3022" w:rsidRDefault="00CE4389" w:rsidP="00CE4389">
      <w:pPr>
        <w:pStyle w:val="Mainbody-Captiontable"/>
      </w:pPr>
      <w:r>
        <w:t xml:space="preserve"> </w:t>
      </w:r>
      <w:r w:rsidR="0063349C">
        <w:t>(Incremental to Existing)</w:t>
      </w:r>
      <w:r w:rsidR="00026D0E">
        <w:rPr>
          <w:rStyle w:val="FootnoteReference"/>
        </w:rPr>
        <w:footnoteReference w:id="12"/>
      </w:r>
    </w:p>
    <w:p w14:paraId="001DBCE0" w14:textId="2BDE2F39" w:rsidR="00F77BBF" w:rsidRPr="00F77BBF" w:rsidRDefault="00F77BBF" w:rsidP="00F77BBF">
      <w:pPr>
        <w:pStyle w:val="Text"/>
        <w:jc w:val="center"/>
      </w:pPr>
      <w:r>
        <w:rPr>
          <w:noProof/>
        </w:rPr>
        <w:drawing>
          <wp:inline distT="0" distB="0" distL="0" distR="0" wp14:anchorId="24EE92C3" wp14:editId="62B714E5">
            <wp:extent cx="4314825" cy="2588535"/>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19161" cy="2591136"/>
                    </a:xfrm>
                    <a:prstGeom prst="rect">
                      <a:avLst/>
                    </a:prstGeom>
                    <a:noFill/>
                  </pic:spPr>
                </pic:pic>
              </a:graphicData>
            </a:graphic>
          </wp:inline>
        </w:drawing>
      </w:r>
    </w:p>
    <w:p w14:paraId="68170910" w14:textId="2DE8CB88" w:rsidR="00233AEB" w:rsidRPr="00DB5B48" w:rsidRDefault="00233AEB" w:rsidP="00233AEB">
      <w:pPr>
        <w:pStyle w:val="Heading3"/>
      </w:pPr>
      <w:bookmarkStart w:id="162" w:name="_Toc5715516"/>
      <w:r>
        <w:t>Non-</w:t>
      </w:r>
      <w:r w:rsidRPr="00DB5B48">
        <w:t>Residential</w:t>
      </w:r>
      <w:bookmarkEnd w:id="162"/>
    </w:p>
    <w:p w14:paraId="662E988F" w14:textId="0DAD911A" w:rsidR="00233AEB" w:rsidRPr="00DB5B48" w:rsidRDefault="00C523FD" w:rsidP="00233AEB">
      <w:pPr>
        <w:pStyle w:val="Heading4"/>
      </w:pPr>
      <w:bookmarkStart w:id="163" w:name="_Toc5715517"/>
      <w:r>
        <w:t>Small C&amp;I</w:t>
      </w:r>
      <w:r w:rsidR="00233AEB">
        <w:t xml:space="preserve"> Customers</w:t>
      </w:r>
      <w:bookmarkEnd w:id="163"/>
    </w:p>
    <w:p w14:paraId="6401EAE0" w14:textId="2717D459" w:rsidR="00FA3022" w:rsidRPr="00DB5B48" w:rsidRDefault="00233AEB" w:rsidP="00FA3022">
      <w:pPr>
        <w:pStyle w:val="Text"/>
        <w:spacing w:before="240"/>
      </w:pPr>
      <w:r>
        <w:t xml:space="preserve">For small </w:t>
      </w:r>
      <w:r w:rsidR="008141FC">
        <w:t>C&amp;I</w:t>
      </w:r>
      <w:r>
        <w:t xml:space="preserve"> technical potential looked at cooling and heating loads only. </w:t>
      </w:r>
      <w:r w:rsidR="00FA3022" w:rsidRPr="00DB5B48">
        <w:t xml:space="preserve">Small </w:t>
      </w:r>
      <w:r w:rsidR="008141FC">
        <w:t>C&amp;I</w:t>
      </w:r>
      <w:r w:rsidR="00FA3022" w:rsidRPr="00DB5B48">
        <w:t xml:space="preserve"> technical potential is provided in</w:t>
      </w:r>
      <w:r w:rsidR="00791768">
        <w:t xml:space="preserve"> </w:t>
      </w:r>
      <w:r w:rsidR="00791768">
        <w:fldChar w:fldCharType="begin"/>
      </w:r>
      <w:r w:rsidR="00791768">
        <w:instrText xml:space="preserve"> REF _Ref3883869 \h </w:instrText>
      </w:r>
      <w:r w:rsidR="00791768">
        <w:fldChar w:fldCharType="separate"/>
      </w:r>
      <w:r w:rsidR="00B30110">
        <w:t xml:space="preserve">Figure </w:t>
      </w:r>
      <w:r w:rsidR="00B30110">
        <w:rPr>
          <w:noProof/>
        </w:rPr>
        <w:t>5</w:t>
      </w:r>
      <w:r w:rsidR="00B30110">
        <w:noBreakHyphen/>
      </w:r>
      <w:r w:rsidR="00B30110">
        <w:rPr>
          <w:noProof/>
        </w:rPr>
        <w:t>12</w:t>
      </w:r>
      <w:r w:rsidR="00791768">
        <w:fldChar w:fldCharType="end"/>
      </w:r>
      <w:r w:rsidR="00FA3022" w:rsidRPr="00DB5B48">
        <w:t>.</w:t>
      </w:r>
    </w:p>
    <w:p w14:paraId="677E0F00" w14:textId="584BEEE2" w:rsidR="00791768" w:rsidRDefault="00791768" w:rsidP="002D2525">
      <w:pPr>
        <w:pStyle w:val="Caption"/>
        <w:rPr>
          <w:noProof/>
          <w:lang w:val="en-CA" w:eastAsia="en-CA"/>
        </w:rPr>
      </w:pPr>
      <w:bookmarkStart w:id="164" w:name="_Ref3883869"/>
      <w:bookmarkStart w:id="165" w:name="_Toc5715433"/>
      <w:r>
        <w:t xml:space="preserve">Figure </w:t>
      </w:r>
      <w:r>
        <w:rPr>
          <w:noProof/>
        </w:rPr>
        <w:fldChar w:fldCharType="begin"/>
      </w:r>
      <w:r>
        <w:rPr>
          <w:noProof/>
        </w:rPr>
        <w:instrText xml:space="preserve"> STYLEREF 1 \s </w:instrText>
      </w:r>
      <w:r>
        <w:rPr>
          <w:noProof/>
        </w:rPr>
        <w:fldChar w:fldCharType="separate"/>
      </w:r>
      <w:r w:rsidR="00B30110">
        <w:rPr>
          <w:noProof/>
        </w:rPr>
        <w:t>5</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B30110">
        <w:rPr>
          <w:noProof/>
        </w:rPr>
        <w:t>12</w:t>
      </w:r>
      <w:r>
        <w:rPr>
          <w:noProof/>
        </w:rPr>
        <w:fldChar w:fldCharType="end"/>
      </w:r>
      <w:bookmarkEnd w:id="164"/>
      <w:r>
        <w:t>:</w:t>
      </w:r>
      <w:r w:rsidR="007576CB">
        <w:t xml:space="preserve"> </w:t>
      </w:r>
      <w:r w:rsidR="00C523FD">
        <w:t>Small C&amp;I</w:t>
      </w:r>
      <w:r w:rsidR="007576CB">
        <w:t xml:space="preserve"> </w:t>
      </w:r>
      <w:r w:rsidR="00F77BBF">
        <w:t xml:space="preserve">DR </w:t>
      </w:r>
      <w:r w:rsidR="007576CB">
        <w:t>Technical Potential by End-</w:t>
      </w:r>
      <w:r>
        <w:t>Use</w:t>
      </w:r>
      <w:bookmarkEnd w:id="165"/>
    </w:p>
    <w:p w14:paraId="6A126A82" w14:textId="77777777" w:rsidR="00791768" w:rsidRDefault="00791768" w:rsidP="00791768">
      <w:pPr>
        <w:pStyle w:val="Mainbody-Captiontable"/>
      </w:pPr>
      <w:r>
        <w:t xml:space="preserve"> (Incremental to Existing)</w:t>
      </w:r>
      <w:r>
        <w:rPr>
          <w:rStyle w:val="FootnoteReference"/>
        </w:rPr>
        <w:footnoteReference w:id="13"/>
      </w:r>
    </w:p>
    <w:p w14:paraId="04211827" w14:textId="13606E36" w:rsidR="00F77BBF" w:rsidRDefault="00F77BBF" w:rsidP="00F77BBF">
      <w:pPr>
        <w:pStyle w:val="Text"/>
        <w:jc w:val="center"/>
      </w:pPr>
      <w:r>
        <w:rPr>
          <w:noProof/>
        </w:rPr>
        <w:drawing>
          <wp:inline distT="0" distB="0" distL="0" distR="0" wp14:anchorId="120635BB" wp14:editId="541DB974">
            <wp:extent cx="4816475" cy="1993265"/>
            <wp:effectExtent l="0" t="0" r="317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16475" cy="1993265"/>
                    </a:xfrm>
                    <a:prstGeom prst="rect">
                      <a:avLst/>
                    </a:prstGeom>
                    <a:noFill/>
                  </pic:spPr>
                </pic:pic>
              </a:graphicData>
            </a:graphic>
          </wp:inline>
        </w:drawing>
      </w:r>
    </w:p>
    <w:p w14:paraId="04A85076" w14:textId="77777777" w:rsidR="00F77BBF" w:rsidRPr="00F77BBF" w:rsidRDefault="00F77BBF" w:rsidP="00F77BBF">
      <w:pPr>
        <w:pStyle w:val="Text"/>
      </w:pPr>
    </w:p>
    <w:p w14:paraId="6401EB11" w14:textId="0A668BA7" w:rsidR="00FA3022" w:rsidRPr="0002013E" w:rsidRDefault="00233AEB" w:rsidP="00233AEB">
      <w:pPr>
        <w:pStyle w:val="Heading4"/>
      </w:pPr>
      <w:bookmarkStart w:id="166" w:name="_Toc5715518"/>
      <w:r>
        <w:t>Large C&amp;I Customers</w:t>
      </w:r>
      <w:bookmarkEnd w:id="166"/>
    </w:p>
    <w:p w14:paraId="6401EB12" w14:textId="43079D7A" w:rsidR="00FA3022" w:rsidRPr="0002013E" w:rsidRDefault="00E16D24" w:rsidP="00FA3022">
      <w:pPr>
        <w:pStyle w:val="Text"/>
      </w:pPr>
      <w:r>
        <w:fldChar w:fldCharType="begin"/>
      </w:r>
      <w:r>
        <w:instrText xml:space="preserve"> REF _Ref3884132 \h </w:instrText>
      </w:r>
      <w:r>
        <w:fldChar w:fldCharType="separate"/>
      </w:r>
      <w:r w:rsidR="00B30110">
        <w:t xml:space="preserve">Figure </w:t>
      </w:r>
      <w:r w:rsidR="00B30110">
        <w:rPr>
          <w:noProof/>
        </w:rPr>
        <w:t>5</w:t>
      </w:r>
      <w:r w:rsidR="00B30110">
        <w:noBreakHyphen/>
      </w:r>
      <w:r w:rsidR="00B30110">
        <w:rPr>
          <w:noProof/>
        </w:rPr>
        <w:t>13</w:t>
      </w:r>
      <w:r>
        <w:fldChar w:fldCharType="end"/>
      </w:r>
      <w:r>
        <w:t xml:space="preserve"> </w:t>
      </w:r>
      <w:r w:rsidR="00FA3022">
        <w:t>provide</w:t>
      </w:r>
      <w:r>
        <w:t>s</w:t>
      </w:r>
      <w:r w:rsidR="00FA3022">
        <w:t xml:space="preserve"> the t</w:t>
      </w:r>
      <w:r w:rsidR="00FA3022" w:rsidRPr="0002013E">
        <w:t>echnical potential for</w:t>
      </w:r>
      <w:r w:rsidR="00233AEB">
        <w:t xml:space="preserve"> large</w:t>
      </w:r>
      <w:r w:rsidR="00FA3022" w:rsidRPr="0002013E">
        <w:t xml:space="preserve"> C&amp;I customers, broken down by </w:t>
      </w:r>
      <w:r w:rsidR="00AF60C3">
        <w:t>customer size</w:t>
      </w:r>
      <w:r w:rsidR="00FA3022" w:rsidRPr="0002013E">
        <w:t xml:space="preserve">. </w:t>
      </w:r>
    </w:p>
    <w:p w14:paraId="7F2A6491" w14:textId="0580BB4B" w:rsidR="00E16D24" w:rsidRDefault="00E16D24" w:rsidP="00E16D24">
      <w:pPr>
        <w:pStyle w:val="Caption"/>
        <w:rPr>
          <w:noProof/>
          <w:lang w:val="en-CA" w:eastAsia="en-CA"/>
        </w:rPr>
      </w:pPr>
      <w:bookmarkStart w:id="167" w:name="_Ref3884132"/>
      <w:bookmarkStart w:id="168" w:name="_Toc5715434"/>
      <w:r>
        <w:t xml:space="preserve">Figure </w:t>
      </w:r>
      <w:r>
        <w:rPr>
          <w:noProof/>
        </w:rPr>
        <w:fldChar w:fldCharType="begin"/>
      </w:r>
      <w:r>
        <w:rPr>
          <w:noProof/>
        </w:rPr>
        <w:instrText xml:space="preserve"> STYLEREF 1 \s </w:instrText>
      </w:r>
      <w:r>
        <w:rPr>
          <w:noProof/>
        </w:rPr>
        <w:fldChar w:fldCharType="separate"/>
      </w:r>
      <w:r w:rsidR="00B30110">
        <w:rPr>
          <w:noProof/>
        </w:rPr>
        <w:t>5</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B30110">
        <w:rPr>
          <w:noProof/>
        </w:rPr>
        <w:t>13</w:t>
      </w:r>
      <w:r>
        <w:rPr>
          <w:noProof/>
        </w:rPr>
        <w:fldChar w:fldCharType="end"/>
      </w:r>
      <w:bookmarkEnd w:id="167"/>
      <w:r>
        <w:t xml:space="preserve">: Large C&amp;I </w:t>
      </w:r>
      <w:r w:rsidR="00F77BBF">
        <w:t xml:space="preserve">DR </w:t>
      </w:r>
      <w:r>
        <w:t>Technical Potential by Segment</w:t>
      </w:r>
      <w:bookmarkEnd w:id="168"/>
    </w:p>
    <w:p w14:paraId="18611506" w14:textId="77777777" w:rsidR="00E16D24" w:rsidRDefault="00E16D24" w:rsidP="00E16D24">
      <w:pPr>
        <w:pStyle w:val="Mainbody-Captiontable"/>
      </w:pPr>
      <w:r>
        <w:t xml:space="preserve"> (Incremental to Existing)</w:t>
      </w:r>
      <w:r>
        <w:rPr>
          <w:rStyle w:val="FootnoteReference"/>
        </w:rPr>
        <w:footnoteReference w:id="14"/>
      </w:r>
    </w:p>
    <w:p w14:paraId="56A9EEA9" w14:textId="7D8DA0B2" w:rsidR="00F77BBF" w:rsidRDefault="00F77BBF" w:rsidP="00F77BBF">
      <w:pPr>
        <w:pStyle w:val="Text"/>
        <w:jc w:val="center"/>
      </w:pPr>
      <w:r>
        <w:rPr>
          <w:noProof/>
        </w:rPr>
        <w:drawing>
          <wp:inline distT="0" distB="0" distL="0" distR="0" wp14:anchorId="5CD5AA7E" wp14:editId="5DB82C70">
            <wp:extent cx="4572635" cy="2743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5035B404" w14:textId="77777777" w:rsidR="00F77BBF" w:rsidRPr="00F77BBF" w:rsidRDefault="00F77BBF" w:rsidP="00F77BBF">
      <w:pPr>
        <w:pStyle w:val="Text"/>
      </w:pPr>
    </w:p>
    <w:p w14:paraId="463DDFC8" w14:textId="3D5ACEF7" w:rsidR="00E16D24" w:rsidRPr="00E16D24" w:rsidRDefault="00E16D24" w:rsidP="00E16D24">
      <w:pPr>
        <w:pStyle w:val="Text"/>
        <w:jc w:val="center"/>
      </w:pPr>
    </w:p>
    <w:p w14:paraId="6F9C3A24" w14:textId="2C21CB92" w:rsidR="00677C71" w:rsidRPr="003E47DC" w:rsidRDefault="002E03A8" w:rsidP="00553D4A">
      <w:pPr>
        <w:pStyle w:val="Heading2"/>
      </w:pPr>
      <w:r>
        <w:br w:type="page"/>
      </w:r>
      <w:bookmarkStart w:id="169" w:name="_Toc5715519"/>
      <w:bookmarkStart w:id="170" w:name="_Ref456951927"/>
      <w:r w:rsidR="00553D4A">
        <w:t>DSRE Technical Potential</w:t>
      </w:r>
      <w:bookmarkEnd w:id="169"/>
    </w:p>
    <w:p w14:paraId="531B7625" w14:textId="18F45132" w:rsidR="0042435C" w:rsidRDefault="0054740A" w:rsidP="0042435C">
      <w:pPr>
        <w:pStyle w:val="Text"/>
      </w:pPr>
      <w:r>
        <w:fldChar w:fldCharType="begin"/>
      </w:r>
      <w:r>
        <w:instrText xml:space="preserve"> REF _Ref3296868 \h </w:instrText>
      </w:r>
      <w:r>
        <w:fldChar w:fldCharType="separate"/>
      </w:r>
      <w:r w:rsidR="00B30110">
        <w:t xml:space="preserve">Table </w:t>
      </w:r>
      <w:r w:rsidR="00B30110">
        <w:rPr>
          <w:noProof/>
        </w:rPr>
        <w:t>5</w:t>
      </w:r>
      <w:r w:rsidR="00B30110">
        <w:noBreakHyphen/>
      </w:r>
      <w:r w:rsidR="00B30110">
        <w:rPr>
          <w:noProof/>
        </w:rPr>
        <w:t>3</w:t>
      </w:r>
      <w:r>
        <w:fldChar w:fldCharType="end"/>
      </w:r>
      <w:r w:rsidR="0042435C">
        <w:t xml:space="preserve"> </w:t>
      </w:r>
      <w:r w:rsidR="007873CB">
        <w:t>provides the detailed</w:t>
      </w:r>
      <w:r w:rsidR="0042435C">
        <w:t xml:space="preserve"> results of the </w:t>
      </w:r>
      <w:r w:rsidR="00553D4A">
        <w:t>DSRE</w:t>
      </w:r>
      <w:r w:rsidR="0042435C">
        <w:t xml:space="preserve"> technical potential. </w:t>
      </w:r>
    </w:p>
    <w:p w14:paraId="13EFD9AE" w14:textId="68E15F32" w:rsidR="00A9155B" w:rsidRDefault="00A9155B" w:rsidP="00A9155B">
      <w:pPr>
        <w:pStyle w:val="Caption"/>
      </w:pPr>
      <w:bookmarkStart w:id="171" w:name="_Ref3296868"/>
      <w:bookmarkStart w:id="172" w:name="_Toc5715448"/>
      <w:r>
        <w:t xml:space="preserve">Table </w:t>
      </w:r>
      <w:r w:rsidR="000C7BC6">
        <w:rPr>
          <w:noProof/>
        </w:rPr>
        <w:fldChar w:fldCharType="begin"/>
      </w:r>
      <w:r w:rsidR="000C7BC6">
        <w:rPr>
          <w:noProof/>
        </w:rPr>
        <w:instrText xml:space="preserve"> STYLEREF 1 \s </w:instrText>
      </w:r>
      <w:r w:rsidR="000C7BC6">
        <w:rPr>
          <w:noProof/>
        </w:rPr>
        <w:fldChar w:fldCharType="separate"/>
      </w:r>
      <w:r w:rsidR="00B30110">
        <w:rPr>
          <w:noProof/>
        </w:rPr>
        <w:t>5</w:t>
      </w:r>
      <w:r w:rsidR="000C7BC6">
        <w:rPr>
          <w:noProof/>
        </w:rPr>
        <w:fldChar w:fldCharType="end"/>
      </w:r>
      <w:r w:rsidR="00B417B0">
        <w:noBreakHyphen/>
      </w:r>
      <w:r w:rsidR="000C7BC6">
        <w:rPr>
          <w:noProof/>
        </w:rPr>
        <w:fldChar w:fldCharType="begin"/>
      </w:r>
      <w:r w:rsidR="000C7BC6">
        <w:rPr>
          <w:noProof/>
        </w:rPr>
        <w:instrText xml:space="preserve"> SEQ Table \* ARABIC \s 1 </w:instrText>
      </w:r>
      <w:r w:rsidR="000C7BC6">
        <w:rPr>
          <w:noProof/>
        </w:rPr>
        <w:fldChar w:fldCharType="separate"/>
      </w:r>
      <w:r w:rsidR="00B30110">
        <w:rPr>
          <w:noProof/>
        </w:rPr>
        <w:t>3</w:t>
      </w:r>
      <w:r w:rsidR="000C7BC6">
        <w:rPr>
          <w:noProof/>
        </w:rPr>
        <w:fldChar w:fldCharType="end"/>
      </w:r>
      <w:bookmarkEnd w:id="171"/>
      <w:r w:rsidR="00997D93">
        <w:t xml:space="preserve">: </w:t>
      </w:r>
      <w:r w:rsidR="00553D4A">
        <w:t>DSRE</w:t>
      </w:r>
      <w:r>
        <w:t xml:space="preserve"> Technical Potential</w:t>
      </w:r>
      <w:r w:rsidR="002C4034">
        <w:rPr>
          <w:rStyle w:val="FootnoteReference"/>
        </w:rPr>
        <w:footnoteReference w:id="15"/>
      </w:r>
      <w:bookmarkEnd w:id="172"/>
    </w:p>
    <w:tbl>
      <w:tblPr>
        <w:tblW w:w="7470" w:type="dxa"/>
        <w:jc w:val="center"/>
        <w:tblBorders>
          <w:top w:val="single" w:sz="4" w:space="0" w:color="0070CD"/>
          <w:bottom w:val="single" w:sz="4" w:space="0" w:color="0070CD"/>
          <w:insideH w:val="dotted" w:sz="4" w:space="0" w:color="0070CD"/>
          <w:insideV w:val="dotted" w:sz="4" w:space="0" w:color="0070CD"/>
        </w:tblBorders>
        <w:tblLayout w:type="fixed"/>
        <w:tblLook w:val="04A0" w:firstRow="1" w:lastRow="0" w:firstColumn="1" w:lastColumn="0" w:noHBand="0" w:noVBand="1"/>
      </w:tblPr>
      <w:tblGrid>
        <w:gridCol w:w="1982"/>
        <w:gridCol w:w="1822"/>
        <w:gridCol w:w="1822"/>
        <w:gridCol w:w="1844"/>
      </w:tblGrid>
      <w:tr w:rsidR="00F77BBF" w:rsidRPr="00C95CDE" w14:paraId="50B27236" w14:textId="77777777" w:rsidTr="00D7421B">
        <w:trPr>
          <w:trHeight w:val="300"/>
          <w:tblHeader/>
          <w:jc w:val="center"/>
        </w:trPr>
        <w:tc>
          <w:tcPr>
            <w:tcW w:w="1982" w:type="dxa"/>
            <w:tcBorders>
              <w:top w:val="single" w:sz="4" w:space="0" w:color="0070CD"/>
              <w:bottom w:val="nil"/>
            </w:tcBorders>
            <w:shd w:val="clear" w:color="auto" w:fill="0070CD"/>
            <w:noWrap/>
            <w:vAlign w:val="bottom"/>
            <w:hideMark/>
          </w:tcPr>
          <w:p w14:paraId="544F61EC" w14:textId="77777777" w:rsidR="00F77BBF" w:rsidRPr="0065130B" w:rsidRDefault="00F77BBF" w:rsidP="00D7421B">
            <w:pPr>
              <w:pStyle w:val="Tables-Bodycells"/>
              <w:keepNext w:val="0"/>
              <w:rPr>
                <w:color w:val="FFFFFF" w:themeColor="background1"/>
                <w:lang w:val="en-CA" w:eastAsia="en-CA"/>
              </w:rPr>
            </w:pPr>
          </w:p>
        </w:tc>
        <w:tc>
          <w:tcPr>
            <w:tcW w:w="5488" w:type="dxa"/>
            <w:gridSpan w:val="3"/>
            <w:tcBorders>
              <w:top w:val="single" w:sz="4" w:space="0" w:color="0070CD"/>
            </w:tcBorders>
            <w:shd w:val="clear" w:color="auto" w:fill="0070CD"/>
            <w:vAlign w:val="center"/>
          </w:tcPr>
          <w:p w14:paraId="046C7ADF" w14:textId="77777777" w:rsidR="00F77BBF" w:rsidRPr="00901BE2" w:rsidRDefault="00F77BBF" w:rsidP="00D7421B">
            <w:pPr>
              <w:pStyle w:val="Tables-Bodycells"/>
              <w:keepNext w:val="0"/>
              <w:jc w:val="center"/>
              <w:rPr>
                <w:b/>
                <w:bCs/>
                <w:color w:val="FFFFFF" w:themeColor="background1"/>
                <w:lang w:val="en-CA" w:eastAsia="en-CA"/>
              </w:rPr>
            </w:pPr>
            <w:r>
              <w:rPr>
                <w:b/>
                <w:bCs/>
                <w:color w:val="FFFFFF" w:themeColor="background1"/>
                <w:lang w:val="en-CA" w:eastAsia="en-CA"/>
              </w:rPr>
              <w:t>Savings</w:t>
            </w:r>
            <w:r w:rsidRPr="00901BE2">
              <w:rPr>
                <w:b/>
                <w:bCs/>
                <w:color w:val="FFFFFF" w:themeColor="background1"/>
                <w:lang w:val="en-CA" w:eastAsia="en-CA"/>
              </w:rPr>
              <w:t xml:space="preserve"> </w:t>
            </w:r>
            <w:r>
              <w:rPr>
                <w:b/>
                <w:bCs/>
                <w:color w:val="FFFFFF" w:themeColor="background1"/>
                <w:lang w:val="en-CA" w:eastAsia="en-CA"/>
              </w:rPr>
              <w:t>Potential</w:t>
            </w:r>
          </w:p>
        </w:tc>
      </w:tr>
      <w:tr w:rsidR="00F77BBF" w:rsidRPr="00C95CDE" w14:paraId="1A410A48" w14:textId="77777777" w:rsidTr="00D7421B">
        <w:trPr>
          <w:trHeight w:val="300"/>
          <w:tblHeader/>
          <w:jc w:val="center"/>
        </w:trPr>
        <w:tc>
          <w:tcPr>
            <w:tcW w:w="1982" w:type="dxa"/>
            <w:tcBorders>
              <w:top w:val="nil"/>
              <w:bottom w:val="single" w:sz="4" w:space="0" w:color="0070CD"/>
            </w:tcBorders>
            <w:shd w:val="clear" w:color="auto" w:fill="0070CD"/>
            <w:noWrap/>
            <w:vAlign w:val="bottom"/>
            <w:hideMark/>
          </w:tcPr>
          <w:p w14:paraId="68D45A1B" w14:textId="77777777" w:rsidR="00F77BBF" w:rsidRPr="0065130B" w:rsidRDefault="00F77BBF" w:rsidP="00D7421B">
            <w:pPr>
              <w:pStyle w:val="Tables-Bodycells"/>
              <w:keepNext w:val="0"/>
              <w:rPr>
                <w:color w:val="FFFFFF" w:themeColor="background1"/>
                <w:lang w:val="en-CA" w:eastAsia="en-CA"/>
              </w:rPr>
            </w:pPr>
          </w:p>
        </w:tc>
        <w:tc>
          <w:tcPr>
            <w:tcW w:w="1822" w:type="dxa"/>
            <w:tcBorders>
              <w:bottom w:val="single" w:sz="4" w:space="0" w:color="0070CD"/>
            </w:tcBorders>
            <w:shd w:val="clear" w:color="auto" w:fill="0070CD"/>
            <w:noWrap/>
            <w:vAlign w:val="center"/>
          </w:tcPr>
          <w:p w14:paraId="3591AB81" w14:textId="77777777" w:rsidR="00F77BBF" w:rsidRDefault="00F77BBF" w:rsidP="00D7421B">
            <w:pPr>
              <w:pStyle w:val="Tables-Bodycells"/>
              <w:keepNext w:val="0"/>
              <w:jc w:val="center"/>
              <w:rPr>
                <w:b/>
                <w:bCs/>
                <w:color w:val="FFFFFF" w:themeColor="background1"/>
                <w:lang w:val="en-CA" w:eastAsia="en-CA"/>
              </w:rPr>
            </w:pPr>
            <w:r>
              <w:rPr>
                <w:b/>
                <w:bCs/>
                <w:color w:val="FFFFFF" w:themeColor="background1"/>
                <w:lang w:val="en-CA" w:eastAsia="en-CA"/>
              </w:rPr>
              <w:t xml:space="preserve">Summer </w:t>
            </w:r>
          </w:p>
          <w:p w14:paraId="306D4AB5" w14:textId="77777777" w:rsidR="00F77BBF" w:rsidRPr="00901BE2" w:rsidRDefault="00F77BBF" w:rsidP="00D7421B">
            <w:pPr>
              <w:pStyle w:val="Tables-Bodycells"/>
              <w:keepNext w:val="0"/>
              <w:jc w:val="center"/>
              <w:rPr>
                <w:b/>
                <w:bCs/>
                <w:color w:val="FFFFFF" w:themeColor="background1"/>
                <w:lang w:val="en-CA" w:eastAsia="en-CA"/>
              </w:rPr>
            </w:pPr>
            <w:r>
              <w:rPr>
                <w:b/>
                <w:bCs/>
                <w:color w:val="FFFFFF" w:themeColor="background1"/>
                <w:lang w:val="en-CA" w:eastAsia="en-CA"/>
              </w:rPr>
              <w:t xml:space="preserve">Peak </w:t>
            </w:r>
            <w:r w:rsidRPr="00901BE2">
              <w:rPr>
                <w:b/>
                <w:bCs/>
                <w:color w:val="FFFFFF" w:themeColor="background1"/>
                <w:lang w:val="en-CA" w:eastAsia="en-CA"/>
              </w:rPr>
              <w:t>Demand (MW)</w:t>
            </w:r>
          </w:p>
        </w:tc>
        <w:tc>
          <w:tcPr>
            <w:tcW w:w="1822" w:type="dxa"/>
            <w:tcBorders>
              <w:bottom w:val="single" w:sz="4" w:space="0" w:color="0070CD"/>
            </w:tcBorders>
            <w:shd w:val="clear" w:color="auto" w:fill="0070CD"/>
            <w:noWrap/>
          </w:tcPr>
          <w:p w14:paraId="6BD7C93C" w14:textId="77777777" w:rsidR="00F77BBF" w:rsidRDefault="00F77BBF" w:rsidP="00D7421B">
            <w:pPr>
              <w:pStyle w:val="Tables-Bodycells"/>
              <w:keepNext w:val="0"/>
              <w:jc w:val="center"/>
              <w:rPr>
                <w:b/>
                <w:bCs/>
                <w:color w:val="FFFFFF" w:themeColor="background1"/>
                <w:lang w:val="en-CA" w:eastAsia="en-CA"/>
              </w:rPr>
            </w:pPr>
            <w:r>
              <w:rPr>
                <w:b/>
                <w:bCs/>
                <w:color w:val="FFFFFF" w:themeColor="background1"/>
                <w:lang w:val="en-CA" w:eastAsia="en-CA"/>
              </w:rPr>
              <w:t>Winter</w:t>
            </w:r>
          </w:p>
          <w:p w14:paraId="504FE793" w14:textId="77777777" w:rsidR="00F77BBF" w:rsidRPr="00901BE2" w:rsidRDefault="00F77BBF" w:rsidP="00D7421B">
            <w:pPr>
              <w:pStyle w:val="Tables-Bodycells"/>
              <w:keepNext w:val="0"/>
              <w:jc w:val="center"/>
              <w:rPr>
                <w:b/>
                <w:bCs/>
                <w:color w:val="FFFFFF" w:themeColor="background1"/>
                <w:lang w:val="en-CA" w:eastAsia="en-CA"/>
              </w:rPr>
            </w:pPr>
            <w:r>
              <w:rPr>
                <w:b/>
                <w:bCs/>
                <w:color w:val="FFFFFF" w:themeColor="background1"/>
                <w:lang w:val="en-CA" w:eastAsia="en-CA"/>
              </w:rPr>
              <w:t xml:space="preserve"> Peak </w:t>
            </w:r>
            <w:r w:rsidRPr="00901BE2">
              <w:rPr>
                <w:b/>
                <w:bCs/>
                <w:color w:val="FFFFFF" w:themeColor="background1"/>
                <w:lang w:val="en-CA" w:eastAsia="en-CA"/>
              </w:rPr>
              <w:t>Demand (MW)</w:t>
            </w:r>
          </w:p>
        </w:tc>
        <w:tc>
          <w:tcPr>
            <w:tcW w:w="1844" w:type="dxa"/>
            <w:tcBorders>
              <w:bottom w:val="single" w:sz="4" w:space="0" w:color="0070CD"/>
            </w:tcBorders>
            <w:shd w:val="clear" w:color="auto" w:fill="0070CD"/>
            <w:vAlign w:val="center"/>
          </w:tcPr>
          <w:p w14:paraId="2473D815" w14:textId="77777777" w:rsidR="00F77BBF" w:rsidRDefault="00F77BBF" w:rsidP="00D7421B">
            <w:pPr>
              <w:pStyle w:val="Tables-Bodycells"/>
              <w:keepNext w:val="0"/>
              <w:jc w:val="center"/>
              <w:rPr>
                <w:b/>
                <w:bCs/>
                <w:color w:val="FFFFFF" w:themeColor="background1"/>
                <w:lang w:val="en-CA" w:eastAsia="en-CA"/>
              </w:rPr>
            </w:pPr>
            <w:r w:rsidRPr="00901BE2">
              <w:rPr>
                <w:b/>
                <w:bCs/>
                <w:color w:val="FFFFFF" w:themeColor="background1"/>
                <w:lang w:val="en-CA" w:eastAsia="en-CA"/>
              </w:rPr>
              <w:t xml:space="preserve">Energy </w:t>
            </w:r>
          </w:p>
          <w:p w14:paraId="0B3563C4" w14:textId="77777777" w:rsidR="00F77BBF" w:rsidRPr="00901BE2" w:rsidRDefault="00F77BBF" w:rsidP="00D7421B">
            <w:pPr>
              <w:pStyle w:val="Tables-Bodycells"/>
              <w:keepNext w:val="0"/>
              <w:jc w:val="center"/>
              <w:rPr>
                <w:b/>
                <w:bCs/>
                <w:color w:val="FFFFFF" w:themeColor="background1"/>
                <w:lang w:val="en-CA" w:eastAsia="en-CA"/>
              </w:rPr>
            </w:pPr>
            <w:r w:rsidRPr="00901BE2">
              <w:rPr>
                <w:b/>
                <w:bCs/>
                <w:color w:val="FFFFFF" w:themeColor="background1"/>
                <w:lang w:val="en-CA" w:eastAsia="en-CA"/>
              </w:rPr>
              <w:t>(GWh)</w:t>
            </w:r>
          </w:p>
        </w:tc>
      </w:tr>
      <w:tr w:rsidR="00F77BBF" w:rsidRPr="00C95CDE" w14:paraId="080FEB9F" w14:textId="77777777" w:rsidTr="00D7421B">
        <w:trPr>
          <w:trHeight w:val="305"/>
          <w:jc w:val="center"/>
        </w:trPr>
        <w:tc>
          <w:tcPr>
            <w:tcW w:w="7470" w:type="dxa"/>
            <w:gridSpan w:val="4"/>
            <w:tcBorders>
              <w:top w:val="single" w:sz="4" w:space="0" w:color="0070CD"/>
              <w:bottom w:val="single" w:sz="4" w:space="0" w:color="0070CD"/>
            </w:tcBorders>
            <w:shd w:val="clear" w:color="auto" w:fill="auto"/>
            <w:vAlign w:val="center"/>
          </w:tcPr>
          <w:p w14:paraId="4C3428D9" w14:textId="77777777" w:rsidR="00F77BBF" w:rsidRPr="006D5337" w:rsidRDefault="00F77BBF" w:rsidP="00D7421B">
            <w:pPr>
              <w:spacing w:after="0"/>
              <w:ind w:left="0"/>
              <w:rPr>
                <w:rFonts w:ascii="Arial" w:hAnsi="Arial" w:cs="Arial"/>
                <w:b/>
                <w:color w:val="000000"/>
                <w:sz w:val="18"/>
                <w:szCs w:val="18"/>
              </w:rPr>
            </w:pPr>
            <w:r>
              <w:rPr>
                <w:b/>
              </w:rPr>
              <w:t>PV</w:t>
            </w:r>
            <w:r w:rsidRPr="006D5337">
              <w:rPr>
                <w:b/>
              </w:rPr>
              <w:t xml:space="preserve"> Systems</w:t>
            </w:r>
          </w:p>
        </w:tc>
      </w:tr>
      <w:tr w:rsidR="00F77BBF" w:rsidRPr="00C95CDE" w14:paraId="20C01224" w14:textId="77777777" w:rsidTr="00D7421B">
        <w:trPr>
          <w:trHeight w:val="305"/>
          <w:jc w:val="center"/>
        </w:trPr>
        <w:tc>
          <w:tcPr>
            <w:tcW w:w="1982" w:type="dxa"/>
            <w:tcBorders>
              <w:top w:val="single" w:sz="4" w:space="0" w:color="0070CD"/>
              <w:bottom w:val="single" w:sz="4" w:space="0" w:color="0070CD"/>
            </w:tcBorders>
            <w:shd w:val="clear" w:color="auto" w:fill="auto"/>
            <w:vAlign w:val="center"/>
            <w:hideMark/>
          </w:tcPr>
          <w:p w14:paraId="65CEDD9E" w14:textId="77777777" w:rsidR="00F77BBF" w:rsidRPr="00920CF7" w:rsidRDefault="00F77BBF" w:rsidP="00D7421B">
            <w:pPr>
              <w:pStyle w:val="Tables-Bodycells"/>
              <w:keepNext w:val="0"/>
              <w:spacing w:before="0" w:after="0"/>
              <w:rPr>
                <w:color w:val="000000"/>
                <w:lang w:val="en-CA" w:eastAsia="en-CA"/>
              </w:rPr>
            </w:pPr>
            <w:r>
              <w:t>Residential</w:t>
            </w:r>
          </w:p>
        </w:tc>
        <w:tc>
          <w:tcPr>
            <w:tcW w:w="1822" w:type="dxa"/>
            <w:tcBorders>
              <w:top w:val="single" w:sz="4" w:space="0" w:color="0070CD"/>
              <w:bottom w:val="single" w:sz="4" w:space="0" w:color="0070CD"/>
            </w:tcBorders>
            <w:shd w:val="clear" w:color="auto" w:fill="auto"/>
            <w:vAlign w:val="center"/>
          </w:tcPr>
          <w:p w14:paraId="4C18F2B4" w14:textId="77777777" w:rsidR="00F77BBF" w:rsidRDefault="00F77BBF" w:rsidP="00D7421B">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509 </w:t>
            </w:r>
          </w:p>
        </w:tc>
        <w:tc>
          <w:tcPr>
            <w:tcW w:w="1822" w:type="dxa"/>
            <w:tcBorders>
              <w:top w:val="single" w:sz="4" w:space="0" w:color="0070CD"/>
              <w:bottom w:val="single" w:sz="4" w:space="0" w:color="0070CD"/>
            </w:tcBorders>
            <w:shd w:val="clear" w:color="auto" w:fill="auto"/>
            <w:noWrap/>
            <w:vAlign w:val="center"/>
          </w:tcPr>
          <w:p w14:paraId="7423CA57" w14:textId="77777777" w:rsidR="00F77BBF" w:rsidRDefault="00F77BBF" w:rsidP="00D7421B">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19 </w:t>
            </w:r>
          </w:p>
        </w:tc>
        <w:tc>
          <w:tcPr>
            <w:tcW w:w="1844" w:type="dxa"/>
            <w:tcBorders>
              <w:top w:val="single" w:sz="4" w:space="0" w:color="0070CD"/>
              <w:bottom w:val="single" w:sz="4" w:space="0" w:color="0070CD"/>
            </w:tcBorders>
            <w:vAlign w:val="center"/>
          </w:tcPr>
          <w:p w14:paraId="1C165B7A" w14:textId="77777777" w:rsidR="00F77BBF" w:rsidRDefault="00F77BBF" w:rsidP="00D7421B">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3,461 </w:t>
            </w:r>
          </w:p>
        </w:tc>
      </w:tr>
      <w:tr w:rsidR="00F77BBF" w:rsidRPr="00C95CDE" w14:paraId="10E160B3" w14:textId="77777777" w:rsidTr="00D7421B">
        <w:trPr>
          <w:trHeight w:val="305"/>
          <w:jc w:val="center"/>
        </w:trPr>
        <w:tc>
          <w:tcPr>
            <w:tcW w:w="1982" w:type="dxa"/>
            <w:tcBorders>
              <w:top w:val="single" w:sz="4" w:space="0" w:color="0070CD"/>
              <w:bottom w:val="single" w:sz="4" w:space="0" w:color="0070CD"/>
            </w:tcBorders>
            <w:shd w:val="clear" w:color="auto" w:fill="auto"/>
            <w:vAlign w:val="center"/>
          </w:tcPr>
          <w:p w14:paraId="0384B91C" w14:textId="77777777" w:rsidR="00F77BBF" w:rsidRPr="00920CF7" w:rsidRDefault="00F77BBF" w:rsidP="00D7421B">
            <w:pPr>
              <w:pStyle w:val="Tables-Bodycells"/>
              <w:keepNext w:val="0"/>
              <w:spacing w:before="0" w:after="0"/>
            </w:pPr>
            <w:r>
              <w:t>Non-Residential</w:t>
            </w:r>
          </w:p>
        </w:tc>
        <w:tc>
          <w:tcPr>
            <w:tcW w:w="1822" w:type="dxa"/>
            <w:tcBorders>
              <w:top w:val="single" w:sz="4" w:space="0" w:color="0070CD"/>
              <w:bottom w:val="single" w:sz="4" w:space="0" w:color="0070CD"/>
            </w:tcBorders>
            <w:shd w:val="clear" w:color="auto" w:fill="auto"/>
            <w:vAlign w:val="center"/>
          </w:tcPr>
          <w:p w14:paraId="15BE2C55" w14:textId="77777777" w:rsidR="00F77BBF" w:rsidRDefault="00F77BBF" w:rsidP="00D7421B">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835 </w:t>
            </w:r>
          </w:p>
        </w:tc>
        <w:tc>
          <w:tcPr>
            <w:tcW w:w="1822" w:type="dxa"/>
            <w:tcBorders>
              <w:top w:val="single" w:sz="4" w:space="0" w:color="0070CD"/>
              <w:bottom w:val="single" w:sz="4" w:space="0" w:color="0070CD"/>
            </w:tcBorders>
            <w:shd w:val="clear" w:color="auto" w:fill="auto"/>
            <w:noWrap/>
            <w:vAlign w:val="center"/>
          </w:tcPr>
          <w:p w14:paraId="3BB78575" w14:textId="77777777" w:rsidR="00F77BBF" w:rsidRDefault="00F77BBF" w:rsidP="00D7421B">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31 </w:t>
            </w:r>
          </w:p>
        </w:tc>
        <w:tc>
          <w:tcPr>
            <w:tcW w:w="1844" w:type="dxa"/>
            <w:tcBorders>
              <w:top w:val="single" w:sz="4" w:space="0" w:color="0070CD"/>
              <w:bottom w:val="single" w:sz="4" w:space="0" w:color="0070CD"/>
            </w:tcBorders>
            <w:vAlign w:val="center"/>
          </w:tcPr>
          <w:p w14:paraId="0A87A569" w14:textId="77777777" w:rsidR="00F77BBF" w:rsidRDefault="00F77BBF" w:rsidP="00D7421B">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5,679 </w:t>
            </w:r>
          </w:p>
        </w:tc>
      </w:tr>
      <w:tr w:rsidR="00F77BBF" w:rsidRPr="00057D26" w14:paraId="546F6F1C" w14:textId="77777777" w:rsidTr="00D7421B">
        <w:trPr>
          <w:trHeight w:val="300"/>
          <w:jc w:val="center"/>
        </w:trPr>
        <w:tc>
          <w:tcPr>
            <w:tcW w:w="1982" w:type="dxa"/>
            <w:tcBorders>
              <w:top w:val="single" w:sz="4" w:space="0" w:color="0070CD"/>
              <w:bottom w:val="single" w:sz="4" w:space="0" w:color="0070CD"/>
            </w:tcBorders>
            <w:shd w:val="clear" w:color="auto" w:fill="auto"/>
            <w:vAlign w:val="center"/>
            <w:hideMark/>
          </w:tcPr>
          <w:p w14:paraId="3147654E" w14:textId="77777777" w:rsidR="00F77BBF" w:rsidRPr="00057D26" w:rsidRDefault="00F77BBF" w:rsidP="00D7421B">
            <w:pPr>
              <w:pStyle w:val="Tables-Bodycells"/>
              <w:keepNext w:val="0"/>
              <w:spacing w:before="0" w:after="0"/>
              <w:rPr>
                <w:color w:val="000000"/>
                <w:lang w:val="en-CA" w:eastAsia="en-CA"/>
              </w:rPr>
            </w:pPr>
            <w:r w:rsidRPr="00057D26">
              <w:t>Total</w:t>
            </w:r>
          </w:p>
        </w:tc>
        <w:tc>
          <w:tcPr>
            <w:tcW w:w="1822" w:type="dxa"/>
            <w:tcBorders>
              <w:top w:val="single" w:sz="4" w:space="0" w:color="0070CD"/>
              <w:bottom w:val="single" w:sz="4" w:space="0" w:color="0070CD"/>
            </w:tcBorders>
            <w:shd w:val="clear" w:color="auto" w:fill="auto"/>
            <w:vAlign w:val="center"/>
          </w:tcPr>
          <w:p w14:paraId="1B06369B" w14:textId="77777777" w:rsidR="00F77BBF" w:rsidRPr="00057D26" w:rsidRDefault="00F77BBF" w:rsidP="00D7421B">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1,344 </w:t>
            </w:r>
          </w:p>
        </w:tc>
        <w:tc>
          <w:tcPr>
            <w:tcW w:w="1822" w:type="dxa"/>
            <w:tcBorders>
              <w:top w:val="single" w:sz="4" w:space="0" w:color="0070CD"/>
              <w:bottom w:val="single" w:sz="4" w:space="0" w:color="0070CD"/>
            </w:tcBorders>
            <w:shd w:val="clear" w:color="auto" w:fill="auto"/>
            <w:noWrap/>
            <w:vAlign w:val="center"/>
          </w:tcPr>
          <w:p w14:paraId="5869A6E8" w14:textId="77777777" w:rsidR="00F77BBF" w:rsidRPr="00057D26" w:rsidRDefault="00F77BBF" w:rsidP="00D7421B">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50 </w:t>
            </w:r>
          </w:p>
        </w:tc>
        <w:tc>
          <w:tcPr>
            <w:tcW w:w="1844" w:type="dxa"/>
            <w:tcBorders>
              <w:top w:val="single" w:sz="4" w:space="0" w:color="0070CD"/>
              <w:bottom w:val="single" w:sz="4" w:space="0" w:color="0070CD"/>
            </w:tcBorders>
            <w:vAlign w:val="center"/>
          </w:tcPr>
          <w:p w14:paraId="683500E0" w14:textId="77777777" w:rsidR="00F77BBF" w:rsidRPr="00057D26" w:rsidRDefault="00F77BBF" w:rsidP="00D7421B">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9,140 </w:t>
            </w:r>
          </w:p>
        </w:tc>
      </w:tr>
      <w:tr w:rsidR="00F77BBF" w:rsidRPr="006D5337" w14:paraId="5ACDD85F" w14:textId="77777777" w:rsidTr="00D7421B">
        <w:trPr>
          <w:trHeight w:val="305"/>
          <w:jc w:val="center"/>
        </w:trPr>
        <w:tc>
          <w:tcPr>
            <w:tcW w:w="7470" w:type="dxa"/>
            <w:gridSpan w:val="4"/>
            <w:tcBorders>
              <w:top w:val="single" w:sz="4" w:space="0" w:color="0070CD"/>
              <w:bottom w:val="single" w:sz="4" w:space="0" w:color="0070CD"/>
            </w:tcBorders>
            <w:shd w:val="clear" w:color="auto" w:fill="auto"/>
            <w:vAlign w:val="center"/>
          </w:tcPr>
          <w:p w14:paraId="520667ED" w14:textId="77777777" w:rsidR="00F77BBF" w:rsidRPr="006D5337" w:rsidRDefault="00F77BBF" w:rsidP="00D7421B">
            <w:pPr>
              <w:spacing w:after="0"/>
              <w:ind w:left="0"/>
              <w:rPr>
                <w:rFonts w:ascii="Arial" w:hAnsi="Arial" w:cs="Arial"/>
                <w:b/>
                <w:color w:val="000000"/>
                <w:sz w:val="18"/>
                <w:szCs w:val="18"/>
              </w:rPr>
            </w:pPr>
            <w:r w:rsidRPr="006D5337">
              <w:rPr>
                <w:b/>
              </w:rPr>
              <w:t xml:space="preserve">Battery Storage </w:t>
            </w:r>
            <w:r>
              <w:rPr>
                <w:b/>
              </w:rPr>
              <w:t xml:space="preserve">charged from PV </w:t>
            </w:r>
            <w:r w:rsidRPr="006D5337">
              <w:rPr>
                <w:b/>
              </w:rPr>
              <w:t>Systems</w:t>
            </w:r>
          </w:p>
        </w:tc>
      </w:tr>
      <w:tr w:rsidR="00F77BBF" w:rsidRPr="00C95CDE" w14:paraId="52D911EB" w14:textId="77777777" w:rsidTr="00D7421B">
        <w:trPr>
          <w:trHeight w:val="305"/>
          <w:jc w:val="center"/>
        </w:trPr>
        <w:tc>
          <w:tcPr>
            <w:tcW w:w="1982" w:type="dxa"/>
            <w:tcBorders>
              <w:top w:val="single" w:sz="4" w:space="0" w:color="0070CD"/>
              <w:bottom w:val="single" w:sz="4" w:space="0" w:color="0070CD"/>
            </w:tcBorders>
            <w:shd w:val="clear" w:color="auto" w:fill="auto"/>
            <w:vAlign w:val="center"/>
            <w:hideMark/>
          </w:tcPr>
          <w:p w14:paraId="25F29638" w14:textId="77777777" w:rsidR="00F77BBF" w:rsidRPr="00920CF7" w:rsidRDefault="00F77BBF" w:rsidP="00D7421B">
            <w:pPr>
              <w:pStyle w:val="Tables-Bodycells"/>
              <w:keepNext w:val="0"/>
              <w:spacing w:before="0" w:after="0"/>
              <w:rPr>
                <w:color w:val="000000"/>
                <w:lang w:val="en-CA" w:eastAsia="en-CA"/>
              </w:rPr>
            </w:pPr>
            <w:r>
              <w:t>Residential</w:t>
            </w:r>
          </w:p>
        </w:tc>
        <w:tc>
          <w:tcPr>
            <w:tcW w:w="1822" w:type="dxa"/>
            <w:tcBorders>
              <w:top w:val="single" w:sz="4" w:space="0" w:color="0070CD"/>
              <w:bottom w:val="single" w:sz="4" w:space="0" w:color="0070CD"/>
            </w:tcBorders>
            <w:shd w:val="clear" w:color="auto" w:fill="auto"/>
            <w:vAlign w:val="center"/>
          </w:tcPr>
          <w:p w14:paraId="6679B6C9" w14:textId="77777777" w:rsidR="00F77BBF" w:rsidRDefault="00F77BBF" w:rsidP="00D7421B">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214 </w:t>
            </w:r>
          </w:p>
        </w:tc>
        <w:tc>
          <w:tcPr>
            <w:tcW w:w="1822" w:type="dxa"/>
            <w:tcBorders>
              <w:top w:val="single" w:sz="4" w:space="0" w:color="0070CD"/>
              <w:bottom w:val="single" w:sz="4" w:space="0" w:color="0070CD"/>
            </w:tcBorders>
            <w:shd w:val="clear" w:color="auto" w:fill="auto"/>
            <w:noWrap/>
            <w:vAlign w:val="center"/>
          </w:tcPr>
          <w:p w14:paraId="6666320E" w14:textId="77777777" w:rsidR="00F77BBF" w:rsidRDefault="00F77BBF" w:rsidP="00D7421B">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211 </w:t>
            </w:r>
          </w:p>
        </w:tc>
        <w:tc>
          <w:tcPr>
            <w:tcW w:w="1844" w:type="dxa"/>
            <w:tcBorders>
              <w:top w:val="single" w:sz="4" w:space="0" w:color="0070CD"/>
              <w:bottom w:val="single" w:sz="4" w:space="0" w:color="0070CD"/>
            </w:tcBorders>
            <w:vAlign w:val="center"/>
          </w:tcPr>
          <w:p w14:paraId="799B38A5" w14:textId="77777777" w:rsidR="00F77BBF" w:rsidRDefault="00F77BBF" w:rsidP="00D7421B">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   </w:t>
            </w:r>
          </w:p>
        </w:tc>
      </w:tr>
      <w:tr w:rsidR="00F77BBF" w:rsidRPr="00C95CDE" w14:paraId="3724F852" w14:textId="77777777" w:rsidTr="00D7421B">
        <w:trPr>
          <w:trHeight w:val="305"/>
          <w:jc w:val="center"/>
        </w:trPr>
        <w:tc>
          <w:tcPr>
            <w:tcW w:w="1982" w:type="dxa"/>
            <w:tcBorders>
              <w:top w:val="single" w:sz="4" w:space="0" w:color="0070CD"/>
              <w:bottom w:val="single" w:sz="4" w:space="0" w:color="0070CD"/>
            </w:tcBorders>
            <w:shd w:val="clear" w:color="auto" w:fill="auto"/>
            <w:vAlign w:val="center"/>
          </w:tcPr>
          <w:p w14:paraId="6C914780" w14:textId="77777777" w:rsidR="00F77BBF" w:rsidRPr="00920CF7" w:rsidRDefault="00F77BBF" w:rsidP="00D7421B">
            <w:pPr>
              <w:pStyle w:val="Tables-Bodycells"/>
              <w:keepNext w:val="0"/>
              <w:spacing w:before="0" w:after="0"/>
            </w:pPr>
            <w:r>
              <w:t>Non-Residential</w:t>
            </w:r>
          </w:p>
        </w:tc>
        <w:tc>
          <w:tcPr>
            <w:tcW w:w="1822" w:type="dxa"/>
            <w:tcBorders>
              <w:top w:val="single" w:sz="4" w:space="0" w:color="0070CD"/>
              <w:bottom w:val="single" w:sz="4" w:space="0" w:color="0070CD"/>
            </w:tcBorders>
            <w:shd w:val="clear" w:color="auto" w:fill="auto"/>
            <w:vAlign w:val="center"/>
          </w:tcPr>
          <w:p w14:paraId="1C70DF41" w14:textId="77777777" w:rsidR="00F77BBF" w:rsidRDefault="00F77BBF" w:rsidP="00D7421B">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1 </w:t>
            </w:r>
          </w:p>
        </w:tc>
        <w:tc>
          <w:tcPr>
            <w:tcW w:w="1822" w:type="dxa"/>
            <w:tcBorders>
              <w:top w:val="single" w:sz="4" w:space="0" w:color="0070CD"/>
              <w:bottom w:val="single" w:sz="4" w:space="0" w:color="0070CD"/>
            </w:tcBorders>
            <w:shd w:val="clear" w:color="auto" w:fill="auto"/>
            <w:noWrap/>
            <w:vAlign w:val="center"/>
          </w:tcPr>
          <w:p w14:paraId="31318DDE" w14:textId="77777777" w:rsidR="00F77BBF" w:rsidRDefault="00F77BBF" w:rsidP="00D7421B">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   </w:t>
            </w:r>
          </w:p>
        </w:tc>
        <w:tc>
          <w:tcPr>
            <w:tcW w:w="1844" w:type="dxa"/>
            <w:tcBorders>
              <w:top w:val="single" w:sz="4" w:space="0" w:color="0070CD"/>
              <w:bottom w:val="single" w:sz="4" w:space="0" w:color="0070CD"/>
            </w:tcBorders>
            <w:vAlign w:val="center"/>
          </w:tcPr>
          <w:p w14:paraId="551C3B8A" w14:textId="77777777" w:rsidR="00F77BBF" w:rsidRDefault="00F77BBF" w:rsidP="00D7421B">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   </w:t>
            </w:r>
          </w:p>
        </w:tc>
      </w:tr>
      <w:tr w:rsidR="00F77BBF" w:rsidRPr="00057D26" w14:paraId="3D6229D7" w14:textId="77777777" w:rsidTr="00D7421B">
        <w:trPr>
          <w:trHeight w:val="300"/>
          <w:jc w:val="center"/>
        </w:trPr>
        <w:tc>
          <w:tcPr>
            <w:tcW w:w="1982" w:type="dxa"/>
            <w:tcBorders>
              <w:top w:val="single" w:sz="4" w:space="0" w:color="0070CD"/>
              <w:bottom w:val="single" w:sz="4" w:space="0" w:color="0070CD"/>
            </w:tcBorders>
            <w:shd w:val="clear" w:color="auto" w:fill="auto"/>
            <w:vAlign w:val="center"/>
            <w:hideMark/>
          </w:tcPr>
          <w:p w14:paraId="20573DCE" w14:textId="77777777" w:rsidR="00F77BBF" w:rsidRPr="00057D26" w:rsidRDefault="00F77BBF" w:rsidP="00D7421B">
            <w:pPr>
              <w:pStyle w:val="Tables-Bodycells"/>
              <w:keepNext w:val="0"/>
              <w:spacing w:before="0" w:after="0"/>
              <w:rPr>
                <w:color w:val="000000"/>
                <w:lang w:val="en-CA" w:eastAsia="en-CA"/>
              </w:rPr>
            </w:pPr>
            <w:r w:rsidRPr="00057D26">
              <w:t>Total</w:t>
            </w:r>
          </w:p>
        </w:tc>
        <w:tc>
          <w:tcPr>
            <w:tcW w:w="1822" w:type="dxa"/>
            <w:tcBorders>
              <w:top w:val="single" w:sz="4" w:space="0" w:color="0070CD"/>
              <w:bottom w:val="single" w:sz="4" w:space="0" w:color="0070CD"/>
            </w:tcBorders>
            <w:shd w:val="clear" w:color="auto" w:fill="auto"/>
            <w:vAlign w:val="center"/>
          </w:tcPr>
          <w:p w14:paraId="4DEABD69" w14:textId="77777777" w:rsidR="00F77BBF" w:rsidRPr="00057D26" w:rsidRDefault="00F77BBF" w:rsidP="00D7421B">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216 </w:t>
            </w:r>
          </w:p>
        </w:tc>
        <w:tc>
          <w:tcPr>
            <w:tcW w:w="1822" w:type="dxa"/>
            <w:tcBorders>
              <w:top w:val="single" w:sz="4" w:space="0" w:color="0070CD"/>
              <w:bottom w:val="single" w:sz="4" w:space="0" w:color="0070CD"/>
            </w:tcBorders>
            <w:shd w:val="clear" w:color="auto" w:fill="auto"/>
            <w:noWrap/>
            <w:vAlign w:val="center"/>
          </w:tcPr>
          <w:p w14:paraId="41713A1D" w14:textId="77777777" w:rsidR="00F77BBF" w:rsidRPr="00057D26" w:rsidRDefault="00F77BBF" w:rsidP="00D7421B">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211 </w:t>
            </w:r>
          </w:p>
        </w:tc>
        <w:tc>
          <w:tcPr>
            <w:tcW w:w="1844" w:type="dxa"/>
            <w:tcBorders>
              <w:top w:val="single" w:sz="4" w:space="0" w:color="0070CD"/>
              <w:bottom w:val="single" w:sz="4" w:space="0" w:color="0070CD"/>
            </w:tcBorders>
            <w:vAlign w:val="center"/>
          </w:tcPr>
          <w:p w14:paraId="2FCF43A0" w14:textId="77777777" w:rsidR="00F77BBF" w:rsidRPr="00057D26" w:rsidRDefault="00F77BBF" w:rsidP="00D7421B">
            <w:pPr>
              <w:spacing w:after="0"/>
              <w:ind w:left="0"/>
              <w:jc w:val="center"/>
              <w:rPr>
                <w:rFonts w:ascii="Arial" w:hAnsi="Arial" w:cs="Arial"/>
                <w:color w:val="000000"/>
                <w:sz w:val="18"/>
                <w:szCs w:val="18"/>
              </w:rPr>
            </w:pPr>
            <w:r w:rsidRPr="00F626E2">
              <w:rPr>
                <w:rFonts w:ascii="Arial" w:hAnsi="Arial" w:cs="Arial"/>
                <w:color w:val="000000"/>
                <w:sz w:val="18"/>
                <w:szCs w:val="18"/>
              </w:rPr>
              <w:t xml:space="preserve"> -   </w:t>
            </w:r>
          </w:p>
        </w:tc>
      </w:tr>
      <w:tr w:rsidR="00F77BBF" w:rsidRPr="006D5337" w14:paraId="6CC96F72" w14:textId="77777777" w:rsidTr="00D7421B">
        <w:trPr>
          <w:trHeight w:val="305"/>
          <w:jc w:val="center"/>
        </w:trPr>
        <w:tc>
          <w:tcPr>
            <w:tcW w:w="7470" w:type="dxa"/>
            <w:gridSpan w:val="4"/>
            <w:tcBorders>
              <w:top w:val="single" w:sz="4" w:space="0" w:color="0070CD"/>
              <w:bottom w:val="single" w:sz="4" w:space="0" w:color="0070CD"/>
            </w:tcBorders>
            <w:shd w:val="clear" w:color="auto" w:fill="auto"/>
            <w:vAlign w:val="center"/>
          </w:tcPr>
          <w:p w14:paraId="79EBF957" w14:textId="77777777" w:rsidR="00F77BBF" w:rsidRPr="006D5337" w:rsidRDefault="00F77BBF" w:rsidP="00D7421B">
            <w:pPr>
              <w:spacing w:after="0"/>
              <w:ind w:left="0"/>
              <w:rPr>
                <w:rFonts w:ascii="Arial" w:hAnsi="Arial" w:cs="Arial"/>
                <w:b/>
                <w:color w:val="000000"/>
                <w:sz w:val="18"/>
                <w:szCs w:val="18"/>
              </w:rPr>
            </w:pPr>
            <w:r>
              <w:rPr>
                <w:b/>
              </w:rPr>
              <w:t>CHP</w:t>
            </w:r>
            <w:r w:rsidRPr="006D5337">
              <w:rPr>
                <w:b/>
              </w:rPr>
              <w:t xml:space="preserve"> Systems</w:t>
            </w:r>
          </w:p>
        </w:tc>
      </w:tr>
      <w:tr w:rsidR="00F77BBF" w:rsidRPr="00057D26" w14:paraId="6362C9C3" w14:textId="77777777" w:rsidTr="00D7421B">
        <w:trPr>
          <w:trHeight w:val="300"/>
          <w:jc w:val="center"/>
        </w:trPr>
        <w:tc>
          <w:tcPr>
            <w:tcW w:w="1982" w:type="dxa"/>
            <w:tcBorders>
              <w:top w:val="single" w:sz="4" w:space="0" w:color="0070CD"/>
              <w:bottom w:val="single" w:sz="4" w:space="0" w:color="0070CD"/>
            </w:tcBorders>
            <w:shd w:val="clear" w:color="auto" w:fill="auto"/>
            <w:vAlign w:val="center"/>
            <w:hideMark/>
          </w:tcPr>
          <w:p w14:paraId="06C55789" w14:textId="77777777" w:rsidR="00F77BBF" w:rsidRPr="00057D26" w:rsidRDefault="00F77BBF" w:rsidP="00D7421B">
            <w:pPr>
              <w:pStyle w:val="Tables-Bodycells"/>
              <w:keepNext w:val="0"/>
              <w:spacing w:before="0" w:after="0"/>
              <w:rPr>
                <w:color w:val="000000"/>
                <w:lang w:val="en-CA" w:eastAsia="en-CA"/>
              </w:rPr>
            </w:pPr>
            <w:r w:rsidRPr="00057D26">
              <w:t>Total</w:t>
            </w:r>
          </w:p>
        </w:tc>
        <w:tc>
          <w:tcPr>
            <w:tcW w:w="1822" w:type="dxa"/>
            <w:tcBorders>
              <w:top w:val="single" w:sz="4" w:space="0" w:color="0070CD"/>
              <w:bottom w:val="single" w:sz="4" w:space="0" w:color="0070CD"/>
            </w:tcBorders>
            <w:shd w:val="clear" w:color="auto" w:fill="auto"/>
            <w:vAlign w:val="center"/>
          </w:tcPr>
          <w:p w14:paraId="5BBBE4A1" w14:textId="77777777" w:rsidR="00F77BBF" w:rsidRPr="00057D26" w:rsidRDefault="00F77BBF" w:rsidP="00D7421B">
            <w:pPr>
              <w:spacing w:after="0"/>
              <w:ind w:left="0"/>
              <w:jc w:val="center"/>
              <w:rPr>
                <w:rFonts w:ascii="Arial" w:hAnsi="Arial" w:cs="Arial"/>
                <w:color w:val="000000"/>
                <w:sz w:val="18"/>
                <w:szCs w:val="18"/>
              </w:rPr>
            </w:pPr>
            <w:r w:rsidRPr="00F626E2">
              <w:rPr>
                <w:rFonts w:ascii="Arial" w:hAnsi="Arial" w:cs="Arial"/>
                <w:color w:val="000000"/>
                <w:sz w:val="18"/>
                <w:szCs w:val="18"/>
              </w:rPr>
              <w:t>656</w:t>
            </w:r>
          </w:p>
        </w:tc>
        <w:tc>
          <w:tcPr>
            <w:tcW w:w="1822" w:type="dxa"/>
            <w:tcBorders>
              <w:top w:val="single" w:sz="4" w:space="0" w:color="0070CD"/>
              <w:bottom w:val="single" w:sz="4" w:space="0" w:color="0070CD"/>
            </w:tcBorders>
            <w:shd w:val="clear" w:color="auto" w:fill="auto"/>
            <w:noWrap/>
            <w:vAlign w:val="center"/>
          </w:tcPr>
          <w:p w14:paraId="523EE7BA" w14:textId="77777777" w:rsidR="00F77BBF" w:rsidRPr="00057D26" w:rsidRDefault="00F77BBF" w:rsidP="00D7421B">
            <w:pPr>
              <w:spacing w:after="0"/>
              <w:ind w:left="0"/>
              <w:jc w:val="center"/>
              <w:rPr>
                <w:rFonts w:ascii="Arial" w:hAnsi="Arial" w:cs="Arial"/>
                <w:color w:val="000000"/>
                <w:sz w:val="18"/>
                <w:szCs w:val="18"/>
              </w:rPr>
            </w:pPr>
            <w:r w:rsidRPr="00F626E2">
              <w:rPr>
                <w:rFonts w:ascii="Arial" w:hAnsi="Arial" w:cs="Arial"/>
                <w:color w:val="000000"/>
                <w:sz w:val="18"/>
                <w:szCs w:val="18"/>
              </w:rPr>
              <w:t>358</w:t>
            </w:r>
          </w:p>
        </w:tc>
        <w:tc>
          <w:tcPr>
            <w:tcW w:w="1844" w:type="dxa"/>
            <w:tcBorders>
              <w:top w:val="single" w:sz="4" w:space="0" w:color="0070CD"/>
              <w:bottom w:val="single" w:sz="4" w:space="0" w:color="0070CD"/>
            </w:tcBorders>
            <w:vAlign w:val="center"/>
          </w:tcPr>
          <w:p w14:paraId="524CB258" w14:textId="77777777" w:rsidR="00F77BBF" w:rsidRPr="00057D26" w:rsidRDefault="00F77BBF" w:rsidP="00D7421B">
            <w:pPr>
              <w:spacing w:after="0"/>
              <w:ind w:left="0"/>
              <w:jc w:val="center"/>
              <w:rPr>
                <w:rFonts w:ascii="Arial" w:hAnsi="Arial" w:cs="Arial"/>
                <w:color w:val="000000"/>
                <w:sz w:val="18"/>
                <w:szCs w:val="18"/>
              </w:rPr>
            </w:pPr>
            <w:r w:rsidRPr="00F626E2">
              <w:rPr>
                <w:rFonts w:ascii="Arial" w:hAnsi="Arial" w:cs="Arial"/>
                <w:color w:val="000000"/>
                <w:sz w:val="18"/>
                <w:szCs w:val="18"/>
              </w:rPr>
              <w:t>3,126</w:t>
            </w:r>
          </w:p>
        </w:tc>
      </w:tr>
    </w:tbl>
    <w:p w14:paraId="409ED40E" w14:textId="77777777" w:rsidR="00F77BBF" w:rsidRDefault="00F77BBF" w:rsidP="00F77BBF">
      <w:pPr>
        <w:pStyle w:val="Text"/>
      </w:pPr>
    </w:p>
    <w:p w14:paraId="283A0144" w14:textId="77777777" w:rsidR="00F77BBF" w:rsidRPr="00F77BBF" w:rsidRDefault="00F77BBF" w:rsidP="00F77BBF">
      <w:pPr>
        <w:pStyle w:val="Text"/>
      </w:pPr>
    </w:p>
    <w:p w14:paraId="50F9ED6C" w14:textId="77777777" w:rsidR="00A9155B" w:rsidRDefault="00A9155B" w:rsidP="00A9155B">
      <w:pPr>
        <w:pStyle w:val="Intropages-coverlettersubjectline"/>
      </w:pPr>
    </w:p>
    <w:p w14:paraId="14869640" w14:textId="1FBDC2A1" w:rsidR="00677C71" w:rsidRDefault="00677C71" w:rsidP="000F2A03">
      <w:pPr>
        <w:pStyle w:val="Text"/>
        <w:sectPr w:rsidR="00677C71" w:rsidSect="00EB62C3">
          <w:headerReference w:type="default" r:id="rId56"/>
          <w:footerReference w:type="default" r:id="rId57"/>
          <w:headerReference w:type="first" r:id="rId58"/>
          <w:footerReference w:type="first" r:id="rId59"/>
          <w:endnotePr>
            <w:numFmt w:val="decimal"/>
          </w:endnotePr>
          <w:pgSz w:w="12240" w:h="15840" w:code="1"/>
          <w:pgMar w:top="1440" w:right="1224" w:bottom="1440" w:left="1224" w:header="720" w:footer="720" w:gutter="0"/>
          <w:cols w:space="360"/>
          <w:titlePg/>
          <w:docGrid w:linePitch="299"/>
        </w:sectPr>
      </w:pPr>
    </w:p>
    <w:p w14:paraId="6401F3B4" w14:textId="77777777" w:rsidR="00FC5DA9" w:rsidRDefault="00FC5DA9" w:rsidP="00FC5DA9">
      <w:pPr>
        <w:pStyle w:val="Heading1"/>
      </w:pPr>
      <w:bookmarkStart w:id="173" w:name="_Toc470162735"/>
      <w:bookmarkStart w:id="174" w:name="_Toc5715520"/>
      <w:bookmarkEnd w:id="170"/>
      <w:r>
        <w:rPr>
          <w:b w:val="0"/>
        </w:rPr>
        <w:t>Appendices</w:t>
      </w:r>
      <w:bookmarkEnd w:id="173"/>
      <w:bookmarkEnd w:id="174"/>
    </w:p>
    <w:p w14:paraId="6401F3B5" w14:textId="77777777" w:rsidR="00FC5DA9" w:rsidRDefault="00FC5DA9" w:rsidP="00FC5DA9">
      <w:pPr>
        <w:pStyle w:val="Text"/>
      </w:pPr>
    </w:p>
    <w:p w14:paraId="6401F3B6" w14:textId="77777777" w:rsidR="00FC5DA9" w:rsidRDefault="00FC5DA9" w:rsidP="00FC5DA9">
      <w:pPr>
        <w:tabs>
          <w:tab w:val="clear" w:pos="-1440"/>
          <w:tab w:val="clear" w:pos="-720"/>
        </w:tabs>
        <w:spacing w:after="0" w:line="288" w:lineRule="auto"/>
        <w:ind w:left="0"/>
        <w:rPr>
          <w:rFonts w:ascii="Arial" w:hAnsi="Arial" w:cs="Arial"/>
          <w:color w:val="333333"/>
          <w:szCs w:val="22"/>
        </w:rPr>
        <w:sectPr w:rsidR="00FC5DA9" w:rsidSect="00666591">
          <w:footerReference w:type="default" r:id="rId60"/>
          <w:footerReference w:type="first" r:id="rId61"/>
          <w:endnotePr>
            <w:numFmt w:val="decimal"/>
          </w:endnotePr>
          <w:pgSz w:w="12240" w:h="15840"/>
          <w:pgMar w:top="1440" w:right="1440" w:bottom="1440" w:left="1440" w:header="720" w:footer="720" w:gutter="0"/>
          <w:cols w:space="720"/>
        </w:sectPr>
      </w:pPr>
    </w:p>
    <w:p w14:paraId="6401F3CA" w14:textId="5E80A843" w:rsidR="00E06704" w:rsidRDefault="00350E31" w:rsidP="00E06704">
      <w:pPr>
        <w:pStyle w:val="Heading7"/>
      </w:pPr>
      <w:bookmarkStart w:id="175" w:name="_Ref457028350"/>
      <w:bookmarkStart w:id="176" w:name="_Ref457028542"/>
      <w:bookmarkStart w:id="177" w:name="_Ref458697320"/>
      <w:bookmarkStart w:id="178" w:name="_Ref458697375"/>
      <w:bookmarkStart w:id="179" w:name="_Ref497473321"/>
      <w:bookmarkStart w:id="180" w:name="_Toc5715521"/>
      <w:r>
        <w:t xml:space="preserve">EE </w:t>
      </w:r>
      <w:r w:rsidR="00E06704">
        <w:t>MPS Measure List</w:t>
      </w:r>
      <w:bookmarkEnd w:id="175"/>
      <w:bookmarkEnd w:id="176"/>
      <w:bookmarkEnd w:id="177"/>
      <w:bookmarkEnd w:id="178"/>
      <w:bookmarkEnd w:id="179"/>
      <w:bookmarkEnd w:id="180"/>
    </w:p>
    <w:p w14:paraId="6401F3CB" w14:textId="77777777" w:rsidR="00E06704" w:rsidRDefault="00E06704" w:rsidP="00E06704">
      <w:pPr>
        <w:pStyle w:val="Text"/>
      </w:pPr>
      <w:r>
        <w:t xml:space="preserve">For information on how Nexant developed this list, please see </w:t>
      </w:r>
      <w:r w:rsidRPr="00222ED6">
        <w:t>Section 4.</w:t>
      </w:r>
    </w:p>
    <w:p w14:paraId="1C30B536" w14:textId="13A4A02D" w:rsidR="00D12C73" w:rsidRPr="00B22ABE" w:rsidRDefault="00D12C73" w:rsidP="00E06704">
      <w:pPr>
        <w:pStyle w:val="Text"/>
      </w:pPr>
      <w:r>
        <w:t>Measures that are new for the 2019 MPS are indicated with an asterisk.</w:t>
      </w:r>
    </w:p>
    <w:p w14:paraId="6401F3CC" w14:textId="77777777" w:rsidR="00E06704" w:rsidRDefault="00E06704" w:rsidP="00350E31">
      <w:pPr>
        <w:pStyle w:val="Heading8"/>
      </w:pPr>
      <w:r>
        <w:t>Residential Measures</w:t>
      </w:r>
    </w:p>
    <w:tbl>
      <w:tblPr>
        <w:tblStyle w:val="NEXANTNEWTABLESTYLE"/>
        <w:tblW w:w="10620" w:type="dxa"/>
        <w:tblInd w:w="-450" w:type="dxa"/>
        <w:tblLook w:val="0020" w:firstRow="1" w:lastRow="0" w:firstColumn="0" w:lastColumn="0" w:noHBand="0" w:noVBand="0"/>
      </w:tblPr>
      <w:tblGrid>
        <w:gridCol w:w="2359"/>
        <w:gridCol w:w="1331"/>
        <w:gridCol w:w="3510"/>
        <w:gridCol w:w="3420"/>
      </w:tblGrid>
      <w:tr w:rsidR="00301405" w:rsidRPr="00301405" w14:paraId="227E51CF" w14:textId="77777777" w:rsidTr="00FC07E5">
        <w:trPr>
          <w:cnfStyle w:val="100000000000" w:firstRow="1" w:lastRow="0" w:firstColumn="0" w:lastColumn="0" w:oddVBand="0" w:evenVBand="0" w:oddHBand="0" w:evenHBand="0" w:firstRowFirstColumn="0" w:firstRowLastColumn="0" w:lastRowFirstColumn="0" w:lastRowLastColumn="0"/>
          <w:tblHeader/>
        </w:trPr>
        <w:tc>
          <w:tcPr>
            <w:tcW w:w="2359" w:type="dxa"/>
            <w:vAlign w:val="center"/>
          </w:tcPr>
          <w:p w14:paraId="5E3CB9B7" w14:textId="5E2BD452" w:rsidR="00301405" w:rsidRPr="00301405" w:rsidRDefault="00301405" w:rsidP="00CD1C71">
            <w:pPr>
              <w:pStyle w:val="Tables-Bodycells"/>
            </w:pPr>
            <w:r w:rsidRPr="00301405">
              <w:t>Measure</w:t>
            </w:r>
          </w:p>
        </w:tc>
        <w:tc>
          <w:tcPr>
            <w:tcW w:w="1331" w:type="dxa"/>
            <w:vAlign w:val="center"/>
          </w:tcPr>
          <w:p w14:paraId="5AAD7FBD" w14:textId="309515B1" w:rsidR="00301405" w:rsidRPr="00301405" w:rsidRDefault="007576CB" w:rsidP="00CD1C71">
            <w:pPr>
              <w:pStyle w:val="Tables-Bodycells"/>
            </w:pPr>
            <w:r>
              <w:t>End-</w:t>
            </w:r>
            <w:r w:rsidR="00301405" w:rsidRPr="00301405">
              <w:t>Use</w:t>
            </w:r>
          </w:p>
        </w:tc>
        <w:tc>
          <w:tcPr>
            <w:tcW w:w="3510" w:type="dxa"/>
          </w:tcPr>
          <w:p w14:paraId="17A6FFEF" w14:textId="15E021FE" w:rsidR="00301405" w:rsidRPr="00301405" w:rsidRDefault="00301405" w:rsidP="00CD1C71">
            <w:pPr>
              <w:pStyle w:val="Tables-Bodycells"/>
            </w:pPr>
            <w:r w:rsidRPr="00301405">
              <w:t>Description</w:t>
            </w:r>
          </w:p>
        </w:tc>
        <w:tc>
          <w:tcPr>
            <w:tcW w:w="3420" w:type="dxa"/>
            <w:vAlign w:val="center"/>
          </w:tcPr>
          <w:p w14:paraId="4D0A62D5" w14:textId="0A47E897" w:rsidR="00301405" w:rsidRPr="00301405" w:rsidRDefault="00301405" w:rsidP="00301405">
            <w:pPr>
              <w:pStyle w:val="Tables-Bodycells"/>
            </w:pPr>
            <w:r w:rsidRPr="00301405">
              <w:t>Baseline</w:t>
            </w:r>
          </w:p>
        </w:tc>
      </w:tr>
      <w:tr w:rsidR="00301405" w:rsidRPr="00301405" w14:paraId="352D9A9C" w14:textId="77777777" w:rsidTr="00FC07E5">
        <w:tblPrEx>
          <w:tblLook w:val="04A0" w:firstRow="1" w:lastRow="0" w:firstColumn="1" w:lastColumn="0" w:noHBand="0" w:noVBand="1"/>
        </w:tblPrEx>
        <w:trPr>
          <w:trHeight w:val="300"/>
        </w:trPr>
        <w:tc>
          <w:tcPr>
            <w:tcW w:w="2359" w:type="dxa"/>
            <w:noWrap/>
            <w:hideMark/>
          </w:tcPr>
          <w:p w14:paraId="4DEF39DD"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Clothes Dryer</w:t>
            </w:r>
          </w:p>
        </w:tc>
        <w:tc>
          <w:tcPr>
            <w:tcW w:w="1331" w:type="dxa"/>
            <w:noWrap/>
            <w:hideMark/>
          </w:tcPr>
          <w:p w14:paraId="6D8BC3E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Appliances</w:t>
            </w:r>
          </w:p>
        </w:tc>
        <w:tc>
          <w:tcPr>
            <w:tcW w:w="3510" w:type="dxa"/>
            <w:noWrap/>
            <w:hideMark/>
          </w:tcPr>
          <w:p w14:paraId="25E74EF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Electric Resistance Clothes Dryer meeting current ENERGY STAR® Standards</w:t>
            </w:r>
          </w:p>
        </w:tc>
        <w:tc>
          <w:tcPr>
            <w:tcW w:w="3420" w:type="dxa"/>
            <w:noWrap/>
            <w:hideMark/>
          </w:tcPr>
          <w:p w14:paraId="35CDD9E9"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Clothes Dryer meeting Federal Standard</w:t>
            </w:r>
          </w:p>
        </w:tc>
      </w:tr>
      <w:tr w:rsidR="00301405" w:rsidRPr="00301405" w14:paraId="21900867" w14:textId="77777777" w:rsidTr="00FC07E5">
        <w:tblPrEx>
          <w:tblLook w:val="04A0" w:firstRow="1" w:lastRow="0" w:firstColumn="1" w:lastColumn="0" w:noHBand="0" w:noVBand="1"/>
        </w:tblPrEx>
        <w:trPr>
          <w:trHeight w:val="300"/>
        </w:trPr>
        <w:tc>
          <w:tcPr>
            <w:tcW w:w="2359" w:type="dxa"/>
            <w:noWrap/>
            <w:hideMark/>
          </w:tcPr>
          <w:p w14:paraId="319119C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Clothes Washer</w:t>
            </w:r>
          </w:p>
        </w:tc>
        <w:tc>
          <w:tcPr>
            <w:tcW w:w="1331" w:type="dxa"/>
            <w:noWrap/>
            <w:hideMark/>
          </w:tcPr>
          <w:p w14:paraId="2696CF9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Appliances</w:t>
            </w:r>
          </w:p>
        </w:tc>
        <w:tc>
          <w:tcPr>
            <w:tcW w:w="3510" w:type="dxa"/>
            <w:noWrap/>
            <w:hideMark/>
          </w:tcPr>
          <w:p w14:paraId="02A6CE11"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Clothes Washer meeting current ENERGY STAR® Standards</w:t>
            </w:r>
          </w:p>
        </w:tc>
        <w:tc>
          <w:tcPr>
            <w:tcW w:w="3420" w:type="dxa"/>
            <w:noWrap/>
            <w:hideMark/>
          </w:tcPr>
          <w:p w14:paraId="543C1F7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Clothes Washer meeting Federal Standard</w:t>
            </w:r>
          </w:p>
        </w:tc>
      </w:tr>
      <w:tr w:rsidR="00301405" w:rsidRPr="00301405" w14:paraId="798C7011" w14:textId="77777777" w:rsidTr="00FC07E5">
        <w:tblPrEx>
          <w:tblLook w:val="04A0" w:firstRow="1" w:lastRow="0" w:firstColumn="1" w:lastColumn="0" w:noHBand="0" w:noVBand="1"/>
        </w:tblPrEx>
        <w:trPr>
          <w:trHeight w:val="300"/>
        </w:trPr>
        <w:tc>
          <w:tcPr>
            <w:tcW w:w="2359" w:type="dxa"/>
            <w:noWrap/>
            <w:hideMark/>
          </w:tcPr>
          <w:p w14:paraId="2D9F1EAD"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Dishwasher</w:t>
            </w:r>
          </w:p>
        </w:tc>
        <w:tc>
          <w:tcPr>
            <w:tcW w:w="1331" w:type="dxa"/>
            <w:noWrap/>
            <w:hideMark/>
          </w:tcPr>
          <w:p w14:paraId="4C68A2B9"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Appliances</w:t>
            </w:r>
          </w:p>
        </w:tc>
        <w:tc>
          <w:tcPr>
            <w:tcW w:w="3510" w:type="dxa"/>
            <w:noWrap/>
            <w:hideMark/>
          </w:tcPr>
          <w:p w14:paraId="65375ECF"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Dishwasher meeting current ENERGY STAR® Requirements</w:t>
            </w:r>
          </w:p>
        </w:tc>
        <w:tc>
          <w:tcPr>
            <w:tcW w:w="3420" w:type="dxa"/>
            <w:noWrap/>
            <w:hideMark/>
          </w:tcPr>
          <w:p w14:paraId="183D0F9B"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Dishwasher meeting Federal Standard</w:t>
            </w:r>
          </w:p>
        </w:tc>
      </w:tr>
      <w:tr w:rsidR="00301405" w:rsidRPr="00301405" w14:paraId="051EDC27" w14:textId="77777777" w:rsidTr="00FC07E5">
        <w:tblPrEx>
          <w:tblLook w:val="04A0" w:firstRow="1" w:lastRow="0" w:firstColumn="1" w:lastColumn="0" w:noHBand="0" w:noVBand="1"/>
        </w:tblPrEx>
        <w:trPr>
          <w:trHeight w:val="300"/>
        </w:trPr>
        <w:tc>
          <w:tcPr>
            <w:tcW w:w="2359" w:type="dxa"/>
            <w:noWrap/>
            <w:hideMark/>
          </w:tcPr>
          <w:p w14:paraId="1BB4365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Freezer</w:t>
            </w:r>
          </w:p>
        </w:tc>
        <w:tc>
          <w:tcPr>
            <w:tcW w:w="1331" w:type="dxa"/>
            <w:noWrap/>
            <w:hideMark/>
          </w:tcPr>
          <w:p w14:paraId="6B94518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Appliances</w:t>
            </w:r>
          </w:p>
        </w:tc>
        <w:tc>
          <w:tcPr>
            <w:tcW w:w="3510" w:type="dxa"/>
            <w:noWrap/>
            <w:hideMark/>
          </w:tcPr>
          <w:p w14:paraId="3408D0A2"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Freezer meeting current ENERGY STAR® Standards</w:t>
            </w:r>
          </w:p>
        </w:tc>
        <w:tc>
          <w:tcPr>
            <w:tcW w:w="3420" w:type="dxa"/>
            <w:noWrap/>
            <w:hideMark/>
          </w:tcPr>
          <w:p w14:paraId="5138A50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Freezer meeting Federal Standard</w:t>
            </w:r>
          </w:p>
        </w:tc>
      </w:tr>
      <w:tr w:rsidR="00301405" w:rsidRPr="00301405" w14:paraId="013C0171" w14:textId="77777777" w:rsidTr="00FC07E5">
        <w:tblPrEx>
          <w:tblLook w:val="04A0" w:firstRow="1" w:lastRow="0" w:firstColumn="1" w:lastColumn="0" w:noHBand="0" w:noVBand="1"/>
        </w:tblPrEx>
        <w:trPr>
          <w:trHeight w:val="300"/>
        </w:trPr>
        <w:tc>
          <w:tcPr>
            <w:tcW w:w="2359" w:type="dxa"/>
            <w:noWrap/>
            <w:hideMark/>
          </w:tcPr>
          <w:p w14:paraId="0BF06DE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Refrigerator</w:t>
            </w:r>
          </w:p>
        </w:tc>
        <w:tc>
          <w:tcPr>
            <w:tcW w:w="1331" w:type="dxa"/>
            <w:noWrap/>
            <w:hideMark/>
          </w:tcPr>
          <w:p w14:paraId="21B5176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Appliances</w:t>
            </w:r>
          </w:p>
        </w:tc>
        <w:tc>
          <w:tcPr>
            <w:tcW w:w="3510" w:type="dxa"/>
            <w:noWrap/>
            <w:hideMark/>
          </w:tcPr>
          <w:p w14:paraId="3B5088A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Refrigerator meeting current ENERGY STAR® Standards</w:t>
            </w:r>
          </w:p>
        </w:tc>
        <w:tc>
          <w:tcPr>
            <w:tcW w:w="3420" w:type="dxa"/>
            <w:noWrap/>
            <w:hideMark/>
          </w:tcPr>
          <w:p w14:paraId="1B96BF7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Refrigerator meeting Federal Standard</w:t>
            </w:r>
          </w:p>
        </w:tc>
      </w:tr>
      <w:tr w:rsidR="00301405" w:rsidRPr="00301405" w14:paraId="756DFF7D" w14:textId="77777777" w:rsidTr="00FC07E5">
        <w:tblPrEx>
          <w:tblLook w:val="04A0" w:firstRow="1" w:lastRow="0" w:firstColumn="1" w:lastColumn="0" w:noHBand="0" w:noVBand="1"/>
        </w:tblPrEx>
        <w:trPr>
          <w:trHeight w:val="300"/>
        </w:trPr>
        <w:tc>
          <w:tcPr>
            <w:tcW w:w="2359" w:type="dxa"/>
            <w:noWrap/>
            <w:hideMark/>
          </w:tcPr>
          <w:p w14:paraId="760FEAEB" w14:textId="7EF15225"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Heat Pump Clothes Dryer</w:t>
            </w:r>
            <w:r w:rsidR="00D12C73">
              <w:rPr>
                <w:rFonts w:ascii="Calibri" w:hAnsi="Calibri" w:cs="Calibri"/>
                <w:color w:val="000000"/>
                <w:sz w:val="18"/>
                <w:szCs w:val="22"/>
              </w:rPr>
              <w:t>*</w:t>
            </w:r>
          </w:p>
        </w:tc>
        <w:tc>
          <w:tcPr>
            <w:tcW w:w="1331" w:type="dxa"/>
            <w:noWrap/>
            <w:hideMark/>
          </w:tcPr>
          <w:p w14:paraId="5BB4334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Appliances</w:t>
            </w:r>
          </w:p>
        </w:tc>
        <w:tc>
          <w:tcPr>
            <w:tcW w:w="3510" w:type="dxa"/>
            <w:noWrap/>
            <w:hideMark/>
          </w:tcPr>
          <w:p w14:paraId="2B20248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Heat Pump Clothes Dryer</w:t>
            </w:r>
          </w:p>
        </w:tc>
        <w:tc>
          <w:tcPr>
            <w:tcW w:w="3420" w:type="dxa"/>
            <w:noWrap/>
            <w:hideMark/>
          </w:tcPr>
          <w:p w14:paraId="0B27156F"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Clothes Dryer meeting Federal Standard</w:t>
            </w:r>
          </w:p>
        </w:tc>
      </w:tr>
      <w:tr w:rsidR="00301405" w:rsidRPr="00301405" w14:paraId="76ACEE57" w14:textId="77777777" w:rsidTr="00FC07E5">
        <w:tblPrEx>
          <w:tblLook w:val="04A0" w:firstRow="1" w:lastRow="0" w:firstColumn="1" w:lastColumn="0" w:noHBand="0" w:noVBand="1"/>
        </w:tblPrEx>
        <w:trPr>
          <w:trHeight w:val="300"/>
        </w:trPr>
        <w:tc>
          <w:tcPr>
            <w:tcW w:w="2359" w:type="dxa"/>
            <w:noWrap/>
            <w:hideMark/>
          </w:tcPr>
          <w:p w14:paraId="17EF5925"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Removal of 2nd Refrigerator-Freezer</w:t>
            </w:r>
          </w:p>
        </w:tc>
        <w:tc>
          <w:tcPr>
            <w:tcW w:w="1331" w:type="dxa"/>
            <w:noWrap/>
            <w:hideMark/>
          </w:tcPr>
          <w:p w14:paraId="543BA84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Appliances</w:t>
            </w:r>
          </w:p>
        </w:tc>
        <w:tc>
          <w:tcPr>
            <w:tcW w:w="3510" w:type="dxa"/>
            <w:noWrap/>
            <w:hideMark/>
          </w:tcPr>
          <w:p w14:paraId="0FB44CDF"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No Refrigerator</w:t>
            </w:r>
          </w:p>
        </w:tc>
        <w:tc>
          <w:tcPr>
            <w:tcW w:w="3420" w:type="dxa"/>
            <w:noWrap/>
            <w:hideMark/>
          </w:tcPr>
          <w:p w14:paraId="12F5B1A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Current Market Average Refrigerator</w:t>
            </w:r>
          </w:p>
        </w:tc>
      </w:tr>
      <w:tr w:rsidR="00301405" w:rsidRPr="00301405" w14:paraId="74048C6D" w14:textId="77777777" w:rsidTr="00FC07E5">
        <w:tblPrEx>
          <w:tblLook w:val="04A0" w:firstRow="1" w:lastRow="0" w:firstColumn="1" w:lastColumn="0" w:noHBand="0" w:noVBand="1"/>
        </w:tblPrEx>
        <w:trPr>
          <w:trHeight w:val="300"/>
        </w:trPr>
        <w:tc>
          <w:tcPr>
            <w:tcW w:w="2359" w:type="dxa"/>
            <w:noWrap/>
            <w:hideMark/>
          </w:tcPr>
          <w:p w14:paraId="634072EB" w14:textId="5182AE69"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High Efficiency Convection Oven</w:t>
            </w:r>
            <w:r w:rsidR="00D12C73">
              <w:rPr>
                <w:rFonts w:ascii="Calibri" w:hAnsi="Calibri" w:cs="Calibri"/>
                <w:color w:val="000000"/>
                <w:sz w:val="18"/>
                <w:szCs w:val="22"/>
              </w:rPr>
              <w:t>*</w:t>
            </w:r>
          </w:p>
        </w:tc>
        <w:tc>
          <w:tcPr>
            <w:tcW w:w="1331" w:type="dxa"/>
            <w:noWrap/>
            <w:hideMark/>
          </w:tcPr>
          <w:p w14:paraId="3A859031"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Cooking</w:t>
            </w:r>
          </w:p>
        </w:tc>
        <w:tc>
          <w:tcPr>
            <w:tcW w:w="3510" w:type="dxa"/>
            <w:noWrap/>
            <w:hideMark/>
          </w:tcPr>
          <w:p w14:paraId="30F9741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Full-Size Convection Oven meeting current ENERGY STAR® Standards</w:t>
            </w:r>
          </w:p>
        </w:tc>
        <w:tc>
          <w:tcPr>
            <w:tcW w:w="3420" w:type="dxa"/>
            <w:noWrap/>
            <w:hideMark/>
          </w:tcPr>
          <w:p w14:paraId="6CE6F9A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Standard Economy-Grade Full-Size Oven</w:t>
            </w:r>
          </w:p>
        </w:tc>
      </w:tr>
      <w:tr w:rsidR="00301405" w:rsidRPr="00301405" w14:paraId="52E6E2DF" w14:textId="77777777" w:rsidTr="00FC07E5">
        <w:tblPrEx>
          <w:tblLook w:val="04A0" w:firstRow="1" w:lastRow="0" w:firstColumn="1" w:lastColumn="0" w:noHBand="0" w:noVBand="1"/>
        </w:tblPrEx>
        <w:trPr>
          <w:trHeight w:val="300"/>
        </w:trPr>
        <w:tc>
          <w:tcPr>
            <w:tcW w:w="2359" w:type="dxa"/>
            <w:noWrap/>
            <w:hideMark/>
          </w:tcPr>
          <w:p w14:paraId="6D8C2F1A" w14:textId="1D69CD2F"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High Efficiency Induction Cooktop</w:t>
            </w:r>
            <w:r w:rsidR="00D12C73">
              <w:rPr>
                <w:rFonts w:ascii="Calibri" w:hAnsi="Calibri" w:cs="Calibri"/>
                <w:color w:val="000000"/>
                <w:sz w:val="18"/>
                <w:szCs w:val="22"/>
              </w:rPr>
              <w:t>*</w:t>
            </w:r>
          </w:p>
        </w:tc>
        <w:tc>
          <w:tcPr>
            <w:tcW w:w="1331" w:type="dxa"/>
            <w:noWrap/>
            <w:hideMark/>
          </w:tcPr>
          <w:p w14:paraId="35F7DBE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Cooking</w:t>
            </w:r>
          </w:p>
        </w:tc>
        <w:tc>
          <w:tcPr>
            <w:tcW w:w="3510" w:type="dxa"/>
            <w:noWrap/>
            <w:hideMark/>
          </w:tcPr>
          <w:p w14:paraId="00BAFBB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residential induction cooktop</w:t>
            </w:r>
          </w:p>
        </w:tc>
        <w:tc>
          <w:tcPr>
            <w:tcW w:w="3420" w:type="dxa"/>
            <w:noWrap/>
            <w:hideMark/>
          </w:tcPr>
          <w:p w14:paraId="20575F11"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standard residential electric cooktop</w:t>
            </w:r>
          </w:p>
        </w:tc>
      </w:tr>
      <w:tr w:rsidR="00301405" w:rsidRPr="00301405" w14:paraId="788EFE33" w14:textId="77777777" w:rsidTr="00FC07E5">
        <w:tblPrEx>
          <w:tblLook w:val="04A0" w:firstRow="1" w:lastRow="0" w:firstColumn="1" w:lastColumn="0" w:noHBand="0" w:noVBand="1"/>
        </w:tblPrEx>
        <w:trPr>
          <w:trHeight w:val="300"/>
        </w:trPr>
        <w:tc>
          <w:tcPr>
            <w:tcW w:w="2359" w:type="dxa"/>
            <w:noWrap/>
            <w:hideMark/>
          </w:tcPr>
          <w:p w14:paraId="7E9A663A" w14:textId="6F8BE274"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Drain Water Heat Recovery</w:t>
            </w:r>
            <w:r w:rsidR="00D12C73">
              <w:rPr>
                <w:rFonts w:ascii="Calibri" w:hAnsi="Calibri" w:cs="Calibri"/>
                <w:color w:val="000000"/>
                <w:sz w:val="18"/>
                <w:szCs w:val="22"/>
              </w:rPr>
              <w:t>*</w:t>
            </w:r>
          </w:p>
        </w:tc>
        <w:tc>
          <w:tcPr>
            <w:tcW w:w="1331" w:type="dxa"/>
            <w:noWrap/>
            <w:hideMark/>
          </w:tcPr>
          <w:p w14:paraId="0450C61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Domestic Hot Water</w:t>
            </w:r>
          </w:p>
        </w:tc>
        <w:tc>
          <w:tcPr>
            <w:tcW w:w="3510" w:type="dxa"/>
            <w:noWrap/>
            <w:hideMark/>
          </w:tcPr>
          <w:p w14:paraId="29CC467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Hot Water Loop with 50 Gallon Electric Resistance Heater and Drain Water Heat Exchanger</w:t>
            </w:r>
          </w:p>
        </w:tc>
        <w:tc>
          <w:tcPr>
            <w:tcW w:w="3420" w:type="dxa"/>
            <w:noWrap/>
            <w:hideMark/>
          </w:tcPr>
          <w:p w14:paraId="1CB8CCA1"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Hot Water Loop with 50 Gallon Electric Resistance Heater, No Drain Water Heat Recovery</w:t>
            </w:r>
          </w:p>
        </w:tc>
      </w:tr>
      <w:tr w:rsidR="00301405" w:rsidRPr="00301405" w14:paraId="7EB128E5" w14:textId="77777777" w:rsidTr="00FC07E5">
        <w:tblPrEx>
          <w:tblLook w:val="04A0" w:firstRow="1" w:lastRow="0" w:firstColumn="1" w:lastColumn="0" w:noHBand="0" w:noVBand="1"/>
        </w:tblPrEx>
        <w:trPr>
          <w:trHeight w:val="300"/>
        </w:trPr>
        <w:tc>
          <w:tcPr>
            <w:tcW w:w="2359" w:type="dxa"/>
            <w:noWrap/>
            <w:hideMark/>
          </w:tcPr>
          <w:p w14:paraId="20BACFD5"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Faucet Aerator</w:t>
            </w:r>
          </w:p>
        </w:tc>
        <w:tc>
          <w:tcPr>
            <w:tcW w:w="1331" w:type="dxa"/>
            <w:noWrap/>
            <w:hideMark/>
          </w:tcPr>
          <w:p w14:paraId="39C3E809"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Domestic Hot Water</w:t>
            </w:r>
          </w:p>
        </w:tc>
        <w:tc>
          <w:tcPr>
            <w:tcW w:w="3510" w:type="dxa"/>
            <w:noWrap/>
            <w:hideMark/>
          </w:tcPr>
          <w:p w14:paraId="2BA969F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Low-flow lavatory faucet aerator, flow rate: 1.0 gpm</w:t>
            </w:r>
          </w:p>
        </w:tc>
        <w:tc>
          <w:tcPr>
            <w:tcW w:w="3420" w:type="dxa"/>
            <w:noWrap/>
            <w:hideMark/>
          </w:tcPr>
          <w:p w14:paraId="1D52707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Federal lavatory flow rate standard, 1994, flow rate: 2.2 gpm</w:t>
            </w:r>
          </w:p>
        </w:tc>
      </w:tr>
      <w:tr w:rsidR="00301405" w:rsidRPr="00301405" w14:paraId="1261F569" w14:textId="77777777" w:rsidTr="00FC07E5">
        <w:tblPrEx>
          <w:tblLook w:val="04A0" w:firstRow="1" w:lastRow="0" w:firstColumn="1" w:lastColumn="0" w:noHBand="0" w:noVBand="1"/>
        </w:tblPrEx>
        <w:trPr>
          <w:trHeight w:val="300"/>
        </w:trPr>
        <w:tc>
          <w:tcPr>
            <w:tcW w:w="2359" w:type="dxa"/>
            <w:noWrap/>
            <w:hideMark/>
          </w:tcPr>
          <w:p w14:paraId="6D7AC4B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Heat Pump Water Heater</w:t>
            </w:r>
          </w:p>
        </w:tc>
        <w:tc>
          <w:tcPr>
            <w:tcW w:w="1331" w:type="dxa"/>
            <w:noWrap/>
            <w:hideMark/>
          </w:tcPr>
          <w:p w14:paraId="19D96D23"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Domestic Hot Water</w:t>
            </w:r>
          </w:p>
        </w:tc>
        <w:tc>
          <w:tcPr>
            <w:tcW w:w="3510" w:type="dxa"/>
            <w:noWrap/>
            <w:hideMark/>
          </w:tcPr>
          <w:p w14:paraId="453C844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Heat Pump Water Heater (EF=2.50)</w:t>
            </w:r>
          </w:p>
        </w:tc>
        <w:tc>
          <w:tcPr>
            <w:tcW w:w="3420" w:type="dxa"/>
            <w:noWrap/>
            <w:hideMark/>
          </w:tcPr>
          <w:p w14:paraId="3DAC345F"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50 Gallon Electric Resistance Water Heater</w:t>
            </w:r>
          </w:p>
        </w:tc>
      </w:tr>
      <w:tr w:rsidR="00301405" w:rsidRPr="00301405" w14:paraId="2EB99293" w14:textId="77777777" w:rsidTr="00FC07E5">
        <w:tblPrEx>
          <w:tblLook w:val="04A0" w:firstRow="1" w:lastRow="0" w:firstColumn="1" w:lastColumn="0" w:noHBand="0" w:noVBand="1"/>
        </w:tblPrEx>
        <w:trPr>
          <w:trHeight w:val="300"/>
        </w:trPr>
        <w:tc>
          <w:tcPr>
            <w:tcW w:w="2359" w:type="dxa"/>
            <w:noWrap/>
            <w:hideMark/>
          </w:tcPr>
          <w:p w14:paraId="531068E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Heat Trap</w:t>
            </w:r>
          </w:p>
        </w:tc>
        <w:tc>
          <w:tcPr>
            <w:tcW w:w="1331" w:type="dxa"/>
            <w:noWrap/>
            <w:hideMark/>
          </w:tcPr>
          <w:p w14:paraId="379542C1"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Domestic Hot Water</w:t>
            </w:r>
          </w:p>
        </w:tc>
        <w:tc>
          <w:tcPr>
            <w:tcW w:w="3510" w:type="dxa"/>
            <w:noWrap/>
            <w:hideMark/>
          </w:tcPr>
          <w:p w14:paraId="742EC1F9"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Heat Trap</w:t>
            </w:r>
          </w:p>
        </w:tc>
        <w:tc>
          <w:tcPr>
            <w:tcW w:w="3420" w:type="dxa"/>
            <w:noWrap/>
            <w:hideMark/>
          </w:tcPr>
          <w:p w14:paraId="40D461D2"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Existing Water Heater without heat trap</w:t>
            </w:r>
          </w:p>
        </w:tc>
      </w:tr>
      <w:tr w:rsidR="00301405" w:rsidRPr="00301405" w14:paraId="100FB841" w14:textId="77777777" w:rsidTr="00FC07E5">
        <w:tblPrEx>
          <w:tblLook w:val="04A0" w:firstRow="1" w:lastRow="0" w:firstColumn="1" w:lastColumn="0" w:noHBand="0" w:noVBand="1"/>
        </w:tblPrEx>
        <w:trPr>
          <w:trHeight w:val="300"/>
        </w:trPr>
        <w:tc>
          <w:tcPr>
            <w:tcW w:w="2359" w:type="dxa"/>
            <w:noWrap/>
            <w:hideMark/>
          </w:tcPr>
          <w:p w14:paraId="2038F0B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Hot Water Pipe Insulation</w:t>
            </w:r>
          </w:p>
        </w:tc>
        <w:tc>
          <w:tcPr>
            <w:tcW w:w="1331" w:type="dxa"/>
            <w:noWrap/>
            <w:hideMark/>
          </w:tcPr>
          <w:p w14:paraId="437751C1"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Domestic Hot Water</w:t>
            </w:r>
          </w:p>
        </w:tc>
        <w:tc>
          <w:tcPr>
            <w:tcW w:w="3510" w:type="dxa"/>
            <w:noWrap/>
            <w:hideMark/>
          </w:tcPr>
          <w:p w14:paraId="53883892"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 of Insulated Pipe in Unconditioned Spaces, Insulation of R-5</w:t>
            </w:r>
          </w:p>
        </w:tc>
        <w:tc>
          <w:tcPr>
            <w:tcW w:w="3420" w:type="dxa"/>
            <w:noWrap/>
            <w:hideMark/>
          </w:tcPr>
          <w:p w14:paraId="2BEF229D"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 of Pipe in Unconditioned Spaces with Code Minimum of 1"of Insulation</w:t>
            </w:r>
          </w:p>
        </w:tc>
      </w:tr>
      <w:tr w:rsidR="00301405" w:rsidRPr="00301405" w14:paraId="476D50A7" w14:textId="77777777" w:rsidTr="00FC07E5">
        <w:tblPrEx>
          <w:tblLook w:val="04A0" w:firstRow="1" w:lastRow="0" w:firstColumn="1" w:lastColumn="0" w:noHBand="0" w:noVBand="1"/>
        </w:tblPrEx>
        <w:trPr>
          <w:trHeight w:val="300"/>
        </w:trPr>
        <w:tc>
          <w:tcPr>
            <w:tcW w:w="2359" w:type="dxa"/>
            <w:noWrap/>
            <w:hideMark/>
          </w:tcPr>
          <w:p w14:paraId="461C5993" w14:textId="57B5B07A"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Instantaneous Hot Water System</w:t>
            </w:r>
            <w:r w:rsidR="00D12C73">
              <w:rPr>
                <w:rFonts w:ascii="Calibri" w:hAnsi="Calibri" w:cs="Calibri"/>
                <w:color w:val="000000"/>
                <w:sz w:val="18"/>
                <w:szCs w:val="22"/>
              </w:rPr>
              <w:t>*</w:t>
            </w:r>
          </w:p>
        </w:tc>
        <w:tc>
          <w:tcPr>
            <w:tcW w:w="1331" w:type="dxa"/>
            <w:noWrap/>
            <w:hideMark/>
          </w:tcPr>
          <w:p w14:paraId="48A52C93"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Domestic Hot Water</w:t>
            </w:r>
          </w:p>
        </w:tc>
        <w:tc>
          <w:tcPr>
            <w:tcW w:w="3510" w:type="dxa"/>
            <w:noWrap/>
            <w:hideMark/>
          </w:tcPr>
          <w:p w14:paraId="03ABEAE2"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Instantaneous Hot Water System</w:t>
            </w:r>
          </w:p>
        </w:tc>
        <w:tc>
          <w:tcPr>
            <w:tcW w:w="3420" w:type="dxa"/>
            <w:noWrap/>
            <w:hideMark/>
          </w:tcPr>
          <w:p w14:paraId="755E8DA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Efficiency Storage Tank Water Heater</w:t>
            </w:r>
          </w:p>
        </w:tc>
      </w:tr>
      <w:tr w:rsidR="00301405" w:rsidRPr="00301405" w14:paraId="21153CDE" w14:textId="77777777" w:rsidTr="00FC07E5">
        <w:tblPrEx>
          <w:tblLook w:val="04A0" w:firstRow="1" w:lastRow="0" w:firstColumn="1" w:lastColumn="0" w:noHBand="0" w:noVBand="1"/>
        </w:tblPrEx>
        <w:trPr>
          <w:trHeight w:val="300"/>
        </w:trPr>
        <w:tc>
          <w:tcPr>
            <w:tcW w:w="2359" w:type="dxa"/>
            <w:noWrap/>
            <w:hideMark/>
          </w:tcPr>
          <w:p w14:paraId="47BC02CA"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Low Flow Showerhead</w:t>
            </w:r>
          </w:p>
        </w:tc>
        <w:tc>
          <w:tcPr>
            <w:tcW w:w="1331" w:type="dxa"/>
            <w:noWrap/>
            <w:hideMark/>
          </w:tcPr>
          <w:p w14:paraId="12C3DD59"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Domestic Hot Water</w:t>
            </w:r>
          </w:p>
        </w:tc>
        <w:tc>
          <w:tcPr>
            <w:tcW w:w="3510" w:type="dxa"/>
            <w:noWrap/>
            <w:hideMark/>
          </w:tcPr>
          <w:p w14:paraId="7F0F4A43"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Low-Flow Handheld Showerhead, Flow Rate: 1.50 gpm</w:t>
            </w:r>
          </w:p>
        </w:tc>
        <w:tc>
          <w:tcPr>
            <w:tcW w:w="3420" w:type="dxa"/>
            <w:noWrap/>
            <w:hideMark/>
          </w:tcPr>
          <w:p w14:paraId="08A0EF9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Handheld Showerhead, Flow Rate: 2.50 gpm</w:t>
            </w:r>
          </w:p>
        </w:tc>
      </w:tr>
      <w:tr w:rsidR="00301405" w:rsidRPr="00301405" w14:paraId="2244D828" w14:textId="77777777" w:rsidTr="00FC07E5">
        <w:tblPrEx>
          <w:tblLook w:val="04A0" w:firstRow="1" w:lastRow="0" w:firstColumn="1" w:lastColumn="0" w:noHBand="0" w:noVBand="1"/>
        </w:tblPrEx>
        <w:trPr>
          <w:trHeight w:val="300"/>
        </w:trPr>
        <w:tc>
          <w:tcPr>
            <w:tcW w:w="2359" w:type="dxa"/>
            <w:noWrap/>
            <w:hideMark/>
          </w:tcPr>
          <w:p w14:paraId="46CCDA8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Solar Water Heater</w:t>
            </w:r>
          </w:p>
        </w:tc>
        <w:tc>
          <w:tcPr>
            <w:tcW w:w="1331" w:type="dxa"/>
            <w:noWrap/>
            <w:hideMark/>
          </w:tcPr>
          <w:p w14:paraId="3BE84AA1"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Domestic Hot Water</w:t>
            </w:r>
          </w:p>
        </w:tc>
        <w:tc>
          <w:tcPr>
            <w:tcW w:w="3510" w:type="dxa"/>
            <w:noWrap/>
            <w:hideMark/>
          </w:tcPr>
          <w:p w14:paraId="5983D74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Solar Powered 50 Gallon Electric Resistance Water Heater (EF = 1.84)</w:t>
            </w:r>
          </w:p>
        </w:tc>
        <w:tc>
          <w:tcPr>
            <w:tcW w:w="3420" w:type="dxa"/>
            <w:noWrap/>
            <w:hideMark/>
          </w:tcPr>
          <w:p w14:paraId="31E7BCDA"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50 Gallon Electric Resistance Water Heater</w:t>
            </w:r>
          </w:p>
        </w:tc>
      </w:tr>
      <w:tr w:rsidR="00301405" w:rsidRPr="00301405" w14:paraId="5BA4EA72" w14:textId="77777777" w:rsidTr="00FC07E5">
        <w:tblPrEx>
          <w:tblLook w:val="04A0" w:firstRow="1" w:lastRow="0" w:firstColumn="1" w:lastColumn="0" w:noHBand="0" w:noVBand="1"/>
        </w:tblPrEx>
        <w:trPr>
          <w:trHeight w:val="300"/>
        </w:trPr>
        <w:tc>
          <w:tcPr>
            <w:tcW w:w="2359" w:type="dxa"/>
            <w:noWrap/>
            <w:hideMark/>
          </w:tcPr>
          <w:p w14:paraId="46252BA8" w14:textId="647B710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Thermostatic Shower Restriction Valve</w:t>
            </w:r>
            <w:r w:rsidR="00D12C73">
              <w:rPr>
                <w:rFonts w:ascii="Calibri" w:hAnsi="Calibri" w:cs="Calibri"/>
                <w:color w:val="000000"/>
                <w:sz w:val="18"/>
                <w:szCs w:val="22"/>
              </w:rPr>
              <w:t>*</w:t>
            </w:r>
          </w:p>
        </w:tc>
        <w:tc>
          <w:tcPr>
            <w:tcW w:w="1331" w:type="dxa"/>
            <w:noWrap/>
            <w:hideMark/>
          </w:tcPr>
          <w:p w14:paraId="1B089D8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Domestic Hot Water</w:t>
            </w:r>
          </w:p>
        </w:tc>
        <w:tc>
          <w:tcPr>
            <w:tcW w:w="3510" w:type="dxa"/>
            <w:noWrap/>
            <w:hideMark/>
          </w:tcPr>
          <w:p w14:paraId="34911C0A"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Hot Water Loop with 50 Gallon Electric Resistance Heater and Pressure Balance Shower Valves</w:t>
            </w:r>
          </w:p>
        </w:tc>
        <w:tc>
          <w:tcPr>
            <w:tcW w:w="3420" w:type="dxa"/>
            <w:noWrap/>
            <w:hideMark/>
          </w:tcPr>
          <w:p w14:paraId="3DED821A"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Hot Water Loop with 50 Gallon Electric Resistance Heater and Standard Shower Valves</w:t>
            </w:r>
          </w:p>
        </w:tc>
      </w:tr>
      <w:tr w:rsidR="00301405" w:rsidRPr="00301405" w14:paraId="55AE9A1C" w14:textId="77777777" w:rsidTr="00FC07E5">
        <w:tblPrEx>
          <w:tblLook w:val="04A0" w:firstRow="1" w:lastRow="0" w:firstColumn="1" w:lastColumn="0" w:noHBand="0" w:noVBand="1"/>
        </w:tblPrEx>
        <w:trPr>
          <w:trHeight w:val="300"/>
        </w:trPr>
        <w:tc>
          <w:tcPr>
            <w:tcW w:w="2359" w:type="dxa"/>
            <w:noWrap/>
            <w:hideMark/>
          </w:tcPr>
          <w:p w14:paraId="60C310C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Water Heater Blanket</w:t>
            </w:r>
          </w:p>
        </w:tc>
        <w:tc>
          <w:tcPr>
            <w:tcW w:w="1331" w:type="dxa"/>
            <w:noWrap/>
            <w:hideMark/>
          </w:tcPr>
          <w:p w14:paraId="366845D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Domestic Hot Water</w:t>
            </w:r>
          </w:p>
        </w:tc>
        <w:tc>
          <w:tcPr>
            <w:tcW w:w="3510" w:type="dxa"/>
            <w:noWrap/>
            <w:hideMark/>
          </w:tcPr>
          <w:p w14:paraId="594C19E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50 Gallon Electric Resistance Water Heater with Insulated Tank Wrap (R-11)</w:t>
            </w:r>
          </w:p>
        </w:tc>
        <w:tc>
          <w:tcPr>
            <w:tcW w:w="3420" w:type="dxa"/>
            <w:noWrap/>
            <w:hideMark/>
          </w:tcPr>
          <w:p w14:paraId="57899F3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Market Average 50 Gallon Electric Resistance Water Heater, No Tank Wrap</w:t>
            </w:r>
          </w:p>
        </w:tc>
      </w:tr>
      <w:tr w:rsidR="00301405" w:rsidRPr="00301405" w14:paraId="6C8EFD8F" w14:textId="77777777" w:rsidTr="00FC07E5">
        <w:tblPrEx>
          <w:tblLook w:val="04A0" w:firstRow="1" w:lastRow="0" w:firstColumn="1" w:lastColumn="0" w:noHBand="0" w:noVBand="1"/>
        </w:tblPrEx>
        <w:trPr>
          <w:trHeight w:val="300"/>
        </w:trPr>
        <w:tc>
          <w:tcPr>
            <w:tcW w:w="2359" w:type="dxa"/>
            <w:noWrap/>
            <w:hideMark/>
          </w:tcPr>
          <w:p w14:paraId="265B11CB"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Water Heater Thermostat Setback</w:t>
            </w:r>
          </w:p>
        </w:tc>
        <w:tc>
          <w:tcPr>
            <w:tcW w:w="1331" w:type="dxa"/>
            <w:noWrap/>
            <w:hideMark/>
          </w:tcPr>
          <w:p w14:paraId="0EC6689F"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Domestic Hot Water</w:t>
            </w:r>
          </w:p>
        </w:tc>
        <w:tc>
          <w:tcPr>
            <w:tcW w:w="3510" w:type="dxa"/>
            <w:noWrap/>
            <w:hideMark/>
          </w:tcPr>
          <w:p w14:paraId="6CA8675D" w14:textId="77A06BF9"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50 Gallon Electric Resistance Water Heater with Temperature Set</w:t>
            </w:r>
            <w:r w:rsidR="00B30110">
              <w:rPr>
                <w:rFonts w:ascii="Calibri" w:hAnsi="Calibri" w:cs="Calibri"/>
                <w:color w:val="000000"/>
                <w:sz w:val="18"/>
                <w:szCs w:val="22"/>
              </w:rPr>
              <w:t>-</w:t>
            </w:r>
            <w:r w:rsidRPr="00301405">
              <w:rPr>
                <w:rFonts w:ascii="Calibri" w:hAnsi="Calibri" w:cs="Calibri"/>
                <w:color w:val="000000"/>
                <w:sz w:val="18"/>
                <w:szCs w:val="22"/>
              </w:rPr>
              <w:t>point of 125°F</w:t>
            </w:r>
          </w:p>
        </w:tc>
        <w:tc>
          <w:tcPr>
            <w:tcW w:w="3420" w:type="dxa"/>
            <w:noWrap/>
            <w:hideMark/>
          </w:tcPr>
          <w:p w14:paraId="13923F31" w14:textId="32090840"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Market Average 50 Gallon Electric Resistance Water Heater, Temp. Set</w:t>
            </w:r>
            <w:r w:rsidR="00454284">
              <w:rPr>
                <w:rFonts w:ascii="Calibri" w:hAnsi="Calibri" w:cs="Calibri"/>
                <w:color w:val="000000"/>
                <w:sz w:val="18"/>
                <w:szCs w:val="22"/>
              </w:rPr>
              <w:t>-</w:t>
            </w:r>
            <w:r w:rsidRPr="00301405">
              <w:rPr>
                <w:rFonts w:ascii="Calibri" w:hAnsi="Calibri" w:cs="Calibri"/>
                <w:color w:val="000000"/>
                <w:sz w:val="18"/>
                <w:szCs w:val="22"/>
              </w:rPr>
              <w:t>point = 130°F</w:t>
            </w:r>
          </w:p>
        </w:tc>
      </w:tr>
      <w:tr w:rsidR="00301405" w:rsidRPr="00301405" w14:paraId="0802A222" w14:textId="77777777" w:rsidTr="00FC07E5">
        <w:tblPrEx>
          <w:tblLook w:val="04A0" w:firstRow="1" w:lastRow="0" w:firstColumn="1" w:lastColumn="0" w:noHBand="0" w:noVBand="1"/>
        </w:tblPrEx>
        <w:trPr>
          <w:trHeight w:val="300"/>
        </w:trPr>
        <w:tc>
          <w:tcPr>
            <w:tcW w:w="2359" w:type="dxa"/>
            <w:noWrap/>
            <w:hideMark/>
          </w:tcPr>
          <w:p w14:paraId="44A25115"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Water Heater Timeclock</w:t>
            </w:r>
          </w:p>
        </w:tc>
        <w:tc>
          <w:tcPr>
            <w:tcW w:w="1331" w:type="dxa"/>
            <w:noWrap/>
            <w:hideMark/>
          </w:tcPr>
          <w:p w14:paraId="220D6F7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Domestic Hot Water</w:t>
            </w:r>
          </w:p>
        </w:tc>
        <w:tc>
          <w:tcPr>
            <w:tcW w:w="3510" w:type="dxa"/>
            <w:noWrap/>
            <w:hideMark/>
          </w:tcPr>
          <w:p w14:paraId="787A041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Water Heater Timeclock</w:t>
            </w:r>
          </w:p>
        </w:tc>
        <w:tc>
          <w:tcPr>
            <w:tcW w:w="3420" w:type="dxa"/>
            <w:noWrap/>
            <w:hideMark/>
          </w:tcPr>
          <w:p w14:paraId="7BFBDAB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Existing Water Heater without time clock</w:t>
            </w:r>
          </w:p>
        </w:tc>
      </w:tr>
      <w:tr w:rsidR="00301405" w:rsidRPr="00301405" w14:paraId="07443E16" w14:textId="77777777" w:rsidTr="00FC07E5">
        <w:tblPrEx>
          <w:tblLook w:val="04A0" w:firstRow="1" w:lastRow="0" w:firstColumn="1" w:lastColumn="0" w:noHBand="0" w:noVBand="1"/>
        </w:tblPrEx>
        <w:trPr>
          <w:trHeight w:val="300"/>
        </w:trPr>
        <w:tc>
          <w:tcPr>
            <w:tcW w:w="2359" w:type="dxa"/>
            <w:noWrap/>
            <w:hideMark/>
          </w:tcPr>
          <w:p w14:paraId="6812AB5F" w14:textId="2DA1A3BC"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Air Purifier</w:t>
            </w:r>
            <w:r w:rsidR="00D12C73">
              <w:rPr>
                <w:rFonts w:ascii="Calibri" w:hAnsi="Calibri" w:cs="Calibri"/>
                <w:color w:val="000000"/>
                <w:sz w:val="18"/>
                <w:szCs w:val="22"/>
              </w:rPr>
              <w:t>*</w:t>
            </w:r>
          </w:p>
        </w:tc>
        <w:tc>
          <w:tcPr>
            <w:tcW w:w="1331" w:type="dxa"/>
            <w:noWrap/>
            <w:hideMark/>
          </w:tcPr>
          <w:p w14:paraId="2F453E1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Electronics</w:t>
            </w:r>
          </w:p>
        </w:tc>
        <w:tc>
          <w:tcPr>
            <w:tcW w:w="3510" w:type="dxa"/>
            <w:noWrap/>
            <w:hideMark/>
          </w:tcPr>
          <w:p w14:paraId="0E6CE03D"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120 CFM Air Purifier meeting current ENERGY STAR®  Standards</w:t>
            </w:r>
          </w:p>
        </w:tc>
        <w:tc>
          <w:tcPr>
            <w:tcW w:w="3420" w:type="dxa"/>
            <w:noWrap/>
            <w:hideMark/>
          </w:tcPr>
          <w:p w14:paraId="01E347C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Standard Air Purifier</w:t>
            </w:r>
          </w:p>
        </w:tc>
      </w:tr>
      <w:tr w:rsidR="00301405" w:rsidRPr="00301405" w14:paraId="1D1484E4" w14:textId="77777777" w:rsidTr="00FC07E5">
        <w:tblPrEx>
          <w:tblLook w:val="04A0" w:firstRow="1" w:lastRow="0" w:firstColumn="1" w:lastColumn="0" w:noHBand="0" w:noVBand="1"/>
        </w:tblPrEx>
        <w:trPr>
          <w:trHeight w:val="300"/>
        </w:trPr>
        <w:tc>
          <w:tcPr>
            <w:tcW w:w="2359" w:type="dxa"/>
            <w:noWrap/>
            <w:hideMark/>
          </w:tcPr>
          <w:p w14:paraId="600E8159"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Audio-Video Equipment</w:t>
            </w:r>
          </w:p>
        </w:tc>
        <w:tc>
          <w:tcPr>
            <w:tcW w:w="1331" w:type="dxa"/>
            <w:noWrap/>
            <w:hideMark/>
          </w:tcPr>
          <w:p w14:paraId="27851C6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Electronics</w:t>
            </w:r>
          </w:p>
        </w:tc>
        <w:tc>
          <w:tcPr>
            <w:tcW w:w="3510" w:type="dxa"/>
            <w:noWrap/>
            <w:hideMark/>
          </w:tcPr>
          <w:p w14:paraId="389E4C6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DVD/Blu-Ray Player meeting current ENERGY STAR® Standards</w:t>
            </w:r>
          </w:p>
        </w:tc>
        <w:tc>
          <w:tcPr>
            <w:tcW w:w="3420" w:type="dxa"/>
            <w:noWrap/>
            <w:hideMark/>
          </w:tcPr>
          <w:p w14:paraId="2BE5770A"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Market Average DVD/Blu-Ray Player</w:t>
            </w:r>
          </w:p>
        </w:tc>
      </w:tr>
      <w:tr w:rsidR="00301405" w:rsidRPr="00301405" w14:paraId="3699E87C" w14:textId="77777777" w:rsidTr="00FC07E5">
        <w:tblPrEx>
          <w:tblLook w:val="04A0" w:firstRow="1" w:lastRow="0" w:firstColumn="1" w:lastColumn="0" w:noHBand="0" w:noVBand="1"/>
        </w:tblPrEx>
        <w:trPr>
          <w:trHeight w:val="300"/>
        </w:trPr>
        <w:tc>
          <w:tcPr>
            <w:tcW w:w="2359" w:type="dxa"/>
            <w:noWrap/>
            <w:hideMark/>
          </w:tcPr>
          <w:p w14:paraId="373AD288" w14:textId="2D131E6B"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Imaging Equipment</w:t>
            </w:r>
            <w:r w:rsidR="00D12C73">
              <w:rPr>
                <w:rFonts w:ascii="Calibri" w:hAnsi="Calibri" w:cs="Calibri"/>
                <w:color w:val="000000"/>
                <w:sz w:val="18"/>
                <w:szCs w:val="22"/>
              </w:rPr>
              <w:t>*</w:t>
            </w:r>
          </w:p>
        </w:tc>
        <w:tc>
          <w:tcPr>
            <w:tcW w:w="1331" w:type="dxa"/>
            <w:noWrap/>
            <w:hideMark/>
          </w:tcPr>
          <w:p w14:paraId="66AB6B9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Electronics</w:t>
            </w:r>
          </w:p>
        </w:tc>
        <w:tc>
          <w:tcPr>
            <w:tcW w:w="3510" w:type="dxa"/>
            <w:noWrap/>
            <w:hideMark/>
          </w:tcPr>
          <w:p w14:paraId="594C7FC9"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imaging device meeting current ENERGY STAR® Standards</w:t>
            </w:r>
          </w:p>
        </w:tc>
        <w:tc>
          <w:tcPr>
            <w:tcW w:w="3420" w:type="dxa"/>
            <w:noWrap/>
            <w:hideMark/>
          </w:tcPr>
          <w:p w14:paraId="66CF37BB"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non-ENERGY STAR® imaging device</w:t>
            </w:r>
          </w:p>
        </w:tc>
      </w:tr>
      <w:tr w:rsidR="00301405" w:rsidRPr="00301405" w14:paraId="2022BA31" w14:textId="77777777" w:rsidTr="00FC07E5">
        <w:tblPrEx>
          <w:tblLook w:val="04A0" w:firstRow="1" w:lastRow="0" w:firstColumn="1" w:lastColumn="0" w:noHBand="0" w:noVBand="1"/>
        </w:tblPrEx>
        <w:trPr>
          <w:trHeight w:val="300"/>
        </w:trPr>
        <w:tc>
          <w:tcPr>
            <w:tcW w:w="2359" w:type="dxa"/>
            <w:noWrap/>
            <w:hideMark/>
          </w:tcPr>
          <w:p w14:paraId="4978B7EF"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Personal Computer</w:t>
            </w:r>
          </w:p>
        </w:tc>
        <w:tc>
          <w:tcPr>
            <w:tcW w:w="1331" w:type="dxa"/>
            <w:noWrap/>
            <w:hideMark/>
          </w:tcPr>
          <w:p w14:paraId="3735325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Electronics</w:t>
            </w:r>
          </w:p>
        </w:tc>
        <w:tc>
          <w:tcPr>
            <w:tcW w:w="3510" w:type="dxa"/>
            <w:noWrap/>
            <w:hideMark/>
          </w:tcPr>
          <w:p w14:paraId="0ED8869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Personal Computer (desktop or laptop) meeting current ENERGY STAR® Standards</w:t>
            </w:r>
          </w:p>
        </w:tc>
        <w:tc>
          <w:tcPr>
            <w:tcW w:w="3420" w:type="dxa"/>
            <w:noWrap/>
            <w:hideMark/>
          </w:tcPr>
          <w:p w14:paraId="23AF88E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non-ENERGY STAR® Personal Computer</w:t>
            </w:r>
          </w:p>
        </w:tc>
      </w:tr>
      <w:tr w:rsidR="00301405" w:rsidRPr="00301405" w14:paraId="2FF30210" w14:textId="77777777" w:rsidTr="00FC07E5">
        <w:tblPrEx>
          <w:tblLook w:val="04A0" w:firstRow="1" w:lastRow="0" w:firstColumn="1" w:lastColumn="0" w:noHBand="0" w:noVBand="1"/>
        </w:tblPrEx>
        <w:trPr>
          <w:trHeight w:val="300"/>
        </w:trPr>
        <w:tc>
          <w:tcPr>
            <w:tcW w:w="2359" w:type="dxa"/>
            <w:noWrap/>
            <w:hideMark/>
          </w:tcPr>
          <w:p w14:paraId="6F4DA1D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TV</w:t>
            </w:r>
          </w:p>
        </w:tc>
        <w:tc>
          <w:tcPr>
            <w:tcW w:w="1331" w:type="dxa"/>
            <w:noWrap/>
            <w:hideMark/>
          </w:tcPr>
          <w:p w14:paraId="1046D69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Electronics</w:t>
            </w:r>
          </w:p>
        </w:tc>
        <w:tc>
          <w:tcPr>
            <w:tcW w:w="3510" w:type="dxa"/>
            <w:noWrap/>
            <w:hideMark/>
          </w:tcPr>
          <w:p w14:paraId="08A2B00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Television meeting current ENERGY STAR® Standards</w:t>
            </w:r>
          </w:p>
        </w:tc>
        <w:tc>
          <w:tcPr>
            <w:tcW w:w="3420" w:type="dxa"/>
            <w:noWrap/>
            <w:hideMark/>
          </w:tcPr>
          <w:p w14:paraId="6447C239"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non-ENERGY STAR® Television</w:t>
            </w:r>
          </w:p>
        </w:tc>
      </w:tr>
      <w:tr w:rsidR="00301405" w:rsidRPr="00301405" w14:paraId="7922AE44" w14:textId="77777777" w:rsidTr="00FC07E5">
        <w:tblPrEx>
          <w:tblLook w:val="04A0" w:firstRow="1" w:lastRow="0" w:firstColumn="1" w:lastColumn="0" w:noHBand="0" w:noVBand="1"/>
        </w:tblPrEx>
        <w:trPr>
          <w:trHeight w:val="300"/>
        </w:trPr>
        <w:tc>
          <w:tcPr>
            <w:tcW w:w="2359" w:type="dxa"/>
            <w:noWrap/>
            <w:hideMark/>
          </w:tcPr>
          <w:p w14:paraId="18A2F53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Smart Power Strip</w:t>
            </w:r>
          </w:p>
        </w:tc>
        <w:tc>
          <w:tcPr>
            <w:tcW w:w="1331" w:type="dxa"/>
            <w:noWrap/>
            <w:hideMark/>
          </w:tcPr>
          <w:p w14:paraId="3EA6B4F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Electronics</w:t>
            </w:r>
          </w:p>
        </w:tc>
        <w:tc>
          <w:tcPr>
            <w:tcW w:w="3510" w:type="dxa"/>
            <w:noWrap/>
            <w:hideMark/>
          </w:tcPr>
          <w:p w14:paraId="1C797473"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Smart plug strips for entertainment centers and home office</w:t>
            </w:r>
          </w:p>
        </w:tc>
        <w:tc>
          <w:tcPr>
            <w:tcW w:w="3420" w:type="dxa"/>
            <w:noWrap/>
            <w:hideMark/>
          </w:tcPr>
          <w:p w14:paraId="7A7517E5"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entertainment center or home office usage, no smart strip controls</w:t>
            </w:r>
          </w:p>
        </w:tc>
      </w:tr>
      <w:tr w:rsidR="00301405" w:rsidRPr="00301405" w14:paraId="5FFE9372" w14:textId="77777777" w:rsidTr="00FC07E5">
        <w:tblPrEx>
          <w:tblLook w:val="04A0" w:firstRow="1" w:lastRow="0" w:firstColumn="1" w:lastColumn="0" w:noHBand="0" w:noVBand="1"/>
        </w:tblPrEx>
        <w:trPr>
          <w:trHeight w:val="300"/>
        </w:trPr>
        <w:tc>
          <w:tcPr>
            <w:tcW w:w="2359" w:type="dxa"/>
            <w:noWrap/>
            <w:hideMark/>
          </w:tcPr>
          <w:p w14:paraId="42844D21"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CFL - 15W Flood</w:t>
            </w:r>
          </w:p>
        </w:tc>
        <w:tc>
          <w:tcPr>
            <w:tcW w:w="1331" w:type="dxa"/>
            <w:noWrap/>
            <w:hideMark/>
          </w:tcPr>
          <w:p w14:paraId="688FD08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Lighting</w:t>
            </w:r>
          </w:p>
        </w:tc>
        <w:tc>
          <w:tcPr>
            <w:tcW w:w="3510" w:type="dxa"/>
            <w:noWrap/>
            <w:hideMark/>
          </w:tcPr>
          <w:p w14:paraId="703F3683"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CFL (assume 15W) replacing EISA-2020 compliant baseline lamp (65w flood)</w:t>
            </w:r>
          </w:p>
        </w:tc>
        <w:tc>
          <w:tcPr>
            <w:tcW w:w="3420" w:type="dxa"/>
            <w:noWrap/>
            <w:hideMark/>
          </w:tcPr>
          <w:p w14:paraId="441B2245"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EISA-2020 compliant baseline lamp (65W flood)</w:t>
            </w:r>
          </w:p>
        </w:tc>
      </w:tr>
      <w:tr w:rsidR="00301405" w:rsidRPr="00301405" w14:paraId="393EB91F" w14:textId="77777777" w:rsidTr="00FC07E5">
        <w:tblPrEx>
          <w:tblLook w:val="04A0" w:firstRow="1" w:lastRow="0" w:firstColumn="1" w:lastColumn="0" w:noHBand="0" w:noVBand="1"/>
        </w:tblPrEx>
        <w:trPr>
          <w:trHeight w:val="300"/>
        </w:trPr>
        <w:tc>
          <w:tcPr>
            <w:tcW w:w="2359" w:type="dxa"/>
            <w:noWrap/>
            <w:hideMark/>
          </w:tcPr>
          <w:p w14:paraId="446B693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CFL - 15W Flood (Exterior)</w:t>
            </w:r>
          </w:p>
        </w:tc>
        <w:tc>
          <w:tcPr>
            <w:tcW w:w="1331" w:type="dxa"/>
            <w:noWrap/>
            <w:hideMark/>
          </w:tcPr>
          <w:p w14:paraId="67B00C9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Lighting</w:t>
            </w:r>
          </w:p>
        </w:tc>
        <w:tc>
          <w:tcPr>
            <w:tcW w:w="3510" w:type="dxa"/>
            <w:noWrap/>
            <w:hideMark/>
          </w:tcPr>
          <w:p w14:paraId="67DEE93F"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CFL (assume 15W) replacing EISA-2020 compliant baseline lamp (65w flood)</w:t>
            </w:r>
          </w:p>
        </w:tc>
        <w:tc>
          <w:tcPr>
            <w:tcW w:w="3420" w:type="dxa"/>
            <w:noWrap/>
            <w:hideMark/>
          </w:tcPr>
          <w:p w14:paraId="6DA6F62B"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EISA-2020 compliant baseline lamp (65W flood)</w:t>
            </w:r>
          </w:p>
        </w:tc>
      </w:tr>
      <w:tr w:rsidR="00301405" w:rsidRPr="00301405" w14:paraId="20821EB2" w14:textId="77777777" w:rsidTr="00FC07E5">
        <w:tblPrEx>
          <w:tblLook w:val="04A0" w:firstRow="1" w:lastRow="0" w:firstColumn="1" w:lastColumn="0" w:noHBand="0" w:noVBand="1"/>
        </w:tblPrEx>
        <w:trPr>
          <w:trHeight w:val="300"/>
        </w:trPr>
        <w:tc>
          <w:tcPr>
            <w:tcW w:w="2359" w:type="dxa"/>
            <w:noWrap/>
            <w:hideMark/>
          </w:tcPr>
          <w:p w14:paraId="3650AA83"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CFL-13W</w:t>
            </w:r>
          </w:p>
        </w:tc>
        <w:tc>
          <w:tcPr>
            <w:tcW w:w="1331" w:type="dxa"/>
            <w:noWrap/>
            <w:hideMark/>
          </w:tcPr>
          <w:p w14:paraId="4FAA2BA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Lighting</w:t>
            </w:r>
          </w:p>
        </w:tc>
        <w:tc>
          <w:tcPr>
            <w:tcW w:w="3510" w:type="dxa"/>
            <w:noWrap/>
            <w:hideMark/>
          </w:tcPr>
          <w:p w14:paraId="4E5A354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CFL (assume 13W) replacing EISA-2020 compliant baseline lamp (60w equivalent)</w:t>
            </w:r>
          </w:p>
        </w:tc>
        <w:tc>
          <w:tcPr>
            <w:tcW w:w="3420" w:type="dxa"/>
            <w:noWrap/>
            <w:hideMark/>
          </w:tcPr>
          <w:p w14:paraId="75BAF62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EISA-2020 compliant baseline lamp (60W equivalent)</w:t>
            </w:r>
          </w:p>
        </w:tc>
      </w:tr>
      <w:tr w:rsidR="00301405" w:rsidRPr="00301405" w14:paraId="51CE4FE3" w14:textId="77777777" w:rsidTr="00FC07E5">
        <w:tblPrEx>
          <w:tblLook w:val="04A0" w:firstRow="1" w:lastRow="0" w:firstColumn="1" w:lastColumn="0" w:noHBand="0" w:noVBand="1"/>
        </w:tblPrEx>
        <w:trPr>
          <w:trHeight w:val="300"/>
        </w:trPr>
        <w:tc>
          <w:tcPr>
            <w:tcW w:w="2359" w:type="dxa"/>
            <w:noWrap/>
            <w:hideMark/>
          </w:tcPr>
          <w:p w14:paraId="3AE0552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CFL-23W</w:t>
            </w:r>
          </w:p>
        </w:tc>
        <w:tc>
          <w:tcPr>
            <w:tcW w:w="1331" w:type="dxa"/>
            <w:noWrap/>
            <w:hideMark/>
          </w:tcPr>
          <w:p w14:paraId="4B2E8AE2"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Lighting</w:t>
            </w:r>
          </w:p>
        </w:tc>
        <w:tc>
          <w:tcPr>
            <w:tcW w:w="3510" w:type="dxa"/>
            <w:noWrap/>
            <w:hideMark/>
          </w:tcPr>
          <w:p w14:paraId="5392ED45"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CFL (assume 23W) replacing EISA-2020 compliant baseline lamp (100w equivalent)</w:t>
            </w:r>
          </w:p>
        </w:tc>
        <w:tc>
          <w:tcPr>
            <w:tcW w:w="3420" w:type="dxa"/>
            <w:noWrap/>
            <w:hideMark/>
          </w:tcPr>
          <w:p w14:paraId="46A562DB"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EISA-2020 compliant baseline lamp (100W equivalent)</w:t>
            </w:r>
          </w:p>
        </w:tc>
      </w:tr>
      <w:tr w:rsidR="00301405" w:rsidRPr="00301405" w14:paraId="2BD2FD19" w14:textId="77777777" w:rsidTr="00FC07E5">
        <w:tblPrEx>
          <w:tblLook w:val="04A0" w:firstRow="1" w:lastRow="0" w:firstColumn="1" w:lastColumn="0" w:noHBand="0" w:noVBand="1"/>
        </w:tblPrEx>
        <w:trPr>
          <w:trHeight w:val="300"/>
        </w:trPr>
        <w:tc>
          <w:tcPr>
            <w:tcW w:w="2359" w:type="dxa"/>
            <w:noWrap/>
            <w:hideMark/>
          </w:tcPr>
          <w:p w14:paraId="72DB999E" w14:textId="78F6D3D0"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Exterior Lighting Controls</w:t>
            </w:r>
            <w:r w:rsidR="00D12C73">
              <w:rPr>
                <w:rFonts w:ascii="Calibri" w:hAnsi="Calibri" w:cs="Calibri"/>
                <w:color w:val="000000"/>
                <w:sz w:val="18"/>
                <w:szCs w:val="22"/>
              </w:rPr>
              <w:t>*</w:t>
            </w:r>
          </w:p>
        </w:tc>
        <w:tc>
          <w:tcPr>
            <w:tcW w:w="1331" w:type="dxa"/>
            <w:noWrap/>
            <w:hideMark/>
          </w:tcPr>
          <w:p w14:paraId="6DA140A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Lighting</w:t>
            </w:r>
          </w:p>
        </w:tc>
        <w:tc>
          <w:tcPr>
            <w:tcW w:w="3510" w:type="dxa"/>
            <w:noWrap/>
            <w:hideMark/>
          </w:tcPr>
          <w:p w14:paraId="5E3A230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Timer on Outdoor Lighting, Controlling 120 Watts</w:t>
            </w:r>
          </w:p>
        </w:tc>
        <w:tc>
          <w:tcPr>
            <w:tcW w:w="3420" w:type="dxa"/>
            <w:noWrap/>
            <w:hideMark/>
          </w:tcPr>
          <w:p w14:paraId="775FA893"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120 Watts of Lighting, Manually Controlled</w:t>
            </w:r>
          </w:p>
        </w:tc>
      </w:tr>
      <w:tr w:rsidR="00301405" w:rsidRPr="00301405" w14:paraId="0AE6AD9D" w14:textId="77777777" w:rsidTr="00FC07E5">
        <w:tblPrEx>
          <w:tblLook w:val="04A0" w:firstRow="1" w:lastRow="0" w:firstColumn="1" w:lastColumn="0" w:noHBand="0" w:noVBand="1"/>
        </w:tblPrEx>
        <w:trPr>
          <w:trHeight w:val="300"/>
        </w:trPr>
        <w:tc>
          <w:tcPr>
            <w:tcW w:w="2359" w:type="dxa"/>
            <w:noWrap/>
            <w:hideMark/>
          </w:tcPr>
          <w:p w14:paraId="58447EEC" w14:textId="3028BBD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Interior Lighting Controls</w:t>
            </w:r>
            <w:r w:rsidR="00D12C73">
              <w:rPr>
                <w:rFonts w:ascii="Calibri" w:hAnsi="Calibri" w:cs="Calibri"/>
                <w:color w:val="000000"/>
                <w:sz w:val="18"/>
                <w:szCs w:val="22"/>
              </w:rPr>
              <w:t>*</w:t>
            </w:r>
          </w:p>
        </w:tc>
        <w:tc>
          <w:tcPr>
            <w:tcW w:w="1331" w:type="dxa"/>
            <w:noWrap/>
            <w:hideMark/>
          </w:tcPr>
          <w:p w14:paraId="56C6119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Lighting</w:t>
            </w:r>
          </w:p>
        </w:tc>
        <w:tc>
          <w:tcPr>
            <w:tcW w:w="3510" w:type="dxa"/>
            <w:noWrap/>
            <w:hideMark/>
          </w:tcPr>
          <w:p w14:paraId="079D3F8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Switch Mounted Occupancy Sensor, 120 Watts Controlled</w:t>
            </w:r>
          </w:p>
        </w:tc>
        <w:tc>
          <w:tcPr>
            <w:tcW w:w="3420" w:type="dxa"/>
            <w:noWrap/>
            <w:hideMark/>
          </w:tcPr>
          <w:p w14:paraId="369B9D1A"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120 Watts of Lighting, Manually Controlled</w:t>
            </w:r>
          </w:p>
        </w:tc>
      </w:tr>
      <w:tr w:rsidR="00301405" w:rsidRPr="00301405" w14:paraId="6C81F1E4" w14:textId="77777777" w:rsidTr="00FC07E5">
        <w:tblPrEx>
          <w:tblLook w:val="04A0" w:firstRow="1" w:lastRow="0" w:firstColumn="1" w:lastColumn="0" w:noHBand="0" w:noVBand="1"/>
        </w:tblPrEx>
        <w:trPr>
          <w:trHeight w:val="600"/>
        </w:trPr>
        <w:tc>
          <w:tcPr>
            <w:tcW w:w="2359" w:type="dxa"/>
            <w:noWrap/>
            <w:hideMark/>
          </w:tcPr>
          <w:p w14:paraId="4E9F183B"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LED - 14W</w:t>
            </w:r>
          </w:p>
        </w:tc>
        <w:tc>
          <w:tcPr>
            <w:tcW w:w="1331" w:type="dxa"/>
            <w:noWrap/>
            <w:hideMark/>
          </w:tcPr>
          <w:p w14:paraId="4871721D"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Lighting</w:t>
            </w:r>
          </w:p>
        </w:tc>
        <w:tc>
          <w:tcPr>
            <w:tcW w:w="3510" w:type="dxa"/>
            <w:noWrap/>
            <w:hideMark/>
          </w:tcPr>
          <w:p w14:paraId="4333A4D7" w14:textId="1E028091"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w:t>
            </w:r>
            <w:r w:rsidR="00CF5196">
              <w:rPr>
                <w:rFonts w:ascii="Calibri" w:hAnsi="Calibri" w:cs="Calibri"/>
                <w:color w:val="000000"/>
                <w:sz w:val="18"/>
                <w:szCs w:val="22"/>
              </w:rPr>
              <w:t>ED</w:t>
            </w:r>
            <w:r w:rsidRPr="00301405">
              <w:rPr>
                <w:rFonts w:ascii="Calibri" w:hAnsi="Calibri" w:cs="Calibri"/>
                <w:color w:val="000000"/>
                <w:sz w:val="18"/>
                <w:szCs w:val="22"/>
              </w:rPr>
              <w:t xml:space="preserve"> (assume 14W) replacing EISA-2020 compliant baseline lamp (100w equivalent)</w:t>
            </w:r>
          </w:p>
        </w:tc>
        <w:tc>
          <w:tcPr>
            <w:tcW w:w="3420" w:type="dxa"/>
            <w:noWrap/>
            <w:hideMark/>
          </w:tcPr>
          <w:p w14:paraId="2F47B1EF"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EISA-2020 compliant baseline lamp (100W equivalent)</w:t>
            </w:r>
          </w:p>
        </w:tc>
      </w:tr>
      <w:tr w:rsidR="00301405" w:rsidRPr="00301405" w14:paraId="7FA545CA" w14:textId="77777777" w:rsidTr="00FC07E5">
        <w:tblPrEx>
          <w:tblLook w:val="04A0" w:firstRow="1" w:lastRow="0" w:firstColumn="1" w:lastColumn="0" w:noHBand="0" w:noVBand="1"/>
        </w:tblPrEx>
        <w:trPr>
          <w:trHeight w:val="300"/>
        </w:trPr>
        <w:tc>
          <w:tcPr>
            <w:tcW w:w="2359" w:type="dxa"/>
            <w:noWrap/>
            <w:hideMark/>
          </w:tcPr>
          <w:p w14:paraId="5029B063"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LED - 9W</w:t>
            </w:r>
          </w:p>
        </w:tc>
        <w:tc>
          <w:tcPr>
            <w:tcW w:w="1331" w:type="dxa"/>
            <w:noWrap/>
            <w:hideMark/>
          </w:tcPr>
          <w:p w14:paraId="6A60A9D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Lighting</w:t>
            </w:r>
          </w:p>
        </w:tc>
        <w:tc>
          <w:tcPr>
            <w:tcW w:w="3510" w:type="dxa"/>
            <w:noWrap/>
            <w:hideMark/>
          </w:tcPr>
          <w:p w14:paraId="1960A22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LED (assume 9W) replacing EISA-2020 compliant baseline lamp (60w equivalent)</w:t>
            </w:r>
          </w:p>
        </w:tc>
        <w:tc>
          <w:tcPr>
            <w:tcW w:w="3420" w:type="dxa"/>
            <w:noWrap/>
            <w:hideMark/>
          </w:tcPr>
          <w:p w14:paraId="2B3A88F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EISA-2020 compliant baseline lamp (60W equivalent)</w:t>
            </w:r>
          </w:p>
        </w:tc>
      </w:tr>
      <w:tr w:rsidR="00301405" w:rsidRPr="00301405" w14:paraId="23A22664" w14:textId="77777777" w:rsidTr="00FC07E5">
        <w:tblPrEx>
          <w:tblLook w:val="04A0" w:firstRow="1" w:lastRow="0" w:firstColumn="1" w:lastColumn="0" w:noHBand="0" w:noVBand="1"/>
        </w:tblPrEx>
        <w:trPr>
          <w:trHeight w:val="300"/>
        </w:trPr>
        <w:tc>
          <w:tcPr>
            <w:tcW w:w="2359" w:type="dxa"/>
            <w:noWrap/>
            <w:hideMark/>
          </w:tcPr>
          <w:p w14:paraId="0273635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LED - 9W Flood</w:t>
            </w:r>
          </w:p>
        </w:tc>
        <w:tc>
          <w:tcPr>
            <w:tcW w:w="1331" w:type="dxa"/>
            <w:noWrap/>
            <w:hideMark/>
          </w:tcPr>
          <w:p w14:paraId="1FB63441"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Lighting</w:t>
            </w:r>
          </w:p>
        </w:tc>
        <w:tc>
          <w:tcPr>
            <w:tcW w:w="3510" w:type="dxa"/>
            <w:noWrap/>
            <w:hideMark/>
          </w:tcPr>
          <w:p w14:paraId="2BFF77EF"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LED (assume 9W) replacing EISA-2020 compliant baseline lamp (65w flood)</w:t>
            </w:r>
          </w:p>
        </w:tc>
        <w:tc>
          <w:tcPr>
            <w:tcW w:w="3420" w:type="dxa"/>
            <w:noWrap/>
            <w:hideMark/>
          </w:tcPr>
          <w:p w14:paraId="02A8DFE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EISA Compliant Halogen Lamp</w:t>
            </w:r>
          </w:p>
        </w:tc>
      </w:tr>
      <w:tr w:rsidR="00301405" w:rsidRPr="00301405" w14:paraId="6183F834" w14:textId="77777777" w:rsidTr="00FC07E5">
        <w:tblPrEx>
          <w:tblLook w:val="04A0" w:firstRow="1" w:lastRow="0" w:firstColumn="1" w:lastColumn="0" w:noHBand="0" w:noVBand="1"/>
        </w:tblPrEx>
        <w:trPr>
          <w:trHeight w:val="300"/>
        </w:trPr>
        <w:tc>
          <w:tcPr>
            <w:tcW w:w="2359" w:type="dxa"/>
            <w:noWrap/>
            <w:hideMark/>
          </w:tcPr>
          <w:p w14:paraId="1EA787C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LED - 9W Flood (Exterior)</w:t>
            </w:r>
          </w:p>
        </w:tc>
        <w:tc>
          <w:tcPr>
            <w:tcW w:w="1331" w:type="dxa"/>
            <w:noWrap/>
            <w:hideMark/>
          </w:tcPr>
          <w:p w14:paraId="1C107F5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Lighting</w:t>
            </w:r>
          </w:p>
        </w:tc>
        <w:tc>
          <w:tcPr>
            <w:tcW w:w="3510" w:type="dxa"/>
            <w:noWrap/>
            <w:hideMark/>
          </w:tcPr>
          <w:p w14:paraId="3FF0E55F"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LED (assume 9W) replacing EISA-2020 compliant baseline lamp (65w flood)</w:t>
            </w:r>
          </w:p>
        </w:tc>
        <w:tc>
          <w:tcPr>
            <w:tcW w:w="3420" w:type="dxa"/>
            <w:noWrap/>
            <w:hideMark/>
          </w:tcPr>
          <w:p w14:paraId="179C480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EISA Compliant Halogen Lamp</w:t>
            </w:r>
          </w:p>
        </w:tc>
      </w:tr>
      <w:tr w:rsidR="00301405" w:rsidRPr="00301405" w14:paraId="118BE16E" w14:textId="77777777" w:rsidTr="00FC07E5">
        <w:tblPrEx>
          <w:tblLook w:val="04A0" w:firstRow="1" w:lastRow="0" w:firstColumn="1" w:lastColumn="0" w:noHBand="0" w:noVBand="1"/>
        </w:tblPrEx>
        <w:trPr>
          <w:trHeight w:val="300"/>
        </w:trPr>
        <w:tc>
          <w:tcPr>
            <w:tcW w:w="2359" w:type="dxa"/>
            <w:noWrap/>
            <w:hideMark/>
          </w:tcPr>
          <w:p w14:paraId="1ED5BD8E" w14:textId="0D910A18"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LED Specialty Lamps-5W Chandelier</w:t>
            </w:r>
            <w:r w:rsidR="00D12C73">
              <w:rPr>
                <w:rFonts w:ascii="Calibri" w:hAnsi="Calibri" w:cs="Calibri"/>
                <w:color w:val="000000"/>
                <w:sz w:val="18"/>
                <w:szCs w:val="22"/>
              </w:rPr>
              <w:t>*</w:t>
            </w:r>
          </w:p>
        </w:tc>
        <w:tc>
          <w:tcPr>
            <w:tcW w:w="1331" w:type="dxa"/>
            <w:noWrap/>
            <w:hideMark/>
          </w:tcPr>
          <w:p w14:paraId="08D5C23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Lighting</w:t>
            </w:r>
          </w:p>
        </w:tc>
        <w:tc>
          <w:tcPr>
            <w:tcW w:w="3510" w:type="dxa"/>
            <w:noWrap/>
            <w:hideMark/>
          </w:tcPr>
          <w:p w14:paraId="0B87578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5 W Chandelier LED</w:t>
            </w:r>
          </w:p>
        </w:tc>
        <w:tc>
          <w:tcPr>
            <w:tcW w:w="3420" w:type="dxa"/>
            <w:noWrap/>
            <w:hideMark/>
          </w:tcPr>
          <w:p w14:paraId="6234757B"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incandescent chandelier lamp</w:t>
            </w:r>
          </w:p>
        </w:tc>
      </w:tr>
      <w:tr w:rsidR="00301405" w:rsidRPr="00301405" w14:paraId="7A454D36" w14:textId="77777777" w:rsidTr="00FC07E5">
        <w:tblPrEx>
          <w:tblLook w:val="04A0" w:firstRow="1" w:lastRow="0" w:firstColumn="1" w:lastColumn="0" w:noHBand="0" w:noVBand="1"/>
        </w:tblPrEx>
        <w:trPr>
          <w:trHeight w:val="300"/>
        </w:trPr>
        <w:tc>
          <w:tcPr>
            <w:tcW w:w="2359" w:type="dxa"/>
            <w:noWrap/>
            <w:hideMark/>
          </w:tcPr>
          <w:p w14:paraId="3E53E219" w14:textId="25BAE28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Linear LED</w:t>
            </w:r>
            <w:r w:rsidR="00D12C73">
              <w:rPr>
                <w:rFonts w:ascii="Calibri" w:hAnsi="Calibri" w:cs="Calibri"/>
                <w:color w:val="000000"/>
                <w:sz w:val="18"/>
                <w:szCs w:val="22"/>
              </w:rPr>
              <w:t>*</w:t>
            </w:r>
          </w:p>
        </w:tc>
        <w:tc>
          <w:tcPr>
            <w:tcW w:w="1331" w:type="dxa"/>
            <w:noWrap/>
            <w:hideMark/>
          </w:tcPr>
          <w:p w14:paraId="3315A835"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Lighting</w:t>
            </w:r>
          </w:p>
        </w:tc>
        <w:tc>
          <w:tcPr>
            <w:tcW w:w="3510" w:type="dxa"/>
            <w:noWrap/>
            <w:hideMark/>
          </w:tcPr>
          <w:p w14:paraId="60E2CBE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Linear LED Lamps in Linear Fluorescent Fixture</w:t>
            </w:r>
          </w:p>
        </w:tc>
        <w:tc>
          <w:tcPr>
            <w:tcW w:w="3420" w:type="dxa"/>
            <w:noWrap/>
            <w:hideMark/>
          </w:tcPr>
          <w:p w14:paraId="77B51DC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(32w) T8 lamps in Linear Fluorescent Fixture</w:t>
            </w:r>
          </w:p>
        </w:tc>
      </w:tr>
      <w:tr w:rsidR="00301405" w:rsidRPr="00301405" w14:paraId="13BC3568" w14:textId="77777777" w:rsidTr="00FC07E5">
        <w:tblPrEx>
          <w:tblLook w:val="04A0" w:firstRow="1" w:lastRow="0" w:firstColumn="1" w:lastColumn="0" w:noHBand="0" w:noVBand="1"/>
        </w:tblPrEx>
        <w:trPr>
          <w:trHeight w:val="600"/>
        </w:trPr>
        <w:tc>
          <w:tcPr>
            <w:tcW w:w="2359" w:type="dxa"/>
            <w:noWrap/>
            <w:hideMark/>
          </w:tcPr>
          <w:p w14:paraId="4FB007AD"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Low Wattage T8 Fixture</w:t>
            </w:r>
          </w:p>
        </w:tc>
        <w:tc>
          <w:tcPr>
            <w:tcW w:w="1331" w:type="dxa"/>
            <w:noWrap/>
            <w:hideMark/>
          </w:tcPr>
          <w:p w14:paraId="2F2369D1"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Lighting</w:t>
            </w:r>
          </w:p>
        </w:tc>
        <w:tc>
          <w:tcPr>
            <w:tcW w:w="3510" w:type="dxa"/>
            <w:noWrap/>
            <w:hideMark/>
          </w:tcPr>
          <w:p w14:paraId="7C9F34F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Low Wattage (28w) T8 Lamps in Linear Fluorescent Fixture</w:t>
            </w:r>
          </w:p>
        </w:tc>
        <w:tc>
          <w:tcPr>
            <w:tcW w:w="3420" w:type="dxa"/>
            <w:noWrap/>
            <w:hideMark/>
          </w:tcPr>
          <w:p w14:paraId="02BFD0D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(32w) T8 lamps in Linear Fluorescent Fixture</w:t>
            </w:r>
          </w:p>
        </w:tc>
      </w:tr>
      <w:tr w:rsidR="00301405" w:rsidRPr="00301405" w14:paraId="78212051" w14:textId="77777777" w:rsidTr="00FC07E5">
        <w:tblPrEx>
          <w:tblLook w:val="04A0" w:firstRow="1" w:lastRow="0" w:firstColumn="1" w:lastColumn="0" w:noHBand="0" w:noVBand="1"/>
        </w:tblPrEx>
        <w:trPr>
          <w:trHeight w:val="600"/>
        </w:trPr>
        <w:tc>
          <w:tcPr>
            <w:tcW w:w="2359" w:type="dxa"/>
            <w:noWrap/>
            <w:hideMark/>
          </w:tcPr>
          <w:p w14:paraId="36599413" w14:textId="103D054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Bathroom Ventilating Fan</w:t>
            </w:r>
            <w:r w:rsidR="00D12C73">
              <w:rPr>
                <w:rFonts w:ascii="Calibri" w:hAnsi="Calibri" w:cs="Calibri"/>
                <w:color w:val="000000"/>
                <w:sz w:val="18"/>
                <w:szCs w:val="22"/>
              </w:rPr>
              <w:t>*</w:t>
            </w:r>
          </w:p>
        </w:tc>
        <w:tc>
          <w:tcPr>
            <w:tcW w:w="1331" w:type="dxa"/>
            <w:noWrap/>
            <w:hideMark/>
          </w:tcPr>
          <w:p w14:paraId="25927DB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Miscellaneous</w:t>
            </w:r>
          </w:p>
        </w:tc>
        <w:tc>
          <w:tcPr>
            <w:tcW w:w="3510" w:type="dxa"/>
            <w:noWrap/>
            <w:hideMark/>
          </w:tcPr>
          <w:p w14:paraId="7FED7CAA"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Bathroom Exhaust Fan meeting current ENERGY STAR Standards</w:t>
            </w:r>
          </w:p>
        </w:tc>
        <w:tc>
          <w:tcPr>
            <w:tcW w:w="3420" w:type="dxa"/>
            <w:noWrap/>
            <w:hideMark/>
          </w:tcPr>
          <w:p w14:paraId="54D485E2"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Bathroom Exhaust Fan meeting Federal Standard</w:t>
            </w:r>
          </w:p>
        </w:tc>
      </w:tr>
      <w:tr w:rsidR="00301405" w:rsidRPr="00301405" w14:paraId="5E8A6355" w14:textId="77777777" w:rsidTr="00FC07E5">
        <w:tblPrEx>
          <w:tblLook w:val="04A0" w:firstRow="1" w:lastRow="0" w:firstColumn="1" w:lastColumn="0" w:noHBand="0" w:noVBand="1"/>
        </w:tblPrEx>
        <w:trPr>
          <w:trHeight w:val="300"/>
        </w:trPr>
        <w:tc>
          <w:tcPr>
            <w:tcW w:w="2359" w:type="dxa"/>
            <w:noWrap/>
            <w:hideMark/>
          </w:tcPr>
          <w:p w14:paraId="29E1AEE0" w14:textId="47D6B00E"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Ceiling Fan</w:t>
            </w:r>
            <w:r w:rsidR="00D12C73">
              <w:rPr>
                <w:rFonts w:ascii="Calibri" w:hAnsi="Calibri" w:cs="Calibri"/>
                <w:color w:val="000000"/>
                <w:sz w:val="18"/>
                <w:szCs w:val="22"/>
              </w:rPr>
              <w:t>*</w:t>
            </w:r>
          </w:p>
        </w:tc>
        <w:tc>
          <w:tcPr>
            <w:tcW w:w="1331" w:type="dxa"/>
            <w:noWrap/>
            <w:hideMark/>
          </w:tcPr>
          <w:p w14:paraId="51FE8D22"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Miscellaneous</w:t>
            </w:r>
          </w:p>
        </w:tc>
        <w:tc>
          <w:tcPr>
            <w:tcW w:w="3510" w:type="dxa"/>
            <w:noWrap/>
            <w:hideMark/>
          </w:tcPr>
          <w:p w14:paraId="2D792F50" w14:textId="256E3613"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 xml:space="preserve">60" Ceiling Fan Meeting </w:t>
            </w:r>
            <w:r w:rsidR="00B30110" w:rsidRPr="00301405">
              <w:rPr>
                <w:rFonts w:ascii="Calibri" w:hAnsi="Calibri" w:cs="Calibri"/>
                <w:color w:val="000000"/>
                <w:sz w:val="18"/>
                <w:szCs w:val="22"/>
              </w:rPr>
              <w:t>current</w:t>
            </w:r>
            <w:r w:rsidRPr="00301405">
              <w:rPr>
                <w:rFonts w:ascii="Calibri" w:hAnsi="Calibri" w:cs="Calibri"/>
                <w:color w:val="000000"/>
                <w:sz w:val="18"/>
                <w:szCs w:val="22"/>
              </w:rPr>
              <w:t xml:space="preserve"> ENERGY STAR Standards</w:t>
            </w:r>
          </w:p>
        </w:tc>
        <w:tc>
          <w:tcPr>
            <w:tcW w:w="3420" w:type="dxa"/>
            <w:noWrap/>
            <w:hideMark/>
          </w:tcPr>
          <w:p w14:paraId="1D18E15D"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non-ENERGYSTAR Ceiling Fan</w:t>
            </w:r>
          </w:p>
        </w:tc>
      </w:tr>
      <w:tr w:rsidR="00301405" w:rsidRPr="00301405" w14:paraId="679FD1FA" w14:textId="77777777" w:rsidTr="00FC07E5">
        <w:tblPrEx>
          <w:tblLook w:val="04A0" w:firstRow="1" w:lastRow="0" w:firstColumn="1" w:lastColumn="0" w:noHBand="0" w:noVBand="1"/>
        </w:tblPrEx>
        <w:trPr>
          <w:trHeight w:val="300"/>
        </w:trPr>
        <w:tc>
          <w:tcPr>
            <w:tcW w:w="2359" w:type="dxa"/>
            <w:noWrap/>
            <w:hideMark/>
          </w:tcPr>
          <w:p w14:paraId="7E1196B5" w14:textId="122CD7B0"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Dehumidifier</w:t>
            </w:r>
            <w:r w:rsidR="00D12C73">
              <w:rPr>
                <w:rFonts w:ascii="Calibri" w:hAnsi="Calibri" w:cs="Calibri"/>
                <w:color w:val="000000"/>
                <w:sz w:val="18"/>
                <w:szCs w:val="22"/>
              </w:rPr>
              <w:t>*</w:t>
            </w:r>
          </w:p>
        </w:tc>
        <w:tc>
          <w:tcPr>
            <w:tcW w:w="1331" w:type="dxa"/>
            <w:noWrap/>
            <w:hideMark/>
          </w:tcPr>
          <w:p w14:paraId="03CF8E0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Miscellaneous</w:t>
            </w:r>
          </w:p>
        </w:tc>
        <w:tc>
          <w:tcPr>
            <w:tcW w:w="3510" w:type="dxa"/>
            <w:noWrap/>
            <w:hideMark/>
          </w:tcPr>
          <w:p w14:paraId="4C874D5F"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Dehumidifier meeting current ENERGY STAR Standards</w:t>
            </w:r>
          </w:p>
        </w:tc>
        <w:tc>
          <w:tcPr>
            <w:tcW w:w="3420" w:type="dxa"/>
            <w:noWrap/>
            <w:hideMark/>
          </w:tcPr>
          <w:p w14:paraId="7DB0184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Dehumidifier meeting Federal Standard</w:t>
            </w:r>
          </w:p>
        </w:tc>
      </w:tr>
      <w:tr w:rsidR="00301405" w:rsidRPr="00301405" w14:paraId="6D85D1C8" w14:textId="77777777" w:rsidTr="00FC07E5">
        <w:tblPrEx>
          <w:tblLook w:val="04A0" w:firstRow="1" w:lastRow="0" w:firstColumn="1" w:lastColumn="0" w:noHBand="0" w:noVBand="1"/>
        </w:tblPrEx>
        <w:trPr>
          <w:trHeight w:val="300"/>
        </w:trPr>
        <w:tc>
          <w:tcPr>
            <w:tcW w:w="2359" w:type="dxa"/>
            <w:noWrap/>
            <w:hideMark/>
          </w:tcPr>
          <w:p w14:paraId="79474599" w14:textId="6EAC012B"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Heat Pump Pool Heater</w:t>
            </w:r>
            <w:r w:rsidR="00D12C73">
              <w:rPr>
                <w:rFonts w:ascii="Calibri" w:hAnsi="Calibri" w:cs="Calibri"/>
                <w:color w:val="000000"/>
                <w:sz w:val="18"/>
                <w:szCs w:val="22"/>
              </w:rPr>
              <w:t>*</w:t>
            </w:r>
          </w:p>
        </w:tc>
        <w:tc>
          <w:tcPr>
            <w:tcW w:w="1331" w:type="dxa"/>
            <w:noWrap/>
            <w:hideMark/>
          </w:tcPr>
          <w:p w14:paraId="3E46005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Miscellaneous</w:t>
            </w:r>
          </w:p>
        </w:tc>
        <w:tc>
          <w:tcPr>
            <w:tcW w:w="3510" w:type="dxa"/>
            <w:noWrap/>
            <w:hideMark/>
          </w:tcPr>
          <w:p w14:paraId="1E8893FA"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Heat Pump Swimming Pool Heater</w:t>
            </w:r>
          </w:p>
        </w:tc>
        <w:tc>
          <w:tcPr>
            <w:tcW w:w="3420" w:type="dxa"/>
            <w:noWrap/>
            <w:hideMark/>
          </w:tcPr>
          <w:p w14:paraId="78A1AD6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Electric Resistance Swimming Pool Heater</w:t>
            </w:r>
          </w:p>
        </w:tc>
      </w:tr>
      <w:tr w:rsidR="00301405" w:rsidRPr="00301405" w14:paraId="1B769A2A" w14:textId="77777777" w:rsidTr="00FC07E5">
        <w:tblPrEx>
          <w:tblLook w:val="04A0" w:firstRow="1" w:lastRow="0" w:firstColumn="1" w:lastColumn="0" w:noHBand="0" w:noVBand="1"/>
        </w:tblPrEx>
        <w:trPr>
          <w:trHeight w:val="300"/>
        </w:trPr>
        <w:tc>
          <w:tcPr>
            <w:tcW w:w="2359" w:type="dxa"/>
            <w:noWrap/>
            <w:hideMark/>
          </w:tcPr>
          <w:p w14:paraId="41CDDA9F" w14:textId="70401AD9"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Solar Pool Heater</w:t>
            </w:r>
            <w:r w:rsidR="00D12C73">
              <w:rPr>
                <w:rFonts w:ascii="Calibri" w:hAnsi="Calibri" w:cs="Calibri"/>
                <w:color w:val="000000"/>
                <w:sz w:val="18"/>
                <w:szCs w:val="22"/>
              </w:rPr>
              <w:t>*</w:t>
            </w:r>
          </w:p>
        </w:tc>
        <w:tc>
          <w:tcPr>
            <w:tcW w:w="1331" w:type="dxa"/>
            <w:noWrap/>
            <w:hideMark/>
          </w:tcPr>
          <w:p w14:paraId="1148CE12"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Miscellaneous</w:t>
            </w:r>
          </w:p>
        </w:tc>
        <w:tc>
          <w:tcPr>
            <w:tcW w:w="3510" w:type="dxa"/>
            <w:noWrap/>
            <w:hideMark/>
          </w:tcPr>
          <w:p w14:paraId="311646E1"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Solar Swimming Pool Heater</w:t>
            </w:r>
          </w:p>
        </w:tc>
        <w:tc>
          <w:tcPr>
            <w:tcW w:w="3420" w:type="dxa"/>
            <w:noWrap/>
            <w:hideMark/>
          </w:tcPr>
          <w:p w14:paraId="3EAA046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Electric Resistance Swimming Pool Heater</w:t>
            </w:r>
          </w:p>
        </w:tc>
      </w:tr>
      <w:tr w:rsidR="00301405" w:rsidRPr="00301405" w14:paraId="672947BB" w14:textId="77777777" w:rsidTr="00FC07E5">
        <w:tblPrEx>
          <w:tblLook w:val="04A0" w:firstRow="1" w:lastRow="0" w:firstColumn="1" w:lastColumn="0" w:noHBand="0" w:noVBand="1"/>
        </w:tblPrEx>
        <w:trPr>
          <w:trHeight w:val="300"/>
        </w:trPr>
        <w:tc>
          <w:tcPr>
            <w:tcW w:w="2359" w:type="dxa"/>
            <w:noWrap/>
            <w:hideMark/>
          </w:tcPr>
          <w:p w14:paraId="3004F515"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Solar Powered Pool Pumps</w:t>
            </w:r>
          </w:p>
        </w:tc>
        <w:tc>
          <w:tcPr>
            <w:tcW w:w="1331" w:type="dxa"/>
            <w:noWrap/>
            <w:hideMark/>
          </w:tcPr>
          <w:p w14:paraId="493AE67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Miscellaneous</w:t>
            </w:r>
          </w:p>
        </w:tc>
        <w:tc>
          <w:tcPr>
            <w:tcW w:w="3510" w:type="dxa"/>
            <w:noWrap/>
            <w:hideMark/>
          </w:tcPr>
          <w:p w14:paraId="73A85A2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Solar Powered Pool Pump</w:t>
            </w:r>
          </w:p>
        </w:tc>
        <w:tc>
          <w:tcPr>
            <w:tcW w:w="3420" w:type="dxa"/>
            <w:noWrap/>
            <w:hideMark/>
          </w:tcPr>
          <w:p w14:paraId="1C96FB09"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Single Speed Pool Pump Motor</w:t>
            </w:r>
          </w:p>
        </w:tc>
      </w:tr>
      <w:tr w:rsidR="00301405" w:rsidRPr="00301405" w14:paraId="01246554" w14:textId="77777777" w:rsidTr="00FC07E5">
        <w:tblPrEx>
          <w:tblLook w:val="04A0" w:firstRow="1" w:lastRow="0" w:firstColumn="1" w:lastColumn="0" w:noHBand="0" w:noVBand="1"/>
        </w:tblPrEx>
        <w:trPr>
          <w:trHeight w:val="300"/>
        </w:trPr>
        <w:tc>
          <w:tcPr>
            <w:tcW w:w="2359" w:type="dxa"/>
            <w:noWrap/>
            <w:hideMark/>
          </w:tcPr>
          <w:p w14:paraId="35B1CB5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Two Speed Pool Pump</w:t>
            </w:r>
          </w:p>
        </w:tc>
        <w:tc>
          <w:tcPr>
            <w:tcW w:w="1331" w:type="dxa"/>
            <w:noWrap/>
            <w:hideMark/>
          </w:tcPr>
          <w:p w14:paraId="00D3A759"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Miscellaneous</w:t>
            </w:r>
          </w:p>
        </w:tc>
        <w:tc>
          <w:tcPr>
            <w:tcW w:w="3510" w:type="dxa"/>
            <w:noWrap/>
            <w:hideMark/>
          </w:tcPr>
          <w:p w14:paraId="52C7BEC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Dual Speed Pool Pump Motor</w:t>
            </w:r>
          </w:p>
        </w:tc>
        <w:tc>
          <w:tcPr>
            <w:tcW w:w="3420" w:type="dxa"/>
            <w:noWrap/>
            <w:hideMark/>
          </w:tcPr>
          <w:p w14:paraId="53EE89A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Single Speed Pool Pump Motor</w:t>
            </w:r>
          </w:p>
        </w:tc>
      </w:tr>
      <w:tr w:rsidR="00301405" w:rsidRPr="00301405" w14:paraId="5C82D3E5" w14:textId="77777777" w:rsidTr="00FC07E5">
        <w:tblPrEx>
          <w:tblLook w:val="04A0" w:firstRow="1" w:lastRow="0" w:firstColumn="1" w:lastColumn="0" w:noHBand="0" w:noVBand="1"/>
        </w:tblPrEx>
        <w:trPr>
          <w:trHeight w:val="600"/>
        </w:trPr>
        <w:tc>
          <w:tcPr>
            <w:tcW w:w="2359" w:type="dxa"/>
            <w:noWrap/>
            <w:hideMark/>
          </w:tcPr>
          <w:p w14:paraId="6C4FF2D2"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Variable Speed Pool Pump</w:t>
            </w:r>
          </w:p>
        </w:tc>
        <w:tc>
          <w:tcPr>
            <w:tcW w:w="1331" w:type="dxa"/>
            <w:noWrap/>
            <w:hideMark/>
          </w:tcPr>
          <w:p w14:paraId="5223620B"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Miscellaneous</w:t>
            </w:r>
          </w:p>
        </w:tc>
        <w:tc>
          <w:tcPr>
            <w:tcW w:w="3510" w:type="dxa"/>
            <w:noWrap/>
            <w:hideMark/>
          </w:tcPr>
          <w:p w14:paraId="327519D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Variable Speed Pool Pump Motor</w:t>
            </w:r>
          </w:p>
        </w:tc>
        <w:tc>
          <w:tcPr>
            <w:tcW w:w="3420" w:type="dxa"/>
            <w:noWrap/>
            <w:hideMark/>
          </w:tcPr>
          <w:p w14:paraId="516CF86A"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Single Speed Pool Pump Motor</w:t>
            </w:r>
          </w:p>
        </w:tc>
      </w:tr>
      <w:tr w:rsidR="00301405" w:rsidRPr="00301405" w14:paraId="51845609" w14:textId="77777777" w:rsidTr="00FC07E5">
        <w:tblPrEx>
          <w:tblLook w:val="04A0" w:firstRow="1" w:lastRow="0" w:firstColumn="1" w:lastColumn="0" w:noHBand="0" w:noVBand="1"/>
        </w:tblPrEx>
        <w:trPr>
          <w:trHeight w:val="600"/>
        </w:trPr>
        <w:tc>
          <w:tcPr>
            <w:tcW w:w="2359" w:type="dxa"/>
            <w:noWrap/>
            <w:hideMark/>
          </w:tcPr>
          <w:p w14:paraId="2207ECC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15 SEER Central AC</w:t>
            </w:r>
          </w:p>
        </w:tc>
        <w:tc>
          <w:tcPr>
            <w:tcW w:w="1331" w:type="dxa"/>
            <w:noWrap/>
            <w:hideMark/>
          </w:tcPr>
          <w:p w14:paraId="25138069"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w:t>
            </w:r>
          </w:p>
        </w:tc>
        <w:tc>
          <w:tcPr>
            <w:tcW w:w="3510" w:type="dxa"/>
            <w:noWrap/>
            <w:hideMark/>
          </w:tcPr>
          <w:p w14:paraId="7832081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15 SEER Central AC</w:t>
            </w:r>
          </w:p>
        </w:tc>
        <w:tc>
          <w:tcPr>
            <w:tcW w:w="3420" w:type="dxa"/>
            <w:noWrap/>
            <w:hideMark/>
          </w:tcPr>
          <w:p w14:paraId="326E6E25"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Central AC, 14 SEER</w:t>
            </w:r>
          </w:p>
        </w:tc>
      </w:tr>
      <w:tr w:rsidR="00301405" w:rsidRPr="00301405" w14:paraId="0EE70B37" w14:textId="77777777" w:rsidTr="00FC07E5">
        <w:tblPrEx>
          <w:tblLook w:val="04A0" w:firstRow="1" w:lastRow="0" w:firstColumn="1" w:lastColumn="0" w:noHBand="0" w:noVBand="1"/>
        </w:tblPrEx>
        <w:trPr>
          <w:trHeight w:val="300"/>
        </w:trPr>
        <w:tc>
          <w:tcPr>
            <w:tcW w:w="2359" w:type="dxa"/>
            <w:noWrap/>
            <w:hideMark/>
          </w:tcPr>
          <w:p w14:paraId="5CE573E1"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16 SEER Central AC</w:t>
            </w:r>
          </w:p>
        </w:tc>
        <w:tc>
          <w:tcPr>
            <w:tcW w:w="1331" w:type="dxa"/>
            <w:noWrap/>
            <w:hideMark/>
          </w:tcPr>
          <w:p w14:paraId="699B6C0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w:t>
            </w:r>
          </w:p>
        </w:tc>
        <w:tc>
          <w:tcPr>
            <w:tcW w:w="3510" w:type="dxa"/>
            <w:noWrap/>
            <w:hideMark/>
          </w:tcPr>
          <w:p w14:paraId="0A8D55D1"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16 SEER Central AC</w:t>
            </w:r>
          </w:p>
        </w:tc>
        <w:tc>
          <w:tcPr>
            <w:tcW w:w="3420" w:type="dxa"/>
            <w:noWrap/>
            <w:hideMark/>
          </w:tcPr>
          <w:p w14:paraId="6B21E8A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Central AC, 14 SEER</w:t>
            </w:r>
          </w:p>
        </w:tc>
      </w:tr>
      <w:tr w:rsidR="00301405" w:rsidRPr="00301405" w14:paraId="6147BCF0" w14:textId="77777777" w:rsidTr="00FC07E5">
        <w:tblPrEx>
          <w:tblLook w:val="04A0" w:firstRow="1" w:lastRow="0" w:firstColumn="1" w:lastColumn="0" w:noHBand="0" w:noVBand="1"/>
        </w:tblPrEx>
        <w:trPr>
          <w:trHeight w:val="300"/>
        </w:trPr>
        <w:tc>
          <w:tcPr>
            <w:tcW w:w="2359" w:type="dxa"/>
            <w:noWrap/>
            <w:hideMark/>
          </w:tcPr>
          <w:p w14:paraId="50A5E77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17 SEER Central AC</w:t>
            </w:r>
          </w:p>
        </w:tc>
        <w:tc>
          <w:tcPr>
            <w:tcW w:w="1331" w:type="dxa"/>
            <w:noWrap/>
            <w:hideMark/>
          </w:tcPr>
          <w:p w14:paraId="07AD99B3"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w:t>
            </w:r>
          </w:p>
        </w:tc>
        <w:tc>
          <w:tcPr>
            <w:tcW w:w="3510" w:type="dxa"/>
            <w:noWrap/>
            <w:hideMark/>
          </w:tcPr>
          <w:p w14:paraId="29EE16D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17 SEER Central AC</w:t>
            </w:r>
          </w:p>
        </w:tc>
        <w:tc>
          <w:tcPr>
            <w:tcW w:w="3420" w:type="dxa"/>
            <w:noWrap/>
            <w:hideMark/>
          </w:tcPr>
          <w:p w14:paraId="2DEFBD8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Central AC, 14 SEER</w:t>
            </w:r>
          </w:p>
        </w:tc>
      </w:tr>
      <w:tr w:rsidR="00301405" w:rsidRPr="00301405" w14:paraId="00A95CD6" w14:textId="77777777" w:rsidTr="00FC07E5">
        <w:tblPrEx>
          <w:tblLook w:val="04A0" w:firstRow="1" w:lastRow="0" w:firstColumn="1" w:lastColumn="0" w:noHBand="0" w:noVBand="1"/>
        </w:tblPrEx>
        <w:trPr>
          <w:trHeight w:val="300"/>
        </w:trPr>
        <w:tc>
          <w:tcPr>
            <w:tcW w:w="2359" w:type="dxa"/>
            <w:noWrap/>
            <w:hideMark/>
          </w:tcPr>
          <w:p w14:paraId="1828208D"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18 SEER Central AC</w:t>
            </w:r>
          </w:p>
        </w:tc>
        <w:tc>
          <w:tcPr>
            <w:tcW w:w="1331" w:type="dxa"/>
            <w:noWrap/>
            <w:hideMark/>
          </w:tcPr>
          <w:p w14:paraId="56758123"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w:t>
            </w:r>
          </w:p>
        </w:tc>
        <w:tc>
          <w:tcPr>
            <w:tcW w:w="3510" w:type="dxa"/>
            <w:noWrap/>
            <w:hideMark/>
          </w:tcPr>
          <w:p w14:paraId="74E7F33A"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18 SEER Central AC</w:t>
            </w:r>
          </w:p>
        </w:tc>
        <w:tc>
          <w:tcPr>
            <w:tcW w:w="3420" w:type="dxa"/>
            <w:noWrap/>
            <w:hideMark/>
          </w:tcPr>
          <w:p w14:paraId="016AFE45"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Central AC, 14 SEER</w:t>
            </w:r>
          </w:p>
        </w:tc>
      </w:tr>
      <w:tr w:rsidR="00301405" w:rsidRPr="00301405" w14:paraId="6F32C5FA" w14:textId="77777777" w:rsidTr="00FC07E5">
        <w:tblPrEx>
          <w:tblLook w:val="04A0" w:firstRow="1" w:lastRow="0" w:firstColumn="1" w:lastColumn="0" w:noHBand="0" w:noVBand="1"/>
        </w:tblPrEx>
        <w:trPr>
          <w:trHeight w:val="300"/>
        </w:trPr>
        <w:tc>
          <w:tcPr>
            <w:tcW w:w="2359" w:type="dxa"/>
            <w:noWrap/>
            <w:hideMark/>
          </w:tcPr>
          <w:p w14:paraId="7C5B20F5"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21 SEER Central AC</w:t>
            </w:r>
          </w:p>
        </w:tc>
        <w:tc>
          <w:tcPr>
            <w:tcW w:w="1331" w:type="dxa"/>
            <w:noWrap/>
            <w:hideMark/>
          </w:tcPr>
          <w:p w14:paraId="4F0C4A9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w:t>
            </w:r>
          </w:p>
        </w:tc>
        <w:tc>
          <w:tcPr>
            <w:tcW w:w="3510" w:type="dxa"/>
            <w:noWrap/>
            <w:hideMark/>
          </w:tcPr>
          <w:p w14:paraId="2595ECC1"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21 SEER Central AC</w:t>
            </w:r>
          </w:p>
        </w:tc>
        <w:tc>
          <w:tcPr>
            <w:tcW w:w="3420" w:type="dxa"/>
            <w:noWrap/>
            <w:hideMark/>
          </w:tcPr>
          <w:p w14:paraId="03A86B8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Central AC, 14 SEER</w:t>
            </w:r>
          </w:p>
        </w:tc>
      </w:tr>
      <w:tr w:rsidR="00301405" w:rsidRPr="00301405" w14:paraId="29FE2B4C" w14:textId="77777777" w:rsidTr="00FC07E5">
        <w:tblPrEx>
          <w:tblLook w:val="04A0" w:firstRow="1" w:lastRow="0" w:firstColumn="1" w:lastColumn="0" w:noHBand="0" w:noVBand="1"/>
        </w:tblPrEx>
        <w:trPr>
          <w:trHeight w:val="300"/>
        </w:trPr>
        <w:tc>
          <w:tcPr>
            <w:tcW w:w="2359" w:type="dxa"/>
            <w:noWrap/>
            <w:hideMark/>
          </w:tcPr>
          <w:p w14:paraId="09E20C2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Central AC Tune Up</w:t>
            </w:r>
          </w:p>
        </w:tc>
        <w:tc>
          <w:tcPr>
            <w:tcW w:w="1331" w:type="dxa"/>
            <w:noWrap/>
            <w:hideMark/>
          </w:tcPr>
          <w:p w14:paraId="3FF8B8E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w:t>
            </w:r>
          </w:p>
        </w:tc>
        <w:tc>
          <w:tcPr>
            <w:tcW w:w="3510" w:type="dxa"/>
            <w:noWrap/>
            <w:hideMark/>
          </w:tcPr>
          <w:p w14:paraId="43D9C75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System tune-up, including coil cleaning, refrigerant charging, and other diagnostics</w:t>
            </w:r>
          </w:p>
        </w:tc>
        <w:tc>
          <w:tcPr>
            <w:tcW w:w="3420" w:type="dxa"/>
            <w:noWrap/>
            <w:hideMark/>
          </w:tcPr>
          <w:p w14:paraId="14C022A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Existing Typical Central AC without Regular Maintenance/tune-up</w:t>
            </w:r>
          </w:p>
        </w:tc>
      </w:tr>
      <w:tr w:rsidR="00301405" w:rsidRPr="00301405" w14:paraId="4DF48959" w14:textId="77777777" w:rsidTr="00FC07E5">
        <w:tblPrEx>
          <w:tblLook w:val="04A0" w:firstRow="1" w:lastRow="0" w:firstColumn="1" w:lastColumn="0" w:noHBand="0" w:noVBand="1"/>
        </w:tblPrEx>
        <w:trPr>
          <w:trHeight w:val="300"/>
        </w:trPr>
        <w:tc>
          <w:tcPr>
            <w:tcW w:w="2359" w:type="dxa"/>
            <w:noWrap/>
            <w:hideMark/>
          </w:tcPr>
          <w:p w14:paraId="16CFD92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Room AC</w:t>
            </w:r>
          </w:p>
        </w:tc>
        <w:tc>
          <w:tcPr>
            <w:tcW w:w="1331" w:type="dxa"/>
            <w:noWrap/>
            <w:hideMark/>
          </w:tcPr>
          <w:p w14:paraId="3ECA7F2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w:t>
            </w:r>
          </w:p>
        </w:tc>
        <w:tc>
          <w:tcPr>
            <w:tcW w:w="3510" w:type="dxa"/>
            <w:noWrap/>
            <w:hideMark/>
          </w:tcPr>
          <w:p w14:paraId="797C56F9"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Room AC meeting current ENERGY STAR standards</w:t>
            </w:r>
          </w:p>
        </w:tc>
        <w:tc>
          <w:tcPr>
            <w:tcW w:w="3420" w:type="dxa"/>
            <w:noWrap/>
            <w:hideMark/>
          </w:tcPr>
          <w:p w14:paraId="322198ED"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Room AC</w:t>
            </w:r>
          </w:p>
        </w:tc>
      </w:tr>
      <w:tr w:rsidR="00301405" w:rsidRPr="00301405" w14:paraId="7CEB1BE8" w14:textId="77777777" w:rsidTr="00FC07E5">
        <w:tblPrEx>
          <w:tblLook w:val="04A0" w:firstRow="1" w:lastRow="0" w:firstColumn="1" w:lastColumn="0" w:noHBand="0" w:noVBand="1"/>
        </w:tblPrEx>
        <w:trPr>
          <w:trHeight w:val="300"/>
        </w:trPr>
        <w:tc>
          <w:tcPr>
            <w:tcW w:w="2359" w:type="dxa"/>
            <w:noWrap/>
            <w:hideMark/>
          </w:tcPr>
          <w:p w14:paraId="3945FF96" w14:textId="10001E02"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Solar Attic Fan</w:t>
            </w:r>
            <w:r w:rsidR="00D12C73">
              <w:rPr>
                <w:rFonts w:ascii="Calibri" w:hAnsi="Calibri" w:cs="Calibri"/>
                <w:color w:val="000000"/>
                <w:sz w:val="18"/>
                <w:szCs w:val="22"/>
              </w:rPr>
              <w:t>*</w:t>
            </w:r>
          </w:p>
        </w:tc>
        <w:tc>
          <w:tcPr>
            <w:tcW w:w="1331" w:type="dxa"/>
            <w:noWrap/>
            <w:hideMark/>
          </w:tcPr>
          <w:p w14:paraId="4D6AF8A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w:t>
            </w:r>
          </w:p>
        </w:tc>
        <w:tc>
          <w:tcPr>
            <w:tcW w:w="3510" w:type="dxa"/>
            <w:noWrap/>
            <w:hideMark/>
          </w:tcPr>
          <w:p w14:paraId="1BD3073A"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Central Air Conditioning with Solar Attic Fan</w:t>
            </w:r>
          </w:p>
        </w:tc>
        <w:tc>
          <w:tcPr>
            <w:tcW w:w="3420" w:type="dxa"/>
            <w:noWrap/>
            <w:hideMark/>
          </w:tcPr>
          <w:p w14:paraId="09C8F1A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Central Air Conditioning, No Solar Attic Fan</w:t>
            </w:r>
          </w:p>
        </w:tc>
      </w:tr>
      <w:tr w:rsidR="00301405" w:rsidRPr="00301405" w14:paraId="60618171" w14:textId="77777777" w:rsidTr="00FC07E5">
        <w:tblPrEx>
          <w:tblLook w:val="04A0" w:firstRow="1" w:lastRow="0" w:firstColumn="1" w:lastColumn="0" w:noHBand="0" w:noVBand="1"/>
        </w:tblPrEx>
        <w:trPr>
          <w:trHeight w:val="300"/>
        </w:trPr>
        <w:tc>
          <w:tcPr>
            <w:tcW w:w="2359" w:type="dxa"/>
            <w:noWrap/>
            <w:hideMark/>
          </w:tcPr>
          <w:p w14:paraId="629A92B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14 SEER ASHP from base electric resistance heating</w:t>
            </w:r>
          </w:p>
        </w:tc>
        <w:tc>
          <w:tcPr>
            <w:tcW w:w="1331" w:type="dxa"/>
            <w:noWrap/>
            <w:hideMark/>
          </w:tcPr>
          <w:p w14:paraId="5EFC0F1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06DBA233"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14 SEER Air Source Heat Pump</w:t>
            </w:r>
          </w:p>
        </w:tc>
        <w:tc>
          <w:tcPr>
            <w:tcW w:w="3420" w:type="dxa"/>
            <w:noWrap/>
            <w:hideMark/>
          </w:tcPr>
          <w:p w14:paraId="32EA44E3"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Base AC, 14 SEER, Electric resistance heating, 3.41 HSPF</w:t>
            </w:r>
          </w:p>
        </w:tc>
      </w:tr>
      <w:tr w:rsidR="00301405" w:rsidRPr="00301405" w14:paraId="5C44E144" w14:textId="77777777" w:rsidTr="00FC07E5">
        <w:tblPrEx>
          <w:tblLook w:val="04A0" w:firstRow="1" w:lastRow="0" w:firstColumn="1" w:lastColumn="0" w:noHBand="0" w:noVBand="1"/>
        </w:tblPrEx>
        <w:trPr>
          <w:trHeight w:val="300"/>
        </w:trPr>
        <w:tc>
          <w:tcPr>
            <w:tcW w:w="2359" w:type="dxa"/>
            <w:noWrap/>
            <w:hideMark/>
          </w:tcPr>
          <w:p w14:paraId="17AFC91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15 SEER Air Source Heat Pump</w:t>
            </w:r>
          </w:p>
        </w:tc>
        <w:tc>
          <w:tcPr>
            <w:tcW w:w="1331" w:type="dxa"/>
            <w:noWrap/>
            <w:hideMark/>
          </w:tcPr>
          <w:p w14:paraId="4DC2F0B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4A99898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15 SEER Air Source Heat Pump</w:t>
            </w:r>
          </w:p>
        </w:tc>
        <w:tc>
          <w:tcPr>
            <w:tcW w:w="3420" w:type="dxa"/>
            <w:noWrap/>
            <w:hideMark/>
          </w:tcPr>
          <w:p w14:paraId="7F3CD85A"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ASHP, 14 SEER, 8.2 HSPF</w:t>
            </w:r>
          </w:p>
        </w:tc>
      </w:tr>
      <w:tr w:rsidR="00301405" w:rsidRPr="00301405" w14:paraId="3557F3D1" w14:textId="77777777" w:rsidTr="00FC07E5">
        <w:tblPrEx>
          <w:tblLook w:val="04A0" w:firstRow="1" w:lastRow="0" w:firstColumn="1" w:lastColumn="0" w:noHBand="0" w:noVBand="1"/>
        </w:tblPrEx>
        <w:trPr>
          <w:trHeight w:val="300"/>
        </w:trPr>
        <w:tc>
          <w:tcPr>
            <w:tcW w:w="2359" w:type="dxa"/>
            <w:noWrap/>
            <w:hideMark/>
          </w:tcPr>
          <w:p w14:paraId="5982CF2F"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16 SEER Air Source Heat Pump</w:t>
            </w:r>
          </w:p>
        </w:tc>
        <w:tc>
          <w:tcPr>
            <w:tcW w:w="1331" w:type="dxa"/>
            <w:noWrap/>
            <w:hideMark/>
          </w:tcPr>
          <w:p w14:paraId="0A5323FB"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329808D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16 SEER Air Source Heat Pump</w:t>
            </w:r>
          </w:p>
        </w:tc>
        <w:tc>
          <w:tcPr>
            <w:tcW w:w="3420" w:type="dxa"/>
            <w:noWrap/>
            <w:hideMark/>
          </w:tcPr>
          <w:p w14:paraId="0D98AE0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ASHP, 14 SEER, 8.2 HSPF</w:t>
            </w:r>
          </w:p>
        </w:tc>
      </w:tr>
      <w:tr w:rsidR="00301405" w:rsidRPr="00301405" w14:paraId="0140C41E" w14:textId="77777777" w:rsidTr="00FC07E5">
        <w:tblPrEx>
          <w:tblLook w:val="04A0" w:firstRow="1" w:lastRow="0" w:firstColumn="1" w:lastColumn="0" w:noHBand="0" w:noVBand="1"/>
        </w:tblPrEx>
        <w:trPr>
          <w:trHeight w:val="300"/>
        </w:trPr>
        <w:tc>
          <w:tcPr>
            <w:tcW w:w="2359" w:type="dxa"/>
            <w:noWrap/>
            <w:hideMark/>
          </w:tcPr>
          <w:p w14:paraId="0A316D2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17 SEER Air Source Heat Pump</w:t>
            </w:r>
          </w:p>
        </w:tc>
        <w:tc>
          <w:tcPr>
            <w:tcW w:w="1331" w:type="dxa"/>
            <w:noWrap/>
            <w:hideMark/>
          </w:tcPr>
          <w:p w14:paraId="2535049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7DFD56F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17 SEER Air Source Heat Pump</w:t>
            </w:r>
          </w:p>
        </w:tc>
        <w:tc>
          <w:tcPr>
            <w:tcW w:w="3420" w:type="dxa"/>
            <w:noWrap/>
            <w:hideMark/>
          </w:tcPr>
          <w:p w14:paraId="7AFE1A3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ASHP, 14 SEER, 8.2 HSPF</w:t>
            </w:r>
          </w:p>
        </w:tc>
      </w:tr>
      <w:tr w:rsidR="00301405" w:rsidRPr="00301405" w14:paraId="16AE6F38" w14:textId="77777777" w:rsidTr="00FC07E5">
        <w:tblPrEx>
          <w:tblLook w:val="04A0" w:firstRow="1" w:lastRow="0" w:firstColumn="1" w:lastColumn="0" w:noHBand="0" w:noVBand="1"/>
        </w:tblPrEx>
        <w:trPr>
          <w:trHeight w:val="600"/>
        </w:trPr>
        <w:tc>
          <w:tcPr>
            <w:tcW w:w="2359" w:type="dxa"/>
            <w:noWrap/>
            <w:hideMark/>
          </w:tcPr>
          <w:p w14:paraId="2CB06A6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18 SEER Air Source Heat Pump</w:t>
            </w:r>
          </w:p>
        </w:tc>
        <w:tc>
          <w:tcPr>
            <w:tcW w:w="1331" w:type="dxa"/>
            <w:noWrap/>
            <w:hideMark/>
          </w:tcPr>
          <w:p w14:paraId="06EF7B91"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2C642FD9"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18 SEER Air Source Heat Pump</w:t>
            </w:r>
          </w:p>
        </w:tc>
        <w:tc>
          <w:tcPr>
            <w:tcW w:w="3420" w:type="dxa"/>
            <w:noWrap/>
            <w:hideMark/>
          </w:tcPr>
          <w:p w14:paraId="1A8C6293"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ASHP, 14 SEER, 8.2 HSPF</w:t>
            </w:r>
          </w:p>
        </w:tc>
      </w:tr>
      <w:tr w:rsidR="00301405" w:rsidRPr="00301405" w14:paraId="5495979B" w14:textId="77777777" w:rsidTr="00FC07E5">
        <w:tblPrEx>
          <w:tblLook w:val="04A0" w:firstRow="1" w:lastRow="0" w:firstColumn="1" w:lastColumn="0" w:noHBand="0" w:noVBand="1"/>
        </w:tblPrEx>
        <w:trPr>
          <w:trHeight w:val="600"/>
        </w:trPr>
        <w:tc>
          <w:tcPr>
            <w:tcW w:w="2359" w:type="dxa"/>
            <w:noWrap/>
            <w:hideMark/>
          </w:tcPr>
          <w:p w14:paraId="3CED6FF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21 SEER Air Source Heat Pump</w:t>
            </w:r>
          </w:p>
        </w:tc>
        <w:tc>
          <w:tcPr>
            <w:tcW w:w="1331" w:type="dxa"/>
            <w:noWrap/>
            <w:hideMark/>
          </w:tcPr>
          <w:p w14:paraId="7BECB319"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429FCB4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21 SEER Air Source Heat Pump</w:t>
            </w:r>
          </w:p>
        </w:tc>
        <w:tc>
          <w:tcPr>
            <w:tcW w:w="3420" w:type="dxa"/>
            <w:noWrap/>
            <w:hideMark/>
          </w:tcPr>
          <w:p w14:paraId="074747A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ASHP, 14 SEER, 8.2 HSPF</w:t>
            </w:r>
          </w:p>
        </w:tc>
      </w:tr>
      <w:tr w:rsidR="00301405" w:rsidRPr="00301405" w14:paraId="0FFFBA8E" w14:textId="77777777" w:rsidTr="00FC07E5">
        <w:tblPrEx>
          <w:tblLook w:val="04A0" w:firstRow="1" w:lastRow="0" w:firstColumn="1" w:lastColumn="0" w:noHBand="0" w:noVBand="1"/>
        </w:tblPrEx>
        <w:trPr>
          <w:trHeight w:val="600"/>
        </w:trPr>
        <w:tc>
          <w:tcPr>
            <w:tcW w:w="2359" w:type="dxa"/>
            <w:noWrap/>
            <w:hideMark/>
          </w:tcPr>
          <w:p w14:paraId="09E5F465"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21 SEER ASHP from base electric resistance heating</w:t>
            </w:r>
          </w:p>
        </w:tc>
        <w:tc>
          <w:tcPr>
            <w:tcW w:w="1331" w:type="dxa"/>
            <w:noWrap/>
            <w:hideMark/>
          </w:tcPr>
          <w:p w14:paraId="55DD8D6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2F87540F"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21 SEER Air Source Heat Pump</w:t>
            </w:r>
          </w:p>
        </w:tc>
        <w:tc>
          <w:tcPr>
            <w:tcW w:w="3420" w:type="dxa"/>
            <w:noWrap/>
            <w:hideMark/>
          </w:tcPr>
          <w:p w14:paraId="75B0858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Base AC, 14 SEER, Electric resistance heating, 3.41 HSPF</w:t>
            </w:r>
          </w:p>
        </w:tc>
      </w:tr>
      <w:tr w:rsidR="00301405" w:rsidRPr="00301405" w14:paraId="773F6AE0" w14:textId="77777777" w:rsidTr="00FC07E5">
        <w:tblPrEx>
          <w:tblLook w:val="04A0" w:firstRow="1" w:lastRow="0" w:firstColumn="1" w:lastColumn="0" w:noHBand="0" w:noVBand="1"/>
        </w:tblPrEx>
        <w:trPr>
          <w:trHeight w:val="600"/>
        </w:trPr>
        <w:tc>
          <w:tcPr>
            <w:tcW w:w="2359" w:type="dxa"/>
            <w:noWrap/>
            <w:hideMark/>
          </w:tcPr>
          <w:p w14:paraId="60A48EB5"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Air Sealing-Infiltration Control</w:t>
            </w:r>
          </w:p>
        </w:tc>
        <w:tc>
          <w:tcPr>
            <w:tcW w:w="1331" w:type="dxa"/>
            <w:noWrap/>
            <w:hideMark/>
          </w:tcPr>
          <w:p w14:paraId="2403ADA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3C29380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Heating and Cooling System with Improved Infiltration Control</w:t>
            </w:r>
          </w:p>
        </w:tc>
        <w:tc>
          <w:tcPr>
            <w:tcW w:w="3420" w:type="dxa"/>
            <w:noWrap/>
            <w:hideMark/>
          </w:tcPr>
          <w:p w14:paraId="1457616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Heating and Cooling System with Standard Infiltration Control</w:t>
            </w:r>
          </w:p>
        </w:tc>
      </w:tr>
      <w:tr w:rsidR="00301405" w:rsidRPr="00301405" w14:paraId="12D207B1" w14:textId="77777777" w:rsidTr="00FC07E5">
        <w:tblPrEx>
          <w:tblLook w:val="04A0" w:firstRow="1" w:lastRow="0" w:firstColumn="1" w:lastColumn="0" w:noHBand="0" w:noVBand="1"/>
        </w:tblPrEx>
        <w:trPr>
          <w:trHeight w:val="300"/>
        </w:trPr>
        <w:tc>
          <w:tcPr>
            <w:tcW w:w="2359" w:type="dxa"/>
            <w:noWrap/>
            <w:hideMark/>
          </w:tcPr>
          <w:p w14:paraId="56F40CC2"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Ceiling Insulation(R12 to R38)</w:t>
            </w:r>
          </w:p>
        </w:tc>
        <w:tc>
          <w:tcPr>
            <w:tcW w:w="1331" w:type="dxa"/>
            <w:noWrap/>
            <w:hideMark/>
          </w:tcPr>
          <w:p w14:paraId="6B9A523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1A508C0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Blown-in insulation in ceiling cavity/attic, older (pre-1982) homes</w:t>
            </w:r>
          </w:p>
        </w:tc>
        <w:tc>
          <w:tcPr>
            <w:tcW w:w="3420" w:type="dxa"/>
            <w:noWrap/>
            <w:hideMark/>
          </w:tcPr>
          <w:p w14:paraId="1F18BB31"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Existing ceiling insulation based on building code at time of construction</w:t>
            </w:r>
          </w:p>
        </w:tc>
      </w:tr>
      <w:tr w:rsidR="00301405" w:rsidRPr="00301405" w14:paraId="404F94FD" w14:textId="77777777" w:rsidTr="00FC07E5">
        <w:tblPrEx>
          <w:tblLook w:val="04A0" w:firstRow="1" w:lastRow="0" w:firstColumn="1" w:lastColumn="0" w:noHBand="0" w:noVBand="1"/>
        </w:tblPrEx>
        <w:trPr>
          <w:trHeight w:val="600"/>
        </w:trPr>
        <w:tc>
          <w:tcPr>
            <w:tcW w:w="2359" w:type="dxa"/>
            <w:noWrap/>
            <w:hideMark/>
          </w:tcPr>
          <w:p w14:paraId="1E7DD051"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Ceiling Insulation(R19 to R38)</w:t>
            </w:r>
          </w:p>
        </w:tc>
        <w:tc>
          <w:tcPr>
            <w:tcW w:w="1331" w:type="dxa"/>
            <w:noWrap/>
            <w:hideMark/>
          </w:tcPr>
          <w:p w14:paraId="5BAD840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2AAFAB49"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Blown-in insulation in ceiling cavity/attic, existing (1982-1985) homes</w:t>
            </w:r>
          </w:p>
        </w:tc>
        <w:tc>
          <w:tcPr>
            <w:tcW w:w="3420" w:type="dxa"/>
            <w:noWrap/>
            <w:hideMark/>
          </w:tcPr>
          <w:p w14:paraId="304ACAB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Existing ceiling insulation based on building code at time of construction</w:t>
            </w:r>
          </w:p>
        </w:tc>
      </w:tr>
      <w:tr w:rsidR="00301405" w:rsidRPr="00301405" w14:paraId="2963930F" w14:textId="77777777" w:rsidTr="00FC07E5">
        <w:tblPrEx>
          <w:tblLook w:val="04A0" w:firstRow="1" w:lastRow="0" w:firstColumn="1" w:lastColumn="0" w:noHBand="0" w:noVBand="1"/>
        </w:tblPrEx>
        <w:trPr>
          <w:trHeight w:val="600"/>
        </w:trPr>
        <w:tc>
          <w:tcPr>
            <w:tcW w:w="2359" w:type="dxa"/>
            <w:noWrap/>
            <w:hideMark/>
          </w:tcPr>
          <w:p w14:paraId="481384D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Ceiling Insulation(R2 to R38)</w:t>
            </w:r>
          </w:p>
        </w:tc>
        <w:tc>
          <w:tcPr>
            <w:tcW w:w="1331" w:type="dxa"/>
            <w:noWrap/>
            <w:hideMark/>
          </w:tcPr>
          <w:p w14:paraId="2FDB877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13E8C0E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Blown-in insulation in ceiling cavity/attic, older (pre-1982) homes</w:t>
            </w:r>
          </w:p>
        </w:tc>
        <w:tc>
          <w:tcPr>
            <w:tcW w:w="3420" w:type="dxa"/>
            <w:noWrap/>
            <w:hideMark/>
          </w:tcPr>
          <w:p w14:paraId="633CAA71"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Existing ceiling insulation based on building code at time of construction</w:t>
            </w:r>
          </w:p>
        </w:tc>
      </w:tr>
      <w:tr w:rsidR="00301405" w:rsidRPr="00301405" w14:paraId="43924AD1" w14:textId="77777777" w:rsidTr="00FC07E5">
        <w:tblPrEx>
          <w:tblLook w:val="04A0" w:firstRow="1" w:lastRow="0" w:firstColumn="1" w:lastColumn="0" w:noHBand="0" w:noVBand="1"/>
        </w:tblPrEx>
        <w:trPr>
          <w:trHeight w:val="600"/>
        </w:trPr>
        <w:tc>
          <w:tcPr>
            <w:tcW w:w="2359" w:type="dxa"/>
            <w:noWrap/>
            <w:hideMark/>
          </w:tcPr>
          <w:p w14:paraId="6C0D706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Ceiling Insulation(R30 to R38)</w:t>
            </w:r>
          </w:p>
        </w:tc>
        <w:tc>
          <w:tcPr>
            <w:tcW w:w="1331" w:type="dxa"/>
            <w:noWrap/>
            <w:hideMark/>
          </w:tcPr>
          <w:p w14:paraId="5A9E03F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7B0B384D"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Blown-in insulation in ceiling cavity/attic, existing (1986-2016) homes</w:t>
            </w:r>
          </w:p>
        </w:tc>
        <w:tc>
          <w:tcPr>
            <w:tcW w:w="3420" w:type="dxa"/>
            <w:noWrap/>
            <w:hideMark/>
          </w:tcPr>
          <w:p w14:paraId="787BE1C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Existing ceiling insulation based on building code at time of construction</w:t>
            </w:r>
          </w:p>
        </w:tc>
      </w:tr>
      <w:tr w:rsidR="00301405" w:rsidRPr="00301405" w14:paraId="25174B0D" w14:textId="77777777" w:rsidTr="00FC07E5">
        <w:tblPrEx>
          <w:tblLook w:val="04A0" w:firstRow="1" w:lastRow="0" w:firstColumn="1" w:lastColumn="0" w:noHBand="0" w:noVBand="1"/>
        </w:tblPrEx>
        <w:trPr>
          <w:trHeight w:val="300"/>
        </w:trPr>
        <w:tc>
          <w:tcPr>
            <w:tcW w:w="2359" w:type="dxa"/>
            <w:noWrap/>
            <w:hideMark/>
          </w:tcPr>
          <w:p w14:paraId="5E4D0991"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Duct Insulation</w:t>
            </w:r>
          </w:p>
        </w:tc>
        <w:tc>
          <w:tcPr>
            <w:tcW w:w="1331" w:type="dxa"/>
            <w:noWrap/>
            <w:hideMark/>
          </w:tcPr>
          <w:p w14:paraId="4C74F11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3D52E5E3"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Electric Heating and Central AC with Insulated Ductwork</w:t>
            </w:r>
          </w:p>
        </w:tc>
        <w:tc>
          <w:tcPr>
            <w:tcW w:w="3420" w:type="dxa"/>
            <w:noWrap/>
            <w:hideMark/>
          </w:tcPr>
          <w:p w14:paraId="304A1513"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Electric Heating and Central AC with Uninsulated Ductwork</w:t>
            </w:r>
          </w:p>
        </w:tc>
      </w:tr>
      <w:tr w:rsidR="00301405" w:rsidRPr="00301405" w14:paraId="3041B2C2" w14:textId="77777777" w:rsidTr="00FC07E5">
        <w:tblPrEx>
          <w:tblLook w:val="04A0" w:firstRow="1" w:lastRow="0" w:firstColumn="1" w:lastColumn="0" w:noHBand="0" w:noVBand="1"/>
        </w:tblPrEx>
        <w:trPr>
          <w:trHeight w:val="600"/>
        </w:trPr>
        <w:tc>
          <w:tcPr>
            <w:tcW w:w="2359" w:type="dxa"/>
            <w:noWrap/>
            <w:hideMark/>
          </w:tcPr>
          <w:p w14:paraId="09A700B3"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Duct Repair</w:t>
            </w:r>
          </w:p>
        </w:tc>
        <w:tc>
          <w:tcPr>
            <w:tcW w:w="1331" w:type="dxa"/>
            <w:noWrap/>
            <w:hideMark/>
          </w:tcPr>
          <w:p w14:paraId="66D297B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3813F6CA"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Duct Repair to eliminate/minimize leaks, includes testing and sealing</w:t>
            </w:r>
          </w:p>
        </w:tc>
        <w:tc>
          <w:tcPr>
            <w:tcW w:w="3420" w:type="dxa"/>
            <w:noWrap/>
            <w:hideMark/>
          </w:tcPr>
          <w:p w14:paraId="70EF8802"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Electric Heating and Central AC with typical duct leakage</w:t>
            </w:r>
          </w:p>
        </w:tc>
      </w:tr>
      <w:tr w:rsidR="00301405" w:rsidRPr="00301405" w14:paraId="0C7F57CC" w14:textId="77777777" w:rsidTr="00FC07E5">
        <w:tblPrEx>
          <w:tblLook w:val="04A0" w:firstRow="1" w:lastRow="0" w:firstColumn="1" w:lastColumn="0" w:noHBand="0" w:noVBand="1"/>
        </w:tblPrEx>
        <w:trPr>
          <w:trHeight w:val="600"/>
        </w:trPr>
        <w:tc>
          <w:tcPr>
            <w:tcW w:w="2359" w:type="dxa"/>
            <w:noWrap/>
            <w:hideMark/>
          </w:tcPr>
          <w:p w14:paraId="6373840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Certified Roof Products</w:t>
            </w:r>
          </w:p>
        </w:tc>
        <w:tc>
          <w:tcPr>
            <w:tcW w:w="1331" w:type="dxa"/>
            <w:noWrap/>
            <w:hideMark/>
          </w:tcPr>
          <w:p w14:paraId="619D12A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61E1722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Certified Roof Products</w:t>
            </w:r>
          </w:p>
        </w:tc>
        <w:tc>
          <w:tcPr>
            <w:tcW w:w="3420" w:type="dxa"/>
            <w:noWrap/>
            <w:hideMark/>
          </w:tcPr>
          <w:p w14:paraId="20E501B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Black Roof</w:t>
            </w:r>
          </w:p>
        </w:tc>
      </w:tr>
      <w:tr w:rsidR="00301405" w:rsidRPr="00301405" w14:paraId="6C8AEE39" w14:textId="77777777" w:rsidTr="00FC07E5">
        <w:tblPrEx>
          <w:tblLook w:val="04A0" w:firstRow="1" w:lastRow="0" w:firstColumn="1" w:lastColumn="0" w:noHBand="0" w:noVBand="1"/>
        </w:tblPrEx>
        <w:trPr>
          <w:trHeight w:val="300"/>
        </w:trPr>
        <w:tc>
          <w:tcPr>
            <w:tcW w:w="2359" w:type="dxa"/>
            <w:noWrap/>
            <w:hideMark/>
          </w:tcPr>
          <w:p w14:paraId="0C57D4D3" w14:textId="0AE95FFD"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Door</w:t>
            </w:r>
            <w:r w:rsidR="00D12C73">
              <w:rPr>
                <w:rFonts w:ascii="Calibri" w:hAnsi="Calibri" w:cs="Calibri"/>
                <w:color w:val="000000"/>
                <w:sz w:val="18"/>
                <w:szCs w:val="22"/>
              </w:rPr>
              <w:t>*</w:t>
            </w:r>
          </w:p>
        </w:tc>
        <w:tc>
          <w:tcPr>
            <w:tcW w:w="1331" w:type="dxa"/>
            <w:noWrap/>
            <w:hideMark/>
          </w:tcPr>
          <w:p w14:paraId="208C607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445DAFD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21ft2 of Opaque Door meeting current Energy Star Requirements</w:t>
            </w:r>
          </w:p>
        </w:tc>
        <w:tc>
          <w:tcPr>
            <w:tcW w:w="3420" w:type="dxa"/>
            <w:noWrap/>
            <w:hideMark/>
          </w:tcPr>
          <w:p w14:paraId="592E9EB2"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21ft2 of Opaque Door meeting current FL Code Requirements</w:t>
            </w:r>
          </w:p>
        </w:tc>
      </w:tr>
      <w:tr w:rsidR="00301405" w:rsidRPr="00301405" w14:paraId="64D202F2" w14:textId="77777777" w:rsidTr="00FC07E5">
        <w:tblPrEx>
          <w:tblLook w:val="04A0" w:firstRow="1" w:lastRow="0" w:firstColumn="1" w:lastColumn="0" w:noHBand="0" w:noVBand="1"/>
        </w:tblPrEx>
        <w:trPr>
          <w:trHeight w:val="300"/>
        </w:trPr>
        <w:tc>
          <w:tcPr>
            <w:tcW w:w="2359" w:type="dxa"/>
            <w:noWrap/>
            <w:hideMark/>
          </w:tcPr>
          <w:p w14:paraId="28E1FF9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Windows</w:t>
            </w:r>
          </w:p>
        </w:tc>
        <w:tc>
          <w:tcPr>
            <w:tcW w:w="1331" w:type="dxa"/>
            <w:noWrap/>
            <w:hideMark/>
          </w:tcPr>
          <w:p w14:paraId="0115FEB9"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43D9B6A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100ft2 of Window meeting current Energy Star Version Requirements</w:t>
            </w:r>
          </w:p>
        </w:tc>
        <w:tc>
          <w:tcPr>
            <w:tcW w:w="3420" w:type="dxa"/>
            <w:noWrap/>
            <w:hideMark/>
          </w:tcPr>
          <w:p w14:paraId="12410E65"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100ft2 of Window current FL energy code requirements</w:t>
            </w:r>
          </w:p>
        </w:tc>
      </w:tr>
      <w:tr w:rsidR="00301405" w:rsidRPr="00301405" w14:paraId="46CCA05F" w14:textId="77777777" w:rsidTr="00FC07E5">
        <w:tblPrEx>
          <w:tblLook w:val="04A0" w:firstRow="1" w:lastRow="0" w:firstColumn="1" w:lastColumn="0" w:noHBand="0" w:noVBand="1"/>
        </w:tblPrEx>
        <w:trPr>
          <w:trHeight w:val="300"/>
        </w:trPr>
        <w:tc>
          <w:tcPr>
            <w:tcW w:w="2359" w:type="dxa"/>
            <w:noWrap/>
            <w:hideMark/>
          </w:tcPr>
          <w:p w14:paraId="67C7D7FA" w14:textId="36141AD8"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Floor Insulation</w:t>
            </w:r>
            <w:r w:rsidR="00D12C73">
              <w:rPr>
                <w:rFonts w:ascii="Calibri" w:hAnsi="Calibri" w:cs="Calibri"/>
                <w:color w:val="000000"/>
                <w:sz w:val="18"/>
                <w:szCs w:val="22"/>
              </w:rPr>
              <w:t>*</w:t>
            </w:r>
          </w:p>
        </w:tc>
        <w:tc>
          <w:tcPr>
            <w:tcW w:w="1331" w:type="dxa"/>
            <w:noWrap/>
            <w:hideMark/>
          </w:tcPr>
          <w:p w14:paraId="78B57865"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64D8AE1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Increased Floor Insulation (R-13)</w:t>
            </w:r>
          </w:p>
        </w:tc>
        <w:tc>
          <w:tcPr>
            <w:tcW w:w="3420" w:type="dxa"/>
            <w:noWrap/>
            <w:hideMark/>
          </w:tcPr>
          <w:p w14:paraId="679B2AFA"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Electric Heating and Central AC with Uninsulated Floor</w:t>
            </w:r>
          </w:p>
        </w:tc>
      </w:tr>
      <w:tr w:rsidR="00301405" w:rsidRPr="00301405" w14:paraId="7D6BC257" w14:textId="77777777" w:rsidTr="00FC07E5">
        <w:tblPrEx>
          <w:tblLook w:val="04A0" w:firstRow="1" w:lastRow="0" w:firstColumn="1" w:lastColumn="0" w:noHBand="0" w:noVBand="1"/>
        </w:tblPrEx>
        <w:trPr>
          <w:trHeight w:val="300"/>
        </w:trPr>
        <w:tc>
          <w:tcPr>
            <w:tcW w:w="2359" w:type="dxa"/>
            <w:noWrap/>
            <w:hideMark/>
          </w:tcPr>
          <w:p w14:paraId="33313767" w14:textId="7F69068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Green Roof</w:t>
            </w:r>
            <w:r w:rsidR="00D12C73">
              <w:rPr>
                <w:rFonts w:ascii="Calibri" w:hAnsi="Calibri" w:cs="Calibri"/>
                <w:color w:val="000000"/>
                <w:sz w:val="18"/>
                <w:szCs w:val="22"/>
              </w:rPr>
              <w:t>*</w:t>
            </w:r>
          </w:p>
        </w:tc>
        <w:tc>
          <w:tcPr>
            <w:tcW w:w="1331" w:type="dxa"/>
            <w:noWrap/>
            <w:hideMark/>
          </w:tcPr>
          <w:p w14:paraId="02272A9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33987602"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Vegetated Roof Surface on top of Standard Roof</w:t>
            </w:r>
          </w:p>
        </w:tc>
        <w:tc>
          <w:tcPr>
            <w:tcW w:w="3420" w:type="dxa"/>
            <w:noWrap/>
            <w:hideMark/>
          </w:tcPr>
          <w:p w14:paraId="7AF3FE32"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Black Roof</w:t>
            </w:r>
          </w:p>
        </w:tc>
      </w:tr>
      <w:tr w:rsidR="00301405" w:rsidRPr="00301405" w14:paraId="54BD09C2" w14:textId="77777777" w:rsidTr="00FC07E5">
        <w:tblPrEx>
          <w:tblLook w:val="04A0" w:firstRow="1" w:lastRow="0" w:firstColumn="1" w:lastColumn="0" w:noHBand="0" w:noVBand="1"/>
        </w:tblPrEx>
        <w:trPr>
          <w:trHeight w:val="315"/>
        </w:trPr>
        <w:tc>
          <w:tcPr>
            <w:tcW w:w="2359" w:type="dxa"/>
            <w:noWrap/>
            <w:hideMark/>
          </w:tcPr>
          <w:p w14:paraId="2A0B7F50" w14:textId="5D5B432B"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Ground Source Heat Pump</w:t>
            </w:r>
            <w:r w:rsidR="00D12C73">
              <w:rPr>
                <w:rFonts w:ascii="Calibri" w:hAnsi="Calibri" w:cs="Calibri"/>
                <w:color w:val="000000"/>
                <w:sz w:val="18"/>
                <w:szCs w:val="22"/>
              </w:rPr>
              <w:t>*</w:t>
            </w:r>
          </w:p>
        </w:tc>
        <w:tc>
          <w:tcPr>
            <w:tcW w:w="1331" w:type="dxa"/>
            <w:noWrap/>
            <w:hideMark/>
          </w:tcPr>
          <w:p w14:paraId="161FF5B5"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6321EBD5"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Ground Source Heat Pump</w:t>
            </w:r>
          </w:p>
        </w:tc>
        <w:tc>
          <w:tcPr>
            <w:tcW w:w="3420" w:type="dxa"/>
            <w:noWrap/>
            <w:hideMark/>
          </w:tcPr>
          <w:p w14:paraId="2761245F"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ASHP, 14 SEER, 8.2 HSPF</w:t>
            </w:r>
          </w:p>
        </w:tc>
      </w:tr>
      <w:tr w:rsidR="00301405" w:rsidRPr="00301405" w14:paraId="358B7431" w14:textId="77777777" w:rsidTr="00FC07E5">
        <w:tblPrEx>
          <w:tblLook w:val="04A0" w:firstRow="1" w:lastRow="0" w:firstColumn="1" w:lastColumn="0" w:noHBand="0" w:noVBand="1"/>
        </w:tblPrEx>
        <w:trPr>
          <w:trHeight w:val="300"/>
        </w:trPr>
        <w:tc>
          <w:tcPr>
            <w:tcW w:w="2359" w:type="dxa"/>
            <w:noWrap/>
            <w:hideMark/>
          </w:tcPr>
          <w:p w14:paraId="732C289F"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Heat Pump Tune Up</w:t>
            </w:r>
          </w:p>
        </w:tc>
        <w:tc>
          <w:tcPr>
            <w:tcW w:w="1331" w:type="dxa"/>
            <w:noWrap/>
            <w:hideMark/>
          </w:tcPr>
          <w:p w14:paraId="001F511B"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4C77174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System tune-up, including coil cleaning, refrigerant charging, and other diagnostics</w:t>
            </w:r>
          </w:p>
        </w:tc>
        <w:tc>
          <w:tcPr>
            <w:tcW w:w="3420" w:type="dxa"/>
            <w:noWrap/>
            <w:hideMark/>
          </w:tcPr>
          <w:p w14:paraId="0FC5E26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Heating and Cooling System without Regular Maintenance/tune-up</w:t>
            </w:r>
          </w:p>
        </w:tc>
      </w:tr>
      <w:tr w:rsidR="00301405" w:rsidRPr="00301405" w14:paraId="6F7421B3" w14:textId="77777777" w:rsidTr="00FC07E5">
        <w:tblPrEx>
          <w:tblLook w:val="04A0" w:firstRow="1" w:lastRow="0" w:firstColumn="1" w:lastColumn="0" w:noHBand="0" w:noVBand="1"/>
        </w:tblPrEx>
        <w:trPr>
          <w:trHeight w:val="300"/>
        </w:trPr>
        <w:tc>
          <w:tcPr>
            <w:tcW w:w="2359" w:type="dxa"/>
            <w:noWrap/>
            <w:hideMark/>
          </w:tcPr>
          <w:p w14:paraId="41F54F6C" w14:textId="6652F190"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Home Energy Management System</w:t>
            </w:r>
            <w:r w:rsidR="00D12C73">
              <w:rPr>
                <w:rFonts w:ascii="Calibri" w:hAnsi="Calibri" w:cs="Calibri"/>
                <w:color w:val="000000"/>
                <w:sz w:val="18"/>
                <w:szCs w:val="22"/>
              </w:rPr>
              <w:t>*</w:t>
            </w:r>
          </w:p>
        </w:tc>
        <w:tc>
          <w:tcPr>
            <w:tcW w:w="1331" w:type="dxa"/>
            <w:noWrap/>
            <w:hideMark/>
          </w:tcPr>
          <w:p w14:paraId="7AF4B0FB"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183689B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Typical HVAC by Building Type Controlled by Home Energy Management System (smart hub and hub-connected thermostat)</w:t>
            </w:r>
          </w:p>
        </w:tc>
        <w:tc>
          <w:tcPr>
            <w:tcW w:w="3420" w:type="dxa"/>
            <w:noWrap/>
            <w:hideMark/>
          </w:tcPr>
          <w:p w14:paraId="7F4E071F"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Typical HVAC by Building Type, Manually Controlled</w:t>
            </w:r>
          </w:p>
        </w:tc>
      </w:tr>
      <w:tr w:rsidR="00301405" w:rsidRPr="00301405" w14:paraId="6142B98B" w14:textId="77777777" w:rsidTr="00FC07E5">
        <w:tblPrEx>
          <w:tblLook w:val="04A0" w:firstRow="1" w:lastRow="0" w:firstColumn="1" w:lastColumn="0" w:noHBand="0" w:noVBand="1"/>
        </w:tblPrEx>
        <w:trPr>
          <w:trHeight w:val="300"/>
        </w:trPr>
        <w:tc>
          <w:tcPr>
            <w:tcW w:w="2359" w:type="dxa"/>
            <w:noWrap/>
            <w:hideMark/>
          </w:tcPr>
          <w:p w14:paraId="553DD08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Programmable Thermostat</w:t>
            </w:r>
          </w:p>
        </w:tc>
        <w:tc>
          <w:tcPr>
            <w:tcW w:w="1331" w:type="dxa"/>
            <w:noWrap/>
            <w:hideMark/>
          </w:tcPr>
          <w:p w14:paraId="3F75B8AA"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223A21A2"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Pre-set programmable thermostat that replaces manual thermostat</w:t>
            </w:r>
          </w:p>
        </w:tc>
        <w:tc>
          <w:tcPr>
            <w:tcW w:w="3420" w:type="dxa"/>
            <w:noWrap/>
            <w:hideMark/>
          </w:tcPr>
          <w:p w14:paraId="2B290F75"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Heating and Cooling System with Manual Thermostat</w:t>
            </w:r>
          </w:p>
        </w:tc>
      </w:tr>
      <w:tr w:rsidR="00301405" w:rsidRPr="00301405" w14:paraId="6A85212E" w14:textId="77777777" w:rsidTr="00FC07E5">
        <w:tblPrEx>
          <w:tblLook w:val="04A0" w:firstRow="1" w:lastRow="0" w:firstColumn="1" w:lastColumn="0" w:noHBand="0" w:noVBand="1"/>
        </w:tblPrEx>
        <w:trPr>
          <w:trHeight w:val="300"/>
        </w:trPr>
        <w:tc>
          <w:tcPr>
            <w:tcW w:w="2359" w:type="dxa"/>
            <w:noWrap/>
            <w:hideMark/>
          </w:tcPr>
          <w:p w14:paraId="57D4F29F"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Radiant Barrier</w:t>
            </w:r>
          </w:p>
        </w:tc>
        <w:tc>
          <w:tcPr>
            <w:tcW w:w="1331" w:type="dxa"/>
            <w:noWrap/>
            <w:hideMark/>
          </w:tcPr>
          <w:p w14:paraId="1F6C9189"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2317EB1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 xml:space="preserve">Radiant Barrier </w:t>
            </w:r>
          </w:p>
        </w:tc>
        <w:tc>
          <w:tcPr>
            <w:tcW w:w="3420" w:type="dxa"/>
            <w:noWrap/>
            <w:hideMark/>
          </w:tcPr>
          <w:p w14:paraId="67A2C5A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No radiant barrier</w:t>
            </w:r>
          </w:p>
        </w:tc>
      </w:tr>
      <w:tr w:rsidR="00301405" w:rsidRPr="00301405" w14:paraId="766556A7" w14:textId="77777777" w:rsidTr="00FC07E5">
        <w:tblPrEx>
          <w:tblLook w:val="04A0" w:firstRow="1" w:lastRow="0" w:firstColumn="1" w:lastColumn="0" w:noHBand="0" w:noVBand="1"/>
        </w:tblPrEx>
        <w:trPr>
          <w:trHeight w:val="300"/>
        </w:trPr>
        <w:tc>
          <w:tcPr>
            <w:tcW w:w="2359" w:type="dxa"/>
            <w:noWrap/>
            <w:hideMark/>
          </w:tcPr>
          <w:p w14:paraId="1056E48A" w14:textId="3C569135"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Sealed crawlspace</w:t>
            </w:r>
            <w:r w:rsidR="00D12C73">
              <w:rPr>
                <w:rFonts w:ascii="Calibri" w:hAnsi="Calibri" w:cs="Calibri"/>
                <w:color w:val="000000"/>
                <w:sz w:val="18"/>
                <w:szCs w:val="22"/>
              </w:rPr>
              <w:t>*</w:t>
            </w:r>
          </w:p>
        </w:tc>
        <w:tc>
          <w:tcPr>
            <w:tcW w:w="1331" w:type="dxa"/>
            <w:noWrap/>
            <w:hideMark/>
          </w:tcPr>
          <w:p w14:paraId="708A3B2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020C29C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Encapsulated and semi-conditioned crawlspace</w:t>
            </w:r>
          </w:p>
        </w:tc>
        <w:tc>
          <w:tcPr>
            <w:tcW w:w="3420" w:type="dxa"/>
            <w:noWrap/>
            <w:hideMark/>
          </w:tcPr>
          <w:p w14:paraId="27AB6C45"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Naturally vented, unconditioned crawlspace</w:t>
            </w:r>
          </w:p>
        </w:tc>
      </w:tr>
      <w:tr w:rsidR="00301405" w:rsidRPr="00301405" w14:paraId="572ACEEE" w14:textId="77777777" w:rsidTr="00FC07E5">
        <w:tblPrEx>
          <w:tblLook w:val="04A0" w:firstRow="1" w:lastRow="0" w:firstColumn="1" w:lastColumn="0" w:noHBand="0" w:noVBand="1"/>
        </w:tblPrEx>
        <w:trPr>
          <w:trHeight w:val="300"/>
        </w:trPr>
        <w:tc>
          <w:tcPr>
            <w:tcW w:w="2359" w:type="dxa"/>
            <w:noWrap/>
            <w:hideMark/>
          </w:tcPr>
          <w:p w14:paraId="28BA2F5E" w14:textId="7B2C533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Smart Thermostat</w:t>
            </w:r>
            <w:r w:rsidR="00D12C73">
              <w:rPr>
                <w:rFonts w:ascii="Calibri" w:hAnsi="Calibri" w:cs="Calibri"/>
                <w:color w:val="000000"/>
                <w:sz w:val="18"/>
                <w:szCs w:val="22"/>
              </w:rPr>
              <w:t>*</w:t>
            </w:r>
          </w:p>
        </w:tc>
        <w:tc>
          <w:tcPr>
            <w:tcW w:w="1331" w:type="dxa"/>
            <w:noWrap/>
            <w:hideMark/>
          </w:tcPr>
          <w:p w14:paraId="09B7F5C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715D8C57" w14:textId="718CF66D"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Thermostats that include "smart" features such as occupan</w:t>
            </w:r>
            <w:r w:rsidR="00D12C73">
              <w:rPr>
                <w:rFonts w:ascii="Calibri" w:hAnsi="Calibri" w:cs="Calibri"/>
                <w:color w:val="000000"/>
                <w:sz w:val="18"/>
                <w:szCs w:val="22"/>
              </w:rPr>
              <w:t>c</w:t>
            </w:r>
            <w:r w:rsidRPr="00301405">
              <w:rPr>
                <w:rFonts w:ascii="Calibri" w:hAnsi="Calibri" w:cs="Calibri"/>
                <w:color w:val="000000"/>
                <w:sz w:val="18"/>
                <w:szCs w:val="22"/>
              </w:rPr>
              <w:t>y sensors, geo</w:t>
            </w:r>
            <w:r w:rsidR="00D12C73">
              <w:rPr>
                <w:rFonts w:ascii="Calibri" w:hAnsi="Calibri" w:cs="Calibri"/>
                <w:color w:val="000000"/>
                <w:sz w:val="18"/>
                <w:szCs w:val="22"/>
              </w:rPr>
              <w:t>-</w:t>
            </w:r>
            <w:r w:rsidRPr="00301405">
              <w:rPr>
                <w:rFonts w:ascii="Calibri" w:hAnsi="Calibri" w:cs="Calibri"/>
                <w:color w:val="000000"/>
                <w:sz w:val="18"/>
                <w:szCs w:val="22"/>
              </w:rPr>
              <w:t>fencing, multi-zone sensors</w:t>
            </w:r>
          </w:p>
        </w:tc>
        <w:tc>
          <w:tcPr>
            <w:tcW w:w="3420" w:type="dxa"/>
            <w:noWrap/>
            <w:hideMark/>
          </w:tcPr>
          <w:p w14:paraId="2CDDE1C3"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Heating and Cooling System with Manual Thermostat</w:t>
            </w:r>
          </w:p>
        </w:tc>
      </w:tr>
      <w:tr w:rsidR="00301405" w:rsidRPr="00301405" w14:paraId="02CD23C6" w14:textId="77777777" w:rsidTr="00FC07E5">
        <w:tblPrEx>
          <w:tblLook w:val="04A0" w:firstRow="1" w:lastRow="0" w:firstColumn="1" w:lastColumn="0" w:noHBand="0" w:noVBand="1"/>
        </w:tblPrEx>
        <w:trPr>
          <w:trHeight w:val="300"/>
        </w:trPr>
        <w:tc>
          <w:tcPr>
            <w:tcW w:w="2359" w:type="dxa"/>
            <w:noWrap/>
            <w:hideMark/>
          </w:tcPr>
          <w:p w14:paraId="2051592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Spray Foam Insulation(Base R12)</w:t>
            </w:r>
          </w:p>
        </w:tc>
        <w:tc>
          <w:tcPr>
            <w:tcW w:w="1331" w:type="dxa"/>
            <w:noWrap/>
            <w:hideMark/>
          </w:tcPr>
          <w:p w14:paraId="6BD6EF95"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2FB217F9"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Open cell spray foam along roofline in older (pre-1982) homes</w:t>
            </w:r>
          </w:p>
        </w:tc>
        <w:tc>
          <w:tcPr>
            <w:tcW w:w="3420" w:type="dxa"/>
            <w:noWrap/>
            <w:hideMark/>
          </w:tcPr>
          <w:p w14:paraId="5E4E743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Existing ceiling insulation based on building code at time of construction</w:t>
            </w:r>
          </w:p>
        </w:tc>
      </w:tr>
      <w:tr w:rsidR="00301405" w:rsidRPr="00301405" w14:paraId="1E3DA5E3" w14:textId="77777777" w:rsidTr="00FC07E5">
        <w:tblPrEx>
          <w:tblLook w:val="04A0" w:firstRow="1" w:lastRow="0" w:firstColumn="1" w:lastColumn="0" w:noHBand="0" w:noVBand="1"/>
        </w:tblPrEx>
        <w:trPr>
          <w:trHeight w:val="300"/>
        </w:trPr>
        <w:tc>
          <w:tcPr>
            <w:tcW w:w="2359" w:type="dxa"/>
            <w:noWrap/>
            <w:hideMark/>
          </w:tcPr>
          <w:p w14:paraId="12E2027A"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Spray Foam Insulation(Base R19)</w:t>
            </w:r>
          </w:p>
        </w:tc>
        <w:tc>
          <w:tcPr>
            <w:tcW w:w="1331" w:type="dxa"/>
            <w:noWrap/>
            <w:hideMark/>
          </w:tcPr>
          <w:p w14:paraId="0385C7D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3E50FC9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Open cell spray foam along roofline in existing (1982-1985) homes</w:t>
            </w:r>
          </w:p>
        </w:tc>
        <w:tc>
          <w:tcPr>
            <w:tcW w:w="3420" w:type="dxa"/>
            <w:noWrap/>
            <w:hideMark/>
          </w:tcPr>
          <w:p w14:paraId="43F80DF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Existing ceiling insulation based on building code at time of construction</w:t>
            </w:r>
          </w:p>
        </w:tc>
      </w:tr>
      <w:tr w:rsidR="00301405" w:rsidRPr="00301405" w14:paraId="51B2EE64" w14:textId="77777777" w:rsidTr="00FC07E5">
        <w:tblPrEx>
          <w:tblLook w:val="04A0" w:firstRow="1" w:lastRow="0" w:firstColumn="1" w:lastColumn="0" w:noHBand="0" w:noVBand="1"/>
        </w:tblPrEx>
        <w:trPr>
          <w:trHeight w:val="300"/>
        </w:trPr>
        <w:tc>
          <w:tcPr>
            <w:tcW w:w="2359" w:type="dxa"/>
            <w:noWrap/>
            <w:hideMark/>
          </w:tcPr>
          <w:p w14:paraId="3E11BC6C"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Spray Foam Insulation(Base R2)</w:t>
            </w:r>
          </w:p>
        </w:tc>
        <w:tc>
          <w:tcPr>
            <w:tcW w:w="1331" w:type="dxa"/>
            <w:noWrap/>
            <w:hideMark/>
          </w:tcPr>
          <w:p w14:paraId="49765599"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5BBEAAAB"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Open cell spray foam along roofline in older (pre-1982) homes</w:t>
            </w:r>
          </w:p>
        </w:tc>
        <w:tc>
          <w:tcPr>
            <w:tcW w:w="3420" w:type="dxa"/>
            <w:noWrap/>
            <w:hideMark/>
          </w:tcPr>
          <w:p w14:paraId="3CA6450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Existing ceiling insulation based on building code at time of construction</w:t>
            </w:r>
          </w:p>
        </w:tc>
      </w:tr>
      <w:tr w:rsidR="00301405" w:rsidRPr="00301405" w14:paraId="046395F6" w14:textId="77777777" w:rsidTr="00FC07E5">
        <w:tblPrEx>
          <w:tblLook w:val="04A0" w:firstRow="1" w:lastRow="0" w:firstColumn="1" w:lastColumn="0" w:noHBand="0" w:noVBand="1"/>
        </w:tblPrEx>
        <w:trPr>
          <w:trHeight w:val="300"/>
        </w:trPr>
        <w:tc>
          <w:tcPr>
            <w:tcW w:w="2359" w:type="dxa"/>
            <w:noWrap/>
            <w:hideMark/>
          </w:tcPr>
          <w:p w14:paraId="58704BCB"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Spray Foam Insulation(Base R30)</w:t>
            </w:r>
          </w:p>
        </w:tc>
        <w:tc>
          <w:tcPr>
            <w:tcW w:w="1331" w:type="dxa"/>
            <w:noWrap/>
            <w:hideMark/>
          </w:tcPr>
          <w:p w14:paraId="67187FF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31F1082F"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Open cell spray foam along roofline in existing (1986-2016) homes</w:t>
            </w:r>
          </w:p>
        </w:tc>
        <w:tc>
          <w:tcPr>
            <w:tcW w:w="3420" w:type="dxa"/>
            <w:noWrap/>
            <w:hideMark/>
          </w:tcPr>
          <w:p w14:paraId="06D3BF6E"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Existing ceiling insulation based on building code at time of construction</w:t>
            </w:r>
          </w:p>
        </w:tc>
      </w:tr>
      <w:tr w:rsidR="00301405" w:rsidRPr="00301405" w14:paraId="4FFDEF2A" w14:textId="77777777" w:rsidTr="00FC07E5">
        <w:tblPrEx>
          <w:tblLook w:val="04A0" w:firstRow="1" w:lastRow="0" w:firstColumn="1" w:lastColumn="0" w:noHBand="0" w:noVBand="1"/>
        </w:tblPrEx>
        <w:trPr>
          <w:trHeight w:val="300"/>
        </w:trPr>
        <w:tc>
          <w:tcPr>
            <w:tcW w:w="2359" w:type="dxa"/>
            <w:noWrap/>
            <w:hideMark/>
          </w:tcPr>
          <w:p w14:paraId="7B7CBE47" w14:textId="600D75B2"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Storm Door</w:t>
            </w:r>
            <w:r w:rsidR="00D12C73">
              <w:rPr>
                <w:rFonts w:ascii="Calibri" w:hAnsi="Calibri" w:cs="Calibri"/>
                <w:color w:val="000000"/>
                <w:sz w:val="18"/>
                <w:szCs w:val="22"/>
              </w:rPr>
              <w:t>*</w:t>
            </w:r>
          </w:p>
        </w:tc>
        <w:tc>
          <w:tcPr>
            <w:tcW w:w="1331" w:type="dxa"/>
            <w:noWrap/>
            <w:hideMark/>
          </w:tcPr>
          <w:p w14:paraId="7B9CA7AB"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43D95151"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21ft2 of Opaque Door meeting current Energy Star Version Requirements</w:t>
            </w:r>
          </w:p>
        </w:tc>
        <w:tc>
          <w:tcPr>
            <w:tcW w:w="3420" w:type="dxa"/>
            <w:noWrap/>
            <w:hideMark/>
          </w:tcPr>
          <w:p w14:paraId="0311768F"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21ft2 of Opaque Door meeting current FL Code Requirements</w:t>
            </w:r>
          </w:p>
        </w:tc>
      </w:tr>
      <w:tr w:rsidR="00301405" w:rsidRPr="00301405" w14:paraId="5200F077" w14:textId="77777777" w:rsidTr="00FC07E5">
        <w:tblPrEx>
          <w:tblLook w:val="04A0" w:firstRow="1" w:lastRow="0" w:firstColumn="1" w:lastColumn="0" w:noHBand="0" w:noVBand="1"/>
        </w:tblPrEx>
        <w:trPr>
          <w:trHeight w:val="300"/>
        </w:trPr>
        <w:tc>
          <w:tcPr>
            <w:tcW w:w="2359" w:type="dxa"/>
            <w:noWrap/>
            <w:hideMark/>
          </w:tcPr>
          <w:p w14:paraId="5BCD0656" w14:textId="112CA65C"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Variable Refrigerant Flow (VRF) HVAC Systems</w:t>
            </w:r>
            <w:r w:rsidR="00D12C73">
              <w:rPr>
                <w:rFonts w:ascii="Calibri" w:hAnsi="Calibri" w:cs="Calibri"/>
                <w:color w:val="000000"/>
                <w:sz w:val="18"/>
                <w:szCs w:val="22"/>
              </w:rPr>
              <w:t>*</w:t>
            </w:r>
          </w:p>
        </w:tc>
        <w:tc>
          <w:tcPr>
            <w:tcW w:w="1331" w:type="dxa"/>
            <w:noWrap/>
            <w:hideMark/>
          </w:tcPr>
          <w:p w14:paraId="6378E72F"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3049DD0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Variable Refrigerant Flow (VRF) HVAC Systems</w:t>
            </w:r>
          </w:p>
        </w:tc>
        <w:tc>
          <w:tcPr>
            <w:tcW w:w="3420" w:type="dxa"/>
            <w:noWrap/>
            <w:hideMark/>
          </w:tcPr>
          <w:p w14:paraId="1CB11F0D"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ASHP, 14 SEER, 8.2 HSPF</w:t>
            </w:r>
          </w:p>
        </w:tc>
      </w:tr>
      <w:tr w:rsidR="00301405" w:rsidRPr="00301405" w14:paraId="55DEA725" w14:textId="77777777" w:rsidTr="00FC07E5">
        <w:tblPrEx>
          <w:tblLook w:val="04A0" w:firstRow="1" w:lastRow="0" w:firstColumn="1" w:lastColumn="0" w:noHBand="0" w:noVBand="1"/>
        </w:tblPrEx>
        <w:trPr>
          <w:trHeight w:val="300"/>
        </w:trPr>
        <w:tc>
          <w:tcPr>
            <w:tcW w:w="2359" w:type="dxa"/>
            <w:noWrap/>
            <w:hideMark/>
          </w:tcPr>
          <w:p w14:paraId="0915EEA9"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Wall Insulation</w:t>
            </w:r>
          </w:p>
        </w:tc>
        <w:tc>
          <w:tcPr>
            <w:tcW w:w="1331" w:type="dxa"/>
            <w:noWrap/>
            <w:hideMark/>
          </w:tcPr>
          <w:p w14:paraId="29716C5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7F550543"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Increased Exterior Above-Grade Wall Insulation (R-13)</w:t>
            </w:r>
          </w:p>
        </w:tc>
        <w:tc>
          <w:tcPr>
            <w:tcW w:w="3420" w:type="dxa"/>
            <w:noWrap/>
            <w:hideMark/>
          </w:tcPr>
          <w:p w14:paraId="7BB7D120"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Market Average Existing Exterior Above-Grade Wall Insulation</w:t>
            </w:r>
          </w:p>
        </w:tc>
      </w:tr>
      <w:tr w:rsidR="00301405" w:rsidRPr="00301405" w14:paraId="28BBEAB9" w14:textId="77777777" w:rsidTr="00FC07E5">
        <w:tblPrEx>
          <w:tblLook w:val="04A0" w:firstRow="1" w:lastRow="0" w:firstColumn="1" w:lastColumn="0" w:noHBand="0" w:noVBand="1"/>
        </w:tblPrEx>
        <w:trPr>
          <w:trHeight w:val="300"/>
        </w:trPr>
        <w:tc>
          <w:tcPr>
            <w:tcW w:w="2359" w:type="dxa"/>
            <w:noWrap/>
            <w:hideMark/>
          </w:tcPr>
          <w:p w14:paraId="59BF0D4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Window Sun Protection</w:t>
            </w:r>
          </w:p>
        </w:tc>
        <w:tc>
          <w:tcPr>
            <w:tcW w:w="1331" w:type="dxa"/>
            <w:noWrap/>
            <w:hideMark/>
          </w:tcPr>
          <w:p w14:paraId="116D7101"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2E94F1C8"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Window Film Applied to Standard Window</w:t>
            </w:r>
          </w:p>
        </w:tc>
        <w:tc>
          <w:tcPr>
            <w:tcW w:w="3420" w:type="dxa"/>
            <w:noWrap/>
            <w:hideMark/>
          </w:tcPr>
          <w:p w14:paraId="230C44E6"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Window with below Code Required Minimum SHGC</w:t>
            </w:r>
          </w:p>
        </w:tc>
      </w:tr>
      <w:tr w:rsidR="00301405" w:rsidRPr="00301405" w14:paraId="48D414D1" w14:textId="77777777" w:rsidTr="00FC07E5">
        <w:tblPrEx>
          <w:tblLook w:val="04A0" w:firstRow="1" w:lastRow="0" w:firstColumn="1" w:lastColumn="0" w:noHBand="0" w:noVBand="1"/>
        </w:tblPrEx>
        <w:trPr>
          <w:trHeight w:val="402"/>
        </w:trPr>
        <w:tc>
          <w:tcPr>
            <w:tcW w:w="2359" w:type="dxa"/>
            <w:noWrap/>
            <w:hideMark/>
          </w:tcPr>
          <w:p w14:paraId="4C287367"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HVAC ECM Motor</w:t>
            </w:r>
          </w:p>
        </w:tc>
        <w:tc>
          <w:tcPr>
            <w:tcW w:w="1331" w:type="dxa"/>
            <w:noWrap/>
            <w:hideMark/>
          </w:tcPr>
          <w:p w14:paraId="46E01919"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Heating</w:t>
            </w:r>
          </w:p>
        </w:tc>
        <w:tc>
          <w:tcPr>
            <w:tcW w:w="3510" w:type="dxa"/>
            <w:noWrap/>
            <w:hideMark/>
          </w:tcPr>
          <w:p w14:paraId="1E2FB664"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Variable Speed Electronically Commutated Motor for an Electric Furnace</w:t>
            </w:r>
          </w:p>
        </w:tc>
        <w:tc>
          <w:tcPr>
            <w:tcW w:w="3420" w:type="dxa"/>
            <w:noWrap/>
            <w:hideMark/>
          </w:tcPr>
          <w:p w14:paraId="2774D9CB" w14:textId="77777777" w:rsidR="00301405" w:rsidRPr="00301405" w:rsidRDefault="00301405" w:rsidP="00301405">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Permanent Split Capacitor Motor for Electric Furnace</w:t>
            </w:r>
          </w:p>
        </w:tc>
      </w:tr>
    </w:tbl>
    <w:p w14:paraId="6401F47D" w14:textId="77777777" w:rsidR="00222ED6" w:rsidRDefault="00222ED6" w:rsidP="00222ED6">
      <w:pPr>
        <w:pStyle w:val="Text"/>
      </w:pPr>
    </w:p>
    <w:p w14:paraId="6401F47E" w14:textId="77777777" w:rsidR="00464F0D" w:rsidRDefault="00464F0D" w:rsidP="00222ED6">
      <w:pPr>
        <w:pStyle w:val="Text"/>
      </w:pPr>
      <w:r>
        <w:br w:type="page"/>
      </w:r>
    </w:p>
    <w:p w14:paraId="6401F47F" w14:textId="77777777" w:rsidR="00E06704" w:rsidRDefault="00E06704" w:rsidP="00E06704">
      <w:pPr>
        <w:pStyle w:val="Heading8"/>
      </w:pPr>
      <w:r>
        <w:t>Commercial Measures</w:t>
      </w:r>
    </w:p>
    <w:tbl>
      <w:tblPr>
        <w:tblStyle w:val="NEXANTNEWTABLESTYLE"/>
        <w:tblW w:w="10620" w:type="dxa"/>
        <w:tblInd w:w="-450" w:type="dxa"/>
        <w:tblLook w:val="0020" w:firstRow="1" w:lastRow="0" w:firstColumn="0" w:lastColumn="0" w:noHBand="0" w:noVBand="0"/>
      </w:tblPr>
      <w:tblGrid>
        <w:gridCol w:w="2359"/>
        <w:gridCol w:w="1331"/>
        <w:gridCol w:w="3510"/>
        <w:gridCol w:w="3420"/>
      </w:tblGrid>
      <w:tr w:rsidR="00CD1C71" w:rsidRPr="00301405" w14:paraId="6C592B09" w14:textId="77777777" w:rsidTr="00B94618">
        <w:trPr>
          <w:cnfStyle w:val="100000000000" w:firstRow="1" w:lastRow="0" w:firstColumn="0" w:lastColumn="0" w:oddVBand="0" w:evenVBand="0" w:oddHBand="0" w:evenHBand="0" w:firstRowFirstColumn="0" w:firstRowLastColumn="0" w:lastRowFirstColumn="0" w:lastRowLastColumn="0"/>
          <w:tblHeader/>
        </w:trPr>
        <w:tc>
          <w:tcPr>
            <w:tcW w:w="2359" w:type="dxa"/>
            <w:vAlign w:val="center"/>
          </w:tcPr>
          <w:p w14:paraId="2718B139" w14:textId="77777777" w:rsidR="00CD1C71" w:rsidRPr="00B94618" w:rsidRDefault="00CD1C71" w:rsidP="00CD1C71">
            <w:pPr>
              <w:pStyle w:val="Tables-Bodycells"/>
              <w:rPr>
                <w:szCs w:val="18"/>
              </w:rPr>
            </w:pPr>
            <w:r w:rsidRPr="00B94618">
              <w:rPr>
                <w:szCs w:val="18"/>
              </w:rPr>
              <w:t>Measure</w:t>
            </w:r>
          </w:p>
        </w:tc>
        <w:tc>
          <w:tcPr>
            <w:tcW w:w="1331" w:type="dxa"/>
            <w:vAlign w:val="center"/>
          </w:tcPr>
          <w:p w14:paraId="79539CCA" w14:textId="2EF56D5C" w:rsidR="00CD1C71" w:rsidRPr="00B94618" w:rsidRDefault="007576CB" w:rsidP="00CD1C71">
            <w:pPr>
              <w:pStyle w:val="Tables-Bodycells"/>
              <w:rPr>
                <w:szCs w:val="18"/>
              </w:rPr>
            </w:pPr>
            <w:r>
              <w:rPr>
                <w:szCs w:val="18"/>
              </w:rPr>
              <w:t>End-</w:t>
            </w:r>
            <w:r w:rsidR="00CD1C71" w:rsidRPr="00B94618">
              <w:rPr>
                <w:szCs w:val="18"/>
              </w:rPr>
              <w:t>Use</w:t>
            </w:r>
          </w:p>
        </w:tc>
        <w:tc>
          <w:tcPr>
            <w:tcW w:w="3510" w:type="dxa"/>
          </w:tcPr>
          <w:p w14:paraId="17B2DD5B" w14:textId="77777777" w:rsidR="00CD1C71" w:rsidRPr="00B94618" w:rsidRDefault="00CD1C71" w:rsidP="00CD1C71">
            <w:pPr>
              <w:pStyle w:val="Tables-Bodycells"/>
              <w:rPr>
                <w:szCs w:val="18"/>
              </w:rPr>
            </w:pPr>
            <w:r w:rsidRPr="00B94618">
              <w:rPr>
                <w:szCs w:val="18"/>
              </w:rPr>
              <w:t>Description</w:t>
            </w:r>
          </w:p>
        </w:tc>
        <w:tc>
          <w:tcPr>
            <w:tcW w:w="3420" w:type="dxa"/>
            <w:vAlign w:val="center"/>
          </w:tcPr>
          <w:p w14:paraId="43E2BC28" w14:textId="77777777" w:rsidR="00CD1C71" w:rsidRPr="00B94618" w:rsidRDefault="00CD1C71" w:rsidP="00CD1C71">
            <w:pPr>
              <w:pStyle w:val="Tables-Bodycells"/>
              <w:rPr>
                <w:szCs w:val="18"/>
              </w:rPr>
            </w:pPr>
            <w:r w:rsidRPr="00B94618">
              <w:rPr>
                <w:szCs w:val="18"/>
              </w:rPr>
              <w:t>Baseline</w:t>
            </w:r>
          </w:p>
        </w:tc>
      </w:tr>
      <w:tr w:rsidR="00B94618" w:rsidRPr="00B94618" w14:paraId="35E917A2" w14:textId="77777777" w:rsidTr="00B94618">
        <w:tblPrEx>
          <w:tblLook w:val="04A0" w:firstRow="1" w:lastRow="0" w:firstColumn="1" w:lastColumn="0" w:noHBand="0" w:noVBand="1"/>
        </w:tblPrEx>
        <w:trPr>
          <w:trHeight w:val="395"/>
        </w:trPr>
        <w:tc>
          <w:tcPr>
            <w:tcW w:w="2359" w:type="dxa"/>
            <w:noWrap/>
            <w:hideMark/>
          </w:tcPr>
          <w:p w14:paraId="57DC1810"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Efficient Exhaust Hood</w:t>
            </w:r>
          </w:p>
        </w:tc>
        <w:tc>
          <w:tcPr>
            <w:tcW w:w="1331" w:type="dxa"/>
            <w:noWrap/>
            <w:hideMark/>
          </w:tcPr>
          <w:p w14:paraId="3193F6D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Cooking</w:t>
            </w:r>
          </w:p>
        </w:tc>
        <w:tc>
          <w:tcPr>
            <w:tcW w:w="3510" w:type="dxa"/>
            <w:noWrap/>
            <w:hideMark/>
          </w:tcPr>
          <w:p w14:paraId="1470F4C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Kitchen ventilation with automatically adjusting fan controls</w:t>
            </w:r>
          </w:p>
        </w:tc>
        <w:tc>
          <w:tcPr>
            <w:tcW w:w="3420" w:type="dxa"/>
            <w:noWrap/>
            <w:hideMark/>
          </w:tcPr>
          <w:p w14:paraId="4C6ABD32"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Kitchen ventilation with constant speed ventilation motor</w:t>
            </w:r>
          </w:p>
        </w:tc>
      </w:tr>
      <w:tr w:rsidR="00B94618" w:rsidRPr="00B94618" w14:paraId="3B1F8CAD" w14:textId="77777777" w:rsidTr="00B94618">
        <w:tblPrEx>
          <w:tblLook w:val="04A0" w:firstRow="1" w:lastRow="0" w:firstColumn="1" w:lastColumn="0" w:noHBand="0" w:noVBand="1"/>
        </w:tblPrEx>
        <w:trPr>
          <w:trHeight w:val="395"/>
        </w:trPr>
        <w:tc>
          <w:tcPr>
            <w:tcW w:w="2359" w:type="dxa"/>
            <w:noWrap/>
            <w:hideMark/>
          </w:tcPr>
          <w:p w14:paraId="4A3C6DFA"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Commercial Oven</w:t>
            </w:r>
          </w:p>
        </w:tc>
        <w:tc>
          <w:tcPr>
            <w:tcW w:w="1331" w:type="dxa"/>
            <w:noWrap/>
            <w:hideMark/>
          </w:tcPr>
          <w:p w14:paraId="0B53FEA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Cooking</w:t>
            </w:r>
          </w:p>
        </w:tc>
        <w:tc>
          <w:tcPr>
            <w:tcW w:w="3510" w:type="dxa"/>
            <w:noWrap/>
            <w:hideMark/>
          </w:tcPr>
          <w:p w14:paraId="305CA5DB"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12-Pan Combination Oven meeting current ENERGY STAR® Standards</w:t>
            </w:r>
          </w:p>
        </w:tc>
        <w:tc>
          <w:tcPr>
            <w:tcW w:w="3420" w:type="dxa"/>
            <w:noWrap/>
            <w:hideMark/>
          </w:tcPr>
          <w:p w14:paraId="6D5398F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Standard Economy-Grade 12-Pan Combination Oven</w:t>
            </w:r>
          </w:p>
        </w:tc>
      </w:tr>
      <w:tr w:rsidR="00B94618" w:rsidRPr="00B94618" w14:paraId="3353A71A" w14:textId="77777777" w:rsidTr="00B94618">
        <w:tblPrEx>
          <w:tblLook w:val="04A0" w:firstRow="1" w:lastRow="0" w:firstColumn="1" w:lastColumn="0" w:noHBand="0" w:noVBand="1"/>
        </w:tblPrEx>
        <w:trPr>
          <w:trHeight w:val="300"/>
        </w:trPr>
        <w:tc>
          <w:tcPr>
            <w:tcW w:w="2359" w:type="dxa"/>
            <w:noWrap/>
            <w:hideMark/>
          </w:tcPr>
          <w:p w14:paraId="44649FFD"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Fryer</w:t>
            </w:r>
          </w:p>
        </w:tc>
        <w:tc>
          <w:tcPr>
            <w:tcW w:w="1331" w:type="dxa"/>
            <w:noWrap/>
            <w:hideMark/>
          </w:tcPr>
          <w:p w14:paraId="635A904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Cooking</w:t>
            </w:r>
          </w:p>
        </w:tc>
        <w:tc>
          <w:tcPr>
            <w:tcW w:w="3510" w:type="dxa"/>
            <w:noWrap/>
            <w:hideMark/>
          </w:tcPr>
          <w:p w14:paraId="245D5500"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Standard Vat Electric Fryer meeting current ENERGY STAR® Standards</w:t>
            </w:r>
          </w:p>
        </w:tc>
        <w:tc>
          <w:tcPr>
            <w:tcW w:w="3420" w:type="dxa"/>
            <w:noWrap/>
            <w:hideMark/>
          </w:tcPr>
          <w:p w14:paraId="2B92A1BD"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Standard Economy-Grade Standard Vat Electric Fryer</w:t>
            </w:r>
          </w:p>
        </w:tc>
      </w:tr>
      <w:tr w:rsidR="00B94618" w:rsidRPr="00B94618" w14:paraId="7A818392" w14:textId="77777777" w:rsidTr="00B94618">
        <w:tblPrEx>
          <w:tblLook w:val="04A0" w:firstRow="1" w:lastRow="0" w:firstColumn="1" w:lastColumn="0" w:noHBand="0" w:noVBand="1"/>
        </w:tblPrEx>
        <w:trPr>
          <w:trHeight w:val="300"/>
        </w:trPr>
        <w:tc>
          <w:tcPr>
            <w:tcW w:w="2359" w:type="dxa"/>
            <w:noWrap/>
            <w:hideMark/>
          </w:tcPr>
          <w:p w14:paraId="2B3E6950"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Griddle</w:t>
            </w:r>
          </w:p>
        </w:tc>
        <w:tc>
          <w:tcPr>
            <w:tcW w:w="1331" w:type="dxa"/>
            <w:noWrap/>
            <w:hideMark/>
          </w:tcPr>
          <w:p w14:paraId="145AE5E0"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Cooking</w:t>
            </w:r>
          </w:p>
        </w:tc>
        <w:tc>
          <w:tcPr>
            <w:tcW w:w="3510" w:type="dxa"/>
            <w:noWrap/>
            <w:hideMark/>
          </w:tcPr>
          <w:p w14:paraId="7E31849C"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Griddle meeting current ENERGY STAR® Standards</w:t>
            </w:r>
          </w:p>
        </w:tc>
        <w:tc>
          <w:tcPr>
            <w:tcW w:w="3420" w:type="dxa"/>
            <w:noWrap/>
            <w:hideMark/>
          </w:tcPr>
          <w:p w14:paraId="4CB9446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Conventional Griddle</w:t>
            </w:r>
          </w:p>
        </w:tc>
      </w:tr>
      <w:tr w:rsidR="00B94618" w:rsidRPr="00B94618" w14:paraId="606C1373" w14:textId="77777777" w:rsidTr="00B94618">
        <w:tblPrEx>
          <w:tblLook w:val="04A0" w:firstRow="1" w:lastRow="0" w:firstColumn="1" w:lastColumn="0" w:noHBand="0" w:noVBand="1"/>
        </w:tblPrEx>
        <w:trPr>
          <w:trHeight w:val="300"/>
        </w:trPr>
        <w:tc>
          <w:tcPr>
            <w:tcW w:w="2359" w:type="dxa"/>
            <w:noWrap/>
            <w:hideMark/>
          </w:tcPr>
          <w:p w14:paraId="55A170AC"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Hot Food Holding Cabinet</w:t>
            </w:r>
          </w:p>
        </w:tc>
        <w:tc>
          <w:tcPr>
            <w:tcW w:w="1331" w:type="dxa"/>
            <w:noWrap/>
            <w:hideMark/>
          </w:tcPr>
          <w:p w14:paraId="2D6C616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Cooking</w:t>
            </w:r>
          </w:p>
        </w:tc>
        <w:tc>
          <w:tcPr>
            <w:tcW w:w="3510" w:type="dxa"/>
            <w:noWrap/>
            <w:hideMark/>
          </w:tcPr>
          <w:p w14:paraId="31E1B45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Hot Food Holding Cabinet meeting current ENERGY STAR® Standards</w:t>
            </w:r>
          </w:p>
        </w:tc>
        <w:tc>
          <w:tcPr>
            <w:tcW w:w="3420" w:type="dxa"/>
            <w:noWrap/>
            <w:hideMark/>
          </w:tcPr>
          <w:p w14:paraId="3AD0341D"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Standard Hot Food Holding Cabinet</w:t>
            </w:r>
          </w:p>
        </w:tc>
      </w:tr>
      <w:tr w:rsidR="00B94618" w:rsidRPr="00B94618" w14:paraId="0F86FA88" w14:textId="77777777" w:rsidTr="00B94618">
        <w:tblPrEx>
          <w:tblLook w:val="04A0" w:firstRow="1" w:lastRow="0" w:firstColumn="1" w:lastColumn="0" w:noHBand="0" w:noVBand="1"/>
        </w:tblPrEx>
        <w:trPr>
          <w:trHeight w:val="300"/>
        </w:trPr>
        <w:tc>
          <w:tcPr>
            <w:tcW w:w="2359" w:type="dxa"/>
            <w:noWrap/>
            <w:hideMark/>
          </w:tcPr>
          <w:p w14:paraId="2D331798"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Steamer</w:t>
            </w:r>
          </w:p>
        </w:tc>
        <w:tc>
          <w:tcPr>
            <w:tcW w:w="1331" w:type="dxa"/>
            <w:noWrap/>
            <w:hideMark/>
          </w:tcPr>
          <w:p w14:paraId="1C1CDC8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Cooking</w:t>
            </w:r>
          </w:p>
        </w:tc>
        <w:tc>
          <w:tcPr>
            <w:tcW w:w="3510" w:type="dxa"/>
            <w:noWrap/>
            <w:hideMark/>
          </w:tcPr>
          <w:p w14:paraId="1A447392"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4-Pan Electric Steamer meeting current ENERGY STAR® Standards</w:t>
            </w:r>
          </w:p>
        </w:tc>
        <w:tc>
          <w:tcPr>
            <w:tcW w:w="3420" w:type="dxa"/>
            <w:noWrap/>
            <w:hideMark/>
          </w:tcPr>
          <w:p w14:paraId="4F1263AE"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Standard Economy-Grade 4-Pan Steamer</w:t>
            </w:r>
          </w:p>
        </w:tc>
      </w:tr>
      <w:tr w:rsidR="00B94618" w:rsidRPr="00B94618" w14:paraId="7263090B" w14:textId="77777777" w:rsidTr="00B94618">
        <w:tblPrEx>
          <w:tblLook w:val="04A0" w:firstRow="1" w:lastRow="0" w:firstColumn="1" w:lastColumn="0" w:noHBand="0" w:noVBand="1"/>
        </w:tblPrEx>
        <w:trPr>
          <w:trHeight w:val="300"/>
        </w:trPr>
        <w:tc>
          <w:tcPr>
            <w:tcW w:w="2359" w:type="dxa"/>
            <w:noWrap/>
            <w:hideMark/>
          </w:tcPr>
          <w:p w14:paraId="4845F199"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Induction Cooktops</w:t>
            </w:r>
          </w:p>
        </w:tc>
        <w:tc>
          <w:tcPr>
            <w:tcW w:w="1331" w:type="dxa"/>
            <w:noWrap/>
            <w:hideMark/>
          </w:tcPr>
          <w:p w14:paraId="3E524B4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Cooking</w:t>
            </w:r>
          </w:p>
        </w:tc>
        <w:tc>
          <w:tcPr>
            <w:tcW w:w="3510" w:type="dxa"/>
            <w:noWrap/>
            <w:hideMark/>
          </w:tcPr>
          <w:p w14:paraId="761ED4AE"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Efficient Induction Cooktop</w:t>
            </w:r>
          </w:p>
        </w:tc>
        <w:tc>
          <w:tcPr>
            <w:tcW w:w="3420" w:type="dxa"/>
            <w:noWrap/>
            <w:hideMark/>
          </w:tcPr>
          <w:p w14:paraId="17D21B0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Standard Electric Cooktop</w:t>
            </w:r>
          </w:p>
        </w:tc>
      </w:tr>
      <w:tr w:rsidR="00B94618" w:rsidRPr="00B94618" w14:paraId="37525C66" w14:textId="77777777" w:rsidTr="00B94618">
        <w:tblPrEx>
          <w:tblLook w:val="04A0" w:firstRow="1" w:lastRow="0" w:firstColumn="1" w:lastColumn="0" w:noHBand="0" w:noVBand="1"/>
        </w:tblPrEx>
        <w:trPr>
          <w:trHeight w:val="300"/>
        </w:trPr>
        <w:tc>
          <w:tcPr>
            <w:tcW w:w="2359" w:type="dxa"/>
            <w:noWrap/>
            <w:hideMark/>
          </w:tcPr>
          <w:p w14:paraId="5C5EEBB9"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Drain Water Heat Recovery</w:t>
            </w:r>
          </w:p>
        </w:tc>
        <w:tc>
          <w:tcPr>
            <w:tcW w:w="1331" w:type="dxa"/>
            <w:noWrap/>
            <w:hideMark/>
          </w:tcPr>
          <w:p w14:paraId="4085F472"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Domestic Hot Water</w:t>
            </w:r>
          </w:p>
        </w:tc>
        <w:tc>
          <w:tcPr>
            <w:tcW w:w="3510" w:type="dxa"/>
            <w:noWrap/>
            <w:hideMark/>
          </w:tcPr>
          <w:p w14:paraId="6DFF83E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Hot Water Loop with 50 Gallon Electric Resistance Heater and Drain Water Heat Exchanger</w:t>
            </w:r>
          </w:p>
        </w:tc>
        <w:tc>
          <w:tcPr>
            <w:tcW w:w="3420" w:type="dxa"/>
            <w:noWrap/>
            <w:hideMark/>
          </w:tcPr>
          <w:p w14:paraId="7E73B0CB"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Hot Water Loop with 50 Gallon Electric Resistance Heater, No Drain Water Heat Recovery</w:t>
            </w:r>
          </w:p>
        </w:tc>
      </w:tr>
      <w:tr w:rsidR="00B94618" w:rsidRPr="00B94618" w14:paraId="7B5208DA" w14:textId="77777777" w:rsidTr="00B94618">
        <w:tblPrEx>
          <w:tblLook w:val="04A0" w:firstRow="1" w:lastRow="0" w:firstColumn="1" w:lastColumn="0" w:noHBand="0" w:noVBand="1"/>
        </w:tblPrEx>
        <w:trPr>
          <w:trHeight w:val="300"/>
        </w:trPr>
        <w:tc>
          <w:tcPr>
            <w:tcW w:w="2359" w:type="dxa"/>
            <w:noWrap/>
            <w:hideMark/>
          </w:tcPr>
          <w:p w14:paraId="6DAF8A3F"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Commercial Dishwasher</w:t>
            </w:r>
          </w:p>
        </w:tc>
        <w:tc>
          <w:tcPr>
            <w:tcW w:w="1331" w:type="dxa"/>
            <w:noWrap/>
            <w:hideMark/>
          </w:tcPr>
          <w:p w14:paraId="025780E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Domestic Hot Water</w:t>
            </w:r>
          </w:p>
        </w:tc>
        <w:tc>
          <w:tcPr>
            <w:tcW w:w="3510" w:type="dxa"/>
            <w:noWrap/>
            <w:hideMark/>
          </w:tcPr>
          <w:p w14:paraId="71F82A7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Dishwasher meeting current ENERGY STAR® Requirements</w:t>
            </w:r>
          </w:p>
        </w:tc>
        <w:tc>
          <w:tcPr>
            <w:tcW w:w="3420" w:type="dxa"/>
            <w:noWrap/>
            <w:hideMark/>
          </w:tcPr>
          <w:p w14:paraId="5881818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Dishwasher meeting Federal Standard</w:t>
            </w:r>
          </w:p>
        </w:tc>
      </w:tr>
      <w:tr w:rsidR="00B94618" w:rsidRPr="00B94618" w14:paraId="32130C47" w14:textId="77777777" w:rsidTr="00B94618">
        <w:tblPrEx>
          <w:tblLook w:val="04A0" w:firstRow="1" w:lastRow="0" w:firstColumn="1" w:lastColumn="0" w:noHBand="0" w:noVBand="1"/>
        </w:tblPrEx>
        <w:trPr>
          <w:trHeight w:val="300"/>
        </w:trPr>
        <w:tc>
          <w:tcPr>
            <w:tcW w:w="2359" w:type="dxa"/>
            <w:noWrap/>
            <w:hideMark/>
          </w:tcPr>
          <w:p w14:paraId="152A8EFB"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Faucet Aerator</w:t>
            </w:r>
          </w:p>
        </w:tc>
        <w:tc>
          <w:tcPr>
            <w:tcW w:w="1331" w:type="dxa"/>
            <w:noWrap/>
            <w:hideMark/>
          </w:tcPr>
          <w:p w14:paraId="1CBBE95C"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Domestic Hot Water</w:t>
            </w:r>
          </w:p>
        </w:tc>
        <w:tc>
          <w:tcPr>
            <w:tcW w:w="3510" w:type="dxa"/>
            <w:noWrap/>
            <w:hideMark/>
          </w:tcPr>
          <w:p w14:paraId="6FF42E6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Low-flow lavatory faucet aerator, flow rate: 1.0 gpm</w:t>
            </w:r>
          </w:p>
        </w:tc>
        <w:tc>
          <w:tcPr>
            <w:tcW w:w="3420" w:type="dxa"/>
            <w:noWrap/>
            <w:hideMark/>
          </w:tcPr>
          <w:p w14:paraId="05A550A2"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Federal lavatory flow rate standard, 1994, flow rate: 2.2 gpm</w:t>
            </w:r>
          </w:p>
        </w:tc>
      </w:tr>
      <w:tr w:rsidR="00B94618" w:rsidRPr="00B94618" w14:paraId="680D0069" w14:textId="77777777" w:rsidTr="00B94618">
        <w:tblPrEx>
          <w:tblLook w:val="04A0" w:firstRow="1" w:lastRow="0" w:firstColumn="1" w:lastColumn="0" w:noHBand="0" w:noVBand="1"/>
        </w:tblPrEx>
        <w:trPr>
          <w:trHeight w:val="300"/>
        </w:trPr>
        <w:tc>
          <w:tcPr>
            <w:tcW w:w="2359" w:type="dxa"/>
            <w:noWrap/>
            <w:hideMark/>
          </w:tcPr>
          <w:p w14:paraId="1FCAC6D4"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Heat Pump Water Heater</w:t>
            </w:r>
          </w:p>
        </w:tc>
        <w:tc>
          <w:tcPr>
            <w:tcW w:w="1331" w:type="dxa"/>
            <w:noWrap/>
            <w:hideMark/>
          </w:tcPr>
          <w:p w14:paraId="413A6DFC"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Domestic Hot Water</w:t>
            </w:r>
          </w:p>
        </w:tc>
        <w:tc>
          <w:tcPr>
            <w:tcW w:w="3510" w:type="dxa"/>
            <w:noWrap/>
            <w:hideMark/>
          </w:tcPr>
          <w:p w14:paraId="799A3482"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Efficient 50 Gallon Electric Heat Pump Water Heater</w:t>
            </w:r>
          </w:p>
        </w:tc>
        <w:tc>
          <w:tcPr>
            <w:tcW w:w="3420" w:type="dxa"/>
            <w:noWrap/>
            <w:hideMark/>
          </w:tcPr>
          <w:p w14:paraId="2BDD68DF"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50 Gallon Electric Heat Pump Water Heater</w:t>
            </w:r>
          </w:p>
        </w:tc>
      </w:tr>
      <w:tr w:rsidR="00B94618" w:rsidRPr="00B94618" w14:paraId="6ABD9BD1" w14:textId="77777777" w:rsidTr="00B94618">
        <w:tblPrEx>
          <w:tblLook w:val="04A0" w:firstRow="1" w:lastRow="0" w:firstColumn="1" w:lastColumn="0" w:noHBand="0" w:noVBand="1"/>
        </w:tblPrEx>
        <w:trPr>
          <w:trHeight w:val="300"/>
        </w:trPr>
        <w:tc>
          <w:tcPr>
            <w:tcW w:w="2359" w:type="dxa"/>
            <w:noWrap/>
            <w:hideMark/>
          </w:tcPr>
          <w:p w14:paraId="55D5AE56"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Hot Water Circulation Pump Control</w:t>
            </w:r>
          </w:p>
        </w:tc>
        <w:tc>
          <w:tcPr>
            <w:tcW w:w="1331" w:type="dxa"/>
            <w:noWrap/>
            <w:hideMark/>
          </w:tcPr>
          <w:p w14:paraId="018DEC3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Domestic Hot Water</w:t>
            </w:r>
          </w:p>
        </w:tc>
        <w:tc>
          <w:tcPr>
            <w:tcW w:w="3510" w:type="dxa"/>
            <w:noWrap/>
            <w:hideMark/>
          </w:tcPr>
          <w:p w14:paraId="3CAACA3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Recirculation Pump with Demand Control Mechanism</w:t>
            </w:r>
          </w:p>
        </w:tc>
        <w:tc>
          <w:tcPr>
            <w:tcW w:w="3420" w:type="dxa"/>
            <w:noWrap/>
            <w:hideMark/>
          </w:tcPr>
          <w:p w14:paraId="7F1BDB6B"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Uncontrolled Recirculation Pump</w:t>
            </w:r>
          </w:p>
        </w:tc>
      </w:tr>
      <w:tr w:rsidR="00B94618" w:rsidRPr="00B94618" w14:paraId="45167B28" w14:textId="77777777" w:rsidTr="00B94618">
        <w:tblPrEx>
          <w:tblLook w:val="04A0" w:firstRow="1" w:lastRow="0" w:firstColumn="1" w:lastColumn="0" w:noHBand="0" w:noVBand="1"/>
        </w:tblPrEx>
        <w:trPr>
          <w:trHeight w:val="300"/>
        </w:trPr>
        <w:tc>
          <w:tcPr>
            <w:tcW w:w="2359" w:type="dxa"/>
            <w:noWrap/>
            <w:hideMark/>
          </w:tcPr>
          <w:p w14:paraId="070F9C30"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Hot Water Pipe Insulation</w:t>
            </w:r>
          </w:p>
        </w:tc>
        <w:tc>
          <w:tcPr>
            <w:tcW w:w="1331" w:type="dxa"/>
            <w:noWrap/>
            <w:hideMark/>
          </w:tcPr>
          <w:p w14:paraId="7CE7893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Domestic Hot Water</w:t>
            </w:r>
          </w:p>
        </w:tc>
        <w:tc>
          <w:tcPr>
            <w:tcW w:w="3510" w:type="dxa"/>
            <w:noWrap/>
            <w:hideMark/>
          </w:tcPr>
          <w:p w14:paraId="59872000"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1' of Insulated Pipe in Unconditioned Spaces, Insulation of R-4</w:t>
            </w:r>
          </w:p>
        </w:tc>
        <w:tc>
          <w:tcPr>
            <w:tcW w:w="3420" w:type="dxa"/>
            <w:noWrap/>
            <w:hideMark/>
          </w:tcPr>
          <w:p w14:paraId="2FE37BF0"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1' of Pipe in Unconditioned Spaces with Code Minimum of 1"of Insulation</w:t>
            </w:r>
          </w:p>
        </w:tc>
      </w:tr>
      <w:tr w:rsidR="00B94618" w:rsidRPr="00B94618" w14:paraId="4300A291" w14:textId="77777777" w:rsidTr="00B94618">
        <w:tblPrEx>
          <w:tblLook w:val="04A0" w:firstRow="1" w:lastRow="0" w:firstColumn="1" w:lastColumn="0" w:noHBand="0" w:noVBand="1"/>
        </w:tblPrEx>
        <w:trPr>
          <w:trHeight w:val="300"/>
        </w:trPr>
        <w:tc>
          <w:tcPr>
            <w:tcW w:w="2359" w:type="dxa"/>
            <w:noWrap/>
            <w:hideMark/>
          </w:tcPr>
          <w:p w14:paraId="0A7F86A0" w14:textId="54529615"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Instantaneous Hot Water System</w:t>
            </w:r>
            <w:r w:rsidR="000019DB">
              <w:rPr>
                <w:rFonts w:ascii="Calibri" w:hAnsi="Calibri" w:cs="Calibri"/>
                <w:sz w:val="18"/>
                <w:szCs w:val="18"/>
              </w:rPr>
              <w:t>*</w:t>
            </w:r>
          </w:p>
        </w:tc>
        <w:tc>
          <w:tcPr>
            <w:tcW w:w="1331" w:type="dxa"/>
            <w:noWrap/>
            <w:hideMark/>
          </w:tcPr>
          <w:p w14:paraId="595C5A7A"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Domestic Hot Water</w:t>
            </w:r>
          </w:p>
        </w:tc>
        <w:tc>
          <w:tcPr>
            <w:tcW w:w="3510" w:type="dxa"/>
            <w:noWrap/>
            <w:hideMark/>
          </w:tcPr>
          <w:p w14:paraId="4707D68F"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Instantaneous Hot Water System</w:t>
            </w:r>
          </w:p>
        </w:tc>
        <w:tc>
          <w:tcPr>
            <w:tcW w:w="3420" w:type="dxa"/>
            <w:noWrap/>
            <w:hideMark/>
          </w:tcPr>
          <w:p w14:paraId="12BEF66E"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Electric Storage Water Heater</w:t>
            </w:r>
          </w:p>
        </w:tc>
      </w:tr>
      <w:tr w:rsidR="00B94618" w:rsidRPr="00B94618" w14:paraId="1F82D950" w14:textId="77777777" w:rsidTr="00B94618">
        <w:tblPrEx>
          <w:tblLook w:val="04A0" w:firstRow="1" w:lastRow="0" w:firstColumn="1" w:lastColumn="0" w:noHBand="0" w:noVBand="1"/>
        </w:tblPrEx>
        <w:trPr>
          <w:trHeight w:val="300"/>
        </w:trPr>
        <w:tc>
          <w:tcPr>
            <w:tcW w:w="2359" w:type="dxa"/>
            <w:noWrap/>
            <w:hideMark/>
          </w:tcPr>
          <w:p w14:paraId="0A696EE5" w14:textId="711BFD62"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Low Flow Shower Head</w:t>
            </w:r>
            <w:r w:rsidR="000019DB">
              <w:rPr>
                <w:rFonts w:ascii="Calibri" w:hAnsi="Calibri" w:cs="Calibri"/>
                <w:sz w:val="18"/>
                <w:szCs w:val="18"/>
              </w:rPr>
              <w:t>*</w:t>
            </w:r>
          </w:p>
        </w:tc>
        <w:tc>
          <w:tcPr>
            <w:tcW w:w="1331" w:type="dxa"/>
            <w:noWrap/>
            <w:hideMark/>
          </w:tcPr>
          <w:p w14:paraId="09CFEEFB"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Domestic Hot Water</w:t>
            </w:r>
          </w:p>
        </w:tc>
        <w:tc>
          <w:tcPr>
            <w:tcW w:w="3510" w:type="dxa"/>
            <w:noWrap/>
            <w:hideMark/>
          </w:tcPr>
          <w:p w14:paraId="090FD7F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Low-Flow Handheld Showerhead, Flow Rate: 1.50 gpm</w:t>
            </w:r>
          </w:p>
        </w:tc>
        <w:tc>
          <w:tcPr>
            <w:tcW w:w="3420" w:type="dxa"/>
            <w:noWrap/>
            <w:hideMark/>
          </w:tcPr>
          <w:p w14:paraId="3FDD153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Handheld Showerhead, Flow Rate: 2.50 gpm</w:t>
            </w:r>
          </w:p>
        </w:tc>
      </w:tr>
      <w:tr w:rsidR="00B94618" w:rsidRPr="00B94618" w14:paraId="73BB7D49" w14:textId="77777777" w:rsidTr="00B94618">
        <w:tblPrEx>
          <w:tblLook w:val="04A0" w:firstRow="1" w:lastRow="0" w:firstColumn="1" w:lastColumn="0" w:noHBand="0" w:noVBand="1"/>
        </w:tblPrEx>
        <w:trPr>
          <w:trHeight w:val="600"/>
        </w:trPr>
        <w:tc>
          <w:tcPr>
            <w:tcW w:w="2359" w:type="dxa"/>
            <w:noWrap/>
            <w:hideMark/>
          </w:tcPr>
          <w:p w14:paraId="79D783BD"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Low-Flow Pre-Rinse Sprayers</w:t>
            </w:r>
          </w:p>
        </w:tc>
        <w:tc>
          <w:tcPr>
            <w:tcW w:w="1331" w:type="dxa"/>
            <w:noWrap/>
            <w:hideMark/>
          </w:tcPr>
          <w:p w14:paraId="5BE5D3E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Domestic Hot Water</w:t>
            </w:r>
          </w:p>
        </w:tc>
        <w:tc>
          <w:tcPr>
            <w:tcW w:w="3510" w:type="dxa"/>
            <w:noWrap/>
            <w:hideMark/>
          </w:tcPr>
          <w:p w14:paraId="1AFF5B00"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Low-Flow Pre-Rinse Sprayer with Flow Rate of 1.6 gpm</w:t>
            </w:r>
          </w:p>
        </w:tc>
        <w:tc>
          <w:tcPr>
            <w:tcW w:w="3420" w:type="dxa"/>
            <w:noWrap/>
            <w:hideMark/>
          </w:tcPr>
          <w:p w14:paraId="5152E22B"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Pre-Rinse Sprayer 10% Less Efficient than Federal Standard</w:t>
            </w:r>
          </w:p>
        </w:tc>
      </w:tr>
      <w:tr w:rsidR="00B94618" w:rsidRPr="00B94618" w14:paraId="69DD1162" w14:textId="77777777" w:rsidTr="00B94618">
        <w:tblPrEx>
          <w:tblLook w:val="04A0" w:firstRow="1" w:lastRow="0" w:firstColumn="1" w:lastColumn="0" w:noHBand="0" w:noVBand="1"/>
        </w:tblPrEx>
        <w:trPr>
          <w:trHeight w:val="350"/>
        </w:trPr>
        <w:tc>
          <w:tcPr>
            <w:tcW w:w="2359" w:type="dxa"/>
            <w:noWrap/>
            <w:hideMark/>
          </w:tcPr>
          <w:p w14:paraId="7AC24869"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Solar Water Heater</w:t>
            </w:r>
          </w:p>
        </w:tc>
        <w:tc>
          <w:tcPr>
            <w:tcW w:w="1331" w:type="dxa"/>
            <w:noWrap/>
            <w:hideMark/>
          </w:tcPr>
          <w:p w14:paraId="0A60DDC2"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Domestic Hot Water</w:t>
            </w:r>
          </w:p>
        </w:tc>
        <w:tc>
          <w:tcPr>
            <w:tcW w:w="3510" w:type="dxa"/>
            <w:noWrap/>
            <w:hideMark/>
          </w:tcPr>
          <w:p w14:paraId="4128077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Solar Powered 50 Gallon Electric Resistance Water Heater (EF = 4.05)</w:t>
            </w:r>
          </w:p>
        </w:tc>
        <w:tc>
          <w:tcPr>
            <w:tcW w:w="3420" w:type="dxa"/>
            <w:noWrap/>
            <w:hideMark/>
          </w:tcPr>
          <w:p w14:paraId="37B3053F"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50 Gallon Electric Heat Pump Water Heater</w:t>
            </w:r>
          </w:p>
        </w:tc>
      </w:tr>
      <w:tr w:rsidR="00B94618" w:rsidRPr="00B94618" w14:paraId="4AB72730" w14:textId="77777777" w:rsidTr="00B94618">
        <w:tblPrEx>
          <w:tblLook w:val="04A0" w:firstRow="1" w:lastRow="0" w:firstColumn="1" w:lastColumn="0" w:noHBand="0" w:noVBand="1"/>
        </w:tblPrEx>
        <w:trPr>
          <w:trHeight w:val="600"/>
        </w:trPr>
        <w:tc>
          <w:tcPr>
            <w:tcW w:w="2359" w:type="dxa"/>
            <w:noWrap/>
            <w:hideMark/>
          </w:tcPr>
          <w:p w14:paraId="60F0D216" w14:textId="4C3625BD"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Tank Wrap on Water Heater</w:t>
            </w:r>
            <w:r w:rsidR="000019DB">
              <w:rPr>
                <w:rFonts w:ascii="Calibri" w:hAnsi="Calibri" w:cs="Calibri"/>
                <w:sz w:val="18"/>
                <w:szCs w:val="18"/>
              </w:rPr>
              <w:t>*</w:t>
            </w:r>
          </w:p>
        </w:tc>
        <w:tc>
          <w:tcPr>
            <w:tcW w:w="1331" w:type="dxa"/>
            <w:noWrap/>
            <w:hideMark/>
          </w:tcPr>
          <w:p w14:paraId="11B88F0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Domestic Hot Water</w:t>
            </w:r>
          </w:p>
        </w:tc>
        <w:tc>
          <w:tcPr>
            <w:tcW w:w="3510" w:type="dxa"/>
            <w:noWrap/>
            <w:hideMark/>
          </w:tcPr>
          <w:p w14:paraId="7052DA40"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50 Gallon Electric Resistance Water Heater with Insulated Tank Wrap (R-11)</w:t>
            </w:r>
          </w:p>
        </w:tc>
        <w:tc>
          <w:tcPr>
            <w:tcW w:w="3420" w:type="dxa"/>
            <w:noWrap/>
            <w:hideMark/>
          </w:tcPr>
          <w:p w14:paraId="358BAEA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Market Average 50 Gallon Electric Resistance Water Heater, No Tank Wrap</w:t>
            </w:r>
          </w:p>
        </w:tc>
      </w:tr>
      <w:tr w:rsidR="00E44363" w:rsidRPr="00B94618" w14:paraId="6F395047" w14:textId="77777777" w:rsidTr="00145C87">
        <w:tblPrEx>
          <w:tblLook w:val="04A0" w:firstRow="1" w:lastRow="0" w:firstColumn="1" w:lastColumn="0" w:noHBand="0" w:noVBand="1"/>
        </w:tblPrEx>
        <w:trPr>
          <w:trHeight w:val="422"/>
        </w:trPr>
        <w:tc>
          <w:tcPr>
            <w:tcW w:w="2359" w:type="dxa"/>
            <w:noWrap/>
          </w:tcPr>
          <w:p w14:paraId="3581D8C6" w14:textId="59D49A73" w:rsidR="00E44363" w:rsidRPr="00B94618" w:rsidRDefault="00E44363" w:rsidP="00E44363">
            <w:pPr>
              <w:tabs>
                <w:tab w:val="clear" w:pos="-1440"/>
                <w:tab w:val="clear" w:pos="-720"/>
              </w:tabs>
              <w:spacing w:after="0" w:line="240" w:lineRule="auto"/>
              <w:ind w:left="0"/>
              <w:rPr>
                <w:rFonts w:ascii="Calibri" w:hAnsi="Calibri" w:cs="Calibri"/>
                <w:sz w:val="18"/>
                <w:szCs w:val="18"/>
              </w:rPr>
            </w:pPr>
            <w:r w:rsidRPr="00E44363">
              <w:rPr>
                <w:rFonts w:ascii="Calibri" w:hAnsi="Calibri" w:cs="Calibri"/>
                <w:sz w:val="18"/>
                <w:szCs w:val="18"/>
              </w:rPr>
              <w:t>Thermostatic Shower Restriction Valve</w:t>
            </w:r>
            <w:r w:rsidR="000019DB">
              <w:rPr>
                <w:rFonts w:ascii="Calibri" w:hAnsi="Calibri" w:cs="Calibri"/>
                <w:sz w:val="18"/>
                <w:szCs w:val="18"/>
              </w:rPr>
              <w:t>*</w:t>
            </w:r>
          </w:p>
        </w:tc>
        <w:tc>
          <w:tcPr>
            <w:tcW w:w="1331" w:type="dxa"/>
            <w:noWrap/>
          </w:tcPr>
          <w:p w14:paraId="5165E903" w14:textId="24AD61F6" w:rsidR="00E44363" w:rsidRPr="00B94618" w:rsidRDefault="00E44363" w:rsidP="00E44363">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Domestic Hot Water</w:t>
            </w:r>
          </w:p>
        </w:tc>
        <w:tc>
          <w:tcPr>
            <w:tcW w:w="3510" w:type="dxa"/>
            <w:noWrap/>
            <w:vAlign w:val="bottom"/>
          </w:tcPr>
          <w:p w14:paraId="4DA90410" w14:textId="7DBE7C06" w:rsidR="00E44363" w:rsidRPr="00B94618" w:rsidRDefault="00E44363" w:rsidP="00E44363">
            <w:pPr>
              <w:tabs>
                <w:tab w:val="clear" w:pos="-1440"/>
                <w:tab w:val="clear" w:pos="-720"/>
              </w:tabs>
              <w:spacing w:after="0" w:line="240" w:lineRule="auto"/>
              <w:ind w:left="0"/>
              <w:rPr>
                <w:rFonts w:ascii="Calibri" w:hAnsi="Calibri" w:cs="Calibri"/>
                <w:color w:val="000000"/>
                <w:sz w:val="18"/>
                <w:szCs w:val="18"/>
              </w:rPr>
            </w:pPr>
            <w:r w:rsidRPr="00E44363">
              <w:rPr>
                <w:rFonts w:ascii="Calibri" w:hAnsi="Calibri" w:cs="Calibri"/>
                <w:color w:val="000000"/>
                <w:sz w:val="18"/>
                <w:szCs w:val="18"/>
              </w:rPr>
              <w:t>Hot Water Loop with 50 Gallon Electric Resistance Heater and Pressure Balance Shower Valves</w:t>
            </w:r>
          </w:p>
        </w:tc>
        <w:tc>
          <w:tcPr>
            <w:tcW w:w="3420" w:type="dxa"/>
            <w:noWrap/>
            <w:vAlign w:val="bottom"/>
          </w:tcPr>
          <w:p w14:paraId="680DA9D5" w14:textId="5C20111C" w:rsidR="00E44363" w:rsidRPr="00B94618" w:rsidRDefault="00E44363" w:rsidP="00E44363">
            <w:pPr>
              <w:tabs>
                <w:tab w:val="clear" w:pos="-1440"/>
                <w:tab w:val="clear" w:pos="-720"/>
              </w:tabs>
              <w:spacing w:after="0" w:line="240" w:lineRule="auto"/>
              <w:ind w:left="0"/>
              <w:rPr>
                <w:rFonts w:ascii="Calibri" w:hAnsi="Calibri" w:cs="Calibri"/>
                <w:color w:val="000000"/>
                <w:sz w:val="18"/>
                <w:szCs w:val="18"/>
              </w:rPr>
            </w:pPr>
            <w:r w:rsidRPr="00E44363">
              <w:rPr>
                <w:rFonts w:ascii="Calibri" w:hAnsi="Calibri" w:cs="Calibri"/>
                <w:color w:val="000000"/>
                <w:sz w:val="18"/>
                <w:szCs w:val="18"/>
              </w:rPr>
              <w:t>Standard Hot Water Loop with 50 Gallon Electric Resistance Heater and Standard Shower Valves</w:t>
            </w:r>
          </w:p>
        </w:tc>
      </w:tr>
      <w:tr w:rsidR="00B94618" w:rsidRPr="00B94618" w14:paraId="2B13EA14" w14:textId="77777777" w:rsidTr="00B94618">
        <w:tblPrEx>
          <w:tblLook w:val="04A0" w:firstRow="1" w:lastRow="0" w:firstColumn="1" w:lastColumn="0" w:noHBand="0" w:noVBand="1"/>
        </w:tblPrEx>
        <w:trPr>
          <w:trHeight w:val="422"/>
        </w:trPr>
        <w:tc>
          <w:tcPr>
            <w:tcW w:w="2359" w:type="dxa"/>
            <w:noWrap/>
            <w:hideMark/>
          </w:tcPr>
          <w:p w14:paraId="6F6727F6" w14:textId="69019972"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Bi-Level Lighting Control (Exterior)</w:t>
            </w:r>
            <w:r w:rsidR="000019DB">
              <w:rPr>
                <w:rFonts w:ascii="Calibri" w:hAnsi="Calibri" w:cs="Calibri"/>
                <w:sz w:val="18"/>
                <w:szCs w:val="18"/>
              </w:rPr>
              <w:t>*</w:t>
            </w:r>
          </w:p>
        </w:tc>
        <w:tc>
          <w:tcPr>
            <w:tcW w:w="1331" w:type="dxa"/>
            <w:noWrap/>
            <w:hideMark/>
          </w:tcPr>
          <w:p w14:paraId="63750C2A"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Exterior Lighting</w:t>
            </w:r>
          </w:p>
        </w:tc>
        <w:tc>
          <w:tcPr>
            <w:tcW w:w="3510" w:type="dxa"/>
            <w:noWrap/>
            <w:hideMark/>
          </w:tcPr>
          <w:p w14:paraId="1C60949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Bi-Level Controls on Exterior Lighting, 500 Watts Controlled</w:t>
            </w:r>
          </w:p>
        </w:tc>
        <w:tc>
          <w:tcPr>
            <w:tcW w:w="3420" w:type="dxa"/>
            <w:noWrap/>
            <w:hideMark/>
          </w:tcPr>
          <w:p w14:paraId="4030CC2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500 Watts of Lighting, Manually Controlled</w:t>
            </w:r>
          </w:p>
        </w:tc>
      </w:tr>
      <w:tr w:rsidR="00B94618" w:rsidRPr="00B94618" w14:paraId="3F1D1B77" w14:textId="77777777" w:rsidTr="00B94618">
        <w:tblPrEx>
          <w:tblLook w:val="04A0" w:firstRow="1" w:lastRow="0" w:firstColumn="1" w:lastColumn="0" w:noHBand="0" w:noVBand="1"/>
        </w:tblPrEx>
        <w:trPr>
          <w:trHeight w:val="300"/>
        </w:trPr>
        <w:tc>
          <w:tcPr>
            <w:tcW w:w="2359" w:type="dxa"/>
            <w:noWrap/>
            <w:hideMark/>
          </w:tcPr>
          <w:p w14:paraId="3607BDCF"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CFL - 15W Flood</w:t>
            </w:r>
          </w:p>
        </w:tc>
        <w:tc>
          <w:tcPr>
            <w:tcW w:w="1331" w:type="dxa"/>
            <w:noWrap/>
            <w:hideMark/>
          </w:tcPr>
          <w:p w14:paraId="62097F0C"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Exterior Lighting</w:t>
            </w:r>
          </w:p>
        </w:tc>
        <w:tc>
          <w:tcPr>
            <w:tcW w:w="3510" w:type="dxa"/>
            <w:noWrap/>
            <w:hideMark/>
          </w:tcPr>
          <w:p w14:paraId="215BC8D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CFL (assume 15W) replacing EISA-2020 compliant baseline lamp (65w flood)</w:t>
            </w:r>
          </w:p>
        </w:tc>
        <w:tc>
          <w:tcPr>
            <w:tcW w:w="3420" w:type="dxa"/>
            <w:noWrap/>
            <w:hideMark/>
          </w:tcPr>
          <w:p w14:paraId="59341BD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EISA-2020 compliant baseline lamp (65W flood)</w:t>
            </w:r>
          </w:p>
        </w:tc>
      </w:tr>
      <w:tr w:rsidR="00B94618" w:rsidRPr="00B94618" w14:paraId="36C00AFA" w14:textId="77777777" w:rsidTr="00B94618">
        <w:tblPrEx>
          <w:tblLook w:val="04A0" w:firstRow="1" w:lastRow="0" w:firstColumn="1" w:lastColumn="0" w:noHBand="0" w:noVBand="1"/>
        </w:tblPrEx>
        <w:trPr>
          <w:trHeight w:val="300"/>
        </w:trPr>
        <w:tc>
          <w:tcPr>
            <w:tcW w:w="2359" w:type="dxa"/>
            <w:noWrap/>
            <w:hideMark/>
          </w:tcPr>
          <w:p w14:paraId="5AB37095"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High Efficiency HID Lighting</w:t>
            </w:r>
          </w:p>
        </w:tc>
        <w:tc>
          <w:tcPr>
            <w:tcW w:w="1331" w:type="dxa"/>
            <w:noWrap/>
            <w:hideMark/>
          </w:tcPr>
          <w:p w14:paraId="30F2E17E"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Exterior Lighting</w:t>
            </w:r>
          </w:p>
        </w:tc>
        <w:tc>
          <w:tcPr>
            <w:tcW w:w="3510" w:type="dxa"/>
            <w:noWrap/>
            <w:hideMark/>
          </w:tcPr>
          <w:p w14:paraId="70C15EAF"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Pulse Start Metal Halide 200W</w:t>
            </w:r>
          </w:p>
        </w:tc>
        <w:tc>
          <w:tcPr>
            <w:tcW w:w="3420" w:type="dxa"/>
            <w:noWrap/>
            <w:hideMark/>
          </w:tcPr>
          <w:p w14:paraId="455A5D7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Average Lumen Equivalent High Intensity Discharge Fixture</w:t>
            </w:r>
          </w:p>
        </w:tc>
      </w:tr>
      <w:tr w:rsidR="00B94618" w:rsidRPr="00B94618" w14:paraId="50110A14" w14:textId="77777777" w:rsidTr="00B94618">
        <w:tblPrEx>
          <w:tblLook w:val="04A0" w:firstRow="1" w:lastRow="0" w:firstColumn="1" w:lastColumn="0" w:noHBand="0" w:noVBand="1"/>
        </w:tblPrEx>
        <w:trPr>
          <w:trHeight w:val="300"/>
        </w:trPr>
        <w:tc>
          <w:tcPr>
            <w:tcW w:w="2359" w:type="dxa"/>
            <w:noWrap/>
            <w:hideMark/>
          </w:tcPr>
          <w:p w14:paraId="0071D883"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LED - 9W Flood</w:t>
            </w:r>
          </w:p>
        </w:tc>
        <w:tc>
          <w:tcPr>
            <w:tcW w:w="1331" w:type="dxa"/>
            <w:noWrap/>
            <w:hideMark/>
          </w:tcPr>
          <w:p w14:paraId="2A8BDC3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Exterior Lighting</w:t>
            </w:r>
          </w:p>
        </w:tc>
        <w:tc>
          <w:tcPr>
            <w:tcW w:w="3510" w:type="dxa"/>
            <w:noWrap/>
            <w:hideMark/>
          </w:tcPr>
          <w:p w14:paraId="528B7CB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LED (assume 9W) replacing EISA-2020 compliant baseline lamp (65w flood)</w:t>
            </w:r>
          </w:p>
        </w:tc>
        <w:tc>
          <w:tcPr>
            <w:tcW w:w="3420" w:type="dxa"/>
            <w:noWrap/>
            <w:hideMark/>
          </w:tcPr>
          <w:p w14:paraId="4C3CB5A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EISA-2020 compliant baseline lamp (65W flood)</w:t>
            </w:r>
          </w:p>
        </w:tc>
      </w:tr>
      <w:tr w:rsidR="00B94618" w:rsidRPr="00B94618" w14:paraId="2957C071" w14:textId="77777777" w:rsidTr="00B94618">
        <w:tblPrEx>
          <w:tblLook w:val="04A0" w:firstRow="1" w:lastRow="0" w:firstColumn="1" w:lastColumn="0" w:noHBand="0" w:noVBand="1"/>
        </w:tblPrEx>
        <w:trPr>
          <w:trHeight w:val="300"/>
        </w:trPr>
        <w:tc>
          <w:tcPr>
            <w:tcW w:w="2359" w:type="dxa"/>
            <w:noWrap/>
            <w:hideMark/>
          </w:tcPr>
          <w:p w14:paraId="38BC6F44" w14:textId="7D6892F0"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LED Display Lighting (Exterior)</w:t>
            </w:r>
            <w:r w:rsidR="000019DB">
              <w:rPr>
                <w:rFonts w:ascii="Calibri" w:hAnsi="Calibri" w:cs="Calibri"/>
                <w:sz w:val="18"/>
                <w:szCs w:val="18"/>
              </w:rPr>
              <w:t>*</w:t>
            </w:r>
          </w:p>
        </w:tc>
        <w:tc>
          <w:tcPr>
            <w:tcW w:w="1331" w:type="dxa"/>
            <w:noWrap/>
            <w:hideMark/>
          </w:tcPr>
          <w:p w14:paraId="300560EA"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Exterior Lighting</w:t>
            </w:r>
          </w:p>
        </w:tc>
        <w:tc>
          <w:tcPr>
            <w:tcW w:w="3510" w:type="dxa"/>
            <w:noWrap/>
            <w:hideMark/>
          </w:tcPr>
          <w:p w14:paraId="5963C95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Letter of LED Signage, &lt; 2ft in Height</w:t>
            </w:r>
          </w:p>
        </w:tc>
        <w:tc>
          <w:tcPr>
            <w:tcW w:w="3420" w:type="dxa"/>
            <w:noWrap/>
            <w:hideMark/>
          </w:tcPr>
          <w:p w14:paraId="64303B1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Letter of Neon or Argon-mercury Signage, &lt; 2ft in Height</w:t>
            </w:r>
          </w:p>
        </w:tc>
      </w:tr>
      <w:tr w:rsidR="00B94618" w:rsidRPr="00B94618" w14:paraId="4AFF45BF" w14:textId="77777777" w:rsidTr="00B94618">
        <w:tblPrEx>
          <w:tblLook w:val="04A0" w:firstRow="1" w:lastRow="0" w:firstColumn="1" w:lastColumn="0" w:noHBand="0" w:noVBand="1"/>
        </w:tblPrEx>
        <w:trPr>
          <w:trHeight w:val="287"/>
        </w:trPr>
        <w:tc>
          <w:tcPr>
            <w:tcW w:w="2359" w:type="dxa"/>
            <w:noWrap/>
            <w:hideMark/>
          </w:tcPr>
          <w:p w14:paraId="267E75C9"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LED Exterior Lighting</w:t>
            </w:r>
          </w:p>
        </w:tc>
        <w:tc>
          <w:tcPr>
            <w:tcW w:w="1331" w:type="dxa"/>
            <w:noWrap/>
            <w:hideMark/>
          </w:tcPr>
          <w:p w14:paraId="5C79657A"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Exterior Lighting</w:t>
            </w:r>
          </w:p>
        </w:tc>
        <w:tc>
          <w:tcPr>
            <w:tcW w:w="3510" w:type="dxa"/>
            <w:noWrap/>
            <w:hideMark/>
          </w:tcPr>
          <w:p w14:paraId="3836E1C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65W LED Canopy Light</w:t>
            </w:r>
          </w:p>
        </w:tc>
        <w:tc>
          <w:tcPr>
            <w:tcW w:w="3420" w:type="dxa"/>
            <w:hideMark/>
          </w:tcPr>
          <w:p w14:paraId="2C80245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Average Lumen Equivalent Exterior HID Area Lighting</w:t>
            </w:r>
          </w:p>
        </w:tc>
      </w:tr>
      <w:tr w:rsidR="00B94618" w:rsidRPr="00B94618" w14:paraId="340CBEA5" w14:textId="77777777" w:rsidTr="00B94618">
        <w:tblPrEx>
          <w:tblLook w:val="04A0" w:firstRow="1" w:lastRow="0" w:firstColumn="1" w:lastColumn="0" w:noHBand="0" w:noVBand="1"/>
        </w:tblPrEx>
        <w:trPr>
          <w:trHeight w:val="458"/>
        </w:trPr>
        <w:tc>
          <w:tcPr>
            <w:tcW w:w="2359" w:type="dxa"/>
            <w:noWrap/>
            <w:hideMark/>
          </w:tcPr>
          <w:p w14:paraId="3E237AF1" w14:textId="2FD9E9F0"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LED Parking Lighting</w:t>
            </w:r>
            <w:r w:rsidR="000019DB">
              <w:rPr>
                <w:rFonts w:ascii="Calibri" w:hAnsi="Calibri" w:cs="Calibri"/>
                <w:sz w:val="18"/>
                <w:szCs w:val="18"/>
              </w:rPr>
              <w:t>*</w:t>
            </w:r>
          </w:p>
        </w:tc>
        <w:tc>
          <w:tcPr>
            <w:tcW w:w="1331" w:type="dxa"/>
            <w:noWrap/>
            <w:hideMark/>
          </w:tcPr>
          <w:p w14:paraId="72303F1F"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Exterior Lighting</w:t>
            </w:r>
          </w:p>
        </w:tc>
        <w:tc>
          <w:tcPr>
            <w:tcW w:w="3510" w:type="dxa"/>
            <w:noWrap/>
            <w:hideMark/>
          </w:tcPr>
          <w:p w14:paraId="3FF284B8"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One 160W LED Area Light</w:t>
            </w:r>
          </w:p>
        </w:tc>
        <w:tc>
          <w:tcPr>
            <w:tcW w:w="3420" w:type="dxa"/>
            <w:hideMark/>
          </w:tcPr>
          <w:p w14:paraId="55DA5571"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Average Lumen Equivalent Exterior HID Area Lighting</w:t>
            </w:r>
          </w:p>
        </w:tc>
      </w:tr>
      <w:tr w:rsidR="00B94618" w:rsidRPr="00B94618" w14:paraId="0D77122C" w14:textId="77777777" w:rsidTr="00B94618">
        <w:tblPrEx>
          <w:tblLook w:val="04A0" w:firstRow="1" w:lastRow="0" w:firstColumn="1" w:lastColumn="0" w:noHBand="0" w:noVBand="1"/>
        </w:tblPrEx>
        <w:trPr>
          <w:trHeight w:val="467"/>
        </w:trPr>
        <w:tc>
          <w:tcPr>
            <w:tcW w:w="2359" w:type="dxa"/>
            <w:noWrap/>
            <w:hideMark/>
          </w:tcPr>
          <w:p w14:paraId="67FA9DAD" w14:textId="55F073A1"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LED Street Lights</w:t>
            </w:r>
            <w:r w:rsidR="000019DB">
              <w:rPr>
                <w:rFonts w:ascii="Calibri" w:hAnsi="Calibri" w:cs="Calibri"/>
                <w:sz w:val="18"/>
                <w:szCs w:val="18"/>
              </w:rPr>
              <w:t>*</w:t>
            </w:r>
          </w:p>
        </w:tc>
        <w:tc>
          <w:tcPr>
            <w:tcW w:w="1331" w:type="dxa"/>
            <w:noWrap/>
            <w:hideMark/>
          </w:tcPr>
          <w:p w14:paraId="147FD89B"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Exterior Lighting</w:t>
            </w:r>
          </w:p>
        </w:tc>
        <w:tc>
          <w:tcPr>
            <w:tcW w:w="3510" w:type="dxa"/>
            <w:noWrap/>
            <w:hideMark/>
          </w:tcPr>
          <w:p w14:paraId="07A57539"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One 210W LED Area Light</w:t>
            </w:r>
          </w:p>
        </w:tc>
        <w:tc>
          <w:tcPr>
            <w:tcW w:w="3420" w:type="dxa"/>
            <w:hideMark/>
          </w:tcPr>
          <w:p w14:paraId="718EC70C"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Average Lumen Equivalent Exterior HID Area Lighting</w:t>
            </w:r>
          </w:p>
        </w:tc>
      </w:tr>
      <w:tr w:rsidR="00B94618" w:rsidRPr="00B94618" w14:paraId="07A88B6D" w14:textId="77777777" w:rsidTr="00B94618">
        <w:tblPrEx>
          <w:tblLook w:val="04A0" w:firstRow="1" w:lastRow="0" w:firstColumn="1" w:lastColumn="0" w:noHBand="0" w:noVBand="1"/>
        </w:tblPrEx>
        <w:trPr>
          <w:trHeight w:val="300"/>
        </w:trPr>
        <w:tc>
          <w:tcPr>
            <w:tcW w:w="2359" w:type="dxa"/>
            <w:noWrap/>
            <w:hideMark/>
          </w:tcPr>
          <w:p w14:paraId="2C00CA5F" w14:textId="0490C05B"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LED Traffic and Crosswalk Lighting</w:t>
            </w:r>
            <w:r w:rsidR="000019DB">
              <w:rPr>
                <w:rFonts w:ascii="Calibri" w:hAnsi="Calibri" w:cs="Calibri"/>
                <w:sz w:val="18"/>
                <w:szCs w:val="18"/>
              </w:rPr>
              <w:t>*</w:t>
            </w:r>
          </w:p>
        </w:tc>
        <w:tc>
          <w:tcPr>
            <w:tcW w:w="1331" w:type="dxa"/>
            <w:noWrap/>
            <w:hideMark/>
          </w:tcPr>
          <w:p w14:paraId="356074AE"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Exterior Lighting</w:t>
            </w:r>
          </w:p>
        </w:tc>
        <w:tc>
          <w:tcPr>
            <w:tcW w:w="3510" w:type="dxa"/>
            <w:noWrap/>
            <w:hideMark/>
          </w:tcPr>
          <w:p w14:paraId="50690CB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LED Crosswalk Sign</w:t>
            </w:r>
          </w:p>
        </w:tc>
        <w:tc>
          <w:tcPr>
            <w:tcW w:w="3420" w:type="dxa"/>
            <w:noWrap/>
            <w:hideMark/>
          </w:tcPr>
          <w:p w14:paraId="691938E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Energy Star Qualifying Crosswalk Sign</w:t>
            </w:r>
          </w:p>
        </w:tc>
      </w:tr>
      <w:tr w:rsidR="00B94618" w:rsidRPr="00B94618" w14:paraId="78C46901" w14:textId="77777777" w:rsidTr="00B94618">
        <w:tblPrEx>
          <w:tblLook w:val="04A0" w:firstRow="1" w:lastRow="0" w:firstColumn="1" w:lastColumn="0" w:noHBand="0" w:noVBand="1"/>
        </w:tblPrEx>
        <w:trPr>
          <w:trHeight w:val="300"/>
        </w:trPr>
        <w:tc>
          <w:tcPr>
            <w:tcW w:w="2359" w:type="dxa"/>
            <w:noWrap/>
            <w:hideMark/>
          </w:tcPr>
          <w:p w14:paraId="67F98D17"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Outdoor Lighting Controls</w:t>
            </w:r>
          </w:p>
        </w:tc>
        <w:tc>
          <w:tcPr>
            <w:tcW w:w="1331" w:type="dxa"/>
            <w:noWrap/>
            <w:hideMark/>
          </w:tcPr>
          <w:p w14:paraId="6BA6A9E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Exterior Lighting</w:t>
            </w:r>
          </w:p>
        </w:tc>
        <w:tc>
          <w:tcPr>
            <w:tcW w:w="3510" w:type="dxa"/>
            <w:noWrap/>
            <w:hideMark/>
          </w:tcPr>
          <w:p w14:paraId="73D1217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Install Exterior Photocell Dimming Controls, 500 Watts Controlled</w:t>
            </w:r>
          </w:p>
        </w:tc>
        <w:tc>
          <w:tcPr>
            <w:tcW w:w="3420" w:type="dxa"/>
            <w:noWrap/>
            <w:hideMark/>
          </w:tcPr>
          <w:p w14:paraId="38FDB98F"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500 Watts of Lighting, Manually Controlled</w:t>
            </w:r>
          </w:p>
        </w:tc>
      </w:tr>
      <w:tr w:rsidR="00B94618" w:rsidRPr="00B94618" w14:paraId="6F57751D" w14:textId="77777777" w:rsidTr="00B94618">
        <w:tblPrEx>
          <w:tblLook w:val="04A0" w:firstRow="1" w:lastRow="0" w:firstColumn="1" w:lastColumn="0" w:noHBand="0" w:noVBand="1"/>
        </w:tblPrEx>
        <w:trPr>
          <w:trHeight w:val="413"/>
        </w:trPr>
        <w:tc>
          <w:tcPr>
            <w:tcW w:w="2359" w:type="dxa"/>
            <w:noWrap/>
            <w:hideMark/>
          </w:tcPr>
          <w:p w14:paraId="21FD4533" w14:textId="403026DE"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Bi-Level Lighting Control (Interior)</w:t>
            </w:r>
            <w:r w:rsidR="000019DB">
              <w:rPr>
                <w:rFonts w:ascii="Calibri" w:hAnsi="Calibri" w:cs="Calibri"/>
                <w:sz w:val="18"/>
                <w:szCs w:val="18"/>
              </w:rPr>
              <w:t>*</w:t>
            </w:r>
          </w:p>
        </w:tc>
        <w:tc>
          <w:tcPr>
            <w:tcW w:w="1331" w:type="dxa"/>
            <w:noWrap/>
            <w:hideMark/>
          </w:tcPr>
          <w:p w14:paraId="0C54767E"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Interior Lighting</w:t>
            </w:r>
          </w:p>
        </w:tc>
        <w:tc>
          <w:tcPr>
            <w:tcW w:w="3510" w:type="dxa"/>
            <w:noWrap/>
            <w:hideMark/>
          </w:tcPr>
          <w:p w14:paraId="1F5285C2"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Bi-Level Controls on Interior Lighting, 500 Watts Controlled</w:t>
            </w:r>
          </w:p>
        </w:tc>
        <w:tc>
          <w:tcPr>
            <w:tcW w:w="3420" w:type="dxa"/>
            <w:noWrap/>
            <w:hideMark/>
          </w:tcPr>
          <w:p w14:paraId="3BE22FFB"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500 Watts of Lighting, Manually Controlled</w:t>
            </w:r>
          </w:p>
        </w:tc>
      </w:tr>
      <w:tr w:rsidR="00B94618" w:rsidRPr="00B94618" w14:paraId="2CB089DE" w14:textId="77777777" w:rsidTr="00B94618">
        <w:tblPrEx>
          <w:tblLook w:val="04A0" w:firstRow="1" w:lastRow="0" w:firstColumn="1" w:lastColumn="0" w:noHBand="0" w:noVBand="1"/>
        </w:tblPrEx>
        <w:trPr>
          <w:trHeight w:val="188"/>
        </w:trPr>
        <w:tc>
          <w:tcPr>
            <w:tcW w:w="2359" w:type="dxa"/>
            <w:noWrap/>
            <w:hideMark/>
          </w:tcPr>
          <w:p w14:paraId="0934DDF0"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CFL-23W</w:t>
            </w:r>
          </w:p>
        </w:tc>
        <w:tc>
          <w:tcPr>
            <w:tcW w:w="1331" w:type="dxa"/>
            <w:noWrap/>
            <w:hideMark/>
          </w:tcPr>
          <w:p w14:paraId="4C32F22A"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Interior Lighting</w:t>
            </w:r>
          </w:p>
        </w:tc>
        <w:tc>
          <w:tcPr>
            <w:tcW w:w="3510" w:type="dxa"/>
            <w:noWrap/>
            <w:hideMark/>
          </w:tcPr>
          <w:p w14:paraId="5981150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CFL (assume 23W) replacing EISA-2020 compliant baseline lamp (100w equivalent)</w:t>
            </w:r>
          </w:p>
        </w:tc>
        <w:tc>
          <w:tcPr>
            <w:tcW w:w="3420" w:type="dxa"/>
            <w:noWrap/>
            <w:hideMark/>
          </w:tcPr>
          <w:p w14:paraId="4810198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EISA-2020 compliant baseline lamp (100W equivalent)</w:t>
            </w:r>
          </w:p>
        </w:tc>
      </w:tr>
      <w:tr w:rsidR="00B94618" w:rsidRPr="00B94618" w14:paraId="3C885E54" w14:textId="77777777" w:rsidTr="00B94618">
        <w:tblPrEx>
          <w:tblLook w:val="04A0" w:firstRow="1" w:lastRow="0" w:firstColumn="1" w:lastColumn="0" w:noHBand="0" w:noVBand="1"/>
        </w:tblPrEx>
        <w:trPr>
          <w:trHeight w:val="98"/>
        </w:trPr>
        <w:tc>
          <w:tcPr>
            <w:tcW w:w="2359" w:type="dxa"/>
            <w:noWrap/>
            <w:hideMark/>
          </w:tcPr>
          <w:p w14:paraId="0BA5CF1C"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High Bay Fluorescent (T5)</w:t>
            </w:r>
          </w:p>
        </w:tc>
        <w:tc>
          <w:tcPr>
            <w:tcW w:w="1331" w:type="dxa"/>
            <w:noWrap/>
            <w:hideMark/>
          </w:tcPr>
          <w:p w14:paraId="7307274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Interior Lighting</w:t>
            </w:r>
          </w:p>
        </w:tc>
        <w:tc>
          <w:tcPr>
            <w:tcW w:w="3510" w:type="dxa"/>
            <w:noWrap/>
            <w:hideMark/>
          </w:tcPr>
          <w:p w14:paraId="7479F0C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4' 4-Lamp High Bay T5 Fixture</w:t>
            </w:r>
          </w:p>
        </w:tc>
        <w:tc>
          <w:tcPr>
            <w:tcW w:w="3420" w:type="dxa"/>
            <w:noWrap/>
            <w:hideMark/>
          </w:tcPr>
          <w:p w14:paraId="05161DF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Average Lumen Equivalent High Intensity Discharge Fixture</w:t>
            </w:r>
          </w:p>
        </w:tc>
      </w:tr>
      <w:tr w:rsidR="00B94618" w:rsidRPr="00B94618" w14:paraId="40416276" w14:textId="77777777" w:rsidTr="00B94618">
        <w:tblPrEx>
          <w:tblLook w:val="04A0" w:firstRow="1" w:lastRow="0" w:firstColumn="1" w:lastColumn="0" w:noHBand="0" w:noVBand="1"/>
        </w:tblPrEx>
        <w:trPr>
          <w:trHeight w:val="287"/>
        </w:trPr>
        <w:tc>
          <w:tcPr>
            <w:tcW w:w="2359" w:type="dxa"/>
            <w:noWrap/>
            <w:hideMark/>
          </w:tcPr>
          <w:p w14:paraId="56978EF0"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High Bay LED</w:t>
            </w:r>
          </w:p>
        </w:tc>
        <w:tc>
          <w:tcPr>
            <w:tcW w:w="1331" w:type="dxa"/>
            <w:noWrap/>
            <w:hideMark/>
          </w:tcPr>
          <w:p w14:paraId="0F535F8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Interior Lighting</w:t>
            </w:r>
          </w:p>
        </w:tc>
        <w:tc>
          <w:tcPr>
            <w:tcW w:w="3510" w:type="dxa"/>
            <w:noWrap/>
            <w:hideMark/>
          </w:tcPr>
          <w:p w14:paraId="0C84D62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150W High Bay LED Fixture</w:t>
            </w:r>
          </w:p>
        </w:tc>
        <w:tc>
          <w:tcPr>
            <w:tcW w:w="3420" w:type="dxa"/>
            <w:noWrap/>
            <w:hideMark/>
          </w:tcPr>
          <w:p w14:paraId="5F183F4D"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Weighted Existing Fluorescent High-Bay Fixture</w:t>
            </w:r>
          </w:p>
        </w:tc>
      </w:tr>
      <w:tr w:rsidR="00B94618" w:rsidRPr="00B94618" w14:paraId="1691B40C" w14:textId="77777777" w:rsidTr="00B94618">
        <w:tblPrEx>
          <w:tblLook w:val="04A0" w:firstRow="1" w:lastRow="0" w:firstColumn="1" w:lastColumn="0" w:noHBand="0" w:noVBand="1"/>
        </w:tblPrEx>
        <w:trPr>
          <w:trHeight w:val="458"/>
        </w:trPr>
        <w:tc>
          <w:tcPr>
            <w:tcW w:w="2359" w:type="dxa"/>
            <w:noWrap/>
            <w:hideMark/>
          </w:tcPr>
          <w:p w14:paraId="276B1B84"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Interior Lighting Controls</w:t>
            </w:r>
          </w:p>
        </w:tc>
        <w:tc>
          <w:tcPr>
            <w:tcW w:w="1331" w:type="dxa"/>
            <w:noWrap/>
            <w:hideMark/>
          </w:tcPr>
          <w:p w14:paraId="530B57D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Interior Lighting</w:t>
            </w:r>
          </w:p>
        </w:tc>
        <w:tc>
          <w:tcPr>
            <w:tcW w:w="3510" w:type="dxa"/>
            <w:noWrap/>
            <w:hideMark/>
          </w:tcPr>
          <w:p w14:paraId="7535B87B"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Install Interior Photocell Dimming Controls, 500 Watts Controlled</w:t>
            </w:r>
          </w:p>
        </w:tc>
        <w:tc>
          <w:tcPr>
            <w:tcW w:w="3420" w:type="dxa"/>
            <w:noWrap/>
            <w:hideMark/>
          </w:tcPr>
          <w:p w14:paraId="28F33DAC"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500 Watts of Lighting, Manually Controlled</w:t>
            </w:r>
          </w:p>
        </w:tc>
      </w:tr>
      <w:tr w:rsidR="00B94618" w:rsidRPr="00B94618" w14:paraId="586A7B4E" w14:textId="77777777" w:rsidTr="00B94618">
        <w:tblPrEx>
          <w:tblLook w:val="04A0" w:firstRow="1" w:lastRow="0" w:firstColumn="1" w:lastColumn="0" w:noHBand="0" w:noVBand="1"/>
        </w:tblPrEx>
        <w:trPr>
          <w:trHeight w:val="413"/>
        </w:trPr>
        <w:tc>
          <w:tcPr>
            <w:tcW w:w="2359" w:type="dxa"/>
            <w:noWrap/>
            <w:hideMark/>
          </w:tcPr>
          <w:p w14:paraId="6EB4EB8D"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LED - 14W</w:t>
            </w:r>
          </w:p>
        </w:tc>
        <w:tc>
          <w:tcPr>
            <w:tcW w:w="1331" w:type="dxa"/>
            <w:noWrap/>
            <w:hideMark/>
          </w:tcPr>
          <w:p w14:paraId="2DBD6D1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Interior Lighting</w:t>
            </w:r>
          </w:p>
        </w:tc>
        <w:tc>
          <w:tcPr>
            <w:tcW w:w="3510" w:type="dxa"/>
            <w:noWrap/>
            <w:hideMark/>
          </w:tcPr>
          <w:p w14:paraId="570F08B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LED (assume 14W) replacing EISA-2020 compliant baseline lamp (100w equivalent)</w:t>
            </w:r>
          </w:p>
        </w:tc>
        <w:tc>
          <w:tcPr>
            <w:tcW w:w="3420" w:type="dxa"/>
            <w:noWrap/>
            <w:hideMark/>
          </w:tcPr>
          <w:p w14:paraId="76CE038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EISA-2020 compliant baseline lamp (100W equivalent)</w:t>
            </w:r>
          </w:p>
        </w:tc>
      </w:tr>
      <w:tr w:rsidR="00B94618" w:rsidRPr="00B94618" w14:paraId="338A6D6E" w14:textId="77777777" w:rsidTr="00B94618">
        <w:tblPrEx>
          <w:tblLook w:val="04A0" w:firstRow="1" w:lastRow="0" w:firstColumn="1" w:lastColumn="0" w:noHBand="0" w:noVBand="1"/>
        </w:tblPrEx>
        <w:trPr>
          <w:trHeight w:val="300"/>
        </w:trPr>
        <w:tc>
          <w:tcPr>
            <w:tcW w:w="2359" w:type="dxa"/>
            <w:noWrap/>
            <w:hideMark/>
          </w:tcPr>
          <w:p w14:paraId="080945C4"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LED Display Lighting (Interior)</w:t>
            </w:r>
          </w:p>
        </w:tc>
        <w:tc>
          <w:tcPr>
            <w:tcW w:w="1331" w:type="dxa"/>
            <w:noWrap/>
            <w:hideMark/>
          </w:tcPr>
          <w:p w14:paraId="66C62F4A"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Interior Lighting</w:t>
            </w:r>
          </w:p>
        </w:tc>
        <w:tc>
          <w:tcPr>
            <w:tcW w:w="3510" w:type="dxa"/>
            <w:noWrap/>
            <w:hideMark/>
          </w:tcPr>
          <w:p w14:paraId="5C1127D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Letter of LED Signage, &lt; 2ft in Height</w:t>
            </w:r>
          </w:p>
        </w:tc>
        <w:tc>
          <w:tcPr>
            <w:tcW w:w="3420" w:type="dxa"/>
            <w:noWrap/>
            <w:hideMark/>
          </w:tcPr>
          <w:p w14:paraId="1932238C"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Letter of Neon or Argon-mercury Signage, &lt; 2ft in Height</w:t>
            </w:r>
          </w:p>
        </w:tc>
      </w:tr>
      <w:tr w:rsidR="00B94618" w:rsidRPr="00B94618" w14:paraId="787F2784" w14:textId="77777777" w:rsidTr="00B94618">
        <w:tblPrEx>
          <w:tblLook w:val="04A0" w:firstRow="1" w:lastRow="0" w:firstColumn="1" w:lastColumn="0" w:noHBand="0" w:noVBand="1"/>
        </w:tblPrEx>
        <w:trPr>
          <w:trHeight w:val="300"/>
        </w:trPr>
        <w:tc>
          <w:tcPr>
            <w:tcW w:w="2359" w:type="dxa"/>
            <w:noWrap/>
            <w:hideMark/>
          </w:tcPr>
          <w:p w14:paraId="6094D7F2" w14:textId="124FFB40"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LED Linear - Fixture Replacement</w:t>
            </w:r>
            <w:r w:rsidR="000019DB">
              <w:rPr>
                <w:rFonts w:ascii="Calibri" w:hAnsi="Calibri" w:cs="Calibri"/>
                <w:sz w:val="18"/>
                <w:szCs w:val="18"/>
              </w:rPr>
              <w:t>*</w:t>
            </w:r>
          </w:p>
        </w:tc>
        <w:tc>
          <w:tcPr>
            <w:tcW w:w="1331" w:type="dxa"/>
            <w:noWrap/>
            <w:hideMark/>
          </w:tcPr>
          <w:p w14:paraId="492D479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Interior Lighting</w:t>
            </w:r>
          </w:p>
        </w:tc>
        <w:tc>
          <w:tcPr>
            <w:tcW w:w="3510" w:type="dxa"/>
            <w:noWrap/>
            <w:hideMark/>
          </w:tcPr>
          <w:p w14:paraId="69203C2D"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2x4 LED Troffer</w:t>
            </w:r>
          </w:p>
        </w:tc>
        <w:tc>
          <w:tcPr>
            <w:tcW w:w="3420" w:type="dxa"/>
            <w:noWrap/>
            <w:hideMark/>
          </w:tcPr>
          <w:p w14:paraId="14B17FC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Lumen-Equivalent 32-Watt T8 Fixture</w:t>
            </w:r>
          </w:p>
        </w:tc>
      </w:tr>
      <w:tr w:rsidR="00B94618" w:rsidRPr="00B94618" w14:paraId="109D59FB" w14:textId="77777777" w:rsidTr="00B94618">
        <w:tblPrEx>
          <w:tblLook w:val="04A0" w:firstRow="1" w:lastRow="0" w:firstColumn="1" w:lastColumn="0" w:noHBand="0" w:noVBand="1"/>
        </w:tblPrEx>
        <w:trPr>
          <w:trHeight w:val="300"/>
        </w:trPr>
        <w:tc>
          <w:tcPr>
            <w:tcW w:w="2359" w:type="dxa"/>
            <w:noWrap/>
            <w:hideMark/>
          </w:tcPr>
          <w:p w14:paraId="411BDE53"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LED Linear - Lamp Replacement</w:t>
            </w:r>
          </w:p>
        </w:tc>
        <w:tc>
          <w:tcPr>
            <w:tcW w:w="1331" w:type="dxa"/>
            <w:noWrap/>
            <w:hideMark/>
          </w:tcPr>
          <w:p w14:paraId="652CFB3B"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Interior Lighting</w:t>
            </w:r>
          </w:p>
        </w:tc>
        <w:tc>
          <w:tcPr>
            <w:tcW w:w="3510" w:type="dxa"/>
            <w:noWrap/>
            <w:hideMark/>
          </w:tcPr>
          <w:p w14:paraId="09AEE18D"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Linear LED (21W)</w:t>
            </w:r>
          </w:p>
        </w:tc>
        <w:tc>
          <w:tcPr>
            <w:tcW w:w="3420" w:type="dxa"/>
            <w:noWrap/>
            <w:hideMark/>
          </w:tcPr>
          <w:p w14:paraId="150F8CE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Lumen-Equivalent 32-Watt T8 Lamp</w:t>
            </w:r>
          </w:p>
        </w:tc>
      </w:tr>
      <w:tr w:rsidR="00B94618" w:rsidRPr="00B94618" w14:paraId="7188A8D7" w14:textId="77777777" w:rsidTr="00B94618">
        <w:tblPrEx>
          <w:tblLook w:val="04A0" w:firstRow="1" w:lastRow="0" w:firstColumn="1" w:lastColumn="0" w:noHBand="0" w:noVBand="1"/>
        </w:tblPrEx>
        <w:trPr>
          <w:trHeight w:val="170"/>
        </w:trPr>
        <w:tc>
          <w:tcPr>
            <w:tcW w:w="2359" w:type="dxa"/>
            <w:noWrap/>
            <w:hideMark/>
          </w:tcPr>
          <w:p w14:paraId="7F91A069"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Premium T8 - Fixture Replacement</w:t>
            </w:r>
          </w:p>
        </w:tc>
        <w:tc>
          <w:tcPr>
            <w:tcW w:w="1331" w:type="dxa"/>
            <w:noWrap/>
            <w:hideMark/>
          </w:tcPr>
          <w:p w14:paraId="10C3DF1F"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Interior Lighting</w:t>
            </w:r>
          </w:p>
        </w:tc>
        <w:tc>
          <w:tcPr>
            <w:tcW w:w="3510" w:type="dxa"/>
            <w:noWrap/>
            <w:hideMark/>
          </w:tcPr>
          <w:p w14:paraId="45536F3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Reduced Wattage (28W) T8 Fixture with Low Ballast Factor</w:t>
            </w:r>
          </w:p>
        </w:tc>
        <w:tc>
          <w:tcPr>
            <w:tcW w:w="3420" w:type="dxa"/>
            <w:noWrap/>
            <w:hideMark/>
          </w:tcPr>
          <w:p w14:paraId="2CDE91B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Lumen-Equivalent 32-Watt T8 Fixture</w:t>
            </w:r>
          </w:p>
        </w:tc>
      </w:tr>
      <w:tr w:rsidR="00B94618" w:rsidRPr="00B94618" w14:paraId="2281A6EB" w14:textId="77777777" w:rsidTr="00B94618">
        <w:tblPrEx>
          <w:tblLook w:val="04A0" w:firstRow="1" w:lastRow="0" w:firstColumn="1" w:lastColumn="0" w:noHBand="0" w:noVBand="1"/>
        </w:tblPrEx>
        <w:trPr>
          <w:trHeight w:val="70"/>
        </w:trPr>
        <w:tc>
          <w:tcPr>
            <w:tcW w:w="2359" w:type="dxa"/>
            <w:noWrap/>
            <w:hideMark/>
          </w:tcPr>
          <w:p w14:paraId="22C22303"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Premium T8 - Lamp Replacement</w:t>
            </w:r>
          </w:p>
        </w:tc>
        <w:tc>
          <w:tcPr>
            <w:tcW w:w="1331" w:type="dxa"/>
            <w:noWrap/>
            <w:hideMark/>
          </w:tcPr>
          <w:p w14:paraId="0CC5FAF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Interior Lighting</w:t>
            </w:r>
          </w:p>
        </w:tc>
        <w:tc>
          <w:tcPr>
            <w:tcW w:w="3510" w:type="dxa"/>
            <w:noWrap/>
            <w:hideMark/>
          </w:tcPr>
          <w:p w14:paraId="2238A2A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Replace Bulbs in T8 Fixture with Reduced Wattage (28W) Bulbs</w:t>
            </w:r>
          </w:p>
        </w:tc>
        <w:tc>
          <w:tcPr>
            <w:tcW w:w="3420" w:type="dxa"/>
            <w:noWrap/>
            <w:hideMark/>
          </w:tcPr>
          <w:p w14:paraId="71C4B5DC"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32-Watt T8 Fixture</w:t>
            </w:r>
          </w:p>
        </w:tc>
      </w:tr>
      <w:tr w:rsidR="00B94618" w:rsidRPr="00B94618" w14:paraId="4E16555D" w14:textId="77777777" w:rsidTr="00B94618">
        <w:tblPrEx>
          <w:tblLook w:val="04A0" w:firstRow="1" w:lastRow="0" w:firstColumn="1" w:lastColumn="0" w:noHBand="0" w:noVBand="1"/>
        </w:tblPrEx>
        <w:trPr>
          <w:trHeight w:val="900"/>
        </w:trPr>
        <w:tc>
          <w:tcPr>
            <w:tcW w:w="2359" w:type="dxa"/>
            <w:noWrap/>
            <w:hideMark/>
          </w:tcPr>
          <w:p w14:paraId="62ED51B9" w14:textId="7022321E"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Efficient Battery Charger</w:t>
            </w:r>
            <w:r w:rsidR="000019DB">
              <w:rPr>
                <w:rFonts w:ascii="Calibri" w:hAnsi="Calibri" w:cs="Calibri"/>
                <w:sz w:val="18"/>
                <w:szCs w:val="18"/>
              </w:rPr>
              <w:t>*</w:t>
            </w:r>
          </w:p>
        </w:tc>
        <w:tc>
          <w:tcPr>
            <w:tcW w:w="1331" w:type="dxa"/>
            <w:noWrap/>
            <w:hideMark/>
          </w:tcPr>
          <w:p w14:paraId="4565039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Miscellaneous</w:t>
            </w:r>
          </w:p>
        </w:tc>
        <w:tc>
          <w:tcPr>
            <w:tcW w:w="3510" w:type="dxa"/>
            <w:noWrap/>
            <w:hideMark/>
          </w:tcPr>
          <w:p w14:paraId="4F46B7F4" w14:textId="2A68EE99"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Single-phase Ferro resonant or silicon-controlled rectifier chargin</w:t>
            </w:r>
            <w:r w:rsidR="00E44363">
              <w:rPr>
                <w:rFonts w:ascii="Calibri" w:hAnsi="Calibri" w:cs="Calibri"/>
                <w:color w:val="000000"/>
                <w:sz w:val="18"/>
                <w:szCs w:val="18"/>
              </w:rPr>
              <w:t>g</w:t>
            </w:r>
            <w:r w:rsidRPr="00B94618">
              <w:rPr>
                <w:rFonts w:ascii="Calibri" w:hAnsi="Calibri" w:cs="Calibri"/>
                <w:color w:val="000000"/>
                <w:sz w:val="18"/>
                <w:szCs w:val="18"/>
              </w:rPr>
              <w:t xml:space="preserve"> equipment with power conversion efficiency &gt;=89% &amp; maintenance power &lt;= 10 W</w:t>
            </w:r>
          </w:p>
        </w:tc>
        <w:tc>
          <w:tcPr>
            <w:tcW w:w="3420" w:type="dxa"/>
            <w:noWrap/>
            <w:hideMark/>
          </w:tcPr>
          <w:p w14:paraId="670BE328" w14:textId="16963016"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FR or SCR charging stations with power conversion efficie</w:t>
            </w:r>
            <w:r w:rsidR="00E44363">
              <w:rPr>
                <w:rFonts w:ascii="Calibri" w:hAnsi="Calibri" w:cs="Calibri"/>
                <w:color w:val="000000"/>
                <w:sz w:val="18"/>
                <w:szCs w:val="18"/>
              </w:rPr>
              <w:t>n</w:t>
            </w:r>
            <w:r w:rsidRPr="00B94618">
              <w:rPr>
                <w:rFonts w:ascii="Calibri" w:hAnsi="Calibri" w:cs="Calibri"/>
                <w:color w:val="000000"/>
                <w:sz w:val="18"/>
                <w:szCs w:val="18"/>
              </w:rPr>
              <w:t>cy &lt; 89% or &gt; 10 W</w:t>
            </w:r>
          </w:p>
        </w:tc>
      </w:tr>
      <w:tr w:rsidR="00B94618" w:rsidRPr="00B94618" w14:paraId="3BD41C78" w14:textId="77777777" w:rsidTr="00B94618">
        <w:tblPrEx>
          <w:tblLook w:val="04A0" w:firstRow="1" w:lastRow="0" w:firstColumn="1" w:lastColumn="0" w:noHBand="0" w:noVBand="1"/>
        </w:tblPrEx>
        <w:trPr>
          <w:trHeight w:val="300"/>
        </w:trPr>
        <w:tc>
          <w:tcPr>
            <w:tcW w:w="2359" w:type="dxa"/>
            <w:noWrap/>
            <w:hideMark/>
          </w:tcPr>
          <w:p w14:paraId="49D5B6D6" w14:textId="21668F9B"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Efficient Motor Belts</w:t>
            </w:r>
            <w:r w:rsidR="000019DB">
              <w:rPr>
                <w:rFonts w:ascii="Calibri" w:hAnsi="Calibri" w:cs="Calibri"/>
                <w:sz w:val="18"/>
                <w:szCs w:val="18"/>
              </w:rPr>
              <w:t>*</w:t>
            </w:r>
          </w:p>
        </w:tc>
        <w:tc>
          <w:tcPr>
            <w:tcW w:w="1331" w:type="dxa"/>
            <w:noWrap/>
            <w:hideMark/>
          </w:tcPr>
          <w:p w14:paraId="26D418B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Miscellaneous</w:t>
            </w:r>
          </w:p>
        </w:tc>
        <w:tc>
          <w:tcPr>
            <w:tcW w:w="3510" w:type="dxa"/>
            <w:noWrap/>
            <w:hideMark/>
          </w:tcPr>
          <w:p w14:paraId="31C510AE"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Synchronous belt, 98% efficiency</w:t>
            </w:r>
          </w:p>
        </w:tc>
        <w:tc>
          <w:tcPr>
            <w:tcW w:w="3420" w:type="dxa"/>
            <w:noWrap/>
            <w:hideMark/>
          </w:tcPr>
          <w:p w14:paraId="701DA1C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V-belt drive</w:t>
            </w:r>
          </w:p>
        </w:tc>
      </w:tr>
      <w:tr w:rsidR="00B94618" w:rsidRPr="00B94618" w14:paraId="67D964F9" w14:textId="77777777" w:rsidTr="00B94618">
        <w:tblPrEx>
          <w:tblLook w:val="04A0" w:firstRow="1" w:lastRow="0" w:firstColumn="1" w:lastColumn="0" w:noHBand="0" w:noVBand="1"/>
        </w:tblPrEx>
        <w:trPr>
          <w:trHeight w:val="300"/>
        </w:trPr>
        <w:tc>
          <w:tcPr>
            <w:tcW w:w="2359" w:type="dxa"/>
            <w:noWrap/>
            <w:hideMark/>
          </w:tcPr>
          <w:p w14:paraId="53550507" w14:textId="3B206542"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Commercial Clothes Washer</w:t>
            </w:r>
            <w:r w:rsidR="00251390">
              <w:rPr>
                <w:rFonts w:ascii="Calibri" w:hAnsi="Calibri" w:cs="Calibri"/>
                <w:sz w:val="18"/>
                <w:szCs w:val="18"/>
              </w:rPr>
              <w:t>*</w:t>
            </w:r>
          </w:p>
        </w:tc>
        <w:tc>
          <w:tcPr>
            <w:tcW w:w="1331" w:type="dxa"/>
            <w:noWrap/>
            <w:hideMark/>
          </w:tcPr>
          <w:p w14:paraId="7FAECAC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Miscellaneous</w:t>
            </w:r>
          </w:p>
        </w:tc>
        <w:tc>
          <w:tcPr>
            <w:tcW w:w="3510" w:type="dxa"/>
            <w:noWrap/>
            <w:hideMark/>
          </w:tcPr>
          <w:p w14:paraId="6FA67AC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Commercial Clothes Washer meeting current ENERGY STAR® Requirements</w:t>
            </w:r>
          </w:p>
        </w:tc>
        <w:tc>
          <w:tcPr>
            <w:tcW w:w="3420" w:type="dxa"/>
            <w:noWrap/>
            <w:hideMark/>
          </w:tcPr>
          <w:p w14:paraId="60C1049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Commercial Clothes Washer meeting Federal Standard</w:t>
            </w:r>
          </w:p>
        </w:tc>
      </w:tr>
      <w:tr w:rsidR="00B94618" w:rsidRPr="00B94618" w14:paraId="2E3049C2" w14:textId="77777777" w:rsidTr="00B94618">
        <w:tblPrEx>
          <w:tblLook w:val="04A0" w:firstRow="1" w:lastRow="0" w:firstColumn="1" w:lastColumn="0" w:noHBand="0" w:noVBand="1"/>
        </w:tblPrEx>
        <w:trPr>
          <w:trHeight w:val="300"/>
        </w:trPr>
        <w:tc>
          <w:tcPr>
            <w:tcW w:w="2359" w:type="dxa"/>
            <w:noWrap/>
            <w:hideMark/>
          </w:tcPr>
          <w:p w14:paraId="1A03A20A" w14:textId="64D96B24"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Water Cooler</w:t>
            </w:r>
            <w:r w:rsidR="00251390">
              <w:rPr>
                <w:rFonts w:ascii="Calibri" w:hAnsi="Calibri" w:cs="Calibri"/>
                <w:sz w:val="18"/>
                <w:szCs w:val="18"/>
              </w:rPr>
              <w:t>*</w:t>
            </w:r>
          </w:p>
        </w:tc>
        <w:tc>
          <w:tcPr>
            <w:tcW w:w="1331" w:type="dxa"/>
            <w:noWrap/>
            <w:hideMark/>
          </w:tcPr>
          <w:p w14:paraId="186C1D9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Miscellaneous</w:t>
            </w:r>
          </w:p>
        </w:tc>
        <w:tc>
          <w:tcPr>
            <w:tcW w:w="3510" w:type="dxa"/>
            <w:noWrap/>
            <w:hideMark/>
          </w:tcPr>
          <w:p w14:paraId="06B8206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Storage Type Hot/Cold Water Cooler Unit meeting current ENERGY STAR® Standards</w:t>
            </w:r>
          </w:p>
        </w:tc>
        <w:tc>
          <w:tcPr>
            <w:tcW w:w="3420" w:type="dxa"/>
            <w:noWrap/>
            <w:hideMark/>
          </w:tcPr>
          <w:p w14:paraId="60BF83CD"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Standard Storage Type Hot/Cold Water Cooler Unit</w:t>
            </w:r>
          </w:p>
        </w:tc>
      </w:tr>
      <w:tr w:rsidR="00B94618" w:rsidRPr="00B94618" w14:paraId="57A01E8E" w14:textId="77777777" w:rsidTr="00B94618">
        <w:tblPrEx>
          <w:tblLook w:val="04A0" w:firstRow="1" w:lastRow="0" w:firstColumn="1" w:lastColumn="0" w:noHBand="0" w:noVBand="1"/>
        </w:tblPrEx>
        <w:trPr>
          <w:trHeight w:val="300"/>
        </w:trPr>
        <w:tc>
          <w:tcPr>
            <w:tcW w:w="2359" w:type="dxa"/>
            <w:noWrap/>
            <w:hideMark/>
          </w:tcPr>
          <w:p w14:paraId="0D8A5BBD" w14:textId="03F03FF0"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Engine Block Timer</w:t>
            </w:r>
            <w:r w:rsidR="00251390">
              <w:rPr>
                <w:rFonts w:ascii="Calibri" w:hAnsi="Calibri" w:cs="Calibri"/>
                <w:sz w:val="18"/>
                <w:szCs w:val="18"/>
              </w:rPr>
              <w:t>*</w:t>
            </w:r>
          </w:p>
        </w:tc>
        <w:tc>
          <w:tcPr>
            <w:tcW w:w="1331" w:type="dxa"/>
            <w:noWrap/>
            <w:hideMark/>
          </w:tcPr>
          <w:p w14:paraId="0FEE275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Miscellaneous</w:t>
            </w:r>
          </w:p>
        </w:tc>
        <w:tc>
          <w:tcPr>
            <w:tcW w:w="3510" w:type="dxa"/>
            <w:noWrap/>
            <w:hideMark/>
          </w:tcPr>
          <w:p w14:paraId="3E6831F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Plug-in timer that activates engine block timer to reduce unnecessary run time</w:t>
            </w:r>
          </w:p>
        </w:tc>
        <w:tc>
          <w:tcPr>
            <w:tcW w:w="3420" w:type="dxa"/>
            <w:noWrap/>
            <w:hideMark/>
          </w:tcPr>
          <w:p w14:paraId="3E517FC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Engine block heater (typically used for backup generators) running continuously</w:t>
            </w:r>
          </w:p>
        </w:tc>
      </w:tr>
      <w:tr w:rsidR="00B94618" w:rsidRPr="00B94618" w14:paraId="0AF4B850" w14:textId="77777777" w:rsidTr="00B94618">
        <w:tblPrEx>
          <w:tblLook w:val="04A0" w:firstRow="1" w:lastRow="0" w:firstColumn="1" w:lastColumn="0" w:noHBand="0" w:noVBand="1"/>
        </w:tblPrEx>
        <w:trPr>
          <w:trHeight w:val="300"/>
        </w:trPr>
        <w:tc>
          <w:tcPr>
            <w:tcW w:w="2359" w:type="dxa"/>
            <w:noWrap/>
            <w:hideMark/>
          </w:tcPr>
          <w:p w14:paraId="34C113F0" w14:textId="5BA06784"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Regenerative Drive Elevator Motor</w:t>
            </w:r>
            <w:r w:rsidR="000019DB">
              <w:rPr>
                <w:rFonts w:ascii="Calibri" w:hAnsi="Calibri" w:cs="Calibri"/>
                <w:sz w:val="18"/>
                <w:szCs w:val="18"/>
              </w:rPr>
              <w:t>*</w:t>
            </w:r>
          </w:p>
        </w:tc>
        <w:tc>
          <w:tcPr>
            <w:tcW w:w="1331" w:type="dxa"/>
            <w:noWrap/>
            <w:hideMark/>
          </w:tcPr>
          <w:p w14:paraId="6E26BCAB"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Miscellaneous</w:t>
            </w:r>
          </w:p>
        </w:tc>
        <w:tc>
          <w:tcPr>
            <w:tcW w:w="3510" w:type="dxa"/>
            <w:noWrap/>
            <w:hideMark/>
          </w:tcPr>
          <w:p w14:paraId="5F20EE32"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Regenerative drive produced energy when motor in overhaul condition</w:t>
            </w:r>
          </w:p>
        </w:tc>
        <w:tc>
          <w:tcPr>
            <w:tcW w:w="3420" w:type="dxa"/>
            <w:noWrap/>
            <w:hideMark/>
          </w:tcPr>
          <w:p w14:paraId="0D5EDA9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motor</w:t>
            </w:r>
          </w:p>
        </w:tc>
      </w:tr>
      <w:tr w:rsidR="00E44363" w:rsidRPr="00B94618" w14:paraId="663BF075" w14:textId="77777777" w:rsidTr="00145C87">
        <w:tblPrEx>
          <w:tblLook w:val="04A0" w:firstRow="1" w:lastRow="0" w:firstColumn="1" w:lastColumn="0" w:noHBand="0" w:noVBand="1"/>
        </w:tblPrEx>
        <w:trPr>
          <w:trHeight w:val="188"/>
        </w:trPr>
        <w:tc>
          <w:tcPr>
            <w:tcW w:w="2359" w:type="dxa"/>
            <w:noWrap/>
            <w:hideMark/>
          </w:tcPr>
          <w:p w14:paraId="5C9C55B8" w14:textId="56D979CB" w:rsidR="00E44363" w:rsidRPr="00B94618" w:rsidRDefault="00E44363" w:rsidP="00145C87">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Solar Pool Heater</w:t>
            </w:r>
            <w:r w:rsidR="000019DB">
              <w:rPr>
                <w:rFonts w:ascii="Calibri" w:hAnsi="Calibri" w:cs="Calibri"/>
                <w:sz w:val="18"/>
                <w:szCs w:val="18"/>
              </w:rPr>
              <w:t>*</w:t>
            </w:r>
          </w:p>
        </w:tc>
        <w:tc>
          <w:tcPr>
            <w:tcW w:w="1331" w:type="dxa"/>
            <w:noWrap/>
            <w:hideMark/>
          </w:tcPr>
          <w:p w14:paraId="74914AFC" w14:textId="77777777" w:rsidR="00E44363" w:rsidRPr="00B94618" w:rsidRDefault="00E44363" w:rsidP="00145C87">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Miscellaneous</w:t>
            </w:r>
          </w:p>
        </w:tc>
        <w:tc>
          <w:tcPr>
            <w:tcW w:w="3510" w:type="dxa"/>
            <w:noWrap/>
            <w:hideMark/>
          </w:tcPr>
          <w:p w14:paraId="04F688E8" w14:textId="77777777" w:rsidR="00E44363" w:rsidRPr="00B94618" w:rsidRDefault="00E44363" w:rsidP="00145C87">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Solar Swimming Pool Heater</w:t>
            </w:r>
          </w:p>
        </w:tc>
        <w:tc>
          <w:tcPr>
            <w:tcW w:w="3420" w:type="dxa"/>
            <w:noWrap/>
            <w:hideMark/>
          </w:tcPr>
          <w:p w14:paraId="00EEDA5E" w14:textId="77777777" w:rsidR="00E44363" w:rsidRPr="00B94618" w:rsidRDefault="00E44363" w:rsidP="00145C87">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Electric Resistance Swimming Pool Heater</w:t>
            </w:r>
          </w:p>
        </w:tc>
      </w:tr>
      <w:tr w:rsidR="00E44363" w:rsidRPr="00B94618" w14:paraId="1999104B" w14:textId="77777777" w:rsidTr="00B94618">
        <w:tblPrEx>
          <w:tblLook w:val="04A0" w:firstRow="1" w:lastRow="0" w:firstColumn="1" w:lastColumn="0" w:noHBand="0" w:noVBand="1"/>
        </w:tblPrEx>
        <w:trPr>
          <w:trHeight w:val="188"/>
        </w:trPr>
        <w:tc>
          <w:tcPr>
            <w:tcW w:w="2359" w:type="dxa"/>
            <w:noWrap/>
            <w:hideMark/>
          </w:tcPr>
          <w:p w14:paraId="694F864A" w14:textId="05B6F4C9" w:rsidR="00E44363" w:rsidRPr="00B94618" w:rsidRDefault="00E44363" w:rsidP="00E44363">
            <w:pPr>
              <w:tabs>
                <w:tab w:val="clear" w:pos="-1440"/>
                <w:tab w:val="clear" w:pos="-720"/>
              </w:tabs>
              <w:spacing w:after="0" w:line="240" w:lineRule="auto"/>
              <w:ind w:left="0"/>
              <w:rPr>
                <w:rFonts w:ascii="Calibri" w:hAnsi="Calibri" w:cs="Calibri"/>
                <w:sz w:val="18"/>
                <w:szCs w:val="18"/>
              </w:rPr>
            </w:pPr>
            <w:r>
              <w:rPr>
                <w:rFonts w:ascii="Calibri" w:hAnsi="Calibri" w:cs="Calibri"/>
                <w:sz w:val="18"/>
                <w:szCs w:val="18"/>
              </w:rPr>
              <w:t>Heat Pump</w:t>
            </w:r>
            <w:r w:rsidRPr="00B94618">
              <w:rPr>
                <w:rFonts w:ascii="Calibri" w:hAnsi="Calibri" w:cs="Calibri"/>
                <w:sz w:val="18"/>
                <w:szCs w:val="18"/>
              </w:rPr>
              <w:t xml:space="preserve"> Pool Heater</w:t>
            </w:r>
            <w:r w:rsidR="000019DB">
              <w:rPr>
                <w:rFonts w:ascii="Calibri" w:hAnsi="Calibri" w:cs="Calibri"/>
                <w:sz w:val="18"/>
                <w:szCs w:val="18"/>
              </w:rPr>
              <w:t>*</w:t>
            </w:r>
          </w:p>
        </w:tc>
        <w:tc>
          <w:tcPr>
            <w:tcW w:w="1331" w:type="dxa"/>
            <w:noWrap/>
            <w:hideMark/>
          </w:tcPr>
          <w:p w14:paraId="2ADFABB0" w14:textId="77777777" w:rsidR="00E44363" w:rsidRPr="00B94618" w:rsidRDefault="00E44363" w:rsidP="00E44363">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Miscellaneous</w:t>
            </w:r>
          </w:p>
        </w:tc>
        <w:tc>
          <w:tcPr>
            <w:tcW w:w="3510" w:type="dxa"/>
            <w:noWrap/>
            <w:hideMark/>
          </w:tcPr>
          <w:p w14:paraId="61CA3A81" w14:textId="6EF6EED4" w:rsidR="00E44363" w:rsidRPr="00B94618" w:rsidRDefault="00E44363" w:rsidP="00E44363">
            <w:pPr>
              <w:tabs>
                <w:tab w:val="clear" w:pos="-1440"/>
                <w:tab w:val="clear" w:pos="-720"/>
              </w:tabs>
              <w:spacing w:after="0" w:line="240" w:lineRule="auto"/>
              <w:ind w:left="0"/>
              <w:rPr>
                <w:rFonts w:ascii="Calibri" w:hAnsi="Calibri" w:cs="Calibri"/>
                <w:color w:val="000000"/>
                <w:sz w:val="18"/>
                <w:szCs w:val="18"/>
              </w:rPr>
            </w:pPr>
            <w:r w:rsidRPr="00E44363">
              <w:rPr>
                <w:rFonts w:ascii="Calibri" w:hAnsi="Calibri" w:cs="Calibri"/>
                <w:color w:val="000000"/>
                <w:sz w:val="18"/>
                <w:szCs w:val="18"/>
              </w:rPr>
              <w:t>Heat Pump Swimming Pool Heater</w:t>
            </w:r>
          </w:p>
        </w:tc>
        <w:tc>
          <w:tcPr>
            <w:tcW w:w="3420" w:type="dxa"/>
            <w:noWrap/>
            <w:hideMark/>
          </w:tcPr>
          <w:p w14:paraId="26335037" w14:textId="1F27E55A" w:rsidR="00E44363" w:rsidRPr="00B94618" w:rsidRDefault="00E44363" w:rsidP="00E44363">
            <w:pPr>
              <w:tabs>
                <w:tab w:val="clear" w:pos="-1440"/>
                <w:tab w:val="clear" w:pos="-720"/>
              </w:tabs>
              <w:spacing w:after="0" w:line="240" w:lineRule="auto"/>
              <w:ind w:left="0"/>
              <w:rPr>
                <w:rFonts w:ascii="Calibri" w:hAnsi="Calibri" w:cs="Calibri"/>
                <w:color w:val="000000"/>
                <w:sz w:val="18"/>
                <w:szCs w:val="18"/>
              </w:rPr>
            </w:pPr>
            <w:r w:rsidRPr="00E44363">
              <w:rPr>
                <w:rFonts w:ascii="Calibri" w:hAnsi="Calibri" w:cs="Calibri"/>
                <w:color w:val="000000"/>
                <w:sz w:val="18"/>
                <w:szCs w:val="18"/>
              </w:rPr>
              <w:t>Electric Resistance Swimming Pool Heater</w:t>
            </w:r>
          </w:p>
        </w:tc>
      </w:tr>
      <w:tr w:rsidR="00B94618" w:rsidRPr="00B94618" w14:paraId="1EB1F9CC" w14:textId="77777777" w:rsidTr="00B94618">
        <w:tblPrEx>
          <w:tblLook w:val="04A0" w:firstRow="1" w:lastRow="0" w:firstColumn="1" w:lastColumn="0" w:noHBand="0" w:noVBand="1"/>
        </w:tblPrEx>
        <w:trPr>
          <w:trHeight w:val="300"/>
        </w:trPr>
        <w:tc>
          <w:tcPr>
            <w:tcW w:w="2359" w:type="dxa"/>
            <w:noWrap/>
            <w:hideMark/>
          </w:tcPr>
          <w:p w14:paraId="2012DD92" w14:textId="33B00D3E"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Two Speed Pool Pump</w:t>
            </w:r>
            <w:r w:rsidR="000019DB">
              <w:rPr>
                <w:rFonts w:ascii="Calibri" w:hAnsi="Calibri" w:cs="Calibri"/>
                <w:sz w:val="18"/>
                <w:szCs w:val="18"/>
              </w:rPr>
              <w:t>*</w:t>
            </w:r>
          </w:p>
        </w:tc>
        <w:tc>
          <w:tcPr>
            <w:tcW w:w="1331" w:type="dxa"/>
            <w:noWrap/>
            <w:hideMark/>
          </w:tcPr>
          <w:p w14:paraId="0ECAF91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Miscellaneous</w:t>
            </w:r>
          </w:p>
        </w:tc>
        <w:tc>
          <w:tcPr>
            <w:tcW w:w="3510" w:type="dxa"/>
            <w:noWrap/>
            <w:hideMark/>
          </w:tcPr>
          <w:p w14:paraId="1BC2B30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Dual Speed Pool Pump Motor</w:t>
            </w:r>
          </w:p>
        </w:tc>
        <w:tc>
          <w:tcPr>
            <w:tcW w:w="3420" w:type="dxa"/>
            <w:noWrap/>
            <w:hideMark/>
          </w:tcPr>
          <w:p w14:paraId="175B254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Single Speed Pool Pump Motor</w:t>
            </w:r>
          </w:p>
        </w:tc>
      </w:tr>
      <w:tr w:rsidR="00E44363" w:rsidRPr="00B94618" w14:paraId="1F733637" w14:textId="77777777" w:rsidTr="00145C87">
        <w:tblPrEx>
          <w:tblLook w:val="04A0" w:firstRow="1" w:lastRow="0" w:firstColumn="1" w:lastColumn="0" w:noHBand="0" w:noVBand="1"/>
        </w:tblPrEx>
        <w:trPr>
          <w:trHeight w:val="300"/>
        </w:trPr>
        <w:tc>
          <w:tcPr>
            <w:tcW w:w="2359" w:type="dxa"/>
            <w:noWrap/>
            <w:hideMark/>
          </w:tcPr>
          <w:p w14:paraId="6B52CBDD" w14:textId="03F8D8A5" w:rsidR="00E44363" w:rsidRPr="00B94618" w:rsidRDefault="00E44363" w:rsidP="00145C87">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Variable Speed Pool Pump</w:t>
            </w:r>
            <w:r w:rsidR="000019DB">
              <w:rPr>
                <w:rFonts w:ascii="Calibri" w:hAnsi="Calibri" w:cs="Calibri"/>
                <w:sz w:val="18"/>
                <w:szCs w:val="18"/>
              </w:rPr>
              <w:t>*</w:t>
            </w:r>
          </w:p>
        </w:tc>
        <w:tc>
          <w:tcPr>
            <w:tcW w:w="1331" w:type="dxa"/>
            <w:noWrap/>
            <w:hideMark/>
          </w:tcPr>
          <w:p w14:paraId="6263D744" w14:textId="77777777" w:rsidR="00E44363" w:rsidRPr="00B94618" w:rsidRDefault="00E44363" w:rsidP="00145C87">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Miscellaneous</w:t>
            </w:r>
          </w:p>
        </w:tc>
        <w:tc>
          <w:tcPr>
            <w:tcW w:w="3510" w:type="dxa"/>
            <w:noWrap/>
            <w:hideMark/>
          </w:tcPr>
          <w:p w14:paraId="2B4640D1" w14:textId="77777777" w:rsidR="00E44363" w:rsidRPr="00B94618" w:rsidRDefault="00E44363" w:rsidP="00145C87">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Variable Speed Pool Pump Motor</w:t>
            </w:r>
          </w:p>
        </w:tc>
        <w:tc>
          <w:tcPr>
            <w:tcW w:w="3420" w:type="dxa"/>
            <w:noWrap/>
            <w:hideMark/>
          </w:tcPr>
          <w:p w14:paraId="41316818" w14:textId="77777777" w:rsidR="00E44363" w:rsidRPr="00B94618" w:rsidRDefault="00E44363" w:rsidP="00145C87">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Single Speed Pool Pump Motor</w:t>
            </w:r>
          </w:p>
        </w:tc>
      </w:tr>
      <w:tr w:rsidR="00B94618" w:rsidRPr="00B94618" w14:paraId="6AF5CA0A" w14:textId="77777777" w:rsidTr="00B94618">
        <w:tblPrEx>
          <w:tblLook w:val="04A0" w:firstRow="1" w:lastRow="0" w:firstColumn="1" w:lastColumn="0" w:noHBand="0" w:noVBand="1"/>
        </w:tblPrEx>
        <w:trPr>
          <w:trHeight w:val="300"/>
        </w:trPr>
        <w:tc>
          <w:tcPr>
            <w:tcW w:w="2359" w:type="dxa"/>
            <w:noWrap/>
            <w:hideMark/>
          </w:tcPr>
          <w:p w14:paraId="2CC8DB41" w14:textId="7C9BF29A" w:rsidR="00B94618" w:rsidRPr="00B94618" w:rsidRDefault="00E44363" w:rsidP="00B94618">
            <w:pPr>
              <w:tabs>
                <w:tab w:val="clear" w:pos="-1440"/>
                <w:tab w:val="clear" w:pos="-720"/>
              </w:tabs>
              <w:spacing w:after="0" w:line="240" w:lineRule="auto"/>
              <w:ind w:left="0"/>
              <w:rPr>
                <w:rFonts w:ascii="Calibri" w:hAnsi="Calibri" w:cs="Calibri"/>
                <w:sz w:val="18"/>
                <w:szCs w:val="18"/>
              </w:rPr>
            </w:pPr>
            <w:r>
              <w:rPr>
                <w:rFonts w:ascii="Calibri" w:hAnsi="Calibri" w:cs="Calibri"/>
                <w:sz w:val="18"/>
                <w:szCs w:val="18"/>
              </w:rPr>
              <w:t>Solar Powered</w:t>
            </w:r>
            <w:r w:rsidR="00B94618" w:rsidRPr="00B94618">
              <w:rPr>
                <w:rFonts w:ascii="Calibri" w:hAnsi="Calibri" w:cs="Calibri"/>
                <w:sz w:val="18"/>
                <w:szCs w:val="18"/>
              </w:rPr>
              <w:t xml:space="preserve"> Pool Pump</w:t>
            </w:r>
            <w:r w:rsidR="000019DB">
              <w:rPr>
                <w:rFonts w:ascii="Calibri" w:hAnsi="Calibri" w:cs="Calibri"/>
                <w:sz w:val="18"/>
                <w:szCs w:val="18"/>
              </w:rPr>
              <w:t>*</w:t>
            </w:r>
          </w:p>
        </w:tc>
        <w:tc>
          <w:tcPr>
            <w:tcW w:w="1331" w:type="dxa"/>
            <w:noWrap/>
            <w:hideMark/>
          </w:tcPr>
          <w:p w14:paraId="309025C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Miscellaneous</w:t>
            </w:r>
          </w:p>
        </w:tc>
        <w:tc>
          <w:tcPr>
            <w:tcW w:w="3510" w:type="dxa"/>
            <w:noWrap/>
            <w:hideMark/>
          </w:tcPr>
          <w:p w14:paraId="250622FA" w14:textId="31BFECA2" w:rsidR="00B94618" w:rsidRPr="00B94618" w:rsidRDefault="00E44363" w:rsidP="00B94618">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Solar Powered</w:t>
            </w:r>
            <w:r w:rsidR="00B94618" w:rsidRPr="00B94618">
              <w:rPr>
                <w:rFonts w:ascii="Calibri" w:hAnsi="Calibri" w:cs="Calibri"/>
                <w:color w:val="000000"/>
                <w:sz w:val="18"/>
                <w:szCs w:val="18"/>
              </w:rPr>
              <w:t xml:space="preserve"> Pool Pump Motor</w:t>
            </w:r>
          </w:p>
        </w:tc>
        <w:tc>
          <w:tcPr>
            <w:tcW w:w="3420" w:type="dxa"/>
            <w:noWrap/>
            <w:hideMark/>
          </w:tcPr>
          <w:p w14:paraId="7778A8EF"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Single Speed Pool Pump Motor</w:t>
            </w:r>
          </w:p>
        </w:tc>
      </w:tr>
      <w:tr w:rsidR="00B94618" w:rsidRPr="00B94618" w14:paraId="206850A9" w14:textId="77777777" w:rsidTr="00B94618">
        <w:tblPrEx>
          <w:tblLook w:val="04A0" w:firstRow="1" w:lastRow="0" w:firstColumn="1" w:lastColumn="0" w:noHBand="0" w:noVBand="1"/>
        </w:tblPrEx>
        <w:trPr>
          <w:trHeight w:val="300"/>
        </w:trPr>
        <w:tc>
          <w:tcPr>
            <w:tcW w:w="2359" w:type="dxa"/>
            <w:noWrap/>
            <w:hideMark/>
          </w:tcPr>
          <w:p w14:paraId="7254CD27"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VSD Controlled Compressor</w:t>
            </w:r>
          </w:p>
        </w:tc>
        <w:tc>
          <w:tcPr>
            <w:tcW w:w="1331" w:type="dxa"/>
            <w:noWrap/>
            <w:hideMark/>
          </w:tcPr>
          <w:p w14:paraId="3A4F442F"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Miscellaneous</w:t>
            </w:r>
          </w:p>
        </w:tc>
        <w:tc>
          <w:tcPr>
            <w:tcW w:w="3510" w:type="dxa"/>
            <w:noWrap/>
            <w:hideMark/>
          </w:tcPr>
          <w:p w14:paraId="0DF7920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Variable Speed Drive Control - includes all non-HVAC  applications</w:t>
            </w:r>
          </w:p>
        </w:tc>
        <w:tc>
          <w:tcPr>
            <w:tcW w:w="3420" w:type="dxa"/>
            <w:noWrap/>
            <w:hideMark/>
          </w:tcPr>
          <w:p w14:paraId="6DA9A69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Constant speed motors &amp; pumps</w:t>
            </w:r>
          </w:p>
        </w:tc>
      </w:tr>
      <w:tr w:rsidR="00B94618" w:rsidRPr="00B94618" w14:paraId="636EA10B" w14:textId="77777777" w:rsidTr="00B94618">
        <w:tblPrEx>
          <w:tblLook w:val="04A0" w:firstRow="1" w:lastRow="0" w:firstColumn="1" w:lastColumn="0" w:noHBand="0" w:noVBand="1"/>
        </w:tblPrEx>
        <w:trPr>
          <w:trHeight w:val="300"/>
        </w:trPr>
        <w:tc>
          <w:tcPr>
            <w:tcW w:w="2359" w:type="dxa"/>
            <w:noWrap/>
            <w:hideMark/>
          </w:tcPr>
          <w:p w14:paraId="5CEB3597"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Facility Energy Management System</w:t>
            </w:r>
          </w:p>
        </w:tc>
        <w:tc>
          <w:tcPr>
            <w:tcW w:w="1331" w:type="dxa"/>
            <w:noWrap/>
            <w:hideMark/>
          </w:tcPr>
          <w:p w14:paraId="4673C5A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Multiple End-Uses</w:t>
            </w:r>
          </w:p>
        </w:tc>
        <w:tc>
          <w:tcPr>
            <w:tcW w:w="3510" w:type="dxa"/>
            <w:noWrap/>
            <w:hideMark/>
          </w:tcPr>
          <w:p w14:paraId="6272BC22"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Energy Management System deployed to automatically control HVAC, lighting, and other systems as applicable</w:t>
            </w:r>
          </w:p>
        </w:tc>
        <w:tc>
          <w:tcPr>
            <w:tcW w:w="3420" w:type="dxa"/>
            <w:noWrap/>
            <w:hideMark/>
          </w:tcPr>
          <w:p w14:paraId="66A8591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Standard/manual facility equipment controls</w:t>
            </w:r>
          </w:p>
        </w:tc>
      </w:tr>
      <w:tr w:rsidR="00B94618" w:rsidRPr="00B94618" w14:paraId="5A5D2239" w14:textId="77777777" w:rsidTr="00B94618">
        <w:tblPrEx>
          <w:tblLook w:val="04A0" w:firstRow="1" w:lastRow="0" w:firstColumn="1" w:lastColumn="0" w:noHBand="0" w:noVBand="1"/>
        </w:tblPrEx>
        <w:trPr>
          <w:trHeight w:val="300"/>
        </w:trPr>
        <w:tc>
          <w:tcPr>
            <w:tcW w:w="2359" w:type="dxa"/>
            <w:noWrap/>
            <w:hideMark/>
          </w:tcPr>
          <w:p w14:paraId="26250D19" w14:textId="7F5475F9"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Retro-Commissioning</w:t>
            </w:r>
            <w:r w:rsidR="000019DB">
              <w:rPr>
                <w:rFonts w:ascii="Calibri" w:hAnsi="Calibri" w:cs="Calibri"/>
                <w:sz w:val="18"/>
                <w:szCs w:val="18"/>
              </w:rPr>
              <w:t>*</w:t>
            </w:r>
          </w:p>
        </w:tc>
        <w:tc>
          <w:tcPr>
            <w:tcW w:w="1331" w:type="dxa"/>
            <w:noWrap/>
            <w:hideMark/>
          </w:tcPr>
          <w:p w14:paraId="7674335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Multiple End-Uses</w:t>
            </w:r>
          </w:p>
        </w:tc>
        <w:tc>
          <w:tcPr>
            <w:tcW w:w="3510" w:type="dxa"/>
            <w:noWrap/>
            <w:hideMark/>
          </w:tcPr>
          <w:p w14:paraId="62E2D12B"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 xml:space="preserve">Perform facility retro-commissioning, including assessment, process improvements, and optimization of energy-consuming equipment and systems at the facility  </w:t>
            </w:r>
          </w:p>
        </w:tc>
        <w:tc>
          <w:tcPr>
            <w:tcW w:w="3420" w:type="dxa"/>
            <w:noWrap/>
            <w:hideMark/>
          </w:tcPr>
          <w:p w14:paraId="327F57EE"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 xml:space="preserve">Comparable facility, no retro-commissioning </w:t>
            </w:r>
          </w:p>
        </w:tc>
      </w:tr>
      <w:tr w:rsidR="00B94618" w:rsidRPr="00B94618" w14:paraId="4378ACA4" w14:textId="77777777" w:rsidTr="00B94618">
        <w:tblPrEx>
          <w:tblLook w:val="04A0" w:firstRow="1" w:lastRow="0" w:firstColumn="1" w:lastColumn="0" w:noHBand="0" w:noVBand="1"/>
        </w:tblPrEx>
        <w:trPr>
          <w:trHeight w:val="300"/>
        </w:trPr>
        <w:tc>
          <w:tcPr>
            <w:tcW w:w="2359" w:type="dxa"/>
            <w:noWrap/>
            <w:hideMark/>
          </w:tcPr>
          <w:p w14:paraId="41F6B99A"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Imaging Equipment</w:t>
            </w:r>
          </w:p>
        </w:tc>
        <w:tc>
          <w:tcPr>
            <w:tcW w:w="1331" w:type="dxa"/>
            <w:noWrap/>
            <w:hideMark/>
          </w:tcPr>
          <w:p w14:paraId="313B1B1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Office Equipment</w:t>
            </w:r>
          </w:p>
        </w:tc>
        <w:tc>
          <w:tcPr>
            <w:tcW w:w="3510" w:type="dxa"/>
            <w:noWrap/>
            <w:hideMark/>
          </w:tcPr>
          <w:p w14:paraId="438A380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imaging device meeting current ENERGY STAR® Standards</w:t>
            </w:r>
          </w:p>
        </w:tc>
        <w:tc>
          <w:tcPr>
            <w:tcW w:w="3420" w:type="dxa"/>
            <w:noWrap/>
            <w:hideMark/>
          </w:tcPr>
          <w:p w14:paraId="2893A6F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non-ENERGY STAR® imaging device</w:t>
            </w:r>
          </w:p>
        </w:tc>
      </w:tr>
      <w:tr w:rsidR="00B94618" w:rsidRPr="00B94618" w14:paraId="6B1B8766" w14:textId="77777777" w:rsidTr="00B94618">
        <w:tblPrEx>
          <w:tblLook w:val="04A0" w:firstRow="1" w:lastRow="0" w:firstColumn="1" w:lastColumn="0" w:noHBand="0" w:noVBand="1"/>
        </w:tblPrEx>
        <w:trPr>
          <w:trHeight w:val="300"/>
        </w:trPr>
        <w:tc>
          <w:tcPr>
            <w:tcW w:w="2359" w:type="dxa"/>
            <w:noWrap/>
            <w:hideMark/>
          </w:tcPr>
          <w:p w14:paraId="0783ECCB"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PCs</w:t>
            </w:r>
          </w:p>
        </w:tc>
        <w:tc>
          <w:tcPr>
            <w:tcW w:w="1331" w:type="dxa"/>
            <w:noWrap/>
            <w:hideMark/>
          </w:tcPr>
          <w:p w14:paraId="6B1FD9B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Office Equipment</w:t>
            </w:r>
          </w:p>
        </w:tc>
        <w:tc>
          <w:tcPr>
            <w:tcW w:w="3510" w:type="dxa"/>
            <w:noWrap/>
            <w:hideMark/>
          </w:tcPr>
          <w:p w14:paraId="3FF06DF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Personal Computer (desktop or laptop) meeting current ENERGY STAR® Standards</w:t>
            </w:r>
          </w:p>
        </w:tc>
        <w:tc>
          <w:tcPr>
            <w:tcW w:w="3420" w:type="dxa"/>
            <w:noWrap/>
            <w:hideMark/>
          </w:tcPr>
          <w:p w14:paraId="05B77BF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non-ENERGY STAR® Personal Computer</w:t>
            </w:r>
          </w:p>
        </w:tc>
      </w:tr>
      <w:tr w:rsidR="00B94618" w:rsidRPr="00B94618" w14:paraId="5E1097D3" w14:textId="77777777" w:rsidTr="00B94618">
        <w:tblPrEx>
          <w:tblLook w:val="04A0" w:firstRow="1" w:lastRow="0" w:firstColumn="1" w:lastColumn="0" w:noHBand="0" w:noVBand="1"/>
        </w:tblPrEx>
        <w:trPr>
          <w:trHeight w:val="300"/>
        </w:trPr>
        <w:tc>
          <w:tcPr>
            <w:tcW w:w="2359" w:type="dxa"/>
            <w:noWrap/>
            <w:hideMark/>
          </w:tcPr>
          <w:p w14:paraId="1A2637A3"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Servers</w:t>
            </w:r>
          </w:p>
        </w:tc>
        <w:tc>
          <w:tcPr>
            <w:tcW w:w="1331" w:type="dxa"/>
            <w:noWrap/>
            <w:hideMark/>
          </w:tcPr>
          <w:p w14:paraId="47312B20"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Office Equipment</w:t>
            </w:r>
          </w:p>
        </w:tc>
        <w:tc>
          <w:tcPr>
            <w:tcW w:w="3510" w:type="dxa"/>
            <w:noWrap/>
            <w:hideMark/>
          </w:tcPr>
          <w:p w14:paraId="44504C5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Server meeting current ENERGY STAR Standards</w:t>
            </w:r>
          </w:p>
        </w:tc>
        <w:tc>
          <w:tcPr>
            <w:tcW w:w="3420" w:type="dxa"/>
            <w:noWrap/>
            <w:hideMark/>
          </w:tcPr>
          <w:p w14:paraId="578D2D52"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Standard Server</w:t>
            </w:r>
          </w:p>
        </w:tc>
      </w:tr>
      <w:tr w:rsidR="00B94618" w:rsidRPr="00B94618" w14:paraId="4D94713E" w14:textId="77777777" w:rsidTr="00B94618">
        <w:tblPrEx>
          <w:tblLook w:val="04A0" w:firstRow="1" w:lastRow="0" w:firstColumn="1" w:lastColumn="0" w:noHBand="0" w:noVBand="1"/>
        </w:tblPrEx>
        <w:trPr>
          <w:trHeight w:val="300"/>
        </w:trPr>
        <w:tc>
          <w:tcPr>
            <w:tcW w:w="2359" w:type="dxa"/>
            <w:noWrap/>
            <w:hideMark/>
          </w:tcPr>
          <w:p w14:paraId="3D9D6F37" w14:textId="5690D675"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Uninterruptable Power Supply</w:t>
            </w:r>
            <w:r w:rsidR="00251390">
              <w:rPr>
                <w:rFonts w:ascii="Calibri" w:hAnsi="Calibri" w:cs="Calibri"/>
                <w:sz w:val="18"/>
                <w:szCs w:val="18"/>
              </w:rPr>
              <w:t>*</w:t>
            </w:r>
          </w:p>
        </w:tc>
        <w:tc>
          <w:tcPr>
            <w:tcW w:w="1331" w:type="dxa"/>
            <w:noWrap/>
            <w:hideMark/>
          </w:tcPr>
          <w:p w14:paraId="5BC06A9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Office Equipment</w:t>
            </w:r>
          </w:p>
        </w:tc>
        <w:tc>
          <w:tcPr>
            <w:tcW w:w="3510" w:type="dxa"/>
            <w:noWrap/>
            <w:hideMark/>
          </w:tcPr>
          <w:p w14:paraId="7FC62C5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Desktop Plugged into Energy Star Uninterruptable Power Supply at 25% Load</w:t>
            </w:r>
          </w:p>
        </w:tc>
        <w:tc>
          <w:tcPr>
            <w:tcW w:w="3420" w:type="dxa"/>
            <w:noWrap/>
            <w:hideMark/>
          </w:tcPr>
          <w:p w14:paraId="70A0381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Desktop Plugged into Uninterruptable Power Supply at 25% Load</w:t>
            </w:r>
          </w:p>
        </w:tc>
      </w:tr>
      <w:tr w:rsidR="00B94618" w:rsidRPr="00B94618" w14:paraId="5B87CE48" w14:textId="77777777" w:rsidTr="00B94618">
        <w:tblPrEx>
          <w:tblLook w:val="04A0" w:firstRow="1" w:lastRow="0" w:firstColumn="1" w:lastColumn="0" w:noHBand="0" w:noVBand="1"/>
        </w:tblPrEx>
        <w:trPr>
          <w:trHeight w:val="600"/>
        </w:trPr>
        <w:tc>
          <w:tcPr>
            <w:tcW w:w="2359" w:type="dxa"/>
            <w:noWrap/>
            <w:hideMark/>
          </w:tcPr>
          <w:p w14:paraId="52C93BDA" w14:textId="0D803148"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Network PC Power Management</w:t>
            </w:r>
            <w:r w:rsidR="00251390">
              <w:rPr>
                <w:rFonts w:ascii="Calibri" w:hAnsi="Calibri" w:cs="Calibri"/>
                <w:sz w:val="18"/>
                <w:szCs w:val="18"/>
              </w:rPr>
              <w:t>*</w:t>
            </w:r>
          </w:p>
        </w:tc>
        <w:tc>
          <w:tcPr>
            <w:tcW w:w="1331" w:type="dxa"/>
            <w:noWrap/>
            <w:hideMark/>
          </w:tcPr>
          <w:p w14:paraId="0D09FC5B"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Office Equipment</w:t>
            </w:r>
          </w:p>
        </w:tc>
        <w:tc>
          <w:tcPr>
            <w:tcW w:w="3510" w:type="dxa"/>
            <w:noWrap/>
            <w:hideMark/>
          </w:tcPr>
          <w:p w14:paraId="5322E09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computer and monitor attached to centralized energy management system that controls when desktop computers and monitors plugged into a network power down to lower power states.</w:t>
            </w:r>
          </w:p>
        </w:tc>
        <w:tc>
          <w:tcPr>
            <w:tcW w:w="3420" w:type="dxa"/>
            <w:noWrap/>
            <w:hideMark/>
          </w:tcPr>
          <w:p w14:paraId="7C0EB6CD"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computer and monitor, manually controlled</w:t>
            </w:r>
          </w:p>
        </w:tc>
      </w:tr>
      <w:tr w:rsidR="00B94618" w:rsidRPr="00B94618" w14:paraId="0C3E5104" w14:textId="77777777" w:rsidTr="00B94618">
        <w:tblPrEx>
          <w:tblLook w:val="04A0" w:firstRow="1" w:lastRow="0" w:firstColumn="1" w:lastColumn="0" w:noHBand="0" w:noVBand="1"/>
        </w:tblPrEx>
        <w:trPr>
          <w:trHeight w:val="315"/>
        </w:trPr>
        <w:tc>
          <w:tcPr>
            <w:tcW w:w="2359" w:type="dxa"/>
            <w:noWrap/>
            <w:hideMark/>
          </w:tcPr>
          <w:p w14:paraId="04018B15"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Server Virtualization</w:t>
            </w:r>
          </w:p>
        </w:tc>
        <w:tc>
          <w:tcPr>
            <w:tcW w:w="1331" w:type="dxa"/>
            <w:noWrap/>
            <w:hideMark/>
          </w:tcPr>
          <w:p w14:paraId="4A415FD2"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Office Equipment</w:t>
            </w:r>
          </w:p>
        </w:tc>
        <w:tc>
          <w:tcPr>
            <w:tcW w:w="3510" w:type="dxa"/>
            <w:noWrap/>
            <w:hideMark/>
          </w:tcPr>
          <w:p w14:paraId="4905E82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2 Virtual Host Server</w:t>
            </w:r>
          </w:p>
        </w:tc>
        <w:tc>
          <w:tcPr>
            <w:tcW w:w="3420" w:type="dxa"/>
            <w:noWrap/>
            <w:hideMark/>
          </w:tcPr>
          <w:p w14:paraId="02A843D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20 Single Application Servers</w:t>
            </w:r>
          </w:p>
        </w:tc>
      </w:tr>
      <w:tr w:rsidR="00B94618" w:rsidRPr="00B94618" w14:paraId="720086F7" w14:textId="77777777" w:rsidTr="00B94618">
        <w:tblPrEx>
          <w:tblLook w:val="04A0" w:firstRow="1" w:lastRow="0" w:firstColumn="1" w:lastColumn="0" w:noHBand="0" w:noVBand="1"/>
        </w:tblPrEx>
        <w:trPr>
          <w:trHeight w:val="300"/>
        </w:trPr>
        <w:tc>
          <w:tcPr>
            <w:tcW w:w="2359" w:type="dxa"/>
            <w:noWrap/>
            <w:hideMark/>
          </w:tcPr>
          <w:p w14:paraId="4DB6C0C0" w14:textId="09EF446B"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Smart Strip Plug Outlet</w:t>
            </w:r>
            <w:r w:rsidR="00251390">
              <w:rPr>
                <w:rFonts w:ascii="Calibri" w:hAnsi="Calibri" w:cs="Calibri"/>
                <w:sz w:val="18"/>
                <w:szCs w:val="18"/>
              </w:rPr>
              <w:t>*</w:t>
            </w:r>
          </w:p>
        </w:tc>
        <w:tc>
          <w:tcPr>
            <w:tcW w:w="1331" w:type="dxa"/>
            <w:noWrap/>
            <w:hideMark/>
          </w:tcPr>
          <w:p w14:paraId="770D5C5B"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Office Equipment</w:t>
            </w:r>
          </w:p>
        </w:tc>
        <w:tc>
          <w:tcPr>
            <w:tcW w:w="3510" w:type="dxa"/>
            <w:noWrap/>
            <w:hideMark/>
          </w:tcPr>
          <w:p w14:paraId="569CFF1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Smart Strip Plug Outlet</w:t>
            </w:r>
          </w:p>
        </w:tc>
        <w:tc>
          <w:tcPr>
            <w:tcW w:w="3420" w:type="dxa"/>
            <w:noWrap/>
            <w:hideMark/>
          </w:tcPr>
          <w:p w14:paraId="5FF26B0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Standard plug strip/outlet</w:t>
            </w:r>
          </w:p>
        </w:tc>
      </w:tr>
      <w:tr w:rsidR="00B94618" w:rsidRPr="00B94618" w14:paraId="722F43DE" w14:textId="77777777" w:rsidTr="00B94618">
        <w:tblPrEx>
          <w:tblLook w:val="04A0" w:firstRow="1" w:lastRow="0" w:firstColumn="1" w:lastColumn="0" w:noHBand="0" w:noVBand="1"/>
        </w:tblPrEx>
        <w:trPr>
          <w:trHeight w:val="300"/>
        </w:trPr>
        <w:tc>
          <w:tcPr>
            <w:tcW w:w="2359" w:type="dxa"/>
            <w:noWrap/>
            <w:hideMark/>
          </w:tcPr>
          <w:p w14:paraId="19469E01"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Anti-Sweat Controls</w:t>
            </w:r>
          </w:p>
        </w:tc>
        <w:tc>
          <w:tcPr>
            <w:tcW w:w="1331" w:type="dxa"/>
            <w:noWrap/>
            <w:hideMark/>
          </w:tcPr>
          <w:p w14:paraId="452851F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36DD8D7B"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Medium Temperature Reach-In Case with Anti-Sweat Heater Controls</w:t>
            </w:r>
          </w:p>
        </w:tc>
        <w:tc>
          <w:tcPr>
            <w:tcW w:w="3420" w:type="dxa"/>
            <w:noWrap/>
            <w:hideMark/>
          </w:tcPr>
          <w:p w14:paraId="6C89813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Medium Temperature Reach-In Case without Anti-Sweat Heater Controls</w:t>
            </w:r>
          </w:p>
        </w:tc>
      </w:tr>
      <w:tr w:rsidR="00B94618" w:rsidRPr="00B94618" w14:paraId="35568CA8" w14:textId="77777777" w:rsidTr="00B94618">
        <w:tblPrEx>
          <w:tblLook w:val="04A0" w:firstRow="1" w:lastRow="0" w:firstColumn="1" w:lastColumn="0" w:noHBand="0" w:noVBand="1"/>
        </w:tblPrEx>
        <w:trPr>
          <w:trHeight w:val="300"/>
        </w:trPr>
        <w:tc>
          <w:tcPr>
            <w:tcW w:w="2359" w:type="dxa"/>
            <w:noWrap/>
            <w:hideMark/>
          </w:tcPr>
          <w:p w14:paraId="1A4B85AD"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Automatic Door Closer for Walk-in Coolers and Freezers</w:t>
            </w:r>
          </w:p>
        </w:tc>
        <w:tc>
          <w:tcPr>
            <w:tcW w:w="1331" w:type="dxa"/>
            <w:noWrap/>
            <w:hideMark/>
          </w:tcPr>
          <w:p w14:paraId="5E53F23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55804D4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Medium Temperature Walk-In Refrigerator Door with Auto-Closer</w:t>
            </w:r>
          </w:p>
        </w:tc>
        <w:tc>
          <w:tcPr>
            <w:tcW w:w="3420" w:type="dxa"/>
            <w:noWrap/>
            <w:hideMark/>
          </w:tcPr>
          <w:p w14:paraId="362144BB"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Medium Temperature Walk-In Refrigerator Door without Auto-Closer</w:t>
            </w:r>
          </w:p>
        </w:tc>
      </w:tr>
      <w:tr w:rsidR="00B94618" w:rsidRPr="00B94618" w14:paraId="2BA95733" w14:textId="77777777" w:rsidTr="00B94618">
        <w:tblPrEx>
          <w:tblLook w:val="04A0" w:firstRow="1" w:lastRow="0" w:firstColumn="1" w:lastColumn="0" w:noHBand="0" w:noVBand="1"/>
        </w:tblPrEx>
        <w:trPr>
          <w:trHeight w:val="242"/>
        </w:trPr>
        <w:tc>
          <w:tcPr>
            <w:tcW w:w="2359" w:type="dxa"/>
            <w:noWrap/>
            <w:hideMark/>
          </w:tcPr>
          <w:p w14:paraId="545ED0E3"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Demand Defrost</w:t>
            </w:r>
          </w:p>
        </w:tc>
        <w:tc>
          <w:tcPr>
            <w:tcW w:w="1331" w:type="dxa"/>
            <w:noWrap/>
            <w:hideMark/>
          </w:tcPr>
          <w:p w14:paraId="548075B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5F310B3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Walk-In Freezer System with Demand-Controlled Electric Defrost Cycle</w:t>
            </w:r>
          </w:p>
        </w:tc>
        <w:tc>
          <w:tcPr>
            <w:tcW w:w="3420" w:type="dxa"/>
            <w:noWrap/>
            <w:hideMark/>
          </w:tcPr>
          <w:p w14:paraId="7787B14A"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Walk-In Freezer System with Timer-Controlled Electric Defrost Cycle</w:t>
            </w:r>
          </w:p>
        </w:tc>
      </w:tr>
      <w:tr w:rsidR="00B94618" w:rsidRPr="00B94618" w14:paraId="2D8DA8D6" w14:textId="77777777" w:rsidTr="00B94618">
        <w:tblPrEx>
          <w:tblLook w:val="04A0" w:firstRow="1" w:lastRow="0" w:firstColumn="1" w:lastColumn="0" w:noHBand="0" w:noVBand="1"/>
        </w:tblPrEx>
        <w:trPr>
          <w:trHeight w:val="278"/>
        </w:trPr>
        <w:tc>
          <w:tcPr>
            <w:tcW w:w="2359" w:type="dxa"/>
            <w:noWrap/>
            <w:hideMark/>
          </w:tcPr>
          <w:p w14:paraId="1A8307FC" w14:textId="34758B8A"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Commercial Glass Door Freezer</w:t>
            </w:r>
            <w:r w:rsidR="000019DB">
              <w:rPr>
                <w:rFonts w:ascii="Calibri" w:hAnsi="Calibri" w:cs="Calibri"/>
                <w:sz w:val="18"/>
                <w:szCs w:val="18"/>
              </w:rPr>
              <w:t>*</w:t>
            </w:r>
          </w:p>
        </w:tc>
        <w:tc>
          <w:tcPr>
            <w:tcW w:w="1331" w:type="dxa"/>
            <w:noWrap/>
            <w:hideMark/>
          </w:tcPr>
          <w:p w14:paraId="2FD61AD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43CFE70B"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Glass Door Freezer meeting current ENERGY STAR® Standards</w:t>
            </w:r>
          </w:p>
        </w:tc>
        <w:tc>
          <w:tcPr>
            <w:tcW w:w="3420" w:type="dxa"/>
            <w:noWrap/>
            <w:hideMark/>
          </w:tcPr>
          <w:p w14:paraId="19DF7B6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Glass Door Freezer meeting Federal Standards</w:t>
            </w:r>
          </w:p>
        </w:tc>
      </w:tr>
      <w:tr w:rsidR="00B94618" w:rsidRPr="00B94618" w14:paraId="038A3948" w14:textId="77777777" w:rsidTr="00B94618">
        <w:tblPrEx>
          <w:tblLook w:val="04A0" w:firstRow="1" w:lastRow="0" w:firstColumn="1" w:lastColumn="0" w:noHBand="0" w:noVBand="1"/>
        </w:tblPrEx>
        <w:trPr>
          <w:trHeight w:val="107"/>
        </w:trPr>
        <w:tc>
          <w:tcPr>
            <w:tcW w:w="2359" w:type="dxa"/>
            <w:noWrap/>
            <w:hideMark/>
          </w:tcPr>
          <w:p w14:paraId="2E92D6BC" w14:textId="20E2B63A"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Commercial Glass Door Refrigerator</w:t>
            </w:r>
            <w:r w:rsidR="000019DB">
              <w:rPr>
                <w:rFonts w:ascii="Calibri" w:hAnsi="Calibri" w:cs="Calibri"/>
                <w:sz w:val="18"/>
                <w:szCs w:val="18"/>
              </w:rPr>
              <w:t>*</w:t>
            </w:r>
          </w:p>
        </w:tc>
        <w:tc>
          <w:tcPr>
            <w:tcW w:w="1331" w:type="dxa"/>
            <w:noWrap/>
            <w:hideMark/>
          </w:tcPr>
          <w:p w14:paraId="5244BE9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32508DF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Glass Door Refrigerator meeting current ENERGY STAR® Standards</w:t>
            </w:r>
          </w:p>
        </w:tc>
        <w:tc>
          <w:tcPr>
            <w:tcW w:w="3420" w:type="dxa"/>
            <w:noWrap/>
            <w:hideMark/>
          </w:tcPr>
          <w:p w14:paraId="5762C772"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Glass Door Refrigerator meeting Federal Standards</w:t>
            </w:r>
          </w:p>
        </w:tc>
      </w:tr>
      <w:tr w:rsidR="00B94618" w:rsidRPr="00B94618" w14:paraId="13183966" w14:textId="77777777" w:rsidTr="00B94618">
        <w:tblPrEx>
          <w:tblLook w:val="04A0" w:firstRow="1" w:lastRow="0" w:firstColumn="1" w:lastColumn="0" w:noHBand="0" w:noVBand="1"/>
        </w:tblPrEx>
        <w:trPr>
          <w:trHeight w:val="300"/>
        </w:trPr>
        <w:tc>
          <w:tcPr>
            <w:tcW w:w="2359" w:type="dxa"/>
            <w:noWrap/>
            <w:hideMark/>
          </w:tcPr>
          <w:p w14:paraId="68C442F7" w14:textId="1C76F704"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Commercial Solid Door Freezer</w:t>
            </w:r>
            <w:r w:rsidR="000019DB">
              <w:rPr>
                <w:rFonts w:ascii="Calibri" w:hAnsi="Calibri" w:cs="Calibri"/>
                <w:sz w:val="18"/>
                <w:szCs w:val="18"/>
              </w:rPr>
              <w:t>*</w:t>
            </w:r>
          </w:p>
        </w:tc>
        <w:tc>
          <w:tcPr>
            <w:tcW w:w="1331" w:type="dxa"/>
            <w:noWrap/>
            <w:hideMark/>
          </w:tcPr>
          <w:p w14:paraId="4C49E65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4A16143C"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Solid Door Freezer meeting current ENERGY STAR® Standards</w:t>
            </w:r>
          </w:p>
        </w:tc>
        <w:tc>
          <w:tcPr>
            <w:tcW w:w="3420" w:type="dxa"/>
            <w:noWrap/>
            <w:hideMark/>
          </w:tcPr>
          <w:p w14:paraId="4C1314F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Solid Door Freezer meeting Federal Standards</w:t>
            </w:r>
          </w:p>
        </w:tc>
      </w:tr>
      <w:tr w:rsidR="00B94618" w:rsidRPr="00B94618" w14:paraId="159D5D6B" w14:textId="77777777" w:rsidTr="00B94618">
        <w:tblPrEx>
          <w:tblLook w:val="04A0" w:firstRow="1" w:lastRow="0" w:firstColumn="1" w:lastColumn="0" w:noHBand="0" w:noVBand="1"/>
        </w:tblPrEx>
        <w:trPr>
          <w:trHeight w:val="70"/>
        </w:trPr>
        <w:tc>
          <w:tcPr>
            <w:tcW w:w="2359" w:type="dxa"/>
            <w:noWrap/>
            <w:hideMark/>
          </w:tcPr>
          <w:p w14:paraId="235EC696" w14:textId="1AEF0BAE"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Commercial Solid Door Refrigerator</w:t>
            </w:r>
            <w:r w:rsidR="000019DB">
              <w:rPr>
                <w:rFonts w:ascii="Calibri" w:hAnsi="Calibri" w:cs="Calibri"/>
                <w:sz w:val="18"/>
                <w:szCs w:val="18"/>
              </w:rPr>
              <w:t>*</w:t>
            </w:r>
          </w:p>
        </w:tc>
        <w:tc>
          <w:tcPr>
            <w:tcW w:w="1331" w:type="dxa"/>
            <w:noWrap/>
            <w:hideMark/>
          </w:tcPr>
          <w:p w14:paraId="05F53BBE"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2C0193EF"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Solid Door Refrigerator meeting current ENERGY STAR® Standards</w:t>
            </w:r>
          </w:p>
        </w:tc>
        <w:tc>
          <w:tcPr>
            <w:tcW w:w="3420" w:type="dxa"/>
            <w:noWrap/>
            <w:hideMark/>
          </w:tcPr>
          <w:p w14:paraId="5394FC3C"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Solid Door Refrigerator meeting Federal Standards</w:t>
            </w:r>
          </w:p>
        </w:tc>
      </w:tr>
      <w:tr w:rsidR="00B94618" w:rsidRPr="00B94618" w14:paraId="17DF35AD" w14:textId="77777777" w:rsidTr="00B94618">
        <w:tblPrEx>
          <w:tblLook w:val="04A0" w:firstRow="1" w:lastRow="0" w:firstColumn="1" w:lastColumn="0" w:noHBand="0" w:noVBand="1"/>
        </w:tblPrEx>
        <w:trPr>
          <w:trHeight w:val="600"/>
        </w:trPr>
        <w:tc>
          <w:tcPr>
            <w:tcW w:w="2359" w:type="dxa"/>
            <w:noWrap/>
            <w:hideMark/>
          </w:tcPr>
          <w:p w14:paraId="5115A09F"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Ice Maker</w:t>
            </w:r>
          </w:p>
        </w:tc>
        <w:tc>
          <w:tcPr>
            <w:tcW w:w="1331" w:type="dxa"/>
            <w:noWrap/>
            <w:hideMark/>
          </w:tcPr>
          <w:p w14:paraId="45BFC9EE"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69B284F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Continuous Self-Contained Ice Maker meeting current ENERGY STAR® Standards (8.9 kWh / 100 lbs of ice)</w:t>
            </w:r>
          </w:p>
        </w:tc>
        <w:tc>
          <w:tcPr>
            <w:tcW w:w="3420" w:type="dxa"/>
            <w:noWrap/>
            <w:hideMark/>
          </w:tcPr>
          <w:p w14:paraId="00A3682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Continuous Self-Contained Ice Maker meeting Federal Standard</w:t>
            </w:r>
          </w:p>
        </w:tc>
      </w:tr>
      <w:tr w:rsidR="00B94618" w:rsidRPr="00B94618" w14:paraId="094C5242" w14:textId="77777777" w:rsidTr="00B94618">
        <w:tblPrEx>
          <w:tblLook w:val="04A0" w:firstRow="1" w:lastRow="0" w:firstColumn="1" w:lastColumn="0" w:noHBand="0" w:noVBand="1"/>
        </w:tblPrEx>
        <w:trPr>
          <w:trHeight w:val="300"/>
        </w:trPr>
        <w:tc>
          <w:tcPr>
            <w:tcW w:w="2359" w:type="dxa"/>
            <w:noWrap/>
            <w:hideMark/>
          </w:tcPr>
          <w:p w14:paraId="691AE658" w14:textId="5F9FC0AA"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Refrigerator</w:t>
            </w:r>
            <w:r w:rsidR="000019DB">
              <w:rPr>
                <w:rFonts w:ascii="Calibri" w:hAnsi="Calibri" w:cs="Calibri"/>
                <w:sz w:val="18"/>
                <w:szCs w:val="18"/>
              </w:rPr>
              <w:t>*</w:t>
            </w:r>
          </w:p>
        </w:tc>
        <w:tc>
          <w:tcPr>
            <w:tcW w:w="1331" w:type="dxa"/>
            <w:noWrap/>
            <w:hideMark/>
          </w:tcPr>
          <w:p w14:paraId="4803A1A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4E5DB0E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Refrigerator meeting current ENERGY STAR® Standards</w:t>
            </w:r>
          </w:p>
        </w:tc>
        <w:tc>
          <w:tcPr>
            <w:tcW w:w="3420" w:type="dxa"/>
            <w:noWrap/>
            <w:hideMark/>
          </w:tcPr>
          <w:p w14:paraId="7B5865F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Refrigerator meeting Federal Standard</w:t>
            </w:r>
          </w:p>
        </w:tc>
      </w:tr>
      <w:tr w:rsidR="00B94618" w:rsidRPr="00B94618" w14:paraId="0EDC753A" w14:textId="77777777" w:rsidTr="00B94618">
        <w:tblPrEx>
          <w:tblLook w:val="04A0" w:firstRow="1" w:lastRow="0" w:firstColumn="1" w:lastColumn="0" w:noHBand="0" w:noVBand="1"/>
        </w:tblPrEx>
        <w:trPr>
          <w:trHeight w:val="107"/>
        </w:trPr>
        <w:tc>
          <w:tcPr>
            <w:tcW w:w="2359" w:type="dxa"/>
            <w:noWrap/>
            <w:hideMark/>
          </w:tcPr>
          <w:p w14:paraId="4FFC50F8"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Vending Machine</w:t>
            </w:r>
          </w:p>
        </w:tc>
        <w:tc>
          <w:tcPr>
            <w:tcW w:w="1331" w:type="dxa"/>
            <w:noWrap/>
            <w:hideMark/>
          </w:tcPr>
          <w:p w14:paraId="1DBB0D4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2BF8B502"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Refrigerated Vending Machine meeting current ENERGY STAR® Standards</w:t>
            </w:r>
          </w:p>
        </w:tc>
        <w:tc>
          <w:tcPr>
            <w:tcW w:w="3420" w:type="dxa"/>
            <w:noWrap/>
            <w:hideMark/>
          </w:tcPr>
          <w:p w14:paraId="7F44D64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standard efficiency Refrigerated Vending Machine</w:t>
            </w:r>
          </w:p>
        </w:tc>
      </w:tr>
      <w:tr w:rsidR="00B94618" w:rsidRPr="00B94618" w14:paraId="66EFE918" w14:textId="77777777" w:rsidTr="00B94618">
        <w:tblPrEx>
          <w:tblLook w:val="04A0" w:firstRow="1" w:lastRow="0" w:firstColumn="1" w:lastColumn="0" w:noHBand="0" w:noVBand="1"/>
        </w:tblPrEx>
        <w:trPr>
          <w:trHeight w:val="300"/>
        </w:trPr>
        <w:tc>
          <w:tcPr>
            <w:tcW w:w="2359" w:type="dxa"/>
            <w:noWrap/>
            <w:hideMark/>
          </w:tcPr>
          <w:p w14:paraId="3A89DE0E"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Floating Head Pressure Controls</w:t>
            </w:r>
          </w:p>
        </w:tc>
        <w:tc>
          <w:tcPr>
            <w:tcW w:w="1331" w:type="dxa"/>
            <w:noWrap/>
            <w:hideMark/>
          </w:tcPr>
          <w:p w14:paraId="56188A7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0684C6BC"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Medium-Temperature Refrigeration System with 5HP Compressor and Adjustable Condenser Head Pressure Control Valve</w:t>
            </w:r>
          </w:p>
        </w:tc>
        <w:tc>
          <w:tcPr>
            <w:tcW w:w="3420" w:type="dxa"/>
            <w:noWrap/>
            <w:hideMark/>
          </w:tcPr>
          <w:p w14:paraId="2EC8C30F"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Medium-Temperature Refrigeration System with 5 HP Compressor without Adjustable Condenser Head Pressure Control Valve</w:t>
            </w:r>
          </w:p>
        </w:tc>
      </w:tr>
      <w:tr w:rsidR="00B94618" w:rsidRPr="00B94618" w14:paraId="53E6AA7E" w14:textId="77777777" w:rsidTr="00B94618">
        <w:tblPrEx>
          <w:tblLook w:val="04A0" w:firstRow="1" w:lastRow="0" w:firstColumn="1" w:lastColumn="0" w:noHBand="0" w:noVBand="1"/>
        </w:tblPrEx>
        <w:trPr>
          <w:trHeight w:val="300"/>
        </w:trPr>
        <w:tc>
          <w:tcPr>
            <w:tcW w:w="2359" w:type="dxa"/>
            <w:noWrap/>
            <w:hideMark/>
          </w:tcPr>
          <w:p w14:paraId="1CCE24F9"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Freezer-Cooler Replacement Gaskets</w:t>
            </w:r>
          </w:p>
        </w:tc>
        <w:tc>
          <w:tcPr>
            <w:tcW w:w="1331" w:type="dxa"/>
            <w:noWrap/>
            <w:hideMark/>
          </w:tcPr>
          <w:p w14:paraId="2B6D237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14F6A99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New Door Gasket on One-Door Medium Temperature Reach-In Case</w:t>
            </w:r>
          </w:p>
        </w:tc>
        <w:tc>
          <w:tcPr>
            <w:tcW w:w="3420" w:type="dxa"/>
            <w:noWrap/>
            <w:hideMark/>
          </w:tcPr>
          <w:p w14:paraId="55D47DB0"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Worn or Damaged Door Gasket on One-Door Medium Temperature Reach-In Case</w:t>
            </w:r>
          </w:p>
        </w:tc>
      </w:tr>
      <w:tr w:rsidR="00B94618" w:rsidRPr="00B94618" w14:paraId="34D1B6C0" w14:textId="77777777" w:rsidTr="00B94618">
        <w:tblPrEx>
          <w:tblLook w:val="04A0" w:firstRow="1" w:lastRow="0" w:firstColumn="1" w:lastColumn="0" w:noHBand="0" w:noVBand="1"/>
        </w:tblPrEx>
        <w:trPr>
          <w:trHeight w:val="300"/>
        </w:trPr>
        <w:tc>
          <w:tcPr>
            <w:tcW w:w="2359" w:type="dxa"/>
            <w:noWrap/>
            <w:hideMark/>
          </w:tcPr>
          <w:p w14:paraId="532790A5"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High Efficiency Refrigeration Compressor</w:t>
            </w:r>
          </w:p>
        </w:tc>
        <w:tc>
          <w:tcPr>
            <w:tcW w:w="1331" w:type="dxa"/>
            <w:noWrap/>
            <w:hideMark/>
          </w:tcPr>
          <w:p w14:paraId="2FE4E0DC"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7A93265E"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High Efficiency Refrigeration Compressors</w:t>
            </w:r>
          </w:p>
        </w:tc>
        <w:tc>
          <w:tcPr>
            <w:tcW w:w="3420" w:type="dxa"/>
            <w:noWrap/>
            <w:hideMark/>
          </w:tcPr>
          <w:p w14:paraId="7A33EB2A"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Existing Compressor</w:t>
            </w:r>
          </w:p>
        </w:tc>
      </w:tr>
      <w:tr w:rsidR="00B94618" w:rsidRPr="00B94618" w14:paraId="5389F40D" w14:textId="77777777" w:rsidTr="00B94618">
        <w:tblPrEx>
          <w:tblLook w:val="04A0" w:firstRow="1" w:lastRow="0" w:firstColumn="1" w:lastColumn="0" w:noHBand="0" w:noVBand="1"/>
        </w:tblPrEx>
        <w:trPr>
          <w:trHeight w:val="300"/>
        </w:trPr>
        <w:tc>
          <w:tcPr>
            <w:tcW w:w="2359" w:type="dxa"/>
            <w:noWrap/>
            <w:hideMark/>
          </w:tcPr>
          <w:p w14:paraId="6C5CAD67"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High R-Value Glass Doors</w:t>
            </w:r>
          </w:p>
        </w:tc>
        <w:tc>
          <w:tcPr>
            <w:tcW w:w="1331" w:type="dxa"/>
            <w:noWrap/>
            <w:hideMark/>
          </w:tcPr>
          <w:p w14:paraId="3A75377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3DDD8B3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Display Door with High R-Value, One-Door Medium Temperature Reach-In Case</w:t>
            </w:r>
          </w:p>
        </w:tc>
        <w:tc>
          <w:tcPr>
            <w:tcW w:w="3420" w:type="dxa"/>
            <w:noWrap/>
            <w:hideMark/>
          </w:tcPr>
          <w:p w14:paraId="7731FB7D"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Door, One-Door Medium Temperature Reach-In Case</w:t>
            </w:r>
          </w:p>
        </w:tc>
      </w:tr>
      <w:tr w:rsidR="00B94618" w:rsidRPr="00B94618" w14:paraId="790139EE" w14:textId="77777777" w:rsidTr="00B94618">
        <w:tblPrEx>
          <w:tblLook w:val="04A0" w:firstRow="1" w:lastRow="0" w:firstColumn="1" w:lastColumn="0" w:noHBand="0" w:noVBand="1"/>
        </w:tblPrEx>
        <w:trPr>
          <w:trHeight w:val="300"/>
        </w:trPr>
        <w:tc>
          <w:tcPr>
            <w:tcW w:w="2359" w:type="dxa"/>
            <w:noWrap/>
            <w:hideMark/>
          </w:tcPr>
          <w:p w14:paraId="6E648A7C"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Night Covers for Display Cases</w:t>
            </w:r>
          </w:p>
        </w:tc>
        <w:tc>
          <w:tcPr>
            <w:tcW w:w="1331" w:type="dxa"/>
            <w:noWrap/>
            <w:hideMark/>
          </w:tcPr>
          <w:p w14:paraId="2221A93D"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00665C1C"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Open Vertical Case with Night Covers</w:t>
            </w:r>
          </w:p>
        </w:tc>
        <w:tc>
          <w:tcPr>
            <w:tcW w:w="3420" w:type="dxa"/>
            <w:noWrap/>
            <w:hideMark/>
          </w:tcPr>
          <w:p w14:paraId="71E8549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Existing Open Vertical Case, No Night Covers</w:t>
            </w:r>
          </w:p>
        </w:tc>
      </w:tr>
      <w:tr w:rsidR="00B94618" w:rsidRPr="00B94618" w14:paraId="03CFD5E7" w14:textId="77777777" w:rsidTr="00B94618">
        <w:tblPrEx>
          <w:tblLook w:val="04A0" w:firstRow="1" w:lastRow="0" w:firstColumn="1" w:lastColumn="0" w:noHBand="0" w:noVBand="1"/>
        </w:tblPrEx>
        <w:trPr>
          <w:trHeight w:val="600"/>
        </w:trPr>
        <w:tc>
          <w:tcPr>
            <w:tcW w:w="2359" w:type="dxa"/>
            <w:noWrap/>
            <w:hideMark/>
          </w:tcPr>
          <w:p w14:paraId="3F186668" w14:textId="21930991"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PSC to ECM Evaporator Fan Motor (Reach-In)</w:t>
            </w:r>
            <w:r w:rsidR="000019DB">
              <w:rPr>
                <w:rFonts w:ascii="Calibri" w:hAnsi="Calibri" w:cs="Calibri"/>
                <w:sz w:val="18"/>
                <w:szCs w:val="18"/>
              </w:rPr>
              <w:t>*</w:t>
            </w:r>
          </w:p>
        </w:tc>
        <w:tc>
          <w:tcPr>
            <w:tcW w:w="1331" w:type="dxa"/>
            <w:noWrap/>
            <w:hideMark/>
          </w:tcPr>
          <w:p w14:paraId="261D82DE"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5532456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Medium Temperature Reach-In Case with Electronically Commutated Evaporator Fan Motor</w:t>
            </w:r>
          </w:p>
        </w:tc>
        <w:tc>
          <w:tcPr>
            <w:tcW w:w="3420" w:type="dxa"/>
            <w:noWrap/>
            <w:hideMark/>
          </w:tcPr>
          <w:p w14:paraId="049C8610"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Medium Temperature Reach-In Case with Permanent Split Capacitor Evaporator Fan Motor</w:t>
            </w:r>
          </w:p>
        </w:tc>
      </w:tr>
      <w:tr w:rsidR="00B94618" w:rsidRPr="00B94618" w14:paraId="5F42C36B" w14:textId="77777777" w:rsidTr="00B94618">
        <w:tblPrEx>
          <w:tblLook w:val="04A0" w:firstRow="1" w:lastRow="0" w:firstColumn="1" w:lastColumn="0" w:noHBand="0" w:noVBand="1"/>
        </w:tblPrEx>
        <w:trPr>
          <w:trHeight w:val="300"/>
        </w:trPr>
        <w:tc>
          <w:tcPr>
            <w:tcW w:w="2359" w:type="dxa"/>
            <w:noWrap/>
            <w:hideMark/>
          </w:tcPr>
          <w:p w14:paraId="574DBA56"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PSC to ECM Evaporator Fan Motor (Walk-In, Refrigerator)</w:t>
            </w:r>
          </w:p>
        </w:tc>
        <w:tc>
          <w:tcPr>
            <w:tcW w:w="1331" w:type="dxa"/>
            <w:noWrap/>
            <w:hideMark/>
          </w:tcPr>
          <w:p w14:paraId="5BF250A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7A0D079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Medium Temperature Walk-In Case with Electronically Commutated Evaporator Fan Motor</w:t>
            </w:r>
          </w:p>
        </w:tc>
        <w:tc>
          <w:tcPr>
            <w:tcW w:w="3420" w:type="dxa"/>
            <w:noWrap/>
            <w:hideMark/>
          </w:tcPr>
          <w:p w14:paraId="60E8D510"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Medium Temperature Reach-In Case with Permanent Split Capacitor Evaporator Fan Motor</w:t>
            </w:r>
          </w:p>
        </w:tc>
      </w:tr>
      <w:tr w:rsidR="00B94618" w:rsidRPr="00B94618" w14:paraId="4DE09846" w14:textId="77777777" w:rsidTr="00B94618">
        <w:tblPrEx>
          <w:tblLook w:val="04A0" w:firstRow="1" w:lastRow="0" w:firstColumn="1" w:lastColumn="0" w:noHBand="0" w:noVBand="1"/>
        </w:tblPrEx>
        <w:trPr>
          <w:trHeight w:val="300"/>
        </w:trPr>
        <w:tc>
          <w:tcPr>
            <w:tcW w:w="2359" w:type="dxa"/>
            <w:noWrap/>
            <w:hideMark/>
          </w:tcPr>
          <w:p w14:paraId="1F4FBC56" w14:textId="1CCA8D14"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Refrigerated Display Case LED Lighting</w:t>
            </w:r>
            <w:r w:rsidR="000019DB">
              <w:rPr>
                <w:rFonts w:ascii="Calibri" w:hAnsi="Calibri" w:cs="Calibri"/>
                <w:sz w:val="18"/>
                <w:szCs w:val="18"/>
              </w:rPr>
              <w:t>*</w:t>
            </w:r>
          </w:p>
        </w:tc>
        <w:tc>
          <w:tcPr>
            <w:tcW w:w="1331" w:type="dxa"/>
            <w:noWrap/>
            <w:hideMark/>
          </w:tcPr>
          <w:p w14:paraId="50F8E84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77F334F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60" Refrigerated Case LED Strip</w:t>
            </w:r>
          </w:p>
        </w:tc>
        <w:tc>
          <w:tcPr>
            <w:tcW w:w="3420" w:type="dxa"/>
            <w:noWrap/>
            <w:hideMark/>
          </w:tcPr>
          <w:p w14:paraId="48430340"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Lumen-Equivalent 32-Watt T8 Fixture</w:t>
            </w:r>
          </w:p>
        </w:tc>
      </w:tr>
      <w:tr w:rsidR="00B94618" w:rsidRPr="00B94618" w14:paraId="47154A17" w14:textId="77777777" w:rsidTr="00B94618">
        <w:tblPrEx>
          <w:tblLook w:val="04A0" w:firstRow="1" w:lastRow="0" w:firstColumn="1" w:lastColumn="0" w:noHBand="0" w:noVBand="1"/>
        </w:tblPrEx>
        <w:trPr>
          <w:trHeight w:val="300"/>
        </w:trPr>
        <w:tc>
          <w:tcPr>
            <w:tcW w:w="2359" w:type="dxa"/>
            <w:noWrap/>
            <w:hideMark/>
          </w:tcPr>
          <w:p w14:paraId="3C3E9018" w14:textId="6AE98CC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Refrigerated Display Case Lighting Controls</w:t>
            </w:r>
            <w:r w:rsidR="000019DB">
              <w:rPr>
                <w:rFonts w:ascii="Calibri" w:hAnsi="Calibri" w:cs="Calibri"/>
                <w:sz w:val="18"/>
                <w:szCs w:val="18"/>
              </w:rPr>
              <w:t>*</w:t>
            </w:r>
          </w:p>
        </w:tc>
        <w:tc>
          <w:tcPr>
            <w:tcW w:w="1331" w:type="dxa"/>
            <w:noWrap/>
            <w:hideMark/>
          </w:tcPr>
          <w:p w14:paraId="472ABA5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4D3A87D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Occupancy Sensors for Refrigerated Case Lighting to reduce run time</w:t>
            </w:r>
          </w:p>
        </w:tc>
        <w:tc>
          <w:tcPr>
            <w:tcW w:w="3420" w:type="dxa"/>
            <w:noWrap/>
            <w:hideMark/>
          </w:tcPr>
          <w:p w14:paraId="597A622D"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Market-Share Weighted Existing Linear Fluorescent Fixture</w:t>
            </w:r>
          </w:p>
        </w:tc>
      </w:tr>
      <w:tr w:rsidR="00B94618" w:rsidRPr="00B94618" w14:paraId="40E40A99" w14:textId="77777777" w:rsidTr="00B94618">
        <w:tblPrEx>
          <w:tblLook w:val="04A0" w:firstRow="1" w:lastRow="0" w:firstColumn="1" w:lastColumn="0" w:noHBand="0" w:noVBand="1"/>
        </w:tblPrEx>
        <w:trPr>
          <w:trHeight w:val="315"/>
        </w:trPr>
        <w:tc>
          <w:tcPr>
            <w:tcW w:w="2359" w:type="dxa"/>
            <w:noWrap/>
            <w:hideMark/>
          </w:tcPr>
          <w:p w14:paraId="16C823DB"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Strip Curtains for Walk-ins</w:t>
            </w:r>
          </w:p>
        </w:tc>
        <w:tc>
          <w:tcPr>
            <w:tcW w:w="1331" w:type="dxa"/>
            <w:noWrap/>
            <w:hideMark/>
          </w:tcPr>
          <w:p w14:paraId="171457B0"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0274A73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Walk-in cooler with strip curtains at least 0.06 inches thick covering the entire area of the doorway</w:t>
            </w:r>
          </w:p>
        </w:tc>
        <w:tc>
          <w:tcPr>
            <w:tcW w:w="3420" w:type="dxa"/>
            <w:noWrap/>
            <w:hideMark/>
          </w:tcPr>
          <w:p w14:paraId="503FF69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Walk-in cooler without strip curtains</w:t>
            </w:r>
          </w:p>
        </w:tc>
      </w:tr>
      <w:tr w:rsidR="00B94618" w:rsidRPr="00B94618" w14:paraId="0B569FC5" w14:textId="77777777" w:rsidTr="00B94618">
        <w:tblPrEx>
          <w:tblLook w:val="04A0" w:firstRow="1" w:lastRow="0" w:firstColumn="1" w:lastColumn="0" w:noHBand="0" w:noVBand="1"/>
        </w:tblPrEx>
        <w:trPr>
          <w:trHeight w:val="300"/>
        </w:trPr>
        <w:tc>
          <w:tcPr>
            <w:tcW w:w="2359" w:type="dxa"/>
            <w:noWrap/>
            <w:hideMark/>
          </w:tcPr>
          <w:p w14:paraId="07777736" w14:textId="10FCE576"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Chilled Water Controls Optimization</w:t>
            </w:r>
            <w:r w:rsidR="000019DB">
              <w:rPr>
                <w:rFonts w:ascii="Calibri" w:hAnsi="Calibri" w:cs="Calibri"/>
                <w:sz w:val="18"/>
                <w:szCs w:val="18"/>
              </w:rPr>
              <w:t>*</w:t>
            </w:r>
          </w:p>
        </w:tc>
        <w:tc>
          <w:tcPr>
            <w:tcW w:w="1331" w:type="dxa"/>
            <w:noWrap/>
            <w:hideMark/>
          </w:tcPr>
          <w:p w14:paraId="0D250E1D"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w:t>
            </w:r>
          </w:p>
        </w:tc>
        <w:tc>
          <w:tcPr>
            <w:tcW w:w="3510" w:type="dxa"/>
            <w:noWrap/>
            <w:hideMark/>
          </w:tcPr>
          <w:p w14:paraId="619B2A8D" w14:textId="5906E5A2"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Deploy an algorithm package on the chiller to totalize the available power inputs and calculate the cooling load, and accordingly apply small set</w:t>
            </w:r>
            <w:r w:rsidR="00F9403C">
              <w:rPr>
                <w:rFonts w:ascii="Calibri" w:hAnsi="Calibri" w:cs="Calibri"/>
                <w:color w:val="000000"/>
                <w:sz w:val="18"/>
                <w:szCs w:val="18"/>
              </w:rPr>
              <w:t>-</w:t>
            </w:r>
            <w:r w:rsidRPr="00B94618">
              <w:rPr>
                <w:rFonts w:ascii="Calibri" w:hAnsi="Calibri" w:cs="Calibri"/>
                <w:color w:val="000000"/>
                <w:sz w:val="18"/>
                <w:szCs w:val="18"/>
              </w:rPr>
              <w:t>point adjustments to the plant control system</w:t>
            </w:r>
          </w:p>
        </w:tc>
        <w:tc>
          <w:tcPr>
            <w:tcW w:w="3420" w:type="dxa"/>
            <w:noWrap/>
            <w:hideMark/>
          </w:tcPr>
          <w:p w14:paraId="18BC500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chilled water controls</w:t>
            </w:r>
          </w:p>
        </w:tc>
      </w:tr>
      <w:tr w:rsidR="00B94618" w:rsidRPr="00B94618" w14:paraId="24A3E5E3" w14:textId="77777777" w:rsidTr="00B94618">
        <w:tblPrEx>
          <w:tblLook w:val="04A0" w:firstRow="1" w:lastRow="0" w:firstColumn="1" w:lastColumn="0" w:noHBand="0" w:noVBand="1"/>
        </w:tblPrEx>
        <w:trPr>
          <w:trHeight w:val="300"/>
        </w:trPr>
        <w:tc>
          <w:tcPr>
            <w:tcW w:w="2359" w:type="dxa"/>
            <w:noWrap/>
            <w:hideMark/>
          </w:tcPr>
          <w:p w14:paraId="153BF4C7"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Chilled Water System - Variable Speed Drives</w:t>
            </w:r>
          </w:p>
        </w:tc>
        <w:tc>
          <w:tcPr>
            <w:tcW w:w="1331" w:type="dxa"/>
            <w:noWrap/>
            <w:hideMark/>
          </w:tcPr>
          <w:p w14:paraId="382A303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w:t>
            </w:r>
          </w:p>
        </w:tc>
        <w:tc>
          <w:tcPr>
            <w:tcW w:w="3510" w:type="dxa"/>
            <w:noWrap/>
            <w:hideMark/>
          </w:tcPr>
          <w:p w14:paraId="4588711E"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10HP Chilled Water Pump with VFD Control</w:t>
            </w:r>
          </w:p>
        </w:tc>
        <w:tc>
          <w:tcPr>
            <w:tcW w:w="3420" w:type="dxa"/>
            <w:noWrap/>
            <w:hideMark/>
          </w:tcPr>
          <w:p w14:paraId="1E685C2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10HP Chilled Water Pump Single Speed</w:t>
            </w:r>
          </w:p>
        </w:tc>
      </w:tr>
      <w:tr w:rsidR="00B94618" w:rsidRPr="00B94618" w14:paraId="637F7415" w14:textId="77777777" w:rsidTr="00B94618">
        <w:tblPrEx>
          <w:tblLook w:val="04A0" w:firstRow="1" w:lastRow="0" w:firstColumn="1" w:lastColumn="0" w:noHBand="0" w:noVBand="1"/>
        </w:tblPrEx>
        <w:trPr>
          <w:trHeight w:val="300"/>
        </w:trPr>
        <w:tc>
          <w:tcPr>
            <w:tcW w:w="2359" w:type="dxa"/>
            <w:noWrap/>
            <w:hideMark/>
          </w:tcPr>
          <w:p w14:paraId="3EB70544"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Cool Roof</w:t>
            </w:r>
          </w:p>
        </w:tc>
        <w:tc>
          <w:tcPr>
            <w:tcW w:w="1331" w:type="dxa"/>
            <w:noWrap/>
            <w:hideMark/>
          </w:tcPr>
          <w:p w14:paraId="0E51C65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w:t>
            </w:r>
          </w:p>
        </w:tc>
        <w:tc>
          <w:tcPr>
            <w:tcW w:w="3510" w:type="dxa"/>
            <w:noWrap/>
            <w:hideMark/>
          </w:tcPr>
          <w:p w14:paraId="7232B9C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Cool Roof - Includes both DX and chiller cooling systems</w:t>
            </w:r>
          </w:p>
        </w:tc>
        <w:tc>
          <w:tcPr>
            <w:tcW w:w="3420" w:type="dxa"/>
            <w:noWrap/>
            <w:hideMark/>
          </w:tcPr>
          <w:p w14:paraId="1F0D7CF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Flat Roof</w:t>
            </w:r>
          </w:p>
        </w:tc>
      </w:tr>
      <w:tr w:rsidR="00B94618" w:rsidRPr="00B94618" w14:paraId="4B309BDF" w14:textId="77777777" w:rsidTr="00B94618">
        <w:tblPrEx>
          <w:tblLook w:val="04A0" w:firstRow="1" w:lastRow="0" w:firstColumn="1" w:lastColumn="0" w:noHBand="0" w:noVBand="1"/>
        </w:tblPrEx>
        <w:trPr>
          <w:trHeight w:val="125"/>
        </w:trPr>
        <w:tc>
          <w:tcPr>
            <w:tcW w:w="2359" w:type="dxa"/>
            <w:noWrap/>
            <w:hideMark/>
          </w:tcPr>
          <w:p w14:paraId="2B95227F"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High Efficiency Chiller (Air Cooled, 50 tons)</w:t>
            </w:r>
          </w:p>
        </w:tc>
        <w:tc>
          <w:tcPr>
            <w:tcW w:w="1331" w:type="dxa"/>
            <w:noWrap/>
            <w:hideMark/>
          </w:tcPr>
          <w:p w14:paraId="135925F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w:t>
            </w:r>
          </w:p>
        </w:tc>
        <w:tc>
          <w:tcPr>
            <w:tcW w:w="3510" w:type="dxa"/>
            <w:noWrap/>
            <w:hideMark/>
          </w:tcPr>
          <w:p w14:paraId="5E119D8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High Efficiency Chiller (Air Cooled, 50 tons)</w:t>
            </w:r>
          </w:p>
        </w:tc>
        <w:tc>
          <w:tcPr>
            <w:tcW w:w="3420" w:type="dxa"/>
            <w:noWrap/>
            <w:hideMark/>
          </w:tcPr>
          <w:p w14:paraId="64D49A4E"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Air Cooled Positive Displacement Chiller, 50 Tons</w:t>
            </w:r>
          </w:p>
        </w:tc>
      </w:tr>
      <w:tr w:rsidR="00B94618" w:rsidRPr="00B94618" w14:paraId="08FE8418" w14:textId="77777777" w:rsidTr="00B94618">
        <w:tblPrEx>
          <w:tblLook w:val="04A0" w:firstRow="1" w:lastRow="0" w:firstColumn="1" w:lastColumn="0" w:noHBand="0" w:noVBand="1"/>
        </w:tblPrEx>
        <w:trPr>
          <w:trHeight w:val="152"/>
        </w:trPr>
        <w:tc>
          <w:tcPr>
            <w:tcW w:w="2359" w:type="dxa"/>
            <w:hideMark/>
          </w:tcPr>
          <w:p w14:paraId="22D88551"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High Efficiency Chiller (Water cooled-centrifugal, 200 tons)</w:t>
            </w:r>
          </w:p>
        </w:tc>
        <w:tc>
          <w:tcPr>
            <w:tcW w:w="1331" w:type="dxa"/>
            <w:noWrap/>
            <w:hideMark/>
          </w:tcPr>
          <w:p w14:paraId="677F3CF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w:t>
            </w:r>
          </w:p>
        </w:tc>
        <w:tc>
          <w:tcPr>
            <w:tcW w:w="3510" w:type="dxa"/>
            <w:noWrap/>
            <w:hideMark/>
          </w:tcPr>
          <w:p w14:paraId="1752564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Water Cooled Centrifugal Chiller with Integral VFD, 200 Tons</w:t>
            </w:r>
          </w:p>
        </w:tc>
        <w:tc>
          <w:tcPr>
            <w:tcW w:w="3420" w:type="dxa"/>
            <w:noWrap/>
            <w:hideMark/>
          </w:tcPr>
          <w:p w14:paraId="4CC3A78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Water Cooled Centrifugal Chiller, 200 Tons</w:t>
            </w:r>
          </w:p>
        </w:tc>
      </w:tr>
      <w:tr w:rsidR="00B94618" w:rsidRPr="00B94618" w14:paraId="64F501E4" w14:textId="77777777" w:rsidTr="00B94618">
        <w:tblPrEx>
          <w:tblLook w:val="04A0" w:firstRow="1" w:lastRow="0" w:firstColumn="1" w:lastColumn="0" w:noHBand="0" w:noVBand="1"/>
        </w:tblPrEx>
        <w:trPr>
          <w:trHeight w:val="300"/>
        </w:trPr>
        <w:tc>
          <w:tcPr>
            <w:tcW w:w="2359" w:type="dxa"/>
            <w:noWrap/>
            <w:hideMark/>
          </w:tcPr>
          <w:p w14:paraId="271E39FA"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Thermal Energy Storage</w:t>
            </w:r>
          </w:p>
        </w:tc>
        <w:tc>
          <w:tcPr>
            <w:tcW w:w="1331" w:type="dxa"/>
            <w:noWrap/>
            <w:hideMark/>
          </w:tcPr>
          <w:p w14:paraId="4DA2FA92"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w:t>
            </w:r>
          </w:p>
        </w:tc>
        <w:tc>
          <w:tcPr>
            <w:tcW w:w="3510" w:type="dxa"/>
            <w:noWrap/>
            <w:hideMark/>
          </w:tcPr>
          <w:p w14:paraId="00738936" w14:textId="09ECFCC8"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 xml:space="preserve">Deploy thermal energy storage technology (ice harvester, </w:t>
            </w:r>
            <w:r w:rsidR="00B30110" w:rsidRPr="00B94618">
              <w:rPr>
                <w:rFonts w:ascii="Calibri" w:hAnsi="Calibri" w:cs="Calibri"/>
                <w:color w:val="000000"/>
                <w:sz w:val="18"/>
                <w:szCs w:val="18"/>
              </w:rPr>
              <w:t>etc.</w:t>
            </w:r>
            <w:r w:rsidRPr="00B94618">
              <w:rPr>
                <w:rFonts w:ascii="Calibri" w:hAnsi="Calibri" w:cs="Calibri"/>
                <w:color w:val="000000"/>
                <w:sz w:val="18"/>
                <w:szCs w:val="18"/>
              </w:rPr>
              <w:t>) to shift load</w:t>
            </w:r>
          </w:p>
        </w:tc>
        <w:tc>
          <w:tcPr>
            <w:tcW w:w="3420" w:type="dxa"/>
            <w:noWrap/>
            <w:hideMark/>
          </w:tcPr>
          <w:p w14:paraId="6B638BBF"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 compliant chiller</w:t>
            </w:r>
          </w:p>
        </w:tc>
      </w:tr>
      <w:tr w:rsidR="00B94618" w:rsidRPr="00B94618" w14:paraId="2425A076" w14:textId="77777777" w:rsidTr="00B94618">
        <w:tblPrEx>
          <w:tblLook w:val="04A0" w:firstRow="1" w:lastRow="0" w:firstColumn="1" w:lastColumn="0" w:noHBand="0" w:noVBand="1"/>
        </w:tblPrEx>
        <w:trPr>
          <w:trHeight w:val="300"/>
        </w:trPr>
        <w:tc>
          <w:tcPr>
            <w:tcW w:w="2359" w:type="dxa"/>
            <w:noWrap/>
            <w:hideMark/>
          </w:tcPr>
          <w:p w14:paraId="2656759A" w14:textId="04F1D993"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Air Curtains</w:t>
            </w:r>
            <w:r w:rsidR="000019DB">
              <w:rPr>
                <w:rFonts w:ascii="Calibri" w:hAnsi="Calibri" w:cs="Calibri"/>
                <w:sz w:val="18"/>
                <w:szCs w:val="18"/>
              </w:rPr>
              <w:t>*</w:t>
            </w:r>
          </w:p>
        </w:tc>
        <w:tc>
          <w:tcPr>
            <w:tcW w:w="1331" w:type="dxa"/>
            <w:noWrap/>
            <w:hideMark/>
          </w:tcPr>
          <w:p w14:paraId="5DEA4C6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0081820E"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Air Curtain across door opening</w:t>
            </w:r>
          </w:p>
        </w:tc>
        <w:tc>
          <w:tcPr>
            <w:tcW w:w="3420" w:type="dxa"/>
            <w:noWrap/>
            <w:hideMark/>
          </w:tcPr>
          <w:p w14:paraId="036711E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Door opening with no air curtain</w:t>
            </w:r>
          </w:p>
        </w:tc>
      </w:tr>
      <w:tr w:rsidR="00B94618" w:rsidRPr="00B94618" w14:paraId="3FD10AD5" w14:textId="77777777" w:rsidTr="00B94618">
        <w:tblPrEx>
          <w:tblLook w:val="04A0" w:firstRow="1" w:lastRow="0" w:firstColumn="1" w:lastColumn="0" w:noHBand="0" w:noVBand="1"/>
        </w:tblPrEx>
        <w:trPr>
          <w:trHeight w:val="300"/>
        </w:trPr>
        <w:tc>
          <w:tcPr>
            <w:tcW w:w="2359" w:type="dxa"/>
            <w:noWrap/>
            <w:hideMark/>
          </w:tcPr>
          <w:p w14:paraId="528984EC" w14:textId="669581A0"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Airside Economizer</w:t>
            </w:r>
            <w:r w:rsidR="000019DB">
              <w:rPr>
                <w:rFonts w:ascii="Calibri" w:hAnsi="Calibri" w:cs="Calibri"/>
                <w:sz w:val="18"/>
                <w:szCs w:val="18"/>
              </w:rPr>
              <w:t>*</w:t>
            </w:r>
          </w:p>
        </w:tc>
        <w:tc>
          <w:tcPr>
            <w:tcW w:w="1331" w:type="dxa"/>
            <w:noWrap/>
            <w:hideMark/>
          </w:tcPr>
          <w:p w14:paraId="00BD392D"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764730A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Airside Economizer</w:t>
            </w:r>
          </w:p>
        </w:tc>
        <w:tc>
          <w:tcPr>
            <w:tcW w:w="3420" w:type="dxa"/>
            <w:noWrap/>
            <w:hideMark/>
          </w:tcPr>
          <w:p w14:paraId="2421CD6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No economizer</w:t>
            </w:r>
          </w:p>
        </w:tc>
      </w:tr>
      <w:tr w:rsidR="00B94618" w:rsidRPr="00B94618" w14:paraId="76317923" w14:textId="77777777" w:rsidTr="00B94618">
        <w:tblPrEx>
          <w:tblLook w:val="04A0" w:firstRow="1" w:lastRow="0" w:firstColumn="1" w:lastColumn="0" w:noHBand="0" w:noVBand="1"/>
        </w:tblPrEx>
        <w:trPr>
          <w:trHeight w:val="300"/>
        </w:trPr>
        <w:tc>
          <w:tcPr>
            <w:tcW w:w="2359" w:type="dxa"/>
            <w:noWrap/>
            <w:hideMark/>
          </w:tcPr>
          <w:p w14:paraId="51996C3D"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Ceiling Insulation(R12 to R38)</w:t>
            </w:r>
          </w:p>
        </w:tc>
        <w:tc>
          <w:tcPr>
            <w:tcW w:w="1331" w:type="dxa"/>
            <w:noWrap/>
            <w:hideMark/>
          </w:tcPr>
          <w:p w14:paraId="05DA385B"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1FB0A685" w14:textId="4D8E6125"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Blown-in insulation in ceiling cavity/attic</w:t>
            </w:r>
          </w:p>
        </w:tc>
        <w:tc>
          <w:tcPr>
            <w:tcW w:w="3420" w:type="dxa"/>
            <w:noWrap/>
            <w:hideMark/>
          </w:tcPr>
          <w:p w14:paraId="56F0FD4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Market Average Existing Ceiling Insulation in older steep slope, residential style commercial building</w:t>
            </w:r>
          </w:p>
        </w:tc>
      </w:tr>
      <w:tr w:rsidR="00B94618" w:rsidRPr="00B94618" w14:paraId="5289CF13" w14:textId="77777777" w:rsidTr="00B94618">
        <w:tblPrEx>
          <w:tblLook w:val="04A0" w:firstRow="1" w:lastRow="0" w:firstColumn="1" w:lastColumn="0" w:noHBand="0" w:noVBand="1"/>
        </w:tblPrEx>
        <w:trPr>
          <w:trHeight w:val="315"/>
        </w:trPr>
        <w:tc>
          <w:tcPr>
            <w:tcW w:w="2359" w:type="dxa"/>
            <w:noWrap/>
            <w:hideMark/>
          </w:tcPr>
          <w:p w14:paraId="63012694"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Ceiling Insulation(R19 to R38)</w:t>
            </w:r>
          </w:p>
        </w:tc>
        <w:tc>
          <w:tcPr>
            <w:tcW w:w="1331" w:type="dxa"/>
            <w:noWrap/>
            <w:hideMark/>
          </w:tcPr>
          <w:p w14:paraId="3E31E72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1B7D0EB9" w14:textId="6A3197CA"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Blown-in insulation in ceiling cavity/attic</w:t>
            </w:r>
          </w:p>
        </w:tc>
        <w:tc>
          <w:tcPr>
            <w:tcW w:w="3420" w:type="dxa"/>
            <w:noWrap/>
            <w:hideMark/>
          </w:tcPr>
          <w:p w14:paraId="27AA7CFD"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Market Average Existing Ceiling Insulation in older steep slope, residential style commercial building</w:t>
            </w:r>
          </w:p>
        </w:tc>
      </w:tr>
      <w:tr w:rsidR="00B94618" w:rsidRPr="00B94618" w14:paraId="6469EF98" w14:textId="77777777" w:rsidTr="00B94618">
        <w:tblPrEx>
          <w:tblLook w:val="04A0" w:firstRow="1" w:lastRow="0" w:firstColumn="1" w:lastColumn="0" w:noHBand="0" w:noVBand="1"/>
        </w:tblPrEx>
        <w:trPr>
          <w:trHeight w:val="300"/>
        </w:trPr>
        <w:tc>
          <w:tcPr>
            <w:tcW w:w="2359" w:type="dxa"/>
            <w:noWrap/>
            <w:hideMark/>
          </w:tcPr>
          <w:p w14:paraId="0BD9EB97"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Ceiling Insulation(R2 to R38)</w:t>
            </w:r>
          </w:p>
        </w:tc>
        <w:tc>
          <w:tcPr>
            <w:tcW w:w="1331" w:type="dxa"/>
            <w:noWrap/>
            <w:hideMark/>
          </w:tcPr>
          <w:p w14:paraId="422FB19C"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3ABD7887" w14:textId="0B9907F0"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Blown-in insulation in ceiling cavity/attic</w:t>
            </w:r>
          </w:p>
        </w:tc>
        <w:tc>
          <w:tcPr>
            <w:tcW w:w="3420" w:type="dxa"/>
            <w:noWrap/>
            <w:hideMark/>
          </w:tcPr>
          <w:p w14:paraId="11C5982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Market Average Existing Ceiling Insulation in older steep slope, residential style commercial building</w:t>
            </w:r>
          </w:p>
        </w:tc>
      </w:tr>
      <w:tr w:rsidR="00B94618" w:rsidRPr="00B94618" w14:paraId="408E9F88" w14:textId="77777777" w:rsidTr="00B94618">
        <w:tblPrEx>
          <w:tblLook w:val="04A0" w:firstRow="1" w:lastRow="0" w:firstColumn="1" w:lastColumn="0" w:noHBand="0" w:noVBand="1"/>
        </w:tblPrEx>
        <w:trPr>
          <w:trHeight w:val="315"/>
        </w:trPr>
        <w:tc>
          <w:tcPr>
            <w:tcW w:w="2359" w:type="dxa"/>
            <w:noWrap/>
            <w:hideMark/>
          </w:tcPr>
          <w:p w14:paraId="4F19909B"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Ceiling Insulation(R30 to R38)</w:t>
            </w:r>
          </w:p>
        </w:tc>
        <w:tc>
          <w:tcPr>
            <w:tcW w:w="1331" w:type="dxa"/>
            <w:noWrap/>
            <w:hideMark/>
          </w:tcPr>
          <w:p w14:paraId="22CD63DA"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3C7C57FF" w14:textId="08D236B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Blown-in insulation in ceiling cavity/attic</w:t>
            </w:r>
          </w:p>
        </w:tc>
        <w:tc>
          <w:tcPr>
            <w:tcW w:w="3420" w:type="dxa"/>
            <w:noWrap/>
            <w:hideMark/>
          </w:tcPr>
          <w:p w14:paraId="0948952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Market Average Existing Ceiling Insulation in older steep slope, residential style commercial building</w:t>
            </w:r>
          </w:p>
        </w:tc>
      </w:tr>
      <w:tr w:rsidR="00B94618" w:rsidRPr="00B94618" w14:paraId="27794499" w14:textId="77777777" w:rsidTr="00B94618">
        <w:tblPrEx>
          <w:tblLook w:val="04A0" w:firstRow="1" w:lastRow="0" w:firstColumn="1" w:lastColumn="0" w:noHBand="0" w:noVBand="1"/>
        </w:tblPrEx>
        <w:trPr>
          <w:trHeight w:val="300"/>
        </w:trPr>
        <w:tc>
          <w:tcPr>
            <w:tcW w:w="2359" w:type="dxa"/>
            <w:noWrap/>
            <w:hideMark/>
          </w:tcPr>
          <w:p w14:paraId="3A8AFE3F" w14:textId="1DC81443"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Dedicated Outdoor Air System on VRF unit</w:t>
            </w:r>
            <w:r w:rsidR="000019DB">
              <w:rPr>
                <w:rFonts w:ascii="Calibri" w:hAnsi="Calibri" w:cs="Calibri"/>
                <w:sz w:val="18"/>
                <w:szCs w:val="18"/>
              </w:rPr>
              <w:t>*</w:t>
            </w:r>
          </w:p>
        </w:tc>
        <w:tc>
          <w:tcPr>
            <w:tcW w:w="1331" w:type="dxa"/>
            <w:noWrap/>
            <w:hideMark/>
          </w:tcPr>
          <w:p w14:paraId="01488890"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56ABAF5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VRF utilizing Dedicated Outdoor Air System</w:t>
            </w:r>
          </w:p>
        </w:tc>
        <w:tc>
          <w:tcPr>
            <w:tcW w:w="3420" w:type="dxa"/>
            <w:noWrap/>
            <w:hideMark/>
          </w:tcPr>
          <w:p w14:paraId="13726AD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PTHP</w:t>
            </w:r>
          </w:p>
        </w:tc>
      </w:tr>
      <w:tr w:rsidR="00B94618" w:rsidRPr="00B94618" w14:paraId="0F91B1E8" w14:textId="77777777" w:rsidTr="00B94618">
        <w:tblPrEx>
          <w:tblLook w:val="04A0" w:firstRow="1" w:lastRow="0" w:firstColumn="1" w:lastColumn="0" w:noHBand="0" w:noVBand="1"/>
        </w:tblPrEx>
        <w:trPr>
          <w:trHeight w:val="300"/>
        </w:trPr>
        <w:tc>
          <w:tcPr>
            <w:tcW w:w="2359" w:type="dxa"/>
            <w:noWrap/>
            <w:hideMark/>
          </w:tcPr>
          <w:p w14:paraId="7249658A" w14:textId="4D347E1F"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Destratification Fans</w:t>
            </w:r>
            <w:r w:rsidR="000019DB">
              <w:rPr>
                <w:rFonts w:ascii="Calibri" w:hAnsi="Calibri" w:cs="Calibri"/>
                <w:sz w:val="18"/>
                <w:szCs w:val="18"/>
              </w:rPr>
              <w:t>*</w:t>
            </w:r>
          </w:p>
        </w:tc>
        <w:tc>
          <w:tcPr>
            <w:tcW w:w="1331" w:type="dxa"/>
            <w:noWrap/>
            <w:hideMark/>
          </w:tcPr>
          <w:p w14:paraId="04C955AC"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3AE868BF"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Destratification Fans improve temperature distribution by circulating warmer air from the ceiling back down to the floor level</w:t>
            </w:r>
          </w:p>
        </w:tc>
        <w:tc>
          <w:tcPr>
            <w:tcW w:w="3420" w:type="dxa"/>
            <w:noWrap/>
            <w:hideMark/>
          </w:tcPr>
          <w:p w14:paraId="0107493F"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No destratification fan</w:t>
            </w:r>
          </w:p>
        </w:tc>
      </w:tr>
      <w:tr w:rsidR="00B94618" w:rsidRPr="00B94618" w14:paraId="28BB2382" w14:textId="77777777" w:rsidTr="00B94618">
        <w:tblPrEx>
          <w:tblLook w:val="04A0" w:firstRow="1" w:lastRow="0" w:firstColumn="1" w:lastColumn="0" w:noHBand="0" w:noVBand="1"/>
        </w:tblPrEx>
        <w:trPr>
          <w:trHeight w:val="300"/>
        </w:trPr>
        <w:tc>
          <w:tcPr>
            <w:tcW w:w="2359" w:type="dxa"/>
            <w:noWrap/>
            <w:hideMark/>
          </w:tcPr>
          <w:p w14:paraId="6362D7B7"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Duct Insulation</w:t>
            </w:r>
          </w:p>
        </w:tc>
        <w:tc>
          <w:tcPr>
            <w:tcW w:w="1331" w:type="dxa"/>
            <w:noWrap/>
            <w:hideMark/>
          </w:tcPr>
          <w:p w14:paraId="61FA62EE"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5DB225B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Electric Heating and Central AC with Insulated Ductwork (R-8)</w:t>
            </w:r>
          </w:p>
        </w:tc>
        <w:tc>
          <w:tcPr>
            <w:tcW w:w="3420" w:type="dxa"/>
            <w:noWrap/>
            <w:hideMark/>
          </w:tcPr>
          <w:p w14:paraId="165DD4D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Electric Heating and Central AC with Uninsulated Ductwork (R-4)</w:t>
            </w:r>
          </w:p>
        </w:tc>
      </w:tr>
      <w:tr w:rsidR="00B94618" w:rsidRPr="00B94618" w14:paraId="0376579D" w14:textId="77777777" w:rsidTr="00B94618">
        <w:tblPrEx>
          <w:tblLook w:val="04A0" w:firstRow="1" w:lastRow="0" w:firstColumn="1" w:lastColumn="0" w:noHBand="0" w:noVBand="1"/>
        </w:tblPrEx>
        <w:trPr>
          <w:trHeight w:val="300"/>
        </w:trPr>
        <w:tc>
          <w:tcPr>
            <w:tcW w:w="2359" w:type="dxa"/>
            <w:noWrap/>
            <w:hideMark/>
          </w:tcPr>
          <w:p w14:paraId="2E4DFF2E"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Duct Sealing Repair</w:t>
            </w:r>
          </w:p>
        </w:tc>
        <w:tc>
          <w:tcPr>
            <w:tcW w:w="1331" w:type="dxa"/>
            <w:noWrap/>
            <w:hideMark/>
          </w:tcPr>
          <w:p w14:paraId="0143501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0E646E0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Duct Repair to eliminate/minimize leaks, includes testing and sealing</w:t>
            </w:r>
          </w:p>
        </w:tc>
        <w:tc>
          <w:tcPr>
            <w:tcW w:w="3420" w:type="dxa"/>
            <w:noWrap/>
            <w:hideMark/>
          </w:tcPr>
          <w:p w14:paraId="3DDDDD0F"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AC with typical duct leakage</w:t>
            </w:r>
          </w:p>
        </w:tc>
      </w:tr>
      <w:tr w:rsidR="00B94618" w:rsidRPr="00B94618" w14:paraId="3F19E2EC" w14:textId="77777777" w:rsidTr="00B94618">
        <w:tblPrEx>
          <w:tblLook w:val="04A0" w:firstRow="1" w:lastRow="0" w:firstColumn="1" w:lastColumn="0" w:noHBand="0" w:noVBand="1"/>
        </w:tblPrEx>
        <w:trPr>
          <w:trHeight w:val="300"/>
        </w:trPr>
        <w:tc>
          <w:tcPr>
            <w:tcW w:w="2359" w:type="dxa"/>
            <w:noWrap/>
            <w:hideMark/>
          </w:tcPr>
          <w:p w14:paraId="6E0BE505"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Recovery Ventilation System (ERV)</w:t>
            </w:r>
          </w:p>
        </w:tc>
        <w:tc>
          <w:tcPr>
            <w:tcW w:w="1331" w:type="dxa"/>
            <w:noWrap/>
            <w:hideMark/>
          </w:tcPr>
          <w:p w14:paraId="595DD97D"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006D872D"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Unitary Cooling Equipment that Incorporates Energy Recovery</w:t>
            </w:r>
          </w:p>
        </w:tc>
        <w:tc>
          <w:tcPr>
            <w:tcW w:w="3420" w:type="dxa"/>
            <w:noWrap/>
            <w:hideMark/>
          </w:tcPr>
          <w:p w14:paraId="04E77902"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Current Market Packaged or Split DX Unit</w:t>
            </w:r>
          </w:p>
        </w:tc>
      </w:tr>
      <w:tr w:rsidR="00B94618" w:rsidRPr="00B94618" w14:paraId="06654FB9" w14:textId="77777777" w:rsidTr="00B94618">
        <w:tblPrEx>
          <w:tblLook w:val="04A0" w:firstRow="1" w:lastRow="0" w:firstColumn="1" w:lastColumn="0" w:noHBand="0" w:noVBand="1"/>
        </w:tblPrEx>
        <w:trPr>
          <w:trHeight w:val="300"/>
        </w:trPr>
        <w:tc>
          <w:tcPr>
            <w:tcW w:w="2359" w:type="dxa"/>
            <w:noWrap/>
            <w:hideMark/>
          </w:tcPr>
          <w:p w14:paraId="5F23489D" w14:textId="50FBA121"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Facility Commissioning</w:t>
            </w:r>
            <w:r w:rsidR="000019DB">
              <w:rPr>
                <w:rFonts w:ascii="Calibri" w:hAnsi="Calibri" w:cs="Calibri"/>
                <w:sz w:val="18"/>
                <w:szCs w:val="18"/>
              </w:rPr>
              <w:t>*</w:t>
            </w:r>
          </w:p>
        </w:tc>
        <w:tc>
          <w:tcPr>
            <w:tcW w:w="1331" w:type="dxa"/>
            <w:noWrap/>
            <w:hideMark/>
          </w:tcPr>
          <w:p w14:paraId="67A5978F"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56B431B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Perform facility commissioning to optimize building operations in new facilities</w:t>
            </w:r>
          </w:p>
        </w:tc>
        <w:tc>
          <w:tcPr>
            <w:tcW w:w="3420" w:type="dxa"/>
            <w:noWrap/>
            <w:hideMark/>
          </w:tcPr>
          <w:p w14:paraId="59E3775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new construction facility with no commissioning</w:t>
            </w:r>
          </w:p>
        </w:tc>
      </w:tr>
      <w:tr w:rsidR="00B94618" w:rsidRPr="00B94618" w14:paraId="022F9D76" w14:textId="77777777" w:rsidTr="00B94618">
        <w:tblPrEx>
          <w:tblLook w:val="04A0" w:firstRow="1" w:lastRow="0" w:firstColumn="1" w:lastColumn="0" w:noHBand="0" w:noVBand="1"/>
        </w:tblPrEx>
        <w:trPr>
          <w:trHeight w:val="300"/>
        </w:trPr>
        <w:tc>
          <w:tcPr>
            <w:tcW w:w="2359" w:type="dxa"/>
            <w:noWrap/>
            <w:hideMark/>
          </w:tcPr>
          <w:p w14:paraId="77B011E5" w14:textId="5A664D26"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Floor Insulation</w:t>
            </w:r>
            <w:r w:rsidR="000019DB">
              <w:rPr>
                <w:rFonts w:ascii="Calibri" w:hAnsi="Calibri" w:cs="Calibri"/>
                <w:sz w:val="18"/>
                <w:szCs w:val="18"/>
              </w:rPr>
              <w:t>*</w:t>
            </w:r>
          </w:p>
        </w:tc>
        <w:tc>
          <w:tcPr>
            <w:tcW w:w="1331" w:type="dxa"/>
            <w:noWrap/>
            <w:hideMark/>
          </w:tcPr>
          <w:p w14:paraId="38AB660B"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2276848C"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Increased Floor Insulation (R-19)</w:t>
            </w:r>
          </w:p>
        </w:tc>
        <w:tc>
          <w:tcPr>
            <w:tcW w:w="3420" w:type="dxa"/>
            <w:noWrap/>
            <w:hideMark/>
          </w:tcPr>
          <w:p w14:paraId="37C7AC7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Market Average Existing Floor Insulation</w:t>
            </w:r>
          </w:p>
        </w:tc>
      </w:tr>
      <w:tr w:rsidR="00B94618" w:rsidRPr="00B94618" w14:paraId="574AF3CD" w14:textId="77777777" w:rsidTr="00B94618">
        <w:tblPrEx>
          <w:tblLook w:val="04A0" w:firstRow="1" w:lastRow="0" w:firstColumn="1" w:lastColumn="0" w:noHBand="0" w:noVBand="1"/>
        </w:tblPrEx>
        <w:trPr>
          <w:trHeight w:val="300"/>
        </w:trPr>
        <w:tc>
          <w:tcPr>
            <w:tcW w:w="2359" w:type="dxa"/>
            <w:noWrap/>
            <w:hideMark/>
          </w:tcPr>
          <w:p w14:paraId="77B857A2"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Geothermal Heat Pump</w:t>
            </w:r>
          </w:p>
        </w:tc>
        <w:tc>
          <w:tcPr>
            <w:tcW w:w="1331" w:type="dxa"/>
            <w:noWrap/>
            <w:hideMark/>
          </w:tcPr>
          <w:p w14:paraId="7606E2A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01321ABB"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Geothermal Heat Pump</w:t>
            </w:r>
          </w:p>
        </w:tc>
        <w:tc>
          <w:tcPr>
            <w:tcW w:w="3420" w:type="dxa"/>
            <w:noWrap/>
            <w:hideMark/>
          </w:tcPr>
          <w:p w14:paraId="7A38275C"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Air Source Heat Pump</w:t>
            </w:r>
          </w:p>
        </w:tc>
      </w:tr>
      <w:tr w:rsidR="00B94618" w:rsidRPr="00B94618" w14:paraId="7E829C21" w14:textId="77777777" w:rsidTr="00B94618">
        <w:tblPrEx>
          <w:tblLook w:val="04A0" w:firstRow="1" w:lastRow="0" w:firstColumn="1" w:lastColumn="0" w:noHBand="0" w:noVBand="1"/>
        </w:tblPrEx>
        <w:trPr>
          <w:trHeight w:val="70"/>
        </w:trPr>
        <w:tc>
          <w:tcPr>
            <w:tcW w:w="2359" w:type="dxa"/>
            <w:noWrap/>
            <w:hideMark/>
          </w:tcPr>
          <w:p w14:paraId="7177DCC1" w14:textId="21AAA012"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Green Roof</w:t>
            </w:r>
            <w:r w:rsidR="000019DB">
              <w:rPr>
                <w:rFonts w:ascii="Calibri" w:hAnsi="Calibri" w:cs="Calibri"/>
                <w:sz w:val="18"/>
                <w:szCs w:val="18"/>
              </w:rPr>
              <w:t>*</w:t>
            </w:r>
          </w:p>
        </w:tc>
        <w:tc>
          <w:tcPr>
            <w:tcW w:w="1331" w:type="dxa"/>
            <w:noWrap/>
            <w:hideMark/>
          </w:tcPr>
          <w:p w14:paraId="1E5CDDCA"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6BB543A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Green Roof</w:t>
            </w:r>
          </w:p>
        </w:tc>
        <w:tc>
          <w:tcPr>
            <w:tcW w:w="3420" w:type="dxa"/>
            <w:noWrap/>
            <w:hideMark/>
          </w:tcPr>
          <w:p w14:paraId="23F1637E"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Flat Roof</w:t>
            </w:r>
          </w:p>
        </w:tc>
      </w:tr>
      <w:tr w:rsidR="00B94618" w:rsidRPr="00B94618" w14:paraId="58453EB7" w14:textId="77777777" w:rsidTr="00B94618">
        <w:tblPrEx>
          <w:tblLook w:val="04A0" w:firstRow="1" w:lastRow="0" w:firstColumn="1" w:lastColumn="0" w:noHBand="0" w:noVBand="1"/>
        </w:tblPrEx>
        <w:trPr>
          <w:trHeight w:val="300"/>
        </w:trPr>
        <w:tc>
          <w:tcPr>
            <w:tcW w:w="2359" w:type="dxa"/>
            <w:noWrap/>
            <w:hideMark/>
          </w:tcPr>
          <w:p w14:paraId="73ACA980"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High Efficiency Chiller (Water cooled-positive displacement, 100 tons)</w:t>
            </w:r>
          </w:p>
        </w:tc>
        <w:tc>
          <w:tcPr>
            <w:tcW w:w="1331" w:type="dxa"/>
            <w:noWrap/>
            <w:hideMark/>
          </w:tcPr>
          <w:p w14:paraId="41EF9C1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204423A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Water Cooled Positive Displacement Chiller with Integral VFD, 100 Tons</w:t>
            </w:r>
          </w:p>
        </w:tc>
        <w:tc>
          <w:tcPr>
            <w:tcW w:w="3420" w:type="dxa"/>
            <w:noWrap/>
            <w:hideMark/>
          </w:tcPr>
          <w:p w14:paraId="71189CD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Water Cooled Positive Displacement Chiller, 100 Tons</w:t>
            </w:r>
          </w:p>
        </w:tc>
      </w:tr>
      <w:tr w:rsidR="00B94618" w:rsidRPr="00B94618" w14:paraId="2A3F9647" w14:textId="77777777" w:rsidTr="00B94618">
        <w:tblPrEx>
          <w:tblLook w:val="04A0" w:firstRow="1" w:lastRow="0" w:firstColumn="1" w:lastColumn="0" w:noHBand="0" w:noVBand="1"/>
        </w:tblPrEx>
        <w:trPr>
          <w:trHeight w:val="300"/>
        </w:trPr>
        <w:tc>
          <w:tcPr>
            <w:tcW w:w="2359" w:type="dxa"/>
            <w:noWrap/>
            <w:hideMark/>
          </w:tcPr>
          <w:p w14:paraId="7383DA41" w14:textId="1FBE0843"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High Efficiency Data Center Cooling</w:t>
            </w:r>
            <w:r w:rsidR="000019DB">
              <w:rPr>
                <w:rFonts w:ascii="Calibri" w:hAnsi="Calibri" w:cs="Calibri"/>
                <w:sz w:val="18"/>
                <w:szCs w:val="18"/>
              </w:rPr>
              <w:t>*</w:t>
            </w:r>
          </w:p>
        </w:tc>
        <w:tc>
          <w:tcPr>
            <w:tcW w:w="1331" w:type="dxa"/>
            <w:noWrap/>
            <w:hideMark/>
          </w:tcPr>
          <w:p w14:paraId="2458DF6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007F72ED"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High Efficiency CRAC (computer room air conditioner)</w:t>
            </w:r>
          </w:p>
        </w:tc>
        <w:tc>
          <w:tcPr>
            <w:tcW w:w="3420" w:type="dxa"/>
            <w:noWrap/>
            <w:hideMark/>
          </w:tcPr>
          <w:p w14:paraId="34688EEB"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Efficiency CRAC</w:t>
            </w:r>
          </w:p>
        </w:tc>
      </w:tr>
      <w:tr w:rsidR="00B94618" w:rsidRPr="00B94618" w14:paraId="5C16B14D" w14:textId="77777777" w:rsidTr="00B94618">
        <w:tblPrEx>
          <w:tblLook w:val="04A0" w:firstRow="1" w:lastRow="0" w:firstColumn="1" w:lastColumn="0" w:noHBand="0" w:noVBand="1"/>
        </w:tblPrEx>
        <w:trPr>
          <w:trHeight w:val="300"/>
        </w:trPr>
        <w:tc>
          <w:tcPr>
            <w:tcW w:w="2359" w:type="dxa"/>
            <w:noWrap/>
            <w:hideMark/>
          </w:tcPr>
          <w:p w14:paraId="6474FD04"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High Efficiency DX 135k- less than 240k BTU</w:t>
            </w:r>
          </w:p>
        </w:tc>
        <w:tc>
          <w:tcPr>
            <w:tcW w:w="1331" w:type="dxa"/>
            <w:noWrap/>
            <w:hideMark/>
          </w:tcPr>
          <w:p w14:paraId="771B752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7369601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High Efficiency DX Unit, 15 tons</w:t>
            </w:r>
          </w:p>
        </w:tc>
        <w:tc>
          <w:tcPr>
            <w:tcW w:w="3420" w:type="dxa"/>
            <w:noWrap/>
            <w:hideMark/>
          </w:tcPr>
          <w:p w14:paraId="2C97F17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Packaged or Split DX Unit, 15 Tons</w:t>
            </w:r>
          </w:p>
        </w:tc>
      </w:tr>
      <w:tr w:rsidR="00B94618" w:rsidRPr="00B94618" w14:paraId="3FB22CD5" w14:textId="77777777" w:rsidTr="00B94618">
        <w:tblPrEx>
          <w:tblLook w:val="04A0" w:firstRow="1" w:lastRow="0" w:firstColumn="1" w:lastColumn="0" w:noHBand="0" w:noVBand="1"/>
        </w:tblPrEx>
        <w:trPr>
          <w:trHeight w:val="300"/>
        </w:trPr>
        <w:tc>
          <w:tcPr>
            <w:tcW w:w="2359" w:type="dxa"/>
            <w:noWrap/>
            <w:hideMark/>
          </w:tcPr>
          <w:p w14:paraId="6D9CBFB8"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High Efficiency PTAC</w:t>
            </w:r>
          </w:p>
        </w:tc>
        <w:tc>
          <w:tcPr>
            <w:tcW w:w="1331" w:type="dxa"/>
            <w:noWrap/>
            <w:hideMark/>
          </w:tcPr>
          <w:p w14:paraId="3173F380"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4851408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High Efficiency PTAC</w:t>
            </w:r>
          </w:p>
        </w:tc>
        <w:tc>
          <w:tcPr>
            <w:tcW w:w="3420" w:type="dxa"/>
            <w:noWrap/>
            <w:hideMark/>
          </w:tcPr>
          <w:p w14:paraId="702467E2"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PTAC</w:t>
            </w:r>
          </w:p>
        </w:tc>
      </w:tr>
      <w:tr w:rsidR="00B94618" w:rsidRPr="00B94618" w14:paraId="731B8114" w14:textId="77777777" w:rsidTr="00B94618">
        <w:tblPrEx>
          <w:tblLook w:val="04A0" w:firstRow="1" w:lastRow="0" w:firstColumn="1" w:lastColumn="0" w:noHBand="0" w:noVBand="1"/>
        </w:tblPrEx>
        <w:trPr>
          <w:trHeight w:val="300"/>
        </w:trPr>
        <w:tc>
          <w:tcPr>
            <w:tcW w:w="2359" w:type="dxa"/>
            <w:noWrap/>
            <w:hideMark/>
          </w:tcPr>
          <w:p w14:paraId="316EB83A"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High Efficiency PTHP</w:t>
            </w:r>
          </w:p>
        </w:tc>
        <w:tc>
          <w:tcPr>
            <w:tcW w:w="1331" w:type="dxa"/>
            <w:noWrap/>
            <w:hideMark/>
          </w:tcPr>
          <w:p w14:paraId="7F9E628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7A36F6F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High Efficiency PTHP</w:t>
            </w:r>
          </w:p>
        </w:tc>
        <w:tc>
          <w:tcPr>
            <w:tcW w:w="3420" w:type="dxa"/>
            <w:noWrap/>
            <w:hideMark/>
          </w:tcPr>
          <w:p w14:paraId="29AD2970"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PTHP</w:t>
            </w:r>
          </w:p>
        </w:tc>
      </w:tr>
      <w:tr w:rsidR="00B94618" w:rsidRPr="00B94618" w14:paraId="397EE33F" w14:textId="77777777" w:rsidTr="00B94618">
        <w:tblPrEx>
          <w:tblLook w:val="04A0" w:firstRow="1" w:lastRow="0" w:firstColumn="1" w:lastColumn="0" w:noHBand="0" w:noVBand="1"/>
        </w:tblPrEx>
        <w:trPr>
          <w:trHeight w:val="300"/>
        </w:trPr>
        <w:tc>
          <w:tcPr>
            <w:tcW w:w="2359" w:type="dxa"/>
            <w:noWrap/>
            <w:hideMark/>
          </w:tcPr>
          <w:p w14:paraId="0133E2D7"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Hotel Card Energy Control Systems</w:t>
            </w:r>
          </w:p>
        </w:tc>
        <w:tc>
          <w:tcPr>
            <w:tcW w:w="1331" w:type="dxa"/>
            <w:noWrap/>
            <w:hideMark/>
          </w:tcPr>
          <w:p w14:paraId="3E920E4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043A67CE"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Guest Room HVAC Unit Controlled by Hotel-Key-Card Activated Energy Control System</w:t>
            </w:r>
          </w:p>
        </w:tc>
        <w:tc>
          <w:tcPr>
            <w:tcW w:w="3420" w:type="dxa"/>
            <w:noWrap/>
            <w:hideMark/>
          </w:tcPr>
          <w:p w14:paraId="4FACF6A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Guest Room HVAC Unit, Manually Controlled by Guest</w:t>
            </w:r>
          </w:p>
        </w:tc>
      </w:tr>
      <w:tr w:rsidR="001838D8" w:rsidRPr="00B94618" w14:paraId="155BE5F1" w14:textId="77777777" w:rsidTr="001838D8">
        <w:tblPrEx>
          <w:tblLook w:val="04A0" w:firstRow="1" w:lastRow="0" w:firstColumn="1" w:lastColumn="0" w:noHBand="0" w:noVBand="1"/>
        </w:tblPrEx>
        <w:trPr>
          <w:trHeight w:val="300"/>
        </w:trPr>
        <w:tc>
          <w:tcPr>
            <w:tcW w:w="2359" w:type="dxa"/>
            <w:noWrap/>
            <w:hideMark/>
          </w:tcPr>
          <w:p w14:paraId="2782FEA0" w14:textId="77777777" w:rsidR="001838D8" w:rsidRPr="00B94618" w:rsidRDefault="001838D8" w:rsidP="001838D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HVAC tune-up</w:t>
            </w:r>
          </w:p>
        </w:tc>
        <w:tc>
          <w:tcPr>
            <w:tcW w:w="1331" w:type="dxa"/>
            <w:noWrap/>
            <w:hideMark/>
          </w:tcPr>
          <w:p w14:paraId="676EFC97" w14:textId="77777777" w:rsidR="001838D8" w:rsidRPr="00B94618" w:rsidRDefault="001838D8" w:rsidP="001838D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27DD1D1A" w14:textId="5C296C3A" w:rsidR="001838D8" w:rsidRPr="00B94618" w:rsidRDefault="001838D8" w:rsidP="001838D8">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PTAC/PTHP s</w:t>
            </w:r>
            <w:r w:rsidRPr="00B94618">
              <w:rPr>
                <w:rFonts w:ascii="Calibri" w:hAnsi="Calibri" w:cs="Calibri"/>
                <w:color w:val="000000"/>
                <w:sz w:val="18"/>
                <w:szCs w:val="18"/>
              </w:rPr>
              <w:t>ystem tune-up, including coil cleaning, refrigerant charging, and other diagnostics</w:t>
            </w:r>
          </w:p>
        </w:tc>
        <w:tc>
          <w:tcPr>
            <w:tcW w:w="3420" w:type="dxa"/>
            <w:noWrap/>
            <w:hideMark/>
          </w:tcPr>
          <w:p w14:paraId="68B225AA" w14:textId="7A6FAC22" w:rsidR="001838D8" w:rsidRPr="00B94618" w:rsidRDefault="001838D8" w:rsidP="001838D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 xml:space="preserve">Existing </w:t>
            </w:r>
            <w:r>
              <w:rPr>
                <w:rFonts w:ascii="Calibri" w:hAnsi="Calibri" w:cs="Calibri"/>
                <w:color w:val="000000"/>
                <w:sz w:val="18"/>
                <w:szCs w:val="18"/>
              </w:rPr>
              <w:t>PTAC/PTHP</w:t>
            </w:r>
            <w:r w:rsidRPr="00B94618">
              <w:rPr>
                <w:rFonts w:ascii="Calibri" w:hAnsi="Calibri" w:cs="Calibri"/>
                <w:color w:val="000000"/>
                <w:sz w:val="18"/>
                <w:szCs w:val="18"/>
              </w:rPr>
              <w:t xml:space="preserve"> without Regular Maintenance/tune-up</w:t>
            </w:r>
          </w:p>
        </w:tc>
      </w:tr>
      <w:tr w:rsidR="00B94618" w:rsidRPr="00B94618" w14:paraId="11E7B70E" w14:textId="77777777" w:rsidTr="00B94618">
        <w:tblPrEx>
          <w:tblLook w:val="04A0" w:firstRow="1" w:lastRow="0" w:firstColumn="1" w:lastColumn="0" w:noHBand="0" w:noVBand="1"/>
        </w:tblPrEx>
        <w:trPr>
          <w:trHeight w:val="300"/>
        </w:trPr>
        <w:tc>
          <w:tcPr>
            <w:tcW w:w="2359" w:type="dxa"/>
            <w:noWrap/>
            <w:hideMark/>
          </w:tcPr>
          <w:p w14:paraId="53E0B06B" w14:textId="019119B5"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HVAC tune-up</w:t>
            </w:r>
            <w:r w:rsidR="001838D8">
              <w:rPr>
                <w:rFonts w:ascii="Calibri" w:hAnsi="Calibri" w:cs="Calibri"/>
                <w:sz w:val="18"/>
                <w:szCs w:val="18"/>
              </w:rPr>
              <w:t>_RTU</w:t>
            </w:r>
          </w:p>
        </w:tc>
        <w:tc>
          <w:tcPr>
            <w:tcW w:w="1331" w:type="dxa"/>
            <w:noWrap/>
            <w:hideMark/>
          </w:tcPr>
          <w:p w14:paraId="6DDCCC1D"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4A8F6D2B" w14:textId="25E0B086" w:rsidR="00B94618" w:rsidRPr="00B94618" w:rsidRDefault="001838D8" w:rsidP="00B94618">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 xml:space="preserve">Rooftop Unit (RTU) </w:t>
            </w:r>
            <w:r w:rsidR="00B94618" w:rsidRPr="00B94618">
              <w:rPr>
                <w:rFonts w:ascii="Calibri" w:hAnsi="Calibri" w:cs="Calibri"/>
                <w:color w:val="000000"/>
                <w:sz w:val="18"/>
                <w:szCs w:val="18"/>
              </w:rPr>
              <w:t>System tune-up, including coil cleaning, refrigerant charging, and other diagnostics</w:t>
            </w:r>
          </w:p>
        </w:tc>
        <w:tc>
          <w:tcPr>
            <w:tcW w:w="3420" w:type="dxa"/>
            <w:noWrap/>
            <w:hideMark/>
          </w:tcPr>
          <w:p w14:paraId="7B5BF58A" w14:textId="1F072B13" w:rsidR="00B94618" w:rsidRPr="00B94618" w:rsidRDefault="001838D8" w:rsidP="001838D8">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Existing t</w:t>
            </w:r>
            <w:r w:rsidR="00B94618" w:rsidRPr="00B94618">
              <w:rPr>
                <w:rFonts w:ascii="Calibri" w:hAnsi="Calibri" w:cs="Calibri"/>
                <w:color w:val="000000"/>
                <w:sz w:val="18"/>
                <w:szCs w:val="18"/>
              </w:rPr>
              <w:t xml:space="preserve">ypical </w:t>
            </w:r>
            <w:r>
              <w:rPr>
                <w:rFonts w:ascii="Calibri" w:hAnsi="Calibri" w:cs="Calibri"/>
                <w:color w:val="000000"/>
                <w:sz w:val="18"/>
                <w:szCs w:val="18"/>
              </w:rPr>
              <w:t>RTU</w:t>
            </w:r>
            <w:r w:rsidR="00B94618" w:rsidRPr="00B94618">
              <w:rPr>
                <w:rFonts w:ascii="Calibri" w:hAnsi="Calibri" w:cs="Calibri"/>
                <w:color w:val="000000"/>
                <w:sz w:val="18"/>
                <w:szCs w:val="18"/>
              </w:rPr>
              <w:t xml:space="preserve"> without Regular Maintenance/tune-up</w:t>
            </w:r>
          </w:p>
        </w:tc>
      </w:tr>
      <w:tr w:rsidR="00B94618" w:rsidRPr="00B94618" w14:paraId="482ED603" w14:textId="77777777" w:rsidTr="00B94618">
        <w:tblPrEx>
          <w:tblLook w:val="04A0" w:firstRow="1" w:lastRow="0" w:firstColumn="1" w:lastColumn="0" w:noHBand="0" w:noVBand="1"/>
        </w:tblPrEx>
        <w:trPr>
          <w:trHeight w:val="300"/>
        </w:trPr>
        <w:tc>
          <w:tcPr>
            <w:tcW w:w="2359" w:type="dxa"/>
            <w:noWrap/>
            <w:hideMark/>
          </w:tcPr>
          <w:p w14:paraId="01665ABF" w14:textId="29CB9048"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Infiltration Reduction - Air Sealing</w:t>
            </w:r>
            <w:r w:rsidR="000019DB">
              <w:rPr>
                <w:rFonts w:ascii="Calibri" w:hAnsi="Calibri" w:cs="Calibri"/>
                <w:sz w:val="18"/>
                <w:szCs w:val="18"/>
              </w:rPr>
              <w:t>*</w:t>
            </w:r>
          </w:p>
        </w:tc>
        <w:tc>
          <w:tcPr>
            <w:tcW w:w="1331" w:type="dxa"/>
            <w:noWrap/>
            <w:hideMark/>
          </w:tcPr>
          <w:p w14:paraId="4EB40FE0"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6CD1F0F2"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Reduced leakage through caulking, weather-stripping</w:t>
            </w:r>
          </w:p>
        </w:tc>
        <w:tc>
          <w:tcPr>
            <w:tcW w:w="3420" w:type="dxa"/>
            <w:noWrap/>
            <w:hideMark/>
          </w:tcPr>
          <w:p w14:paraId="4D1560C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Heating and Cooling System with Moderate Infiltration</w:t>
            </w:r>
          </w:p>
        </w:tc>
      </w:tr>
      <w:tr w:rsidR="00B94618" w:rsidRPr="00B94618" w14:paraId="1A565A3C" w14:textId="77777777" w:rsidTr="00B94618">
        <w:tblPrEx>
          <w:tblLook w:val="04A0" w:firstRow="1" w:lastRow="0" w:firstColumn="1" w:lastColumn="0" w:noHBand="0" w:noVBand="1"/>
        </w:tblPrEx>
        <w:trPr>
          <w:trHeight w:val="300"/>
        </w:trPr>
        <w:tc>
          <w:tcPr>
            <w:tcW w:w="2359" w:type="dxa"/>
            <w:noWrap/>
            <w:hideMark/>
          </w:tcPr>
          <w:p w14:paraId="47D50682" w14:textId="7D3C6508"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Low U-Value Windows</w:t>
            </w:r>
            <w:r w:rsidR="000019DB">
              <w:rPr>
                <w:rFonts w:ascii="Calibri" w:hAnsi="Calibri" w:cs="Calibri"/>
                <w:sz w:val="18"/>
                <w:szCs w:val="18"/>
              </w:rPr>
              <w:t>*</w:t>
            </w:r>
          </w:p>
        </w:tc>
        <w:tc>
          <w:tcPr>
            <w:tcW w:w="1331" w:type="dxa"/>
            <w:noWrap/>
            <w:hideMark/>
          </w:tcPr>
          <w:p w14:paraId="526785C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6883703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100ft2 of Window meeting current Energy Star Standards</w:t>
            </w:r>
          </w:p>
        </w:tc>
        <w:tc>
          <w:tcPr>
            <w:tcW w:w="3420" w:type="dxa"/>
            <w:noWrap/>
            <w:hideMark/>
          </w:tcPr>
          <w:p w14:paraId="1573E64A"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100ft2 of Window meeting Florida energy code</w:t>
            </w:r>
          </w:p>
        </w:tc>
      </w:tr>
      <w:tr w:rsidR="00B94618" w:rsidRPr="00B94618" w14:paraId="0140AE9F" w14:textId="77777777" w:rsidTr="00B94618">
        <w:tblPrEx>
          <w:tblLook w:val="04A0" w:firstRow="1" w:lastRow="0" w:firstColumn="1" w:lastColumn="0" w:noHBand="0" w:noVBand="1"/>
        </w:tblPrEx>
        <w:trPr>
          <w:trHeight w:val="315"/>
        </w:trPr>
        <w:tc>
          <w:tcPr>
            <w:tcW w:w="2359" w:type="dxa"/>
            <w:noWrap/>
            <w:hideMark/>
          </w:tcPr>
          <w:p w14:paraId="7DD06FDB" w14:textId="606150D8"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Programmable Thermostat</w:t>
            </w:r>
            <w:r w:rsidR="000019DB">
              <w:rPr>
                <w:rFonts w:ascii="Calibri" w:hAnsi="Calibri" w:cs="Calibri"/>
                <w:sz w:val="18"/>
                <w:szCs w:val="18"/>
              </w:rPr>
              <w:t>*</w:t>
            </w:r>
          </w:p>
        </w:tc>
        <w:tc>
          <w:tcPr>
            <w:tcW w:w="1331" w:type="dxa"/>
            <w:noWrap/>
            <w:hideMark/>
          </w:tcPr>
          <w:p w14:paraId="40603060"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452CAA9E"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Pre-set programmable thermostat that replaces manual thermostat</w:t>
            </w:r>
          </w:p>
        </w:tc>
        <w:tc>
          <w:tcPr>
            <w:tcW w:w="3420" w:type="dxa"/>
            <w:noWrap/>
            <w:hideMark/>
          </w:tcPr>
          <w:p w14:paraId="5D9A3DC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Heating and Cooling System with Manual Thermostat</w:t>
            </w:r>
          </w:p>
        </w:tc>
      </w:tr>
      <w:tr w:rsidR="00B94618" w:rsidRPr="00B94618" w14:paraId="63E9D5B9" w14:textId="77777777" w:rsidTr="00B94618">
        <w:tblPrEx>
          <w:tblLook w:val="04A0" w:firstRow="1" w:lastRow="0" w:firstColumn="1" w:lastColumn="0" w:noHBand="0" w:noVBand="1"/>
        </w:tblPrEx>
        <w:trPr>
          <w:trHeight w:val="300"/>
        </w:trPr>
        <w:tc>
          <w:tcPr>
            <w:tcW w:w="2359" w:type="dxa"/>
            <w:noWrap/>
            <w:hideMark/>
          </w:tcPr>
          <w:p w14:paraId="2977CD80"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Roof Insulation</w:t>
            </w:r>
          </w:p>
        </w:tc>
        <w:tc>
          <w:tcPr>
            <w:tcW w:w="1331" w:type="dxa"/>
            <w:noWrap/>
            <w:hideMark/>
          </w:tcPr>
          <w:p w14:paraId="741362C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26C0F88C"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Roof Insulation (built-up roof applicable to flat/low slope roofs)</w:t>
            </w:r>
          </w:p>
        </w:tc>
        <w:tc>
          <w:tcPr>
            <w:tcW w:w="3420" w:type="dxa"/>
            <w:noWrap/>
            <w:hideMark/>
          </w:tcPr>
          <w:p w14:paraId="540BCDFA"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Flat Roof</w:t>
            </w:r>
          </w:p>
        </w:tc>
      </w:tr>
      <w:tr w:rsidR="00B94618" w:rsidRPr="00B94618" w14:paraId="0F14B646" w14:textId="77777777" w:rsidTr="00B94618">
        <w:tblPrEx>
          <w:tblLook w:val="04A0" w:firstRow="1" w:lastRow="0" w:firstColumn="1" w:lastColumn="0" w:noHBand="0" w:noVBand="1"/>
        </w:tblPrEx>
        <w:trPr>
          <w:trHeight w:val="300"/>
        </w:trPr>
        <w:tc>
          <w:tcPr>
            <w:tcW w:w="2359" w:type="dxa"/>
            <w:noWrap/>
            <w:hideMark/>
          </w:tcPr>
          <w:p w14:paraId="1CB8F53F" w14:textId="106750DA"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Smart Thermostat</w:t>
            </w:r>
            <w:r w:rsidR="000019DB">
              <w:rPr>
                <w:rFonts w:ascii="Calibri" w:hAnsi="Calibri" w:cs="Calibri"/>
                <w:sz w:val="18"/>
                <w:szCs w:val="18"/>
              </w:rPr>
              <w:t>*</w:t>
            </w:r>
          </w:p>
        </w:tc>
        <w:tc>
          <w:tcPr>
            <w:tcW w:w="1331" w:type="dxa"/>
            <w:noWrap/>
            <w:hideMark/>
          </w:tcPr>
          <w:p w14:paraId="7EA53FF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2493A48C" w14:textId="092E873D"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Thermostats that include "smart" features such as occupan</w:t>
            </w:r>
            <w:r w:rsidR="00F9403C">
              <w:rPr>
                <w:rFonts w:ascii="Calibri" w:hAnsi="Calibri" w:cs="Calibri"/>
                <w:color w:val="000000"/>
                <w:sz w:val="18"/>
                <w:szCs w:val="18"/>
              </w:rPr>
              <w:t>c</w:t>
            </w:r>
            <w:r w:rsidRPr="00B94618">
              <w:rPr>
                <w:rFonts w:ascii="Calibri" w:hAnsi="Calibri" w:cs="Calibri"/>
                <w:color w:val="000000"/>
                <w:sz w:val="18"/>
                <w:szCs w:val="18"/>
              </w:rPr>
              <w:t>y sensors, geo</w:t>
            </w:r>
            <w:r w:rsidR="00F9403C">
              <w:rPr>
                <w:rFonts w:ascii="Calibri" w:hAnsi="Calibri" w:cs="Calibri"/>
                <w:color w:val="000000"/>
                <w:sz w:val="18"/>
                <w:szCs w:val="18"/>
              </w:rPr>
              <w:t>-</w:t>
            </w:r>
            <w:r w:rsidRPr="00B94618">
              <w:rPr>
                <w:rFonts w:ascii="Calibri" w:hAnsi="Calibri" w:cs="Calibri"/>
                <w:color w:val="000000"/>
                <w:sz w:val="18"/>
                <w:szCs w:val="18"/>
              </w:rPr>
              <w:t>fencing, multi-zone sensors</w:t>
            </w:r>
          </w:p>
        </w:tc>
        <w:tc>
          <w:tcPr>
            <w:tcW w:w="3420" w:type="dxa"/>
            <w:noWrap/>
            <w:hideMark/>
          </w:tcPr>
          <w:p w14:paraId="4F1C632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Heating and Cooling System with Manual Thermostat</w:t>
            </w:r>
          </w:p>
        </w:tc>
      </w:tr>
      <w:tr w:rsidR="00B94618" w:rsidRPr="00B94618" w14:paraId="6FAA264B" w14:textId="77777777" w:rsidTr="00B94618">
        <w:tblPrEx>
          <w:tblLook w:val="04A0" w:firstRow="1" w:lastRow="0" w:firstColumn="1" w:lastColumn="0" w:noHBand="0" w:noVBand="1"/>
        </w:tblPrEx>
        <w:trPr>
          <w:trHeight w:val="300"/>
        </w:trPr>
        <w:tc>
          <w:tcPr>
            <w:tcW w:w="2359" w:type="dxa"/>
            <w:noWrap/>
            <w:hideMark/>
          </w:tcPr>
          <w:p w14:paraId="28A14C82" w14:textId="584FB579"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Variable Refrigerant Flow (VRF) HVAC Systems</w:t>
            </w:r>
            <w:r w:rsidR="000019DB">
              <w:rPr>
                <w:rFonts w:ascii="Calibri" w:hAnsi="Calibri" w:cs="Calibri"/>
                <w:sz w:val="18"/>
                <w:szCs w:val="18"/>
              </w:rPr>
              <w:t>*</w:t>
            </w:r>
          </w:p>
        </w:tc>
        <w:tc>
          <w:tcPr>
            <w:tcW w:w="1331" w:type="dxa"/>
            <w:noWrap/>
            <w:hideMark/>
          </w:tcPr>
          <w:p w14:paraId="4F00F01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72078C8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Variable Refrigerant Flow (VRF) HVAC Systems</w:t>
            </w:r>
          </w:p>
        </w:tc>
        <w:tc>
          <w:tcPr>
            <w:tcW w:w="3420" w:type="dxa"/>
            <w:noWrap/>
            <w:hideMark/>
          </w:tcPr>
          <w:p w14:paraId="26A6FFA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PTHP</w:t>
            </w:r>
          </w:p>
        </w:tc>
      </w:tr>
      <w:tr w:rsidR="00B94618" w:rsidRPr="00B94618" w14:paraId="7F191709" w14:textId="77777777" w:rsidTr="00B94618">
        <w:tblPrEx>
          <w:tblLook w:val="04A0" w:firstRow="1" w:lastRow="0" w:firstColumn="1" w:lastColumn="0" w:noHBand="0" w:noVBand="1"/>
        </w:tblPrEx>
        <w:trPr>
          <w:trHeight w:val="300"/>
        </w:trPr>
        <w:tc>
          <w:tcPr>
            <w:tcW w:w="2359" w:type="dxa"/>
            <w:noWrap/>
            <w:hideMark/>
          </w:tcPr>
          <w:p w14:paraId="6D8C04C7" w14:textId="0D67990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Wall Insulation</w:t>
            </w:r>
            <w:r w:rsidR="000019DB">
              <w:rPr>
                <w:rFonts w:ascii="Calibri" w:hAnsi="Calibri" w:cs="Calibri"/>
                <w:sz w:val="18"/>
                <w:szCs w:val="18"/>
              </w:rPr>
              <w:t>*</w:t>
            </w:r>
          </w:p>
        </w:tc>
        <w:tc>
          <w:tcPr>
            <w:tcW w:w="1331" w:type="dxa"/>
            <w:noWrap/>
            <w:hideMark/>
          </w:tcPr>
          <w:p w14:paraId="2FA0381C"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309560B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Increased Exterior Above-Grade Wall Insulation</w:t>
            </w:r>
          </w:p>
        </w:tc>
        <w:tc>
          <w:tcPr>
            <w:tcW w:w="3420" w:type="dxa"/>
            <w:noWrap/>
            <w:hideMark/>
          </w:tcPr>
          <w:p w14:paraId="6DAC1E7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Market Average Existing Exterior Above-Grade Wall Insulation</w:t>
            </w:r>
          </w:p>
        </w:tc>
      </w:tr>
      <w:tr w:rsidR="00B94618" w:rsidRPr="00B94618" w14:paraId="1182F9CC" w14:textId="77777777" w:rsidTr="00B94618">
        <w:tblPrEx>
          <w:tblLook w:val="04A0" w:firstRow="1" w:lastRow="0" w:firstColumn="1" w:lastColumn="0" w:noHBand="0" w:noVBand="1"/>
        </w:tblPrEx>
        <w:trPr>
          <w:trHeight w:val="300"/>
        </w:trPr>
        <w:tc>
          <w:tcPr>
            <w:tcW w:w="2359" w:type="dxa"/>
            <w:noWrap/>
            <w:hideMark/>
          </w:tcPr>
          <w:p w14:paraId="0095BED1" w14:textId="016AE769"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Warehouse Loading Dock Seals</w:t>
            </w:r>
            <w:r w:rsidR="000019DB">
              <w:rPr>
                <w:rFonts w:ascii="Calibri" w:hAnsi="Calibri" w:cs="Calibri"/>
                <w:sz w:val="18"/>
                <w:szCs w:val="18"/>
              </w:rPr>
              <w:t>*</w:t>
            </w:r>
          </w:p>
        </w:tc>
        <w:tc>
          <w:tcPr>
            <w:tcW w:w="1331" w:type="dxa"/>
            <w:noWrap/>
            <w:hideMark/>
          </w:tcPr>
          <w:p w14:paraId="0BC605DC"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46DB89A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Seals to reduce infiltration losses at loading dock</w:t>
            </w:r>
          </w:p>
        </w:tc>
        <w:tc>
          <w:tcPr>
            <w:tcW w:w="3420" w:type="dxa"/>
            <w:noWrap/>
            <w:hideMark/>
          </w:tcPr>
          <w:p w14:paraId="6F3CFB5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Loading dock with no seals</w:t>
            </w:r>
          </w:p>
        </w:tc>
      </w:tr>
      <w:tr w:rsidR="00B94618" w:rsidRPr="00B94618" w14:paraId="52917310" w14:textId="77777777" w:rsidTr="00B94618">
        <w:tblPrEx>
          <w:tblLook w:val="04A0" w:firstRow="1" w:lastRow="0" w:firstColumn="1" w:lastColumn="0" w:noHBand="0" w:noVBand="1"/>
        </w:tblPrEx>
        <w:trPr>
          <w:trHeight w:val="300"/>
        </w:trPr>
        <w:tc>
          <w:tcPr>
            <w:tcW w:w="2359" w:type="dxa"/>
            <w:noWrap/>
            <w:hideMark/>
          </w:tcPr>
          <w:p w14:paraId="68B5BBC8" w14:textId="0EAF2B4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Water Cooled Refrigeration Heat Recovery</w:t>
            </w:r>
            <w:r w:rsidR="000019DB">
              <w:rPr>
                <w:rFonts w:ascii="Calibri" w:hAnsi="Calibri" w:cs="Calibri"/>
                <w:sz w:val="18"/>
                <w:szCs w:val="18"/>
              </w:rPr>
              <w:t>*</w:t>
            </w:r>
          </w:p>
        </w:tc>
        <w:tc>
          <w:tcPr>
            <w:tcW w:w="1331" w:type="dxa"/>
            <w:noWrap/>
            <w:hideMark/>
          </w:tcPr>
          <w:p w14:paraId="1EF1DC1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3F9568E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The heat reclaim system transfers waste heat from refrigeration system to space heating or hot water</w:t>
            </w:r>
          </w:p>
        </w:tc>
        <w:tc>
          <w:tcPr>
            <w:tcW w:w="3420" w:type="dxa"/>
            <w:noWrap/>
            <w:hideMark/>
          </w:tcPr>
          <w:p w14:paraId="61E613C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No heat recovery</w:t>
            </w:r>
          </w:p>
        </w:tc>
      </w:tr>
      <w:tr w:rsidR="00B94618" w:rsidRPr="00B94618" w14:paraId="4E524786" w14:textId="77777777" w:rsidTr="00B94618">
        <w:tblPrEx>
          <w:tblLook w:val="04A0" w:firstRow="1" w:lastRow="0" w:firstColumn="1" w:lastColumn="0" w:noHBand="0" w:noVBand="1"/>
        </w:tblPrEx>
        <w:trPr>
          <w:trHeight w:val="300"/>
        </w:trPr>
        <w:tc>
          <w:tcPr>
            <w:tcW w:w="2359" w:type="dxa"/>
            <w:noWrap/>
            <w:hideMark/>
          </w:tcPr>
          <w:p w14:paraId="30F80860" w14:textId="109ACD71"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Waterside Economizer</w:t>
            </w:r>
            <w:r w:rsidR="000019DB">
              <w:rPr>
                <w:rFonts w:ascii="Calibri" w:hAnsi="Calibri" w:cs="Calibri"/>
                <w:sz w:val="18"/>
                <w:szCs w:val="18"/>
              </w:rPr>
              <w:t>*</w:t>
            </w:r>
          </w:p>
        </w:tc>
        <w:tc>
          <w:tcPr>
            <w:tcW w:w="1331" w:type="dxa"/>
            <w:noWrap/>
            <w:hideMark/>
          </w:tcPr>
          <w:p w14:paraId="3666235E"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0767947C"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Waterside Economizer</w:t>
            </w:r>
          </w:p>
        </w:tc>
        <w:tc>
          <w:tcPr>
            <w:tcW w:w="3420" w:type="dxa"/>
            <w:noWrap/>
            <w:hideMark/>
          </w:tcPr>
          <w:p w14:paraId="2BB80987"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No economizer</w:t>
            </w:r>
          </w:p>
        </w:tc>
      </w:tr>
      <w:tr w:rsidR="00B94618" w:rsidRPr="00B94618" w14:paraId="09591B28" w14:textId="77777777" w:rsidTr="00B94618">
        <w:tblPrEx>
          <w:tblLook w:val="04A0" w:firstRow="1" w:lastRow="0" w:firstColumn="1" w:lastColumn="0" w:noHBand="0" w:noVBand="1"/>
        </w:tblPrEx>
        <w:trPr>
          <w:trHeight w:val="300"/>
        </w:trPr>
        <w:tc>
          <w:tcPr>
            <w:tcW w:w="2359" w:type="dxa"/>
            <w:noWrap/>
            <w:hideMark/>
          </w:tcPr>
          <w:p w14:paraId="458EC475"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Window Sun Protection</w:t>
            </w:r>
          </w:p>
        </w:tc>
        <w:tc>
          <w:tcPr>
            <w:tcW w:w="1331" w:type="dxa"/>
            <w:noWrap/>
            <w:hideMark/>
          </w:tcPr>
          <w:p w14:paraId="1113A21C"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393ECB5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Window Sun Protection (Includes sunscreen, film, tinting or overhang to minimize heat gain through window)</w:t>
            </w:r>
          </w:p>
        </w:tc>
        <w:tc>
          <w:tcPr>
            <w:tcW w:w="3420" w:type="dxa"/>
            <w:noWrap/>
            <w:hideMark/>
          </w:tcPr>
          <w:p w14:paraId="390B80CD"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Window with below Code Required Minimum SHGC</w:t>
            </w:r>
          </w:p>
        </w:tc>
      </w:tr>
      <w:tr w:rsidR="00B94618" w:rsidRPr="00B94618" w14:paraId="0FCD3FD9" w14:textId="77777777" w:rsidTr="00B94618">
        <w:tblPrEx>
          <w:tblLook w:val="04A0" w:firstRow="1" w:lastRow="0" w:firstColumn="1" w:lastColumn="0" w:noHBand="0" w:noVBand="1"/>
        </w:tblPrEx>
        <w:trPr>
          <w:trHeight w:val="300"/>
        </w:trPr>
        <w:tc>
          <w:tcPr>
            <w:tcW w:w="2359" w:type="dxa"/>
            <w:noWrap/>
            <w:hideMark/>
          </w:tcPr>
          <w:p w14:paraId="3A738979"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ECM Motors on Furnaces</w:t>
            </w:r>
          </w:p>
        </w:tc>
        <w:tc>
          <w:tcPr>
            <w:tcW w:w="1331" w:type="dxa"/>
            <w:noWrap/>
            <w:hideMark/>
          </w:tcPr>
          <w:p w14:paraId="7D6DCCC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Heating</w:t>
            </w:r>
          </w:p>
        </w:tc>
        <w:tc>
          <w:tcPr>
            <w:tcW w:w="3510" w:type="dxa"/>
            <w:noWrap/>
            <w:hideMark/>
          </w:tcPr>
          <w:p w14:paraId="78560F1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Variable Speed Electronically Commutated Motor for an Electric Furnace</w:t>
            </w:r>
          </w:p>
        </w:tc>
        <w:tc>
          <w:tcPr>
            <w:tcW w:w="3420" w:type="dxa"/>
            <w:noWrap/>
            <w:hideMark/>
          </w:tcPr>
          <w:p w14:paraId="188DB7B4"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Permanent Split Capacitor Motor for Electric Furnace</w:t>
            </w:r>
          </w:p>
        </w:tc>
      </w:tr>
      <w:tr w:rsidR="00B94618" w:rsidRPr="00B94618" w14:paraId="1E488797" w14:textId="77777777" w:rsidTr="00B94618">
        <w:tblPrEx>
          <w:tblLook w:val="04A0" w:firstRow="1" w:lastRow="0" w:firstColumn="1" w:lastColumn="0" w:noHBand="0" w:noVBand="1"/>
        </w:tblPrEx>
        <w:trPr>
          <w:trHeight w:val="300"/>
        </w:trPr>
        <w:tc>
          <w:tcPr>
            <w:tcW w:w="2359" w:type="dxa"/>
            <w:noWrap/>
            <w:hideMark/>
          </w:tcPr>
          <w:p w14:paraId="501717EF" w14:textId="733F39FC"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10HP Open Drip-Proof(ODP) Motor</w:t>
            </w:r>
            <w:r w:rsidR="000019DB">
              <w:rPr>
                <w:rFonts w:ascii="Calibri" w:hAnsi="Calibri" w:cs="Calibri"/>
                <w:sz w:val="18"/>
                <w:szCs w:val="18"/>
              </w:rPr>
              <w:t>*</w:t>
            </w:r>
          </w:p>
        </w:tc>
        <w:tc>
          <w:tcPr>
            <w:tcW w:w="1331" w:type="dxa"/>
            <w:noWrap/>
            <w:hideMark/>
          </w:tcPr>
          <w:p w14:paraId="20FE1D3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Ventilation and Circulation</w:t>
            </w:r>
          </w:p>
        </w:tc>
        <w:tc>
          <w:tcPr>
            <w:tcW w:w="3510" w:type="dxa"/>
            <w:noWrap/>
            <w:hideMark/>
          </w:tcPr>
          <w:p w14:paraId="4FB2B3D2"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High Efficiency 10 HP Open-Drip Proof Motor, 4-Pole, 1800 RPM</w:t>
            </w:r>
          </w:p>
        </w:tc>
        <w:tc>
          <w:tcPr>
            <w:tcW w:w="3420" w:type="dxa"/>
            <w:noWrap/>
            <w:hideMark/>
          </w:tcPr>
          <w:p w14:paraId="15A96306"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10 HP Open-Drip Proof Motor with EPACT 1992 Efficiency</w:t>
            </w:r>
          </w:p>
        </w:tc>
      </w:tr>
      <w:tr w:rsidR="00B94618" w:rsidRPr="00B94618" w14:paraId="729FA0DB" w14:textId="77777777" w:rsidTr="00B94618">
        <w:tblPrEx>
          <w:tblLook w:val="04A0" w:firstRow="1" w:lastRow="0" w:firstColumn="1" w:lastColumn="0" w:noHBand="0" w:noVBand="1"/>
        </w:tblPrEx>
        <w:trPr>
          <w:trHeight w:val="300"/>
        </w:trPr>
        <w:tc>
          <w:tcPr>
            <w:tcW w:w="2359" w:type="dxa"/>
            <w:noWrap/>
            <w:hideMark/>
          </w:tcPr>
          <w:p w14:paraId="5F867E5A" w14:textId="76A0007A"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CO Sensors for Parking Garage Exhaust</w:t>
            </w:r>
            <w:r w:rsidR="000019DB">
              <w:rPr>
                <w:rFonts w:ascii="Calibri" w:hAnsi="Calibri" w:cs="Calibri"/>
                <w:sz w:val="18"/>
                <w:szCs w:val="18"/>
              </w:rPr>
              <w:t>*</w:t>
            </w:r>
          </w:p>
        </w:tc>
        <w:tc>
          <w:tcPr>
            <w:tcW w:w="1331" w:type="dxa"/>
            <w:noWrap/>
            <w:hideMark/>
          </w:tcPr>
          <w:p w14:paraId="45AA1C03"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Ventilation and Circulation</w:t>
            </w:r>
          </w:p>
        </w:tc>
        <w:tc>
          <w:tcPr>
            <w:tcW w:w="3510" w:type="dxa"/>
            <w:noWrap/>
            <w:hideMark/>
          </w:tcPr>
          <w:p w14:paraId="2A016659"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Enclosed Parking Garage Exhaust with CO Control</w:t>
            </w:r>
          </w:p>
        </w:tc>
        <w:tc>
          <w:tcPr>
            <w:tcW w:w="3420" w:type="dxa"/>
            <w:noWrap/>
            <w:hideMark/>
          </w:tcPr>
          <w:p w14:paraId="12C0343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Constant Volume Enclosed Parking Garage Exhaust</w:t>
            </w:r>
          </w:p>
        </w:tc>
      </w:tr>
      <w:tr w:rsidR="00B94618" w:rsidRPr="00B94618" w14:paraId="0C7A4FC4" w14:textId="77777777" w:rsidTr="00B94618">
        <w:tblPrEx>
          <w:tblLook w:val="04A0" w:firstRow="1" w:lastRow="0" w:firstColumn="1" w:lastColumn="0" w:noHBand="0" w:noVBand="1"/>
        </w:tblPrEx>
        <w:trPr>
          <w:trHeight w:val="300"/>
        </w:trPr>
        <w:tc>
          <w:tcPr>
            <w:tcW w:w="2359" w:type="dxa"/>
            <w:noWrap/>
            <w:hideMark/>
          </w:tcPr>
          <w:p w14:paraId="70EAD5F6"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Demand Controlled Ventilation</w:t>
            </w:r>
          </w:p>
        </w:tc>
        <w:tc>
          <w:tcPr>
            <w:tcW w:w="1331" w:type="dxa"/>
            <w:noWrap/>
            <w:hideMark/>
          </w:tcPr>
          <w:p w14:paraId="7C1F277D"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Ventilation and Circulation</w:t>
            </w:r>
          </w:p>
        </w:tc>
        <w:tc>
          <w:tcPr>
            <w:tcW w:w="3510" w:type="dxa"/>
            <w:noWrap/>
            <w:hideMark/>
          </w:tcPr>
          <w:p w14:paraId="523AE09E"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Return Air System with CO2 Sensors</w:t>
            </w:r>
          </w:p>
        </w:tc>
        <w:tc>
          <w:tcPr>
            <w:tcW w:w="3420" w:type="dxa"/>
            <w:noWrap/>
            <w:hideMark/>
          </w:tcPr>
          <w:p w14:paraId="37C7F12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Return Air System, No Sensors</w:t>
            </w:r>
          </w:p>
        </w:tc>
      </w:tr>
      <w:tr w:rsidR="00B94618" w:rsidRPr="00B94618" w14:paraId="3F9E4197" w14:textId="77777777" w:rsidTr="00B94618">
        <w:tblPrEx>
          <w:tblLook w:val="04A0" w:firstRow="1" w:lastRow="0" w:firstColumn="1" w:lastColumn="0" w:noHBand="0" w:noVBand="1"/>
        </w:tblPrEx>
        <w:trPr>
          <w:trHeight w:val="315"/>
        </w:trPr>
        <w:tc>
          <w:tcPr>
            <w:tcW w:w="2359" w:type="dxa"/>
            <w:noWrap/>
            <w:hideMark/>
          </w:tcPr>
          <w:p w14:paraId="4B52BE56" w14:textId="77777777"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High Speed Fans</w:t>
            </w:r>
          </w:p>
        </w:tc>
        <w:tc>
          <w:tcPr>
            <w:tcW w:w="1331" w:type="dxa"/>
            <w:noWrap/>
            <w:hideMark/>
          </w:tcPr>
          <w:p w14:paraId="405CC28F"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Ventilation and Circulation</w:t>
            </w:r>
          </w:p>
        </w:tc>
        <w:tc>
          <w:tcPr>
            <w:tcW w:w="3510" w:type="dxa"/>
            <w:noWrap/>
            <w:hideMark/>
          </w:tcPr>
          <w:p w14:paraId="41A0AF35"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High Speed Fan, 24" - 35" Blade Diameter</w:t>
            </w:r>
          </w:p>
        </w:tc>
        <w:tc>
          <w:tcPr>
            <w:tcW w:w="3420" w:type="dxa"/>
            <w:noWrap/>
            <w:hideMark/>
          </w:tcPr>
          <w:p w14:paraId="4C6E5421"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Speed Fan, 24" - 35" Blade Diameter</w:t>
            </w:r>
          </w:p>
        </w:tc>
      </w:tr>
      <w:tr w:rsidR="00B94618" w:rsidRPr="00B94618" w14:paraId="5FBDE40B" w14:textId="77777777" w:rsidTr="00B94618">
        <w:tblPrEx>
          <w:tblLook w:val="04A0" w:firstRow="1" w:lastRow="0" w:firstColumn="1" w:lastColumn="0" w:noHBand="0" w:noVBand="1"/>
        </w:tblPrEx>
        <w:trPr>
          <w:trHeight w:val="215"/>
        </w:trPr>
        <w:tc>
          <w:tcPr>
            <w:tcW w:w="2359" w:type="dxa"/>
            <w:noWrap/>
            <w:hideMark/>
          </w:tcPr>
          <w:p w14:paraId="35472243" w14:textId="71D73B0F" w:rsidR="00B94618" w:rsidRPr="00B94618" w:rsidRDefault="00B94618" w:rsidP="00B94618">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VAV System</w:t>
            </w:r>
            <w:r w:rsidR="000019DB">
              <w:rPr>
                <w:rFonts w:ascii="Calibri" w:hAnsi="Calibri" w:cs="Calibri"/>
                <w:sz w:val="18"/>
                <w:szCs w:val="18"/>
              </w:rPr>
              <w:t>*</w:t>
            </w:r>
          </w:p>
        </w:tc>
        <w:tc>
          <w:tcPr>
            <w:tcW w:w="1331" w:type="dxa"/>
            <w:noWrap/>
            <w:hideMark/>
          </w:tcPr>
          <w:p w14:paraId="04FA271B"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Ventilation and Circulation</w:t>
            </w:r>
          </w:p>
        </w:tc>
        <w:tc>
          <w:tcPr>
            <w:tcW w:w="3510" w:type="dxa"/>
            <w:noWrap/>
            <w:hideMark/>
          </w:tcPr>
          <w:p w14:paraId="0BBAE438"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Variable Air Volume Distribution System</w:t>
            </w:r>
          </w:p>
        </w:tc>
        <w:tc>
          <w:tcPr>
            <w:tcW w:w="3420" w:type="dxa"/>
            <w:noWrap/>
            <w:hideMark/>
          </w:tcPr>
          <w:p w14:paraId="1BD1EEAB" w14:textId="77777777" w:rsidR="00B94618" w:rsidRPr="00B94618" w:rsidRDefault="00B94618" w:rsidP="00B94618">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Constant Air Volume Distribution System</w:t>
            </w:r>
          </w:p>
        </w:tc>
      </w:tr>
    </w:tbl>
    <w:p w14:paraId="4809BCD5" w14:textId="77777777" w:rsidR="006D6F49" w:rsidRDefault="006D6F49" w:rsidP="006D6F49">
      <w:pPr>
        <w:pStyle w:val="Heading8"/>
        <w:numPr>
          <w:ilvl w:val="0"/>
          <w:numId w:val="0"/>
        </w:numPr>
        <w:ind w:left="720" w:hanging="720"/>
      </w:pPr>
    </w:p>
    <w:p w14:paraId="21AB92AB" w14:textId="77777777" w:rsidR="006D6F49" w:rsidRDefault="006D6F49">
      <w:pPr>
        <w:tabs>
          <w:tab w:val="clear" w:pos="-1440"/>
          <w:tab w:val="clear" w:pos="-720"/>
        </w:tabs>
        <w:spacing w:after="0" w:line="240" w:lineRule="auto"/>
        <w:ind w:left="0"/>
        <w:rPr>
          <w:rFonts w:ascii="Arial" w:hAnsi="Arial" w:cs="Microsoft Sans Serif"/>
          <w:b/>
          <w:iCs/>
          <w:color w:val="0070CD"/>
          <w:sz w:val="24"/>
          <w:szCs w:val="24"/>
        </w:rPr>
      </w:pPr>
      <w:r>
        <w:br w:type="page"/>
      </w:r>
    </w:p>
    <w:p w14:paraId="6401F582" w14:textId="389E0827" w:rsidR="00E06704" w:rsidRDefault="00E06704" w:rsidP="00E06704">
      <w:pPr>
        <w:pStyle w:val="Heading8"/>
      </w:pPr>
      <w:r>
        <w:t>Industrial Measures</w:t>
      </w:r>
    </w:p>
    <w:tbl>
      <w:tblPr>
        <w:tblStyle w:val="NEXANTNEWTABLESTYLE"/>
        <w:tblW w:w="10620" w:type="dxa"/>
        <w:tblInd w:w="-450" w:type="dxa"/>
        <w:tblLook w:val="0020" w:firstRow="1" w:lastRow="0" w:firstColumn="0" w:lastColumn="0" w:noHBand="0" w:noVBand="0"/>
      </w:tblPr>
      <w:tblGrid>
        <w:gridCol w:w="2359"/>
        <w:gridCol w:w="1331"/>
        <w:gridCol w:w="3510"/>
        <w:gridCol w:w="3420"/>
      </w:tblGrid>
      <w:tr w:rsidR="00CD1C71" w:rsidRPr="00301405" w14:paraId="1C3664F7" w14:textId="77777777" w:rsidTr="00C6552A">
        <w:trPr>
          <w:cnfStyle w:val="100000000000" w:firstRow="1" w:lastRow="0" w:firstColumn="0" w:lastColumn="0" w:oddVBand="0" w:evenVBand="0" w:oddHBand="0" w:evenHBand="0" w:firstRowFirstColumn="0" w:firstRowLastColumn="0" w:lastRowFirstColumn="0" w:lastRowLastColumn="0"/>
          <w:tblHeader/>
        </w:trPr>
        <w:tc>
          <w:tcPr>
            <w:tcW w:w="2359" w:type="dxa"/>
            <w:vAlign w:val="center"/>
          </w:tcPr>
          <w:p w14:paraId="4027E830" w14:textId="77777777" w:rsidR="00CD1C71" w:rsidRPr="00301405" w:rsidRDefault="00CD1C71" w:rsidP="00CD1C71">
            <w:pPr>
              <w:pStyle w:val="Tables-Bodycells"/>
            </w:pPr>
            <w:r w:rsidRPr="00301405">
              <w:t>Measure</w:t>
            </w:r>
          </w:p>
        </w:tc>
        <w:tc>
          <w:tcPr>
            <w:tcW w:w="1331" w:type="dxa"/>
            <w:vAlign w:val="center"/>
          </w:tcPr>
          <w:p w14:paraId="560347D0" w14:textId="46DD5928" w:rsidR="00CD1C71" w:rsidRPr="00301405" w:rsidRDefault="007576CB" w:rsidP="00CD1C71">
            <w:pPr>
              <w:pStyle w:val="Tables-Bodycells"/>
            </w:pPr>
            <w:r>
              <w:t>End-</w:t>
            </w:r>
            <w:r w:rsidR="00CD1C71" w:rsidRPr="00301405">
              <w:t>Use</w:t>
            </w:r>
          </w:p>
        </w:tc>
        <w:tc>
          <w:tcPr>
            <w:tcW w:w="3510" w:type="dxa"/>
          </w:tcPr>
          <w:p w14:paraId="56E6D040" w14:textId="77777777" w:rsidR="00CD1C71" w:rsidRPr="00301405" w:rsidRDefault="00CD1C71" w:rsidP="00CD1C71">
            <w:pPr>
              <w:pStyle w:val="Tables-Bodycells"/>
            </w:pPr>
            <w:r w:rsidRPr="00301405">
              <w:t>Description</w:t>
            </w:r>
          </w:p>
        </w:tc>
        <w:tc>
          <w:tcPr>
            <w:tcW w:w="3420" w:type="dxa"/>
            <w:vAlign w:val="center"/>
          </w:tcPr>
          <w:p w14:paraId="6FD01159" w14:textId="77777777" w:rsidR="00CD1C71" w:rsidRPr="00301405" w:rsidRDefault="00CD1C71" w:rsidP="00CD1C71">
            <w:pPr>
              <w:pStyle w:val="Tables-Bodycells"/>
            </w:pPr>
            <w:r w:rsidRPr="00301405">
              <w:t>Baseline</w:t>
            </w:r>
          </w:p>
        </w:tc>
      </w:tr>
      <w:tr w:rsidR="00C6552A" w:rsidRPr="00C6552A" w14:paraId="477C3F06" w14:textId="77777777" w:rsidTr="00C6552A">
        <w:tblPrEx>
          <w:tblLook w:val="04A0" w:firstRow="1" w:lastRow="0" w:firstColumn="1" w:lastColumn="0" w:noHBand="0" w:noVBand="1"/>
        </w:tblPrEx>
        <w:trPr>
          <w:trHeight w:val="1025"/>
        </w:trPr>
        <w:tc>
          <w:tcPr>
            <w:tcW w:w="2359" w:type="dxa"/>
            <w:noWrap/>
            <w:hideMark/>
          </w:tcPr>
          <w:p w14:paraId="1510988E"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Building Envelope Improvements</w:t>
            </w:r>
          </w:p>
        </w:tc>
        <w:tc>
          <w:tcPr>
            <w:tcW w:w="1331" w:type="dxa"/>
            <w:noWrap/>
            <w:hideMark/>
          </w:tcPr>
          <w:p w14:paraId="38B94652"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HVAC</w:t>
            </w:r>
          </w:p>
        </w:tc>
        <w:tc>
          <w:tcPr>
            <w:tcW w:w="3510" w:type="dxa"/>
            <w:hideMark/>
          </w:tcPr>
          <w:p w14:paraId="36CB7D40"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Facility envelope improvements to improve thermal efficiency.  Individual improvements may include additional insulation, cool roof, infiltration reduction, improved fenestration efficiency</w:t>
            </w:r>
          </w:p>
        </w:tc>
        <w:tc>
          <w:tcPr>
            <w:tcW w:w="3420" w:type="dxa"/>
            <w:hideMark/>
          </w:tcPr>
          <w:p w14:paraId="3790C256"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 xml:space="preserve">Typical existing facility </w:t>
            </w:r>
          </w:p>
        </w:tc>
      </w:tr>
      <w:tr w:rsidR="00C6552A" w:rsidRPr="00C6552A" w14:paraId="036C1388" w14:textId="77777777" w:rsidTr="00C6552A">
        <w:tblPrEx>
          <w:tblLook w:val="04A0" w:firstRow="1" w:lastRow="0" w:firstColumn="1" w:lastColumn="0" w:noHBand="0" w:noVBand="1"/>
        </w:tblPrEx>
        <w:trPr>
          <w:trHeight w:val="647"/>
        </w:trPr>
        <w:tc>
          <w:tcPr>
            <w:tcW w:w="2359" w:type="dxa"/>
            <w:noWrap/>
            <w:hideMark/>
          </w:tcPr>
          <w:p w14:paraId="048AA499"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HVAC Equipment Upgrades</w:t>
            </w:r>
          </w:p>
        </w:tc>
        <w:tc>
          <w:tcPr>
            <w:tcW w:w="1331" w:type="dxa"/>
            <w:noWrap/>
            <w:hideMark/>
          </w:tcPr>
          <w:p w14:paraId="55D925C5"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HVAC</w:t>
            </w:r>
          </w:p>
        </w:tc>
        <w:tc>
          <w:tcPr>
            <w:tcW w:w="3510" w:type="dxa"/>
            <w:hideMark/>
          </w:tcPr>
          <w:p w14:paraId="068AEC82"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Equipment upgrades to improve operating efficiency.  Includes high efficiency HVAC equipment (including DX units and chillers), HVAC VFDs, economizers, ECM motors</w:t>
            </w:r>
          </w:p>
        </w:tc>
        <w:tc>
          <w:tcPr>
            <w:tcW w:w="3420" w:type="dxa"/>
            <w:noWrap/>
            <w:hideMark/>
          </w:tcPr>
          <w:p w14:paraId="1A9FE6F5"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Market average HVAC equipment at existing facilities</w:t>
            </w:r>
          </w:p>
        </w:tc>
      </w:tr>
      <w:tr w:rsidR="00C6552A" w:rsidRPr="00C6552A" w14:paraId="0999AC1B" w14:textId="77777777" w:rsidTr="00C6552A">
        <w:tblPrEx>
          <w:tblLook w:val="04A0" w:firstRow="1" w:lastRow="0" w:firstColumn="1" w:lastColumn="0" w:noHBand="0" w:noVBand="1"/>
        </w:tblPrEx>
        <w:trPr>
          <w:trHeight w:val="107"/>
        </w:trPr>
        <w:tc>
          <w:tcPr>
            <w:tcW w:w="2359" w:type="dxa"/>
            <w:noWrap/>
            <w:hideMark/>
          </w:tcPr>
          <w:p w14:paraId="643609AB"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HVAC Recommissioning</w:t>
            </w:r>
          </w:p>
        </w:tc>
        <w:tc>
          <w:tcPr>
            <w:tcW w:w="1331" w:type="dxa"/>
            <w:noWrap/>
            <w:hideMark/>
          </w:tcPr>
          <w:p w14:paraId="081DC6FB"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HVAC</w:t>
            </w:r>
          </w:p>
        </w:tc>
        <w:tc>
          <w:tcPr>
            <w:tcW w:w="3510" w:type="dxa"/>
            <w:hideMark/>
          </w:tcPr>
          <w:p w14:paraId="79674733"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Diagnostic evaluation and optimization of facility HVAC system</w:t>
            </w:r>
          </w:p>
        </w:tc>
        <w:tc>
          <w:tcPr>
            <w:tcW w:w="3420" w:type="dxa"/>
            <w:noWrap/>
            <w:hideMark/>
          </w:tcPr>
          <w:p w14:paraId="0A235C54"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 xml:space="preserve">Comparable facility, no retro-commissioning </w:t>
            </w:r>
          </w:p>
        </w:tc>
      </w:tr>
      <w:tr w:rsidR="00C6552A" w:rsidRPr="00C6552A" w14:paraId="7E397980" w14:textId="77777777" w:rsidTr="00C6552A">
        <w:tblPrEx>
          <w:tblLook w:val="04A0" w:firstRow="1" w:lastRow="0" w:firstColumn="1" w:lastColumn="0" w:noHBand="0" w:noVBand="1"/>
        </w:tblPrEx>
        <w:trPr>
          <w:trHeight w:val="287"/>
        </w:trPr>
        <w:tc>
          <w:tcPr>
            <w:tcW w:w="2359" w:type="dxa"/>
            <w:noWrap/>
            <w:hideMark/>
          </w:tcPr>
          <w:p w14:paraId="676C3404"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HVAC Improved Controls</w:t>
            </w:r>
          </w:p>
        </w:tc>
        <w:tc>
          <w:tcPr>
            <w:tcW w:w="1331" w:type="dxa"/>
            <w:noWrap/>
            <w:hideMark/>
          </w:tcPr>
          <w:p w14:paraId="3D145DBD"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HVAC</w:t>
            </w:r>
          </w:p>
        </w:tc>
        <w:tc>
          <w:tcPr>
            <w:tcW w:w="3510" w:type="dxa"/>
            <w:hideMark/>
          </w:tcPr>
          <w:p w14:paraId="515CDECC"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Improved control technologies such as EMS, thermostats, demand controlled ventilation</w:t>
            </w:r>
          </w:p>
        </w:tc>
        <w:tc>
          <w:tcPr>
            <w:tcW w:w="3420" w:type="dxa"/>
            <w:noWrap/>
            <w:hideMark/>
          </w:tcPr>
          <w:p w14:paraId="72DC085B"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 xml:space="preserve">Standard/manual HVAC controls </w:t>
            </w:r>
          </w:p>
        </w:tc>
      </w:tr>
      <w:tr w:rsidR="00C6552A" w:rsidRPr="00C6552A" w14:paraId="1D998E30" w14:textId="77777777" w:rsidTr="00C6552A">
        <w:tblPrEx>
          <w:tblLook w:val="04A0" w:firstRow="1" w:lastRow="0" w:firstColumn="1" w:lastColumn="0" w:noHBand="0" w:noVBand="1"/>
        </w:tblPrEx>
        <w:trPr>
          <w:trHeight w:val="197"/>
        </w:trPr>
        <w:tc>
          <w:tcPr>
            <w:tcW w:w="2359" w:type="dxa"/>
            <w:noWrap/>
            <w:hideMark/>
          </w:tcPr>
          <w:p w14:paraId="7DF719CF"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Efficient Lighting - High Bay</w:t>
            </w:r>
          </w:p>
        </w:tc>
        <w:tc>
          <w:tcPr>
            <w:tcW w:w="1331" w:type="dxa"/>
            <w:noWrap/>
            <w:hideMark/>
          </w:tcPr>
          <w:p w14:paraId="0BA61336"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Industrial Lighting</w:t>
            </w:r>
          </w:p>
        </w:tc>
        <w:tc>
          <w:tcPr>
            <w:tcW w:w="3510" w:type="dxa"/>
            <w:hideMark/>
          </w:tcPr>
          <w:p w14:paraId="7D3BBF94"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Efficient high bay lighting fixtures, including HID and LED</w:t>
            </w:r>
          </w:p>
        </w:tc>
        <w:tc>
          <w:tcPr>
            <w:tcW w:w="3420" w:type="dxa"/>
            <w:noWrap/>
            <w:hideMark/>
          </w:tcPr>
          <w:p w14:paraId="78317D1C"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Market average high bay lighting</w:t>
            </w:r>
          </w:p>
        </w:tc>
      </w:tr>
      <w:tr w:rsidR="00C6552A" w:rsidRPr="00C6552A" w14:paraId="4E410496" w14:textId="77777777" w:rsidTr="00C6552A">
        <w:tblPrEx>
          <w:tblLook w:val="04A0" w:firstRow="1" w:lastRow="0" w:firstColumn="1" w:lastColumn="0" w:noHBand="0" w:noVBand="1"/>
        </w:tblPrEx>
        <w:trPr>
          <w:trHeight w:val="557"/>
        </w:trPr>
        <w:tc>
          <w:tcPr>
            <w:tcW w:w="2359" w:type="dxa"/>
            <w:noWrap/>
            <w:hideMark/>
          </w:tcPr>
          <w:p w14:paraId="26F09A63"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Efficient Lighting - Other Interior Lighting</w:t>
            </w:r>
          </w:p>
        </w:tc>
        <w:tc>
          <w:tcPr>
            <w:tcW w:w="1331" w:type="dxa"/>
            <w:noWrap/>
            <w:hideMark/>
          </w:tcPr>
          <w:p w14:paraId="775F7E5C"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Industrial Lighting</w:t>
            </w:r>
          </w:p>
        </w:tc>
        <w:tc>
          <w:tcPr>
            <w:tcW w:w="3510" w:type="dxa"/>
            <w:hideMark/>
          </w:tcPr>
          <w:p w14:paraId="257F8AAE"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Efficient interior lighting, including conversion to efficient linear fluorescent, LEDs, and delamping</w:t>
            </w:r>
          </w:p>
        </w:tc>
        <w:tc>
          <w:tcPr>
            <w:tcW w:w="3420" w:type="dxa"/>
            <w:noWrap/>
            <w:hideMark/>
          </w:tcPr>
          <w:p w14:paraId="28F80769"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Market average interior lighting</w:t>
            </w:r>
          </w:p>
        </w:tc>
      </w:tr>
      <w:tr w:rsidR="00C6552A" w:rsidRPr="00C6552A" w14:paraId="5BC380C2" w14:textId="77777777" w:rsidTr="00C6552A">
        <w:tblPrEx>
          <w:tblLook w:val="04A0" w:firstRow="1" w:lastRow="0" w:firstColumn="1" w:lastColumn="0" w:noHBand="0" w:noVBand="1"/>
        </w:tblPrEx>
        <w:trPr>
          <w:trHeight w:val="710"/>
        </w:trPr>
        <w:tc>
          <w:tcPr>
            <w:tcW w:w="2359" w:type="dxa"/>
            <w:noWrap/>
            <w:hideMark/>
          </w:tcPr>
          <w:p w14:paraId="2F59C63C" w14:textId="6229EDBC"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Lighting Controls</w:t>
            </w:r>
            <w:r w:rsidR="00502970">
              <w:rPr>
                <w:rFonts w:ascii="Calibri" w:hAnsi="Calibri" w:cs="Calibri"/>
                <w:color w:val="000000"/>
                <w:sz w:val="18"/>
                <w:szCs w:val="18"/>
              </w:rPr>
              <w:t xml:space="preserve"> – Interior*</w:t>
            </w:r>
          </w:p>
        </w:tc>
        <w:tc>
          <w:tcPr>
            <w:tcW w:w="1331" w:type="dxa"/>
            <w:noWrap/>
            <w:hideMark/>
          </w:tcPr>
          <w:p w14:paraId="2216BA2D"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Industrial Lighting</w:t>
            </w:r>
          </w:p>
        </w:tc>
        <w:tc>
          <w:tcPr>
            <w:tcW w:w="3510" w:type="dxa"/>
            <w:hideMark/>
          </w:tcPr>
          <w:p w14:paraId="5CF103AC"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Improved control technologies for interior lighting, such as time clocks, bi-level fixture controls, photocell controls, and occupancy/vacancy sensors</w:t>
            </w:r>
          </w:p>
        </w:tc>
        <w:tc>
          <w:tcPr>
            <w:tcW w:w="3420" w:type="dxa"/>
            <w:noWrap/>
            <w:hideMark/>
          </w:tcPr>
          <w:p w14:paraId="2526C796"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 xml:space="preserve">Standard/manual interior lighting controls </w:t>
            </w:r>
          </w:p>
        </w:tc>
      </w:tr>
      <w:tr w:rsidR="00C6552A" w:rsidRPr="00C6552A" w14:paraId="668AAAC2" w14:textId="77777777" w:rsidTr="00C6552A">
        <w:tblPrEx>
          <w:tblLook w:val="04A0" w:firstRow="1" w:lastRow="0" w:firstColumn="1" w:lastColumn="0" w:noHBand="0" w:noVBand="1"/>
        </w:tblPrEx>
        <w:trPr>
          <w:trHeight w:val="458"/>
        </w:trPr>
        <w:tc>
          <w:tcPr>
            <w:tcW w:w="2359" w:type="dxa"/>
            <w:noWrap/>
            <w:hideMark/>
          </w:tcPr>
          <w:p w14:paraId="762F8650" w14:textId="7F476E21"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 xml:space="preserve">Efficient Lighting </w:t>
            </w:r>
            <w:r w:rsidR="00502970">
              <w:rPr>
                <w:rFonts w:ascii="Calibri" w:hAnsi="Calibri" w:cs="Calibri"/>
                <w:color w:val="000000"/>
                <w:sz w:val="18"/>
                <w:szCs w:val="18"/>
              </w:rPr>
              <w:t>–</w:t>
            </w:r>
            <w:r w:rsidRPr="00C6552A">
              <w:rPr>
                <w:rFonts w:ascii="Calibri" w:hAnsi="Calibri" w:cs="Calibri"/>
                <w:color w:val="000000"/>
                <w:sz w:val="18"/>
                <w:szCs w:val="18"/>
              </w:rPr>
              <w:t xml:space="preserve"> Exterior</w:t>
            </w:r>
            <w:r w:rsidR="00502970">
              <w:rPr>
                <w:rFonts w:ascii="Calibri" w:hAnsi="Calibri" w:cs="Calibri"/>
                <w:color w:val="000000"/>
                <w:sz w:val="18"/>
                <w:szCs w:val="18"/>
              </w:rPr>
              <w:t>*</w:t>
            </w:r>
          </w:p>
        </w:tc>
        <w:tc>
          <w:tcPr>
            <w:tcW w:w="1331" w:type="dxa"/>
            <w:noWrap/>
            <w:hideMark/>
          </w:tcPr>
          <w:p w14:paraId="1840A439"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Exterior Lighting</w:t>
            </w:r>
          </w:p>
        </w:tc>
        <w:tc>
          <w:tcPr>
            <w:tcW w:w="3510" w:type="dxa"/>
            <w:hideMark/>
          </w:tcPr>
          <w:p w14:paraId="02E8ED9C"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Efficient exterior lighting, including exterior walkway lighting, pathway lighting, security lighting, and customer-owned street lighting</w:t>
            </w:r>
          </w:p>
        </w:tc>
        <w:tc>
          <w:tcPr>
            <w:tcW w:w="3420" w:type="dxa"/>
            <w:noWrap/>
            <w:hideMark/>
          </w:tcPr>
          <w:p w14:paraId="3CF0376A"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Market average exterior lighting</w:t>
            </w:r>
          </w:p>
        </w:tc>
      </w:tr>
      <w:tr w:rsidR="00C6552A" w:rsidRPr="00C6552A" w14:paraId="51B44C45" w14:textId="77777777" w:rsidTr="00C6552A">
        <w:tblPrEx>
          <w:tblLook w:val="04A0" w:firstRow="1" w:lastRow="0" w:firstColumn="1" w:lastColumn="0" w:noHBand="0" w:noVBand="1"/>
        </w:tblPrEx>
        <w:trPr>
          <w:trHeight w:val="413"/>
        </w:trPr>
        <w:tc>
          <w:tcPr>
            <w:tcW w:w="2359" w:type="dxa"/>
            <w:noWrap/>
            <w:hideMark/>
          </w:tcPr>
          <w:p w14:paraId="70C5CFBB" w14:textId="7258EB43"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Lighting Controls -  Exterior</w:t>
            </w:r>
          </w:p>
        </w:tc>
        <w:tc>
          <w:tcPr>
            <w:tcW w:w="1331" w:type="dxa"/>
            <w:noWrap/>
            <w:hideMark/>
          </w:tcPr>
          <w:p w14:paraId="6FBF316A"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Exterior Lighting</w:t>
            </w:r>
          </w:p>
        </w:tc>
        <w:tc>
          <w:tcPr>
            <w:tcW w:w="3510" w:type="dxa"/>
            <w:hideMark/>
          </w:tcPr>
          <w:p w14:paraId="14D7B2B6"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Improved control technologies for exterior lighting, such as time clocks, bi-level fixture controls, photocell controls, and motion sensors</w:t>
            </w:r>
          </w:p>
        </w:tc>
        <w:tc>
          <w:tcPr>
            <w:tcW w:w="3420" w:type="dxa"/>
            <w:noWrap/>
            <w:hideMark/>
          </w:tcPr>
          <w:p w14:paraId="31EFA5B1"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 xml:space="preserve">Standard/manual exterior lighting controls </w:t>
            </w:r>
          </w:p>
        </w:tc>
      </w:tr>
      <w:tr w:rsidR="00C6552A" w:rsidRPr="00C6552A" w14:paraId="5562866A" w14:textId="77777777" w:rsidTr="00C6552A">
        <w:tblPrEx>
          <w:tblLook w:val="04A0" w:firstRow="1" w:lastRow="0" w:firstColumn="1" w:lastColumn="0" w:noHBand="0" w:noVBand="1"/>
        </w:tblPrEx>
        <w:trPr>
          <w:trHeight w:val="332"/>
        </w:trPr>
        <w:tc>
          <w:tcPr>
            <w:tcW w:w="2359" w:type="dxa"/>
            <w:noWrap/>
            <w:hideMark/>
          </w:tcPr>
          <w:p w14:paraId="0CDECC29"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Compressed Air System Optimization</w:t>
            </w:r>
          </w:p>
        </w:tc>
        <w:tc>
          <w:tcPr>
            <w:tcW w:w="1331" w:type="dxa"/>
            <w:noWrap/>
            <w:hideMark/>
          </w:tcPr>
          <w:p w14:paraId="5A4AF33F"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Compressed Air</w:t>
            </w:r>
          </w:p>
        </w:tc>
        <w:tc>
          <w:tcPr>
            <w:tcW w:w="3510" w:type="dxa"/>
            <w:hideMark/>
          </w:tcPr>
          <w:p w14:paraId="08629421"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Compressed air system improvements, including system optimization, appropriate sizing, minimizing air pressure, replace compressed air use with mechanical or electrical functions</w:t>
            </w:r>
          </w:p>
        </w:tc>
        <w:tc>
          <w:tcPr>
            <w:tcW w:w="3420" w:type="dxa"/>
            <w:noWrap/>
            <w:hideMark/>
          </w:tcPr>
          <w:p w14:paraId="48D95A1A"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Standard compressed air system operations</w:t>
            </w:r>
          </w:p>
        </w:tc>
      </w:tr>
      <w:tr w:rsidR="00C6552A" w:rsidRPr="00C6552A" w14:paraId="7DF9E4F1" w14:textId="77777777" w:rsidTr="00C6552A">
        <w:tblPrEx>
          <w:tblLook w:val="04A0" w:firstRow="1" w:lastRow="0" w:firstColumn="1" w:lastColumn="0" w:noHBand="0" w:noVBand="1"/>
        </w:tblPrEx>
        <w:trPr>
          <w:trHeight w:val="485"/>
        </w:trPr>
        <w:tc>
          <w:tcPr>
            <w:tcW w:w="2359" w:type="dxa"/>
            <w:noWrap/>
            <w:hideMark/>
          </w:tcPr>
          <w:p w14:paraId="3FCB6AB9"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Compressed Air Controls</w:t>
            </w:r>
          </w:p>
        </w:tc>
        <w:tc>
          <w:tcPr>
            <w:tcW w:w="1331" w:type="dxa"/>
            <w:noWrap/>
            <w:hideMark/>
          </w:tcPr>
          <w:p w14:paraId="79CA095B"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Compressed Air</w:t>
            </w:r>
          </w:p>
        </w:tc>
        <w:tc>
          <w:tcPr>
            <w:tcW w:w="3510" w:type="dxa"/>
            <w:hideMark/>
          </w:tcPr>
          <w:p w14:paraId="56D5D334"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Improved control technologies for compressed air system, including optimized distribution system, VFD controls</w:t>
            </w:r>
          </w:p>
        </w:tc>
        <w:tc>
          <w:tcPr>
            <w:tcW w:w="3420" w:type="dxa"/>
            <w:noWrap/>
            <w:hideMark/>
          </w:tcPr>
          <w:p w14:paraId="64146880"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Standard compressed air system operations with manual controls</w:t>
            </w:r>
          </w:p>
        </w:tc>
      </w:tr>
      <w:tr w:rsidR="00C6552A" w:rsidRPr="00C6552A" w14:paraId="5C3052E9" w14:textId="77777777" w:rsidTr="00C6552A">
        <w:tblPrEx>
          <w:tblLook w:val="04A0" w:firstRow="1" w:lastRow="0" w:firstColumn="1" w:lastColumn="0" w:noHBand="0" w:noVBand="1"/>
        </w:tblPrEx>
        <w:trPr>
          <w:trHeight w:val="710"/>
        </w:trPr>
        <w:tc>
          <w:tcPr>
            <w:tcW w:w="2359" w:type="dxa"/>
            <w:noWrap/>
            <w:hideMark/>
          </w:tcPr>
          <w:p w14:paraId="76D0E7B6"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Compressed Air Equipment</w:t>
            </w:r>
          </w:p>
        </w:tc>
        <w:tc>
          <w:tcPr>
            <w:tcW w:w="1331" w:type="dxa"/>
            <w:noWrap/>
            <w:hideMark/>
          </w:tcPr>
          <w:p w14:paraId="47561C31"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Compressed Air</w:t>
            </w:r>
          </w:p>
        </w:tc>
        <w:tc>
          <w:tcPr>
            <w:tcW w:w="3510" w:type="dxa"/>
            <w:hideMark/>
          </w:tcPr>
          <w:p w14:paraId="4D844D01" w14:textId="7C1D891F"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 xml:space="preserve">Equipment upgrades to improve operating efficiency, including motor replacement, integrated VFD </w:t>
            </w:r>
            <w:r w:rsidR="007F0391" w:rsidRPr="00C6552A">
              <w:rPr>
                <w:rFonts w:ascii="Calibri" w:hAnsi="Calibri" w:cs="Calibri"/>
                <w:color w:val="000000"/>
                <w:sz w:val="18"/>
                <w:szCs w:val="18"/>
              </w:rPr>
              <w:t>compressed</w:t>
            </w:r>
            <w:r w:rsidRPr="00C6552A">
              <w:rPr>
                <w:rFonts w:ascii="Calibri" w:hAnsi="Calibri" w:cs="Calibri"/>
                <w:color w:val="000000"/>
                <w:sz w:val="18"/>
                <w:szCs w:val="18"/>
              </w:rPr>
              <w:t xml:space="preserve"> air systems, improved nozzles, receiver capacity additions</w:t>
            </w:r>
          </w:p>
        </w:tc>
        <w:tc>
          <w:tcPr>
            <w:tcW w:w="3420" w:type="dxa"/>
            <w:noWrap/>
            <w:hideMark/>
          </w:tcPr>
          <w:p w14:paraId="678B0AF5"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Market average compressed air equipment</w:t>
            </w:r>
          </w:p>
        </w:tc>
      </w:tr>
      <w:tr w:rsidR="00C6552A" w:rsidRPr="00C6552A" w14:paraId="0D1982EF" w14:textId="77777777" w:rsidTr="00C6552A">
        <w:tblPrEx>
          <w:tblLook w:val="04A0" w:firstRow="1" w:lastRow="0" w:firstColumn="1" w:lastColumn="0" w:noHBand="0" w:noVBand="1"/>
        </w:tblPrEx>
        <w:trPr>
          <w:trHeight w:val="300"/>
        </w:trPr>
        <w:tc>
          <w:tcPr>
            <w:tcW w:w="2359" w:type="dxa"/>
            <w:noWrap/>
            <w:hideMark/>
          </w:tcPr>
          <w:p w14:paraId="44E9A2CA"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Fan Improved Controls</w:t>
            </w:r>
          </w:p>
        </w:tc>
        <w:tc>
          <w:tcPr>
            <w:tcW w:w="1331" w:type="dxa"/>
            <w:noWrap/>
            <w:hideMark/>
          </w:tcPr>
          <w:p w14:paraId="5216F9AC"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Motors Fans Blowers</w:t>
            </w:r>
          </w:p>
        </w:tc>
        <w:tc>
          <w:tcPr>
            <w:tcW w:w="3510" w:type="dxa"/>
            <w:hideMark/>
          </w:tcPr>
          <w:p w14:paraId="5675109A"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Improved fan control technologies</w:t>
            </w:r>
          </w:p>
        </w:tc>
        <w:tc>
          <w:tcPr>
            <w:tcW w:w="3420" w:type="dxa"/>
            <w:noWrap/>
            <w:hideMark/>
          </w:tcPr>
          <w:p w14:paraId="640ACAF8"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 xml:space="preserve">Standard/manual fan controls </w:t>
            </w:r>
          </w:p>
        </w:tc>
      </w:tr>
      <w:tr w:rsidR="00C6552A" w:rsidRPr="00C6552A" w14:paraId="0EC3FC10" w14:textId="77777777" w:rsidTr="00C6552A">
        <w:tblPrEx>
          <w:tblLook w:val="04A0" w:firstRow="1" w:lastRow="0" w:firstColumn="1" w:lastColumn="0" w:noHBand="0" w:noVBand="1"/>
        </w:tblPrEx>
        <w:trPr>
          <w:trHeight w:val="300"/>
        </w:trPr>
        <w:tc>
          <w:tcPr>
            <w:tcW w:w="2359" w:type="dxa"/>
            <w:noWrap/>
            <w:hideMark/>
          </w:tcPr>
          <w:p w14:paraId="26C0C173"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Fan System Optimization</w:t>
            </w:r>
          </w:p>
        </w:tc>
        <w:tc>
          <w:tcPr>
            <w:tcW w:w="1331" w:type="dxa"/>
            <w:noWrap/>
            <w:hideMark/>
          </w:tcPr>
          <w:p w14:paraId="4BCA1C36"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Motors Fans Blowers</w:t>
            </w:r>
          </w:p>
        </w:tc>
        <w:tc>
          <w:tcPr>
            <w:tcW w:w="3510" w:type="dxa"/>
            <w:hideMark/>
          </w:tcPr>
          <w:p w14:paraId="23A92FBE"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Fan system optimization</w:t>
            </w:r>
          </w:p>
        </w:tc>
        <w:tc>
          <w:tcPr>
            <w:tcW w:w="3420" w:type="dxa"/>
            <w:noWrap/>
            <w:hideMark/>
          </w:tcPr>
          <w:p w14:paraId="2C99439F"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Standard fan operation</w:t>
            </w:r>
          </w:p>
        </w:tc>
      </w:tr>
      <w:tr w:rsidR="00C6552A" w:rsidRPr="00C6552A" w14:paraId="795D43FB" w14:textId="77777777" w:rsidTr="00C6552A">
        <w:tblPrEx>
          <w:tblLook w:val="04A0" w:firstRow="1" w:lastRow="0" w:firstColumn="1" w:lastColumn="0" w:noHBand="0" w:noVBand="1"/>
        </w:tblPrEx>
        <w:trPr>
          <w:trHeight w:val="915"/>
        </w:trPr>
        <w:tc>
          <w:tcPr>
            <w:tcW w:w="2359" w:type="dxa"/>
            <w:noWrap/>
            <w:hideMark/>
          </w:tcPr>
          <w:p w14:paraId="0FA9A85D"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Fan Equipment Upgrades</w:t>
            </w:r>
          </w:p>
        </w:tc>
        <w:tc>
          <w:tcPr>
            <w:tcW w:w="1331" w:type="dxa"/>
            <w:noWrap/>
            <w:hideMark/>
          </w:tcPr>
          <w:p w14:paraId="7AACB440"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Motors Fans Blowers</w:t>
            </w:r>
          </w:p>
        </w:tc>
        <w:tc>
          <w:tcPr>
            <w:tcW w:w="3510" w:type="dxa"/>
            <w:hideMark/>
          </w:tcPr>
          <w:p w14:paraId="4E8BEB7E"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Equipment upgrades to improve operating efficiency, including motor replacement, VFD installation</w:t>
            </w:r>
          </w:p>
        </w:tc>
        <w:tc>
          <w:tcPr>
            <w:tcW w:w="3420" w:type="dxa"/>
            <w:noWrap/>
            <w:hideMark/>
          </w:tcPr>
          <w:p w14:paraId="68D61E82"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Market average fan equipment</w:t>
            </w:r>
          </w:p>
        </w:tc>
      </w:tr>
      <w:tr w:rsidR="00C6552A" w:rsidRPr="00C6552A" w14:paraId="516F89D0" w14:textId="77777777" w:rsidTr="00C6552A">
        <w:tblPrEx>
          <w:tblLook w:val="04A0" w:firstRow="1" w:lastRow="0" w:firstColumn="1" w:lastColumn="0" w:noHBand="0" w:noVBand="1"/>
        </w:tblPrEx>
        <w:trPr>
          <w:trHeight w:val="300"/>
        </w:trPr>
        <w:tc>
          <w:tcPr>
            <w:tcW w:w="2359" w:type="dxa"/>
            <w:noWrap/>
            <w:hideMark/>
          </w:tcPr>
          <w:p w14:paraId="0A05DD76"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Pump Improved Controls</w:t>
            </w:r>
          </w:p>
        </w:tc>
        <w:tc>
          <w:tcPr>
            <w:tcW w:w="1331" w:type="dxa"/>
            <w:noWrap/>
            <w:hideMark/>
          </w:tcPr>
          <w:p w14:paraId="1E0DB34A"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Motors Pumps</w:t>
            </w:r>
          </w:p>
        </w:tc>
        <w:tc>
          <w:tcPr>
            <w:tcW w:w="3510" w:type="dxa"/>
            <w:hideMark/>
          </w:tcPr>
          <w:p w14:paraId="0EA3D2EF"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Improved pump control technologies</w:t>
            </w:r>
          </w:p>
        </w:tc>
        <w:tc>
          <w:tcPr>
            <w:tcW w:w="3420" w:type="dxa"/>
            <w:noWrap/>
            <w:hideMark/>
          </w:tcPr>
          <w:p w14:paraId="3DDFE561"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 xml:space="preserve">Standard/manual pump controls </w:t>
            </w:r>
          </w:p>
        </w:tc>
      </w:tr>
      <w:tr w:rsidR="00C6552A" w:rsidRPr="00C6552A" w14:paraId="2D450458" w14:textId="77777777" w:rsidTr="00C6552A">
        <w:tblPrEx>
          <w:tblLook w:val="04A0" w:firstRow="1" w:lastRow="0" w:firstColumn="1" w:lastColumn="0" w:noHBand="0" w:noVBand="1"/>
        </w:tblPrEx>
        <w:trPr>
          <w:trHeight w:val="300"/>
        </w:trPr>
        <w:tc>
          <w:tcPr>
            <w:tcW w:w="2359" w:type="dxa"/>
            <w:noWrap/>
            <w:hideMark/>
          </w:tcPr>
          <w:p w14:paraId="3F06C6A8"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Pump System Optimization</w:t>
            </w:r>
          </w:p>
        </w:tc>
        <w:tc>
          <w:tcPr>
            <w:tcW w:w="1331" w:type="dxa"/>
            <w:noWrap/>
            <w:hideMark/>
          </w:tcPr>
          <w:p w14:paraId="01FFE98F"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Motors Pumps</w:t>
            </w:r>
          </w:p>
        </w:tc>
        <w:tc>
          <w:tcPr>
            <w:tcW w:w="3510" w:type="dxa"/>
            <w:hideMark/>
          </w:tcPr>
          <w:p w14:paraId="51AFD436"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Pump system optimization</w:t>
            </w:r>
          </w:p>
        </w:tc>
        <w:tc>
          <w:tcPr>
            <w:tcW w:w="3420" w:type="dxa"/>
            <w:noWrap/>
            <w:hideMark/>
          </w:tcPr>
          <w:p w14:paraId="616CFD79"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Standard pump system operations</w:t>
            </w:r>
          </w:p>
        </w:tc>
      </w:tr>
      <w:tr w:rsidR="00C6552A" w:rsidRPr="00C6552A" w14:paraId="3CFD9D7A" w14:textId="77777777" w:rsidTr="00C6552A">
        <w:tblPrEx>
          <w:tblLook w:val="04A0" w:firstRow="1" w:lastRow="0" w:firstColumn="1" w:lastColumn="0" w:noHBand="0" w:noVBand="1"/>
        </w:tblPrEx>
        <w:trPr>
          <w:trHeight w:val="458"/>
        </w:trPr>
        <w:tc>
          <w:tcPr>
            <w:tcW w:w="2359" w:type="dxa"/>
            <w:noWrap/>
            <w:hideMark/>
          </w:tcPr>
          <w:p w14:paraId="4BC46156"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Pump Equipment Upgrade</w:t>
            </w:r>
          </w:p>
        </w:tc>
        <w:tc>
          <w:tcPr>
            <w:tcW w:w="1331" w:type="dxa"/>
            <w:noWrap/>
            <w:hideMark/>
          </w:tcPr>
          <w:p w14:paraId="47D6F104"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Motors Pumps</w:t>
            </w:r>
          </w:p>
        </w:tc>
        <w:tc>
          <w:tcPr>
            <w:tcW w:w="3510" w:type="dxa"/>
            <w:hideMark/>
          </w:tcPr>
          <w:p w14:paraId="1BE8F8F4"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Equipment upgrades to improve operating efficiency, including motor replacement, VFD installation</w:t>
            </w:r>
          </w:p>
        </w:tc>
        <w:tc>
          <w:tcPr>
            <w:tcW w:w="3420" w:type="dxa"/>
            <w:noWrap/>
            <w:hideMark/>
          </w:tcPr>
          <w:p w14:paraId="53A35B97"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Market average pump equipment</w:t>
            </w:r>
          </w:p>
        </w:tc>
      </w:tr>
      <w:tr w:rsidR="00C6552A" w:rsidRPr="00C6552A" w14:paraId="77A42617" w14:textId="77777777" w:rsidTr="00C6552A">
        <w:tblPrEx>
          <w:tblLook w:val="04A0" w:firstRow="1" w:lastRow="0" w:firstColumn="1" w:lastColumn="0" w:noHBand="0" w:noVBand="1"/>
        </w:tblPrEx>
        <w:trPr>
          <w:trHeight w:val="593"/>
        </w:trPr>
        <w:tc>
          <w:tcPr>
            <w:tcW w:w="2359" w:type="dxa"/>
            <w:noWrap/>
            <w:hideMark/>
          </w:tcPr>
          <w:p w14:paraId="688F2131"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Motor Equipment Upgrades</w:t>
            </w:r>
          </w:p>
        </w:tc>
        <w:tc>
          <w:tcPr>
            <w:tcW w:w="1331" w:type="dxa"/>
            <w:noWrap/>
            <w:hideMark/>
          </w:tcPr>
          <w:p w14:paraId="55F946C4"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Motors Pumps</w:t>
            </w:r>
          </w:p>
        </w:tc>
        <w:tc>
          <w:tcPr>
            <w:tcW w:w="3510" w:type="dxa"/>
            <w:hideMark/>
          </w:tcPr>
          <w:p w14:paraId="571CB19B"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Equipment upgrades to improve operating efficiency, including motor replacement, efficient drives, ECM motors, VFD installation</w:t>
            </w:r>
          </w:p>
        </w:tc>
        <w:tc>
          <w:tcPr>
            <w:tcW w:w="3420" w:type="dxa"/>
            <w:noWrap/>
            <w:hideMark/>
          </w:tcPr>
          <w:p w14:paraId="02D67070"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Market average motors</w:t>
            </w:r>
          </w:p>
        </w:tc>
      </w:tr>
      <w:tr w:rsidR="00C6552A" w:rsidRPr="00C6552A" w14:paraId="59C31C9B" w14:textId="77777777" w:rsidTr="00C6552A">
        <w:tblPrEx>
          <w:tblLook w:val="04A0" w:firstRow="1" w:lastRow="0" w:firstColumn="1" w:lastColumn="0" w:noHBand="0" w:noVBand="1"/>
        </w:tblPrEx>
        <w:trPr>
          <w:trHeight w:val="300"/>
        </w:trPr>
        <w:tc>
          <w:tcPr>
            <w:tcW w:w="2359" w:type="dxa"/>
            <w:noWrap/>
            <w:hideMark/>
          </w:tcPr>
          <w:p w14:paraId="6F564368"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Motor Improved Controls</w:t>
            </w:r>
          </w:p>
        </w:tc>
        <w:tc>
          <w:tcPr>
            <w:tcW w:w="1331" w:type="dxa"/>
            <w:noWrap/>
            <w:hideMark/>
          </w:tcPr>
          <w:p w14:paraId="5B64D1B5"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Motors Pumps</w:t>
            </w:r>
          </w:p>
        </w:tc>
        <w:tc>
          <w:tcPr>
            <w:tcW w:w="3510" w:type="dxa"/>
            <w:hideMark/>
          </w:tcPr>
          <w:p w14:paraId="45CE005E"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Improved motor control technologies</w:t>
            </w:r>
          </w:p>
        </w:tc>
        <w:tc>
          <w:tcPr>
            <w:tcW w:w="3420" w:type="dxa"/>
            <w:noWrap/>
            <w:hideMark/>
          </w:tcPr>
          <w:p w14:paraId="0AF0FA68"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 xml:space="preserve">Standard/manual motor controls </w:t>
            </w:r>
          </w:p>
        </w:tc>
      </w:tr>
      <w:tr w:rsidR="00C6552A" w:rsidRPr="00C6552A" w14:paraId="1F0D5D6D" w14:textId="77777777" w:rsidTr="00C6552A">
        <w:tblPrEx>
          <w:tblLook w:val="04A0" w:firstRow="1" w:lastRow="0" w:firstColumn="1" w:lastColumn="0" w:noHBand="0" w:noVBand="1"/>
        </w:tblPrEx>
        <w:trPr>
          <w:trHeight w:val="287"/>
        </w:trPr>
        <w:tc>
          <w:tcPr>
            <w:tcW w:w="2359" w:type="dxa"/>
            <w:noWrap/>
            <w:hideMark/>
          </w:tcPr>
          <w:p w14:paraId="2D2D4252"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Motor Optimization</w:t>
            </w:r>
          </w:p>
        </w:tc>
        <w:tc>
          <w:tcPr>
            <w:tcW w:w="1331" w:type="dxa"/>
            <w:noWrap/>
            <w:hideMark/>
          </w:tcPr>
          <w:p w14:paraId="3C561FBA"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Motors Pumps</w:t>
            </w:r>
          </w:p>
        </w:tc>
        <w:tc>
          <w:tcPr>
            <w:tcW w:w="3510" w:type="dxa"/>
            <w:hideMark/>
          </w:tcPr>
          <w:p w14:paraId="4F0BF78A"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Motor system optimization, including replacing drive belts, electric actuators, pump/motor rewinds</w:t>
            </w:r>
          </w:p>
        </w:tc>
        <w:tc>
          <w:tcPr>
            <w:tcW w:w="3420" w:type="dxa"/>
            <w:noWrap/>
            <w:hideMark/>
          </w:tcPr>
          <w:p w14:paraId="1924423A"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Standard motor operation</w:t>
            </w:r>
          </w:p>
        </w:tc>
      </w:tr>
      <w:tr w:rsidR="00C6552A" w:rsidRPr="00C6552A" w14:paraId="7F556104" w14:textId="77777777" w:rsidTr="00C6552A">
        <w:tblPrEx>
          <w:tblLook w:val="04A0" w:firstRow="1" w:lastRow="0" w:firstColumn="1" w:lastColumn="0" w:noHBand="0" w:noVBand="1"/>
        </w:tblPrEx>
        <w:trPr>
          <w:trHeight w:val="170"/>
        </w:trPr>
        <w:tc>
          <w:tcPr>
            <w:tcW w:w="2359" w:type="dxa"/>
            <w:noWrap/>
            <w:hideMark/>
          </w:tcPr>
          <w:p w14:paraId="5EC5D478"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Heat Improved Controls</w:t>
            </w:r>
          </w:p>
        </w:tc>
        <w:tc>
          <w:tcPr>
            <w:tcW w:w="1331" w:type="dxa"/>
            <w:noWrap/>
            <w:hideMark/>
          </w:tcPr>
          <w:p w14:paraId="6674F06F"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Heating</w:t>
            </w:r>
          </w:p>
        </w:tc>
        <w:tc>
          <w:tcPr>
            <w:tcW w:w="3510" w:type="dxa"/>
            <w:hideMark/>
          </w:tcPr>
          <w:p w14:paraId="2F38C14B"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Improved process heat control technologies</w:t>
            </w:r>
          </w:p>
        </w:tc>
        <w:tc>
          <w:tcPr>
            <w:tcW w:w="3420" w:type="dxa"/>
            <w:noWrap/>
            <w:hideMark/>
          </w:tcPr>
          <w:p w14:paraId="2F5C3476"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 xml:space="preserve">Standard/manual process heat controls </w:t>
            </w:r>
          </w:p>
        </w:tc>
      </w:tr>
      <w:tr w:rsidR="00C6552A" w:rsidRPr="00C6552A" w14:paraId="3B945F93" w14:textId="77777777" w:rsidTr="00C6552A">
        <w:tblPrEx>
          <w:tblLook w:val="04A0" w:firstRow="1" w:lastRow="0" w:firstColumn="1" w:lastColumn="0" w:noHBand="0" w:noVBand="1"/>
        </w:tblPrEx>
        <w:trPr>
          <w:trHeight w:val="300"/>
        </w:trPr>
        <w:tc>
          <w:tcPr>
            <w:tcW w:w="2359" w:type="dxa"/>
            <w:noWrap/>
            <w:hideMark/>
          </w:tcPr>
          <w:p w14:paraId="0977C19B"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Heat System Optimization</w:t>
            </w:r>
          </w:p>
        </w:tc>
        <w:tc>
          <w:tcPr>
            <w:tcW w:w="1331" w:type="dxa"/>
            <w:noWrap/>
            <w:hideMark/>
          </w:tcPr>
          <w:p w14:paraId="524B0131"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Heating</w:t>
            </w:r>
          </w:p>
        </w:tc>
        <w:tc>
          <w:tcPr>
            <w:tcW w:w="3510" w:type="dxa"/>
            <w:hideMark/>
          </w:tcPr>
          <w:p w14:paraId="2279A33F"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heat system optimization</w:t>
            </w:r>
          </w:p>
        </w:tc>
        <w:tc>
          <w:tcPr>
            <w:tcW w:w="3420" w:type="dxa"/>
            <w:noWrap/>
            <w:hideMark/>
          </w:tcPr>
          <w:p w14:paraId="2F7877B0"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Standard process heat system operations</w:t>
            </w:r>
          </w:p>
        </w:tc>
      </w:tr>
      <w:tr w:rsidR="00C6552A" w:rsidRPr="00C6552A" w14:paraId="68C43EB6" w14:textId="77777777" w:rsidTr="00C6552A">
        <w:tblPrEx>
          <w:tblLook w:val="04A0" w:firstRow="1" w:lastRow="0" w:firstColumn="1" w:lastColumn="0" w:noHBand="0" w:noVBand="1"/>
        </w:tblPrEx>
        <w:trPr>
          <w:trHeight w:val="615"/>
        </w:trPr>
        <w:tc>
          <w:tcPr>
            <w:tcW w:w="2359" w:type="dxa"/>
            <w:noWrap/>
            <w:hideMark/>
          </w:tcPr>
          <w:p w14:paraId="46234C90"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Heat Equipment Upgrade</w:t>
            </w:r>
          </w:p>
        </w:tc>
        <w:tc>
          <w:tcPr>
            <w:tcW w:w="1331" w:type="dxa"/>
            <w:noWrap/>
            <w:hideMark/>
          </w:tcPr>
          <w:p w14:paraId="533D1910"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Heating</w:t>
            </w:r>
          </w:p>
        </w:tc>
        <w:tc>
          <w:tcPr>
            <w:tcW w:w="3510" w:type="dxa"/>
            <w:hideMark/>
          </w:tcPr>
          <w:p w14:paraId="69F7521A"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Equipment upgrades to improve operating efficiency</w:t>
            </w:r>
          </w:p>
        </w:tc>
        <w:tc>
          <w:tcPr>
            <w:tcW w:w="3420" w:type="dxa"/>
            <w:noWrap/>
            <w:hideMark/>
          </w:tcPr>
          <w:p w14:paraId="5015A0BC"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Market average process heating equipment</w:t>
            </w:r>
          </w:p>
        </w:tc>
      </w:tr>
      <w:tr w:rsidR="00C6552A" w:rsidRPr="00C6552A" w14:paraId="78C4B0CB" w14:textId="77777777" w:rsidTr="00C6552A">
        <w:tblPrEx>
          <w:tblLook w:val="04A0" w:firstRow="1" w:lastRow="0" w:firstColumn="1" w:lastColumn="0" w:noHBand="0" w:noVBand="1"/>
        </w:tblPrEx>
        <w:trPr>
          <w:trHeight w:val="300"/>
        </w:trPr>
        <w:tc>
          <w:tcPr>
            <w:tcW w:w="2359" w:type="dxa"/>
            <w:noWrap/>
            <w:hideMark/>
          </w:tcPr>
          <w:p w14:paraId="4BA6B3F8"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Other Systems Optimization</w:t>
            </w:r>
          </w:p>
        </w:tc>
        <w:tc>
          <w:tcPr>
            <w:tcW w:w="1331" w:type="dxa"/>
            <w:noWrap/>
            <w:hideMark/>
          </w:tcPr>
          <w:p w14:paraId="5553017E"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Specific</w:t>
            </w:r>
          </w:p>
        </w:tc>
        <w:tc>
          <w:tcPr>
            <w:tcW w:w="3510" w:type="dxa"/>
            <w:hideMark/>
          </w:tcPr>
          <w:p w14:paraId="6C6D14CA"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other system optimization</w:t>
            </w:r>
          </w:p>
        </w:tc>
        <w:tc>
          <w:tcPr>
            <w:tcW w:w="3420" w:type="dxa"/>
            <w:noWrap/>
            <w:hideMark/>
          </w:tcPr>
          <w:p w14:paraId="2FC3774E"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Standard process other system operations</w:t>
            </w:r>
          </w:p>
        </w:tc>
      </w:tr>
      <w:tr w:rsidR="00C6552A" w:rsidRPr="00C6552A" w14:paraId="37DB1585" w14:textId="77777777" w:rsidTr="00C6552A">
        <w:tblPrEx>
          <w:tblLook w:val="04A0" w:firstRow="1" w:lastRow="0" w:firstColumn="1" w:lastColumn="0" w:noHBand="0" w:noVBand="1"/>
        </w:tblPrEx>
        <w:trPr>
          <w:trHeight w:val="260"/>
        </w:trPr>
        <w:tc>
          <w:tcPr>
            <w:tcW w:w="2359" w:type="dxa"/>
            <w:noWrap/>
            <w:hideMark/>
          </w:tcPr>
          <w:p w14:paraId="2CBF4433"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Other Equipment Upgrades</w:t>
            </w:r>
          </w:p>
        </w:tc>
        <w:tc>
          <w:tcPr>
            <w:tcW w:w="1331" w:type="dxa"/>
            <w:noWrap/>
            <w:hideMark/>
          </w:tcPr>
          <w:p w14:paraId="40A81418"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Specific</w:t>
            </w:r>
          </w:p>
        </w:tc>
        <w:tc>
          <w:tcPr>
            <w:tcW w:w="3510" w:type="dxa"/>
            <w:hideMark/>
          </w:tcPr>
          <w:p w14:paraId="0B17C612"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Equipment upgrades to improve operating efficiency of industry-specific process equipment, such as injection molders, extruders, and other machinery</w:t>
            </w:r>
          </w:p>
        </w:tc>
        <w:tc>
          <w:tcPr>
            <w:tcW w:w="3420" w:type="dxa"/>
            <w:noWrap/>
            <w:hideMark/>
          </w:tcPr>
          <w:p w14:paraId="2A1662DA"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Market average process equipment</w:t>
            </w:r>
          </w:p>
        </w:tc>
      </w:tr>
      <w:tr w:rsidR="00C6552A" w:rsidRPr="00C6552A" w14:paraId="50F1EF26" w14:textId="77777777" w:rsidTr="00C6552A">
        <w:tblPrEx>
          <w:tblLook w:val="04A0" w:firstRow="1" w:lastRow="0" w:firstColumn="1" w:lastColumn="0" w:noHBand="0" w:noVBand="1"/>
        </w:tblPrEx>
        <w:trPr>
          <w:trHeight w:val="395"/>
        </w:trPr>
        <w:tc>
          <w:tcPr>
            <w:tcW w:w="2359" w:type="dxa"/>
            <w:noWrap/>
            <w:hideMark/>
          </w:tcPr>
          <w:p w14:paraId="6AD55E5D"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Refrig System Optimization</w:t>
            </w:r>
          </w:p>
        </w:tc>
        <w:tc>
          <w:tcPr>
            <w:tcW w:w="1331" w:type="dxa"/>
            <w:noWrap/>
            <w:hideMark/>
          </w:tcPr>
          <w:p w14:paraId="169207D4"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Cooling</w:t>
            </w:r>
          </w:p>
        </w:tc>
        <w:tc>
          <w:tcPr>
            <w:tcW w:w="3510" w:type="dxa"/>
            <w:hideMark/>
          </w:tcPr>
          <w:p w14:paraId="7B43152C"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refrigeration system optimization, including ventilation optimization, demand defrost, and floating head pressure controls</w:t>
            </w:r>
          </w:p>
        </w:tc>
        <w:tc>
          <w:tcPr>
            <w:tcW w:w="3420" w:type="dxa"/>
            <w:noWrap/>
            <w:hideMark/>
          </w:tcPr>
          <w:p w14:paraId="57902BEC"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Standard process refrigeration system operations</w:t>
            </w:r>
          </w:p>
        </w:tc>
      </w:tr>
      <w:tr w:rsidR="00C6552A" w:rsidRPr="00C6552A" w14:paraId="4309B24C" w14:textId="77777777" w:rsidTr="00C6552A">
        <w:tblPrEx>
          <w:tblLook w:val="04A0" w:firstRow="1" w:lastRow="0" w:firstColumn="1" w:lastColumn="0" w:noHBand="0" w:noVBand="1"/>
        </w:tblPrEx>
        <w:trPr>
          <w:trHeight w:val="350"/>
        </w:trPr>
        <w:tc>
          <w:tcPr>
            <w:tcW w:w="2359" w:type="dxa"/>
            <w:noWrap/>
            <w:hideMark/>
          </w:tcPr>
          <w:p w14:paraId="6C706CA7" w14:textId="7D9222BB"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Refrig Controls</w:t>
            </w:r>
            <w:r w:rsidR="00502970">
              <w:rPr>
                <w:rFonts w:ascii="Calibri" w:hAnsi="Calibri" w:cs="Calibri"/>
                <w:color w:val="000000"/>
                <w:sz w:val="18"/>
                <w:szCs w:val="18"/>
              </w:rPr>
              <w:t>*</w:t>
            </w:r>
          </w:p>
        </w:tc>
        <w:tc>
          <w:tcPr>
            <w:tcW w:w="1331" w:type="dxa"/>
            <w:noWrap/>
            <w:hideMark/>
          </w:tcPr>
          <w:p w14:paraId="3005396E"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Cooling</w:t>
            </w:r>
          </w:p>
        </w:tc>
        <w:tc>
          <w:tcPr>
            <w:tcW w:w="3510" w:type="dxa"/>
            <w:hideMark/>
          </w:tcPr>
          <w:p w14:paraId="5379070D"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Improved process refrigeration control technologies</w:t>
            </w:r>
          </w:p>
        </w:tc>
        <w:tc>
          <w:tcPr>
            <w:tcW w:w="3420" w:type="dxa"/>
            <w:noWrap/>
            <w:hideMark/>
          </w:tcPr>
          <w:p w14:paraId="6510729C"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 xml:space="preserve">Standard/manual process refrigeration controls </w:t>
            </w:r>
          </w:p>
        </w:tc>
      </w:tr>
      <w:tr w:rsidR="00C6552A" w:rsidRPr="00C6552A" w14:paraId="1FA38D12" w14:textId="77777777" w:rsidTr="00C6552A">
        <w:tblPrEx>
          <w:tblLook w:val="04A0" w:firstRow="1" w:lastRow="0" w:firstColumn="1" w:lastColumn="0" w:noHBand="0" w:noVBand="1"/>
        </w:tblPrEx>
        <w:trPr>
          <w:trHeight w:val="278"/>
        </w:trPr>
        <w:tc>
          <w:tcPr>
            <w:tcW w:w="2359" w:type="dxa"/>
            <w:noWrap/>
            <w:hideMark/>
          </w:tcPr>
          <w:p w14:paraId="6609EF77" w14:textId="6A4B4D2D"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Refrig Equipment Upgrade</w:t>
            </w:r>
            <w:r w:rsidR="00502970">
              <w:rPr>
                <w:rFonts w:ascii="Calibri" w:hAnsi="Calibri" w:cs="Calibri"/>
                <w:color w:val="000000"/>
                <w:sz w:val="18"/>
                <w:szCs w:val="18"/>
              </w:rPr>
              <w:t>*</w:t>
            </w:r>
          </w:p>
        </w:tc>
        <w:tc>
          <w:tcPr>
            <w:tcW w:w="1331" w:type="dxa"/>
            <w:noWrap/>
            <w:hideMark/>
          </w:tcPr>
          <w:p w14:paraId="26348A9D"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Cooling</w:t>
            </w:r>
          </w:p>
        </w:tc>
        <w:tc>
          <w:tcPr>
            <w:tcW w:w="3510" w:type="dxa"/>
            <w:hideMark/>
          </w:tcPr>
          <w:p w14:paraId="48B66F78"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Equipment upgrades to improve operating efficiency, including efficient refrigeration compressors, evaporator fan motors, and related equipment</w:t>
            </w:r>
          </w:p>
        </w:tc>
        <w:tc>
          <w:tcPr>
            <w:tcW w:w="3420" w:type="dxa"/>
            <w:noWrap/>
            <w:hideMark/>
          </w:tcPr>
          <w:p w14:paraId="19DF1E8B"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Market average process refrigeration equipment</w:t>
            </w:r>
          </w:p>
        </w:tc>
      </w:tr>
      <w:tr w:rsidR="00C6552A" w:rsidRPr="00C6552A" w14:paraId="02702DB4" w14:textId="77777777" w:rsidTr="00C6552A">
        <w:tblPrEx>
          <w:tblLook w:val="04A0" w:firstRow="1" w:lastRow="0" w:firstColumn="1" w:lastColumn="0" w:noHBand="0" w:noVBand="1"/>
        </w:tblPrEx>
        <w:trPr>
          <w:trHeight w:val="953"/>
        </w:trPr>
        <w:tc>
          <w:tcPr>
            <w:tcW w:w="2359" w:type="dxa"/>
            <w:noWrap/>
            <w:hideMark/>
          </w:tcPr>
          <w:p w14:paraId="6067A575"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Plant Energy Management</w:t>
            </w:r>
          </w:p>
        </w:tc>
        <w:tc>
          <w:tcPr>
            <w:tcW w:w="1331" w:type="dxa"/>
            <w:noWrap/>
            <w:hideMark/>
          </w:tcPr>
          <w:p w14:paraId="03436302" w14:textId="72890132" w:rsidR="00C6552A" w:rsidRPr="00C6552A" w:rsidRDefault="00C6552A" w:rsidP="007576C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Multiple End</w:t>
            </w:r>
            <w:r w:rsidR="007576CB">
              <w:rPr>
                <w:rFonts w:ascii="Calibri" w:hAnsi="Calibri" w:cs="Calibri"/>
                <w:color w:val="000000"/>
                <w:sz w:val="18"/>
                <w:szCs w:val="18"/>
              </w:rPr>
              <w:t>-</w:t>
            </w:r>
            <w:r w:rsidRPr="00C6552A">
              <w:rPr>
                <w:rFonts w:ascii="Calibri" w:hAnsi="Calibri" w:cs="Calibri"/>
                <w:color w:val="000000"/>
                <w:sz w:val="18"/>
                <w:szCs w:val="18"/>
              </w:rPr>
              <w:t>Uses</w:t>
            </w:r>
          </w:p>
        </w:tc>
        <w:tc>
          <w:tcPr>
            <w:tcW w:w="3510" w:type="dxa"/>
            <w:hideMark/>
          </w:tcPr>
          <w:p w14:paraId="4B39ED9C"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Facility control technologies and optimization to improve energy efficiency, including the installation of high efficient equipment, controls, and implementing system optimization practices to improve plant efficiency</w:t>
            </w:r>
          </w:p>
        </w:tc>
        <w:tc>
          <w:tcPr>
            <w:tcW w:w="3420" w:type="dxa"/>
            <w:noWrap/>
            <w:hideMark/>
          </w:tcPr>
          <w:p w14:paraId="085D681F" w14:textId="77777777" w:rsidR="00C6552A" w:rsidRPr="00C6552A" w:rsidRDefault="00C6552A" w:rsidP="00C6552A">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Standard/manual plant energy management practices</w:t>
            </w:r>
          </w:p>
        </w:tc>
      </w:tr>
    </w:tbl>
    <w:p w14:paraId="6401F645" w14:textId="77777777" w:rsidR="00E06704" w:rsidRDefault="00E06704" w:rsidP="00E06704">
      <w:pPr>
        <w:pStyle w:val="Text"/>
      </w:pPr>
    </w:p>
    <w:p w14:paraId="6401F646" w14:textId="77777777" w:rsidR="00222ED6" w:rsidRDefault="00222ED6" w:rsidP="00E06704">
      <w:pPr>
        <w:pStyle w:val="Text"/>
      </w:pPr>
    </w:p>
    <w:p w14:paraId="47F3077A" w14:textId="77777777" w:rsidR="00F9403C" w:rsidRDefault="00F9403C" w:rsidP="00251390">
      <w:pPr>
        <w:pStyle w:val="Text"/>
      </w:pPr>
      <w:r>
        <w:br w:type="page"/>
      </w:r>
    </w:p>
    <w:p w14:paraId="6401F647" w14:textId="620A8090" w:rsidR="00E06704" w:rsidRDefault="00D12C73" w:rsidP="00251390">
      <w:pPr>
        <w:pStyle w:val="Text"/>
      </w:pPr>
      <w:r>
        <w:t>The fo</w:t>
      </w:r>
      <w:r w:rsidR="00251390">
        <w:t xml:space="preserve">llowing EE </w:t>
      </w:r>
      <w:r w:rsidR="00251390" w:rsidRPr="00251390">
        <w:t>measures</w:t>
      </w:r>
      <w:r w:rsidR="00251390">
        <w:t xml:space="preserve"> from the 2014 Technical P</w:t>
      </w:r>
      <w:r>
        <w:t xml:space="preserve">otential </w:t>
      </w:r>
      <w:r w:rsidR="00251390">
        <w:t>S</w:t>
      </w:r>
      <w:r>
        <w:t>tudy were eliminated from the current study:</w:t>
      </w:r>
    </w:p>
    <w:p w14:paraId="29796E5E" w14:textId="2B2571F0" w:rsidR="00251390" w:rsidRDefault="00251390" w:rsidP="00251390">
      <w:pPr>
        <w:pStyle w:val="Heading8"/>
      </w:pPr>
      <w:r>
        <w:t>2014 EE Measures Eliminated from Current Study</w:t>
      </w:r>
    </w:p>
    <w:tbl>
      <w:tblPr>
        <w:tblStyle w:val="NEXANTNEWTABLESTYLE"/>
        <w:tblW w:w="8550" w:type="dxa"/>
        <w:tblLook w:val="0020" w:firstRow="1" w:lastRow="0" w:firstColumn="0" w:lastColumn="0" w:noHBand="0" w:noVBand="0"/>
      </w:tblPr>
      <w:tblGrid>
        <w:gridCol w:w="1530"/>
        <w:gridCol w:w="5310"/>
        <w:gridCol w:w="1710"/>
      </w:tblGrid>
      <w:tr w:rsidR="00F9403C" w:rsidRPr="00301405" w14:paraId="725D995A" w14:textId="77777777" w:rsidTr="008141FC">
        <w:trPr>
          <w:cnfStyle w:val="100000000000" w:firstRow="1" w:lastRow="0" w:firstColumn="0" w:lastColumn="0" w:oddVBand="0" w:evenVBand="0" w:oddHBand="0" w:evenHBand="0" w:firstRowFirstColumn="0" w:firstRowLastColumn="0" w:lastRowFirstColumn="0" w:lastRowLastColumn="0"/>
          <w:tblHeader/>
        </w:trPr>
        <w:tc>
          <w:tcPr>
            <w:tcW w:w="1530" w:type="dxa"/>
          </w:tcPr>
          <w:p w14:paraId="2D6B381C" w14:textId="77777777" w:rsidR="00F9403C" w:rsidRPr="00301405" w:rsidRDefault="00F9403C" w:rsidP="00F9403C">
            <w:pPr>
              <w:pStyle w:val="Tables-Bodycells"/>
            </w:pPr>
            <w:r>
              <w:t>Sector</w:t>
            </w:r>
          </w:p>
        </w:tc>
        <w:tc>
          <w:tcPr>
            <w:tcW w:w="5310" w:type="dxa"/>
            <w:vAlign w:val="center"/>
          </w:tcPr>
          <w:p w14:paraId="0554649D" w14:textId="77777777" w:rsidR="00F9403C" w:rsidRPr="00301405" w:rsidRDefault="00F9403C" w:rsidP="00F9403C">
            <w:pPr>
              <w:pStyle w:val="Tables-Bodycells"/>
            </w:pPr>
            <w:r w:rsidRPr="00301405">
              <w:t>Measure</w:t>
            </w:r>
          </w:p>
        </w:tc>
        <w:tc>
          <w:tcPr>
            <w:tcW w:w="1710" w:type="dxa"/>
            <w:vAlign w:val="center"/>
          </w:tcPr>
          <w:p w14:paraId="11A497BB" w14:textId="77777777" w:rsidR="00F9403C" w:rsidRPr="00301405" w:rsidRDefault="00F9403C" w:rsidP="00F9403C">
            <w:pPr>
              <w:pStyle w:val="Tables-Bodycells"/>
            </w:pPr>
            <w:r>
              <w:t>2014 End-</w:t>
            </w:r>
            <w:r w:rsidRPr="00301405">
              <w:t>Use</w:t>
            </w:r>
          </w:p>
        </w:tc>
      </w:tr>
      <w:tr w:rsidR="00F9403C" w:rsidRPr="00C6552A" w14:paraId="74883DEC" w14:textId="77777777" w:rsidTr="008141FC">
        <w:tblPrEx>
          <w:tblLook w:val="04A0" w:firstRow="1" w:lastRow="0" w:firstColumn="1" w:lastColumn="0" w:noHBand="0" w:noVBand="1"/>
        </w:tblPrEx>
        <w:trPr>
          <w:trHeight w:val="323"/>
        </w:trPr>
        <w:tc>
          <w:tcPr>
            <w:tcW w:w="1530" w:type="dxa"/>
            <w:noWrap/>
            <w:hideMark/>
          </w:tcPr>
          <w:p w14:paraId="0BD10949" w14:textId="77777777" w:rsidR="00F9403C" w:rsidRPr="00C6552A" w:rsidRDefault="00F9403C" w:rsidP="00F9403C">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Residential</w:t>
            </w:r>
          </w:p>
        </w:tc>
        <w:tc>
          <w:tcPr>
            <w:tcW w:w="5310" w:type="dxa"/>
            <w:noWrap/>
          </w:tcPr>
          <w:p w14:paraId="6D5DE519" w14:textId="77777777" w:rsidR="00F9403C" w:rsidRPr="00C6552A" w:rsidRDefault="00F9403C" w:rsidP="00F9403C">
            <w:pPr>
              <w:tabs>
                <w:tab w:val="clear" w:pos="-1440"/>
                <w:tab w:val="clear" w:pos="-720"/>
              </w:tabs>
              <w:spacing w:after="0" w:line="240" w:lineRule="auto"/>
              <w:ind w:left="0"/>
              <w:rPr>
                <w:rFonts w:ascii="Calibri" w:hAnsi="Calibri" w:cs="Calibri"/>
                <w:color w:val="000000"/>
                <w:sz w:val="18"/>
                <w:szCs w:val="18"/>
              </w:rPr>
            </w:pPr>
            <w:r w:rsidRPr="00251390">
              <w:rPr>
                <w:rFonts w:ascii="Calibri" w:hAnsi="Calibri" w:cs="Calibri"/>
                <w:color w:val="000000"/>
                <w:sz w:val="18"/>
                <w:szCs w:val="18"/>
              </w:rPr>
              <w:t>AC Heat Recovery Units</w:t>
            </w:r>
          </w:p>
        </w:tc>
        <w:tc>
          <w:tcPr>
            <w:tcW w:w="1710" w:type="dxa"/>
          </w:tcPr>
          <w:p w14:paraId="462AD709" w14:textId="77777777" w:rsidR="00F9403C" w:rsidRPr="00C6552A" w:rsidRDefault="00F9403C" w:rsidP="00F9403C">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HVAC</w:t>
            </w:r>
          </w:p>
        </w:tc>
      </w:tr>
      <w:tr w:rsidR="00F9403C" w:rsidRPr="00C6552A" w14:paraId="516073A2" w14:textId="77777777" w:rsidTr="008141FC">
        <w:tblPrEx>
          <w:tblLook w:val="04A0" w:firstRow="1" w:lastRow="0" w:firstColumn="1" w:lastColumn="0" w:noHBand="0" w:noVBand="1"/>
        </w:tblPrEx>
        <w:trPr>
          <w:trHeight w:val="323"/>
        </w:trPr>
        <w:tc>
          <w:tcPr>
            <w:tcW w:w="1530" w:type="dxa"/>
            <w:noWrap/>
          </w:tcPr>
          <w:p w14:paraId="29BC75C8" w14:textId="77777777" w:rsidR="00F9403C" w:rsidRDefault="00F9403C" w:rsidP="00F9403C">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Residential</w:t>
            </w:r>
          </w:p>
        </w:tc>
        <w:tc>
          <w:tcPr>
            <w:tcW w:w="5310" w:type="dxa"/>
            <w:noWrap/>
          </w:tcPr>
          <w:p w14:paraId="3DFF34A0" w14:textId="77777777" w:rsidR="00F9403C" w:rsidRPr="00C6552A" w:rsidRDefault="00F9403C" w:rsidP="00F9403C">
            <w:pPr>
              <w:tabs>
                <w:tab w:val="clear" w:pos="-1440"/>
                <w:tab w:val="clear" w:pos="-720"/>
              </w:tabs>
              <w:spacing w:after="0" w:line="240" w:lineRule="auto"/>
              <w:ind w:left="0"/>
              <w:rPr>
                <w:rFonts w:ascii="Calibri" w:hAnsi="Calibri" w:cs="Calibri"/>
                <w:color w:val="000000"/>
                <w:sz w:val="18"/>
                <w:szCs w:val="18"/>
              </w:rPr>
            </w:pPr>
            <w:r w:rsidRPr="00251390">
              <w:rPr>
                <w:rFonts w:ascii="Calibri" w:hAnsi="Calibri" w:cs="Calibri"/>
                <w:color w:val="000000"/>
                <w:sz w:val="18"/>
                <w:szCs w:val="18"/>
              </w:rPr>
              <w:t>HVAC Proper Sizing</w:t>
            </w:r>
          </w:p>
        </w:tc>
        <w:tc>
          <w:tcPr>
            <w:tcW w:w="1710" w:type="dxa"/>
          </w:tcPr>
          <w:p w14:paraId="0292B618" w14:textId="77777777" w:rsidR="00F9403C" w:rsidRPr="00C6552A" w:rsidRDefault="00F9403C" w:rsidP="00F9403C">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HVAC</w:t>
            </w:r>
          </w:p>
        </w:tc>
      </w:tr>
      <w:tr w:rsidR="00F9403C" w:rsidRPr="00C6552A" w14:paraId="6BA5DC2F" w14:textId="77777777" w:rsidTr="008141FC">
        <w:tblPrEx>
          <w:tblLook w:val="04A0" w:firstRow="1" w:lastRow="0" w:firstColumn="1" w:lastColumn="0" w:noHBand="0" w:noVBand="1"/>
        </w:tblPrEx>
        <w:trPr>
          <w:trHeight w:val="323"/>
        </w:trPr>
        <w:tc>
          <w:tcPr>
            <w:tcW w:w="1530" w:type="dxa"/>
            <w:noWrap/>
          </w:tcPr>
          <w:p w14:paraId="7C41018A" w14:textId="77777777" w:rsidR="00F9403C" w:rsidRDefault="00F9403C" w:rsidP="00F9403C">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Residential</w:t>
            </w:r>
          </w:p>
        </w:tc>
        <w:tc>
          <w:tcPr>
            <w:tcW w:w="5310" w:type="dxa"/>
            <w:noWrap/>
          </w:tcPr>
          <w:p w14:paraId="64E50D5B" w14:textId="77777777" w:rsidR="00F9403C" w:rsidRPr="00C6552A" w:rsidRDefault="00F9403C" w:rsidP="00F9403C">
            <w:pPr>
              <w:tabs>
                <w:tab w:val="clear" w:pos="-1440"/>
                <w:tab w:val="clear" w:pos="-720"/>
              </w:tabs>
              <w:spacing w:after="0" w:line="240" w:lineRule="auto"/>
              <w:ind w:left="0"/>
              <w:rPr>
                <w:rFonts w:ascii="Calibri" w:hAnsi="Calibri" w:cs="Calibri"/>
                <w:color w:val="000000"/>
                <w:sz w:val="18"/>
                <w:szCs w:val="18"/>
              </w:rPr>
            </w:pPr>
            <w:r w:rsidRPr="00251390">
              <w:rPr>
                <w:rFonts w:ascii="Calibri" w:hAnsi="Calibri" w:cs="Calibri"/>
                <w:color w:val="000000"/>
                <w:sz w:val="18"/>
                <w:szCs w:val="18"/>
              </w:rPr>
              <w:t>High Efficiency One Speed Pool Pump  (1.5 hp)</w:t>
            </w:r>
          </w:p>
        </w:tc>
        <w:tc>
          <w:tcPr>
            <w:tcW w:w="1710" w:type="dxa"/>
          </w:tcPr>
          <w:p w14:paraId="423E5093" w14:textId="77777777" w:rsidR="00F9403C" w:rsidRPr="00C6552A" w:rsidRDefault="00F9403C" w:rsidP="00F9403C">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Motor</w:t>
            </w:r>
          </w:p>
        </w:tc>
      </w:tr>
      <w:tr w:rsidR="00F9403C" w:rsidRPr="00C6552A" w14:paraId="05583786" w14:textId="77777777" w:rsidTr="008141FC">
        <w:tblPrEx>
          <w:tblLook w:val="04A0" w:firstRow="1" w:lastRow="0" w:firstColumn="1" w:lastColumn="0" w:noHBand="0" w:noVBand="1"/>
        </w:tblPrEx>
        <w:trPr>
          <w:trHeight w:val="323"/>
        </w:trPr>
        <w:tc>
          <w:tcPr>
            <w:tcW w:w="1530" w:type="dxa"/>
            <w:noWrap/>
          </w:tcPr>
          <w:p w14:paraId="54FCED89" w14:textId="77777777" w:rsidR="00F9403C" w:rsidRDefault="00F9403C" w:rsidP="00F9403C">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Commercial</w:t>
            </w:r>
          </w:p>
        </w:tc>
        <w:tc>
          <w:tcPr>
            <w:tcW w:w="5310" w:type="dxa"/>
            <w:noWrap/>
          </w:tcPr>
          <w:p w14:paraId="0631815B" w14:textId="77777777" w:rsidR="00F9403C" w:rsidRPr="00251390" w:rsidRDefault="00F9403C" w:rsidP="00F9403C">
            <w:pPr>
              <w:tabs>
                <w:tab w:val="clear" w:pos="-1440"/>
                <w:tab w:val="clear" w:pos="-720"/>
              </w:tabs>
              <w:spacing w:after="0" w:line="240" w:lineRule="auto"/>
              <w:ind w:left="0"/>
              <w:rPr>
                <w:rFonts w:ascii="Calibri" w:hAnsi="Calibri" w:cs="Calibri"/>
                <w:color w:val="000000"/>
                <w:sz w:val="18"/>
                <w:szCs w:val="18"/>
              </w:rPr>
            </w:pPr>
            <w:r w:rsidRPr="000019DB">
              <w:rPr>
                <w:rFonts w:ascii="Calibri" w:hAnsi="Calibri" w:cs="Calibri"/>
                <w:color w:val="000000"/>
                <w:sz w:val="18"/>
                <w:szCs w:val="18"/>
              </w:rPr>
              <w:t>LED Exit Sign</w:t>
            </w:r>
          </w:p>
        </w:tc>
        <w:tc>
          <w:tcPr>
            <w:tcW w:w="1710" w:type="dxa"/>
          </w:tcPr>
          <w:p w14:paraId="343C38B5" w14:textId="77777777" w:rsidR="00F9403C" w:rsidRDefault="00F9403C" w:rsidP="00F9403C">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Lighting-Exterior</w:t>
            </w:r>
          </w:p>
        </w:tc>
      </w:tr>
      <w:tr w:rsidR="00F9403C" w:rsidRPr="00C6552A" w14:paraId="429E4F62" w14:textId="77777777" w:rsidTr="008141FC">
        <w:tblPrEx>
          <w:tblLook w:val="04A0" w:firstRow="1" w:lastRow="0" w:firstColumn="1" w:lastColumn="0" w:noHBand="0" w:noVBand="1"/>
        </w:tblPrEx>
        <w:trPr>
          <w:trHeight w:val="323"/>
        </w:trPr>
        <w:tc>
          <w:tcPr>
            <w:tcW w:w="1530" w:type="dxa"/>
            <w:noWrap/>
          </w:tcPr>
          <w:p w14:paraId="2456B2E6" w14:textId="77777777" w:rsidR="00F9403C" w:rsidRDefault="00F9403C" w:rsidP="00F9403C">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Commercial</w:t>
            </w:r>
          </w:p>
        </w:tc>
        <w:tc>
          <w:tcPr>
            <w:tcW w:w="5310" w:type="dxa"/>
            <w:noWrap/>
          </w:tcPr>
          <w:p w14:paraId="2D19E345" w14:textId="77777777" w:rsidR="00F9403C" w:rsidRPr="00251390" w:rsidRDefault="00F9403C" w:rsidP="00F9403C">
            <w:pPr>
              <w:tabs>
                <w:tab w:val="clear" w:pos="-1440"/>
                <w:tab w:val="clear" w:pos="-720"/>
              </w:tabs>
              <w:spacing w:after="0" w:line="240" w:lineRule="auto"/>
              <w:ind w:left="0"/>
              <w:rPr>
                <w:rFonts w:ascii="Calibri" w:hAnsi="Calibri" w:cs="Calibri"/>
                <w:color w:val="000000"/>
                <w:sz w:val="18"/>
                <w:szCs w:val="18"/>
              </w:rPr>
            </w:pPr>
            <w:r w:rsidRPr="000019DB">
              <w:rPr>
                <w:rFonts w:ascii="Calibri" w:hAnsi="Calibri" w:cs="Calibri"/>
                <w:color w:val="000000"/>
                <w:sz w:val="18"/>
                <w:szCs w:val="18"/>
              </w:rPr>
              <w:t>High Pressure Sodium 250W Lamp</w:t>
            </w:r>
          </w:p>
        </w:tc>
        <w:tc>
          <w:tcPr>
            <w:tcW w:w="1710" w:type="dxa"/>
          </w:tcPr>
          <w:p w14:paraId="55308D01" w14:textId="77777777" w:rsidR="00F9403C" w:rsidRDefault="00F9403C" w:rsidP="00F9403C">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Lighting-Interior</w:t>
            </w:r>
          </w:p>
        </w:tc>
      </w:tr>
      <w:tr w:rsidR="00F9403C" w:rsidRPr="00C6552A" w14:paraId="76FDF35F" w14:textId="77777777" w:rsidTr="008141FC">
        <w:tblPrEx>
          <w:tblLook w:val="04A0" w:firstRow="1" w:lastRow="0" w:firstColumn="1" w:lastColumn="0" w:noHBand="0" w:noVBand="1"/>
        </w:tblPrEx>
        <w:trPr>
          <w:trHeight w:val="323"/>
        </w:trPr>
        <w:tc>
          <w:tcPr>
            <w:tcW w:w="1530" w:type="dxa"/>
            <w:noWrap/>
          </w:tcPr>
          <w:p w14:paraId="4E582B48" w14:textId="77777777" w:rsidR="00F9403C" w:rsidRDefault="00F9403C" w:rsidP="00F9403C">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Commercial</w:t>
            </w:r>
          </w:p>
        </w:tc>
        <w:tc>
          <w:tcPr>
            <w:tcW w:w="5310" w:type="dxa"/>
            <w:noWrap/>
          </w:tcPr>
          <w:p w14:paraId="27814A57" w14:textId="77777777" w:rsidR="00F9403C" w:rsidRPr="00251390" w:rsidRDefault="00F9403C" w:rsidP="00F9403C">
            <w:pPr>
              <w:tabs>
                <w:tab w:val="clear" w:pos="-1440"/>
                <w:tab w:val="clear" w:pos="-720"/>
              </w:tabs>
              <w:spacing w:after="0" w:line="240" w:lineRule="auto"/>
              <w:ind w:left="0"/>
              <w:rPr>
                <w:rFonts w:ascii="Calibri" w:hAnsi="Calibri" w:cs="Calibri"/>
                <w:color w:val="000000"/>
                <w:sz w:val="18"/>
                <w:szCs w:val="18"/>
              </w:rPr>
            </w:pPr>
            <w:r w:rsidRPr="000019DB">
              <w:rPr>
                <w:rFonts w:ascii="Calibri" w:hAnsi="Calibri" w:cs="Calibri"/>
                <w:color w:val="000000"/>
                <w:sz w:val="18"/>
                <w:szCs w:val="18"/>
              </w:rPr>
              <w:t>PSMH, 250W, magnetic ballast</w:t>
            </w:r>
          </w:p>
        </w:tc>
        <w:tc>
          <w:tcPr>
            <w:tcW w:w="1710" w:type="dxa"/>
          </w:tcPr>
          <w:p w14:paraId="260DB5A3" w14:textId="77777777" w:rsidR="00F9403C" w:rsidRDefault="00F9403C" w:rsidP="00F9403C">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Lighting-Interior</w:t>
            </w:r>
          </w:p>
        </w:tc>
      </w:tr>
      <w:tr w:rsidR="00F9403C" w:rsidRPr="00C6552A" w14:paraId="0ADB2612" w14:textId="77777777" w:rsidTr="008141FC">
        <w:tblPrEx>
          <w:tblLook w:val="04A0" w:firstRow="1" w:lastRow="0" w:firstColumn="1" w:lastColumn="0" w:noHBand="0" w:noVBand="1"/>
        </w:tblPrEx>
        <w:trPr>
          <w:trHeight w:val="323"/>
        </w:trPr>
        <w:tc>
          <w:tcPr>
            <w:tcW w:w="1530" w:type="dxa"/>
            <w:noWrap/>
          </w:tcPr>
          <w:p w14:paraId="076E7675" w14:textId="77777777" w:rsidR="00F9403C" w:rsidRDefault="00F9403C" w:rsidP="00F9403C">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Industrial</w:t>
            </w:r>
          </w:p>
        </w:tc>
        <w:tc>
          <w:tcPr>
            <w:tcW w:w="5310" w:type="dxa"/>
            <w:noWrap/>
          </w:tcPr>
          <w:p w14:paraId="33C30C32" w14:textId="77777777" w:rsidR="00F9403C" w:rsidRPr="000019DB" w:rsidRDefault="00F9403C" w:rsidP="00F9403C">
            <w:pPr>
              <w:tabs>
                <w:tab w:val="clear" w:pos="-1440"/>
                <w:tab w:val="clear" w:pos="-720"/>
              </w:tabs>
              <w:spacing w:after="0" w:line="240" w:lineRule="auto"/>
              <w:ind w:left="0"/>
              <w:rPr>
                <w:rFonts w:ascii="Calibri" w:hAnsi="Calibri" w:cs="Calibri"/>
                <w:color w:val="000000"/>
                <w:sz w:val="18"/>
                <w:szCs w:val="18"/>
              </w:rPr>
            </w:pPr>
            <w:r w:rsidRPr="00502970">
              <w:rPr>
                <w:rFonts w:ascii="Calibri" w:hAnsi="Calibri" w:cs="Calibri"/>
                <w:color w:val="000000"/>
                <w:sz w:val="18"/>
                <w:szCs w:val="18"/>
              </w:rPr>
              <w:t>Compressed Air-O&amp;M</w:t>
            </w:r>
          </w:p>
        </w:tc>
        <w:tc>
          <w:tcPr>
            <w:tcW w:w="1710" w:type="dxa"/>
          </w:tcPr>
          <w:p w14:paraId="5CB79BA6" w14:textId="77777777" w:rsidR="00F9403C" w:rsidRDefault="00F9403C" w:rsidP="00F9403C">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Compressed Air</w:t>
            </w:r>
          </w:p>
        </w:tc>
      </w:tr>
      <w:tr w:rsidR="00F9403C" w:rsidRPr="00C6552A" w14:paraId="4B796556" w14:textId="77777777" w:rsidTr="008141FC">
        <w:tblPrEx>
          <w:tblLook w:val="04A0" w:firstRow="1" w:lastRow="0" w:firstColumn="1" w:lastColumn="0" w:noHBand="0" w:noVBand="1"/>
        </w:tblPrEx>
        <w:trPr>
          <w:trHeight w:val="323"/>
        </w:trPr>
        <w:tc>
          <w:tcPr>
            <w:tcW w:w="1530" w:type="dxa"/>
            <w:noWrap/>
          </w:tcPr>
          <w:p w14:paraId="14503032" w14:textId="77777777" w:rsidR="00F9403C" w:rsidRDefault="00F9403C" w:rsidP="00F9403C">
            <w:pPr>
              <w:tabs>
                <w:tab w:val="clear" w:pos="-1440"/>
                <w:tab w:val="clear" w:pos="-720"/>
              </w:tabs>
              <w:spacing w:after="0" w:line="240" w:lineRule="auto"/>
              <w:ind w:left="0"/>
              <w:rPr>
                <w:rFonts w:ascii="Calibri" w:hAnsi="Calibri" w:cs="Calibri"/>
                <w:color w:val="000000"/>
                <w:sz w:val="18"/>
                <w:szCs w:val="18"/>
              </w:rPr>
            </w:pPr>
            <w:r w:rsidRPr="00FC5026">
              <w:rPr>
                <w:rFonts w:ascii="Calibri" w:hAnsi="Calibri" w:cs="Calibri"/>
                <w:color w:val="000000"/>
                <w:sz w:val="18"/>
                <w:szCs w:val="18"/>
              </w:rPr>
              <w:t>Industrial</w:t>
            </w:r>
          </w:p>
        </w:tc>
        <w:tc>
          <w:tcPr>
            <w:tcW w:w="5310" w:type="dxa"/>
            <w:noWrap/>
          </w:tcPr>
          <w:p w14:paraId="6355B5B8" w14:textId="77777777" w:rsidR="00F9403C" w:rsidRPr="000019DB" w:rsidRDefault="00F9403C" w:rsidP="00F9403C">
            <w:pPr>
              <w:tabs>
                <w:tab w:val="clear" w:pos="-1440"/>
                <w:tab w:val="clear" w:pos="-720"/>
              </w:tabs>
              <w:spacing w:after="0" w:line="240" w:lineRule="auto"/>
              <w:ind w:left="0"/>
              <w:rPr>
                <w:rFonts w:ascii="Calibri" w:hAnsi="Calibri" w:cs="Calibri"/>
                <w:color w:val="000000"/>
                <w:sz w:val="18"/>
                <w:szCs w:val="18"/>
              </w:rPr>
            </w:pPr>
            <w:r w:rsidRPr="00502970">
              <w:rPr>
                <w:rFonts w:ascii="Calibri" w:hAnsi="Calibri" w:cs="Calibri"/>
                <w:color w:val="000000"/>
                <w:sz w:val="18"/>
                <w:szCs w:val="18"/>
              </w:rPr>
              <w:t>Fans - O&amp;M</w:t>
            </w:r>
          </w:p>
        </w:tc>
        <w:tc>
          <w:tcPr>
            <w:tcW w:w="1710" w:type="dxa"/>
          </w:tcPr>
          <w:p w14:paraId="6A293F97" w14:textId="77777777" w:rsidR="00F9403C" w:rsidRDefault="00F9403C" w:rsidP="00F9403C">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Fans</w:t>
            </w:r>
          </w:p>
        </w:tc>
      </w:tr>
      <w:tr w:rsidR="00F9403C" w:rsidRPr="00C6552A" w14:paraId="76723AA7" w14:textId="77777777" w:rsidTr="008141FC">
        <w:tblPrEx>
          <w:tblLook w:val="04A0" w:firstRow="1" w:lastRow="0" w:firstColumn="1" w:lastColumn="0" w:noHBand="0" w:noVBand="1"/>
        </w:tblPrEx>
        <w:trPr>
          <w:trHeight w:val="323"/>
        </w:trPr>
        <w:tc>
          <w:tcPr>
            <w:tcW w:w="1530" w:type="dxa"/>
            <w:noWrap/>
          </w:tcPr>
          <w:p w14:paraId="0B317A26" w14:textId="77777777" w:rsidR="00F9403C" w:rsidRDefault="00F9403C" w:rsidP="00F9403C">
            <w:pPr>
              <w:tabs>
                <w:tab w:val="clear" w:pos="-1440"/>
                <w:tab w:val="clear" w:pos="-720"/>
              </w:tabs>
              <w:spacing w:after="0" w:line="240" w:lineRule="auto"/>
              <w:ind w:left="0"/>
              <w:rPr>
                <w:rFonts w:ascii="Calibri" w:hAnsi="Calibri" w:cs="Calibri"/>
                <w:color w:val="000000"/>
                <w:sz w:val="18"/>
                <w:szCs w:val="18"/>
              </w:rPr>
            </w:pPr>
            <w:r w:rsidRPr="00FC5026">
              <w:rPr>
                <w:rFonts w:ascii="Calibri" w:hAnsi="Calibri" w:cs="Calibri"/>
                <w:color w:val="000000"/>
                <w:sz w:val="18"/>
                <w:szCs w:val="18"/>
              </w:rPr>
              <w:t>Industrial</w:t>
            </w:r>
          </w:p>
        </w:tc>
        <w:tc>
          <w:tcPr>
            <w:tcW w:w="5310" w:type="dxa"/>
            <w:noWrap/>
          </w:tcPr>
          <w:p w14:paraId="0427B87C" w14:textId="77777777" w:rsidR="00F9403C" w:rsidRPr="000019DB" w:rsidRDefault="00F9403C" w:rsidP="00F9403C">
            <w:pPr>
              <w:tabs>
                <w:tab w:val="clear" w:pos="-1440"/>
                <w:tab w:val="clear" w:pos="-720"/>
              </w:tabs>
              <w:spacing w:after="0" w:line="240" w:lineRule="auto"/>
              <w:ind w:left="0"/>
              <w:rPr>
                <w:rFonts w:ascii="Calibri" w:hAnsi="Calibri" w:cs="Calibri"/>
                <w:color w:val="000000"/>
                <w:sz w:val="18"/>
                <w:szCs w:val="18"/>
              </w:rPr>
            </w:pPr>
            <w:r w:rsidRPr="00502970">
              <w:rPr>
                <w:rFonts w:ascii="Calibri" w:hAnsi="Calibri" w:cs="Calibri"/>
                <w:color w:val="000000"/>
                <w:sz w:val="18"/>
                <w:szCs w:val="18"/>
              </w:rPr>
              <w:t>Pumps - O&amp;M</w:t>
            </w:r>
          </w:p>
        </w:tc>
        <w:tc>
          <w:tcPr>
            <w:tcW w:w="1710" w:type="dxa"/>
          </w:tcPr>
          <w:p w14:paraId="02DD14C3" w14:textId="77777777" w:rsidR="00F9403C" w:rsidRDefault="00F9403C" w:rsidP="00F9403C">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Pumps</w:t>
            </w:r>
          </w:p>
        </w:tc>
      </w:tr>
      <w:tr w:rsidR="00F9403C" w:rsidRPr="00C6552A" w14:paraId="4F09D712" w14:textId="77777777" w:rsidTr="008141FC">
        <w:tblPrEx>
          <w:tblLook w:val="04A0" w:firstRow="1" w:lastRow="0" w:firstColumn="1" w:lastColumn="0" w:noHBand="0" w:noVBand="1"/>
        </w:tblPrEx>
        <w:trPr>
          <w:trHeight w:val="323"/>
        </w:trPr>
        <w:tc>
          <w:tcPr>
            <w:tcW w:w="1530" w:type="dxa"/>
            <w:noWrap/>
          </w:tcPr>
          <w:p w14:paraId="17411341" w14:textId="77777777" w:rsidR="00F9403C" w:rsidRDefault="00F9403C" w:rsidP="00F9403C">
            <w:pPr>
              <w:tabs>
                <w:tab w:val="clear" w:pos="-1440"/>
                <w:tab w:val="clear" w:pos="-720"/>
              </w:tabs>
              <w:spacing w:after="0" w:line="240" w:lineRule="auto"/>
              <w:ind w:left="0"/>
              <w:rPr>
                <w:rFonts w:ascii="Calibri" w:hAnsi="Calibri" w:cs="Calibri"/>
                <w:color w:val="000000"/>
                <w:sz w:val="18"/>
                <w:szCs w:val="18"/>
              </w:rPr>
            </w:pPr>
            <w:r w:rsidRPr="00FC5026">
              <w:rPr>
                <w:rFonts w:ascii="Calibri" w:hAnsi="Calibri" w:cs="Calibri"/>
                <w:color w:val="000000"/>
                <w:sz w:val="18"/>
                <w:szCs w:val="18"/>
              </w:rPr>
              <w:t>Industrial</w:t>
            </w:r>
          </w:p>
        </w:tc>
        <w:tc>
          <w:tcPr>
            <w:tcW w:w="5310" w:type="dxa"/>
            <w:noWrap/>
          </w:tcPr>
          <w:p w14:paraId="368C7576" w14:textId="77777777" w:rsidR="00F9403C" w:rsidRPr="000019DB" w:rsidRDefault="00F9403C" w:rsidP="00F9403C">
            <w:pPr>
              <w:tabs>
                <w:tab w:val="clear" w:pos="-1440"/>
                <w:tab w:val="clear" w:pos="-720"/>
              </w:tabs>
              <w:spacing w:after="0" w:line="240" w:lineRule="auto"/>
              <w:ind w:left="0"/>
              <w:rPr>
                <w:rFonts w:ascii="Calibri" w:hAnsi="Calibri" w:cs="Calibri"/>
                <w:color w:val="000000"/>
                <w:sz w:val="18"/>
                <w:szCs w:val="18"/>
              </w:rPr>
            </w:pPr>
            <w:r w:rsidRPr="00502970">
              <w:rPr>
                <w:rFonts w:ascii="Calibri" w:hAnsi="Calibri" w:cs="Calibri"/>
                <w:color w:val="000000"/>
                <w:sz w:val="18"/>
                <w:szCs w:val="18"/>
              </w:rPr>
              <w:t>Bakery - Process (Mixing) - O&amp;M</w:t>
            </w:r>
          </w:p>
        </w:tc>
        <w:tc>
          <w:tcPr>
            <w:tcW w:w="1710" w:type="dxa"/>
          </w:tcPr>
          <w:p w14:paraId="45830955" w14:textId="77777777" w:rsidR="00F9403C" w:rsidRDefault="00F9403C" w:rsidP="00F9403C">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Process Other</w:t>
            </w:r>
          </w:p>
        </w:tc>
      </w:tr>
      <w:tr w:rsidR="00F9403C" w:rsidRPr="00C6552A" w14:paraId="16D38F31" w14:textId="77777777" w:rsidTr="008141FC">
        <w:tblPrEx>
          <w:tblLook w:val="04A0" w:firstRow="1" w:lastRow="0" w:firstColumn="1" w:lastColumn="0" w:noHBand="0" w:noVBand="1"/>
        </w:tblPrEx>
        <w:trPr>
          <w:trHeight w:val="323"/>
        </w:trPr>
        <w:tc>
          <w:tcPr>
            <w:tcW w:w="1530" w:type="dxa"/>
            <w:noWrap/>
          </w:tcPr>
          <w:p w14:paraId="478CBB89" w14:textId="77777777" w:rsidR="00F9403C" w:rsidRDefault="00F9403C" w:rsidP="00F9403C">
            <w:pPr>
              <w:tabs>
                <w:tab w:val="clear" w:pos="-1440"/>
                <w:tab w:val="clear" w:pos="-720"/>
              </w:tabs>
              <w:spacing w:after="0" w:line="240" w:lineRule="auto"/>
              <w:ind w:left="0"/>
              <w:rPr>
                <w:rFonts w:ascii="Calibri" w:hAnsi="Calibri" w:cs="Calibri"/>
                <w:color w:val="000000"/>
                <w:sz w:val="18"/>
                <w:szCs w:val="18"/>
              </w:rPr>
            </w:pPr>
            <w:r w:rsidRPr="00FC5026">
              <w:rPr>
                <w:rFonts w:ascii="Calibri" w:hAnsi="Calibri" w:cs="Calibri"/>
                <w:color w:val="000000"/>
                <w:sz w:val="18"/>
                <w:szCs w:val="18"/>
              </w:rPr>
              <w:t>Industrial</w:t>
            </w:r>
          </w:p>
        </w:tc>
        <w:tc>
          <w:tcPr>
            <w:tcW w:w="5310" w:type="dxa"/>
            <w:noWrap/>
          </w:tcPr>
          <w:p w14:paraId="7D03431E" w14:textId="77777777" w:rsidR="00F9403C" w:rsidRPr="000019DB" w:rsidRDefault="00F9403C" w:rsidP="00F9403C">
            <w:pPr>
              <w:tabs>
                <w:tab w:val="clear" w:pos="-1440"/>
                <w:tab w:val="clear" w:pos="-720"/>
              </w:tabs>
              <w:spacing w:after="0" w:line="240" w:lineRule="auto"/>
              <w:ind w:left="0"/>
              <w:rPr>
                <w:rFonts w:ascii="Calibri" w:hAnsi="Calibri" w:cs="Calibri"/>
                <w:color w:val="000000"/>
                <w:sz w:val="18"/>
                <w:szCs w:val="18"/>
              </w:rPr>
            </w:pPr>
            <w:r w:rsidRPr="00502970">
              <w:rPr>
                <w:rFonts w:ascii="Calibri" w:hAnsi="Calibri" w:cs="Calibri"/>
                <w:color w:val="000000"/>
                <w:sz w:val="18"/>
                <w:szCs w:val="18"/>
              </w:rPr>
              <w:t>O&amp;M/drives spinning machines</w:t>
            </w:r>
          </w:p>
        </w:tc>
        <w:tc>
          <w:tcPr>
            <w:tcW w:w="1710" w:type="dxa"/>
          </w:tcPr>
          <w:p w14:paraId="0132D9A0" w14:textId="77777777" w:rsidR="00F9403C" w:rsidRDefault="00F9403C" w:rsidP="00F9403C">
            <w:pPr>
              <w:tabs>
                <w:tab w:val="clear" w:pos="-1440"/>
                <w:tab w:val="clear" w:pos="-720"/>
              </w:tabs>
              <w:spacing w:after="0" w:line="240" w:lineRule="auto"/>
              <w:ind w:left="0"/>
              <w:rPr>
                <w:rFonts w:ascii="Calibri" w:hAnsi="Calibri" w:cs="Calibri"/>
                <w:color w:val="000000"/>
                <w:sz w:val="18"/>
                <w:szCs w:val="18"/>
              </w:rPr>
            </w:pPr>
            <w:r w:rsidRPr="00AE23E5">
              <w:rPr>
                <w:rFonts w:ascii="Calibri" w:hAnsi="Calibri" w:cs="Calibri"/>
                <w:color w:val="000000"/>
                <w:sz w:val="18"/>
                <w:szCs w:val="18"/>
              </w:rPr>
              <w:t>Process Other</w:t>
            </w:r>
          </w:p>
        </w:tc>
      </w:tr>
      <w:tr w:rsidR="00F9403C" w:rsidRPr="00C6552A" w14:paraId="65952891" w14:textId="77777777" w:rsidTr="008141FC">
        <w:tblPrEx>
          <w:tblLook w:val="04A0" w:firstRow="1" w:lastRow="0" w:firstColumn="1" w:lastColumn="0" w:noHBand="0" w:noVBand="1"/>
        </w:tblPrEx>
        <w:trPr>
          <w:trHeight w:val="323"/>
        </w:trPr>
        <w:tc>
          <w:tcPr>
            <w:tcW w:w="1530" w:type="dxa"/>
            <w:noWrap/>
          </w:tcPr>
          <w:p w14:paraId="4D2909E4" w14:textId="77777777" w:rsidR="00F9403C" w:rsidRDefault="00F9403C" w:rsidP="00F9403C">
            <w:pPr>
              <w:tabs>
                <w:tab w:val="clear" w:pos="-1440"/>
                <w:tab w:val="clear" w:pos="-720"/>
              </w:tabs>
              <w:spacing w:after="0" w:line="240" w:lineRule="auto"/>
              <w:ind w:left="0"/>
              <w:rPr>
                <w:rFonts w:ascii="Calibri" w:hAnsi="Calibri" w:cs="Calibri"/>
                <w:color w:val="000000"/>
                <w:sz w:val="18"/>
                <w:szCs w:val="18"/>
              </w:rPr>
            </w:pPr>
            <w:r w:rsidRPr="00FC5026">
              <w:rPr>
                <w:rFonts w:ascii="Calibri" w:hAnsi="Calibri" w:cs="Calibri"/>
                <w:color w:val="000000"/>
                <w:sz w:val="18"/>
                <w:szCs w:val="18"/>
              </w:rPr>
              <w:t>Industrial</w:t>
            </w:r>
          </w:p>
        </w:tc>
        <w:tc>
          <w:tcPr>
            <w:tcW w:w="5310" w:type="dxa"/>
            <w:noWrap/>
          </w:tcPr>
          <w:p w14:paraId="3A6D52EC" w14:textId="77777777" w:rsidR="00F9403C" w:rsidRPr="000019DB" w:rsidRDefault="00F9403C" w:rsidP="00F9403C">
            <w:pPr>
              <w:tabs>
                <w:tab w:val="clear" w:pos="-1440"/>
                <w:tab w:val="clear" w:pos="-720"/>
              </w:tabs>
              <w:spacing w:after="0" w:line="240" w:lineRule="auto"/>
              <w:ind w:left="0"/>
              <w:rPr>
                <w:rFonts w:ascii="Calibri" w:hAnsi="Calibri" w:cs="Calibri"/>
                <w:color w:val="000000"/>
                <w:sz w:val="18"/>
                <w:szCs w:val="18"/>
              </w:rPr>
            </w:pPr>
            <w:r w:rsidRPr="00502970">
              <w:rPr>
                <w:rFonts w:ascii="Calibri" w:hAnsi="Calibri" w:cs="Calibri"/>
                <w:color w:val="000000"/>
                <w:sz w:val="18"/>
                <w:szCs w:val="18"/>
              </w:rPr>
              <w:t>O&amp;M - Extruders/Injection Moulding</w:t>
            </w:r>
          </w:p>
        </w:tc>
        <w:tc>
          <w:tcPr>
            <w:tcW w:w="1710" w:type="dxa"/>
          </w:tcPr>
          <w:p w14:paraId="0F12F6DD" w14:textId="77777777" w:rsidR="00F9403C" w:rsidRDefault="00F9403C" w:rsidP="00F9403C">
            <w:pPr>
              <w:tabs>
                <w:tab w:val="clear" w:pos="-1440"/>
                <w:tab w:val="clear" w:pos="-720"/>
              </w:tabs>
              <w:spacing w:after="0" w:line="240" w:lineRule="auto"/>
              <w:ind w:left="0"/>
              <w:rPr>
                <w:rFonts w:ascii="Calibri" w:hAnsi="Calibri" w:cs="Calibri"/>
                <w:color w:val="000000"/>
                <w:sz w:val="18"/>
                <w:szCs w:val="18"/>
              </w:rPr>
            </w:pPr>
            <w:r w:rsidRPr="00AE23E5">
              <w:rPr>
                <w:rFonts w:ascii="Calibri" w:hAnsi="Calibri" w:cs="Calibri"/>
                <w:color w:val="000000"/>
                <w:sz w:val="18"/>
                <w:szCs w:val="18"/>
              </w:rPr>
              <w:t>Process Other</w:t>
            </w:r>
          </w:p>
        </w:tc>
      </w:tr>
    </w:tbl>
    <w:p w14:paraId="5781E641" w14:textId="77777777" w:rsidR="00F9403C" w:rsidRPr="00F9403C" w:rsidRDefault="00F9403C" w:rsidP="00F9403C">
      <w:pPr>
        <w:pStyle w:val="Text"/>
      </w:pPr>
    </w:p>
    <w:p w14:paraId="6925F49C" w14:textId="77777777" w:rsidR="00D12C73" w:rsidRPr="00BC4A35" w:rsidRDefault="00D12C73" w:rsidP="00E06704">
      <w:pPr>
        <w:pStyle w:val="Text"/>
        <w:sectPr w:rsidR="00D12C73" w:rsidRPr="00BC4A35" w:rsidSect="00DE1B69">
          <w:headerReference w:type="default" r:id="rId62"/>
          <w:footerReference w:type="default" r:id="rId63"/>
          <w:headerReference w:type="first" r:id="rId64"/>
          <w:footerReference w:type="first" r:id="rId65"/>
          <w:footnotePr>
            <w:numRestart w:val="eachSect"/>
          </w:footnotePr>
          <w:endnotePr>
            <w:numFmt w:val="decimal"/>
          </w:endnotePr>
          <w:pgSz w:w="12240" w:h="15840" w:code="1"/>
          <w:pgMar w:top="1440" w:right="1224" w:bottom="1440" w:left="1224" w:header="720" w:footer="720" w:gutter="0"/>
          <w:pgNumType w:start="1" w:chapStyle="7"/>
          <w:cols w:space="360"/>
          <w:titlePg/>
          <w:docGrid w:linePitch="299"/>
        </w:sectPr>
      </w:pPr>
    </w:p>
    <w:p w14:paraId="47F46C1A" w14:textId="7459C39C" w:rsidR="00350E31" w:rsidRDefault="00350E31" w:rsidP="006D4F96">
      <w:pPr>
        <w:pStyle w:val="Heading7"/>
      </w:pPr>
      <w:bookmarkStart w:id="181" w:name="_Toc5715522"/>
      <w:bookmarkStart w:id="182" w:name="_Ref457026797"/>
      <w:r>
        <w:t>DR MPS Measure List</w:t>
      </w:r>
      <w:bookmarkEnd w:id="181"/>
    </w:p>
    <w:p w14:paraId="4A48D7EF" w14:textId="77777777" w:rsidR="008D22B6" w:rsidRDefault="008D22B6" w:rsidP="008D22B6">
      <w:pPr>
        <w:pStyle w:val="Heading8"/>
      </w:pPr>
      <w:r>
        <w:t>Residential Measures</w:t>
      </w:r>
    </w:p>
    <w:tbl>
      <w:tblPr>
        <w:tblStyle w:val="NEXANTNEWTABLESTYLE"/>
        <w:tblW w:w="0" w:type="auto"/>
        <w:tblLook w:val="04A0" w:firstRow="1" w:lastRow="0" w:firstColumn="1" w:lastColumn="0" w:noHBand="0" w:noVBand="1"/>
      </w:tblPr>
      <w:tblGrid>
        <w:gridCol w:w="1710"/>
        <w:gridCol w:w="1325"/>
        <w:gridCol w:w="1332"/>
        <w:gridCol w:w="5425"/>
      </w:tblGrid>
      <w:tr w:rsidR="008D22B6" w:rsidRPr="008D22B6" w14:paraId="2B07FA9D" w14:textId="77777777" w:rsidTr="00495C54">
        <w:trPr>
          <w:cnfStyle w:val="100000000000" w:firstRow="1" w:lastRow="0" w:firstColumn="0" w:lastColumn="0" w:oddVBand="0" w:evenVBand="0" w:oddHBand="0" w:evenHBand="0" w:firstRowFirstColumn="0" w:firstRowLastColumn="0" w:lastRowFirstColumn="0" w:lastRowLastColumn="0"/>
          <w:trHeight w:val="288"/>
        </w:trPr>
        <w:tc>
          <w:tcPr>
            <w:tcW w:w="1710" w:type="dxa"/>
            <w:hideMark/>
          </w:tcPr>
          <w:p w14:paraId="20CFBD01" w14:textId="77777777" w:rsidR="008D22B6" w:rsidRPr="008D22B6" w:rsidRDefault="008D22B6" w:rsidP="004A5D2B">
            <w:pPr>
              <w:pStyle w:val="Tables-Bodycells"/>
            </w:pPr>
            <w:r w:rsidRPr="008D22B6">
              <w:t>Measure</w:t>
            </w:r>
          </w:p>
        </w:tc>
        <w:tc>
          <w:tcPr>
            <w:tcW w:w="1325" w:type="dxa"/>
            <w:hideMark/>
          </w:tcPr>
          <w:p w14:paraId="5C92A3A8" w14:textId="77777777" w:rsidR="008D22B6" w:rsidRPr="008D22B6" w:rsidRDefault="008D22B6" w:rsidP="004A5D2B">
            <w:pPr>
              <w:pStyle w:val="Tables-Bodycells"/>
            </w:pPr>
            <w:r w:rsidRPr="008D22B6">
              <w:t>Type</w:t>
            </w:r>
          </w:p>
        </w:tc>
        <w:tc>
          <w:tcPr>
            <w:tcW w:w="1332" w:type="dxa"/>
            <w:hideMark/>
          </w:tcPr>
          <w:p w14:paraId="009D4B23" w14:textId="77777777" w:rsidR="008D22B6" w:rsidRPr="008D22B6" w:rsidRDefault="008D22B6" w:rsidP="004A5D2B">
            <w:pPr>
              <w:pStyle w:val="Tables-Bodycells"/>
            </w:pPr>
            <w:r w:rsidRPr="008D22B6">
              <w:t>Season</w:t>
            </w:r>
          </w:p>
        </w:tc>
        <w:tc>
          <w:tcPr>
            <w:tcW w:w="5425" w:type="dxa"/>
            <w:hideMark/>
          </w:tcPr>
          <w:p w14:paraId="2D582ECB" w14:textId="77777777" w:rsidR="008D22B6" w:rsidRPr="008D22B6" w:rsidRDefault="008D22B6" w:rsidP="004A5D2B">
            <w:pPr>
              <w:pStyle w:val="Tables-Bodycells"/>
            </w:pPr>
            <w:r w:rsidRPr="008D22B6">
              <w:t>Measure Description</w:t>
            </w:r>
          </w:p>
        </w:tc>
      </w:tr>
      <w:tr w:rsidR="008D22B6" w:rsidRPr="008D22B6" w14:paraId="29D8F92D" w14:textId="77777777" w:rsidTr="00495C54">
        <w:trPr>
          <w:trHeight w:val="528"/>
        </w:trPr>
        <w:tc>
          <w:tcPr>
            <w:tcW w:w="1710" w:type="dxa"/>
            <w:hideMark/>
          </w:tcPr>
          <w:p w14:paraId="6C262858"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Central air conditioner - Load Shed</w:t>
            </w:r>
          </w:p>
        </w:tc>
        <w:tc>
          <w:tcPr>
            <w:tcW w:w="1325" w:type="dxa"/>
            <w:hideMark/>
          </w:tcPr>
          <w:p w14:paraId="0EE6AF38" w14:textId="35BF2082" w:rsidR="008D22B6"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Direct load control</w:t>
            </w:r>
          </w:p>
        </w:tc>
        <w:tc>
          <w:tcPr>
            <w:tcW w:w="1332" w:type="dxa"/>
            <w:hideMark/>
          </w:tcPr>
          <w:p w14:paraId="42DCC126"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Summer</w:t>
            </w:r>
          </w:p>
        </w:tc>
        <w:tc>
          <w:tcPr>
            <w:tcW w:w="5425" w:type="dxa"/>
            <w:hideMark/>
          </w:tcPr>
          <w:p w14:paraId="29EAA56C"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Direct load control program where utility provides day ahead notification that it will send remote signal to shed AC unit load during peak usage period.</w:t>
            </w:r>
          </w:p>
        </w:tc>
      </w:tr>
      <w:tr w:rsidR="008D22B6" w:rsidRPr="008D22B6" w14:paraId="5A0049B7" w14:textId="77777777" w:rsidTr="00495C54">
        <w:trPr>
          <w:trHeight w:val="528"/>
        </w:trPr>
        <w:tc>
          <w:tcPr>
            <w:tcW w:w="1710" w:type="dxa"/>
            <w:hideMark/>
          </w:tcPr>
          <w:p w14:paraId="03DBFE21"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Central Heating - Load Shed</w:t>
            </w:r>
          </w:p>
        </w:tc>
        <w:tc>
          <w:tcPr>
            <w:tcW w:w="1325" w:type="dxa"/>
            <w:hideMark/>
          </w:tcPr>
          <w:p w14:paraId="29B0F61B" w14:textId="42FF9F0B" w:rsidR="008D22B6"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Direct load control</w:t>
            </w:r>
          </w:p>
        </w:tc>
        <w:tc>
          <w:tcPr>
            <w:tcW w:w="1332" w:type="dxa"/>
            <w:hideMark/>
          </w:tcPr>
          <w:p w14:paraId="04DE338B"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Winter</w:t>
            </w:r>
          </w:p>
        </w:tc>
        <w:tc>
          <w:tcPr>
            <w:tcW w:w="5425" w:type="dxa"/>
            <w:hideMark/>
          </w:tcPr>
          <w:p w14:paraId="5B6C04C8"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 xml:space="preserve">Direct load control program where utility provides day ahead notification that it will send remote signal to shed AC unit load during peak usage period. </w:t>
            </w:r>
          </w:p>
        </w:tc>
      </w:tr>
      <w:tr w:rsidR="008D22B6" w:rsidRPr="008D22B6" w14:paraId="35E1B98F" w14:textId="77777777" w:rsidTr="00495C54">
        <w:trPr>
          <w:trHeight w:val="528"/>
        </w:trPr>
        <w:tc>
          <w:tcPr>
            <w:tcW w:w="1710" w:type="dxa"/>
            <w:hideMark/>
          </w:tcPr>
          <w:p w14:paraId="5818E23F"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Central air conditioner - 50% cycling</w:t>
            </w:r>
          </w:p>
        </w:tc>
        <w:tc>
          <w:tcPr>
            <w:tcW w:w="1325" w:type="dxa"/>
            <w:hideMark/>
          </w:tcPr>
          <w:p w14:paraId="4DAC72E3" w14:textId="098D26FD" w:rsidR="008D22B6"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Direct load control</w:t>
            </w:r>
          </w:p>
        </w:tc>
        <w:tc>
          <w:tcPr>
            <w:tcW w:w="1332" w:type="dxa"/>
            <w:hideMark/>
          </w:tcPr>
          <w:p w14:paraId="6BC04CCC"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Summer</w:t>
            </w:r>
          </w:p>
        </w:tc>
        <w:tc>
          <w:tcPr>
            <w:tcW w:w="5425" w:type="dxa"/>
            <w:hideMark/>
          </w:tcPr>
          <w:p w14:paraId="4B4F223F"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Direct load control program where utility provides day ahead notification that it will send remote signal to cycle AC unit during peak usage period</w:t>
            </w:r>
          </w:p>
        </w:tc>
      </w:tr>
      <w:tr w:rsidR="008D22B6" w:rsidRPr="008D22B6" w14:paraId="43B2B531" w14:textId="77777777" w:rsidTr="00495C54">
        <w:trPr>
          <w:trHeight w:val="528"/>
        </w:trPr>
        <w:tc>
          <w:tcPr>
            <w:tcW w:w="1710" w:type="dxa"/>
            <w:hideMark/>
          </w:tcPr>
          <w:p w14:paraId="2F98614A"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Central Heating - 50% cycling</w:t>
            </w:r>
          </w:p>
        </w:tc>
        <w:tc>
          <w:tcPr>
            <w:tcW w:w="1325" w:type="dxa"/>
            <w:hideMark/>
          </w:tcPr>
          <w:p w14:paraId="03D93285" w14:textId="0E518AC7" w:rsidR="008D22B6"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Direct load control</w:t>
            </w:r>
          </w:p>
        </w:tc>
        <w:tc>
          <w:tcPr>
            <w:tcW w:w="1332" w:type="dxa"/>
            <w:hideMark/>
          </w:tcPr>
          <w:p w14:paraId="3E73DB9A"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Winter</w:t>
            </w:r>
          </w:p>
        </w:tc>
        <w:tc>
          <w:tcPr>
            <w:tcW w:w="5425" w:type="dxa"/>
            <w:hideMark/>
          </w:tcPr>
          <w:p w14:paraId="7DBC8120"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Direct load control program where utility provides day ahead notification that it will send remote signal to cycle AC unit during peak usage period</w:t>
            </w:r>
          </w:p>
        </w:tc>
      </w:tr>
      <w:tr w:rsidR="008D22B6" w:rsidRPr="008D22B6" w14:paraId="7BBF10D4" w14:textId="77777777" w:rsidTr="00495C54">
        <w:trPr>
          <w:trHeight w:val="528"/>
        </w:trPr>
        <w:tc>
          <w:tcPr>
            <w:tcW w:w="1710" w:type="dxa"/>
            <w:hideMark/>
          </w:tcPr>
          <w:p w14:paraId="39DDE959" w14:textId="788A5F69"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Smart thermostats - Utility Installation</w:t>
            </w:r>
            <w:r w:rsidR="00495C54">
              <w:rPr>
                <w:rFonts w:asciiTheme="minorHAnsi" w:hAnsiTheme="minorHAnsi" w:cstheme="minorHAnsi"/>
                <w:color w:val="000000"/>
              </w:rPr>
              <w:t>*</w:t>
            </w:r>
          </w:p>
        </w:tc>
        <w:tc>
          <w:tcPr>
            <w:tcW w:w="1325" w:type="dxa"/>
            <w:hideMark/>
          </w:tcPr>
          <w:p w14:paraId="114DDF4A" w14:textId="32B4A60C" w:rsidR="008D22B6"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Direct load control</w:t>
            </w:r>
          </w:p>
        </w:tc>
        <w:tc>
          <w:tcPr>
            <w:tcW w:w="1332" w:type="dxa"/>
            <w:hideMark/>
          </w:tcPr>
          <w:p w14:paraId="737BD932"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Summer and Winter</w:t>
            </w:r>
          </w:p>
        </w:tc>
        <w:tc>
          <w:tcPr>
            <w:tcW w:w="5425" w:type="dxa"/>
            <w:hideMark/>
          </w:tcPr>
          <w:p w14:paraId="71483FA8"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Similar to AC load control program, but allows customers to participate using a compatible smart thermostat rather than an AC switch</w:t>
            </w:r>
          </w:p>
        </w:tc>
      </w:tr>
      <w:tr w:rsidR="008D22B6" w:rsidRPr="008D22B6" w14:paraId="3D57B544" w14:textId="77777777" w:rsidTr="00495C54">
        <w:trPr>
          <w:trHeight w:val="528"/>
        </w:trPr>
        <w:tc>
          <w:tcPr>
            <w:tcW w:w="1710" w:type="dxa"/>
            <w:hideMark/>
          </w:tcPr>
          <w:p w14:paraId="6BF59E82" w14:textId="31ED52B3"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 xml:space="preserve">Smart thermostats </w:t>
            </w:r>
            <w:r w:rsidR="00495C54">
              <w:rPr>
                <w:rFonts w:asciiTheme="minorHAnsi" w:hAnsiTheme="minorHAnsi" w:cstheme="minorHAnsi"/>
                <w:color w:val="000000"/>
              </w:rPr>
              <w:t>–</w:t>
            </w:r>
            <w:r w:rsidRPr="00495C54">
              <w:rPr>
                <w:rFonts w:asciiTheme="minorHAnsi" w:hAnsiTheme="minorHAnsi" w:cstheme="minorHAnsi"/>
                <w:color w:val="000000"/>
              </w:rPr>
              <w:t xml:space="preserve"> BYOT</w:t>
            </w:r>
            <w:r w:rsidR="00495C54">
              <w:rPr>
                <w:rFonts w:asciiTheme="minorHAnsi" w:hAnsiTheme="minorHAnsi" w:cstheme="minorHAnsi"/>
                <w:color w:val="000000"/>
              </w:rPr>
              <w:t>*</w:t>
            </w:r>
          </w:p>
        </w:tc>
        <w:tc>
          <w:tcPr>
            <w:tcW w:w="1325" w:type="dxa"/>
            <w:hideMark/>
          </w:tcPr>
          <w:p w14:paraId="48CEC70E" w14:textId="21F6B6A7" w:rsidR="008D22B6"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Direct load control</w:t>
            </w:r>
          </w:p>
        </w:tc>
        <w:tc>
          <w:tcPr>
            <w:tcW w:w="1332" w:type="dxa"/>
            <w:hideMark/>
          </w:tcPr>
          <w:p w14:paraId="3FB7383B"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Summer and Winter</w:t>
            </w:r>
          </w:p>
        </w:tc>
        <w:tc>
          <w:tcPr>
            <w:tcW w:w="5425" w:type="dxa"/>
            <w:hideMark/>
          </w:tcPr>
          <w:p w14:paraId="72F50898"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Similar to AC load control program, but allows customers to participate using a compatible smart thermostat rather than an AC switch</w:t>
            </w:r>
          </w:p>
        </w:tc>
      </w:tr>
      <w:tr w:rsidR="008D22B6" w:rsidRPr="008D22B6" w14:paraId="498DE60F" w14:textId="77777777" w:rsidTr="00495C54">
        <w:trPr>
          <w:trHeight w:val="1584"/>
        </w:trPr>
        <w:tc>
          <w:tcPr>
            <w:tcW w:w="1710" w:type="dxa"/>
            <w:hideMark/>
          </w:tcPr>
          <w:p w14:paraId="68D1C9E4"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CPP + Tech</w:t>
            </w:r>
          </w:p>
        </w:tc>
        <w:tc>
          <w:tcPr>
            <w:tcW w:w="1325" w:type="dxa"/>
            <w:hideMark/>
          </w:tcPr>
          <w:p w14:paraId="533B2803"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Pricing</w:t>
            </w:r>
          </w:p>
        </w:tc>
        <w:tc>
          <w:tcPr>
            <w:tcW w:w="1332" w:type="dxa"/>
            <w:hideMark/>
          </w:tcPr>
          <w:p w14:paraId="1F7AE26B"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Summer and Winter</w:t>
            </w:r>
          </w:p>
        </w:tc>
        <w:tc>
          <w:tcPr>
            <w:tcW w:w="5425" w:type="dxa"/>
            <w:hideMark/>
          </w:tcPr>
          <w:p w14:paraId="484CE8DB"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Electricity rate that varies based on time of day. Can be same rate schedule for every day during a given season (time of use, or TOU) and with critical peak pricing (CPP) days when peak period rates are substantially higher for a limited number of days per year (customers receive advance notification of CPP event). Customers also receive technology that they can pre-program to curtail load when an event is called.</w:t>
            </w:r>
          </w:p>
        </w:tc>
      </w:tr>
      <w:tr w:rsidR="008D22B6" w:rsidRPr="008D22B6" w14:paraId="32BEAD17" w14:textId="77777777" w:rsidTr="00495C54">
        <w:trPr>
          <w:trHeight w:val="288"/>
        </w:trPr>
        <w:tc>
          <w:tcPr>
            <w:tcW w:w="1710" w:type="dxa"/>
            <w:hideMark/>
          </w:tcPr>
          <w:p w14:paraId="63BFB8BF"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Water heater switches</w:t>
            </w:r>
          </w:p>
        </w:tc>
        <w:tc>
          <w:tcPr>
            <w:tcW w:w="1325" w:type="dxa"/>
            <w:hideMark/>
          </w:tcPr>
          <w:p w14:paraId="4D1F556C" w14:textId="2E07EBFD" w:rsidR="008D22B6"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Direct load control</w:t>
            </w:r>
          </w:p>
        </w:tc>
        <w:tc>
          <w:tcPr>
            <w:tcW w:w="1332" w:type="dxa"/>
            <w:hideMark/>
          </w:tcPr>
          <w:p w14:paraId="461CE880"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Summer and Winter</w:t>
            </w:r>
          </w:p>
        </w:tc>
        <w:tc>
          <w:tcPr>
            <w:tcW w:w="5425" w:type="dxa"/>
            <w:hideMark/>
          </w:tcPr>
          <w:p w14:paraId="5E104F4A"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Load control switch that is installed on a water heater</w:t>
            </w:r>
          </w:p>
        </w:tc>
      </w:tr>
      <w:tr w:rsidR="008D22B6" w:rsidRPr="008D22B6" w14:paraId="72C20E94" w14:textId="77777777" w:rsidTr="00495C54">
        <w:trPr>
          <w:trHeight w:val="288"/>
        </w:trPr>
        <w:tc>
          <w:tcPr>
            <w:tcW w:w="1710" w:type="dxa"/>
            <w:hideMark/>
          </w:tcPr>
          <w:p w14:paraId="580311B6"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Pool pump switches</w:t>
            </w:r>
          </w:p>
        </w:tc>
        <w:tc>
          <w:tcPr>
            <w:tcW w:w="1325" w:type="dxa"/>
            <w:hideMark/>
          </w:tcPr>
          <w:p w14:paraId="08CB6277" w14:textId="5645FCCD" w:rsidR="008D22B6"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Direct load control</w:t>
            </w:r>
          </w:p>
        </w:tc>
        <w:tc>
          <w:tcPr>
            <w:tcW w:w="1332" w:type="dxa"/>
            <w:hideMark/>
          </w:tcPr>
          <w:p w14:paraId="7D8D1F8E"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Summer and Winter</w:t>
            </w:r>
          </w:p>
        </w:tc>
        <w:tc>
          <w:tcPr>
            <w:tcW w:w="5425" w:type="dxa"/>
            <w:hideMark/>
          </w:tcPr>
          <w:p w14:paraId="2A0090DC"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Load control program with switch installed on pool pump</w:t>
            </w:r>
          </w:p>
        </w:tc>
      </w:tr>
      <w:tr w:rsidR="008D22B6" w:rsidRPr="008D22B6" w14:paraId="3B27827C" w14:textId="77777777" w:rsidTr="00495C54">
        <w:trPr>
          <w:trHeight w:val="288"/>
        </w:trPr>
        <w:tc>
          <w:tcPr>
            <w:tcW w:w="1710" w:type="dxa"/>
            <w:hideMark/>
          </w:tcPr>
          <w:p w14:paraId="19B6289F" w14:textId="6DA262E4"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Room AC</w:t>
            </w:r>
            <w:r w:rsidR="00495C54">
              <w:rPr>
                <w:rFonts w:asciiTheme="minorHAnsi" w:hAnsiTheme="minorHAnsi" w:cstheme="minorHAnsi"/>
                <w:color w:val="000000"/>
              </w:rPr>
              <w:t>*</w:t>
            </w:r>
          </w:p>
        </w:tc>
        <w:tc>
          <w:tcPr>
            <w:tcW w:w="1325" w:type="dxa"/>
            <w:hideMark/>
          </w:tcPr>
          <w:p w14:paraId="7C4121F7" w14:textId="602162F8" w:rsidR="008D22B6"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Direct load control</w:t>
            </w:r>
          </w:p>
        </w:tc>
        <w:tc>
          <w:tcPr>
            <w:tcW w:w="1332" w:type="dxa"/>
            <w:hideMark/>
          </w:tcPr>
          <w:p w14:paraId="69C10880"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Summer</w:t>
            </w:r>
          </w:p>
        </w:tc>
        <w:tc>
          <w:tcPr>
            <w:tcW w:w="5425" w:type="dxa"/>
            <w:hideMark/>
          </w:tcPr>
          <w:p w14:paraId="2D6FF570"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Load control program that is focused on room AC units rather than central AC</w:t>
            </w:r>
          </w:p>
        </w:tc>
      </w:tr>
    </w:tbl>
    <w:p w14:paraId="7AE63532" w14:textId="77777777" w:rsidR="008D22B6" w:rsidRDefault="008D22B6" w:rsidP="00350E31">
      <w:pPr>
        <w:pStyle w:val="Text"/>
      </w:pPr>
    </w:p>
    <w:p w14:paraId="7941406A" w14:textId="31C28B21" w:rsidR="008D22B6" w:rsidRDefault="00C523FD" w:rsidP="006D6F49">
      <w:pPr>
        <w:pStyle w:val="Heading8"/>
        <w:keepNext/>
      </w:pPr>
      <w:r>
        <w:t>Small C&amp;I</w:t>
      </w:r>
      <w:r w:rsidR="008D22B6">
        <w:t xml:space="preserve"> Measures</w:t>
      </w:r>
    </w:p>
    <w:tbl>
      <w:tblPr>
        <w:tblStyle w:val="NEXANTNEWTABLESTYLE"/>
        <w:tblW w:w="0" w:type="auto"/>
        <w:tblLook w:val="04A0" w:firstRow="1" w:lastRow="0" w:firstColumn="1" w:lastColumn="0" w:noHBand="0" w:noVBand="1"/>
      </w:tblPr>
      <w:tblGrid>
        <w:gridCol w:w="1793"/>
        <w:gridCol w:w="1502"/>
        <w:gridCol w:w="1159"/>
        <w:gridCol w:w="5338"/>
      </w:tblGrid>
      <w:tr w:rsidR="008D22B6" w:rsidRPr="008D22B6" w14:paraId="64F6E633" w14:textId="77777777" w:rsidTr="004A5D2B">
        <w:trPr>
          <w:cnfStyle w:val="100000000000" w:firstRow="1" w:lastRow="0" w:firstColumn="0" w:lastColumn="0" w:oddVBand="0" w:evenVBand="0" w:oddHBand="0" w:evenHBand="0" w:firstRowFirstColumn="0" w:firstRowLastColumn="0" w:lastRowFirstColumn="0" w:lastRowLastColumn="0"/>
          <w:trHeight w:val="288"/>
        </w:trPr>
        <w:tc>
          <w:tcPr>
            <w:tcW w:w="1818" w:type="dxa"/>
            <w:hideMark/>
          </w:tcPr>
          <w:p w14:paraId="57512003" w14:textId="77777777" w:rsidR="008D22B6" w:rsidRPr="008D22B6" w:rsidRDefault="008D22B6" w:rsidP="004A5D2B">
            <w:pPr>
              <w:pStyle w:val="Tables-Bodycells"/>
            </w:pPr>
            <w:r w:rsidRPr="008D22B6">
              <w:t>Measure</w:t>
            </w:r>
          </w:p>
        </w:tc>
        <w:tc>
          <w:tcPr>
            <w:tcW w:w="1530" w:type="dxa"/>
            <w:hideMark/>
          </w:tcPr>
          <w:p w14:paraId="5E45F685" w14:textId="77777777" w:rsidR="008D22B6" w:rsidRPr="008D22B6" w:rsidRDefault="008D22B6" w:rsidP="004A5D2B">
            <w:pPr>
              <w:pStyle w:val="Tables-Bodycells"/>
            </w:pPr>
            <w:r w:rsidRPr="008D22B6">
              <w:t>Type</w:t>
            </w:r>
          </w:p>
        </w:tc>
        <w:tc>
          <w:tcPr>
            <w:tcW w:w="1170" w:type="dxa"/>
            <w:hideMark/>
          </w:tcPr>
          <w:p w14:paraId="3D0F2794" w14:textId="77777777" w:rsidR="008D22B6" w:rsidRPr="008D22B6" w:rsidRDefault="008D22B6" w:rsidP="004A5D2B">
            <w:pPr>
              <w:pStyle w:val="Tables-Bodycells"/>
            </w:pPr>
            <w:r w:rsidRPr="008D22B6">
              <w:t>Season</w:t>
            </w:r>
          </w:p>
        </w:tc>
        <w:tc>
          <w:tcPr>
            <w:tcW w:w="5490" w:type="dxa"/>
            <w:hideMark/>
          </w:tcPr>
          <w:p w14:paraId="096E3BC0" w14:textId="77777777" w:rsidR="008D22B6" w:rsidRPr="008D22B6" w:rsidRDefault="008D22B6" w:rsidP="004A5D2B">
            <w:pPr>
              <w:pStyle w:val="Tables-Bodycells"/>
              <w:rPr>
                <w:color w:val="000000"/>
              </w:rPr>
            </w:pPr>
            <w:r w:rsidRPr="008D22B6">
              <w:t>Measure Description</w:t>
            </w:r>
          </w:p>
        </w:tc>
      </w:tr>
      <w:tr w:rsidR="004A5D2B" w:rsidRPr="008D22B6" w14:paraId="171E7C3B" w14:textId="77777777" w:rsidTr="004A5D2B">
        <w:trPr>
          <w:trHeight w:val="528"/>
        </w:trPr>
        <w:tc>
          <w:tcPr>
            <w:tcW w:w="1818" w:type="dxa"/>
            <w:hideMark/>
          </w:tcPr>
          <w:p w14:paraId="6EEA2E3B" w14:textId="77777777"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Central air conditioner - Load Shed</w:t>
            </w:r>
          </w:p>
        </w:tc>
        <w:tc>
          <w:tcPr>
            <w:tcW w:w="1530" w:type="dxa"/>
            <w:hideMark/>
          </w:tcPr>
          <w:p w14:paraId="28FC895E" w14:textId="629350A2"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Direct load control</w:t>
            </w:r>
          </w:p>
        </w:tc>
        <w:tc>
          <w:tcPr>
            <w:tcW w:w="1170" w:type="dxa"/>
            <w:hideMark/>
          </w:tcPr>
          <w:p w14:paraId="7B2E9F41" w14:textId="77777777"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Summer</w:t>
            </w:r>
          </w:p>
        </w:tc>
        <w:tc>
          <w:tcPr>
            <w:tcW w:w="5490" w:type="dxa"/>
            <w:hideMark/>
          </w:tcPr>
          <w:p w14:paraId="46A08516" w14:textId="77777777"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Direct load control program where utility provides day ahead notification that it will send remote signal to shed AC unit load during peak usage period.</w:t>
            </w:r>
          </w:p>
        </w:tc>
      </w:tr>
      <w:tr w:rsidR="004A5D2B" w:rsidRPr="008D22B6" w14:paraId="5A5D3589" w14:textId="77777777" w:rsidTr="004A5D2B">
        <w:trPr>
          <w:trHeight w:val="528"/>
        </w:trPr>
        <w:tc>
          <w:tcPr>
            <w:tcW w:w="1818" w:type="dxa"/>
            <w:hideMark/>
          </w:tcPr>
          <w:p w14:paraId="079091BE" w14:textId="2D94A335"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Central Heating - Load Shed</w:t>
            </w:r>
            <w:r w:rsidR="00495C54">
              <w:rPr>
                <w:rFonts w:asciiTheme="minorHAnsi" w:hAnsiTheme="minorHAnsi" w:cstheme="minorHAnsi"/>
                <w:color w:val="000000"/>
              </w:rPr>
              <w:t>*</w:t>
            </w:r>
          </w:p>
        </w:tc>
        <w:tc>
          <w:tcPr>
            <w:tcW w:w="1530" w:type="dxa"/>
            <w:hideMark/>
          </w:tcPr>
          <w:p w14:paraId="5033E33D" w14:textId="540951DB"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Direct load control</w:t>
            </w:r>
          </w:p>
        </w:tc>
        <w:tc>
          <w:tcPr>
            <w:tcW w:w="1170" w:type="dxa"/>
            <w:hideMark/>
          </w:tcPr>
          <w:p w14:paraId="71A1845B" w14:textId="77777777"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Winter</w:t>
            </w:r>
          </w:p>
        </w:tc>
        <w:tc>
          <w:tcPr>
            <w:tcW w:w="5490" w:type="dxa"/>
            <w:hideMark/>
          </w:tcPr>
          <w:p w14:paraId="5C5F9829" w14:textId="77777777"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 xml:space="preserve">Direct load control program where utility provides day ahead notification that it will send remote signal to shed AC unit load during peak usage period. </w:t>
            </w:r>
          </w:p>
        </w:tc>
      </w:tr>
      <w:tr w:rsidR="004A5D2B" w:rsidRPr="008D22B6" w14:paraId="633D828C" w14:textId="77777777" w:rsidTr="004A5D2B">
        <w:trPr>
          <w:trHeight w:val="528"/>
        </w:trPr>
        <w:tc>
          <w:tcPr>
            <w:tcW w:w="1818" w:type="dxa"/>
            <w:hideMark/>
          </w:tcPr>
          <w:p w14:paraId="44DB9E0A" w14:textId="77777777"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Central air conditioner - 50% cycling</w:t>
            </w:r>
          </w:p>
        </w:tc>
        <w:tc>
          <w:tcPr>
            <w:tcW w:w="1530" w:type="dxa"/>
            <w:hideMark/>
          </w:tcPr>
          <w:p w14:paraId="384AB43C" w14:textId="10C209BC"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Direct load control</w:t>
            </w:r>
          </w:p>
        </w:tc>
        <w:tc>
          <w:tcPr>
            <w:tcW w:w="1170" w:type="dxa"/>
            <w:hideMark/>
          </w:tcPr>
          <w:p w14:paraId="24F12A08" w14:textId="77777777"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Summer</w:t>
            </w:r>
          </w:p>
        </w:tc>
        <w:tc>
          <w:tcPr>
            <w:tcW w:w="5490" w:type="dxa"/>
            <w:hideMark/>
          </w:tcPr>
          <w:p w14:paraId="52E62C47" w14:textId="77777777"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Direct load control program where utility provides day ahead notification that it will send remote signal to cycle AC unit during peak usage period</w:t>
            </w:r>
          </w:p>
        </w:tc>
      </w:tr>
      <w:tr w:rsidR="004A5D2B" w:rsidRPr="008D22B6" w14:paraId="583DA1D9" w14:textId="77777777" w:rsidTr="004A5D2B">
        <w:trPr>
          <w:trHeight w:val="528"/>
        </w:trPr>
        <w:tc>
          <w:tcPr>
            <w:tcW w:w="1818" w:type="dxa"/>
            <w:hideMark/>
          </w:tcPr>
          <w:p w14:paraId="49C61E22" w14:textId="366DCE6B"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Central Heating - 50% cycling</w:t>
            </w:r>
            <w:r w:rsidR="00495C54">
              <w:rPr>
                <w:rFonts w:asciiTheme="minorHAnsi" w:hAnsiTheme="minorHAnsi" w:cstheme="minorHAnsi"/>
                <w:color w:val="000000"/>
              </w:rPr>
              <w:t>*</w:t>
            </w:r>
          </w:p>
        </w:tc>
        <w:tc>
          <w:tcPr>
            <w:tcW w:w="1530" w:type="dxa"/>
            <w:hideMark/>
          </w:tcPr>
          <w:p w14:paraId="507EE00F" w14:textId="29BCB5DF"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Direct load control</w:t>
            </w:r>
          </w:p>
        </w:tc>
        <w:tc>
          <w:tcPr>
            <w:tcW w:w="1170" w:type="dxa"/>
            <w:hideMark/>
          </w:tcPr>
          <w:p w14:paraId="2E6673E5" w14:textId="77777777"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Winter</w:t>
            </w:r>
          </w:p>
        </w:tc>
        <w:tc>
          <w:tcPr>
            <w:tcW w:w="5490" w:type="dxa"/>
            <w:hideMark/>
          </w:tcPr>
          <w:p w14:paraId="2B78E6DE" w14:textId="77777777"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Direct load control program where utility provides day ahead notification that it will send remote signal to cycle AC unit during peak usage period</w:t>
            </w:r>
          </w:p>
        </w:tc>
      </w:tr>
      <w:tr w:rsidR="004A5D2B" w:rsidRPr="008D22B6" w14:paraId="2A5D5417" w14:textId="77777777" w:rsidTr="004A5D2B">
        <w:trPr>
          <w:trHeight w:val="528"/>
        </w:trPr>
        <w:tc>
          <w:tcPr>
            <w:tcW w:w="1818" w:type="dxa"/>
            <w:hideMark/>
          </w:tcPr>
          <w:p w14:paraId="4F76DB72" w14:textId="09B8B573"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Smart thermostats - Utility Installation</w:t>
            </w:r>
            <w:r w:rsidR="00495C54">
              <w:rPr>
                <w:rFonts w:asciiTheme="minorHAnsi" w:hAnsiTheme="minorHAnsi" w:cstheme="minorHAnsi"/>
                <w:color w:val="000000"/>
              </w:rPr>
              <w:t>*</w:t>
            </w:r>
          </w:p>
        </w:tc>
        <w:tc>
          <w:tcPr>
            <w:tcW w:w="1530" w:type="dxa"/>
            <w:hideMark/>
          </w:tcPr>
          <w:p w14:paraId="1DCD878C" w14:textId="78332CA5"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Direct load control</w:t>
            </w:r>
          </w:p>
        </w:tc>
        <w:tc>
          <w:tcPr>
            <w:tcW w:w="1170" w:type="dxa"/>
            <w:hideMark/>
          </w:tcPr>
          <w:p w14:paraId="70D5C53F" w14:textId="77777777"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Summer and Winter</w:t>
            </w:r>
          </w:p>
        </w:tc>
        <w:tc>
          <w:tcPr>
            <w:tcW w:w="5490" w:type="dxa"/>
            <w:hideMark/>
          </w:tcPr>
          <w:p w14:paraId="53FCF55A" w14:textId="77777777"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Similar to AC load control program, but allows customers to participate using a compatible smart thermostat rather than an AC switch</w:t>
            </w:r>
          </w:p>
        </w:tc>
      </w:tr>
      <w:tr w:rsidR="004A5D2B" w:rsidRPr="008D22B6" w14:paraId="67CC9523" w14:textId="77777777" w:rsidTr="004A5D2B">
        <w:trPr>
          <w:trHeight w:val="528"/>
        </w:trPr>
        <w:tc>
          <w:tcPr>
            <w:tcW w:w="1818" w:type="dxa"/>
            <w:hideMark/>
          </w:tcPr>
          <w:p w14:paraId="596FBA64" w14:textId="66949478"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 xml:space="preserve">Smart thermostats </w:t>
            </w:r>
            <w:r w:rsidR="00495C54">
              <w:rPr>
                <w:rFonts w:asciiTheme="minorHAnsi" w:hAnsiTheme="minorHAnsi" w:cstheme="minorHAnsi"/>
                <w:color w:val="000000"/>
              </w:rPr>
              <w:t>–</w:t>
            </w:r>
            <w:r w:rsidRPr="00495C54">
              <w:rPr>
                <w:rFonts w:asciiTheme="minorHAnsi" w:hAnsiTheme="minorHAnsi" w:cstheme="minorHAnsi"/>
                <w:color w:val="000000"/>
              </w:rPr>
              <w:t xml:space="preserve"> BYOT</w:t>
            </w:r>
            <w:r w:rsidR="00495C54">
              <w:rPr>
                <w:rFonts w:asciiTheme="minorHAnsi" w:hAnsiTheme="minorHAnsi" w:cstheme="minorHAnsi"/>
                <w:color w:val="000000"/>
              </w:rPr>
              <w:t>*</w:t>
            </w:r>
          </w:p>
        </w:tc>
        <w:tc>
          <w:tcPr>
            <w:tcW w:w="1530" w:type="dxa"/>
            <w:hideMark/>
          </w:tcPr>
          <w:p w14:paraId="2E4E6579" w14:textId="0A7D18AE"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Direct load control</w:t>
            </w:r>
          </w:p>
        </w:tc>
        <w:tc>
          <w:tcPr>
            <w:tcW w:w="1170" w:type="dxa"/>
            <w:hideMark/>
          </w:tcPr>
          <w:p w14:paraId="10978FF4" w14:textId="77777777"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Summer and Winter</w:t>
            </w:r>
          </w:p>
        </w:tc>
        <w:tc>
          <w:tcPr>
            <w:tcW w:w="5490" w:type="dxa"/>
            <w:hideMark/>
          </w:tcPr>
          <w:p w14:paraId="217A3193" w14:textId="77777777"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Similar to AC load control program, but allows customers to participate using a compatible smart thermostat rather than an AC switch</w:t>
            </w:r>
          </w:p>
        </w:tc>
      </w:tr>
      <w:tr w:rsidR="004A5D2B" w:rsidRPr="008D22B6" w14:paraId="34213EBF" w14:textId="77777777" w:rsidTr="004A5D2B">
        <w:trPr>
          <w:trHeight w:val="1584"/>
        </w:trPr>
        <w:tc>
          <w:tcPr>
            <w:tcW w:w="1818" w:type="dxa"/>
            <w:hideMark/>
          </w:tcPr>
          <w:p w14:paraId="2E825D85" w14:textId="77777777"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CPP + Tech</w:t>
            </w:r>
          </w:p>
        </w:tc>
        <w:tc>
          <w:tcPr>
            <w:tcW w:w="1530" w:type="dxa"/>
            <w:hideMark/>
          </w:tcPr>
          <w:p w14:paraId="5A4A902E" w14:textId="369FADFC"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Pricing</w:t>
            </w:r>
          </w:p>
        </w:tc>
        <w:tc>
          <w:tcPr>
            <w:tcW w:w="1170" w:type="dxa"/>
            <w:hideMark/>
          </w:tcPr>
          <w:p w14:paraId="798A1EE2" w14:textId="77777777"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Summer and Winter</w:t>
            </w:r>
          </w:p>
        </w:tc>
        <w:tc>
          <w:tcPr>
            <w:tcW w:w="5490" w:type="dxa"/>
            <w:hideMark/>
          </w:tcPr>
          <w:p w14:paraId="42CFACB4" w14:textId="77777777" w:rsidR="004A5D2B" w:rsidRPr="00495C54" w:rsidRDefault="004A5D2B" w:rsidP="004A5D2B">
            <w:pPr>
              <w:pStyle w:val="Tables-Bodycells"/>
              <w:rPr>
                <w:rFonts w:asciiTheme="minorHAnsi" w:hAnsiTheme="minorHAnsi" w:cstheme="minorHAnsi"/>
                <w:color w:val="000000"/>
              </w:rPr>
            </w:pPr>
            <w:r w:rsidRPr="00495C54">
              <w:rPr>
                <w:rFonts w:asciiTheme="minorHAnsi" w:hAnsiTheme="minorHAnsi" w:cstheme="minorHAnsi"/>
                <w:color w:val="000000"/>
              </w:rPr>
              <w:t>Electricity rate that varies based on time of day. Can be same rate schedule for every day during a given season (time of use, or TOU) and with critical peak pricing (CPP) days when peak period rates are substantially higher for a limited number of days per year (customers receive advance notification of CPP event). Customers also receive technology that they can pre-program to curtail load when an event is called.</w:t>
            </w:r>
          </w:p>
        </w:tc>
      </w:tr>
    </w:tbl>
    <w:p w14:paraId="13B197A5" w14:textId="77777777" w:rsidR="008D22B6" w:rsidRDefault="008D22B6" w:rsidP="008D22B6">
      <w:pPr>
        <w:pStyle w:val="Text"/>
      </w:pPr>
    </w:p>
    <w:p w14:paraId="430FF40F" w14:textId="0BB569B5" w:rsidR="008D22B6" w:rsidRDefault="008D22B6" w:rsidP="00495C54">
      <w:pPr>
        <w:pStyle w:val="Heading8"/>
        <w:keepNext/>
      </w:pPr>
      <w:r>
        <w:t>Large C&amp;I Measures</w:t>
      </w:r>
    </w:p>
    <w:tbl>
      <w:tblPr>
        <w:tblStyle w:val="NEXANTNEWTABLESTYLE"/>
        <w:tblW w:w="0" w:type="auto"/>
        <w:tblLook w:val="04A0" w:firstRow="1" w:lastRow="0" w:firstColumn="1" w:lastColumn="0" w:noHBand="0" w:noVBand="1"/>
      </w:tblPr>
      <w:tblGrid>
        <w:gridCol w:w="1358"/>
        <w:gridCol w:w="1772"/>
        <w:gridCol w:w="1331"/>
        <w:gridCol w:w="5331"/>
      </w:tblGrid>
      <w:tr w:rsidR="008D22B6" w:rsidRPr="008D22B6" w14:paraId="1C371BFF" w14:textId="77777777" w:rsidTr="004A5D2B">
        <w:trPr>
          <w:cnfStyle w:val="100000000000" w:firstRow="1" w:lastRow="0" w:firstColumn="0" w:lastColumn="0" w:oddVBand="0" w:evenVBand="0" w:oddHBand="0" w:evenHBand="0" w:firstRowFirstColumn="0" w:firstRowLastColumn="0" w:lastRowFirstColumn="0" w:lastRowLastColumn="0"/>
          <w:trHeight w:val="288"/>
        </w:trPr>
        <w:tc>
          <w:tcPr>
            <w:tcW w:w="1368" w:type="dxa"/>
            <w:hideMark/>
          </w:tcPr>
          <w:p w14:paraId="5612BBA4" w14:textId="77777777" w:rsidR="008D22B6" w:rsidRPr="008D22B6" w:rsidRDefault="008D22B6" w:rsidP="004A5D2B">
            <w:pPr>
              <w:pStyle w:val="Tables-Bodycells"/>
            </w:pPr>
            <w:r w:rsidRPr="008D22B6">
              <w:t>Measure</w:t>
            </w:r>
          </w:p>
        </w:tc>
        <w:tc>
          <w:tcPr>
            <w:tcW w:w="1800" w:type="dxa"/>
            <w:hideMark/>
          </w:tcPr>
          <w:p w14:paraId="27B55467" w14:textId="77777777" w:rsidR="008D22B6" w:rsidRPr="008D22B6" w:rsidRDefault="008D22B6" w:rsidP="004A5D2B">
            <w:pPr>
              <w:pStyle w:val="Tables-Bodycells"/>
            </w:pPr>
            <w:r w:rsidRPr="008D22B6">
              <w:t>Type</w:t>
            </w:r>
          </w:p>
        </w:tc>
        <w:tc>
          <w:tcPr>
            <w:tcW w:w="1350" w:type="dxa"/>
            <w:hideMark/>
          </w:tcPr>
          <w:p w14:paraId="7273B461" w14:textId="77777777" w:rsidR="008D22B6" w:rsidRPr="008D22B6" w:rsidRDefault="008D22B6" w:rsidP="004A5D2B">
            <w:pPr>
              <w:pStyle w:val="Tables-Bodycells"/>
            </w:pPr>
            <w:r w:rsidRPr="008D22B6">
              <w:t>Season</w:t>
            </w:r>
          </w:p>
        </w:tc>
        <w:tc>
          <w:tcPr>
            <w:tcW w:w="5490" w:type="dxa"/>
            <w:hideMark/>
          </w:tcPr>
          <w:p w14:paraId="5BDBD995" w14:textId="77777777" w:rsidR="008D22B6" w:rsidRPr="008D22B6" w:rsidRDefault="008D22B6" w:rsidP="004A5D2B">
            <w:pPr>
              <w:pStyle w:val="Tables-Bodycells"/>
            </w:pPr>
            <w:r w:rsidRPr="008D22B6">
              <w:t>Measure Description</w:t>
            </w:r>
          </w:p>
        </w:tc>
      </w:tr>
      <w:tr w:rsidR="008D22B6" w:rsidRPr="008D22B6" w14:paraId="65FA9962" w14:textId="77777777" w:rsidTr="004A5D2B">
        <w:trPr>
          <w:trHeight w:val="1584"/>
        </w:trPr>
        <w:tc>
          <w:tcPr>
            <w:tcW w:w="1368" w:type="dxa"/>
            <w:hideMark/>
          </w:tcPr>
          <w:p w14:paraId="09FF1EE4" w14:textId="2D960DCE"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CPP + Tech</w:t>
            </w:r>
            <w:r w:rsidR="00495C54">
              <w:rPr>
                <w:rFonts w:asciiTheme="minorHAnsi" w:hAnsiTheme="minorHAnsi" w:cstheme="minorHAnsi"/>
                <w:color w:val="000000"/>
              </w:rPr>
              <w:t>*</w:t>
            </w:r>
          </w:p>
        </w:tc>
        <w:tc>
          <w:tcPr>
            <w:tcW w:w="1800" w:type="dxa"/>
            <w:hideMark/>
          </w:tcPr>
          <w:p w14:paraId="1B50B59F"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Pricing</w:t>
            </w:r>
          </w:p>
        </w:tc>
        <w:tc>
          <w:tcPr>
            <w:tcW w:w="1350" w:type="dxa"/>
            <w:hideMark/>
          </w:tcPr>
          <w:p w14:paraId="02544F5C"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Summer and Winter</w:t>
            </w:r>
          </w:p>
        </w:tc>
        <w:tc>
          <w:tcPr>
            <w:tcW w:w="5490" w:type="dxa"/>
            <w:hideMark/>
          </w:tcPr>
          <w:p w14:paraId="7775318B" w14:textId="7777777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Electricity rate that varies based on time of day. Can be same rate schedule for every day during a given season (time of use, or TOU) and with critical peak pricing (CPP) days when peak period rates are substantially higher for a limited number of days per year (customers receive advance notification of CPP event). Customers also receive technology that they can pre-program to curtail load when an event is called.</w:t>
            </w:r>
          </w:p>
        </w:tc>
      </w:tr>
      <w:tr w:rsidR="008D22B6" w:rsidRPr="008D22B6" w14:paraId="37B78805" w14:textId="77777777" w:rsidTr="004A5D2B">
        <w:trPr>
          <w:trHeight w:val="288"/>
        </w:trPr>
        <w:tc>
          <w:tcPr>
            <w:tcW w:w="1368" w:type="dxa"/>
            <w:vAlign w:val="center"/>
            <w:hideMark/>
          </w:tcPr>
          <w:p w14:paraId="59DB26FB" w14:textId="5EBF9B59"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Auto DR</w:t>
            </w:r>
            <w:r w:rsidR="00495C54" w:rsidRPr="00495C54">
              <w:rPr>
                <w:rFonts w:asciiTheme="minorHAnsi" w:hAnsiTheme="minorHAnsi" w:cstheme="minorHAnsi"/>
                <w:color w:val="000000"/>
              </w:rPr>
              <w:t>*</w:t>
            </w:r>
          </w:p>
        </w:tc>
        <w:tc>
          <w:tcPr>
            <w:tcW w:w="1800" w:type="dxa"/>
            <w:vAlign w:val="center"/>
            <w:hideMark/>
          </w:tcPr>
          <w:p w14:paraId="477357FB" w14:textId="343DC4CD"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szCs w:val="22"/>
              </w:rPr>
              <w:t>Utility-controlled loads</w:t>
            </w:r>
          </w:p>
        </w:tc>
        <w:tc>
          <w:tcPr>
            <w:tcW w:w="1350" w:type="dxa"/>
            <w:vAlign w:val="center"/>
            <w:hideMark/>
          </w:tcPr>
          <w:p w14:paraId="2F030822" w14:textId="49CEF3A0"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Summer and Winter</w:t>
            </w:r>
          </w:p>
        </w:tc>
        <w:tc>
          <w:tcPr>
            <w:tcW w:w="5490" w:type="dxa"/>
            <w:vAlign w:val="center"/>
            <w:hideMark/>
          </w:tcPr>
          <w:p w14:paraId="225BD2ED" w14:textId="78CB2745"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Custom load control of specific end-uses/processes that is triggered by utility signal to building management system; customer can sometimes opt-out of specific events</w:t>
            </w:r>
          </w:p>
        </w:tc>
      </w:tr>
      <w:tr w:rsidR="008D22B6" w:rsidRPr="008D22B6" w14:paraId="6CAB580C" w14:textId="77777777" w:rsidTr="004A5D2B">
        <w:trPr>
          <w:trHeight w:val="288"/>
        </w:trPr>
        <w:tc>
          <w:tcPr>
            <w:tcW w:w="1368" w:type="dxa"/>
            <w:vAlign w:val="center"/>
            <w:hideMark/>
          </w:tcPr>
          <w:p w14:paraId="16E9EAF4" w14:textId="55190AA0"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Firm Service Level</w:t>
            </w:r>
          </w:p>
        </w:tc>
        <w:tc>
          <w:tcPr>
            <w:tcW w:w="1800" w:type="dxa"/>
            <w:vAlign w:val="center"/>
            <w:hideMark/>
          </w:tcPr>
          <w:p w14:paraId="26E762E4" w14:textId="350B9294"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szCs w:val="22"/>
              </w:rPr>
              <w:t>Contractual</w:t>
            </w:r>
          </w:p>
        </w:tc>
        <w:tc>
          <w:tcPr>
            <w:tcW w:w="1350" w:type="dxa"/>
            <w:vAlign w:val="center"/>
            <w:hideMark/>
          </w:tcPr>
          <w:p w14:paraId="15C98CE9" w14:textId="4A1D4997"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Summer and Winter</w:t>
            </w:r>
          </w:p>
        </w:tc>
        <w:tc>
          <w:tcPr>
            <w:tcW w:w="5490" w:type="dxa"/>
            <w:vAlign w:val="center"/>
            <w:hideMark/>
          </w:tcPr>
          <w:p w14:paraId="702F9671" w14:textId="0337F3C3"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Customer commits to a maximum usage level during peak periods and, when notified by the utility, agrees to cut usage to that level.</w:t>
            </w:r>
          </w:p>
        </w:tc>
      </w:tr>
      <w:tr w:rsidR="008D22B6" w:rsidRPr="008D22B6" w14:paraId="19BA2FDD" w14:textId="77777777" w:rsidTr="004A5D2B">
        <w:trPr>
          <w:trHeight w:val="288"/>
        </w:trPr>
        <w:tc>
          <w:tcPr>
            <w:tcW w:w="1368" w:type="dxa"/>
            <w:vAlign w:val="center"/>
            <w:hideMark/>
          </w:tcPr>
          <w:p w14:paraId="045DACE3" w14:textId="7BBD709C"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Guaranteed Load Drop</w:t>
            </w:r>
            <w:r w:rsidR="00495C54">
              <w:rPr>
                <w:rFonts w:asciiTheme="minorHAnsi" w:hAnsiTheme="minorHAnsi" w:cstheme="minorHAnsi"/>
                <w:color w:val="000000"/>
              </w:rPr>
              <w:t>*</w:t>
            </w:r>
          </w:p>
        </w:tc>
        <w:tc>
          <w:tcPr>
            <w:tcW w:w="1800" w:type="dxa"/>
            <w:vAlign w:val="center"/>
            <w:hideMark/>
          </w:tcPr>
          <w:p w14:paraId="18BE42EE" w14:textId="4CDB4E44"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szCs w:val="22"/>
              </w:rPr>
              <w:t>Contractual</w:t>
            </w:r>
          </w:p>
        </w:tc>
        <w:tc>
          <w:tcPr>
            <w:tcW w:w="1350" w:type="dxa"/>
            <w:vAlign w:val="center"/>
            <w:hideMark/>
          </w:tcPr>
          <w:p w14:paraId="561A5C5B" w14:textId="52AB302F"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Summer and Winter</w:t>
            </w:r>
          </w:p>
        </w:tc>
        <w:tc>
          <w:tcPr>
            <w:tcW w:w="5490" w:type="dxa"/>
            <w:vAlign w:val="center"/>
            <w:hideMark/>
          </w:tcPr>
          <w:p w14:paraId="4C55FC3B" w14:textId="7E87F8C8" w:rsidR="008D22B6" w:rsidRPr="00495C54" w:rsidRDefault="008D22B6" w:rsidP="004A5D2B">
            <w:pPr>
              <w:pStyle w:val="Tables-Bodycells"/>
              <w:rPr>
                <w:rFonts w:asciiTheme="minorHAnsi" w:hAnsiTheme="minorHAnsi" w:cstheme="minorHAnsi"/>
                <w:color w:val="000000"/>
              </w:rPr>
            </w:pPr>
            <w:r w:rsidRPr="00495C54">
              <w:rPr>
                <w:rFonts w:asciiTheme="minorHAnsi" w:hAnsiTheme="minorHAnsi" w:cstheme="minorHAnsi"/>
                <w:color w:val="000000"/>
              </w:rPr>
              <w:t>Customer agrees to reduce usage by an agreed upon amount when notified</w:t>
            </w:r>
          </w:p>
        </w:tc>
      </w:tr>
    </w:tbl>
    <w:p w14:paraId="16CAEF41" w14:textId="77777777" w:rsidR="008D22B6" w:rsidRDefault="008D22B6" w:rsidP="008D22B6">
      <w:pPr>
        <w:pStyle w:val="Text"/>
      </w:pPr>
    </w:p>
    <w:p w14:paraId="36675AB1" w14:textId="77777777" w:rsidR="00495C54" w:rsidRDefault="00495C54" w:rsidP="008D22B6">
      <w:pPr>
        <w:pStyle w:val="Text"/>
      </w:pPr>
    </w:p>
    <w:p w14:paraId="360F0BD9" w14:textId="73094949" w:rsidR="00495C54" w:rsidRDefault="00495C54" w:rsidP="008D22B6">
      <w:pPr>
        <w:pStyle w:val="Text"/>
        <w:sectPr w:rsidR="00495C54" w:rsidSect="00DE1B69">
          <w:headerReference w:type="default" r:id="rId66"/>
          <w:footerReference w:type="default" r:id="rId67"/>
          <w:headerReference w:type="first" r:id="rId68"/>
          <w:footerReference w:type="first" r:id="rId69"/>
          <w:footnotePr>
            <w:numRestart w:val="eachSect"/>
          </w:footnotePr>
          <w:endnotePr>
            <w:numFmt w:val="decimal"/>
          </w:endnotePr>
          <w:pgSz w:w="12240" w:h="15840" w:code="1"/>
          <w:pgMar w:top="1440" w:right="1224" w:bottom="1440" w:left="1224" w:header="720" w:footer="720" w:gutter="0"/>
          <w:pgNumType w:start="1" w:chapStyle="7"/>
          <w:cols w:space="360"/>
          <w:titlePg/>
          <w:docGrid w:linePitch="299"/>
        </w:sectPr>
      </w:pPr>
      <w:r>
        <w:t xml:space="preserve">No DR </w:t>
      </w:r>
      <w:r w:rsidRPr="00251390">
        <w:t>measures</w:t>
      </w:r>
      <w:r>
        <w:t xml:space="preserve"> from the 2014 Technical Potential Study were eliminated from the current study.</w:t>
      </w:r>
    </w:p>
    <w:p w14:paraId="665F7E59" w14:textId="3F11E9F8" w:rsidR="003434B6" w:rsidRDefault="003434B6" w:rsidP="006D4F96">
      <w:pPr>
        <w:pStyle w:val="Heading7"/>
      </w:pPr>
      <w:bookmarkStart w:id="183" w:name="_Toc5715523"/>
      <w:r>
        <w:t>DSRE Measure List</w:t>
      </w:r>
      <w:bookmarkEnd w:id="183"/>
    </w:p>
    <w:p w14:paraId="2394A08B" w14:textId="77777777" w:rsidR="002A06E1" w:rsidRDefault="002A06E1" w:rsidP="002A06E1">
      <w:pPr>
        <w:pStyle w:val="Heading8"/>
      </w:pPr>
      <w:r>
        <w:t>Residential Measures</w:t>
      </w:r>
    </w:p>
    <w:tbl>
      <w:tblPr>
        <w:tblStyle w:val="NEXANTNEWTABLESTYLE"/>
        <w:tblW w:w="0" w:type="auto"/>
        <w:jc w:val="center"/>
        <w:tblLook w:val="04A0" w:firstRow="1" w:lastRow="0" w:firstColumn="1" w:lastColumn="0" w:noHBand="0" w:noVBand="1"/>
      </w:tblPr>
      <w:tblGrid>
        <w:gridCol w:w="2293"/>
        <w:gridCol w:w="4950"/>
      </w:tblGrid>
      <w:tr w:rsidR="002A06E1" w:rsidRPr="008D22B6" w14:paraId="072C99C4" w14:textId="77777777" w:rsidTr="00495C54">
        <w:trPr>
          <w:cnfStyle w:val="100000000000" w:firstRow="1" w:lastRow="0" w:firstColumn="0" w:lastColumn="0" w:oddVBand="0" w:evenVBand="0" w:oddHBand="0" w:evenHBand="0" w:firstRowFirstColumn="0" w:firstRowLastColumn="0" w:lastRowFirstColumn="0" w:lastRowLastColumn="0"/>
          <w:trHeight w:val="288"/>
          <w:jc w:val="center"/>
        </w:trPr>
        <w:tc>
          <w:tcPr>
            <w:tcW w:w="2293" w:type="dxa"/>
            <w:hideMark/>
          </w:tcPr>
          <w:p w14:paraId="17DFC532" w14:textId="77777777" w:rsidR="002A06E1" w:rsidRPr="008D22B6" w:rsidRDefault="002A06E1" w:rsidP="00404B75">
            <w:pPr>
              <w:tabs>
                <w:tab w:val="clear" w:pos="-1440"/>
                <w:tab w:val="clear" w:pos="-720"/>
              </w:tabs>
              <w:spacing w:after="0" w:line="240" w:lineRule="auto"/>
              <w:ind w:left="0"/>
              <w:rPr>
                <w:rFonts w:ascii="Arial" w:hAnsi="Arial" w:cs="Arial"/>
                <w:bCs/>
                <w:color w:val="FFFFFF"/>
                <w:sz w:val="18"/>
                <w:szCs w:val="18"/>
              </w:rPr>
            </w:pPr>
            <w:r w:rsidRPr="008D22B6">
              <w:rPr>
                <w:rFonts w:ascii="Arial" w:hAnsi="Arial" w:cs="Arial"/>
                <w:bCs/>
                <w:color w:val="FFFFFF"/>
                <w:sz w:val="18"/>
                <w:szCs w:val="18"/>
              </w:rPr>
              <w:t>Measure</w:t>
            </w:r>
          </w:p>
        </w:tc>
        <w:tc>
          <w:tcPr>
            <w:tcW w:w="4950" w:type="dxa"/>
            <w:hideMark/>
          </w:tcPr>
          <w:p w14:paraId="2D433A9E" w14:textId="77777777" w:rsidR="002A06E1" w:rsidRPr="008D22B6" w:rsidRDefault="002A06E1" w:rsidP="00404B75">
            <w:pPr>
              <w:tabs>
                <w:tab w:val="clear" w:pos="-1440"/>
                <w:tab w:val="clear" w:pos="-720"/>
              </w:tabs>
              <w:spacing w:after="0" w:line="240" w:lineRule="auto"/>
              <w:ind w:left="0"/>
              <w:rPr>
                <w:rFonts w:ascii="Arial" w:hAnsi="Arial" w:cs="Arial"/>
                <w:sz w:val="18"/>
                <w:szCs w:val="18"/>
              </w:rPr>
            </w:pPr>
            <w:r w:rsidRPr="008D22B6">
              <w:rPr>
                <w:rFonts w:ascii="Arial" w:hAnsi="Arial" w:cs="Arial"/>
                <w:sz w:val="18"/>
                <w:szCs w:val="18"/>
              </w:rPr>
              <w:t>Measure Description</w:t>
            </w:r>
          </w:p>
        </w:tc>
      </w:tr>
      <w:tr w:rsidR="002A06E1" w:rsidRPr="008D22B6" w14:paraId="617352B1" w14:textId="77777777" w:rsidTr="00495C54">
        <w:trPr>
          <w:trHeight w:val="528"/>
          <w:jc w:val="center"/>
        </w:trPr>
        <w:tc>
          <w:tcPr>
            <w:tcW w:w="2293" w:type="dxa"/>
            <w:hideMark/>
          </w:tcPr>
          <w:p w14:paraId="5513A9ED" w14:textId="0A0F8A07" w:rsidR="002A06E1" w:rsidRPr="00495C54" w:rsidRDefault="004151DB" w:rsidP="00404B75">
            <w:pPr>
              <w:tabs>
                <w:tab w:val="clear" w:pos="-1440"/>
                <w:tab w:val="clear" w:pos="-720"/>
              </w:tabs>
              <w:spacing w:after="0" w:line="240" w:lineRule="auto"/>
              <w:ind w:left="0"/>
              <w:rPr>
                <w:rFonts w:cstheme="minorHAnsi"/>
                <w:color w:val="000000"/>
                <w:sz w:val="18"/>
                <w:szCs w:val="18"/>
              </w:rPr>
            </w:pPr>
            <w:r w:rsidRPr="00495C54">
              <w:rPr>
                <w:rFonts w:cstheme="minorHAnsi"/>
                <w:color w:val="000000"/>
                <w:sz w:val="18"/>
                <w:szCs w:val="18"/>
              </w:rPr>
              <w:t>PV System</w:t>
            </w:r>
          </w:p>
        </w:tc>
        <w:tc>
          <w:tcPr>
            <w:tcW w:w="4950" w:type="dxa"/>
          </w:tcPr>
          <w:p w14:paraId="19EAD829" w14:textId="0F344D80" w:rsidR="002A06E1" w:rsidRPr="00495C54" w:rsidRDefault="004151DB" w:rsidP="007F0391">
            <w:pPr>
              <w:tabs>
                <w:tab w:val="clear" w:pos="-1440"/>
                <w:tab w:val="clear" w:pos="-720"/>
              </w:tabs>
              <w:spacing w:after="0" w:line="240" w:lineRule="auto"/>
              <w:ind w:left="0"/>
              <w:rPr>
                <w:rFonts w:cstheme="minorHAnsi"/>
                <w:color w:val="000000"/>
                <w:sz w:val="18"/>
                <w:szCs w:val="18"/>
              </w:rPr>
            </w:pPr>
            <w:r w:rsidRPr="00495C54">
              <w:rPr>
                <w:rFonts w:cstheme="minorHAnsi"/>
                <w:color w:val="000000"/>
                <w:sz w:val="18"/>
                <w:szCs w:val="18"/>
              </w:rPr>
              <w:t>Roof-mounted system, including multiple panels, AC/DC inverter, racking system, and electrical system interconnections</w:t>
            </w:r>
          </w:p>
        </w:tc>
      </w:tr>
      <w:tr w:rsidR="002A06E1" w:rsidRPr="008D22B6" w14:paraId="48173B34" w14:textId="77777777" w:rsidTr="00495C54">
        <w:trPr>
          <w:trHeight w:val="528"/>
          <w:jc w:val="center"/>
        </w:trPr>
        <w:tc>
          <w:tcPr>
            <w:tcW w:w="2293" w:type="dxa"/>
            <w:hideMark/>
          </w:tcPr>
          <w:p w14:paraId="20383A2D" w14:textId="05E39F7C" w:rsidR="002A06E1" w:rsidRPr="00495C54" w:rsidRDefault="002A06E1" w:rsidP="00404B75">
            <w:pPr>
              <w:tabs>
                <w:tab w:val="clear" w:pos="-1440"/>
                <w:tab w:val="clear" w:pos="-720"/>
              </w:tabs>
              <w:spacing w:after="0" w:line="240" w:lineRule="auto"/>
              <w:ind w:left="0"/>
              <w:rPr>
                <w:rFonts w:cstheme="minorHAnsi"/>
                <w:color w:val="000000"/>
                <w:sz w:val="18"/>
                <w:szCs w:val="18"/>
              </w:rPr>
            </w:pPr>
            <w:r w:rsidRPr="00495C54">
              <w:rPr>
                <w:rFonts w:cstheme="minorHAnsi"/>
                <w:color w:val="000000"/>
                <w:sz w:val="18"/>
                <w:szCs w:val="18"/>
              </w:rPr>
              <w:t xml:space="preserve">Battery Storage </w:t>
            </w:r>
            <w:r w:rsidR="00405367" w:rsidRPr="00495C54">
              <w:rPr>
                <w:rFonts w:cstheme="minorHAnsi"/>
                <w:color w:val="000000"/>
                <w:sz w:val="18"/>
                <w:szCs w:val="18"/>
              </w:rPr>
              <w:t xml:space="preserve">from PV </w:t>
            </w:r>
            <w:r w:rsidRPr="00495C54">
              <w:rPr>
                <w:rFonts w:cstheme="minorHAnsi"/>
                <w:color w:val="000000"/>
                <w:sz w:val="18"/>
                <w:szCs w:val="18"/>
              </w:rPr>
              <w:t>System</w:t>
            </w:r>
            <w:r w:rsidR="00495C54">
              <w:rPr>
                <w:rFonts w:cstheme="minorHAnsi"/>
                <w:color w:val="000000"/>
                <w:sz w:val="18"/>
                <w:szCs w:val="18"/>
              </w:rPr>
              <w:t>*</w:t>
            </w:r>
          </w:p>
        </w:tc>
        <w:tc>
          <w:tcPr>
            <w:tcW w:w="4950" w:type="dxa"/>
          </w:tcPr>
          <w:p w14:paraId="05A939B3" w14:textId="10541BD8" w:rsidR="002A06E1" w:rsidRPr="00495C54" w:rsidRDefault="0096294F" w:rsidP="00405367">
            <w:pPr>
              <w:tabs>
                <w:tab w:val="clear" w:pos="-1440"/>
                <w:tab w:val="clear" w:pos="-720"/>
              </w:tabs>
              <w:spacing w:after="0" w:line="240" w:lineRule="auto"/>
              <w:ind w:left="0"/>
              <w:rPr>
                <w:rFonts w:cstheme="minorHAnsi"/>
                <w:color w:val="000000"/>
                <w:sz w:val="18"/>
                <w:szCs w:val="18"/>
              </w:rPr>
            </w:pPr>
            <w:r w:rsidRPr="00495C54">
              <w:rPr>
                <w:rFonts w:cstheme="minorHAnsi"/>
                <w:color w:val="000000"/>
                <w:sz w:val="18"/>
                <w:szCs w:val="18"/>
              </w:rPr>
              <w:t>Lithium-ion battery system</w:t>
            </w:r>
            <w:r w:rsidR="007F0391" w:rsidRPr="00495C54">
              <w:rPr>
                <w:rFonts w:cstheme="minorHAnsi"/>
                <w:color w:val="000000"/>
                <w:sz w:val="18"/>
                <w:szCs w:val="18"/>
              </w:rPr>
              <w:t xml:space="preserve"> designed to integrate with </w:t>
            </w:r>
            <w:r w:rsidR="00405367" w:rsidRPr="00495C54">
              <w:rPr>
                <w:rFonts w:cstheme="minorHAnsi"/>
                <w:color w:val="000000"/>
                <w:sz w:val="18"/>
                <w:szCs w:val="18"/>
              </w:rPr>
              <w:t xml:space="preserve">an on-site </w:t>
            </w:r>
            <w:r w:rsidR="007F0391" w:rsidRPr="00495C54">
              <w:rPr>
                <w:rFonts w:cstheme="minorHAnsi"/>
                <w:color w:val="000000"/>
                <w:sz w:val="18"/>
                <w:szCs w:val="18"/>
              </w:rPr>
              <w:t xml:space="preserve">PV system </w:t>
            </w:r>
            <w:r w:rsidRPr="00495C54">
              <w:rPr>
                <w:rFonts w:cstheme="minorHAnsi"/>
                <w:color w:val="000000"/>
                <w:sz w:val="18"/>
                <w:szCs w:val="18"/>
              </w:rPr>
              <w:t>to store</w:t>
            </w:r>
            <w:r w:rsidR="007F0391" w:rsidRPr="00495C54">
              <w:rPr>
                <w:rFonts w:cstheme="minorHAnsi"/>
                <w:color w:val="000000"/>
                <w:sz w:val="18"/>
                <w:szCs w:val="18"/>
              </w:rPr>
              <w:t xml:space="preserve"> and discharge</w:t>
            </w:r>
            <w:r w:rsidRPr="00495C54">
              <w:rPr>
                <w:rFonts w:cstheme="minorHAnsi"/>
                <w:color w:val="000000"/>
                <w:sz w:val="18"/>
                <w:szCs w:val="18"/>
              </w:rPr>
              <w:t xml:space="preserve"> excess </w:t>
            </w:r>
            <w:r w:rsidR="007F0391" w:rsidRPr="00495C54">
              <w:rPr>
                <w:rFonts w:cstheme="minorHAnsi"/>
                <w:color w:val="000000"/>
                <w:sz w:val="18"/>
                <w:szCs w:val="18"/>
              </w:rPr>
              <w:t xml:space="preserve">energy from </w:t>
            </w:r>
            <w:r w:rsidR="00405367" w:rsidRPr="00495C54">
              <w:rPr>
                <w:rFonts w:cstheme="minorHAnsi"/>
                <w:color w:val="000000"/>
                <w:sz w:val="18"/>
                <w:szCs w:val="18"/>
              </w:rPr>
              <w:t>PV</w:t>
            </w:r>
            <w:r w:rsidR="007F0391" w:rsidRPr="00495C54">
              <w:rPr>
                <w:rFonts w:cstheme="minorHAnsi"/>
                <w:color w:val="000000"/>
                <w:sz w:val="18"/>
                <w:szCs w:val="18"/>
              </w:rPr>
              <w:t xml:space="preserve"> generation</w:t>
            </w:r>
          </w:p>
        </w:tc>
      </w:tr>
    </w:tbl>
    <w:p w14:paraId="614EB71A" w14:textId="77777777" w:rsidR="002A06E1" w:rsidRDefault="002A06E1" w:rsidP="002A06E1">
      <w:pPr>
        <w:pStyle w:val="Text"/>
      </w:pPr>
    </w:p>
    <w:p w14:paraId="23D34FA4" w14:textId="658F9610" w:rsidR="002A06E1" w:rsidRDefault="002A06E1" w:rsidP="002A06E1">
      <w:pPr>
        <w:pStyle w:val="Heading8"/>
      </w:pPr>
      <w:r>
        <w:t>Non-Residential Measures</w:t>
      </w:r>
    </w:p>
    <w:tbl>
      <w:tblPr>
        <w:tblStyle w:val="NEXANTNEWTABLESTYLE"/>
        <w:tblW w:w="0" w:type="auto"/>
        <w:jc w:val="center"/>
        <w:tblLook w:val="04A0" w:firstRow="1" w:lastRow="0" w:firstColumn="1" w:lastColumn="0" w:noHBand="0" w:noVBand="1"/>
      </w:tblPr>
      <w:tblGrid>
        <w:gridCol w:w="2113"/>
        <w:gridCol w:w="5087"/>
      </w:tblGrid>
      <w:tr w:rsidR="002A06E1" w:rsidRPr="008D22B6" w14:paraId="43B9D6B4" w14:textId="77777777" w:rsidTr="00495C54">
        <w:trPr>
          <w:cnfStyle w:val="100000000000" w:firstRow="1" w:lastRow="0" w:firstColumn="0" w:lastColumn="0" w:oddVBand="0" w:evenVBand="0" w:oddHBand="0" w:evenHBand="0" w:firstRowFirstColumn="0" w:firstRowLastColumn="0" w:lastRowFirstColumn="0" w:lastRowLastColumn="0"/>
          <w:trHeight w:val="288"/>
          <w:jc w:val="center"/>
        </w:trPr>
        <w:tc>
          <w:tcPr>
            <w:tcW w:w="2113" w:type="dxa"/>
            <w:hideMark/>
          </w:tcPr>
          <w:p w14:paraId="7CA30F55" w14:textId="77777777" w:rsidR="002A06E1" w:rsidRPr="008D22B6" w:rsidRDefault="002A06E1" w:rsidP="00404B75">
            <w:pPr>
              <w:tabs>
                <w:tab w:val="clear" w:pos="-1440"/>
                <w:tab w:val="clear" w:pos="-720"/>
              </w:tabs>
              <w:spacing w:after="0" w:line="240" w:lineRule="auto"/>
              <w:ind w:left="0"/>
              <w:rPr>
                <w:rFonts w:ascii="Arial" w:hAnsi="Arial" w:cs="Arial"/>
                <w:bCs/>
                <w:color w:val="FFFFFF"/>
                <w:sz w:val="18"/>
                <w:szCs w:val="18"/>
              </w:rPr>
            </w:pPr>
            <w:r w:rsidRPr="008D22B6">
              <w:rPr>
                <w:rFonts w:ascii="Arial" w:hAnsi="Arial" w:cs="Arial"/>
                <w:bCs/>
                <w:color w:val="FFFFFF"/>
                <w:sz w:val="18"/>
                <w:szCs w:val="18"/>
              </w:rPr>
              <w:t>Measure</w:t>
            </w:r>
          </w:p>
        </w:tc>
        <w:tc>
          <w:tcPr>
            <w:tcW w:w="5087" w:type="dxa"/>
            <w:hideMark/>
          </w:tcPr>
          <w:p w14:paraId="02EFC734" w14:textId="77777777" w:rsidR="002A06E1" w:rsidRPr="008D22B6" w:rsidRDefault="002A06E1" w:rsidP="00404B75">
            <w:pPr>
              <w:tabs>
                <w:tab w:val="clear" w:pos="-1440"/>
                <w:tab w:val="clear" w:pos="-720"/>
              </w:tabs>
              <w:spacing w:after="0" w:line="240" w:lineRule="auto"/>
              <w:ind w:left="0"/>
              <w:rPr>
                <w:rFonts w:ascii="Arial" w:hAnsi="Arial" w:cs="Arial"/>
                <w:color w:val="000000"/>
                <w:sz w:val="18"/>
                <w:szCs w:val="18"/>
              </w:rPr>
            </w:pPr>
            <w:r w:rsidRPr="008D22B6">
              <w:rPr>
                <w:rFonts w:ascii="Arial" w:hAnsi="Arial" w:cs="Arial"/>
                <w:sz w:val="18"/>
                <w:szCs w:val="18"/>
              </w:rPr>
              <w:t>Measure Description</w:t>
            </w:r>
          </w:p>
        </w:tc>
      </w:tr>
      <w:tr w:rsidR="002A06E1" w:rsidRPr="008D22B6" w14:paraId="07C1FC93" w14:textId="77777777" w:rsidTr="00495C54">
        <w:trPr>
          <w:trHeight w:val="528"/>
          <w:jc w:val="center"/>
        </w:trPr>
        <w:tc>
          <w:tcPr>
            <w:tcW w:w="2113" w:type="dxa"/>
            <w:hideMark/>
          </w:tcPr>
          <w:p w14:paraId="4B6E95CD" w14:textId="104AA288" w:rsidR="002A06E1" w:rsidRPr="00495C54" w:rsidRDefault="002A06E1" w:rsidP="002A06E1">
            <w:pPr>
              <w:tabs>
                <w:tab w:val="clear" w:pos="-1440"/>
                <w:tab w:val="clear" w:pos="-720"/>
              </w:tabs>
              <w:spacing w:after="0" w:line="240" w:lineRule="auto"/>
              <w:ind w:left="0"/>
              <w:rPr>
                <w:rFonts w:cstheme="minorHAnsi"/>
                <w:color w:val="000000"/>
                <w:sz w:val="18"/>
                <w:szCs w:val="18"/>
              </w:rPr>
            </w:pPr>
            <w:r w:rsidRPr="00495C54">
              <w:rPr>
                <w:rFonts w:cstheme="minorHAnsi"/>
                <w:color w:val="000000"/>
                <w:sz w:val="18"/>
                <w:szCs w:val="18"/>
              </w:rPr>
              <w:t>PV</w:t>
            </w:r>
            <w:r w:rsidR="004151DB" w:rsidRPr="00495C54">
              <w:rPr>
                <w:rFonts w:cstheme="minorHAnsi"/>
                <w:color w:val="000000"/>
                <w:sz w:val="18"/>
                <w:szCs w:val="18"/>
              </w:rPr>
              <w:t xml:space="preserve"> System</w:t>
            </w:r>
          </w:p>
        </w:tc>
        <w:tc>
          <w:tcPr>
            <w:tcW w:w="5087" w:type="dxa"/>
          </w:tcPr>
          <w:p w14:paraId="300D42A2" w14:textId="44AE00EE" w:rsidR="002A06E1" w:rsidRPr="00495C54" w:rsidRDefault="004151DB" w:rsidP="002A06E1">
            <w:pPr>
              <w:tabs>
                <w:tab w:val="clear" w:pos="-1440"/>
                <w:tab w:val="clear" w:pos="-720"/>
              </w:tabs>
              <w:spacing w:after="0" w:line="240" w:lineRule="auto"/>
              <w:ind w:left="0"/>
              <w:rPr>
                <w:rFonts w:cstheme="minorHAnsi"/>
                <w:color w:val="000000"/>
                <w:sz w:val="18"/>
                <w:szCs w:val="18"/>
              </w:rPr>
            </w:pPr>
            <w:r w:rsidRPr="00495C54">
              <w:rPr>
                <w:rFonts w:cstheme="minorHAnsi"/>
                <w:color w:val="000000"/>
                <w:sz w:val="18"/>
                <w:szCs w:val="18"/>
              </w:rPr>
              <w:t>Roof-mounted system, including multiple panels, AC/DC inverter, racking system, and electrical system interconnections</w:t>
            </w:r>
          </w:p>
        </w:tc>
      </w:tr>
      <w:tr w:rsidR="002A06E1" w:rsidRPr="008D22B6" w14:paraId="7C675637" w14:textId="77777777" w:rsidTr="00495C54">
        <w:trPr>
          <w:trHeight w:val="528"/>
          <w:jc w:val="center"/>
        </w:trPr>
        <w:tc>
          <w:tcPr>
            <w:tcW w:w="2113" w:type="dxa"/>
            <w:hideMark/>
          </w:tcPr>
          <w:p w14:paraId="38033DF6" w14:textId="086A1C29" w:rsidR="002A06E1" w:rsidRPr="00495C54" w:rsidRDefault="00405367" w:rsidP="002A06E1">
            <w:pPr>
              <w:tabs>
                <w:tab w:val="clear" w:pos="-1440"/>
                <w:tab w:val="clear" w:pos="-720"/>
              </w:tabs>
              <w:spacing w:after="0" w:line="240" w:lineRule="auto"/>
              <w:ind w:left="0"/>
              <w:rPr>
                <w:rFonts w:cstheme="minorHAnsi"/>
                <w:color w:val="000000"/>
                <w:sz w:val="18"/>
                <w:szCs w:val="18"/>
              </w:rPr>
            </w:pPr>
            <w:r w:rsidRPr="00495C54">
              <w:rPr>
                <w:rFonts w:cstheme="minorHAnsi"/>
                <w:color w:val="000000"/>
                <w:sz w:val="18"/>
                <w:szCs w:val="18"/>
              </w:rPr>
              <w:t>Battery Storage from PV System</w:t>
            </w:r>
            <w:r w:rsidR="00495C54">
              <w:rPr>
                <w:rFonts w:cstheme="minorHAnsi"/>
                <w:color w:val="000000"/>
                <w:sz w:val="18"/>
                <w:szCs w:val="18"/>
              </w:rPr>
              <w:t>*</w:t>
            </w:r>
          </w:p>
        </w:tc>
        <w:tc>
          <w:tcPr>
            <w:tcW w:w="5087" w:type="dxa"/>
          </w:tcPr>
          <w:p w14:paraId="6C971E03" w14:textId="56726364" w:rsidR="002A06E1" w:rsidRPr="00495C54" w:rsidRDefault="007F0391" w:rsidP="00405367">
            <w:pPr>
              <w:tabs>
                <w:tab w:val="clear" w:pos="-1440"/>
                <w:tab w:val="clear" w:pos="-720"/>
              </w:tabs>
              <w:spacing w:after="0" w:line="240" w:lineRule="auto"/>
              <w:ind w:left="0"/>
              <w:rPr>
                <w:rFonts w:cstheme="minorHAnsi"/>
                <w:color w:val="000000"/>
                <w:sz w:val="18"/>
                <w:szCs w:val="18"/>
              </w:rPr>
            </w:pPr>
            <w:r w:rsidRPr="00495C54">
              <w:rPr>
                <w:rFonts w:cstheme="minorHAnsi"/>
                <w:color w:val="000000"/>
                <w:sz w:val="18"/>
                <w:szCs w:val="18"/>
              </w:rPr>
              <w:t xml:space="preserve">Lithium-ion battery system designed to </w:t>
            </w:r>
            <w:r w:rsidR="00405367" w:rsidRPr="00495C54">
              <w:rPr>
                <w:rFonts w:cstheme="minorHAnsi"/>
                <w:color w:val="000000"/>
                <w:sz w:val="18"/>
                <w:szCs w:val="18"/>
              </w:rPr>
              <w:t xml:space="preserve">integrate with an on-site </w:t>
            </w:r>
            <w:r w:rsidRPr="00495C54">
              <w:rPr>
                <w:rFonts w:cstheme="minorHAnsi"/>
                <w:color w:val="000000"/>
                <w:sz w:val="18"/>
                <w:szCs w:val="18"/>
              </w:rPr>
              <w:t xml:space="preserve">PV system to store and discharge excess energy from </w:t>
            </w:r>
            <w:r w:rsidR="00405367" w:rsidRPr="00495C54">
              <w:rPr>
                <w:rFonts w:cstheme="minorHAnsi"/>
                <w:color w:val="000000"/>
                <w:sz w:val="18"/>
                <w:szCs w:val="18"/>
              </w:rPr>
              <w:t>PV</w:t>
            </w:r>
            <w:r w:rsidRPr="00495C54">
              <w:rPr>
                <w:rFonts w:cstheme="minorHAnsi"/>
                <w:color w:val="000000"/>
                <w:sz w:val="18"/>
                <w:szCs w:val="18"/>
              </w:rPr>
              <w:t xml:space="preserve"> generation</w:t>
            </w:r>
          </w:p>
        </w:tc>
      </w:tr>
      <w:tr w:rsidR="00D24758" w:rsidRPr="008D22B6" w14:paraId="0D3203B8" w14:textId="77777777" w:rsidTr="00495C54">
        <w:trPr>
          <w:trHeight w:val="528"/>
          <w:jc w:val="center"/>
        </w:trPr>
        <w:tc>
          <w:tcPr>
            <w:tcW w:w="2113" w:type="dxa"/>
          </w:tcPr>
          <w:p w14:paraId="1701EEFC" w14:textId="69C71423" w:rsidR="00D24758" w:rsidRPr="00495C54" w:rsidRDefault="00D24758" w:rsidP="00404B75">
            <w:pPr>
              <w:tabs>
                <w:tab w:val="clear" w:pos="-1440"/>
                <w:tab w:val="clear" w:pos="-720"/>
              </w:tabs>
              <w:spacing w:after="0" w:line="240" w:lineRule="auto"/>
              <w:ind w:left="0"/>
              <w:rPr>
                <w:rFonts w:cstheme="minorHAnsi"/>
                <w:color w:val="000000"/>
                <w:sz w:val="18"/>
                <w:szCs w:val="18"/>
              </w:rPr>
            </w:pPr>
            <w:r w:rsidRPr="00495C54">
              <w:rPr>
                <w:rFonts w:cstheme="minorHAnsi"/>
                <w:color w:val="000000"/>
                <w:sz w:val="18"/>
                <w:szCs w:val="18"/>
              </w:rPr>
              <w:t>CHP – Fuel Cell</w:t>
            </w:r>
            <w:r w:rsidR="00495C54">
              <w:rPr>
                <w:rFonts w:cstheme="minorHAnsi"/>
                <w:color w:val="000000"/>
                <w:sz w:val="18"/>
                <w:szCs w:val="18"/>
              </w:rPr>
              <w:t>*</w:t>
            </w:r>
          </w:p>
        </w:tc>
        <w:tc>
          <w:tcPr>
            <w:tcW w:w="5087" w:type="dxa"/>
          </w:tcPr>
          <w:p w14:paraId="403A072C" w14:textId="499F6E9E" w:rsidR="00D24758" w:rsidRPr="00495C54" w:rsidRDefault="004A6FD3" w:rsidP="00404B75">
            <w:pPr>
              <w:tabs>
                <w:tab w:val="clear" w:pos="-1440"/>
                <w:tab w:val="clear" w:pos="-720"/>
              </w:tabs>
              <w:spacing w:after="0" w:line="240" w:lineRule="auto"/>
              <w:ind w:left="0"/>
              <w:rPr>
                <w:rFonts w:cstheme="minorHAnsi"/>
                <w:color w:val="000000"/>
                <w:sz w:val="18"/>
                <w:szCs w:val="18"/>
              </w:rPr>
            </w:pPr>
            <w:r w:rsidRPr="00495C54">
              <w:rPr>
                <w:rFonts w:cstheme="minorHAnsi"/>
                <w:color w:val="000000"/>
                <w:sz w:val="18"/>
                <w:szCs w:val="18"/>
              </w:rPr>
              <w:t>An electrochemical cell-based generator that reacts hydrogen fuel with oxygen</w:t>
            </w:r>
          </w:p>
        </w:tc>
      </w:tr>
      <w:tr w:rsidR="00D24758" w:rsidRPr="008D22B6" w14:paraId="55D1061B" w14:textId="77777777" w:rsidTr="00495C54">
        <w:trPr>
          <w:trHeight w:val="528"/>
          <w:jc w:val="center"/>
        </w:trPr>
        <w:tc>
          <w:tcPr>
            <w:tcW w:w="2113" w:type="dxa"/>
          </w:tcPr>
          <w:p w14:paraId="41DC42F2" w14:textId="155C68FA" w:rsidR="00D24758" w:rsidRPr="00495C54" w:rsidRDefault="00D24758" w:rsidP="00404B75">
            <w:pPr>
              <w:tabs>
                <w:tab w:val="clear" w:pos="-1440"/>
                <w:tab w:val="clear" w:pos="-720"/>
              </w:tabs>
              <w:spacing w:after="0" w:line="240" w:lineRule="auto"/>
              <w:ind w:left="0"/>
              <w:rPr>
                <w:rFonts w:cstheme="minorHAnsi"/>
                <w:color w:val="000000"/>
                <w:sz w:val="18"/>
                <w:szCs w:val="18"/>
              </w:rPr>
            </w:pPr>
            <w:r w:rsidRPr="00495C54">
              <w:rPr>
                <w:rFonts w:cstheme="minorHAnsi"/>
                <w:color w:val="000000"/>
                <w:sz w:val="18"/>
                <w:szCs w:val="18"/>
              </w:rPr>
              <w:t>CHP – Micro Turbine</w:t>
            </w:r>
            <w:r w:rsidR="00495C54">
              <w:rPr>
                <w:rFonts w:cstheme="minorHAnsi"/>
                <w:color w:val="000000"/>
                <w:sz w:val="18"/>
                <w:szCs w:val="18"/>
              </w:rPr>
              <w:t>*</w:t>
            </w:r>
          </w:p>
        </w:tc>
        <w:tc>
          <w:tcPr>
            <w:tcW w:w="5087" w:type="dxa"/>
          </w:tcPr>
          <w:p w14:paraId="3A011009" w14:textId="6CE457A8" w:rsidR="00D24758" w:rsidRPr="00495C54" w:rsidRDefault="00D24758" w:rsidP="00061D80">
            <w:pPr>
              <w:tabs>
                <w:tab w:val="clear" w:pos="-1440"/>
                <w:tab w:val="clear" w:pos="-720"/>
              </w:tabs>
              <w:spacing w:after="0" w:line="240" w:lineRule="auto"/>
              <w:ind w:left="0"/>
              <w:rPr>
                <w:rFonts w:cstheme="minorHAnsi"/>
                <w:color w:val="000000"/>
                <w:sz w:val="18"/>
                <w:szCs w:val="18"/>
              </w:rPr>
            </w:pPr>
            <w:r w:rsidRPr="00495C54">
              <w:rPr>
                <w:rFonts w:cstheme="minorHAnsi"/>
                <w:color w:val="000000"/>
                <w:sz w:val="18"/>
                <w:szCs w:val="18"/>
              </w:rPr>
              <w:t>Small combustion turbine that burn</w:t>
            </w:r>
            <w:r w:rsidR="00061D80" w:rsidRPr="00495C54">
              <w:rPr>
                <w:rFonts w:cstheme="minorHAnsi"/>
                <w:color w:val="000000"/>
                <w:sz w:val="18"/>
                <w:szCs w:val="18"/>
              </w:rPr>
              <w:t>s</w:t>
            </w:r>
            <w:r w:rsidRPr="00495C54">
              <w:rPr>
                <w:rFonts w:cstheme="minorHAnsi"/>
                <w:color w:val="000000"/>
                <w:sz w:val="18"/>
                <w:szCs w:val="18"/>
              </w:rPr>
              <w:t xml:space="preserve"> ga</w:t>
            </w:r>
            <w:r w:rsidR="00956634">
              <w:rPr>
                <w:rFonts w:cstheme="minorHAnsi"/>
                <w:color w:val="000000"/>
                <w:sz w:val="18"/>
                <w:szCs w:val="18"/>
              </w:rPr>
              <w:t>seous or liquid fuel to drive a</w:t>
            </w:r>
            <w:r w:rsidRPr="00495C54">
              <w:rPr>
                <w:rFonts w:cstheme="minorHAnsi"/>
                <w:color w:val="000000"/>
                <w:sz w:val="18"/>
                <w:szCs w:val="18"/>
              </w:rPr>
              <w:t xml:space="preserve"> generator</w:t>
            </w:r>
          </w:p>
        </w:tc>
      </w:tr>
      <w:tr w:rsidR="00061D80" w:rsidRPr="008D22B6" w14:paraId="4811ABF8" w14:textId="77777777" w:rsidTr="00495C54">
        <w:trPr>
          <w:trHeight w:val="528"/>
          <w:jc w:val="center"/>
        </w:trPr>
        <w:tc>
          <w:tcPr>
            <w:tcW w:w="2113" w:type="dxa"/>
          </w:tcPr>
          <w:p w14:paraId="40E12FE7" w14:textId="1533F7D8" w:rsidR="00061D80" w:rsidRPr="00495C54" w:rsidRDefault="00061D80" w:rsidP="00061D80">
            <w:pPr>
              <w:tabs>
                <w:tab w:val="clear" w:pos="-1440"/>
                <w:tab w:val="clear" w:pos="-720"/>
              </w:tabs>
              <w:spacing w:after="0" w:line="240" w:lineRule="auto"/>
              <w:ind w:left="0"/>
              <w:rPr>
                <w:rFonts w:cstheme="minorHAnsi"/>
                <w:color w:val="000000"/>
                <w:sz w:val="18"/>
                <w:szCs w:val="18"/>
              </w:rPr>
            </w:pPr>
            <w:r w:rsidRPr="00495C54">
              <w:rPr>
                <w:rFonts w:cstheme="minorHAnsi"/>
                <w:color w:val="000000"/>
                <w:sz w:val="18"/>
                <w:szCs w:val="18"/>
              </w:rPr>
              <w:t>CHP – Gas Turbine</w:t>
            </w:r>
            <w:r w:rsidR="00495C54">
              <w:rPr>
                <w:rFonts w:cstheme="minorHAnsi"/>
                <w:color w:val="000000"/>
                <w:sz w:val="18"/>
                <w:szCs w:val="18"/>
              </w:rPr>
              <w:t>*</w:t>
            </w:r>
          </w:p>
        </w:tc>
        <w:tc>
          <w:tcPr>
            <w:tcW w:w="5087" w:type="dxa"/>
          </w:tcPr>
          <w:p w14:paraId="19F78763" w14:textId="1AD39C1E" w:rsidR="00061D80" w:rsidRPr="00495C54" w:rsidRDefault="00061D80" w:rsidP="00061D80">
            <w:pPr>
              <w:tabs>
                <w:tab w:val="clear" w:pos="-1440"/>
                <w:tab w:val="clear" w:pos="-720"/>
              </w:tabs>
              <w:spacing w:after="0" w:line="240" w:lineRule="auto"/>
              <w:ind w:left="0"/>
              <w:rPr>
                <w:rFonts w:cstheme="minorHAnsi"/>
                <w:color w:val="000000"/>
                <w:sz w:val="18"/>
                <w:szCs w:val="18"/>
              </w:rPr>
            </w:pPr>
            <w:r w:rsidRPr="00495C54">
              <w:rPr>
                <w:rFonts w:cstheme="minorHAnsi"/>
                <w:color w:val="000000"/>
                <w:sz w:val="18"/>
                <w:szCs w:val="18"/>
              </w:rPr>
              <w:t>A combustion turbine that burns gaseous or liquid fuel to drive a generator</w:t>
            </w:r>
          </w:p>
        </w:tc>
      </w:tr>
      <w:tr w:rsidR="00061D80" w:rsidRPr="008D22B6" w14:paraId="7A941656" w14:textId="77777777" w:rsidTr="00495C54">
        <w:trPr>
          <w:trHeight w:val="528"/>
          <w:jc w:val="center"/>
        </w:trPr>
        <w:tc>
          <w:tcPr>
            <w:tcW w:w="2113" w:type="dxa"/>
          </w:tcPr>
          <w:p w14:paraId="0C2D494C" w14:textId="05B7D5B7" w:rsidR="00061D80" w:rsidRPr="00495C54" w:rsidRDefault="00061D80" w:rsidP="00061D80">
            <w:pPr>
              <w:tabs>
                <w:tab w:val="clear" w:pos="-1440"/>
                <w:tab w:val="clear" w:pos="-720"/>
              </w:tabs>
              <w:spacing w:after="0" w:line="240" w:lineRule="auto"/>
              <w:ind w:left="0"/>
              <w:rPr>
                <w:rFonts w:cstheme="minorHAnsi"/>
                <w:color w:val="000000"/>
                <w:sz w:val="18"/>
                <w:szCs w:val="18"/>
              </w:rPr>
            </w:pPr>
            <w:r w:rsidRPr="00495C54">
              <w:rPr>
                <w:rFonts w:cstheme="minorHAnsi"/>
                <w:color w:val="000000"/>
                <w:sz w:val="18"/>
                <w:szCs w:val="18"/>
              </w:rPr>
              <w:t>CHP – Reciprocating Engine</w:t>
            </w:r>
            <w:r w:rsidR="00495C54">
              <w:rPr>
                <w:rFonts w:cstheme="minorHAnsi"/>
                <w:color w:val="000000"/>
                <w:sz w:val="18"/>
                <w:szCs w:val="18"/>
              </w:rPr>
              <w:t>*</w:t>
            </w:r>
          </w:p>
        </w:tc>
        <w:tc>
          <w:tcPr>
            <w:tcW w:w="5087" w:type="dxa"/>
          </w:tcPr>
          <w:p w14:paraId="406194BE" w14:textId="6A480DC1" w:rsidR="00061D80" w:rsidRPr="00495C54" w:rsidRDefault="00061D80" w:rsidP="00061D80">
            <w:pPr>
              <w:tabs>
                <w:tab w:val="clear" w:pos="-1440"/>
                <w:tab w:val="clear" w:pos="-720"/>
              </w:tabs>
              <w:spacing w:after="0" w:line="240" w:lineRule="auto"/>
              <w:ind w:left="0"/>
              <w:rPr>
                <w:rFonts w:cstheme="minorHAnsi"/>
                <w:color w:val="000000"/>
                <w:sz w:val="18"/>
                <w:szCs w:val="18"/>
              </w:rPr>
            </w:pPr>
            <w:r w:rsidRPr="00495C54">
              <w:rPr>
                <w:rFonts w:cstheme="minorHAnsi"/>
                <w:color w:val="000000"/>
                <w:sz w:val="18"/>
                <w:szCs w:val="18"/>
              </w:rPr>
              <w:t>An engine that uses one or more pistons to convert pressure into rotational motion</w:t>
            </w:r>
          </w:p>
        </w:tc>
      </w:tr>
      <w:tr w:rsidR="00061D80" w:rsidRPr="008D22B6" w14:paraId="31B0B342" w14:textId="77777777" w:rsidTr="00495C54">
        <w:trPr>
          <w:trHeight w:val="528"/>
          <w:jc w:val="center"/>
        </w:trPr>
        <w:tc>
          <w:tcPr>
            <w:tcW w:w="2113" w:type="dxa"/>
          </w:tcPr>
          <w:p w14:paraId="4EE415AC" w14:textId="788E8274" w:rsidR="00061D80" w:rsidRPr="00495C54" w:rsidRDefault="00405367" w:rsidP="00061D80">
            <w:pPr>
              <w:tabs>
                <w:tab w:val="clear" w:pos="-1440"/>
                <w:tab w:val="clear" w:pos="-720"/>
              </w:tabs>
              <w:spacing w:after="0" w:line="240" w:lineRule="auto"/>
              <w:ind w:left="0"/>
              <w:rPr>
                <w:rFonts w:cstheme="minorHAnsi"/>
                <w:color w:val="000000"/>
                <w:sz w:val="18"/>
                <w:szCs w:val="18"/>
              </w:rPr>
            </w:pPr>
            <w:r w:rsidRPr="00495C54">
              <w:rPr>
                <w:rFonts w:cstheme="minorHAnsi"/>
                <w:color w:val="000000"/>
                <w:sz w:val="18"/>
                <w:szCs w:val="18"/>
              </w:rPr>
              <w:t xml:space="preserve">CHP - </w:t>
            </w:r>
            <w:r w:rsidR="00061D80" w:rsidRPr="00495C54">
              <w:rPr>
                <w:rFonts w:cstheme="minorHAnsi"/>
                <w:color w:val="000000"/>
                <w:sz w:val="18"/>
                <w:szCs w:val="18"/>
              </w:rPr>
              <w:t>Steam Turbine</w:t>
            </w:r>
            <w:r w:rsidR="00495C54">
              <w:rPr>
                <w:rFonts w:cstheme="minorHAnsi"/>
                <w:color w:val="000000"/>
                <w:sz w:val="18"/>
                <w:szCs w:val="18"/>
              </w:rPr>
              <w:t>*</w:t>
            </w:r>
          </w:p>
        </w:tc>
        <w:tc>
          <w:tcPr>
            <w:tcW w:w="5087" w:type="dxa"/>
          </w:tcPr>
          <w:p w14:paraId="1F20357D" w14:textId="4318D84E" w:rsidR="00061D80" w:rsidRPr="00495C54" w:rsidRDefault="00061D80" w:rsidP="00061D80">
            <w:pPr>
              <w:tabs>
                <w:tab w:val="clear" w:pos="-1440"/>
                <w:tab w:val="clear" w:pos="-720"/>
              </w:tabs>
              <w:spacing w:after="0" w:line="240" w:lineRule="auto"/>
              <w:ind w:left="0"/>
              <w:rPr>
                <w:rFonts w:cstheme="minorHAnsi"/>
                <w:color w:val="000000"/>
                <w:sz w:val="18"/>
                <w:szCs w:val="18"/>
              </w:rPr>
            </w:pPr>
            <w:r w:rsidRPr="00495C54">
              <w:rPr>
                <w:rFonts w:cstheme="minorHAnsi"/>
                <w:color w:val="000000"/>
                <w:sz w:val="18"/>
                <w:szCs w:val="18"/>
              </w:rPr>
              <w:t>A turbine that extracts thermal energy from pressured steam to drive a generator</w:t>
            </w:r>
          </w:p>
        </w:tc>
      </w:tr>
    </w:tbl>
    <w:p w14:paraId="0F6D2664" w14:textId="77777777" w:rsidR="003434B6" w:rsidRDefault="003434B6" w:rsidP="003434B6">
      <w:pPr>
        <w:pStyle w:val="Text"/>
      </w:pPr>
    </w:p>
    <w:p w14:paraId="4900F527" w14:textId="77777777" w:rsidR="0060283B" w:rsidRDefault="0060283B" w:rsidP="003434B6">
      <w:pPr>
        <w:pStyle w:val="Text"/>
      </w:pPr>
    </w:p>
    <w:p w14:paraId="3D098835" w14:textId="00883EF3" w:rsidR="0060283B" w:rsidRDefault="00495C54" w:rsidP="003434B6">
      <w:pPr>
        <w:pStyle w:val="Text"/>
        <w:sectPr w:rsidR="0060283B" w:rsidSect="00DE1B69">
          <w:headerReference w:type="default" r:id="rId70"/>
          <w:footerReference w:type="default" r:id="rId71"/>
          <w:headerReference w:type="first" r:id="rId72"/>
          <w:footerReference w:type="first" r:id="rId73"/>
          <w:footnotePr>
            <w:numRestart w:val="eachSect"/>
          </w:footnotePr>
          <w:endnotePr>
            <w:numFmt w:val="decimal"/>
          </w:endnotePr>
          <w:pgSz w:w="12240" w:h="15840" w:code="1"/>
          <w:pgMar w:top="1440" w:right="1224" w:bottom="1440" w:left="1224" w:header="720" w:footer="720" w:gutter="0"/>
          <w:pgNumType w:start="1" w:chapStyle="7"/>
          <w:cols w:space="360"/>
          <w:titlePg/>
          <w:docGrid w:linePitch="299"/>
        </w:sectPr>
      </w:pPr>
      <w:r>
        <w:t xml:space="preserve">No DSRE </w:t>
      </w:r>
      <w:r w:rsidRPr="00251390">
        <w:t>measures</w:t>
      </w:r>
      <w:r>
        <w:t xml:space="preserve"> from the 2014 Technical Potential Study were eliminated from the current study.</w:t>
      </w:r>
    </w:p>
    <w:p w14:paraId="6401F648" w14:textId="77777777" w:rsidR="00E06704" w:rsidRDefault="00E06704" w:rsidP="003434B6">
      <w:pPr>
        <w:pStyle w:val="Heading7"/>
      </w:pPr>
      <w:bookmarkStart w:id="184" w:name="_Toc5715524"/>
      <w:r>
        <w:t>Customer Demand Characteristics</w:t>
      </w:r>
      <w:bookmarkEnd w:id="182"/>
      <w:bookmarkEnd w:id="184"/>
    </w:p>
    <w:p w14:paraId="6401F649" w14:textId="7A9F6A25" w:rsidR="00213663" w:rsidRPr="009011A5" w:rsidRDefault="00213663" w:rsidP="00213663">
      <w:pPr>
        <w:pStyle w:val="Text"/>
      </w:pPr>
      <w:r w:rsidRPr="009011A5">
        <w:t xml:space="preserve">Customer demand on peak days was analyzed by rate classes within each sector. Outputs presentation includes load shapes on peak days and average days, along with the estimates of technical potential by </w:t>
      </w:r>
      <w:r w:rsidR="007576CB">
        <w:t>end-use</w:t>
      </w:r>
      <w:r w:rsidRPr="009011A5">
        <w:t xml:space="preserve">s. The two </w:t>
      </w:r>
      <w:r w:rsidR="007576CB">
        <w:t>end-use</w:t>
      </w:r>
      <w:r w:rsidRPr="009011A5">
        <w:t xml:space="preserve">s, Air Conditioning and Heating, were studied for both residential and </w:t>
      </w:r>
      <w:r w:rsidR="00C523FD">
        <w:t>small C&amp;I</w:t>
      </w:r>
      <w:r w:rsidRPr="009011A5">
        <w:t xml:space="preserve"> customers; however, in residential sector, another two </w:t>
      </w:r>
      <w:r w:rsidR="007576CB">
        <w:t>end-use</w:t>
      </w:r>
      <w:r w:rsidRPr="009011A5">
        <w:t>s were also incorporated into the analyses, which are Water Heaters and Pool Pumps.</w:t>
      </w:r>
    </w:p>
    <w:p w14:paraId="6401F64A" w14:textId="3D020685" w:rsidR="00213663" w:rsidRDefault="00213663" w:rsidP="00213663">
      <w:pPr>
        <w:pStyle w:val="IntroPages-Listoffiguresheadings"/>
      </w:pPr>
      <w:r w:rsidRPr="009011A5">
        <w:t>Residential</w:t>
      </w:r>
      <w:r w:rsidR="00465414">
        <w:t xml:space="preserve"> and </w:t>
      </w:r>
      <w:r w:rsidR="00C523FD">
        <w:t>Small C&amp;I</w:t>
      </w:r>
    </w:p>
    <w:p w14:paraId="6401F64B" w14:textId="2F2C76AF" w:rsidR="00213663" w:rsidRPr="009011A5" w:rsidRDefault="00213663" w:rsidP="00213663">
      <w:pPr>
        <w:pStyle w:val="Intropages-coverlettersubjectline"/>
      </w:pPr>
      <w:r w:rsidRPr="009011A5">
        <w:t>Air Conditioning</w:t>
      </w:r>
      <w:r w:rsidR="00465414">
        <w:t xml:space="preserve"> (Residential and </w:t>
      </w:r>
      <w:r w:rsidR="00C523FD">
        <w:t>Small C&amp;I</w:t>
      </w:r>
      <w:r w:rsidR="00465414">
        <w:t>)</w:t>
      </w:r>
    </w:p>
    <w:p w14:paraId="6401F64C" w14:textId="361D1B65" w:rsidR="00213663" w:rsidRPr="009011A5" w:rsidRDefault="00213663" w:rsidP="00213663">
      <w:pPr>
        <w:pStyle w:val="Text"/>
      </w:pPr>
      <w:r w:rsidRPr="0072075B">
        <w:t>The cooling load shapes on the summer peak weekday and average weekdays were generated from</w:t>
      </w:r>
      <w:r w:rsidR="00465FCB">
        <w:t xml:space="preserve"> interval data from a sample of customers</w:t>
      </w:r>
      <w:r w:rsidRPr="0072075B">
        <w:t xml:space="preserve"> in </w:t>
      </w:r>
      <w:r w:rsidR="00145C87">
        <w:t>TECO</w:t>
      </w:r>
      <w:r w:rsidR="0072075B" w:rsidRPr="0072075B">
        <w:t xml:space="preserve"> territory for 2016</w:t>
      </w:r>
      <w:r w:rsidRPr="009011A5">
        <w:t xml:space="preserve">. A regression model was built to estimate relationship between load values and cooling degree days (CDD) (shown as </w:t>
      </w:r>
      <w:r w:rsidRPr="009011A5">
        <w:rPr>
          <w:i/>
        </w:rPr>
        <w:t>Equation (1)</w:t>
      </w:r>
      <w:r w:rsidRPr="009011A5">
        <w:t>). The p-values of the model and coefficient are both less than 0.05, which means that they are of statistically significance. The product of actual hourly CDD values and coefficient would be used as cooling load during that hour in terms of per customer.</w:t>
      </w:r>
    </w:p>
    <w:p w14:paraId="6401F64D" w14:textId="77777777" w:rsidR="00213663" w:rsidRPr="009011A5" w:rsidRDefault="00213663" w:rsidP="00213663">
      <w:pPr>
        <w:pStyle w:val="Text"/>
        <w:rPr>
          <w:i/>
        </w:rPr>
      </w:pPr>
      <w:r w:rsidRPr="009011A5">
        <w:rPr>
          <w:i/>
        </w:rPr>
        <w:t xml:space="preserve">Equation (1): </w:t>
      </w:r>
    </w:p>
    <w:p w14:paraId="6401F64E" w14:textId="77777777" w:rsidR="00213663" w:rsidRPr="009011A5" w:rsidRDefault="001A6304" w:rsidP="00213663">
      <w:pPr>
        <w:pStyle w:val="Text"/>
        <w:jc w:val="center"/>
      </w:pPr>
      <m:oMathPara>
        <m:oMathParaPr>
          <m:jc m:val="center"/>
        </m:oMathParaPr>
        <m:oMath>
          <m:sSub>
            <m:sSubPr>
              <m:ctrlPr>
                <w:rPr>
                  <w:rFonts w:ascii="Cambria Math" w:hAnsi="Cambria Math"/>
                  <w:i/>
                </w:rPr>
              </m:ctrlPr>
            </m:sSubPr>
            <m:e>
              <m:r>
                <w:rPr>
                  <w:rFonts w:ascii="Cambria Math" w:hAnsi="Cambria Math"/>
                </w:rPr>
                <m:t>Load</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CDD</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+i. month+ε</m:t>
          </m:r>
        </m:oMath>
      </m:oMathPara>
    </w:p>
    <w:p w14:paraId="6401F64F" w14:textId="77777777" w:rsidR="00213663" w:rsidRPr="009011A5" w:rsidRDefault="00213663" w:rsidP="00213663">
      <w:pPr>
        <w:pStyle w:val="Text"/>
      </w:pPr>
      <w:r w:rsidRPr="009011A5">
        <w:t>Where:</w:t>
      </w:r>
    </w:p>
    <w:p w14:paraId="6401F650" w14:textId="7E389A5C" w:rsidR="00213663" w:rsidRPr="009011A5" w:rsidRDefault="00213663" w:rsidP="00213663">
      <w:pPr>
        <w:pStyle w:val="Text"/>
        <w:spacing w:after="120" w:line="240" w:lineRule="auto"/>
      </w:pPr>
      <w:r w:rsidRPr="009011A5">
        <w:tab/>
      </w:r>
      <m:oMath>
        <m:r>
          <w:rPr>
            <w:rFonts w:ascii="Cambria Math" w:hAnsi="Cambria Math"/>
          </w:rPr>
          <m:t>t</m:t>
        </m:r>
      </m:oMath>
      <w:r w:rsidRPr="009011A5">
        <w:tab/>
        <w:t xml:space="preserve">Hours in each day in year </w:t>
      </w:r>
      <w:r w:rsidR="00A7278E">
        <w:t>2016</w:t>
      </w:r>
    </w:p>
    <w:p w14:paraId="6401F651" w14:textId="77777777" w:rsidR="00213663" w:rsidRPr="009011A5" w:rsidRDefault="00213663" w:rsidP="00213663">
      <w:pPr>
        <w:pStyle w:val="Text"/>
        <w:spacing w:after="120" w:line="240" w:lineRule="auto"/>
      </w:pPr>
      <w:r w:rsidRPr="009011A5">
        <w:t xml:space="preserve">     </w:t>
      </w:r>
      <m:oMath>
        <m:sSub>
          <m:sSubPr>
            <m:ctrlPr>
              <w:rPr>
                <w:rFonts w:ascii="Cambria Math" w:hAnsi="Cambria Math"/>
                <w:i/>
              </w:rPr>
            </m:ctrlPr>
          </m:sSubPr>
          <m:e>
            <m:r>
              <w:rPr>
                <w:rFonts w:ascii="Cambria Math" w:hAnsi="Cambria Math"/>
              </w:rPr>
              <m:t>Load</m:t>
            </m:r>
          </m:e>
          <m:sub>
            <m:r>
              <w:rPr>
                <w:rFonts w:ascii="Cambria Math" w:hAnsi="Cambria Math"/>
              </w:rPr>
              <m:t>t</m:t>
            </m:r>
          </m:sub>
        </m:sSub>
      </m:oMath>
      <w:r w:rsidRPr="009011A5">
        <w:tab/>
        <w:t>Load occurred in each hour</w:t>
      </w:r>
    </w:p>
    <w:p w14:paraId="6401F652" w14:textId="77777777" w:rsidR="00213663" w:rsidRPr="009011A5" w:rsidRDefault="00213663" w:rsidP="00213663">
      <w:pPr>
        <w:pStyle w:val="Text"/>
        <w:spacing w:after="120" w:line="240" w:lineRule="auto"/>
      </w:pPr>
      <w:r w:rsidRPr="009011A5">
        <w:t xml:space="preserve">     </w:t>
      </w:r>
      <m:oMath>
        <m:sSub>
          <m:sSubPr>
            <m:ctrlPr>
              <w:rPr>
                <w:rFonts w:ascii="Cambria Math" w:hAnsi="Cambria Math"/>
                <w:i/>
              </w:rPr>
            </m:ctrlPr>
          </m:sSubPr>
          <m:e>
            <m:r>
              <w:rPr>
                <w:rFonts w:ascii="Cambria Math" w:hAnsi="Cambria Math"/>
              </w:rPr>
              <m:t>CDD</m:t>
            </m:r>
          </m:e>
          <m:sub>
            <m:r>
              <w:rPr>
                <w:rFonts w:ascii="Cambria Math" w:hAnsi="Cambria Math"/>
              </w:rPr>
              <m:t>t</m:t>
            </m:r>
          </m:sub>
        </m:sSub>
      </m:oMath>
      <w:r w:rsidRPr="009011A5">
        <w:tab/>
        <w:t>Cooling Degree Day value associated with each hour</w:t>
      </w:r>
    </w:p>
    <w:p w14:paraId="6401F653" w14:textId="77777777" w:rsidR="00213663" w:rsidRPr="009011A5" w:rsidRDefault="00213663" w:rsidP="00213663">
      <w:pPr>
        <w:pStyle w:val="Text"/>
        <w:spacing w:after="120" w:line="240" w:lineRule="auto"/>
      </w:pPr>
      <w:r w:rsidRPr="009011A5">
        <w:tab/>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Pr="009011A5">
        <w:tab/>
        <w:t>Change in average load per CDD</w:t>
      </w:r>
    </w:p>
    <w:p w14:paraId="6401F654" w14:textId="77777777" w:rsidR="00213663" w:rsidRPr="009011A5" w:rsidRDefault="00213663" w:rsidP="00213663">
      <w:pPr>
        <w:pStyle w:val="Text"/>
        <w:spacing w:after="120" w:line="240" w:lineRule="auto"/>
      </w:pPr>
      <w:r w:rsidRPr="009011A5">
        <w:t xml:space="preserve">    </w:t>
      </w:r>
      <m:oMath>
        <m:r>
          <w:rPr>
            <w:rFonts w:ascii="Cambria Math" w:hAnsi="Cambria Math"/>
          </w:rPr>
          <m:t>i.month</m:t>
        </m:r>
      </m:oMath>
      <w:r w:rsidRPr="009011A5">
        <w:tab/>
        <w:t>Nominal variable, month</w:t>
      </w:r>
    </w:p>
    <w:p w14:paraId="6401F655" w14:textId="77777777" w:rsidR="00213663" w:rsidRPr="009011A5" w:rsidRDefault="00213663" w:rsidP="00213663">
      <w:pPr>
        <w:rPr>
          <w:rFonts w:ascii="Arial" w:hAnsi="Arial" w:cs="Arial"/>
          <w:color w:val="333333"/>
          <w:szCs w:val="22"/>
        </w:rPr>
      </w:pPr>
      <w:r w:rsidRPr="009011A5">
        <w:rPr>
          <w:rFonts w:ascii="Arial" w:hAnsi="Arial" w:cs="Arial"/>
          <w:color w:val="333333"/>
          <w:szCs w:val="22"/>
        </w:rPr>
        <w:tab/>
      </w:r>
      <m:oMath>
        <m:r>
          <m:rPr>
            <m:sty m:val="p"/>
          </m:rPr>
          <w:rPr>
            <w:rFonts w:ascii="Cambria Math" w:hAnsi="Cambria Math" w:cs="Arial"/>
            <w:color w:val="333333"/>
            <w:szCs w:val="22"/>
          </w:rPr>
          <m:t>ε</m:t>
        </m:r>
      </m:oMath>
      <w:r w:rsidRPr="009011A5">
        <w:rPr>
          <w:rFonts w:ascii="Arial" w:hAnsi="Arial" w:cs="Arial"/>
          <w:color w:val="333333"/>
          <w:szCs w:val="22"/>
        </w:rPr>
        <w:tab/>
        <w:t>The error term</w:t>
      </w:r>
    </w:p>
    <w:p w14:paraId="6401F656" w14:textId="1FB73FC1" w:rsidR="00213663" w:rsidRPr="004700EF" w:rsidRDefault="00213663" w:rsidP="00213663">
      <w:pPr>
        <w:pStyle w:val="Text"/>
        <w:rPr>
          <w:highlight w:val="cyan"/>
        </w:rPr>
      </w:pPr>
      <w:r w:rsidRPr="009011A5">
        <w:t>To study the peak technical potential, a peak day was selected if it has the hour with system peak load during summer period (</w:t>
      </w:r>
      <w:r w:rsidR="00465FCB">
        <w:t>July and August from 5-6 pm</w:t>
      </w:r>
      <w:r w:rsidRPr="009011A5">
        <w:t>). Technical potential for residential customers was then calculated as the aggregate consumption during that summer peak hour.</w:t>
      </w:r>
      <w:r w:rsidRPr="004700EF">
        <w:rPr>
          <w:highlight w:val="cyan"/>
        </w:rPr>
        <w:t xml:space="preserve"> </w:t>
      </w:r>
    </w:p>
    <w:p w14:paraId="6401F657" w14:textId="29EB3AEB" w:rsidR="00213663" w:rsidRPr="009011A5" w:rsidRDefault="00213663" w:rsidP="00213663">
      <w:pPr>
        <w:pStyle w:val="Intropages-coverlettersubjectline"/>
        <w:spacing w:before="240"/>
      </w:pPr>
      <w:r w:rsidRPr="009011A5">
        <w:t>Space Heating</w:t>
      </w:r>
      <w:r w:rsidR="00465414">
        <w:t xml:space="preserve"> (Residential and </w:t>
      </w:r>
      <w:r w:rsidR="00C523FD">
        <w:t>Small C&amp;I</w:t>
      </w:r>
      <w:r w:rsidR="00465414">
        <w:t>)</w:t>
      </w:r>
    </w:p>
    <w:p w14:paraId="6401F658" w14:textId="16B01751" w:rsidR="00213663" w:rsidRPr="009011A5" w:rsidRDefault="00213663" w:rsidP="00213663">
      <w:pPr>
        <w:pStyle w:val="Text"/>
      </w:pPr>
      <w:r w:rsidRPr="009011A5">
        <w:t xml:space="preserve">Similar to the analyses for air conditioning, </w:t>
      </w:r>
      <w:r w:rsidR="00465FCB">
        <w:t>interval data from a sample of customers</w:t>
      </w:r>
      <w:r w:rsidR="00465FCB" w:rsidRPr="0072075B">
        <w:t xml:space="preserve"> in </w:t>
      </w:r>
      <w:r w:rsidR="00465FCB">
        <w:t>TECO</w:t>
      </w:r>
      <w:r w:rsidR="00465FCB" w:rsidRPr="0072075B">
        <w:t xml:space="preserve"> territory for 2016</w:t>
      </w:r>
      <w:r w:rsidRPr="009011A5">
        <w:t>, and the peak day was defined as the day with system peak load during winter period</w:t>
      </w:r>
      <w:r w:rsidR="00465FCB">
        <w:t xml:space="preserve"> (January and February from 7-8 am)</w:t>
      </w:r>
      <w:r w:rsidRPr="009011A5">
        <w:t>. The regression model was modified to evaluate relationship between energy consumption and heating degree days (HDD) (shown as Equation (2)), but the technical potential was calculated in the same way as illustrated earlier.</w:t>
      </w:r>
    </w:p>
    <w:p w14:paraId="6401F659" w14:textId="77777777" w:rsidR="00213663" w:rsidRPr="009011A5" w:rsidRDefault="00213663" w:rsidP="00213663">
      <w:pPr>
        <w:pStyle w:val="Text"/>
        <w:rPr>
          <w:i/>
        </w:rPr>
      </w:pPr>
      <w:r w:rsidRPr="009011A5">
        <w:rPr>
          <w:i/>
        </w:rPr>
        <w:t xml:space="preserve">Equation (2): </w:t>
      </w:r>
    </w:p>
    <w:p w14:paraId="6401F65A" w14:textId="77777777" w:rsidR="00213663" w:rsidRPr="009011A5" w:rsidRDefault="001A6304" w:rsidP="00213663">
      <w:pPr>
        <w:pStyle w:val="Text"/>
        <w:jc w:val="center"/>
      </w:pPr>
      <m:oMathPara>
        <m:oMathParaPr>
          <m:jc m:val="center"/>
        </m:oMathParaPr>
        <m:oMath>
          <m:sSub>
            <m:sSubPr>
              <m:ctrlPr>
                <w:rPr>
                  <w:rFonts w:ascii="Cambria Math" w:hAnsi="Cambria Math"/>
                  <w:i/>
                </w:rPr>
              </m:ctrlPr>
            </m:sSubPr>
            <m:e>
              <m:r>
                <w:rPr>
                  <w:rFonts w:ascii="Cambria Math" w:hAnsi="Cambria Math"/>
                </w:rPr>
                <m:t>Load</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HDD</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+i. month+ε</m:t>
          </m:r>
        </m:oMath>
      </m:oMathPara>
    </w:p>
    <w:p w14:paraId="6401F65B" w14:textId="77777777" w:rsidR="00213663" w:rsidRPr="009011A5" w:rsidRDefault="00213663" w:rsidP="00213663">
      <w:pPr>
        <w:pStyle w:val="Text"/>
      </w:pPr>
      <w:r w:rsidRPr="009011A5">
        <w:t>Where:</w:t>
      </w:r>
    </w:p>
    <w:p w14:paraId="6401F65C" w14:textId="77777777" w:rsidR="00213663" w:rsidRPr="009011A5" w:rsidRDefault="00213663" w:rsidP="00213663">
      <w:pPr>
        <w:pStyle w:val="Text"/>
        <w:spacing w:after="120" w:line="240" w:lineRule="auto"/>
      </w:pPr>
      <w:r w:rsidRPr="009011A5">
        <w:tab/>
      </w:r>
      <m:oMath>
        <m:r>
          <w:rPr>
            <w:rFonts w:ascii="Cambria Math" w:hAnsi="Cambria Math"/>
          </w:rPr>
          <m:t>t</m:t>
        </m:r>
      </m:oMath>
      <w:r w:rsidRPr="009011A5">
        <w:tab/>
        <w:t>Hours in each day in year 2013 and 2014</w:t>
      </w:r>
    </w:p>
    <w:p w14:paraId="6401F65D" w14:textId="77777777" w:rsidR="00213663" w:rsidRPr="009011A5" w:rsidRDefault="00213663" w:rsidP="00213663">
      <w:pPr>
        <w:pStyle w:val="Text"/>
        <w:spacing w:after="120" w:line="240" w:lineRule="auto"/>
      </w:pPr>
      <w:r w:rsidRPr="009011A5">
        <w:t xml:space="preserve">     </w:t>
      </w:r>
      <m:oMath>
        <m:sSub>
          <m:sSubPr>
            <m:ctrlPr>
              <w:rPr>
                <w:rFonts w:ascii="Cambria Math" w:hAnsi="Cambria Math"/>
                <w:i/>
              </w:rPr>
            </m:ctrlPr>
          </m:sSubPr>
          <m:e>
            <m:r>
              <w:rPr>
                <w:rFonts w:ascii="Cambria Math" w:hAnsi="Cambria Math"/>
              </w:rPr>
              <m:t>Load</m:t>
            </m:r>
          </m:e>
          <m:sub>
            <m:r>
              <w:rPr>
                <w:rFonts w:ascii="Cambria Math" w:hAnsi="Cambria Math"/>
              </w:rPr>
              <m:t>t</m:t>
            </m:r>
          </m:sub>
        </m:sSub>
      </m:oMath>
      <w:r w:rsidRPr="009011A5">
        <w:tab/>
        <w:t>Load occurred in each hour</w:t>
      </w:r>
    </w:p>
    <w:p w14:paraId="6401F65E" w14:textId="77777777" w:rsidR="00213663" w:rsidRPr="009011A5" w:rsidRDefault="00213663" w:rsidP="00213663">
      <w:pPr>
        <w:pStyle w:val="Text"/>
        <w:spacing w:after="120" w:line="240" w:lineRule="auto"/>
      </w:pPr>
      <w:r w:rsidRPr="009011A5">
        <w:t xml:space="preserve">     </w:t>
      </w:r>
      <m:oMath>
        <m:sSub>
          <m:sSubPr>
            <m:ctrlPr>
              <w:rPr>
                <w:rFonts w:ascii="Cambria Math" w:hAnsi="Cambria Math"/>
                <w:i/>
              </w:rPr>
            </m:ctrlPr>
          </m:sSubPr>
          <m:e>
            <m:r>
              <w:rPr>
                <w:rFonts w:ascii="Cambria Math" w:hAnsi="Cambria Math"/>
              </w:rPr>
              <m:t>HDD</m:t>
            </m:r>
          </m:e>
          <m:sub>
            <m:r>
              <w:rPr>
                <w:rFonts w:ascii="Cambria Math" w:hAnsi="Cambria Math"/>
              </w:rPr>
              <m:t>t</m:t>
            </m:r>
          </m:sub>
        </m:sSub>
      </m:oMath>
      <w:r w:rsidRPr="009011A5">
        <w:tab/>
        <w:t>Heating Degree Day value associated with each hour</w:t>
      </w:r>
    </w:p>
    <w:p w14:paraId="6401F65F" w14:textId="77777777" w:rsidR="00213663" w:rsidRPr="009011A5" w:rsidRDefault="00213663" w:rsidP="00213663">
      <w:pPr>
        <w:pStyle w:val="Text"/>
        <w:spacing w:after="120" w:line="240" w:lineRule="auto"/>
      </w:pPr>
      <w:r w:rsidRPr="009011A5">
        <w:tab/>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Pr="009011A5">
        <w:tab/>
        <w:t>Change in average load per HDD</w:t>
      </w:r>
    </w:p>
    <w:p w14:paraId="6401F660" w14:textId="77777777" w:rsidR="00213663" w:rsidRPr="009011A5" w:rsidRDefault="00213663" w:rsidP="00213663">
      <w:pPr>
        <w:pStyle w:val="Text"/>
        <w:spacing w:after="120" w:line="240" w:lineRule="auto"/>
      </w:pPr>
      <w:r w:rsidRPr="009011A5">
        <w:t xml:space="preserve">    </w:t>
      </w:r>
      <m:oMath>
        <m:r>
          <w:rPr>
            <w:rFonts w:ascii="Cambria Math" w:hAnsi="Cambria Math"/>
          </w:rPr>
          <m:t>i.month</m:t>
        </m:r>
      </m:oMath>
      <w:r w:rsidRPr="009011A5">
        <w:tab/>
        <w:t>Nominal variable, month</w:t>
      </w:r>
    </w:p>
    <w:p w14:paraId="6401F661" w14:textId="77777777" w:rsidR="00213663" w:rsidRPr="009011A5" w:rsidRDefault="00213663" w:rsidP="00213663">
      <w:pPr>
        <w:rPr>
          <w:rFonts w:ascii="Arial" w:hAnsi="Arial" w:cs="Arial"/>
          <w:color w:val="333333"/>
          <w:szCs w:val="22"/>
        </w:rPr>
      </w:pPr>
      <w:r w:rsidRPr="009011A5">
        <w:rPr>
          <w:rFonts w:ascii="Arial" w:hAnsi="Arial" w:cs="Arial"/>
          <w:color w:val="333333"/>
          <w:szCs w:val="22"/>
        </w:rPr>
        <w:tab/>
      </w:r>
      <m:oMath>
        <m:r>
          <m:rPr>
            <m:sty m:val="p"/>
          </m:rPr>
          <w:rPr>
            <w:rFonts w:ascii="Cambria Math" w:hAnsi="Cambria Math" w:cs="Arial"/>
            <w:color w:val="333333"/>
            <w:szCs w:val="22"/>
          </w:rPr>
          <m:t>ε</m:t>
        </m:r>
      </m:oMath>
      <w:r w:rsidRPr="009011A5">
        <w:rPr>
          <w:rFonts w:ascii="Arial" w:hAnsi="Arial" w:cs="Arial"/>
          <w:color w:val="333333"/>
          <w:szCs w:val="22"/>
        </w:rPr>
        <w:tab/>
        <w:t>The error term</w:t>
      </w:r>
    </w:p>
    <w:p w14:paraId="6401F663" w14:textId="4422AF82" w:rsidR="00213663" w:rsidRPr="009011A5" w:rsidRDefault="00213663" w:rsidP="00213663">
      <w:pPr>
        <w:pStyle w:val="Intropages-coverlettersubjectline"/>
      </w:pPr>
      <w:r w:rsidRPr="009011A5">
        <w:t>Water Heaters</w:t>
      </w:r>
      <w:r w:rsidR="00465414">
        <w:t xml:space="preserve"> (Residential Only)</w:t>
      </w:r>
    </w:p>
    <w:p w14:paraId="6401F664" w14:textId="2FEFFBC6" w:rsidR="00213663" w:rsidRPr="009011A5" w:rsidRDefault="00213663" w:rsidP="00213663">
      <w:pPr>
        <w:pStyle w:val="Text"/>
      </w:pPr>
      <w:r w:rsidRPr="009011A5">
        <w:t xml:space="preserve">Interval load data by end-use are not available for individual customers in </w:t>
      </w:r>
      <w:r w:rsidR="00145C87">
        <w:t>TECO</w:t>
      </w:r>
      <w:r w:rsidRPr="009011A5">
        <w:t xml:space="preserve"> territory, so the analyses of water heaters was completed based on end-use metered data from CPS (San Antonio) Home Manager Program. As water heater loads were assumed to be relatively constant throughout the year (used for summer and winter), average load profiles for water heaters on CPS’s 2013 system peak were assumed to be representative for residential customers in </w:t>
      </w:r>
      <w:r w:rsidR="00465FCB">
        <w:t>TECO’s jurisdiction</w:t>
      </w:r>
      <w:r w:rsidRPr="009011A5">
        <w:t>.</w:t>
      </w:r>
    </w:p>
    <w:p w14:paraId="6401F665" w14:textId="6FB6023F" w:rsidR="00213663" w:rsidRPr="009011A5" w:rsidRDefault="00213663" w:rsidP="00213663">
      <w:pPr>
        <w:pStyle w:val="Caption"/>
      </w:pPr>
      <w:bookmarkStart w:id="185" w:name="_Toc5715435"/>
      <w:bookmarkStart w:id="186" w:name="_Toc458758979"/>
      <w:r w:rsidRPr="009011A5">
        <w:t xml:space="preserve">Figure </w:t>
      </w:r>
      <w:r w:rsidR="00A118ED">
        <w:noBreakHyphen/>
      </w:r>
      <w:r w:rsidR="0025777A">
        <w:rPr>
          <w:noProof/>
        </w:rPr>
        <w:fldChar w:fldCharType="begin"/>
      </w:r>
      <w:r w:rsidR="0025777A">
        <w:rPr>
          <w:noProof/>
        </w:rPr>
        <w:instrText xml:space="preserve"> SEQ Figure \* ARABIC \s 1 </w:instrText>
      </w:r>
      <w:r w:rsidR="0025777A">
        <w:rPr>
          <w:noProof/>
        </w:rPr>
        <w:fldChar w:fldCharType="separate"/>
      </w:r>
      <w:r w:rsidR="00B30110">
        <w:rPr>
          <w:noProof/>
        </w:rPr>
        <w:t>1</w:t>
      </w:r>
      <w:r w:rsidR="0025777A">
        <w:rPr>
          <w:noProof/>
        </w:rPr>
        <w:fldChar w:fldCharType="end"/>
      </w:r>
      <w:r w:rsidRPr="009011A5">
        <w:t>: Average W</w:t>
      </w:r>
      <w:r w:rsidR="00D26A2D">
        <w:t>ater Heaters Load Shapes</w:t>
      </w:r>
      <w:bookmarkEnd w:id="185"/>
      <w:r w:rsidR="00D26A2D">
        <w:t xml:space="preserve"> </w:t>
      </w:r>
      <w:bookmarkEnd w:id="186"/>
    </w:p>
    <w:p w14:paraId="6401F666" w14:textId="77777777" w:rsidR="00213663" w:rsidRPr="009011A5" w:rsidRDefault="00213663" w:rsidP="00213663">
      <w:pPr>
        <w:pStyle w:val="Text"/>
        <w:jc w:val="center"/>
      </w:pPr>
      <w:r w:rsidRPr="009011A5">
        <w:rPr>
          <w:noProof/>
        </w:rPr>
        <w:drawing>
          <wp:inline distT="0" distB="0" distL="0" distR="0" wp14:anchorId="6401F6E4" wp14:editId="6401F6E5">
            <wp:extent cx="4678326" cy="3403781"/>
            <wp:effectExtent l="0" t="0" r="8255" b="6350"/>
            <wp:docPr id="7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4685325" cy="3408873"/>
                    </a:xfrm>
                    <a:prstGeom prst="rect">
                      <a:avLst/>
                    </a:prstGeom>
                  </pic:spPr>
                </pic:pic>
              </a:graphicData>
            </a:graphic>
          </wp:inline>
        </w:drawing>
      </w:r>
    </w:p>
    <w:p w14:paraId="6401F667" w14:textId="77777777" w:rsidR="00213663" w:rsidRPr="009011A5" w:rsidRDefault="00213663" w:rsidP="00213663">
      <w:pPr>
        <w:pStyle w:val="Text"/>
      </w:pPr>
      <w:r w:rsidRPr="009011A5">
        <w:t>It is apparent from the Figure 8-3 that there is not much difference from peak usage and average usage, which proves that water heater loads has low sensitivity to weather. There are two spikes in a day, indicating two shifts when people would be likely to take showers. The time periods with highest consumption are 5:00 am – 7:00 am and 5:00 pm – 8:00 pm.</w:t>
      </w:r>
    </w:p>
    <w:p w14:paraId="6401F668" w14:textId="01B3DE2E" w:rsidR="00213663" w:rsidRPr="009011A5" w:rsidRDefault="00213663" w:rsidP="00213663">
      <w:pPr>
        <w:pStyle w:val="Intropages-coverlettersubjectline"/>
      </w:pPr>
      <w:r w:rsidRPr="009011A5">
        <w:t>Pool Pumps</w:t>
      </w:r>
      <w:r w:rsidR="00465414">
        <w:t xml:space="preserve"> (Residential Only)</w:t>
      </w:r>
    </w:p>
    <w:p w14:paraId="6401F669" w14:textId="5095B92D" w:rsidR="00213663" w:rsidRPr="009011A5" w:rsidRDefault="00213663" w:rsidP="00213663">
      <w:pPr>
        <w:pStyle w:val="Text"/>
        <w:rPr>
          <w:rFonts w:cs="Microsoft Sans Serif"/>
          <w:b/>
          <w:color w:val="0070CD"/>
        </w:rPr>
      </w:pPr>
      <w:r w:rsidRPr="009011A5">
        <w:t xml:space="preserve">Likewise, pool pump loads were assumed to be fairly constant throughout the summer time as well, so the average load profiles for pool pumps from CPS’s project were also used to represent for residential customers in </w:t>
      </w:r>
      <w:r w:rsidR="00465414">
        <w:t>the FEECA Utilities’ jurisdictions</w:t>
      </w:r>
      <w:r w:rsidRPr="009011A5">
        <w:t>.</w:t>
      </w:r>
    </w:p>
    <w:p w14:paraId="6401F66A" w14:textId="373AA1E9" w:rsidR="00213663" w:rsidRPr="009011A5" w:rsidRDefault="00213663" w:rsidP="00213663">
      <w:pPr>
        <w:pStyle w:val="Caption"/>
      </w:pPr>
      <w:bookmarkStart w:id="187" w:name="_Toc458758980"/>
      <w:bookmarkStart w:id="188" w:name="_Toc5715436"/>
      <w:r w:rsidRPr="009011A5">
        <w:t xml:space="preserve">Figure </w:t>
      </w:r>
      <w:r w:rsidR="0025777A">
        <w:rPr>
          <w:noProof/>
        </w:rPr>
        <w:fldChar w:fldCharType="begin"/>
      </w:r>
      <w:r w:rsidR="0025777A">
        <w:rPr>
          <w:noProof/>
        </w:rPr>
        <w:instrText xml:space="preserve"> STYLEREF 1 \s </w:instrText>
      </w:r>
      <w:r w:rsidR="0025777A">
        <w:rPr>
          <w:noProof/>
        </w:rPr>
        <w:fldChar w:fldCharType="separate"/>
      </w:r>
      <w:r w:rsidR="00B30110">
        <w:rPr>
          <w:noProof/>
        </w:rPr>
        <w:t>6</w:t>
      </w:r>
      <w:r w:rsidR="0025777A">
        <w:rPr>
          <w:noProof/>
        </w:rPr>
        <w:fldChar w:fldCharType="end"/>
      </w:r>
      <w:r w:rsidR="00A118ED">
        <w:noBreakHyphen/>
      </w:r>
      <w:r w:rsidR="0025777A">
        <w:rPr>
          <w:noProof/>
        </w:rPr>
        <w:fldChar w:fldCharType="begin"/>
      </w:r>
      <w:r w:rsidR="0025777A">
        <w:rPr>
          <w:noProof/>
        </w:rPr>
        <w:instrText xml:space="preserve"> SEQ Figure \* ARABIC \s 1 </w:instrText>
      </w:r>
      <w:r w:rsidR="0025777A">
        <w:rPr>
          <w:noProof/>
        </w:rPr>
        <w:fldChar w:fldCharType="separate"/>
      </w:r>
      <w:r w:rsidR="00B30110">
        <w:rPr>
          <w:noProof/>
        </w:rPr>
        <w:t>2</w:t>
      </w:r>
      <w:r w:rsidR="0025777A">
        <w:rPr>
          <w:noProof/>
        </w:rPr>
        <w:fldChar w:fldCharType="end"/>
      </w:r>
      <w:r w:rsidRPr="009011A5">
        <w:t xml:space="preserve">: Average Pool Pumps Load </w:t>
      </w:r>
      <w:r w:rsidR="00D26A2D">
        <w:t>Shapes</w:t>
      </w:r>
      <w:bookmarkEnd w:id="187"/>
      <w:bookmarkEnd w:id="188"/>
    </w:p>
    <w:p w14:paraId="6401F66B" w14:textId="77777777" w:rsidR="00213663" w:rsidRPr="009011A5" w:rsidRDefault="00213663" w:rsidP="00213663">
      <w:pPr>
        <w:pStyle w:val="Caption"/>
      </w:pPr>
    </w:p>
    <w:p w14:paraId="6401F66C" w14:textId="77777777" w:rsidR="00213663" w:rsidRPr="009011A5" w:rsidRDefault="00213663" w:rsidP="00213663">
      <w:pPr>
        <w:pStyle w:val="Text"/>
        <w:jc w:val="center"/>
      </w:pPr>
      <w:r w:rsidRPr="009011A5">
        <w:rPr>
          <w:noProof/>
        </w:rPr>
        <w:drawing>
          <wp:inline distT="0" distB="0" distL="0" distR="0" wp14:anchorId="6401F6E6" wp14:editId="6401F6E7">
            <wp:extent cx="4574155" cy="3327991"/>
            <wp:effectExtent l="0" t="0" r="0" b="6350"/>
            <wp:docPr id="7189" name="Picture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4574155" cy="3327991"/>
                    </a:xfrm>
                    <a:prstGeom prst="rect">
                      <a:avLst/>
                    </a:prstGeom>
                  </pic:spPr>
                </pic:pic>
              </a:graphicData>
            </a:graphic>
          </wp:inline>
        </w:drawing>
      </w:r>
    </w:p>
    <w:p w14:paraId="6401F66D" w14:textId="77777777" w:rsidR="00213663" w:rsidRPr="009011A5" w:rsidRDefault="00213663" w:rsidP="00213663">
      <w:pPr>
        <w:pStyle w:val="Text"/>
      </w:pPr>
      <w:r w:rsidRPr="009011A5">
        <w:t>According to the Figure 8-4, the peak hours for pool pumps are 3:00 pm to 6:00 pm, and there is minor sensitivity with weather observed by comparing peak loads and average loads.</w:t>
      </w:r>
    </w:p>
    <w:p w14:paraId="6401F66E" w14:textId="77777777" w:rsidR="00213663" w:rsidRPr="00EB1C6E" w:rsidRDefault="00213663" w:rsidP="00213663">
      <w:pPr>
        <w:pStyle w:val="IntroPages-Listoffiguresheadings"/>
      </w:pPr>
      <w:r w:rsidRPr="00EB1C6E">
        <w:t>Large C&amp;I Customers</w:t>
      </w:r>
    </w:p>
    <w:p w14:paraId="6401F66F" w14:textId="3EFC7134" w:rsidR="00213663" w:rsidRPr="00EB1C6E" w:rsidRDefault="00213663" w:rsidP="00213663">
      <w:pPr>
        <w:pStyle w:val="Text"/>
      </w:pPr>
      <w:r w:rsidRPr="00EB1C6E">
        <w:t xml:space="preserve">Estimates of technical potential were based on one year of interval data (2016) for all customers </w:t>
      </w:r>
      <w:r>
        <w:t xml:space="preserve">in the </w:t>
      </w:r>
      <w:r w:rsidR="00E12301">
        <w:t>GSD</w:t>
      </w:r>
      <w:r>
        <w:t xml:space="preserve"> rate classes. </w:t>
      </w:r>
      <w:r w:rsidRPr="00EB1C6E">
        <w:t xml:space="preserve"> Customers were categorized into one of </w:t>
      </w:r>
      <w:r w:rsidR="00E12301">
        <w:t>four max demand</w:t>
      </w:r>
      <w:r w:rsidRPr="00EB1C6E">
        <w:t xml:space="preserve"> segments for the purpose of analysis. Technical potential for these customers was defined as the aggregate usage within each segment during summer and winter peak system hours. </w:t>
      </w:r>
    </w:p>
    <w:p w14:paraId="6401F670" w14:textId="249AA569" w:rsidR="00213663" w:rsidRPr="004700EF" w:rsidRDefault="00213663" w:rsidP="00213663">
      <w:pPr>
        <w:pStyle w:val="Text"/>
        <w:rPr>
          <w:rFonts w:cs="Microsoft Sans Serif"/>
          <w:b/>
          <w:color w:val="0070CD"/>
          <w:highlight w:val="cyan"/>
        </w:rPr>
      </w:pPr>
      <w:r w:rsidRPr="00EB1C6E">
        <w:t xml:space="preserve">Visual presentations of the results are shown below. These graphs are useful to identify the segments with the highest potential as well as examine the weather-sensitivity of each segment by comparing peak usage to the average usage in each season. </w:t>
      </w:r>
    </w:p>
    <w:p w14:paraId="6401F671" w14:textId="630FB721" w:rsidR="00213663" w:rsidRPr="006C586B" w:rsidRDefault="00213663" w:rsidP="00213663">
      <w:pPr>
        <w:pStyle w:val="Caption"/>
      </w:pPr>
      <w:bookmarkStart w:id="189" w:name="_Toc458758981"/>
      <w:bookmarkStart w:id="190" w:name="_Toc5715437"/>
      <w:r w:rsidRPr="006C586B">
        <w:t xml:space="preserve">Figure </w:t>
      </w:r>
      <w:r w:rsidR="0025777A">
        <w:rPr>
          <w:noProof/>
        </w:rPr>
        <w:fldChar w:fldCharType="begin"/>
      </w:r>
      <w:r w:rsidR="0025777A">
        <w:rPr>
          <w:noProof/>
        </w:rPr>
        <w:instrText xml:space="preserve"> STYLEREF 1 \s </w:instrText>
      </w:r>
      <w:r w:rsidR="0025777A">
        <w:rPr>
          <w:noProof/>
        </w:rPr>
        <w:fldChar w:fldCharType="separate"/>
      </w:r>
      <w:r w:rsidR="00B30110">
        <w:rPr>
          <w:noProof/>
        </w:rPr>
        <w:t>6</w:t>
      </w:r>
      <w:r w:rsidR="0025777A">
        <w:rPr>
          <w:noProof/>
        </w:rPr>
        <w:fldChar w:fldCharType="end"/>
      </w:r>
      <w:r w:rsidR="00A118ED">
        <w:noBreakHyphen/>
      </w:r>
      <w:r w:rsidR="0025777A">
        <w:rPr>
          <w:noProof/>
        </w:rPr>
        <w:fldChar w:fldCharType="begin"/>
      </w:r>
      <w:r w:rsidR="0025777A">
        <w:rPr>
          <w:noProof/>
        </w:rPr>
        <w:instrText xml:space="preserve"> SEQ Figure \* ARABIC \s 1 </w:instrText>
      </w:r>
      <w:r w:rsidR="0025777A">
        <w:rPr>
          <w:noProof/>
        </w:rPr>
        <w:fldChar w:fldCharType="separate"/>
      </w:r>
      <w:r w:rsidR="00B30110">
        <w:rPr>
          <w:noProof/>
        </w:rPr>
        <w:t>3</w:t>
      </w:r>
      <w:r w:rsidR="0025777A">
        <w:rPr>
          <w:noProof/>
        </w:rPr>
        <w:fldChar w:fldCharType="end"/>
      </w:r>
      <w:r w:rsidRPr="006C586B">
        <w:t xml:space="preserve">: Aggregate Load Shapes for </w:t>
      </w:r>
      <w:r w:rsidR="00145C87">
        <w:t>TECO</w:t>
      </w:r>
      <w:r w:rsidR="0072075B">
        <w:t xml:space="preserve"> </w:t>
      </w:r>
      <w:r w:rsidRPr="006C586B">
        <w:t>Large C&amp;I Customers</w:t>
      </w:r>
      <w:bookmarkEnd w:id="189"/>
      <w:bookmarkEnd w:id="190"/>
    </w:p>
    <w:p w14:paraId="6401F672" w14:textId="4A473278" w:rsidR="00213663" w:rsidRPr="004700EF" w:rsidRDefault="00AF4657" w:rsidP="00213663">
      <w:pPr>
        <w:pStyle w:val="Text"/>
        <w:jc w:val="center"/>
        <w:rPr>
          <w:highlight w:val="cyan"/>
        </w:rPr>
      </w:pPr>
      <w:r>
        <w:rPr>
          <w:noProof/>
        </w:rPr>
        <w:drawing>
          <wp:inline distT="0" distB="0" distL="0" distR="0" wp14:anchorId="73ABBFB4" wp14:editId="26B0089D">
            <wp:extent cx="6214745" cy="3369945"/>
            <wp:effectExtent l="0" t="0" r="0" b="1905"/>
            <wp:docPr id="7176" name="Picture 7176" descr="R:\rdudata\CSPA Projects\610025 - FEECA Potential Study\Output\System Load Analysis\TECO\Customer Load Profiles\System Peak Days\06_GSDPeak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rdudata\CSPA Projects\610025 - FEECA Potential Study\Output\System Load Analysis\TECO\Customer Load Profiles\System Peak Days\06_GSDPeakLoad.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14745" cy="3369945"/>
                    </a:xfrm>
                    <a:prstGeom prst="rect">
                      <a:avLst/>
                    </a:prstGeom>
                    <a:noFill/>
                    <a:ln>
                      <a:noFill/>
                    </a:ln>
                  </pic:spPr>
                </pic:pic>
              </a:graphicData>
            </a:graphic>
          </wp:inline>
        </w:drawing>
      </w:r>
    </w:p>
    <w:p w14:paraId="56949BF8" w14:textId="77777777" w:rsidR="006C4981" w:rsidRPr="003434B6" w:rsidRDefault="006C4981" w:rsidP="003434B6">
      <w:pPr>
        <w:pStyle w:val="Text"/>
      </w:pPr>
    </w:p>
    <w:p w14:paraId="6401F675" w14:textId="77777777" w:rsidR="006D2788" w:rsidRDefault="006D2788" w:rsidP="00591B9B">
      <w:pPr>
        <w:pStyle w:val="Heading7"/>
        <w:numPr>
          <w:ilvl w:val="0"/>
          <w:numId w:val="0"/>
        </w:numPr>
      </w:pPr>
    </w:p>
    <w:p w14:paraId="69669375" w14:textId="77777777" w:rsidR="003434B6" w:rsidRPr="003434B6" w:rsidRDefault="003434B6" w:rsidP="003434B6">
      <w:pPr>
        <w:pStyle w:val="Text"/>
        <w:sectPr w:rsidR="003434B6" w:rsidRPr="003434B6" w:rsidSect="00DE1B69">
          <w:footnotePr>
            <w:numRestart w:val="eachSect"/>
          </w:footnotePr>
          <w:endnotePr>
            <w:numFmt w:val="decimal"/>
          </w:endnotePr>
          <w:pgSz w:w="12240" w:h="15840" w:code="1"/>
          <w:pgMar w:top="1440" w:right="1224" w:bottom="1440" w:left="1224" w:header="720" w:footer="720" w:gutter="0"/>
          <w:pgNumType w:start="1" w:chapStyle="7"/>
          <w:cols w:space="360"/>
          <w:titlePg/>
          <w:docGrid w:linePitch="299"/>
        </w:sectPr>
      </w:pPr>
    </w:p>
    <w:p w14:paraId="6401F676" w14:textId="77777777" w:rsidR="00680F41" w:rsidRPr="00CE45D6" w:rsidRDefault="00680F41" w:rsidP="00CE45D6">
      <w:pPr>
        <w:pStyle w:val="zOther-Lastpageaddress"/>
      </w:pPr>
    </w:p>
    <w:p w14:paraId="6401F677" w14:textId="77777777" w:rsidR="008F566D" w:rsidRPr="00CE45D6" w:rsidRDefault="00CE45D6" w:rsidP="00CE45D6">
      <w:pPr>
        <w:pStyle w:val="zOther-Lastpageaddress"/>
      </w:pPr>
      <w:r>
        <w:rPr>
          <w:noProof/>
        </w:rPr>
        <w:drawing>
          <wp:anchor distT="0" distB="0" distL="114300" distR="114300" simplePos="0" relativeHeight="251658752" behindDoc="0" locked="0" layoutInCell="1" allowOverlap="1" wp14:anchorId="6401F6EA" wp14:editId="6401F6EB">
            <wp:simplePos x="0" y="0"/>
            <wp:positionH relativeFrom="column">
              <wp:posOffset>2152650</wp:posOffset>
            </wp:positionH>
            <wp:positionV relativeFrom="paragraph">
              <wp:posOffset>135255</wp:posOffset>
            </wp:positionV>
            <wp:extent cx="1485900" cy="352425"/>
            <wp:effectExtent l="0" t="0" r="0" b="0"/>
            <wp:wrapNone/>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85900" cy="352425"/>
                    </a:xfrm>
                    <a:prstGeom prst="rect">
                      <a:avLst/>
                    </a:prstGeom>
                    <a:noFill/>
                    <a:ln>
                      <a:noFill/>
                    </a:ln>
                  </pic:spPr>
                </pic:pic>
              </a:graphicData>
            </a:graphic>
          </wp:anchor>
        </w:drawing>
      </w:r>
    </w:p>
    <w:p w14:paraId="6401F678" w14:textId="77777777" w:rsidR="008F566D" w:rsidRPr="00CE45D6" w:rsidRDefault="008F566D" w:rsidP="00CE45D6">
      <w:pPr>
        <w:pStyle w:val="zOther-Lastpageaddress"/>
      </w:pPr>
    </w:p>
    <w:p w14:paraId="6401F679" w14:textId="77777777" w:rsidR="008F566D" w:rsidRPr="00CE45D6" w:rsidRDefault="008F566D" w:rsidP="00CE45D6">
      <w:pPr>
        <w:pStyle w:val="zOther-Lastpageaddress"/>
      </w:pPr>
    </w:p>
    <w:p w14:paraId="6401F67A" w14:textId="77777777" w:rsidR="008F566D" w:rsidRPr="00CE45D6" w:rsidRDefault="008F566D" w:rsidP="00CE45D6">
      <w:pPr>
        <w:pStyle w:val="zOther-Lastpageaddress"/>
      </w:pPr>
      <w:r w:rsidRPr="00CE45D6">
        <w:t>Nexant, Inc.</w:t>
      </w:r>
    </w:p>
    <w:p w14:paraId="6401F67B" w14:textId="77777777" w:rsidR="008F566D" w:rsidRPr="009767E7" w:rsidRDefault="008F566D" w:rsidP="00CE45D6">
      <w:pPr>
        <w:pStyle w:val="zOther-Lastpageaddress"/>
      </w:pPr>
      <w:r w:rsidRPr="009767E7">
        <w:t>Headquarters</w:t>
      </w:r>
    </w:p>
    <w:p w14:paraId="6401F67C" w14:textId="77777777" w:rsidR="008F566D" w:rsidRPr="009767E7" w:rsidRDefault="008F566D" w:rsidP="00CE45D6">
      <w:pPr>
        <w:pStyle w:val="zOther-Lastpageaddress"/>
      </w:pPr>
      <w:r w:rsidRPr="009767E7">
        <w:t>101 2nd Street, Suite 1000</w:t>
      </w:r>
    </w:p>
    <w:p w14:paraId="6401F67D" w14:textId="77777777" w:rsidR="008F566D" w:rsidRPr="009767E7" w:rsidRDefault="008F566D" w:rsidP="00CE45D6">
      <w:pPr>
        <w:pStyle w:val="zOther-Lastpageaddress"/>
      </w:pPr>
      <w:r w:rsidRPr="009767E7">
        <w:t>San Francisco CA 94105-3651</w:t>
      </w:r>
    </w:p>
    <w:p w14:paraId="6401F67E" w14:textId="77777777" w:rsidR="008F566D" w:rsidRPr="009767E7" w:rsidRDefault="008F566D" w:rsidP="00CE45D6">
      <w:pPr>
        <w:pStyle w:val="zOther-Lastpageaddress"/>
      </w:pPr>
      <w:r w:rsidRPr="009767E7">
        <w:t>Tel: (415) 369-1000</w:t>
      </w:r>
    </w:p>
    <w:p w14:paraId="6401F67F" w14:textId="77777777" w:rsidR="008F566D" w:rsidRDefault="008F566D" w:rsidP="00CE45D6">
      <w:pPr>
        <w:pStyle w:val="zOther-Lastpageaddress"/>
      </w:pPr>
      <w:r w:rsidRPr="009767E7">
        <w:t>Fax: (415) 369-9700</w:t>
      </w:r>
    </w:p>
    <w:p w14:paraId="6401F680" w14:textId="77777777" w:rsidR="00433695" w:rsidRDefault="00433695" w:rsidP="00CE45D6">
      <w:pPr>
        <w:pStyle w:val="zOther-Lastpageaddress"/>
      </w:pPr>
    </w:p>
    <w:p w14:paraId="6401F681" w14:textId="77777777" w:rsidR="00433695" w:rsidRPr="00CE45D6" w:rsidRDefault="00433695" w:rsidP="00CE45D6">
      <w:pPr>
        <w:pStyle w:val="zOther-Lastpageaddress"/>
      </w:pPr>
    </w:p>
    <w:p w14:paraId="6401F682" w14:textId="77777777" w:rsidR="008F566D" w:rsidRPr="00433695" w:rsidRDefault="008F566D" w:rsidP="00CE45D6">
      <w:pPr>
        <w:pStyle w:val="zOther-Lastpageaddress"/>
        <w:rPr>
          <w:rFonts w:cs="Microsoft Sans Serif"/>
          <w:b/>
          <w:bCs/>
          <w:i/>
          <w:color w:val="0070CD"/>
          <w:kern w:val="28"/>
          <w:sz w:val="24"/>
          <w:szCs w:val="52"/>
        </w:rPr>
      </w:pPr>
      <w:r w:rsidRPr="00433695">
        <w:rPr>
          <w:rFonts w:cs="Microsoft Sans Serif"/>
          <w:b/>
          <w:bCs/>
          <w:i/>
          <w:color w:val="0070CD"/>
          <w:kern w:val="28"/>
          <w:sz w:val="24"/>
          <w:szCs w:val="52"/>
        </w:rPr>
        <w:t>nexant.com</w:t>
      </w:r>
    </w:p>
    <w:p w14:paraId="6401F683" w14:textId="77777777" w:rsidR="008F566D" w:rsidRPr="00CE45D6" w:rsidRDefault="008F566D" w:rsidP="00CE45D6">
      <w:pPr>
        <w:pStyle w:val="zOther-Lastpageaddress"/>
      </w:pPr>
    </w:p>
    <w:sectPr w:rsidR="008F566D" w:rsidRPr="00CE45D6" w:rsidSect="00392D0E">
      <w:headerReference w:type="default" r:id="rId78"/>
      <w:headerReference w:type="first" r:id="rId79"/>
      <w:footerReference w:type="first" r:id="rId80"/>
      <w:footnotePr>
        <w:numRestart w:val="eachSect"/>
      </w:footnotePr>
      <w:endnotePr>
        <w:numFmt w:val="decimal"/>
      </w:endnotePr>
      <w:pgSz w:w="12240" w:h="15840" w:code="1"/>
      <w:pgMar w:top="1440" w:right="1440" w:bottom="720" w:left="1440" w:header="720" w:footer="720" w:gutter="0"/>
      <w:pgNumType w:start="1" w:chapStyle="7"/>
      <w:cols w:space="36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D38B79" w14:textId="77777777" w:rsidR="00D7421B" w:rsidRDefault="00D7421B" w:rsidP="00E45947">
      <w:pPr>
        <w:spacing w:after="120"/>
      </w:pPr>
      <w:r>
        <w:separator/>
      </w:r>
    </w:p>
    <w:p w14:paraId="3D9A6EA8" w14:textId="77777777" w:rsidR="00D7421B" w:rsidRDefault="00D7421B"/>
    <w:p w14:paraId="68940ABB" w14:textId="77777777" w:rsidR="00D7421B" w:rsidRDefault="00D7421B"/>
  </w:endnote>
  <w:endnote w:type="continuationSeparator" w:id="0">
    <w:p w14:paraId="69FA40BC" w14:textId="77777777" w:rsidR="00D7421B" w:rsidRDefault="00D7421B">
      <w:r>
        <w:continuationSeparator/>
      </w:r>
    </w:p>
    <w:p w14:paraId="40925978" w14:textId="77777777" w:rsidR="00D7421B" w:rsidRDefault="00D7421B"/>
    <w:p w14:paraId="497F1D05" w14:textId="77777777" w:rsidR="00D7421B" w:rsidRDefault="00D742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ont334">
    <w:altName w:val="Times New Roman"/>
    <w:panose1 w:val="00000000000000000000"/>
    <w:charset w:val="00"/>
    <w:family w:val="auto"/>
    <w:notTrueType/>
    <w:pitch w:val="default"/>
    <w:sig w:usb0="000000DB" w:usb1="00000159" w:usb2="00000000" w:usb3="00000001" w:csb0="00000000" w:csb1="00004819"/>
  </w:font>
  <w:font w:name="Tms Rmn">
    <w:panose1 w:val="02020603040505020304"/>
    <w:charset w:val="00"/>
    <w:family w:val="roman"/>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dobe Heiti Std R">
    <w:panose1 w:val="00000000000000000000"/>
    <w:charset w:val="80"/>
    <w:family w:val="swiss"/>
    <w:notTrueType/>
    <w:pitch w:val="variable"/>
    <w:sig w:usb0="00000207" w:usb1="0A0F1810" w:usb2="00000016" w:usb3="00000000" w:csb0="00060007"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BD7D3" w14:textId="77777777" w:rsidR="00D7421B" w:rsidRDefault="00D7421B" w:rsidP="00E9074A">
    <w:pPr>
      <w:pStyle w:val="Text"/>
    </w:pPr>
    <w:r>
      <w:rPr>
        <w:rFonts w:ascii="Arial Narrow" w:hAnsi="Arial Narrow"/>
        <w:noProof/>
      </w:rPr>
      <w:drawing>
        <wp:anchor distT="0" distB="0" distL="114300" distR="114300" simplePos="0" relativeHeight="251661824" behindDoc="0" locked="0" layoutInCell="1" allowOverlap="1" wp14:anchorId="6401F735" wp14:editId="694DD141">
          <wp:simplePos x="0" y="0"/>
          <wp:positionH relativeFrom="page">
            <wp:posOffset>828675</wp:posOffset>
          </wp:positionH>
          <wp:positionV relativeFrom="page">
            <wp:posOffset>9267825</wp:posOffset>
          </wp:positionV>
          <wp:extent cx="828675" cy="238125"/>
          <wp:effectExtent l="0" t="0" r="0" b="0"/>
          <wp:wrapSquare wrapText="bothSides"/>
          <wp:docPr id="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19355"/>
                  <a:stretch>
                    <a:fillRect/>
                  </a:stretch>
                </pic:blipFill>
                <pic:spPr bwMode="auto">
                  <a:xfrm>
                    <a:off x="0" y="0"/>
                    <a:ext cx="828675" cy="238125"/>
                  </a:xfrm>
                  <a:prstGeom prst="rect">
                    <a:avLst/>
                  </a:prstGeom>
                  <a:noFill/>
                  <a:ln w="9525">
                    <a:noFill/>
                    <a:miter lim="800000"/>
                    <a:headEnd/>
                    <a:tailEnd/>
                  </a:ln>
                </pic:spPr>
              </pic:pic>
            </a:graphicData>
          </a:graphic>
        </wp:anchor>
      </w:drawing>
    </w:r>
    <w:r w:rsidRPr="002D5D6A">
      <w:tab/>
    </w:r>
    <w:r>
      <w:t xml:space="preserve">North Carolina Market Potential Study </w:t>
    </w:r>
    <w:r>
      <w:fldChar w:fldCharType="begin"/>
    </w:r>
    <w:r>
      <w:instrText xml:space="preserve"> REF  Title_of_Proposal  \* MERGEFORMAT </w:instrText>
    </w:r>
    <w:r>
      <w:fldChar w:fldCharType="separate"/>
    </w:r>
  </w:p>
  <w:p w14:paraId="6401F703" w14:textId="77777777" w:rsidR="00D7421B" w:rsidRPr="00450ABC" w:rsidRDefault="00D7421B" w:rsidP="00450ABC">
    <w:pPr>
      <w:pStyle w:val="Footer"/>
      <w:tabs>
        <w:tab w:val="clear" w:pos="4680"/>
        <w:tab w:val="center" w:pos="5040"/>
      </w:tabs>
      <w:ind w:left="0"/>
      <w:jc w:val="right"/>
      <w:rPr>
        <w:rFonts w:cs="Arial"/>
        <w:bCs/>
      </w:rPr>
    </w:pPr>
    <w:r>
      <w:fldChar w:fldCharType="end"/>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Pr>
        <w:rStyle w:val="PageNumber"/>
        <w:rFonts w:cs="Arial"/>
        <w:bCs/>
        <w:noProof/>
      </w:rPr>
      <w:t>6</w:t>
    </w:r>
    <w:r w:rsidRPr="002D5D6A">
      <w:rPr>
        <w:rStyle w:val="PageNumber"/>
        <w:rFonts w:cs="Arial"/>
        <w:bCs/>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A5040" w14:textId="0DEBCDCD" w:rsidR="00D7421B" w:rsidRPr="00450ABC" w:rsidRDefault="00D7421B" w:rsidP="00A17C36">
    <w:pPr>
      <w:pStyle w:val="Footer"/>
      <w:tabs>
        <w:tab w:val="clear" w:pos="4680"/>
        <w:tab w:val="center" w:pos="5040"/>
      </w:tabs>
      <w:ind w:left="0"/>
      <w:jc w:val="right"/>
      <w:rPr>
        <w:rFonts w:cs="Arial"/>
        <w:bCs/>
      </w:rPr>
    </w:pPr>
    <w:r>
      <w:rPr>
        <w:rFonts w:cs="Arial"/>
        <w:noProof/>
      </w:rPr>
      <w:drawing>
        <wp:anchor distT="0" distB="0" distL="114300" distR="114300" simplePos="0" relativeHeight="251659264" behindDoc="0" locked="0" layoutInCell="1" allowOverlap="1" wp14:anchorId="191EB78B" wp14:editId="7C9C933D">
          <wp:simplePos x="0" y="0"/>
          <wp:positionH relativeFrom="page">
            <wp:posOffset>833755</wp:posOffset>
          </wp:positionH>
          <wp:positionV relativeFrom="page">
            <wp:posOffset>9290050</wp:posOffset>
          </wp:positionV>
          <wp:extent cx="819150" cy="219075"/>
          <wp:effectExtent l="0" t="0" r="0" b="0"/>
          <wp:wrapSquare wrapText="bothSides"/>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TECO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403A38">
      <w:rPr>
        <w:rStyle w:val="PageNumber"/>
        <w:rFonts w:cs="Arial"/>
        <w:bCs/>
        <w:noProof/>
      </w:rPr>
      <w:t>27</w:t>
    </w:r>
    <w:r w:rsidRPr="002D5D6A">
      <w:rPr>
        <w:rStyle w:val="PageNumber"/>
        <w:rFonts w:cs="Arial"/>
        <w:bCs/>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1F" w14:textId="64AF006E" w:rsidR="00D7421B" w:rsidRPr="00450ABC" w:rsidRDefault="00D7421B" w:rsidP="00A17C36">
    <w:pPr>
      <w:pStyle w:val="Footer"/>
      <w:tabs>
        <w:tab w:val="clear" w:pos="4680"/>
        <w:tab w:val="center" w:pos="5040"/>
      </w:tabs>
      <w:ind w:left="0"/>
      <w:jc w:val="right"/>
      <w:rPr>
        <w:rFonts w:cs="Arial"/>
        <w:bCs/>
      </w:rPr>
    </w:pPr>
    <w:r>
      <w:rPr>
        <w:rFonts w:cs="Arial"/>
        <w:noProof/>
      </w:rPr>
      <w:drawing>
        <wp:anchor distT="0" distB="0" distL="114300" distR="114300" simplePos="0" relativeHeight="251656192" behindDoc="0" locked="0" layoutInCell="1" allowOverlap="1" wp14:anchorId="6401F74F" wp14:editId="1DC993FB">
          <wp:simplePos x="0" y="0"/>
          <wp:positionH relativeFrom="page">
            <wp:posOffset>833755</wp:posOffset>
          </wp:positionH>
          <wp:positionV relativeFrom="page">
            <wp:posOffset>9290050</wp:posOffset>
          </wp:positionV>
          <wp:extent cx="819150" cy="219075"/>
          <wp:effectExtent l="0" t="0" r="0" b="0"/>
          <wp:wrapSquare wrapText="bothSides"/>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TECO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403A38">
      <w:rPr>
        <w:rStyle w:val="PageNumber"/>
        <w:rFonts w:cs="Arial"/>
        <w:bCs/>
        <w:noProof/>
      </w:rPr>
      <w:t>44</w:t>
    </w:r>
    <w:r w:rsidRPr="002D5D6A">
      <w:rPr>
        <w:rStyle w:val="PageNumber"/>
        <w:rFonts w:cs="Arial"/>
        <w:bCs/>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21" w14:textId="106824AE" w:rsidR="00D7421B" w:rsidRPr="00450ABC" w:rsidRDefault="00D7421B" w:rsidP="00A17C36">
    <w:pPr>
      <w:pStyle w:val="Footer"/>
      <w:tabs>
        <w:tab w:val="clear" w:pos="4680"/>
        <w:tab w:val="center" w:pos="5040"/>
      </w:tabs>
      <w:ind w:left="0"/>
      <w:jc w:val="right"/>
      <w:rPr>
        <w:rFonts w:cs="Arial"/>
        <w:bCs/>
      </w:rPr>
    </w:pPr>
    <w:r>
      <w:rPr>
        <w:rFonts w:cs="Arial"/>
        <w:noProof/>
      </w:rPr>
      <w:drawing>
        <wp:anchor distT="0" distB="0" distL="114300" distR="114300" simplePos="0" relativeHeight="251657216" behindDoc="0" locked="0" layoutInCell="1" allowOverlap="1" wp14:anchorId="6401F751" wp14:editId="593ED1BC">
          <wp:simplePos x="0" y="0"/>
          <wp:positionH relativeFrom="page">
            <wp:posOffset>833755</wp:posOffset>
          </wp:positionH>
          <wp:positionV relativeFrom="page">
            <wp:posOffset>9290050</wp:posOffset>
          </wp:positionV>
          <wp:extent cx="819150" cy="219075"/>
          <wp:effectExtent l="0" t="0" r="0" b="0"/>
          <wp:wrapSquare wrapText="bothSides"/>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TECO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403A38">
      <w:rPr>
        <w:rStyle w:val="PageNumber"/>
        <w:rFonts w:cs="Arial"/>
        <w:bCs/>
        <w:noProof/>
      </w:rPr>
      <w:t>36</w:t>
    </w:r>
    <w:r w:rsidRPr="002D5D6A">
      <w:rPr>
        <w:rStyle w:val="PageNumber"/>
        <w:rFonts w:cs="Arial"/>
        <w:bCs/>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55B3B" w14:textId="5D85BABE" w:rsidR="00D7421B" w:rsidRPr="00450ABC" w:rsidRDefault="00D7421B" w:rsidP="00A17C36">
    <w:pPr>
      <w:pStyle w:val="Footer"/>
      <w:tabs>
        <w:tab w:val="clear" w:pos="4680"/>
        <w:tab w:val="center" w:pos="5040"/>
      </w:tabs>
      <w:ind w:left="0"/>
      <w:jc w:val="right"/>
      <w:rPr>
        <w:rFonts w:cs="Arial"/>
        <w:bCs/>
      </w:rPr>
    </w:pPr>
    <w:r>
      <w:rPr>
        <w:rFonts w:cs="Arial"/>
        <w:noProof/>
      </w:rPr>
      <w:drawing>
        <wp:anchor distT="0" distB="0" distL="114300" distR="114300" simplePos="0" relativeHeight="251669504" behindDoc="0" locked="0" layoutInCell="1" allowOverlap="1" wp14:anchorId="69A3CA2A" wp14:editId="5A00F30F">
          <wp:simplePos x="0" y="0"/>
          <wp:positionH relativeFrom="page">
            <wp:posOffset>833755</wp:posOffset>
          </wp:positionH>
          <wp:positionV relativeFrom="page">
            <wp:posOffset>9290050</wp:posOffset>
          </wp:positionV>
          <wp:extent cx="819150" cy="219075"/>
          <wp:effectExtent l="0" t="0" r="0" b="0"/>
          <wp:wrapSquare wrapText="bothSides"/>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TECO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403A38">
      <w:rPr>
        <w:rStyle w:val="PageNumber"/>
        <w:rFonts w:cs="Arial"/>
        <w:bCs/>
        <w:noProof/>
      </w:rPr>
      <w:t>45</w:t>
    </w:r>
    <w:r w:rsidRPr="002D5D6A">
      <w:rPr>
        <w:rStyle w:val="PageNumber"/>
        <w:rFonts w:cs="Arial"/>
        <w:bCs/>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FFC7B" w14:textId="09ED011E" w:rsidR="00D7421B" w:rsidRPr="00450ABC" w:rsidRDefault="00D7421B" w:rsidP="00A17C36">
    <w:pPr>
      <w:pStyle w:val="Footer"/>
      <w:tabs>
        <w:tab w:val="clear" w:pos="4680"/>
        <w:tab w:val="center" w:pos="5040"/>
      </w:tabs>
      <w:ind w:left="0"/>
      <w:jc w:val="right"/>
      <w:rPr>
        <w:rFonts w:cs="Arial"/>
        <w:bCs/>
      </w:rPr>
    </w:pPr>
    <w:r>
      <w:rPr>
        <w:rFonts w:cs="Arial"/>
        <w:noProof/>
      </w:rPr>
      <w:drawing>
        <wp:anchor distT="0" distB="0" distL="114300" distR="114300" simplePos="0" relativeHeight="251668480" behindDoc="0" locked="0" layoutInCell="1" allowOverlap="1" wp14:anchorId="5EA00056" wp14:editId="71797783">
          <wp:simplePos x="0" y="0"/>
          <wp:positionH relativeFrom="page">
            <wp:posOffset>833755</wp:posOffset>
          </wp:positionH>
          <wp:positionV relativeFrom="page">
            <wp:posOffset>9290050</wp:posOffset>
          </wp:positionV>
          <wp:extent cx="819150" cy="219075"/>
          <wp:effectExtent l="0" t="0" r="0" b="0"/>
          <wp:wrapSquare wrapText="bothSides"/>
          <wp:docPr id="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TECO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Pr>
        <w:rStyle w:val="PageNumber"/>
        <w:rFonts w:cs="Arial"/>
        <w:bCs/>
        <w:noProof/>
      </w:rPr>
      <w:t>62</w:t>
    </w:r>
    <w:r w:rsidRPr="002D5D6A">
      <w:rPr>
        <w:rStyle w:val="PageNumber"/>
        <w:rFonts w:cs="Arial"/>
        <w:bCs/>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27" w14:textId="7F714060" w:rsidR="00D7421B" w:rsidRPr="00450ABC" w:rsidRDefault="00D7421B" w:rsidP="00450ABC">
    <w:pPr>
      <w:pStyle w:val="Footer"/>
      <w:tabs>
        <w:tab w:val="clear" w:pos="4680"/>
        <w:tab w:val="center" w:pos="5040"/>
      </w:tabs>
      <w:ind w:left="0"/>
      <w:jc w:val="right"/>
      <w:rPr>
        <w:rFonts w:cs="Arial"/>
        <w:bCs/>
      </w:rPr>
    </w:pPr>
    <w:r>
      <w:rPr>
        <w:rFonts w:ascii="Arial Narrow" w:hAnsi="Arial Narrow"/>
        <w:noProof/>
      </w:rPr>
      <w:drawing>
        <wp:anchor distT="0" distB="0" distL="114300" distR="114300" simplePos="0" relativeHeight="251648000" behindDoc="0" locked="0" layoutInCell="1" allowOverlap="1" wp14:anchorId="6401F757" wp14:editId="342D0BE7">
          <wp:simplePos x="0" y="0"/>
          <wp:positionH relativeFrom="page">
            <wp:posOffset>828675</wp:posOffset>
          </wp:positionH>
          <wp:positionV relativeFrom="page">
            <wp:posOffset>9267825</wp:posOffset>
          </wp:positionV>
          <wp:extent cx="828675" cy="238125"/>
          <wp:effectExtent l="0" t="0" r="0" b="0"/>
          <wp:wrapSquare wrapText="bothSides"/>
          <wp:docPr id="6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19355"/>
                  <a:stretch>
                    <a:fillRect/>
                  </a:stretch>
                </pic:blipFill>
                <pic:spPr bwMode="auto">
                  <a:xfrm>
                    <a:off x="0" y="0"/>
                    <a:ext cx="828675" cy="238125"/>
                  </a:xfrm>
                  <a:prstGeom prst="rect">
                    <a:avLst/>
                  </a:prstGeom>
                  <a:noFill/>
                  <a:ln w="9525">
                    <a:noFill/>
                    <a:miter lim="800000"/>
                    <a:headEnd/>
                    <a:tailEnd/>
                  </a:ln>
                </pic:spPr>
              </pic:pic>
            </a:graphicData>
          </a:graphic>
        </wp:anchor>
      </w:drawing>
    </w:r>
    <w:r w:rsidRPr="002D5D6A">
      <w:rPr>
        <w:rFonts w:cs="Arial"/>
      </w:rPr>
      <w:tab/>
    </w:r>
    <w:r>
      <w:rPr>
        <w:rFonts w:cs="Arial"/>
      </w:rPr>
      <w:t>TECO Market Potential Study</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403A38">
      <w:rPr>
        <w:rStyle w:val="PageNumber"/>
        <w:rFonts w:cs="Arial"/>
        <w:bCs/>
        <w:noProof/>
      </w:rPr>
      <w:t>A-13</w:t>
    </w:r>
    <w:r w:rsidRPr="002D5D6A">
      <w:rPr>
        <w:rStyle w:val="PageNumber"/>
        <w:rFonts w:cs="Arial"/>
        <w:bCs/>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29" w14:textId="6EA6E19E" w:rsidR="00D7421B" w:rsidRPr="00450ABC" w:rsidRDefault="00D7421B" w:rsidP="00450ABC">
    <w:pPr>
      <w:pStyle w:val="Footer"/>
      <w:tabs>
        <w:tab w:val="clear" w:pos="4680"/>
        <w:tab w:val="center" w:pos="5040"/>
      </w:tabs>
      <w:ind w:left="0"/>
      <w:jc w:val="right"/>
      <w:rPr>
        <w:rFonts w:cs="Arial"/>
        <w:bCs/>
      </w:rPr>
    </w:pPr>
    <w:r>
      <w:rPr>
        <w:rFonts w:cs="Arial"/>
        <w:noProof/>
      </w:rPr>
      <w:drawing>
        <wp:anchor distT="0" distB="0" distL="114300" distR="114300" simplePos="0" relativeHeight="251651072" behindDoc="0" locked="0" layoutInCell="1" allowOverlap="1" wp14:anchorId="6401F759" wp14:editId="3F2E7D80">
          <wp:simplePos x="0" y="0"/>
          <wp:positionH relativeFrom="page">
            <wp:posOffset>833755</wp:posOffset>
          </wp:positionH>
          <wp:positionV relativeFrom="page">
            <wp:posOffset>9290050</wp:posOffset>
          </wp:positionV>
          <wp:extent cx="819150" cy="219075"/>
          <wp:effectExtent l="0" t="0" r="0" b="0"/>
          <wp:wrapSquare wrapText="bothSides"/>
          <wp:docPr id="6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TECO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403A38">
      <w:rPr>
        <w:rStyle w:val="PageNumber"/>
        <w:rFonts w:cs="Arial"/>
        <w:bCs/>
        <w:noProof/>
      </w:rPr>
      <w:t>A-1</w:t>
    </w:r>
    <w:r w:rsidRPr="002D5D6A">
      <w:rPr>
        <w:rStyle w:val="PageNumber"/>
        <w:rFonts w:cs="Arial"/>
        <w:bCs/>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0E7CC" w14:textId="5A0F6CBB" w:rsidR="00D7421B" w:rsidRPr="00450ABC" w:rsidRDefault="00D7421B" w:rsidP="00450ABC">
    <w:pPr>
      <w:pStyle w:val="Footer"/>
      <w:tabs>
        <w:tab w:val="clear" w:pos="4680"/>
        <w:tab w:val="center" w:pos="5040"/>
      </w:tabs>
      <w:ind w:left="0"/>
      <w:jc w:val="right"/>
      <w:rPr>
        <w:rFonts w:cs="Arial"/>
        <w:bCs/>
      </w:rPr>
    </w:pPr>
    <w:r>
      <w:rPr>
        <w:rFonts w:ascii="Arial Narrow" w:hAnsi="Arial Narrow"/>
        <w:noProof/>
      </w:rPr>
      <w:drawing>
        <wp:anchor distT="0" distB="0" distL="114300" distR="114300" simplePos="0" relativeHeight="251667456" behindDoc="0" locked="0" layoutInCell="1" allowOverlap="1" wp14:anchorId="077ADEBB" wp14:editId="75917682">
          <wp:simplePos x="0" y="0"/>
          <wp:positionH relativeFrom="page">
            <wp:posOffset>828675</wp:posOffset>
          </wp:positionH>
          <wp:positionV relativeFrom="page">
            <wp:posOffset>9267825</wp:posOffset>
          </wp:positionV>
          <wp:extent cx="828675" cy="238125"/>
          <wp:effectExtent l="0" t="0" r="0" b="0"/>
          <wp:wrapSquare wrapText="bothSides"/>
          <wp:docPr id="71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19355"/>
                  <a:stretch>
                    <a:fillRect/>
                  </a:stretch>
                </pic:blipFill>
                <pic:spPr bwMode="auto">
                  <a:xfrm>
                    <a:off x="0" y="0"/>
                    <a:ext cx="828675" cy="238125"/>
                  </a:xfrm>
                  <a:prstGeom prst="rect">
                    <a:avLst/>
                  </a:prstGeom>
                  <a:noFill/>
                  <a:ln w="9525">
                    <a:noFill/>
                    <a:miter lim="800000"/>
                    <a:headEnd/>
                    <a:tailEnd/>
                  </a:ln>
                </pic:spPr>
              </pic:pic>
            </a:graphicData>
          </a:graphic>
        </wp:anchor>
      </w:drawing>
    </w:r>
    <w:r w:rsidRPr="002D5D6A">
      <w:rPr>
        <w:rFonts w:cs="Arial"/>
      </w:rPr>
      <w:tab/>
    </w:r>
    <w:r>
      <w:rPr>
        <w:rFonts w:cs="Arial"/>
      </w:rPr>
      <w:t>TECO Market Potential Study</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403A38">
      <w:rPr>
        <w:rStyle w:val="PageNumber"/>
        <w:rFonts w:cs="Arial"/>
        <w:bCs/>
        <w:noProof/>
      </w:rPr>
      <w:t>B-3</w:t>
    </w:r>
    <w:r w:rsidRPr="002D5D6A">
      <w:rPr>
        <w:rStyle w:val="PageNumber"/>
        <w:rFonts w:cs="Arial"/>
        <w:bCs/>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3DDE2" w14:textId="3BA9B66A" w:rsidR="00D7421B" w:rsidRPr="00450ABC" w:rsidRDefault="00D7421B" w:rsidP="00450ABC">
    <w:pPr>
      <w:pStyle w:val="Footer"/>
      <w:tabs>
        <w:tab w:val="clear" w:pos="4680"/>
        <w:tab w:val="center" w:pos="5040"/>
      </w:tabs>
      <w:ind w:left="0"/>
      <w:jc w:val="right"/>
      <w:rPr>
        <w:rFonts w:cs="Arial"/>
        <w:bCs/>
      </w:rPr>
    </w:pPr>
    <w:r>
      <w:rPr>
        <w:rFonts w:cs="Arial"/>
        <w:noProof/>
      </w:rPr>
      <w:drawing>
        <wp:anchor distT="0" distB="0" distL="114300" distR="114300" simplePos="0" relativeHeight="251661312" behindDoc="0" locked="0" layoutInCell="1" allowOverlap="1" wp14:anchorId="3A0A0458" wp14:editId="687C3F5A">
          <wp:simplePos x="0" y="0"/>
          <wp:positionH relativeFrom="page">
            <wp:posOffset>833755</wp:posOffset>
          </wp:positionH>
          <wp:positionV relativeFrom="page">
            <wp:posOffset>9290050</wp:posOffset>
          </wp:positionV>
          <wp:extent cx="819150" cy="219075"/>
          <wp:effectExtent l="0" t="0" r="0" b="0"/>
          <wp:wrapSquare wrapText="bothSides"/>
          <wp:docPr id="71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TECO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403A38">
      <w:rPr>
        <w:rStyle w:val="PageNumber"/>
        <w:rFonts w:cs="Arial"/>
        <w:bCs/>
        <w:noProof/>
      </w:rPr>
      <w:t>B-1</w:t>
    </w:r>
    <w:r w:rsidRPr="002D5D6A">
      <w:rPr>
        <w:rStyle w:val="PageNumber"/>
        <w:rFonts w:cs="Arial"/>
        <w:bCs/>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2B" w14:textId="25F0BB6E" w:rsidR="00D7421B" w:rsidRPr="00450ABC" w:rsidRDefault="00D7421B" w:rsidP="00450ABC">
    <w:pPr>
      <w:pStyle w:val="Footer"/>
      <w:tabs>
        <w:tab w:val="clear" w:pos="4680"/>
        <w:tab w:val="center" w:pos="5040"/>
      </w:tabs>
      <w:ind w:left="0"/>
      <w:jc w:val="right"/>
      <w:rPr>
        <w:rFonts w:cs="Arial"/>
        <w:bCs/>
      </w:rPr>
    </w:pPr>
    <w:r>
      <w:rPr>
        <w:rFonts w:ascii="Arial Narrow" w:hAnsi="Arial Narrow"/>
        <w:noProof/>
      </w:rPr>
      <w:drawing>
        <wp:anchor distT="0" distB="0" distL="114300" distR="114300" simplePos="0" relativeHeight="251654144" behindDoc="0" locked="0" layoutInCell="1" allowOverlap="1" wp14:anchorId="6401F75B" wp14:editId="01974FB8">
          <wp:simplePos x="0" y="0"/>
          <wp:positionH relativeFrom="page">
            <wp:posOffset>828675</wp:posOffset>
          </wp:positionH>
          <wp:positionV relativeFrom="page">
            <wp:posOffset>9267825</wp:posOffset>
          </wp:positionV>
          <wp:extent cx="828675" cy="238125"/>
          <wp:effectExtent l="0" t="0" r="0" b="0"/>
          <wp:wrapSquare wrapText="bothSides"/>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19355"/>
                  <a:stretch>
                    <a:fillRect/>
                  </a:stretch>
                </pic:blipFill>
                <pic:spPr bwMode="auto">
                  <a:xfrm>
                    <a:off x="0" y="0"/>
                    <a:ext cx="828675" cy="238125"/>
                  </a:xfrm>
                  <a:prstGeom prst="rect">
                    <a:avLst/>
                  </a:prstGeom>
                  <a:noFill/>
                  <a:ln w="9525">
                    <a:noFill/>
                    <a:miter lim="800000"/>
                    <a:headEnd/>
                    <a:tailEnd/>
                  </a:ln>
                </pic:spPr>
              </pic:pic>
            </a:graphicData>
          </a:graphic>
        </wp:anchor>
      </w:drawing>
    </w:r>
    <w:r w:rsidRPr="002D5D6A">
      <w:rPr>
        <w:rFonts w:cs="Arial"/>
      </w:rPr>
      <w:tab/>
    </w:r>
    <w:r>
      <w:rPr>
        <w:rFonts w:cs="Arial"/>
      </w:rPr>
      <w:t>TECO Market Potential Study</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403A38">
      <w:rPr>
        <w:rStyle w:val="PageNumber"/>
        <w:rFonts w:cs="Arial"/>
        <w:bCs/>
        <w:noProof/>
      </w:rPr>
      <w:t>D-4</w:t>
    </w:r>
    <w:r w:rsidRPr="002D5D6A">
      <w:rPr>
        <w:rStyle w:val="PageNumber"/>
        <w:rFonts w:cs="Arial"/>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05" w14:textId="77777777" w:rsidR="00D7421B" w:rsidRPr="008C2744" w:rsidRDefault="00D7421B" w:rsidP="008C2744">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2D" w14:textId="53C074FA" w:rsidR="00D7421B" w:rsidRPr="00450ABC" w:rsidRDefault="00D7421B" w:rsidP="00450ABC">
    <w:pPr>
      <w:pStyle w:val="Footer"/>
      <w:tabs>
        <w:tab w:val="clear" w:pos="4680"/>
        <w:tab w:val="center" w:pos="5040"/>
      </w:tabs>
      <w:ind w:left="0"/>
      <w:jc w:val="right"/>
      <w:rPr>
        <w:rFonts w:cs="Arial"/>
        <w:bCs/>
      </w:rPr>
    </w:pPr>
    <w:r>
      <w:rPr>
        <w:rFonts w:cs="Arial"/>
        <w:noProof/>
      </w:rPr>
      <w:drawing>
        <wp:anchor distT="0" distB="0" distL="114300" distR="114300" simplePos="0" relativeHeight="251650048" behindDoc="0" locked="0" layoutInCell="1" allowOverlap="1" wp14:anchorId="6401F75D" wp14:editId="24D9E82A">
          <wp:simplePos x="0" y="0"/>
          <wp:positionH relativeFrom="page">
            <wp:posOffset>833755</wp:posOffset>
          </wp:positionH>
          <wp:positionV relativeFrom="page">
            <wp:posOffset>9290050</wp:posOffset>
          </wp:positionV>
          <wp:extent cx="819150" cy="219075"/>
          <wp:effectExtent l="0" t="0" r="0" b="0"/>
          <wp:wrapSquare wrapText="bothSides"/>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TECO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403A38">
      <w:rPr>
        <w:rStyle w:val="PageNumber"/>
        <w:rFonts w:cs="Arial"/>
        <w:bCs/>
        <w:noProof/>
      </w:rPr>
      <w:t>D-1</w:t>
    </w:r>
    <w:r w:rsidRPr="002D5D6A">
      <w:rPr>
        <w:rStyle w:val="PageNumber"/>
        <w:rFonts w:cs="Arial"/>
        <w:bCs/>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30" w14:textId="77777777" w:rsidR="00D7421B" w:rsidRPr="00450ABC" w:rsidRDefault="00D7421B" w:rsidP="00450ABC">
    <w:pPr>
      <w:pStyle w:val="Footer"/>
      <w:tabs>
        <w:tab w:val="clear" w:pos="4680"/>
        <w:tab w:val="center" w:pos="5040"/>
      </w:tabs>
      <w:ind w:left="0"/>
      <w:jc w:val="right"/>
      <w:rPr>
        <w:rFonts w:cs="Arial"/>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07" w14:textId="13F34521" w:rsidR="00D7421B" w:rsidRPr="00450ABC" w:rsidRDefault="00D7421B" w:rsidP="00A17C36">
    <w:pPr>
      <w:pStyle w:val="Footer"/>
      <w:tabs>
        <w:tab w:val="clear" w:pos="4680"/>
        <w:tab w:val="center" w:pos="5040"/>
      </w:tabs>
      <w:ind w:left="0"/>
      <w:jc w:val="right"/>
      <w:rPr>
        <w:rFonts w:cs="Arial"/>
        <w:bCs/>
      </w:rPr>
    </w:pPr>
    <w:r>
      <w:rPr>
        <w:rFonts w:cs="Arial"/>
        <w:noProof/>
      </w:rPr>
      <w:drawing>
        <wp:anchor distT="0" distB="0" distL="114300" distR="114300" simplePos="0" relativeHeight="251664384" behindDoc="0" locked="0" layoutInCell="1" allowOverlap="1" wp14:anchorId="6401F737" wp14:editId="69618CEB">
          <wp:simplePos x="0" y="0"/>
          <wp:positionH relativeFrom="page">
            <wp:posOffset>833755</wp:posOffset>
          </wp:positionH>
          <wp:positionV relativeFrom="page">
            <wp:posOffset>9290050</wp:posOffset>
          </wp:positionV>
          <wp:extent cx="819150" cy="219075"/>
          <wp:effectExtent l="0" t="0" r="0" b="0"/>
          <wp:wrapSquare wrapText="bothSides"/>
          <wp:docPr id="72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TECO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403A38">
      <w:rPr>
        <w:rStyle w:val="PageNumber"/>
        <w:rFonts w:cs="Arial"/>
        <w:bCs/>
        <w:noProof/>
      </w:rPr>
      <w:t>iii</w:t>
    </w:r>
    <w:r w:rsidRPr="002D5D6A">
      <w:rPr>
        <w:rStyle w:val="PageNumber"/>
        <w:rFonts w:cs="Arial"/>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09" w14:textId="51395F66" w:rsidR="00D7421B" w:rsidRPr="00450ABC" w:rsidRDefault="00D7421B" w:rsidP="00A17C36">
    <w:pPr>
      <w:pStyle w:val="Footer"/>
      <w:tabs>
        <w:tab w:val="clear" w:pos="4680"/>
        <w:tab w:val="center" w:pos="5040"/>
      </w:tabs>
      <w:ind w:left="0"/>
      <w:jc w:val="right"/>
      <w:rPr>
        <w:rFonts w:cs="Arial"/>
        <w:bCs/>
      </w:rPr>
    </w:pPr>
    <w:r>
      <w:rPr>
        <w:rFonts w:cs="Arial"/>
        <w:noProof/>
      </w:rPr>
      <w:drawing>
        <wp:anchor distT="0" distB="0" distL="114300" distR="114300" simplePos="0" relativeHeight="251665408" behindDoc="0" locked="0" layoutInCell="1" allowOverlap="1" wp14:anchorId="6401F739" wp14:editId="5E67F932">
          <wp:simplePos x="0" y="0"/>
          <wp:positionH relativeFrom="page">
            <wp:posOffset>833755</wp:posOffset>
          </wp:positionH>
          <wp:positionV relativeFrom="page">
            <wp:posOffset>9290050</wp:posOffset>
          </wp:positionV>
          <wp:extent cx="819150" cy="219075"/>
          <wp:effectExtent l="0" t="0" r="0" b="0"/>
          <wp:wrapSquare wrapText="bothSides"/>
          <wp:docPr id="72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TECO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403A38">
      <w:rPr>
        <w:rStyle w:val="PageNumber"/>
        <w:rFonts w:cs="Arial"/>
        <w:bCs/>
        <w:noProof/>
      </w:rPr>
      <w:t>i</w:t>
    </w:r>
    <w:r w:rsidRPr="002D5D6A">
      <w:rPr>
        <w:rStyle w:val="PageNumber"/>
        <w:rFonts w:cs="Arial"/>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0F" w14:textId="22B09EBB" w:rsidR="00D7421B" w:rsidRPr="00450ABC" w:rsidRDefault="00D7421B" w:rsidP="00A17C36">
    <w:pPr>
      <w:pStyle w:val="Footer"/>
      <w:tabs>
        <w:tab w:val="clear" w:pos="4680"/>
        <w:tab w:val="center" w:pos="5040"/>
      </w:tabs>
      <w:ind w:left="0"/>
      <w:jc w:val="right"/>
      <w:rPr>
        <w:rFonts w:cs="Arial"/>
        <w:bCs/>
      </w:rPr>
    </w:pPr>
    <w:r>
      <w:rPr>
        <w:rFonts w:cs="Arial"/>
        <w:noProof/>
      </w:rPr>
      <w:drawing>
        <wp:anchor distT="0" distB="0" distL="114300" distR="114300" simplePos="0" relativeHeight="251662336" behindDoc="0" locked="0" layoutInCell="1" allowOverlap="1" wp14:anchorId="6401F73F" wp14:editId="55CFED99">
          <wp:simplePos x="0" y="0"/>
          <wp:positionH relativeFrom="page">
            <wp:posOffset>833755</wp:posOffset>
          </wp:positionH>
          <wp:positionV relativeFrom="page">
            <wp:posOffset>9290050</wp:posOffset>
          </wp:positionV>
          <wp:extent cx="819150" cy="219075"/>
          <wp:effectExtent l="0" t="0" r="0" b="0"/>
          <wp:wrapSquare wrapText="bothSides"/>
          <wp:docPr id="72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TECO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Pr>
        <w:rStyle w:val="PageNumber"/>
        <w:rFonts w:cs="Arial"/>
        <w:bCs/>
        <w:noProof/>
      </w:rPr>
      <w:t>v</w:t>
    </w:r>
    <w:r w:rsidRPr="002D5D6A">
      <w:rPr>
        <w:rStyle w:val="PageNumber"/>
        <w:rFonts w:cs="Arial"/>
        <w:bC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11" w14:textId="07C1100B" w:rsidR="00D7421B" w:rsidRPr="00450ABC" w:rsidRDefault="00D7421B" w:rsidP="00A17C36">
    <w:pPr>
      <w:pStyle w:val="Footer"/>
      <w:tabs>
        <w:tab w:val="clear" w:pos="4680"/>
        <w:tab w:val="center" w:pos="5040"/>
      </w:tabs>
      <w:ind w:left="0"/>
      <w:jc w:val="right"/>
      <w:rPr>
        <w:rFonts w:cs="Arial"/>
        <w:bCs/>
      </w:rPr>
    </w:pPr>
    <w:r>
      <w:rPr>
        <w:rFonts w:cs="Arial"/>
        <w:noProof/>
      </w:rPr>
      <w:drawing>
        <wp:anchor distT="0" distB="0" distL="114300" distR="114300" simplePos="0" relativeHeight="251663360" behindDoc="0" locked="0" layoutInCell="1" allowOverlap="1" wp14:anchorId="6401F741" wp14:editId="24DAD8C8">
          <wp:simplePos x="0" y="0"/>
          <wp:positionH relativeFrom="page">
            <wp:posOffset>833755</wp:posOffset>
          </wp:positionH>
          <wp:positionV relativeFrom="page">
            <wp:posOffset>9290050</wp:posOffset>
          </wp:positionV>
          <wp:extent cx="819150" cy="219075"/>
          <wp:effectExtent l="0" t="0" r="0" b="0"/>
          <wp:wrapSquare wrapText="bothSides"/>
          <wp:docPr id="72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TECO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403A38">
      <w:rPr>
        <w:rStyle w:val="PageNumber"/>
        <w:rFonts w:cs="Arial"/>
        <w:bCs/>
        <w:noProof/>
      </w:rPr>
      <w:t>iv</w:t>
    </w:r>
    <w:r w:rsidRPr="002D5D6A">
      <w:rPr>
        <w:rStyle w:val="PageNumber"/>
        <w:rFonts w:cs="Arial"/>
        <w:bC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1B" w14:textId="21EAC1DF" w:rsidR="00D7421B" w:rsidRPr="00450ABC" w:rsidRDefault="00D7421B" w:rsidP="00A17C36">
    <w:pPr>
      <w:pStyle w:val="Footer"/>
      <w:tabs>
        <w:tab w:val="clear" w:pos="4680"/>
        <w:tab w:val="center" w:pos="5040"/>
      </w:tabs>
      <w:ind w:left="0"/>
      <w:jc w:val="right"/>
      <w:rPr>
        <w:rFonts w:cs="Arial"/>
        <w:bCs/>
      </w:rPr>
    </w:pPr>
    <w:r>
      <w:rPr>
        <w:rFonts w:cs="Arial"/>
        <w:noProof/>
      </w:rPr>
      <w:drawing>
        <wp:anchor distT="0" distB="0" distL="114300" distR="114300" simplePos="0" relativeHeight="251645952" behindDoc="0" locked="0" layoutInCell="1" allowOverlap="1" wp14:anchorId="6401F74B" wp14:editId="43BFAA4B">
          <wp:simplePos x="0" y="0"/>
          <wp:positionH relativeFrom="page">
            <wp:posOffset>833755</wp:posOffset>
          </wp:positionH>
          <wp:positionV relativeFrom="page">
            <wp:posOffset>9290050</wp:posOffset>
          </wp:positionV>
          <wp:extent cx="819150" cy="219075"/>
          <wp:effectExtent l="0" t="0" r="0" b="0"/>
          <wp:wrapSquare wrapText="bothSides"/>
          <wp:docPr id="71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TECO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403A38">
      <w:rPr>
        <w:rStyle w:val="PageNumber"/>
        <w:rFonts w:cs="Arial"/>
        <w:bCs/>
        <w:noProof/>
      </w:rPr>
      <w:t>26</w:t>
    </w:r>
    <w:r w:rsidRPr="002D5D6A">
      <w:rPr>
        <w:rStyle w:val="PageNumber"/>
        <w:rFonts w:cs="Arial"/>
        <w:bC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1D" w14:textId="449BB6A6" w:rsidR="00D7421B" w:rsidRPr="00450ABC" w:rsidRDefault="00D7421B" w:rsidP="00A17C36">
    <w:pPr>
      <w:pStyle w:val="Footer"/>
      <w:tabs>
        <w:tab w:val="clear" w:pos="4680"/>
        <w:tab w:val="center" w:pos="5040"/>
      </w:tabs>
      <w:ind w:left="0"/>
      <w:jc w:val="right"/>
      <w:rPr>
        <w:rFonts w:cs="Arial"/>
        <w:bCs/>
      </w:rPr>
    </w:pPr>
    <w:r>
      <w:rPr>
        <w:rFonts w:cs="Arial"/>
        <w:noProof/>
      </w:rPr>
      <w:drawing>
        <wp:anchor distT="0" distB="0" distL="114300" distR="114300" simplePos="0" relativeHeight="251646976" behindDoc="0" locked="0" layoutInCell="1" allowOverlap="1" wp14:anchorId="6401F74D" wp14:editId="2AF4DD22">
          <wp:simplePos x="0" y="0"/>
          <wp:positionH relativeFrom="page">
            <wp:posOffset>833755</wp:posOffset>
          </wp:positionH>
          <wp:positionV relativeFrom="page">
            <wp:posOffset>9290050</wp:posOffset>
          </wp:positionV>
          <wp:extent cx="819150" cy="219075"/>
          <wp:effectExtent l="0" t="0" r="0" b="0"/>
          <wp:wrapSquare wrapText="bothSides"/>
          <wp:docPr id="71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TECO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403A38">
      <w:rPr>
        <w:rStyle w:val="PageNumber"/>
        <w:rFonts w:cs="Arial"/>
        <w:bCs/>
        <w:noProof/>
      </w:rPr>
      <w:t>22</w:t>
    </w:r>
    <w:r w:rsidRPr="002D5D6A">
      <w:rPr>
        <w:rStyle w:val="PageNumber"/>
        <w:rFonts w:cs="Arial"/>
        <w:bCs/>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4949C" w14:textId="31C0358F" w:rsidR="00D7421B" w:rsidRPr="00450ABC" w:rsidRDefault="00D7421B" w:rsidP="00A17C36">
    <w:pPr>
      <w:pStyle w:val="Footer"/>
      <w:tabs>
        <w:tab w:val="clear" w:pos="4680"/>
        <w:tab w:val="center" w:pos="5040"/>
      </w:tabs>
      <w:ind w:left="0"/>
      <w:jc w:val="right"/>
      <w:rPr>
        <w:rFonts w:cs="Arial"/>
        <w:bCs/>
      </w:rPr>
    </w:pPr>
    <w:r>
      <w:rPr>
        <w:rFonts w:cs="Arial"/>
        <w:noProof/>
      </w:rPr>
      <w:drawing>
        <wp:anchor distT="0" distB="0" distL="114300" distR="114300" simplePos="0" relativeHeight="251658240" behindDoc="0" locked="0" layoutInCell="1" allowOverlap="1" wp14:anchorId="7AB54DA0" wp14:editId="0ED42BAF">
          <wp:simplePos x="0" y="0"/>
          <wp:positionH relativeFrom="page">
            <wp:posOffset>833755</wp:posOffset>
          </wp:positionH>
          <wp:positionV relativeFrom="page">
            <wp:posOffset>9290050</wp:posOffset>
          </wp:positionV>
          <wp:extent cx="819150" cy="219075"/>
          <wp:effectExtent l="0" t="0" r="0" b="0"/>
          <wp:wrapSquare wrapText="bothSides"/>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TECO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403A38">
      <w:rPr>
        <w:rStyle w:val="PageNumber"/>
        <w:rFonts w:cs="Arial"/>
        <w:bCs/>
        <w:noProof/>
      </w:rPr>
      <w:t>28</w:t>
    </w:r>
    <w:r w:rsidRPr="002D5D6A">
      <w:rPr>
        <w:rStyle w:val="PageNumber"/>
        <w:rFonts w:cs="Arial"/>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30E032" w14:textId="77777777" w:rsidR="00D7421B" w:rsidRDefault="00D7421B" w:rsidP="006376D7">
      <w:pPr>
        <w:spacing w:after="0" w:line="200" w:lineRule="exact"/>
        <w:ind w:left="0"/>
      </w:pPr>
      <w:r>
        <w:separator/>
      </w:r>
    </w:p>
  </w:footnote>
  <w:footnote w:type="continuationSeparator" w:id="0">
    <w:p w14:paraId="02104942" w14:textId="77777777" w:rsidR="00D7421B" w:rsidRDefault="00D7421B">
      <w:r>
        <w:continuationSeparator/>
      </w:r>
    </w:p>
    <w:p w14:paraId="45D719FB" w14:textId="77777777" w:rsidR="00D7421B" w:rsidRDefault="00D7421B"/>
    <w:p w14:paraId="680C8415" w14:textId="77777777" w:rsidR="00D7421B" w:rsidRDefault="00D7421B"/>
  </w:footnote>
  <w:footnote w:id="1">
    <w:p w14:paraId="57D9BE7C" w14:textId="77777777" w:rsidR="00D7421B" w:rsidRDefault="00D7421B" w:rsidP="00B417B0">
      <w:pPr>
        <w:pStyle w:val="FootnoteText"/>
      </w:pPr>
      <w:r>
        <w:rPr>
          <w:rStyle w:val="FootnoteReference"/>
        </w:rPr>
        <w:footnoteRef/>
      </w:r>
      <w:r>
        <w:t xml:space="preserve"> Non-Residential results include all commercial and industrial customer segments</w:t>
      </w:r>
    </w:p>
  </w:footnote>
  <w:footnote w:id="2">
    <w:p w14:paraId="58F7187B" w14:textId="02101AD8" w:rsidR="00D7421B" w:rsidRDefault="00D7421B" w:rsidP="0068345D">
      <w:pPr>
        <w:pStyle w:val="FootnoteText"/>
      </w:pPr>
      <w:r>
        <w:rPr>
          <w:rStyle w:val="FootnoteReference"/>
        </w:rPr>
        <w:footnoteRef/>
      </w:r>
      <w:r>
        <w:t xml:space="preserve"> PV systems and CHP systems were independently analyzed for technical potential without consideration of the competition between technologies or customer preference for DSRE system.  </w:t>
      </w:r>
    </w:p>
  </w:footnote>
  <w:footnote w:id="3">
    <w:p w14:paraId="6401F768" w14:textId="6964AAAF" w:rsidR="00D7421B" w:rsidRDefault="00D7421B" w:rsidP="003E0048">
      <w:pPr>
        <w:pStyle w:val="FootnoteText"/>
      </w:pPr>
      <w:r>
        <w:rPr>
          <w:rStyle w:val="FootnoteReference"/>
        </w:rPr>
        <w:footnoteRef/>
      </w:r>
      <w:r>
        <w:t xml:space="preserve"> To be eligible, customers cannot have annual usage less than 9,000 kWh.</w:t>
      </w:r>
    </w:p>
  </w:footnote>
  <w:footnote w:id="4">
    <w:p w14:paraId="2F1287E4" w14:textId="32F0E429" w:rsidR="00D7421B" w:rsidRDefault="00D7421B" w:rsidP="003A114D">
      <w:pPr>
        <w:pStyle w:val="FootnoteText"/>
      </w:pPr>
      <w:r>
        <w:rPr>
          <w:rStyle w:val="FootnoteReference"/>
        </w:rPr>
        <w:footnoteRef/>
      </w:r>
      <w:r>
        <w:t xml:space="preserve"> As the study is being used to inform 2020-2029 DSM planning, for applicable lighting technologies, the baseline lighting standard is compliant with the 2020 EISA backstop provision.</w:t>
      </w:r>
    </w:p>
  </w:footnote>
  <w:footnote w:id="5">
    <w:p w14:paraId="7700E42D" w14:textId="43BAEED1" w:rsidR="00D7421B" w:rsidRDefault="00D7421B">
      <w:pPr>
        <w:pStyle w:val="FootnoteText"/>
      </w:pPr>
      <w:r>
        <w:rPr>
          <w:rStyle w:val="FootnoteReference"/>
        </w:rPr>
        <w:footnoteRef/>
      </w:r>
      <w:r>
        <w:t xml:space="preserve"> Due to the heterogeneous nature of the Industrial sector, including variations in equipment, operating schedule, process loads, and other segment-specific characteristics, the unique industrial measures encompass multiple individual equipment and technology improvements.  Savings estimates for industrial measures reflect the implementation of these various individual improvements as summarized i</w:t>
      </w:r>
      <w:r w:rsidR="00403A38">
        <w:t>n the measure list in Appendix A</w:t>
      </w:r>
      <w:r>
        <w:t>.</w:t>
      </w:r>
    </w:p>
  </w:footnote>
  <w:footnote w:id="6">
    <w:p w14:paraId="6AABC2FD" w14:textId="11979EC0" w:rsidR="00D7421B" w:rsidRDefault="00D7421B">
      <w:pPr>
        <w:pStyle w:val="FootnoteText"/>
      </w:pPr>
      <w:r>
        <w:rPr>
          <w:rStyle w:val="FootnoteReference"/>
        </w:rPr>
        <w:footnoteRef/>
      </w:r>
      <w:r>
        <w:t xml:space="preserve"> </w:t>
      </w:r>
      <w:r w:rsidRPr="00401F36">
        <w:t>This study did not include ground-mounted or utility-scale solar PV installations as these were determined to often not be connected to customer premise metering and therefore outside the scope of this analysis.</w:t>
      </w:r>
    </w:p>
  </w:footnote>
  <w:footnote w:id="7">
    <w:p w14:paraId="4728ACF3" w14:textId="348D4677" w:rsidR="00D7421B" w:rsidRDefault="00D7421B" w:rsidP="001C5B4B">
      <w:pPr>
        <w:pStyle w:val="FootnoteText"/>
      </w:pPr>
      <w:r>
        <w:rPr>
          <w:rStyle w:val="FootnoteReference"/>
        </w:rPr>
        <w:footnoteRef/>
      </w:r>
      <w:r>
        <w:t xml:space="preserve"> </w:t>
      </w:r>
      <w:r w:rsidRPr="001F174C">
        <w:rPr>
          <w:rFonts w:asciiTheme="minorHAnsi" w:hAnsiTheme="minorHAnsi"/>
          <w:sz w:val="18"/>
          <w:szCs w:val="18"/>
        </w:rPr>
        <w:t xml:space="preserve">PVWatts estimates PV energy production and costs.  Developed by the National Renewable Energy Laboratory.  </w:t>
      </w:r>
      <w:hyperlink r:id="rId1" w:history="1">
        <w:r w:rsidRPr="006B392E">
          <w:rPr>
            <w:rStyle w:val="Hyperlink"/>
            <w:rFonts w:asciiTheme="minorHAnsi" w:hAnsiTheme="minorHAnsi"/>
            <w:sz w:val="18"/>
            <w:szCs w:val="18"/>
          </w:rPr>
          <w:t>http://pvwatts.nrel.gov/</w:t>
        </w:r>
      </w:hyperlink>
      <w:r>
        <w:rPr>
          <w:rFonts w:asciiTheme="minorHAnsi" w:hAnsiTheme="minorHAnsi"/>
          <w:sz w:val="18"/>
          <w:szCs w:val="18"/>
        </w:rPr>
        <w:t xml:space="preserve"> </w:t>
      </w:r>
    </w:p>
  </w:footnote>
  <w:footnote w:id="8">
    <w:p w14:paraId="0FED7260" w14:textId="77777777" w:rsidR="00D7421B" w:rsidRDefault="00D7421B" w:rsidP="00F15E6D">
      <w:pPr>
        <w:pStyle w:val="FootnoteText"/>
      </w:pPr>
      <w:r>
        <w:rPr>
          <w:rStyle w:val="FootnoteReference"/>
        </w:rPr>
        <w:footnoteRef/>
      </w:r>
      <w:r>
        <w:t xml:space="preserve"> Utility-provided data and </w:t>
      </w:r>
      <w:r w:rsidRPr="00AF22B8">
        <w:t>US Census</w:t>
      </w:r>
      <w:r>
        <w:t>,</w:t>
      </w:r>
      <w:r w:rsidRPr="00AF22B8">
        <w:t xml:space="preserve"> South Region</w:t>
      </w:r>
    </w:p>
  </w:footnote>
  <w:footnote w:id="9">
    <w:p w14:paraId="23498393" w14:textId="77777777" w:rsidR="00D7421B" w:rsidRDefault="00D7421B" w:rsidP="00F15E6D">
      <w:pPr>
        <w:pStyle w:val="FootnoteText"/>
      </w:pPr>
      <w:r>
        <w:rPr>
          <w:rStyle w:val="FootnoteReference"/>
        </w:rPr>
        <w:footnoteRef/>
      </w:r>
      <w:r>
        <w:t xml:space="preserve"> Single Family = RECS, South Atlantic Region; Multi-Family = </w:t>
      </w:r>
      <w:r w:rsidRPr="00AF22B8">
        <w:t>US Census</w:t>
      </w:r>
      <w:r>
        <w:t>,</w:t>
      </w:r>
      <w:r w:rsidRPr="00AF22B8">
        <w:t xml:space="preserve"> South Region</w:t>
      </w:r>
      <w:r w:rsidRPr="00AF22B8">
        <w:rPr>
          <w:rFonts w:asciiTheme="minorHAnsi" w:hAnsiTheme="minorHAnsi"/>
          <w:sz w:val="18"/>
          <w:szCs w:val="18"/>
        </w:rPr>
        <w:t xml:space="preserve"> </w:t>
      </w:r>
      <w:r w:rsidRPr="00DC4C1A">
        <w:rPr>
          <w:rFonts w:asciiTheme="minorHAnsi" w:hAnsiTheme="minorHAnsi"/>
          <w:sz w:val="18"/>
          <w:szCs w:val="18"/>
        </w:rPr>
        <w:t>https://www.census.gov/construction/chars/mfu.html</w:t>
      </w:r>
    </w:p>
  </w:footnote>
  <w:footnote w:id="10">
    <w:p w14:paraId="564968CE" w14:textId="77777777" w:rsidR="00D7421B" w:rsidRDefault="00D7421B" w:rsidP="00F15E6D">
      <w:pPr>
        <w:pStyle w:val="FootnoteText"/>
      </w:pPr>
      <w:r>
        <w:rPr>
          <w:rStyle w:val="FootnoteReference"/>
        </w:rPr>
        <w:footnoteRef/>
      </w:r>
      <w:r>
        <w:t xml:space="preserve"> Floor space = based on utility data. Average floors by building type = </w:t>
      </w:r>
      <w:r w:rsidRPr="00022AE1">
        <w:t>Commercial Building Energy Consumption Survey (CBECS)</w:t>
      </w:r>
      <w:r>
        <w:t>, South Atlantic Region</w:t>
      </w:r>
      <w:r w:rsidRPr="00022AE1">
        <w:t xml:space="preserve"> </w:t>
      </w:r>
    </w:p>
  </w:footnote>
  <w:footnote w:id="11">
    <w:p w14:paraId="4C1B7000" w14:textId="77777777" w:rsidR="00D7421B" w:rsidRDefault="00D7421B" w:rsidP="00F77BBF">
      <w:pPr>
        <w:pStyle w:val="FootnoteText"/>
      </w:pPr>
      <w:r>
        <w:rPr>
          <w:rStyle w:val="FootnoteReference"/>
        </w:rPr>
        <w:footnoteRef/>
      </w:r>
      <w:r>
        <w:t xml:space="preserve"> Non-Residential results include all commercial and industrial customer segments</w:t>
      </w:r>
    </w:p>
  </w:footnote>
  <w:footnote w:id="12">
    <w:p w14:paraId="57479CFC" w14:textId="6F9B6351" w:rsidR="00D7421B" w:rsidRDefault="00D7421B">
      <w:pPr>
        <w:pStyle w:val="FootnoteText"/>
      </w:pPr>
      <w:r>
        <w:rPr>
          <w:rStyle w:val="FootnoteReference"/>
        </w:rPr>
        <w:footnoteRef/>
      </w:r>
      <w:r>
        <w:t xml:space="preserve"> All currently enrolled DR customers are excluded</w:t>
      </w:r>
    </w:p>
  </w:footnote>
  <w:footnote w:id="13">
    <w:p w14:paraId="5F8CF290" w14:textId="77777777" w:rsidR="00D7421B" w:rsidRDefault="00D7421B" w:rsidP="00791768">
      <w:pPr>
        <w:pStyle w:val="FootnoteText"/>
      </w:pPr>
      <w:r>
        <w:rPr>
          <w:rStyle w:val="FootnoteReference"/>
        </w:rPr>
        <w:footnoteRef/>
      </w:r>
      <w:r>
        <w:t xml:space="preserve"> All currently enrolled DR customers are excluded</w:t>
      </w:r>
    </w:p>
  </w:footnote>
  <w:footnote w:id="14">
    <w:p w14:paraId="5F7054E1" w14:textId="77777777" w:rsidR="00D7421B" w:rsidRDefault="00D7421B" w:rsidP="00E16D24">
      <w:pPr>
        <w:pStyle w:val="FootnoteText"/>
      </w:pPr>
      <w:r>
        <w:rPr>
          <w:rStyle w:val="FootnoteReference"/>
        </w:rPr>
        <w:footnoteRef/>
      </w:r>
      <w:r>
        <w:t xml:space="preserve"> All currently enrolled DR customers are excluded</w:t>
      </w:r>
    </w:p>
  </w:footnote>
  <w:footnote w:id="15">
    <w:p w14:paraId="60313EDD" w14:textId="6F33D1EB" w:rsidR="00D7421B" w:rsidRDefault="00D7421B">
      <w:pPr>
        <w:pStyle w:val="FootnoteText"/>
      </w:pPr>
      <w:r>
        <w:rPr>
          <w:rStyle w:val="FootnoteReference"/>
        </w:rPr>
        <w:footnoteRef/>
      </w:r>
      <w:r>
        <w:t xml:space="preserve"> PV systems and CHP systems were independently analyzed for technical potential without consideration of the competition between technologies or custom</w:t>
      </w:r>
      <w:r w:rsidR="00454284">
        <w:t>er preference for DSRE system</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6F6" w14:textId="77777777" w:rsidR="00D7421B" w:rsidRDefault="00D7421B" w:rsidP="00FD58D7">
    <w:pPr>
      <w:pStyle w:val="Titlepage-topleft"/>
    </w:pPr>
    <w:r>
      <w:t>REPORT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BFAAA" w14:textId="77777777" w:rsidR="00D7421B" w:rsidRPr="00266EB9" w:rsidRDefault="00D7421B" w:rsidP="008C2744">
    <w:pPr>
      <w:pStyle w:val="Tex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1623E" w14:textId="77777777" w:rsidR="00D7421B" w:rsidRPr="00266EB9" w:rsidRDefault="00D7421B" w:rsidP="008C2744">
    <w:pPr>
      <w:pStyle w:val="Tex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1E" w14:textId="77777777" w:rsidR="00D7421B" w:rsidRPr="00266EB9" w:rsidRDefault="00D7421B" w:rsidP="00EB62C3">
    <w:pPr>
      <w:pStyle w:val="Tex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20" w14:textId="77777777" w:rsidR="00D7421B" w:rsidRPr="00266EB9" w:rsidRDefault="00D7421B" w:rsidP="00EB62C3">
    <w:pPr>
      <w:pStyle w:val="Tex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26" w14:textId="77777777" w:rsidR="00D7421B" w:rsidRPr="00266EB9" w:rsidRDefault="00D7421B" w:rsidP="00EB62C3">
    <w:pPr>
      <w:pStyle w:val="Tex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28" w14:textId="77777777" w:rsidR="00D7421B" w:rsidRPr="00266EB9" w:rsidRDefault="00D7421B" w:rsidP="00EB62C3">
    <w:pPr>
      <w:pStyle w:val="Tex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94C69" w14:textId="77777777" w:rsidR="00D7421B" w:rsidRPr="00266EB9" w:rsidRDefault="00D7421B" w:rsidP="00EB62C3">
    <w:pPr>
      <w:pStyle w:val="Tex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A00BC" w14:textId="77777777" w:rsidR="00D7421B" w:rsidRPr="000B72DC" w:rsidRDefault="00D7421B" w:rsidP="00743750">
    <w:pPr>
      <w:pStyle w:val="Tex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2A" w14:textId="77777777" w:rsidR="00D7421B" w:rsidRPr="00266EB9" w:rsidRDefault="00D7421B" w:rsidP="00EB62C3">
    <w:pPr>
      <w:pStyle w:val="Tex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2C" w14:textId="77777777" w:rsidR="00D7421B" w:rsidRPr="000B72DC" w:rsidRDefault="00D7421B" w:rsidP="00743750">
    <w:pPr>
      <w:pStyle w:val="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8035E" w14:textId="77777777" w:rsidR="00D7421B" w:rsidRDefault="00D7421B" w:rsidP="00D81D20">
    <w:pPr>
      <w:pStyle w:val="Text"/>
      <w:jc w:val="center"/>
    </w:pPr>
    <w:r>
      <w:t xml:space="preserve">Section </w:t>
    </w:r>
    <w:r>
      <w:fldChar w:fldCharType="begin"/>
    </w:r>
    <w:r>
      <w:instrText xml:space="preserve"> REF _Ref458697838 \r \h </w:instrText>
    </w:r>
    <w:r>
      <w:fldChar w:fldCharType="separate"/>
    </w:r>
    <w:r>
      <w:t>0</w:t>
    </w:r>
    <w:r>
      <w:fldChar w:fldCharType="end"/>
    </w:r>
    <w:r>
      <w:tab/>
    </w:r>
    <w:r>
      <w:rPr>
        <w:rFonts w:cs="Microsoft Sans Serif"/>
        <w:b/>
        <w:color w:val="77BC1F"/>
        <w:sz w:val="24"/>
        <w:szCs w:val="20"/>
      </w:rPr>
      <w:fldChar w:fldCharType="begin"/>
    </w:r>
    <w:r>
      <w:instrText xml:space="preserve"> REF _Ref458697845 \h </w:instrText>
    </w:r>
    <w:r>
      <w:rPr>
        <w:rFonts w:cs="Microsoft Sans Serif"/>
        <w:b/>
        <w:color w:val="77BC1F"/>
        <w:sz w:val="24"/>
        <w:szCs w:val="20"/>
      </w:rPr>
    </w:r>
    <w:r>
      <w:rPr>
        <w:rFonts w:cs="Microsoft Sans Serif"/>
        <w:b/>
        <w:color w:val="77BC1F"/>
        <w:sz w:val="24"/>
        <w:szCs w:val="20"/>
      </w:rPr>
      <w:fldChar w:fldCharType="separate"/>
    </w:r>
    <w:r>
      <w:rPr>
        <w:b/>
        <w:noProof/>
      </w:rPr>
      <w:drawing>
        <wp:inline distT="0" distB="0" distL="0" distR="0" wp14:anchorId="6401F68C" wp14:editId="1067CA22">
          <wp:extent cx="4625163" cy="3786835"/>
          <wp:effectExtent l="0" t="0" r="0" b="444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48249" cy="3805737"/>
                  </a:xfrm>
                  <a:prstGeom prst="rect">
                    <a:avLst/>
                  </a:prstGeom>
                  <a:noFill/>
                </pic:spPr>
              </pic:pic>
            </a:graphicData>
          </a:graphic>
        </wp:inline>
      </w:drawing>
    </w:r>
    <w:r>
      <w:br w:type="page"/>
      <w:t>Introduction</w:t>
    </w:r>
    <w: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2E" w14:textId="77777777" w:rsidR="00D7421B" w:rsidRPr="00CF61B0" w:rsidRDefault="00D7421B" w:rsidP="00743750">
    <w:pPr>
      <w:pStyle w:val="Header"/>
    </w:pPr>
    <w:r w:rsidRPr="00CF61B0">
      <w:t xml:space="preserve">APPENDIX </w:t>
    </w:r>
    <w:r>
      <w:rPr>
        <w:noProof/>
      </w:rPr>
      <w:fldChar w:fldCharType="begin"/>
    </w:r>
    <w:r>
      <w:rPr>
        <w:noProof/>
      </w:rPr>
      <w:instrText xml:space="preserve"> STYLEREF  "Heading 7" \n \t  \* MERGEFORMAT </w:instrText>
    </w:r>
    <w:r>
      <w:rPr>
        <w:noProof/>
      </w:rPr>
      <w:fldChar w:fldCharType="separate"/>
    </w:r>
    <w:r>
      <w:rPr>
        <w:noProof/>
      </w:rPr>
      <w:t>0</w:t>
    </w:r>
    <w:r>
      <w:rPr>
        <w:noProof/>
      </w:rPr>
      <w:fldChar w:fldCharType="end"/>
    </w:r>
    <w:r w:rsidRPr="00CF61B0">
      <w:tab/>
    </w:r>
    <w:r w:rsidRPr="00CF61B0">
      <w:tab/>
      <w:t xml:space="preserve">APPENDIX </w:t>
    </w:r>
    <w:r>
      <w:t xml:space="preserve">E </w:t>
    </w:r>
    <w:r w:rsidRPr="00CF61B0">
      <w:t>NAME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2F" w14:textId="77777777" w:rsidR="00D7421B" w:rsidRPr="000B72DC" w:rsidRDefault="00D7421B" w:rsidP="00743750">
    <w:pPr>
      <w:pStyle w:val="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04" w14:textId="77777777" w:rsidR="00D7421B" w:rsidRPr="00266EB9" w:rsidRDefault="00D7421B" w:rsidP="008C2744">
    <w:pPr>
      <w:pStyle w:val="Tex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06" w14:textId="77777777" w:rsidR="00D7421B" w:rsidRPr="00266EB9" w:rsidRDefault="00D7421B" w:rsidP="008C2744">
    <w:pPr>
      <w:pStyle w:val="Tex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08" w14:textId="77777777" w:rsidR="00D7421B" w:rsidRPr="00266EB9" w:rsidRDefault="00D7421B" w:rsidP="008C2744">
    <w:pPr>
      <w:pStyle w:val="Tex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0E" w14:textId="77777777" w:rsidR="00D7421B" w:rsidRPr="00266EB9" w:rsidRDefault="00D7421B" w:rsidP="008C2744">
    <w:pPr>
      <w:pStyle w:val="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10" w14:textId="77777777" w:rsidR="00D7421B" w:rsidRPr="00266EB9" w:rsidRDefault="00D7421B" w:rsidP="008C2744">
    <w:pPr>
      <w:pStyle w:val="Tex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1A" w14:textId="77777777" w:rsidR="00D7421B" w:rsidRPr="00266EB9" w:rsidRDefault="00D7421B" w:rsidP="00EB62C3">
    <w:pPr>
      <w:pStyle w:val="Tex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F71C" w14:textId="77777777" w:rsidR="00D7421B" w:rsidRPr="00266EB9" w:rsidRDefault="00D7421B" w:rsidP="00EB62C3">
    <w:pPr>
      <w:pStyle w:val="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A288D"/>
    <w:multiLevelType w:val="hybridMultilevel"/>
    <w:tmpl w:val="AAA86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6A593E"/>
    <w:multiLevelType w:val="hybridMultilevel"/>
    <w:tmpl w:val="D0A257E0"/>
    <w:lvl w:ilvl="0" w:tplc="0409000F">
      <w:start w:val="1"/>
      <w:numFmt w:val="decimal"/>
      <w:pStyle w:val="Bullets"/>
      <w:lvlText w:val="%1."/>
      <w:lvlJc w:val="left"/>
      <w:pPr>
        <w:tabs>
          <w:tab w:val="num" w:pos="720"/>
        </w:tabs>
        <w:ind w:left="720" w:hanging="360"/>
      </w:pPr>
      <w:rPr>
        <w:rFont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C61653"/>
    <w:multiLevelType w:val="hybridMultilevel"/>
    <w:tmpl w:val="38A69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731997"/>
    <w:multiLevelType w:val="hybridMultilevel"/>
    <w:tmpl w:val="E97A7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477A08"/>
    <w:multiLevelType w:val="multilevel"/>
    <w:tmpl w:val="AF140792"/>
    <w:lvl w:ilvl="0">
      <w:start w:val="1"/>
      <w:numFmt w:val="upperLetter"/>
      <w:pStyle w:val="Heading7"/>
      <w:lvlText w:val="Appendix %1"/>
      <w:lvlJc w:val="left"/>
      <w:pPr>
        <w:ind w:left="2700" w:firstLine="0"/>
      </w:pPr>
      <w:rPr>
        <w:rFonts w:cs="Times New Roman"/>
        <w:b/>
        <w:bCs w:val="0"/>
        <w:i w:val="0"/>
        <w:iCs w:val="0"/>
        <w:caps w:val="0"/>
        <w:smallCaps w:val="0"/>
        <w:strike w:val="0"/>
        <w:dstrike w:val="0"/>
        <w:noProof w:val="0"/>
        <w:vanish w:val="0"/>
        <w:color w:val="1673CA"/>
        <w:spacing w:val="0"/>
        <w:kern w:val="0"/>
        <w:position w:val="0"/>
        <w:u w:val="none"/>
        <w:effect w:val="none"/>
        <w:vertAlign w:val="baseline"/>
        <w:em w:val="none"/>
        <w:specVanish w:val="0"/>
      </w:rPr>
    </w:lvl>
    <w:lvl w:ilvl="1">
      <w:start w:val="1"/>
      <w:numFmt w:val="decimal"/>
      <w:pStyle w:val="Heading8"/>
      <w:lvlText w:val="%1.%2"/>
      <w:lvlJc w:val="left"/>
      <w:pPr>
        <w:tabs>
          <w:tab w:val="num" w:pos="720"/>
        </w:tabs>
        <w:ind w:left="720" w:hanging="720"/>
      </w:pPr>
      <w:rPr>
        <w:rFonts w:hint="default"/>
        <w:b/>
        <w:bCs w:val="0"/>
        <w:i w:val="0"/>
        <w:iCs w:val="0"/>
        <w:caps w:val="0"/>
        <w:smallCaps w:val="0"/>
        <w:strike w:val="0"/>
        <w:dstrike w:val="0"/>
        <w:noProof w:val="0"/>
        <w:vanish w:val="0"/>
        <w:color w:val="1673CA"/>
        <w:spacing w:val="0"/>
        <w:kern w:val="0"/>
        <w:position w:val="0"/>
        <w:u w:val="none"/>
        <w:vertAlign w:val="baseline"/>
        <w:em w:val="none"/>
      </w:rPr>
    </w:lvl>
    <w:lvl w:ilvl="2">
      <w:start w:val="1"/>
      <w:numFmt w:val="lowerRoman"/>
      <w:lvlText w:val="%3."/>
      <w:lvlJc w:val="right"/>
      <w:pPr>
        <w:ind w:left="3870" w:hanging="180"/>
      </w:pPr>
      <w:rPr>
        <w:rFonts w:hint="default"/>
      </w:rPr>
    </w:lvl>
    <w:lvl w:ilvl="3">
      <w:start w:val="1"/>
      <w:numFmt w:val="decimal"/>
      <w:lvlText w:val="%4."/>
      <w:lvlJc w:val="left"/>
      <w:pPr>
        <w:ind w:left="4590" w:hanging="360"/>
      </w:pPr>
      <w:rPr>
        <w:rFonts w:hint="default"/>
      </w:rPr>
    </w:lvl>
    <w:lvl w:ilvl="4">
      <w:start w:val="1"/>
      <w:numFmt w:val="lowerLetter"/>
      <w:lvlText w:val="%5."/>
      <w:lvlJc w:val="left"/>
      <w:pPr>
        <w:ind w:left="5310" w:hanging="360"/>
      </w:pPr>
      <w:rPr>
        <w:rFonts w:hint="default"/>
      </w:rPr>
    </w:lvl>
    <w:lvl w:ilvl="5">
      <w:start w:val="1"/>
      <w:numFmt w:val="lowerRoman"/>
      <w:lvlText w:val="%6."/>
      <w:lvlJc w:val="right"/>
      <w:pPr>
        <w:ind w:left="6030" w:hanging="180"/>
      </w:pPr>
      <w:rPr>
        <w:rFonts w:hint="default"/>
      </w:rPr>
    </w:lvl>
    <w:lvl w:ilvl="6">
      <w:start w:val="1"/>
      <w:numFmt w:val="decimal"/>
      <w:lvlText w:val="%7."/>
      <w:lvlJc w:val="left"/>
      <w:pPr>
        <w:ind w:left="6750" w:hanging="360"/>
      </w:pPr>
      <w:rPr>
        <w:rFonts w:hint="default"/>
      </w:rPr>
    </w:lvl>
    <w:lvl w:ilvl="7">
      <w:start w:val="1"/>
      <w:numFmt w:val="lowerLetter"/>
      <w:lvlText w:val="%8."/>
      <w:lvlJc w:val="left"/>
      <w:pPr>
        <w:ind w:left="7470" w:hanging="360"/>
      </w:pPr>
      <w:rPr>
        <w:rFonts w:hint="default"/>
      </w:rPr>
    </w:lvl>
    <w:lvl w:ilvl="8">
      <w:start w:val="1"/>
      <w:numFmt w:val="lowerRoman"/>
      <w:lvlText w:val="%9."/>
      <w:lvlJc w:val="right"/>
      <w:pPr>
        <w:ind w:left="8190" w:hanging="180"/>
      </w:pPr>
      <w:rPr>
        <w:rFonts w:hint="default"/>
      </w:rPr>
    </w:lvl>
  </w:abstractNum>
  <w:abstractNum w:abstractNumId="5" w15:restartNumberingAfterBreak="0">
    <w:nsid w:val="1FD97C94"/>
    <w:multiLevelType w:val="multilevel"/>
    <w:tmpl w:val="DC625C08"/>
    <w:lvl w:ilvl="0">
      <w:start w:val="1"/>
      <w:numFmt w:val="decimal"/>
      <w:pStyle w:val="Mainbody-Outline"/>
      <w:lvlText w:val="%1)"/>
      <w:lvlJc w:val="left"/>
      <w:pPr>
        <w:ind w:left="900" w:hanging="360"/>
      </w:pPr>
      <w:rPr>
        <w:rFonts w:hint="default"/>
      </w:rPr>
    </w:lvl>
    <w:lvl w:ilvl="1">
      <w:start w:val="1"/>
      <w:numFmt w:val="lowerLetter"/>
      <w:lvlText w:val="%2)"/>
      <w:lvlJc w:val="left"/>
      <w:pPr>
        <w:ind w:left="1260" w:hanging="360"/>
      </w:pPr>
      <w:rPr>
        <w:rFonts w:hint="default"/>
      </w:rPr>
    </w:lvl>
    <w:lvl w:ilvl="2">
      <w:start w:val="1"/>
      <w:numFmt w:val="lowerRoman"/>
      <w:lvlText w:val="%3)"/>
      <w:lvlJc w:val="left"/>
      <w:pPr>
        <w:ind w:left="1620" w:hanging="360"/>
      </w:pPr>
      <w:rPr>
        <w:rFonts w:hint="default"/>
      </w:rPr>
    </w:lvl>
    <w:lvl w:ilvl="3">
      <w:start w:val="1"/>
      <w:numFmt w:val="decimal"/>
      <w:lvlText w:val="(%4)"/>
      <w:lvlJc w:val="left"/>
      <w:pPr>
        <w:ind w:left="1980" w:hanging="360"/>
      </w:pPr>
      <w:rPr>
        <w:rFonts w:hint="default"/>
      </w:rPr>
    </w:lvl>
    <w:lvl w:ilvl="4">
      <w:start w:val="1"/>
      <w:numFmt w:val="lowerLetter"/>
      <w:lvlText w:val="(%5)"/>
      <w:lvlJc w:val="left"/>
      <w:pPr>
        <w:ind w:left="2340" w:hanging="360"/>
      </w:pPr>
      <w:rPr>
        <w:rFonts w:hint="default"/>
      </w:rPr>
    </w:lvl>
    <w:lvl w:ilvl="5">
      <w:start w:val="1"/>
      <w:numFmt w:val="lowerRoman"/>
      <w:lvlText w:val="(%6)"/>
      <w:lvlJc w:val="left"/>
      <w:pPr>
        <w:ind w:left="2700" w:hanging="360"/>
      </w:pPr>
      <w:rPr>
        <w:rFonts w:hint="default"/>
      </w:rPr>
    </w:lvl>
    <w:lvl w:ilvl="6">
      <w:start w:val="1"/>
      <w:numFmt w:val="decimal"/>
      <w:lvlText w:val="%7."/>
      <w:lvlJc w:val="left"/>
      <w:pPr>
        <w:ind w:left="3060" w:hanging="360"/>
      </w:pPr>
      <w:rPr>
        <w:rFonts w:hint="default"/>
      </w:rPr>
    </w:lvl>
    <w:lvl w:ilvl="7">
      <w:start w:val="1"/>
      <w:numFmt w:val="lowerLetter"/>
      <w:lvlText w:val="%8."/>
      <w:lvlJc w:val="left"/>
      <w:pPr>
        <w:ind w:left="3420" w:hanging="360"/>
      </w:pPr>
      <w:rPr>
        <w:rFonts w:hint="default"/>
      </w:rPr>
    </w:lvl>
    <w:lvl w:ilvl="8">
      <w:start w:val="1"/>
      <w:numFmt w:val="lowerRoman"/>
      <w:lvlText w:val="%9."/>
      <w:lvlJc w:val="left"/>
      <w:pPr>
        <w:ind w:left="3780" w:hanging="360"/>
      </w:pPr>
      <w:rPr>
        <w:rFonts w:hint="default"/>
      </w:rPr>
    </w:lvl>
  </w:abstractNum>
  <w:abstractNum w:abstractNumId="6" w15:restartNumberingAfterBreak="0">
    <w:nsid w:val="25782F79"/>
    <w:multiLevelType w:val="multilevel"/>
    <w:tmpl w:val="72E65AA8"/>
    <w:lvl w:ilvl="0">
      <w:start w:val="1"/>
      <w:numFmt w:val="none"/>
      <w:suff w:val="nothing"/>
      <w:lvlText w:val=""/>
      <w:lvlJc w:val="left"/>
      <w:pPr>
        <w:ind w:left="360" w:firstLine="0"/>
      </w:pPr>
      <w:rPr>
        <w:rFonts w:asciiTheme="minorHAnsi" w:hAnsiTheme="minorHAnsi" w:hint="default"/>
        <w:sz w:val="22"/>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lowerRoman"/>
      <w:lvlText w:val="%7."/>
      <w:lvlJc w:val="left"/>
      <w:pPr>
        <w:ind w:left="288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7" w15:restartNumberingAfterBreak="0">
    <w:nsid w:val="27466AB5"/>
    <w:multiLevelType w:val="multilevel"/>
    <w:tmpl w:val="6B2CD62E"/>
    <w:styleLink w:val="NumberedSteps"/>
    <w:lvl w:ilvl="0">
      <w:start w:val="1"/>
      <w:numFmt w:val="decimal"/>
      <w:lvlText w:val="%1"/>
      <w:lvlJc w:val="left"/>
      <w:pPr>
        <w:tabs>
          <w:tab w:val="num" w:pos="720"/>
        </w:tabs>
        <w:ind w:left="720" w:hanging="360"/>
      </w:pPr>
      <w:rPr>
        <w:rFonts w:ascii="Arial" w:hAnsi="Arial"/>
        <w:dstrike w:val="0"/>
        <w:color w:val="auto"/>
        <w:sz w:val="22"/>
        <w:vertAlign w:val="baseline"/>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C40430"/>
    <w:multiLevelType w:val="hybridMultilevel"/>
    <w:tmpl w:val="B3F40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D27A26"/>
    <w:multiLevelType w:val="hybridMultilevel"/>
    <w:tmpl w:val="849E03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93663AF"/>
    <w:multiLevelType w:val="multilevel"/>
    <w:tmpl w:val="46C8D7A2"/>
    <w:lvl w:ilvl="0">
      <w:start w:val="1"/>
      <w:numFmt w:val="decimal"/>
      <w:pStyle w:val="Heading1"/>
      <w:lvlText w:val="%1"/>
      <w:lvlJc w:val="left"/>
      <w:pPr>
        <w:tabs>
          <w:tab w:val="num" w:pos="1440"/>
        </w:tabs>
        <w:ind w:left="360" w:hanging="360"/>
      </w:pPr>
      <w:rPr>
        <w:rFonts w:ascii="Arial" w:hAnsi="Arial" w:cs="Arial" w:hint="default"/>
        <w:b/>
        <w:bCs w:val="0"/>
        <w:i w:val="0"/>
        <w:iCs w:val="0"/>
        <w:caps w:val="0"/>
        <w:smallCaps w:val="0"/>
        <w:strike w:val="0"/>
        <w:dstrike w:val="0"/>
        <w:noProof w:val="0"/>
        <w:snapToGrid w:val="0"/>
        <w:vanish w:val="0"/>
        <w:color w:val="1673CA"/>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5940"/>
        </w:tabs>
        <w:ind w:left="-6660" w:firstLine="0"/>
      </w:pPr>
    </w:lvl>
    <w:lvl w:ilvl="2">
      <w:start w:val="1"/>
      <w:numFmt w:val="decimal"/>
      <w:pStyle w:val="Heading3"/>
      <w:lvlText w:val="%1.%2.%3"/>
      <w:lvlJc w:val="left"/>
      <w:pPr>
        <w:tabs>
          <w:tab w:val="num" w:pos="-6750"/>
        </w:tabs>
        <w:ind w:left="-6750" w:hanging="720"/>
      </w:pPr>
    </w:lvl>
    <w:lvl w:ilvl="3">
      <w:start w:val="1"/>
      <w:numFmt w:val="decimal"/>
      <w:pStyle w:val="Heading4"/>
      <w:lvlText w:val="%1.%2.%3.%4"/>
      <w:lvlJc w:val="left"/>
      <w:pPr>
        <w:tabs>
          <w:tab w:val="num" w:pos="-6390"/>
        </w:tabs>
        <w:ind w:left="-7470" w:firstLine="0"/>
      </w:pPr>
    </w:lvl>
    <w:lvl w:ilvl="4">
      <w:start w:val="1"/>
      <w:numFmt w:val="decimal"/>
      <w:lvlText w:val="%1.%2.%3.%4.%5"/>
      <w:lvlJc w:val="left"/>
      <w:pPr>
        <w:tabs>
          <w:tab w:val="num" w:pos="-4950"/>
        </w:tabs>
        <w:ind w:left="-5238" w:hanging="792"/>
      </w:pPr>
    </w:lvl>
    <w:lvl w:ilvl="5">
      <w:start w:val="1"/>
      <w:numFmt w:val="decimal"/>
      <w:lvlText w:val="%1.%2.%3.%4.%5.%6."/>
      <w:lvlJc w:val="left"/>
      <w:pPr>
        <w:tabs>
          <w:tab w:val="num" w:pos="-4590"/>
        </w:tabs>
        <w:ind w:left="-4734" w:hanging="936"/>
      </w:pPr>
    </w:lvl>
    <w:lvl w:ilvl="6">
      <w:start w:val="1"/>
      <w:numFmt w:val="decimal"/>
      <w:lvlText w:val="%1.%2.%3.%4.%5.%6.%7."/>
      <w:lvlJc w:val="left"/>
      <w:pPr>
        <w:tabs>
          <w:tab w:val="num" w:pos="-3870"/>
        </w:tabs>
        <w:ind w:left="-4230" w:hanging="1080"/>
      </w:pPr>
    </w:lvl>
    <w:lvl w:ilvl="7">
      <w:start w:val="1"/>
      <w:numFmt w:val="decimal"/>
      <w:lvlText w:val="%1.%2.%3.%4.%5.%6.%7.%8."/>
      <w:lvlJc w:val="left"/>
      <w:pPr>
        <w:tabs>
          <w:tab w:val="num" w:pos="-3510"/>
        </w:tabs>
        <w:ind w:left="-3726" w:hanging="1224"/>
      </w:pPr>
    </w:lvl>
    <w:lvl w:ilvl="8">
      <w:start w:val="1"/>
      <w:numFmt w:val="decimal"/>
      <w:lvlText w:val="%1.%2.%3.%4.%5.%6.%7.%8.%9."/>
      <w:lvlJc w:val="left"/>
      <w:pPr>
        <w:tabs>
          <w:tab w:val="num" w:pos="-2790"/>
        </w:tabs>
        <w:ind w:left="-3150" w:hanging="1440"/>
      </w:pPr>
    </w:lvl>
  </w:abstractNum>
  <w:abstractNum w:abstractNumId="11" w15:restartNumberingAfterBreak="0">
    <w:nsid w:val="4B4725E2"/>
    <w:multiLevelType w:val="hybridMultilevel"/>
    <w:tmpl w:val="F710A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A11F09"/>
    <w:multiLevelType w:val="hybridMultilevel"/>
    <w:tmpl w:val="DAB63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293011"/>
    <w:multiLevelType w:val="hybridMultilevel"/>
    <w:tmpl w:val="7668F0CC"/>
    <w:lvl w:ilvl="0" w:tplc="AFE2F3D8">
      <w:start w:val="1"/>
      <w:numFmt w:val="bullet"/>
      <w:pStyle w:val="Tables-Bullets"/>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F25BD7"/>
    <w:multiLevelType w:val="multilevel"/>
    <w:tmpl w:val="674EA82E"/>
    <w:name w:val="Heading 4"/>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504"/>
        </w:tabs>
        <w:ind w:left="0" w:firstLine="0"/>
      </w:pPr>
      <w:rPr>
        <w:rFonts w:hint="default"/>
      </w:rPr>
    </w:lvl>
    <w:lvl w:ilvl="2">
      <w:start w:val="1"/>
      <w:numFmt w:val="decimal"/>
      <w:lvlText w:val="%1.%2.%3"/>
      <w:lvlJc w:val="left"/>
      <w:pPr>
        <w:tabs>
          <w:tab w:val="num" w:pos="576"/>
        </w:tabs>
        <w:ind w:left="0" w:firstLine="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648"/>
        </w:tabs>
        <w:ind w:left="0" w:firstLine="0"/>
      </w:pPr>
      <w:rPr>
        <w:rFonts w:hint="default"/>
      </w:rPr>
    </w:lvl>
    <w:lvl w:ilvl="4">
      <w:start w:val="1"/>
      <w:numFmt w:val="decimal"/>
      <w:lvlText w:val="%1.%2.%3.%4.%5"/>
      <w:lvlJc w:val="left"/>
      <w:pPr>
        <w:tabs>
          <w:tab w:val="num" w:pos="792"/>
        </w:tabs>
        <w:ind w:left="0" w:firstLine="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5" w15:restartNumberingAfterBreak="0">
    <w:nsid w:val="56415585"/>
    <w:multiLevelType w:val="multilevel"/>
    <w:tmpl w:val="72E65AA8"/>
    <w:lvl w:ilvl="0">
      <w:start w:val="1"/>
      <w:numFmt w:val="none"/>
      <w:pStyle w:val="t"/>
      <w:suff w:val="nothing"/>
      <w:lvlText w:val=""/>
      <w:lvlJc w:val="left"/>
      <w:pPr>
        <w:ind w:left="360" w:firstLine="0"/>
      </w:pPr>
      <w:rPr>
        <w:rFonts w:asciiTheme="minorHAnsi" w:hAnsiTheme="minorHAnsi" w:hint="default"/>
        <w:sz w:val="22"/>
      </w:rPr>
    </w:lvl>
    <w:lvl w:ilvl="1">
      <w:start w:val="1"/>
      <w:numFmt w:val="decimal"/>
      <w:pStyle w:val="Outline"/>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lowerRoman"/>
      <w:lvlText w:val="%7."/>
      <w:lvlJc w:val="left"/>
      <w:pPr>
        <w:ind w:left="288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6" w15:restartNumberingAfterBreak="0">
    <w:nsid w:val="59C52067"/>
    <w:multiLevelType w:val="multilevel"/>
    <w:tmpl w:val="02D4F74C"/>
    <w:styleLink w:val="n"/>
    <w:lvl w:ilvl="0">
      <w:start w:val="1"/>
      <w:numFmt w:val="none"/>
      <w:suff w:val="nothing"/>
      <w:lvlText w:val=""/>
      <w:lvlJc w:val="left"/>
      <w:pPr>
        <w:ind w:left="360" w:firstLine="0"/>
      </w:pPr>
      <w:rPr>
        <w:rFonts w:asciiTheme="minorHAnsi" w:hAnsiTheme="minorHAnsi" w:hint="default"/>
        <w:sz w:val="22"/>
      </w:rPr>
    </w:lvl>
    <w:lvl w:ilvl="1">
      <w:start w:val="1"/>
      <w:numFmt w:val="decimal"/>
      <w:lvlText w:val="%2"/>
      <w:lvlJc w:val="left"/>
      <w:pPr>
        <w:ind w:left="108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7" w15:restartNumberingAfterBreak="0">
    <w:nsid w:val="5C613F38"/>
    <w:multiLevelType w:val="hybridMultilevel"/>
    <w:tmpl w:val="01A67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1B0820"/>
    <w:multiLevelType w:val="multilevel"/>
    <w:tmpl w:val="D1EE4882"/>
    <w:lvl w:ilvl="0">
      <w:start w:val="1"/>
      <w:numFmt w:val="bullet"/>
      <w:pStyle w:val="b"/>
      <w:lvlText w:val=""/>
      <w:lvlJc w:val="left"/>
      <w:pPr>
        <w:ind w:left="630" w:hanging="360"/>
      </w:pPr>
      <w:rPr>
        <w:rFonts w:ascii="Wingdings" w:hAnsi="Wingdings" w:hint="default"/>
      </w:rPr>
    </w:lvl>
    <w:lvl w:ilvl="1">
      <w:start w:val="1"/>
      <w:numFmt w:val="bullet"/>
      <w:lvlText w:val="-"/>
      <w:lvlJc w:val="left"/>
      <w:pPr>
        <w:ind w:left="1440" w:hanging="360"/>
      </w:pPr>
      <w:rPr>
        <w:rFonts w:ascii="font334" w:hAnsi="font334"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tabs>
          <w:tab w:val="num" w:pos="1800"/>
        </w:tabs>
        <w:ind w:left="2160" w:hanging="360"/>
      </w:pPr>
      <w:rPr>
        <w:rFonts w:ascii="font334" w:hAnsi="font334" w:hint="default"/>
      </w:rPr>
    </w:lvl>
    <w:lvl w:ilvl="4">
      <w:start w:val="1"/>
      <w:numFmt w:val="bullet"/>
      <w:lvlText w:val=""/>
      <w:lvlJc w:val="left"/>
      <w:pPr>
        <w:ind w:left="2520" w:hanging="360"/>
      </w:pPr>
      <w:rPr>
        <w:rFonts w:ascii="Wingdings" w:hAnsi="Wingdings" w:hint="default"/>
      </w:rPr>
    </w:lvl>
    <w:lvl w:ilvl="5">
      <w:start w:val="1"/>
      <w:numFmt w:val="bullet"/>
      <w:lvlText w:val="-"/>
      <w:lvlJc w:val="left"/>
      <w:pPr>
        <w:ind w:left="2880" w:hanging="360"/>
      </w:pPr>
      <w:rPr>
        <w:rFonts w:ascii="font334" w:hAnsi="font334"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6C5F555A"/>
    <w:multiLevelType w:val="hybridMultilevel"/>
    <w:tmpl w:val="4F9219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CC470C1"/>
    <w:multiLevelType w:val="hybridMultilevel"/>
    <w:tmpl w:val="CC7A031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75E51EBE"/>
    <w:multiLevelType w:val="hybridMultilevel"/>
    <w:tmpl w:val="470E58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E22378E"/>
    <w:multiLevelType w:val="hybridMultilevel"/>
    <w:tmpl w:val="F386DC92"/>
    <w:lvl w:ilvl="0" w:tplc="71A8B700">
      <w:start w:val="1"/>
      <w:numFmt w:val="bullet"/>
      <w:pStyle w:val="Mainbody-Bullets"/>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4"/>
  </w:num>
  <w:num w:numId="4">
    <w:abstractNumId w:val="22"/>
  </w:num>
  <w:num w:numId="5">
    <w:abstractNumId w:val="13"/>
  </w:num>
  <w:num w:numId="6">
    <w:abstractNumId w:val="1"/>
  </w:num>
  <w:num w:numId="7">
    <w:abstractNumId w:val="7"/>
  </w:num>
  <w:num w:numId="8">
    <w:abstractNumId w:val="15"/>
  </w:num>
  <w:num w:numId="9">
    <w:abstractNumId w:val="5"/>
  </w:num>
  <w:num w:numId="10">
    <w:abstractNumId w:val="9"/>
  </w:num>
  <w:num w:numId="11">
    <w:abstractNumId w:val="19"/>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6"/>
  </w:num>
  <w:num w:numId="15">
    <w:abstractNumId w:val="11"/>
  </w:num>
  <w:num w:numId="16">
    <w:abstractNumId w:val="12"/>
  </w:num>
  <w:num w:numId="17">
    <w:abstractNumId w:val="20"/>
  </w:num>
  <w:num w:numId="18">
    <w:abstractNumId w:val="21"/>
  </w:num>
  <w:num w:numId="19">
    <w:abstractNumId w:val="17"/>
  </w:num>
  <w:num w:numId="20">
    <w:abstractNumId w:val="8"/>
  </w:num>
  <w:num w:numId="21">
    <w:abstractNumId w:val="3"/>
  </w:num>
  <w:num w:numId="22">
    <w:abstractNumId w:val="0"/>
  </w:num>
  <w:num w:numId="23">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stylePaneFormatFilter w:val="BE01" w:allStyles="1" w:customStyles="0" w:latentStyles="0" w:stylesInUse="0" w:headingStyles="0" w:numberingStyles="0" w:tableStyles="0" w:directFormattingOnRuns="0" w:directFormattingOnParagraphs="1" w:directFormattingOnNumbering="1" w:directFormattingOnTables="1" w:clearFormatting="1" w:top3HeadingStyles="1" w:visibleStyles="0" w:alternateStyleNames="1"/>
  <w:stylePaneSortMethod w:val="0000"/>
  <w:documentProtection w:edit="forms" w:enforcement="0"/>
  <w:defaultTabStop w:val="720"/>
  <w:doNotHyphenateCaps/>
  <w:drawingGridHorizontalSpacing w:val="115"/>
  <w:drawingGridVerticalSpacing w:val="187"/>
  <w:displayHorizontalDrawingGridEvery w:val="0"/>
  <w:displayVerticalDrawingGridEvery w:val="0"/>
  <w:doNotShadeFormData/>
  <w:noPunctuationKerning/>
  <w:characterSpacingControl w:val="doNotCompress"/>
  <w:hdrShapeDefaults>
    <o:shapedefaults v:ext="edit" spidmax="79873"/>
  </w:hdrShapeDefaults>
  <w:footnotePr>
    <w:numRestart w:val="eachSect"/>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B11"/>
    <w:rsid w:val="000005FD"/>
    <w:rsid w:val="00000624"/>
    <w:rsid w:val="000019DB"/>
    <w:rsid w:val="00001F5E"/>
    <w:rsid w:val="00002EC8"/>
    <w:rsid w:val="00004883"/>
    <w:rsid w:val="000052E3"/>
    <w:rsid w:val="00005861"/>
    <w:rsid w:val="00005EF4"/>
    <w:rsid w:val="0000600A"/>
    <w:rsid w:val="00006602"/>
    <w:rsid w:val="00007475"/>
    <w:rsid w:val="00007F50"/>
    <w:rsid w:val="00007F65"/>
    <w:rsid w:val="000107CA"/>
    <w:rsid w:val="00011134"/>
    <w:rsid w:val="000117C3"/>
    <w:rsid w:val="00011CB8"/>
    <w:rsid w:val="000120CF"/>
    <w:rsid w:val="00013966"/>
    <w:rsid w:val="00014497"/>
    <w:rsid w:val="0001459F"/>
    <w:rsid w:val="00016CFA"/>
    <w:rsid w:val="00017D3E"/>
    <w:rsid w:val="00020870"/>
    <w:rsid w:val="00021EBB"/>
    <w:rsid w:val="000226B3"/>
    <w:rsid w:val="00023CF0"/>
    <w:rsid w:val="000243C9"/>
    <w:rsid w:val="00025141"/>
    <w:rsid w:val="00025639"/>
    <w:rsid w:val="000256E2"/>
    <w:rsid w:val="000259FE"/>
    <w:rsid w:val="00026580"/>
    <w:rsid w:val="000268D0"/>
    <w:rsid w:val="00026D0E"/>
    <w:rsid w:val="00026E6C"/>
    <w:rsid w:val="00027287"/>
    <w:rsid w:val="00027DC0"/>
    <w:rsid w:val="0003027C"/>
    <w:rsid w:val="00030A36"/>
    <w:rsid w:val="00030B78"/>
    <w:rsid w:val="000312A3"/>
    <w:rsid w:val="00031E08"/>
    <w:rsid w:val="000320C3"/>
    <w:rsid w:val="00032B04"/>
    <w:rsid w:val="00033230"/>
    <w:rsid w:val="00033745"/>
    <w:rsid w:val="00035376"/>
    <w:rsid w:val="000355F5"/>
    <w:rsid w:val="00035911"/>
    <w:rsid w:val="00036CA5"/>
    <w:rsid w:val="00037AE6"/>
    <w:rsid w:val="0004027D"/>
    <w:rsid w:val="0004093F"/>
    <w:rsid w:val="00041A75"/>
    <w:rsid w:val="00041B06"/>
    <w:rsid w:val="00043089"/>
    <w:rsid w:val="000432D0"/>
    <w:rsid w:val="000432F6"/>
    <w:rsid w:val="000436F1"/>
    <w:rsid w:val="000437D7"/>
    <w:rsid w:val="0005064E"/>
    <w:rsid w:val="00050EE5"/>
    <w:rsid w:val="00056560"/>
    <w:rsid w:val="00057D26"/>
    <w:rsid w:val="000605AE"/>
    <w:rsid w:val="00060CDA"/>
    <w:rsid w:val="00060F79"/>
    <w:rsid w:val="000615CB"/>
    <w:rsid w:val="00061C1F"/>
    <w:rsid w:val="00061D80"/>
    <w:rsid w:val="00061F01"/>
    <w:rsid w:val="00062BA2"/>
    <w:rsid w:val="00062BEC"/>
    <w:rsid w:val="000639EF"/>
    <w:rsid w:val="00063B0E"/>
    <w:rsid w:val="00064091"/>
    <w:rsid w:val="000653C9"/>
    <w:rsid w:val="0006586D"/>
    <w:rsid w:val="000677AC"/>
    <w:rsid w:val="00067814"/>
    <w:rsid w:val="00070512"/>
    <w:rsid w:val="000706D5"/>
    <w:rsid w:val="00070CC1"/>
    <w:rsid w:val="00070E5D"/>
    <w:rsid w:val="00070E62"/>
    <w:rsid w:val="00070F87"/>
    <w:rsid w:val="000728CE"/>
    <w:rsid w:val="00073758"/>
    <w:rsid w:val="00075BC8"/>
    <w:rsid w:val="0007636B"/>
    <w:rsid w:val="0008134D"/>
    <w:rsid w:val="0008168D"/>
    <w:rsid w:val="00081768"/>
    <w:rsid w:val="00082A46"/>
    <w:rsid w:val="00082F18"/>
    <w:rsid w:val="00083132"/>
    <w:rsid w:val="00083AB2"/>
    <w:rsid w:val="0008581A"/>
    <w:rsid w:val="00085923"/>
    <w:rsid w:val="00090642"/>
    <w:rsid w:val="000909D3"/>
    <w:rsid w:val="000912D8"/>
    <w:rsid w:val="000916F1"/>
    <w:rsid w:val="000921B2"/>
    <w:rsid w:val="000924DE"/>
    <w:rsid w:val="00092AE1"/>
    <w:rsid w:val="00093049"/>
    <w:rsid w:val="00093ACF"/>
    <w:rsid w:val="00093E84"/>
    <w:rsid w:val="00093FE4"/>
    <w:rsid w:val="00094092"/>
    <w:rsid w:val="00095DFA"/>
    <w:rsid w:val="000A001E"/>
    <w:rsid w:val="000A199D"/>
    <w:rsid w:val="000A1B66"/>
    <w:rsid w:val="000A223C"/>
    <w:rsid w:val="000A2279"/>
    <w:rsid w:val="000A22FB"/>
    <w:rsid w:val="000A2396"/>
    <w:rsid w:val="000A3E42"/>
    <w:rsid w:val="000A4449"/>
    <w:rsid w:val="000A5FD9"/>
    <w:rsid w:val="000A6A67"/>
    <w:rsid w:val="000A7E4C"/>
    <w:rsid w:val="000B07C0"/>
    <w:rsid w:val="000B1498"/>
    <w:rsid w:val="000B1FD9"/>
    <w:rsid w:val="000B2871"/>
    <w:rsid w:val="000B5EA0"/>
    <w:rsid w:val="000B6078"/>
    <w:rsid w:val="000B68C4"/>
    <w:rsid w:val="000B72DC"/>
    <w:rsid w:val="000B7A45"/>
    <w:rsid w:val="000B7C91"/>
    <w:rsid w:val="000C1A87"/>
    <w:rsid w:val="000C448B"/>
    <w:rsid w:val="000C49F6"/>
    <w:rsid w:val="000C4D0B"/>
    <w:rsid w:val="000C65CC"/>
    <w:rsid w:val="000C6F18"/>
    <w:rsid w:val="000C7161"/>
    <w:rsid w:val="000C7BBD"/>
    <w:rsid w:val="000C7BC6"/>
    <w:rsid w:val="000D0021"/>
    <w:rsid w:val="000D0194"/>
    <w:rsid w:val="000D05B4"/>
    <w:rsid w:val="000D17A9"/>
    <w:rsid w:val="000D1882"/>
    <w:rsid w:val="000D1C52"/>
    <w:rsid w:val="000D1DD9"/>
    <w:rsid w:val="000D24DA"/>
    <w:rsid w:val="000D2A51"/>
    <w:rsid w:val="000D3154"/>
    <w:rsid w:val="000D3CE8"/>
    <w:rsid w:val="000D467C"/>
    <w:rsid w:val="000D4E0A"/>
    <w:rsid w:val="000D4F80"/>
    <w:rsid w:val="000D5BDA"/>
    <w:rsid w:val="000D67E1"/>
    <w:rsid w:val="000D73DC"/>
    <w:rsid w:val="000D7FA3"/>
    <w:rsid w:val="000E017E"/>
    <w:rsid w:val="000E0E2A"/>
    <w:rsid w:val="000E208F"/>
    <w:rsid w:val="000E3068"/>
    <w:rsid w:val="000E3327"/>
    <w:rsid w:val="000E346E"/>
    <w:rsid w:val="000E35DA"/>
    <w:rsid w:val="000E3742"/>
    <w:rsid w:val="000E3CDA"/>
    <w:rsid w:val="000E54B7"/>
    <w:rsid w:val="000E707C"/>
    <w:rsid w:val="000F0580"/>
    <w:rsid w:val="000F069A"/>
    <w:rsid w:val="000F1001"/>
    <w:rsid w:val="000F297B"/>
    <w:rsid w:val="000F2A03"/>
    <w:rsid w:val="000F3AB0"/>
    <w:rsid w:val="000F497B"/>
    <w:rsid w:val="000F677E"/>
    <w:rsid w:val="000F6945"/>
    <w:rsid w:val="000F71DD"/>
    <w:rsid w:val="000F775F"/>
    <w:rsid w:val="0010036C"/>
    <w:rsid w:val="00100D97"/>
    <w:rsid w:val="00100F42"/>
    <w:rsid w:val="00101A2C"/>
    <w:rsid w:val="001026D7"/>
    <w:rsid w:val="00102DA8"/>
    <w:rsid w:val="001056FE"/>
    <w:rsid w:val="001057BD"/>
    <w:rsid w:val="001061DF"/>
    <w:rsid w:val="00106AAE"/>
    <w:rsid w:val="0011046C"/>
    <w:rsid w:val="00110837"/>
    <w:rsid w:val="00110861"/>
    <w:rsid w:val="00110940"/>
    <w:rsid w:val="0011228F"/>
    <w:rsid w:val="00112DD7"/>
    <w:rsid w:val="00112F46"/>
    <w:rsid w:val="00113560"/>
    <w:rsid w:val="00114E7B"/>
    <w:rsid w:val="0011583E"/>
    <w:rsid w:val="00117012"/>
    <w:rsid w:val="001219AB"/>
    <w:rsid w:val="00122129"/>
    <w:rsid w:val="00123988"/>
    <w:rsid w:val="00123BC6"/>
    <w:rsid w:val="00123D13"/>
    <w:rsid w:val="00124B0A"/>
    <w:rsid w:val="00124F5C"/>
    <w:rsid w:val="001253FE"/>
    <w:rsid w:val="001264A6"/>
    <w:rsid w:val="001279D0"/>
    <w:rsid w:val="00127E7C"/>
    <w:rsid w:val="0013066A"/>
    <w:rsid w:val="0013096B"/>
    <w:rsid w:val="001322BA"/>
    <w:rsid w:val="0013336F"/>
    <w:rsid w:val="00134843"/>
    <w:rsid w:val="00134ADE"/>
    <w:rsid w:val="0013530D"/>
    <w:rsid w:val="00135870"/>
    <w:rsid w:val="001368C6"/>
    <w:rsid w:val="001370A3"/>
    <w:rsid w:val="00137355"/>
    <w:rsid w:val="0013775D"/>
    <w:rsid w:val="00140558"/>
    <w:rsid w:val="00140590"/>
    <w:rsid w:val="00142279"/>
    <w:rsid w:val="00142B86"/>
    <w:rsid w:val="00143528"/>
    <w:rsid w:val="001438FC"/>
    <w:rsid w:val="0014482C"/>
    <w:rsid w:val="00144B5B"/>
    <w:rsid w:val="00144C04"/>
    <w:rsid w:val="00145C87"/>
    <w:rsid w:val="00146189"/>
    <w:rsid w:val="0014620A"/>
    <w:rsid w:val="00146723"/>
    <w:rsid w:val="001476AC"/>
    <w:rsid w:val="001477DB"/>
    <w:rsid w:val="0014784D"/>
    <w:rsid w:val="00150211"/>
    <w:rsid w:val="00150AC7"/>
    <w:rsid w:val="00151F14"/>
    <w:rsid w:val="001538F8"/>
    <w:rsid w:val="00154BDC"/>
    <w:rsid w:val="001550C8"/>
    <w:rsid w:val="00155DEC"/>
    <w:rsid w:val="00156746"/>
    <w:rsid w:val="00157761"/>
    <w:rsid w:val="00157E47"/>
    <w:rsid w:val="00161184"/>
    <w:rsid w:val="00162C9E"/>
    <w:rsid w:val="00164D32"/>
    <w:rsid w:val="0016513B"/>
    <w:rsid w:val="00165A83"/>
    <w:rsid w:val="00165D52"/>
    <w:rsid w:val="00165F60"/>
    <w:rsid w:val="00166CF9"/>
    <w:rsid w:val="00167810"/>
    <w:rsid w:val="001715C5"/>
    <w:rsid w:val="00173819"/>
    <w:rsid w:val="001751DD"/>
    <w:rsid w:val="00175604"/>
    <w:rsid w:val="0017772F"/>
    <w:rsid w:val="0018010F"/>
    <w:rsid w:val="00180D80"/>
    <w:rsid w:val="00180E9F"/>
    <w:rsid w:val="00181352"/>
    <w:rsid w:val="00182020"/>
    <w:rsid w:val="001829D4"/>
    <w:rsid w:val="00183783"/>
    <w:rsid w:val="001838D8"/>
    <w:rsid w:val="00183AB1"/>
    <w:rsid w:val="00185B19"/>
    <w:rsid w:val="0018631E"/>
    <w:rsid w:val="001865E2"/>
    <w:rsid w:val="00186C17"/>
    <w:rsid w:val="001918B7"/>
    <w:rsid w:val="00191A5F"/>
    <w:rsid w:val="00191C37"/>
    <w:rsid w:val="00191F0C"/>
    <w:rsid w:val="001924AA"/>
    <w:rsid w:val="00192E70"/>
    <w:rsid w:val="0019342A"/>
    <w:rsid w:val="0019424E"/>
    <w:rsid w:val="0019516D"/>
    <w:rsid w:val="00195756"/>
    <w:rsid w:val="00197193"/>
    <w:rsid w:val="001A0305"/>
    <w:rsid w:val="001A1A00"/>
    <w:rsid w:val="001A21C8"/>
    <w:rsid w:val="001A487D"/>
    <w:rsid w:val="001A5A51"/>
    <w:rsid w:val="001A6304"/>
    <w:rsid w:val="001B1E77"/>
    <w:rsid w:val="001B2525"/>
    <w:rsid w:val="001B3D4B"/>
    <w:rsid w:val="001B460F"/>
    <w:rsid w:val="001B6602"/>
    <w:rsid w:val="001B6FB1"/>
    <w:rsid w:val="001B7E62"/>
    <w:rsid w:val="001C0508"/>
    <w:rsid w:val="001C0551"/>
    <w:rsid w:val="001C10A2"/>
    <w:rsid w:val="001C117F"/>
    <w:rsid w:val="001C16C9"/>
    <w:rsid w:val="001C1997"/>
    <w:rsid w:val="001C2044"/>
    <w:rsid w:val="001C3A6D"/>
    <w:rsid w:val="001C48C0"/>
    <w:rsid w:val="001C5B4B"/>
    <w:rsid w:val="001C61F6"/>
    <w:rsid w:val="001C6781"/>
    <w:rsid w:val="001C705B"/>
    <w:rsid w:val="001C71CA"/>
    <w:rsid w:val="001D361B"/>
    <w:rsid w:val="001D380F"/>
    <w:rsid w:val="001D47A8"/>
    <w:rsid w:val="001D4C59"/>
    <w:rsid w:val="001D57F3"/>
    <w:rsid w:val="001D5927"/>
    <w:rsid w:val="001D603E"/>
    <w:rsid w:val="001D7A66"/>
    <w:rsid w:val="001E2451"/>
    <w:rsid w:val="001E2CF9"/>
    <w:rsid w:val="001E3210"/>
    <w:rsid w:val="001E3373"/>
    <w:rsid w:val="001E390D"/>
    <w:rsid w:val="001E3AAD"/>
    <w:rsid w:val="001E3C20"/>
    <w:rsid w:val="001E4C5E"/>
    <w:rsid w:val="001E4E68"/>
    <w:rsid w:val="001E4E91"/>
    <w:rsid w:val="001E5A89"/>
    <w:rsid w:val="001F08B8"/>
    <w:rsid w:val="001F0A00"/>
    <w:rsid w:val="001F107D"/>
    <w:rsid w:val="001F11DB"/>
    <w:rsid w:val="001F1DD2"/>
    <w:rsid w:val="001F2A51"/>
    <w:rsid w:val="001F36C7"/>
    <w:rsid w:val="001F49EC"/>
    <w:rsid w:val="001F5854"/>
    <w:rsid w:val="001F63A5"/>
    <w:rsid w:val="001F6EB1"/>
    <w:rsid w:val="002014B3"/>
    <w:rsid w:val="00201606"/>
    <w:rsid w:val="002019E5"/>
    <w:rsid w:val="0020382F"/>
    <w:rsid w:val="00203871"/>
    <w:rsid w:val="00204F70"/>
    <w:rsid w:val="002055BB"/>
    <w:rsid w:val="002055F6"/>
    <w:rsid w:val="00207153"/>
    <w:rsid w:val="00207596"/>
    <w:rsid w:val="002127DD"/>
    <w:rsid w:val="00213663"/>
    <w:rsid w:val="00213E08"/>
    <w:rsid w:val="00214A98"/>
    <w:rsid w:val="00214E17"/>
    <w:rsid w:val="002153DF"/>
    <w:rsid w:val="002160F0"/>
    <w:rsid w:val="002175DA"/>
    <w:rsid w:val="00217C09"/>
    <w:rsid w:val="0022146E"/>
    <w:rsid w:val="002216A7"/>
    <w:rsid w:val="00222029"/>
    <w:rsid w:val="00222D9D"/>
    <w:rsid w:val="00222ED6"/>
    <w:rsid w:val="00225C39"/>
    <w:rsid w:val="00227A8B"/>
    <w:rsid w:val="002314D0"/>
    <w:rsid w:val="00231ECE"/>
    <w:rsid w:val="00231EFE"/>
    <w:rsid w:val="00232FCC"/>
    <w:rsid w:val="00233AEB"/>
    <w:rsid w:val="00233D7B"/>
    <w:rsid w:val="0023524F"/>
    <w:rsid w:val="002358BB"/>
    <w:rsid w:val="00236CDF"/>
    <w:rsid w:val="00237F9A"/>
    <w:rsid w:val="00240855"/>
    <w:rsid w:val="00240DCC"/>
    <w:rsid w:val="0024185F"/>
    <w:rsid w:val="00243648"/>
    <w:rsid w:val="00243B56"/>
    <w:rsid w:val="00244B56"/>
    <w:rsid w:val="002451D3"/>
    <w:rsid w:val="002456D8"/>
    <w:rsid w:val="00246DA8"/>
    <w:rsid w:val="00250E90"/>
    <w:rsid w:val="00251390"/>
    <w:rsid w:val="00251C44"/>
    <w:rsid w:val="00251C63"/>
    <w:rsid w:val="00251FB3"/>
    <w:rsid w:val="0025346B"/>
    <w:rsid w:val="0025385E"/>
    <w:rsid w:val="00253FB3"/>
    <w:rsid w:val="002546CB"/>
    <w:rsid w:val="0025563A"/>
    <w:rsid w:val="002558C9"/>
    <w:rsid w:val="00256901"/>
    <w:rsid w:val="0025777A"/>
    <w:rsid w:val="002601BC"/>
    <w:rsid w:val="0026144E"/>
    <w:rsid w:val="002622B6"/>
    <w:rsid w:val="002628BF"/>
    <w:rsid w:val="002628DE"/>
    <w:rsid w:val="002636C3"/>
    <w:rsid w:val="002638A5"/>
    <w:rsid w:val="00265E80"/>
    <w:rsid w:val="0026622B"/>
    <w:rsid w:val="00266511"/>
    <w:rsid w:val="00266B8B"/>
    <w:rsid w:val="00266EB9"/>
    <w:rsid w:val="00267795"/>
    <w:rsid w:val="002677A2"/>
    <w:rsid w:val="002723B2"/>
    <w:rsid w:val="00275260"/>
    <w:rsid w:val="00276E54"/>
    <w:rsid w:val="00277CDC"/>
    <w:rsid w:val="00277FAA"/>
    <w:rsid w:val="00280612"/>
    <w:rsid w:val="00280A43"/>
    <w:rsid w:val="00280EE8"/>
    <w:rsid w:val="0028184E"/>
    <w:rsid w:val="0028191F"/>
    <w:rsid w:val="00282491"/>
    <w:rsid w:val="00283527"/>
    <w:rsid w:val="0028382D"/>
    <w:rsid w:val="0028410D"/>
    <w:rsid w:val="00286143"/>
    <w:rsid w:val="002862BE"/>
    <w:rsid w:val="00287D2D"/>
    <w:rsid w:val="00290288"/>
    <w:rsid w:val="00291444"/>
    <w:rsid w:val="002919C1"/>
    <w:rsid w:val="00291F53"/>
    <w:rsid w:val="002922EA"/>
    <w:rsid w:val="00294DD8"/>
    <w:rsid w:val="002966C3"/>
    <w:rsid w:val="00296DD7"/>
    <w:rsid w:val="00297242"/>
    <w:rsid w:val="002A063A"/>
    <w:rsid w:val="002A06E1"/>
    <w:rsid w:val="002A0B10"/>
    <w:rsid w:val="002A0EC6"/>
    <w:rsid w:val="002A1C52"/>
    <w:rsid w:val="002A2816"/>
    <w:rsid w:val="002A2C30"/>
    <w:rsid w:val="002A5BB7"/>
    <w:rsid w:val="002A62C1"/>
    <w:rsid w:val="002A6559"/>
    <w:rsid w:val="002A698C"/>
    <w:rsid w:val="002B0EE5"/>
    <w:rsid w:val="002B22A1"/>
    <w:rsid w:val="002B2356"/>
    <w:rsid w:val="002B23D4"/>
    <w:rsid w:val="002B305E"/>
    <w:rsid w:val="002B3875"/>
    <w:rsid w:val="002B38F9"/>
    <w:rsid w:val="002B3B8E"/>
    <w:rsid w:val="002B3E92"/>
    <w:rsid w:val="002B4215"/>
    <w:rsid w:val="002B4AEC"/>
    <w:rsid w:val="002B69DF"/>
    <w:rsid w:val="002B70F9"/>
    <w:rsid w:val="002B7BFB"/>
    <w:rsid w:val="002C029C"/>
    <w:rsid w:val="002C0713"/>
    <w:rsid w:val="002C0A16"/>
    <w:rsid w:val="002C16ED"/>
    <w:rsid w:val="002C1B44"/>
    <w:rsid w:val="002C1B69"/>
    <w:rsid w:val="002C376E"/>
    <w:rsid w:val="002C4034"/>
    <w:rsid w:val="002C477E"/>
    <w:rsid w:val="002C4FFA"/>
    <w:rsid w:val="002C5B5D"/>
    <w:rsid w:val="002C6148"/>
    <w:rsid w:val="002C61B1"/>
    <w:rsid w:val="002C624E"/>
    <w:rsid w:val="002C6C44"/>
    <w:rsid w:val="002C7495"/>
    <w:rsid w:val="002D05FA"/>
    <w:rsid w:val="002D0E4C"/>
    <w:rsid w:val="002D194C"/>
    <w:rsid w:val="002D2525"/>
    <w:rsid w:val="002D2C31"/>
    <w:rsid w:val="002D30FE"/>
    <w:rsid w:val="002D3782"/>
    <w:rsid w:val="002D4CDB"/>
    <w:rsid w:val="002D5D6A"/>
    <w:rsid w:val="002D5E3E"/>
    <w:rsid w:val="002D6364"/>
    <w:rsid w:val="002D6FE3"/>
    <w:rsid w:val="002D77B1"/>
    <w:rsid w:val="002D7EB5"/>
    <w:rsid w:val="002E03A8"/>
    <w:rsid w:val="002E0748"/>
    <w:rsid w:val="002E27A7"/>
    <w:rsid w:val="002E28D9"/>
    <w:rsid w:val="002E2D5C"/>
    <w:rsid w:val="002E33EB"/>
    <w:rsid w:val="002E5455"/>
    <w:rsid w:val="002E5BE6"/>
    <w:rsid w:val="002E75A3"/>
    <w:rsid w:val="002F0904"/>
    <w:rsid w:val="002F15AC"/>
    <w:rsid w:val="002F1B0C"/>
    <w:rsid w:val="002F2CF0"/>
    <w:rsid w:val="002F31C5"/>
    <w:rsid w:val="002F36C1"/>
    <w:rsid w:val="002F3729"/>
    <w:rsid w:val="002F4F7A"/>
    <w:rsid w:val="002F6156"/>
    <w:rsid w:val="002F6AC9"/>
    <w:rsid w:val="002F6B06"/>
    <w:rsid w:val="00301374"/>
    <w:rsid w:val="00301405"/>
    <w:rsid w:val="003019BC"/>
    <w:rsid w:val="00302340"/>
    <w:rsid w:val="00303044"/>
    <w:rsid w:val="00303C61"/>
    <w:rsid w:val="003056F2"/>
    <w:rsid w:val="00305F77"/>
    <w:rsid w:val="00306094"/>
    <w:rsid w:val="00307427"/>
    <w:rsid w:val="003079DB"/>
    <w:rsid w:val="003105A1"/>
    <w:rsid w:val="003119A8"/>
    <w:rsid w:val="003131A5"/>
    <w:rsid w:val="003133AF"/>
    <w:rsid w:val="00314A51"/>
    <w:rsid w:val="0031597A"/>
    <w:rsid w:val="00315A7D"/>
    <w:rsid w:val="0031633B"/>
    <w:rsid w:val="003167D7"/>
    <w:rsid w:val="00317358"/>
    <w:rsid w:val="00317A9D"/>
    <w:rsid w:val="003216AB"/>
    <w:rsid w:val="003235A2"/>
    <w:rsid w:val="003242FA"/>
    <w:rsid w:val="003258EB"/>
    <w:rsid w:val="00327C93"/>
    <w:rsid w:val="00330B05"/>
    <w:rsid w:val="00330E91"/>
    <w:rsid w:val="00331926"/>
    <w:rsid w:val="00333CD6"/>
    <w:rsid w:val="0033421C"/>
    <w:rsid w:val="00335666"/>
    <w:rsid w:val="003359C7"/>
    <w:rsid w:val="0033765F"/>
    <w:rsid w:val="003379C4"/>
    <w:rsid w:val="00337F23"/>
    <w:rsid w:val="00340EDD"/>
    <w:rsid w:val="003413B1"/>
    <w:rsid w:val="0034217A"/>
    <w:rsid w:val="003434B6"/>
    <w:rsid w:val="00343A0B"/>
    <w:rsid w:val="00346393"/>
    <w:rsid w:val="003466DC"/>
    <w:rsid w:val="003470BE"/>
    <w:rsid w:val="00350D66"/>
    <w:rsid w:val="00350E31"/>
    <w:rsid w:val="00350F46"/>
    <w:rsid w:val="00352058"/>
    <w:rsid w:val="003521C2"/>
    <w:rsid w:val="00352E2B"/>
    <w:rsid w:val="00353D07"/>
    <w:rsid w:val="00355307"/>
    <w:rsid w:val="0035546C"/>
    <w:rsid w:val="00356561"/>
    <w:rsid w:val="00357EAB"/>
    <w:rsid w:val="00361C2D"/>
    <w:rsid w:val="00362EB0"/>
    <w:rsid w:val="003634B7"/>
    <w:rsid w:val="00364336"/>
    <w:rsid w:val="00365FE0"/>
    <w:rsid w:val="0036640B"/>
    <w:rsid w:val="00366995"/>
    <w:rsid w:val="00367C46"/>
    <w:rsid w:val="003701B1"/>
    <w:rsid w:val="00372BCE"/>
    <w:rsid w:val="003738A0"/>
    <w:rsid w:val="003747A0"/>
    <w:rsid w:val="0037480E"/>
    <w:rsid w:val="003750B7"/>
    <w:rsid w:val="0037692F"/>
    <w:rsid w:val="00376945"/>
    <w:rsid w:val="00376B5D"/>
    <w:rsid w:val="0037724D"/>
    <w:rsid w:val="00377E03"/>
    <w:rsid w:val="003808AC"/>
    <w:rsid w:val="0038091E"/>
    <w:rsid w:val="003819E8"/>
    <w:rsid w:val="0038287E"/>
    <w:rsid w:val="00383473"/>
    <w:rsid w:val="003837A1"/>
    <w:rsid w:val="00383E6E"/>
    <w:rsid w:val="00384261"/>
    <w:rsid w:val="00384492"/>
    <w:rsid w:val="00384DB1"/>
    <w:rsid w:val="00385412"/>
    <w:rsid w:val="00385B4D"/>
    <w:rsid w:val="00385F2F"/>
    <w:rsid w:val="00386095"/>
    <w:rsid w:val="00386650"/>
    <w:rsid w:val="00386E8D"/>
    <w:rsid w:val="003872F3"/>
    <w:rsid w:val="00387D00"/>
    <w:rsid w:val="00390F5C"/>
    <w:rsid w:val="003913DF"/>
    <w:rsid w:val="0039263C"/>
    <w:rsid w:val="00392682"/>
    <w:rsid w:val="0039298A"/>
    <w:rsid w:val="00392D0E"/>
    <w:rsid w:val="00393247"/>
    <w:rsid w:val="00393369"/>
    <w:rsid w:val="00393834"/>
    <w:rsid w:val="003939D8"/>
    <w:rsid w:val="0039490F"/>
    <w:rsid w:val="00395033"/>
    <w:rsid w:val="0039588A"/>
    <w:rsid w:val="003A0BF5"/>
    <w:rsid w:val="003A1049"/>
    <w:rsid w:val="003A114D"/>
    <w:rsid w:val="003A237E"/>
    <w:rsid w:val="003A2D97"/>
    <w:rsid w:val="003A3EA7"/>
    <w:rsid w:val="003A43F5"/>
    <w:rsid w:val="003A49C7"/>
    <w:rsid w:val="003A7C16"/>
    <w:rsid w:val="003A7FA8"/>
    <w:rsid w:val="003B172C"/>
    <w:rsid w:val="003B30EC"/>
    <w:rsid w:val="003B3544"/>
    <w:rsid w:val="003B627C"/>
    <w:rsid w:val="003B76DE"/>
    <w:rsid w:val="003B7D53"/>
    <w:rsid w:val="003C0D3B"/>
    <w:rsid w:val="003C2574"/>
    <w:rsid w:val="003C34F8"/>
    <w:rsid w:val="003C3890"/>
    <w:rsid w:val="003C6F4C"/>
    <w:rsid w:val="003C7D7D"/>
    <w:rsid w:val="003D09CE"/>
    <w:rsid w:val="003D1A6F"/>
    <w:rsid w:val="003D2173"/>
    <w:rsid w:val="003D374D"/>
    <w:rsid w:val="003D49B5"/>
    <w:rsid w:val="003D4E46"/>
    <w:rsid w:val="003D5B4E"/>
    <w:rsid w:val="003D6809"/>
    <w:rsid w:val="003E0048"/>
    <w:rsid w:val="003E0CD4"/>
    <w:rsid w:val="003E1EA6"/>
    <w:rsid w:val="003E24ED"/>
    <w:rsid w:val="003E2D1A"/>
    <w:rsid w:val="003E2FE2"/>
    <w:rsid w:val="003E47DC"/>
    <w:rsid w:val="003E4EB2"/>
    <w:rsid w:val="003E54CB"/>
    <w:rsid w:val="003E5927"/>
    <w:rsid w:val="003E62E0"/>
    <w:rsid w:val="003E687A"/>
    <w:rsid w:val="003E6BA9"/>
    <w:rsid w:val="003E7613"/>
    <w:rsid w:val="003F07A9"/>
    <w:rsid w:val="003F0939"/>
    <w:rsid w:val="003F1A17"/>
    <w:rsid w:val="003F1B27"/>
    <w:rsid w:val="003F1E36"/>
    <w:rsid w:val="003F3164"/>
    <w:rsid w:val="003F3D4D"/>
    <w:rsid w:val="003F4C48"/>
    <w:rsid w:val="003F5800"/>
    <w:rsid w:val="003F585C"/>
    <w:rsid w:val="003F663F"/>
    <w:rsid w:val="00400228"/>
    <w:rsid w:val="00401F36"/>
    <w:rsid w:val="004032A0"/>
    <w:rsid w:val="00403A38"/>
    <w:rsid w:val="00404B75"/>
    <w:rsid w:val="00404BCB"/>
    <w:rsid w:val="00404E59"/>
    <w:rsid w:val="00405367"/>
    <w:rsid w:val="0040561C"/>
    <w:rsid w:val="00405D8E"/>
    <w:rsid w:val="00407166"/>
    <w:rsid w:val="00407DA9"/>
    <w:rsid w:val="0041077A"/>
    <w:rsid w:val="004114DD"/>
    <w:rsid w:val="0041289F"/>
    <w:rsid w:val="00414F5A"/>
    <w:rsid w:val="004151DB"/>
    <w:rsid w:val="00416B2B"/>
    <w:rsid w:val="0041729C"/>
    <w:rsid w:val="0041769C"/>
    <w:rsid w:val="0042033E"/>
    <w:rsid w:val="0042268F"/>
    <w:rsid w:val="00422D03"/>
    <w:rsid w:val="004232B3"/>
    <w:rsid w:val="004237CC"/>
    <w:rsid w:val="0042435C"/>
    <w:rsid w:val="00424E8B"/>
    <w:rsid w:val="00425789"/>
    <w:rsid w:val="00425948"/>
    <w:rsid w:val="00426315"/>
    <w:rsid w:val="004310F9"/>
    <w:rsid w:val="00431986"/>
    <w:rsid w:val="004335FA"/>
    <w:rsid w:val="00433695"/>
    <w:rsid w:val="004343B5"/>
    <w:rsid w:val="00434B26"/>
    <w:rsid w:val="00435274"/>
    <w:rsid w:val="004379FB"/>
    <w:rsid w:val="00437B5D"/>
    <w:rsid w:val="00437FBA"/>
    <w:rsid w:val="00441218"/>
    <w:rsid w:val="00441C7C"/>
    <w:rsid w:val="00442332"/>
    <w:rsid w:val="00443C79"/>
    <w:rsid w:val="00443DDD"/>
    <w:rsid w:val="0044496C"/>
    <w:rsid w:val="00445994"/>
    <w:rsid w:val="004464AF"/>
    <w:rsid w:val="00450ABC"/>
    <w:rsid w:val="00452AE3"/>
    <w:rsid w:val="00452E33"/>
    <w:rsid w:val="00453CAE"/>
    <w:rsid w:val="00453EAD"/>
    <w:rsid w:val="00453EBC"/>
    <w:rsid w:val="00454284"/>
    <w:rsid w:val="00454747"/>
    <w:rsid w:val="00455F32"/>
    <w:rsid w:val="00456663"/>
    <w:rsid w:val="00457118"/>
    <w:rsid w:val="004574A5"/>
    <w:rsid w:val="00457A82"/>
    <w:rsid w:val="00457D0E"/>
    <w:rsid w:val="00460641"/>
    <w:rsid w:val="00461354"/>
    <w:rsid w:val="004623A6"/>
    <w:rsid w:val="00462A28"/>
    <w:rsid w:val="00462A5D"/>
    <w:rsid w:val="00464F0D"/>
    <w:rsid w:val="00465414"/>
    <w:rsid w:val="00465FCB"/>
    <w:rsid w:val="00466C63"/>
    <w:rsid w:val="004673D4"/>
    <w:rsid w:val="004700DC"/>
    <w:rsid w:val="004710EB"/>
    <w:rsid w:val="004721E8"/>
    <w:rsid w:val="00472247"/>
    <w:rsid w:val="00473D93"/>
    <w:rsid w:val="00474A84"/>
    <w:rsid w:val="00474D43"/>
    <w:rsid w:val="004754E7"/>
    <w:rsid w:val="004756B0"/>
    <w:rsid w:val="00475A0F"/>
    <w:rsid w:val="00475AA6"/>
    <w:rsid w:val="00475AE0"/>
    <w:rsid w:val="004765F3"/>
    <w:rsid w:val="00477554"/>
    <w:rsid w:val="00477934"/>
    <w:rsid w:val="00477CDB"/>
    <w:rsid w:val="00480414"/>
    <w:rsid w:val="00480BD5"/>
    <w:rsid w:val="00480D11"/>
    <w:rsid w:val="004821A5"/>
    <w:rsid w:val="00482682"/>
    <w:rsid w:val="004831D5"/>
    <w:rsid w:val="00483E30"/>
    <w:rsid w:val="00483F4B"/>
    <w:rsid w:val="00486EC2"/>
    <w:rsid w:val="00491BF4"/>
    <w:rsid w:val="00493852"/>
    <w:rsid w:val="00493934"/>
    <w:rsid w:val="00494787"/>
    <w:rsid w:val="0049481F"/>
    <w:rsid w:val="00494A45"/>
    <w:rsid w:val="00495713"/>
    <w:rsid w:val="00495C54"/>
    <w:rsid w:val="00497BDA"/>
    <w:rsid w:val="00497C13"/>
    <w:rsid w:val="004A02AD"/>
    <w:rsid w:val="004A0C94"/>
    <w:rsid w:val="004A198A"/>
    <w:rsid w:val="004A43A4"/>
    <w:rsid w:val="004A47CB"/>
    <w:rsid w:val="004A4B08"/>
    <w:rsid w:val="004A540B"/>
    <w:rsid w:val="004A57EB"/>
    <w:rsid w:val="004A59F7"/>
    <w:rsid w:val="004A5D2B"/>
    <w:rsid w:val="004A60BB"/>
    <w:rsid w:val="004A6296"/>
    <w:rsid w:val="004A6FD3"/>
    <w:rsid w:val="004B3168"/>
    <w:rsid w:val="004B504E"/>
    <w:rsid w:val="004B59EE"/>
    <w:rsid w:val="004B69C8"/>
    <w:rsid w:val="004B69FD"/>
    <w:rsid w:val="004B6E5D"/>
    <w:rsid w:val="004C1905"/>
    <w:rsid w:val="004C2D1A"/>
    <w:rsid w:val="004C442C"/>
    <w:rsid w:val="004C602E"/>
    <w:rsid w:val="004D02A0"/>
    <w:rsid w:val="004D02B5"/>
    <w:rsid w:val="004D0D28"/>
    <w:rsid w:val="004D238B"/>
    <w:rsid w:val="004D274A"/>
    <w:rsid w:val="004D2BCC"/>
    <w:rsid w:val="004D5215"/>
    <w:rsid w:val="004D6014"/>
    <w:rsid w:val="004D602F"/>
    <w:rsid w:val="004D7BD9"/>
    <w:rsid w:val="004D7D4F"/>
    <w:rsid w:val="004E0133"/>
    <w:rsid w:val="004E1A47"/>
    <w:rsid w:val="004E1B87"/>
    <w:rsid w:val="004E1E10"/>
    <w:rsid w:val="004E2563"/>
    <w:rsid w:val="004E2C17"/>
    <w:rsid w:val="004E58DC"/>
    <w:rsid w:val="004E656D"/>
    <w:rsid w:val="004E6E33"/>
    <w:rsid w:val="004E725E"/>
    <w:rsid w:val="004E7269"/>
    <w:rsid w:val="004E7748"/>
    <w:rsid w:val="004F32CF"/>
    <w:rsid w:val="004F3B16"/>
    <w:rsid w:val="004F478D"/>
    <w:rsid w:val="004F4A30"/>
    <w:rsid w:val="004F660D"/>
    <w:rsid w:val="004F739F"/>
    <w:rsid w:val="004F7880"/>
    <w:rsid w:val="004F7F76"/>
    <w:rsid w:val="00501C3B"/>
    <w:rsid w:val="00502970"/>
    <w:rsid w:val="00504981"/>
    <w:rsid w:val="005050A1"/>
    <w:rsid w:val="005050EE"/>
    <w:rsid w:val="00505260"/>
    <w:rsid w:val="00505965"/>
    <w:rsid w:val="005059B8"/>
    <w:rsid w:val="005067A8"/>
    <w:rsid w:val="00506D61"/>
    <w:rsid w:val="005112DC"/>
    <w:rsid w:val="0051208D"/>
    <w:rsid w:val="0051327A"/>
    <w:rsid w:val="00513A5C"/>
    <w:rsid w:val="0051421B"/>
    <w:rsid w:val="00515D94"/>
    <w:rsid w:val="00516962"/>
    <w:rsid w:val="00516B4B"/>
    <w:rsid w:val="00517C08"/>
    <w:rsid w:val="00517DC8"/>
    <w:rsid w:val="00521F93"/>
    <w:rsid w:val="0052201F"/>
    <w:rsid w:val="0052272D"/>
    <w:rsid w:val="005227D4"/>
    <w:rsid w:val="005249A0"/>
    <w:rsid w:val="00524DA3"/>
    <w:rsid w:val="005250DD"/>
    <w:rsid w:val="00525C7F"/>
    <w:rsid w:val="00527C09"/>
    <w:rsid w:val="00527C32"/>
    <w:rsid w:val="00530769"/>
    <w:rsid w:val="00530A3E"/>
    <w:rsid w:val="005313E1"/>
    <w:rsid w:val="00531A3A"/>
    <w:rsid w:val="00531CB2"/>
    <w:rsid w:val="00532197"/>
    <w:rsid w:val="0053345F"/>
    <w:rsid w:val="00533878"/>
    <w:rsid w:val="00533BAF"/>
    <w:rsid w:val="00533CF7"/>
    <w:rsid w:val="0053511D"/>
    <w:rsid w:val="00535A60"/>
    <w:rsid w:val="00535AE6"/>
    <w:rsid w:val="00536376"/>
    <w:rsid w:val="00536D6E"/>
    <w:rsid w:val="00536EAB"/>
    <w:rsid w:val="00537792"/>
    <w:rsid w:val="00537C31"/>
    <w:rsid w:val="005400C7"/>
    <w:rsid w:val="00541F19"/>
    <w:rsid w:val="00542703"/>
    <w:rsid w:val="00543704"/>
    <w:rsid w:val="00543A5A"/>
    <w:rsid w:val="005444BA"/>
    <w:rsid w:val="00545561"/>
    <w:rsid w:val="00545E35"/>
    <w:rsid w:val="0054740A"/>
    <w:rsid w:val="00547784"/>
    <w:rsid w:val="00547D7E"/>
    <w:rsid w:val="005509D5"/>
    <w:rsid w:val="0055135B"/>
    <w:rsid w:val="005524EB"/>
    <w:rsid w:val="00552DF3"/>
    <w:rsid w:val="00552E04"/>
    <w:rsid w:val="00553D4A"/>
    <w:rsid w:val="00554261"/>
    <w:rsid w:val="0055470B"/>
    <w:rsid w:val="00554E66"/>
    <w:rsid w:val="0055506B"/>
    <w:rsid w:val="00555F89"/>
    <w:rsid w:val="00556039"/>
    <w:rsid w:val="005568D6"/>
    <w:rsid w:val="005606F0"/>
    <w:rsid w:val="00561AF5"/>
    <w:rsid w:val="00563EC7"/>
    <w:rsid w:val="00563EEB"/>
    <w:rsid w:val="00563F92"/>
    <w:rsid w:val="00564F1E"/>
    <w:rsid w:val="00565117"/>
    <w:rsid w:val="0057035C"/>
    <w:rsid w:val="005711CC"/>
    <w:rsid w:val="00572C9A"/>
    <w:rsid w:val="00573536"/>
    <w:rsid w:val="005735AD"/>
    <w:rsid w:val="00573C8A"/>
    <w:rsid w:val="005744EE"/>
    <w:rsid w:val="00577D9D"/>
    <w:rsid w:val="00577EF9"/>
    <w:rsid w:val="00580C02"/>
    <w:rsid w:val="00581442"/>
    <w:rsid w:val="00582E7E"/>
    <w:rsid w:val="00584383"/>
    <w:rsid w:val="00584890"/>
    <w:rsid w:val="00585292"/>
    <w:rsid w:val="005865B2"/>
    <w:rsid w:val="00586CDA"/>
    <w:rsid w:val="00587690"/>
    <w:rsid w:val="00587771"/>
    <w:rsid w:val="00591B9B"/>
    <w:rsid w:val="00593143"/>
    <w:rsid w:val="005936C6"/>
    <w:rsid w:val="00594033"/>
    <w:rsid w:val="00595B0C"/>
    <w:rsid w:val="00596156"/>
    <w:rsid w:val="00597AE7"/>
    <w:rsid w:val="00597D4C"/>
    <w:rsid w:val="00597D63"/>
    <w:rsid w:val="005A0C8C"/>
    <w:rsid w:val="005A3051"/>
    <w:rsid w:val="005A3347"/>
    <w:rsid w:val="005A500D"/>
    <w:rsid w:val="005A50B2"/>
    <w:rsid w:val="005A551D"/>
    <w:rsid w:val="005A776B"/>
    <w:rsid w:val="005B0452"/>
    <w:rsid w:val="005B5D1E"/>
    <w:rsid w:val="005B5DBB"/>
    <w:rsid w:val="005B7217"/>
    <w:rsid w:val="005B7680"/>
    <w:rsid w:val="005C08EA"/>
    <w:rsid w:val="005C0EFA"/>
    <w:rsid w:val="005C2220"/>
    <w:rsid w:val="005C3961"/>
    <w:rsid w:val="005C7DE8"/>
    <w:rsid w:val="005D0664"/>
    <w:rsid w:val="005D13C8"/>
    <w:rsid w:val="005D24F6"/>
    <w:rsid w:val="005D49FB"/>
    <w:rsid w:val="005D7368"/>
    <w:rsid w:val="005D7D67"/>
    <w:rsid w:val="005E0C1F"/>
    <w:rsid w:val="005E0E5F"/>
    <w:rsid w:val="005E22CA"/>
    <w:rsid w:val="005E2DF9"/>
    <w:rsid w:val="005E2F6C"/>
    <w:rsid w:val="005E48E9"/>
    <w:rsid w:val="005E4C36"/>
    <w:rsid w:val="005E4E05"/>
    <w:rsid w:val="005E57F8"/>
    <w:rsid w:val="005E5C46"/>
    <w:rsid w:val="005E7B74"/>
    <w:rsid w:val="005E7B8D"/>
    <w:rsid w:val="005F0136"/>
    <w:rsid w:val="005F1731"/>
    <w:rsid w:val="005F32A7"/>
    <w:rsid w:val="005F3540"/>
    <w:rsid w:val="005F4AF1"/>
    <w:rsid w:val="005F4B44"/>
    <w:rsid w:val="005F510B"/>
    <w:rsid w:val="005F5989"/>
    <w:rsid w:val="005F616C"/>
    <w:rsid w:val="006012FB"/>
    <w:rsid w:val="00601BA8"/>
    <w:rsid w:val="0060283B"/>
    <w:rsid w:val="006035E2"/>
    <w:rsid w:val="00603FF0"/>
    <w:rsid w:val="00607566"/>
    <w:rsid w:val="006109B3"/>
    <w:rsid w:val="00610B81"/>
    <w:rsid w:val="006111E7"/>
    <w:rsid w:val="006119E4"/>
    <w:rsid w:val="00612B63"/>
    <w:rsid w:val="00613700"/>
    <w:rsid w:val="006141DD"/>
    <w:rsid w:val="006144A3"/>
    <w:rsid w:val="006153C9"/>
    <w:rsid w:val="00615C13"/>
    <w:rsid w:val="00616442"/>
    <w:rsid w:val="0061652D"/>
    <w:rsid w:val="0061699A"/>
    <w:rsid w:val="00616B28"/>
    <w:rsid w:val="00616D41"/>
    <w:rsid w:val="00620231"/>
    <w:rsid w:val="00620280"/>
    <w:rsid w:val="00620E42"/>
    <w:rsid w:val="0062163A"/>
    <w:rsid w:val="0062165D"/>
    <w:rsid w:val="006219F3"/>
    <w:rsid w:val="006224F7"/>
    <w:rsid w:val="00623424"/>
    <w:rsid w:val="00623928"/>
    <w:rsid w:val="00623F4C"/>
    <w:rsid w:val="0062665C"/>
    <w:rsid w:val="00632511"/>
    <w:rsid w:val="00632845"/>
    <w:rsid w:val="00632B2F"/>
    <w:rsid w:val="0063349C"/>
    <w:rsid w:val="00634815"/>
    <w:rsid w:val="00636203"/>
    <w:rsid w:val="00636537"/>
    <w:rsid w:val="00636CC1"/>
    <w:rsid w:val="00637371"/>
    <w:rsid w:val="006376D7"/>
    <w:rsid w:val="00640989"/>
    <w:rsid w:val="00640D1F"/>
    <w:rsid w:val="00642299"/>
    <w:rsid w:val="006426AD"/>
    <w:rsid w:val="00642A58"/>
    <w:rsid w:val="00642C39"/>
    <w:rsid w:val="00644472"/>
    <w:rsid w:val="006457E1"/>
    <w:rsid w:val="006464A7"/>
    <w:rsid w:val="00646774"/>
    <w:rsid w:val="00646E2B"/>
    <w:rsid w:val="00650CD9"/>
    <w:rsid w:val="0065130B"/>
    <w:rsid w:val="006525CE"/>
    <w:rsid w:val="00652775"/>
    <w:rsid w:val="006543B7"/>
    <w:rsid w:val="006556E7"/>
    <w:rsid w:val="00656CBD"/>
    <w:rsid w:val="006603F1"/>
    <w:rsid w:val="006636FE"/>
    <w:rsid w:val="00663A22"/>
    <w:rsid w:val="00664CEE"/>
    <w:rsid w:val="00665145"/>
    <w:rsid w:val="00665CCB"/>
    <w:rsid w:val="0066607A"/>
    <w:rsid w:val="00666591"/>
    <w:rsid w:val="0066746E"/>
    <w:rsid w:val="00670760"/>
    <w:rsid w:val="0067158D"/>
    <w:rsid w:val="00672248"/>
    <w:rsid w:val="00672B92"/>
    <w:rsid w:val="00672CDD"/>
    <w:rsid w:val="00674139"/>
    <w:rsid w:val="00674465"/>
    <w:rsid w:val="006744D8"/>
    <w:rsid w:val="006745B2"/>
    <w:rsid w:val="0067540F"/>
    <w:rsid w:val="00675EC3"/>
    <w:rsid w:val="00677C71"/>
    <w:rsid w:val="00677F21"/>
    <w:rsid w:val="00680A29"/>
    <w:rsid w:val="00680AF7"/>
    <w:rsid w:val="00680F41"/>
    <w:rsid w:val="0068177C"/>
    <w:rsid w:val="00681AF7"/>
    <w:rsid w:val="006820F6"/>
    <w:rsid w:val="00683398"/>
    <w:rsid w:val="0068345D"/>
    <w:rsid w:val="00684013"/>
    <w:rsid w:val="00684491"/>
    <w:rsid w:val="00684ECB"/>
    <w:rsid w:val="00686362"/>
    <w:rsid w:val="0069064F"/>
    <w:rsid w:val="0069207B"/>
    <w:rsid w:val="006924EF"/>
    <w:rsid w:val="00692968"/>
    <w:rsid w:val="00692DBE"/>
    <w:rsid w:val="0069392C"/>
    <w:rsid w:val="00694F3E"/>
    <w:rsid w:val="00695CCD"/>
    <w:rsid w:val="00696021"/>
    <w:rsid w:val="006965DC"/>
    <w:rsid w:val="00696AE0"/>
    <w:rsid w:val="0069711D"/>
    <w:rsid w:val="006A0882"/>
    <w:rsid w:val="006A0B99"/>
    <w:rsid w:val="006A48A3"/>
    <w:rsid w:val="006A5F3B"/>
    <w:rsid w:val="006A7E66"/>
    <w:rsid w:val="006B0F11"/>
    <w:rsid w:val="006B19B6"/>
    <w:rsid w:val="006B3040"/>
    <w:rsid w:val="006B316B"/>
    <w:rsid w:val="006B3903"/>
    <w:rsid w:val="006B5D99"/>
    <w:rsid w:val="006B6C2E"/>
    <w:rsid w:val="006B782E"/>
    <w:rsid w:val="006C077F"/>
    <w:rsid w:val="006C1BA8"/>
    <w:rsid w:val="006C208E"/>
    <w:rsid w:val="006C37D1"/>
    <w:rsid w:val="006C3C1D"/>
    <w:rsid w:val="006C40FB"/>
    <w:rsid w:val="006C4467"/>
    <w:rsid w:val="006C4981"/>
    <w:rsid w:val="006C5B6D"/>
    <w:rsid w:val="006C5E6E"/>
    <w:rsid w:val="006C687F"/>
    <w:rsid w:val="006C79CF"/>
    <w:rsid w:val="006C7E0D"/>
    <w:rsid w:val="006D0920"/>
    <w:rsid w:val="006D1DDF"/>
    <w:rsid w:val="006D2788"/>
    <w:rsid w:val="006D2CA6"/>
    <w:rsid w:val="006D37A8"/>
    <w:rsid w:val="006D4110"/>
    <w:rsid w:val="006D4F96"/>
    <w:rsid w:val="006D5083"/>
    <w:rsid w:val="006D5337"/>
    <w:rsid w:val="006D6F49"/>
    <w:rsid w:val="006D7360"/>
    <w:rsid w:val="006D7941"/>
    <w:rsid w:val="006E01B0"/>
    <w:rsid w:val="006E0442"/>
    <w:rsid w:val="006E47CD"/>
    <w:rsid w:val="006E6E24"/>
    <w:rsid w:val="006F1030"/>
    <w:rsid w:val="006F255C"/>
    <w:rsid w:val="006F2802"/>
    <w:rsid w:val="006F2916"/>
    <w:rsid w:val="006F49DF"/>
    <w:rsid w:val="006F4AB6"/>
    <w:rsid w:val="006F4D07"/>
    <w:rsid w:val="006F59C9"/>
    <w:rsid w:val="006F607D"/>
    <w:rsid w:val="006F6C1F"/>
    <w:rsid w:val="006F7A0F"/>
    <w:rsid w:val="006F7D82"/>
    <w:rsid w:val="00700B96"/>
    <w:rsid w:val="00700E7B"/>
    <w:rsid w:val="00704AE7"/>
    <w:rsid w:val="00706202"/>
    <w:rsid w:val="00706472"/>
    <w:rsid w:val="00706AC6"/>
    <w:rsid w:val="00707864"/>
    <w:rsid w:val="00711128"/>
    <w:rsid w:val="00711F31"/>
    <w:rsid w:val="0071220E"/>
    <w:rsid w:val="007133CF"/>
    <w:rsid w:val="007136EF"/>
    <w:rsid w:val="0071474C"/>
    <w:rsid w:val="00716E4F"/>
    <w:rsid w:val="007171E5"/>
    <w:rsid w:val="00717928"/>
    <w:rsid w:val="0072075B"/>
    <w:rsid w:val="00720983"/>
    <w:rsid w:val="0072538E"/>
    <w:rsid w:val="00726F0A"/>
    <w:rsid w:val="00726FCD"/>
    <w:rsid w:val="00730C09"/>
    <w:rsid w:val="007314D2"/>
    <w:rsid w:val="00731D39"/>
    <w:rsid w:val="00732955"/>
    <w:rsid w:val="00732B92"/>
    <w:rsid w:val="00733C8F"/>
    <w:rsid w:val="00734683"/>
    <w:rsid w:val="007350B1"/>
    <w:rsid w:val="007352AF"/>
    <w:rsid w:val="00735913"/>
    <w:rsid w:val="00735A6B"/>
    <w:rsid w:val="00735D51"/>
    <w:rsid w:val="00735FB8"/>
    <w:rsid w:val="00737F13"/>
    <w:rsid w:val="0074085C"/>
    <w:rsid w:val="00740F4B"/>
    <w:rsid w:val="00740F50"/>
    <w:rsid w:val="00741264"/>
    <w:rsid w:val="00742108"/>
    <w:rsid w:val="007426D9"/>
    <w:rsid w:val="00743750"/>
    <w:rsid w:val="007444CE"/>
    <w:rsid w:val="007458C9"/>
    <w:rsid w:val="00747029"/>
    <w:rsid w:val="00747BDB"/>
    <w:rsid w:val="00750BF4"/>
    <w:rsid w:val="00751BBC"/>
    <w:rsid w:val="00751C73"/>
    <w:rsid w:val="00752820"/>
    <w:rsid w:val="007529AE"/>
    <w:rsid w:val="00753332"/>
    <w:rsid w:val="007546A5"/>
    <w:rsid w:val="007547C6"/>
    <w:rsid w:val="007548C3"/>
    <w:rsid w:val="007558B5"/>
    <w:rsid w:val="007576C8"/>
    <w:rsid w:val="007576CB"/>
    <w:rsid w:val="007576F0"/>
    <w:rsid w:val="00757707"/>
    <w:rsid w:val="00760F37"/>
    <w:rsid w:val="00762E7D"/>
    <w:rsid w:val="00763EA9"/>
    <w:rsid w:val="0076411C"/>
    <w:rsid w:val="00764513"/>
    <w:rsid w:val="00764518"/>
    <w:rsid w:val="0076466B"/>
    <w:rsid w:val="007653EA"/>
    <w:rsid w:val="00765D36"/>
    <w:rsid w:val="00766599"/>
    <w:rsid w:val="007670E7"/>
    <w:rsid w:val="007706D0"/>
    <w:rsid w:val="00771FB1"/>
    <w:rsid w:val="00773FA2"/>
    <w:rsid w:val="00774576"/>
    <w:rsid w:val="007749E8"/>
    <w:rsid w:val="00775623"/>
    <w:rsid w:val="0078025C"/>
    <w:rsid w:val="0078065C"/>
    <w:rsid w:val="00781AF7"/>
    <w:rsid w:val="0078245D"/>
    <w:rsid w:val="00782A47"/>
    <w:rsid w:val="0078372F"/>
    <w:rsid w:val="00784F7A"/>
    <w:rsid w:val="007873CB"/>
    <w:rsid w:val="00787D05"/>
    <w:rsid w:val="007909EE"/>
    <w:rsid w:val="007912AC"/>
    <w:rsid w:val="00791768"/>
    <w:rsid w:val="00791AEA"/>
    <w:rsid w:val="0079505E"/>
    <w:rsid w:val="00795544"/>
    <w:rsid w:val="007956A5"/>
    <w:rsid w:val="0079614F"/>
    <w:rsid w:val="00796D07"/>
    <w:rsid w:val="00797254"/>
    <w:rsid w:val="007A02F0"/>
    <w:rsid w:val="007A052E"/>
    <w:rsid w:val="007A1581"/>
    <w:rsid w:val="007A232F"/>
    <w:rsid w:val="007A26FB"/>
    <w:rsid w:val="007A27B6"/>
    <w:rsid w:val="007A35FB"/>
    <w:rsid w:val="007A3F82"/>
    <w:rsid w:val="007A51C9"/>
    <w:rsid w:val="007A64DD"/>
    <w:rsid w:val="007A6AEF"/>
    <w:rsid w:val="007B01E1"/>
    <w:rsid w:val="007B0990"/>
    <w:rsid w:val="007B123E"/>
    <w:rsid w:val="007B143B"/>
    <w:rsid w:val="007B257A"/>
    <w:rsid w:val="007B3297"/>
    <w:rsid w:val="007B3551"/>
    <w:rsid w:val="007B385B"/>
    <w:rsid w:val="007B4EDF"/>
    <w:rsid w:val="007B562B"/>
    <w:rsid w:val="007B5E23"/>
    <w:rsid w:val="007B6F41"/>
    <w:rsid w:val="007C0077"/>
    <w:rsid w:val="007C02D2"/>
    <w:rsid w:val="007C0781"/>
    <w:rsid w:val="007C07C1"/>
    <w:rsid w:val="007C1C64"/>
    <w:rsid w:val="007C2713"/>
    <w:rsid w:val="007C280A"/>
    <w:rsid w:val="007C2CC3"/>
    <w:rsid w:val="007C3296"/>
    <w:rsid w:val="007C3496"/>
    <w:rsid w:val="007D0198"/>
    <w:rsid w:val="007D23C9"/>
    <w:rsid w:val="007D38CC"/>
    <w:rsid w:val="007D688C"/>
    <w:rsid w:val="007D7651"/>
    <w:rsid w:val="007D7C8F"/>
    <w:rsid w:val="007E05EF"/>
    <w:rsid w:val="007E0661"/>
    <w:rsid w:val="007E0732"/>
    <w:rsid w:val="007E0771"/>
    <w:rsid w:val="007E1157"/>
    <w:rsid w:val="007E179A"/>
    <w:rsid w:val="007E2B8B"/>
    <w:rsid w:val="007E2C0F"/>
    <w:rsid w:val="007E4636"/>
    <w:rsid w:val="007E4D00"/>
    <w:rsid w:val="007E545E"/>
    <w:rsid w:val="007E552C"/>
    <w:rsid w:val="007E5972"/>
    <w:rsid w:val="007E5976"/>
    <w:rsid w:val="007E6047"/>
    <w:rsid w:val="007E69A9"/>
    <w:rsid w:val="007E73E2"/>
    <w:rsid w:val="007E75FC"/>
    <w:rsid w:val="007F0391"/>
    <w:rsid w:val="007F12E6"/>
    <w:rsid w:val="007F1440"/>
    <w:rsid w:val="007F1797"/>
    <w:rsid w:val="007F2D0C"/>
    <w:rsid w:val="007F3505"/>
    <w:rsid w:val="007F46DA"/>
    <w:rsid w:val="007F502D"/>
    <w:rsid w:val="007F62ED"/>
    <w:rsid w:val="007F7014"/>
    <w:rsid w:val="00801A85"/>
    <w:rsid w:val="00801BE3"/>
    <w:rsid w:val="00802ADA"/>
    <w:rsid w:val="0080440A"/>
    <w:rsid w:val="00807EEF"/>
    <w:rsid w:val="008100A6"/>
    <w:rsid w:val="008109EB"/>
    <w:rsid w:val="008115D3"/>
    <w:rsid w:val="008134EB"/>
    <w:rsid w:val="00813CFE"/>
    <w:rsid w:val="008141FC"/>
    <w:rsid w:val="008142C7"/>
    <w:rsid w:val="008159D4"/>
    <w:rsid w:val="00815CF5"/>
    <w:rsid w:val="00821694"/>
    <w:rsid w:val="00822698"/>
    <w:rsid w:val="008234DB"/>
    <w:rsid w:val="00823FF0"/>
    <w:rsid w:val="00824611"/>
    <w:rsid w:val="0082536C"/>
    <w:rsid w:val="008267B2"/>
    <w:rsid w:val="00827876"/>
    <w:rsid w:val="008278A3"/>
    <w:rsid w:val="008308B3"/>
    <w:rsid w:val="00830B21"/>
    <w:rsid w:val="0083270B"/>
    <w:rsid w:val="0083468B"/>
    <w:rsid w:val="00834D57"/>
    <w:rsid w:val="008353B9"/>
    <w:rsid w:val="00835869"/>
    <w:rsid w:val="00835971"/>
    <w:rsid w:val="00836492"/>
    <w:rsid w:val="0083761A"/>
    <w:rsid w:val="00837BA6"/>
    <w:rsid w:val="00840EFF"/>
    <w:rsid w:val="00841176"/>
    <w:rsid w:val="0084119D"/>
    <w:rsid w:val="008428B5"/>
    <w:rsid w:val="00842909"/>
    <w:rsid w:val="00843439"/>
    <w:rsid w:val="008439B8"/>
    <w:rsid w:val="008443BB"/>
    <w:rsid w:val="00845633"/>
    <w:rsid w:val="00845C08"/>
    <w:rsid w:val="0084650A"/>
    <w:rsid w:val="00847133"/>
    <w:rsid w:val="008471D9"/>
    <w:rsid w:val="00850DB2"/>
    <w:rsid w:val="008513E4"/>
    <w:rsid w:val="00852B4F"/>
    <w:rsid w:val="008534AF"/>
    <w:rsid w:val="008545D6"/>
    <w:rsid w:val="00855196"/>
    <w:rsid w:val="00855AD9"/>
    <w:rsid w:val="008574AA"/>
    <w:rsid w:val="008601B5"/>
    <w:rsid w:val="0086103F"/>
    <w:rsid w:val="00862C97"/>
    <w:rsid w:val="008641D0"/>
    <w:rsid w:val="00864AD5"/>
    <w:rsid w:val="00864C3E"/>
    <w:rsid w:val="00870F03"/>
    <w:rsid w:val="008710B4"/>
    <w:rsid w:val="00871FD5"/>
    <w:rsid w:val="00875FB4"/>
    <w:rsid w:val="0087603D"/>
    <w:rsid w:val="00877A26"/>
    <w:rsid w:val="00881C36"/>
    <w:rsid w:val="0088525C"/>
    <w:rsid w:val="00886BA5"/>
    <w:rsid w:val="00886FCB"/>
    <w:rsid w:val="00891046"/>
    <w:rsid w:val="0089279D"/>
    <w:rsid w:val="00892A54"/>
    <w:rsid w:val="00893979"/>
    <w:rsid w:val="0089437A"/>
    <w:rsid w:val="008946D3"/>
    <w:rsid w:val="00894E92"/>
    <w:rsid w:val="00895F47"/>
    <w:rsid w:val="00896142"/>
    <w:rsid w:val="00897055"/>
    <w:rsid w:val="008A19D1"/>
    <w:rsid w:val="008A2375"/>
    <w:rsid w:val="008A29ED"/>
    <w:rsid w:val="008A2E2A"/>
    <w:rsid w:val="008A49EB"/>
    <w:rsid w:val="008A5715"/>
    <w:rsid w:val="008A5F12"/>
    <w:rsid w:val="008A5F55"/>
    <w:rsid w:val="008A6DDA"/>
    <w:rsid w:val="008B1433"/>
    <w:rsid w:val="008B1500"/>
    <w:rsid w:val="008B26BB"/>
    <w:rsid w:val="008B44BE"/>
    <w:rsid w:val="008B5CD8"/>
    <w:rsid w:val="008B6E79"/>
    <w:rsid w:val="008B7903"/>
    <w:rsid w:val="008C0282"/>
    <w:rsid w:val="008C03A3"/>
    <w:rsid w:val="008C04E0"/>
    <w:rsid w:val="008C1895"/>
    <w:rsid w:val="008C2510"/>
    <w:rsid w:val="008C2744"/>
    <w:rsid w:val="008C3B76"/>
    <w:rsid w:val="008C6C4D"/>
    <w:rsid w:val="008C7398"/>
    <w:rsid w:val="008C79B1"/>
    <w:rsid w:val="008D0220"/>
    <w:rsid w:val="008D13A1"/>
    <w:rsid w:val="008D1EA1"/>
    <w:rsid w:val="008D22B6"/>
    <w:rsid w:val="008D25AA"/>
    <w:rsid w:val="008D2DB1"/>
    <w:rsid w:val="008D38A1"/>
    <w:rsid w:val="008D415C"/>
    <w:rsid w:val="008D5BF8"/>
    <w:rsid w:val="008D6D69"/>
    <w:rsid w:val="008D7DAF"/>
    <w:rsid w:val="008E06C5"/>
    <w:rsid w:val="008E0C24"/>
    <w:rsid w:val="008E105C"/>
    <w:rsid w:val="008E21C9"/>
    <w:rsid w:val="008E27C6"/>
    <w:rsid w:val="008E29CF"/>
    <w:rsid w:val="008E359C"/>
    <w:rsid w:val="008E384F"/>
    <w:rsid w:val="008E4330"/>
    <w:rsid w:val="008E6B0F"/>
    <w:rsid w:val="008E6B14"/>
    <w:rsid w:val="008E7E68"/>
    <w:rsid w:val="008E7F72"/>
    <w:rsid w:val="008F0181"/>
    <w:rsid w:val="008F01B7"/>
    <w:rsid w:val="008F0245"/>
    <w:rsid w:val="008F0476"/>
    <w:rsid w:val="008F05F4"/>
    <w:rsid w:val="008F0EA0"/>
    <w:rsid w:val="008F15FD"/>
    <w:rsid w:val="008F4790"/>
    <w:rsid w:val="008F5180"/>
    <w:rsid w:val="008F566D"/>
    <w:rsid w:val="008F61ED"/>
    <w:rsid w:val="008F63DF"/>
    <w:rsid w:val="008F6EEB"/>
    <w:rsid w:val="008F713B"/>
    <w:rsid w:val="008F7E1D"/>
    <w:rsid w:val="00900107"/>
    <w:rsid w:val="00901758"/>
    <w:rsid w:val="00901BE2"/>
    <w:rsid w:val="00902FD1"/>
    <w:rsid w:val="00903A03"/>
    <w:rsid w:val="0090454E"/>
    <w:rsid w:val="00905F64"/>
    <w:rsid w:val="00906876"/>
    <w:rsid w:val="0091065D"/>
    <w:rsid w:val="00910BC7"/>
    <w:rsid w:val="00912106"/>
    <w:rsid w:val="00912422"/>
    <w:rsid w:val="00913670"/>
    <w:rsid w:val="00913FFA"/>
    <w:rsid w:val="009145BA"/>
    <w:rsid w:val="00916808"/>
    <w:rsid w:val="00920A1B"/>
    <w:rsid w:val="00920CF7"/>
    <w:rsid w:val="009211AA"/>
    <w:rsid w:val="00921D1E"/>
    <w:rsid w:val="00922E11"/>
    <w:rsid w:val="0092426A"/>
    <w:rsid w:val="00924F54"/>
    <w:rsid w:val="009253FD"/>
    <w:rsid w:val="009254C6"/>
    <w:rsid w:val="0092627D"/>
    <w:rsid w:val="009279D3"/>
    <w:rsid w:val="00927D28"/>
    <w:rsid w:val="00930FEB"/>
    <w:rsid w:val="009320C0"/>
    <w:rsid w:val="0093304C"/>
    <w:rsid w:val="00933541"/>
    <w:rsid w:val="009342D9"/>
    <w:rsid w:val="00935A98"/>
    <w:rsid w:val="0093640F"/>
    <w:rsid w:val="009365E0"/>
    <w:rsid w:val="00936D8D"/>
    <w:rsid w:val="00937F54"/>
    <w:rsid w:val="009435AD"/>
    <w:rsid w:val="009436A0"/>
    <w:rsid w:val="00943EBD"/>
    <w:rsid w:val="00944222"/>
    <w:rsid w:val="00945B1E"/>
    <w:rsid w:val="00946F94"/>
    <w:rsid w:val="00947E5C"/>
    <w:rsid w:val="00953126"/>
    <w:rsid w:val="00956634"/>
    <w:rsid w:val="009567EF"/>
    <w:rsid w:val="009576C4"/>
    <w:rsid w:val="00961751"/>
    <w:rsid w:val="00962564"/>
    <w:rsid w:val="0096294F"/>
    <w:rsid w:val="00962A52"/>
    <w:rsid w:val="00963726"/>
    <w:rsid w:val="00964214"/>
    <w:rsid w:val="00964E5B"/>
    <w:rsid w:val="0096530F"/>
    <w:rsid w:val="0096671F"/>
    <w:rsid w:val="00967438"/>
    <w:rsid w:val="0096750D"/>
    <w:rsid w:val="009678FC"/>
    <w:rsid w:val="0096797B"/>
    <w:rsid w:val="00967D34"/>
    <w:rsid w:val="009708E7"/>
    <w:rsid w:val="00970A9B"/>
    <w:rsid w:val="00970C8D"/>
    <w:rsid w:val="00972588"/>
    <w:rsid w:val="00972676"/>
    <w:rsid w:val="00974BC9"/>
    <w:rsid w:val="009762D6"/>
    <w:rsid w:val="009767E7"/>
    <w:rsid w:val="00976F62"/>
    <w:rsid w:val="00977183"/>
    <w:rsid w:val="009775AA"/>
    <w:rsid w:val="00977652"/>
    <w:rsid w:val="00977781"/>
    <w:rsid w:val="00977BF2"/>
    <w:rsid w:val="00980CC3"/>
    <w:rsid w:val="00982A9B"/>
    <w:rsid w:val="009831ED"/>
    <w:rsid w:val="00983D54"/>
    <w:rsid w:val="00984D8E"/>
    <w:rsid w:val="00984F78"/>
    <w:rsid w:val="00985030"/>
    <w:rsid w:val="00985580"/>
    <w:rsid w:val="00985635"/>
    <w:rsid w:val="00986A8E"/>
    <w:rsid w:val="00987661"/>
    <w:rsid w:val="00990423"/>
    <w:rsid w:val="00990FDC"/>
    <w:rsid w:val="0099119F"/>
    <w:rsid w:val="00992846"/>
    <w:rsid w:val="00993B34"/>
    <w:rsid w:val="009941E7"/>
    <w:rsid w:val="00994BE9"/>
    <w:rsid w:val="00997CEE"/>
    <w:rsid w:val="00997D93"/>
    <w:rsid w:val="009A0734"/>
    <w:rsid w:val="009A0790"/>
    <w:rsid w:val="009A09F7"/>
    <w:rsid w:val="009A13C8"/>
    <w:rsid w:val="009A29D0"/>
    <w:rsid w:val="009A29F1"/>
    <w:rsid w:val="009A2D6C"/>
    <w:rsid w:val="009A2F9E"/>
    <w:rsid w:val="009A35A5"/>
    <w:rsid w:val="009A3701"/>
    <w:rsid w:val="009A50F0"/>
    <w:rsid w:val="009A5747"/>
    <w:rsid w:val="009A5C99"/>
    <w:rsid w:val="009A5F9F"/>
    <w:rsid w:val="009A7608"/>
    <w:rsid w:val="009B00E4"/>
    <w:rsid w:val="009B0A44"/>
    <w:rsid w:val="009B114E"/>
    <w:rsid w:val="009B1F89"/>
    <w:rsid w:val="009B4730"/>
    <w:rsid w:val="009B4740"/>
    <w:rsid w:val="009B4E41"/>
    <w:rsid w:val="009B515A"/>
    <w:rsid w:val="009B5748"/>
    <w:rsid w:val="009B603C"/>
    <w:rsid w:val="009B64FC"/>
    <w:rsid w:val="009B66D0"/>
    <w:rsid w:val="009B67D2"/>
    <w:rsid w:val="009B68CF"/>
    <w:rsid w:val="009C05F3"/>
    <w:rsid w:val="009C0D33"/>
    <w:rsid w:val="009C1530"/>
    <w:rsid w:val="009C20D3"/>
    <w:rsid w:val="009C25FC"/>
    <w:rsid w:val="009C2A7D"/>
    <w:rsid w:val="009C3109"/>
    <w:rsid w:val="009C335B"/>
    <w:rsid w:val="009C36CE"/>
    <w:rsid w:val="009C3A36"/>
    <w:rsid w:val="009C45CE"/>
    <w:rsid w:val="009C56B0"/>
    <w:rsid w:val="009C67F4"/>
    <w:rsid w:val="009C76C9"/>
    <w:rsid w:val="009C7811"/>
    <w:rsid w:val="009D1120"/>
    <w:rsid w:val="009D2035"/>
    <w:rsid w:val="009D3C11"/>
    <w:rsid w:val="009D4B10"/>
    <w:rsid w:val="009D6644"/>
    <w:rsid w:val="009D6FB0"/>
    <w:rsid w:val="009D6FC1"/>
    <w:rsid w:val="009D76EB"/>
    <w:rsid w:val="009E17F5"/>
    <w:rsid w:val="009E3AC5"/>
    <w:rsid w:val="009E5150"/>
    <w:rsid w:val="009E6F42"/>
    <w:rsid w:val="009F0296"/>
    <w:rsid w:val="009F0CB7"/>
    <w:rsid w:val="009F1717"/>
    <w:rsid w:val="009F2401"/>
    <w:rsid w:val="009F2E74"/>
    <w:rsid w:val="009F4985"/>
    <w:rsid w:val="009F4AB9"/>
    <w:rsid w:val="009F4C42"/>
    <w:rsid w:val="009F51B3"/>
    <w:rsid w:val="009F5B87"/>
    <w:rsid w:val="009F5C91"/>
    <w:rsid w:val="009F72DE"/>
    <w:rsid w:val="00A026B5"/>
    <w:rsid w:val="00A02A8A"/>
    <w:rsid w:val="00A0371C"/>
    <w:rsid w:val="00A054CB"/>
    <w:rsid w:val="00A06656"/>
    <w:rsid w:val="00A07D42"/>
    <w:rsid w:val="00A100BC"/>
    <w:rsid w:val="00A1064A"/>
    <w:rsid w:val="00A109A6"/>
    <w:rsid w:val="00A118ED"/>
    <w:rsid w:val="00A11BCD"/>
    <w:rsid w:val="00A12169"/>
    <w:rsid w:val="00A1378A"/>
    <w:rsid w:val="00A137A3"/>
    <w:rsid w:val="00A13A17"/>
    <w:rsid w:val="00A15E51"/>
    <w:rsid w:val="00A17C36"/>
    <w:rsid w:val="00A205AA"/>
    <w:rsid w:val="00A2087A"/>
    <w:rsid w:val="00A20C50"/>
    <w:rsid w:val="00A20E77"/>
    <w:rsid w:val="00A20F6B"/>
    <w:rsid w:val="00A21CFB"/>
    <w:rsid w:val="00A22668"/>
    <w:rsid w:val="00A22A55"/>
    <w:rsid w:val="00A242BC"/>
    <w:rsid w:val="00A24911"/>
    <w:rsid w:val="00A24A6F"/>
    <w:rsid w:val="00A24B0F"/>
    <w:rsid w:val="00A25A2C"/>
    <w:rsid w:val="00A25F00"/>
    <w:rsid w:val="00A261D5"/>
    <w:rsid w:val="00A26414"/>
    <w:rsid w:val="00A275F2"/>
    <w:rsid w:val="00A27797"/>
    <w:rsid w:val="00A31E16"/>
    <w:rsid w:val="00A33104"/>
    <w:rsid w:val="00A34755"/>
    <w:rsid w:val="00A34C67"/>
    <w:rsid w:val="00A35FAE"/>
    <w:rsid w:val="00A367CF"/>
    <w:rsid w:val="00A3689D"/>
    <w:rsid w:val="00A36A74"/>
    <w:rsid w:val="00A36C94"/>
    <w:rsid w:val="00A37F1E"/>
    <w:rsid w:val="00A4043D"/>
    <w:rsid w:val="00A40B65"/>
    <w:rsid w:val="00A40D5D"/>
    <w:rsid w:val="00A40EA1"/>
    <w:rsid w:val="00A41010"/>
    <w:rsid w:val="00A42F63"/>
    <w:rsid w:val="00A46AB8"/>
    <w:rsid w:val="00A4747D"/>
    <w:rsid w:val="00A478B6"/>
    <w:rsid w:val="00A50903"/>
    <w:rsid w:val="00A51AE6"/>
    <w:rsid w:val="00A52862"/>
    <w:rsid w:val="00A52C64"/>
    <w:rsid w:val="00A53772"/>
    <w:rsid w:val="00A5468E"/>
    <w:rsid w:val="00A55CCA"/>
    <w:rsid w:val="00A56116"/>
    <w:rsid w:val="00A56E47"/>
    <w:rsid w:val="00A62593"/>
    <w:rsid w:val="00A63275"/>
    <w:rsid w:val="00A632B0"/>
    <w:rsid w:val="00A635FB"/>
    <w:rsid w:val="00A63D5F"/>
    <w:rsid w:val="00A65032"/>
    <w:rsid w:val="00A65519"/>
    <w:rsid w:val="00A66B52"/>
    <w:rsid w:val="00A718DE"/>
    <w:rsid w:val="00A71B4D"/>
    <w:rsid w:val="00A7204F"/>
    <w:rsid w:val="00A7278E"/>
    <w:rsid w:val="00A72CBB"/>
    <w:rsid w:val="00A7495D"/>
    <w:rsid w:val="00A76435"/>
    <w:rsid w:val="00A77079"/>
    <w:rsid w:val="00A775E4"/>
    <w:rsid w:val="00A80D1E"/>
    <w:rsid w:val="00A813EA"/>
    <w:rsid w:val="00A840AD"/>
    <w:rsid w:val="00A84DD3"/>
    <w:rsid w:val="00A857AD"/>
    <w:rsid w:val="00A8619A"/>
    <w:rsid w:val="00A86858"/>
    <w:rsid w:val="00A86B4A"/>
    <w:rsid w:val="00A87F0C"/>
    <w:rsid w:val="00A908D2"/>
    <w:rsid w:val="00A9155B"/>
    <w:rsid w:val="00A924A8"/>
    <w:rsid w:val="00A9473B"/>
    <w:rsid w:val="00A97858"/>
    <w:rsid w:val="00A97859"/>
    <w:rsid w:val="00AA07C1"/>
    <w:rsid w:val="00AA13AA"/>
    <w:rsid w:val="00AA1549"/>
    <w:rsid w:val="00AA165C"/>
    <w:rsid w:val="00AA1743"/>
    <w:rsid w:val="00AA20E6"/>
    <w:rsid w:val="00AA255D"/>
    <w:rsid w:val="00AA39E7"/>
    <w:rsid w:val="00AA6369"/>
    <w:rsid w:val="00AA6D92"/>
    <w:rsid w:val="00AA7071"/>
    <w:rsid w:val="00AB04DD"/>
    <w:rsid w:val="00AB1060"/>
    <w:rsid w:val="00AB2143"/>
    <w:rsid w:val="00AB271D"/>
    <w:rsid w:val="00AB321C"/>
    <w:rsid w:val="00AB362F"/>
    <w:rsid w:val="00AB3737"/>
    <w:rsid w:val="00AB4634"/>
    <w:rsid w:val="00AB534F"/>
    <w:rsid w:val="00AB5C7A"/>
    <w:rsid w:val="00AB5E92"/>
    <w:rsid w:val="00AB6234"/>
    <w:rsid w:val="00AB7A03"/>
    <w:rsid w:val="00AC1108"/>
    <w:rsid w:val="00AC1F0C"/>
    <w:rsid w:val="00AC2459"/>
    <w:rsid w:val="00AC27C8"/>
    <w:rsid w:val="00AC3266"/>
    <w:rsid w:val="00AC3979"/>
    <w:rsid w:val="00AC3DE7"/>
    <w:rsid w:val="00AC4D63"/>
    <w:rsid w:val="00AC4E83"/>
    <w:rsid w:val="00AC521A"/>
    <w:rsid w:val="00AC5966"/>
    <w:rsid w:val="00AC698C"/>
    <w:rsid w:val="00AC6D33"/>
    <w:rsid w:val="00AC75B5"/>
    <w:rsid w:val="00AC7C09"/>
    <w:rsid w:val="00AD054A"/>
    <w:rsid w:val="00AD1662"/>
    <w:rsid w:val="00AD289C"/>
    <w:rsid w:val="00AD37DC"/>
    <w:rsid w:val="00AD3FE7"/>
    <w:rsid w:val="00AD5CAE"/>
    <w:rsid w:val="00AD635C"/>
    <w:rsid w:val="00AD6B11"/>
    <w:rsid w:val="00AD6DAD"/>
    <w:rsid w:val="00AD7123"/>
    <w:rsid w:val="00AD77BA"/>
    <w:rsid w:val="00AE077E"/>
    <w:rsid w:val="00AE09D8"/>
    <w:rsid w:val="00AE0CF6"/>
    <w:rsid w:val="00AE260E"/>
    <w:rsid w:val="00AE2D5B"/>
    <w:rsid w:val="00AE3667"/>
    <w:rsid w:val="00AE37E9"/>
    <w:rsid w:val="00AF056E"/>
    <w:rsid w:val="00AF0708"/>
    <w:rsid w:val="00AF43A8"/>
    <w:rsid w:val="00AF4657"/>
    <w:rsid w:val="00AF4875"/>
    <w:rsid w:val="00AF5B25"/>
    <w:rsid w:val="00AF60C3"/>
    <w:rsid w:val="00AF728F"/>
    <w:rsid w:val="00AF7488"/>
    <w:rsid w:val="00B0053A"/>
    <w:rsid w:val="00B017CD"/>
    <w:rsid w:val="00B02460"/>
    <w:rsid w:val="00B03061"/>
    <w:rsid w:val="00B0386E"/>
    <w:rsid w:val="00B03EE6"/>
    <w:rsid w:val="00B047A7"/>
    <w:rsid w:val="00B051F8"/>
    <w:rsid w:val="00B05DBA"/>
    <w:rsid w:val="00B07340"/>
    <w:rsid w:val="00B1155D"/>
    <w:rsid w:val="00B1195A"/>
    <w:rsid w:val="00B11ED2"/>
    <w:rsid w:val="00B11EDB"/>
    <w:rsid w:val="00B12B4D"/>
    <w:rsid w:val="00B138E6"/>
    <w:rsid w:val="00B13D63"/>
    <w:rsid w:val="00B15E14"/>
    <w:rsid w:val="00B1628D"/>
    <w:rsid w:val="00B16F33"/>
    <w:rsid w:val="00B17AE3"/>
    <w:rsid w:val="00B208C3"/>
    <w:rsid w:val="00B20A5A"/>
    <w:rsid w:val="00B20EEE"/>
    <w:rsid w:val="00B219DF"/>
    <w:rsid w:val="00B22ABE"/>
    <w:rsid w:val="00B22B4D"/>
    <w:rsid w:val="00B232F0"/>
    <w:rsid w:val="00B23F18"/>
    <w:rsid w:val="00B2411B"/>
    <w:rsid w:val="00B244D6"/>
    <w:rsid w:val="00B25A7B"/>
    <w:rsid w:val="00B25E79"/>
    <w:rsid w:val="00B27786"/>
    <w:rsid w:val="00B279FC"/>
    <w:rsid w:val="00B30110"/>
    <w:rsid w:val="00B309C7"/>
    <w:rsid w:val="00B318EA"/>
    <w:rsid w:val="00B32FA4"/>
    <w:rsid w:val="00B33B2C"/>
    <w:rsid w:val="00B34733"/>
    <w:rsid w:val="00B34B95"/>
    <w:rsid w:val="00B34BF1"/>
    <w:rsid w:val="00B3539E"/>
    <w:rsid w:val="00B35842"/>
    <w:rsid w:val="00B400B5"/>
    <w:rsid w:val="00B40E9D"/>
    <w:rsid w:val="00B417B0"/>
    <w:rsid w:val="00B4188E"/>
    <w:rsid w:val="00B41ABF"/>
    <w:rsid w:val="00B424D1"/>
    <w:rsid w:val="00B43C2B"/>
    <w:rsid w:val="00B44E0F"/>
    <w:rsid w:val="00B453BC"/>
    <w:rsid w:val="00B457AE"/>
    <w:rsid w:val="00B4655B"/>
    <w:rsid w:val="00B47034"/>
    <w:rsid w:val="00B4724C"/>
    <w:rsid w:val="00B50404"/>
    <w:rsid w:val="00B50839"/>
    <w:rsid w:val="00B525D6"/>
    <w:rsid w:val="00B53482"/>
    <w:rsid w:val="00B542F5"/>
    <w:rsid w:val="00B54854"/>
    <w:rsid w:val="00B56FE4"/>
    <w:rsid w:val="00B6016B"/>
    <w:rsid w:val="00B61740"/>
    <w:rsid w:val="00B61F5C"/>
    <w:rsid w:val="00B626B1"/>
    <w:rsid w:val="00B626D5"/>
    <w:rsid w:val="00B631D4"/>
    <w:rsid w:val="00B64965"/>
    <w:rsid w:val="00B64B73"/>
    <w:rsid w:val="00B6622C"/>
    <w:rsid w:val="00B665E8"/>
    <w:rsid w:val="00B6677A"/>
    <w:rsid w:val="00B67113"/>
    <w:rsid w:val="00B67241"/>
    <w:rsid w:val="00B675BF"/>
    <w:rsid w:val="00B7062A"/>
    <w:rsid w:val="00B708DB"/>
    <w:rsid w:val="00B70AD2"/>
    <w:rsid w:val="00B729DE"/>
    <w:rsid w:val="00B729FB"/>
    <w:rsid w:val="00B72ECD"/>
    <w:rsid w:val="00B738ED"/>
    <w:rsid w:val="00B73F6D"/>
    <w:rsid w:val="00B75F6C"/>
    <w:rsid w:val="00B761C4"/>
    <w:rsid w:val="00B76BDD"/>
    <w:rsid w:val="00B76D64"/>
    <w:rsid w:val="00B76D81"/>
    <w:rsid w:val="00B773E3"/>
    <w:rsid w:val="00B8092D"/>
    <w:rsid w:val="00B81556"/>
    <w:rsid w:val="00B818D3"/>
    <w:rsid w:val="00B826F5"/>
    <w:rsid w:val="00B83D53"/>
    <w:rsid w:val="00B8400A"/>
    <w:rsid w:val="00B84B4A"/>
    <w:rsid w:val="00B87107"/>
    <w:rsid w:val="00B87749"/>
    <w:rsid w:val="00B87EE5"/>
    <w:rsid w:val="00B90778"/>
    <w:rsid w:val="00B91251"/>
    <w:rsid w:val="00B91AA1"/>
    <w:rsid w:val="00B91FCC"/>
    <w:rsid w:val="00B92F9C"/>
    <w:rsid w:val="00B93001"/>
    <w:rsid w:val="00B93E67"/>
    <w:rsid w:val="00B94618"/>
    <w:rsid w:val="00B94C55"/>
    <w:rsid w:val="00B95641"/>
    <w:rsid w:val="00B975FC"/>
    <w:rsid w:val="00B978FF"/>
    <w:rsid w:val="00BA0AA4"/>
    <w:rsid w:val="00BA0F66"/>
    <w:rsid w:val="00BA12BB"/>
    <w:rsid w:val="00BA17B8"/>
    <w:rsid w:val="00BA2327"/>
    <w:rsid w:val="00BA36FE"/>
    <w:rsid w:val="00BA42E3"/>
    <w:rsid w:val="00BA4326"/>
    <w:rsid w:val="00BA57DD"/>
    <w:rsid w:val="00BA7D1B"/>
    <w:rsid w:val="00BB0914"/>
    <w:rsid w:val="00BB0DE0"/>
    <w:rsid w:val="00BB0F24"/>
    <w:rsid w:val="00BB3332"/>
    <w:rsid w:val="00BB3675"/>
    <w:rsid w:val="00BB4EDF"/>
    <w:rsid w:val="00BB4F75"/>
    <w:rsid w:val="00BB79BE"/>
    <w:rsid w:val="00BC257D"/>
    <w:rsid w:val="00BC3B5A"/>
    <w:rsid w:val="00BC4435"/>
    <w:rsid w:val="00BC4A35"/>
    <w:rsid w:val="00BC51D2"/>
    <w:rsid w:val="00BC5B65"/>
    <w:rsid w:val="00BC680D"/>
    <w:rsid w:val="00BD049D"/>
    <w:rsid w:val="00BD08DF"/>
    <w:rsid w:val="00BD0945"/>
    <w:rsid w:val="00BD21AE"/>
    <w:rsid w:val="00BD2252"/>
    <w:rsid w:val="00BD30A7"/>
    <w:rsid w:val="00BD56D8"/>
    <w:rsid w:val="00BD60A7"/>
    <w:rsid w:val="00BD6182"/>
    <w:rsid w:val="00BD619C"/>
    <w:rsid w:val="00BD655D"/>
    <w:rsid w:val="00BD6DF2"/>
    <w:rsid w:val="00BE0A00"/>
    <w:rsid w:val="00BE148B"/>
    <w:rsid w:val="00BE166C"/>
    <w:rsid w:val="00BE1792"/>
    <w:rsid w:val="00BE1BD2"/>
    <w:rsid w:val="00BE20A7"/>
    <w:rsid w:val="00BE218B"/>
    <w:rsid w:val="00BE22AB"/>
    <w:rsid w:val="00BE3E2F"/>
    <w:rsid w:val="00BE612D"/>
    <w:rsid w:val="00BE77EA"/>
    <w:rsid w:val="00BE7D3E"/>
    <w:rsid w:val="00BF1C31"/>
    <w:rsid w:val="00BF2529"/>
    <w:rsid w:val="00BF289B"/>
    <w:rsid w:val="00BF5048"/>
    <w:rsid w:val="00BF59FD"/>
    <w:rsid w:val="00BF61F6"/>
    <w:rsid w:val="00BF68C7"/>
    <w:rsid w:val="00C0086F"/>
    <w:rsid w:val="00C00911"/>
    <w:rsid w:val="00C00D68"/>
    <w:rsid w:val="00C0168F"/>
    <w:rsid w:val="00C02688"/>
    <w:rsid w:val="00C02990"/>
    <w:rsid w:val="00C032E6"/>
    <w:rsid w:val="00C0361E"/>
    <w:rsid w:val="00C0491C"/>
    <w:rsid w:val="00C05657"/>
    <w:rsid w:val="00C0608E"/>
    <w:rsid w:val="00C067C1"/>
    <w:rsid w:val="00C07061"/>
    <w:rsid w:val="00C075EA"/>
    <w:rsid w:val="00C100D7"/>
    <w:rsid w:val="00C1048B"/>
    <w:rsid w:val="00C109DF"/>
    <w:rsid w:val="00C10AF0"/>
    <w:rsid w:val="00C10BFD"/>
    <w:rsid w:val="00C11CE4"/>
    <w:rsid w:val="00C127DF"/>
    <w:rsid w:val="00C138AE"/>
    <w:rsid w:val="00C15C47"/>
    <w:rsid w:val="00C163DD"/>
    <w:rsid w:val="00C17834"/>
    <w:rsid w:val="00C178DE"/>
    <w:rsid w:val="00C20370"/>
    <w:rsid w:val="00C20E1B"/>
    <w:rsid w:val="00C22C08"/>
    <w:rsid w:val="00C230E5"/>
    <w:rsid w:val="00C23F09"/>
    <w:rsid w:val="00C25486"/>
    <w:rsid w:val="00C257D6"/>
    <w:rsid w:val="00C2757F"/>
    <w:rsid w:val="00C30162"/>
    <w:rsid w:val="00C305C4"/>
    <w:rsid w:val="00C31015"/>
    <w:rsid w:val="00C311CE"/>
    <w:rsid w:val="00C31B12"/>
    <w:rsid w:val="00C335F4"/>
    <w:rsid w:val="00C33FE9"/>
    <w:rsid w:val="00C34D4E"/>
    <w:rsid w:val="00C34E92"/>
    <w:rsid w:val="00C364F9"/>
    <w:rsid w:val="00C36803"/>
    <w:rsid w:val="00C37273"/>
    <w:rsid w:val="00C40218"/>
    <w:rsid w:val="00C40D3B"/>
    <w:rsid w:val="00C40F45"/>
    <w:rsid w:val="00C41943"/>
    <w:rsid w:val="00C42451"/>
    <w:rsid w:val="00C42D67"/>
    <w:rsid w:val="00C42F4B"/>
    <w:rsid w:val="00C502CC"/>
    <w:rsid w:val="00C50BAC"/>
    <w:rsid w:val="00C50FA0"/>
    <w:rsid w:val="00C5159B"/>
    <w:rsid w:val="00C51CE8"/>
    <w:rsid w:val="00C52249"/>
    <w:rsid w:val="00C523FD"/>
    <w:rsid w:val="00C53707"/>
    <w:rsid w:val="00C55B2F"/>
    <w:rsid w:val="00C55E1E"/>
    <w:rsid w:val="00C56478"/>
    <w:rsid w:val="00C56B90"/>
    <w:rsid w:val="00C56F28"/>
    <w:rsid w:val="00C577B4"/>
    <w:rsid w:val="00C60543"/>
    <w:rsid w:val="00C6127D"/>
    <w:rsid w:val="00C6148B"/>
    <w:rsid w:val="00C63344"/>
    <w:rsid w:val="00C63F23"/>
    <w:rsid w:val="00C64525"/>
    <w:rsid w:val="00C64A21"/>
    <w:rsid w:val="00C65065"/>
    <w:rsid w:val="00C653D6"/>
    <w:rsid w:val="00C6552A"/>
    <w:rsid w:val="00C6672F"/>
    <w:rsid w:val="00C66BC6"/>
    <w:rsid w:val="00C66F15"/>
    <w:rsid w:val="00C6733E"/>
    <w:rsid w:val="00C67603"/>
    <w:rsid w:val="00C67E9A"/>
    <w:rsid w:val="00C7034E"/>
    <w:rsid w:val="00C70D75"/>
    <w:rsid w:val="00C713B6"/>
    <w:rsid w:val="00C72744"/>
    <w:rsid w:val="00C7315C"/>
    <w:rsid w:val="00C7342F"/>
    <w:rsid w:val="00C76423"/>
    <w:rsid w:val="00C7651A"/>
    <w:rsid w:val="00C76B12"/>
    <w:rsid w:val="00C7711B"/>
    <w:rsid w:val="00C774AE"/>
    <w:rsid w:val="00C77E59"/>
    <w:rsid w:val="00C8022F"/>
    <w:rsid w:val="00C8045E"/>
    <w:rsid w:val="00C80B3F"/>
    <w:rsid w:val="00C81BE4"/>
    <w:rsid w:val="00C8332F"/>
    <w:rsid w:val="00C876D3"/>
    <w:rsid w:val="00C901EB"/>
    <w:rsid w:val="00C91E69"/>
    <w:rsid w:val="00C92BBC"/>
    <w:rsid w:val="00C93609"/>
    <w:rsid w:val="00C951AF"/>
    <w:rsid w:val="00C95CDE"/>
    <w:rsid w:val="00C9684D"/>
    <w:rsid w:val="00C96CA2"/>
    <w:rsid w:val="00CA088E"/>
    <w:rsid w:val="00CA2008"/>
    <w:rsid w:val="00CA2B67"/>
    <w:rsid w:val="00CA2D42"/>
    <w:rsid w:val="00CA4476"/>
    <w:rsid w:val="00CA52FF"/>
    <w:rsid w:val="00CA68AD"/>
    <w:rsid w:val="00CA691C"/>
    <w:rsid w:val="00CA7A9B"/>
    <w:rsid w:val="00CA7C8F"/>
    <w:rsid w:val="00CB07FE"/>
    <w:rsid w:val="00CB08E2"/>
    <w:rsid w:val="00CB2313"/>
    <w:rsid w:val="00CB2400"/>
    <w:rsid w:val="00CB696C"/>
    <w:rsid w:val="00CB799A"/>
    <w:rsid w:val="00CB7BF1"/>
    <w:rsid w:val="00CC1910"/>
    <w:rsid w:val="00CC1F0D"/>
    <w:rsid w:val="00CC37B7"/>
    <w:rsid w:val="00CC4C73"/>
    <w:rsid w:val="00CC5630"/>
    <w:rsid w:val="00CC5F83"/>
    <w:rsid w:val="00CC6896"/>
    <w:rsid w:val="00CC6BDB"/>
    <w:rsid w:val="00CC6CCF"/>
    <w:rsid w:val="00CC790C"/>
    <w:rsid w:val="00CD1C71"/>
    <w:rsid w:val="00CD1D54"/>
    <w:rsid w:val="00CD1E9B"/>
    <w:rsid w:val="00CD2CD7"/>
    <w:rsid w:val="00CD3E85"/>
    <w:rsid w:val="00CD4BD4"/>
    <w:rsid w:val="00CD5B36"/>
    <w:rsid w:val="00CD5C17"/>
    <w:rsid w:val="00CD5CBB"/>
    <w:rsid w:val="00CD65A2"/>
    <w:rsid w:val="00CD68E2"/>
    <w:rsid w:val="00CD6907"/>
    <w:rsid w:val="00CE0052"/>
    <w:rsid w:val="00CE0D78"/>
    <w:rsid w:val="00CE2215"/>
    <w:rsid w:val="00CE28CC"/>
    <w:rsid w:val="00CE329E"/>
    <w:rsid w:val="00CE3E51"/>
    <w:rsid w:val="00CE4389"/>
    <w:rsid w:val="00CE45D6"/>
    <w:rsid w:val="00CE57A1"/>
    <w:rsid w:val="00CE6133"/>
    <w:rsid w:val="00CE61AD"/>
    <w:rsid w:val="00CE63F9"/>
    <w:rsid w:val="00CE78FC"/>
    <w:rsid w:val="00CF0D75"/>
    <w:rsid w:val="00CF1217"/>
    <w:rsid w:val="00CF1620"/>
    <w:rsid w:val="00CF20DA"/>
    <w:rsid w:val="00CF5196"/>
    <w:rsid w:val="00CF5508"/>
    <w:rsid w:val="00CF5D61"/>
    <w:rsid w:val="00CF61B0"/>
    <w:rsid w:val="00CF623D"/>
    <w:rsid w:val="00CF6C1A"/>
    <w:rsid w:val="00CF7DCC"/>
    <w:rsid w:val="00D00362"/>
    <w:rsid w:val="00D004CD"/>
    <w:rsid w:val="00D006E3"/>
    <w:rsid w:val="00D00CAD"/>
    <w:rsid w:val="00D00E73"/>
    <w:rsid w:val="00D02156"/>
    <w:rsid w:val="00D02C03"/>
    <w:rsid w:val="00D041FA"/>
    <w:rsid w:val="00D05DB7"/>
    <w:rsid w:val="00D060CF"/>
    <w:rsid w:val="00D105F2"/>
    <w:rsid w:val="00D10839"/>
    <w:rsid w:val="00D11D08"/>
    <w:rsid w:val="00D1295F"/>
    <w:rsid w:val="00D12C73"/>
    <w:rsid w:val="00D1360F"/>
    <w:rsid w:val="00D156E9"/>
    <w:rsid w:val="00D15DFC"/>
    <w:rsid w:val="00D162D3"/>
    <w:rsid w:val="00D17A71"/>
    <w:rsid w:val="00D17C76"/>
    <w:rsid w:val="00D2005A"/>
    <w:rsid w:val="00D20800"/>
    <w:rsid w:val="00D20C27"/>
    <w:rsid w:val="00D21783"/>
    <w:rsid w:val="00D2189A"/>
    <w:rsid w:val="00D21D2C"/>
    <w:rsid w:val="00D22369"/>
    <w:rsid w:val="00D22B11"/>
    <w:rsid w:val="00D23402"/>
    <w:rsid w:val="00D23790"/>
    <w:rsid w:val="00D245DB"/>
    <w:rsid w:val="00D24758"/>
    <w:rsid w:val="00D262CE"/>
    <w:rsid w:val="00D26A2D"/>
    <w:rsid w:val="00D31906"/>
    <w:rsid w:val="00D334CC"/>
    <w:rsid w:val="00D378DA"/>
    <w:rsid w:val="00D40B1F"/>
    <w:rsid w:val="00D427A4"/>
    <w:rsid w:val="00D43BAE"/>
    <w:rsid w:val="00D44056"/>
    <w:rsid w:val="00D440F4"/>
    <w:rsid w:val="00D44BD3"/>
    <w:rsid w:val="00D453E0"/>
    <w:rsid w:val="00D45FB0"/>
    <w:rsid w:val="00D462AD"/>
    <w:rsid w:val="00D46A72"/>
    <w:rsid w:val="00D4730D"/>
    <w:rsid w:val="00D47DAC"/>
    <w:rsid w:val="00D50225"/>
    <w:rsid w:val="00D505E6"/>
    <w:rsid w:val="00D509DA"/>
    <w:rsid w:val="00D50AA3"/>
    <w:rsid w:val="00D5158C"/>
    <w:rsid w:val="00D53215"/>
    <w:rsid w:val="00D54865"/>
    <w:rsid w:val="00D54B9F"/>
    <w:rsid w:val="00D55CE7"/>
    <w:rsid w:val="00D5605C"/>
    <w:rsid w:val="00D569BA"/>
    <w:rsid w:val="00D578E1"/>
    <w:rsid w:val="00D601EE"/>
    <w:rsid w:val="00D604F7"/>
    <w:rsid w:val="00D624D7"/>
    <w:rsid w:val="00D6274A"/>
    <w:rsid w:val="00D63457"/>
    <w:rsid w:val="00D64113"/>
    <w:rsid w:val="00D6445B"/>
    <w:rsid w:val="00D6478B"/>
    <w:rsid w:val="00D64909"/>
    <w:rsid w:val="00D650E0"/>
    <w:rsid w:val="00D65B7D"/>
    <w:rsid w:val="00D664D1"/>
    <w:rsid w:val="00D66C62"/>
    <w:rsid w:val="00D67135"/>
    <w:rsid w:val="00D6739D"/>
    <w:rsid w:val="00D67A92"/>
    <w:rsid w:val="00D7188B"/>
    <w:rsid w:val="00D7421B"/>
    <w:rsid w:val="00D746FD"/>
    <w:rsid w:val="00D748B7"/>
    <w:rsid w:val="00D76EB2"/>
    <w:rsid w:val="00D7704C"/>
    <w:rsid w:val="00D80109"/>
    <w:rsid w:val="00D81D20"/>
    <w:rsid w:val="00D82CE9"/>
    <w:rsid w:val="00D83211"/>
    <w:rsid w:val="00D83937"/>
    <w:rsid w:val="00D85846"/>
    <w:rsid w:val="00D86615"/>
    <w:rsid w:val="00D87472"/>
    <w:rsid w:val="00D9021E"/>
    <w:rsid w:val="00D909D0"/>
    <w:rsid w:val="00D91354"/>
    <w:rsid w:val="00D92075"/>
    <w:rsid w:val="00D92C4E"/>
    <w:rsid w:val="00D92FFC"/>
    <w:rsid w:val="00D947DF"/>
    <w:rsid w:val="00D94D77"/>
    <w:rsid w:val="00D95B9F"/>
    <w:rsid w:val="00D95ED3"/>
    <w:rsid w:val="00D96B00"/>
    <w:rsid w:val="00D96C0E"/>
    <w:rsid w:val="00D96EBA"/>
    <w:rsid w:val="00D979FB"/>
    <w:rsid w:val="00DA2CFD"/>
    <w:rsid w:val="00DA35DA"/>
    <w:rsid w:val="00DA505C"/>
    <w:rsid w:val="00DB1F94"/>
    <w:rsid w:val="00DB2667"/>
    <w:rsid w:val="00DB28DE"/>
    <w:rsid w:val="00DB3B24"/>
    <w:rsid w:val="00DB3C03"/>
    <w:rsid w:val="00DB4C4D"/>
    <w:rsid w:val="00DB5A67"/>
    <w:rsid w:val="00DB5DC8"/>
    <w:rsid w:val="00DB5F42"/>
    <w:rsid w:val="00DB764D"/>
    <w:rsid w:val="00DB7D01"/>
    <w:rsid w:val="00DC20C6"/>
    <w:rsid w:val="00DC25AD"/>
    <w:rsid w:val="00DC354D"/>
    <w:rsid w:val="00DC47F2"/>
    <w:rsid w:val="00DC59E4"/>
    <w:rsid w:val="00DD0046"/>
    <w:rsid w:val="00DD0228"/>
    <w:rsid w:val="00DD09B3"/>
    <w:rsid w:val="00DD0E55"/>
    <w:rsid w:val="00DD1AB8"/>
    <w:rsid w:val="00DD24E3"/>
    <w:rsid w:val="00DD3829"/>
    <w:rsid w:val="00DD3B3E"/>
    <w:rsid w:val="00DD3C75"/>
    <w:rsid w:val="00DD4C4D"/>
    <w:rsid w:val="00DD79A1"/>
    <w:rsid w:val="00DE1B69"/>
    <w:rsid w:val="00DE1C08"/>
    <w:rsid w:val="00DE2F92"/>
    <w:rsid w:val="00DE6FEA"/>
    <w:rsid w:val="00DE73ED"/>
    <w:rsid w:val="00DF0D1C"/>
    <w:rsid w:val="00DF1DB0"/>
    <w:rsid w:val="00DF23CD"/>
    <w:rsid w:val="00DF2520"/>
    <w:rsid w:val="00DF27DF"/>
    <w:rsid w:val="00DF2976"/>
    <w:rsid w:val="00DF2D43"/>
    <w:rsid w:val="00DF4FAC"/>
    <w:rsid w:val="00DF6760"/>
    <w:rsid w:val="00E00946"/>
    <w:rsid w:val="00E0169B"/>
    <w:rsid w:val="00E027DD"/>
    <w:rsid w:val="00E04780"/>
    <w:rsid w:val="00E04EA1"/>
    <w:rsid w:val="00E051FD"/>
    <w:rsid w:val="00E05258"/>
    <w:rsid w:val="00E053D0"/>
    <w:rsid w:val="00E063EE"/>
    <w:rsid w:val="00E06704"/>
    <w:rsid w:val="00E07715"/>
    <w:rsid w:val="00E07F4F"/>
    <w:rsid w:val="00E10600"/>
    <w:rsid w:val="00E10686"/>
    <w:rsid w:val="00E10BF6"/>
    <w:rsid w:val="00E10E92"/>
    <w:rsid w:val="00E11295"/>
    <w:rsid w:val="00E12301"/>
    <w:rsid w:val="00E13F43"/>
    <w:rsid w:val="00E1466F"/>
    <w:rsid w:val="00E15B11"/>
    <w:rsid w:val="00E16D24"/>
    <w:rsid w:val="00E17547"/>
    <w:rsid w:val="00E204BB"/>
    <w:rsid w:val="00E20AEE"/>
    <w:rsid w:val="00E22C27"/>
    <w:rsid w:val="00E22CEE"/>
    <w:rsid w:val="00E25C50"/>
    <w:rsid w:val="00E26A5E"/>
    <w:rsid w:val="00E27170"/>
    <w:rsid w:val="00E27850"/>
    <w:rsid w:val="00E311BE"/>
    <w:rsid w:val="00E319F2"/>
    <w:rsid w:val="00E326C0"/>
    <w:rsid w:val="00E342B9"/>
    <w:rsid w:val="00E3456D"/>
    <w:rsid w:val="00E352A2"/>
    <w:rsid w:val="00E352AC"/>
    <w:rsid w:val="00E36BCE"/>
    <w:rsid w:val="00E374E3"/>
    <w:rsid w:val="00E37B5A"/>
    <w:rsid w:val="00E37F21"/>
    <w:rsid w:val="00E40B45"/>
    <w:rsid w:val="00E40D2C"/>
    <w:rsid w:val="00E41939"/>
    <w:rsid w:val="00E41ABE"/>
    <w:rsid w:val="00E41AE1"/>
    <w:rsid w:val="00E42179"/>
    <w:rsid w:val="00E422C3"/>
    <w:rsid w:val="00E42C04"/>
    <w:rsid w:val="00E4378D"/>
    <w:rsid w:val="00E44363"/>
    <w:rsid w:val="00E4483A"/>
    <w:rsid w:val="00E449A8"/>
    <w:rsid w:val="00E44B90"/>
    <w:rsid w:val="00E45947"/>
    <w:rsid w:val="00E461CD"/>
    <w:rsid w:val="00E463E1"/>
    <w:rsid w:val="00E47D17"/>
    <w:rsid w:val="00E50165"/>
    <w:rsid w:val="00E507BA"/>
    <w:rsid w:val="00E50D61"/>
    <w:rsid w:val="00E521E5"/>
    <w:rsid w:val="00E5241C"/>
    <w:rsid w:val="00E52CFC"/>
    <w:rsid w:val="00E540CA"/>
    <w:rsid w:val="00E5787E"/>
    <w:rsid w:val="00E579BC"/>
    <w:rsid w:val="00E57C49"/>
    <w:rsid w:val="00E60A9C"/>
    <w:rsid w:val="00E61221"/>
    <w:rsid w:val="00E617E0"/>
    <w:rsid w:val="00E61912"/>
    <w:rsid w:val="00E61A8A"/>
    <w:rsid w:val="00E63150"/>
    <w:rsid w:val="00E6424E"/>
    <w:rsid w:val="00E67956"/>
    <w:rsid w:val="00E70051"/>
    <w:rsid w:val="00E70290"/>
    <w:rsid w:val="00E71B95"/>
    <w:rsid w:val="00E7259A"/>
    <w:rsid w:val="00E72B69"/>
    <w:rsid w:val="00E72DFC"/>
    <w:rsid w:val="00E73EF1"/>
    <w:rsid w:val="00E74BDF"/>
    <w:rsid w:val="00E752B9"/>
    <w:rsid w:val="00E80E07"/>
    <w:rsid w:val="00E83863"/>
    <w:rsid w:val="00E8391F"/>
    <w:rsid w:val="00E83A92"/>
    <w:rsid w:val="00E83BC6"/>
    <w:rsid w:val="00E84368"/>
    <w:rsid w:val="00E84B94"/>
    <w:rsid w:val="00E855A0"/>
    <w:rsid w:val="00E8574F"/>
    <w:rsid w:val="00E87818"/>
    <w:rsid w:val="00E9074A"/>
    <w:rsid w:val="00E90906"/>
    <w:rsid w:val="00E90B20"/>
    <w:rsid w:val="00E94527"/>
    <w:rsid w:val="00E94ACC"/>
    <w:rsid w:val="00E95910"/>
    <w:rsid w:val="00E97C0C"/>
    <w:rsid w:val="00EA0F17"/>
    <w:rsid w:val="00EA25DB"/>
    <w:rsid w:val="00EA2A1F"/>
    <w:rsid w:val="00EA2F6A"/>
    <w:rsid w:val="00EA3BBD"/>
    <w:rsid w:val="00EA43F5"/>
    <w:rsid w:val="00EA4D38"/>
    <w:rsid w:val="00EA5290"/>
    <w:rsid w:val="00EA53C8"/>
    <w:rsid w:val="00EA6447"/>
    <w:rsid w:val="00EA698A"/>
    <w:rsid w:val="00EA6F75"/>
    <w:rsid w:val="00EA7470"/>
    <w:rsid w:val="00EA7674"/>
    <w:rsid w:val="00EB02B9"/>
    <w:rsid w:val="00EB07B5"/>
    <w:rsid w:val="00EB0B23"/>
    <w:rsid w:val="00EB1039"/>
    <w:rsid w:val="00EB34C7"/>
    <w:rsid w:val="00EB3723"/>
    <w:rsid w:val="00EB43DB"/>
    <w:rsid w:val="00EB4621"/>
    <w:rsid w:val="00EB62C3"/>
    <w:rsid w:val="00EB6654"/>
    <w:rsid w:val="00EC0E45"/>
    <w:rsid w:val="00EC1230"/>
    <w:rsid w:val="00EC16A4"/>
    <w:rsid w:val="00EC177B"/>
    <w:rsid w:val="00EC1AA3"/>
    <w:rsid w:val="00EC248A"/>
    <w:rsid w:val="00EC3994"/>
    <w:rsid w:val="00EC3AA9"/>
    <w:rsid w:val="00EC4849"/>
    <w:rsid w:val="00EC4A43"/>
    <w:rsid w:val="00EC4BAD"/>
    <w:rsid w:val="00EC5349"/>
    <w:rsid w:val="00EC785F"/>
    <w:rsid w:val="00EC7DCA"/>
    <w:rsid w:val="00ED0477"/>
    <w:rsid w:val="00ED08EA"/>
    <w:rsid w:val="00ED0EAF"/>
    <w:rsid w:val="00ED191B"/>
    <w:rsid w:val="00ED219F"/>
    <w:rsid w:val="00ED2726"/>
    <w:rsid w:val="00ED2E5D"/>
    <w:rsid w:val="00ED38CA"/>
    <w:rsid w:val="00ED3A49"/>
    <w:rsid w:val="00ED3EDC"/>
    <w:rsid w:val="00ED55C3"/>
    <w:rsid w:val="00ED5AD5"/>
    <w:rsid w:val="00ED5F65"/>
    <w:rsid w:val="00ED6083"/>
    <w:rsid w:val="00ED7E50"/>
    <w:rsid w:val="00EE1C0E"/>
    <w:rsid w:val="00EE2241"/>
    <w:rsid w:val="00EE2325"/>
    <w:rsid w:val="00EE375C"/>
    <w:rsid w:val="00EE3DDB"/>
    <w:rsid w:val="00EE414F"/>
    <w:rsid w:val="00EE455B"/>
    <w:rsid w:val="00EE4C7F"/>
    <w:rsid w:val="00EE50CB"/>
    <w:rsid w:val="00EE5CAA"/>
    <w:rsid w:val="00EE6AE6"/>
    <w:rsid w:val="00EF01AE"/>
    <w:rsid w:val="00EF10DC"/>
    <w:rsid w:val="00EF1DA3"/>
    <w:rsid w:val="00EF3EA4"/>
    <w:rsid w:val="00EF55FB"/>
    <w:rsid w:val="00EF5607"/>
    <w:rsid w:val="00EF5A63"/>
    <w:rsid w:val="00EF6DEB"/>
    <w:rsid w:val="00EF706E"/>
    <w:rsid w:val="00F02BBA"/>
    <w:rsid w:val="00F036F8"/>
    <w:rsid w:val="00F03E57"/>
    <w:rsid w:val="00F042D2"/>
    <w:rsid w:val="00F04AC9"/>
    <w:rsid w:val="00F05B08"/>
    <w:rsid w:val="00F06DB2"/>
    <w:rsid w:val="00F07F0C"/>
    <w:rsid w:val="00F11633"/>
    <w:rsid w:val="00F12500"/>
    <w:rsid w:val="00F13C48"/>
    <w:rsid w:val="00F141AE"/>
    <w:rsid w:val="00F1426F"/>
    <w:rsid w:val="00F14CF6"/>
    <w:rsid w:val="00F1506F"/>
    <w:rsid w:val="00F15A82"/>
    <w:rsid w:val="00F15E6D"/>
    <w:rsid w:val="00F1632C"/>
    <w:rsid w:val="00F205B8"/>
    <w:rsid w:val="00F2241B"/>
    <w:rsid w:val="00F241D3"/>
    <w:rsid w:val="00F243BB"/>
    <w:rsid w:val="00F24FBD"/>
    <w:rsid w:val="00F25806"/>
    <w:rsid w:val="00F25EC7"/>
    <w:rsid w:val="00F261B7"/>
    <w:rsid w:val="00F27B9E"/>
    <w:rsid w:val="00F30DEB"/>
    <w:rsid w:val="00F3289F"/>
    <w:rsid w:val="00F32E23"/>
    <w:rsid w:val="00F33491"/>
    <w:rsid w:val="00F351CC"/>
    <w:rsid w:val="00F35BEA"/>
    <w:rsid w:val="00F361DE"/>
    <w:rsid w:val="00F402FD"/>
    <w:rsid w:val="00F410C2"/>
    <w:rsid w:val="00F4118E"/>
    <w:rsid w:val="00F414AC"/>
    <w:rsid w:val="00F4293F"/>
    <w:rsid w:val="00F42D6D"/>
    <w:rsid w:val="00F43A8F"/>
    <w:rsid w:val="00F4449B"/>
    <w:rsid w:val="00F45096"/>
    <w:rsid w:val="00F45DF9"/>
    <w:rsid w:val="00F45F4F"/>
    <w:rsid w:val="00F465A3"/>
    <w:rsid w:val="00F46ABF"/>
    <w:rsid w:val="00F472FA"/>
    <w:rsid w:val="00F47C5A"/>
    <w:rsid w:val="00F5062C"/>
    <w:rsid w:val="00F5068A"/>
    <w:rsid w:val="00F50D57"/>
    <w:rsid w:val="00F515AA"/>
    <w:rsid w:val="00F52784"/>
    <w:rsid w:val="00F531DC"/>
    <w:rsid w:val="00F53B4F"/>
    <w:rsid w:val="00F53E8E"/>
    <w:rsid w:val="00F54714"/>
    <w:rsid w:val="00F54B13"/>
    <w:rsid w:val="00F56635"/>
    <w:rsid w:val="00F566B1"/>
    <w:rsid w:val="00F60D78"/>
    <w:rsid w:val="00F61695"/>
    <w:rsid w:val="00F61C85"/>
    <w:rsid w:val="00F61D68"/>
    <w:rsid w:val="00F61FC2"/>
    <w:rsid w:val="00F626E2"/>
    <w:rsid w:val="00F62791"/>
    <w:rsid w:val="00F62972"/>
    <w:rsid w:val="00F66E97"/>
    <w:rsid w:val="00F679AA"/>
    <w:rsid w:val="00F70FEC"/>
    <w:rsid w:val="00F723C5"/>
    <w:rsid w:val="00F73FCC"/>
    <w:rsid w:val="00F74911"/>
    <w:rsid w:val="00F761FE"/>
    <w:rsid w:val="00F764D3"/>
    <w:rsid w:val="00F7696F"/>
    <w:rsid w:val="00F76E36"/>
    <w:rsid w:val="00F77BBF"/>
    <w:rsid w:val="00F820EB"/>
    <w:rsid w:val="00F82159"/>
    <w:rsid w:val="00F82187"/>
    <w:rsid w:val="00F837AA"/>
    <w:rsid w:val="00F84B09"/>
    <w:rsid w:val="00F84E1D"/>
    <w:rsid w:val="00F85153"/>
    <w:rsid w:val="00F85C60"/>
    <w:rsid w:val="00F90C95"/>
    <w:rsid w:val="00F92264"/>
    <w:rsid w:val="00F92447"/>
    <w:rsid w:val="00F92D7C"/>
    <w:rsid w:val="00F9337B"/>
    <w:rsid w:val="00F9403C"/>
    <w:rsid w:val="00F96941"/>
    <w:rsid w:val="00F97D72"/>
    <w:rsid w:val="00FA10B0"/>
    <w:rsid w:val="00FA24A3"/>
    <w:rsid w:val="00FA268F"/>
    <w:rsid w:val="00FA3022"/>
    <w:rsid w:val="00FA3149"/>
    <w:rsid w:val="00FA3B35"/>
    <w:rsid w:val="00FB00FB"/>
    <w:rsid w:val="00FB0211"/>
    <w:rsid w:val="00FB074A"/>
    <w:rsid w:val="00FB0BD0"/>
    <w:rsid w:val="00FB1E34"/>
    <w:rsid w:val="00FB2185"/>
    <w:rsid w:val="00FB267C"/>
    <w:rsid w:val="00FB271C"/>
    <w:rsid w:val="00FB2772"/>
    <w:rsid w:val="00FB50C3"/>
    <w:rsid w:val="00FB5E7D"/>
    <w:rsid w:val="00FB63E6"/>
    <w:rsid w:val="00FB6E39"/>
    <w:rsid w:val="00FC07E5"/>
    <w:rsid w:val="00FC1B2D"/>
    <w:rsid w:val="00FC1C24"/>
    <w:rsid w:val="00FC3471"/>
    <w:rsid w:val="00FC4109"/>
    <w:rsid w:val="00FC58B1"/>
    <w:rsid w:val="00FC5DA9"/>
    <w:rsid w:val="00FD3CAC"/>
    <w:rsid w:val="00FD44FA"/>
    <w:rsid w:val="00FD4D31"/>
    <w:rsid w:val="00FD4EED"/>
    <w:rsid w:val="00FD5075"/>
    <w:rsid w:val="00FD5236"/>
    <w:rsid w:val="00FD58D7"/>
    <w:rsid w:val="00FD64B3"/>
    <w:rsid w:val="00FD7216"/>
    <w:rsid w:val="00FD795D"/>
    <w:rsid w:val="00FE10C1"/>
    <w:rsid w:val="00FE10CB"/>
    <w:rsid w:val="00FE192C"/>
    <w:rsid w:val="00FE250A"/>
    <w:rsid w:val="00FE2599"/>
    <w:rsid w:val="00FE3407"/>
    <w:rsid w:val="00FE42EB"/>
    <w:rsid w:val="00FF0045"/>
    <w:rsid w:val="00FF0AA2"/>
    <w:rsid w:val="00FF36A5"/>
    <w:rsid w:val="00FF4090"/>
    <w:rsid w:val="00FF4559"/>
    <w:rsid w:val="00FF532E"/>
    <w:rsid w:val="00FF5E37"/>
    <w:rsid w:val="00FF645A"/>
    <w:rsid w:val="00FF6C09"/>
    <w:rsid w:val="00FF6D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14:docId w14:val="6401E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ms Rmn" w:eastAsia="Times New Roman" w:hAnsi="Tms Rm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38F8"/>
    <w:pPr>
      <w:tabs>
        <w:tab w:val="left" w:pos="-1440"/>
        <w:tab w:val="left" w:pos="-720"/>
      </w:tabs>
      <w:spacing w:after="240" w:line="264" w:lineRule="auto"/>
      <w:ind w:left="360"/>
    </w:pPr>
    <w:rPr>
      <w:rFonts w:asciiTheme="minorHAnsi" w:hAnsiTheme="minorHAnsi"/>
      <w:sz w:val="22"/>
    </w:rPr>
  </w:style>
  <w:style w:type="paragraph" w:styleId="Heading1">
    <w:name w:val="heading 1"/>
    <w:aliases w:val="_Main body - Heading 1 (section titles)"/>
    <w:next w:val="Text"/>
    <w:uiPriority w:val="1"/>
    <w:qFormat/>
    <w:rsid w:val="00B34B95"/>
    <w:pPr>
      <w:keepNext/>
      <w:numPr>
        <w:numId w:val="2"/>
      </w:numPr>
      <w:tabs>
        <w:tab w:val="right" w:pos="9360"/>
      </w:tabs>
      <w:spacing w:after="720"/>
      <w:outlineLvl w:val="0"/>
    </w:pPr>
    <w:rPr>
      <w:rFonts w:ascii="Arial" w:hAnsi="Arial" w:cs="Microsoft Sans Serif"/>
      <w:b/>
      <w:color w:val="0070CD"/>
      <w:spacing w:val="-12"/>
      <w:kern w:val="16"/>
      <w:sz w:val="48"/>
      <w:szCs w:val="56"/>
    </w:rPr>
  </w:style>
  <w:style w:type="paragraph" w:styleId="Heading2">
    <w:name w:val="heading 2"/>
    <w:aliases w:val="_Main body - Heading 2"/>
    <w:next w:val="Text"/>
    <w:uiPriority w:val="1"/>
    <w:qFormat/>
    <w:rsid w:val="00B34B95"/>
    <w:pPr>
      <w:keepNext/>
      <w:numPr>
        <w:ilvl w:val="1"/>
        <w:numId w:val="2"/>
      </w:numPr>
      <w:spacing w:line="288" w:lineRule="auto"/>
      <w:ind w:left="720" w:hanging="720"/>
      <w:outlineLvl w:val="1"/>
    </w:pPr>
    <w:rPr>
      <w:rFonts w:ascii="Arial" w:hAnsi="Arial" w:cs="Microsoft Sans Serif"/>
      <w:b/>
      <w:color w:val="77BC1F"/>
      <w:spacing w:val="-8"/>
      <w:sz w:val="36"/>
    </w:rPr>
  </w:style>
  <w:style w:type="paragraph" w:styleId="Heading3">
    <w:name w:val="heading 3"/>
    <w:aliases w:val="_Main body - Heading 3"/>
    <w:next w:val="Text"/>
    <w:uiPriority w:val="1"/>
    <w:qFormat/>
    <w:rsid w:val="00B34B95"/>
    <w:pPr>
      <w:keepNext/>
      <w:numPr>
        <w:ilvl w:val="2"/>
        <w:numId w:val="2"/>
      </w:numPr>
      <w:spacing w:before="120" w:line="288" w:lineRule="auto"/>
      <w:ind w:left="720"/>
      <w:outlineLvl w:val="2"/>
    </w:pPr>
    <w:rPr>
      <w:rFonts w:ascii="Arial" w:hAnsi="Arial" w:cs="Microsoft Sans Serif"/>
      <w:b/>
      <w:color w:val="77BC1F"/>
      <w:sz w:val="24"/>
    </w:rPr>
  </w:style>
  <w:style w:type="paragraph" w:styleId="Heading4">
    <w:name w:val="heading 4"/>
    <w:aliases w:val="_Main body - Heading 4"/>
    <w:next w:val="Text"/>
    <w:qFormat/>
    <w:rsid w:val="00A55CCA"/>
    <w:pPr>
      <w:keepNext/>
      <w:numPr>
        <w:ilvl w:val="3"/>
        <w:numId w:val="2"/>
      </w:numPr>
      <w:spacing w:line="288" w:lineRule="auto"/>
      <w:ind w:left="907" w:hanging="907"/>
      <w:outlineLvl w:val="3"/>
    </w:pPr>
    <w:rPr>
      <w:rFonts w:ascii="Arial" w:hAnsi="Arial" w:cs="Microsoft Sans Serif"/>
      <w:b/>
      <w:color w:val="000000"/>
      <w:sz w:val="22"/>
      <w:szCs w:val="22"/>
    </w:rPr>
  </w:style>
  <w:style w:type="paragraph" w:styleId="Heading5">
    <w:name w:val="heading 5"/>
    <w:aliases w:val="_Main body - Heading 5"/>
    <w:next w:val="Text"/>
    <w:qFormat/>
    <w:rsid w:val="00A55CCA"/>
    <w:pPr>
      <w:keepNext/>
      <w:spacing w:line="288" w:lineRule="auto"/>
      <w:outlineLvl w:val="4"/>
    </w:pPr>
    <w:rPr>
      <w:rFonts w:ascii="Arial" w:hAnsi="Arial" w:cs="Microsoft Sans Serif"/>
      <w:b/>
      <w:i/>
      <w:color w:val="292929"/>
      <w:sz w:val="22"/>
      <w:szCs w:val="24"/>
    </w:rPr>
  </w:style>
  <w:style w:type="paragraph" w:styleId="Heading6">
    <w:name w:val="heading 6"/>
    <w:aliases w:val="_z Other - Fine print  (heading 6)"/>
    <w:basedOn w:val="Normal"/>
    <w:next w:val="Normal"/>
    <w:link w:val="Heading6Char"/>
    <w:unhideWhenUsed/>
    <w:qFormat/>
    <w:rsid w:val="0067158D"/>
    <w:pPr>
      <w:ind w:left="0"/>
      <w:outlineLvl w:val="5"/>
    </w:pPr>
    <w:rPr>
      <w:rFonts w:ascii="Arial" w:hAnsi="Arial" w:cs="Arial"/>
      <w:sz w:val="16"/>
      <w:szCs w:val="16"/>
    </w:rPr>
  </w:style>
  <w:style w:type="paragraph" w:styleId="Heading7">
    <w:name w:val="heading 7"/>
    <w:aliases w:val="_z Other - Appendix 1st pg title (heading 7)"/>
    <w:next w:val="Text"/>
    <w:link w:val="Heading7Char"/>
    <w:unhideWhenUsed/>
    <w:qFormat/>
    <w:rsid w:val="00EA2A1F"/>
    <w:pPr>
      <w:keepNext/>
      <w:numPr>
        <w:numId w:val="3"/>
      </w:numPr>
      <w:tabs>
        <w:tab w:val="left" w:pos="2070"/>
      </w:tabs>
      <w:spacing w:after="480"/>
      <w:ind w:left="0"/>
      <w:outlineLvl w:val="6"/>
    </w:pPr>
    <w:rPr>
      <w:rFonts w:ascii="Arial" w:hAnsi="Arial" w:cs="Microsoft Sans Serif"/>
      <w:b/>
      <w:bCs/>
      <w:color w:val="0070CD"/>
      <w:kern w:val="28"/>
      <w:sz w:val="32"/>
      <w:szCs w:val="52"/>
    </w:rPr>
  </w:style>
  <w:style w:type="paragraph" w:styleId="Heading8">
    <w:name w:val="heading 8"/>
    <w:aliases w:val="_z Other - Appendix subhead"/>
    <w:next w:val="Text"/>
    <w:link w:val="Heading8Char"/>
    <w:unhideWhenUsed/>
    <w:qFormat/>
    <w:rsid w:val="00EA2A1F"/>
    <w:pPr>
      <w:numPr>
        <w:ilvl w:val="1"/>
        <w:numId w:val="3"/>
      </w:numPr>
      <w:spacing w:before="240" w:after="60"/>
      <w:outlineLvl w:val="7"/>
    </w:pPr>
    <w:rPr>
      <w:rFonts w:ascii="Arial" w:hAnsi="Arial" w:cs="Microsoft Sans Serif"/>
      <w:b/>
      <w:iCs/>
      <w:color w:val="0070C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_z Other - Footer"/>
    <w:basedOn w:val="Normal"/>
    <w:next w:val="Normal"/>
    <w:link w:val="FooterChar"/>
    <w:rsid w:val="006E01B0"/>
    <w:pPr>
      <w:tabs>
        <w:tab w:val="clear" w:pos="-1440"/>
        <w:tab w:val="clear" w:pos="-720"/>
        <w:tab w:val="center" w:pos="4680"/>
        <w:tab w:val="right" w:pos="9360"/>
      </w:tabs>
    </w:pPr>
    <w:rPr>
      <w:rFonts w:ascii="Arial" w:hAnsi="Arial"/>
      <w:b/>
      <w:color w:val="1673CA"/>
      <w:sz w:val="18"/>
    </w:rPr>
  </w:style>
  <w:style w:type="character" w:styleId="FootnoteReference">
    <w:name w:val="footnote reference"/>
    <w:aliases w:val="o,Footnote_Reference"/>
    <w:basedOn w:val="DefaultParagraphFont"/>
    <w:uiPriority w:val="99"/>
    <w:rsid w:val="001538F8"/>
    <w:rPr>
      <w:rFonts w:ascii="Arial" w:hAnsi="Arial"/>
      <w:position w:val="0"/>
      <w:sz w:val="22"/>
      <w:vertAlign w:val="superscript"/>
    </w:rPr>
  </w:style>
  <w:style w:type="paragraph" w:styleId="FootnoteText">
    <w:name w:val="footnote text"/>
    <w:aliases w:val="Footnote Text1 Char,Footnote Text Char Ch,Footnote Text Char Ch Char Char Char,Footnote Text Char Ch Char Char,Footnote Text1 Char Char Char"/>
    <w:basedOn w:val="Normal"/>
    <w:link w:val="FootnoteTextChar"/>
    <w:uiPriority w:val="99"/>
    <w:rsid w:val="00BE612D"/>
    <w:pPr>
      <w:tabs>
        <w:tab w:val="clear" w:pos="-1440"/>
        <w:tab w:val="clear" w:pos="-720"/>
      </w:tabs>
      <w:spacing w:after="120" w:line="240" w:lineRule="auto"/>
      <w:ind w:left="0"/>
    </w:pPr>
    <w:rPr>
      <w:rFonts w:ascii="Arial" w:hAnsi="Arial"/>
      <w:color w:val="4D4D4D"/>
      <w:sz w:val="16"/>
    </w:rPr>
  </w:style>
  <w:style w:type="paragraph" w:customStyle="1" w:styleId="Tables-Bullets">
    <w:name w:val="_Tables - Bullets"/>
    <w:qFormat/>
    <w:rsid w:val="00A55CCA"/>
    <w:pPr>
      <w:numPr>
        <w:numId w:val="5"/>
      </w:numPr>
      <w:spacing w:after="120" w:line="288" w:lineRule="auto"/>
    </w:pPr>
    <w:rPr>
      <w:rFonts w:ascii="Arial" w:hAnsi="Arial" w:cs="Microsoft Sans Serif"/>
      <w:color w:val="333333"/>
      <w:sz w:val="22"/>
      <w:szCs w:val="22"/>
    </w:rPr>
  </w:style>
  <w:style w:type="paragraph" w:styleId="Header">
    <w:name w:val="header"/>
    <w:aliases w:val="_z Other - Header"/>
    <w:basedOn w:val="Normal"/>
    <w:link w:val="HeaderChar"/>
    <w:uiPriority w:val="99"/>
    <w:rsid w:val="00306094"/>
    <w:pPr>
      <w:pBdr>
        <w:bottom w:val="single" w:sz="4" w:space="1" w:color="1673CA"/>
      </w:pBdr>
      <w:tabs>
        <w:tab w:val="clear" w:pos="-1440"/>
        <w:tab w:val="clear" w:pos="-720"/>
        <w:tab w:val="center" w:pos="4680"/>
        <w:tab w:val="right" w:pos="9360"/>
      </w:tabs>
      <w:spacing w:after="0" w:line="240" w:lineRule="auto"/>
      <w:ind w:left="0"/>
    </w:pPr>
    <w:rPr>
      <w:rFonts w:ascii="Arial" w:hAnsi="Arial" w:cs="Arial"/>
      <w:caps/>
      <w:color w:val="1673CA"/>
      <w:spacing w:val="6"/>
      <w:sz w:val="18"/>
      <w:szCs w:val="18"/>
    </w:rPr>
  </w:style>
  <w:style w:type="character" w:customStyle="1" w:styleId="HeaderChar">
    <w:name w:val="Header Char"/>
    <w:aliases w:val="_z Other - Header Char"/>
    <w:basedOn w:val="DefaultParagraphFont"/>
    <w:link w:val="Header"/>
    <w:uiPriority w:val="99"/>
    <w:rsid w:val="00306094"/>
    <w:rPr>
      <w:rFonts w:ascii="Arial" w:hAnsi="Arial" w:cs="Arial"/>
      <w:caps/>
      <w:color w:val="1673CA"/>
      <w:spacing w:val="6"/>
      <w:sz w:val="18"/>
      <w:szCs w:val="18"/>
    </w:rPr>
  </w:style>
  <w:style w:type="paragraph" w:customStyle="1" w:styleId="Tables-Headingcells">
    <w:name w:val="_Tables - Heading cells"/>
    <w:qFormat/>
    <w:rsid w:val="00A55CCA"/>
    <w:pPr>
      <w:keepNext/>
      <w:tabs>
        <w:tab w:val="left" w:pos="-1440"/>
        <w:tab w:val="left" w:pos="-720"/>
        <w:tab w:val="center" w:pos="720"/>
      </w:tabs>
      <w:spacing w:before="60" w:after="60" w:line="264" w:lineRule="auto"/>
      <w:jc w:val="center"/>
    </w:pPr>
    <w:rPr>
      <w:rFonts w:ascii="Arial" w:hAnsi="Arial" w:cs="Microsoft Sans Serif"/>
      <w:b/>
      <w:bCs/>
      <w:noProof/>
      <w:color w:val="FFFFFF"/>
      <w:sz w:val="18"/>
    </w:rPr>
  </w:style>
  <w:style w:type="character" w:styleId="PageNumber">
    <w:name w:val="page number"/>
    <w:aliases w:val="_z Other - Page Number"/>
    <w:basedOn w:val="DefaultParagraphFont"/>
    <w:rsid w:val="00D67135"/>
    <w:rPr>
      <w:sz w:val="20"/>
    </w:rPr>
  </w:style>
  <w:style w:type="paragraph" w:styleId="TOC1">
    <w:name w:val="toc 1"/>
    <w:aliases w:val="_Intro Pages - TOC 1"/>
    <w:next w:val="Normal"/>
    <w:autoRedefine/>
    <w:uiPriority w:val="39"/>
    <w:rsid w:val="00F241D3"/>
    <w:pPr>
      <w:tabs>
        <w:tab w:val="left" w:pos="360"/>
        <w:tab w:val="right" w:leader="dot" w:pos="9350"/>
      </w:tabs>
      <w:spacing w:before="600" w:line="264" w:lineRule="auto"/>
      <w:ind w:left="360" w:hanging="360"/>
    </w:pPr>
    <w:rPr>
      <w:rFonts w:ascii="Arial" w:hAnsi="Arial" w:cs="Arial"/>
      <w:b/>
      <w:bCs/>
      <w:noProof/>
      <w:snapToGrid w:val="0"/>
      <w:color w:val="0070CD"/>
      <w:w w:val="0"/>
      <w:sz w:val="28"/>
      <w:szCs w:val="22"/>
    </w:rPr>
  </w:style>
  <w:style w:type="paragraph" w:styleId="TOC2">
    <w:name w:val="toc 2"/>
    <w:aliases w:val="_Intro Pages - TOC 2"/>
    <w:next w:val="Normal"/>
    <w:autoRedefine/>
    <w:uiPriority w:val="39"/>
    <w:rsid w:val="00F761FE"/>
    <w:pPr>
      <w:tabs>
        <w:tab w:val="left" w:pos="1260"/>
        <w:tab w:val="right" w:leader="dot" w:pos="9350"/>
      </w:tabs>
      <w:spacing w:before="60" w:line="300" w:lineRule="auto"/>
      <w:ind w:left="1267" w:hanging="547"/>
    </w:pPr>
    <w:rPr>
      <w:rFonts w:ascii="Arial" w:hAnsi="Arial"/>
      <w:b/>
      <w:noProof/>
      <w:color w:val="292929"/>
      <w:sz w:val="24"/>
    </w:rPr>
  </w:style>
  <w:style w:type="paragraph" w:styleId="TOC3">
    <w:name w:val="toc 3"/>
    <w:aliases w:val="_Intro pages - TOC 3"/>
    <w:next w:val="Normal"/>
    <w:autoRedefine/>
    <w:uiPriority w:val="39"/>
    <w:rsid w:val="00F761FE"/>
    <w:pPr>
      <w:tabs>
        <w:tab w:val="left" w:pos="1980"/>
        <w:tab w:val="right" w:leader="dot" w:pos="9350"/>
      </w:tabs>
      <w:spacing w:line="300" w:lineRule="auto"/>
      <w:ind w:left="1980" w:hanging="713"/>
    </w:pPr>
    <w:rPr>
      <w:rFonts w:ascii="Arial" w:hAnsi="Arial"/>
      <w:iCs/>
      <w:noProof/>
      <w:color w:val="292929"/>
      <w:sz w:val="24"/>
    </w:rPr>
  </w:style>
  <w:style w:type="paragraph" w:styleId="TOC4">
    <w:name w:val="toc 4"/>
    <w:aliases w:val="_Intro Pages - TOC 4"/>
    <w:next w:val="Normal"/>
    <w:autoRedefine/>
    <w:uiPriority w:val="39"/>
    <w:rsid w:val="005F4B44"/>
    <w:pPr>
      <w:tabs>
        <w:tab w:val="left" w:pos="2700"/>
        <w:tab w:val="right" w:leader="dot" w:pos="9350"/>
      </w:tabs>
      <w:spacing w:line="300" w:lineRule="auto"/>
      <w:ind w:left="2707" w:hanging="907"/>
    </w:pPr>
    <w:rPr>
      <w:rFonts w:ascii="Arial" w:hAnsi="Arial"/>
      <w:i/>
      <w:noProof/>
      <w:color w:val="292929"/>
      <w:sz w:val="24"/>
      <w:szCs w:val="18"/>
    </w:rPr>
  </w:style>
  <w:style w:type="paragraph" w:styleId="TOC6">
    <w:name w:val="toc 6"/>
    <w:basedOn w:val="Normal"/>
    <w:next w:val="Normal"/>
    <w:autoRedefine/>
    <w:uiPriority w:val="39"/>
    <w:rsid w:val="000F1001"/>
    <w:pPr>
      <w:tabs>
        <w:tab w:val="clear" w:pos="-1440"/>
        <w:tab w:val="clear" w:pos="-720"/>
      </w:tabs>
      <w:ind w:left="1200"/>
    </w:pPr>
    <w:rPr>
      <w:rFonts w:ascii="Arial" w:hAnsi="Arial"/>
      <w:sz w:val="18"/>
      <w:szCs w:val="18"/>
    </w:rPr>
  </w:style>
  <w:style w:type="character" w:styleId="Hyperlink">
    <w:name w:val="Hyperlink"/>
    <w:aliases w:val="_z Other - Hyperlink"/>
    <w:basedOn w:val="DefaultParagraphFont"/>
    <w:uiPriority w:val="99"/>
    <w:rsid w:val="00E97C0C"/>
    <w:rPr>
      <w:color w:val="0000FF"/>
      <w:u w:val="single"/>
    </w:rPr>
  </w:style>
  <w:style w:type="paragraph" w:customStyle="1" w:styleId="Titlepage-RFPnumber">
    <w:name w:val="_Title page - RFP number"/>
    <w:qFormat/>
    <w:rsid w:val="00146723"/>
    <w:pPr>
      <w:spacing w:after="120" w:line="264" w:lineRule="auto"/>
      <w:ind w:right="-187"/>
    </w:pPr>
    <w:rPr>
      <w:rFonts w:ascii="Arial" w:hAnsi="Arial" w:cs="Arial"/>
      <w:color w:val="7F7F7F" w:themeColor="text1" w:themeTint="80"/>
      <w:sz w:val="32"/>
      <w:szCs w:val="32"/>
    </w:rPr>
  </w:style>
  <w:style w:type="paragraph" w:styleId="Caption">
    <w:name w:val="caption"/>
    <w:aliases w:val="_Main body - Caption figure,_Main body - Caption,Caption Char,Table Caption,Podpis nad obiektem,Char, Char,Figure"/>
    <w:next w:val="Text"/>
    <w:link w:val="CaptionChar1"/>
    <w:unhideWhenUsed/>
    <w:qFormat/>
    <w:rsid w:val="00B34B95"/>
    <w:pPr>
      <w:keepNext/>
      <w:jc w:val="center"/>
    </w:pPr>
    <w:rPr>
      <w:rFonts w:ascii="Arial" w:hAnsi="Arial" w:cs="Microsoft Sans Serif"/>
      <w:b/>
      <w:color w:val="0070CD"/>
      <w:sz w:val="22"/>
    </w:rPr>
  </w:style>
  <w:style w:type="paragraph" w:customStyle="1" w:styleId="Intropages-tableofcontentstitle">
    <w:name w:val="_Intro pages - table of contents title"/>
    <w:next w:val="Text"/>
    <w:qFormat/>
    <w:rsid w:val="00F241D3"/>
    <w:pPr>
      <w:shd w:val="clear" w:color="auto" w:fill="FFFFFF" w:themeFill="background1"/>
      <w:ind w:left="1170" w:hanging="1170"/>
    </w:pPr>
    <w:rPr>
      <w:rFonts w:ascii="Arial" w:hAnsi="Arial"/>
      <w:b/>
      <w:noProof/>
      <w:color w:val="0070CD"/>
      <w:spacing w:val="-10"/>
      <w:kern w:val="28"/>
      <w:sz w:val="48"/>
    </w:rPr>
  </w:style>
  <w:style w:type="paragraph" w:styleId="TOCHeading">
    <w:name w:val="TOC Heading"/>
    <w:basedOn w:val="Heading1"/>
    <w:next w:val="Normal"/>
    <w:uiPriority w:val="39"/>
    <w:semiHidden/>
    <w:unhideWhenUsed/>
    <w:qFormat/>
    <w:rsid w:val="00FE42EB"/>
    <w:pPr>
      <w:keepLines/>
      <w:numPr>
        <w:numId w:val="0"/>
      </w:numPr>
      <w:tabs>
        <w:tab w:val="clear" w:pos="9360"/>
        <w:tab w:val="num" w:pos="1620"/>
        <w:tab w:val="num" w:pos="2160"/>
      </w:tabs>
      <w:spacing w:before="480" w:after="0" w:line="276" w:lineRule="auto"/>
      <w:outlineLvl w:val="9"/>
    </w:pPr>
    <w:rPr>
      <w:rFonts w:ascii="Cambria" w:hAnsi="Cambria"/>
      <w:bCs/>
      <w:color w:val="365F91"/>
      <w:kern w:val="0"/>
      <w:sz w:val="28"/>
      <w:szCs w:val="28"/>
    </w:rPr>
  </w:style>
  <w:style w:type="table" w:styleId="TableGrid1">
    <w:name w:val="Table Grid 1"/>
    <w:basedOn w:val="TableNormal"/>
    <w:rsid w:val="00025639"/>
    <w:pPr>
      <w:tabs>
        <w:tab w:val="left" w:pos="-1440"/>
        <w:tab w:val="left" w:pos="-720"/>
      </w:tabs>
      <w:spacing w:after="240" w:line="264" w:lineRule="auto"/>
      <w:ind w:left="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7Char">
    <w:name w:val="Heading 7 Char"/>
    <w:aliases w:val="_z Other - Appendix 1st pg title (heading 7) Char"/>
    <w:basedOn w:val="DefaultParagraphFont"/>
    <w:link w:val="Heading7"/>
    <w:rsid w:val="00EA2A1F"/>
    <w:rPr>
      <w:rFonts w:ascii="Arial" w:hAnsi="Arial" w:cs="Microsoft Sans Serif"/>
      <w:b/>
      <w:bCs/>
      <w:color w:val="0070CD"/>
      <w:kern w:val="28"/>
      <w:sz w:val="32"/>
      <w:szCs w:val="52"/>
    </w:rPr>
  </w:style>
  <w:style w:type="character" w:customStyle="1" w:styleId="FooterChar">
    <w:name w:val="Footer Char"/>
    <w:aliases w:val="_z Other - Footer Char"/>
    <w:basedOn w:val="DefaultParagraphFont"/>
    <w:link w:val="Footer"/>
    <w:rsid w:val="006E01B0"/>
    <w:rPr>
      <w:rFonts w:ascii="Arial" w:hAnsi="Arial"/>
      <w:b/>
      <w:color w:val="1673CA"/>
      <w:sz w:val="18"/>
    </w:rPr>
  </w:style>
  <w:style w:type="character" w:customStyle="1" w:styleId="Heading6Char">
    <w:name w:val="Heading 6 Char"/>
    <w:aliases w:val="_z Other - Fine print  (heading 6) Char"/>
    <w:basedOn w:val="DefaultParagraphFont"/>
    <w:link w:val="Heading6"/>
    <w:uiPriority w:val="9"/>
    <w:rsid w:val="0067158D"/>
    <w:rPr>
      <w:rFonts w:ascii="Arial" w:hAnsi="Arial" w:cs="Arial"/>
      <w:sz w:val="16"/>
      <w:szCs w:val="16"/>
    </w:rPr>
  </w:style>
  <w:style w:type="paragraph" w:customStyle="1" w:styleId="zOther-Lastpageaddress">
    <w:name w:val="_z Other - Last page address"/>
    <w:qFormat/>
    <w:rsid w:val="002B0EE5"/>
    <w:pPr>
      <w:spacing w:line="360" w:lineRule="auto"/>
      <w:jc w:val="center"/>
    </w:pPr>
    <w:rPr>
      <w:rFonts w:ascii="Arial" w:hAnsi="Arial" w:cs="Arial"/>
      <w:color w:val="333333"/>
      <w:sz w:val="32"/>
      <w:szCs w:val="22"/>
    </w:rPr>
  </w:style>
  <w:style w:type="character" w:customStyle="1" w:styleId="Heading8Char">
    <w:name w:val="Heading 8 Char"/>
    <w:aliases w:val="_z Other - Appendix subhead Char"/>
    <w:basedOn w:val="DefaultParagraphFont"/>
    <w:link w:val="Heading8"/>
    <w:rsid w:val="00EA2A1F"/>
    <w:rPr>
      <w:rFonts w:ascii="Arial" w:hAnsi="Arial" w:cs="Microsoft Sans Serif"/>
      <w:b/>
      <w:iCs/>
      <w:color w:val="0070CD"/>
      <w:sz w:val="24"/>
      <w:szCs w:val="24"/>
    </w:rPr>
  </w:style>
  <w:style w:type="table" w:styleId="TableGrid">
    <w:name w:val="Table Grid"/>
    <w:aliases w:val="Hrztl Table,Nexant Table"/>
    <w:basedOn w:val="TableNormal"/>
    <w:uiPriority w:val="59"/>
    <w:rsid w:val="00250E90"/>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s-Bodycells">
    <w:name w:val="_Tables - Body cells"/>
    <w:qFormat/>
    <w:rsid w:val="00A55CCA"/>
    <w:pPr>
      <w:keepNext/>
      <w:tabs>
        <w:tab w:val="left" w:pos="-1440"/>
        <w:tab w:val="left" w:pos="-720"/>
        <w:tab w:val="center" w:pos="720"/>
      </w:tabs>
      <w:spacing w:before="40" w:after="40" w:line="288" w:lineRule="auto"/>
    </w:pPr>
    <w:rPr>
      <w:rFonts w:ascii="Arial" w:hAnsi="Arial" w:cs="Microsoft Sans Serif"/>
      <w:sz w:val="18"/>
    </w:rPr>
  </w:style>
  <w:style w:type="numbering" w:customStyle="1" w:styleId="n">
    <w:name w:val="n"/>
    <w:aliases w:val="number"/>
    <w:basedOn w:val="NoList"/>
    <w:rsid w:val="00454747"/>
    <w:pPr>
      <w:numPr>
        <w:numId w:val="1"/>
      </w:numPr>
    </w:pPr>
  </w:style>
  <w:style w:type="character" w:styleId="PlaceholderText">
    <w:name w:val="Placeholder Text"/>
    <w:basedOn w:val="DefaultParagraphFont"/>
    <w:uiPriority w:val="99"/>
    <w:semiHidden/>
    <w:rsid w:val="004B59EE"/>
    <w:rPr>
      <w:color w:val="808080"/>
    </w:rPr>
  </w:style>
  <w:style w:type="table" w:customStyle="1" w:styleId="NEXANTNEWTABLESTYLE">
    <w:name w:val="NEXANT NEW TABLE STYLE"/>
    <w:basedOn w:val="TableNormal"/>
    <w:uiPriority w:val="99"/>
    <w:rsid w:val="00EA2A1F"/>
    <w:pPr>
      <w:tabs>
        <w:tab w:val="center" w:pos="720"/>
      </w:tabs>
    </w:pPr>
    <w:tblPr>
      <w:tblBorders>
        <w:top w:val="single" w:sz="4" w:space="0" w:color="1673CA"/>
        <w:bottom w:val="single" w:sz="4" w:space="0" w:color="1673CA"/>
        <w:insideH w:val="single" w:sz="4" w:space="0" w:color="1673CA"/>
        <w:insideV w:val="dotted" w:sz="4" w:space="0" w:color="1673CA"/>
      </w:tblBorders>
    </w:tblPr>
    <w:tblStylePr w:type="firstRow">
      <w:pPr>
        <w:jc w:val="center"/>
      </w:pPr>
      <w:rPr>
        <w:rFonts w:ascii="Calibri" w:hAnsi="Calibri"/>
        <w:b/>
        <w:color w:val="FFFFFF" w:themeColor="background1"/>
      </w:rPr>
      <w:tblPr/>
      <w:tcPr>
        <w:shd w:val="clear" w:color="auto" w:fill="0070CD"/>
      </w:tcPr>
    </w:tblStylePr>
  </w:style>
  <w:style w:type="character" w:styleId="EndnoteReference">
    <w:name w:val="endnote reference"/>
    <w:aliases w:val="_z Other - Endnote reference"/>
    <w:basedOn w:val="DefaultParagraphFont"/>
    <w:rsid w:val="00D43BAE"/>
    <w:rPr>
      <w:rFonts w:ascii="Arial" w:hAnsi="Arial"/>
      <w:vertAlign w:val="superscript"/>
    </w:rPr>
  </w:style>
  <w:style w:type="paragraph" w:styleId="Title">
    <w:name w:val="Title"/>
    <w:aliases w:val="_Title page - main title"/>
    <w:basedOn w:val="Normal"/>
    <w:next w:val="Titlepage-clientandsubctr"/>
    <w:link w:val="TitleChar"/>
    <w:uiPriority w:val="10"/>
    <w:qFormat/>
    <w:rsid w:val="00F241D3"/>
    <w:pPr>
      <w:spacing w:before="6960" w:after="300" w:line="216" w:lineRule="auto"/>
      <w:ind w:left="0"/>
    </w:pPr>
    <w:rPr>
      <w:rFonts w:ascii="Arial" w:eastAsia="MS Gothic" w:hAnsi="Arial"/>
      <w:color w:val="0070CD"/>
      <w:spacing w:val="5"/>
      <w:kern w:val="28"/>
      <w:sz w:val="56"/>
      <w:szCs w:val="52"/>
    </w:rPr>
  </w:style>
  <w:style w:type="character" w:customStyle="1" w:styleId="TitleChar">
    <w:name w:val="Title Char"/>
    <w:aliases w:val="_Title page - main title Char"/>
    <w:basedOn w:val="DefaultParagraphFont"/>
    <w:link w:val="Title"/>
    <w:uiPriority w:val="10"/>
    <w:rsid w:val="00F241D3"/>
    <w:rPr>
      <w:rFonts w:ascii="Arial" w:eastAsia="MS Gothic" w:hAnsi="Arial"/>
      <w:color w:val="0070CD"/>
      <w:spacing w:val="5"/>
      <w:kern w:val="28"/>
      <w:sz w:val="56"/>
      <w:szCs w:val="52"/>
    </w:rPr>
  </w:style>
  <w:style w:type="table" w:customStyle="1" w:styleId="HrztlTable1">
    <w:name w:val="Hrztl Table1"/>
    <w:basedOn w:val="TableNormal"/>
    <w:next w:val="TableGrid"/>
    <w:uiPriority w:val="59"/>
    <w:rsid w:val="003105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Classic2">
    <w:name w:val="Table Classic 2"/>
    <w:basedOn w:val="TableNormal"/>
    <w:rsid w:val="00E50165"/>
    <w:pPr>
      <w:tabs>
        <w:tab w:val="left" w:pos="-1440"/>
        <w:tab w:val="left" w:pos="-720"/>
      </w:tabs>
      <w:spacing w:after="240" w:line="264" w:lineRule="auto"/>
      <w:ind w:left="36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itlepage-topleft">
    <w:name w:val="_Title page - top left"/>
    <w:qFormat/>
    <w:rsid w:val="00F241D3"/>
    <w:rPr>
      <w:rFonts w:asciiTheme="minorHAnsi" w:hAnsiTheme="minorHAnsi"/>
      <w:b/>
      <w:color w:val="77BC1F"/>
      <w:sz w:val="36"/>
      <w:szCs w:val="36"/>
    </w:rPr>
  </w:style>
  <w:style w:type="paragraph" w:customStyle="1" w:styleId="Text-nospacebelow">
    <w:name w:val="__Text - no space below"/>
    <w:basedOn w:val="Text"/>
    <w:next w:val="Text"/>
    <w:qFormat/>
    <w:rsid w:val="009576C4"/>
    <w:pPr>
      <w:spacing w:after="0"/>
    </w:pPr>
  </w:style>
  <w:style w:type="paragraph" w:customStyle="1" w:styleId="Titlepage-clientandsubctr">
    <w:name w:val="_Title page - client and subctr"/>
    <w:qFormat/>
    <w:rsid w:val="00B76D64"/>
    <w:pPr>
      <w:spacing w:after="120" w:line="264" w:lineRule="auto"/>
    </w:pPr>
    <w:rPr>
      <w:rFonts w:ascii="Arial" w:hAnsi="Arial" w:cs="Arial"/>
      <w:color w:val="7F7F7F" w:themeColor="text1" w:themeTint="80"/>
      <w:sz w:val="40"/>
    </w:rPr>
  </w:style>
  <w:style w:type="paragraph" w:customStyle="1" w:styleId="Text">
    <w:name w:val="__Text"/>
    <w:qFormat/>
    <w:rsid w:val="00006602"/>
    <w:pPr>
      <w:spacing w:after="240" w:line="288" w:lineRule="auto"/>
    </w:pPr>
    <w:rPr>
      <w:rFonts w:ascii="Arial" w:hAnsi="Arial" w:cs="Arial"/>
      <w:color w:val="333333"/>
      <w:sz w:val="22"/>
      <w:szCs w:val="22"/>
    </w:rPr>
  </w:style>
  <w:style w:type="paragraph" w:customStyle="1" w:styleId="Intropages-coverlettersubjectline">
    <w:name w:val="_Intro pages - cover letter subject line"/>
    <w:next w:val="Text"/>
    <w:qFormat/>
    <w:rsid w:val="00F241D3"/>
    <w:pPr>
      <w:spacing w:after="240"/>
    </w:pPr>
    <w:rPr>
      <w:rFonts w:ascii="Arial" w:hAnsi="Arial" w:cs="Arial"/>
      <w:b/>
      <w:color w:val="0070CD"/>
      <w:sz w:val="22"/>
      <w:szCs w:val="18"/>
    </w:rPr>
  </w:style>
  <w:style w:type="paragraph" w:customStyle="1" w:styleId="zOther-Internalnotes">
    <w:name w:val="_z Other - Internal notes"/>
    <w:qFormat/>
    <w:rsid w:val="004E1E10"/>
    <w:pPr>
      <w:spacing w:line="264" w:lineRule="auto"/>
    </w:pPr>
    <w:rPr>
      <w:rFonts w:ascii="Arial" w:hAnsi="Arial" w:cs="Arial"/>
      <w:b/>
      <w:color w:val="FF0000"/>
      <w:sz w:val="22"/>
      <w:szCs w:val="18"/>
    </w:rPr>
  </w:style>
  <w:style w:type="paragraph" w:customStyle="1" w:styleId="Intropages-reimaginetext">
    <w:name w:val="_Intro pages - reimagine text"/>
    <w:qFormat/>
    <w:rsid w:val="00F241D3"/>
    <w:pPr>
      <w:spacing w:line="300" w:lineRule="auto"/>
    </w:pPr>
    <w:rPr>
      <w:rFonts w:ascii="Arial" w:hAnsi="Arial" w:cs="Microsoft Sans Serif"/>
      <w:color w:val="0070CD"/>
      <w:sz w:val="24"/>
      <w:szCs w:val="24"/>
    </w:rPr>
  </w:style>
  <w:style w:type="paragraph" w:customStyle="1" w:styleId="Mainbody-Bullets">
    <w:name w:val="_Main body - Bullets"/>
    <w:qFormat/>
    <w:rsid w:val="00006602"/>
    <w:pPr>
      <w:numPr>
        <w:numId w:val="4"/>
      </w:numPr>
      <w:spacing w:after="120" w:line="264" w:lineRule="auto"/>
    </w:pPr>
    <w:rPr>
      <w:rFonts w:ascii="Arial" w:hAnsi="Arial" w:cs="Microsoft Sans Serif"/>
      <w:color w:val="333333"/>
      <w:sz w:val="22"/>
      <w:szCs w:val="22"/>
    </w:rPr>
  </w:style>
  <w:style w:type="character" w:customStyle="1" w:styleId="zOther-Crossrefintext">
    <w:name w:val="_zOther - Cross ref in text"/>
    <w:uiPriority w:val="1"/>
    <w:qFormat/>
    <w:rsid w:val="00B64965"/>
    <w:rPr>
      <w:color w:val="0070C0"/>
    </w:rPr>
  </w:style>
  <w:style w:type="paragraph" w:customStyle="1" w:styleId="Mainbody-Bulletsoutforlastbullet">
    <w:name w:val="_Main body - Bullets out (for last bullet)"/>
    <w:basedOn w:val="Mainbody-Bullets"/>
    <w:next w:val="Text"/>
    <w:qFormat/>
    <w:rsid w:val="00C76B12"/>
    <w:pPr>
      <w:spacing w:after="240"/>
    </w:pPr>
  </w:style>
  <w:style w:type="paragraph" w:customStyle="1" w:styleId="Mainbody-Outline">
    <w:name w:val="_Main body - Outline"/>
    <w:qFormat/>
    <w:rsid w:val="00A55CCA"/>
    <w:pPr>
      <w:numPr>
        <w:numId w:val="9"/>
      </w:numPr>
      <w:spacing w:after="120" w:line="288" w:lineRule="auto"/>
    </w:pPr>
    <w:rPr>
      <w:rFonts w:ascii="Arial" w:hAnsi="Arial" w:cs="Microsoft Sans Serif"/>
      <w:color w:val="333333"/>
      <w:sz w:val="22"/>
      <w:szCs w:val="22"/>
    </w:rPr>
  </w:style>
  <w:style w:type="paragraph" w:customStyle="1" w:styleId="Mainbody-Outlineoutextraspaceafterlastitem">
    <w:name w:val="_Main body - Outline out (extra space after last item)"/>
    <w:basedOn w:val="Mainbody-Outline"/>
    <w:next w:val="Text"/>
    <w:qFormat/>
    <w:rsid w:val="00A55CCA"/>
    <w:pPr>
      <w:spacing w:after="280"/>
    </w:pPr>
  </w:style>
  <w:style w:type="paragraph" w:customStyle="1" w:styleId="Mainbody-Captiontable">
    <w:name w:val="_Main body - Caption table"/>
    <w:next w:val="Text"/>
    <w:qFormat/>
    <w:rsid w:val="00901BE2"/>
    <w:pPr>
      <w:keepNext/>
      <w:spacing w:line="288" w:lineRule="auto"/>
      <w:jc w:val="center"/>
    </w:pPr>
    <w:rPr>
      <w:rFonts w:ascii="Arial" w:hAnsi="Arial" w:cs="Microsoft Sans Serif"/>
      <w:b/>
      <w:color w:val="0070CD"/>
      <w:sz w:val="22"/>
    </w:rPr>
  </w:style>
  <w:style w:type="paragraph" w:customStyle="1" w:styleId="Mainbody-Captionequation">
    <w:name w:val="_Main body - Caption equation"/>
    <w:next w:val="Text"/>
    <w:qFormat/>
    <w:rsid w:val="00434B26"/>
    <w:pPr>
      <w:keepNext/>
      <w:spacing w:line="288" w:lineRule="auto"/>
      <w:jc w:val="center"/>
    </w:pPr>
    <w:rPr>
      <w:rFonts w:ascii="Arial" w:hAnsi="Arial" w:cs="Microsoft Sans Serif"/>
      <w:b/>
      <w:color w:val="0070CD"/>
      <w:sz w:val="22"/>
    </w:rPr>
  </w:style>
  <w:style w:type="paragraph" w:customStyle="1" w:styleId="IntroPages-Listoffiguresbody">
    <w:name w:val="_Intro Pages - List of figures body"/>
    <w:basedOn w:val="Normal"/>
    <w:qFormat/>
    <w:rsid w:val="001E3C20"/>
    <w:pPr>
      <w:tabs>
        <w:tab w:val="clear" w:pos="-1440"/>
        <w:tab w:val="clear" w:pos="-720"/>
        <w:tab w:val="right" w:leader="dot" w:pos="9350"/>
      </w:tabs>
      <w:spacing w:after="0" w:line="288" w:lineRule="auto"/>
      <w:ind w:left="0"/>
    </w:pPr>
    <w:rPr>
      <w:rFonts w:ascii="Arial" w:hAnsi="Arial"/>
      <w:noProof/>
    </w:rPr>
  </w:style>
  <w:style w:type="paragraph" w:customStyle="1" w:styleId="Titlepage-Date">
    <w:name w:val="_Title page - Date"/>
    <w:qFormat/>
    <w:rsid w:val="001B7E62"/>
    <w:pPr>
      <w:spacing w:after="60" w:line="288" w:lineRule="auto"/>
    </w:pPr>
    <w:rPr>
      <w:rFonts w:ascii="Arial" w:eastAsia="Adobe Heiti Std R" w:hAnsi="Arial" w:cs="Arial"/>
      <w:color w:val="7F7F7F" w:themeColor="text1" w:themeTint="80"/>
      <w:sz w:val="32"/>
      <w:szCs w:val="32"/>
    </w:rPr>
  </w:style>
  <w:style w:type="paragraph" w:customStyle="1" w:styleId="Mainbody-Projectname">
    <w:name w:val="_Main body - Project name"/>
    <w:next w:val="Text"/>
    <w:qFormat/>
    <w:rsid w:val="00757707"/>
    <w:pPr>
      <w:spacing w:after="60" w:line="264" w:lineRule="auto"/>
    </w:pPr>
    <w:rPr>
      <w:rFonts w:ascii="Arial" w:hAnsi="Arial" w:cs="Microsoft Sans Serif"/>
      <w:b/>
      <w:color w:val="0070CD"/>
      <w:sz w:val="24"/>
      <w:szCs w:val="22"/>
    </w:rPr>
  </w:style>
  <w:style w:type="paragraph" w:customStyle="1" w:styleId="Mainbody-Staffbiotitle">
    <w:name w:val="_Main body - Staff bio title"/>
    <w:next w:val="Text"/>
    <w:qFormat/>
    <w:rsid w:val="00A55CCA"/>
    <w:pPr>
      <w:spacing w:after="60" w:line="288" w:lineRule="auto"/>
    </w:pPr>
    <w:rPr>
      <w:rFonts w:ascii="Arial" w:hAnsi="Arial"/>
      <w:b/>
      <w:bCs/>
      <w:caps/>
      <w:noProof/>
      <w:color w:val="333333"/>
      <w:sz w:val="22"/>
      <w:szCs w:val="28"/>
    </w:rPr>
  </w:style>
  <w:style w:type="paragraph" w:styleId="BalloonText">
    <w:name w:val="Balloon Text"/>
    <w:basedOn w:val="Normal"/>
    <w:link w:val="BalloonTextChar"/>
    <w:rsid w:val="00AA6D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A6D92"/>
    <w:rPr>
      <w:rFonts w:ascii="Tahoma" w:hAnsi="Tahoma" w:cs="Tahoma"/>
      <w:sz w:val="16"/>
      <w:szCs w:val="16"/>
    </w:rPr>
  </w:style>
  <w:style w:type="paragraph" w:customStyle="1" w:styleId="IntroPages-Listoffiguresheadings">
    <w:name w:val="_Intro Pages - List of figures headings"/>
    <w:basedOn w:val="Text"/>
    <w:next w:val="IntroPages-Listoffiguresbody"/>
    <w:qFormat/>
    <w:rsid w:val="00F241D3"/>
    <w:pPr>
      <w:spacing w:after="60"/>
    </w:pPr>
    <w:rPr>
      <w:b/>
      <w:color w:val="0070CD"/>
      <w:sz w:val="28"/>
    </w:rPr>
  </w:style>
  <w:style w:type="character" w:styleId="CommentReference">
    <w:name w:val="annotation reference"/>
    <w:basedOn w:val="DefaultParagraphFont"/>
    <w:uiPriority w:val="99"/>
    <w:rsid w:val="00EE455B"/>
    <w:rPr>
      <w:sz w:val="16"/>
      <w:szCs w:val="16"/>
    </w:rPr>
  </w:style>
  <w:style w:type="paragraph" w:styleId="CommentText">
    <w:name w:val="annotation text"/>
    <w:basedOn w:val="Normal"/>
    <w:link w:val="CommentTextChar"/>
    <w:uiPriority w:val="99"/>
    <w:rsid w:val="00EE455B"/>
    <w:pPr>
      <w:spacing w:line="240" w:lineRule="auto"/>
    </w:pPr>
    <w:rPr>
      <w:sz w:val="20"/>
    </w:rPr>
  </w:style>
  <w:style w:type="character" w:customStyle="1" w:styleId="CommentTextChar">
    <w:name w:val="Comment Text Char"/>
    <w:basedOn w:val="DefaultParagraphFont"/>
    <w:link w:val="CommentText"/>
    <w:uiPriority w:val="99"/>
    <w:rsid w:val="00EE455B"/>
    <w:rPr>
      <w:rFonts w:asciiTheme="minorHAnsi" w:hAnsiTheme="minorHAnsi"/>
    </w:rPr>
  </w:style>
  <w:style w:type="paragraph" w:styleId="CommentSubject">
    <w:name w:val="annotation subject"/>
    <w:basedOn w:val="CommentText"/>
    <w:next w:val="CommentText"/>
    <w:link w:val="CommentSubjectChar"/>
    <w:rsid w:val="00EE455B"/>
    <w:rPr>
      <w:b/>
      <w:bCs/>
    </w:rPr>
  </w:style>
  <w:style w:type="character" w:customStyle="1" w:styleId="CommentSubjectChar">
    <w:name w:val="Comment Subject Char"/>
    <w:basedOn w:val="CommentTextChar"/>
    <w:link w:val="CommentSubject"/>
    <w:rsid w:val="00EE455B"/>
    <w:rPr>
      <w:rFonts w:asciiTheme="minorHAnsi" w:hAnsiTheme="minorHAnsi"/>
      <w:b/>
      <w:bCs/>
    </w:rPr>
  </w:style>
  <w:style w:type="paragraph" w:styleId="ListParagraph">
    <w:name w:val="List Paragraph"/>
    <w:aliases w:val="Nexant List Paragraph"/>
    <w:basedOn w:val="Normal"/>
    <w:uiPriority w:val="34"/>
    <w:qFormat/>
    <w:rsid w:val="00EE455B"/>
    <w:pPr>
      <w:tabs>
        <w:tab w:val="clear" w:pos="-1440"/>
        <w:tab w:val="clear" w:pos="-720"/>
      </w:tabs>
      <w:spacing w:after="0" w:line="240" w:lineRule="auto"/>
      <w:ind w:left="720"/>
    </w:pPr>
    <w:rPr>
      <w:rFonts w:ascii="Calibri" w:eastAsiaTheme="minorHAnsi" w:hAnsi="Calibri"/>
      <w:szCs w:val="22"/>
    </w:rPr>
  </w:style>
  <w:style w:type="paragraph" w:customStyle="1" w:styleId="MemoName">
    <w:name w:val="Memo Name"/>
    <w:basedOn w:val="Normal"/>
    <w:qFormat/>
    <w:rsid w:val="00E00946"/>
    <w:pPr>
      <w:tabs>
        <w:tab w:val="clear" w:pos="-1440"/>
        <w:tab w:val="clear" w:pos="-720"/>
        <w:tab w:val="left" w:pos="360"/>
      </w:tabs>
      <w:spacing w:after="0" w:line="240" w:lineRule="auto"/>
      <w:ind w:left="0"/>
      <w:contextualSpacing/>
    </w:pPr>
    <w:rPr>
      <w:rFonts w:ascii="Arial" w:hAnsi="Arial"/>
    </w:rPr>
  </w:style>
  <w:style w:type="paragraph" w:customStyle="1" w:styleId="BodyParagraph">
    <w:name w:val="Body Paragraph"/>
    <w:link w:val="BodyParagraphChar"/>
    <w:qFormat/>
    <w:rsid w:val="00E00946"/>
    <w:pPr>
      <w:spacing w:after="240" w:line="264" w:lineRule="auto"/>
    </w:pPr>
    <w:rPr>
      <w:rFonts w:ascii="Arial" w:eastAsiaTheme="minorEastAsia" w:hAnsi="Arial" w:cstheme="minorBidi"/>
      <w:color w:val="1C1C1C"/>
      <w:sz w:val="22"/>
      <w:szCs w:val="22"/>
    </w:rPr>
  </w:style>
  <w:style w:type="character" w:customStyle="1" w:styleId="BodyParagraphChar">
    <w:name w:val="Body Paragraph Char"/>
    <w:basedOn w:val="DefaultParagraphFont"/>
    <w:link w:val="BodyParagraph"/>
    <w:rsid w:val="00E00946"/>
    <w:rPr>
      <w:rFonts w:ascii="Arial" w:eastAsiaTheme="minorEastAsia" w:hAnsi="Arial" w:cstheme="minorBidi"/>
      <w:color w:val="1C1C1C"/>
      <w:sz w:val="22"/>
      <w:szCs w:val="22"/>
    </w:rPr>
  </w:style>
  <w:style w:type="paragraph" w:customStyle="1" w:styleId="Bodyaftertable">
    <w:name w:val="Body after table"/>
    <w:basedOn w:val="BodyParagraph"/>
    <w:qFormat/>
    <w:rsid w:val="00B87EE5"/>
    <w:pPr>
      <w:spacing w:before="200"/>
    </w:pPr>
  </w:style>
  <w:style w:type="character" w:customStyle="1" w:styleId="FootnoteTextChar">
    <w:name w:val="Footnote Text Char"/>
    <w:aliases w:val="Footnote Text1 Char Char,Footnote Text Char Ch Char,Footnote Text Char Ch Char Char Char Char,Footnote Text Char Ch Char Char Char1,Footnote Text1 Char Char Char Char"/>
    <w:basedOn w:val="DefaultParagraphFont"/>
    <w:link w:val="FootnoteText"/>
    <w:uiPriority w:val="99"/>
    <w:rsid w:val="00B87EE5"/>
    <w:rPr>
      <w:rFonts w:ascii="Arial" w:hAnsi="Arial"/>
      <w:color w:val="4D4D4D"/>
      <w:sz w:val="16"/>
    </w:rPr>
  </w:style>
  <w:style w:type="paragraph" w:styleId="Revision">
    <w:name w:val="Revision"/>
    <w:hidden/>
    <w:uiPriority w:val="99"/>
    <w:semiHidden/>
    <w:rsid w:val="00B87EE5"/>
    <w:rPr>
      <w:rFonts w:asciiTheme="minorHAnsi" w:hAnsiTheme="minorHAnsi"/>
      <w:sz w:val="22"/>
    </w:rPr>
  </w:style>
  <w:style w:type="paragraph" w:styleId="ListNumber2">
    <w:name w:val="List Number 2"/>
    <w:basedOn w:val="Normal"/>
    <w:uiPriority w:val="99"/>
    <w:unhideWhenUsed/>
    <w:rsid w:val="00BD08DF"/>
    <w:pPr>
      <w:tabs>
        <w:tab w:val="clear" w:pos="-1440"/>
        <w:tab w:val="clear" w:pos="-720"/>
        <w:tab w:val="num" w:pos="720"/>
      </w:tabs>
      <w:spacing w:after="120" w:line="240" w:lineRule="auto"/>
      <w:ind w:left="720" w:hanging="360"/>
      <w:contextualSpacing/>
    </w:pPr>
    <w:rPr>
      <w:rFonts w:ascii="Arial" w:hAnsi="Arial"/>
      <w:sz w:val="16"/>
    </w:rPr>
  </w:style>
  <w:style w:type="paragraph" w:customStyle="1" w:styleId="TableHeader">
    <w:name w:val="Table Header"/>
    <w:qFormat/>
    <w:rsid w:val="00BD08DF"/>
    <w:pPr>
      <w:spacing w:before="100" w:after="100"/>
      <w:jc w:val="center"/>
    </w:pPr>
    <w:rPr>
      <w:rFonts w:ascii="Arial" w:eastAsiaTheme="minorEastAsia" w:hAnsi="Arial" w:cstheme="minorBidi"/>
      <w:b/>
      <w:color w:val="FFFFFF" w:themeColor="background1"/>
      <w:szCs w:val="22"/>
    </w:rPr>
  </w:style>
  <w:style w:type="paragraph" w:customStyle="1" w:styleId="TableText">
    <w:name w:val="Table Text"/>
    <w:qFormat/>
    <w:rsid w:val="00BD08DF"/>
    <w:pPr>
      <w:spacing w:before="60" w:after="60"/>
      <w:jc w:val="center"/>
    </w:pPr>
    <w:rPr>
      <w:rFonts w:ascii="Arial" w:eastAsiaTheme="minorEastAsia" w:hAnsi="Arial" w:cstheme="minorBidi"/>
      <w:szCs w:val="22"/>
    </w:rPr>
  </w:style>
  <w:style w:type="table" w:styleId="LightList-Accent1">
    <w:name w:val="Light List Accent 1"/>
    <w:basedOn w:val="TableNormal"/>
    <w:uiPriority w:val="61"/>
    <w:rsid w:val="00D10839"/>
    <w:rPr>
      <w:rFonts w:ascii="Cambria" w:eastAsia="MS Mincho" w:hAnsi="Cambr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aptionChar1">
    <w:name w:val="Caption Char1"/>
    <w:aliases w:val="_Main body - Caption figure Char,_Main body - Caption Char,Caption Char Char,Table Caption Char,Podpis nad obiektem Char,Char Char, Char Char,Figure Char"/>
    <w:basedOn w:val="DefaultParagraphFont"/>
    <w:link w:val="Caption"/>
    <w:rsid w:val="00E8391F"/>
    <w:rPr>
      <w:rFonts w:ascii="Arial" w:hAnsi="Arial" w:cs="Microsoft Sans Serif"/>
      <w:b/>
      <w:color w:val="0070CD"/>
      <w:sz w:val="22"/>
    </w:rPr>
  </w:style>
  <w:style w:type="paragraph" w:customStyle="1" w:styleId="Bullets">
    <w:name w:val="Bullets"/>
    <w:basedOn w:val="Normal"/>
    <w:qFormat/>
    <w:rsid w:val="00BE22AB"/>
    <w:pPr>
      <w:numPr>
        <w:numId w:val="6"/>
      </w:numPr>
      <w:tabs>
        <w:tab w:val="clear" w:pos="-1440"/>
        <w:tab w:val="clear" w:pos="-720"/>
      </w:tabs>
      <w:spacing w:after="120" w:line="240" w:lineRule="auto"/>
    </w:pPr>
    <w:rPr>
      <w:rFonts w:ascii="Calibri Light" w:hAnsi="Calibri Light" w:cs="Arial"/>
      <w:color w:val="1C1C1C"/>
      <w:szCs w:val="21"/>
    </w:rPr>
  </w:style>
  <w:style w:type="paragraph" w:customStyle="1" w:styleId="TableFigureCaption">
    <w:name w:val="Table Figure Caption"/>
    <w:basedOn w:val="Normal"/>
    <w:next w:val="Normal"/>
    <w:qFormat/>
    <w:rsid w:val="00BE22AB"/>
    <w:pPr>
      <w:keepNext/>
      <w:tabs>
        <w:tab w:val="clear" w:pos="-1440"/>
        <w:tab w:val="clear" w:pos="-720"/>
      </w:tabs>
      <w:spacing w:after="120" w:line="240" w:lineRule="auto"/>
      <w:ind w:left="0"/>
      <w:jc w:val="center"/>
    </w:pPr>
    <w:rPr>
      <w:rFonts w:ascii="Arial" w:eastAsiaTheme="minorEastAsia" w:hAnsi="Arial" w:cstheme="minorBidi"/>
      <w:color w:val="000000" w:themeColor="text1"/>
      <w:szCs w:val="22"/>
    </w:rPr>
  </w:style>
  <w:style w:type="numbering" w:customStyle="1" w:styleId="NumberedSteps">
    <w:name w:val="Numbered Steps"/>
    <w:basedOn w:val="NoList"/>
    <w:uiPriority w:val="99"/>
    <w:rsid w:val="00BE22AB"/>
    <w:pPr>
      <w:numPr>
        <w:numId w:val="7"/>
      </w:numPr>
    </w:pPr>
  </w:style>
  <w:style w:type="character" w:styleId="FollowedHyperlink">
    <w:name w:val="FollowedHyperlink"/>
    <w:basedOn w:val="DefaultParagraphFont"/>
    <w:rsid w:val="00BE22AB"/>
    <w:rPr>
      <w:color w:val="800080" w:themeColor="followedHyperlink"/>
      <w:u w:val="single"/>
    </w:rPr>
  </w:style>
  <w:style w:type="paragraph" w:styleId="TableofFigures">
    <w:name w:val="table of figures"/>
    <w:basedOn w:val="Normal"/>
    <w:next w:val="Normal"/>
    <w:uiPriority w:val="99"/>
    <w:rsid w:val="00BE22AB"/>
    <w:pPr>
      <w:tabs>
        <w:tab w:val="clear" w:pos="-1440"/>
        <w:tab w:val="clear" w:pos="-720"/>
      </w:tabs>
      <w:spacing w:after="0"/>
      <w:ind w:left="0"/>
    </w:pPr>
  </w:style>
  <w:style w:type="paragraph" w:customStyle="1" w:styleId="ESNoHeading2">
    <w:name w:val="ES/No#: Heading 2"/>
    <w:basedOn w:val="Heading2"/>
    <w:next w:val="Normal"/>
    <w:rsid w:val="00BE22AB"/>
    <w:pPr>
      <w:numPr>
        <w:ilvl w:val="0"/>
        <w:numId w:val="0"/>
      </w:numPr>
      <w:tabs>
        <w:tab w:val="left" w:pos="900"/>
      </w:tabs>
      <w:spacing w:before="360" w:line="240" w:lineRule="auto"/>
    </w:pPr>
    <w:rPr>
      <w:rFonts w:cstheme="majorBidi"/>
      <w:b w:val="0"/>
      <w:color w:val="1E8166"/>
      <w:spacing w:val="0"/>
      <w:kern w:val="28"/>
      <w:sz w:val="32"/>
      <w:szCs w:val="32"/>
    </w:rPr>
  </w:style>
  <w:style w:type="character" w:customStyle="1" w:styleId="ToFromChar">
    <w:name w:val="To/From Char"/>
    <w:basedOn w:val="DefaultParagraphFont"/>
    <w:link w:val="ToFrom"/>
    <w:rsid w:val="00BE22AB"/>
    <w:rPr>
      <w:rFonts w:ascii="Arial" w:hAnsi="Arial" w:cs="Arial"/>
      <w:color w:val="1E8166"/>
      <w:sz w:val="22"/>
      <w:szCs w:val="22"/>
    </w:rPr>
  </w:style>
  <w:style w:type="paragraph" w:customStyle="1" w:styleId="ToFrom">
    <w:name w:val="To/From"/>
    <w:basedOn w:val="Normal"/>
    <w:link w:val="ToFromChar"/>
    <w:rsid w:val="00BE22AB"/>
    <w:pPr>
      <w:tabs>
        <w:tab w:val="clear" w:pos="-1440"/>
        <w:tab w:val="clear" w:pos="-720"/>
      </w:tabs>
      <w:spacing w:before="180" w:after="0" w:line="240" w:lineRule="auto"/>
      <w:ind w:left="0"/>
    </w:pPr>
    <w:rPr>
      <w:rFonts w:ascii="Arial" w:hAnsi="Arial" w:cs="Arial"/>
      <w:color w:val="1E8166"/>
      <w:szCs w:val="22"/>
    </w:rPr>
  </w:style>
  <w:style w:type="paragraph" w:customStyle="1" w:styleId="MemoTo">
    <w:name w:val="Memo/To"/>
    <w:basedOn w:val="Normal"/>
    <w:rsid w:val="00BE22AB"/>
    <w:pPr>
      <w:tabs>
        <w:tab w:val="clear" w:pos="-1440"/>
        <w:tab w:val="clear" w:pos="-720"/>
      </w:tabs>
      <w:spacing w:before="180" w:after="0" w:line="240" w:lineRule="auto"/>
      <w:ind w:left="0"/>
    </w:pPr>
    <w:rPr>
      <w:rFonts w:ascii="Times New Roman" w:hAnsi="Times New Roman"/>
      <w:sz w:val="24"/>
      <w:szCs w:val="24"/>
    </w:rPr>
  </w:style>
  <w:style w:type="paragraph" w:customStyle="1" w:styleId="MemoRe">
    <w:name w:val="Memo/Re"/>
    <w:basedOn w:val="Normal"/>
    <w:qFormat/>
    <w:rsid w:val="00BE22AB"/>
    <w:pPr>
      <w:pBdr>
        <w:bottom w:val="single" w:sz="4" w:space="9" w:color="1E8166"/>
      </w:pBdr>
      <w:tabs>
        <w:tab w:val="clear" w:pos="-1440"/>
        <w:tab w:val="clear" w:pos="-720"/>
      </w:tabs>
      <w:spacing w:before="180" w:after="0" w:line="240" w:lineRule="auto"/>
      <w:ind w:left="0"/>
    </w:pPr>
    <w:rPr>
      <w:rFonts w:ascii="Times New Roman" w:hAnsi="Times New Roman"/>
      <w:sz w:val="24"/>
      <w:szCs w:val="24"/>
    </w:rPr>
  </w:style>
  <w:style w:type="paragraph" w:customStyle="1" w:styleId="bbullet">
    <w:name w:val="bbullet"/>
    <w:basedOn w:val="Normal"/>
    <w:link w:val="bbulletChar"/>
    <w:qFormat/>
    <w:rsid w:val="00BE22AB"/>
    <w:pPr>
      <w:tabs>
        <w:tab w:val="clear" w:pos="-1440"/>
        <w:tab w:val="clear" w:pos="-720"/>
      </w:tabs>
      <w:spacing w:after="120" w:line="260" w:lineRule="atLeast"/>
      <w:ind w:left="720" w:right="360" w:hanging="360"/>
    </w:pPr>
    <w:rPr>
      <w:rFonts w:ascii="Calibri" w:hAnsi="Calibri" w:cs="Arial"/>
      <w:szCs w:val="22"/>
    </w:rPr>
  </w:style>
  <w:style w:type="character" w:customStyle="1" w:styleId="bbulletChar">
    <w:name w:val="bbullet Char"/>
    <w:basedOn w:val="DefaultParagraphFont"/>
    <w:link w:val="bbullet"/>
    <w:rsid w:val="00BE22AB"/>
    <w:rPr>
      <w:rFonts w:ascii="Calibri" w:hAnsi="Calibri" w:cs="Arial"/>
      <w:sz w:val="22"/>
      <w:szCs w:val="22"/>
    </w:rPr>
  </w:style>
  <w:style w:type="paragraph" w:styleId="NormalWeb">
    <w:name w:val="Normal (Web)"/>
    <w:basedOn w:val="Normal"/>
    <w:rsid w:val="00901758"/>
    <w:rPr>
      <w:rFonts w:ascii="Times New Roman" w:hAnsi="Times New Roman"/>
      <w:sz w:val="24"/>
      <w:szCs w:val="24"/>
    </w:rPr>
  </w:style>
  <w:style w:type="paragraph" w:customStyle="1" w:styleId="t">
    <w:name w:val="t"/>
    <w:aliases w:val="text,text + +Body,Line spacing:  Multiple 1.15 li + +Body,1... + Subscript,text + 11 pt,Before:  6 pt,After:  6 pt,Line spacing:  single"/>
    <w:link w:val="tChar"/>
    <w:qFormat/>
    <w:rsid w:val="00D156E9"/>
    <w:pPr>
      <w:numPr>
        <w:numId w:val="8"/>
      </w:numPr>
      <w:spacing w:after="240" w:line="264" w:lineRule="auto"/>
    </w:pPr>
    <w:rPr>
      <w:rFonts w:ascii="Calibri" w:hAnsi="Calibri" w:cs="Arial"/>
      <w:sz w:val="22"/>
      <w:szCs w:val="22"/>
    </w:rPr>
  </w:style>
  <w:style w:type="paragraph" w:customStyle="1" w:styleId="Outline">
    <w:name w:val="Outline"/>
    <w:basedOn w:val="t"/>
    <w:qFormat/>
    <w:rsid w:val="00D156E9"/>
    <w:pPr>
      <w:numPr>
        <w:ilvl w:val="1"/>
      </w:numPr>
      <w:tabs>
        <w:tab w:val="num" w:pos="-5940"/>
      </w:tabs>
      <w:spacing w:after="120"/>
      <w:ind w:left="-6660" w:firstLine="0"/>
    </w:pPr>
  </w:style>
  <w:style w:type="character" w:customStyle="1" w:styleId="tChar">
    <w:name w:val="t Char"/>
    <w:aliases w:val="text Char,text1,text Char Char,t Char1,text Char1,text2,text5,text11,text3,text31,text4,text6,text61,text7,text9,text Char Char1,text + 11 pt Char,Before:  6 pt Char,After:  6 pt Char,Line spacing:  single Char Char"/>
    <w:basedOn w:val="DefaultParagraphFont"/>
    <w:link w:val="t"/>
    <w:rsid w:val="00D156E9"/>
    <w:rPr>
      <w:rFonts w:ascii="Calibri" w:hAnsi="Calibri" w:cs="Arial"/>
      <w:sz w:val="22"/>
      <w:szCs w:val="22"/>
    </w:rPr>
  </w:style>
  <w:style w:type="paragraph" w:styleId="TOC5">
    <w:name w:val="toc 5"/>
    <w:basedOn w:val="Normal"/>
    <w:next w:val="Normal"/>
    <w:autoRedefine/>
    <w:uiPriority w:val="39"/>
    <w:unhideWhenUsed/>
    <w:rsid w:val="00CF7DCC"/>
    <w:pPr>
      <w:tabs>
        <w:tab w:val="clear" w:pos="-1440"/>
        <w:tab w:val="clear" w:pos="-720"/>
      </w:tabs>
      <w:spacing w:after="100" w:line="276" w:lineRule="auto"/>
      <w:ind w:left="880"/>
    </w:pPr>
    <w:rPr>
      <w:rFonts w:eastAsiaTheme="minorEastAsia" w:cstheme="minorBidi"/>
      <w:szCs w:val="22"/>
    </w:rPr>
  </w:style>
  <w:style w:type="paragraph" w:styleId="TOC7">
    <w:name w:val="toc 7"/>
    <w:basedOn w:val="Normal"/>
    <w:next w:val="Normal"/>
    <w:autoRedefine/>
    <w:uiPriority w:val="39"/>
    <w:unhideWhenUsed/>
    <w:rsid w:val="00CF7DCC"/>
    <w:pPr>
      <w:tabs>
        <w:tab w:val="clear" w:pos="-1440"/>
        <w:tab w:val="clear" w:pos="-720"/>
      </w:tabs>
      <w:spacing w:after="100" w:line="276" w:lineRule="auto"/>
      <w:ind w:left="1320"/>
    </w:pPr>
    <w:rPr>
      <w:rFonts w:eastAsiaTheme="minorEastAsia" w:cstheme="minorBidi"/>
      <w:szCs w:val="22"/>
    </w:rPr>
  </w:style>
  <w:style w:type="paragraph" w:styleId="TOC8">
    <w:name w:val="toc 8"/>
    <w:basedOn w:val="Normal"/>
    <w:next w:val="Normal"/>
    <w:autoRedefine/>
    <w:uiPriority w:val="39"/>
    <w:unhideWhenUsed/>
    <w:rsid w:val="00CF7DCC"/>
    <w:pPr>
      <w:tabs>
        <w:tab w:val="clear" w:pos="-1440"/>
        <w:tab w:val="clear" w:pos="-720"/>
      </w:tabs>
      <w:spacing w:after="100" w:line="276" w:lineRule="auto"/>
      <w:ind w:left="1540"/>
    </w:pPr>
    <w:rPr>
      <w:rFonts w:eastAsiaTheme="minorEastAsia" w:cstheme="minorBidi"/>
      <w:szCs w:val="22"/>
    </w:rPr>
  </w:style>
  <w:style w:type="paragraph" w:styleId="TOC9">
    <w:name w:val="toc 9"/>
    <w:basedOn w:val="Normal"/>
    <w:next w:val="Normal"/>
    <w:autoRedefine/>
    <w:uiPriority w:val="39"/>
    <w:unhideWhenUsed/>
    <w:rsid w:val="00CF7DCC"/>
    <w:pPr>
      <w:tabs>
        <w:tab w:val="clear" w:pos="-1440"/>
        <w:tab w:val="clear" w:pos="-720"/>
      </w:tabs>
      <w:spacing w:after="100" w:line="276" w:lineRule="auto"/>
      <w:ind w:left="1760"/>
    </w:pPr>
    <w:rPr>
      <w:rFonts w:eastAsiaTheme="minorEastAsia" w:cstheme="minorBidi"/>
      <w:szCs w:val="22"/>
    </w:rPr>
  </w:style>
  <w:style w:type="character" w:styleId="Emphasis">
    <w:name w:val="Emphasis"/>
    <w:basedOn w:val="DefaultParagraphFont"/>
    <w:uiPriority w:val="20"/>
    <w:qFormat/>
    <w:rsid w:val="00EB07B5"/>
    <w:rPr>
      <w:b/>
      <w:bCs/>
      <w:i w:val="0"/>
      <w:iCs w:val="0"/>
    </w:rPr>
  </w:style>
  <w:style w:type="character" w:customStyle="1" w:styleId="st1">
    <w:name w:val="st1"/>
    <w:basedOn w:val="DefaultParagraphFont"/>
    <w:rsid w:val="00EB07B5"/>
  </w:style>
  <w:style w:type="paragraph" w:customStyle="1" w:styleId="Default">
    <w:name w:val="Default"/>
    <w:rsid w:val="00F27B9E"/>
    <w:pPr>
      <w:autoSpaceDE w:val="0"/>
      <w:autoSpaceDN w:val="0"/>
      <w:adjustRightInd w:val="0"/>
    </w:pPr>
    <w:rPr>
      <w:rFonts w:ascii="Arial" w:hAnsi="Arial" w:cs="Arial"/>
      <w:color w:val="000000"/>
      <w:sz w:val="24"/>
      <w:szCs w:val="24"/>
    </w:rPr>
  </w:style>
  <w:style w:type="paragraph" w:customStyle="1" w:styleId="b">
    <w:name w:val="b"/>
    <w:aliases w:val="bullet,Body,Bullet,bullets,body,bd,b-heading 1/heading 2,heading1body-heading2body,b2,b1,Bullet 1,he... + Black"/>
    <w:link w:val="bChar"/>
    <w:qFormat/>
    <w:rsid w:val="00CB2313"/>
    <w:pPr>
      <w:numPr>
        <w:numId w:val="13"/>
      </w:numPr>
      <w:spacing w:after="120"/>
      <w:ind w:left="720"/>
    </w:pPr>
    <w:rPr>
      <w:rFonts w:ascii="Calibri" w:hAnsi="Calibri" w:cs="Arial"/>
      <w:sz w:val="22"/>
      <w:szCs w:val="22"/>
    </w:rPr>
  </w:style>
  <w:style w:type="character" w:customStyle="1" w:styleId="bChar">
    <w:name w:val="b Char"/>
    <w:aliases w:val="bullet Char,Body Char Char,bullet Char Char,Body Char,Bullet Char,bullets Char,body Char,bd Char,b-heading 1/heading 2 Char,heading1body-heading2body Char,he... + Black Char,bullet + Times New Roman Char,10 pt Char,Left:  0&quot; Char"/>
    <w:link w:val="b"/>
    <w:rsid w:val="00CB2313"/>
    <w:rPr>
      <w:rFonts w:ascii="Calibri" w:hAnsi="Calibri" w:cs="Arial"/>
      <w:sz w:val="22"/>
      <w:szCs w:val="22"/>
    </w:rPr>
  </w:style>
  <w:style w:type="table" w:customStyle="1" w:styleId="ListTable3-Accent11">
    <w:name w:val="List Table 3 - Accent 11"/>
    <w:basedOn w:val="TableNormal"/>
    <w:uiPriority w:val="48"/>
    <w:rsid w:val="00CB2313"/>
    <w:rPr>
      <w:rFonts w:asciiTheme="minorHAnsi" w:eastAsiaTheme="minorHAnsi" w:hAnsiTheme="minorHAnsi" w:cstheme="minorBidi"/>
      <w:sz w:val="22"/>
      <w:szCs w:val="22"/>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51">
    <w:name w:val="List Table 3 - Accent 51"/>
    <w:basedOn w:val="TableNormal"/>
    <w:uiPriority w:val="48"/>
    <w:rsid w:val="00CB2313"/>
    <w:rPr>
      <w:rFonts w:asciiTheme="minorHAnsi" w:eastAsiaTheme="minorHAnsi" w:hAnsiTheme="minorHAnsi" w:cstheme="minorBidi"/>
      <w:sz w:val="22"/>
      <w:szCs w:val="22"/>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FigureCaption">
    <w:name w:val="Figure Caption"/>
    <w:basedOn w:val="Normal"/>
    <w:link w:val="FigureCaptionChar"/>
    <w:qFormat/>
    <w:rsid w:val="005E4E05"/>
    <w:pPr>
      <w:tabs>
        <w:tab w:val="clear" w:pos="-1440"/>
        <w:tab w:val="clear" w:pos="-720"/>
      </w:tabs>
      <w:spacing w:after="120" w:line="240" w:lineRule="auto"/>
      <w:ind w:left="0"/>
    </w:pPr>
    <w:rPr>
      <w:rFonts w:ascii="Century Gothic" w:hAnsi="Century Gothic" w:cs="Garamond"/>
      <w:b/>
      <w:sz w:val="18"/>
      <w:szCs w:val="22"/>
    </w:rPr>
  </w:style>
  <w:style w:type="paragraph" w:customStyle="1" w:styleId="EquationCaption">
    <w:name w:val="Equation Caption"/>
    <w:basedOn w:val="Caption"/>
    <w:link w:val="EquationCaptionChar"/>
    <w:qFormat/>
    <w:rsid w:val="005E4E05"/>
    <w:pPr>
      <w:keepNext w:val="0"/>
      <w:spacing w:after="120"/>
      <w:jc w:val="left"/>
    </w:pPr>
    <w:rPr>
      <w:rFonts w:ascii="Century Gothic" w:eastAsiaTheme="minorHAnsi" w:hAnsi="Century Gothic" w:cstheme="minorBidi"/>
      <w:bCs/>
      <w:color w:val="auto"/>
      <w:sz w:val="18"/>
      <w:szCs w:val="22"/>
    </w:rPr>
  </w:style>
  <w:style w:type="character" w:customStyle="1" w:styleId="FigureCaptionChar">
    <w:name w:val="Figure Caption Char"/>
    <w:basedOn w:val="DefaultParagraphFont"/>
    <w:link w:val="FigureCaption"/>
    <w:rsid w:val="005E4E05"/>
    <w:rPr>
      <w:rFonts w:ascii="Century Gothic" w:hAnsi="Century Gothic" w:cs="Garamond"/>
      <w:b/>
      <w:sz w:val="18"/>
      <w:szCs w:val="22"/>
    </w:rPr>
  </w:style>
  <w:style w:type="character" w:customStyle="1" w:styleId="EquationCaptionChar">
    <w:name w:val="Equation Caption Char"/>
    <w:basedOn w:val="DefaultParagraphFont"/>
    <w:link w:val="EquationCaption"/>
    <w:rsid w:val="005E4E05"/>
    <w:rPr>
      <w:rFonts w:ascii="Century Gothic" w:eastAsiaTheme="minorHAnsi" w:hAnsi="Century Gothic" w:cstheme="minorBidi"/>
      <w:b/>
      <w:bCs/>
      <w:sz w:val="18"/>
      <w:szCs w:val="22"/>
    </w:rPr>
  </w:style>
  <w:style w:type="table" w:styleId="MediumShading1-Accent5">
    <w:name w:val="Medium Shading 1 Accent 5"/>
    <w:basedOn w:val="TableNormal"/>
    <w:uiPriority w:val="63"/>
    <w:rsid w:val="005E4E05"/>
    <w:rPr>
      <w:rFonts w:asciiTheme="minorHAnsi" w:eastAsiaTheme="minorHAnsi" w:hAnsiTheme="minorHAnsi"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in">
    <w:name w:val="in"/>
    <w:aliases w:val="into bullet"/>
    <w:basedOn w:val="t"/>
    <w:link w:val="inChar"/>
    <w:qFormat/>
    <w:rsid w:val="005E4E05"/>
    <w:pPr>
      <w:ind w:left="0"/>
    </w:pPr>
  </w:style>
  <w:style w:type="character" w:customStyle="1" w:styleId="tChartext">
    <w:name w:val="t Char text"/>
    <w:basedOn w:val="DefaultParagraphFont"/>
    <w:uiPriority w:val="99"/>
    <w:rsid w:val="005E4E05"/>
    <w:rPr>
      <w:sz w:val="24"/>
      <w:lang w:val="en-US" w:eastAsia="en-US" w:bidi="ar-SA"/>
    </w:rPr>
  </w:style>
  <w:style w:type="character" w:customStyle="1" w:styleId="inChar">
    <w:name w:val="in Char"/>
    <w:aliases w:val="into bullet Char"/>
    <w:basedOn w:val="DefaultParagraphFont"/>
    <w:link w:val="in"/>
    <w:rsid w:val="005E4E05"/>
    <w:rPr>
      <w:rFonts w:ascii="Calibri" w:hAnsi="Calibri" w:cs="Arial"/>
      <w:sz w:val="22"/>
      <w:szCs w:val="22"/>
    </w:rPr>
  </w:style>
  <w:style w:type="paragraph" w:styleId="EndnoteText">
    <w:name w:val="endnote text"/>
    <w:basedOn w:val="Normal"/>
    <w:link w:val="EndnoteTextChar"/>
    <w:semiHidden/>
    <w:unhideWhenUsed/>
    <w:rsid w:val="00E7259A"/>
    <w:pPr>
      <w:spacing w:after="0" w:line="240" w:lineRule="auto"/>
    </w:pPr>
    <w:rPr>
      <w:sz w:val="20"/>
    </w:rPr>
  </w:style>
  <w:style w:type="character" w:customStyle="1" w:styleId="EndnoteTextChar">
    <w:name w:val="Endnote Text Char"/>
    <w:basedOn w:val="DefaultParagraphFont"/>
    <w:link w:val="EndnoteText"/>
    <w:semiHidden/>
    <w:rsid w:val="00E7259A"/>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01592">
      <w:bodyDiv w:val="1"/>
      <w:marLeft w:val="0"/>
      <w:marRight w:val="0"/>
      <w:marTop w:val="0"/>
      <w:marBottom w:val="0"/>
      <w:divBdr>
        <w:top w:val="none" w:sz="0" w:space="0" w:color="auto"/>
        <w:left w:val="none" w:sz="0" w:space="0" w:color="auto"/>
        <w:bottom w:val="none" w:sz="0" w:space="0" w:color="auto"/>
        <w:right w:val="none" w:sz="0" w:space="0" w:color="auto"/>
      </w:divBdr>
    </w:div>
    <w:div w:id="23288187">
      <w:bodyDiv w:val="1"/>
      <w:marLeft w:val="0"/>
      <w:marRight w:val="0"/>
      <w:marTop w:val="0"/>
      <w:marBottom w:val="0"/>
      <w:divBdr>
        <w:top w:val="none" w:sz="0" w:space="0" w:color="auto"/>
        <w:left w:val="none" w:sz="0" w:space="0" w:color="auto"/>
        <w:bottom w:val="none" w:sz="0" w:space="0" w:color="auto"/>
        <w:right w:val="none" w:sz="0" w:space="0" w:color="auto"/>
      </w:divBdr>
    </w:div>
    <w:div w:id="49808429">
      <w:bodyDiv w:val="1"/>
      <w:marLeft w:val="0"/>
      <w:marRight w:val="0"/>
      <w:marTop w:val="0"/>
      <w:marBottom w:val="0"/>
      <w:divBdr>
        <w:top w:val="none" w:sz="0" w:space="0" w:color="auto"/>
        <w:left w:val="none" w:sz="0" w:space="0" w:color="auto"/>
        <w:bottom w:val="none" w:sz="0" w:space="0" w:color="auto"/>
        <w:right w:val="none" w:sz="0" w:space="0" w:color="auto"/>
      </w:divBdr>
    </w:div>
    <w:div w:id="60182608">
      <w:bodyDiv w:val="1"/>
      <w:marLeft w:val="0"/>
      <w:marRight w:val="0"/>
      <w:marTop w:val="0"/>
      <w:marBottom w:val="0"/>
      <w:divBdr>
        <w:top w:val="none" w:sz="0" w:space="0" w:color="auto"/>
        <w:left w:val="none" w:sz="0" w:space="0" w:color="auto"/>
        <w:bottom w:val="none" w:sz="0" w:space="0" w:color="auto"/>
        <w:right w:val="none" w:sz="0" w:space="0" w:color="auto"/>
      </w:divBdr>
    </w:div>
    <w:div w:id="61367330">
      <w:bodyDiv w:val="1"/>
      <w:marLeft w:val="0"/>
      <w:marRight w:val="0"/>
      <w:marTop w:val="0"/>
      <w:marBottom w:val="0"/>
      <w:divBdr>
        <w:top w:val="none" w:sz="0" w:space="0" w:color="auto"/>
        <w:left w:val="none" w:sz="0" w:space="0" w:color="auto"/>
        <w:bottom w:val="none" w:sz="0" w:space="0" w:color="auto"/>
        <w:right w:val="none" w:sz="0" w:space="0" w:color="auto"/>
      </w:divBdr>
    </w:div>
    <w:div w:id="71243951">
      <w:bodyDiv w:val="1"/>
      <w:marLeft w:val="0"/>
      <w:marRight w:val="0"/>
      <w:marTop w:val="0"/>
      <w:marBottom w:val="0"/>
      <w:divBdr>
        <w:top w:val="none" w:sz="0" w:space="0" w:color="auto"/>
        <w:left w:val="none" w:sz="0" w:space="0" w:color="auto"/>
        <w:bottom w:val="none" w:sz="0" w:space="0" w:color="auto"/>
        <w:right w:val="none" w:sz="0" w:space="0" w:color="auto"/>
      </w:divBdr>
    </w:div>
    <w:div w:id="74212018">
      <w:bodyDiv w:val="1"/>
      <w:marLeft w:val="0"/>
      <w:marRight w:val="0"/>
      <w:marTop w:val="0"/>
      <w:marBottom w:val="0"/>
      <w:divBdr>
        <w:top w:val="none" w:sz="0" w:space="0" w:color="auto"/>
        <w:left w:val="none" w:sz="0" w:space="0" w:color="auto"/>
        <w:bottom w:val="none" w:sz="0" w:space="0" w:color="auto"/>
        <w:right w:val="none" w:sz="0" w:space="0" w:color="auto"/>
      </w:divBdr>
    </w:div>
    <w:div w:id="190847672">
      <w:bodyDiv w:val="1"/>
      <w:marLeft w:val="0"/>
      <w:marRight w:val="0"/>
      <w:marTop w:val="0"/>
      <w:marBottom w:val="0"/>
      <w:divBdr>
        <w:top w:val="none" w:sz="0" w:space="0" w:color="auto"/>
        <w:left w:val="none" w:sz="0" w:space="0" w:color="auto"/>
        <w:bottom w:val="none" w:sz="0" w:space="0" w:color="auto"/>
        <w:right w:val="none" w:sz="0" w:space="0" w:color="auto"/>
      </w:divBdr>
    </w:div>
    <w:div w:id="227494979">
      <w:bodyDiv w:val="1"/>
      <w:marLeft w:val="0"/>
      <w:marRight w:val="0"/>
      <w:marTop w:val="0"/>
      <w:marBottom w:val="0"/>
      <w:divBdr>
        <w:top w:val="none" w:sz="0" w:space="0" w:color="auto"/>
        <w:left w:val="none" w:sz="0" w:space="0" w:color="auto"/>
        <w:bottom w:val="none" w:sz="0" w:space="0" w:color="auto"/>
        <w:right w:val="none" w:sz="0" w:space="0" w:color="auto"/>
      </w:divBdr>
    </w:div>
    <w:div w:id="330909696">
      <w:bodyDiv w:val="1"/>
      <w:marLeft w:val="0"/>
      <w:marRight w:val="0"/>
      <w:marTop w:val="0"/>
      <w:marBottom w:val="0"/>
      <w:divBdr>
        <w:top w:val="none" w:sz="0" w:space="0" w:color="auto"/>
        <w:left w:val="none" w:sz="0" w:space="0" w:color="auto"/>
        <w:bottom w:val="none" w:sz="0" w:space="0" w:color="auto"/>
        <w:right w:val="none" w:sz="0" w:space="0" w:color="auto"/>
      </w:divBdr>
    </w:div>
    <w:div w:id="358625694">
      <w:bodyDiv w:val="1"/>
      <w:marLeft w:val="0"/>
      <w:marRight w:val="0"/>
      <w:marTop w:val="0"/>
      <w:marBottom w:val="0"/>
      <w:divBdr>
        <w:top w:val="none" w:sz="0" w:space="0" w:color="auto"/>
        <w:left w:val="none" w:sz="0" w:space="0" w:color="auto"/>
        <w:bottom w:val="none" w:sz="0" w:space="0" w:color="auto"/>
        <w:right w:val="none" w:sz="0" w:space="0" w:color="auto"/>
      </w:divBdr>
    </w:div>
    <w:div w:id="373771021">
      <w:bodyDiv w:val="1"/>
      <w:marLeft w:val="0"/>
      <w:marRight w:val="0"/>
      <w:marTop w:val="0"/>
      <w:marBottom w:val="0"/>
      <w:divBdr>
        <w:top w:val="none" w:sz="0" w:space="0" w:color="auto"/>
        <w:left w:val="none" w:sz="0" w:space="0" w:color="auto"/>
        <w:bottom w:val="none" w:sz="0" w:space="0" w:color="auto"/>
        <w:right w:val="none" w:sz="0" w:space="0" w:color="auto"/>
      </w:divBdr>
    </w:div>
    <w:div w:id="406539440">
      <w:bodyDiv w:val="1"/>
      <w:marLeft w:val="0"/>
      <w:marRight w:val="0"/>
      <w:marTop w:val="0"/>
      <w:marBottom w:val="0"/>
      <w:divBdr>
        <w:top w:val="none" w:sz="0" w:space="0" w:color="auto"/>
        <w:left w:val="none" w:sz="0" w:space="0" w:color="auto"/>
        <w:bottom w:val="none" w:sz="0" w:space="0" w:color="auto"/>
        <w:right w:val="none" w:sz="0" w:space="0" w:color="auto"/>
      </w:divBdr>
    </w:div>
    <w:div w:id="437485501">
      <w:bodyDiv w:val="1"/>
      <w:marLeft w:val="0"/>
      <w:marRight w:val="0"/>
      <w:marTop w:val="0"/>
      <w:marBottom w:val="0"/>
      <w:divBdr>
        <w:top w:val="none" w:sz="0" w:space="0" w:color="auto"/>
        <w:left w:val="none" w:sz="0" w:space="0" w:color="auto"/>
        <w:bottom w:val="none" w:sz="0" w:space="0" w:color="auto"/>
        <w:right w:val="none" w:sz="0" w:space="0" w:color="auto"/>
      </w:divBdr>
    </w:div>
    <w:div w:id="484779820">
      <w:bodyDiv w:val="1"/>
      <w:marLeft w:val="0"/>
      <w:marRight w:val="0"/>
      <w:marTop w:val="0"/>
      <w:marBottom w:val="0"/>
      <w:divBdr>
        <w:top w:val="none" w:sz="0" w:space="0" w:color="auto"/>
        <w:left w:val="none" w:sz="0" w:space="0" w:color="auto"/>
        <w:bottom w:val="none" w:sz="0" w:space="0" w:color="auto"/>
        <w:right w:val="none" w:sz="0" w:space="0" w:color="auto"/>
      </w:divBdr>
    </w:div>
    <w:div w:id="510029450">
      <w:bodyDiv w:val="1"/>
      <w:marLeft w:val="0"/>
      <w:marRight w:val="0"/>
      <w:marTop w:val="0"/>
      <w:marBottom w:val="0"/>
      <w:divBdr>
        <w:top w:val="none" w:sz="0" w:space="0" w:color="auto"/>
        <w:left w:val="none" w:sz="0" w:space="0" w:color="auto"/>
        <w:bottom w:val="none" w:sz="0" w:space="0" w:color="auto"/>
        <w:right w:val="none" w:sz="0" w:space="0" w:color="auto"/>
      </w:divBdr>
    </w:div>
    <w:div w:id="521549526">
      <w:bodyDiv w:val="1"/>
      <w:marLeft w:val="0"/>
      <w:marRight w:val="0"/>
      <w:marTop w:val="0"/>
      <w:marBottom w:val="0"/>
      <w:divBdr>
        <w:top w:val="none" w:sz="0" w:space="0" w:color="auto"/>
        <w:left w:val="none" w:sz="0" w:space="0" w:color="auto"/>
        <w:bottom w:val="none" w:sz="0" w:space="0" w:color="auto"/>
        <w:right w:val="none" w:sz="0" w:space="0" w:color="auto"/>
      </w:divBdr>
    </w:div>
    <w:div w:id="541358561">
      <w:bodyDiv w:val="1"/>
      <w:marLeft w:val="0"/>
      <w:marRight w:val="0"/>
      <w:marTop w:val="0"/>
      <w:marBottom w:val="0"/>
      <w:divBdr>
        <w:top w:val="none" w:sz="0" w:space="0" w:color="auto"/>
        <w:left w:val="none" w:sz="0" w:space="0" w:color="auto"/>
        <w:bottom w:val="none" w:sz="0" w:space="0" w:color="auto"/>
        <w:right w:val="none" w:sz="0" w:space="0" w:color="auto"/>
      </w:divBdr>
    </w:div>
    <w:div w:id="583221303">
      <w:bodyDiv w:val="1"/>
      <w:marLeft w:val="0"/>
      <w:marRight w:val="0"/>
      <w:marTop w:val="0"/>
      <w:marBottom w:val="0"/>
      <w:divBdr>
        <w:top w:val="none" w:sz="0" w:space="0" w:color="auto"/>
        <w:left w:val="none" w:sz="0" w:space="0" w:color="auto"/>
        <w:bottom w:val="none" w:sz="0" w:space="0" w:color="auto"/>
        <w:right w:val="none" w:sz="0" w:space="0" w:color="auto"/>
      </w:divBdr>
    </w:div>
    <w:div w:id="630869892">
      <w:bodyDiv w:val="1"/>
      <w:marLeft w:val="0"/>
      <w:marRight w:val="0"/>
      <w:marTop w:val="0"/>
      <w:marBottom w:val="0"/>
      <w:divBdr>
        <w:top w:val="none" w:sz="0" w:space="0" w:color="auto"/>
        <w:left w:val="none" w:sz="0" w:space="0" w:color="auto"/>
        <w:bottom w:val="none" w:sz="0" w:space="0" w:color="auto"/>
        <w:right w:val="none" w:sz="0" w:space="0" w:color="auto"/>
      </w:divBdr>
    </w:div>
    <w:div w:id="639386050">
      <w:bodyDiv w:val="1"/>
      <w:marLeft w:val="0"/>
      <w:marRight w:val="0"/>
      <w:marTop w:val="0"/>
      <w:marBottom w:val="0"/>
      <w:divBdr>
        <w:top w:val="none" w:sz="0" w:space="0" w:color="auto"/>
        <w:left w:val="none" w:sz="0" w:space="0" w:color="auto"/>
        <w:bottom w:val="none" w:sz="0" w:space="0" w:color="auto"/>
        <w:right w:val="none" w:sz="0" w:space="0" w:color="auto"/>
      </w:divBdr>
    </w:div>
    <w:div w:id="699286868">
      <w:bodyDiv w:val="1"/>
      <w:marLeft w:val="0"/>
      <w:marRight w:val="0"/>
      <w:marTop w:val="0"/>
      <w:marBottom w:val="0"/>
      <w:divBdr>
        <w:top w:val="none" w:sz="0" w:space="0" w:color="auto"/>
        <w:left w:val="none" w:sz="0" w:space="0" w:color="auto"/>
        <w:bottom w:val="none" w:sz="0" w:space="0" w:color="auto"/>
        <w:right w:val="none" w:sz="0" w:space="0" w:color="auto"/>
      </w:divBdr>
    </w:div>
    <w:div w:id="742337670">
      <w:bodyDiv w:val="1"/>
      <w:marLeft w:val="0"/>
      <w:marRight w:val="0"/>
      <w:marTop w:val="0"/>
      <w:marBottom w:val="0"/>
      <w:divBdr>
        <w:top w:val="none" w:sz="0" w:space="0" w:color="auto"/>
        <w:left w:val="none" w:sz="0" w:space="0" w:color="auto"/>
        <w:bottom w:val="none" w:sz="0" w:space="0" w:color="auto"/>
        <w:right w:val="none" w:sz="0" w:space="0" w:color="auto"/>
      </w:divBdr>
    </w:div>
    <w:div w:id="744373966">
      <w:bodyDiv w:val="1"/>
      <w:marLeft w:val="0"/>
      <w:marRight w:val="0"/>
      <w:marTop w:val="0"/>
      <w:marBottom w:val="0"/>
      <w:divBdr>
        <w:top w:val="none" w:sz="0" w:space="0" w:color="auto"/>
        <w:left w:val="none" w:sz="0" w:space="0" w:color="auto"/>
        <w:bottom w:val="none" w:sz="0" w:space="0" w:color="auto"/>
        <w:right w:val="none" w:sz="0" w:space="0" w:color="auto"/>
      </w:divBdr>
    </w:div>
    <w:div w:id="759913303">
      <w:bodyDiv w:val="1"/>
      <w:marLeft w:val="0"/>
      <w:marRight w:val="0"/>
      <w:marTop w:val="0"/>
      <w:marBottom w:val="0"/>
      <w:divBdr>
        <w:top w:val="none" w:sz="0" w:space="0" w:color="auto"/>
        <w:left w:val="none" w:sz="0" w:space="0" w:color="auto"/>
        <w:bottom w:val="none" w:sz="0" w:space="0" w:color="auto"/>
        <w:right w:val="none" w:sz="0" w:space="0" w:color="auto"/>
      </w:divBdr>
    </w:div>
    <w:div w:id="784617165">
      <w:bodyDiv w:val="1"/>
      <w:marLeft w:val="0"/>
      <w:marRight w:val="0"/>
      <w:marTop w:val="0"/>
      <w:marBottom w:val="0"/>
      <w:divBdr>
        <w:top w:val="none" w:sz="0" w:space="0" w:color="auto"/>
        <w:left w:val="none" w:sz="0" w:space="0" w:color="auto"/>
        <w:bottom w:val="none" w:sz="0" w:space="0" w:color="auto"/>
        <w:right w:val="none" w:sz="0" w:space="0" w:color="auto"/>
      </w:divBdr>
    </w:div>
    <w:div w:id="902108099">
      <w:bodyDiv w:val="1"/>
      <w:marLeft w:val="0"/>
      <w:marRight w:val="0"/>
      <w:marTop w:val="0"/>
      <w:marBottom w:val="0"/>
      <w:divBdr>
        <w:top w:val="none" w:sz="0" w:space="0" w:color="auto"/>
        <w:left w:val="none" w:sz="0" w:space="0" w:color="auto"/>
        <w:bottom w:val="none" w:sz="0" w:space="0" w:color="auto"/>
        <w:right w:val="none" w:sz="0" w:space="0" w:color="auto"/>
      </w:divBdr>
    </w:div>
    <w:div w:id="987511125">
      <w:bodyDiv w:val="1"/>
      <w:marLeft w:val="0"/>
      <w:marRight w:val="0"/>
      <w:marTop w:val="0"/>
      <w:marBottom w:val="0"/>
      <w:divBdr>
        <w:top w:val="none" w:sz="0" w:space="0" w:color="auto"/>
        <w:left w:val="none" w:sz="0" w:space="0" w:color="auto"/>
        <w:bottom w:val="none" w:sz="0" w:space="0" w:color="auto"/>
        <w:right w:val="none" w:sz="0" w:space="0" w:color="auto"/>
      </w:divBdr>
    </w:div>
    <w:div w:id="1033647948">
      <w:bodyDiv w:val="1"/>
      <w:marLeft w:val="0"/>
      <w:marRight w:val="0"/>
      <w:marTop w:val="0"/>
      <w:marBottom w:val="0"/>
      <w:divBdr>
        <w:top w:val="none" w:sz="0" w:space="0" w:color="auto"/>
        <w:left w:val="none" w:sz="0" w:space="0" w:color="auto"/>
        <w:bottom w:val="none" w:sz="0" w:space="0" w:color="auto"/>
        <w:right w:val="none" w:sz="0" w:space="0" w:color="auto"/>
      </w:divBdr>
    </w:div>
    <w:div w:id="1047411614">
      <w:bodyDiv w:val="1"/>
      <w:marLeft w:val="0"/>
      <w:marRight w:val="0"/>
      <w:marTop w:val="0"/>
      <w:marBottom w:val="0"/>
      <w:divBdr>
        <w:top w:val="none" w:sz="0" w:space="0" w:color="auto"/>
        <w:left w:val="none" w:sz="0" w:space="0" w:color="auto"/>
        <w:bottom w:val="none" w:sz="0" w:space="0" w:color="auto"/>
        <w:right w:val="none" w:sz="0" w:space="0" w:color="auto"/>
      </w:divBdr>
    </w:div>
    <w:div w:id="1076707388">
      <w:bodyDiv w:val="1"/>
      <w:marLeft w:val="0"/>
      <w:marRight w:val="0"/>
      <w:marTop w:val="0"/>
      <w:marBottom w:val="0"/>
      <w:divBdr>
        <w:top w:val="none" w:sz="0" w:space="0" w:color="auto"/>
        <w:left w:val="none" w:sz="0" w:space="0" w:color="auto"/>
        <w:bottom w:val="none" w:sz="0" w:space="0" w:color="auto"/>
        <w:right w:val="none" w:sz="0" w:space="0" w:color="auto"/>
      </w:divBdr>
    </w:div>
    <w:div w:id="1082529197">
      <w:bodyDiv w:val="1"/>
      <w:marLeft w:val="0"/>
      <w:marRight w:val="0"/>
      <w:marTop w:val="0"/>
      <w:marBottom w:val="0"/>
      <w:divBdr>
        <w:top w:val="none" w:sz="0" w:space="0" w:color="auto"/>
        <w:left w:val="none" w:sz="0" w:space="0" w:color="auto"/>
        <w:bottom w:val="none" w:sz="0" w:space="0" w:color="auto"/>
        <w:right w:val="none" w:sz="0" w:space="0" w:color="auto"/>
      </w:divBdr>
    </w:div>
    <w:div w:id="1102646616">
      <w:bodyDiv w:val="1"/>
      <w:marLeft w:val="0"/>
      <w:marRight w:val="0"/>
      <w:marTop w:val="0"/>
      <w:marBottom w:val="0"/>
      <w:divBdr>
        <w:top w:val="none" w:sz="0" w:space="0" w:color="auto"/>
        <w:left w:val="none" w:sz="0" w:space="0" w:color="auto"/>
        <w:bottom w:val="none" w:sz="0" w:space="0" w:color="auto"/>
        <w:right w:val="none" w:sz="0" w:space="0" w:color="auto"/>
      </w:divBdr>
    </w:div>
    <w:div w:id="1108089636">
      <w:bodyDiv w:val="1"/>
      <w:marLeft w:val="0"/>
      <w:marRight w:val="0"/>
      <w:marTop w:val="0"/>
      <w:marBottom w:val="0"/>
      <w:divBdr>
        <w:top w:val="none" w:sz="0" w:space="0" w:color="auto"/>
        <w:left w:val="none" w:sz="0" w:space="0" w:color="auto"/>
        <w:bottom w:val="none" w:sz="0" w:space="0" w:color="auto"/>
        <w:right w:val="none" w:sz="0" w:space="0" w:color="auto"/>
      </w:divBdr>
    </w:div>
    <w:div w:id="1125465149">
      <w:bodyDiv w:val="1"/>
      <w:marLeft w:val="0"/>
      <w:marRight w:val="0"/>
      <w:marTop w:val="0"/>
      <w:marBottom w:val="0"/>
      <w:divBdr>
        <w:top w:val="none" w:sz="0" w:space="0" w:color="auto"/>
        <w:left w:val="none" w:sz="0" w:space="0" w:color="auto"/>
        <w:bottom w:val="none" w:sz="0" w:space="0" w:color="auto"/>
        <w:right w:val="none" w:sz="0" w:space="0" w:color="auto"/>
      </w:divBdr>
    </w:div>
    <w:div w:id="1130635817">
      <w:bodyDiv w:val="1"/>
      <w:marLeft w:val="0"/>
      <w:marRight w:val="0"/>
      <w:marTop w:val="0"/>
      <w:marBottom w:val="0"/>
      <w:divBdr>
        <w:top w:val="none" w:sz="0" w:space="0" w:color="auto"/>
        <w:left w:val="none" w:sz="0" w:space="0" w:color="auto"/>
        <w:bottom w:val="none" w:sz="0" w:space="0" w:color="auto"/>
        <w:right w:val="none" w:sz="0" w:space="0" w:color="auto"/>
      </w:divBdr>
    </w:div>
    <w:div w:id="1167399567">
      <w:bodyDiv w:val="1"/>
      <w:marLeft w:val="0"/>
      <w:marRight w:val="0"/>
      <w:marTop w:val="0"/>
      <w:marBottom w:val="0"/>
      <w:divBdr>
        <w:top w:val="none" w:sz="0" w:space="0" w:color="auto"/>
        <w:left w:val="none" w:sz="0" w:space="0" w:color="auto"/>
        <w:bottom w:val="none" w:sz="0" w:space="0" w:color="auto"/>
        <w:right w:val="none" w:sz="0" w:space="0" w:color="auto"/>
      </w:divBdr>
    </w:div>
    <w:div w:id="1178737390">
      <w:bodyDiv w:val="1"/>
      <w:marLeft w:val="0"/>
      <w:marRight w:val="0"/>
      <w:marTop w:val="0"/>
      <w:marBottom w:val="0"/>
      <w:divBdr>
        <w:top w:val="none" w:sz="0" w:space="0" w:color="auto"/>
        <w:left w:val="none" w:sz="0" w:space="0" w:color="auto"/>
        <w:bottom w:val="none" w:sz="0" w:space="0" w:color="auto"/>
        <w:right w:val="none" w:sz="0" w:space="0" w:color="auto"/>
      </w:divBdr>
    </w:div>
    <w:div w:id="1198393177">
      <w:bodyDiv w:val="1"/>
      <w:marLeft w:val="0"/>
      <w:marRight w:val="0"/>
      <w:marTop w:val="0"/>
      <w:marBottom w:val="0"/>
      <w:divBdr>
        <w:top w:val="none" w:sz="0" w:space="0" w:color="auto"/>
        <w:left w:val="none" w:sz="0" w:space="0" w:color="auto"/>
        <w:bottom w:val="none" w:sz="0" w:space="0" w:color="auto"/>
        <w:right w:val="none" w:sz="0" w:space="0" w:color="auto"/>
      </w:divBdr>
    </w:div>
    <w:div w:id="1201741341">
      <w:bodyDiv w:val="1"/>
      <w:marLeft w:val="0"/>
      <w:marRight w:val="0"/>
      <w:marTop w:val="0"/>
      <w:marBottom w:val="0"/>
      <w:divBdr>
        <w:top w:val="none" w:sz="0" w:space="0" w:color="auto"/>
        <w:left w:val="none" w:sz="0" w:space="0" w:color="auto"/>
        <w:bottom w:val="none" w:sz="0" w:space="0" w:color="auto"/>
        <w:right w:val="none" w:sz="0" w:space="0" w:color="auto"/>
      </w:divBdr>
    </w:div>
    <w:div w:id="1263953415">
      <w:bodyDiv w:val="1"/>
      <w:marLeft w:val="0"/>
      <w:marRight w:val="0"/>
      <w:marTop w:val="0"/>
      <w:marBottom w:val="0"/>
      <w:divBdr>
        <w:top w:val="none" w:sz="0" w:space="0" w:color="auto"/>
        <w:left w:val="none" w:sz="0" w:space="0" w:color="auto"/>
        <w:bottom w:val="none" w:sz="0" w:space="0" w:color="auto"/>
        <w:right w:val="none" w:sz="0" w:space="0" w:color="auto"/>
      </w:divBdr>
    </w:div>
    <w:div w:id="1334140035">
      <w:bodyDiv w:val="1"/>
      <w:marLeft w:val="0"/>
      <w:marRight w:val="0"/>
      <w:marTop w:val="0"/>
      <w:marBottom w:val="0"/>
      <w:divBdr>
        <w:top w:val="none" w:sz="0" w:space="0" w:color="auto"/>
        <w:left w:val="none" w:sz="0" w:space="0" w:color="auto"/>
        <w:bottom w:val="none" w:sz="0" w:space="0" w:color="auto"/>
        <w:right w:val="none" w:sz="0" w:space="0" w:color="auto"/>
      </w:divBdr>
    </w:div>
    <w:div w:id="1357459746">
      <w:bodyDiv w:val="1"/>
      <w:marLeft w:val="0"/>
      <w:marRight w:val="0"/>
      <w:marTop w:val="0"/>
      <w:marBottom w:val="0"/>
      <w:divBdr>
        <w:top w:val="none" w:sz="0" w:space="0" w:color="auto"/>
        <w:left w:val="none" w:sz="0" w:space="0" w:color="auto"/>
        <w:bottom w:val="none" w:sz="0" w:space="0" w:color="auto"/>
        <w:right w:val="none" w:sz="0" w:space="0" w:color="auto"/>
      </w:divBdr>
    </w:div>
    <w:div w:id="1369182510">
      <w:bodyDiv w:val="1"/>
      <w:marLeft w:val="0"/>
      <w:marRight w:val="0"/>
      <w:marTop w:val="0"/>
      <w:marBottom w:val="0"/>
      <w:divBdr>
        <w:top w:val="none" w:sz="0" w:space="0" w:color="auto"/>
        <w:left w:val="none" w:sz="0" w:space="0" w:color="auto"/>
        <w:bottom w:val="none" w:sz="0" w:space="0" w:color="auto"/>
        <w:right w:val="none" w:sz="0" w:space="0" w:color="auto"/>
      </w:divBdr>
    </w:div>
    <w:div w:id="1369599674">
      <w:bodyDiv w:val="1"/>
      <w:marLeft w:val="0"/>
      <w:marRight w:val="0"/>
      <w:marTop w:val="0"/>
      <w:marBottom w:val="0"/>
      <w:divBdr>
        <w:top w:val="none" w:sz="0" w:space="0" w:color="auto"/>
        <w:left w:val="none" w:sz="0" w:space="0" w:color="auto"/>
        <w:bottom w:val="none" w:sz="0" w:space="0" w:color="auto"/>
        <w:right w:val="none" w:sz="0" w:space="0" w:color="auto"/>
      </w:divBdr>
    </w:div>
    <w:div w:id="1377314831">
      <w:bodyDiv w:val="1"/>
      <w:marLeft w:val="0"/>
      <w:marRight w:val="0"/>
      <w:marTop w:val="0"/>
      <w:marBottom w:val="0"/>
      <w:divBdr>
        <w:top w:val="none" w:sz="0" w:space="0" w:color="auto"/>
        <w:left w:val="none" w:sz="0" w:space="0" w:color="auto"/>
        <w:bottom w:val="none" w:sz="0" w:space="0" w:color="auto"/>
        <w:right w:val="none" w:sz="0" w:space="0" w:color="auto"/>
      </w:divBdr>
    </w:div>
    <w:div w:id="1428846070">
      <w:bodyDiv w:val="1"/>
      <w:marLeft w:val="0"/>
      <w:marRight w:val="0"/>
      <w:marTop w:val="0"/>
      <w:marBottom w:val="0"/>
      <w:divBdr>
        <w:top w:val="none" w:sz="0" w:space="0" w:color="auto"/>
        <w:left w:val="none" w:sz="0" w:space="0" w:color="auto"/>
        <w:bottom w:val="none" w:sz="0" w:space="0" w:color="auto"/>
        <w:right w:val="none" w:sz="0" w:space="0" w:color="auto"/>
      </w:divBdr>
    </w:div>
    <w:div w:id="1468889965">
      <w:bodyDiv w:val="1"/>
      <w:marLeft w:val="0"/>
      <w:marRight w:val="0"/>
      <w:marTop w:val="0"/>
      <w:marBottom w:val="0"/>
      <w:divBdr>
        <w:top w:val="none" w:sz="0" w:space="0" w:color="auto"/>
        <w:left w:val="none" w:sz="0" w:space="0" w:color="auto"/>
        <w:bottom w:val="none" w:sz="0" w:space="0" w:color="auto"/>
        <w:right w:val="none" w:sz="0" w:space="0" w:color="auto"/>
      </w:divBdr>
    </w:div>
    <w:div w:id="1492985043">
      <w:bodyDiv w:val="1"/>
      <w:marLeft w:val="0"/>
      <w:marRight w:val="0"/>
      <w:marTop w:val="0"/>
      <w:marBottom w:val="0"/>
      <w:divBdr>
        <w:top w:val="none" w:sz="0" w:space="0" w:color="auto"/>
        <w:left w:val="none" w:sz="0" w:space="0" w:color="auto"/>
        <w:bottom w:val="none" w:sz="0" w:space="0" w:color="auto"/>
        <w:right w:val="none" w:sz="0" w:space="0" w:color="auto"/>
      </w:divBdr>
    </w:div>
    <w:div w:id="1510751077">
      <w:bodyDiv w:val="1"/>
      <w:marLeft w:val="0"/>
      <w:marRight w:val="0"/>
      <w:marTop w:val="0"/>
      <w:marBottom w:val="0"/>
      <w:divBdr>
        <w:top w:val="none" w:sz="0" w:space="0" w:color="auto"/>
        <w:left w:val="none" w:sz="0" w:space="0" w:color="auto"/>
        <w:bottom w:val="none" w:sz="0" w:space="0" w:color="auto"/>
        <w:right w:val="none" w:sz="0" w:space="0" w:color="auto"/>
      </w:divBdr>
    </w:div>
    <w:div w:id="1523739117">
      <w:bodyDiv w:val="1"/>
      <w:marLeft w:val="0"/>
      <w:marRight w:val="0"/>
      <w:marTop w:val="0"/>
      <w:marBottom w:val="0"/>
      <w:divBdr>
        <w:top w:val="none" w:sz="0" w:space="0" w:color="auto"/>
        <w:left w:val="none" w:sz="0" w:space="0" w:color="auto"/>
        <w:bottom w:val="none" w:sz="0" w:space="0" w:color="auto"/>
        <w:right w:val="none" w:sz="0" w:space="0" w:color="auto"/>
      </w:divBdr>
    </w:div>
    <w:div w:id="1559441199">
      <w:bodyDiv w:val="1"/>
      <w:marLeft w:val="0"/>
      <w:marRight w:val="0"/>
      <w:marTop w:val="0"/>
      <w:marBottom w:val="0"/>
      <w:divBdr>
        <w:top w:val="none" w:sz="0" w:space="0" w:color="auto"/>
        <w:left w:val="none" w:sz="0" w:space="0" w:color="auto"/>
        <w:bottom w:val="none" w:sz="0" w:space="0" w:color="auto"/>
        <w:right w:val="none" w:sz="0" w:space="0" w:color="auto"/>
      </w:divBdr>
    </w:div>
    <w:div w:id="1561749909">
      <w:bodyDiv w:val="1"/>
      <w:marLeft w:val="0"/>
      <w:marRight w:val="0"/>
      <w:marTop w:val="0"/>
      <w:marBottom w:val="0"/>
      <w:divBdr>
        <w:top w:val="none" w:sz="0" w:space="0" w:color="auto"/>
        <w:left w:val="none" w:sz="0" w:space="0" w:color="auto"/>
        <w:bottom w:val="none" w:sz="0" w:space="0" w:color="auto"/>
        <w:right w:val="none" w:sz="0" w:space="0" w:color="auto"/>
      </w:divBdr>
    </w:div>
    <w:div w:id="1582987309">
      <w:bodyDiv w:val="1"/>
      <w:marLeft w:val="0"/>
      <w:marRight w:val="0"/>
      <w:marTop w:val="0"/>
      <w:marBottom w:val="0"/>
      <w:divBdr>
        <w:top w:val="none" w:sz="0" w:space="0" w:color="auto"/>
        <w:left w:val="none" w:sz="0" w:space="0" w:color="auto"/>
        <w:bottom w:val="none" w:sz="0" w:space="0" w:color="auto"/>
        <w:right w:val="none" w:sz="0" w:space="0" w:color="auto"/>
      </w:divBdr>
    </w:div>
    <w:div w:id="1593510365">
      <w:bodyDiv w:val="1"/>
      <w:marLeft w:val="0"/>
      <w:marRight w:val="0"/>
      <w:marTop w:val="0"/>
      <w:marBottom w:val="0"/>
      <w:divBdr>
        <w:top w:val="none" w:sz="0" w:space="0" w:color="auto"/>
        <w:left w:val="none" w:sz="0" w:space="0" w:color="auto"/>
        <w:bottom w:val="none" w:sz="0" w:space="0" w:color="auto"/>
        <w:right w:val="none" w:sz="0" w:space="0" w:color="auto"/>
      </w:divBdr>
    </w:div>
    <w:div w:id="1683432585">
      <w:bodyDiv w:val="1"/>
      <w:marLeft w:val="0"/>
      <w:marRight w:val="0"/>
      <w:marTop w:val="0"/>
      <w:marBottom w:val="0"/>
      <w:divBdr>
        <w:top w:val="none" w:sz="0" w:space="0" w:color="auto"/>
        <w:left w:val="none" w:sz="0" w:space="0" w:color="auto"/>
        <w:bottom w:val="none" w:sz="0" w:space="0" w:color="auto"/>
        <w:right w:val="none" w:sz="0" w:space="0" w:color="auto"/>
      </w:divBdr>
    </w:div>
    <w:div w:id="1717848579">
      <w:bodyDiv w:val="1"/>
      <w:marLeft w:val="0"/>
      <w:marRight w:val="0"/>
      <w:marTop w:val="0"/>
      <w:marBottom w:val="0"/>
      <w:divBdr>
        <w:top w:val="none" w:sz="0" w:space="0" w:color="auto"/>
        <w:left w:val="none" w:sz="0" w:space="0" w:color="auto"/>
        <w:bottom w:val="none" w:sz="0" w:space="0" w:color="auto"/>
        <w:right w:val="none" w:sz="0" w:space="0" w:color="auto"/>
      </w:divBdr>
    </w:div>
    <w:div w:id="1745906801">
      <w:bodyDiv w:val="1"/>
      <w:marLeft w:val="0"/>
      <w:marRight w:val="0"/>
      <w:marTop w:val="0"/>
      <w:marBottom w:val="0"/>
      <w:divBdr>
        <w:top w:val="none" w:sz="0" w:space="0" w:color="auto"/>
        <w:left w:val="none" w:sz="0" w:space="0" w:color="auto"/>
        <w:bottom w:val="none" w:sz="0" w:space="0" w:color="auto"/>
        <w:right w:val="none" w:sz="0" w:space="0" w:color="auto"/>
      </w:divBdr>
    </w:div>
    <w:div w:id="1799759978">
      <w:bodyDiv w:val="1"/>
      <w:marLeft w:val="0"/>
      <w:marRight w:val="0"/>
      <w:marTop w:val="0"/>
      <w:marBottom w:val="0"/>
      <w:divBdr>
        <w:top w:val="none" w:sz="0" w:space="0" w:color="auto"/>
        <w:left w:val="none" w:sz="0" w:space="0" w:color="auto"/>
        <w:bottom w:val="none" w:sz="0" w:space="0" w:color="auto"/>
        <w:right w:val="none" w:sz="0" w:space="0" w:color="auto"/>
      </w:divBdr>
    </w:div>
    <w:div w:id="1804998786">
      <w:bodyDiv w:val="1"/>
      <w:marLeft w:val="0"/>
      <w:marRight w:val="0"/>
      <w:marTop w:val="0"/>
      <w:marBottom w:val="0"/>
      <w:divBdr>
        <w:top w:val="none" w:sz="0" w:space="0" w:color="auto"/>
        <w:left w:val="none" w:sz="0" w:space="0" w:color="auto"/>
        <w:bottom w:val="none" w:sz="0" w:space="0" w:color="auto"/>
        <w:right w:val="none" w:sz="0" w:space="0" w:color="auto"/>
      </w:divBdr>
    </w:div>
    <w:div w:id="1820807399">
      <w:bodyDiv w:val="1"/>
      <w:marLeft w:val="0"/>
      <w:marRight w:val="0"/>
      <w:marTop w:val="0"/>
      <w:marBottom w:val="0"/>
      <w:divBdr>
        <w:top w:val="none" w:sz="0" w:space="0" w:color="auto"/>
        <w:left w:val="none" w:sz="0" w:space="0" w:color="auto"/>
        <w:bottom w:val="none" w:sz="0" w:space="0" w:color="auto"/>
        <w:right w:val="none" w:sz="0" w:space="0" w:color="auto"/>
      </w:divBdr>
    </w:div>
    <w:div w:id="1827089063">
      <w:bodyDiv w:val="1"/>
      <w:marLeft w:val="0"/>
      <w:marRight w:val="0"/>
      <w:marTop w:val="0"/>
      <w:marBottom w:val="0"/>
      <w:divBdr>
        <w:top w:val="none" w:sz="0" w:space="0" w:color="auto"/>
        <w:left w:val="none" w:sz="0" w:space="0" w:color="auto"/>
        <w:bottom w:val="none" w:sz="0" w:space="0" w:color="auto"/>
        <w:right w:val="none" w:sz="0" w:space="0" w:color="auto"/>
      </w:divBdr>
    </w:div>
    <w:div w:id="1864006497">
      <w:bodyDiv w:val="1"/>
      <w:marLeft w:val="0"/>
      <w:marRight w:val="0"/>
      <w:marTop w:val="0"/>
      <w:marBottom w:val="0"/>
      <w:divBdr>
        <w:top w:val="none" w:sz="0" w:space="0" w:color="auto"/>
        <w:left w:val="none" w:sz="0" w:space="0" w:color="auto"/>
        <w:bottom w:val="none" w:sz="0" w:space="0" w:color="auto"/>
        <w:right w:val="none" w:sz="0" w:space="0" w:color="auto"/>
      </w:divBdr>
    </w:div>
    <w:div w:id="1868912242">
      <w:bodyDiv w:val="1"/>
      <w:marLeft w:val="0"/>
      <w:marRight w:val="0"/>
      <w:marTop w:val="0"/>
      <w:marBottom w:val="0"/>
      <w:divBdr>
        <w:top w:val="none" w:sz="0" w:space="0" w:color="auto"/>
        <w:left w:val="none" w:sz="0" w:space="0" w:color="auto"/>
        <w:bottom w:val="none" w:sz="0" w:space="0" w:color="auto"/>
        <w:right w:val="none" w:sz="0" w:space="0" w:color="auto"/>
      </w:divBdr>
    </w:div>
    <w:div w:id="1870483142">
      <w:bodyDiv w:val="1"/>
      <w:marLeft w:val="0"/>
      <w:marRight w:val="0"/>
      <w:marTop w:val="0"/>
      <w:marBottom w:val="0"/>
      <w:divBdr>
        <w:top w:val="none" w:sz="0" w:space="0" w:color="auto"/>
        <w:left w:val="none" w:sz="0" w:space="0" w:color="auto"/>
        <w:bottom w:val="none" w:sz="0" w:space="0" w:color="auto"/>
        <w:right w:val="none" w:sz="0" w:space="0" w:color="auto"/>
      </w:divBdr>
    </w:div>
    <w:div w:id="1916622287">
      <w:bodyDiv w:val="1"/>
      <w:marLeft w:val="0"/>
      <w:marRight w:val="0"/>
      <w:marTop w:val="0"/>
      <w:marBottom w:val="0"/>
      <w:divBdr>
        <w:top w:val="none" w:sz="0" w:space="0" w:color="auto"/>
        <w:left w:val="none" w:sz="0" w:space="0" w:color="auto"/>
        <w:bottom w:val="none" w:sz="0" w:space="0" w:color="auto"/>
        <w:right w:val="none" w:sz="0" w:space="0" w:color="auto"/>
      </w:divBdr>
    </w:div>
    <w:div w:id="1934195771">
      <w:bodyDiv w:val="1"/>
      <w:marLeft w:val="0"/>
      <w:marRight w:val="0"/>
      <w:marTop w:val="0"/>
      <w:marBottom w:val="0"/>
      <w:divBdr>
        <w:top w:val="none" w:sz="0" w:space="0" w:color="auto"/>
        <w:left w:val="none" w:sz="0" w:space="0" w:color="auto"/>
        <w:bottom w:val="none" w:sz="0" w:space="0" w:color="auto"/>
        <w:right w:val="none" w:sz="0" w:space="0" w:color="auto"/>
      </w:divBdr>
    </w:div>
    <w:div w:id="1947033299">
      <w:bodyDiv w:val="1"/>
      <w:marLeft w:val="0"/>
      <w:marRight w:val="0"/>
      <w:marTop w:val="0"/>
      <w:marBottom w:val="0"/>
      <w:divBdr>
        <w:top w:val="none" w:sz="0" w:space="0" w:color="auto"/>
        <w:left w:val="none" w:sz="0" w:space="0" w:color="auto"/>
        <w:bottom w:val="none" w:sz="0" w:space="0" w:color="auto"/>
        <w:right w:val="none" w:sz="0" w:space="0" w:color="auto"/>
      </w:divBdr>
    </w:div>
    <w:div w:id="1954049796">
      <w:bodyDiv w:val="1"/>
      <w:marLeft w:val="0"/>
      <w:marRight w:val="0"/>
      <w:marTop w:val="0"/>
      <w:marBottom w:val="0"/>
      <w:divBdr>
        <w:top w:val="none" w:sz="0" w:space="0" w:color="auto"/>
        <w:left w:val="none" w:sz="0" w:space="0" w:color="auto"/>
        <w:bottom w:val="none" w:sz="0" w:space="0" w:color="auto"/>
        <w:right w:val="none" w:sz="0" w:space="0" w:color="auto"/>
      </w:divBdr>
    </w:div>
    <w:div w:id="2010593412">
      <w:bodyDiv w:val="1"/>
      <w:marLeft w:val="0"/>
      <w:marRight w:val="0"/>
      <w:marTop w:val="0"/>
      <w:marBottom w:val="0"/>
      <w:divBdr>
        <w:top w:val="none" w:sz="0" w:space="0" w:color="auto"/>
        <w:left w:val="none" w:sz="0" w:space="0" w:color="auto"/>
        <w:bottom w:val="none" w:sz="0" w:space="0" w:color="auto"/>
        <w:right w:val="none" w:sz="0" w:space="0" w:color="auto"/>
      </w:divBdr>
    </w:div>
    <w:div w:id="2020885638">
      <w:bodyDiv w:val="1"/>
      <w:marLeft w:val="0"/>
      <w:marRight w:val="0"/>
      <w:marTop w:val="0"/>
      <w:marBottom w:val="0"/>
      <w:divBdr>
        <w:top w:val="none" w:sz="0" w:space="0" w:color="auto"/>
        <w:left w:val="none" w:sz="0" w:space="0" w:color="auto"/>
        <w:bottom w:val="none" w:sz="0" w:space="0" w:color="auto"/>
        <w:right w:val="none" w:sz="0" w:space="0" w:color="auto"/>
      </w:divBdr>
    </w:div>
    <w:div w:id="2086607067">
      <w:bodyDiv w:val="1"/>
      <w:marLeft w:val="0"/>
      <w:marRight w:val="0"/>
      <w:marTop w:val="0"/>
      <w:marBottom w:val="0"/>
      <w:divBdr>
        <w:top w:val="none" w:sz="0" w:space="0" w:color="auto"/>
        <w:left w:val="none" w:sz="0" w:space="0" w:color="auto"/>
        <w:bottom w:val="none" w:sz="0" w:space="0" w:color="auto"/>
        <w:right w:val="none" w:sz="0" w:space="0" w:color="auto"/>
      </w:divBdr>
    </w:div>
    <w:div w:id="2104255528">
      <w:bodyDiv w:val="1"/>
      <w:marLeft w:val="0"/>
      <w:marRight w:val="0"/>
      <w:marTop w:val="0"/>
      <w:marBottom w:val="0"/>
      <w:divBdr>
        <w:top w:val="none" w:sz="0" w:space="0" w:color="auto"/>
        <w:left w:val="none" w:sz="0" w:space="0" w:color="auto"/>
        <w:bottom w:val="none" w:sz="0" w:space="0" w:color="auto"/>
        <w:right w:val="none" w:sz="0" w:space="0" w:color="auto"/>
      </w:divBdr>
    </w:div>
    <w:div w:id="2123723878">
      <w:bodyDiv w:val="1"/>
      <w:marLeft w:val="0"/>
      <w:marRight w:val="0"/>
      <w:marTop w:val="0"/>
      <w:marBottom w:val="0"/>
      <w:divBdr>
        <w:top w:val="none" w:sz="0" w:space="0" w:color="auto"/>
        <w:left w:val="none" w:sz="0" w:space="0" w:color="auto"/>
        <w:bottom w:val="none" w:sz="0" w:space="0" w:color="auto"/>
        <w:right w:val="none" w:sz="0" w:space="0" w:color="auto"/>
      </w:divBdr>
    </w:div>
    <w:div w:id="2130780603">
      <w:bodyDiv w:val="1"/>
      <w:marLeft w:val="0"/>
      <w:marRight w:val="0"/>
      <w:marTop w:val="0"/>
      <w:marBottom w:val="0"/>
      <w:divBdr>
        <w:top w:val="none" w:sz="0" w:space="0" w:color="auto"/>
        <w:left w:val="none" w:sz="0" w:space="0" w:color="auto"/>
        <w:bottom w:val="none" w:sz="0" w:space="0" w:color="auto"/>
        <w:right w:val="none" w:sz="0" w:space="0" w:color="auto"/>
      </w:divBdr>
    </w:div>
    <w:div w:id="213767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image" Target="media/image16.png"/><Relationship Id="rId21" Type="http://schemas.openxmlformats.org/officeDocument/2006/relationships/footer" Target="footer5.xml"/><Relationship Id="rId34" Type="http://schemas.openxmlformats.org/officeDocument/2006/relationships/image" Target="media/image11.png"/><Relationship Id="rId42" Type="http://schemas.openxmlformats.org/officeDocument/2006/relationships/header" Target="header11.xm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footer" Target="footer15.xml"/><Relationship Id="rId68" Type="http://schemas.openxmlformats.org/officeDocument/2006/relationships/header" Target="header17.xml"/><Relationship Id="rId76" Type="http://schemas.openxmlformats.org/officeDocument/2006/relationships/image" Target="media/image31.png"/><Relationship Id="rId7" Type="http://schemas.openxmlformats.org/officeDocument/2006/relationships/footnotes" Target="footnotes.xml"/><Relationship Id="rId71" Type="http://schemas.openxmlformats.org/officeDocument/2006/relationships/footer" Target="footer19.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6.png"/><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header" Target="header10.xml"/><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header" Target="header13.xml"/><Relationship Id="rId66" Type="http://schemas.openxmlformats.org/officeDocument/2006/relationships/header" Target="header16.xml"/><Relationship Id="rId74" Type="http://schemas.openxmlformats.org/officeDocument/2006/relationships/image" Target="media/image29.png"/><Relationship Id="rId79" Type="http://schemas.openxmlformats.org/officeDocument/2006/relationships/header" Target="header21.xml"/><Relationship Id="rId5" Type="http://schemas.openxmlformats.org/officeDocument/2006/relationships/settings" Target="settings.xml"/><Relationship Id="rId61" Type="http://schemas.openxmlformats.org/officeDocument/2006/relationships/footer" Target="footer14.xml"/><Relationship Id="rId82"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image" Target="media/image8.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footer" Target="footer13.xml"/><Relationship Id="rId65" Type="http://schemas.openxmlformats.org/officeDocument/2006/relationships/footer" Target="footer16.xml"/><Relationship Id="rId73" Type="http://schemas.openxmlformats.org/officeDocument/2006/relationships/footer" Target="footer20.xml"/><Relationship Id="rId78" Type="http://schemas.openxmlformats.org/officeDocument/2006/relationships/header" Target="header20.xm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8.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footer" Target="footer10.xml"/><Relationship Id="rId48" Type="http://schemas.openxmlformats.org/officeDocument/2006/relationships/image" Target="media/image21.png"/><Relationship Id="rId56" Type="http://schemas.openxmlformats.org/officeDocument/2006/relationships/header" Target="header12.xml"/><Relationship Id="rId64" Type="http://schemas.openxmlformats.org/officeDocument/2006/relationships/header" Target="header15.xml"/><Relationship Id="rId69" Type="http://schemas.openxmlformats.org/officeDocument/2006/relationships/footer" Target="footer18.xml"/><Relationship Id="rId77"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image" Target="media/image24.png"/><Relationship Id="rId72" Type="http://schemas.openxmlformats.org/officeDocument/2006/relationships/header" Target="header19.xml"/><Relationship Id="rId80" Type="http://schemas.openxmlformats.org/officeDocument/2006/relationships/footer" Target="footer21.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19.png"/><Relationship Id="rId59" Type="http://schemas.openxmlformats.org/officeDocument/2006/relationships/footer" Target="footer12.xml"/><Relationship Id="rId67" Type="http://schemas.openxmlformats.org/officeDocument/2006/relationships/footer" Target="footer17.xml"/><Relationship Id="rId20" Type="http://schemas.openxmlformats.org/officeDocument/2006/relationships/header" Target="header6.xml"/><Relationship Id="rId41" Type="http://schemas.openxmlformats.org/officeDocument/2006/relationships/footer" Target="footer9.xml"/><Relationship Id="rId54" Type="http://schemas.openxmlformats.org/officeDocument/2006/relationships/image" Target="media/image27.png"/><Relationship Id="rId62" Type="http://schemas.openxmlformats.org/officeDocument/2006/relationships/header" Target="header14.xml"/><Relationship Id="rId70" Type="http://schemas.openxmlformats.org/officeDocument/2006/relationships/header" Target="header18.xml"/><Relationship Id="rId75"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2.png"/><Relationship Id="rId57" Type="http://schemas.openxmlformats.org/officeDocument/2006/relationships/footer" Target="footer1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s>
</file>

<file path=word/_rels/footer15.xml.rels><?xml version="1.0" encoding="UTF-8" standalone="yes"?>
<Relationships xmlns="http://schemas.openxmlformats.org/package/2006/relationships"><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1" Type="http://schemas.openxmlformats.org/officeDocument/2006/relationships/image" Target="media/image4.png"/></Relationships>
</file>

<file path=word/_rels/footer17.xml.rels><?xml version="1.0" encoding="UTF-8" standalone="yes"?>
<Relationships xmlns="http://schemas.openxmlformats.org/package/2006/relationships"><Relationship Id="rId1" Type="http://schemas.openxmlformats.org/officeDocument/2006/relationships/image" Target="media/image4.png"/></Relationships>
</file>

<file path=word/_rels/footer18.xml.rels><?xml version="1.0" encoding="UTF-8" standalone="yes"?>
<Relationships xmlns="http://schemas.openxmlformats.org/package/2006/relationships"><Relationship Id="rId1" Type="http://schemas.openxmlformats.org/officeDocument/2006/relationships/image" Target="media/image4.png"/></Relationships>
</file>

<file path=word/_rels/footer19.xml.rels><?xml version="1.0" encoding="UTF-8" standalone="yes"?>
<Relationships xmlns="http://schemas.openxmlformats.org/package/2006/relationships"><Relationship Id="rId1" Type="http://schemas.openxmlformats.org/officeDocument/2006/relationships/image" Target="media/image4.png"/></Relationships>
</file>

<file path=word/_rels/footer20.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pvwatts.nrel.gov/"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DEA27B-9EDA-47D6-84C1-5F150AF97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18741</Words>
  <Characters>106824</Characters>
  <Application>Microsoft Office Word</Application>
  <DocSecurity>0</DocSecurity>
  <Lines>890</Lines>
  <Paragraphs>250</Paragraphs>
  <ScaleCrop>false</ScaleCrop>
  <Company/>
  <LinksUpToDate>false</LinksUpToDate>
  <CharactersWithSpaces>125315</CharactersWithSpaces>
  <SharedDoc>false</SharedDoc>
  <HLinks>
    <vt:vector size="36" baseType="variant">
      <vt:variant>
        <vt:i4>1245236</vt:i4>
      </vt:variant>
      <vt:variant>
        <vt:i4>32</vt:i4>
      </vt:variant>
      <vt:variant>
        <vt:i4>0</vt:i4>
      </vt:variant>
      <vt:variant>
        <vt:i4>5</vt:i4>
      </vt:variant>
      <vt:variant>
        <vt:lpwstr/>
      </vt:variant>
      <vt:variant>
        <vt:lpwstr>_Toc256495909</vt:lpwstr>
      </vt:variant>
      <vt:variant>
        <vt:i4>1245236</vt:i4>
      </vt:variant>
      <vt:variant>
        <vt:i4>26</vt:i4>
      </vt:variant>
      <vt:variant>
        <vt:i4>0</vt:i4>
      </vt:variant>
      <vt:variant>
        <vt:i4>5</vt:i4>
      </vt:variant>
      <vt:variant>
        <vt:lpwstr/>
      </vt:variant>
      <vt:variant>
        <vt:lpwstr>_Toc256495908</vt:lpwstr>
      </vt:variant>
      <vt:variant>
        <vt:i4>1245236</vt:i4>
      </vt:variant>
      <vt:variant>
        <vt:i4>20</vt:i4>
      </vt:variant>
      <vt:variant>
        <vt:i4>0</vt:i4>
      </vt:variant>
      <vt:variant>
        <vt:i4>5</vt:i4>
      </vt:variant>
      <vt:variant>
        <vt:lpwstr/>
      </vt:variant>
      <vt:variant>
        <vt:lpwstr>_Toc256495907</vt:lpwstr>
      </vt:variant>
      <vt:variant>
        <vt:i4>1245236</vt:i4>
      </vt:variant>
      <vt:variant>
        <vt:i4>14</vt:i4>
      </vt:variant>
      <vt:variant>
        <vt:i4>0</vt:i4>
      </vt:variant>
      <vt:variant>
        <vt:i4>5</vt:i4>
      </vt:variant>
      <vt:variant>
        <vt:lpwstr/>
      </vt:variant>
      <vt:variant>
        <vt:lpwstr>_Toc256495906</vt:lpwstr>
      </vt:variant>
      <vt:variant>
        <vt:i4>1245236</vt:i4>
      </vt:variant>
      <vt:variant>
        <vt:i4>8</vt:i4>
      </vt:variant>
      <vt:variant>
        <vt:i4>0</vt:i4>
      </vt:variant>
      <vt:variant>
        <vt:i4>5</vt:i4>
      </vt:variant>
      <vt:variant>
        <vt:lpwstr/>
      </vt:variant>
      <vt:variant>
        <vt:lpwstr>_Toc256495905</vt:lpwstr>
      </vt:variant>
      <vt:variant>
        <vt:i4>1245236</vt:i4>
      </vt:variant>
      <vt:variant>
        <vt:i4>2</vt:i4>
      </vt:variant>
      <vt:variant>
        <vt:i4>0</vt:i4>
      </vt:variant>
      <vt:variant>
        <vt:i4>5</vt:i4>
      </vt:variant>
      <vt:variant>
        <vt:lpwstr/>
      </vt:variant>
      <vt:variant>
        <vt:lpwstr>_Toc256495904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2019-05-14T13:25:00Z</dcterms:created>
  <dcterms:modified xsi:type="dcterms:W3CDTF">2019-05-14T13:25:00Z</dcterms:modified>
</cp:coreProperties>
</file>