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12EEF" w:rsidP="00112EEF">
      <w:pPr>
        <w:pStyle w:val="OrderHeading"/>
      </w:pPr>
      <w:r>
        <w:t>BEFORE THE FLORIDA PUBLIC SERVICE COMMISSION</w:t>
      </w:r>
    </w:p>
    <w:p w:rsidR="00112EEF" w:rsidRDefault="00112EEF" w:rsidP="00112EEF">
      <w:pPr>
        <w:pStyle w:val="OrderBody"/>
      </w:pPr>
    </w:p>
    <w:p w:rsidR="00112EEF" w:rsidRDefault="00112EEF" w:rsidP="00112EE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12EEF" w:rsidRPr="00C63FCF" w:rsidTr="00C63FCF">
        <w:trPr>
          <w:trHeight w:val="828"/>
        </w:trPr>
        <w:tc>
          <w:tcPr>
            <w:tcW w:w="4788" w:type="dxa"/>
            <w:tcBorders>
              <w:bottom w:val="single" w:sz="8" w:space="0" w:color="auto"/>
              <w:right w:val="double" w:sz="6" w:space="0" w:color="auto"/>
            </w:tcBorders>
            <w:shd w:val="clear" w:color="auto" w:fill="auto"/>
          </w:tcPr>
          <w:p w:rsidR="00112EEF" w:rsidRDefault="00112EEF" w:rsidP="00C63FCF">
            <w:pPr>
              <w:pStyle w:val="OrderBody"/>
              <w:tabs>
                <w:tab w:val="center" w:pos="4320"/>
                <w:tab w:val="right" w:pos="8640"/>
              </w:tabs>
              <w:jc w:val="left"/>
            </w:pPr>
            <w:r>
              <w:t xml:space="preserve">In re: </w:t>
            </w:r>
            <w:bookmarkStart w:id="0" w:name="SSInRe"/>
            <w:bookmarkEnd w:id="0"/>
            <w:r>
              <w:t xml:space="preserve">Joint petition for approval of amendment to territorial agreement in Nassau County, by Florida Power &amp; Light Company and </w:t>
            </w:r>
            <w:proofErr w:type="spellStart"/>
            <w:r>
              <w:t>Okefenoke</w:t>
            </w:r>
            <w:proofErr w:type="spellEnd"/>
            <w:r>
              <w:t xml:space="preserve"> Rural Electric Membership Corporation.</w:t>
            </w:r>
          </w:p>
        </w:tc>
        <w:tc>
          <w:tcPr>
            <w:tcW w:w="4788" w:type="dxa"/>
            <w:tcBorders>
              <w:left w:val="double" w:sz="6" w:space="0" w:color="auto"/>
            </w:tcBorders>
            <w:shd w:val="clear" w:color="auto" w:fill="auto"/>
          </w:tcPr>
          <w:p w:rsidR="00112EEF" w:rsidRDefault="00112EEF" w:rsidP="00112EEF">
            <w:pPr>
              <w:pStyle w:val="OrderBody"/>
            </w:pPr>
            <w:r>
              <w:t xml:space="preserve">DOCKET NO. </w:t>
            </w:r>
            <w:bookmarkStart w:id="1" w:name="SSDocketNo"/>
            <w:bookmarkEnd w:id="1"/>
            <w:r>
              <w:t>20190142-EU</w:t>
            </w:r>
          </w:p>
          <w:p w:rsidR="00112EEF" w:rsidRDefault="00112EEF" w:rsidP="00C63FCF">
            <w:pPr>
              <w:pStyle w:val="OrderBody"/>
              <w:tabs>
                <w:tab w:val="center" w:pos="4320"/>
                <w:tab w:val="right" w:pos="8640"/>
              </w:tabs>
              <w:jc w:val="left"/>
            </w:pPr>
            <w:r>
              <w:t xml:space="preserve">ORDER NO. </w:t>
            </w:r>
            <w:bookmarkStart w:id="2" w:name="OrderNo0445"/>
            <w:r w:rsidR="00745C5B">
              <w:t>PSC-2019-0445-PAA-EU</w:t>
            </w:r>
            <w:bookmarkEnd w:id="2"/>
          </w:p>
          <w:p w:rsidR="00112EEF" w:rsidRDefault="00112EEF" w:rsidP="00C63FCF">
            <w:pPr>
              <w:pStyle w:val="OrderBody"/>
              <w:tabs>
                <w:tab w:val="center" w:pos="4320"/>
                <w:tab w:val="right" w:pos="8640"/>
              </w:tabs>
              <w:jc w:val="left"/>
            </w:pPr>
            <w:r>
              <w:t xml:space="preserve">ISSUED: </w:t>
            </w:r>
            <w:r w:rsidR="00745C5B">
              <w:t>October 23, 2019</w:t>
            </w:r>
          </w:p>
        </w:tc>
      </w:tr>
    </w:tbl>
    <w:p w:rsidR="00112EEF" w:rsidRDefault="00112EEF" w:rsidP="00112EEF"/>
    <w:p w:rsidR="00112EEF" w:rsidRDefault="00112EEF" w:rsidP="00112EEF"/>
    <w:p w:rsidR="00112EEF" w:rsidRDefault="00112EEF">
      <w:pPr>
        <w:ind w:firstLine="720"/>
        <w:jc w:val="both"/>
      </w:pPr>
      <w:bookmarkStart w:id="3" w:name="Commissioners"/>
      <w:bookmarkEnd w:id="3"/>
      <w:r>
        <w:t>The following Commissioners participated in the disposition of this matter:</w:t>
      </w:r>
    </w:p>
    <w:p w:rsidR="00112EEF" w:rsidRDefault="00112EEF"/>
    <w:p w:rsidR="00112EEF" w:rsidRDefault="00112EEF">
      <w:pPr>
        <w:jc w:val="center"/>
      </w:pPr>
      <w:r>
        <w:t>ART GRAHAM, Chairman</w:t>
      </w:r>
    </w:p>
    <w:p w:rsidR="00112EEF" w:rsidRDefault="00112EEF">
      <w:pPr>
        <w:jc w:val="center"/>
      </w:pPr>
      <w:r>
        <w:t xml:space="preserve">JULIE I. BROWN </w:t>
      </w:r>
    </w:p>
    <w:p w:rsidR="00112EEF" w:rsidRDefault="00112EEF">
      <w:pPr>
        <w:jc w:val="center"/>
      </w:pPr>
      <w:r>
        <w:t>DONALD J. POLMANN</w:t>
      </w:r>
    </w:p>
    <w:p w:rsidR="00112EEF" w:rsidRDefault="00112EEF">
      <w:pPr>
        <w:jc w:val="center"/>
      </w:pPr>
      <w:r>
        <w:t>GARY F. CLARK</w:t>
      </w:r>
    </w:p>
    <w:p w:rsidR="00112EEF" w:rsidRDefault="00112EEF">
      <w:pPr>
        <w:jc w:val="center"/>
      </w:pPr>
      <w:r>
        <w:t>ANDREW GILES FAY</w:t>
      </w:r>
    </w:p>
    <w:p w:rsidR="00112EEF" w:rsidRDefault="00112EEF"/>
    <w:p w:rsidR="00112EEF" w:rsidRDefault="00112EEF" w:rsidP="00112EEF">
      <w:pPr>
        <w:pStyle w:val="OrderBody"/>
      </w:pPr>
    </w:p>
    <w:bookmarkStart w:id="4" w:name="OrderText"/>
    <w:bookmarkEnd w:id="4"/>
    <w:p w:rsidR="00112EEF" w:rsidRPr="003E4B2D" w:rsidRDefault="00112EEF">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112EEF" w:rsidRPr="003E4B2D" w:rsidRDefault="00112EEF">
      <w:pPr>
        <w:pStyle w:val="OrderBody"/>
        <w:jc w:val="center"/>
        <w:rPr>
          <w:u w:val="single"/>
        </w:rPr>
      </w:pPr>
      <w:r w:rsidRPr="003E4B2D">
        <w:rPr>
          <w:u w:val="single"/>
        </w:rPr>
        <w:t>ORDER</w:t>
      </w:r>
      <w:bookmarkStart w:id="5" w:name="OrderTitle"/>
      <w:r>
        <w:rPr>
          <w:u w:val="single"/>
        </w:rPr>
        <w:t xml:space="preserve"> </w:t>
      </w:r>
      <w:r w:rsidR="00AE0AD5">
        <w:rPr>
          <w:u w:val="single"/>
        </w:rPr>
        <w:t xml:space="preserve">APPROVING CLARIFICATION AND AMENDMENT OF TERRITORIAL AGREEMENT BETWEEN FLORIDA POWER &amp; LIGHT COMPANY AND OKEFENOKE RURAL ELECTRIC </w:t>
      </w:r>
      <w:r w:rsidR="001233F4">
        <w:rPr>
          <w:u w:val="single"/>
        </w:rPr>
        <w:t xml:space="preserve">MEMBERSHIP </w:t>
      </w:r>
      <w:r w:rsidR="00AE0AD5">
        <w:rPr>
          <w:u w:val="single"/>
        </w:rPr>
        <w:t>CO</w:t>
      </w:r>
      <w:r w:rsidR="00C52815">
        <w:rPr>
          <w:u w:val="single"/>
        </w:rPr>
        <w:t>RPORATION</w:t>
      </w:r>
      <w:bookmarkEnd w:id="5"/>
    </w:p>
    <w:p w:rsidR="00112EEF" w:rsidRPr="003E4B2D" w:rsidRDefault="00112EEF">
      <w:pPr>
        <w:pStyle w:val="OrderBody"/>
      </w:pPr>
    </w:p>
    <w:p w:rsidR="00112EEF" w:rsidRPr="003E4B2D" w:rsidRDefault="00112EEF">
      <w:pPr>
        <w:pStyle w:val="OrderBody"/>
      </w:pPr>
    </w:p>
    <w:p w:rsidR="00112EEF" w:rsidRPr="003E4B2D" w:rsidRDefault="00112EEF">
      <w:pPr>
        <w:pStyle w:val="OrderBody"/>
      </w:pPr>
      <w:r w:rsidRPr="003E4B2D">
        <w:t>BY THE COMMISSION:</w:t>
      </w:r>
    </w:p>
    <w:p w:rsidR="00112EEF" w:rsidRPr="003E4B2D" w:rsidRDefault="00112EEF">
      <w:pPr>
        <w:pStyle w:val="OrderBody"/>
      </w:pPr>
    </w:p>
    <w:p w:rsidR="00112EEF" w:rsidRDefault="00112EEF">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112EEF"/>
    <w:p w:rsidR="00112EEF" w:rsidRPr="00AE0AD5" w:rsidRDefault="00112EEF" w:rsidP="00AE0AD5">
      <w:pPr>
        <w:pStyle w:val="ListParagraph"/>
        <w:keepNext/>
        <w:numPr>
          <w:ilvl w:val="0"/>
          <w:numId w:val="1"/>
        </w:numPr>
        <w:spacing w:after="240"/>
        <w:outlineLvl w:val="0"/>
        <w:rPr>
          <w:b/>
          <w:bCs/>
          <w:kern w:val="32"/>
          <w:szCs w:val="32"/>
        </w:rPr>
      </w:pPr>
      <w:r w:rsidRPr="00AE0AD5">
        <w:rPr>
          <w:b/>
          <w:bCs/>
          <w:kern w:val="32"/>
          <w:szCs w:val="32"/>
        </w:rPr>
        <w:t>Background</w:t>
      </w:r>
      <w:r w:rsidRPr="00AE0AD5">
        <w:rPr>
          <w:b/>
          <w:bCs/>
          <w:kern w:val="32"/>
          <w:szCs w:val="32"/>
        </w:rPr>
        <w:fldChar w:fldCharType="begin"/>
      </w:r>
      <w:r w:rsidRPr="00AE0AD5">
        <w:rPr>
          <w:b/>
          <w:bCs/>
          <w:kern w:val="32"/>
          <w:szCs w:val="32"/>
        </w:rPr>
        <w:instrText xml:space="preserve"> TC  "</w:instrText>
      </w:r>
      <w:r w:rsidRPr="00AE0AD5">
        <w:rPr>
          <w:b/>
          <w:bCs/>
          <w:kern w:val="32"/>
          <w:szCs w:val="32"/>
        </w:rPr>
        <w:tab/>
      </w:r>
      <w:bookmarkStart w:id="6" w:name="_Toc94516455"/>
      <w:r w:rsidRPr="00AE0AD5">
        <w:rPr>
          <w:b/>
          <w:bCs/>
          <w:kern w:val="32"/>
          <w:szCs w:val="32"/>
        </w:rPr>
        <w:instrText>Case Background</w:instrText>
      </w:r>
      <w:bookmarkEnd w:id="6"/>
      <w:r w:rsidRPr="00AE0AD5">
        <w:rPr>
          <w:b/>
          <w:bCs/>
          <w:kern w:val="32"/>
          <w:szCs w:val="32"/>
        </w:rPr>
        <w:instrText xml:space="preserve">" \l 1 </w:instrText>
      </w:r>
      <w:r w:rsidRPr="00AE0AD5">
        <w:rPr>
          <w:b/>
          <w:bCs/>
          <w:kern w:val="32"/>
          <w:szCs w:val="32"/>
        </w:rPr>
        <w:fldChar w:fldCharType="end"/>
      </w:r>
    </w:p>
    <w:p w:rsidR="00112EEF" w:rsidRPr="00AE0AD5" w:rsidRDefault="00CE501B" w:rsidP="00112EEF">
      <w:pPr>
        <w:spacing w:after="240"/>
        <w:jc w:val="both"/>
      </w:pPr>
      <w:r w:rsidRPr="00AE0AD5">
        <w:tab/>
      </w:r>
      <w:r w:rsidR="00112EEF" w:rsidRPr="00AE0AD5">
        <w:t xml:space="preserve">On July 17, 2019, Florida Power &amp; Light Company (FPL) and </w:t>
      </w:r>
      <w:proofErr w:type="spellStart"/>
      <w:r w:rsidR="00112EEF" w:rsidRPr="00AE0AD5">
        <w:t>Okefenoke</w:t>
      </w:r>
      <w:proofErr w:type="spellEnd"/>
      <w:r w:rsidR="00112EEF" w:rsidRPr="00AE0AD5">
        <w:t xml:space="preserve"> Rural Electric Memb</w:t>
      </w:r>
      <w:r w:rsidR="006D1467">
        <w:t>ership Corporation (</w:t>
      </w:r>
      <w:proofErr w:type="spellStart"/>
      <w:r w:rsidR="006D1467">
        <w:t>Okefenoke</w:t>
      </w:r>
      <w:proofErr w:type="spellEnd"/>
      <w:r w:rsidR="006D1467">
        <w:t>) (</w:t>
      </w:r>
      <w:r w:rsidR="00112EEF" w:rsidRPr="00AE0AD5">
        <w:t>collectively</w:t>
      </w:r>
      <w:r w:rsidR="006D1467">
        <w:t>,</w:t>
      </w:r>
      <w:r w:rsidR="00112EEF" w:rsidRPr="00AE0AD5">
        <w:t xml:space="preserve"> the </w:t>
      </w:r>
      <w:r w:rsidR="006D1467">
        <w:t>J</w:t>
      </w:r>
      <w:r w:rsidR="00112EEF" w:rsidRPr="00AE0AD5">
        <w:t xml:space="preserve">oint </w:t>
      </w:r>
      <w:r w:rsidR="006D1467">
        <w:t>P</w:t>
      </w:r>
      <w:r w:rsidR="00112EEF" w:rsidRPr="00AE0AD5">
        <w:t>etitioners</w:t>
      </w:r>
      <w:r w:rsidR="006D1467">
        <w:t>)</w:t>
      </w:r>
      <w:r w:rsidR="00112EEF" w:rsidRPr="00AE0AD5">
        <w:t xml:space="preserve">, filed a petition seeking Commission approval of </w:t>
      </w:r>
      <w:r w:rsidR="00FC5CDA">
        <w:t xml:space="preserve">a </w:t>
      </w:r>
      <w:r w:rsidR="00112EEF" w:rsidRPr="00AE0AD5">
        <w:t xml:space="preserve">clarification and amendment to the </w:t>
      </w:r>
      <w:r w:rsidR="006D1467">
        <w:t>Joint Petitioners</w:t>
      </w:r>
      <w:r w:rsidR="00112EEF" w:rsidRPr="00AE0AD5">
        <w:t>’ current territorial agreement as it relates to certain boundaries in Nassau County</w:t>
      </w:r>
      <w:r w:rsidR="00FC5CDA">
        <w:t xml:space="preserve"> </w:t>
      </w:r>
      <w:r w:rsidR="00FC5CDA" w:rsidRPr="00AE0AD5">
        <w:t>(</w:t>
      </w:r>
      <w:r w:rsidR="00FC5CDA">
        <w:t>2019 Amendment</w:t>
      </w:r>
      <w:r w:rsidR="00FC5CDA" w:rsidRPr="00AE0AD5">
        <w:t>)</w:t>
      </w:r>
      <w:r w:rsidR="00112EEF" w:rsidRPr="00AE0AD5">
        <w:t xml:space="preserve">. </w:t>
      </w:r>
    </w:p>
    <w:p w:rsidR="00D57E57" w:rsidRPr="00AE0AD5" w:rsidRDefault="00CE501B" w:rsidP="006D1467">
      <w:pPr>
        <w:spacing w:after="240"/>
        <w:jc w:val="both"/>
      </w:pPr>
      <w:r w:rsidRPr="00AE0AD5">
        <w:tab/>
      </w:r>
      <w:r w:rsidR="00112EEF" w:rsidRPr="00AE0AD5">
        <w:t xml:space="preserve">In May 1992, FPL filed three petitions to resolve territorial disputes with </w:t>
      </w:r>
      <w:proofErr w:type="spellStart"/>
      <w:r w:rsidR="00112EEF" w:rsidRPr="00AE0AD5">
        <w:t>Okefenoke</w:t>
      </w:r>
      <w:proofErr w:type="spellEnd"/>
      <w:r w:rsidR="00112EEF" w:rsidRPr="00AE0AD5">
        <w:t xml:space="preserve"> in </w:t>
      </w:r>
      <w:proofErr w:type="gramStart"/>
      <w:r w:rsidR="00112EEF" w:rsidRPr="00AE0AD5">
        <w:t>Baker and Nassau Counties.</w:t>
      </w:r>
      <w:proofErr w:type="gramEnd"/>
      <w:r w:rsidR="00112EEF" w:rsidRPr="00AE0AD5">
        <w:t xml:space="preserve"> The three dockets were co</w:t>
      </w:r>
      <w:r w:rsidR="006D1467">
        <w:t>nsolidated for hearing purposes.</w:t>
      </w:r>
      <w:r w:rsidR="00112EEF" w:rsidRPr="00AE0AD5">
        <w:t xml:space="preserve"> </w:t>
      </w:r>
      <w:r w:rsidR="00172018">
        <w:t>A</w:t>
      </w:r>
      <w:r w:rsidR="00112EEF" w:rsidRPr="00AE0AD5">
        <w:t>fter lengthy negotiations</w:t>
      </w:r>
      <w:r w:rsidR="006D1467">
        <w:t>,</w:t>
      </w:r>
      <w:r w:rsidR="00112EEF" w:rsidRPr="00AE0AD5">
        <w:t xml:space="preserve"> the </w:t>
      </w:r>
      <w:r w:rsidR="00B55E1C">
        <w:t>parties reached an agreement</w:t>
      </w:r>
      <w:r w:rsidR="00FC5CDA">
        <w:t xml:space="preserve"> approved by</w:t>
      </w:r>
      <w:r w:rsidR="00B55E1C">
        <w:t xml:space="preserve"> this</w:t>
      </w:r>
      <w:r w:rsidR="00112EEF" w:rsidRPr="00AE0AD5">
        <w:t xml:space="preserve"> Commission in 1995 (</w:t>
      </w:r>
      <w:r w:rsidR="006D1467">
        <w:t>1995 Agreement</w:t>
      </w:r>
      <w:r w:rsidR="00112EEF" w:rsidRPr="00AE0AD5">
        <w:t>).</w:t>
      </w:r>
      <w:r w:rsidR="00112EEF" w:rsidRPr="00AE0AD5">
        <w:rPr>
          <w:vertAlign w:val="superscript"/>
        </w:rPr>
        <w:footnoteReference w:id="1"/>
      </w:r>
      <w:r w:rsidR="00112EEF" w:rsidRPr="00AE0AD5">
        <w:t xml:space="preserve"> The parties currently operate pursuant t</w:t>
      </w:r>
      <w:r w:rsidR="00FC5CDA">
        <w:t>o that</w:t>
      </w:r>
      <w:r w:rsidR="00112EEF" w:rsidRPr="00AE0AD5">
        <w:t xml:space="preserve"> </w:t>
      </w:r>
      <w:r w:rsidR="006D1467">
        <w:t>1995 Agreement</w:t>
      </w:r>
      <w:r w:rsidR="00112EEF" w:rsidRPr="00AE0AD5">
        <w:t xml:space="preserve">. The </w:t>
      </w:r>
      <w:r w:rsidR="00112EEF" w:rsidRPr="00AE0AD5">
        <w:lastRenderedPageBreak/>
        <w:t xml:space="preserve">proposed </w:t>
      </w:r>
      <w:r w:rsidR="006D1467">
        <w:t>2019 Amendment</w:t>
      </w:r>
      <w:r w:rsidR="00112EEF" w:rsidRPr="00AE0AD5">
        <w:t xml:space="preserve"> would correct a discrepancy</w:t>
      </w:r>
      <w:r w:rsidR="00172018">
        <w:t xml:space="preserve"> </w:t>
      </w:r>
      <w:r w:rsidR="00172018" w:rsidRPr="00AE0AD5">
        <w:t xml:space="preserve">in the maps delineating the territorial boundaries approved in the </w:t>
      </w:r>
      <w:r w:rsidR="00172018">
        <w:t>1995 Agreement</w:t>
      </w:r>
      <w:r w:rsidR="00BA3BC3">
        <w:t>,</w:t>
      </w:r>
      <w:r w:rsidR="00FC5CDA">
        <w:t xml:space="preserve"> </w:t>
      </w:r>
      <w:r w:rsidR="00FC5CDA" w:rsidRPr="00AE0AD5">
        <w:t>in an area</w:t>
      </w:r>
      <w:r w:rsidR="00FC5CDA">
        <w:t xml:space="preserve"> </w:t>
      </w:r>
      <w:r w:rsidR="00FC5CDA" w:rsidRPr="00AE0AD5">
        <w:t>in Nassau County known as the Crawford Diamond</w:t>
      </w:r>
      <w:r w:rsidR="00172018">
        <w:t>.</w:t>
      </w:r>
      <w:r w:rsidR="00112EEF" w:rsidRPr="00AE0AD5">
        <w:t xml:space="preserve"> </w:t>
      </w:r>
      <w:r w:rsidR="00172018">
        <w:t xml:space="preserve">The amendment </w:t>
      </w:r>
      <w:r w:rsidR="006D1467">
        <w:t xml:space="preserve">would </w:t>
      </w:r>
      <w:r w:rsidR="00172018">
        <w:t xml:space="preserve">also </w:t>
      </w:r>
      <w:r w:rsidR="00112EEF" w:rsidRPr="00AE0AD5">
        <w:t xml:space="preserve">allow FPL to provide electric service to the adjacent property. All other provisions of the </w:t>
      </w:r>
      <w:r w:rsidR="006D1467">
        <w:t>1995 Agreement</w:t>
      </w:r>
      <w:r w:rsidR="00112EEF" w:rsidRPr="00AE0AD5">
        <w:t xml:space="preserve"> would remain in effect. </w:t>
      </w:r>
      <w:r w:rsidR="00FC5CDA">
        <w:t>N</w:t>
      </w:r>
      <w:r w:rsidR="00112EEF" w:rsidRPr="00AE0AD5">
        <w:t xml:space="preserve">o customer transfers </w:t>
      </w:r>
      <w:r w:rsidR="00FC5CDA">
        <w:t xml:space="preserve">are </w:t>
      </w:r>
      <w:r w:rsidR="00112EEF" w:rsidRPr="00AE0AD5">
        <w:t xml:space="preserve">contemplated in the </w:t>
      </w:r>
      <w:r w:rsidR="006D1467">
        <w:t>2019 Amendment</w:t>
      </w:r>
      <w:r w:rsidR="00112EEF" w:rsidRPr="00AE0AD5">
        <w:t xml:space="preserve">. The </w:t>
      </w:r>
      <w:r w:rsidR="006D1467">
        <w:t>2019 Amendment</w:t>
      </w:r>
      <w:r w:rsidR="00112EEF" w:rsidRPr="00AE0AD5">
        <w:t xml:space="preserve">, dated July 13, 2019, is </w:t>
      </w:r>
      <w:r w:rsidR="006D1467">
        <w:t>attached as</w:t>
      </w:r>
      <w:r w:rsidR="00112EEF" w:rsidRPr="00AE0AD5">
        <w:t xml:space="preserve"> Attachment A to this </w:t>
      </w:r>
      <w:r w:rsidR="006D1467">
        <w:t>Order</w:t>
      </w:r>
      <w:r w:rsidR="003F0491">
        <w:t>. This</w:t>
      </w:r>
      <w:r w:rsidR="00112EEF" w:rsidRPr="00AE0AD5">
        <w:t xml:space="preserve"> Commission has jurisdiction over this matter pursuant to Section 366.04, Florida Statutes (F.S.).</w:t>
      </w:r>
    </w:p>
    <w:p w:rsidR="00112EEF" w:rsidRPr="00AE0AD5" w:rsidRDefault="00112EEF" w:rsidP="00CE501B">
      <w:pPr>
        <w:jc w:val="both"/>
      </w:pPr>
    </w:p>
    <w:p w:rsidR="00AE0AD5" w:rsidRPr="00AE0AD5" w:rsidRDefault="00AE0AD5" w:rsidP="00AE0AD5">
      <w:pPr>
        <w:pStyle w:val="ListParagraph"/>
        <w:numPr>
          <w:ilvl w:val="0"/>
          <w:numId w:val="1"/>
        </w:numPr>
        <w:spacing w:after="240"/>
        <w:jc w:val="both"/>
        <w:outlineLvl w:val="0"/>
        <w:rPr>
          <w:b/>
          <w:bCs/>
          <w:kern w:val="32"/>
          <w:szCs w:val="32"/>
        </w:rPr>
      </w:pPr>
      <w:r>
        <w:rPr>
          <w:b/>
          <w:bCs/>
          <w:kern w:val="32"/>
          <w:szCs w:val="32"/>
        </w:rPr>
        <w:t>Decision</w:t>
      </w:r>
    </w:p>
    <w:p w:rsidR="00112EEF" w:rsidRPr="00AE0AD5" w:rsidRDefault="00CE501B" w:rsidP="00112EEF">
      <w:pPr>
        <w:spacing w:after="240"/>
        <w:jc w:val="both"/>
      </w:pPr>
      <w:r w:rsidRPr="00AE0AD5">
        <w:tab/>
      </w:r>
      <w:r w:rsidR="00112EEF" w:rsidRPr="00AE0AD5">
        <w:t> Pursuant to Section 366.04(2</w:t>
      </w:r>
      <w:proofErr w:type="gramStart"/>
      <w:r w:rsidR="00112EEF" w:rsidRPr="00AE0AD5">
        <w:t>)(</w:t>
      </w:r>
      <w:proofErr w:type="gramEnd"/>
      <w:r w:rsidR="00112EEF" w:rsidRPr="00AE0AD5">
        <w:t xml:space="preserve">d), F.S., and Rule 25-6.0440(2), </w:t>
      </w:r>
      <w:r w:rsidR="007A7D7B">
        <w:t>F.A.C.</w:t>
      </w:r>
      <w:r w:rsidR="00112EEF" w:rsidRPr="00AE0AD5">
        <w:t xml:space="preserve">, </w:t>
      </w:r>
      <w:r w:rsidR="003F0491">
        <w:t>we have</w:t>
      </w:r>
      <w:r w:rsidR="00112EEF" w:rsidRPr="00AE0AD5">
        <w:t xml:space="preserve"> the jurisdiction to approve territorial agreements between and among rural electric cooperatives, municipal electric utilities, and other electric utilities. Unless </w:t>
      </w:r>
      <w:r w:rsidR="003F0491">
        <w:t>we determine</w:t>
      </w:r>
      <w:r w:rsidR="00112EEF" w:rsidRPr="00AE0AD5">
        <w:t xml:space="preserve"> that the agreement will cause a detriment to the public interest, </w:t>
      </w:r>
      <w:r w:rsidR="00CA5DBF">
        <w:t xml:space="preserve">the </w:t>
      </w:r>
      <w:r w:rsidR="00112EEF" w:rsidRPr="00AE0AD5">
        <w:t>agreement</w:t>
      </w:r>
      <w:r w:rsidR="00172018">
        <w:t xml:space="preserve"> should be approved</w:t>
      </w:r>
      <w:r w:rsidR="00112EEF" w:rsidRPr="00AE0AD5">
        <w:t>.</w:t>
      </w:r>
      <w:r w:rsidR="00112EEF" w:rsidRPr="00AE0AD5">
        <w:rPr>
          <w:vertAlign w:val="superscript"/>
        </w:rPr>
        <w:footnoteReference w:id="2"/>
      </w:r>
    </w:p>
    <w:p w:rsidR="00112EEF" w:rsidRPr="00112EEF" w:rsidRDefault="00CE501B" w:rsidP="00112EEF">
      <w:pPr>
        <w:spacing w:after="240"/>
        <w:jc w:val="both"/>
      </w:pPr>
      <w:r w:rsidRPr="00AE0AD5">
        <w:tab/>
      </w:r>
      <w:r w:rsidR="00112EEF" w:rsidRPr="00AE0AD5">
        <w:t xml:space="preserve">FPL is an investor-owned utility operating under the jurisdiction of this Commission pursuant to Chapter 366, F.S. </w:t>
      </w:r>
      <w:proofErr w:type="spellStart"/>
      <w:r w:rsidR="00112EEF" w:rsidRPr="00AE0AD5">
        <w:t>Okefenoke</w:t>
      </w:r>
      <w:proofErr w:type="spellEnd"/>
      <w:r w:rsidR="00112EEF" w:rsidRPr="00AE0AD5">
        <w:t xml:space="preserve"> is a rural electric corporat</w:t>
      </w:r>
      <w:r w:rsidR="00112EEF" w:rsidRPr="00112EEF">
        <w:t>ion organized and existing under the laws of Georgia and registered to conduct business in Florida pu</w:t>
      </w:r>
      <w:r w:rsidR="00CA5DBF">
        <w:t xml:space="preserve">rsuant to Section 425.27, F.S. </w:t>
      </w:r>
      <w:r w:rsidR="00112EEF" w:rsidRPr="00112EEF">
        <w:t xml:space="preserve">Both petitioners presently provide electric service in Baker and Nassau Counties and are operating pursuant to the </w:t>
      </w:r>
      <w:r w:rsidR="006D1467">
        <w:t>1995 Agreement</w:t>
      </w:r>
      <w:r w:rsidR="00112EEF" w:rsidRPr="00112EEF">
        <w:t xml:space="preserve">. The </w:t>
      </w:r>
      <w:r w:rsidR="006D1467">
        <w:t>1995 Agreement</w:t>
      </w:r>
      <w:r w:rsidR="00112EEF" w:rsidRPr="00112EEF">
        <w:t xml:space="preserve"> does not specify a term</w:t>
      </w:r>
      <w:r w:rsidR="00172018">
        <w:t>.</w:t>
      </w:r>
      <w:r w:rsidR="00112EEF" w:rsidRPr="00112EEF">
        <w:t xml:space="preserve"> </w:t>
      </w:r>
      <w:r w:rsidR="00172018">
        <w:t xml:space="preserve">Rather, </w:t>
      </w:r>
      <w:r w:rsidR="00112EEF" w:rsidRPr="00112EEF">
        <w:t xml:space="preserve">Section 4.1 of the </w:t>
      </w:r>
      <w:r w:rsidR="006D1467">
        <w:t>1995 Agreement</w:t>
      </w:r>
      <w:r w:rsidR="00112EEF" w:rsidRPr="00112EEF">
        <w:t xml:space="preserve"> states that the agreement will continu</w:t>
      </w:r>
      <w:r w:rsidR="003F0491">
        <w:t>e and remain in effect until this</w:t>
      </w:r>
      <w:r w:rsidR="00112EEF" w:rsidRPr="00112EEF">
        <w:t xml:space="preserve"> Commission, by order, modifies or withdraws its approval after proper noticing and hearing. </w:t>
      </w:r>
    </w:p>
    <w:p w:rsidR="00112EEF" w:rsidRPr="00112EEF" w:rsidRDefault="00CE501B" w:rsidP="00112EEF">
      <w:pPr>
        <w:spacing w:after="240"/>
        <w:jc w:val="both"/>
      </w:pPr>
      <w:r>
        <w:tab/>
      </w:r>
      <w:r w:rsidR="00112EEF" w:rsidRPr="00112EEF">
        <w:t xml:space="preserve">Through the proposed </w:t>
      </w:r>
      <w:r w:rsidR="006D1467">
        <w:t>2019 Amendment</w:t>
      </w:r>
      <w:r w:rsidR="00112EEF" w:rsidRPr="00112EEF">
        <w:t xml:space="preserve">, the </w:t>
      </w:r>
      <w:r w:rsidR="006D1467">
        <w:t>Joint Petitioners</w:t>
      </w:r>
      <w:r w:rsidR="00112EEF" w:rsidRPr="00112EEF">
        <w:t xml:space="preserve"> seek to clarify a discrepancy in the maps approved in the </w:t>
      </w:r>
      <w:r w:rsidR="006D1467">
        <w:t>1995 Agreement</w:t>
      </w:r>
      <w:r w:rsidR="00112EEF" w:rsidRPr="00112EEF">
        <w:t xml:space="preserve"> and to amend the </w:t>
      </w:r>
      <w:r w:rsidR="006D1467">
        <w:t>1995 Agreement</w:t>
      </w:r>
      <w:r w:rsidR="00112EEF" w:rsidRPr="00112EEF">
        <w:t xml:space="preserve"> to allow FPL to serve a property which is currently located within </w:t>
      </w:r>
      <w:proofErr w:type="spellStart"/>
      <w:r w:rsidR="00112EEF" w:rsidRPr="00112EEF">
        <w:t>Okefenoke’s</w:t>
      </w:r>
      <w:proofErr w:type="spellEnd"/>
      <w:r w:rsidR="00112EEF" w:rsidRPr="00112EEF">
        <w:t xml:space="preserve"> service territory. The proposed amendment involves an area called the Crawford Diamond, which is located in Nassau County. The Crawford Diamond is a 1,815 acre property which is zoned as an industrial park. The petitioners explained that the Crawford Diamond is located adjacent to railroads and road infrastructure. FPL</w:t>
      </w:r>
      <w:r w:rsidR="003F0491">
        <w:t xml:space="preserve"> states</w:t>
      </w:r>
      <w:r w:rsidR="00112EEF" w:rsidRPr="00112EEF">
        <w:t xml:space="preserve"> that, through its economic development team, it is promoting this location to attract new commercial and industrial customers.</w:t>
      </w:r>
      <w:r w:rsidR="00CA5DBF">
        <w:rPr>
          <w:rStyle w:val="FootnoteReference"/>
        </w:rPr>
        <w:footnoteReference w:id="3"/>
      </w:r>
      <w:r w:rsidR="00112EEF" w:rsidRPr="00112EEF">
        <w:t xml:space="preserve"> In addition, FPL explained to</w:t>
      </w:r>
      <w:r w:rsidR="003F0491">
        <w:t xml:space="preserve"> Commission</w:t>
      </w:r>
      <w:r w:rsidR="00112EEF" w:rsidRPr="00112EEF">
        <w:t xml:space="preserve"> staff that it is conducting preliminary engineering and permitting to potentially construct the Nassau Solar Energy Center in the Crawford Diamond. However, there are no customers or electric service facilities in the Crawford Diamond or the adjacent property at this time. The clarification and the amendment to the </w:t>
      </w:r>
      <w:r w:rsidR="006D1467">
        <w:t>1995 Agreement</w:t>
      </w:r>
      <w:r w:rsidR="00112EEF" w:rsidRPr="00112EEF">
        <w:t xml:space="preserve"> are discussed below. </w:t>
      </w:r>
    </w:p>
    <w:p w:rsidR="00112EEF" w:rsidRPr="00112EEF" w:rsidRDefault="00CE501B" w:rsidP="00112EEF">
      <w:pPr>
        <w:spacing w:after="240"/>
        <w:jc w:val="both"/>
      </w:pPr>
      <w:r>
        <w:tab/>
      </w:r>
      <w:r w:rsidR="00112EEF" w:rsidRPr="00112EEF">
        <w:t xml:space="preserve">The joint petition states that two conflicting maps approved in the </w:t>
      </w:r>
      <w:r w:rsidR="006D1467">
        <w:t>1995 Agreement</w:t>
      </w:r>
      <w:r w:rsidR="00112EEF" w:rsidRPr="00112EEF">
        <w:t xml:space="preserve"> can be interpreted to allow both FPL and </w:t>
      </w:r>
      <w:proofErr w:type="spellStart"/>
      <w:r w:rsidR="00112EEF" w:rsidRPr="00112EEF">
        <w:t>Okefenoke</w:t>
      </w:r>
      <w:proofErr w:type="spellEnd"/>
      <w:r w:rsidR="00112EEF" w:rsidRPr="00112EEF">
        <w:t xml:space="preserve"> to serve a portion of the Crawford Diamond. The </w:t>
      </w:r>
      <w:r w:rsidR="006D1467">
        <w:t>1995 Agreement</w:t>
      </w:r>
      <w:r w:rsidR="00112EEF" w:rsidRPr="00112EEF">
        <w:t xml:space="preserve"> includes several pages of maps (shown in Attachment A to the </w:t>
      </w:r>
      <w:r w:rsidR="00B55E1C">
        <w:t>O</w:t>
      </w:r>
      <w:r w:rsidR="00112EEF" w:rsidRPr="00112EEF">
        <w:t xml:space="preserve">rder approving the </w:t>
      </w:r>
      <w:r w:rsidR="006D1467">
        <w:t>1995 Agreement</w:t>
      </w:r>
      <w:r w:rsidR="00112EEF" w:rsidRPr="00112EEF">
        <w:t xml:space="preserve">). Specifically, the petition states that the map on page 25 of the </w:t>
      </w:r>
      <w:r w:rsidR="006D1467">
        <w:lastRenderedPageBreak/>
        <w:t>1995 Agreement</w:t>
      </w:r>
      <w:r w:rsidR="00112EEF" w:rsidRPr="00112EEF">
        <w:t xml:space="preserve"> and the maps on pages 47 and 48 of the maps are not consistent. The area of discrepancy within the Crawford Diamond is shown on page 7 of 13 in Attachment A to this </w:t>
      </w:r>
      <w:r w:rsidR="006D1467">
        <w:t>Order</w:t>
      </w:r>
      <w:r w:rsidR="00112EEF" w:rsidRPr="00112EEF">
        <w:t xml:space="preserve">. The parties now seek to clarify the discrepancy and amend the territorial boundaries approved in the </w:t>
      </w:r>
      <w:r w:rsidR="006D1467">
        <w:t>1995 Agreement</w:t>
      </w:r>
      <w:r w:rsidR="00112EEF" w:rsidRPr="00112EEF">
        <w:t xml:space="preserve"> to allow FPL to serve the area of discrepancy.</w:t>
      </w:r>
    </w:p>
    <w:p w:rsidR="00112EEF" w:rsidRPr="00112EEF" w:rsidRDefault="00CE501B" w:rsidP="00112EEF">
      <w:pPr>
        <w:spacing w:after="240"/>
        <w:jc w:val="both"/>
      </w:pPr>
      <w:r>
        <w:tab/>
      </w:r>
      <w:r w:rsidR="00112EEF" w:rsidRPr="00112EEF">
        <w:t xml:space="preserve">The proposed </w:t>
      </w:r>
      <w:r w:rsidR="006D1467">
        <w:t>2019 Amendment</w:t>
      </w:r>
      <w:r w:rsidR="00112EEF" w:rsidRPr="00112EEF">
        <w:t xml:space="preserve"> also seeks Commission approval to allow FPL to serve potential future customers in a 335.86 acre property that is adjacent to the area of discrepancy discussed above. The property is currently in </w:t>
      </w:r>
      <w:proofErr w:type="spellStart"/>
      <w:r w:rsidR="00112EEF" w:rsidRPr="00112EEF">
        <w:t>Okefenoke’s</w:t>
      </w:r>
      <w:proofErr w:type="spellEnd"/>
      <w:r w:rsidR="00112EEF" w:rsidRPr="00112EEF">
        <w:t xml:space="preserve"> service territory. Page 8 of 13 in Attachment A to this </w:t>
      </w:r>
      <w:r w:rsidR="006D1467">
        <w:t>Order</w:t>
      </w:r>
      <w:r w:rsidR="00112EEF" w:rsidRPr="00112EEF">
        <w:t xml:space="preserve"> indicates the revised territorial boundary lines.</w:t>
      </w:r>
    </w:p>
    <w:p w:rsidR="00112EEF" w:rsidRPr="00112EEF" w:rsidRDefault="00CE501B" w:rsidP="00112EEF">
      <w:pPr>
        <w:spacing w:after="240"/>
        <w:jc w:val="both"/>
      </w:pPr>
      <w:r>
        <w:tab/>
      </w:r>
      <w:r w:rsidR="00112EEF" w:rsidRPr="00112EEF">
        <w:t xml:space="preserve">In addition to the proposed </w:t>
      </w:r>
      <w:r w:rsidR="006D1467">
        <w:t>2019 Amendment</w:t>
      </w:r>
      <w:r w:rsidR="00112EEF" w:rsidRPr="00112EEF">
        <w:t xml:space="preserve">, FPL and </w:t>
      </w:r>
      <w:proofErr w:type="spellStart"/>
      <w:r w:rsidR="00112EEF" w:rsidRPr="00112EEF">
        <w:t>Okefenoke</w:t>
      </w:r>
      <w:proofErr w:type="spellEnd"/>
      <w:r w:rsidR="00112EEF" w:rsidRPr="00112EEF">
        <w:t xml:space="preserve"> have entered into a Memorandum of Understanding (MOU) dated November 15, 2018. The </w:t>
      </w:r>
      <w:r w:rsidR="006D1467">
        <w:t>Joint Petitioners</w:t>
      </w:r>
      <w:r w:rsidR="00112EEF" w:rsidRPr="00112EEF">
        <w:t xml:space="preserve"> attached the MOU in Exhibit E of their petition in the instant docket. The </w:t>
      </w:r>
      <w:r w:rsidR="006D1467">
        <w:t>Joint Petitioners</w:t>
      </w:r>
      <w:r w:rsidR="00112EEF" w:rsidRPr="00112EEF">
        <w:t xml:space="preserve"> are not seeking Commission approval of the MOU. The </w:t>
      </w:r>
      <w:r w:rsidR="006D1467">
        <w:t>Joint Petitioners</w:t>
      </w:r>
      <w:r w:rsidR="00112EEF" w:rsidRPr="00112EEF">
        <w:t xml:space="preserve"> explained that the MOU represents the negotiated provisions necessary to resolve the discrepancy in the </w:t>
      </w:r>
      <w:r w:rsidR="006D1467">
        <w:t>1995 Agreement</w:t>
      </w:r>
      <w:r w:rsidR="00112EEF" w:rsidRPr="00112EEF">
        <w:t xml:space="preserve"> maps. The MOU also includes other terms and provisions that are not generally included in territorial agreements for Commission approva</w:t>
      </w:r>
      <w:r w:rsidR="003F0491">
        <w:t>l. The MOU will terminate if this</w:t>
      </w:r>
      <w:r w:rsidR="00112EEF" w:rsidRPr="00112EEF">
        <w:t xml:space="preserve"> Commission does not issue an order approving the </w:t>
      </w:r>
      <w:r w:rsidR="006D1467">
        <w:t>2019 Amendment</w:t>
      </w:r>
      <w:r w:rsidR="00112EEF" w:rsidRPr="00112EEF">
        <w:t xml:space="preserve"> by December 31, 2019.</w:t>
      </w:r>
    </w:p>
    <w:p w:rsidR="00112EEF" w:rsidRPr="00112EEF" w:rsidRDefault="00CE501B" w:rsidP="00112EEF">
      <w:pPr>
        <w:spacing w:after="240"/>
        <w:jc w:val="both"/>
      </w:pPr>
      <w:r>
        <w:tab/>
      </w:r>
      <w:r w:rsidR="00112EEF" w:rsidRPr="00112EEF">
        <w:t xml:space="preserve">Pursuant to the MOU, FPL plans to construct an FPL-owned substation and associated transmission and distribution lines in the Crawford Diamond. FPL will also build a second substation and transfer this substation to </w:t>
      </w:r>
      <w:proofErr w:type="spellStart"/>
      <w:r w:rsidR="00112EEF" w:rsidRPr="00112EEF">
        <w:t>Okefenoke</w:t>
      </w:r>
      <w:proofErr w:type="spellEnd"/>
      <w:r w:rsidR="00112EEF" w:rsidRPr="00112EEF">
        <w:t xml:space="preserve"> for $10 (</w:t>
      </w:r>
      <w:proofErr w:type="spellStart"/>
      <w:r w:rsidR="00A11231">
        <w:t>Okefenoke</w:t>
      </w:r>
      <w:proofErr w:type="spellEnd"/>
      <w:r w:rsidR="00A11231">
        <w:t xml:space="preserve"> Substation</w:t>
      </w:r>
      <w:r w:rsidR="00112EEF" w:rsidRPr="00112EEF">
        <w:t xml:space="preserve">). Any transmission assets installed by FPL to serve the </w:t>
      </w:r>
      <w:proofErr w:type="spellStart"/>
      <w:r w:rsidR="00A11231">
        <w:t>Okefenoke</w:t>
      </w:r>
      <w:proofErr w:type="spellEnd"/>
      <w:r w:rsidR="00A11231">
        <w:t xml:space="preserve"> Substation</w:t>
      </w:r>
      <w:r w:rsidR="00112EEF" w:rsidRPr="00112EEF">
        <w:t xml:space="preserve"> would be retained by FPL. FPL estimates the construction cost for the </w:t>
      </w:r>
      <w:proofErr w:type="spellStart"/>
      <w:r w:rsidR="00A11231">
        <w:t>Okefenoke</w:t>
      </w:r>
      <w:proofErr w:type="spellEnd"/>
      <w:r w:rsidR="00A11231">
        <w:t xml:space="preserve"> Substation</w:t>
      </w:r>
      <w:r w:rsidR="00112EEF" w:rsidRPr="00112EEF">
        <w:t xml:space="preserve"> to be approximately $6.8 to $7.6 million. The </w:t>
      </w:r>
      <w:proofErr w:type="spellStart"/>
      <w:r w:rsidR="00A11231">
        <w:t>Okefenoke</w:t>
      </w:r>
      <w:proofErr w:type="spellEnd"/>
      <w:r w:rsidR="00A11231">
        <w:t xml:space="preserve"> Substation</w:t>
      </w:r>
      <w:r w:rsidR="00112EEF" w:rsidRPr="00112EEF">
        <w:t xml:space="preserve"> will be constructed on FPL land which then will be transferred to </w:t>
      </w:r>
      <w:proofErr w:type="spellStart"/>
      <w:r w:rsidR="00112EEF" w:rsidRPr="00112EEF">
        <w:t>Okefenoke</w:t>
      </w:r>
      <w:proofErr w:type="spellEnd"/>
      <w:r w:rsidR="00112EEF" w:rsidRPr="00112EEF">
        <w:t xml:space="preserve"> pursuant to a special warranty deed. Exhibit A to the MOU shows that the </w:t>
      </w:r>
      <w:proofErr w:type="spellStart"/>
      <w:r w:rsidR="00A11231">
        <w:t>Okefenoke</w:t>
      </w:r>
      <w:proofErr w:type="spellEnd"/>
      <w:r w:rsidR="00A11231">
        <w:t xml:space="preserve"> Substation</w:t>
      </w:r>
      <w:r w:rsidR="00112EEF" w:rsidRPr="00112EEF">
        <w:t xml:space="preserve"> will be built at the boundary line between FPL and </w:t>
      </w:r>
      <w:proofErr w:type="spellStart"/>
      <w:r w:rsidR="00112EEF" w:rsidRPr="00112EEF">
        <w:t>Okefenoke</w:t>
      </w:r>
      <w:proofErr w:type="spellEnd"/>
      <w:r w:rsidR="00112EEF" w:rsidRPr="00112EEF">
        <w:t xml:space="preserve">. FPL stated that once the </w:t>
      </w:r>
      <w:proofErr w:type="spellStart"/>
      <w:r w:rsidR="00A11231">
        <w:t>Okefenoke</w:t>
      </w:r>
      <w:proofErr w:type="spellEnd"/>
      <w:r w:rsidR="00A11231">
        <w:t xml:space="preserve"> Substation</w:t>
      </w:r>
      <w:r w:rsidR="00112EEF" w:rsidRPr="00112EEF">
        <w:t xml:space="preserve"> is completed, and the transfer of ownership of the substation and the land on which it is located has been made from FPL to </w:t>
      </w:r>
      <w:proofErr w:type="spellStart"/>
      <w:r w:rsidR="00112EEF" w:rsidRPr="00112EEF">
        <w:t>Okef</w:t>
      </w:r>
      <w:r w:rsidR="003F0491">
        <w:t>enoke</w:t>
      </w:r>
      <w:proofErr w:type="spellEnd"/>
      <w:r w:rsidR="003F0491">
        <w:t>, FPL will come back to this</w:t>
      </w:r>
      <w:r w:rsidR="00112EEF" w:rsidRPr="00112EEF">
        <w:t xml:space="preserve"> Commission to request further modification of the territorial agreement and indicate that the subject property has been transferred to </w:t>
      </w:r>
      <w:proofErr w:type="spellStart"/>
      <w:r w:rsidR="00112EEF" w:rsidRPr="00112EEF">
        <w:t>Okefenoke</w:t>
      </w:r>
      <w:proofErr w:type="spellEnd"/>
      <w:r w:rsidR="00112EEF" w:rsidRPr="00112EEF">
        <w:t xml:space="preserve"> and will thereafter be part of </w:t>
      </w:r>
      <w:proofErr w:type="spellStart"/>
      <w:r w:rsidR="00112EEF" w:rsidRPr="00112EEF">
        <w:t>Okefenoke’s</w:t>
      </w:r>
      <w:proofErr w:type="spellEnd"/>
      <w:r w:rsidR="00112EEF" w:rsidRPr="00112EEF">
        <w:t xml:space="preserve"> service territory.</w:t>
      </w:r>
    </w:p>
    <w:p w:rsidR="00112EEF" w:rsidRPr="00112EEF" w:rsidRDefault="00CE501B" w:rsidP="00112EEF">
      <w:pPr>
        <w:spacing w:after="240"/>
        <w:jc w:val="both"/>
      </w:pPr>
      <w:r>
        <w:tab/>
      </w:r>
      <w:r w:rsidR="00112EEF" w:rsidRPr="00112EEF">
        <w:t xml:space="preserve">FPL </w:t>
      </w:r>
      <w:r w:rsidR="003F0491">
        <w:t>also assert</w:t>
      </w:r>
      <w:r w:rsidR="00B55E1C">
        <w:t>s that</w:t>
      </w:r>
      <w:r w:rsidR="00112EEF" w:rsidRPr="00112EEF">
        <w:t xml:space="preserve"> it is currently not seeking recovery of any costs to build the </w:t>
      </w:r>
      <w:proofErr w:type="spellStart"/>
      <w:r w:rsidR="00A11231">
        <w:t>Okefenoke</w:t>
      </w:r>
      <w:proofErr w:type="spellEnd"/>
      <w:r w:rsidR="00A11231">
        <w:t xml:space="preserve"> Substation</w:t>
      </w:r>
      <w:r w:rsidR="00112EEF" w:rsidRPr="00112EEF">
        <w:t xml:space="preserve"> and FPL is not asking </w:t>
      </w:r>
      <w:r w:rsidR="00B55E1C">
        <w:t>this</w:t>
      </w:r>
      <w:r w:rsidR="00112EEF" w:rsidRPr="00112EEF">
        <w:t xml:space="preserve"> Commission</w:t>
      </w:r>
      <w:r w:rsidR="00B55E1C">
        <w:t>,</w:t>
      </w:r>
      <w:r w:rsidR="00112EEF" w:rsidRPr="00112EEF">
        <w:t xml:space="preserve"> in this docket</w:t>
      </w:r>
      <w:r w:rsidR="00B55E1C">
        <w:t>,</w:t>
      </w:r>
      <w:r w:rsidR="00112EEF" w:rsidRPr="00112EEF">
        <w:t xml:space="preserve"> to make a prudence determination</w:t>
      </w:r>
      <w:r w:rsidR="00FD04FD">
        <w:t xml:space="preserve"> in this docket</w:t>
      </w:r>
      <w:r w:rsidR="00112EEF" w:rsidRPr="00112EEF">
        <w:t xml:space="preserve"> regarding FPL’s activities.</w:t>
      </w:r>
      <w:r w:rsidR="00B55E1C">
        <w:rPr>
          <w:rStyle w:val="FootnoteReference"/>
        </w:rPr>
        <w:footnoteReference w:id="4"/>
      </w:r>
      <w:r w:rsidR="00112EEF" w:rsidRPr="00112EEF">
        <w:t xml:space="preserve"> FPL stated that if </w:t>
      </w:r>
      <w:r w:rsidR="00B55E1C">
        <w:t>we approve</w:t>
      </w:r>
      <w:r w:rsidR="00112EEF" w:rsidRPr="00112EEF">
        <w:t xml:space="preserve"> the proposed </w:t>
      </w:r>
      <w:r w:rsidR="006D1467">
        <w:t>2019 Amendment</w:t>
      </w:r>
      <w:r w:rsidR="00112EEF" w:rsidRPr="00112EEF">
        <w:t xml:space="preserve"> and the costs to construct the </w:t>
      </w:r>
      <w:proofErr w:type="spellStart"/>
      <w:r w:rsidR="00A11231">
        <w:t>Okefenoke</w:t>
      </w:r>
      <w:proofErr w:type="spellEnd"/>
      <w:r w:rsidR="00A11231">
        <w:t xml:space="preserve"> Substation</w:t>
      </w:r>
      <w:r w:rsidR="00112EEF" w:rsidRPr="00112EEF">
        <w:t xml:space="preserve"> are incurred, FPL may seek recovery of those costs in a future base rate filing</w:t>
      </w:r>
      <w:r w:rsidR="00F5651F" w:rsidRPr="00112EEF">
        <w:t xml:space="preserve">. </w:t>
      </w:r>
      <w:r w:rsidR="00112EEF" w:rsidRPr="00112EEF">
        <w:t>If s</w:t>
      </w:r>
      <w:r w:rsidR="00B55E1C">
        <w:t xml:space="preserve">uch a filing is made by FPL, </w:t>
      </w:r>
      <w:r w:rsidR="00FD04FD">
        <w:t>we</w:t>
      </w:r>
      <w:r w:rsidR="00112EEF" w:rsidRPr="00112EEF">
        <w:t xml:space="preserve"> would be asked to review the cost and prudence associated with the </w:t>
      </w:r>
      <w:proofErr w:type="spellStart"/>
      <w:r w:rsidR="00A11231">
        <w:t>Okefenoke</w:t>
      </w:r>
      <w:proofErr w:type="spellEnd"/>
      <w:r w:rsidR="00A11231">
        <w:t xml:space="preserve"> Substation</w:t>
      </w:r>
      <w:r w:rsidR="00112EEF" w:rsidRPr="00112EEF">
        <w:t xml:space="preserve"> and the associated transmission assets FPL would retain.</w:t>
      </w:r>
      <w:r w:rsidR="00112EEF" w:rsidRPr="00112EEF">
        <w:rPr>
          <w:vertAlign w:val="superscript"/>
        </w:rPr>
        <w:footnoteReference w:id="5"/>
      </w:r>
      <w:r w:rsidR="00112EEF" w:rsidRPr="00112EEF">
        <w:t xml:space="preserve">  </w:t>
      </w:r>
    </w:p>
    <w:p w:rsidR="00112EEF" w:rsidRPr="00112EEF" w:rsidRDefault="00CE501B" w:rsidP="003F0491">
      <w:pPr>
        <w:keepNext/>
        <w:spacing w:after="240"/>
        <w:jc w:val="both"/>
      </w:pPr>
      <w:r>
        <w:tab/>
      </w:r>
      <w:r w:rsidR="00112EEF" w:rsidRPr="00112EEF">
        <w:t xml:space="preserve">The </w:t>
      </w:r>
      <w:r w:rsidR="006D1467">
        <w:t>Joint Petitioners</w:t>
      </w:r>
      <w:r w:rsidR="00112EEF" w:rsidRPr="00112EEF">
        <w:t xml:space="preserve"> assert that the </w:t>
      </w:r>
      <w:r w:rsidR="006D1467">
        <w:t>2019 Amendment</w:t>
      </w:r>
      <w:r w:rsidR="00112EEF" w:rsidRPr="00112EEF">
        <w:t xml:space="preserve"> will provide certainty to future electric customers and the </w:t>
      </w:r>
      <w:r w:rsidR="006D1467">
        <w:t>Joint Petitioners</w:t>
      </w:r>
      <w:r w:rsidR="00112EEF" w:rsidRPr="00112EEF">
        <w:t xml:space="preserve"> regarding the provision of electric service within the </w:t>
      </w:r>
      <w:r w:rsidR="00112EEF" w:rsidRPr="00112EEF">
        <w:lastRenderedPageBreak/>
        <w:t xml:space="preserve">Crawford Diamond. </w:t>
      </w:r>
      <w:r w:rsidR="00A11231">
        <w:t>C</w:t>
      </w:r>
      <w:r w:rsidR="00112EEF" w:rsidRPr="00112EEF">
        <w:t>ustomers will</w:t>
      </w:r>
      <w:r w:rsidR="00A11231">
        <w:t xml:space="preserve"> not</w:t>
      </w:r>
      <w:r w:rsidR="00112EEF" w:rsidRPr="00112EEF">
        <w:t xml:space="preserve"> be transferred as a result of the proposed </w:t>
      </w:r>
      <w:r w:rsidR="006D1467">
        <w:t>2019 Amendment</w:t>
      </w:r>
      <w:r w:rsidR="00A11231">
        <w:t>. The J</w:t>
      </w:r>
      <w:r w:rsidR="00112EEF" w:rsidRPr="00112EEF">
        <w:t xml:space="preserve">oint </w:t>
      </w:r>
      <w:r w:rsidR="00A11231">
        <w:t>P</w:t>
      </w:r>
      <w:r w:rsidR="00112EEF" w:rsidRPr="00112EEF">
        <w:t xml:space="preserve">etitioners further state the proposed </w:t>
      </w:r>
      <w:r w:rsidR="006D1467">
        <w:t>2019 Amendment</w:t>
      </w:r>
      <w:r w:rsidR="00112EEF" w:rsidRPr="00112EEF">
        <w:t xml:space="preserve"> represents a mutually agreeable solution to the boundary discrepancy, provides benefits to both FPL and </w:t>
      </w:r>
      <w:proofErr w:type="spellStart"/>
      <w:r w:rsidR="00112EEF" w:rsidRPr="00112EEF">
        <w:t>Okefenoke</w:t>
      </w:r>
      <w:proofErr w:type="spellEnd"/>
      <w:r w:rsidR="00112EEF" w:rsidRPr="00112EEF">
        <w:t>,</w:t>
      </w:r>
      <w:r w:rsidR="00B55E1C">
        <w:t xml:space="preserve"> and eliminates the need for this</w:t>
      </w:r>
      <w:r w:rsidR="00112EEF" w:rsidRPr="00112EEF">
        <w:t xml:space="preserve"> Commission to resolve a potential future territorial dispute.</w:t>
      </w:r>
    </w:p>
    <w:p w:rsidR="00112EEF" w:rsidRPr="00112EEF" w:rsidRDefault="00CE501B" w:rsidP="00112EEF">
      <w:pPr>
        <w:spacing w:after="240"/>
        <w:jc w:val="both"/>
      </w:pPr>
      <w:r>
        <w:tab/>
      </w:r>
      <w:r w:rsidR="003F0491">
        <w:t>After review of the petition and FPL’s responses to Commission staff’s inquiries</w:t>
      </w:r>
      <w:r w:rsidR="00112EEF" w:rsidRPr="00112EEF">
        <w:t xml:space="preserve">, </w:t>
      </w:r>
      <w:r w:rsidR="003F0491">
        <w:t>we find</w:t>
      </w:r>
      <w:r w:rsidR="00112EEF" w:rsidRPr="00112EEF">
        <w:t xml:space="preserve"> that the proposed </w:t>
      </w:r>
      <w:r w:rsidR="006D1467">
        <w:t>2019 Amendment</w:t>
      </w:r>
      <w:r w:rsidR="00112EEF" w:rsidRPr="00112EEF">
        <w:t xml:space="preserve"> is in the public interest. The proposed amendment will resolve the boundary line discrepancy that exists in the Crawford Diamond in Nassau County and will enable FPL and </w:t>
      </w:r>
      <w:proofErr w:type="spellStart"/>
      <w:r w:rsidR="00112EEF" w:rsidRPr="00112EEF">
        <w:t>Okefenoke</w:t>
      </w:r>
      <w:proofErr w:type="spellEnd"/>
      <w:r w:rsidR="00112EEF" w:rsidRPr="00112EEF">
        <w:t xml:space="preserve"> to serve their customers in an efficient manner. In addition, no current customers will be affected as a result of the proposed </w:t>
      </w:r>
      <w:r w:rsidR="006D1467">
        <w:t>2019 Amendment. As such, we find</w:t>
      </w:r>
      <w:r w:rsidR="00112EEF" w:rsidRPr="00112EEF">
        <w:t xml:space="preserve"> that the proposed clarification and amendment to the </w:t>
      </w:r>
      <w:r w:rsidR="006D1467">
        <w:t>1995 Agreement</w:t>
      </w:r>
      <w:r w:rsidR="00112EEF" w:rsidRPr="00112EEF">
        <w:t xml:space="preserve"> between FPL and </w:t>
      </w:r>
      <w:proofErr w:type="spellStart"/>
      <w:r w:rsidR="00112EEF" w:rsidRPr="00112EEF">
        <w:t>Okefenoke</w:t>
      </w:r>
      <w:proofErr w:type="spellEnd"/>
      <w:r w:rsidR="00112EEF" w:rsidRPr="00112EEF">
        <w:t xml:space="preserve"> will not cause a detriment to the public interest </w:t>
      </w:r>
      <w:r w:rsidR="006D1467">
        <w:t>and, therefore, we approve this clarification and amendment</w:t>
      </w:r>
      <w:r w:rsidR="00112EEF" w:rsidRPr="00112EEF">
        <w:t>.</w:t>
      </w:r>
    </w:p>
    <w:p w:rsidR="00112EEF" w:rsidRDefault="00CE501B" w:rsidP="00CE501B">
      <w:pPr>
        <w:jc w:val="both"/>
      </w:pPr>
      <w:r>
        <w:tab/>
      </w:r>
      <w:r w:rsidR="00112EEF" w:rsidRPr="00112EEF">
        <w:t xml:space="preserve">However, </w:t>
      </w:r>
      <w:r w:rsidR="006D1467">
        <w:t>we</w:t>
      </w:r>
      <w:r w:rsidR="00112EEF" w:rsidRPr="00112EEF">
        <w:t xml:space="preserve"> note that in approving the </w:t>
      </w:r>
      <w:r w:rsidR="006D1467">
        <w:t>2019 Amendment</w:t>
      </w:r>
      <w:r w:rsidR="00112EEF" w:rsidRPr="00112EEF">
        <w:t xml:space="preserve">, </w:t>
      </w:r>
      <w:r w:rsidR="006D1467">
        <w:t>we</w:t>
      </w:r>
      <w:r w:rsidR="00112EEF" w:rsidRPr="00112EEF">
        <w:t xml:space="preserve"> </w:t>
      </w:r>
      <w:r w:rsidR="00B94227">
        <w:t>do not make a</w:t>
      </w:r>
      <w:r w:rsidR="00112EEF" w:rsidRPr="00112EEF">
        <w:t xml:space="preserve"> finding regarding the prudence or potential recovery of the costs to construct the </w:t>
      </w:r>
      <w:proofErr w:type="spellStart"/>
      <w:r w:rsidR="00A11231">
        <w:t>Okefenoke</w:t>
      </w:r>
      <w:proofErr w:type="spellEnd"/>
      <w:r w:rsidR="00A11231">
        <w:t xml:space="preserve"> Substation</w:t>
      </w:r>
      <w:r w:rsidR="00112EEF" w:rsidRPr="00112EEF">
        <w:t xml:space="preserve"> that will be transferred to </w:t>
      </w:r>
      <w:proofErr w:type="spellStart"/>
      <w:r w:rsidR="00112EEF" w:rsidRPr="00112EEF">
        <w:t>Okefenoke</w:t>
      </w:r>
      <w:proofErr w:type="spellEnd"/>
      <w:r w:rsidR="00112EEF" w:rsidRPr="00112EEF">
        <w:t xml:space="preserve">. </w:t>
      </w:r>
      <w:r w:rsidR="00B94227">
        <w:t xml:space="preserve">Such </w:t>
      </w:r>
      <w:r w:rsidR="00112EEF" w:rsidRPr="00112EEF">
        <w:t>costs would</w:t>
      </w:r>
      <w:r w:rsidR="00B94227">
        <w:t xml:space="preserve"> properly</w:t>
      </w:r>
      <w:r w:rsidR="00112EEF" w:rsidRPr="00112EEF">
        <w:t xml:space="preserve"> be</w:t>
      </w:r>
      <w:r w:rsidR="00B94227">
        <w:t xml:space="preserve"> the</w:t>
      </w:r>
      <w:r w:rsidR="00112EEF" w:rsidRPr="00112EEF">
        <w:t xml:space="preserve"> subject of a future, appropriate rate proceeding.</w:t>
      </w:r>
    </w:p>
    <w:p w:rsidR="00112EEF" w:rsidRDefault="00112EEF" w:rsidP="00112EEF"/>
    <w:p w:rsidR="00112EEF" w:rsidRDefault="00112EEF" w:rsidP="00112EEF">
      <w:pPr>
        <w:pStyle w:val="OrderBody"/>
      </w:pPr>
      <w:r>
        <w:tab/>
        <w:t>Based on the foregoing, it is</w:t>
      </w:r>
    </w:p>
    <w:p w:rsidR="00112EEF" w:rsidRDefault="00112EEF" w:rsidP="00112EEF">
      <w:pPr>
        <w:pStyle w:val="OrderBody"/>
      </w:pPr>
    </w:p>
    <w:p w:rsidR="00AE0AD5" w:rsidRDefault="00112EEF" w:rsidP="00112EEF">
      <w:pPr>
        <w:pStyle w:val="OrderBody"/>
      </w:pPr>
      <w:r>
        <w:tab/>
      </w:r>
      <w:proofErr w:type="gramStart"/>
      <w:r>
        <w:t>ORDERED by the Florida Public Service Commission that</w:t>
      </w:r>
      <w:r w:rsidR="00AE0AD5">
        <w:t xml:space="preserve"> </w:t>
      </w:r>
      <w:r w:rsidR="00AE0AD5" w:rsidRPr="00AE0AD5">
        <w:t>the proposed 2019 clarification and amendment to the 1995 territorial agreement between</w:t>
      </w:r>
      <w:r w:rsidR="003F0491">
        <w:t xml:space="preserve"> Florida Power &amp; Light Company</w:t>
      </w:r>
      <w:r w:rsidR="00AE0AD5" w:rsidRPr="00AE0AD5">
        <w:t xml:space="preserve"> and </w:t>
      </w:r>
      <w:proofErr w:type="spellStart"/>
      <w:r w:rsidR="003F0491" w:rsidRPr="00AE0AD5">
        <w:t>Okefenoke</w:t>
      </w:r>
      <w:proofErr w:type="spellEnd"/>
      <w:r w:rsidR="003F0491" w:rsidRPr="00AE0AD5">
        <w:t xml:space="preserve"> Rural Electric Memb</w:t>
      </w:r>
      <w:r w:rsidR="003F0491">
        <w:t>ership Corporation</w:t>
      </w:r>
      <w:r w:rsidR="00066C3E">
        <w:t>, attached as Exhibit A hereto,</w:t>
      </w:r>
      <w:r w:rsidR="003F0491">
        <w:t xml:space="preserve"> is approved</w:t>
      </w:r>
      <w:r w:rsidR="00AE0AD5" w:rsidRPr="00AE0AD5">
        <w:t>.</w:t>
      </w:r>
      <w:proofErr w:type="gramEnd"/>
      <w:r w:rsidR="00AE0AD5" w:rsidRPr="00AE0AD5">
        <w:t xml:space="preserve"> </w:t>
      </w:r>
      <w:r w:rsidR="00AE0AD5">
        <w:t xml:space="preserve">It is further </w:t>
      </w:r>
    </w:p>
    <w:p w:rsidR="00112EEF" w:rsidRDefault="00112EEF" w:rsidP="00112EEF">
      <w:pPr>
        <w:pStyle w:val="OrderBody"/>
      </w:pPr>
    </w:p>
    <w:p w:rsidR="00112EEF" w:rsidRDefault="00112EEF" w:rsidP="00112EEF">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w:t>
      </w:r>
      <w:r w:rsidR="00F5651F">
        <w:t xml:space="preserve">. </w:t>
      </w:r>
      <w:r>
        <w:t>It is further</w:t>
      </w:r>
    </w:p>
    <w:p w:rsidR="00112EEF" w:rsidRDefault="00112EEF" w:rsidP="00112EEF">
      <w:pPr>
        <w:pStyle w:val="OrderBody"/>
      </w:pPr>
    </w:p>
    <w:p w:rsidR="00112EEF" w:rsidRDefault="00112EEF" w:rsidP="00112EEF">
      <w:pPr>
        <w:pStyle w:val="OrderBody"/>
      </w:pPr>
      <w:r>
        <w:tab/>
      </w:r>
      <w:proofErr w:type="gramStart"/>
      <w:r>
        <w:t>ORDERED that in the event this Order becomes final, this docket shall be closed.</w:t>
      </w:r>
      <w:proofErr w:type="gramEnd"/>
    </w:p>
    <w:p w:rsidR="00CE501B" w:rsidRDefault="00CE501B" w:rsidP="00112EEF">
      <w:pPr>
        <w:pStyle w:val="OrderBody"/>
      </w:pPr>
    </w:p>
    <w:p w:rsidR="00112EEF" w:rsidRDefault="00112EEF" w:rsidP="00112EEF">
      <w:pPr>
        <w:pStyle w:val="OrderBody"/>
        <w:keepNext/>
        <w:keepLines/>
      </w:pPr>
      <w:r>
        <w:lastRenderedPageBreak/>
        <w:tab/>
        <w:t xml:space="preserve">By ORDER of the Florida Public Service Commission this </w:t>
      </w:r>
      <w:bookmarkStart w:id="7" w:name="replaceDate"/>
      <w:bookmarkEnd w:id="7"/>
      <w:r w:rsidR="00745C5B">
        <w:rPr>
          <w:u w:val="single"/>
        </w:rPr>
        <w:t>23rd</w:t>
      </w:r>
      <w:r w:rsidR="00745C5B">
        <w:t xml:space="preserve"> day of </w:t>
      </w:r>
      <w:r w:rsidR="00745C5B">
        <w:rPr>
          <w:u w:val="single"/>
        </w:rPr>
        <w:t>October</w:t>
      </w:r>
      <w:r w:rsidR="00745C5B">
        <w:t xml:space="preserve">, </w:t>
      </w:r>
      <w:r w:rsidR="00745C5B">
        <w:rPr>
          <w:u w:val="single"/>
        </w:rPr>
        <w:t>2019</w:t>
      </w:r>
      <w:r w:rsidR="00745C5B">
        <w:t>.</w:t>
      </w:r>
    </w:p>
    <w:p w:rsidR="00745C5B" w:rsidRPr="00745C5B" w:rsidRDefault="00745C5B" w:rsidP="00112EEF">
      <w:pPr>
        <w:pStyle w:val="OrderBody"/>
        <w:keepNext/>
        <w:keepLines/>
      </w:pPr>
    </w:p>
    <w:p w:rsidR="00112EEF" w:rsidRDefault="00112EEF" w:rsidP="00112EEF">
      <w:pPr>
        <w:pStyle w:val="OrderBody"/>
        <w:keepNext/>
        <w:keepLines/>
      </w:pPr>
    </w:p>
    <w:p w:rsidR="00112EEF" w:rsidRDefault="00112EEF" w:rsidP="00112EE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12EEF" w:rsidTr="00112EEF">
        <w:tc>
          <w:tcPr>
            <w:tcW w:w="720" w:type="dxa"/>
            <w:shd w:val="clear" w:color="auto" w:fill="auto"/>
          </w:tcPr>
          <w:p w:rsidR="00112EEF" w:rsidRDefault="00112EEF" w:rsidP="00112EEF">
            <w:pPr>
              <w:pStyle w:val="OrderBody"/>
              <w:keepNext/>
              <w:keepLines/>
            </w:pPr>
            <w:bookmarkStart w:id="8" w:name="bkmrkSignature" w:colFirst="0" w:colLast="0"/>
          </w:p>
        </w:tc>
        <w:tc>
          <w:tcPr>
            <w:tcW w:w="4320" w:type="dxa"/>
            <w:tcBorders>
              <w:bottom w:val="single" w:sz="4" w:space="0" w:color="auto"/>
            </w:tcBorders>
            <w:shd w:val="clear" w:color="auto" w:fill="auto"/>
          </w:tcPr>
          <w:p w:rsidR="00112EEF" w:rsidRDefault="00745C5B" w:rsidP="00112EEF">
            <w:pPr>
              <w:pStyle w:val="OrderBody"/>
              <w:keepNext/>
              <w:keepLines/>
            </w:pPr>
            <w:r>
              <w:t>/s/ Adam J. Teitzman</w:t>
            </w:r>
            <w:bookmarkStart w:id="9" w:name="_GoBack"/>
            <w:bookmarkEnd w:id="9"/>
          </w:p>
        </w:tc>
      </w:tr>
      <w:bookmarkEnd w:id="8"/>
      <w:tr w:rsidR="00112EEF" w:rsidTr="00112EEF">
        <w:tc>
          <w:tcPr>
            <w:tcW w:w="720" w:type="dxa"/>
            <w:shd w:val="clear" w:color="auto" w:fill="auto"/>
          </w:tcPr>
          <w:p w:rsidR="00112EEF" w:rsidRDefault="00112EEF" w:rsidP="00112EEF">
            <w:pPr>
              <w:pStyle w:val="OrderBody"/>
              <w:keepNext/>
              <w:keepLines/>
            </w:pPr>
          </w:p>
        </w:tc>
        <w:tc>
          <w:tcPr>
            <w:tcW w:w="4320" w:type="dxa"/>
            <w:tcBorders>
              <w:top w:val="single" w:sz="4" w:space="0" w:color="auto"/>
            </w:tcBorders>
            <w:shd w:val="clear" w:color="auto" w:fill="auto"/>
          </w:tcPr>
          <w:p w:rsidR="00112EEF" w:rsidRDefault="00112EEF" w:rsidP="00112EEF">
            <w:pPr>
              <w:pStyle w:val="OrderBody"/>
              <w:keepNext/>
              <w:keepLines/>
            </w:pPr>
            <w:r>
              <w:t>ADAM J. TEITZMAN</w:t>
            </w:r>
          </w:p>
          <w:p w:rsidR="00112EEF" w:rsidRDefault="00112EEF" w:rsidP="00112EEF">
            <w:pPr>
              <w:pStyle w:val="OrderBody"/>
              <w:keepNext/>
              <w:keepLines/>
            </w:pPr>
            <w:r>
              <w:t>Commission Clerk</w:t>
            </w:r>
          </w:p>
        </w:tc>
      </w:tr>
    </w:tbl>
    <w:p w:rsidR="00112EEF" w:rsidRDefault="00112EEF" w:rsidP="00112EEF">
      <w:pPr>
        <w:pStyle w:val="OrderSigInfo"/>
        <w:keepNext/>
        <w:keepLines/>
      </w:pPr>
      <w:r>
        <w:t>Florida Public Service Commission</w:t>
      </w:r>
    </w:p>
    <w:p w:rsidR="00112EEF" w:rsidRDefault="00112EEF" w:rsidP="00112EEF">
      <w:pPr>
        <w:pStyle w:val="OrderSigInfo"/>
        <w:keepNext/>
        <w:keepLines/>
      </w:pPr>
      <w:r>
        <w:t>2540 Shumard Oak Boulevard</w:t>
      </w:r>
    </w:p>
    <w:p w:rsidR="00112EEF" w:rsidRDefault="00112EEF" w:rsidP="00112EEF">
      <w:pPr>
        <w:pStyle w:val="OrderSigInfo"/>
        <w:keepNext/>
        <w:keepLines/>
      </w:pPr>
      <w:r>
        <w:t>Tallahassee, Florida 32399</w:t>
      </w:r>
    </w:p>
    <w:p w:rsidR="00112EEF" w:rsidRDefault="00112EEF" w:rsidP="00112EEF">
      <w:pPr>
        <w:pStyle w:val="OrderSigInfo"/>
        <w:keepNext/>
        <w:keepLines/>
      </w:pPr>
      <w:r>
        <w:t>(850) 413</w:t>
      </w:r>
      <w:r>
        <w:noBreakHyphen/>
        <w:t>6770</w:t>
      </w:r>
    </w:p>
    <w:p w:rsidR="00112EEF" w:rsidRDefault="00112EEF" w:rsidP="00112EEF">
      <w:pPr>
        <w:pStyle w:val="OrderSigInfo"/>
        <w:keepNext/>
        <w:keepLines/>
      </w:pPr>
      <w:r>
        <w:t>www.floridapsc.com</w:t>
      </w:r>
    </w:p>
    <w:p w:rsidR="00112EEF" w:rsidRDefault="00112EEF" w:rsidP="00112EEF">
      <w:pPr>
        <w:pStyle w:val="OrderSigInfo"/>
        <w:keepNext/>
        <w:keepLines/>
      </w:pPr>
    </w:p>
    <w:p w:rsidR="00112EEF" w:rsidRDefault="00112EEF" w:rsidP="00112EEF">
      <w:pPr>
        <w:pStyle w:val="OrderSigInfo"/>
        <w:keepNext/>
        <w:keepLines/>
      </w:pPr>
      <w:r>
        <w:t>Copies furnished:  A copy of this document is provided to the parties of record at the time of issuance and, if applicable, interested persons.</w:t>
      </w:r>
    </w:p>
    <w:p w:rsidR="00112EEF" w:rsidRDefault="00112EEF" w:rsidP="00112EEF">
      <w:pPr>
        <w:pStyle w:val="OrderBody"/>
        <w:keepNext/>
        <w:keepLines/>
      </w:pPr>
    </w:p>
    <w:p w:rsidR="00112EEF" w:rsidRDefault="00112EEF" w:rsidP="00112EEF">
      <w:pPr>
        <w:pStyle w:val="OrderBody"/>
        <w:keepNext/>
        <w:keepLines/>
      </w:pPr>
    </w:p>
    <w:p w:rsidR="00112EEF" w:rsidRDefault="00112EEF" w:rsidP="00112EEF">
      <w:pPr>
        <w:pStyle w:val="OrderBody"/>
        <w:keepNext/>
        <w:keepLines/>
      </w:pPr>
      <w:r>
        <w:t>KMS</w:t>
      </w:r>
    </w:p>
    <w:p w:rsidR="00112EEF" w:rsidRDefault="00112EEF" w:rsidP="00112EEF">
      <w:pPr>
        <w:pStyle w:val="OrderBody"/>
      </w:pPr>
    </w:p>
    <w:p w:rsidR="00112EEF" w:rsidRDefault="00112EEF" w:rsidP="00112EEF">
      <w:pPr>
        <w:pStyle w:val="CenterUnderline"/>
      </w:pPr>
      <w:r>
        <w:t>NOTICE OF FURTHER PROCEEDINGS OR JUDICIAL REVIEW</w:t>
      </w:r>
    </w:p>
    <w:p w:rsidR="00112EEF" w:rsidRDefault="00112EEF" w:rsidP="00112EEF">
      <w:pPr>
        <w:pStyle w:val="CenterUnderline"/>
      </w:pPr>
    </w:p>
    <w:p w:rsidR="00112EEF" w:rsidRDefault="00112EEF" w:rsidP="00112EEF">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w:t>
      </w:r>
      <w:r w:rsidR="00F5651F">
        <w:t xml:space="preserve">. </w:t>
      </w:r>
      <w:r>
        <w:t>This notice should not be construed to mean all requests for an administrative hearing will be granted or result in the relief sought.</w:t>
      </w:r>
    </w:p>
    <w:p w:rsidR="00112EEF" w:rsidRDefault="00112EEF" w:rsidP="00112EEF">
      <w:pPr>
        <w:pStyle w:val="OrderBody"/>
      </w:pPr>
    </w:p>
    <w:p w:rsidR="00112EEF" w:rsidRDefault="00112EEF" w:rsidP="00112EEF">
      <w:pPr>
        <w:pStyle w:val="OrderBody"/>
      </w:pPr>
      <w:r>
        <w:tab/>
        <w:t>Mediation may be available on a case-by-case basis</w:t>
      </w:r>
      <w:r w:rsidR="00F5651F">
        <w:t xml:space="preserve">. </w:t>
      </w:r>
      <w:r>
        <w:t>If mediation is conducted, it does not affect a substantially interested person's right to a hearing.</w:t>
      </w:r>
    </w:p>
    <w:p w:rsidR="00112EEF" w:rsidRDefault="00112EEF" w:rsidP="00112EEF">
      <w:pPr>
        <w:pStyle w:val="OrderBody"/>
      </w:pPr>
    </w:p>
    <w:p w:rsidR="00112EEF" w:rsidRDefault="00112EEF" w:rsidP="00112EEF">
      <w:pPr>
        <w:pStyle w:val="OrderBody"/>
      </w:pPr>
      <w:r>
        <w:tab/>
        <w:t>The action proposed herein is preliminary in nature. Any person whose substantial interests are affected by the action proposed by this order may file a petition for a formal proceeding, in the form provided by Rule 28-106.201, Florida Administrative Code</w:t>
      </w:r>
      <w:r w:rsidR="00F5651F">
        <w:t xml:space="preserve">. </w:t>
      </w:r>
      <w:r>
        <w:t xml:space="preserve">This petition must be received by the Office of Commission Clerk, 2540 Shumard Oak Boulevard, Tallahassee, Florida 32399-0850, by the close of business on </w:t>
      </w:r>
      <w:r w:rsidR="00745C5B">
        <w:rPr>
          <w:u w:val="single"/>
        </w:rPr>
        <w:t>November 13, 2019</w:t>
      </w:r>
      <w:r>
        <w:t>.</w:t>
      </w:r>
    </w:p>
    <w:p w:rsidR="00112EEF" w:rsidRDefault="00112EEF" w:rsidP="00112EEF">
      <w:pPr>
        <w:pStyle w:val="OrderBody"/>
      </w:pPr>
    </w:p>
    <w:p w:rsidR="00112EEF" w:rsidRDefault="00112EEF" w:rsidP="00112EEF">
      <w:pPr>
        <w:pStyle w:val="OrderBody"/>
      </w:pPr>
      <w:r>
        <w:tab/>
        <w:t>In the absence of such a petition, this order shall become final and effective upon the issuance of a Consummating Order.</w:t>
      </w:r>
    </w:p>
    <w:p w:rsidR="00112EEF" w:rsidRDefault="00112EEF" w:rsidP="00112EEF">
      <w:pPr>
        <w:pStyle w:val="OrderBody"/>
      </w:pPr>
    </w:p>
    <w:p w:rsidR="00112EEF" w:rsidRDefault="00112EEF" w:rsidP="00112EEF">
      <w:pPr>
        <w:pStyle w:val="OrderBody"/>
      </w:pPr>
      <w:r>
        <w:tab/>
        <w:t>Any objection or protest filed in this/these docket(s) before the issuance date of this order is considered abandoned unless it satisfies the foregoing conditions and is renewed within the specified protest period.</w:t>
      </w:r>
    </w:p>
    <w:p w:rsidR="00112EEF" w:rsidRDefault="00112EEF" w:rsidP="00112EEF">
      <w:pPr>
        <w:pStyle w:val="OrderBody"/>
        <w:sectPr w:rsidR="00112EEF">
          <w:headerReference w:type="default" r:id="rId9"/>
          <w:footerReference w:type="first" r:id="rId10"/>
          <w:pgSz w:w="12240" w:h="15840" w:code="1"/>
          <w:pgMar w:top="1440" w:right="1440" w:bottom="1440" w:left="1440" w:header="720" w:footer="720" w:gutter="0"/>
          <w:cols w:space="720"/>
          <w:titlePg/>
          <w:docGrid w:linePitch="360"/>
        </w:sectPr>
      </w:pPr>
    </w:p>
    <w:p w:rsidR="00112EEF" w:rsidRDefault="00112EEF" w:rsidP="00112EEF">
      <w:pPr>
        <w:pStyle w:val="OrderBody"/>
      </w:pPr>
      <w:r>
        <w:rPr>
          <w:noProof/>
        </w:rPr>
        <w:lastRenderedPageBreak/>
        <w:drawing>
          <wp:inline distT="0" distB="0" distL="0" distR="0" wp14:anchorId="7E741ADF" wp14:editId="4737E2AF">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pPr>
    </w:p>
    <w:p w:rsidR="00112EEF" w:rsidRDefault="00112EEF" w:rsidP="00112EEF">
      <w:pPr>
        <w:pStyle w:val="OrderBody"/>
      </w:pPr>
      <w:r>
        <w:rPr>
          <w:noProof/>
        </w:rPr>
        <w:lastRenderedPageBreak/>
        <w:drawing>
          <wp:inline distT="0" distB="0" distL="0" distR="0" wp14:anchorId="6F194F68" wp14:editId="3908358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sectPr w:rsidR="00112EEF">
          <w:headerReference w:type="default" r:id="rId13"/>
          <w:headerReference w:type="first" r:id="rId14"/>
          <w:pgSz w:w="12240" w:h="15840" w:code="1"/>
          <w:pgMar w:top="1440" w:right="1440" w:bottom="1440" w:left="1440" w:header="720" w:footer="720" w:gutter="0"/>
          <w:cols w:space="720"/>
          <w:titlePg/>
          <w:docGrid w:linePitch="360"/>
        </w:sectPr>
      </w:pPr>
    </w:p>
    <w:p w:rsidR="00112EEF" w:rsidRDefault="00112EEF" w:rsidP="00112EEF">
      <w:pPr>
        <w:pStyle w:val="OrderBody"/>
      </w:pPr>
      <w:r>
        <w:rPr>
          <w:noProof/>
        </w:rPr>
        <w:lastRenderedPageBreak/>
        <w:drawing>
          <wp:inline distT="0" distB="0" distL="0" distR="0" wp14:anchorId="2C742A55" wp14:editId="7F88C75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pPr>
    </w:p>
    <w:p w:rsidR="00112EEF" w:rsidRDefault="00112EEF" w:rsidP="00112EEF">
      <w:pPr>
        <w:pStyle w:val="OrderBody"/>
      </w:pPr>
      <w:r>
        <w:rPr>
          <w:noProof/>
        </w:rPr>
        <w:lastRenderedPageBreak/>
        <w:drawing>
          <wp:inline distT="0" distB="0" distL="0" distR="0" wp14:anchorId="7F167451" wp14:editId="1B79499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sectPr w:rsidR="00112EEF">
          <w:headerReference w:type="default" r:id="rId17"/>
          <w:headerReference w:type="first" r:id="rId18"/>
          <w:pgSz w:w="12240" w:h="15840" w:code="1"/>
          <w:pgMar w:top="1440" w:right="1440" w:bottom="1440" w:left="1440" w:header="720" w:footer="720" w:gutter="0"/>
          <w:cols w:space="720"/>
          <w:titlePg/>
          <w:docGrid w:linePitch="360"/>
        </w:sectPr>
      </w:pPr>
    </w:p>
    <w:p w:rsidR="00112EEF" w:rsidRDefault="00112EEF" w:rsidP="00112EEF">
      <w:pPr>
        <w:pStyle w:val="OrderBody"/>
      </w:pPr>
      <w:r>
        <w:rPr>
          <w:noProof/>
        </w:rPr>
        <w:lastRenderedPageBreak/>
        <w:drawing>
          <wp:inline distT="0" distB="0" distL="0" distR="0" wp14:anchorId="060BFF28" wp14:editId="1548423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2 - Executed Copy of the Clarification and Amendment to Territorial Agrrement FPL-OREMC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pPr>
    </w:p>
    <w:p w:rsidR="00112EEF" w:rsidRDefault="00112EEF" w:rsidP="00112EEF">
      <w:pPr>
        <w:pStyle w:val="OrderBody"/>
      </w:pPr>
      <w:r>
        <w:rPr>
          <w:noProof/>
        </w:rPr>
        <w:lastRenderedPageBreak/>
        <w:drawing>
          <wp:inline distT="0" distB="0" distL="0" distR="0" wp14:anchorId="36AC15A6" wp14:editId="02C760B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sectPr w:rsidR="00112EEF">
          <w:headerReference w:type="default" r:id="rId21"/>
          <w:headerReference w:type="first" r:id="rId22"/>
          <w:pgSz w:w="12240" w:h="15840" w:code="1"/>
          <w:pgMar w:top="1440" w:right="1440" w:bottom="1440" w:left="1440" w:header="720" w:footer="720" w:gutter="0"/>
          <w:cols w:space="720"/>
          <w:titlePg/>
          <w:docGrid w:linePitch="360"/>
        </w:sectPr>
      </w:pPr>
    </w:p>
    <w:p w:rsidR="00112EEF" w:rsidRDefault="00112EEF" w:rsidP="00112EEF">
      <w:pPr>
        <w:pStyle w:val="OrderBody"/>
      </w:pPr>
      <w:r>
        <w:rPr>
          <w:noProof/>
        </w:rPr>
        <w:lastRenderedPageBreak/>
        <w:drawing>
          <wp:inline distT="0" distB="0" distL="0" distR="0" wp14:anchorId="52D6A11D" wp14:editId="0EEFBA3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pPr>
    </w:p>
    <w:p w:rsidR="00112EEF" w:rsidRDefault="00112EEF" w:rsidP="00112EEF">
      <w:pPr>
        <w:pStyle w:val="OrderBody"/>
      </w:pPr>
      <w:r>
        <w:rPr>
          <w:noProof/>
        </w:rPr>
        <w:lastRenderedPageBreak/>
        <w:drawing>
          <wp:inline distT="0" distB="0" distL="0" distR="0" wp14:anchorId="175967C7" wp14:editId="5BEF0081">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sectPr w:rsidR="00112EEF">
          <w:headerReference w:type="default" r:id="rId25"/>
          <w:headerReference w:type="first" r:id="rId26"/>
          <w:pgSz w:w="12240" w:h="15840" w:code="1"/>
          <w:pgMar w:top="1440" w:right="1440" w:bottom="1440" w:left="1440" w:header="720" w:footer="720" w:gutter="0"/>
          <w:cols w:space="720"/>
          <w:titlePg/>
          <w:docGrid w:linePitch="360"/>
        </w:sectPr>
      </w:pPr>
    </w:p>
    <w:p w:rsidR="00112EEF" w:rsidRDefault="00112EEF" w:rsidP="00112EEF">
      <w:pPr>
        <w:pStyle w:val="OrderBody"/>
      </w:pPr>
      <w:r>
        <w:rPr>
          <w:noProof/>
        </w:rPr>
        <w:lastRenderedPageBreak/>
        <w:drawing>
          <wp:inline distT="0" distB="0" distL="0" distR="0" wp14:anchorId="69D43130" wp14:editId="0C6FF7FA">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pPr>
    </w:p>
    <w:p w:rsidR="00112EEF" w:rsidRDefault="00112EEF" w:rsidP="00112EEF">
      <w:pPr>
        <w:pStyle w:val="OrderBody"/>
      </w:pPr>
      <w:r>
        <w:rPr>
          <w:noProof/>
        </w:rPr>
        <w:lastRenderedPageBreak/>
        <w:drawing>
          <wp:inline distT="0" distB="0" distL="0" distR="0" wp14:anchorId="29A5245A" wp14:editId="3F705867">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sectPr w:rsidR="00112EEF">
          <w:headerReference w:type="default" r:id="rId29"/>
          <w:headerReference w:type="first" r:id="rId30"/>
          <w:pgSz w:w="12240" w:h="15840" w:code="1"/>
          <w:pgMar w:top="1440" w:right="1440" w:bottom="1440" w:left="1440" w:header="720" w:footer="720" w:gutter="0"/>
          <w:cols w:space="720"/>
          <w:titlePg/>
          <w:docGrid w:linePitch="360"/>
        </w:sectPr>
      </w:pPr>
    </w:p>
    <w:p w:rsidR="00112EEF" w:rsidRDefault="00112EEF" w:rsidP="00112EEF">
      <w:pPr>
        <w:pStyle w:val="OrderBody"/>
      </w:pPr>
      <w:r>
        <w:rPr>
          <w:noProof/>
        </w:rPr>
        <w:lastRenderedPageBreak/>
        <w:drawing>
          <wp:inline distT="0" distB="0" distL="0" distR="0" wp14:anchorId="022269D5" wp14:editId="7D42BCE2">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pPr>
    </w:p>
    <w:p w:rsidR="00112EEF" w:rsidRDefault="00112EEF" w:rsidP="00112EEF">
      <w:pPr>
        <w:pStyle w:val="OrderBody"/>
      </w:pPr>
      <w:r>
        <w:rPr>
          <w:noProof/>
        </w:rPr>
        <w:lastRenderedPageBreak/>
        <w:drawing>
          <wp:inline distT="0" distB="0" distL="0" distR="0" wp14:anchorId="7F85594D" wp14:editId="39BFD07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2EEF" w:rsidRDefault="00112EEF" w:rsidP="00112EEF">
      <w:pPr>
        <w:pStyle w:val="OrderBody"/>
        <w:sectPr w:rsidR="00112EEF">
          <w:headerReference w:type="default" r:id="rId33"/>
          <w:headerReference w:type="first" r:id="rId34"/>
          <w:pgSz w:w="12240" w:h="15840" w:code="1"/>
          <w:pgMar w:top="1440" w:right="1440" w:bottom="1440" w:left="1440" w:header="720" w:footer="720" w:gutter="0"/>
          <w:cols w:space="720"/>
          <w:titlePg/>
          <w:docGrid w:linePitch="360"/>
        </w:sectPr>
      </w:pPr>
    </w:p>
    <w:p w:rsidR="00112EEF" w:rsidRPr="00112EEF" w:rsidRDefault="00112EEF" w:rsidP="00112EEF">
      <w:pPr>
        <w:pStyle w:val="OrderBody"/>
      </w:pPr>
      <w:r>
        <w:rPr>
          <w:noProof/>
        </w:rPr>
        <w:lastRenderedPageBreak/>
        <w:drawing>
          <wp:inline distT="0" distB="0" distL="0" distR="0" wp14:anchorId="7AA546A2" wp14:editId="3193C17E">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Page_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12EEF" w:rsidRPr="00112EEF">
      <w:headerReference w:type="first" r:id="rId3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EEF" w:rsidRDefault="00112EEF">
      <w:r>
        <w:separator/>
      </w:r>
    </w:p>
  </w:endnote>
  <w:endnote w:type="continuationSeparator" w:id="0">
    <w:p w:rsidR="00112EEF" w:rsidRDefault="0011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EEF" w:rsidRDefault="00112EEF">
      <w:r>
        <w:separator/>
      </w:r>
    </w:p>
  </w:footnote>
  <w:footnote w:type="continuationSeparator" w:id="0">
    <w:p w:rsidR="00112EEF" w:rsidRDefault="00112EEF">
      <w:r>
        <w:continuationSeparator/>
      </w:r>
    </w:p>
  </w:footnote>
  <w:footnote w:id="1">
    <w:p w:rsidR="00112EEF" w:rsidRDefault="00112EEF" w:rsidP="00112EEF">
      <w:pPr>
        <w:pStyle w:val="FootnoteText"/>
      </w:pPr>
      <w:r>
        <w:rPr>
          <w:rStyle w:val="FootnoteReference"/>
        </w:rPr>
        <w:footnoteRef/>
      </w:r>
      <w:r>
        <w:t xml:space="preserve"> </w:t>
      </w:r>
      <w:proofErr w:type="gramStart"/>
      <w:r>
        <w:t>Order No.</w:t>
      </w:r>
      <w:proofErr w:type="gramEnd"/>
      <w:r>
        <w:t xml:space="preserve"> PSC-95-0668-FOF-EU, issued May 31, 1995, in Docket No. 920420-EU, </w:t>
      </w:r>
      <w:r w:rsidRPr="006D1467">
        <w:rPr>
          <w:u w:val="single"/>
        </w:rPr>
        <w:t xml:space="preserve">In re: Petition to resolve territorial dispute in Baker County with </w:t>
      </w:r>
      <w:proofErr w:type="spellStart"/>
      <w:r w:rsidRPr="006D1467">
        <w:rPr>
          <w:u w:val="single"/>
        </w:rPr>
        <w:t>Okefenoke</w:t>
      </w:r>
      <w:proofErr w:type="spellEnd"/>
      <w:r w:rsidRPr="006D1467">
        <w:rPr>
          <w:u w:val="single"/>
        </w:rPr>
        <w:t xml:space="preserve"> Rural Electric Membership Corporation by Florida Power and Light Company</w:t>
      </w:r>
      <w:r w:rsidRPr="009333E8">
        <w:rPr>
          <w:i/>
        </w:rPr>
        <w:t>.</w:t>
      </w:r>
    </w:p>
  </w:footnote>
  <w:footnote w:id="2">
    <w:p w:rsidR="00112EEF" w:rsidRDefault="00112EEF" w:rsidP="00112EEF">
      <w:pPr>
        <w:pStyle w:val="FootnoteText"/>
      </w:pPr>
      <w:r>
        <w:rPr>
          <w:rStyle w:val="FootnoteReference"/>
        </w:rPr>
        <w:footnoteRef/>
      </w:r>
      <w:r>
        <w:t xml:space="preserve"> </w:t>
      </w:r>
      <w:r w:rsidRPr="00F5651F">
        <w:rPr>
          <w:u w:val="single"/>
        </w:rPr>
        <w:t>Utilities Commission of the City of New Smyrna Beach v. Florida Public Service Commission</w:t>
      </w:r>
      <w:r w:rsidRPr="0009246F">
        <w:rPr>
          <w:i/>
        </w:rPr>
        <w:t>,</w:t>
      </w:r>
      <w:r>
        <w:t xml:space="preserve"> 469 So. </w:t>
      </w:r>
      <w:proofErr w:type="gramStart"/>
      <w:r>
        <w:t>2d 731 (Fla. 1985).</w:t>
      </w:r>
      <w:proofErr w:type="gramEnd"/>
    </w:p>
  </w:footnote>
  <w:footnote w:id="3">
    <w:p w:rsidR="00CA5DBF" w:rsidRPr="00CA5DBF" w:rsidRDefault="00CA5DBF">
      <w:pPr>
        <w:pStyle w:val="FootnoteText"/>
      </w:pPr>
      <w:r>
        <w:rPr>
          <w:rStyle w:val="FootnoteReference"/>
        </w:rPr>
        <w:footnoteRef/>
      </w:r>
      <w:r>
        <w:t xml:space="preserve"> </w:t>
      </w:r>
      <w:r w:rsidRPr="00FD04FD">
        <w:rPr>
          <w:u w:val="single"/>
        </w:rPr>
        <w:t>See</w:t>
      </w:r>
      <w:r>
        <w:t xml:space="preserve"> FPL Resp. to </w:t>
      </w:r>
      <w:proofErr w:type="spellStart"/>
      <w:r>
        <w:t>Comm’n</w:t>
      </w:r>
      <w:proofErr w:type="spellEnd"/>
      <w:r>
        <w:t xml:space="preserve"> Staff’s 1</w:t>
      </w:r>
      <w:r w:rsidRPr="00CA5DBF">
        <w:rPr>
          <w:vertAlign w:val="superscript"/>
        </w:rPr>
        <w:t>st</w:t>
      </w:r>
      <w:r>
        <w:t xml:space="preserve"> Data Request No. 3, </w:t>
      </w:r>
      <w:r w:rsidR="00436760">
        <w:t xml:space="preserve">filed on </w:t>
      </w:r>
      <w:r>
        <w:t xml:space="preserve">Aug. 27, 2019. </w:t>
      </w:r>
    </w:p>
  </w:footnote>
  <w:footnote w:id="4">
    <w:p w:rsidR="00B55E1C" w:rsidRPr="00B55E1C" w:rsidRDefault="00B55E1C">
      <w:pPr>
        <w:pStyle w:val="FootnoteText"/>
      </w:pPr>
      <w:r>
        <w:rPr>
          <w:rStyle w:val="FootnoteReference"/>
        </w:rPr>
        <w:footnoteRef/>
      </w:r>
      <w:r>
        <w:t xml:space="preserve"> </w:t>
      </w:r>
      <w:r w:rsidRPr="00FD04FD">
        <w:rPr>
          <w:u w:val="single"/>
        </w:rPr>
        <w:t>See</w:t>
      </w:r>
      <w:r w:rsidRPr="00FD04FD">
        <w:t xml:space="preserve"> </w:t>
      </w:r>
      <w:r>
        <w:t>Document No. 08730-2019, filed on Sep</w:t>
      </w:r>
      <w:r w:rsidR="00CA5DBF">
        <w:t>.</w:t>
      </w:r>
      <w:r>
        <w:t xml:space="preserve"> 11,</w:t>
      </w:r>
      <w:r w:rsidR="00436760">
        <w:t xml:space="preserve"> 2019</w:t>
      </w:r>
      <w:r>
        <w:t>.</w:t>
      </w:r>
    </w:p>
  </w:footnote>
  <w:footnote w:id="5">
    <w:p w:rsidR="00112EEF" w:rsidRDefault="00112EEF" w:rsidP="00112EEF">
      <w:pPr>
        <w:pStyle w:val="FootnoteText"/>
      </w:pPr>
      <w:r>
        <w:rPr>
          <w:rStyle w:val="FootnoteReference"/>
        </w:rPr>
        <w:footnoteRef/>
      </w:r>
      <w:r w:rsidR="00B55E1C">
        <w:t xml:space="preserve"> </w:t>
      </w:r>
      <w:r w:rsidR="00B55E1C" w:rsidRPr="00FD04FD">
        <w:rPr>
          <w:u w:val="single"/>
        </w:rPr>
        <w:t>Id</w:t>
      </w:r>
      <w:r w:rsidRPr="00FD04FD">
        <w:rPr>
          <w:u w:val="singl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45 ">
      <w:r w:rsidR="00745C5B">
        <w:t>PSC-2019-0445-PAA-EU</w:t>
      </w:r>
    </w:fldSimple>
  </w:p>
  <w:p w:rsidR="00FA6EFD" w:rsidRDefault="00112EEF">
    <w:pPr>
      <w:pStyle w:val="OrderHeader"/>
    </w:pPr>
    <w:bookmarkStart w:id="10" w:name="HeaderDocketNo"/>
    <w:bookmarkEnd w:id="10"/>
    <w:r>
      <w:t>DOCKET NO. 20190142-EU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pPr>
      <w:pStyle w:val="OrderHeader"/>
    </w:pPr>
    <w:r>
      <w:t>ORDER NO.</w:t>
    </w:r>
    <w:r w:rsidR="00745C5B" w:rsidRPr="00745C5B">
      <w:t xml:space="preserve"> PSC-2019-0445-PAA-EU</w:t>
    </w:r>
    <w:r>
      <w:tab/>
    </w:r>
    <w:r>
      <w:tab/>
      <w:t xml:space="preserve">Attachment A </w:t>
    </w:r>
  </w:p>
  <w:p w:rsidR="00112EEF" w:rsidRDefault="00112EEF">
    <w:pPr>
      <w:pStyle w:val="OrderHeader"/>
    </w:pPr>
    <w:r>
      <w:t>DOCKET NO. 20190142-EU</w:t>
    </w:r>
    <w:r>
      <w:tab/>
    </w:r>
    <w:r>
      <w:tab/>
      <w:t>Page 10 of 13</w:t>
    </w:r>
  </w:p>
  <w:p w:rsidR="00112EEF" w:rsidRDefault="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15</w:t>
    </w:r>
    <w:r>
      <w:rPr>
        <w:rStyle w:val="PageNumber"/>
      </w:rPr>
      <w:fldChar w:fldCharType="end"/>
    </w:r>
  </w:p>
  <w:p w:rsidR="00112EEF" w:rsidRDefault="00112EEF">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9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14</w:t>
    </w:r>
    <w:r>
      <w:rPr>
        <w:rStyle w:val="PageNumber"/>
      </w:rPr>
      <w:fldChar w:fldCharType="end"/>
    </w:r>
  </w:p>
  <w:p w:rsidR="00112EEF" w:rsidRDefault="00112E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pPr>
      <w:pStyle w:val="OrderHeader"/>
    </w:pPr>
    <w:r>
      <w:t>ORDER NO.</w:t>
    </w:r>
    <w:r w:rsidR="00745C5B" w:rsidRPr="00745C5B">
      <w:t xml:space="preserve"> PSC-2019-0445-PAA-EU</w:t>
    </w:r>
    <w:r>
      <w:tab/>
    </w:r>
    <w:r>
      <w:tab/>
      <w:t xml:space="preserve">Attachment A </w:t>
    </w:r>
  </w:p>
  <w:p w:rsidR="00112EEF" w:rsidRDefault="00112EEF">
    <w:pPr>
      <w:pStyle w:val="OrderHeader"/>
    </w:pPr>
    <w:r>
      <w:t>DOCKET NO. 20190142-EU</w:t>
    </w:r>
    <w:r>
      <w:tab/>
    </w:r>
    <w:r>
      <w:tab/>
      <w:t>Page 12 of 13</w:t>
    </w:r>
  </w:p>
  <w:p w:rsidR="00112EEF" w:rsidRDefault="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17</w:t>
    </w:r>
    <w:r>
      <w:rPr>
        <w:rStyle w:val="PageNumber"/>
      </w:rPr>
      <w:fldChar w:fldCharType="end"/>
    </w:r>
  </w:p>
  <w:p w:rsidR="00112EEF" w:rsidRDefault="00112EEF">
    <w:pPr>
      <w:pStyle w:val="Order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11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16</w:t>
    </w:r>
    <w:r>
      <w:rPr>
        <w:rStyle w:val="PageNumber"/>
      </w:rPr>
      <w:fldChar w:fldCharType="end"/>
    </w:r>
  </w:p>
  <w:p w:rsidR="00112EEF" w:rsidRDefault="00112E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13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18</w:t>
    </w:r>
    <w:r>
      <w:rPr>
        <w:rStyle w:val="PageNumber"/>
      </w:rPr>
      <w:fldChar w:fldCharType="end"/>
    </w:r>
  </w:p>
  <w:p w:rsidR="00112EEF" w:rsidRDefault="00112E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pPr>
      <w:pStyle w:val="OrderHeader"/>
    </w:pPr>
    <w:r>
      <w:t>ORDER NO.</w:t>
    </w:r>
    <w:r w:rsidR="00745C5B" w:rsidRPr="00745C5B">
      <w:t xml:space="preserve"> PSC-2019-0445-PAA-EU</w:t>
    </w:r>
    <w:r>
      <w:tab/>
    </w:r>
    <w:r>
      <w:tab/>
      <w:t xml:space="preserve">Attachment A </w:t>
    </w:r>
  </w:p>
  <w:p w:rsidR="00112EEF" w:rsidRDefault="00112EEF">
    <w:pPr>
      <w:pStyle w:val="OrderHeader"/>
    </w:pPr>
    <w:r>
      <w:t>DOCKET NO. 20190142-EU</w:t>
    </w:r>
    <w:r>
      <w:tab/>
    </w:r>
    <w:r>
      <w:tab/>
      <w:t>Page 2 of 13</w:t>
    </w:r>
  </w:p>
  <w:p w:rsidR="00112EEF" w:rsidRDefault="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7</w:t>
    </w:r>
    <w:r>
      <w:rPr>
        <w:rStyle w:val="PageNumber"/>
      </w:rPr>
      <w:fldChar w:fldCharType="end"/>
    </w:r>
  </w:p>
  <w:p w:rsidR="00112EEF" w:rsidRDefault="00112EEF">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1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6</w:t>
    </w:r>
    <w:r>
      <w:rPr>
        <w:rStyle w:val="PageNumber"/>
      </w:rPr>
      <w:fldChar w:fldCharType="end"/>
    </w:r>
  </w:p>
  <w:p w:rsidR="00112EEF" w:rsidRDefault="00112E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pPr>
      <w:pStyle w:val="OrderHeader"/>
    </w:pPr>
    <w:r>
      <w:t>ORDER NO.</w:t>
    </w:r>
    <w:r w:rsidR="00745C5B" w:rsidRPr="00745C5B">
      <w:t xml:space="preserve"> PSC-2019-0445-PAA-EU</w:t>
    </w:r>
    <w:r>
      <w:tab/>
    </w:r>
    <w:r>
      <w:tab/>
      <w:t xml:space="preserve">Attachment A </w:t>
    </w:r>
  </w:p>
  <w:p w:rsidR="00112EEF" w:rsidRDefault="00112EEF">
    <w:pPr>
      <w:pStyle w:val="OrderHeader"/>
    </w:pPr>
    <w:r>
      <w:t>DOCKET NO. 20190142-EU</w:t>
    </w:r>
    <w:r>
      <w:tab/>
    </w:r>
    <w:r>
      <w:tab/>
      <w:t>Page 4 of 13</w:t>
    </w:r>
  </w:p>
  <w:p w:rsidR="00112EEF" w:rsidRDefault="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9</w:t>
    </w:r>
    <w:r>
      <w:rPr>
        <w:rStyle w:val="PageNumber"/>
      </w:rPr>
      <w:fldChar w:fldCharType="end"/>
    </w:r>
  </w:p>
  <w:p w:rsidR="00112EEF" w:rsidRDefault="00112EEF">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3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8</w:t>
    </w:r>
    <w:r>
      <w:rPr>
        <w:rStyle w:val="PageNumber"/>
      </w:rPr>
      <w:fldChar w:fldCharType="end"/>
    </w:r>
  </w:p>
  <w:p w:rsidR="00112EEF" w:rsidRDefault="00112E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pPr>
      <w:pStyle w:val="OrderHeader"/>
    </w:pPr>
    <w:r>
      <w:t>ORDER NO.</w:t>
    </w:r>
    <w:r w:rsidR="00745C5B" w:rsidRPr="00745C5B">
      <w:t xml:space="preserve"> PSC-2019-0445-PAA-EU</w:t>
    </w:r>
    <w:r>
      <w:tab/>
    </w:r>
    <w:r>
      <w:tab/>
      <w:t xml:space="preserve">Attachment A </w:t>
    </w:r>
  </w:p>
  <w:p w:rsidR="00112EEF" w:rsidRDefault="00112EEF">
    <w:pPr>
      <w:pStyle w:val="OrderHeader"/>
    </w:pPr>
    <w:r>
      <w:t>DOCKET NO. 20190142-EU</w:t>
    </w:r>
    <w:r>
      <w:tab/>
    </w:r>
    <w:r>
      <w:tab/>
      <w:t>Page 6 of 13</w:t>
    </w:r>
  </w:p>
  <w:p w:rsidR="00112EEF" w:rsidRDefault="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11</w:t>
    </w:r>
    <w:r>
      <w:rPr>
        <w:rStyle w:val="PageNumber"/>
      </w:rPr>
      <w:fldChar w:fldCharType="end"/>
    </w:r>
  </w:p>
  <w:p w:rsidR="00112EEF" w:rsidRDefault="00112EEF">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5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10</w:t>
    </w:r>
    <w:r>
      <w:rPr>
        <w:rStyle w:val="PageNumber"/>
      </w:rPr>
      <w:fldChar w:fldCharType="end"/>
    </w:r>
  </w:p>
  <w:p w:rsidR="00112EEF" w:rsidRDefault="00112E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pPr>
      <w:pStyle w:val="OrderHeader"/>
    </w:pPr>
    <w:r>
      <w:t>ORDER NO.</w:t>
    </w:r>
    <w:r w:rsidR="00745C5B" w:rsidRPr="00745C5B">
      <w:t xml:space="preserve"> PSC-2019-0445-PAA-EU</w:t>
    </w:r>
    <w:r>
      <w:tab/>
    </w:r>
    <w:r>
      <w:tab/>
      <w:t xml:space="preserve">Attachment A </w:t>
    </w:r>
  </w:p>
  <w:p w:rsidR="00112EEF" w:rsidRDefault="00112EEF">
    <w:pPr>
      <w:pStyle w:val="OrderHeader"/>
    </w:pPr>
    <w:r>
      <w:t>DOCKET NO. 20190142-EU</w:t>
    </w:r>
    <w:r>
      <w:tab/>
    </w:r>
    <w:r>
      <w:tab/>
      <w:t>Page 8 of 13</w:t>
    </w:r>
  </w:p>
  <w:p w:rsidR="00112EEF" w:rsidRDefault="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13</w:t>
    </w:r>
    <w:r>
      <w:rPr>
        <w:rStyle w:val="PageNumber"/>
      </w:rPr>
      <w:fldChar w:fldCharType="end"/>
    </w:r>
  </w:p>
  <w:p w:rsidR="00112EEF" w:rsidRDefault="00112EEF">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EF" w:rsidRDefault="00112EEF" w:rsidP="00112EEF">
    <w:pPr>
      <w:pStyle w:val="OrderHeader"/>
    </w:pPr>
    <w:r>
      <w:t>ORDER NO.</w:t>
    </w:r>
    <w:r w:rsidR="00745C5B" w:rsidRPr="00745C5B">
      <w:t xml:space="preserve"> PSC-2019-0445-PAA-EU</w:t>
    </w:r>
    <w:r>
      <w:tab/>
    </w:r>
    <w:r>
      <w:tab/>
      <w:t xml:space="preserve">Attachment A </w:t>
    </w:r>
  </w:p>
  <w:p w:rsidR="00112EEF" w:rsidRDefault="00112EEF" w:rsidP="00112EEF">
    <w:pPr>
      <w:pStyle w:val="OrderHeader"/>
    </w:pPr>
    <w:r>
      <w:t>DOCKET NO. 20190142-EU</w:t>
    </w:r>
    <w:r>
      <w:tab/>
    </w:r>
    <w:r>
      <w:tab/>
      <w:t>Page 7 of 13</w:t>
    </w:r>
  </w:p>
  <w:p w:rsidR="00112EEF" w:rsidRDefault="00112EEF" w:rsidP="00112EE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5C5B">
      <w:rPr>
        <w:rStyle w:val="PageNumber"/>
        <w:noProof/>
      </w:rPr>
      <w:t>12</w:t>
    </w:r>
    <w:r>
      <w:rPr>
        <w:rStyle w:val="PageNumber"/>
      </w:rPr>
      <w:fldChar w:fldCharType="end"/>
    </w:r>
  </w:p>
  <w:p w:rsidR="00112EEF" w:rsidRDefault="00112E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6706E"/>
    <w:multiLevelType w:val="hybridMultilevel"/>
    <w:tmpl w:val="94D09898"/>
    <w:lvl w:ilvl="0" w:tplc="0AAEFF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42-EU"/>
  </w:docVars>
  <w:rsids>
    <w:rsidRoot w:val="00112EEF"/>
    <w:rsid w:val="000022B8"/>
    <w:rsid w:val="0003433F"/>
    <w:rsid w:val="00035A8C"/>
    <w:rsid w:val="00053AB9"/>
    <w:rsid w:val="00056229"/>
    <w:rsid w:val="00057AF1"/>
    <w:rsid w:val="00065FC2"/>
    <w:rsid w:val="00066C3E"/>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058BF"/>
    <w:rsid w:val="001107B3"/>
    <w:rsid w:val="001114B1"/>
    <w:rsid w:val="00112EEF"/>
    <w:rsid w:val="001139D8"/>
    <w:rsid w:val="00116AD3"/>
    <w:rsid w:val="00121957"/>
    <w:rsid w:val="001233F4"/>
    <w:rsid w:val="0012387E"/>
    <w:rsid w:val="00126593"/>
    <w:rsid w:val="00142A96"/>
    <w:rsid w:val="001513DE"/>
    <w:rsid w:val="00154A71"/>
    <w:rsid w:val="00172018"/>
    <w:rsid w:val="00187E32"/>
    <w:rsid w:val="00194E81"/>
    <w:rsid w:val="001A15E7"/>
    <w:rsid w:val="001A33C9"/>
    <w:rsid w:val="001A58F3"/>
    <w:rsid w:val="001C2847"/>
    <w:rsid w:val="001C3F8C"/>
    <w:rsid w:val="001C6097"/>
    <w:rsid w:val="001D008A"/>
    <w:rsid w:val="001D34D0"/>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04633"/>
    <w:rsid w:val="003140E8"/>
    <w:rsid w:val="003231C7"/>
    <w:rsid w:val="00323839"/>
    <w:rsid w:val="003270C4"/>
    <w:rsid w:val="00331ED0"/>
    <w:rsid w:val="00332B0A"/>
    <w:rsid w:val="00333A41"/>
    <w:rsid w:val="00345434"/>
    <w:rsid w:val="0035495B"/>
    <w:rsid w:val="00355A93"/>
    <w:rsid w:val="00361522"/>
    <w:rsid w:val="0037196E"/>
    <w:rsid w:val="003744F5"/>
    <w:rsid w:val="00374EA1"/>
    <w:rsid w:val="00387BDE"/>
    <w:rsid w:val="00390DD8"/>
    <w:rsid w:val="00394DC6"/>
    <w:rsid w:val="00397C3E"/>
    <w:rsid w:val="003A3AF6"/>
    <w:rsid w:val="003B1A09"/>
    <w:rsid w:val="003D4CCA"/>
    <w:rsid w:val="003D52A6"/>
    <w:rsid w:val="003D6416"/>
    <w:rsid w:val="003E1D48"/>
    <w:rsid w:val="003F0491"/>
    <w:rsid w:val="003F1D2B"/>
    <w:rsid w:val="003F3845"/>
    <w:rsid w:val="00411DF2"/>
    <w:rsid w:val="00411E8F"/>
    <w:rsid w:val="0042527B"/>
    <w:rsid w:val="00436760"/>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1467"/>
    <w:rsid w:val="006D2B51"/>
    <w:rsid w:val="006D5575"/>
    <w:rsid w:val="006E42BE"/>
    <w:rsid w:val="00704C5D"/>
    <w:rsid w:val="007072BC"/>
    <w:rsid w:val="00715275"/>
    <w:rsid w:val="00721B44"/>
    <w:rsid w:val="007232A2"/>
    <w:rsid w:val="00726366"/>
    <w:rsid w:val="00733B6B"/>
    <w:rsid w:val="00740808"/>
    <w:rsid w:val="00745C5B"/>
    <w:rsid w:val="007467C4"/>
    <w:rsid w:val="0076170F"/>
    <w:rsid w:val="0076669C"/>
    <w:rsid w:val="00766E46"/>
    <w:rsid w:val="00777727"/>
    <w:rsid w:val="00782B79"/>
    <w:rsid w:val="007865E9"/>
    <w:rsid w:val="00792383"/>
    <w:rsid w:val="00794D5A"/>
    <w:rsid w:val="00794DD9"/>
    <w:rsid w:val="007A060F"/>
    <w:rsid w:val="007A7D7B"/>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4352"/>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11231"/>
    <w:rsid w:val="00A4303C"/>
    <w:rsid w:val="00A470FD"/>
    <w:rsid w:val="00A62DAB"/>
    <w:rsid w:val="00A6757A"/>
    <w:rsid w:val="00A726A6"/>
    <w:rsid w:val="00A74842"/>
    <w:rsid w:val="00A97535"/>
    <w:rsid w:val="00AA2BAA"/>
    <w:rsid w:val="00AA73F1"/>
    <w:rsid w:val="00AB0E1A"/>
    <w:rsid w:val="00AB1A30"/>
    <w:rsid w:val="00AB3C36"/>
    <w:rsid w:val="00AB7913"/>
    <w:rsid w:val="00AD10EB"/>
    <w:rsid w:val="00AD1ED3"/>
    <w:rsid w:val="00AE0AD5"/>
    <w:rsid w:val="00B02001"/>
    <w:rsid w:val="00B03C50"/>
    <w:rsid w:val="00B0777D"/>
    <w:rsid w:val="00B11576"/>
    <w:rsid w:val="00B1195F"/>
    <w:rsid w:val="00B14D10"/>
    <w:rsid w:val="00B150E7"/>
    <w:rsid w:val="00B209C7"/>
    <w:rsid w:val="00B3644F"/>
    <w:rsid w:val="00B4057A"/>
    <w:rsid w:val="00B40894"/>
    <w:rsid w:val="00B41039"/>
    <w:rsid w:val="00B444AE"/>
    <w:rsid w:val="00B45E75"/>
    <w:rsid w:val="00B50876"/>
    <w:rsid w:val="00B51074"/>
    <w:rsid w:val="00B54DAA"/>
    <w:rsid w:val="00B55AB0"/>
    <w:rsid w:val="00B55E1C"/>
    <w:rsid w:val="00B55EE5"/>
    <w:rsid w:val="00B65618"/>
    <w:rsid w:val="00B71D1F"/>
    <w:rsid w:val="00B73DE6"/>
    <w:rsid w:val="00B761CD"/>
    <w:rsid w:val="00B86EF0"/>
    <w:rsid w:val="00B94227"/>
    <w:rsid w:val="00B96969"/>
    <w:rsid w:val="00B97900"/>
    <w:rsid w:val="00BA1229"/>
    <w:rsid w:val="00BA3BC3"/>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2815"/>
    <w:rsid w:val="00C55A33"/>
    <w:rsid w:val="00C66692"/>
    <w:rsid w:val="00C673B5"/>
    <w:rsid w:val="00C7063D"/>
    <w:rsid w:val="00C830BC"/>
    <w:rsid w:val="00C8524D"/>
    <w:rsid w:val="00C91123"/>
    <w:rsid w:val="00CA5DBF"/>
    <w:rsid w:val="00CA71FF"/>
    <w:rsid w:val="00CB5276"/>
    <w:rsid w:val="00CB5BFC"/>
    <w:rsid w:val="00CB68D7"/>
    <w:rsid w:val="00CC7E68"/>
    <w:rsid w:val="00CD7132"/>
    <w:rsid w:val="00CE0E6F"/>
    <w:rsid w:val="00CE3B21"/>
    <w:rsid w:val="00CE501B"/>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20D9C"/>
    <w:rsid w:val="00E4225C"/>
    <w:rsid w:val="00E44879"/>
    <w:rsid w:val="00E72914"/>
    <w:rsid w:val="00E751FF"/>
    <w:rsid w:val="00E75AE0"/>
    <w:rsid w:val="00E83C1F"/>
    <w:rsid w:val="00E923CE"/>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05D9"/>
    <w:rsid w:val="00F4182A"/>
    <w:rsid w:val="00F54380"/>
    <w:rsid w:val="00F54B47"/>
    <w:rsid w:val="00F5651F"/>
    <w:rsid w:val="00F61247"/>
    <w:rsid w:val="00F6702E"/>
    <w:rsid w:val="00F70E84"/>
    <w:rsid w:val="00FA092B"/>
    <w:rsid w:val="00FA4F6C"/>
    <w:rsid w:val="00FA6EFD"/>
    <w:rsid w:val="00FB74EA"/>
    <w:rsid w:val="00FC5CDA"/>
    <w:rsid w:val="00FD04FD"/>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12EEF"/>
    <w:rPr>
      <w:rFonts w:ascii="Tahoma" w:hAnsi="Tahoma" w:cs="Tahoma"/>
      <w:sz w:val="16"/>
      <w:szCs w:val="16"/>
    </w:rPr>
  </w:style>
  <w:style w:type="character" w:customStyle="1" w:styleId="BalloonTextChar">
    <w:name w:val="Balloon Text Char"/>
    <w:basedOn w:val="DefaultParagraphFont"/>
    <w:link w:val="BalloonText"/>
    <w:rsid w:val="00112EEF"/>
    <w:rPr>
      <w:rFonts w:ascii="Tahoma" w:hAnsi="Tahoma" w:cs="Tahoma"/>
      <w:sz w:val="16"/>
      <w:szCs w:val="16"/>
    </w:rPr>
  </w:style>
  <w:style w:type="paragraph" w:styleId="ListParagraph">
    <w:name w:val="List Paragraph"/>
    <w:basedOn w:val="Normal"/>
    <w:uiPriority w:val="34"/>
    <w:qFormat/>
    <w:rsid w:val="00AE0A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12EEF"/>
    <w:rPr>
      <w:rFonts w:ascii="Tahoma" w:hAnsi="Tahoma" w:cs="Tahoma"/>
      <w:sz w:val="16"/>
      <w:szCs w:val="16"/>
    </w:rPr>
  </w:style>
  <w:style w:type="character" w:customStyle="1" w:styleId="BalloonTextChar">
    <w:name w:val="Balloon Text Char"/>
    <w:basedOn w:val="DefaultParagraphFont"/>
    <w:link w:val="BalloonText"/>
    <w:rsid w:val="00112EEF"/>
    <w:rPr>
      <w:rFonts w:ascii="Tahoma" w:hAnsi="Tahoma" w:cs="Tahoma"/>
      <w:sz w:val="16"/>
      <w:szCs w:val="16"/>
    </w:rPr>
  </w:style>
  <w:style w:type="paragraph" w:styleId="ListParagraph">
    <w:name w:val="List Paragraph"/>
    <w:basedOn w:val="Normal"/>
    <w:uiPriority w:val="34"/>
    <w:qFormat/>
    <w:rsid w:val="00AE0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10.jpg"/><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9.jpg"/><Relationship Id="rId30" Type="http://schemas.openxmlformats.org/officeDocument/2006/relationships/header" Target="header11.xml"/><Relationship Id="rId35"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2B773-F8A2-4700-8C07-49B61FA8A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18</Pages>
  <Words>1872</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2019-10-22T20:56:00Z</dcterms:created>
  <dcterms:modified xsi:type="dcterms:W3CDTF">2019-10-23T12:22:00Z</dcterms:modified>
</cp:coreProperties>
</file>