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B3052E" w:rsidP="00B3052E">
      <w:pPr>
        <w:pStyle w:val="OrderHeading"/>
      </w:pPr>
      <w:r>
        <w:t>BEFORE THE FLORIDA PUBLIC SERVICE COMMISSION</w:t>
      </w:r>
    </w:p>
    <w:p w:rsidR="00B3052E" w:rsidRDefault="00B3052E" w:rsidP="00B3052E">
      <w:pPr>
        <w:pStyle w:val="OrderBody"/>
      </w:pPr>
    </w:p>
    <w:p w:rsidR="00B3052E" w:rsidRDefault="00B3052E" w:rsidP="00B3052E">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B3052E" w:rsidRPr="00C63FCF" w:rsidTr="00C63FCF">
        <w:trPr>
          <w:trHeight w:val="828"/>
        </w:trPr>
        <w:tc>
          <w:tcPr>
            <w:tcW w:w="4788" w:type="dxa"/>
            <w:tcBorders>
              <w:bottom w:val="single" w:sz="8" w:space="0" w:color="auto"/>
              <w:right w:val="double" w:sz="6" w:space="0" w:color="auto"/>
            </w:tcBorders>
            <w:shd w:val="clear" w:color="auto" w:fill="auto"/>
          </w:tcPr>
          <w:p w:rsidR="00B3052E" w:rsidRDefault="00B3052E" w:rsidP="00C63FCF">
            <w:pPr>
              <w:pStyle w:val="OrderBody"/>
              <w:tabs>
                <w:tab w:val="center" w:pos="4320"/>
                <w:tab w:val="right" w:pos="8640"/>
              </w:tabs>
              <w:jc w:val="left"/>
            </w:pPr>
            <w:r>
              <w:t xml:space="preserve">In re: </w:t>
            </w:r>
            <w:bookmarkStart w:id="0" w:name="SSInRe"/>
            <w:bookmarkEnd w:id="0"/>
            <w:r>
              <w:t xml:space="preserve">Petition for a limited proceeding to approve third </w:t>
            </w:r>
            <w:proofErr w:type="spellStart"/>
            <w:r>
              <w:t>SoBRA</w:t>
            </w:r>
            <w:proofErr w:type="spellEnd"/>
            <w:r>
              <w:t>, by Tampa Electric Company.</w:t>
            </w:r>
          </w:p>
        </w:tc>
        <w:tc>
          <w:tcPr>
            <w:tcW w:w="4788" w:type="dxa"/>
            <w:tcBorders>
              <w:left w:val="double" w:sz="6" w:space="0" w:color="auto"/>
            </w:tcBorders>
            <w:shd w:val="clear" w:color="auto" w:fill="auto"/>
          </w:tcPr>
          <w:p w:rsidR="00B3052E" w:rsidRDefault="00B3052E" w:rsidP="00B3052E">
            <w:pPr>
              <w:pStyle w:val="OrderBody"/>
            </w:pPr>
            <w:r>
              <w:t xml:space="preserve">DOCKET NO. </w:t>
            </w:r>
            <w:bookmarkStart w:id="1" w:name="SSDocketNo"/>
            <w:bookmarkEnd w:id="1"/>
            <w:r>
              <w:t>20190136-EI</w:t>
            </w:r>
          </w:p>
          <w:p w:rsidR="00B3052E" w:rsidRDefault="00B3052E" w:rsidP="00C63FCF">
            <w:pPr>
              <w:pStyle w:val="OrderBody"/>
              <w:tabs>
                <w:tab w:val="center" w:pos="4320"/>
                <w:tab w:val="right" w:pos="8640"/>
              </w:tabs>
              <w:jc w:val="left"/>
            </w:pPr>
            <w:r>
              <w:t xml:space="preserve">ORDER NO. </w:t>
            </w:r>
            <w:bookmarkStart w:id="2" w:name="OrderNo0477"/>
            <w:r w:rsidR="005E7C4B">
              <w:t>PSC-2019-0477-FOF-EI</w:t>
            </w:r>
            <w:bookmarkEnd w:id="2"/>
          </w:p>
          <w:p w:rsidR="00B3052E" w:rsidRDefault="00B3052E" w:rsidP="00C63FCF">
            <w:pPr>
              <w:pStyle w:val="OrderBody"/>
              <w:tabs>
                <w:tab w:val="center" w:pos="4320"/>
                <w:tab w:val="right" w:pos="8640"/>
              </w:tabs>
              <w:jc w:val="left"/>
            </w:pPr>
            <w:r>
              <w:t xml:space="preserve">ISSUED: </w:t>
            </w:r>
            <w:r w:rsidR="005E7C4B">
              <w:t>November 12, 2019</w:t>
            </w:r>
          </w:p>
        </w:tc>
      </w:tr>
    </w:tbl>
    <w:p w:rsidR="00B3052E" w:rsidRDefault="00B3052E" w:rsidP="00B3052E"/>
    <w:p w:rsidR="00B3052E" w:rsidRDefault="00B3052E" w:rsidP="00B3052E"/>
    <w:p w:rsidR="00B3052E" w:rsidRDefault="00B3052E">
      <w:pPr>
        <w:ind w:firstLine="720"/>
        <w:jc w:val="both"/>
      </w:pPr>
      <w:bookmarkStart w:id="3" w:name="Commissioners"/>
      <w:bookmarkEnd w:id="3"/>
      <w:r>
        <w:t>The following Commissioners participated in the disposition of this matter:</w:t>
      </w:r>
    </w:p>
    <w:p w:rsidR="00B3052E" w:rsidRDefault="00B3052E"/>
    <w:p w:rsidR="00B3052E" w:rsidRDefault="00B3052E">
      <w:pPr>
        <w:jc w:val="center"/>
      </w:pPr>
      <w:r>
        <w:t>ART GRAHAM, Chairman</w:t>
      </w:r>
    </w:p>
    <w:p w:rsidR="00B3052E" w:rsidRDefault="00B3052E">
      <w:pPr>
        <w:jc w:val="center"/>
      </w:pPr>
      <w:r>
        <w:t xml:space="preserve">JULIE I. BROWN </w:t>
      </w:r>
    </w:p>
    <w:p w:rsidR="00B3052E" w:rsidRDefault="00B3052E">
      <w:pPr>
        <w:jc w:val="center"/>
      </w:pPr>
      <w:r>
        <w:t>DONALD J. POLMANN</w:t>
      </w:r>
    </w:p>
    <w:p w:rsidR="00B3052E" w:rsidRDefault="00B3052E">
      <w:pPr>
        <w:jc w:val="center"/>
      </w:pPr>
      <w:r>
        <w:t>GARY F. CLARK</w:t>
      </w:r>
    </w:p>
    <w:p w:rsidR="00B3052E" w:rsidRDefault="00B3052E" w:rsidP="00B3052E">
      <w:pPr>
        <w:jc w:val="center"/>
      </w:pPr>
      <w:r>
        <w:t>ANDREW GILES FAY</w:t>
      </w:r>
    </w:p>
    <w:p w:rsidR="00B3052E" w:rsidRDefault="00B3052E" w:rsidP="00B3052E">
      <w:pPr>
        <w:pStyle w:val="OrderBody"/>
      </w:pPr>
    </w:p>
    <w:p w:rsidR="00B3052E" w:rsidRPr="00701945" w:rsidRDefault="00B3052E" w:rsidP="00B3052E">
      <w:pPr>
        <w:jc w:val="both"/>
      </w:pPr>
      <w:bookmarkStart w:id="4" w:name="OrderText"/>
      <w:bookmarkEnd w:id="4"/>
    </w:p>
    <w:p w:rsidR="00B3052E" w:rsidRDefault="00B3052E" w:rsidP="00B3052E">
      <w:pPr>
        <w:ind w:left="1440"/>
        <w:jc w:val="both"/>
      </w:pPr>
      <w:r>
        <w:t>JAMES D. BEASLEY, J. JEFFRY WAHLEN and MALCOLM N. MEANS</w:t>
      </w:r>
      <w:r w:rsidRPr="00701945">
        <w:t>, ESQUIRE</w:t>
      </w:r>
      <w:r>
        <w:t xml:space="preserve">S, </w:t>
      </w:r>
      <w:proofErr w:type="spellStart"/>
      <w:r>
        <w:t>Ausley</w:t>
      </w:r>
      <w:proofErr w:type="spellEnd"/>
      <w:r>
        <w:t xml:space="preserve"> McMullen, P.O. Box 391 Tallahassee, Florida, 32302</w:t>
      </w:r>
    </w:p>
    <w:p w:rsidR="00B3052E" w:rsidRDefault="00B3052E" w:rsidP="00B3052E">
      <w:pPr>
        <w:ind w:left="720" w:firstLine="720"/>
        <w:jc w:val="both"/>
      </w:pPr>
      <w:proofErr w:type="gramStart"/>
      <w:r>
        <w:rPr>
          <w:u w:val="single"/>
        </w:rPr>
        <w:t>On behalf of Tampa Electric Company (TECO)</w:t>
      </w:r>
      <w:r w:rsidRPr="00701945">
        <w:t>.</w:t>
      </w:r>
      <w:proofErr w:type="gramEnd"/>
    </w:p>
    <w:p w:rsidR="00B3052E" w:rsidRDefault="00B3052E" w:rsidP="00B3052E">
      <w:pPr>
        <w:ind w:left="720" w:firstLine="720"/>
        <w:jc w:val="both"/>
      </w:pPr>
    </w:p>
    <w:p w:rsidR="00B3052E" w:rsidRDefault="00B3052E" w:rsidP="00B3052E">
      <w:pPr>
        <w:ind w:left="1440"/>
        <w:jc w:val="both"/>
      </w:pPr>
      <w:r>
        <w:t>JON C. MOYLE, JR. and KAREN PUTNAL ESQUIRES, Moyle Law Firm, P.A., 118 North Gadsden Street, Tallahassee, Florida, 32312</w:t>
      </w:r>
    </w:p>
    <w:p w:rsidR="00B3052E" w:rsidRPr="00080909" w:rsidRDefault="00B3052E" w:rsidP="00B3052E">
      <w:pPr>
        <w:ind w:left="1440"/>
        <w:jc w:val="both"/>
        <w:rPr>
          <w:u w:val="single"/>
        </w:rPr>
      </w:pPr>
      <w:proofErr w:type="gramStart"/>
      <w:r w:rsidRPr="00080909">
        <w:rPr>
          <w:u w:val="single"/>
        </w:rPr>
        <w:t>On behalf of the Florida Industrial Power Users Group</w:t>
      </w:r>
      <w:r>
        <w:rPr>
          <w:u w:val="single"/>
        </w:rPr>
        <w:t xml:space="preserve"> (FIPUG).</w:t>
      </w:r>
      <w:proofErr w:type="gramEnd"/>
    </w:p>
    <w:p w:rsidR="00B3052E" w:rsidRPr="00080909" w:rsidRDefault="00B3052E" w:rsidP="00B3052E">
      <w:pPr>
        <w:jc w:val="both"/>
        <w:rPr>
          <w:u w:val="single"/>
        </w:rPr>
      </w:pPr>
    </w:p>
    <w:p w:rsidR="00B3052E" w:rsidRPr="00701945" w:rsidRDefault="00B3052E" w:rsidP="00B3052E">
      <w:pPr>
        <w:ind w:left="1440"/>
        <w:jc w:val="both"/>
      </w:pPr>
      <w:r>
        <w:t>J.R. KELLY and CHARLES REHWINKLE</w:t>
      </w:r>
      <w:r w:rsidRPr="00701945">
        <w:t>, ESQUIRE</w:t>
      </w:r>
      <w:r>
        <w:t>S, Public Counsel and Deputy Public Counsel, Office of the Public Counsel c/o The Florida Legislature, 111 W. Madison Street, Room 812, Tallahassee, Florida, 32399</w:t>
      </w:r>
    </w:p>
    <w:p w:rsidR="00B3052E" w:rsidRPr="00701945" w:rsidRDefault="00B3052E" w:rsidP="00B3052E">
      <w:pPr>
        <w:ind w:left="720" w:firstLine="720"/>
        <w:jc w:val="both"/>
      </w:pPr>
      <w:proofErr w:type="gramStart"/>
      <w:r>
        <w:rPr>
          <w:u w:val="single"/>
        </w:rPr>
        <w:t>On behalf of the Citizens of the State of Florida (OPC)</w:t>
      </w:r>
      <w:r w:rsidRPr="00701945">
        <w:t>.</w:t>
      </w:r>
      <w:proofErr w:type="gramEnd"/>
      <w:r w:rsidRPr="00701945">
        <w:t xml:space="preserve"> </w:t>
      </w:r>
    </w:p>
    <w:p w:rsidR="00B3052E" w:rsidRPr="00701945" w:rsidRDefault="00B3052E" w:rsidP="00B3052E">
      <w:pPr>
        <w:jc w:val="both"/>
      </w:pPr>
    </w:p>
    <w:p w:rsidR="00B3052E" w:rsidRPr="00701945" w:rsidRDefault="00B3052E" w:rsidP="00B3052E">
      <w:pPr>
        <w:ind w:left="1440"/>
        <w:jc w:val="both"/>
      </w:pPr>
      <w:r>
        <w:t>KURT SCHRADER and WALT TRIERWEILER</w:t>
      </w:r>
      <w:r w:rsidRPr="00701945">
        <w:t>, ESQUIRE</w:t>
      </w:r>
      <w:r>
        <w:t>S</w:t>
      </w:r>
      <w:r w:rsidRPr="00701945">
        <w:t xml:space="preserve">, </w:t>
      </w:r>
      <w:r>
        <w:t xml:space="preserve">Senior Attorneys, </w:t>
      </w:r>
      <w:r w:rsidRPr="00701945">
        <w:t>Florida Public Service Commission, 2540 Shumard Oak Boulevard, Tallahassee, Florida 32399-0850</w:t>
      </w:r>
    </w:p>
    <w:p w:rsidR="00B3052E" w:rsidRPr="00701945" w:rsidRDefault="00B3052E" w:rsidP="00B3052E">
      <w:pPr>
        <w:ind w:left="720" w:firstLine="720"/>
        <w:jc w:val="both"/>
      </w:pPr>
      <w:proofErr w:type="gramStart"/>
      <w:r w:rsidRPr="00701945">
        <w:rPr>
          <w:u w:val="single"/>
        </w:rPr>
        <w:t>On behalf of the Florida Public Service Commission</w:t>
      </w:r>
      <w:r>
        <w:rPr>
          <w:u w:val="single"/>
        </w:rPr>
        <w:t xml:space="preserve"> (Staff)</w:t>
      </w:r>
      <w:r w:rsidRPr="00701945">
        <w:t>.</w:t>
      </w:r>
      <w:proofErr w:type="gramEnd"/>
    </w:p>
    <w:p w:rsidR="00B3052E" w:rsidRPr="00701945" w:rsidRDefault="00B3052E" w:rsidP="00B3052E">
      <w:pPr>
        <w:jc w:val="both"/>
      </w:pPr>
    </w:p>
    <w:p w:rsidR="00B3052E" w:rsidRPr="00701945" w:rsidRDefault="00B3052E" w:rsidP="00B3052E">
      <w:pPr>
        <w:ind w:left="1440"/>
        <w:jc w:val="both"/>
      </w:pPr>
      <w:r>
        <w:t>MARY ANNE HELTON, ESQUIRE, Deputy General Counsel,</w:t>
      </w:r>
      <w:r w:rsidRPr="00701945">
        <w:t xml:space="preserve"> Florida Public Service Commission, 2540 Shumard Oak Boulevard, Tallahassee, Florida 32399-0850</w:t>
      </w:r>
    </w:p>
    <w:p w:rsidR="00B3052E" w:rsidRPr="00701945" w:rsidRDefault="00B3052E" w:rsidP="00B3052E">
      <w:pPr>
        <w:ind w:left="720" w:firstLine="720"/>
        <w:jc w:val="both"/>
      </w:pPr>
      <w:proofErr w:type="gramStart"/>
      <w:r>
        <w:rPr>
          <w:u w:val="single"/>
        </w:rPr>
        <w:t>Advisor to the</w:t>
      </w:r>
      <w:r w:rsidRPr="00701945">
        <w:rPr>
          <w:u w:val="single"/>
        </w:rPr>
        <w:t xml:space="preserve"> Florida Public Service Commission</w:t>
      </w:r>
      <w:r w:rsidRPr="00701945">
        <w:t>.</w:t>
      </w:r>
      <w:proofErr w:type="gramEnd"/>
    </w:p>
    <w:p w:rsidR="00B3052E" w:rsidRPr="00701945" w:rsidRDefault="00B3052E" w:rsidP="00B3052E">
      <w:pPr>
        <w:jc w:val="center"/>
        <w:rPr>
          <w:b/>
          <w:bCs/>
          <w:u w:val="single"/>
        </w:rPr>
      </w:pPr>
    </w:p>
    <w:p w:rsidR="00B3052E" w:rsidRPr="00D033EB" w:rsidRDefault="00B3052E" w:rsidP="00B3052E">
      <w:pPr>
        <w:ind w:left="1440"/>
        <w:jc w:val="both"/>
      </w:pPr>
      <w:r w:rsidRPr="00D033EB">
        <w:t>K</w:t>
      </w:r>
      <w:r>
        <w:t>EITH C. HETRICK</w:t>
      </w:r>
      <w:r w:rsidRPr="00D033EB">
        <w:t>, ESQUIRE, General Counsel, Florida Public Service Commission, 2540 Shumard Oak Boulevard, Tallahassee, Florida 32399-0850</w:t>
      </w:r>
    </w:p>
    <w:p w:rsidR="00B3052E" w:rsidRPr="00D033EB" w:rsidRDefault="00B3052E" w:rsidP="00B3052E">
      <w:pPr>
        <w:ind w:left="720" w:firstLine="720"/>
        <w:jc w:val="both"/>
      </w:pPr>
      <w:r w:rsidRPr="00D033EB">
        <w:rPr>
          <w:u w:val="single"/>
        </w:rPr>
        <w:t>Florida Public Service Commission General Counsel</w:t>
      </w:r>
    </w:p>
    <w:p w:rsidR="00B3052E" w:rsidRPr="00D033EB" w:rsidRDefault="00B3052E" w:rsidP="00B3052E">
      <w:pPr>
        <w:ind w:left="720" w:firstLine="720"/>
        <w:jc w:val="both"/>
      </w:pPr>
    </w:p>
    <w:p w:rsidR="00B3052E" w:rsidRDefault="00B3052E" w:rsidP="00B3052E">
      <w:pPr>
        <w:jc w:val="center"/>
        <w:rPr>
          <w:b/>
          <w:bCs/>
          <w:u w:val="single"/>
        </w:rPr>
      </w:pPr>
    </w:p>
    <w:p w:rsidR="00B3052E" w:rsidRDefault="00B3052E" w:rsidP="00B3052E">
      <w:pPr>
        <w:jc w:val="center"/>
        <w:rPr>
          <w:b/>
          <w:bCs/>
          <w:u w:val="single"/>
        </w:rPr>
      </w:pPr>
    </w:p>
    <w:p w:rsidR="00161C27" w:rsidRPr="00161C27" w:rsidRDefault="00161C27" w:rsidP="00161C27">
      <w:pPr>
        <w:jc w:val="center"/>
        <w:rPr>
          <w:u w:val="single"/>
        </w:rPr>
      </w:pPr>
      <w:r w:rsidRPr="00161C27">
        <w:rPr>
          <w:u w:val="single"/>
        </w:rPr>
        <w:lastRenderedPageBreak/>
        <w:t>FINAL ORDER APPROVING TAMPA ELECTRIC COMPANY’S</w:t>
      </w:r>
    </w:p>
    <w:p w:rsidR="00B3052E" w:rsidRDefault="00161C27" w:rsidP="00161C27">
      <w:pPr>
        <w:jc w:val="center"/>
      </w:pPr>
      <w:r>
        <w:rPr>
          <w:u w:val="single"/>
        </w:rPr>
        <w:t>THIRD</w:t>
      </w:r>
      <w:r w:rsidRPr="00161C27">
        <w:rPr>
          <w:u w:val="single"/>
        </w:rPr>
        <w:t xml:space="preserve"> SOLAR RATE BASE ADJUSTMENTS</w:t>
      </w:r>
      <w:r w:rsidR="00B3052E">
        <w:rPr>
          <w:u w:val="single"/>
        </w:rPr>
        <w:t> </w:t>
      </w:r>
      <w:r w:rsidR="00B3052E">
        <w:t xml:space="preserve"> </w:t>
      </w:r>
    </w:p>
    <w:p w:rsidR="00B3052E" w:rsidRDefault="00B3052E" w:rsidP="00B3052E"/>
    <w:p w:rsidR="00B3052E" w:rsidRPr="00692EBC" w:rsidRDefault="00B3052E" w:rsidP="00B3052E">
      <w:r w:rsidRPr="00692EBC">
        <w:t>BY THE COMMISSION:</w:t>
      </w:r>
    </w:p>
    <w:p w:rsidR="00B3052E" w:rsidRPr="00943D2A" w:rsidRDefault="00B3052E" w:rsidP="00B3052E"/>
    <w:p w:rsidR="00943D2A" w:rsidRPr="00161C27" w:rsidRDefault="00161C27" w:rsidP="00161C27">
      <w:pPr>
        <w:pStyle w:val="ListParagraph"/>
        <w:numPr>
          <w:ilvl w:val="0"/>
          <w:numId w:val="1"/>
        </w:numPr>
        <w:rPr>
          <w:b/>
        </w:rPr>
      </w:pPr>
      <w:r w:rsidRPr="00161C27">
        <w:rPr>
          <w:b/>
        </w:rPr>
        <w:t>Background</w:t>
      </w:r>
    </w:p>
    <w:p w:rsidR="00161C27" w:rsidRPr="00943D2A" w:rsidRDefault="00161C27" w:rsidP="00161C27">
      <w:pPr>
        <w:pStyle w:val="ListParagraph"/>
        <w:ind w:left="1080"/>
      </w:pPr>
    </w:p>
    <w:p w:rsidR="00943D2A" w:rsidRPr="00943D2A" w:rsidRDefault="00943D2A" w:rsidP="001F746F">
      <w:pPr>
        <w:jc w:val="both"/>
      </w:pPr>
      <w:r w:rsidRPr="00943D2A">
        <w:tab/>
        <w:t xml:space="preserve">Tampa Electric Company’s (TECO) petition for a limited proceeding to approve its 2017 Amended and Restated Stipulation and Settlement Agreement (2017 Settlement) was approved by the Commission on November 27, 2017, by Order No. </w:t>
      </w:r>
      <w:proofErr w:type="gramStart"/>
      <w:r w:rsidRPr="00943D2A">
        <w:t>PSC-2017-0456-S-EI</w:t>
      </w:r>
      <w:r w:rsidR="00AE55DE" w:rsidRPr="00943D2A">
        <w:t>.</w:t>
      </w:r>
      <w:proofErr w:type="gramEnd"/>
      <w:r w:rsidR="00AE55DE" w:rsidRPr="00943D2A">
        <w:t xml:space="preserve"> </w:t>
      </w:r>
      <w:r w:rsidRPr="00943D2A">
        <w:t>Paragraph 6(b) of the 2017 Settlement allows TECO to petition</w:t>
      </w:r>
      <w:r w:rsidR="00A72B68">
        <w:t xml:space="preserve"> us</w:t>
      </w:r>
      <w:r w:rsidRPr="00943D2A">
        <w:t xml:space="preserve"> for cost recovery of up to 150 megawatts (MW) of solar generation in 2020. </w:t>
      </w:r>
    </w:p>
    <w:p w:rsidR="00943D2A" w:rsidRPr="00943D2A" w:rsidRDefault="00943D2A" w:rsidP="001F746F">
      <w:pPr>
        <w:jc w:val="both"/>
      </w:pPr>
    </w:p>
    <w:p w:rsidR="00943D2A" w:rsidRPr="00943D2A" w:rsidRDefault="00943D2A" w:rsidP="001F746F">
      <w:pPr>
        <w:jc w:val="both"/>
      </w:pPr>
      <w:r w:rsidRPr="00943D2A">
        <w:tab/>
        <w:t>TECO’s first solar rate base adjustment (</w:t>
      </w:r>
      <w:proofErr w:type="spellStart"/>
      <w:r w:rsidRPr="00943D2A">
        <w:t>SoBRA</w:t>
      </w:r>
      <w:proofErr w:type="spellEnd"/>
      <w:r w:rsidRPr="00943D2A">
        <w:t xml:space="preserve">) was approved by Order No. PSC-2018-0288-FOF-EI, issued June </w:t>
      </w:r>
      <w:r w:rsidR="00C97133">
        <w:t>5, 2018</w:t>
      </w:r>
      <w:r w:rsidR="00AE55DE">
        <w:t xml:space="preserve">. </w:t>
      </w:r>
      <w:r w:rsidR="00C97133">
        <w:t>TECO’s S</w:t>
      </w:r>
      <w:r w:rsidRPr="00943D2A">
        <w:t xml:space="preserve">econd </w:t>
      </w:r>
      <w:proofErr w:type="spellStart"/>
      <w:r w:rsidRPr="00943D2A">
        <w:t>SoBRA</w:t>
      </w:r>
      <w:proofErr w:type="spellEnd"/>
      <w:r w:rsidRPr="00943D2A">
        <w:t xml:space="preserve"> was approved by Order No. PSC-2018-0571-FOF-EI, issued December 7, 2018. </w:t>
      </w:r>
    </w:p>
    <w:p w:rsidR="00943D2A" w:rsidRPr="00943D2A" w:rsidRDefault="00943D2A" w:rsidP="001F746F">
      <w:pPr>
        <w:jc w:val="both"/>
      </w:pPr>
    </w:p>
    <w:p w:rsidR="00943D2A" w:rsidRPr="00943D2A" w:rsidRDefault="00943D2A" w:rsidP="001F746F">
      <w:pPr>
        <w:jc w:val="both"/>
      </w:pPr>
      <w:r w:rsidRPr="00943D2A">
        <w:tab/>
        <w:t>On June 28, 2019, TECO filed a petition for a limited proceeding seeking approval for its third solar base rate adjustment</w:t>
      </w:r>
      <w:r w:rsidR="00EB58AC">
        <w:t xml:space="preserve"> (Third </w:t>
      </w:r>
      <w:proofErr w:type="spellStart"/>
      <w:r w:rsidR="00EB58AC">
        <w:t>SoBRA</w:t>
      </w:r>
      <w:proofErr w:type="spellEnd"/>
      <w:r w:rsidR="00EB58AC">
        <w:t>)</w:t>
      </w:r>
      <w:r w:rsidRPr="00943D2A">
        <w:t>. In its petition, TECO seeks cost recovery approval for the Wimauma Solar Project</w:t>
      </w:r>
      <w:r w:rsidR="007F38A4">
        <w:t xml:space="preserve"> (Wimauma)</w:t>
      </w:r>
      <w:r w:rsidRPr="00943D2A">
        <w:t xml:space="preserve"> and the Little Manatee River</w:t>
      </w:r>
      <w:r w:rsidR="007F38A4">
        <w:t xml:space="preserve"> </w:t>
      </w:r>
      <w:r w:rsidRPr="00943D2A">
        <w:t xml:space="preserve">Solar Project </w:t>
      </w:r>
      <w:r w:rsidR="006D60B5">
        <w:t>(LMR)</w:t>
      </w:r>
      <w:r w:rsidR="006D60B5" w:rsidRPr="00943D2A">
        <w:t xml:space="preserve"> </w:t>
      </w:r>
      <w:r w:rsidRPr="00943D2A">
        <w:t>pursuant to paragraph 6 of the 2017 Settlement. TECO state</w:t>
      </w:r>
      <w:r w:rsidR="000575CC">
        <w:t>d</w:t>
      </w:r>
      <w:r w:rsidRPr="00943D2A">
        <w:t xml:space="preserve"> that both projects are expected to go into service on or before January 1, 2020. The Office of Public Counsel (OPC) and the Florida Industrial Power Users Group (FIPUG) have intervened in th</w:t>
      </w:r>
      <w:r w:rsidR="00A72B68">
        <w:t>is</w:t>
      </w:r>
      <w:r w:rsidRPr="00943D2A">
        <w:t xml:space="preserve"> matter. On October 2, 2019, TECO filed proposed stipulations in this docket</w:t>
      </w:r>
      <w:r w:rsidR="00AE55DE" w:rsidRPr="00943D2A">
        <w:t xml:space="preserve">. </w:t>
      </w:r>
      <w:r w:rsidRPr="00943D2A">
        <w:t xml:space="preserve">The </w:t>
      </w:r>
      <w:r w:rsidR="00BA65F8">
        <w:t>proposed stipulations</w:t>
      </w:r>
      <w:r w:rsidRPr="00943D2A">
        <w:t xml:space="preserve"> assert</w:t>
      </w:r>
      <w:r w:rsidR="000575CC">
        <w:t>ed</w:t>
      </w:r>
      <w:r w:rsidRPr="00943D2A">
        <w:t xml:space="preserve"> that TECO and OPC reached proposed stipulations on </w:t>
      </w:r>
      <w:r w:rsidR="00A72B68">
        <w:t>a</w:t>
      </w:r>
      <w:r w:rsidRPr="00943D2A">
        <w:t xml:space="preserve"> basic position and all issues in this docket, and that FIPUG t</w:t>
      </w:r>
      <w:r w:rsidR="000575CC">
        <w:t>ook</w:t>
      </w:r>
      <w:r w:rsidRPr="00943D2A">
        <w:t xml:space="preserve"> no position on th</w:t>
      </w:r>
      <w:r w:rsidR="000575CC">
        <w:t>e proposed</w:t>
      </w:r>
      <w:r w:rsidRPr="00943D2A">
        <w:t xml:space="preserve"> stipulations. TECO filed a minor revision to the proposed stipulations on October 8, 2019</w:t>
      </w:r>
      <w:r w:rsidR="001F746F">
        <w:t xml:space="preserve"> (Revised Stipulations)</w:t>
      </w:r>
      <w:r w:rsidRPr="00943D2A">
        <w:t>, which was agreed to by OPC and upon which FIPUG t</w:t>
      </w:r>
      <w:r w:rsidR="000575CC">
        <w:t>ook</w:t>
      </w:r>
      <w:r w:rsidRPr="00943D2A">
        <w:t xml:space="preserve"> no position.</w:t>
      </w:r>
      <w:r w:rsidR="001F746F">
        <w:t xml:space="preserve"> A copy of the Revised Stipulation</w:t>
      </w:r>
      <w:r w:rsidR="005F50C8">
        <w:t>s</w:t>
      </w:r>
      <w:r w:rsidR="001F746F">
        <w:t xml:space="preserve"> is attached to this Order as Attachment A.</w:t>
      </w:r>
    </w:p>
    <w:p w:rsidR="00943D2A" w:rsidRPr="00943D2A" w:rsidRDefault="00943D2A" w:rsidP="001F746F">
      <w:pPr>
        <w:jc w:val="both"/>
      </w:pPr>
    </w:p>
    <w:p w:rsidR="001F746F" w:rsidRDefault="001F746F" w:rsidP="001F746F">
      <w:pPr>
        <w:ind w:firstLine="720"/>
        <w:jc w:val="both"/>
      </w:pPr>
      <w:r w:rsidRPr="002F33C2">
        <w:t xml:space="preserve">We held a hearing on </w:t>
      </w:r>
      <w:r w:rsidRPr="00943D2A">
        <w:t>October 17, 2019</w:t>
      </w:r>
      <w:r w:rsidR="00A72B68">
        <w:t>,</w:t>
      </w:r>
      <w:r>
        <w:t xml:space="preserve"> </w:t>
      </w:r>
      <w:r w:rsidR="00BA65F8">
        <w:t>to consider approval</w:t>
      </w:r>
      <w:r>
        <w:t xml:space="preserve"> of the Revised Stipulations</w:t>
      </w:r>
      <w:r w:rsidRPr="002F33C2">
        <w:t>.</w:t>
      </w:r>
      <w:r>
        <w:t xml:space="preserve"> </w:t>
      </w:r>
      <w:r w:rsidR="00A72B68">
        <w:t xml:space="preserve">FIPUG requested and was granted excusal from the hearing. </w:t>
      </w:r>
      <w:proofErr w:type="spellStart"/>
      <w:r w:rsidR="00A72B68">
        <w:t>Prefiled</w:t>
      </w:r>
      <w:proofErr w:type="spellEnd"/>
      <w:r w:rsidR="00A72B68">
        <w:t xml:space="preserve"> testimony and exhibits, as well as discovery responses, were admitted into the record at hearing. </w:t>
      </w:r>
      <w:r>
        <w:t xml:space="preserve">We have </w:t>
      </w:r>
      <w:r w:rsidRPr="005F589B">
        <w:t xml:space="preserve">jurisdiction over the subject matter </w:t>
      </w:r>
      <w:r>
        <w:t xml:space="preserve">under </w:t>
      </w:r>
      <w:r w:rsidRPr="005F589B">
        <w:t xml:space="preserve">the provisions of Chapter 366, Florida Statutes (F.S.).  </w:t>
      </w:r>
    </w:p>
    <w:p w:rsidR="00943D2A" w:rsidRPr="00943D2A" w:rsidRDefault="00943D2A" w:rsidP="00943D2A"/>
    <w:p w:rsidR="00943D2A" w:rsidRDefault="00943D2A" w:rsidP="00161C27"/>
    <w:p w:rsidR="00161C27" w:rsidRPr="00161C27" w:rsidRDefault="00161C27" w:rsidP="00161C27">
      <w:pPr>
        <w:pStyle w:val="ListParagraph"/>
        <w:numPr>
          <w:ilvl w:val="0"/>
          <w:numId w:val="1"/>
        </w:numPr>
        <w:rPr>
          <w:b/>
        </w:rPr>
      </w:pPr>
      <w:r w:rsidRPr="00161C27">
        <w:rPr>
          <w:b/>
        </w:rPr>
        <w:t>Decision</w:t>
      </w:r>
    </w:p>
    <w:p w:rsidR="00943D2A" w:rsidRDefault="00943D2A" w:rsidP="00943D2A"/>
    <w:p w:rsidR="00161C27" w:rsidRDefault="00161C27" w:rsidP="00161C27">
      <w:pPr>
        <w:pStyle w:val="ListParagraph"/>
        <w:numPr>
          <w:ilvl w:val="0"/>
          <w:numId w:val="2"/>
        </w:numPr>
        <w:rPr>
          <w:b/>
        </w:rPr>
      </w:pPr>
      <w:r w:rsidRPr="00161C27">
        <w:rPr>
          <w:b/>
        </w:rPr>
        <w:t xml:space="preserve">The </w:t>
      </w:r>
      <w:r w:rsidR="001F746F">
        <w:rPr>
          <w:b/>
        </w:rPr>
        <w:t xml:space="preserve">Revised </w:t>
      </w:r>
      <w:r w:rsidRPr="00161C27">
        <w:rPr>
          <w:b/>
        </w:rPr>
        <w:t>Stipulations</w:t>
      </w:r>
    </w:p>
    <w:p w:rsidR="00161C27" w:rsidRDefault="00161C27" w:rsidP="00161C27">
      <w:pPr>
        <w:pStyle w:val="ListParagraph"/>
        <w:ind w:left="1080"/>
        <w:rPr>
          <w:b/>
        </w:rPr>
      </w:pPr>
    </w:p>
    <w:p w:rsidR="00161C27" w:rsidRDefault="004852F1" w:rsidP="00CD4EBE">
      <w:pPr>
        <w:ind w:firstLine="720"/>
        <w:jc w:val="both"/>
      </w:pPr>
      <w:r>
        <w:t xml:space="preserve">The </w:t>
      </w:r>
      <w:r w:rsidR="001F746F">
        <w:t>Revised Stipulations</w:t>
      </w:r>
      <w:r>
        <w:t xml:space="preserve"> in Attachment A provide that</w:t>
      </w:r>
      <w:r w:rsidR="00F93234">
        <w:t xml:space="preserve"> the</w:t>
      </w:r>
      <w:r>
        <w:t xml:space="preserve"> </w:t>
      </w:r>
      <w:r w:rsidR="004F2BF9">
        <w:t>two</w:t>
      </w:r>
      <w:r w:rsidRPr="007818B8">
        <w:t xml:space="preserve"> projects in </w:t>
      </w:r>
      <w:r w:rsidR="006D60B5">
        <w:t>TECO’s</w:t>
      </w:r>
      <w:r w:rsidRPr="007818B8">
        <w:t xml:space="preserve"> </w:t>
      </w:r>
      <w:r>
        <w:t>Third</w:t>
      </w:r>
      <w:r w:rsidRPr="007818B8">
        <w:t xml:space="preserve"> </w:t>
      </w:r>
      <w:proofErr w:type="spellStart"/>
      <w:r w:rsidRPr="007818B8">
        <w:t>SoBRA</w:t>
      </w:r>
      <w:proofErr w:type="spellEnd"/>
      <w:r w:rsidRPr="007818B8">
        <w:t xml:space="preserve"> </w:t>
      </w:r>
      <w:r w:rsidR="008454CF">
        <w:t xml:space="preserve">both </w:t>
      </w:r>
      <w:r w:rsidRPr="007818B8">
        <w:t>satisfy the cost-effectiveness test specified in the 2017 Agreement</w:t>
      </w:r>
      <w:r w:rsidR="00CD4EBE">
        <w:t xml:space="preserve">. Further, </w:t>
      </w:r>
      <w:r w:rsidR="006D60B5">
        <w:t>t</w:t>
      </w:r>
      <w:r w:rsidR="00CD4EBE" w:rsidRPr="00CD4EBE">
        <w:t xml:space="preserve">he Revised Stipulations state that the projected installed cost of Wimauma and LMR is $1,479 and </w:t>
      </w:r>
      <w:r w:rsidR="00CD4EBE">
        <w:t xml:space="preserve">$1,410 per </w:t>
      </w:r>
      <w:proofErr w:type="spellStart"/>
      <w:r w:rsidR="00CD4EBE">
        <w:t>kW</w:t>
      </w:r>
      <w:r w:rsidR="00CD4EBE" w:rsidRPr="00AE55DE">
        <w:rPr>
          <w:vertAlign w:val="subscript"/>
        </w:rPr>
        <w:t>ac</w:t>
      </w:r>
      <w:proofErr w:type="spellEnd"/>
      <w:r w:rsidR="00CD4EBE">
        <w:t>, respectively. These</w:t>
      </w:r>
      <w:r w:rsidR="008454CF">
        <w:t xml:space="preserve"> projected installed cost</w:t>
      </w:r>
      <w:r w:rsidR="00CD4EBE">
        <w:t>s</w:t>
      </w:r>
      <w:r w:rsidR="008454CF">
        <w:t xml:space="preserve"> </w:t>
      </w:r>
      <w:r w:rsidR="00CD4EBE">
        <w:t>are</w:t>
      </w:r>
      <w:r w:rsidR="008454CF">
        <w:t xml:space="preserve"> under the $1,500 per </w:t>
      </w:r>
      <w:proofErr w:type="spellStart"/>
      <w:r w:rsidR="008454CF">
        <w:t>kW</w:t>
      </w:r>
      <w:r w:rsidR="008454CF" w:rsidRPr="00EB58AC">
        <w:rPr>
          <w:vertAlign w:val="subscript"/>
        </w:rPr>
        <w:t>ac</w:t>
      </w:r>
      <w:proofErr w:type="spellEnd"/>
      <w:r w:rsidR="008454CF">
        <w:t xml:space="preserve"> installed cost cap established in </w:t>
      </w:r>
      <w:r w:rsidR="00CD4EBE">
        <w:t xml:space="preserve">subparagraph 6(d) of the </w:t>
      </w:r>
      <w:r w:rsidR="008454CF">
        <w:t>2017 Agreement.</w:t>
      </w:r>
      <w:r w:rsidR="00CD4EBE" w:rsidRPr="007818B8">
        <w:t xml:space="preserve"> </w:t>
      </w:r>
      <w:r w:rsidRPr="007818B8">
        <w:t xml:space="preserve">The </w:t>
      </w:r>
      <w:r w:rsidR="008454CF">
        <w:t xml:space="preserve">Revised </w:t>
      </w:r>
      <w:r w:rsidR="008454CF">
        <w:lastRenderedPageBreak/>
        <w:t xml:space="preserve">Stipulations </w:t>
      </w:r>
      <w:r w:rsidR="0051544D">
        <w:t>propose</w:t>
      </w:r>
      <w:r w:rsidR="00F70B42">
        <w:t xml:space="preserve"> that we</w:t>
      </w:r>
      <w:r w:rsidR="008454CF">
        <w:t xml:space="preserve"> approve the annual revenue requirement of $26,596,000 for the two projects comprising </w:t>
      </w:r>
      <w:r w:rsidR="00EB58AC">
        <w:t>the</w:t>
      </w:r>
      <w:r w:rsidR="008454CF">
        <w:t xml:space="preserve"> </w:t>
      </w:r>
      <w:r w:rsidR="00EB58AC">
        <w:t>Third</w:t>
      </w:r>
      <w:r w:rsidR="008454CF">
        <w:t xml:space="preserve"> </w:t>
      </w:r>
      <w:proofErr w:type="spellStart"/>
      <w:r w:rsidR="008454CF">
        <w:t>SoBRA</w:t>
      </w:r>
      <w:proofErr w:type="spellEnd"/>
      <w:r w:rsidR="008454CF">
        <w:t>, as well as the proposed base rate increases needed to collect the estimated annual revenue requirement fo</w:t>
      </w:r>
      <w:r w:rsidR="00EB58AC">
        <w:t xml:space="preserve">r the two projects </w:t>
      </w:r>
      <w:r w:rsidR="0051544D">
        <w:t xml:space="preserve">(see </w:t>
      </w:r>
      <w:r w:rsidR="0051544D" w:rsidRPr="004E3808">
        <w:t>Attachment B</w:t>
      </w:r>
      <w:r w:rsidR="00793962">
        <w:t xml:space="preserve"> to this order</w:t>
      </w:r>
      <w:r w:rsidR="0051544D" w:rsidRPr="004E3808">
        <w:t>)</w:t>
      </w:r>
      <w:r w:rsidR="008454CF">
        <w:t>.</w:t>
      </w:r>
      <w:r w:rsidR="00CD4EBE">
        <w:t xml:space="preserve"> </w:t>
      </w:r>
      <w:r>
        <w:t xml:space="preserve">The </w:t>
      </w:r>
      <w:r w:rsidR="00F71D96">
        <w:t>Revised Stipulations</w:t>
      </w:r>
      <w:r>
        <w:t xml:space="preserve"> also provide that </w:t>
      </w:r>
      <w:r w:rsidRPr="00582854">
        <w:rPr>
          <w:rFonts w:eastAsia="Arial"/>
          <w:color w:val="000000"/>
          <w:szCs w:val="22"/>
        </w:rPr>
        <w:t xml:space="preserve">the parties </w:t>
      </w:r>
      <w:r>
        <w:rPr>
          <w:rFonts w:eastAsia="Arial"/>
          <w:color w:val="000000"/>
          <w:szCs w:val="22"/>
        </w:rPr>
        <w:t xml:space="preserve">or the </w:t>
      </w:r>
      <w:r w:rsidRPr="00582854">
        <w:rPr>
          <w:rFonts w:eastAsia="Arial"/>
          <w:color w:val="000000"/>
          <w:szCs w:val="22"/>
        </w:rPr>
        <w:t xml:space="preserve">Commission may take appropriate action if at least 550 MW </w:t>
      </w:r>
      <w:r>
        <w:rPr>
          <w:rFonts w:eastAsia="Arial"/>
          <w:color w:val="000000"/>
          <w:szCs w:val="22"/>
        </w:rPr>
        <w:t xml:space="preserve">of solar generation </w:t>
      </w:r>
      <w:r w:rsidRPr="00582854">
        <w:rPr>
          <w:rFonts w:eastAsia="Arial"/>
          <w:color w:val="000000"/>
          <w:szCs w:val="22"/>
        </w:rPr>
        <w:t>is not built out</w:t>
      </w:r>
      <w:r w:rsidR="00793962">
        <w:rPr>
          <w:rFonts w:eastAsia="Arial"/>
          <w:color w:val="000000"/>
          <w:szCs w:val="22"/>
        </w:rPr>
        <w:t>,</w:t>
      </w:r>
      <w:r>
        <w:rPr>
          <w:rFonts w:eastAsia="Arial"/>
          <w:color w:val="000000"/>
          <w:szCs w:val="22"/>
        </w:rPr>
        <w:t xml:space="preserve"> and that </w:t>
      </w:r>
      <w:r>
        <w:t xml:space="preserve">the </w:t>
      </w:r>
      <w:r w:rsidR="00F71D96">
        <w:t xml:space="preserve">proposed </w:t>
      </w:r>
      <w:r>
        <w:t>stipulations have no precedential value beyond this case and the 2017 Agreement.</w:t>
      </w:r>
    </w:p>
    <w:p w:rsidR="007F38A4" w:rsidRDefault="007F38A4" w:rsidP="004852F1">
      <w:pPr>
        <w:ind w:firstLine="720"/>
        <w:jc w:val="both"/>
      </w:pPr>
    </w:p>
    <w:p w:rsidR="007F38A4" w:rsidRPr="004852F1" w:rsidRDefault="00793962" w:rsidP="004852F1">
      <w:pPr>
        <w:ind w:firstLine="720"/>
        <w:jc w:val="both"/>
      </w:pPr>
      <w:r>
        <w:t xml:space="preserve">At the hearing, </w:t>
      </w:r>
      <w:r w:rsidR="007F38A4">
        <w:t xml:space="preserve">TECO </w:t>
      </w:r>
      <w:r>
        <w:t xml:space="preserve">discussed </w:t>
      </w:r>
      <w:r w:rsidR="007F38A4">
        <w:t>the impact of a recently-announced state income tax reduction that is retroactive to January 1, 2019</w:t>
      </w:r>
      <w:r w:rsidR="00CD4EBE">
        <w:t>,</w:t>
      </w:r>
      <w:r w:rsidR="007F38A4">
        <w:t xml:space="preserve"> and the potential impact of that reduction on this matter.</w:t>
      </w:r>
      <w:r>
        <w:t xml:space="preserve"> </w:t>
      </w:r>
      <w:r w:rsidR="007F38A4">
        <w:t>TECO concede</w:t>
      </w:r>
      <w:r w:rsidR="00CD4EBE">
        <w:t>s</w:t>
      </w:r>
      <w:r w:rsidR="007F38A4">
        <w:t xml:space="preserve"> that this </w:t>
      </w:r>
      <w:r w:rsidR="00F71D96">
        <w:t xml:space="preserve">tax </w:t>
      </w:r>
      <w:r w:rsidR="007F38A4">
        <w:t xml:space="preserve">reduction would fall within the scope of Paragraph 9 of the 2017 Agreement, which requires that any </w:t>
      </w:r>
      <w:proofErr w:type="spellStart"/>
      <w:r w:rsidR="007F38A4">
        <w:t>SoBRA</w:t>
      </w:r>
      <w:proofErr w:type="spellEnd"/>
      <w:r w:rsidR="007F38A4">
        <w:t xml:space="preserve"> not yet implemented (such as the Third </w:t>
      </w:r>
      <w:proofErr w:type="spellStart"/>
      <w:r w:rsidR="007F38A4">
        <w:t>SoBRA</w:t>
      </w:r>
      <w:proofErr w:type="spellEnd"/>
      <w:r w:rsidR="007F38A4">
        <w:t xml:space="preserve"> under consideration here) </w:t>
      </w:r>
      <w:r w:rsidR="00F247D0">
        <w:t xml:space="preserve">take into </w:t>
      </w:r>
      <w:r w:rsidR="007F38A4">
        <w:t xml:space="preserve">account any state income tax change. TECO explained that the proposed stipulations in this case were entered into prior to the parties having knowledge of the state income tax reduction. Thus, instead of </w:t>
      </w:r>
      <w:r w:rsidR="00B754CB">
        <w:t xml:space="preserve">further </w:t>
      </w:r>
      <w:r w:rsidR="007F38A4">
        <w:t xml:space="preserve">revising the </w:t>
      </w:r>
      <w:r w:rsidR="00B754CB">
        <w:t>Revised Stipulations</w:t>
      </w:r>
      <w:r w:rsidR="00CD4EBE">
        <w:t>,</w:t>
      </w:r>
      <w:r w:rsidR="007F38A4">
        <w:t xml:space="preserve"> TECO intends to file a </w:t>
      </w:r>
      <w:r w:rsidR="00BF01E8">
        <w:t xml:space="preserve">future </w:t>
      </w:r>
      <w:r w:rsidR="007F38A4">
        <w:t>petition</w:t>
      </w:r>
      <w:r w:rsidR="00BF01E8">
        <w:t xml:space="preserve"> </w:t>
      </w:r>
      <w:r w:rsidR="007F38A4">
        <w:t>to fulfill its obligations to address the revised state income tax rate. TECO stated that its target ef</w:t>
      </w:r>
      <w:r w:rsidR="009E6BAC">
        <w:t>fective date for such a p</w:t>
      </w:r>
      <w:r w:rsidR="007F38A4">
        <w:t xml:space="preserve">etition would be January 1, 2020, which would be the same effective date as the Third </w:t>
      </w:r>
      <w:proofErr w:type="spellStart"/>
      <w:r w:rsidR="007F38A4">
        <w:t>SoBRA</w:t>
      </w:r>
      <w:proofErr w:type="spellEnd"/>
      <w:r w:rsidR="007F38A4">
        <w:t xml:space="preserve"> under consideration here. TECO further explained that it intends to work with the c</w:t>
      </w:r>
      <w:r w:rsidR="00CC5C78">
        <w:t>onsumer parties and Commission S</w:t>
      </w:r>
      <w:r w:rsidR="007F38A4">
        <w:t>taff to pursue th</w:t>
      </w:r>
      <w:r w:rsidR="00F71D96">
        <w:t>e</w:t>
      </w:r>
      <w:r w:rsidR="007F38A4">
        <w:t xml:space="preserve"> </w:t>
      </w:r>
      <w:r w:rsidR="009E6BAC">
        <w:t>p</w:t>
      </w:r>
      <w:r w:rsidR="007F38A4">
        <w:t>etition with “efficiency and dispatch.”</w:t>
      </w:r>
    </w:p>
    <w:p w:rsidR="00161C27" w:rsidRDefault="00161C27" w:rsidP="00161C27">
      <w:pPr>
        <w:pStyle w:val="ListParagraph"/>
        <w:ind w:left="1080"/>
        <w:rPr>
          <w:b/>
        </w:rPr>
      </w:pPr>
    </w:p>
    <w:p w:rsidR="00161C27" w:rsidRDefault="00161C27" w:rsidP="00161C27">
      <w:pPr>
        <w:pStyle w:val="ListParagraph"/>
        <w:numPr>
          <w:ilvl w:val="0"/>
          <w:numId w:val="2"/>
        </w:numPr>
        <w:rPr>
          <w:b/>
        </w:rPr>
      </w:pPr>
      <w:r>
        <w:rPr>
          <w:b/>
        </w:rPr>
        <w:t>Approval of the Proposed Stipulations</w:t>
      </w:r>
    </w:p>
    <w:p w:rsidR="00161C27" w:rsidRDefault="00161C27" w:rsidP="00161C27">
      <w:pPr>
        <w:rPr>
          <w:b/>
        </w:rPr>
      </w:pPr>
    </w:p>
    <w:p w:rsidR="00161C27" w:rsidRDefault="00161C27" w:rsidP="00161C27">
      <w:pPr>
        <w:pStyle w:val="OrderBody"/>
        <w:ind w:firstLine="720"/>
      </w:pPr>
      <w:r w:rsidRPr="007A2BD0">
        <w:t>The standard for approval of a settlement agreement is whether it is in the public interest.</w:t>
      </w:r>
      <w:r w:rsidRPr="007A2BD0">
        <w:rPr>
          <w:vertAlign w:val="superscript"/>
        </w:rPr>
        <w:footnoteReference w:id="1"/>
      </w:r>
      <w:r>
        <w:t xml:space="preserve"> </w:t>
      </w:r>
      <w:r w:rsidRPr="007A2BD0">
        <w:t>A determination of public interest requires a case-specific analysis based on consideration of the proposed settlement taken as a whole.</w:t>
      </w:r>
      <w:r w:rsidRPr="007A2BD0">
        <w:rPr>
          <w:vertAlign w:val="superscript"/>
        </w:rPr>
        <w:footnoteReference w:id="2"/>
      </w:r>
    </w:p>
    <w:p w:rsidR="00161C27" w:rsidRDefault="00161C27" w:rsidP="00161C27">
      <w:pPr>
        <w:pStyle w:val="OrderBody"/>
        <w:ind w:firstLine="720"/>
      </w:pPr>
    </w:p>
    <w:p w:rsidR="00161C27" w:rsidRDefault="00161C27" w:rsidP="008C775E">
      <w:pPr>
        <w:ind w:firstLine="720"/>
        <w:jc w:val="both"/>
      </w:pPr>
      <w:r w:rsidRPr="00AC5C94">
        <w:t xml:space="preserve">Section 120.57(4), F.S., permits </w:t>
      </w:r>
      <w:r>
        <w:t>us</w:t>
      </w:r>
      <w:r w:rsidRPr="00AC5C94">
        <w:t xml:space="preserve"> to informally dispose of any proceeding by stipulation, agreed settlement, or consent order. Section 120.57(2), F.S., permits </w:t>
      </w:r>
      <w:r w:rsidR="00E54039">
        <w:t>us</w:t>
      </w:r>
      <w:r w:rsidRPr="00AC5C94">
        <w:t xml:space="preserve"> to proceed with hearings not involving disputed issues of material fact. </w:t>
      </w:r>
      <w:r>
        <w:t xml:space="preserve">We heard </w:t>
      </w:r>
      <w:r w:rsidRPr="00AC5C94">
        <w:t>o</w:t>
      </w:r>
      <w:r w:rsidR="000575CC">
        <w:t xml:space="preserve">pening statements </w:t>
      </w:r>
      <w:r>
        <w:t>from</w:t>
      </w:r>
      <w:r w:rsidR="001A4634">
        <w:t xml:space="preserve"> TECO and OPC regarding </w:t>
      </w:r>
      <w:r>
        <w:t xml:space="preserve">the </w:t>
      </w:r>
      <w:r w:rsidR="000575CC">
        <w:t>Revised Stipulations</w:t>
      </w:r>
      <w:r>
        <w:t xml:space="preserve">. </w:t>
      </w:r>
      <w:r w:rsidR="00BF01E8">
        <w:t xml:space="preserve">In its opening statement, TECO stated that the Revised Stipulations are supported by the evidence in the record, the projected installed costs for Wimauma and LMR are cost effective, and the rate design provided in the Revised </w:t>
      </w:r>
      <w:r w:rsidR="00BF01E8">
        <w:lastRenderedPageBreak/>
        <w:t xml:space="preserve">Stipulations meets the requirements of the 2017 Agreement. TECO also reiterated its intent to work with the </w:t>
      </w:r>
      <w:r w:rsidR="006A39FC">
        <w:t>intervenors</w:t>
      </w:r>
      <w:r w:rsidR="00BF01E8">
        <w:t xml:space="preserve"> and Commission </w:t>
      </w:r>
      <w:r w:rsidR="009E6BAC">
        <w:t>s</w:t>
      </w:r>
      <w:r w:rsidR="00BF01E8">
        <w:t>taff to pursue</w:t>
      </w:r>
      <w:r w:rsidR="006A39FC">
        <w:t xml:space="preserve"> filing a petition concerning the revision of state income taxes</w:t>
      </w:r>
      <w:r w:rsidR="00BF01E8">
        <w:t xml:space="preserve">. </w:t>
      </w:r>
      <w:r w:rsidR="0090456D">
        <w:t xml:space="preserve">In its opening statement, </w:t>
      </w:r>
      <w:r>
        <w:t xml:space="preserve">OPC </w:t>
      </w:r>
      <w:r w:rsidR="0090456D">
        <w:t>expressed its</w:t>
      </w:r>
      <w:r>
        <w:t xml:space="preserve"> support of the </w:t>
      </w:r>
      <w:r w:rsidR="00BF01E8">
        <w:t>Revised Stipulations</w:t>
      </w:r>
      <w:r w:rsidR="008C775E">
        <w:t xml:space="preserve"> and </w:t>
      </w:r>
      <w:r w:rsidR="000308D9">
        <w:t xml:space="preserve">concurred in </w:t>
      </w:r>
      <w:r w:rsidR="008C775E">
        <w:t xml:space="preserve">TECO’s proposed handling of the state </w:t>
      </w:r>
      <w:r w:rsidR="000308D9">
        <w:t xml:space="preserve">income </w:t>
      </w:r>
      <w:r w:rsidR="008C775E">
        <w:t>tax reduction. OPC also</w:t>
      </w:r>
      <w:r>
        <w:t xml:space="preserve"> agreed the </w:t>
      </w:r>
      <w:r w:rsidR="00B754CB">
        <w:t>Revised Stipulations</w:t>
      </w:r>
      <w:r>
        <w:t xml:space="preserve"> were in the public interest. Following some questioning and discussion, we approved the </w:t>
      </w:r>
      <w:r w:rsidR="005F50C8">
        <w:t>Revised S</w:t>
      </w:r>
      <w:r>
        <w:t xml:space="preserve">tipulations in Attachment A as being in the public interest, resolving all matters within this docket. </w:t>
      </w:r>
    </w:p>
    <w:p w:rsidR="00161C27" w:rsidRDefault="00161C27" w:rsidP="00161C27">
      <w:pPr>
        <w:ind w:firstLine="720"/>
        <w:jc w:val="both"/>
      </w:pPr>
    </w:p>
    <w:p w:rsidR="00161C27" w:rsidRPr="00161C27" w:rsidRDefault="00161C27" w:rsidP="00161C27">
      <w:pPr>
        <w:ind w:firstLine="720"/>
        <w:jc w:val="both"/>
      </w:pPr>
      <w:r>
        <w:t xml:space="preserve">Having approved TECO’s petition for cost recovery for the </w:t>
      </w:r>
      <w:r w:rsidR="00F93234">
        <w:t>two</w:t>
      </w:r>
      <w:r>
        <w:t xml:space="preserve"> projects in </w:t>
      </w:r>
      <w:r w:rsidR="005F50C8">
        <w:t xml:space="preserve">the </w:t>
      </w:r>
      <w:r w:rsidR="00F93234">
        <w:t>Third</w:t>
      </w:r>
      <w:r>
        <w:t xml:space="preserve"> </w:t>
      </w:r>
      <w:proofErr w:type="spellStart"/>
      <w:r>
        <w:t>SoBRA</w:t>
      </w:r>
      <w:proofErr w:type="spellEnd"/>
      <w:r>
        <w:t>, we also approve the attach</w:t>
      </w:r>
      <w:r w:rsidR="005F50C8">
        <w:t>ed tariff sheets (Attachment B). These sheets</w:t>
      </w:r>
      <w:r>
        <w:t xml:space="preserve"> reflect the base rate adjustments necessary to recover the revenue requirement associated with the</w:t>
      </w:r>
      <w:r w:rsidR="005F50C8">
        <w:t xml:space="preserve"> Third</w:t>
      </w:r>
      <w:r>
        <w:t xml:space="preserve"> </w:t>
      </w:r>
      <w:proofErr w:type="spellStart"/>
      <w:r>
        <w:t>SoBRA</w:t>
      </w:r>
      <w:proofErr w:type="spellEnd"/>
      <w:r>
        <w:t xml:space="preserve"> projects</w:t>
      </w:r>
      <w:r w:rsidR="00EF6975">
        <w:t>,</w:t>
      </w:r>
      <w:r>
        <w:t xml:space="preserve"> which </w:t>
      </w:r>
      <w:r w:rsidRPr="00103DE0">
        <w:t xml:space="preserve">result in rates that are fair, just and reasonable. </w:t>
      </w:r>
      <w:r>
        <w:t xml:space="preserve">These tariff revisions are approved with a January 1, 2020, effective date.  </w:t>
      </w:r>
    </w:p>
    <w:p w:rsidR="00161C27" w:rsidRPr="00943D2A" w:rsidRDefault="00161C27" w:rsidP="00943D2A"/>
    <w:p w:rsidR="00B3052E" w:rsidRPr="00692EBC" w:rsidRDefault="00943D2A" w:rsidP="00943D2A">
      <w:r w:rsidRPr="00943D2A">
        <w:rPr>
          <w:color w:val="FF0000"/>
        </w:rPr>
        <w:t> </w:t>
      </w:r>
      <w:r w:rsidR="00B3052E" w:rsidRPr="00692EBC">
        <w:tab/>
        <w:t>Based on the foregoing, it is</w:t>
      </w:r>
    </w:p>
    <w:p w:rsidR="00B3052E" w:rsidRPr="00692EBC" w:rsidRDefault="00B3052E" w:rsidP="00B3052E"/>
    <w:p w:rsidR="000575CC" w:rsidRDefault="00B3052E" w:rsidP="000575CC">
      <w:pPr>
        <w:jc w:val="both"/>
      </w:pPr>
      <w:r w:rsidRPr="00692EBC">
        <w:tab/>
      </w:r>
      <w:r w:rsidR="000575CC" w:rsidRPr="00692EBC">
        <w:t xml:space="preserve">ORDERED by the Florida Public Service Commission that </w:t>
      </w:r>
      <w:r w:rsidR="000575CC">
        <w:t xml:space="preserve">the </w:t>
      </w:r>
      <w:r w:rsidR="00EB58AC">
        <w:t>Revised S</w:t>
      </w:r>
      <w:r w:rsidR="000575CC">
        <w:t xml:space="preserve">tipulations in Attachment </w:t>
      </w:r>
      <w:proofErr w:type="gramStart"/>
      <w:r w:rsidR="000575CC">
        <w:t>A,</w:t>
      </w:r>
      <w:proofErr w:type="gramEnd"/>
      <w:r w:rsidR="000575CC">
        <w:t xml:space="preserve"> are hereby approved. It is further</w:t>
      </w:r>
    </w:p>
    <w:p w:rsidR="000575CC" w:rsidRDefault="000575CC" w:rsidP="000575CC">
      <w:pPr>
        <w:jc w:val="both"/>
      </w:pPr>
    </w:p>
    <w:p w:rsidR="000575CC" w:rsidRDefault="000575CC" w:rsidP="000575CC">
      <w:pPr>
        <w:jc w:val="both"/>
      </w:pPr>
      <w:r>
        <w:tab/>
      </w:r>
      <w:proofErr w:type="gramStart"/>
      <w:r>
        <w:t xml:space="preserve">ORDERED that the tariff revisions in </w:t>
      </w:r>
      <w:bookmarkStart w:id="5" w:name="_GoBack"/>
      <w:r>
        <w:t>Attachment B are approved effective January 1, 20</w:t>
      </w:r>
      <w:r w:rsidR="00365F56">
        <w:t>20</w:t>
      </w:r>
      <w:r>
        <w:t>.</w:t>
      </w:r>
      <w:proofErr w:type="gramEnd"/>
      <w:r>
        <w:t xml:space="preserve"> It is further</w:t>
      </w:r>
    </w:p>
    <w:p w:rsidR="000575CC" w:rsidRDefault="000575CC" w:rsidP="000575CC"/>
    <w:bookmarkEnd w:id="5"/>
    <w:p w:rsidR="00B3052E" w:rsidRDefault="000575CC" w:rsidP="000575CC">
      <w:r>
        <w:tab/>
      </w:r>
      <w:proofErr w:type="gramStart"/>
      <w:r>
        <w:t>ORDERED that this docket shall be closed.</w:t>
      </w:r>
      <w:proofErr w:type="gramEnd"/>
    </w:p>
    <w:p w:rsidR="00B3052E" w:rsidRDefault="00B3052E" w:rsidP="00B3052E"/>
    <w:p w:rsidR="00B3052E" w:rsidRDefault="00B3052E" w:rsidP="00B3052E">
      <w:pPr>
        <w:pStyle w:val="OrderBody"/>
        <w:keepNext/>
        <w:keepLines/>
      </w:pPr>
      <w:r>
        <w:tab/>
        <w:t xml:space="preserve">By ORDER of the Florida Public Service Commission this </w:t>
      </w:r>
      <w:bookmarkStart w:id="6" w:name="replaceDate"/>
      <w:bookmarkEnd w:id="6"/>
      <w:r w:rsidR="005E7C4B">
        <w:rPr>
          <w:u w:val="single"/>
        </w:rPr>
        <w:t>12th</w:t>
      </w:r>
      <w:r w:rsidR="005E7C4B">
        <w:t xml:space="preserve"> day of </w:t>
      </w:r>
      <w:r w:rsidR="005E7C4B">
        <w:rPr>
          <w:u w:val="single"/>
        </w:rPr>
        <w:t>November</w:t>
      </w:r>
      <w:r w:rsidR="005E7C4B">
        <w:t xml:space="preserve">, </w:t>
      </w:r>
      <w:r w:rsidR="005E7C4B">
        <w:rPr>
          <w:u w:val="single"/>
        </w:rPr>
        <w:t>2019</w:t>
      </w:r>
      <w:r w:rsidR="005E7C4B">
        <w:t>.</w:t>
      </w:r>
    </w:p>
    <w:p w:rsidR="005E7C4B" w:rsidRPr="005E7C4B" w:rsidRDefault="005E7C4B" w:rsidP="00B3052E">
      <w:pPr>
        <w:pStyle w:val="OrderBody"/>
        <w:keepNext/>
        <w:keepLines/>
      </w:pPr>
    </w:p>
    <w:p w:rsidR="00B3052E" w:rsidRDefault="00B3052E" w:rsidP="00B3052E">
      <w:pPr>
        <w:pStyle w:val="OrderBody"/>
        <w:keepNext/>
        <w:keepLines/>
      </w:pPr>
    </w:p>
    <w:p w:rsidR="00B3052E" w:rsidRDefault="00B3052E" w:rsidP="00B3052E">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B3052E" w:rsidTr="00B3052E">
        <w:tc>
          <w:tcPr>
            <w:tcW w:w="720" w:type="dxa"/>
            <w:shd w:val="clear" w:color="auto" w:fill="auto"/>
          </w:tcPr>
          <w:p w:rsidR="00B3052E" w:rsidRDefault="00B3052E" w:rsidP="00B3052E">
            <w:pPr>
              <w:pStyle w:val="OrderBody"/>
              <w:keepNext/>
              <w:keepLines/>
            </w:pPr>
            <w:bookmarkStart w:id="7" w:name="bkmrkSignature" w:colFirst="0" w:colLast="0"/>
          </w:p>
        </w:tc>
        <w:tc>
          <w:tcPr>
            <w:tcW w:w="4320" w:type="dxa"/>
            <w:tcBorders>
              <w:bottom w:val="single" w:sz="4" w:space="0" w:color="auto"/>
            </w:tcBorders>
            <w:shd w:val="clear" w:color="auto" w:fill="auto"/>
          </w:tcPr>
          <w:p w:rsidR="00B3052E" w:rsidRDefault="005E7C4B" w:rsidP="00B3052E">
            <w:pPr>
              <w:pStyle w:val="OrderBody"/>
              <w:keepNext/>
              <w:keepLines/>
            </w:pPr>
            <w:r>
              <w:t>/s/ Adam J. Teitzman</w:t>
            </w:r>
          </w:p>
        </w:tc>
      </w:tr>
      <w:bookmarkEnd w:id="7"/>
      <w:tr w:rsidR="00B3052E" w:rsidTr="00B3052E">
        <w:tc>
          <w:tcPr>
            <w:tcW w:w="720" w:type="dxa"/>
            <w:shd w:val="clear" w:color="auto" w:fill="auto"/>
          </w:tcPr>
          <w:p w:rsidR="00B3052E" w:rsidRDefault="00B3052E" w:rsidP="00B3052E">
            <w:pPr>
              <w:pStyle w:val="OrderBody"/>
              <w:keepNext/>
              <w:keepLines/>
            </w:pPr>
          </w:p>
        </w:tc>
        <w:tc>
          <w:tcPr>
            <w:tcW w:w="4320" w:type="dxa"/>
            <w:tcBorders>
              <w:top w:val="single" w:sz="4" w:space="0" w:color="auto"/>
            </w:tcBorders>
            <w:shd w:val="clear" w:color="auto" w:fill="auto"/>
          </w:tcPr>
          <w:p w:rsidR="00B3052E" w:rsidRDefault="00B3052E" w:rsidP="00B3052E">
            <w:pPr>
              <w:pStyle w:val="OrderBody"/>
              <w:keepNext/>
              <w:keepLines/>
            </w:pPr>
            <w:r>
              <w:t>ADAM J. TEITZMAN</w:t>
            </w:r>
          </w:p>
          <w:p w:rsidR="00B3052E" w:rsidRDefault="00B3052E" w:rsidP="00B3052E">
            <w:pPr>
              <w:pStyle w:val="OrderBody"/>
              <w:keepNext/>
              <w:keepLines/>
            </w:pPr>
            <w:r>
              <w:t>Commission Clerk</w:t>
            </w:r>
          </w:p>
        </w:tc>
      </w:tr>
    </w:tbl>
    <w:p w:rsidR="00B3052E" w:rsidRDefault="00B3052E" w:rsidP="00B3052E">
      <w:pPr>
        <w:pStyle w:val="OrderSigInfo"/>
        <w:keepNext/>
        <w:keepLines/>
      </w:pPr>
      <w:r>
        <w:t>Florida Public Service Commission</w:t>
      </w:r>
    </w:p>
    <w:p w:rsidR="00B3052E" w:rsidRDefault="00B3052E" w:rsidP="00B3052E">
      <w:pPr>
        <w:pStyle w:val="OrderSigInfo"/>
        <w:keepNext/>
        <w:keepLines/>
      </w:pPr>
      <w:r>
        <w:t>2540 Shumard Oak Boulevard</w:t>
      </w:r>
    </w:p>
    <w:p w:rsidR="00B3052E" w:rsidRDefault="00B3052E" w:rsidP="00B3052E">
      <w:pPr>
        <w:pStyle w:val="OrderSigInfo"/>
        <w:keepNext/>
        <w:keepLines/>
      </w:pPr>
      <w:r>
        <w:t>Tallahassee, Florida 32399</w:t>
      </w:r>
    </w:p>
    <w:p w:rsidR="00B3052E" w:rsidRDefault="00B3052E" w:rsidP="00B3052E">
      <w:pPr>
        <w:pStyle w:val="OrderSigInfo"/>
        <w:keepNext/>
        <w:keepLines/>
      </w:pPr>
      <w:r>
        <w:t>(850) 413</w:t>
      </w:r>
      <w:r>
        <w:noBreakHyphen/>
        <w:t>6770</w:t>
      </w:r>
    </w:p>
    <w:p w:rsidR="00B3052E" w:rsidRDefault="00B3052E" w:rsidP="00B3052E">
      <w:pPr>
        <w:pStyle w:val="OrderSigInfo"/>
        <w:keepNext/>
        <w:keepLines/>
      </w:pPr>
      <w:r>
        <w:t>www.floridapsc.com</w:t>
      </w:r>
    </w:p>
    <w:p w:rsidR="00B3052E" w:rsidRDefault="00B3052E" w:rsidP="00B3052E">
      <w:pPr>
        <w:pStyle w:val="OrderSigInfo"/>
        <w:keepNext/>
        <w:keepLines/>
      </w:pPr>
    </w:p>
    <w:p w:rsidR="00B3052E" w:rsidRDefault="00B3052E" w:rsidP="00B3052E">
      <w:pPr>
        <w:pStyle w:val="OrderSigInfo"/>
        <w:keepNext/>
        <w:keepLines/>
      </w:pPr>
      <w:r>
        <w:t>Copies furnished:  A copy of this document is provided to the parties of record at the time of issuance and, if applicable, interested persons.</w:t>
      </w:r>
    </w:p>
    <w:p w:rsidR="00B3052E" w:rsidRDefault="00B3052E" w:rsidP="00B3052E">
      <w:pPr>
        <w:pStyle w:val="OrderBody"/>
        <w:keepNext/>
        <w:keepLines/>
      </w:pPr>
    </w:p>
    <w:p w:rsidR="00B3052E" w:rsidRDefault="00B3052E" w:rsidP="00B3052E">
      <w:pPr>
        <w:pStyle w:val="OrderBody"/>
        <w:keepNext/>
        <w:keepLines/>
      </w:pPr>
    </w:p>
    <w:p w:rsidR="00B3052E" w:rsidRDefault="00B3052E" w:rsidP="00B3052E">
      <w:pPr>
        <w:pStyle w:val="OrderBody"/>
        <w:keepNext/>
        <w:keepLines/>
      </w:pPr>
      <w:r>
        <w:t>KMS</w:t>
      </w:r>
    </w:p>
    <w:p w:rsidR="00B3052E" w:rsidRDefault="00B3052E" w:rsidP="00B3052E">
      <w:pPr>
        <w:pStyle w:val="CenterUnderline"/>
      </w:pPr>
    </w:p>
    <w:p w:rsidR="00B3052E" w:rsidRDefault="00B3052E" w:rsidP="00B3052E">
      <w:pPr>
        <w:pStyle w:val="CenterUnderline"/>
      </w:pPr>
    </w:p>
    <w:p w:rsidR="00B3052E" w:rsidRDefault="00B3052E" w:rsidP="00FC3EBE">
      <w:pPr>
        <w:pStyle w:val="CenterUnderline"/>
        <w:keepNext/>
        <w:keepLines/>
      </w:pPr>
      <w:r>
        <w:lastRenderedPageBreak/>
        <w:t>NOTICE OF FURTHER PROCEEDINGS OR JUDICIAL REVIEW</w:t>
      </w:r>
    </w:p>
    <w:p w:rsidR="00CB5276" w:rsidRDefault="00CB5276" w:rsidP="00FC3EBE">
      <w:pPr>
        <w:pStyle w:val="CenterUnderline"/>
        <w:keepNext/>
        <w:keepLines/>
      </w:pPr>
    </w:p>
    <w:p w:rsidR="00B3052E" w:rsidRDefault="00B3052E" w:rsidP="00FC3EBE">
      <w:pPr>
        <w:pStyle w:val="OrderBody"/>
        <w:keepNext/>
        <w:keepLines/>
      </w:pPr>
    </w:p>
    <w:p w:rsidR="00B3052E" w:rsidRDefault="00B3052E" w:rsidP="00FC3EBE">
      <w:pPr>
        <w:pStyle w:val="OrderBody"/>
        <w:keepNext/>
        <w:keepLines/>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w:t>
      </w:r>
      <w:r w:rsidR="00AE55DE">
        <w:t xml:space="preserve">. </w:t>
      </w:r>
      <w:r>
        <w:t>This notice should not be construed to mean all requests for an administrative hearing or judicial review will be granted or result in the relief sought.</w:t>
      </w:r>
    </w:p>
    <w:p w:rsidR="00B3052E" w:rsidRDefault="00B3052E" w:rsidP="00B3052E">
      <w:pPr>
        <w:pStyle w:val="OrderBody"/>
      </w:pPr>
    </w:p>
    <w:p w:rsidR="00B3052E" w:rsidRDefault="00B3052E" w:rsidP="00B3052E">
      <w:pPr>
        <w:pStyle w:val="OrderBody"/>
      </w:pPr>
      <w:r>
        <w:tab/>
        <w:t>Any party adversely affected by the Commission's final action in this matter may request: 1) reconsideration of the decision by filing a motion for reconsideration with the Office of Commission Clerk, 2540 Shumard Oak Boulevard, Tallahassee, Florida 32399-0850, within fifteen (15) days of the issuance of this order in the form prescribed by Rule 25-22.060, Florida Administrative Code; or 2) judicial review by the Florida Supreme Court in the case of an electric, gas or telephone utility or the First District Court of Appeal in the case of a water and/or wastewater utility by filing a notice of appeal with the Office of Commission Clerk, and filing a copy of the notice of appeal and the filing fee with the appropriate court.  This filing must be completed within thirty (30) days after the issuance of this order, pursuant to Rule 9.110, Florida Rules of Appellate Procedure</w:t>
      </w:r>
      <w:r w:rsidR="00AE55DE">
        <w:t xml:space="preserve">. </w:t>
      </w:r>
      <w:r>
        <w:t>The notice of appeal must be in the form specified in Rule 9.900(a), Florida Rules of Appellate Procedure.</w:t>
      </w:r>
    </w:p>
    <w:p w:rsidR="00643CDB" w:rsidRDefault="00643CDB" w:rsidP="00B3052E">
      <w:pPr>
        <w:pStyle w:val="OrderBody"/>
        <w:sectPr w:rsidR="00643CDB">
          <w:headerReference w:type="default" r:id="rId9"/>
          <w:footerReference w:type="first" r:id="rId10"/>
          <w:pgSz w:w="12240" w:h="15840" w:code="1"/>
          <w:pgMar w:top="1440" w:right="1440" w:bottom="1440" w:left="1440" w:header="720" w:footer="720" w:gutter="0"/>
          <w:cols w:space="720"/>
          <w:titlePg/>
          <w:docGrid w:linePitch="360"/>
        </w:sectPr>
      </w:pPr>
    </w:p>
    <w:p w:rsidR="00643CDB" w:rsidRDefault="00643CDB" w:rsidP="00B3052E">
      <w:pPr>
        <w:pStyle w:val="OrderBody"/>
      </w:pPr>
      <w:r>
        <w:rPr>
          <w:noProof/>
        </w:rPr>
        <w:lastRenderedPageBreak/>
        <w:drawing>
          <wp:inline distT="0" distB="0" distL="0" distR="0">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revised stips_Page_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revised stips_Page_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revised stips_Page_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revised stips_Page_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revised stips_Page_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43CDB" w:rsidRDefault="00643CDB" w:rsidP="00D57E57">
      <w:pPr>
        <w:sectPr w:rsidR="00643CDB" w:rsidSect="00643CDB">
          <w:headerReference w:type="default" r:id="rId16"/>
          <w:pgSz w:w="12240" w:h="15840" w:code="1"/>
          <w:pgMar w:top="1440" w:right="1440" w:bottom="1440" w:left="1440" w:header="720" w:footer="720" w:gutter="0"/>
          <w:cols w:space="720"/>
          <w:docGrid w:linePitch="360"/>
        </w:sectPr>
      </w:pPr>
    </w:p>
    <w:p w:rsidR="00D57E57" w:rsidRDefault="00F26BC2" w:rsidP="00D57E57">
      <w:r>
        <w:rPr>
          <w:noProof/>
        </w:rPr>
        <w:lastRenderedPageBreak/>
        <w:drawing>
          <wp:inline distT="0" distB="0" distL="0" distR="0">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0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0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0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0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0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0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0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0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0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1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1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1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1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1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1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1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1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1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1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2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2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2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2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2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2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O 3rd SOBRA Tariff sheets_Page_2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D57E57" w:rsidSect="00643CDB">
      <w:headerReference w:type="default" r:id="rId43"/>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3052E" w:rsidRDefault="00B3052E">
      <w:r>
        <w:separator/>
      </w:r>
    </w:p>
  </w:endnote>
  <w:endnote w:type="continuationSeparator" w:id="0">
    <w:p w:rsidR="00B3052E" w:rsidRDefault="00B305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3052E" w:rsidRDefault="00B3052E">
      <w:r>
        <w:separator/>
      </w:r>
    </w:p>
  </w:footnote>
  <w:footnote w:type="continuationSeparator" w:id="0">
    <w:p w:rsidR="00B3052E" w:rsidRDefault="00B3052E">
      <w:r>
        <w:continuationSeparator/>
      </w:r>
    </w:p>
  </w:footnote>
  <w:footnote w:id="1">
    <w:p w:rsidR="00161C27" w:rsidRDefault="00161C27" w:rsidP="00161C27">
      <w:pPr>
        <w:pStyle w:val="FootnoteText"/>
      </w:pPr>
      <w:r>
        <w:rPr>
          <w:rStyle w:val="FootnoteReference"/>
        </w:rPr>
        <w:footnoteRef/>
      </w:r>
      <w:r>
        <w:t xml:space="preserve"> </w:t>
      </w:r>
      <w:proofErr w:type="gramStart"/>
      <w:r>
        <w:t>Order No</w:t>
      </w:r>
      <w:r w:rsidR="00AE55DE">
        <w:t>.</w:t>
      </w:r>
      <w:proofErr w:type="gramEnd"/>
      <w:r w:rsidR="00AE55DE">
        <w:t xml:space="preserve"> </w:t>
      </w:r>
      <w:r>
        <w:t xml:space="preserve">PSC-13-0023-S-EI, issued January 14, 2013, in Docket No. 120015-EI, </w:t>
      </w:r>
      <w:r>
        <w:rPr>
          <w:u w:val="single"/>
        </w:rPr>
        <w:t>In re: Petition for increase in rates by Florida Power &amp; Light Company</w:t>
      </w:r>
      <w:r>
        <w:t xml:space="preserve">; Order No. PSC-11-0089-S-EI, issued February 1, 2011, in Docket Nos. 080677-EI and 090130, </w:t>
      </w:r>
      <w:r>
        <w:rPr>
          <w:u w:val="single"/>
        </w:rPr>
        <w:t>In re: Petition for increase in rates by Florida Power &amp; Light Company</w:t>
      </w:r>
      <w:r>
        <w:t xml:space="preserve"> and </w:t>
      </w:r>
      <w:r>
        <w:rPr>
          <w:u w:val="single"/>
        </w:rPr>
        <w:t>In re: 2009 depreciation and dismantlement study by Florida Power &amp; Light Company</w:t>
      </w:r>
      <w:r>
        <w:t xml:space="preserve">; Order No. PSC-13-0023-S-EI, issued January 14, 2013, in Docket No. 120015-EI, </w:t>
      </w:r>
      <w:r w:rsidRPr="00F44899">
        <w:rPr>
          <w:u w:val="single"/>
        </w:rPr>
        <w:t>In re: Petition for increase in rates by Florida Power &amp; Light Company</w:t>
      </w:r>
      <w:r>
        <w:t xml:space="preserve">; PSC-10-0398-S-EI, issued June 18, 2010, in consolidated Docket Nos. 090079-EI, </w:t>
      </w:r>
      <w:r>
        <w:rPr>
          <w:u w:val="single"/>
        </w:rPr>
        <w:t>In re: Petition for increase in rates by Progress Energy Florida, Inc.</w:t>
      </w:r>
      <w:r w:rsidRPr="00557323">
        <w:t>;</w:t>
      </w:r>
      <w:r>
        <w:t xml:space="preserve"> and 090144-EI, </w:t>
      </w:r>
      <w:r>
        <w:rPr>
          <w:u w:val="single"/>
        </w:rPr>
        <w:t>In re: Petition for limited proceeding to include Bartow repowering project in base rates, by Progress Energy Florida, Inc.</w:t>
      </w:r>
      <w:r>
        <w:t xml:space="preserve">; Docket No. 090145-EI, </w:t>
      </w:r>
      <w:r>
        <w:rPr>
          <w:u w:val="single"/>
        </w:rPr>
        <w:t>In re: Petition for expedited approval of the deferral of pension expenses, authorization to charge storm hardening expenses to the storm damage reserve, and variance from or waiver of Rule 25-6.0143(1)(c), (d), and (f), F.A.C., by Progress Energy Florida, Inc.</w:t>
      </w:r>
      <w:r>
        <w:t xml:space="preserve">; and Docket No. 100136-EI, </w:t>
      </w:r>
      <w:r>
        <w:rPr>
          <w:u w:val="single"/>
        </w:rPr>
        <w:t>In re: Petition for approval of an accounting order to record a depreciation expense credit, by Progress Energy Florida, Inc.</w:t>
      </w:r>
      <w:r w:rsidRPr="00557323">
        <w:t>;</w:t>
      </w:r>
      <w:r>
        <w:t xml:space="preserve"> and Order No. PSC-05-0945-S-EI, issued September 28, 2005, in Docket No. 050078-EI, </w:t>
      </w:r>
      <w:r>
        <w:rPr>
          <w:u w:val="single"/>
        </w:rPr>
        <w:t>In re: Petition for rate increase by Progress Energy Florida, Inc.</w:t>
      </w:r>
      <w:r>
        <w:t xml:space="preserve">      </w:t>
      </w:r>
    </w:p>
  </w:footnote>
  <w:footnote w:id="2">
    <w:p w:rsidR="00161C27" w:rsidRDefault="00161C27" w:rsidP="00161C27">
      <w:pPr>
        <w:pStyle w:val="FootnoteText"/>
      </w:pPr>
      <w:r>
        <w:rPr>
          <w:rStyle w:val="FootnoteReference"/>
        </w:rPr>
        <w:footnoteRef/>
      </w:r>
      <w:r>
        <w:t xml:space="preserve"> </w:t>
      </w:r>
      <w:proofErr w:type="gramStart"/>
      <w:r>
        <w:t>Order No.</w:t>
      </w:r>
      <w:proofErr w:type="gramEnd"/>
      <w:r>
        <w:t xml:space="preserve"> PSC-13-0023-S-EI, at p. 7.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OrderHeader"/>
    </w:pPr>
    <w:r>
      <w:t xml:space="preserve">ORDER NO. </w:t>
    </w:r>
    <w:fldSimple w:instr=" REF OrderNo0477 ">
      <w:r w:rsidR="005E7C4B">
        <w:t>PSC-2019-0477-FOF-EI</w:t>
      </w:r>
    </w:fldSimple>
  </w:p>
  <w:p w:rsidR="00FA6EFD" w:rsidRDefault="00B3052E">
    <w:pPr>
      <w:pStyle w:val="OrderHeader"/>
    </w:pPr>
    <w:bookmarkStart w:id="8" w:name="HeaderDocketNo"/>
    <w:bookmarkEnd w:id="8"/>
    <w:r>
      <w:t>DOCKET NO. 20190136-EI</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47C1">
      <w:rPr>
        <w:rStyle w:val="PageNumber"/>
        <w:noProof/>
      </w:rPr>
      <w:t>5</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CDB" w:rsidRDefault="00643CDB">
    <w:pPr>
      <w:pStyle w:val="OrderHeader"/>
    </w:pPr>
    <w:r>
      <w:t xml:space="preserve">ORDER NO. </w:t>
    </w:r>
    <w:r w:rsidR="005E7C4B" w:rsidRPr="005E7C4B">
      <w:t>PSC-2019-0477-FOF-EI</w:t>
    </w:r>
    <w:r>
      <w:tab/>
    </w:r>
    <w:r>
      <w:tab/>
      <w:t>ATTACHMENT A</w:t>
    </w:r>
  </w:p>
  <w:p w:rsidR="00643CDB" w:rsidRDefault="00643CDB">
    <w:pPr>
      <w:pStyle w:val="OrderHeader"/>
    </w:pPr>
    <w:r>
      <w:t>DOCKET NO. 20190136-EI</w:t>
    </w:r>
  </w:p>
  <w:p w:rsidR="00643CDB" w:rsidRDefault="00643C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47C1">
      <w:rPr>
        <w:rStyle w:val="PageNumber"/>
        <w:noProof/>
      </w:rPr>
      <w:t>10</w:t>
    </w:r>
    <w:r>
      <w:rPr>
        <w:rStyle w:val="PageNumber"/>
      </w:rPr>
      <w:fldChar w:fldCharType="end"/>
    </w:r>
  </w:p>
  <w:p w:rsidR="00643CDB" w:rsidRDefault="00643CDB">
    <w:pPr>
      <w:pStyle w:val="Order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CDB" w:rsidRDefault="00643CDB">
    <w:pPr>
      <w:pStyle w:val="OrderHeader"/>
    </w:pPr>
    <w:r>
      <w:t xml:space="preserve">ORDER NO. </w:t>
    </w:r>
    <w:r w:rsidR="005E7C4B" w:rsidRPr="005E7C4B">
      <w:t>PSC-2019-0477-FOF-EI</w:t>
    </w:r>
    <w:r>
      <w:tab/>
    </w:r>
    <w:r>
      <w:tab/>
      <w:t>ATTACHMENT B</w:t>
    </w:r>
  </w:p>
  <w:p w:rsidR="00643CDB" w:rsidRDefault="00643CDB">
    <w:pPr>
      <w:pStyle w:val="OrderHeader"/>
    </w:pPr>
    <w:r>
      <w:t>DOCKET NO. 20190136-EI</w:t>
    </w:r>
  </w:p>
  <w:p w:rsidR="00643CDB" w:rsidRDefault="00643CD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847C1">
      <w:rPr>
        <w:rStyle w:val="PageNumber"/>
        <w:noProof/>
      </w:rPr>
      <w:t>36</w:t>
    </w:r>
    <w:r>
      <w:rPr>
        <w:rStyle w:val="PageNumber"/>
      </w:rPr>
      <w:fldChar w:fldCharType="end"/>
    </w:r>
  </w:p>
  <w:p w:rsidR="00643CDB" w:rsidRDefault="00643CDB">
    <w:pPr>
      <w:pStyle w:val="Order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D67542"/>
    <w:multiLevelType w:val="hybridMultilevel"/>
    <w:tmpl w:val="8A14C3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5EB34FA8"/>
    <w:multiLevelType w:val="hybridMultilevel"/>
    <w:tmpl w:val="D85CD7F0"/>
    <w:lvl w:ilvl="0" w:tplc="04090015">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6C275680"/>
    <w:multiLevelType w:val="hybridMultilevel"/>
    <w:tmpl w:val="5E78912A"/>
    <w:lvl w:ilvl="0" w:tplc="94949B5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90136-EI"/>
  </w:docVars>
  <w:rsids>
    <w:rsidRoot w:val="00B3052E"/>
    <w:rsid w:val="000022B8"/>
    <w:rsid w:val="000308D9"/>
    <w:rsid w:val="0003433F"/>
    <w:rsid w:val="00035A8C"/>
    <w:rsid w:val="00053AB9"/>
    <w:rsid w:val="00056229"/>
    <w:rsid w:val="000575CC"/>
    <w:rsid w:val="00057AF1"/>
    <w:rsid w:val="00065FC2"/>
    <w:rsid w:val="00067685"/>
    <w:rsid w:val="00076E6B"/>
    <w:rsid w:val="0008247D"/>
    <w:rsid w:val="00090AFC"/>
    <w:rsid w:val="000B783E"/>
    <w:rsid w:val="000D02B8"/>
    <w:rsid w:val="000D06E8"/>
    <w:rsid w:val="000E050C"/>
    <w:rsid w:val="000E20F0"/>
    <w:rsid w:val="000E344D"/>
    <w:rsid w:val="000E3F6D"/>
    <w:rsid w:val="000F359F"/>
    <w:rsid w:val="000F3B2C"/>
    <w:rsid w:val="000F63EB"/>
    <w:rsid w:val="000F648A"/>
    <w:rsid w:val="000F7BE3"/>
    <w:rsid w:val="001052BA"/>
    <w:rsid w:val="001107B3"/>
    <w:rsid w:val="001114B1"/>
    <w:rsid w:val="001139D8"/>
    <w:rsid w:val="00116AD3"/>
    <w:rsid w:val="00121957"/>
    <w:rsid w:val="0012387E"/>
    <w:rsid w:val="00126593"/>
    <w:rsid w:val="00142A96"/>
    <w:rsid w:val="001513DE"/>
    <w:rsid w:val="00154A71"/>
    <w:rsid w:val="00161C27"/>
    <w:rsid w:val="00187E32"/>
    <w:rsid w:val="00194E81"/>
    <w:rsid w:val="001A15E7"/>
    <w:rsid w:val="001A33C9"/>
    <w:rsid w:val="001A4634"/>
    <w:rsid w:val="001A58F3"/>
    <w:rsid w:val="001C2847"/>
    <w:rsid w:val="001C3F8C"/>
    <w:rsid w:val="001C6097"/>
    <w:rsid w:val="001D008A"/>
    <w:rsid w:val="001E0152"/>
    <w:rsid w:val="001E0FF5"/>
    <w:rsid w:val="001F746F"/>
    <w:rsid w:val="002002ED"/>
    <w:rsid w:val="002170E5"/>
    <w:rsid w:val="00220D57"/>
    <w:rsid w:val="0022721A"/>
    <w:rsid w:val="00230BB9"/>
    <w:rsid w:val="00241CEF"/>
    <w:rsid w:val="0025124E"/>
    <w:rsid w:val="00252B30"/>
    <w:rsid w:val="002613E4"/>
    <w:rsid w:val="0026544B"/>
    <w:rsid w:val="00276114"/>
    <w:rsid w:val="00276CDC"/>
    <w:rsid w:val="00277655"/>
    <w:rsid w:val="002824B7"/>
    <w:rsid w:val="00282AC4"/>
    <w:rsid w:val="002A11AC"/>
    <w:rsid w:val="002A377F"/>
    <w:rsid w:val="002A6F30"/>
    <w:rsid w:val="002B3111"/>
    <w:rsid w:val="002C7908"/>
    <w:rsid w:val="002D391B"/>
    <w:rsid w:val="002D4B1F"/>
    <w:rsid w:val="002D7D15"/>
    <w:rsid w:val="002E1B2E"/>
    <w:rsid w:val="002E27EB"/>
    <w:rsid w:val="002F2A9D"/>
    <w:rsid w:val="002F31C2"/>
    <w:rsid w:val="00303FDE"/>
    <w:rsid w:val="003045E7"/>
    <w:rsid w:val="003140E8"/>
    <w:rsid w:val="003231C7"/>
    <w:rsid w:val="00323839"/>
    <w:rsid w:val="003270C4"/>
    <w:rsid w:val="00331ED0"/>
    <w:rsid w:val="00332B0A"/>
    <w:rsid w:val="00333A41"/>
    <w:rsid w:val="00345434"/>
    <w:rsid w:val="0035495B"/>
    <w:rsid w:val="00355A93"/>
    <w:rsid w:val="00361522"/>
    <w:rsid w:val="00365F56"/>
    <w:rsid w:val="0037196E"/>
    <w:rsid w:val="003744F5"/>
    <w:rsid w:val="00387BDE"/>
    <w:rsid w:val="00390DD8"/>
    <w:rsid w:val="00394DC6"/>
    <w:rsid w:val="00397C3E"/>
    <w:rsid w:val="003A58EC"/>
    <w:rsid w:val="003B1A09"/>
    <w:rsid w:val="003D4CCA"/>
    <w:rsid w:val="003D52A6"/>
    <w:rsid w:val="003D6416"/>
    <w:rsid w:val="003E1D48"/>
    <w:rsid w:val="003E287F"/>
    <w:rsid w:val="003F1D2B"/>
    <w:rsid w:val="00411DF2"/>
    <w:rsid w:val="00411E8F"/>
    <w:rsid w:val="0042527B"/>
    <w:rsid w:val="00454D39"/>
    <w:rsid w:val="0045537F"/>
    <w:rsid w:val="00457DC7"/>
    <w:rsid w:val="00470D89"/>
    <w:rsid w:val="00472BCC"/>
    <w:rsid w:val="004852F1"/>
    <w:rsid w:val="004A25CD"/>
    <w:rsid w:val="004A26CC"/>
    <w:rsid w:val="004B2108"/>
    <w:rsid w:val="004B3A2B"/>
    <w:rsid w:val="004B70D3"/>
    <w:rsid w:val="004C312D"/>
    <w:rsid w:val="004D2D1B"/>
    <w:rsid w:val="004D5067"/>
    <w:rsid w:val="004D6838"/>
    <w:rsid w:val="004D72BC"/>
    <w:rsid w:val="004E469D"/>
    <w:rsid w:val="004E7F4F"/>
    <w:rsid w:val="004F2BF9"/>
    <w:rsid w:val="004F2DDE"/>
    <w:rsid w:val="004F7826"/>
    <w:rsid w:val="0050097F"/>
    <w:rsid w:val="005009A2"/>
    <w:rsid w:val="00514B1F"/>
    <w:rsid w:val="0051544D"/>
    <w:rsid w:val="00525E93"/>
    <w:rsid w:val="0052671D"/>
    <w:rsid w:val="005300C0"/>
    <w:rsid w:val="0055595D"/>
    <w:rsid w:val="00556A10"/>
    <w:rsid w:val="00557F50"/>
    <w:rsid w:val="00571D3D"/>
    <w:rsid w:val="0058264B"/>
    <w:rsid w:val="005868AA"/>
    <w:rsid w:val="00590845"/>
    <w:rsid w:val="005963C2"/>
    <w:rsid w:val="005A0D69"/>
    <w:rsid w:val="005A31F4"/>
    <w:rsid w:val="005A73EA"/>
    <w:rsid w:val="005B1BAD"/>
    <w:rsid w:val="005B45F7"/>
    <w:rsid w:val="005B63EA"/>
    <w:rsid w:val="005C1A88"/>
    <w:rsid w:val="005C5033"/>
    <w:rsid w:val="005E751B"/>
    <w:rsid w:val="005E7C4B"/>
    <w:rsid w:val="005F3354"/>
    <w:rsid w:val="005F50C8"/>
    <w:rsid w:val="0060005E"/>
    <w:rsid w:val="0060095B"/>
    <w:rsid w:val="00601266"/>
    <w:rsid w:val="00610E73"/>
    <w:rsid w:val="00616DF2"/>
    <w:rsid w:val="0063168D"/>
    <w:rsid w:val="00643CDB"/>
    <w:rsid w:val="006531A4"/>
    <w:rsid w:val="00660774"/>
    <w:rsid w:val="0066389A"/>
    <w:rsid w:val="0066495C"/>
    <w:rsid w:val="00665CC7"/>
    <w:rsid w:val="00672612"/>
    <w:rsid w:val="00677F18"/>
    <w:rsid w:val="00693483"/>
    <w:rsid w:val="006A0BF3"/>
    <w:rsid w:val="006A39FC"/>
    <w:rsid w:val="006B0DA6"/>
    <w:rsid w:val="006C547E"/>
    <w:rsid w:val="006D2B51"/>
    <w:rsid w:val="006D5575"/>
    <w:rsid w:val="006D60B5"/>
    <w:rsid w:val="006E42BE"/>
    <w:rsid w:val="0070469A"/>
    <w:rsid w:val="00704C5D"/>
    <w:rsid w:val="007072BC"/>
    <w:rsid w:val="00715275"/>
    <w:rsid w:val="00721B44"/>
    <w:rsid w:val="007232A2"/>
    <w:rsid w:val="00726366"/>
    <w:rsid w:val="00733B6B"/>
    <w:rsid w:val="00740808"/>
    <w:rsid w:val="007467C4"/>
    <w:rsid w:val="0076170F"/>
    <w:rsid w:val="0076669C"/>
    <w:rsid w:val="00766E46"/>
    <w:rsid w:val="00775053"/>
    <w:rsid w:val="00777727"/>
    <w:rsid w:val="00782B79"/>
    <w:rsid w:val="007865E9"/>
    <w:rsid w:val="00792383"/>
    <w:rsid w:val="00793962"/>
    <w:rsid w:val="00794D5A"/>
    <w:rsid w:val="00794DD9"/>
    <w:rsid w:val="007A060F"/>
    <w:rsid w:val="007B350E"/>
    <w:rsid w:val="007C0FBC"/>
    <w:rsid w:val="007C36E3"/>
    <w:rsid w:val="007C7134"/>
    <w:rsid w:val="007D3D20"/>
    <w:rsid w:val="007D742E"/>
    <w:rsid w:val="007E3AFD"/>
    <w:rsid w:val="007F38A4"/>
    <w:rsid w:val="00801DAD"/>
    <w:rsid w:val="00803189"/>
    <w:rsid w:val="00804E7A"/>
    <w:rsid w:val="00805FBB"/>
    <w:rsid w:val="008169A4"/>
    <w:rsid w:val="008278FE"/>
    <w:rsid w:val="00832598"/>
    <w:rsid w:val="0083397E"/>
    <w:rsid w:val="0083534B"/>
    <w:rsid w:val="00842602"/>
    <w:rsid w:val="008449F0"/>
    <w:rsid w:val="008454CF"/>
    <w:rsid w:val="00847B45"/>
    <w:rsid w:val="00863A66"/>
    <w:rsid w:val="008703D7"/>
    <w:rsid w:val="00874429"/>
    <w:rsid w:val="008832DF"/>
    <w:rsid w:val="00883D9A"/>
    <w:rsid w:val="008919EF"/>
    <w:rsid w:val="00892B20"/>
    <w:rsid w:val="008A12EC"/>
    <w:rsid w:val="008B19A6"/>
    <w:rsid w:val="008C21C8"/>
    <w:rsid w:val="008C6375"/>
    <w:rsid w:val="008C6A5B"/>
    <w:rsid w:val="008C775E"/>
    <w:rsid w:val="008E26A5"/>
    <w:rsid w:val="008E42D2"/>
    <w:rsid w:val="008E6328"/>
    <w:rsid w:val="009040EE"/>
    <w:rsid w:val="0090456D"/>
    <w:rsid w:val="009057FD"/>
    <w:rsid w:val="00906FBA"/>
    <w:rsid w:val="009163E8"/>
    <w:rsid w:val="009228C7"/>
    <w:rsid w:val="00922A7F"/>
    <w:rsid w:val="00923A5E"/>
    <w:rsid w:val="00924FE7"/>
    <w:rsid w:val="00926E27"/>
    <w:rsid w:val="00931C8C"/>
    <w:rsid w:val="00935AC3"/>
    <w:rsid w:val="00943D2A"/>
    <w:rsid w:val="0094504B"/>
    <w:rsid w:val="00964A38"/>
    <w:rsid w:val="00966A9D"/>
    <w:rsid w:val="0096742B"/>
    <w:rsid w:val="009718C5"/>
    <w:rsid w:val="009924CF"/>
    <w:rsid w:val="00994100"/>
    <w:rsid w:val="009A6B17"/>
    <w:rsid w:val="009D4C29"/>
    <w:rsid w:val="009E6BAC"/>
    <w:rsid w:val="009F6AD2"/>
    <w:rsid w:val="00A00D8D"/>
    <w:rsid w:val="00A01BB6"/>
    <w:rsid w:val="00A26249"/>
    <w:rsid w:val="00A4303C"/>
    <w:rsid w:val="00A470FD"/>
    <w:rsid w:val="00A62DAB"/>
    <w:rsid w:val="00A6757A"/>
    <w:rsid w:val="00A726A6"/>
    <w:rsid w:val="00A72B68"/>
    <w:rsid w:val="00A74842"/>
    <w:rsid w:val="00A97535"/>
    <w:rsid w:val="00AA2BAA"/>
    <w:rsid w:val="00AA73F1"/>
    <w:rsid w:val="00AB0E1A"/>
    <w:rsid w:val="00AB1A30"/>
    <w:rsid w:val="00AB3C36"/>
    <w:rsid w:val="00AD10EB"/>
    <w:rsid w:val="00AD1ED3"/>
    <w:rsid w:val="00AE55DE"/>
    <w:rsid w:val="00B02001"/>
    <w:rsid w:val="00B03C50"/>
    <w:rsid w:val="00B05015"/>
    <w:rsid w:val="00B0777D"/>
    <w:rsid w:val="00B11576"/>
    <w:rsid w:val="00B1195F"/>
    <w:rsid w:val="00B14D10"/>
    <w:rsid w:val="00B209C7"/>
    <w:rsid w:val="00B3052E"/>
    <w:rsid w:val="00B3644F"/>
    <w:rsid w:val="00B4057A"/>
    <w:rsid w:val="00B40894"/>
    <w:rsid w:val="00B41039"/>
    <w:rsid w:val="00B444AE"/>
    <w:rsid w:val="00B45E75"/>
    <w:rsid w:val="00B50876"/>
    <w:rsid w:val="00B51074"/>
    <w:rsid w:val="00B54DAA"/>
    <w:rsid w:val="00B55AB0"/>
    <w:rsid w:val="00B55EE5"/>
    <w:rsid w:val="00B71D1F"/>
    <w:rsid w:val="00B73DE6"/>
    <w:rsid w:val="00B754CB"/>
    <w:rsid w:val="00B761CD"/>
    <w:rsid w:val="00B86EF0"/>
    <w:rsid w:val="00B96969"/>
    <w:rsid w:val="00B96B2F"/>
    <w:rsid w:val="00B97900"/>
    <w:rsid w:val="00BA1229"/>
    <w:rsid w:val="00BA44A8"/>
    <w:rsid w:val="00BA65F8"/>
    <w:rsid w:val="00BC786E"/>
    <w:rsid w:val="00BD5C92"/>
    <w:rsid w:val="00BE50E6"/>
    <w:rsid w:val="00BF01E8"/>
    <w:rsid w:val="00BF6691"/>
    <w:rsid w:val="00C028FC"/>
    <w:rsid w:val="00C037F2"/>
    <w:rsid w:val="00C0386D"/>
    <w:rsid w:val="00C065A1"/>
    <w:rsid w:val="00C10ED5"/>
    <w:rsid w:val="00C151A6"/>
    <w:rsid w:val="00C1791A"/>
    <w:rsid w:val="00C24098"/>
    <w:rsid w:val="00C30A4E"/>
    <w:rsid w:val="00C411F3"/>
    <w:rsid w:val="00C44105"/>
    <w:rsid w:val="00C55A33"/>
    <w:rsid w:val="00C66692"/>
    <w:rsid w:val="00C673B5"/>
    <w:rsid w:val="00C7063D"/>
    <w:rsid w:val="00C830BC"/>
    <w:rsid w:val="00C847C1"/>
    <w:rsid w:val="00C8524D"/>
    <w:rsid w:val="00C91123"/>
    <w:rsid w:val="00C966B0"/>
    <w:rsid w:val="00C97133"/>
    <w:rsid w:val="00CA71FF"/>
    <w:rsid w:val="00CB5276"/>
    <w:rsid w:val="00CB5BFC"/>
    <w:rsid w:val="00CB68D7"/>
    <w:rsid w:val="00CC5C78"/>
    <w:rsid w:val="00CC7E68"/>
    <w:rsid w:val="00CD4EBE"/>
    <w:rsid w:val="00CD7132"/>
    <w:rsid w:val="00CE0E6F"/>
    <w:rsid w:val="00CE3B21"/>
    <w:rsid w:val="00CE56FC"/>
    <w:rsid w:val="00CF4CFE"/>
    <w:rsid w:val="00D02E0F"/>
    <w:rsid w:val="00D03EE8"/>
    <w:rsid w:val="00D13535"/>
    <w:rsid w:val="00D15497"/>
    <w:rsid w:val="00D17B79"/>
    <w:rsid w:val="00D23FEA"/>
    <w:rsid w:val="00D269CA"/>
    <w:rsid w:val="00D30B48"/>
    <w:rsid w:val="00D3168A"/>
    <w:rsid w:val="00D46FAA"/>
    <w:rsid w:val="00D47A40"/>
    <w:rsid w:val="00D51D33"/>
    <w:rsid w:val="00D57BB2"/>
    <w:rsid w:val="00D57E57"/>
    <w:rsid w:val="00D70752"/>
    <w:rsid w:val="00D80E2D"/>
    <w:rsid w:val="00D84D5E"/>
    <w:rsid w:val="00D8560E"/>
    <w:rsid w:val="00D8758F"/>
    <w:rsid w:val="00DA4EDD"/>
    <w:rsid w:val="00DA6B78"/>
    <w:rsid w:val="00DB4FA9"/>
    <w:rsid w:val="00DC1D94"/>
    <w:rsid w:val="00DC42CF"/>
    <w:rsid w:val="00DE057F"/>
    <w:rsid w:val="00DE2082"/>
    <w:rsid w:val="00DE2289"/>
    <w:rsid w:val="00DF09A7"/>
    <w:rsid w:val="00E001D6"/>
    <w:rsid w:val="00E03A76"/>
    <w:rsid w:val="00E04410"/>
    <w:rsid w:val="00E07484"/>
    <w:rsid w:val="00E11351"/>
    <w:rsid w:val="00E4225C"/>
    <w:rsid w:val="00E44879"/>
    <w:rsid w:val="00E54039"/>
    <w:rsid w:val="00E72914"/>
    <w:rsid w:val="00E75AE0"/>
    <w:rsid w:val="00E83C1F"/>
    <w:rsid w:val="00E97656"/>
    <w:rsid w:val="00EA172C"/>
    <w:rsid w:val="00EA259B"/>
    <w:rsid w:val="00EA35A3"/>
    <w:rsid w:val="00EA3E6A"/>
    <w:rsid w:val="00EB18EF"/>
    <w:rsid w:val="00EB58AC"/>
    <w:rsid w:val="00EB7951"/>
    <w:rsid w:val="00ED6A79"/>
    <w:rsid w:val="00EE17DF"/>
    <w:rsid w:val="00EF4621"/>
    <w:rsid w:val="00EF4D52"/>
    <w:rsid w:val="00EF6312"/>
    <w:rsid w:val="00EF6975"/>
    <w:rsid w:val="00F038B0"/>
    <w:rsid w:val="00F07275"/>
    <w:rsid w:val="00F22B27"/>
    <w:rsid w:val="00F234A7"/>
    <w:rsid w:val="00F247D0"/>
    <w:rsid w:val="00F26BC2"/>
    <w:rsid w:val="00F277B6"/>
    <w:rsid w:val="00F27DA5"/>
    <w:rsid w:val="00F37E07"/>
    <w:rsid w:val="00F4182A"/>
    <w:rsid w:val="00F54380"/>
    <w:rsid w:val="00F54B47"/>
    <w:rsid w:val="00F61247"/>
    <w:rsid w:val="00F6702E"/>
    <w:rsid w:val="00F70B42"/>
    <w:rsid w:val="00F70E84"/>
    <w:rsid w:val="00F71D96"/>
    <w:rsid w:val="00F93234"/>
    <w:rsid w:val="00FA092B"/>
    <w:rsid w:val="00FA4F6C"/>
    <w:rsid w:val="00FA6EFD"/>
    <w:rsid w:val="00FB74EA"/>
    <w:rsid w:val="00FC3EBE"/>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ListParagraph">
    <w:name w:val="List Paragraph"/>
    <w:basedOn w:val="Normal"/>
    <w:uiPriority w:val="34"/>
    <w:qFormat/>
    <w:rsid w:val="00161C27"/>
    <w:pPr>
      <w:ind w:left="720"/>
      <w:contextualSpacing/>
    </w:pPr>
  </w:style>
  <w:style w:type="character" w:customStyle="1" w:styleId="FootnoteTextChar">
    <w:name w:val="Footnote Text Char"/>
    <w:basedOn w:val="DefaultParagraphFont"/>
    <w:link w:val="FootnoteText"/>
    <w:rsid w:val="00161C27"/>
  </w:style>
  <w:style w:type="character" w:styleId="CommentReference">
    <w:name w:val="annotation reference"/>
    <w:basedOn w:val="DefaultParagraphFont"/>
    <w:rsid w:val="00161C27"/>
    <w:rPr>
      <w:sz w:val="16"/>
      <w:szCs w:val="16"/>
    </w:rPr>
  </w:style>
  <w:style w:type="paragraph" w:styleId="CommentText">
    <w:name w:val="annotation text"/>
    <w:basedOn w:val="Normal"/>
    <w:link w:val="CommentTextChar"/>
    <w:rsid w:val="00161C27"/>
    <w:rPr>
      <w:sz w:val="20"/>
      <w:szCs w:val="20"/>
    </w:rPr>
  </w:style>
  <w:style w:type="character" w:customStyle="1" w:styleId="CommentTextChar">
    <w:name w:val="Comment Text Char"/>
    <w:basedOn w:val="DefaultParagraphFont"/>
    <w:link w:val="CommentText"/>
    <w:rsid w:val="00161C27"/>
  </w:style>
  <w:style w:type="paragraph" w:styleId="CommentSubject">
    <w:name w:val="annotation subject"/>
    <w:basedOn w:val="CommentText"/>
    <w:next w:val="CommentText"/>
    <w:link w:val="CommentSubjectChar"/>
    <w:rsid w:val="00161C27"/>
    <w:rPr>
      <w:b/>
      <w:bCs/>
    </w:rPr>
  </w:style>
  <w:style w:type="character" w:customStyle="1" w:styleId="CommentSubjectChar">
    <w:name w:val="Comment Subject Char"/>
    <w:basedOn w:val="CommentTextChar"/>
    <w:link w:val="CommentSubject"/>
    <w:rsid w:val="00161C27"/>
    <w:rPr>
      <w:b/>
      <w:bCs/>
    </w:rPr>
  </w:style>
  <w:style w:type="paragraph" w:styleId="BalloonText">
    <w:name w:val="Balloon Text"/>
    <w:basedOn w:val="Normal"/>
    <w:link w:val="BalloonTextChar"/>
    <w:rsid w:val="00161C27"/>
    <w:rPr>
      <w:rFonts w:ascii="Tahoma" w:hAnsi="Tahoma" w:cs="Tahoma"/>
      <w:sz w:val="16"/>
      <w:szCs w:val="16"/>
    </w:rPr>
  </w:style>
  <w:style w:type="character" w:customStyle="1" w:styleId="BalloonTextChar">
    <w:name w:val="Balloon Text Char"/>
    <w:basedOn w:val="DefaultParagraphFont"/>
    <w:link w:val="BalloonText"/>
    <w:rsid w:val="00161C2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ListParagraph">
    <w:name w:val="List Paragraph"/>
    <w:basedOn w:val="Normal"/>
    <w:uiPriority w:val="34"/>
    <w:qFormat/>
    <w:rsid w:val="00161C27"/>
    <w:pPr>
      <w:ind w:left="720"/>
      <w:contextualSpacing/>
    </w:pPr>
  </w:style>
  <w:style w:type="character" w:customStyle="1" w:styleId="FootnoteTextChar">
    <w:name w:val="Footnote Text Char"/>
    <w:basedOn w:val="DefaultParagraphFont"/>
    <w:link w:val="FootnoteText"/>
    <w:rsid w:val="00161C27"/>
  </w:style>
  <w:style w:type="character" w:styleId="CommentReference">
    <w:name w:val="annotation reference"/>
    <w:basedOn w:val="DefaultParagraphFont"/>
    <w:rsid w:val="00161C27"/>
    <w:rPr>
      <w:sz w:val="16"/>
      <w:szCs w:val="16"/>
    </w:rPr>
  </w:style>
  <w:style w:type="paragraph" w:styleId="CommentText">
    <w:name w:val="annotation text"/>
    <w:basedOn w:val="Normal"/>
    <w:link w:val="CommentTextChar"/>
    <w:rsid w:val="00161C27"/>
    <w:rPr>
      <w:sz w:val="20"/>
      <w:szCs w:val="20"/>
    </w:rPr>
  </w:style>
  <w:style w:type="character" w:customStyle="1" w:styleId="CommentTextChar">
    <w:name w:val="Comment Text Char"/>
    <w:basedOn w:val="DefaultParagraphFont"/>
    <w:link w:val="CommentText"/>
    <w:rsid w:val="00161C27"/>
  </w:style>
  <w:style w:type="paragraph" w:styleId="CommentSubject">
    <w:name w:val="annotation subject"/>
    <w:basedOn w:val="CommentText"/>
    <w:next w:val="CommentText"/>
    <w:link w:val="CommentSubjectChar"/>
    <w:rsid w:val="00161C27"/>
    <w:rPr>
      <w:b/>
      <w:bCs/>
    </w:rPr>
  </w:style>
  <w:style w:type="character" w:customStyle="1" w:styleId="CommentSubjectChar">
    <w:name w:val="Comment Subject Char"/>
    <w:basedOn w:val="CommentTextChar"/>
    <w:link w:val="CommentSubject"/>
    <w:rsid w:val="00161C27"/>
    <w:rPr>
      <w:b/>
      <w:bCs/>
    </w:rPr>
  </w:style>
  <w:style w:type="paragraph" w:styleId="BalloonText">
    <w:name w:val="Balloon Text"/>
    <w:basedOn w:val="Normal"/>
    <w:link w:val="BalloonTextChar"/>
    <w:rsid w:val="00161C27"/>
    <w:rPr>
      <w:rFonts w:ascii="Tahoma" w:hAnsi="Tahoma" w:cs="Tahoma"/>
      <w:sz w:val="16"/>
      <w:szCs w:val="16"/>
    </w:rPr>
  </w:style>
  <w:style w:type="character" w:customStyle="1" w:styleId="BalloonTextChar">
    <w:name w:val="Balloon Text Char"/>
    <w:basedOn w:val="DefaultParagraphFont"/>
    <w:link w:val="BalloonText"/>
    <w:rsid w:val="00161C2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g"/><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image" Target="media/image28.jpg"/><Relationship Id="rId3" Type="http://schemas.openxmlformats.org/officeDocument/2006/relationships/styles" Target="styles.xml"/><Relationship Id="rId21" Type="http://schemas.openxmlformats.org/officeDocument/2006/relationships/image" Target="media/image10.jpg"/><Relationship Id="rId34" Type="http://schemas.openxmlformats.org/officeDocument/2006/relationships/image" Target="media/image23.jpg"/><Relationship Id="rId42" Type="http://schemas.openxmlformats.org/officeDocument/2006/relationships/image" Target="media/image31.jpg"/><Relationship Id="rId7" Type="http://schemas.openxmlformats.org/officeDocument/2006/relationships/footnotes" Target="footnotes.xml"/><Relationship Id="rId12" Type="http://schemas.openxmlformats.org/officeDocument/2006/relationships/image" Target="media/image2.jpg"/><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image" Target="media/image9.jpg"/><Relationship Id="rId29" Type="http://schemas.openxmlformats.org/officeDocument/2006/relationships/image" Target="media/image18.jpg"/><Relationship Id="rId41" Type="http://schemas.openxmlformats.org/officeDocument/2006/relationships/image" Target="media/image30.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10" Type="http://schemas.openxmlformats.org/officeDocument/2006/relationships/footer" Target="footer1.xml"/><Relationship Id="rId19" Type="http://schemas.openxmlformats.org/officeDocument/2006/relationships/image" Target="media/image8.jpg"/><Relationship Id="rId31" Type="http://schemas.openxmlformats.org/officeDocument/2006/relationships/image" Target="media/image20.jp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Graham,%20Brown,%20Polmann,%20Clark,%20and%20Fay.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F73358-44EC-4F4A-84E5-BEC1F40FF8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Graham, Brown, Polmann, Clark, and Fay.dot</Template>
  <TotalTime>0</TotalTime>
  <Pages>36</Pages>
  <Words>1541</Words>
  <Characters>8470</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2019-11-12T15:15:00Z</dcterms:created>
  <dcterms:modified xsi:type="dcterms:W3CDTF">2019-11-12T17:52:00Z</dcterms:modified>
</cp:coreProperties>
</file>