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3C2436" w:rsidP="003C2436">
      <w:pPr>
        <w:pStyle w:val="OrderHeading"/>
      </w:pPr>
      <w:r>
        <w:t>BEFORE THE FLORIDA PUBLIC SERVICE COMMISSION</w:t>
      </w:r>
    </w:p>
    <w:p w:rsidR="003C2436" w:rsidRDefault="003C2436" w:rsidP="003C2436">
      <w:pPr>
        <w:pStyle w:val="OrderBody"/>
      </w:pPr>
    </w:p>
    <w:p w:rsidR="003C2436" w:rsidRDefault="003C2436" w:rsidP="003C2436">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3C2436" w:rsidRPr="00C63FCF" w:rsidTr="00C63FCF">
        <w:trPr>
          <w:trHeight w:val="828"/>
        </w:trPr>
        <w:tc>
          <w:tcPr>
            <w:tcW w:w="4788" w:type="dxa"/>
            <w:tcBorders>
              <w:bottom w:val="single" w:sz="8" w:space="0" w:color="auto"/>
              <w:right w:val="double" w:sz="6" w:space="0" w:color="auto"/>
            </w:tcBorders>
            <w:shd w:val="clear" w:color="auto" w:fill="auto"/>
          </w:tcPr>
          <w:p w:rsidR="003C2436" w:rsidRDefault="003C2436" w:rsidP="00C63FCF">
            <w:pPr>
              <w:pStyle w:val="OrderBody"/>
              <w:tabs>
                <w:tab w:val="center" w:pos="4320"/>
                <w:tab w:val="right" w:pos="8640"/>
              </w:tabs>
              <w:jc w:val="left"/>
            </w:pPr>
            <w:r>
              <w:t xml:space="preserve">In re: </w:t>
            </w:r>
            <w:bookmarkStart w:id="0" w:name="SSInRe"/>
            <w:bookmarkEnd w:id="0"/>
            <w:r>
              <w:t>Petition for recovery of costs associated with Hurricane Michael and replenishment of storm reserve, by Peoples Gas System.</w:t>
            </w:r>
          </w:p>
        </w:tc>
        <w:tc>
          <w:tcPr>
            <w:tcW w:w="4788" w:type="dxa"/>
            <w:tcBorders>
              <w:left w:val="double" w:sz="6" w:space="0" w:color="auto"/>
            </w:tcBorders>
            <w:shd w:val="clear" w:color="auto" w:fill="auto"/>
          </w:tcPr>
          <w:p w:rsidR="003C2436" w:rsidRDefault="003C2436" w:rsidP="003C2436">
            <w:pPr>
              <w:pStyle w:val="OrderBody"/>
            </w:pPr>
            <w:r>
              <w:t xml:space="preserve">DOCKET NO. </w:t>
            </w:r>
            <w:bookmarkStart w:id="1" w:name="SSDocketNo"/>
            <w:bookmarkEnd w:id="1"/>
            <w:r>
              <w:t>20190109-GU</w:t>
            </w:r>
          </w:p>
          <w:p w:rsidR="003C2436" w:rsidRDefault="003C2436" w:rsidP="00C63FCF">
            <w:pPr>
              <w:pStyle w:val="OrderBody"/>
              <w:tabs>
                <w:tab w:val="center" w:pos="4320"/>
                <w:tab w:val="right" w:pos="8640"/>
              </w:tabs>
              <w:jc w:val="left"/>
            </w:pPr>
            <w:r>
              <w:t xml:space="preserve">ORDER NO. </w:t>
            </w:r>
            <w:bookmarkStart w:id="2" w:name="OrderNo0103"/>
            <w:r w:rsidR="00EC7792">
              <w:t>PSC-2020-0103-PAA-GU</w:t>
            </w:r>
            <w:bookmarkEnd w:id="2"/>
          </w:p>
          <w:p w:rsidR="003C2436" w:rsidRDefault="003C2436" w:rsidP="00C63FCF">
            <w:pPr>
              <w:pStyle w:val="OrderBody"/>
              <w:tabs>
                <w:tab w:val="center" w:pos="4320"/>
                <w:tab w:val="right" w:pos="8640"/>
              </w:tabs>
              <w:jc w:val="left"/>
            </w:pPr>
            <w:r>
              <w:t xml:space="preserve">ISSUED: </w:t>
            </w:r>
            <w:r w:rsidR="00EC7792">
              <w:t>April 14, 2020</w:t>
            </w:r>
          </w:p>
        </w:tc>
      </w:tr>
    </w:tbl>
    <w:p w:rsidR="003C2436" w:rsidRDefault="003C2436" w:rsidP="003C2436"/>
    <w:p w:rsidR="003C2436" w:rsidRDefault="003C2436" w:rsidP="003C2436"/>
    <w:p w:rsidR="003C2436" w:rsidRDefault="003C2436" w:rsidP="00B67A43">
      <w:pPr>
        <w:ind w:firstLine="720"/>
        <w:jc w:val="both"/>
      </w:pPr>
      <w:bookmarkStart w:id="3" w:name="Commissioners"/>
      <w:bookmarkEnd w:id="3"/>
      <w:r>
        <w:t>The following Commissioners participated in the disposition of this matter:</w:t>
      </w:r>
    </w:p>
    <w:p w:rsidR="003C2436" w:rsidRDefault="003C2436" w:rsidP="00B67A43"/>
    <w:p w:rsidR="003C2436" w:rsidRDefault="003C2436" w:rsidP="00B67A43">
      <w:pPr>
        <w:jc w:val="center"/>
      </w:pPr>
      <w:r>
        <w:t>GARY F. CLARK, Chairman</w:t>
      </w:r>
    </w:p>
    <w:p w:rsidR="003C2436" w:rsidRDefault="003C2436" w:rsidP="00B67A43">
      <w:pPr>
        <w:jc w:val="center"/>
      </w:pPr>
      <w:r>
        <w:t>ART GRAHAM</w:t>
      </w:r>
    </w:p>
    <w:p w:rsidR="003C2436" w:rsidRDefault="003C2436" w:rsidP="00B67A43">
      <w:pPr>
        <w:jc w:val="center"/>
      </w:pPr>
      <w:r>
        <w:t>JULIE I. BROWN</w:t>
      </w:r>
    </w:p>
    <w:p w:rsidR="003C2436" w:rsidRDefault="003C2436" w:rsidP="00B67A43">
      <w:pPr>
        <w:jc w:val="center"/>
      </w:pPr>
      <w:r>
        <w:t>DONALD J. POLMANN</w:t>
      </w:r>
    </w:p>
    <w:p w:rsidR="003C2436" w:rsidRDefault="003C2436" w:rsidP="00B67A43">
      <w:pPr>
        <w:jc w:val="center"/>
      </w:pPr>
      <w:r>
        <w:t>ANDREW GILES FAY</w:t>
      </w:r>
    </w:p>
    <w:p w:rsidR="003C2436" w:rsidRDefault="003C2436" w:rsidP="00B67A43"/>
    <w:p w:rsidR="003C2436" w:rsidRDefault="003C2436" w:rsidP="003C2436">
      <w:pPr>
        <w:pStyle w:val="OrderBody"/>
      </w:pPr>
    </w:p>
    <w:bookmarkStart w:id="4" w:name="OrderText"/>
    <w:bookmarkEnd w:id="4"/>
    <w:p w:rsidR="003C2436" w:rsidRPr="003E4B2D" w:rsidRDefault="003C2436">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3C2436" w:rsidRPr="003E4B2D" w:rsidRDefault="003C2436" w:rsidP="00E47948">
      <w:pPr>
        <w:pStyle w:val="CenterUnderline"/>
      </w:pPr>
      <w:r w:rsidRPr="003E4B2D">
        <w:t>ORDER</w:t>
      </w:r>
      <w:bookmarkStart w:id="5" w:name="OrderTitle"/>
      <w:r>
        <w:t xml:space="preserve"> </w:t>
      </w:r>
      <w:bookmarkEnd w:id="5"/>
      <w:r w:rsidR="00E47948">
        <w:t>APPROVING STIPULATION AND STORM COST</w:t>
      </w:r>
      <w:r w:rsidR="00EC4504">
        <w:t xml:space="preserve"> </w:t>
      </w:r>
      <w:r w:rsidR="00E47948">
        <w:t>SETTLEMENT</w:t>
      </w:r>
    </w:p>
    <w:p w:rsidR="003C2436" w:rsidRPr="003E4B2D" w:rsidRDefault="003C2436">
      <w:pPr>
        <w:pStyle w:val="OrderBody"/>
      </w:pPr>
    </w:p>
    <w:p w:rsidR="003C2436" w:rsidRPr="003E4B2D" w:rsidRDefault="003C2436">
      <w:pPr>
        <w:pStyle w:val="OrderBody"/>
      </w:pPr>
    </w:p>
    <w:p w:rsidR="003C2436" w:rsidRPr="003E4B2D" w:rsidRDefault="003C2436">
      <w:pPr>
        <w:pStyle w:val="OrderBody"/>
      </w:pPr>
      <w:r w:rsidRPr="003E4B2D">
        <w:t>BY THE COMMISSION:</w:t>
      </w:r>
    </w:p>
    <w:p w:rsidR="003C2436" w:rsidRPr="003E4B2D" w:rsidRDefault="003C2436">
      <w:pPr>
        <w:pStyle w:val="OrderBody"/>
      </w:pPr>
    </w:p>
    <w:p w:rsidR="003C2436" w:rsidRDefault="003C2436">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3C2436"/>
    <w:p w:rsidR="003C2436" w:rsidRPr="007B2141" w:rsidRDefault="003C2436" w:rsidP="003C2436">
      <w:pPr>
        <w:keepNext/>
        <w:spacing w:after="240"/>
        <w:jc w:val="center"/>
        <w:outlineLvl w:val="0"/>
        <w:rPr>
          <w:kern w:val="32"/>
          <w:szCs w:val="32"/>
          <w:u w:val="single"/>
        </w:rPr>
      </w:pPr>
      <w:r w:rsidRPr="007B2141">
        <w:rPr>
          <w:kern w:val="32"/>
          <w:szCs w:val="32"/>
          <w:u w:val="single"/>
        </w:rPr>
        <w:t>Background</w:t>
      </w:r>
      <w:r w:rsidRPr="007B2141">
        <w:rPr>
          <w:kern w:val="32"/>
          <w:szCs w:val="32"/>
          <w:u w:val="single"/>
        </w:rPr>
        <w:fldChar w:fldCharType="begin"/>
      </w:r>
      <w:r w:rsidRPr="007B2141">
        <w:rPr>
          <w:kern w:val="32"/>
          <w:szCs w:val="32"/>
          <w:u w:val="single"/>
        </w:rPr>
        <w:instrText xml:space="preserve"> TC  "</w:instrText>
      </w:r>
      <w:r w:rsidRPr="007B2141">
        <w:rPr>
          <w:kern w:val="32"/>
          <w:szCs w:val="32"/>
          <w:u w:val="single"/>
        </w:rPr>
        <w:tab/>
      </w:r>
      <w:bookmarkStart w:id="6" w:name="_Toc94516455"/>
      <w:r w:rsidRPr="007B2141">
        <w:rPr>
          <w:kern w:val="32"/>
          <w:szCs w:val="32"/>
          <w:u w:val="single"/>
        </w:rPr>
        <w:instrText>Case Background</w:instrText>
      </w:r>
      <w:bookmarkEnd w:id="6"/>
      <w:r w:rsidRPr="007B2141">
        <w:rPr>
          <w:kern w:val="32"/>
          <w:szCs w:val="32"/>
          <w:u w:val="single"/>
        </w:rPr>
        <w:instrText xml:space="preserve">" \l 1 </w:instrText>
      </w:r>
      <w:r w:rsidRPr="007B2141">
        <w:rPr>
          <w:kern w:val="32"/>
          <w:szCs w:val="32"/>
          <w:u w:val="single"/>
        </w:rPr>
        <w:fldChar w:fldCharType="end"/>
      </w:r>
    </w:p>
    <w:p w:rsidR="003C2436" w:rsidRPr="003C2436" w:rsidRDefault="006F652F" w:rsidP="003C2436">
      <w:pPr>
        <w:autoSpaceDE w:val="0"/>
        <w:autoSpaceDN w:val="0"/>
        <w:adjustRightInd w:val="0"/>
        <w:jc w:val="both"/>
        <w:rPr>
          <w:color w:val="000000" w:themeColor="text1"/>
        </w:rPr>
      </w:pPr>
      <w:r>
        <w:rPr>
          <w:color w:val="000000" w:themeColor="text1"/>
        </w:rPr>
        <w:tab/>
      </w:r>
      <w:r w:rsidR="003C2436" w:rsidRPr="003C2436">
        <w:rPr>
          <w:color w:val="000000" w:themeColor="text1"/>
        </w:rPr>
        <w:t>On April 25, 2019, Peoples Gas System (Peoples or Company) filed a petition to recover</w:t>
      </w:r>
      <w:r w:rsidR="0095146C">
        <w:rPr>
          <w:color w:val="000000" w:themeColor="text1"/>
        </w:rPr>
        <w:t xml:space="preserve"> </w:t>
      </w:r>
      <w:r w:rsidR="003C2436" w:rsidRPr="003C2436">
        <w:rPr>
          <w:color w:val="000000" w:themeColor="text1"/>
        </w:rPr>
        <w:t xml:space="preserve"> approximately $3.4 million for the incremental restoration costs related to Hurricane Michael and to replenish the Company's storm reserve. On July 29, 2019, </w:t>
      </w:r>
      <w:r w:rsidR="0080092F">
        <w:rPr>
          <w:color w:val="000000" w:themeColor="text1"/>
        </w:rPr>
        <w:t>we</w:t>
      </w:r>
      <w:r w:rsidR="003C2436" w:rsidRPr="003C2436">
        <w:rPr>
          <w:color w:val="000000" w:themeColor="text1"/>
        </w:rPr>
        <w:t xml:space="preserve"> issued an order allowing Peoples to implement an interim storm recovery surcharge beginning with the first billing cycle of August 2019.</w:t>
      </w:r>
      <w:r w:rsidR="003C2436" w:rsidRPr="003C2436">
        <w:rPr>
          <w:color w:val="000000" w:themeColor="text1"/>
          <w:vertAlign w:val="superscript"/>
        </w:rPr>
        <w:footnoteReference w:id="1"/>
      </w:r>
      <w:r w:rsidR="003C2436" w:rsidRPr="003C2436">
        <w:rPr>
          <w:color w:val="000000" w:themeColor="text1"/>
        </w:rPr>
        <w:t xml:space="preserve"> Collections for the storm surcharge concluded in December 2019. </w:t>
      </w:r>
    </w:p>
    <w:p w:rsidR="003C2436" w:rsidRPr="003C2436" w:rsidRDefault="003C2436" w:rsidP="003C2436">
      <w:pPr>
        <w:autoSpaceDE w:val="0"/>
        <w:autoSpaceDN w:val="0"/>
        <w:adjustRightInd w:val="0"/>
        <w:jc w:val="both"/>
        <w:rPr>
          <w:color w:val="000000" w:themeColor="text1"/>
        </w:rPr>
      </w:pPr>
    </w:p>
    <w:p w:rsidR="003C2436" w:rsidRPr="003C2436" w:rsidRDefault="006F652F" w:rsidP="003C2436">
      <w:pPr>
        <w:spacing w:after="240"/>
        <w:jc w:val="both"/>
      </w:pPr>
      <w:r>
        <w:tab/>
      </w:r>
      <w:r w:rsidR="003C2436" w:rsidRPr="003C2436">
        <w:t xml:space="preserve">On February 12, 2020, Peoples and OPC </w:t>
      </w:r>
      <w:r w:rsidR="003C2436" w:rsidRPr="00396F96">
        <w:t>(</w:t>
      </w:r>
      <w:r w:rsidR="001E7F7D">
        <w:t>t</w:t>
      </w:r>
      <w:r w:rsidR="003C2436" w:rsidRPr="003C2436">
        <w:t>he Parties) filed a Joint Petition for Approval of Stipulation and Storm Cost Settlement Agreement (Settlement Agreement). The Settlement Agreement is attached as Attachment A. The Settlement Agreement includes adjustments to the recoverable storm amount and future process improvements for cost effective and timely storm damage recovery and service restoration.</w:t>
      </w:r>
    </w:p>
    <w:p w:rsidR="003C2436" w:rsidRPr="003C2436" w:rsidRDefault="006F652F" w:rsidP="003C2436">
      <w:pPr>
        <w:spacing w:after="240"/>
        <w:jc w:val="both"/>
      </w:pPr>
      <w:r>
        <w:tab/>
      </w:r>
      <w:r w:rsidR="003C2436" w:rsidRPr="003C2436">
        <w:t xml:space="preserve">The Settlement Agreement includes total adjustments to the storm cost recovery amount of $147,220, including $115,867 for regular payroll to be reclassified as capital and added to the </w:t>
      </w:r>
      <w:r w:rsidR="003C2436" w:rsidRPr="003C2436">
        <w:lastRenderedPageBreak/>
        <w:t>Company’s Plant in Service balance. After adjustments, the revised recoverable storm amount is $3,235,482. The amount collected through the interim storm restoration recovery charge was $3,421,631. The resulting over-recovery amount of $186,149</w:t>
      </w:r>
      <w:r w:rsidR="003C2436" w:rsidRPr="00396F96">
        <w:t xml:space="preserve"> </w:t>
      </w:r>
      <w:r w:rsidR="0011394F" w:rsidRPr="00396F96">
        <w:t>wil</w:t>
      </w:r>
      <w:r w:rsidR="00F75FD6" w:rsidRPr="00396F96">
        <w:t>l</w:t>
      </w:r>
      <w:r w:rsidR="003C2436" w:rsidRPr="003C2436">
        <w:t xml:space="preserve"> be credited to Peoples' Energy Conservation Cost Recovery Clause filing in 2020.  </w:t>
      </w:r>
    </w:p>
    <w:p w:rsidR="003C2436" w:rsidRPr="003C2436" w:rsidRDefault="006F652F" w:rsidP="003C2436">
      <w:pPr>
        <w:spacing w:after="240"/>
        <w:jc w:val="both"/>
      </w:pPr>
      <w:r>
        <w:tab/>
      </w:r>
      <w:r w:rsidR="003C2436" w:rsidRPr="003C2436">
        <w:t xml:space="preserve">The Parties agree to a set of future storm restoration process improvements intended to allow cost-effective and timely storm damage recovery and service restoration that reasonably balances the customers' right to have service promptly restored with the customers' right not to pay excessive or improper costs to achieve that restoration. The future process improvements cover a broad range of storm cost recovery issues, including: contracting and vendor engagement, travel and work policies, cost documentation, auditing and regulatory recovery processes, and a methodology for determining incremental costs. </w:t>
      </w:r>
    </w:p>
    <w:p w:rsidR="003C2436" w:rsidRPr="003C2436" w:rsidRDefault="006F652F">
      <w:pPr>
        <w:spacing w:after="240"/>
        <w:jc w:val="both"/>
      </w:pPr>
      <w:r>
        <w:tab/>
      </w:r>
      <w:bookmarkStart w:id="7" w:name="_Hlk36718818"/>
      <w:r w:rsidR="00073629">
        <w:t>The Settlement Agreement calls for an</w:t>
      </w:r>
      <w:r w:rsidR="003C2436" w:rsidRPr="003C2436">
        <w:t xml:space="preserve"> over-recovery amount of $186,149 </w:t>
      </w:r>
      <w:r w:rsidR="00073629">
        <w:t>to</w:t>
      </w:r>
      <w:r w:rsidR="00073629" w:rsidRPr="003C2436">
        <w:t xml:space="preserve"> </w:t>
      </w:r>
      <w:r w:rsidR="003C2436" w:rsidRPr="003C2436">
        <w:t xml:space="preserve">be credited to Peoples' Energy Conservation Cost Recovery Clause filing in 2020 and returned to customers through the </w:t>
      </w:r>
      <w:r w:rsidR="003C2436" w:rsidRPr="00396F96">
        <w:t>true</w:t>
      </w:r>
      <w:r w:rsidR="0011394F" w:rsidRPr="00396F96">
        <w:t>-</w:t>
      </w:r>
      <w:r w:rsidR="003C2436" w:rsidRPr="00396F96">
        <w:t>up</w:t>
      </w:r>
      <w:r w:rsidR="003C2436" w:rsidRPr="003C2436">
        <w:t xml:space="preserve">. The Parties </w:t>
      </w:r>
      <w:r w:rsidR="00073629">
        <w:t xml:space="preserve">also propose that they </w:t>
      </w:r>
      <w:r w:rsidR="0011394F" w:rsidRPr="00396F96">
        <w:t>will</w:t>
      </w:r>
      <w:r w:rsidR="003C2436" w:rsidRPr="003C2436">
        <w:t xml:space="preserve"> meet to evaluate the procedures and consider the need to amend them during the first quarter of 2022 and every three years thereafter</w:t>
      </w:r>
      <w:r w:rsidR="00073629">
        <w:t xml:space="preserve">. </w:t>
      </w:r>
      <w:bookmarkStart w:id="8" w:name="_Hlk36719726"/>
      <w:bookmarkEnd w:id="7"/>
      <w:r w:rsidR="003C2436" w:rsidRPr="003C2436">
        <w:t>The</w:t>
      </w:r>
      <w:r w:rsidR="00073629">
        <w:t xml:space="preserve"> Parties have also specified that their</w:t>
      </w:r>
      <w:r w:rsidR="003C2436" w:rsidRPr="003C2436">
        <w:t xml:space="preserve"> Settlement Agreement </w:t>
      </w:r>
      <w:r w:rsidR="0011394F" w:rsidRPr="00396F96">
        <w:t>will</w:t>
      </w:r>
      <w:r w:rsidR="0011394F">
        <w:t xml:space="preserve"> </w:t>
      </w:r>
      <w:r w:rsidR="00073629">
        <w:t xml:space="preserve">only </w:t>
      </w:r>
      <w:r w:rsidR="003C2436" w:rsidRPr="003C2436">
        <w:t xml:space="preserve">become effective after three milestones are met: </w:t>
      </w:r>
      <w:r w:rsidR="0080092F">
        <w:t xml:space="preserve">we approve the </w:t>
      </w:r>
      <w:r w:rsidR="003C2436" w:rsidRPr="003C2436">
        <w:t xml:space="preserve">settlement agreement, </w:t>
      </w:r>
      <w:r w:rsidR="0080092F">
        <w:t xml:space="preserve">we issue </w:t>
      </w:r>
      <w:r w:rsidR="003C2436" w:rsidRPr="003C2436">
        <w:t xml:space="preserve">a final order, and the final order </w:t>
      </w:r>
      <w:r w:rsidR="00F75FD6">
        <w:t xml:space="preserve">is no longer </w:t>
      </w:r>
      <w:r w:rsidR="003C2436" w:rsidRPr="003C2436">
        <w:t>appealable.</w:t>
      </w:r>
      <w:bookmarkEnd w:id="8"/>
    </w:p>
    <w:p w:rsidR="00122E84" w:rsidRDefault="006F652F" w:rsidP="0080092F">
      <w:pPr>
        <w:jc w:val="both"/>
      </w:pPr>
      <w:r>
        <w:tab/>
      </w:r>
      <w:r w:rsidR="00122E84">
        <w:t xml:space="preserve">We have jurisdiction over this request </w:t>
      </w:r>
      <w:r w:rsidR="0011394F" w:rsidRPr="00396F96">
        <w:t>pursuant to</w:t>
      </w:r>
      <w:r w:rsidR="00122E84">
        <w:t xml:space="preserve"> Sections 366.03, 366.04, 366.05, and 366.06, Florida Statutes (F.S.).</w:t>
      </w:r>
    </w:p>
    <w:p w:rsidR="00512652" w:rsidRDefault="00512652" w:rsidP="0080092F">
      <w:pPr>
        <w:jc w:val="both"/>
      </w:pPr>
    </w:p>
    <w:p w:rsidR="00122E84" w:rsidRDefault="00512652" w:rsidP="00122E84">
      <w:pPr>
        <w:jc w:val="center"/>
        <w:rPr>
          <w:u w:val="single"/>
        </w:rPr>
      </w:pPr>
      <w:r>
        <w:rPr>
          <w:u w:val="single"/>
        </w:rPr>
        <w:t>Decision</w:t>
      </w:r>
    </w:p>
    <w:p w:rsidR="00122E84" w:rsidRDefault="00122E84" w:rsidP="00122E84">
      <w:pPr>
        <w:jc w:val="center"/>
        <w:rPr>
          <w:u w:val="single"/>
        </w:rPr>
      </w:pPr>
    </w:p>
    <w:p w:rsidR="00122E84" w:rsidRDefault="00122E84" w:rsidP="00122E84">
      <w:pPr>
        <w:jc w:val="both"/>
      </w:pPr>
      <w:r>
        <w:tab/>
        <w:t>The standard for approval of a settlement agreement is whether it is in the public interest.</w:t>
      </w:r>
      <w:r>
        <w:rPr>
          <w:rStyle w:val="FootnoteReference"/>
        </w:rPr>
        <w:footnoteReference w:id="2"/>
      </w:r>
      <w:r>
        <w:t xml:space="preserve"> A determination of public interest requires a case-specific analysis based on consideration of the proposed settlement taken as a whole.</w:t>
      </w:r>
      <w:r>
        <w:rPr>
          <w:rStyle w:val="FootnoteReference"/>
        </w:rPr>
        <w:footnoteReference w:id="3"/>
      </w:r>
    </w:p>
    <w:p w:rsidR="00597148" w:rsidRDefault="00597148" w:rsidP="00122E84">
      <w:pPr>
        <w:jc w:val="both"/>
      </w:pPr>
    </w:p>
    <w:p w:rsidR="00396681" w:rsidRDefault="00F66D10" w:rsidP="00396681">
      <w:pPr>
        <w:ind w:firstLine="720"/>
        <w:jc w:val="both"/>
      </w:pPr>
      <w:r>
        <w:t>During the Agenda Conference on M</w:t>
      </w:r>
      <w:r w:rsidR="00A63222">
        <w:t xml:space="preserve">arch 31, 2020, </w:t>
      </w:r>
      <w:r>
        <w:t xml:space="preserve">the </w:t>
      </w:r>
      <w:r w:rsidR="0080092F">
        <w:t>Parties</w:t>
      </w:r>
      <w:r w:rsidR="00471790">
        <w:t xml:space="preserve"> </w:t>
      </w:r>
      <w:r w:rsidR="00421212">
        <w:t xml:space="preserve">provided </w:t>
      </w:r>
      <w:r w:rsidR="0036769A">
        <w:t xml:space="preserve">comment on reasons to support the </w:t>
      </w:r>
      <w:r w:rsidR="004A71C2">
        <w:t xml:space="preserve">Settlement Agreement </w:t>
      </w:r>
      <w:r w:rsidR="0036769A">
        <w:t xml:space="preserve">as in public interest. Both Parties </w:t>
      </w:r>
      <w:r w:rsidR="00AE6D80">
        <w:t>highlighted t</w:t>
      </w:r>
      <w:r w:rsidR="00AE6D80" w:rsidRPr="00AE6D80">
        <w:t xml:space="preserve">he </w:t>
      </w:r>
      <w:r w:rsidR="0036769A">
        <w:t xml:space="preserve">extreme vetting of Peoples’ storm </w:t>
      </w:r>
      <w:r w:rsidR="00AE6D80" w:rsidRPr="00AE6D80">
        <w:t xml:space="preserve">costs </w:t>
      </w:r>
      <w:r w:rsidR="0036769A">
        <w:t xml:space="preserve">by </w:t>
      </w:r>
      <w:r w:rsidR="00AE6D80">
        <w:t>O</w:t>
      </w:r>
      <w:r w:rsidR="00AE6D80" w:rsidRPr="00AE6D80">
        <w:t xml:space="preserve">PC and </w:t>
      </w:r>
      <w:r w:rsidR="00AE6D80">
        <w:t xml:space="preserve">Commission </w:t>
      </w:r>
      <w:r w:rsidR="00AE6D80" w:rsidRPr="00AE6D80">
        <w:t xml:space="preserve">staff, and </w:t>
      </w:r>
      <w:r w:rsidR="0036769A">
        <w:t xml:space="preserve">that as a result of that process, </w:t>
      </w:r>
      <w:r w:rsidR="00AE6D80" w:rsidRPr="00AE6D80">
        <w:t>approximately $186,000 of</w:t>
      </w:r>
      <w:r w:rsidR="00AE6D80">
        <w:t xml:space="preserve"> </w:t>
      </w:r>
      <w:r w:rsidR="0036769A">
        <w:t>the requested c</w:t>
      </w:r>
      <w:r w:rsidR="00AE6D80" w:rsidRPr="00AE6D80">
        <w:t xml:space="preserve">osts were determined not </w:t>
      </w:r>
      <w:r w:rsidR="0036769A">
        <w:t xml:space="preserve">to </w:t>
      </w:r>
      <w:r w:rsidR="00AE6D80" w:rsidRPr="00AE6D80">
        <w:t>be recoverable</w:t>
      </w:r>
      <w:r w:rsidR="00AE6D80">
        <w:t xml:space="preserve"> </w:t>
      </w:r>
      <w:r w:rsidR="00AE6D80" w:rsidRPr="00AE6D80">
        <w:t xml:space="preserve">as part of this settlement. </w:t>
      </w:r>
      <w:r w:rsidR="0036769A">
        <w:t>Peoples agreed t</w:t>
      </w:r>
      <w:r w:rsidR="00AE6D80" w:rsidRPr="00AE6D80">
        <w:t>h</w:t>
      </w:r>
      <w:r w:rsidR="0036769A">
        <w:t xml:space="preserve">at the full amount of those </w:t>
      </w:r>
      <w:r w:rsidR="00AE6D80" w:rsidRPr="00AE6D80">
        <w:t>costs</w:t>
      </w:r>
      <w:r w:rsidR="00AE6D80">
        <w:t xml:space="preserve"> </w:t>
      </w:r>
      <w:r w:rsidR="00AE6D80" w:rsidRPr="00AE6D80">
        <w:t xml:space="preserve">will be </w:t>
      </w:r>
      <w:r w:rsidR="0036769A">
        <w:t xml:space="preserve">returned </w:t>
      </w:r>
      <w:r w:rsidR="00AE6D80" w:rsidRPr="00AE6D80">
        <w:t xml:space="preserve">to customers via </w:t>
      </w:r>
      <w:r w:rsidR="0036769A">
        <w:t xml:space="preserve">a credit through </w:t>
      </w:r>
      <w:r w:rsidR="00AE6D80" w:rsidRPr="00AE6D80">
        <w:t>the</w:t>
      </w:r>
      <w:r w:rsidR="00AE6D80">
        <w:t xml:space="preserve"> E</w:t>
      </w:r>
      <w:r w:rsidR="00AE6D80" w:rsidRPr="00AE6D80">
        <w:t xml:space="preserve">nergy </w:t>
      </w:r>
      <w:r w:rsidR="00AE6D80">
        <w:t>C</w:t>
      </w:r>
      <w:r w:rsidR="00AE6D80" w:rsidRPr="00AE6D80">
        <w:t xml:space="preserve">onservation </w:t>
      </w:r>
      <w:r w:rsidR="00AE6D80">
        <w:t>C</w:t>
      </w:r>
      <w:r w:rsidR="00AE6D80" w:rsidRPr="00AE6D80">
        <w:t xml:space="preserve">ost </w:t>
      </w:r>
      <w:r w:rsidR="00AE6D80">
        <w:t>R</w:t>
      </w:r>
      <w:r w:rsidR="00AE6D80" w:rsidRPr="00AE6D80">
        <w:t xml:space="preserve">ecovery </w:t>
      </w:r>
      <w:r w:rsidR="00AE6D80">
        <w:t>C</w:t>
      </w:r>
      <w:r w:rsidR="007D66C5">
        <w:t>lause c</w:t>
      </w:r>
      <w:r w:rsidR="00AE6D80" w:rsidRPr="00AE6D80">
        <w:t>harge in</w:t>
      </w:r>
      <w:r w:rsidR="00AE6D80">
        <w:t xml:space="preserve"> </w:t>
      </w:r>
      <w:r w:rsidR="00AE6D80" w:rsidRPr="00AE6D80">
        <w:t>Peoples' tariff.</w:t>
      </w:r>
      <w:r w:rsidR="00AE6D80">
        <w:t xml:space="preserve"> The Settlement Agreement also </w:t>
      </w:r>
      <w:r w:rsidR="00396681">
        <w:t xml:space="preserve">encompasses many </w:t>
      </w:r>
      <w:r w:rsidR="00AE6D80" w:rsidRPr="00AE6D80">
        <w:t xml:space="preserve">future process improvements </w:t>
      </w:r>
      <w:r w:rsidR="00396681">
        <w:t xml:space="preserve">designed to increase financial accountability in future storm recovery dockets. These process improvement initiatives </w:t>
      </w:r>
      <w:r w:rsidR="00AE6D80" w:rsidRPr="00AE6D80">
        <w:t>identifie</w:t>
      </w:r>
      <w:r w:rsidR="00396681">
        <w:t>d</w:t>
      </w:r>
      <w:r w:rsidR="00AE6D80" w:rsidRPr="00AE6D80">
        <w:t xml:space="preserve"> specific</w:t>
      </w:r>
      <w:r w:rsidR="00AE6D80">
        <w:t xml:space="preserve"> </w:t>
      </w:r>
      <w:r w:rsidR="00AE6D80" w:rsidRPr="00AE6D80">
        <w:t>accounting procedures, including the implementation of new processes with regard to contractors and vendor engagement, travel and work policies, cost documentation, auditing</w:t>
      </w:r>
      <w:r w:rsidR="00AE6D80">
        <w:t>,</w:t>
      </w:r>
      <w:r w:rsidR="00AE6D80" w:rsidRPr="00AE6D80">
        <w:t xml:space="preserve"> and regulatory recovery</w:t>
      </w:r>
      <w:r w:rsidR="00AE6D80">
        <w:t xml:space="preserve"> </w:t>
      </w:r>
      <w:r w:rsidR="00AE6D80" w:rsidRPr="00AE6D80">
        <w:t xml:space="preserve">processes that </w:t>
      </w:r>
      <w:r w:rsidR="00AE6D80">
        <w:t>P</w:t>
      </w:r>
      <w:r w:rsidR="004517B9">
        <w:t>eoples</w:t>
      </w:r>
      <w:r w:rsidR="00AE6D80" w:rsidRPr="00AE6D80">
        <w:t xml:space="preserve"> will provide in future storm cost proceedings.</w:t>
      </w:r>
      <w:r w:rsidR="00AE6D80">
        <w:t xml:space="preserve"> </w:t>
      </w:r>
      <w:r w:rsidR="00941A00">
        <w:t>P</w:t>
      </w:r>
      <w:r w:rsidR="00396681">
        <w:t xml:space="preserve">eoples acknowledged that while its </w:t>
      </w:r>
      <w:r w:rsidR="00396681" w:rsidRPr="00396681">
        <w:t>top priority is still going to be safe and timely restoration of services</w:t>
      </w:r>
      <w:r w:rsidR="00396681">
        <w:t xml:space="preserve"> during and after a storm</w:t>
      </w:r>
      <w:r w:rsidR="00396681" w:rsidRPr="00396681">
        <w:t xml:space="preserve">, these </w:t>
      </w:r>
      <w:r w:rsidR="00396681">
        <w:t xml:space="preserve">new </w:t>
      </w:r>
      <w:r w:rsidR="00396681" w:rsidRPr="00396681">
        <w:t>procedures</w:t>
      </w:r>
      <w:r w:rsidR="00396681">
        <w:t xml:space="preserve"> are directed at </w:t>
      </w:r>
      <w:r w:rsidR="00396681" w:rsidRPr="00396681">
        <w:t xml:space="preserve"> streamlin</w:t>
      </w:r>
      <w:r w:rsidR="00396681">
        <w:t>ing</w:t>
      </w:r>
      <w:r w:rsidR="00396681" w:rsidRPr="00396681">
        <w:t xml:space="preserve"> the </w:t>
      </w:r>
      <w:r w:rsidR="001E7F7D">
        <w:t xml:space="preserve">cost recovery </w:t>
      </w:r>
      <w:r w:rsidR="00396681" w:rsidRPr="00396681">
        <w:t xml:space="preserve">process and </w:t>
      </w:r>
      <w:r w:rsidR="00396681">
        <w:t xml:space="preserve">increase </w:t>
      </w:r>
      <w:r w:rsidR="00D648F8">
        <w:t xml:space="preserve">financial </w:t>
      </w:r>
      <w:r w:rsidR="00396681">
        <w:t>accountability.</w:t>
      </w:r>
    </w:p>
    <w:p w:rsidR="00396681" w:rsidRDefault="00396681" w:rsidP="00396681">
      <w:pPr>
        <w:ind w:firstLine="720"/>
        <w:jc w:val="both"/>
      </w:pPr>
    </w:p>
    <w:p w:rsidR="00F66D10" w:rsidRDefault="00396681" w:rsidP="0029062A">
      <w:pPr>
        <w:ind w:firstLine="720"/>
        <w:jc w:val="both"/>
      </w:pPr>
      <w:r>
        <w:t xml:space="preserve">At the hearing, OPC </w:t>
      </w:r>
      <w:r w:rsidR="0029062A">
        <w:t xml:space="preserve">assured the Commission that Peoples was not being criticized for any of its former procedures, but </w:t>
      </w:r>
      <w:r>
        <w:t xml:space="preserve">agreed </w:t>
      </w:r>
      <w:r w:rsidR="00D648F8">
        <w:t xml:space="preserve">that </w:t>
      </w:r>
      <w:r w:rsidR="0029062A">
        <w:t xml:space="preserve">the new procedures </w:t>
      </w:r>
      <w:r w:rsidR="00D648F8">
        <w:t xml:space="preserve">contained within the Settlement Agreement </w:t>
      </w:r>
      <w:r>
        <w:t>will be beneficial</w:t>
      </w:r>
      <w:r w:rsidR="001E7F7D">
        <w:t xml:space="preserve"> for future storm cost recovery determinations</w:t>
      </w:r>
      <w:r>
        <w:t xml:space="preserve">, and </w:t>
      </w:r>
      <w:r w:rsidR="00D648F8">
        <w:t>are</w:t>
      </w:r>
      <w:r w:rsidR="0029062A">
        <w:t xml:space="preserve"> in the public interest. </w:t>
      </w:r>
    </w:p>
    <w:p w:rsidR="0029062A" w:rsidRDefault="0029062A" w:rsidP="0029062A">
      <w:pPr>
        <w:ind w:firstLine="720"/>
        <w:jc w:val="both"/>
      </w:pPr>
    </w:p>
    <w:p w:rsidR="004F2528" w:rsidRDefault="00F66D10" w:rsidP="004F2528">
      <w:pPr>
        <w:ind w:firstLine="720"/>
        <w:jc w:val="both"/>
      </w:pPr>
      <w:r>
        <w:t>Therefore, b</w:t>
      </w:r>
      <w:r w:rsidR="004F2528" w:rsidRPr="00352C77">
        <w:t xml:space="preserve">ased upon the </w:t>
      </w:r>
      <w:r w:rsidR="00244B6F">
        <w:t>People’s</w:t>
      </w:r>
      <w:r w:rsidR="004F2528" w:rsidRPr="00352C77">
        <w:t xml:space="preserve"> application, its subsequent filings, our review </w:t>
      </w:r>
      <w:r w:rsidR="004F2528">
        <w:t xml:space="preserve">of the Settlement Agreement, </w:t>
      </w:r>
      <w:r w:rsidR="004F2528" w:rsidRPr="00352C77">
        <w:t>evidence</w:t>
      </w:r>
      <w:r w:rsidR="004F2528">
        <w:t xml:space="preserve"> and testimony</w:t>
      </w:r>
      <w:r w:rsidR="004F2528" w:rsidRPr="00352C77">
        <w:t xml:space="preserve"> on the record</w:t>
      </w:r>
      <w:r w:rsidR="004F2528">
        <w:t>, and the statements provided by the Parties at the hearing</w:t>
      </w:r>
      <w:r w:rsidR="004F2528" w:rsidRPr="00352C77">
        <w:t>, we find that the Settlement Agreement</w:t>
      </w:r>
      <w:r w:rsidR="00244B6F">
        <w:t xml:space="preserve">, when taken as a whole, </w:t>
      </w:r>
      <w:r w:rsidR="004F2528" w:rsidRPr="00352C77">
        <w:t>is in the public interest</w:t>
      </w:r>
      <w:r w:rsidR="004F2528">
        <w:t xml:space="preserve"> and is approved. The Settlement Agreement resolves all of the issues in this docket.</w:t>
      </w:r>
    </w:p>
    <w:p w:rsidR="00597148" w:rsidRDefault="00597148" w:rsidP="00597148">
      <w:pPr>
        <w:jc w:val="both"/>
      </w:pPr>
    </w:p>
    <w:p w:rsidR="00597148" w:rsidRDefault="00597148" w:rsidP="007B2141">
      <w:pPr>
        <w:keepNext/>
        <w:keepLines/>
        <w:jc w:val="both"/>
      </w:pPr>
      <w:r>
        <w:tab/>
        <w:t>Based on the foregoing, it is</w:t>
      </w:r>
    </w:p>
    <w:p w:rsidR="00597148" w:rsidRDefault="00597148" w:rsidP="007B2141">
      <w:pPr>
        <w:keepNext/>
        <w:keepLines/>
        <w:jc w:val="both"/>
      </w:pPr>
    </w:p>
    <w:p w:rsidR="00597148" w:rsidRDefault="00597148" w:rsidP="007B2141">
      <w:pPr>
        <w:keepNext/>
        <w:keepLines/>
        <w:jc w:val="both"/>
      </w:pPr>
      <w:r>
        <w:tab/>
        <w:t xml:space="preserve">ORDERED by the Florida Public Service Commission that the Joint Motion for Approval of </w:t>
      </w:r>
      <w:r w:rsidR="002D6F70">
        <w:t>the S</w:t>
      </w:r>
      <w:r>
        <w:t xml:space="preserve">tipulation and Settlement </w:t>
      </w:r>
      <w:r w:rsidR="002D6F70">
        <w:t>Agreement, a</w:t>
      </w:r>
      <w:r>
        <w:t xml:space="preserve">s stated </w:t>
      </w:r>
      <w:r w:rsidR="002D6F70">
        <w:t>i</w:t>
      </w:r>
      <w:r>
        <w:t>n Attachment A, is hereby approved. It is further</w:t>
      </w:r>
      <w:r w:rsidR="008566CC">
        <w:t xml:space="preserve"> </w:t>
      </w:r>
    </w:p>
    <w:p w:rsidR="00597148" w:rsidRDefault="00597148" w:rsidP="00597148">
      <w:pPr>
        <w:jc w:val="both"/>
      </w:pPr>
    </w:p>
    <w:p w:rsidR="00597148" w:rsidRDefault="00597148" w:rsidP="00597148">
      <w:pPr>
        <w:jc w:val="both"/>
      </w:pPr>
      <w:r>
        <w:tab/>
      </w:r>
      <w:bookmarkStart w:id="9" w:name="_Hlk36718863"/>
      <w:r>
        <w:t>ORDERED that</w:t>
      </w:r>
      <w:bookmarkEnd w:id="9"/>
      <w:r>
        <w:t xml:space="preserve"> </w:t>
      </w:r>
      <w:r w:rsidR="002D6F70" w:rsidRPr="002D6F70">
        <w:t xml:space="preserve">the over-recovery amount of $186,149 </w:t>
      </w:r>
      <w:r w:rsidR="0080092F">
        <w:t>shall</w:t>
      </w:r>
      <w:r w:rsidR="002D6F70" w:rsidRPr="002D6F70">
        <w:t xml:space="preserve"> be credited to Peoples' Energy Conservation Cost Recovery Clause filing in 2020 and returned to customers through the true</w:t>
      </w:r>
      <w:r w:rsidR="009C2949">
        <w:t>-</w:t>
      </w:r>
      <w:r w:rsidR="002D6F70" w:rsidRPr="002D6F70">
        <w:t xml:space="preserve">up. </w:t>
      </w:r>
      <w:r>
        <w:t>It is further</w:t>
      </w:r>
    </w:p>
    <w:p w:rsidR="00597148" w:rsidRDefault="00597148" w:rsidP="00597148">
      <w:pPr>
        <w:jc w:val="both"/>
      </w:pPr>
    </w:p>
    <w:p w:rsidR="002D6F70" w:rsidRDefault="002D6F70" w:rsidP="002D6F70">
      <w:pPr>
        <w:jc w:val="both"/>
      </w:pPr>
      <w:r>
        <w:tab/>
      </w:r>
      <w:bookmarkStart w:id="10" w:name="_Hlk36719736"/>
      <w:r w:rsidRPr="002D6F70">
        <w:t xml:space="preserve">ORDERED that </w:t>
      </w:r>
      <w:bookmarkEnd w:id="10"/>
      <w:r>
        <w:t>t</w:t>
      </w:r>
      <w:r w:rsidRPr="002D6F70">
        <w:t xml:space="preserve">he Parties </w:t>
      </w:r>
      <w:r w:rsidR="0080092F">
        <w:t>shall</w:t>
      </w:r>
      <w:r w:rsidRPr="002D6F70">
        <w:t xml:space="preserve"> meet to evaluate the </w:t>
      </w:r>
      <w:r w:rsidR="00091E48">
        <w:t xml:space="preserve">future process improvement </w:t>
      </w:r>
      <w:r w:rsidRPr="002D6F70">
        <w:t>procedures and consider the need to amend them during the first quarter of 2022 and every three years thereafter.</w:t>
      </w:r>
      <w:r>
        <w:t xml:space="preserve"> It is further</w:t>
      </w:r>
    </w:p>
    <w:p w:rsidR="00DC0A42" w:rsidRDefault="00DC0A42" w:rsidP="002D6F70">
      <w:pPr>
        <w:jc w:val="both"/>
      </w:pPr>
    </w:p>
    <w:p w:rsidR="00597148" w:rsidRDefault="00DC0A42" w:rsidP="002A198C">
      <w:pPr>
        <w:jc w:val="both"/>
      </w:pPr>
      <w:r>
        <w:tab/>
      </w:r>
      <w:r w:rsidR="00597148">
        <w:t>ORDERED that the provisions of this order, issued as proposed agency action, shall become final and effective upon the issuance of a Consummating Order unless an appropriate petition, in the form provided by Rule 28-106.201, F.A.C., is received by the Office of the Commission Clerk, 2540 Shumard Oak Boulevard, Tallahassee, Florida 32399-0850, by the close of business on the date set forth in the “Notice of Further Proceedings” attached hereto. It is further</w:t>
      </w:r>
    </w:p>
    <w:p w:rsidR="00597148" w:rsidRDefault="00597148" w:rsidP="00597148">
      <w:pPr>
        <w:jc w:val="both"/>
      </w:pPr>
    </w:p>
    <w:p w:rsidR="0029062A" w:rsidRDefault="0029062A" w:rsidP="0029062A">
      <w:pPr>
        <w:pStyle w:val="OrderBody"/>
      </w:pPr>
      <w:r>
        <w:tab/>
        <w:t>ORDERED that in the event this Order becomes final, this docket shall be closed.</w:t>
      </w:r>
    </w:p>
    <w:p w:rsidR="00597148" w:rsidRPr="00AA77FC" w:rsidRDefault="00F66D10" w:rsidP="007B2141">
      <w:pPr>
        <w:ind w:firstLine="720"/>
        <w:jc w:val="both"/>
        <w:rPr>
          <w:u w:val="single"/>
        </w:rPr>
      </w:pPr>
      <w:r>
        <w:t xml:space="preserve"> </w:t>
      </w:r>
    </w:p>
    <w:p w:rsidR="00597148" w:rsidRDefault="00597148" w:rsidP="00597148">
      <w:pPr>
        <w:jc w:val="both"/>
      </w:pPr>
    </w:p>
    <w:p w:rsidR="003C2436" w:rsidRDefault="003C2436" w:rsidP="003C2436">
      <w:pPr>
        <w:pStyle w:val="OrderBody"/>
        <w:keepNext/>
        <w:keepLines/>
      </w:pPr>
      <w:r>
        <w:tab/>
        <w:t xml:space="preserve">By ORDER of the Florida Public Service Commission this </w:t>
      </w:r>
      <w:bookmarkStart w:id="11" w:name="replaceDate"/>
      <w:bookmarkEnd w:id="11"/>
      <w:r w:rsidR="00EC7792">
        <w:rPr>
          <w:u w:val="single"/>
        </w:rPr>
        <w:t>14th</w:t>
      </w:r>
      <w:r w:rsidR="00EC7792">
        <w:t xml:space="preserve"> day of </w:t>
      </w:r>
      <w:r w:rsidR="00EC7792">
        <w:rPr>
          <w:u w:val="single"/>
        </w:rPr>
        <w:t>April</w:t>
      </w:r>
      <w:r w:rsidR="00EC7792">
        <w:t xml:space="preserve">, </w:t>
      </w:r>
      <w:r w:rsidR="00EC7792">
        <w:rPr>
          <w:u w:val="single"/>
        </w:rPr>
        <w:t>2020</w:t>
      </w:r>
      <w:r w:rsidR="00EC7792">
        <w:t>.</w:t>
      </w:r>
    </w:p>
    <w:p w:rsidR="00EC7792" w:rsidRPr="00EC7792" w:rsidRDefault="00EC7792" w:rsidP="003C2436">
      <w:pPr>
        <w:pStyle w:val="OrderBody"/>
        <w:keepNext/>
        <w:keepLines/>
      </w:pPr>
    </w:p>
    <w:p w:rsidR="003C2436" w:rsidRDefault="003C2436" w:rsidP="003C2436">
      <w:pPr>
        <w:pStyle w:val="OrderBody"/>
        <w:keepNext/>
        <w:keepLines/>
      </w:pPr>
    </w:p>
    <w:p w:rsidR="003C2436" w:rsidRDefault="003C2436" w:rsidP="003C2436">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3C2436" w:rsidTr="003C2436">
        <w:tc>
          <w:tcPr>
            <w:tcW w:w="720" w:type="dxa"/>
            <w:shd w:val="clear" w:color="auto" w:fill="auto"/>
          </w:tcPr>
          <w:p w:rsidR="003C2436" w:rsidRDefault="003C2436" w:rsidP="003C2436">
            <w:pPr>
              <w:pStyle w:val="OrderBody"/>
              <w:keepNext/>
              <w:keepLines/>
            </w:pPr>
            <w:bookmarkStart w:id="12" w:name="bkmrkSignature" w:colFirst="0" w:colLast="0"/>
          </w:p>
        </w:tc>
        <w:tc>
          <w:tcPr>
            <w:tcW w:w="4320" w:type="dxa"/>
            <w:tcBorders>
              <w:bottom w:val="single" w:sz="4" w:space="0" w:color="auto"/>
            </w:tcBorders>
            <w:shd w:val="clear" w:color="auto" w:fill="auto"/>
          </w:tcPr>
          <w:p w:rsidR="003C2436" w:rsidRDefault="00EC7792" w:rsidP="003C2436">
            <w:pPr>
              <w:pStyle w:val="OrderBody"/>
              <w:keepNext/>
              <w:keepLines/>
            </w:pPr>
            <w:r>
              <w:t>/s/ Adam J. Teitzman</w:t>
            </w:r>
            <w:bookmarkStart w:id="13" w:name="_GoBack"/>
            <w:bookmarkEnd w:id="13"/>
          </w:p>
        </w:tc>
      </w:tr>
      <w:bookmarkEnd w:id="12"/>
      <w:tr w:rsidR="003C2436" w:rsidTr="003C2436">
        <w:tc>
          <w:tcPr>
            <w:tcW w:w="720" w:type="dxa"/>
            <w:shd w:val="clear" w:color="auto" w:fill="auto"/>
          </w:tcPr>
          <w:p w:rsidR="003C2436" w:rsidRDefault="003C2436" w:rsidP="003C2436">
            <w:pPr>
              <w:pStyle w:val="OrderBody"/>
              <w:keepNext/>
              <w:keepLines/>
            </w:pPr>
          </w:p>
        </w:tc>
        <w:tc>
          <w:tcPr>
            <w:tcW w:w="4320" w:type="dxa"/>
            <w:tcBorders>
              <w:top w:val="single" w:sz="4" w:space="0" w:color="auto"/>
            </w:tcBorders>
            <w:shd w:val="clear" w:color="auto" w:fill="auto"/>
          </w:tcPr>
          <w:p w:rsidR="003C2436" w:rsidRDefault="003C2436" w:rsidP="003C2436">
            <w:pPr>
              <w:pStyle w:val="OrderBody"/>
              <w:keepNext/>
              <w:keepLines/>
            </w:pPr>
            <w:r>
              <w:t>ADAM J. TEITZMAN</w:t>
            </w:r>
          </w:p>
          <w:p w:rsidR="003C2436" w:rsidRDefault="003C2436" w:rsidP="003C2436">
            <w:pPr>
              <w:pStyle w:val="OrderBody"/>
              <w:keepNext/>
              <w:keepLines/>
            </w:pPr>
            <w:r>
              <w:t>Commission Clerk</w:t>
            </w:r>
          </w:p>
        </w:tc>
      </w:tr>
    </w:tbl>
    <w:p w:rsidR="003C2436" w:rsidRDefault="003C2436" w:rsidP="003C2436">
      <w:pPr>
        <w:pStyle w:val="OrderSigInfo"/>
        <w:keepNext/>
        <w:keepLines/>
      </w:pPr>
      <w:r>
        <w:t>Florida Public Service Commission</w:t>
      </w:r>
    </w:p>
    <w:p w:rsidR="003C2436" w:rsidRDefault="003C2436" w:rsidP="003C2436">
      <w:pPr>
        <w:pStyle w:val="OrderSigInfo"/>
        <w:keepNext/>
        <w:keepLines/>
      </w:pPr>
      <w:r>
        <w:t>2540 Shumard Oak Boulevard</w:t>
      </w:r>
    </w:p>
    <w:p w:rsidR="003C2436" w:rsidRDefault="003C2436" w:rsidP="003C2436">
      <w:pPr>
        <w:pStyle w:val="OrderSigInfo"/>
        <w:keepNext/>
        <w:keepLines/>
      </w:pPr>
      <w:r>
        <w:t>Tallahassee, Florida 32399</w:t>
      </w:r>
    </w:p>
    <w:p w:rsidR="003C2436" w:rsidRDefault="003C2436" w:rsidP="003C2436">
      <w:pPr>
        <w:pStyle w:val="OrderSigInfo"/>
        <w:keepNext/>
        <w:keepLines/>
      </w:pPr>
      <w:r>
        <w:t>(850) 413</w:t>
      </w:r>
      <w:r>
        <w:noBreakHyphen/>
        <w:t>6770</w:t>
      </w:r>
    </w:p>
    <w:p w:rsidR="003C2436" w:rsidRDefault="003C2436" w:rsidP="003C2436">
      <w:pPr>
        <w:pStyle w:val="OrderSigInfo"/>
        <w:keepNext/>
        <w:keepLines/>
      </w:pPr>
      <w:r>
        <w:t>www.floridapsc.com</w:t>
      </w:r>
    </w:p>
    <w:p w:rsidR="003C2436" w:rsidRDefault="003C2436" w:rsidP="003C2436">
      <w:pPr>
        <w:pStyle w:val="OrderSigInfo"/>
        <w:keepNext/>
        <w:keepLines/>
      </w:pPr>
    </w:p>
    <w:p w:rsidR="003C2436" w:rsidRDefault="003C2436" w:rsidP="003C2436">
      <w:pPr>
        <w:pStyle w:val="OrderSigInfo"/>
        <w:keepNext/>
        <w:keepLines/>
      </w:pPr>
      <w:r>
        <w:t>Copies furnished:  A copy of this document is provided to the parties of record at the time of issuance and, if applicable, interested persons.</w:t>
      </w:r>
    </w:p>
    <w:p w:rsidR="003C2436" w:rsidRDefault="003C2436" w:rsidP="003C2436">
      <w:pPr>
        <w:pStyle w:val="OrderBody"/>
        <w:keepNext/>
        <w:keepLines/>
      </w:pPr>
    </w:p>
    <w:p w:rsidR="003C2436" w:rsidRDefault="003C2436" w:rsidP="003C2436">
      <w:pPr>
        <w:pStyle w:val="OrderBody"/>
        <w:keepNext/>
        <w:keepLines/>
      </w:pPr>
    </w:p>
    <w:p w:rsidR="003C2436" w:rsidRDefault="003C2436" w:rsidP="003C2436">
      <w:pPr>
        <w:pStyle w:val="OrderBody"/>
        <w:keepNext/>
        <w:keepLines/>
      </w:pPr>
      <w:r>
        <w:t>WLT</w:t>
      </w:r>
    </w:p>
    <w:p w:rsidR="00594C09" w:rsidRDefault="00594C09" w:rsidP="003C2436">
      <w:pPr>
        <w:pStyle w:val="OrderBody"/>
        <w:keepNext/>
        <w:keepLines/>
      </w:pPr>
    </w:p>
    <w:p w:rsidR="00A30D19" w:rsidRDefault="00A30D19" w:rsidP="00A30D19">
      <w:pPr>
        <w:pStyle w:val="CenterUnderline"/>
      </w:pPr>
      <w:r>
        <w:t>NOTICE OF FURTHER PROCEEDINGS OR JUDICIAL REVIEW</w:t>
      </w:r>
    </w:p>
    <w:p w:rsidR="003C2436" w:rsidRDefault="003C2436" w:rsidP="00A30D19">
      <w:pPr>
        <w:pStyle w:val="CenterUnderline"/>
      </w:pPr>
    </w:p>
    <w:p w:rsidR="00A30D19" w:rsidRDefault="00A30D19" w:rsidP="00A30D19">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A30D19" w:rsidRDefault="00A30D19" w:rsidP="00A30D19">
      <w:pPr>
        <w:pStyle w:val="OrderBody"/>
      </w:pPr>
    </w:p>
    <w:p w:rsidR="00A30D19" w:rsidRDefault="00A30D19" w:rsidP="00A30D19">
      <w:pPr>
        <w:pStyle w:val="OrderBody"/>
      </w:pPr>
      <w:r>
        <w:tab/>
        <w:t>Mediation may be available on a case-by-case basis.  If mediation is conducted, it does not affect a substantially interested person's right to a hearing.</w:t>
      </w:r>
    </w:p>
    <w:p w:rsidR="00A30D19" w:rsidRDefault="00A30D19" w:rsidP="00A30D19">
      <w:pPr>
        <w:pStyle w:val="OrderBody"/>
      </w:pPr>
    </w:p>
    <w:p w:rsidR="00A30D19" w:rsidRDefault="00A30D19" w:rsidP="00A30D19">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EC7792">
        <w:rPr>
          <w:u w:val="single"/>
        </w:rPr>
        <w:t>May 5, 2020</w:t>
      </w:r>
      <w:r>
        <w:t>.</w:t>
      </w:r>
    </w:p>
    <w:p w:rsidR="00A30D19" w:rsidRDefault="00A30D19" w:rsidP="00A30D19">
      <w:pPr>
        <w:pStyle w:val="OrderBody"/>
      </w:pPr>
    </w:p>
    <w:p w:rsidR="00A30D19" w:rsidRDefault="00A30D19" w:rsidP="00A30D19">
      <w:pPr>
        <w:pStyle w:val="OrderBody"/>
      </w:pPr>
      <w:r>
        <w:tab/>
        <w:t>In the absence of such a petition, this order shall become final and effective upon the issuance of a Consummating Order.</w:t>
      </w:r>
    </w:p>
    <w:p w:rsidR="00A30D19" w:rsidRDefault="00A30D19" w:rsidP="00A30D19">
      <w:pPr>
        <w:pStyle w:val="OrderBody"/>
      </w:pPr>
    </w:p>
    <w:p w:rsidR="00A30D19" w:rsidRPr="00A30D19" w:rsidRDefault="00A30D19" w:rsidP="00A30D19">
      <w:pPr>
        <w:pStyle w:val="OrderBody"/>
      </w:pPr>
      <w:r>
        <w:tab/>
        <w:t>Any objection or protest filed in this/these docket(s) before the issuance date of this order is considered abandoned unless it satisfies the foregoing conditions and is renewed within the specified protest period.</w:t>
      </w:r>
    </w:p>
    <w:p w:rsidR="003C2436" w:rsidRDefault="003C2436" w:rsidP="003C2436">
      <w:pPr>
        <w:pStyle w:val="OrderBody"/>
        <w:sectPr w:rsidR="003C2436">
          <w:headerReference w:type="default" r:id="rId6"/>
          <w:footerReference w:type="first" r:id="rId7"/>
          <w:pgSz w:w="12240" w:h="15840" w:code="1"/>
          <w:pgMar w:top="1440" w:right="1440" w:bottom="1440" w:left="1440" w:header="720" w:footer="720" w:gutter="0"/>
          <w:cols w:space="720"/>
          <w:titlePg/>
          <w:docGrid w:linePitch="360"/>
        </w:sectPr>
      </w:pPr>
    </w:p>
    <w:p w:rsidR="003C2436" w:rsidRDefault="003C2436" w:rsidP="003C2436">
      <w:pPr>
        <w:pStyle w:val="OrderBody"/>
      </w:pPr>
      <w:r>
        <w:rPr>
          <w:noProof/>
        </w:rPr>
        <w:drawing>
          <wp:inline distT="0" distB="0" distL="0" distR="0" wp14:anchorId="5B2BEDD3" wp14:editId="3F4FAD4A">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_Page_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A7B7D" w:rsidRDefault="002A7B7D" w:rsidP="003C2436">
      <w:pPr>
        <w:pStyle w:val="OrderBody"/>
        <w:sectPr w:rsidR="002A7B7D">
          <w:headerReference w:type="first" r:id="rId9"/>
          <w:pgSz w:w="12240" w:h="15840" w:code="1"/>
          <w:pgMar w:top="1440" w:right="1440" w:bottom="1440" w:left="1440" w:header="720" w:footer="720" w:gutter="0"/>
          <w:cols w:space="720"/>
          <w:titlePg/>
          <w:docGrid w:linePitch="360"/>
        </w:sectPr>
      </w:pPr>
    </w:p>
    <w:p w:rsidR="003C2436" w:rsidRDefault="003C2436" w:rsidP="003C2436">
      <w:pPr>
        <w:pStyle w:val="OrderBody"/>
      </w:pPr>
    </w:p>
    <w:p w:rsidR="003C2436" w:rsidRDefault="003C2436" w:rsidP="003C2436">
      <w:pPr>
        <w:pStyle w:val="OrderBody"/>
      </w:pPr>
      <w:r>
        <w:rPr>
          <w:noProof/>
        </w:rPr>
        <w:drawing>
          <wp:inline distT="0" distB="0" distL="0" distR="0" wp14:anchorId="6EB7D076" wp14:editId="1CC5443E">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_Page_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C2436" w:rsidRDefault="003C2436" w:rsidP="003C2436">
      <w:pPr>
        <w:pStyle w:val="OrderBody"/>
      </w:pPr>
    </w:p>
    <w:p w:rsidR="003C2436" w:rsidRDefault="003C2436" w:rsidP="003C2436">
      <w:pPr>
        <w:pStyle w:val="OrderBody"/>
      </w:pPr>
      <w:r>
        <w:rPr>
          <w:noProof/>
        </w:rPr>
        <w:drawing>
          <wp:inline distT="0" distB="0" distL="0" distR="0" wp14:anchorId="56D7BE49" wp14:editId="2DABE677">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_Page_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C2436" w:rsidRDefault="003C2436" w:rsidP="003C2436">
      <w:pPr>
        <w:pStyle w:val="OrderBody"/>
      </w:pPr>
    </w:p>
    <w:p w:rsidR="003C2436" w:rsidRDefault="003C2436" w:rsidP="003C2436">
      <w:pPr>
        <w:pStyle w:val="OrderBody"/>
      </w:pPr>
      <w:r>
        <w:rPr>
          <w:noProof/>
        </w:rPr>
        <w:drawing>
          <wp:inline distT="0" distB="0" distL="0" distR="0" wp14:anchorId="36B524F2" wp14:editId="5E5716DA">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_Page_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C2436" w:rsidRDefault="003C2436" w:rsidP="003C2436">
      <w:pPr>
        <w:pStyle w:val="OrderBody"/>
      </w:pPr>
    </w:p>
    <w:p w:rsidR="003C2436" w:rsidRDefault="003C2436" w:rsidP="003C2436">
      <w:pPr>
        <w:pStyle w:val="OrderBody"/>
      </w:pPr>
      <w:r>
        <w:rPr>
          <w:noProof/>
        </w:rPr>
        <w:drawing>
          <wp:inline distT="0" distB="0" distL="0" distR="0" wp14:anchorId="4E149936" wp14:editId="07469BAA">
            <wp:extent cx="5943600" cy="7648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_Page_05.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7648575"/>
                    </a:xfrm>
                    <a:prstGeom prst="rect">
                      <a:avLst/>
                    </a:prstGeom>
                  </pic:spPr>
                </pic:pic>
              </a:graphicData>
            </a:graphic>
          </wp:inline>
        </w:drawing>
      </w:r>
    </w:p>
    <w:p w:rsidR="003C2436" w:rsidRDefault="003C2436" w:rsidP="003C2436">
      <w:pPr>
        <w:pStyle w:val="OrderBody"/>
      </w:pPr>
    </w:p>
    <w:p w:rsidR="003C2436" w:rsidRDefault="003C2436" w:rsidP="003C2436">
      <w:pPr>
        <w:pStyle w:val="OrderBody"/>
      </w:pPr>
      <w:r>
        <w:rPr>
          <w:noProof/>
        </w:rPr>
        <w:drawing>
          <wp:inline distT="0" distB="0" distL="0" distR="0" wp14:anchorId="3ACE8394" wp14:editId="1F9A8ECC">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_Page_0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C2436" w:rsidRDefault="003C2436" w:rsidP="003C2436">
      <w:pPr>
        <w:pStyle w:val="OrderBody"/>
      </w:pPr>
    </w:p>
    <w:p w:rsidR="003C2436" w:rsidRDefault="003C2436" w:rsidP="003C2436">
      <w:pPr>
        <w:pStyle w:val="OrderBody"/>
      </w:pPr>
      <w:r>
        <w:rPr>
          <w:noProof/>
        </w:rPr>
        <w:drawing>
          <wp:inline distT="0" distB="0" distL="0" distR="0" wp14:anchorId="0764ED46" wp14:editId="45EF3CA5">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_Page_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C2436" w:rsidRDefault="003C2436" w:rsidP="003C2436">
      <w:pPr>
        <w:pStyle w:val="OrderBody"/>
      </w:pPr>
    </w:p>
    <w:p w:rsidR="003C2436" w:rsidRDefault="003C2436" w:rsidP="003C2436">
      <w:pPr>
        <w:pStyle w:val="OrderBody"/>
      </w:pPr>
      <w:r>
        <w:rPr>
          <w:noProof/>
        </w:rPr>
        <w:drawing>
          <wp:inline distT="0" distB="0" distL="0" distR="0" wp14:anchorId="05F651D9" wp14:editId="55AEA562">
            <wp:extent cx="5943600" cy="7683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_Page_0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83500"/>
                    </a:xfrm>
                    <a:prstGeom prst="rect">
                      <a:avLst/>
                    </a:prstGeom>
                  </pic:spPr>
                </pic:pic>
              </a:graphicData>
            </a:graphic>
          </wp:inline>
        </w:drawing>
      </w:r>
    </w:p>
    <w:p w:rsidR="003C2436" w:rsidRDefault="003C2436" w:rsidP="003C2436">
      <w:pPr>
        <w:pStyle w:val="OrderBody"/>
      </w:pPr>
    </w:p>
    <w:p w:rsidR="003C2436" w:rsidRDefault="003C2436" w:rsidP="003C2436">
      <w:pPr>
        <w:pStyle w:val="OrderBody"/>
      </w:pPr>
      <w:r>
        <w:rPr>
          <w:noProof/>
        </w:rPr>
        <w:drawing>
          <wp:inline distT="0" distB="0" distL="0" distR="0" wp14:anchorId="280B793E" wp14:editId="5B3714CA">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_Page_0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C2436" w:rsidRDefault="003C2436" w:rsidP="003C2436">
      <w:pPr>
        <w:pStyle w:val="OrderBody"/>
      </w:pPr>
    </w:p>
    <w:p w:rsidR="003C2436" w:rsidRDefault="003C2436" w:rsidP="003C2436">
      <w:pPr>
        <w:pStyle w:val="OrderBody"/>
      </w:pPr>
      <w:r>
        <w:rPr>
          <w:noProof/>
        </w:rPr>
        <w:drawing>
          <wp:inline distT="0" distB="0" distL="0" distR="0" wp14:anchorId="6B257E58" wp14:editId="186CE491">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_Page_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C2436" w:rsidRDefault="003C2436" w:rsidP="003C2436">
      <w:pPr>
        <w:pStyle w:val="OrderBody"/>
      </w:pPr>
    </w:p>
    <w:p w:rsidR="003C2436" w:rsidRDefault="003C2436" w:rsidP="003C2436">
      <w:pPr>
        <w:pStyle w:val="OrderBody"/>
      </w:pPr>
      <w:r>
        <w:rPr>
          <w:noProof/>
        </w:rPr>
        <w:drawing>
          <wp:inline distT="0" distB="0" distL="0" distR="0" wp14:anchorId="2489460D" wp14:editId="41511D1D">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_Page_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C2436" w:rsidRDefault="003C2436" w:rsidP="003C2436">
      <w:pPr>
        <w:pStyle w:val="OrderBody"/>
      </w:pPr>
    </w:p>
    <w:p w:rsidR="003C2436" w:rsidRDefault="003C2436" w:rsidP="003C2436">
      <w:pPr>
        <w:pStyle w:val="OrderBody"/>
      </w:pPr>
      <w:r>
        <w:rPr>
          <w:noProof/>
        </w:rPr>
        <w:drawing>
          <wp:inline distT="0" distB="0" distL="0" distR="0" wp14:anchorId="5FD6CACF" wp14:editId="4E2F48E8">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_Page_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C2436" w:rsidRDefault="003C2436" w:rsidP="003C2436">
      <w:pPr>
        <w:pStyle w:val="OrderBody"/>
      </w:pPr>
    </w:p>
    <w:p w:rsidR="003C2436" w:rsidRDefault="003C2436" w:rsidP="003C2436">
      <w:pPr>
        <w:pStyle w:val="OrderBody"/>
      </w:pPr>
      <w:r>
        <w:rPr>
          <w:noProof/>
        </w:rPr>
        <w:drawing>
          <wp:inline distT="0" distB="0" distL="0" distR="0" wp14:anchorId="070CC0BB" wp14:editId="0F4A6E40">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_Page_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C2436" w:rsidRDefault="003C2436" w:rsidP="003C2436">
      <w:pPr>
        <w:pStyle w:val="OrderBody"/>
      </w:pPr>
    </w:p>
    <w:p w:rsidR="003C2436" w:rsidRDefault="003C2436" w:rsidP="003C2436">
      <w:pPr>
        <w:pStyle w:val="OrderBody"/>
      </w:pPr>
      <w:r>
        <w:rPr>
          <w:noProof/>
        </w:rPr>
        <w:drawing>
          <wp:inline distT="0" distB="0" distL="0" distR="0" wp14:anchorId="35743616" wp14:editId="464BC39B">
            <wp:extent cx="5943600" cy="76873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_Page_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87310"/>
                    </a:xfrm>
                    <a:prstGeom prst="rect">
                      <a:avLst/>
                    </a:prstGeom>
                  </pic:spPr>
                </pic:pic>
              </a:graphicData>
            </a:graphic>
          </wp:inline>
        </w:drawing>
      </w:r>
    </w:p>
    <w:p w:rsidR="003C2436" w:rsidRDefault="003C2436" w:rsidP="003C2436">
      <w:pPr>
        <w:pStyle w:val="OrderBody"/>
      </w:pPr>
    </w:p>
    <w:p w:rsidR="003C2436" w:rsidRDefault="003C2436" w:rsidP="003C2436">
      <w:pPr>
        <w:pStyle w:val="OrderBody"/>
      </w:pPr>
      <w:r>
        <w:rPr>
          <w:noProof/>
        </w:rPr>
        <w:drawing>
          <wp:inline distT="0" distB="0" distL="0" distR="0" wp14:anchorId="639BF470" wp14:editId="70FD5270">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_Page_1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C2436" w:rsidRDefault="003C2436" w:rsidP="003C2436">
      <w:pPr>
        <w:pStyle w:val="OrderBody"/>
      </w:pPr>
    </w:p>
    <w:p w:rsidR="003C2436" w:rsidRDefault="003C2436" w:rsidP="003C2436">
      <w:pPr>
        <w:pStyle w:val="OrderBody"/>
      </w:pPr>
      <w:r>
        <w:rPr>
          <w:noProof/>
        </w:rPr>
        <w:drawing>
          <wp:inline distT="0" distB="0" distL="0" distR="0" wp14:anchorId="41508627" wp14:editId="49375C8F">
            <wp:extent cx="5943600" cy="76873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_Page_1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87310"/>
                    </a:xfrm>
                    <a:prstGeom prst="rect">
                      <a:avLst/>
                    </a:prstGeom>
                  </pic:spPr>
                </pic:pic>
              </a:graphicData>
            </a:graphic>
          </wp:inline>
        </w:drawing>
      </w:r>
    </w:p>
    <w:p w:rsidR="003C2436" w:rsidRDefault="003C2436" w:rsidP="003C2436">
      <w:pPr>
        <w:pStyle w:val="OrderBody"/>
      </w:pPr>
    </w:p>
    <w:p w:rsidR="003C2436" w:rsidRDefault="003C2436" w:rsidP="003C2436">
      <w:pPr>
        <w:pStyle w:val="OrderBody"/>
      </w:pPr>
      <w:r>
        <w:rPr>
          <w:noProof/>
        </w:rPr>
        <w:drawing>
          <wp:inline distT="0" distB="0" distL="0" distR="0" wp14:anchorId="6BE6C458" wp14:editId="0F07617A">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_Page_1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C2436" w:rsidRDefault="003C2436" w:rsidP="003C2436">
      <w:pPr>
        <w:pStyle w:val="OrderBody"/>
      </w:pPr>
    </w:p>
    <w:p w:rsidR="003C2436" w:rsidRDefault="003C2436" w:rsidP="003C2436">
      <w:pPr>
        <w:pStyle w:val="OrderBody"/>
      </w:pPr>
      <w:r>
        <w:rPr>
          <w:noProof/>
        </w:rPr>
        <w:drawing>
          <wp:inline distT="0" distB="0" distL="0" distR="0" wp14:anchorId="29334263" wp14:editId="2E86AB3B">
            <wp:extent cx="5943600" cy="7680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_Page_1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80960"/>
                    </a:xfrm>
                    <a:prstGeom prst="rect">
                      <a:avLst/>
                    </a:prstGeom>
                  </pic:spPr>
                </pic:pic>
              </a:graphicData>
            </a:graphic>
          </wp:inline>
        </w:drawing>
      </w:r>
    </w:p>
    <w:p w:rsidR="003C2436" w:rsidRDefault="003C2436" w:rsidP="003C2436">
      <w:pPr>
        <w:pStyle w:val="OrderBody"/>
      </w:pPr>
    </w:p>
    <w:p w:rsidR="003C2436" w:rsidRDefault="003C2436" w:rsidP="003C2436">
      <w:pPr>
        <w:pStyle w:val="OrderBody"/>
      </w:pPr>
      <w:r>
        <w:rPr>
          <w:noProof/>
        </w:rPr>
        <w:drawing>
          <wp:inline distT="0" distB="0" distL="0" distR="0" wp14:anchorId="7F63B30C" wp14:editId="2ED8D18A">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_Page_1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F652F" w:rsidRDefault="006F652F" w:rsidP="003C2436">
      <w:pPr>
        <w:pStyle w:val="OrderBody"/>
      </w:pPr>
    </w:p>
    <w:p w:rsidR="006F652F" w:rsidRPr="003C2436" w:rsidRDefault="006F652F" w:rsidP="003C2436">
      <w:pPr>
        <w:pStyle w:val="OrderBody"/>
      </w:pPr>
      <w:r>
        <w:rPr>
          <w:noProof/>
        </w:rPr>
        <w:drawing>
          <wp:inline distT="0" distB="0" distL="0" distR="0" wp14:anchorId="4EEB707A" wp14:editId="3946CDE4">
            <wp:extent cx="5943600" cy="768794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_Page_2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87945"/>
                    </a:xfrm>
                    <a:prstGeom prst="rect">
                      <a:avLst/>
                    </a:prstGeom>
                  </pic:spPr>
                </pic:pic>
              </a:graphicData>
            </a:graphic>
          </wp:inline>
        </w:drawing>
      </w:r>
    </w:p>
    <w:sectPr w:rsidR="006F652F" w:rsidRPr="003C2436">
      <w:headerReference w:type="default" r:id="rId29"/>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4B48" w:rsidRDefault="00FD4B48">
      <w:r>
        <w:separator/>
      </w:r>
    </w:p>
  </w:endnote>
  <w:endnote w:type="continuationSeparator" w:id="0">
    <w:p w:rsidR="00FD4B48" w:rsidRDefault="00FD4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4B48" w:rsidRDefault="00FD4B48">
      <w:r>
        <w:separator/>
      </w:r>
    </w:p>
  </w:footnote>
  <w:footnote w:type="continuationSeparator" w:id="0">
    <w:p w:rsidR="00FD4B48" w:rsidRDefault="00FD4B48">
      <w:r>
        <w:continuationSeparator/>
      </w:r>
    </w:p>
  </w:footnote>
  <w:footnote w:id="1">
    <w:p w:rsidR="003C2436" w:rsidRDefault="003C2436" w:rsidP="003C2436">
      <w:pPr>
        <w:pStyle w:val="FootnoteText"/>
      </w:pPr>
      <w:r>
        <w:rPr>
          <w:rStyle w:val="FootnoteReference"/>
        </w:rPr>
        <w:footnoteRef/>
      </w:r>
      <w:r w:rsidRPr="00E10E97">
        <w:t xml:space="preserve">Order No. PSC-2019-0310-PCO-GU, issued </w:t>
      </w:r>
      <w:r>
        <w:t xml:space="preserve">July 29, 2019, in Docket </w:t>
      </w:r>
      <w:r w:rsidRPr="00E10E97">
        <w:t xml:space="preserve">No. 20190109-GU, </w:t>
      </w:r>
      <w:r w:rsidRPr="000E0DF8">
        <w:rPr>
          <w:i/>
        </w:rPr>
        <w:t>Petition for recovery of costs associated with Hurricane Michael and replenishment of storm reserve, by Peoples Gas System.</w:t>
      </w:r>
      <w:r>
        <w:t xml:space="preserve"> </w:t>
      </w:r>
    </w:p>
  </w:footnote>
  <w:footnote w:id="2">
    <w:p w:rsidR="00122E84" w:rsidRDefault="00122E84" w:rsidP="00122E84">
      <w:pPr>
        <w:pStyle w:val="FootnoteText"/>
      </w:pPr>
      <w:r>
        <w:rPr>
          <w:rStyle w:val="FootnoteReference"/>
        </w:rPr>
        <w:footnoteRef/>
      </w:r>
      <w:r>
        <w:t xml:space="preserve"> Order No. PSC-2017-0488-PAA-EI, issued on December 26, 2017, in Docket No. 20170150-EI, </w:t>
      </w:r>
      <w:r>
        <w:rPr>
          <w:i/>
        </w:rPr>
        <w:t>In re: Petition for limited proceeding to include reliability and modernization projects in rate base, by Florida Public Utilities Company</w:t>
      </w:r>
      <w:r>
        <w:t>; Order No.   PSC-13-0023-S-EI, issued on January 14, 2013, in Docket No. 120015-EI,</w:t>
      </w:r>
      <w:r>
        <w:rPr>
          <w:i/>
        </w:rPr>
        <w:t xml:space="preserve"> In re: Petition for increase in rates by Florida Power &amp; Light Company</w:t>
      </w:r>
      <w:r>
        <w:t xml:space="preserve"> </w:t>
      </w:r>
    </w:p>
  </w:footnote>
  <w:footnote w:id="3">
    <w:p w:rsidR="00122E84" w:rsidRDefault="00122E84" w:rsidP="00122E84">
      <w:pPr>
        <w:pStyle w:val="FootnoteText"/>
      </w:pPr>
      <w:r>
        <w:rPr>
          <w:rStyle w:val="FootnoteReference"/>
        </w:rPr>
        <w:footnoteRef/>
      </w:r>
      <w:r>
        <w:t xml:space="preserve"> Order No. PSC-13-0023-S-EI, at p. 7.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B7D" w:rsidRDefault="00FA6EFD">
    <w:pPr>
      <w:pStyle w:val="OrderHeader"/>
    </w:pPr>
    <w:r>
      <w:t xml:space="preserve">ORDER NO. </w:t>
    </w:r>
    <w:bookmarkStart w:id="14" w:name="HeaderDocketNo"/>
    <w:bookmarkEnd w:id="14"/>
    <w:r w:rsidR="00EC7792">
      <w:fldChar w:fldCharType="begin"/>
    </w:r>
    <w:r w:rsidR="00EC7792">
      <w:instrText xml:space="preserve"> REF OrderNo0103 </w:instrText>
    </w:r>
    <w:r w:rsidR="00EC7792">
      <w:fldChar w:fldCharType="separate"/>
    </w:r>
    <w:r w:rsidR="00EC7792">
      <w:t>PSC-2020-0103-PAA-GU</w:t>
    </w:r>
    <w:r w:rsidR="00EC7792">
      <w:fldChar w:fldCharType="end"/>
    </w:r>
    <w:r w:rsidR="002A7B7D">
      <w:t xml:space="preserve"> </w:t>
    </w:r>
  </w:p>
  <w:p w:rsidR="00FA6EFD" w:rsidRDefault="003C2436">
    <w:pPr>
      <w:pStyle w:val="OrderHeader"/>
    </w:pPr>
    <w:r>
      <w:t>DOCKET NO. 20190109-GU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C7792">
      <w:rPr>
        <w:rStyle w:val="PageNumber"/>
        <w:noProof/>
      </w:rPr>
      <w:t>4</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436" w:rsidRDefault="003C2436" w:rsidP="003C2436">
    <w:pPr>
      <w:pStyle w:val="OrderHeader"/>
    </w:pPr>
    <w:r>
      <w:t xml:space="preserve">ORDER NO. </w:t>
    </w:r>
    <w:r w:rsidR="00EC7792">
      <w:fldChar w:fldCharType="begin"/>
    </w:r>
    <w:r w:rsidR="00EC7792">
      <w:instrText xml:space="preserve"> REF OrderNo0103 </w:instrText>
    </w:r>
    <w:r w:rsidR="00EC7792">
      <w:fldChar w:fldCharType="separate"/>
    </w:r>
    <w:r w:rsidR="00EC7792">
      <w:t>PSC-2020-0103-PAA-GU</w:t>
    </w:r>
    <w:r w:rsidR="00EC7792">
      <w:fldChar w:fldCharType="end"/>
    </w:r>
    <w:r>
      <w:tab/>
    </w:r>
    <w:r>
      <w:tab/>
      <w:t>Attachment A</w:t>
    </w:r>
  </w:p>
  <w:p w:rsidR="003C2436" w:rsidRDefault="003C2436" w:rsidP="003C2436">
    <w:pPr>
      <w:pStyle w:val="OrderHeader"/>
    </w:pPr>
    <w:r>
      <w:t>DOCKET NO. 20190109-GU</w:t>
    </w:r>
  </w:p>
  <w:p w:rsidR="003C2436" w:rsidRDefault="003C2436" w:rsidP="003C243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C7792">
      <w:rPr>
        <w:rStyle w:val="PageNumber"/>
        <w:noProof/>
      </w:rPr>
      <w:t>5</w:t>
    </w:r>
    <w:r>
      <w:rPr>
        <w:rStyle w:val="PageNumber"/>
      </w:rPr>
      <w:fldChar w:fldCharType="end"/>
    </w:r>
  </w:p>
  <w:p w:rsidR="003C2436" w:rsidRDefault="003C24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B7D" w:rsidRDefault="002A7B7D">
    <w:pPr>
      <w:pStyle w:val="OrderHeader"/>
    </w:pPr>
    <w:r>
      <w:t xml:space="preserve">ORDER NO. </w:t>
    </w:r>
    <w:r w:rsidR="00EC7792">
      <w:fldChar w:fldCharType="begin"/>
    </w:r>
    <w:r w:rsidR="00EC7792">
      <w:instrText xml:space="preserve"> REF OrderNo0103 </w:instrText>
    </w:r>
    <w:r w:rsidR="00EC7792">
      <w:fldChar w:fldCharType="separate"/>
    </w:r>
    <w:r w:rsidR="00EC7792">
      <w:t>PSC-2020-0103-PAA-GU</w:t>
    </w:r>
    <w:r w:rsidR="00EC7792">
      <w:fldChar w:fldCharType="end"/>
    </w:r>
    <w:r>
      <w:tab/>
    </w:r>
    <w:r>
      <w:tab/>
      <w:t xml:space="preserve">Attachment A </w:t>
    </w:r>
  </w:p>
  <w:p w:rsidR="002A7B7D" w:rsidRDefault="002A7B7D">
    <w:pPr>
      <w:pStyle w:val="OrderHeader"/>
    </w:pPr>
    <w:r>
      <w:t>DOCKET NO. 20190109-GU</w:t>
    </w:r>
  </w:p>
  <w:p w:rsidR="002A7B7D" w:rsidRDefault="002A7B7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C7792">
      <w:rPr>
        <w:rStyle w:val="PageNumber"/>
        <w:noProof/>
      </w:rPr>
      <w:t>21</w:t>
    </w:r>
    <w:r>
      <w:rPr>
        <w:rStyle w:val="PageNumber"/>
      </w:rPr>
      <w:fldChar w:fldCharType="end"/>
    </w:r>
  </w:p>
  <w:p w:rsidR="002A7B7D" w:rsidRDefault="002A7B7D">
    <w:pPr>
      <w:pStyle w:val="Order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90109-GU"/>
  </w:docVars>
  <w:rsids>
    <w:rsidRoot w:val="003C2436"/>
    <w:rsid w:val="000022B8"/>
    <w:rsid w:val="0003433F"/>
    <w:rsid w:val="00035A8C"/>
    <w:rsid w:val="00053AB9"/>
    <w:rsid w:val="00056229"/>
    <w:rsid w:val="00057AF1"/>
    <w:rsid w:val="00065FC2"/>
    <w:rsid w:val="00067685"/>
    <w:rsid w:val="000730D7"/>
    <w:rsid w:val="00073629"/>
    <w:rsid w:val="00076E6B"/>
    <w:rsid w:val="0008247D"/>
    <w:rsid w:val="00090AFC"/>
    <w:rsid w:val="00091E48"/>
    <w:rsid w:val="000B783E"/>
    <w:rsid w:val="000D02B8"/>
    <w:rsid w:val="000D06E8"/>
    <w:rsid w:val="000D7CBF"/>
    <w:rsid w:val="000E050C"/>
    <w:rsid w:val="000E20F0"/>
    <w:rsid w:val="000E344D"/>
    <w:rsid w:val="000E3F6D"/>
    <w:rsid w:val="000F359F"/>
    <w:rsid w:val="000F3B2C"/>
    <w:rsid w:val="000F63EB"/>
    <w:rsid w:val="000F648A"/>
    <w:rsid w:val="000F7BE3"/>
    <w:rsid w:val="001052BA"/>
    <w:rsid w:val="001107B3"/>
    <w:rsid w:val="001114B1"/>
    <w:rsid w:val="0011394F"/>
    <w:rsid w:val="001139D8"/>
    <w:rsid w:val="00116AD3"/>
    <w:rsid w:val="00121957"/>
    <w:rsid w:val="00122E84"/>
    <w:rsid w:val="0012387E"/>
    <w:rsid w:val="00126593"/>
    <w:rsid w:val="00136087"/>
    <w:rsid w:val="00142A96"/>
    <w:rsid w:val="001513DE"/>
    <w:rsid w:val="00154A71"/>
    <w:rsid w:val="00187E32"/>
    <w:rsid w:val="00194E81"/>
    <w:rsid w:val="001A15E7"/>
    <w:rsid w:val="001A33C9"/>
    <w:rsid w:val="001A58F3"/>
    <w:rsid w:val="001C2847"/>
    <w:rsid w:val="001C3F8C"/>
    <w:rsid w:val="001C6097"/>
    <w:rsid w:val="001C7126"/>
    <w:rsid w:val="001D008A"/>
    <w:rsid w:val="001E0152"/>
    <w:rsid w:val="001E0FF5"/>
    <w:rsid w:val="001E7F7D"/>
    <w:rsid w:val="001F4CA3"/>
    <w:rsid w:val="002002ED"/>
    <w:rsid w:val="002170E5"/>
    <w:rsid w:val="00220D57"/>
    <w:rsid w:val="0022721A"/>
    <w:rsid w:val="00230BB9"/>
    <w:rsid w:val="00241CEF"/>
    <w:rsid w:val="00244B6F"/>
    <w:rsid w:val="00246A66"/>
    <w:rsid w:val="0025124E"/>
    <w:rsid w:val="00252B30"/>
    <w:rsid w:val="00254D34"/>
    <w:rsid w:val="002613E4"/>
    <w:rsid w:val="0026544B"/>
    <w:rsid w:val="00276CDC"/>
    <w:rsid w:val="00276DAA"/>
    <w:rsid w:val="00277655"/>
    <w:rsid w:val="002824B7"/>
    <w:rsid w:val="00282AC4"/>
    <w:rsid w:val="0029062A"/>
    <w:rsid w:val="002A11AC"/>
    <w:rsid w:val="002A198C"/>
    <w:rsid w:val="002A6F30"/>
    <w:rsid w:val="002A7402"/>
    <w:rsid w:val="002A7B7D"/>
    <w:rsid w:val="002B3111"/>
    <w:rsid w:val="002C7908"/>
    <w:rsid w:val="002D391B"/>
    <w:rsid w:val="002D4B1F"/>
    <w:rsid w:val="002D6F70"/>
    <w:rsid w:val="002D7D15"/>
    <w:rsid w:val="002E1B2E"/>
    <w:rsid w:val="002E27EB"/>
    <w:rsid w:val="002F2A9D"/>
    <w:rsid w:val="002F31C2"/>
    <w:rsid w:val="00303FDE"/>
    <w:rsid w:val="00313C5B"/>
    <w:rsid w:val="003140E8"/>
    <w:rsid w:val="003231C7"/>
    <w:rsid w:val="00323839"/>
    <w:rsid w:val="003270C4"/>
    <w:rsid w:val="00331ED0"/>
    <w:rsid w:val="00332B0A"/>
    <w:rsid w:val="00333A41"/>
    <w:rsid w:val="00345434"/>
    <w:rsid w:val="0035495B"/>
    <w:rsid w:val="00355A93"/>
    <w:rsid w:val="00361522"/>
    <w:rsid w:val="0036769A"/>
    <w:rsid w:val="0037196E"/>
    <w:rsid w:val="003744F5"/>
    <w:rsid w:val="00387BDE"/>
    <w:rsid w:val="00390DD8"/>
    <w:rsid w:val="00394DC6"/>
    <w:rsid w:val="00396681"/>
    <w:rsid w:val="00396F96"/>
    <w:rsid w:val="00397C3E"/>
    <w:rsid w:val="003B1A09"/>
    <w:rsid w:val="003C2436"/>
    <w:rsid w:val="003D4CCA"/>
    <w:rsid w:val="003D52A6"/>
    <w:rsid w:val="003D6416"/>
    <w:rsid w:val="003E1D48"/>
    <w:rsid w:val="003F1D2B"/>
    <w:rsid w:val="00411DF2"/>
    <w:rsid w:val="00411E8F"/>
    <w:rsid w:val="0041361D"/>
    <w:rsid w:val="00421212"/>
    <w:rsid w:val="0042527B"/>
    <w:rsid w:val="00427EAC"/>
    <w:rsid w:val="004440A0"/>
    <w:rsid w:val="004517B9"/>
    <w:rsid w:val="0045537F"/>
    <w:rsid w:val="00457DC7"/>
    <w:rsid w:val="004640B3"/>
    <w:rsid w:val="00471790"/>
    <w:rsid w:val="00472BCC"/>
    <w:rsid w:val="004A25CD"/>
    <w:rsid w:val="004A26CC"/>
    <w:rsid w:val="004A71C2"/>
    <w:rsid w:val="004B2108"/>
    <w:rsid w:val="004B3A2B"/>
    <w:rsid w:val="004B70D3"/>
    <w:rsid w:val="004C312D"/>
    <w:rsid w:val="004C31C2"/>
    <w:rsid w:val="004D2D1B"/>
    <w:rsid w:val="004D5067"/>
    <w:rsid w:val="004D6838"/>
    <w:rsid w:val="004D72BC"/>
    <w:rsid w:val="004E469D"/>
    <w:rsid w:val="004E7F4F"/>
    <w:rsid w:val="004F2528"/>
    <w:rsid w:val="004F2DDE"/>
    <w:rsid w:val="004F7826"/>
    <w:rsid w:val="0050097F"/>
    <w:rsid w:val="00512652"/>
    <w:rsid w:val="00514B1F"/>
    <w:rsid w:val="00525E93"/>
    <w:rsid w:val="0052671D"/>
    <w:rsid w:val="005300C0"/>
    <w:rsid w:val="00541D48"/>
    <w:rsid w:val="0055595D"/>
    <w:rsid w:val="00556A10"/>
    <w:rsid w:val="00557F50"/>
    <w:rsid w:val="00571D3D"/>
    <w:rsid w:val="0057748D"/>
    <w:rsid w:val="0058264B"/>
    <w:rsid w:val="005868AA"/>
    <w:rsid w:val="00590845"/>
    <w:rsid w:val="00594C09"/>
    <w:rsid w:val="005963C2"/>
    <w:rsid w:val="00597148"/>
    <w:rsid w:val="005A0D69"/>
    <w:rsid w:val="005A31F4"/>
    <w:rsid w:val="005A73EA"/>
    <w:rsid w:val="005B45F7"/>
    <w:rsid w:val="005B63EA"/>
    <w:rsid w:val="005C1A88"/>
    <w:rsid w:val="005C5033"/>
    <w:rsid w:val="005E751B"/>
    <w:rsid w:val="005F2C63"/>
    <w:rsid w:val="005F3354"/>
    <w:rsid w:val="005F5825"/>
    <w:rsid w:val="0060005E"/>
    <w:rsid w:val="0060095B"/>
    <w:rsid w:val="00601266"/>
    <w:rsid w:val="00610E73"/>
    <w:rsid w:val="00616DF2"/>
    <w:rsid w:val="0063168D"/>
    <w:rsid w:val="00635FAE"/>
    <w:rsid w:val="00644927"/>
    <w:rsid w:val="006531A4"/>
    <w:rsid w:val="00660774"/>
    <w:rsid w:val="0066389A"/>
    <w:rsid w:val="0066495C"/>
    <w:rsid w:val="00665CC7"/>
    <w:rsid w:val="006705AF"/>
    <w:rsid w:val="00672612"/>
    <w:rsid w:val="00677F18"/>
    <w:rsid w:val="0068224B"/>
    <w:rsid w:val="00686F80"/>
    <w:rsid w:val="00691544"/>
    <w:rsid w:val="00693483"/>
    <w:rsid w:val="00694CDA"/>
    <w:rsid w:val="006A0BF3"/>
    <w:rsid w:val="006B0DA6"/>
    <w:rsid w:val="006B3930"/>
    <w:rsid w:val="006C547E"/>
    <w:rsid w:val="006D2B51"/>
    <w:rsid w:val="006D5575"/>
    <w:rsid w:val="006E42BE"/>
    <w:rsid w:val="006E5D4D"/>
    <w:rsid w:val="006E6D16"/>
    <w:rsid w:val="006F652F"/>
    <w:rsid w:val="007024DE"/>
    <w:rsid w:val="00704C5D"/>
    <w:rsid w:val="007072BC"/>
    <w:rsid w:val="00715275"/>
    <w:rsid w:val="00721B44"/>
    <w:rsid w:val="007232A2"/>
    <w:rsid w:val="00726366"/>
    <w:rsid w:val="007337F2"/>
    <w:rsid w:val="00733B6B"/>
    <w:rsid w:val="00740808"/>
    <w:rsid w:val="0074361A"/>
    <w:rsid w:val="007467C4"/>
    <w:rsid w:val="0076170F"/>
    <w:rsid w:val="0076669C"/>
    <w:rsid w:val="00766E46"/>
    <w:rsid w:val="00777727"/>
    <w:rsid w:val="007815A3"/>
    <w:rsid w:val="00782B79"/>
    <w:rsid w:val="007865E9"/>
    <w:rsid w:val="00792383"/>
    <w:rsid w:val="00794D5A"/>
    <w:rsid w:val="00794DD9"/>
    <w:rsid w:val="007A060F"/>
    <w:rsid w:val="007B2141"/>
    <w:rsid w:val="007B350E"/>
    <w:rsid w:val="007C0FBC"/>
    <w:rsid w:val="007C36E3"/>
    <w:rsid w:val="007C7134"/>
    <w:rsid w:val="007D3D20"/>
    <w:rsid w:val="007D4349"/>
    <w:rsid w:val="007D66C5"/>
    <w:rsid w:val="007D742E"/>
    <w:rsid w:val="007E2C80"/>
    <w:rsid w:val="007E3AFD"/>
    <w:rsid w:val="0080092F"/>
    <w:rsid w:val="00801DAD"/>
    <w:rsid w:val="00803189"/>
    <w:rsid w:val="00804E7A"/>
    <w:rsid w:val="00805FBB"/>
    <w:rsid w:val="008169A4"/>
    <w:rsid w:val="008278FE"/>
    <w:rsid w:val="00832598"/>
    <w:rsid w:val="0083397E"/>
    <w:rsid w:val="0083534B"/>
    <w:rsid w:val="00842035"/>
    <w:rsid w:val="00842602"/>
    <w:rsid w:val="008449F0"/>
    <w:rsid w:val="00847B45"/>
    <w:rsid w:val="008566CC"/>
    <w:rsid w:val="00863A66"/>
    <w:rsid w:val="008703D7"/>
    <w:rsid w:val="00874429"/>
    <w:rsid w:val="00875D22"/>
    <w:rsid w:val="00883D9A"/>
    <w:rsid w:val="008919EF"/>
    <w:rsid w:val="00892B20"/>
    <w:rsid w:val="008A12EC"/>
    <w:rsid w:val="008B19A6"/>
    <w:rsid w:val="008B4EFB"/>
    <w:rsid w:val="008C21C8"/>
    <w:rsid w:val="008C6375"/>
    <w:rsid w:val="008C6A5B"/>
    <w:rsid w:val="008D2C4C"/>
    <w:rsid w:val="008E0693"/>
    <w:rsid w:val="008E26A5"/>
    <w:rsid w:val="008E42D2"/>
    <w:rsid w:val="008E6328"/>
    <w:rsid w:val="008F2094"/>
    <w:rsid w:val="008F578F"/>
    <w:rsid w:val="009040EE"/>
    <w:rsid w:val="009057FD"/>
    <w:rsid w:val="00906FBA"/>
    <w:rsid w:val="009163E8"/>
    <w:rsid w:val="009228C7"/>
    <w:rsid w:val="00922A7F"/>
    <w:rsid w:val="00923A5E"/>
    <w:rsid w:val="00924FE7"/>
    <w:rsid w:val="00926E27"/>
    <w:rsid w:val="00931C8C"/>
    <w:rsid w:val="00941A00"/>
    <w:rsid w:val="0094504B"/>
    <w:rsid w:val="0095146C"/>
    <w:rsid w:val="00960F44"/>
    <w:rsid w:val="00964A38"/>
    <w:rsid w:val="00966A9D"/>
    <w:rsid w:val="0096742B"/>
    <w:rsid w:val="009718C5"/>
    <w:rsid w:val="009924CF"/>
    <w:rsid w:val="00994100"/>
    <w:rsid w:val="009A6B17"/>
    <w:rsid w:val="009C2949"/>
    <w:rsid w:val="009D4C29"/>
    <w:rsid w:val="009F65AE"/>
    <w:rsid w:val="009F6AD2"/>
    <w:rsid w:val="00A00D8D"/>
    <w:rsid w:val="00A01BB6"/>
    <w:rsid w:val="00A01E03"/>
    <w:rsid w:val="00A30D19"/>
    <w:rsid w:val="00A4303C"/>
    <w:rsid w:val="00A470FD"/>
    <w:rsid w:val="00A62DAB"/>
    <w:rsid w:val="00A63222"/>
    <w:rsid w:val="00A6757A"/>
    <w:rsid w:val="00A726A6"/>
    <w:rsid w:val="00A74842"/>
    <w:rsid w:val="00A8638C"/>
    <w:rsid w:val="00A97535"/>
    <w:rsid w:val="00AA2BAA"/>
    <w:rsid w:val="00AA73F1"/>
    <w:rsid w:val="00AA77FC"/>
    <w:rsid w:val="00AB0E1A"/>
    <w:rsid w:val="00AB1A30"/>
    <w:rsid w:val="00AB3A03"/>
    <w:rsid w:val="00AB3C36"/>
    <w:rsid w:val="00AD10EB"/>
    <w:rsid w:val="00AD1ED3"/>
    <w:rsid w:val="00AE6D80"/>
    <w:rsid w:val="00B02001"/>
    <w:rsid w:val="00B03C50"/>
    <w:rsid w:val="00B0777D"/>
    <w:rsid w:val="00B11576"/>
    <w:rsid w:val="00B1195F"/>
    <w:rsid w:val="00B14D10"/>
    <w:rsid w:val="00B209C7"/>
    <w:rsid w:val="00B32D87"/>
    <w:rsid w:val="00B3644F"/>
    <w:rsid w:val="00B4057A"/>
    <w:rsid w:val="00B40894"/>
    <w:rsid w:val="00B41039"/>
    <w:rsid w:val="00B444AE"/>
    <w:rsid w:val="00B45E75"/>
    <w:rsid w:val="00B50876"/>
    <w:rsid w:val="00B51074"/>
    <w:rsid w:val="00B54DAA"/>
    <w:rsid w:val="00B55AB0"/>
    <w:rsid w:val="00B55EE5"/>
    <w:rsid w:val="00B67A43"/>
    <w:rsid w:val="00B71D1F"/>
    <w:rsid w:val="00B72CFF"/>
    <w:rsid w:val="00B73DE6"/>
    <w:rsid w:val="00B761CD"/>
    <w:rsid w:val="00B86EF0"/>
    <w:rsid w:val="00B96969"/>
    <w:rsid w:val="00B97900"/>
    <w:rsid w:val="00BA1229"/>
    <w:rsid w:val="00BA44A8"/>
    <w:rsid w:val="00BA49C5"/>
    <w:rsid w:val="00BB3561"/>
    <w:rsid w:val="00BC786E"/>
    <w:rsid w:val="00BD5C92"/>
    <w:rsid w:val="00BE50E6"/>
    <w:rsid w:val="00BF6691"/>
    <w:rsid w:val="00BF6FD2"/>
    <w:rsid w:val="00C028FC"/>
    <w:rsid w:val="00C037F2"/>
    <w:rsid w:val="00C0386D"/>
    <w:rsid w:val="00C065A1"/>
    <w:rsid w:val="00C10ED5"/>
    <w:rsid w:val="00C151A6"/>
    <w:rsid w:val="00C24098"/>
    <w:rsid w:val="00C30A4E"/>
    <w:rsid w:val="00C411F3"/>
    <w:rsid w:val="00C44105"/>
    <w:rsid w:val="00C55A33"/>
    <w:rsid w:val="00C630B5"/>
    <w:rsid w:val="00C66692"/>
    <w:rsid w:val="00C673B5"/>
    <w:rsid w:val="00C7063D"/>
    <w:rsid w:val="00C830BC"/>
    <w:rsid w:val="00C8524D"/>
    <w:rsid w:val="00C91123"/>
    <w:rsid w:val="00CA71FF"/>
    <w:rsid w:val="00CB5276"/>
    <w:rsid w:val="00CB5BFC"/>
    <w:rsid w:val="00CB68D7"/>
    <w:rsid w:val="00CB6D96"/>
    <w:rsid w:val="00CC7E68"/>
    <w:rsid w:val="00CD7132"/>
    <w:rsid w:val="00CE0E6F"/>
    <w:rsid w:val="00CE3B21"/>
    <w:rsid w:val="00CE56FC"/>
    <w:rsid w:val="00CF32D2"/>
    <w:rsid w:val="00CF4CFE"/>
    <w:rsid w:val="00D02E0F"/>
    <w:rsid w:val="00D03EE8"/>
    <w:rsid w:val="00D13535"/>
    <w:rsid w:val="00D15497"/>
    <w:rsid w:val="00D17B79"/>
    <w:rsid w:val="00D23FEA"/>
    <w:rsid w:val="00D25DBC"/>
    <w:rsid w:val="00D269CA"/>
    <w:rsid w:val="00D30B48"/>
    <w:rsid w:val="00D3168A"/>
    <w:rsid w:val="00D44DE2"/>
    <w:rsid w:val="00D46FAA"/>
    <w:rsid w:val="00D47A40"/>
    <w:rsid w:val="00D50064"/>
    <w:rsid w:val="00D51D33"/>
    <w:rsid w:val="00D57BB2"/>
    <w:rsid w:val="00D57E57"/>
    <w:rsid w:val="00D648F8"/>
    <w:rsid w:val="00D70752"/>
    <w:rsid w:val="00D80E2D"/>
    <w:rsid w:val="00D82B4F"/>
    <w:rsid w:val="00D84D5E"/>
    <w:rsid w:val="00D8560E"/>
    <w:rsid w:val="00D8758F"/>
    <w:rsid w:val="00D95B0D"/>
    <w:rsid w:val="00DA2116"/>
    <w:rsid w:val="00DA4EDD"/>
    <w:rsid w:val="00DA6B78"/>
    <w:rsid w:val="00DA7425"/>
    <w:rsid w:val="00DC0A42"/>
    <w:rsid w:val="00DC1D94"/>
    <w:rsid w:val="00DC42CF"/>
    <w:rsid w:val="00DE057F"/>
    <w:rsid w:val="00DE2082"/>
    <w:rsid w:val="00DE2289"/>
    <w:rsid w:val="00DF09A7"/>
    <w:rsid w:val="00E001D6"/>
    <w:rsid w:val="00E03A76"/>
    <w:rsid w:val="00E04410"/>
    <w:rsid w:val="00E07484"/>
    <w:rsid w:val="00E11351"/>
    <w:rsid w:val="00E4225C"/>
    <w:rsid w:val="00E44879"/>
    <w:rsid w:val="00E47948"/>
    <w:rsid w:val="00E72914"/>
    <w:rsid w:val="00E75AE0"/>
    <w:rsid w:val="00E83C1F"/>
    <w:rsid w:val="00E87927"/>
    <w:rsid w:val="00E97656"/>
    <w:rsid w:val="00EA172C"/>
    <w:rsid w:val="00EA259B"/>
    <w:rsid w:val="00EA35A3"/>
    <w:rsid w:val="00EA3E6A"/>
    <w:rsid w:val="00EA4C5B"/>
    <w:rsid w:val="00EB18EF"/>
    <w:rsid w:val="00EB2045"/>
    <w:rsid w:val="00EB7951"/>
    <w:rsid w:val="00EC4504"/>
    <w:rsid w:val="00EC7792"/>
    <w:rsid w:val="00ED18F7"/>
    <w:rsid w:val="00ED6A79"/>
    <w:rsid w:val="00EE17DF"/>
    <w:rsid w:val="00EF4621"/>
    <w:rsid w:val="00EF4D52"/>
    <w:rsid w:val="00EF6312"/>
    <w:rsid w:val="00F038B0"/>
    <w:rsid w:val="00F22B27"/>
    <w:rsid w:val="00F234A7"/>
    <w:rsid w:val="00F277B6"/>
    <w:rsid w:val="00F27DA5"/>
    <w:rsid w:val="00F37E07"/>
    <w:rsid w:val="00F4182A"/>
    <w:rsid w:val="00F44051"/>
    <w:rsid w:val="00F54380"/>
    <w:rsid w:val="00F54B47"/>
    <w:rsid w:val="00F61247"/>
    <w:rsid w:val="00F63191"/>
    <w:rsid w:val="00F66D10"/>
    <w:rsid w:val="00F6702E"/>
    <w:rsid w:val="00F70E84"/>
    <w:rsid w:val="00F75FD6"/>
    <w:rsid w:val="00FA092B"/>
    <w:rsid w:val="00FA4F6C"/>
    <w:rsid w:val="00FA6EFD"/>
    <w:rsid w:val="00FB74EA"/>
    <w:rsid w:val="00FC09B1"/>
    <w:rsid w:val="00FD2C9E"/>
    <w:rsid w:val="00FD4786"/>
    <w:rsid w:val="00FD4B48"/>
    <w:rsid w:val="00FD616C"/>
    <w:rsid w:val="00FE53F2"/>
    <w:rsid w:val="00FF0A00"/>
    <w:rsid w:val="00FF1C57"/>
    <w:rsid w:val="00FF2581"/>
    <w:rsid w:val="00FF64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C386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semiHidden/>
    <w:unhideWhenUsed/>
    <w:rsid w:val="003C2436"/>
    <w:rPr>
      <w:rFonts w:ascii="Tahoma" w:hAnsi="Tahoma" w:cs="Tahoma"/>
      <w:sz w:val="16"/>
      <w:szCs w:val="16"/>
    </w:rPr>
  </w:style>
  <w:style w:type="character" w:customStyle="1" w:styleId="BalloonTextChar">
    <w:name w:val="Balloon Text Char"/>
    <w:basedOn w:val="DefaultParagraphFont"/>
    <w:link w:val="BalloonText"/>
    <w:semiHidden/>
    <w:rsid w:val="003C2436"/>
    <w:rPr>
      <w:rFonts w:ascii="Tahoma" w:hAnsi="Tahoma" w:cs="Tahoma"/>
      <w:sz w:val="16"/>
      <w:szCs w:val="16"/>
    </w:rPr>
  </w:style>
  <w:style w:type="character" w:customStyle="1" w:styleId="FootnoteTextChar">
    <w:name w:val="Footnote Text Char"/>
    <w:basedOn w:val="DefaultParagraphFont"/>
    <w:link w:val="FootnoteText"/>
    <w:rsid w:val="00122E84"/>
  </w:style>
  <w:style w:type="character" w:styleId="CommentReference">
    <w:name w:val="annotation reference"/>
    <w:basedOn w:val="DefaultParagraphFont"/>
    <w:semiHidden/>
    <w:unhideWhenUsed/>
    <w:rsid w:val="00512652"/>
    <w:rPr>
      <w:sz w:val="16"/>
      <w:szCs w:val="16"/>
    </w:rPr>
  </w:style>
  <w:style w:type="paragraph" w:styleId="CommentText">
    <w:name w:val="annotation text"/>
    <w:basedOn w:val="Normal"/>
    <w:link w:val="CommentTextChar"/>
    <w:semiHidden/>
    <w:unhideWhenUsed/>
    <w:rsid w:val="00512652"/>
    <w:rPr>
      <w:sz w:val="20"/>
      <w:szCs w:val="20"/>
    </w:rPr>
  </w:style>
  <w:style w:type="character" w:customStyle="1" w:styleId="CommentTextChar">
    <w:name w:val="Comment Text Char"/>
    <w:basedOn w:val="DefaultParagraphFont"/>
    <w:link w:val="CommentText"/>
    <w:semiHidden/>
    <w:rsid w:val="00512652"/>
  </w:style>
  <w:style w:type="paragraph" w:styleId="CommentSubject">
    <w:name w:val="annotation subject"/>
    <w:basedOn w:val="CommentText"/>
    <w:next w:val="CommentText"/>
    <w:link w:val="CommentSubjectChar"/>
    <w:semiHidden/>
    <w:unhideWhenUsed/>
    <w:rsid w:val="00512652"/>
    <w:rPr>
      <w:b/>
      <w:bCs/>
    </w:rPr>
  </w:style>
  <w:style w:type="character" w:customStyle="1" w:styleId="CommentSubjectChar">
    <w:name w:val="Comment Subject Char"/>
    <w:basedOn w:val="CommentTextChar"/>
    <w:link w:val="CommentSubject"/>
    <w:semiHidden/>
    <w:rsid w:val="00512652"/>
    <w:rPr>
      <w:b/>
      <w:bCs/>
    </w:rPr>
  </w:style>
  <w:style w:type="character" w:styleId="Hyperlink">
    <w:name w:val="Hyperlink"/>
    <w:basedOn w:val="DefaultParagraphFont"/>
    <w:uiPriority w:val="99"/>
    <w:semiHidden/>
    <w:unhideWhenUsed/>
    <w:rsid w:val="0051265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 w:id="706956656">
      <w:bodyDiv w:val="1"/>
      <w:marLeft w:val="0"/>
      <w:marRight w:val="0"/>
      <w:marTop w:val="0"/>
      <w:marBottom w:val="0"/>
      <w:divBdr>
        <w:top w:val="none" w:sz="0" w:space="0" w:color="auto"/>
        <w:left w:val="none" w:sz="0" w:space="0" w:color="auto"/>
        <w:bottom w:val="none" w:sz="0" w:space="0" w:color="auto"/>
        <w:right w:val="none" w:sz="0" w:space="0" w:color="auto"/>
      </w:divBdr>
    </w:div>
    <w:div w:id="1067343126">
      <w:bodyDiv w:val="1"/>
      <w:marLeft w:val="0"/>
      <w:marRight w:val="0"/>
      <w:marTop w:val="0"/>
      <w:marBottom w:val="0"/>
      <w:divBdr>
        <w:top w:val="none" w:sz="0" w:space="0" w:color="auto"/>
        <w:left w:val="none" w:sz="0" w:space="0" w:color="auto"/>
        <w:bottom w:val="none" w:sz="0" w:space="0" w:color="auto"/>
        <w:right w:val="none" w:sz="0" w:space="0" w:color="auto"/>
      </w:divBdr>
    </w:div>
    <w:div w:id="1313414016">
      <w:bodyDiv w:val="1"/>
      <w:marLeft w:val="0"/>
      <w:marRight w:val="0"/>
      <w:marTop w:val="0"/>
      <w:marBottom w:val="0"/>
      <w:divBdr>
        <w:top w:val="none" w:sz="0" w:space="0" w:color="auto"/>
        <w:left w:val="none" w:sz="0" w:space="0" w:color="auto"/>
        <w:bottom w:val="none" w:sz="0" w:space="0" w:color="auto"/>
        <w:right w:val="none" w:sz="0" w:space="0" w:color="auto"/>
      </w:divBdr>
    </w:div>
    <w:div w:id="170212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Brown,%20Polmann,%20and%20Fa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Clark, Graham, Brown, Polmann, and Fay.dotm</Template>
  <TotalTime>0</TotalTime>
  <Pages>24</Pages>
  <Words>1324</Words>
  <Characters>7552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2020-04-14T16:11:00Z</dcterms:created>
  <dcterms:modified xsi:type="dcterms:W3CDTF">2020-04-14T16:21:00Z</dcterms:modified>
</cp:coreProperties>
</file>