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6D2B36" w:rsidP="006D2B36">
      <w:pPr>
        <w:pStyle w:val="OrderHeading"/>
      </w:pPr>
      <w:r>
        <w:t>BEFORE THE FLORIDA PUBLIC SERVICE COMMISSION</w:t>
      </w:r>
    </w:p>
    <w:p w:rsidR="006D2B36" w:rsidRDefault="006D2B36" w:rsidP="006D2B36">
      <w:pPr>
        <w:pStyle w:val="OrderBody"/>
      </w:pPr>
    </w:p>
    <w:p w:rsidR="006D2B36" w:rsidRDefault="006D2B36" w:rsidP="006D2B36">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6D2B36" w:rsidRPr="00C63FCF" w:rsidTr="00DF03ED">
        <w:trPr>
          <w:trHeight w:val="828"/>
        </w:trPr>
        <w:tc>
          <w:tcPr>
            <w:tcW w:w="4788" w:type="dxa"/>
            <w:tcBorders>
              <w:bottom w:val="single" w:sz="8" w:space="0" w:color="auto"/>
              <w:right w:val="double" w:sz="6" w:space="0" w:color="auto"/>
            </w:tcBorders>
            <w:shd w:val="clear" w:color="auto" w:fill="auto"/>
          </w:tcPr>
          <w:p w:rsidR="006D2B36" w:rsidRDefault="006D2B36" w:rsidP="00DF03ED">
            <w:pPr>
              <w:pStyle w:val="OrderBody"/>
              <w:tabs>
                <w:tab w:val="center" w:pos="4320"/>
                <w:tab w:val="right" w:pos="8640"/>
              </w:tabs>
              <w:jc w:val="left"/>
            </w:pPr>
            <w:r>
              <w:t xml:space="preserve">In re: </w:t>
            </w:r>
            <w:bookmarkStart w:id="0" w:name="SSInRe"/>
            <w:bookmarkEnd w:id="0"/>
            <w:r>
              <w:t>Fuel and purchased power cost recovery clause with generating performance incentive factor.</w:t>
            </w:r>
          </w:p>
        </w:tc>
        <w:tc>
          <w:tcPr>
            <w:tcW w:w="4788" w:type="dxa"/>
            <w:tcBorders>
              <w:left w:val="double" w:sz="6" w:space="0" w:color="auto"/>
            </w:tcBorders>
            <w:shd w:val="clear" w:color="auto" w:fill="auto"/>
          </w:tcPr>
          <w:p w:rsidR="006D2B36" w:rsidRDefault="006D2B36" w:rsidP="006D2B36">
            <w:pPr>
              <w:pStyle w:val="OrderBody"/>
            </w:pPr>
            <w:r>
              <w:t xml:space="preserve">DOCKET NO. </w:t>
            </w:r>
            <w:bookmarkStart w:id="1" w:name="SSDocketNo"/>
            <w:bookmarkEnd w:id="1"/>
            <w:r>
              <w:t>20200001-EI</w:t>
            </w:r>
          </w:p>
          <w:p w:rsidR="006D2B36" w:rsidRDefault="006D2B36" w:rsidP="00DF03ED">
            <w:pPr>
              <w:pStyle w:val="OrderBody"/>
              <w:tabs>
                <w:tab w:val="center" w:pos="4320"/>
                <w:tab w:val="right" w:pos="8640"/>
              </w:tabs>
              <w:jc w:val="left"/>
            </w:pPr>
            <w:r>
              <w:t xml:space="preserve">ORDER NO. </w:t>
            </w:r>
            <w:bookmarkStart w:id="2" w:name="OrderNo0154"/>
            <w:r w:rsidR="001C0292">
              <w:t>PSC-2020-0154-PCO-EI</w:t>
            </w:r>
            <w:bookmarkEnd w:id="2"/>
          </w:p>
          <w:p w:rsidR="006D2B36" w:rsidRDefault="006D2B36" w:rsidP="00DF03ED">
            <w:pPr>
              <w:pStyle w:val="OrderBody"/>
              <w:tabs>
                <w:tab w:val="center" w:pos="4320"/>
                <w:tab w:val="right" w:pos="8640"/>
              </w:tabs>
              <w:jc w:val="left"/>
            </w:pPr>
            <w:r>
              <w:t xml:space="preserve">ISSUED: </w:t>
            </w:r>
            <w:r w:rsidR="001C0292">
              <w:t>May 14, 2020</w:t>
            </w:r>
          </w:p>
        </w:tc>
      </w:tr>
    </w:tbl>
    <w:p w:rsidR="006D2B36" w:rsidRDefault="006D2B36" w:rsidP="006D2B36"/>
    <w:p w:rsidR="006D2B36" w:rsidRDefault="006D2B36" w:rsidP="006D2B36"/>
    <w:p w:rsidR="006D2B36" w:rsidRDefault="006D2B36" w:rsidP="00B67A43">
      <w:pPr>
        <w:ind w:firstLine="720"/>
        <w:jc w:val="both"/>
      </w:pPr>
      <w:bookmarkStart w:id="3" w:name="Commissioners"/>
      <w:bookmarkEnd w:id="3"/>
      <w:r>
        <w:t>The following Commissioners participated in the disposition of this matter:</w:t>
      </w:r>
    </w:p>
    <w:p w:rsidR="006D2B36" w:rsidRDefault="006D2B36" w:rsidP="00B67A43"/>
    <w:p w:rsidR="006D2B36" w:rsidRDefault="006D2B36" w:rsidP="00B67A43">
      <w:pPr>
        <w:jc w:val="center"/>
      </w:pPr>
      <w:r>
        <w:t>GARY F. CLARK, Chairman</w:t>
      </w:r>
    </w:p>
    <w:p w:rsidR="006D2B36" w:rsidRDefault="006D2B36" w:rsidP="00B67A43">
      <w:pPr>
        <w:jc w:val="center"/>
      </w:pPr>
      <w:r>
        <w:t>ART GRAHAM</w:t>
      </w:r>
    </w:p>
    <w:p w:rsidR="006D2B36" w:rsidRDefault="006D2B36" w:rsidP="00B67A43">
      <w:pPr>
        <w:jc w:val="center"/>
      </w:pPr>
      <w:r>
        <w:t>JULIE I. BROWN</w:t>
      </w:r>
    </w:p>
    <w:p w:rsidR="006D2B36" w:rsidRDefault="006D2B36" w:rsidP="00B67A43">
      <w:pPr>
        <w:jc w:val="center"/>
      </w:pPr>
      <w:r>
        <w:t>DONALD J. POLMANN</w:t>
      </w:r>
    </w:p>
    <w:p w:rsidR="006D2B36" w:rsidRDefault="006D2B36" w:rsidP="00B67A43">
      <w:pPr>
        <w:jc w:val="center"/>
      </w:pPr>
      <w:r>
        <w:t>ANDREW GILES FAY</w:t>
      </w:r>
    </w:p>
    <w:p w:rsidR="00CB5276" w:rsidRDefault="00CB5276">
      <w:pPr>
        <w:pStyle w:val="OrderBody"/>
      </w:pPr>
    </w:p>
    <w:p w:rsidR="006D2B36" w:rsidRDefault="006D2B36" w:rsidP="006D2B36">
      <w:pPr>
        <w:pStyle w:val="CenterUnderline"/>
      </w:pPr>
      <w:r>
        <w:t>ORDER</w:t>
      </w:r>
      <w:bookmarkStart w:id="4" w:name="OrderTitle"/>
      <w:r>
        <w:t xml:space="preserve"> GRANTING TAMPA ELECTRIC COMPANY’S, DUKE ENERGY</w:t>
      </w:r>
    </w:p>
    <w:p w:rsidR="006D2B36" w:rsidRDefault="006D2B36" w:rsidP="006D2B36">
      <w:pPr>
        <w:pStyle w:val="CenterUnderline"/>
      </w:pPr>
      <w:r>
        <w:t xml:space="preserve">FLORIDA, LLC’S, FLORIDA POWER &amp; LIGHT COMPANY’S AND GULF POWER COMPANY’S PETITIONS FOR MID-COURSE CORRECTIONS </w:t>
      </w:r>
      <w:bookmarkEnd w:id="4"/>
    </w:p>
    <w:p w:rsidR="006D2B36" w:rsidRDefault="006D2B36" w:rsidP="006D2B36">
      <w:pPr>
        <w:pStyle w:val="CenterUnderline"/>
      </w:pPr>
    </w:p>
    <w:p w:rsidR="006D2B36" w:rsidRDefault="006D2B36" w:rsidP="006D2B36">
      <w:pPr>
        <w:pStyle w:val="OrderBody"/>
      </w:pPr>
      <w:r>
        <w:t>BY THE COMMISSION:</w:t>
      </w:r>
    </w:p>
    <w:p w:rsidR="006D2B36" w:rsidRDefault="006D2B36" w:rsidP="006D2B36">
      <w:pPr>
        <w:pStyle w:val="OrderBody"/>
      </w:pPr>
    </w:p>
    <w:p w:rsidR="006D2B36" w:rsidRDefault="006D2B36" w:rsidP="006D2B36">
      <w:pPr>
        <w:jc w:val="both"/>
      </w:pPr>
      <w:bookmarkStart w:id="5" w:name="OrderText"/>
      <w:bookmarkEnd w:id="5"/>
      <w:r>
        <w:tab/>
      </w:r>
      <w:r w:rsidRPr="008609F9">
        <w:t xml:space="preserve">From March 25, 2020, through April 2, 2020, </w:t>
      </w:r>
      <w:r>
        <w:t>the four</w:t>
      </w:r>
      <w:r w:rsidRPr="008609F9">
        <w:t xml:space="preserve"> investor-owned utilities (IOUs) in the</w:t>
      </w:r>
      <w:r>
        <w:t xml:space="preserve"> </w:t>
      </w:r>
      <w:r w:rsidRPr="008609F9">
        <w:t>State of F</w:t>
      </w:r>
      <w:r w:rsidRPr="00211791">
        <w:t>lorida that generate their own electricity filed for mid-course corrections of their currently-approved fuel costs/factors.</w:t>
      </w:r>
      <w:r w:rsidRPr="00211791">
        <w:rPr>
          <w:vertAlign w:val="superscript"/>
        </w:rPr>
        <w:footnoteReference w:id="1"/>
      </w:r>
      <w:r w:rsidRPr="00211791">
        <w:t xml:space="preserve"> These</w:t>
      </w:r>
      <w:r>
        <w:t xml:space="preserve"> m</w:t>
      </w:r>
      <w:r w:rsidRPr="00DF41B1">
        <w:t>id-course correction</w:t>
      </w:r>
      <w:r>
        <w:t xml:space="preserve"> petitions</w:t>
      </w:r>
      <w:r w:rsidRPr="00DF41B1">
        <w:t xml:space="preserve"> </w:t>
      </w:r>
      <w:r>
        <w:t>wer</w:t>
      </w:r>
      <w:r w:rsidRPr="00DF41B1">
        <w:t>e</w:t>
      </w:r>
      <w:r>
        <w:t xml:space="preserve"> filed and are being </w:t>
      </w:r>
      <w:r w:rsidRPr="00DF41B1">
        <w:t xml:space="preserve">addressed as part of </w:t>
      </w:r>
      <w:r>
        <w:t xml:space="preserve">our </w:t>
      </w:r>
      <w:r w:rsidRPr="00DF41B1">
        <w:t>annual fuel and purchased power cost recovery (fuel clause) docket</w:t>
      </w:r>
      <w:r>
        <w:t>.</w:t>
      </w:r>
    </w:p>
    <w:p w:rsidR="000512D7" w:rsidRDefault="000512D7" w:rsidP="006D2B36">
      <w:pPr>
        <w:jc w:val="both"/>
      </w:pPr>
    </w:p>
    <w:p w:rsidR="006D2B36" w:rsidRDefault="006D2B36" w:rsidP="006D2B36">
      <w:pPr>
        <w:jc w:val="center"/>
        <w:rPr>
          <w:bCs/>
          <w:iCs/>
          <w:u w:val="single"/>
        </w:rPr>
      </w:pPr>
      <w:r w:rsidRPr="0062499B">
        <w:rPr>
          <w:bCs/>
          <w:iCs/>
          <w:u w:val="single"/>
        </w:rPr>
        <w:t>BACKGROUND</w:t>
      </w:r>
    </w:p>
    <w:p w:rsidR="000512D7" w:rsidRPr="0062499B" w:rsidRDefault="000512D7" w:rsidP="006D2B36">
      <w:pPr>
        <w:jc w:val="center"/>
        <w:rPr>
          <w:bCs/>
          <w:iCs/>
          <w:u w:val="single"/>
        </w:rPr>
      </w:pPr>
    </w:p>
    <w:p w:rsidR="006D2B36" w:rsidRPr="0062499B" w:rsidRDefault="006D2B36" w:rsidP="006D2B36">
      <w:pPr>
        <w:jc w:val="both"/>
        <w:rPr>
          <w:bCs/>
          <w:iCs/>
          <w:u w:val="single"/>
        </w:rPr>
      </w:pPr>
      <w:r w:rsidRPr="0062499B">
        <w:rPr>
          <w:bCs/>
          <w:iCs/>
          <w:u w:val="single"/>
        </w:rPr>
        <w:t>Mid-Course Corrections</w:t>
      </w:r>
    </w:p>
    <w:p w:rsidR="006D2B36" w:rsidRDefault="006D2B36" w:rsidP="006D2B36">
      <w:pPr>
        <w:jc w:val="both"/>
        <w:rPr>
          <w:bCs/>
        </w:rPr>
      </w:pPr>
    </w:p>
    <w:p w:rsidR="001A484B" w:rsidRDefault="006D2B36" w:rsidP="006D2B36">
      <w:pPr>
        <w:pStyle w:val="CenterUnderline"/>
        <w:jc w:val="both"/>
        <w:rPr>
          <w:bCs/>
          <w:u w:val="none"/>
        </w:rPr>
      </w:pPr>
      <w:r w:rsidRPr="006D2B36">
        <w:rPr>
          <w:bCs/>
          <w:u w:val="none"/>
        </w:rPr>
        <w:tab/>
        <w:t>Mid-course corrections are part of the fuel clause proceeding, and such corrections are used by this Commission between fuel clause hearings whenever costs deviate from revenues by a significant margin.  Petitions for mid-course corrections to fuel factors are addressed by Rule 25-6.0424, Florida Administrative Code (F.A.C.).  Under this rule, a utility must notify this Commission whenever it expects to experience an under-recovery or over-recovery greater than 10 percent.  Pursuant to Rule 25-6.0424, F.A.C., the mid-course percentage is the estimated end-of-period total net true-up amount divided by the current period’s total actual and estimated jurisdictional fuel revenue applicable to period amount.</w:t>
      </w:r>
    </w:p>
    <w:p w:rsidR="001A484B" w:rsidRDefault="001A484B" w:rsidP="006D2B36">
      <w:pPr>
        <w:pStyle w:val="CenterUnderline"/>
        <w:jc w:val="both"/>
        <w:rPr>
          <w:bCs/>
          <w:u w:val="none"/>
        </w:rPr>
      </w:pPr>
    </w:p>
    <w:p w:rsidR="001A484B" w:rsidRDefault="001A484B" w:rsidP="001A484B">
      <w:pPr>
        <w:pStyle w:val="CenterUnderline"/>
        <w:jc w:val="both"/>
        <w:rPr>
          <w:u w:val="none"/>
        </w:rPr>
      </w:pPr>
      <w:r>
        <w:rPr>
          <w:bCs/>
          <w:u w:val="none"/>
        </w:rPr>
        <w:tab/>
      </w:r>
      <w:r w:rsidR="006D2B36" w:rsidRPr="006D2B36">
        <w:rPr>
          <w:bCs/>
          <w:u w:val="none"/>
        </w:rPr>
        <w:t>Mid-course corrections are considered preliminary procedural decisions, and any over-recoveries or under-recoveries caused by or resulting from Commission-approved adjusted fuel factors may be included in the following year’s fuel factors.</w:t>
      </w:r>
      <w:r w:rsidR="006D2B36" w:rsidRPr="006D2B36">
        <w:rPr>
          <w:u w:val="none"/>
        </w:rPr>
        <w:t xml:space="preserve">  In this instance, the proposed </w:t>
      </w:r>
      <w:r w:rsidR="006D2B36" w:rsidRPr="006D2B36">
        <w:rPr>
          <w:u w:val="none"/>
        </w:rPr>
        <w:lastRenderedPageBreak/>
        <w:t>revisions to current fuel cost recovery levels are being driven by a significant decline in the market-based price for natural gas.  Rule 25-6.0424(2), F.A.C., does not require an under-recovery or over-recovery of 10 percent for our approval of a mid-course correction</w:t>
      </w:r>
      <w:r w:rsidR="006D2B36">
        <w:rPr>
          <w:u w:val="none"/>
        </w:rPr>
        <w:t>.</w:t>
      </w:r>
    </w:p>
    <w:p w:rsidR="001A484B" w:rsidRDefault="001A484B" w:rsidP="001A484B">
      <w:pPr>
        <w:pStyle w:val="CenterUnderline"/>
        <w:jc w:val="both"/>
        <w:rPr>
          <w:u w:val="none"/>
        </w:rPr>
      </w:pPr>
    </w:p>
    <w:p w:rsidR="006D2B36" w:rsidRPr="001A484B" w:rsidRDefault="001A484B" w:rsidP="001A484B">
      <w:pPr>
        <w:pStyle w:val="CenterUnderline"/>
        <w:jc w:val="both"/>
        <w:rPr>
          <w:bCs/>
          <w:u w:val="none"/>
        </w:rPr>
      </w:pPr>
      <w:r w:rsidRPr="001A484B">
        <w:rPr>
          <w:bCs/>
          <w:u w:val="none"/>
        </w:rPr>
        <w:tab/>
      </w:r>
      <w:r w:rsidR="006D2B36" w:rsidRPr="001A484B">
        <w:rPr>
          <w:bCs/>
          <w:u w:val="none"/>
        </w:rPr>
        <w:t>The monthly natural gas price at the time 2020 projections were filed in September 2019 was $2.56 per Million British thermal units (MMBtu).</w:t>
      </w:r>
      <w:r w:rsidR="006D2B36" w:rsidRPr="001A484B">
        <w:rPr>
          <w:rStyle w:val="FootnoteReference"/>
          <w:bCs/>
          <w:u w:val="none"/>
        </w:rPr>
        <w:footnoteReference w:id="2"/>
      </w:r>
      <w:r w:rsidR="006D2B36" w:rsidRPr="001A484B">
        <w:rPr>
          <w:bCs/>
          <w:u w:val="none"/>
        </w:rPr>
        <w:t xml:space="preserve">  Four months later in January 2020, or in the first month when new rates of the 2020 clause cycle became effective, the monthly spot price was down 21 percent, falling to $2.02 per MMBtu.  The forward prices currently being quoted on The New York Mercantile Exchange (NYMEX) for all months through the end of the third-quarter 2020, remain below $2.20 per MMBtu (at Henry Hub) as of April l0, 2020.</w:t>
      </w:r>
      <w:r w:rsidR="006D2B36" w:rsidRPr="001A484B">
        <w:rPr>
          <w:rStyle w:val="FootnoteReference"/>
          <w:bCs/>
          <w:u w:val="none"/>
        </w:rPr>
        <w:footnoteReference w:id="3"/>
      </w:r>
      <w:r w:rsidR="006D2B36" w:rsidRPr="001A484B">
        <w:rPr>
          <w:bCs/>
          <w:u w:val="none"/>
        </w:rPr>
        <w:t xml:space="preserve">  T</w:t>
      </w:r>
      <w:r w:rsidR="006D2B36" w:rsidRPr="001A484B">
        <w:rPr>
          <w:u w:val="none"/>
        </w:rPr>
        <w:t>hese quoted spot market prices are lower than the utility-specific figures discussed below due to the addition of transportation and other costs to the utility figures.</w:t>
      </w:r>
    </w:p>
    <w:p w:rsidR="006D2B36" w:rsidRPr="001A484B" w:rsidRDefault="006D2B36" w:rsidP="006D2B36">
      <w:pPr>
        <w:jc w:val="both"/>
        <w:rPr>
          <w:bCs/>
        </w:rPr>
      </w:pPr>
      <w:r w:rsidRPr="001A484B">
        <w:rPr>
          <w:bCs/>
        </w:rPr>
        <w:t xml:space="preserve"> </w:t>
      </w:r>
    </w:p>
    <w:p w:rsidR="006D2B36" w:rsidRDefault="006D2B36" w:rsidP="006D2B36">
      <w:pPr>
        <w:jc w:val="both"/>
      </w:pPr>
      <w:r>
        <w:tab/>
      </w:r>
      <w:r w:rsidRPr="00211791">
        <w:t>In t</w:t>
      </w:r>
      <w:r w:rsidRPr="00211791">
        <w:rPr>
          <w:shd w:val="clear" w:color="auto" w:fill="FFFFFF" w:themeFill="background1"/>
        </w:rPr>
        <w:t xml:space="preserve">his proceeding, </w:t>
      </w:r>
      <w:r>
        <w:rPr>
          <w:shd w:val="clear" w:color="auto" w:fill="FFFFFF" w:themeFill="background1"/>
        </w:rPr>
        <w:t xml:space="preserve">we are </w:t>
      </w:r>
      <w:r w:rsidRPr="00211791">
        <w:rPr>
          <w:shd w:val="clear" w:color="auto" w:fill="FFFFFF" w:themeFill="background1"/>
        </w:rPr>
        <w:t xml:space="preserve">being asked to reduce the expected fuel and capacity costs to customers. </w:t>
      </w:r>
      <w:r>
        <w:rPr>
          <w:shd w:val="clear" w:color="auto" w:fill="FFFFFF" w:themeFill="background1"/>
        </w:rPr>
        <w:t xml:space="preserve"> </w:t>
      </w:r>
      <w:r w:rsidRPr="00211791">
        <w:rPr>
          <w:shd w:val="clear" w:color="auto" w:fill="FFFFFF" w:themeFill="background1"/>
        </w:rPr>
        <w:t>Specific treatment of the projected fuel mid-course correction over</w:t>
      </w:r>
      <w:r w:rsidRPr="00211791">
        <w:t xml:space="preserve">-recoveries further described below varies by utility; however, all are requesting approval of an accelerated method </w:t>
      </w:r>
      <w:r>
        <w:t xml:space="preserve">for </w:t>
      </w:r>
      <w:r w:rsidRPr="00211791">
        <w:t xml:space="preserve">flowing </w:t>
      </w:r>
      <w:r>
        <w:t xml:space="preserve">back </w:t>
      </w:r>
      <w:r w:rsidRPr="00211791">
        <w:t xml:space="preserve">the projected over-recoveries of fuel and capacity charges to their respective customers. </w:t>
      </w:r>
      <w:r>
        <w:t xml:space="preserve"> </w:t>
      </w:r>
      <w:r w:rsidRPr="00211791">
        <w:t xml:space="preserve">The “lump sum” approach of flowing </w:t>
      </w:r>
      <w:r>
        <w:t xml:space="preserve">back </w:t>
      </w:r>
      <w:r w:rsidRPr="00211791">
        <w:t>the projected over-recoveries is meant to aid in counteracting the adverse economic conditions resulting from the Coronavirus Disease 2019 (COVID-19) global pandemic.</w:t>
      </w:r>
      <w:r w:rsidRPr="00211791">
        <w:rPr>
          <w:rStyle w:val="FootnoteReference"/>
        </w:rPr>
        <w:footnoteReference w:id="4"/>
      </w:r>
      <w:r w:rsidRPr="00211791">
        <w:t xml:space="preserve"> </w:t>
      </w:r>
      <w:r>
        <w:t xml:space="preserve"> </w:t>
      </w:r>
      <w:r w:rsidRPr="00211791">
        <w:t xml:space="preserve">Throughout this </w:t>
      </w:r>
      <w:r w:rsidR="001A484B">
        <w:t>order</w:t>
      </w:r>
      <w:r w:rsidRPr="00211791">
        <w:t xml:space="preserve">, </w:t>
      </w:r>
      <w:r>
        <w:t xml:space="preserve">we </w:t>
      </w:r>
      <w:r w:rsidRPr="00211791">
        <w:t xml:space="preserve">may refer to the mid-course correction dollars being flowed </w:t>
      </w:r>
      <w:r>
        <w:t xml:space="preserve">back </w:t>
      </w:r>
      <w:r w:rsidRPr="00211791">
        <w:t xml:space="preserve">to customers in a non-levelized manner as a “bill credit.” </w:t>
      </w:r>
      <w:r>
        <w:t xml:space="preserve"> </w:t>
      </w:r>
      <w:r w:rsidRPr="00211791">
        <w:t xml:space="preserve">However, the proposed approaches simply effectuate flowing </w:t>
      </w:r>
      <w:r>
        <w:t xml:space="preserve">back </w:t>
      </w:r>
      <w:r w:rsidRPr="00211791">
        <w:t xml:space="preserve">all or a majority of the </w:t>
      </w:r>
      <w:r w:rsidRPr="00211791">
        <w:rPr>
          <w:shd w:val="clear" w:color="auto" w:fill="FFFFFF" w:themeFill="background1"/>
        </w:rPr>
        <w:t>mid-course correction amounts</w:t>
      </w:r>
      <w:r w:rsidRPr="00211791">
        <w:t xml:space="preserve"> in one- or three-month timeframes, rather than the standard approach of spreading the total amount over all remaining months in a period.</w:t>
      </w:r>
      <w:r>
        <w:t xml:space="preserve">  </w:t>
      </w:r>
      <w:r w:rsidRPr="00211791">
        <w:t>In this instance, the standard</w:t>
      </w:r>
      <w:r w:rsidRPr="00F62D67">
        <w:t xml:space="preserve"> </w:t>
      </w:r>
      <w:r w:rsidRPr="00211791">
        <w:t xml:space="preserve">approach, including normal noticing timeframes, would be to flow </w:t>
      </w:r>
      <w:r>
        <w:t xml:space="preserve">back </w:t>
      </w:r>
      <w:r w:rsidRPr="00211791">
        <w:t>the total mid-course correction amount ratably over the June through December time period.</w:t>
      </w:r>
      <w:r>
        <w:t xml:space="preserve"> </w:t>
      </w:r>
    </w:p>
    <w:p w:rsidR="006D2B36" w:rsidRPr="00E22436" w:rsidRDefault="006D2B36" w:rsidP="006D2B36">
      <w:pPr>
        <w:jc w:val="both"/>
        <w:rPr>
          <w:highlight w:val="yellow"/>
          <w:shd w:val="clear" w:color="auto" w:fill="FFFFFF" w:themeFill="background1"/>
        </w:rPr>
      </w:pPr>
    </w:p>
    <w:p w:rsidR="006D2B36" w:rsidRPr="001C6FA1" w:rsidRDefault="006D2B36" w:rsidP="006D2B36">
      <w:pPr>
        <w:jc w:val="both"/>
        <w:rPr>
          <w:bCs/>
          <w:iCs/>
          <w:u w:val="single"/>
        </w:rPr>
      </w:pPr>
      <w:r w:rsidRPr="001C6FA1">
        <w:rPr>
          <w:bCs/>
          <w:iCs/>
          <w:u w:val="single"/>
        </w:rPr>
        <w:t>Petitions</w:t>
      </w:r>
    </w:p>
    <w:p w:rsidR="006D2B36" w:rsidRDefault="006D2B36" w:rsidP="006D2B36">
      <w:pPr>
        <w:jc w:val="both"/>
      </w:pPr>
    </w:p>
    <w:p w:rsidR="006D2B36" w:rsidRDefault="006D2B36" w:rsidP="006D2B36">
      <w:pPr>
        <w:jc w:val="both"/>
      </w:pPr>
      <w:r>
        <w:tab/>
        <w:t>O</w:t>
      </w:r>
      <w:r w:rsidRPr="00C42E1C">
        <w:t xml:space="preserve">n </w:t>
      </w:r>
      <w:r>
        <w:t>March 25</w:t>
      </w:r>
      <w:r w:rsidRPr="001B61FB">
        <w:t>, 20</w:t>
      </w:r>
      <w:r>
        <w:t>20</w:t>
      </w:r>
      <w:r w:rsidRPr="001B61FB">
        <w:t xml:space="preserve">, </w:t>
      </w:r>
      <w:r>
        <w:t>Tampa Electric Company (Tampa Electric)</w:t>
      </w:r>
      <w:r w:rsidRPr="001B61FB">
        <w:t xml:space="preserve"> filed </w:t>
      </w:r>
      <w:r>
        <w:t>its</w:t>
      </w:r>
      <w:r w:rsidRPr="001B61FB">
        <w:t xml:space="preserve"> </w:t>
      </w:r>
      <w:r w:rsidRPr="002A2C96">
        <w:rPr>
          <w:i/>
          <w:iCs/>
        </w:rPr>
        <w:t>Petition for Mid-Course Correction of its Fuel Cost Recovery Factors and Capacity Cost Recovery Factors</w:t>
      </w:r>
      <w:r>
        <w:t xml:space="preserve"> (Tampa Electric Petition).</w:t>
      </w:r>
      <w:r>
        <w:rPr>
          <w:rStyle w:val="FootnoteReference"/>
        </w:rPr>
        <w:footnoteReference w:id="5"/>
      </w:r>
      <w:r>
        <w:t xml:space="preserve">  Through its p</w:t>
      </w:r>
      <w:r w:rsidRPr="00DB52F9">
        <w:t>etition</w:t>
      </w:r>
      <w:r>
        <w:t>,</w:t>
      </w:r>
      <w:r w:rsidRPr="00DB52F9">
        <w:t xml:space="preserve"> </w:t>
      </w:r>
      <w:r>
        <w:t>Tampa Electric is seeking authorization</w:t>
      </w:r>
      <w:r w:rsidRPr="00DB52F9">
        <w:t xml:space="preserve"> to</w:t>
      </w:r>
      <w:r>
        <w:t xml:space="preserve"> lower its currently-approved 2020 fuel and capacity</w:t>
      </w:r>
      <w:r w:rsidRPr="00DB52F9">
        <w:t xml:space="preserve"> cost recover</w:t>
      </w:r>
      <w:r w:rsidRPr="00211791">
        <w:t>y factors fro</w:t>
      </w:r>
      <w:r>
        <w:t>m June through December 2020, as well as issue line item bill credits in the months of June, July, and August 2020.</w:t>
      </w:r>
    </w:p>
    <w:p w:rsidR="006D2B36" w:rsidRDefault="006D2B36" w:rsidP="006D2B36">
      <w:pPr>
        <w:jc w:val="both"/>
      </w:pPr>
    </w:p>
    <w:p w:rsidR="006D2B36" w:rsidRDefault="006D2B36" w:rsidP="006D2B36">
      <w:pPr>
        <w:pStyle w:val="CenterUnderline"/>
        <w:jc w:val="both"/>
        <w:rPr>
          <w:u w:val="none"/>
        </w:rPr>
      </w:pPr>
      <w:r w:rsidRPr="006D2B36">
        <w:rPr>
          <w:u w:val="none"/>
        </w:rPr>
        <w:tab/>
        <w:t xml:space="preserve">On April 1, 2020, Florida Power &amp; Light Company (FPL) filed its </w:t>
      </w:r>
      <w:r w:rsidRPr="006D2B36">
        <w:rPr>
          <w:i/>
          <w:iCs/>
          <w:u w:val="none"/>
        </w:rPr>
        <w:t>Mid-Course Correction Petition</w:t>
      </w:r>
      <w:r w:rsidRPr="006D2B36">
        <w:rPr>
          <w:u w:val="none"/>
        </w:rPr>
        <w:t xml:space="preserve"> (FPL Petition).</w:t>
      </w:r>
      <w:r w:rsidRPr="006D2B36">
        <w:rPr>
          <w:rStyle w:val="FootnoteReference"/>
          <w:u w:val="none"/>
        </w:rPr>
        <w:footnoteReference w:id="6"/>
      </w:r>
      <w:r w:rsidRPr="006D2B36">
        <w:rPr>
          <w:u w:val="none"/>
        </w:rPr>
        <w:t xml:space="preserve">  FPL is seeking authorization to lower its currently-approved 2020 fuel cost recovery factors for the month of May 2020.  FPL’s current level of actual and projected fuel cost recovery </w:t>
      </w:r>
      <w:bookmarkStart w:id="6" w:name="_Hlk37493542"/>
      <w:r w:rsidRPr="006D2B36">
        <w:rPr>
          <w:u w:val="none"/>
        </w:rPr>
        <w:t xml:space="preserve">has not breached the 10 percent threshold; thus, the filing was not prompted by the noticing requirement pursuant to Rule 25-6.0424(2), F.A.C. </w:t>
      </w:r>
      <w:bookmarkEnd w:id="6"/>
      <w:r w:rsidRPr="006D2B36">
        <w:rPr>
          <w:u w:val="none"/>
        </w:rPr>
        <w:t xml:space="preserve"> However,</w:t>
      </w:r>
    </w:p>
    <w:p w:rsidR="006D2B36" w:rsidRDefault="006D2B36" w:rsidP="006D2B36">
      <w:pPr>
        <w:jc w:val="both"/>
      </w:pPr>
      <w:r w:rsidRPr="009F03DA">
        <w:t>FPL indicate</w:t>
      </w:r>
      <w:r>
        <w:t>d that</w:t>
      </w:r>
      <w:r w:rsidRPr="009F03DA">
        <w:t xml:space="preserve"> </w:t>
      </w:r>
      <w:r>
        <w:t>its</w:t>
      </w:r>
      <w:r w:rsidRPr="009F03DA">
        <w:t xml:space="preserve"> </w:t>
      </w:r>
      <w:r>
        <w:t xml:space="preserve">proposed action is primarily intended to help mitigate the adverse economic impacts of the COVID-19 pandemic.  </w:t>
      </w:r>
    </w:p>
    <w:p w:rsidR="006D2B36" w:rsidRDefault="006D2B36" w:rsidP="006D2B36">
      <w:pPr>
        <w:jc w:val="both"/>
      </w:pPr>
    </w:p>
    <w:p w:rsidR="006D2B36" w:rsidRDefault="001A484B" w:rsidP="006D2B36">
      <w:pPr>
        <w:jc w:val="both"/>
      </w:pPr>
      <w:r>
        <w:tab/>
      </w:r>
      <w:r w:rsidR="006D2B36">
        <w:t xml:space="preserve">On </w:t>
      </w:r>
      <w:r w:rsidR="006D2B36" w:rsidRPr="00BE4A60">
        <w:t>April 2, 2020</w:t>
      </w:r>
      <w:r w:rsidR="006D2B36">
        <w:t>, Gulf Power Company</w:t>
      </w:r>
      <w:r w:rsidR="006D2B36" w:rsidRPr="009773BD">
        <w:t xml:space="preserve"> (Gulf) </w:t>
      </w:r>
      <w:r w:rsidR="006D2B36">
        <w:t xml:space="preserve">filed its </w:t>
      </w:r>
      <w:r w:rsidR="006D2B36" w:rsidRPr="009773BD">
        <w:rPr>
          <w:i/>
          <w:iCs/>
        </w:rPr>
        <w:t>Mid-Course Correction Petition</w:t>
      </w:r>
      <w:r w:rsidR="006D2B36" w:rsidRPr="009773BD">
        <w:t xml:space="preserve"> (G</w:t>
      </w:r>
      <w:r w:rsidR="006D2B36" w:rsidRPr="00211791">
        <w:t>ulf Petition).</w:t>
      </w:r>
      <w:r w:rsidR="006D2B36" w:rsidRPr="00211791">
        <w:rPr>
          <w:rStyle w:val="FootnoteReference"/>
        </w:rPr>
        <w:footnoteReference w:id="7"/>
      </w:r>
      <w:r w:rsidR="006D2B36" w:rsidRPr="00211791">
        <w:t xml:space="preserve"> </w:t>
      </w:r>
      <w:r w:rsidR="006D2B36">
        <w:t xml:space="preserve"> </w:t>
      </w:r>
      <w:r w:rsidR="006D2B36" w:rsidRPr="00211791">
        <w:t>Gulf is seeking authorization to issue a line item bill credit for the month of May 2020.</w:t>
      </w:r>
    </w:p>
    <w:p w:rsidR="006D2B36" w:rsidRDefault="006D2B36" w:rsidP="006D2B36">
      <w:pPr>
        <w:jc w:val="both"/>
      </w:pPr>
    </w:p>
    <w:p w:rsidR="006D2B36" w:rsidRDefault="001A484B" w:rsidP="006D2B36">
      <w:pPr>
        <w:jc w:val="both"/>
      </w:pPr>
      <w:r>
        <w:tab/>
      </w:r>
      <w:r w:rsidR="006D2B36">
        <w:t xml:space="preserve">On </w:t>
      </w:r>
      <w:r w:rsidR="006D2B36" w:rsidRPr="00BE4A60">
        <w:t>April 2, 2020</w:t>
      </w:r>
      <w:r w:rsidR="006D2B36">
        <w:t xml:space="preserve">, </w:t>
      </w:r>
      <w:r w:rsidR="006D2B36" w:rsidRPr="00BE4A60">
        <w:t>Duke Energy Florida</w:t>
      </w:r>
      <w:r w:rsidR="006D2B36">
        <w:t>, LLC</w:t>
      </w:r>
      <w:r w:rsidR="006D2B36" w:rsidRPr="00BE4A60">
        <w:t xml:space="preserve"> (</w:t>
      </w:r>
      <w:r w:rsidR="006D2B36">
        <w:t>DEF</w:t>
      </w:r>
      <w:r w:rsidR="006D2B36" w:rsidRPr="00BE4A60">
        <w:t>)</w:t>
      </w:r>
      <w:r w:rsidR="006D2B36">
        <w:t xml:space="preserve"> filed its</w:t>
      </w:r>
      <w:r w:rsidR="006D2B36" w:rsidRPr="00BE4A60">
        <w:t xml:space="preserve"> </w:t>
      </w:r>
      <w:r w:rsidR="006D2B36" w:rsidRPr="00BE4A60">
        <w:rPr>
          <w:i/>
          <w:iCs/>
        </w:rPr>
        <w:t>Emergency Petition for a Temporary</w:t>
      </w:r>
      <w:r w:rsidR="006D2B36" w:rsidRPr="00BE4A60">
        <w:t xml:space="preserve"> </w:t>
      </w:r>
      <w:r w:rsidR="006D2B36" w:rsidRPr="00BE4A60">
        <w:rPr>
          <w:i/>
          <w:iCs/>
        </w:rPr>
        <w:t xml:space="preserve">Mid-Course Correction </w:t>
      </w:r>
      <w:r w:rsidR="006D2B36" w:rsidRPr="00BE4A60">
        <w:t>(</w:t>
      </w:r>
      <w:r w:rsidR="006D2B36">
        <w:t xml:space="preserve">DEF </w:t>
      </w:r>
      <w:r w:rsidR="006D2B36" w:rsidRPr="00BE4A60">
        <w:t>Petition</w:t>
      </w:r>
      <w:r w:rsidR="006D2B36">
        <w:t>).</w:t>
      </w:r>
      <w:r w:rsidR="006D2B36" w:rsidRPr="00BE4A60">
        <w:rPr>
          <w:rStyle w:val="FootnoteReference"/>
        </w:rPr>
        <w:footnoteReference w:id="8"/>
      </w:r>
      <w:r w:rsidR="006D2B36">
        <w:t xml:space="preserve">  DEF is seeking authorization to lower its currently-approved fuel cost recovery factors for the month of May 2020.  DEF</w:t>
      </w:r>
      <w:r w:rsidR="006D2B36" w:rsidRPr="009F03DA">
        <w:t xml:space="preserve">’s current </w:t>
      </w:r>
      <w:r w:rsidR="006D2B36">
        <w:t>level of actual and projected</w:t>
      </w:r>
      <w:r w:rsidR="006D2B36" w:rsidRPr="009F03DA">
        <w:t xml:space="preserve"> fuel cost recovery has not breached the </w:t>
      </w:r>
      <w:r w:rsidR="006D2B36">
        <w:t>10</w:t>
      </w:r>
      <w:r w:rsidR="006D2B36" w:rsidRPr="009F03DA">
        <w:t xml:space="preserve"> percent thres</w:t>
      </w:r>
      <w:r w:rsidR="006D2B36" w:rsidRPr="00D629E2">
        <w:t xml:space="preserve">hold; thus, its filing was not prompted by the noticing requirement pursuant to Rule 25-6.0424(2), F.A.C. </w:t>
      </w:r>
      <w:r w:rsidR="006D2B36">
        <w:t xml:space="preserve"> </w:t>
      </w:r>
      <w:r w:rsidR="006D2B36" w:rsidRPr="00D629E2">
        <w:t>As with</w:t>
      </w:r>
      <w:r w:rsidR="006D2B36">
        <w:t xml:space="preserve"> FPL,</w:t>
      </w:r>
      <w:r w:rsidR="006D2B36" w:rsidRPr="009F03DA">
        <w:t xml:space="preserve"> </w:t>
      </w:r>
      <w:r w:rsidR="006D2B36">
        <w:t xml:space="preserve">DEF </w:t>
      </w:r>
      <w:r w:rsidR="006D2B36" w:rsidRPr="00A00652">
        <w:t xml:space="preserve">indicated in its filing that the proposed action is </w:t>
      </w:r>
      <w:r w:rsidR="006D2B36">
        <w:t xml:space="preserve">in response to the adverse economic impacts of the COVID-19 pandemic. </w:t>
      </w:r>
    </w:p>
    <w:p w:rsidR="006D2B36" w:rsidRDefault="006D2B36" w:rsidP="006D2B36">
      <w:pPr>
        <w:jc w:val="both"/>
      </w:pPr>
      <w:r>
        <w:t xml:space="preserve"> </w:t>
      </w:r>
    </w:p>
    <w:p w:rsidR="006D2B36" w:rsidRPr="001C6FA1" w:rsidRDefault="006D2B36" w:rsidP="006D2B36">
      <w:pPr>
        <w:jc w:val="both"/>
        <w:rPr>
          <w:bCs/>
          <w:iCs/>
          <w:u w:val="single"/>
        </w:rPr>
      </w:pPr>
      <w:r w:rsidRPr="001C6FA1">
        <w:rPr>
          <w:bCs/>
          <w:iCs/>
          <w:u w:val="single"/>
        </w:rPr>
        <w:t>Effective Dates and Noticing Requirement</w:t>
      </w:r>
    </w:p>
    <w:p w:rsidR="006D2B36" w:rsidRDefault="006D2B36" w:rsidP="006D2B36">
      <w:pPr>
        <w:jc w:val="both"/>
      </w:pPr>
    </w:p>
    <w:p w:rsidR="006D2B36" w:rsidRPr="006D2B36" w:rsidRDefault="006D2B36" w:rsidP="006D2B36">
      <w:pPr>
        <w:pStyle w:val="CenterUnderline"/>
        <w:jc w:val="both"/>
        <w:rPr>
          <w:u w:val="none"/>
        </w:rPr>
      </w:pPr>
      <w:r w:rsidRPr="006D2B36">
        <w:rPr>
          <w:u w:val="none"/>
        </w:rPr>
        <w:tab/>
        <w:t xml:space="preserve">FPL, Gulf, and DEF have requested that the revised tariffs become effective to essentially produce a one-time bill reduction in the month of May 2020.  This matter was voted on at </w:t>
      </w:r>
      <w:r w:rsidR="000512D7">
        <w:rPr>
          <w:u w:val="none"/>
        </w:rPr>
        <w:t>our</w:t>
      </w:r>
      <w:r w:rsidRPr="006D2B36">
        <w:rPr>
          <w:u w:val="none"/>
        </w:rPr>
        <w:t xml:space="preserve"> April 28, 2020 Special Agenda Conference.  Typically, effective dates are set a minimum of 30 days after a vote modifying charges.  This time limit is imposed in order to avoid having new rates applied to energy consumed before the effective date of our action, i.e., the date of the vote. However, we have implemented charges as a result of mid-course corrections in less than 30 days when circumstances warrant.</w:t>
      </w:r>
      <w:r w:rsidRPr="006D2B36">
        <w:rPr>
          <w:rStyle w:val="FootnoteReference"/>
          <w:u w:val="none"/>
        </w:rPr>
        <w:footnoteReference w:id="9"/>
      </w:r>
      <w:r w:rsidRPr="006D2B36">
        <w:rPr>
          <w:u w:val="none"/>
        </w:rPr>
        <w:t xml:space="preserve">   Further, the Florida Supreme Court has recognized that the fuel clause proceeding “is a continuous proceeding and operates to a utility’s benefit by eliminating regulatory lag.”</w:t>
      </w:r>
      <w:r w:rsidRPr="006D2B36">
        <w:rPr>
          <w:rStyle w:val="FootnoteReference"/>
          <w:u w:val="none"/>
        </w:rPr>
        <w:footnoteReference w:id="10"/>
      </w:r>
      <w:r w:rsidRPr="006D2B36">
        <w:rPr>
          <w:u w:val="none"/>
        </w:rPr>
        <w:t xml:space="preserve">  </w:t>
      </w:r>
      <w:r w:rsidRPr="006D2B36">
        <w:rPr>
          <w:rFonts w:cs="Calibri"/>
          <w:u w:val="none"/>
        </w:rPr>
        <w:t>In this instance, there can be no prejudice to the customers because their total rate would be decreasing, not increasing.  Further, by implementing the modifications at this time customers will receive the benefit of reduced fuel rates as quickly as administratively possible.</w:t>
      </w:r>
    </w:p>
    <w:p w:rsidR="006D2B36" w:rsidRDefault="006D2B36" w:rsidP="006D2B36">
      <w:pPr>
        <w:pStyle w:val="CenterUnderline"/>
        <w:jc w:val="both"/>
        <w:rPr>
          <w:u w:val="none"/>
        </w:rPr>
      </w:pPr>
    </w:p>
    <w:p w:rsidR="006D2B36" w:rsidRDefault="001A484B" w:rsidP="006D2B36">
      <w:pPr>
        <w:jc w:val="both"/>
      </w:pPr>
      <w:r>
        <w:tab/>
      </w:r>
      <w:r w:rsidR="006D2B36">
        <w:t>We have jurisdiction in this matter pursuant to Sections 366.04, 366.05, and 366.06, Florida Statutes (F.S.).</w:t>
      </w:r>
    </w:p>
    <w:p w:rsidR="001A484B" w:rsidRDefault="001A484B">
      <w:pPr>
        <w:rPr>
          <w:u w:val="single"/>
        </w:rPr>
      </w:pPr>
      <w:r>
        <w:rPr>
          <w:u w:val="single"/>
        </w:rPr>
        <w:br w:type="page"/>
      </w:r>
    </w:p>
    <w:p w:rsidR="006D2B36" w:rsidRDefault="006D2B36" w:rsidP="006D2B36">
      <w:pPr>
        <w:pStyle w:val="BodyText"/>
        <w:jc w:val="center"/>
        <w:rPr>
          <w:u w:val="single"/>
        </w:rPr>
      </w:pPr>
      <w:r w:rsidRPr="007A705D">
        <w:rPr>
          <w:u w:val="single"/>
        </w:rPr>
        <w:t>DECISION</w:t>
      </w:r>
    </w:p>
    <w:p w:rsidR="000512D7" w:rsidRDefault="000512D7" w:rsidP="000512D7">
      <w:pPr>
        <w:pStyle w:val="BodyText"/>
        <w:jc w:val="both"/>
        <w:rPr>
          <w:u w:val="single"/>
        </w:rPr>
      </w:pPr>
    </w:p>
    <w:p w:rsidR="006D2B36" w:rsidRPr="004C00C7" w:rsidRDefault="006D2B36" w:rsidP="006D2B36">
      <w:pPr>
        <w:rPr>
          <w:u w:val="single"/>
          <w:specVanish/>
        </w:rPr>
      </w:pPr>
      <w:r>
        <w:tab/>
      </w:r>
      <w:r>
        <w:rPr>
          <w:u w:val="single"/>
        </w:rPr>
        <w:t>Tampa Electric</w:t>
      </w:r>
      <w:r w:rsidR="000512D7">
        <w:rPr>
          <w:u w:val="single"/>
        </w:rPr>
        <w:t xml:space="preserve"> Company</w:t>
      </w:r>
      <w:r>
        <w:rPr>
          <w:u w:val="single"/>
        </w:rPr>
        <w:t xml:space="preserve"> </w:t>
      </w:r>
    </w:p>
    <w:p w:rsidR="006D2B36" w:rsidRDefault="006D2B36" w:rsidP="006D2B36">
      <w:pPr>
        <w:jc w:val="both"/>
      </w:pPr>
      <w:r>
        <w:t> </w:t>
      </w:r>
    </w:p>
    <w:p w:rsidR="006D2B36" w:rsidRDefault="006D2B36" w:rsidP="001A484B">
      <w:pPr>
        <w:pStyle w:val="CenterUnderline"/>
        <w:jc w:val="both"/>
      </w:pPr>
      <w:r w:rsidRPr="006D2B36">
        <w:rPr>
          <w:u w:val="none"/>
        </w:rPr>
        <w:tab/>
        <w:t xml:space="preserve">On an annual basis, Tampa Electric and other electric IOUs in Florida participate in a technical hearing in this docket for the purposes of evaluating actual and projected fuel, purchased power, and capacity-related costs of service. </w:t>
      </w:r>
      <w:r>
        <w:rPr>
          <w:u w:val="none"/>
        </w:rPr>
        <w:t xml:space="preserve"> </w:t>
      </w:r>
      <w:r w:rsidRPr="006D2B36">
        <w:rPr>
          <w:u w:val="none"/>
        </w:rPr>
        <w:t>The most-recent hearing took place on</w:t>
      </w:r>
      <w:r w:rsidR="001A484B">
        <w:rPr>
          <w:u w:val="none"/>
        </w:rPr>
        <w:t xml:space="preserve"> </w:t>
      </w:r>
      <w:r w:rsidRPr="001A484B">
        <w:rPr>
          <w:u w:val="none"/>
        </w:rPr>
        <w:t>November 5, 2019.  The Fuel Order issued from the 2019 hearing set forth the fuel, purchased power, and capacity cost recovery factors that were implemented by all IOUs in Florida effective with the first billing cycle of January 2020.</w:t>
      </w:r>
      <w:r w:rsidRPr="001A484B">
        <w:rPr>
          <w:rStyle w:val="FootnoteReference"/>
          <w:u w:val="none"/>
        </w:rPr>
        <w:footnoteReference w:id="11"/>
      </w:r>
      <w:r w:rsidRPr="001A484B">
        <w:rPr>
          <w:u w:val="none"/>
        </w:rPr>
        <w:t xml:space="preserve">  Tampa Electric’s petition includes both fuel and capacity mid-course correction requests.</w:t>
      </w:r>
    </w:p>
    <w:p w:rsidR="006D2B36" w:rsidRDefault="006D2B36" w:rsidP="006D2B36">
      <w:pPr>
        <w:jc w:val="both"/>
      </w:pPr>
    </w:p>
    <w:p w:rsidR="006D2B36" w:rsidRPr="0033036E" w:rsidRDefault="006D2B36" w:rsidP="006D2B36">
      <w:pPr>
        <w:jc w:val="both"/>
        <w:rPr>
          <w:bCs/>
        </w:rPr>
      </w:pPr>
      <w:r>
        <w:rPr>
          <w:bCs/>
        </w:rPr>
        <w:tab/>
      </w:r>
      <w:r w:rsidRPr="00211791">
        <w:rPr>
          <w:bCs/>
        </w:rPr>
        <w:t>Tampa Ele</w:t>
      </w:r>
      <w:r>
        <w:rPr>
          <w:bCs/>
        </w:rPr>
        <w:t xml:space="preserve">ctric has proposed to flow </w:t>
      </w:r>
      <w:r w:rsidRPr="00211791">
        <w:rPr>
          <w:bCs/>
        </w:rPr>
        <w:t>the total mid-co</w:t>
      </w:r>
      <w:r>
        <w:rPr>
          <w:bCs/>
        </w:rPr>
        <w:t>urse correction amount through the</w:t>
      </w:r>
      <w:r w:rsidRPr="00211791">
        <w:rPr>
          <w:bCs/>
        </w:rPr>
        <w:t xml:space="preserve"> combination of a fuel credit for the months June through August 2020 (as shown in Attachment A, Tariff Sheet No. 6.023</w:t>
      </w:r>
      <w:r w:rsidR="000512D7">
        <w:rPr>
          <w:bCs/>
        </w:rPr>
        <w:t>, attached</w:t>
      </w:r>
      <w:r w:rsidRPr="00211791">
        <w:rPr>
          <w:bCs/>
        </w:rPr>
        <w:t>) and a reduction to the currently-approved fuel and capacity factors for the period June through December 2020 (as shown in Attachment A, Tariff Sheet No. 6.020). The fuel credit will be shown as a separate line item on the bill.</w:t>
      </w:r>
      <w:r>
        <w:rPr>
          <w:bCs/>
        </w:rPr>
        <w:t xml:space="preserve"> </w:t>
      </w:r>
      <w:r w:rsidRPr="00211791">
        <w:rPr>
          <w:bCs/>
        </w:rPr>
        <w:t>For a residential customer using 1,000 kWh</w:t>
      </w:r>
      <w:r w:rsidRPr="00211791">
        <w:t xml:space="preserve"> </w:t>
      </w:r>
      <w:r w:rsidRPr="00211791">
        <w:rPr>
          <w:bCs/>
        </w:rPr>
        <w:t xml:space="preserve">per month, the proposed 3-month fuel credit is $18.40. </w:t>
      </w:r>
      <w:r>
        <w:rPr>
          <w:bCs/>
        </w:rPr>
        <w:t xml:space="preserve"> </w:t>
      </w:r>
      <w:r w:rsidRPr="00211791">
        <w:rPr>
          <w:bCs/>
        </w:rPr>
        <w:t xml:space="preserve">The residential fuel rate reduction associated with the remainder of the mid-course correction is $4.17 per 1,000 kWh (7 months, June through December). </w:t>
      </w:r>
      <w:r>
        <w:rPr>
          <w:bCs/>
        </w:rPr>
        <w:t xml:space="preserve"> </w:t>
      </w:r>
      <w:r w:rsidRPr="00211791">
        <w:rPr>
          <w:bCs/>
        </w:rPr>
        <w:t>As proposed, the mid-course correction amount related to capacity will be distributed normally over the remaining 7-month period for a residential rate reduction of $0.22 per 1,000 kWh.</w:t>
      </w:r>
      <w:r>
        <w:rPr>
          <w:bCs/>
        </w:rPr>
        <w:t xml:space="preserve">  </w:t>
      </w:r>
    </w:p>
    <w:p w:rsidR="006D2B36" w:rsidRDefault="006D2B36" w:rsidP="006D2B36">
      <w:pPr>
        <w:jc w:val="both"/>
      </w:pPr>
    </w:p>
    <w:p w:rsidR="006D2B36" w:rsidRDefault="006D2B36" w:rsidP="006D2B36">
      <w:pPr>
        <w:jc w:val="center"/>
        <w:rPr>
          <w:bCs/>
          <w:iCs/>
          <w:u w:val="single"/>
        </w:rPr>
      </w:pPr>
      <w:r w:rsidRPr="006D2B36">
        <w:rPr>
          <w:bCs/>
          <w:iCs/>
          <w:u w:val="single"/>
        </w:rPr>
        <w:t xml:space="preserve">Mid-Course Correction </w:t>
      </w:r>
      <w:r>
        <w:rPr>
          <w:bCs/>
          <w:iCs/>
          <w:u w:val="single"/>
        </w:rPr>
        <w:t>–</w:t>
      </w:r>
      <w:r w:rsidRPr="006D2B36">
        <w:rPr>
          <w:bCs/>
          <w:iCs/>
          <w:u w:val="single"/>
        </w:rPr>
        <w:t xml:space="preserve"> Fuel</w:t>
      </w:r>
    </w:p>
    <w:p w:rsidR="006D2B36" w:rsidRPr="006D2B36" w:rsidRDefault="006D2B36" w:rsidP="006D2B36">
      <w:pPr>
        <w:jc w:val="center"/>
        <w:rPr>
          <w:bCs/>
          <w:iCs/>
          <w:u w:val="single"/>
        </w:rPr>
      </w:pPr>
    </w:p>
    <w:p w:rsidR="006D2B36" w:rsidRDefault="006D2B36" w:rsidP="006D2B36">
      <w:pPr>
        <w:jc w:val="both"/>
      </w:pPr>
      <w:r>
        <w:rPr>
          <w:bCs/>
        </w:rPr>
        <w:tab/>
        <w:t>With respect to the components of the mid-course correction calculation, which in this case returns the total dollar amount used to calculate the proposed rate reductions, Tampa Electric combined its f</w:t>
      </w:r>
      <w:r w:rsidRPr="004E6880">
        <w:rPr>
          <w:bCs/>
        </w:rPr>
        <w:t>inal 2019</w:t>
      </w:r>
      <w:r>
        <w:rPr>
          <w:bCs/>
        </w:rPr>
        <w:t xml:space="preserve"> fuel</w:t>
      </w:r>
      <w:r w:rsidRPr="004E6880">
        <w:rPr>
          <w:bCs/>
        </w:rPr>
        <w:t xml:space="preserve"> </w:t>
      </w:r>
      <w:r>
        <w:rPr>
          <w:bCs/>
        </w:rPr>
        <w:t>o</w:t>
      </w:r>
      <w:r w:rsidRPr="004E6880">
        <w:rPr>
          <w:bCs/>
        </w:rPr>
        <w:t>ver-</w:t>
      </w:r>
      <w:r>
        <w:rPr>
          <w:bCs/>
        </w:rPr>
        <w:t>r</w:t>
      </w:r>
      <w:r w:rsidRPr="004E6880">
        <w:rPr>
          <w:bCs/>
        </w:rPr>
        <w:t>ecovery</w:t>
      </w:r>
      <w:r>
        <w:rPr>
          <w:bCs/>
        </w:rPr>
        <w:t xml:space="preserve"> of $35,821,098, with its 2020 actual and estimated fuel over-recovery of </w:t>
      </w:r>
      <w:r w:rsidRPr="00B639EE">
        <w:rPr>
          <w:bCs/>
        </w:rPr>
        <w:t>$94,867,488</w:t>
      </w:r>
      <w:r>
        <w:rPr>
          <w:bCs/>
        </w:rPr>
        <w:t xml:space="preserve">, resulting in an estimated total over-recovery of </w:t>
      </w:r>
      <w:r w:rsidRPr="00B639EE">
        <w:rPr>
          <w:bCs/>
        </w:rPr>
        <w:t>$130,688,586</w:t>
      </w:r>
      <w:r>
        <w:rPr>
          <w:bCs/>
        </w:rPr>
        <w:t xml:space="preserve">.  This is the total amount requested be returned to customers in 2020.  The </w:t>
      </w:r>
      <w:r>
        <w:t xml:space="preserve">fuel mid-course correction position following the calculation methodology in </w:t>
      </w:r>
      <w:r w:rsidRPr="00B300C0">
        <w:t>Rule 25-6.0424</w:t>
      </w:r>
      <w:r>
        <w:t>(1)(a)</w:t>
      </w:r>
      <w:r w:rsidRPr="00B300C0">
        <w:t>, F.A.C.</w:t>
      </w:r>
      <w:r>
        <w:t>, is 22.3 percent.</w:t>
      </w:r>
    </w:p>
    <w:p w:rsidR="006D2B36" w:rsidRDefault="006D2B36" w:rsidP="006D2B36">
      <w:pPr>
        <w:jc w:val="both"/>
      </w:pPr>
    </w:p>
    <w:p w:rsidR="006D2B36" w:rsidRDefault="006D2B36" w:rsidP="006D2B36">
      <w:pPr>
        <w:jc w:val="both"/>
      </w:pPr>
      <w:r>
        <w:rPr>
          <w:bCs/>
        </w:rPr>
        <w:tab/>
      </w:r>
      <w:r w:rsidRPr="008F0944">
        <w:rPr>
          <w:bCs/>
        </w:rPr>
        <w:t>The projected 2020 over-recovery of fuel charges is specifically associated with</w:t>
      </w:r>
      <w:r>
        <w:rPr>
          <w:bCs/>
        </w:rPr>
        <w:t xml:space="preserve"> a decline in</w:t>
      </w:r>
      <w:r w:rsidRPr="008F0944">
        <w:rPr>
          <w:bCs/>
        </w:rPr>
        <w:t xml:space="preserve"> actual and </w:t>
      </w:r>
      <w:r>
        <w:rPr>
          <w:bCs/>
        </w:rPr>
        <w:t>re-</w:t>
      </w:r>
      <w:r w:rsidRPr="008F0944">
        <w:rPr>
          <w:bCs/>
        </w:rPr>
        <w:t>projected fuel costs</w:t>
      </w:r>
      <w:r>
        <w:rPr>
          <w:bCs/>
        </w:rPr>
        <w:t xml:space="preserve">.  </w:t>
      </w:r>
      <w:r>
        <w:t xml:space="preserve">Tampa Electric’s original estimation of natural gas costs for 2020 were formulated based on May 2019 futures data.  At that time, Tampa Electric projected the average delivered cost of natural gas to be $3.68 per </w:t>
      </w:r>
      <w:r w:rsidRPr="004336D0">
        <w:t xml:space="preserve">MMBtu. </w:t>
      </w:r>
      <w:r>
        <w:t xml:space="preserve">Tampa Electric now projects, based on March 2020 data, the average 2020 cost of natural gas will be $3.16 per MMBtu (reduction of 14 percent).  </w:t>
      </w:r>
      <w:r w:rsidRPr="00415E47">
        <w:t xml:space="preserve"> </w:t>
      </w:r>
    </w:p>
    <w:p w:rsidR="006D2B36" w:rsidRDefault="006D2B36" w:rsidP="006D2B36">
      <w:pPr>
        <w:jc w:val="both"/>
        <w:rPr>
          <w:bCs/>
        </w:rPr>
      </w:pPr>
    </w:p>
    <w:p w:rsidR="000512D7" w:rsidRDefault="000512D7">
      <w:pPr>
        <w:rPr>
          <w:bCs/>
        </w:rPr>
      </w:pPr>
      <w:r>
        <w:rPr>
          <w:bCs/>
        </w:rPr>
        <w:br w:type="page"/>
      </w:r>
    </w:p>
    <w:p w:rsidR="006D2B36" w:rsidRDefault="006D2B36" w:rsidP="006D2B36">
      <w:pPr>
        <w:jc w:val="center"/>
        <w:rPr>
          <w:bCs/>
          <w:iCs/>
          <w:u w:val="single"/>
        </w:rPr>
      </w:pPr>
      <w:r w:rsidRPr="006D2B36">
        <w:rPr>
          <w:bCs/>
          <w:iCs/>
          <w:u w:val="single"/>
        </w:rPr>
        <w:t xml:space="preserve">Mid-Course Correction </w:t>
      </w:r>
      <w:r>
        <w:rPr>
          <w:bCs/>
          <w:iCs/>
          <w:u w:val="single"/>
        </w:rPr>
        <w:t>–</w:t>
      </w:r>
      <w:r w:rsidRPr="006D2B36">
        <w:rPr>
          <w:bCs/>
          <w:iCs/>
          <w:u w:val="single"/>
        </w:rPr>
        <w:t xml:space="preserve"> Capacity</w:t>
      </w:r>
    </w:p>
    <w:p w:rsidR="006D2B36" w:rsidRPr="006D2B36" w:rsidRDefault="006D2B36" w:rsidP="006D2B36">
      <w:pPr>
        <w:jc w:val="center"/>
        <w:rPr>
          <w:bCs/>
          <w:iCs/>
          <w:u w:val="single"/>
        </w:rPr>
      </w:pPr>
    </w:p>
    <w:p w:rsidR="006D2B36" w:rsidRDefault="006D2B36" w:rsidP="006D2B36">
      <w:pPr>
        <w:jc w:val="both"/>
        <w:rPr>
          <w:rFonts w:ascii="TimesNewRoman" w:hAnsi="TimesNewRoman" w:cs="TimesNewRoman"/>
        </w:rPr>
      </w:pPr>
      <w:r>
        <w:rPr>
          <w:bCs/>
        </w:rPr>
        <w:tab/>
        <w:t xml:space="preserve">As part of its request, </w:t>
      </w:r>
      <w:r w:rsidRPr="00E44C6D">
        <w:rPr>
          <w:bCs/>
        </w:rPr>
        <w:t>Tampa Electric</w:t>
      </w:r>
      <w:r>
        <w:rPr>
          <w:bCs/>
        </w:rPr>
        <w:t xml:space="preserve"> is proposing to reduce its 2020 capacity cost recovery factors by a projected 2020 over-recovery of $2,885,599.  </w:t>
      </w:r>
      <w:r w:rsidRPr="003217CE">
        <w:rPr>
          <w:bCs/>
        </w:rPr>
        <w:t>T</w:t>
      </w:r>
      <w:r>
        <w:rPr>
          <w:bCs/>
        </w:rPr>
        <w:t>ampa Electric’s capacity</w:t>
      </w:r>
      <w:r w:rsidRPr="003217CE">
        <w:rPr>
          <w:bCs/>
        </w:rPr>
        <w:t xml:space="preserve"> mid-course correction position following the calculation methodology in Rule 25-6.0424(1)(a), F.A.C., is </w:t>
      </w:r>
      <w:r>
        <w:rPr>
          <w:bCs/>
        </w:rPr>
        <w:t>182</w:t>
      </w:r>
      <w:r w:rsidRPr="003217CE">
        <w:rPr>
          <w:bCs/>
        </w:rPr>
        <w:t xml:space="preserve"> percent. </w:t>
      </w:r>
      <w:r>
        <w:rPr>
          <w:bCs/>
        </w:rPr>
        <w:t xml:space="preserve"> </w:t>
      </w:r>
      <w:r w:rsidRPr="00E44C6D">
        <w:rPr>
          <w:bCs/>
        </w:rPr>
        <w:t>Tampa Electric</w:t>
      </w:r>
      <w:r>
        <w:rPr>
          <w:bCs/>
        </w:rPr>
        <w:t xml:space="preserve"> stated </w:t>
      </w:r>
      <w:r>
        <w:rPr>
          <w:rFonts w:ascii="TimesNewRoman" w:hAnsi="TimesNewRoman" w:cs="TimesNewRoman"/>
        </w:rPr>
        <w:t>the projected over-recovery was caused by the inclusion of two Solar Base Rate Adjustment (SoBRA) true ups and additional firm power purchase agreements (netted against the SoBRA true ups) in its revised capacity cost estimate for 2020.</w:t>
      </w:r>
      <w:r>
        <w:rPr>
          <w:rStyle w:val="FootnoteReference"/>
          <w:rFonts w:ascii="TimesNewRoman" w:hAnsi="TimesNewRoman" w:cs="TimesNewRoman"/>
        </w:rPr>
        <w:footnoteReference w:id="12"/>
      </w:r>
    </w:p>
    <w:p w:rsidR="004C678B" w:rsidRDefault="004C678B" w:rsidP="006D2B36">
      <w:pPr>
        <w:jc w:val="both"/>
        <w:rPr>
          <w:rFonts w:ascii="TimesNewRoman" w:hAnsi="TimesNewRoman" w:cs="TimesNewRoman"/>
        </w:rPr>
      </w:pPr>
    </w:p>
    <w:p w:rsidR="006D2B36" w:rsidRPr="00FE1700" w:rsidRDefault="001A484B" w:rsidP="006D2B36">
      <w:pPr>
        <w:jc w:val="both"/>
        <w:rPr>
          <w:bCs/>
        </w:rPr>
      </w:pPr>
      <w:r>
        <w:rPr>
          <w:bCs/>
        </w:rPr>
        <w:tab/>
      </w:r>
      <w:r w:rsidR="006D2B36" w:rsidRPr="006D2B36">
        <w:rPr>
          <w:bCs/>
        </w:rPr>
        <w:t>Tampa Electric, unlike with its fuel reduction, did not incorporate a final 2019 capacity over-recovery of $111,228 in the mid-course adjustment as it believes the amount is “</w:t>
      </w:r>
      <w:r w:rsidR="006D2B36" w:rsidRPr="006D2B36">
        <w:rPr>
          <w:bCs/>
          <w:i/>
          <w:iCs/>
        </w:rPr>
        <w:t>de minimus</w:t>
      </w:r>
      <w:r w:rsidR="006D2B36" w:rsidRPr="006D2B36">
        <w:rPr>
          <w:bCs/>
        </w:rPr>
        <w:t xml:space="preserve">” to the overall request. </w:t>
      </w:r>
      <w:r w:rsidR="006D2B36">
        <w:rPr>
          <w:bCs/>
        </w:rPr>
        <w:t xml:space="preserve"> </w:t>
      </w:r>
      <w:r w:rsidR="006D2B36" w:rsidRPr="006D2B36">
        <w:rPr>
          <w:bCs/>
        </w:rPr>
        <w:t>Tampa Electric claimed it will return the $111,228 to customers in 2021, or</w:t>
      </w:r>
      <w:r w:rsidR="006D2B36">
        <w:rPr>
          <w:bCs/>
        </w:rPr>
        <w:t xml:space="preserve"> </w:t>
      </w:r>
      <w:r w:rsidR="006D2B36" w:rsidRPr="00847F63">
        <w:rPr>
          <w:bCs/>
        </w:rPr>
        <w:t xml:space="preserve">through the normal course of action during this fuel clause cycle. </w:t>
      </w:r>
      <w:r w:rsidR="006D2B36">
        <w:rPr>
          <w:bCs/>
        </w:rPr>
        <w:t xml:space="preserve"> </w:t>
      </w:r>
      <w:r w:rsidR="006D2B36" w:rsidRPr="00847F63">
        <w:rPr>
          <w:bCs/>
        </w:rPr>
        <w:t xml:space="preserve">As proposed, the mid-course correction related to capacity will be distributed over the June through December time period. </w:t>
      </w:r>
      <w:r w:rsidR="006D2B36">
        <w:rPr>
          <w:bCs/>
        </w:rPr>
        <w:t xml:space="preserve">We agree </w:t>
      </w:r>
      <w:r w:rsidR="006D2B36" w:rsidRPr="00847F63">
        <w:rPr>
          <w:bCs/>
        </w:rPr>
        <w:t xml:space="preserve">with this assessment concerning the relative size of the 2019 capacity over-recovery as compared to the total mid-course adjustment and </w:t>
      </w:r>
      <w:r w:rsidR="006D2B36">
        <w:rPr>
          <w:bCs/>
        </w:rPr>
        <w:t xml:space="preserve">find that </w:t>
      </w:r>
      <w:r w:rsidR="006D2B36" w:rsidRPr="00847F63">
        <w:rPr>
          <w:bCs/>
        </w:rPr>
        <w:t>Tampa Electric’s proposed treatment is reasonable.</w:t>
      </w:r>
    </w:p>
    <w:p w:rsidR="006D2B36" w:rsidRDefault="006D2B36" w:rsidP="006D2B36">
      <w:pPr>
        <w:jc w:val="both"/>
        <w:rPr>
          <w:bCs/>
        </w:rPr>
      </w:pPr>
    </w:p>
    <w:p w:rsidR="006D2B36" w:rsidRPr="006D2B36" w:rsidRDefault="006D2B36" w:rsidP="006D2B36">
      <w:pPr>
        <w:jc w:val="center"/>
        <w:rPr>
          <w:bCs/>
          <w:iCs/>
          <w:u w:val="single"/>
        </w:rPr>
      </w:pPr>
      <w:r w:rsidRPr="006D2B36">
        <w:rPr>
          <w:bCs/>
          <w:iCs/>
          <w:u w:val="single"/>
        </w:rPr>
        <w:t>Bill Impacts</w:t>
      </w:r>
    </w:p>
    <w:p w:rsidR="006D2B36" w:rsidRDefault="006D2B36" w:rsidP="006D2B36">
      <w:pPr>
        <w:jc w:val="both"/>
      </w:pPr>
    </w:p>
    <w:p w:rsidR="006D2B36" w:rsidRDefault="006D2B36" w:rsidP="006D2B36">
      <w:pPr>
        <w:jc w:val="both"/>
      </w:pPr>
      <w:r>
        <w:tab/>
        <w:t>Table 1 below displays</w:t>
      </w:r>
      <w:r w:rsidRPr="00415E47">
        <w:t xml:space="preserve"> the </w:t>
      </w:r>
      <w:r>
        <w:t>bill</w:t>
      </w:r>
      <w:r w:rsidRPr="00415E47">
        <w:t xml:space="preserve"> impact</w:t>
      </w:r>
      <w:r>
        <w:t xml:space="preserve"> </w:t>
      </w:r>
      <w:r w:rsidRPr="00415E47">
        <w:t>to a residential customer using</w:t>
      </w:r>
      <w:r>
        <w:t xml:space="preserve"> 1,000 </w:t>
      </w:r>
      <w:r w:rsidRPr="008E7F8F">
        <w:t>kilowatt-hour</w:t>
      </w:r>
      <w:r>
        <w:t xml:space="preserve">s (kWh) of electricity a month </w:t>
      </w:r>
      <w:r w:rsidRPr="00415E47">
        <w:t xml:space="preserve">and </w:t>
      </w:r>
      <w:r>
        <w:t xml:space="preserve">further </w:t>
      </w:r>
      <w:r w:rsidRPr="00415E47">
        <w:t xml:space="preserve">discusses </w:t>
      </w:r>
      <w:r>
        <w:t xml:space="preserve">the effects of Tampa Electric’s request. </w:t>
      </w:r>
    </w:p>
    <w:p w:rsidR="006D2B36" w:rsidRDefault="006D2B36" w:rsidP="006D2B36">
      <w:pPr>
        <w:pStyle w:val="FootnoteText"/>
        <w:rPr>
          <w:sz w:val="24"/>
          <w:szCs w:val="24"/>
        </w:rPr>
      </w:pPr>
    </w:p>
    <w:tbl>
      <w:tblPr>
        <w:tblStyle w:val="TableGrid"/>
        <w:tblW w:w="9360" w:type="dxa"/>
        <w:jc w:val="center"/>
        <w:tblLayout w:type="fixed"/>
        <w:tblLook w:val="04A0" w:firstRow="1" w:lastRow="0" w:firstColumn="1" w:lastColumn="0" w:noHBand="0" w:noVBand="1"/>
      </w:tblPr>
      <w:tblGrid>
        <w:gridCol w:w="2250"/>
        <w:gridCol w:w="1980"/>
        <w:gridCol w:w="1800"/>
        <w:gridCol w:w="1715"/>
        <w:gridCol w:w="1615"/>
      </w:tblGrid>
      <w:tr w:rsidR="006D2B36" w:rsidRPr="00614FFF" w:rsidTr="00DF03ED">
        <w:trPr>
          <w:tblHeader/>
          <w:jc w:val="center"/>
        </w:trPr>
        <w:tc>
          <w:tcPr>
            <w:tcW w:w="9360" w:type="dxa"/>
            <w:gridSpan w:val="5"/>
            <w:tcBorders>
              <w:top w:val="nil"/>
              <w:left w:val="nil"/>
              <w:bottom w:val="nil"/>
              <w:right w:val="nil"/>
            </w:tcBorders>
            <w:vAlign w:val="bottom"/>
          </w:tcPr>
          <w:p w:rsidR="006D2B36" w:rsidRPr="000512D7" w:rsidRDefault="006D2B36" w:rsidP="006D2B36">
            <w:pPr>
              <w:pStyle w:val="FootnoteText"/>
              <w:jc w:val="center"/>
              <w:rPr>
                <w:color w:val="000000"/>
                <w:sz w:val="24"/>
                <w:szCs w:val="24"/>
              </w:rPr>
            </w:pPr>
            <w:r w:rsidRPr="000512D7">
              <w:rPr>
                <w:b/>
                <w:bCs/>
                <w:color w:val="000000"/>
                <w:sz w:val="24"/>
                <w:szCs w:val="24"/>
              </w:rPr>
              <w:t>Table 1</w:t>
            </w:r>
          </w:p>
        </w:tc>
      </w:tr>
      <w:tr w:rsidR="006D2B36" w:rsidRPr="00614FFF" w:rsidTr="00DF03ED">
        <w:trPr>
          <w:tblHeader/>
          <w:jc w:val="center"/>
        </w:trPr>
        <w:tc>
          <w:tcPr>
            <w:tcW w:w="9360" w:type="dxa"/>
            <w:gridSpan w:val="5"/>
            <w:tcBorders>
              <w:top w:val="nil"/>
              <w:left w:val="nil"/>
              <w:right w:val="nil"/>
            </w:tcBorders>
            <w:vAlign w:val="bottom"/>
          </w:tcPr>
          <w:p w:rsidR="006D2B36" w:rsidRPr="000512D7" w:rsidRDefault="006D2B36" w:rsidP="00DF03ED">
            <w:pPr>
              <w:pStyle w:val="FootnoteText"/>
              <w:jc w:val="center"/>
              <w:rPr>
                <w:color w:val="000000"/>
                <w:sz w:val="24"/>
                <w:szCs w:val="24"/>
              </w:rPr>
            </w:pPr>
            <w:r w:rsidRPr="000512D7">
              <w:rPr>
                <w:b/>
                <w:bCs/>
                <w:color w:val="000000"/>
                <w:sz w:val="24"/>
                <w:szCs w:val="24"/>
              </w:rPr>
              <w:t>Monthly Residential Billing Detail at 1,000 kWh</w:t>
            </w:r>
          </w:p>
        </w:tc>
      </w:tr>
      <w:tr w:rsidR="006D2B36" w:rsidRPr="00614FFF" w:rsidTr="00DF03ED">
        <w:trPr>
          <w:tblHeader/>
          <w:jc w:val="center"/>
        </w:trPr>
        <w:tc>
          <w:tcPr>
            <w:tcW w:w="2250" w:type="dxa"/>
            <w:vAlign w:val="bottom"/>
          </w:tcPr>
          <w:p w:rsidR="006D2B36" w:rsidRPr="00285746" w:rsidRDefault="006D2B36" w:rsidP="00DF03ED">
            <w:pPr>
              <w:pStyle w:val="FootnoteText"/>
              <w:jc w:val="center"/>
              <w:rPr>
                <w:b/>
                <w:bCs/>
                <w:sz w:val="22"/>
                <w:szCs w:val="22"/>
              </w:rPr>
            </w:pPr>
            <w:r w:rsidRPr="00285746">
              <w:rPr>
                <w:b/>
                <w:bCs/>
                <w:color w:val="000000"/>
                <w:sz w:val="22"/>
                <w:szCs w:val="22"/>
              </w:rPr>
              <w:t>Invoice Component</w:t>
            </w:r>
          </w:p>
        </w:tc>
        <w:tc>
          <w:tcPr>
            <w:tcW w:w="1980" w:type="dxa"/>
            <w:vAlign w:val="bottom"/>
          </w:tcPr>
          <w:p w:rsidR="006D2B36" w:rsidRPr="00285746" w:rsidRDefault="006D2B36" w:rsidP="00DF03ED">
            <w:pPr>
              <w:pStyle w:val="FootnoteText"/>
              <w:jc w:val="center"/>
              <w:rPr>
                <w:b/>
                <w:bCs/>
                <w:color w:val="000000"/>
                <w:sz w:val="22"/>
                <w:szCs w:val="22"/>
              </w:rPr>
            </w:pPr>
            <w:r w:rsidRPr="00285746">
              <w:rPr>
                <w:b/>
                <w:bCs/>
                <w:color w:val="000000"/>
                <w:sz w:val="22"/>
                <w:szCs w:val="22"/>
              </w:rPr>
              <w:t>Currently-Approved 2020 Charges</w:t>
            </w:r>
            <w:r w:rsidRPr="00285746">
              <w:rPr>
                <w:rStyle w:val="FootnoteReference"/>
                <w:b/>
                <w:bCs/>
                <w:color w:val="000000"/>
                <w:sz w:val="22"/>
                <w:szCs w:val="22"/>
              </w:rPr>
              <w:footnoteReference w:id="13"/>
            </w:r>
          </w:p>
        </w:tc>
        <w:tc>
          <w:tcPr>
            <w:tcW w:w="1800" w:type="dxa"/>
            <w:vAlign w:val="bottom"/>
          </w:tcPr>
          <w:p w:rsidR="006D2B36" w:rsidRPr="00285746" w:rsidRDefault="006D2B36" w:rsidP="00DF03ED">
            <w:pPr>
              <w:pStyle w:val="FootnoteText"/>
              <w:jc w:val="center"/>
              <w:rPr>
                <w:b/>
                <w:bCs/>
                <w:sz w:val="22"/>
                <w:szCs w:val="22"/>
              </w:rPr>
            </w:pPr>
            <w:r w:rsidRPr="00285746">
              <w:rPr>
                <w:b/>
                <w:bCs/>
                <w:color w:val="000000"/>
                <w:sz w:val="22"/>
                <w:szCs w:val="22"/>
              </w:rPr>
              <w:t>Proposed Charges June-Aug. 2020</w:t>
            </w:r>
          </w:p>
        </w:tc>
        <w:tc>
          <w:tcPr>
            <w:tcW w:w="1715" w:type="dxa"/>
            <w:vAlign w:val="bottom"/>
          </w:tcPr>
          <w:p w:rsidR="006D2B36" w:rsidRPr="00285746" w:rsidRDefault="006D2B36" w:rsidP="00DF03ED">
            <w:pPr>
              <w:pStyle w:val="FootnoteText"/>
              <w:jc w:val="center"/>
              <w:rPr>
                <w:b/>
                <w:bCs/>
                <w:color w:val="000000"/>
                <w:sz w:val="22"/>
                <w:szCs w:val="22"/>
              </w:rPr>
            </w:pPr>
            <w:r w:rsidRPr="00285746">
              <w:rPr>
                <w:b/>
                <w:bCs/>
                <w:color w:val="000000"/>
                <w:sz w:val="22"/>
                <w:szCs w:val="22"/>
              </w:rPr>
              <w:t>Approved to Proposed</w:t>
            </w:r>
          </w:p>
          <w:p w:rsidR="006D2B36" w:rsidRPr="00285746" w:rsidRDefault="006D2B36" w:rsidP="00DF03ED">
            <w:pPr>
              <w:pStyle w:val="FootnoteText"/>
              <w:jc w:val="center"/>
              <w:rPr>
                <w:b/>
                <w:bCs/>
                <w:color w:val="000000"/>
                <w:sz w:val="22"/>
                <w:szCs w:val="22"/>
              </w:rPr>
            </w:pPr>
            <w:r w:rsidRPr="00285746">
              <w:rPr>
                <w:b/>
                <w:bCs/>
                <w:color w:val="000000"/>
                <w:sz w:val="22"/>
                <w:szCs w:val="22"/>
              </w:rPr>
              <w:t xml:space="preserve"> Difference</w:t>
            </w:r>
          </w:p>
        </w:tc>
        <w:tc>
          <w:tcPr>
            <w:tcW w:w="1615" w:type="dxa"/>
            <w:vAlign w:val="bottom"/>
          </w:tcPr>
          <w:p w:rsidR="006D2B36" w:rsidRPr="00285746" w:rsidRDefault="000512D7" w:rsidP="00DF03ED">
            <w:pPr>
              <w:pStyle w:val="FootnoteText"/>
              <w:jc w:val="center"/>
              <w:rPr>
                <w:b/>
                <w:bCs/>
                <w:sz w:val="22"/>
                <w:szCs w:val="22"/>
              </w:rPr>
            </w:pPr>
            <w:r>
              <w:rPr>
                <w:b/>
                <w:bCs/>
                <w:color w:val="000000"/>
                <w:sz w:val="22"/>
                <w:szCs w:val="22"/>
              </w:rPr>
              <w:t>Approv</w:t>
            </w:r>
            <w:r w:rsidR="006D2B36" w:rsidRPr="00285746">
              <w:rPr>
                <w:b/>
                <w:bCs/>
                <w:color w:val="000000"/>
                <w:sz w:val="22"/>
                <w:szCs w:val="22"/>
              </w:rPr>
              <w:t>ed Charges Sept.-Dec. 2020</w:t>
            </w:r>
          </w:p>
        </w:tc>
      </w:tr>
      <w:tr w:rsidR="006D2B36" w:rsidRPr="00614FFF" w:rsidTr="00DF03ED">
        <w:trPr>
          <w:jc w:val="center"/>
        </w:trPr>
        <w:tc>
          <w:tcPr>
            <w:tcW w:w="2250" w:type="dxa"/>
            <w:vAlign w:val="bottom"/>
          </w:tcPr>
          <w:p w:rsidR="006D2B36" w:rsidRPr="00AF6E1E" w:rsidRDefault="006D2B36" w:rsidP="00DF03ED">
            <w:pPr>
              <w:pStyle w:val="FootnoteText"/>
              <w:rPr>
                <w:sz w:val="22"/>
                <w:szCs w:val="22"/>
              </w:rPr>
            </w:pPr>
            <w:r w:rsidRPr="00AF6E1E">
              <w:rPr>
                <w:color w:val="000000"/>
                <w:sz w:val="22"/>
                <w:szCs w:val="22"/>
              </w:rPr>
              <w:t>Base Charge</w:t>
            </w:r>
          </w:p>
        </w:tc>
        <w:tc>
          <w:tcPr>
            <w:tcW w:w="1980" w:type="dxa"/>
          </w:tcPr>
          <w:p w:rsidR="006D2B36" w:rsidRPr="00AF6E1E" w:rsidRDefault="006D2B36" w:rsidP="00DF03ED">
            <w:pPr>
              <w:pStyle w:val="FootnoteText"/>
              <w:jc w:val="right"/>
              <w:rPr>
                <w:sz w:val="22"/>
                <w:szCs w:val="22"/>
                <w:highlight w:val="yellow"/>
              </w:rPr>
            </w:pPr>
            <w:r w:rsidRPr="00AF6E1E">
              <w:rPr>
                <w:sz w:val="22"/>
                <w:szCs w:val="22"/>
              </w:rPr>
              <w:t>$67.76</w:t>
            </w:r>
          </w:p>
        </w:tc>
        <w:tc>
          <w:tcPr>
            <w:tcW w:w="1800" w:type="dxa"/>
          </w:tcPr>
          <w:p w:rsidR="006D2B36" w:rsidRPr="00AF6E1E" w:rsidRDefault="006D2B36" w:rsidP="00DF03ED">
            <w:pPr>
              <w:pStyle w:val="FootnoteText"/>
              <w:jc w:val="right"/>
              <w:rPr>
                <w:sz w:val="22"/>
                <w:szCs w:val="22"/>
              </w:rPr>
            </w:pPr>
            <w:r w:rsidRPr="00AF6E1E">
              <w:rPr>
                <w:sz w:val="22"/>
                <w:szCs w:val="22"/>
              </w:rPr>
              <w:t>$67.76</w:t>
            </w:r>
          </w:p>
        </w:tc>
        <w:tc>
          <w:tcPr>
            <w:tcW w:w="1715" w:type="dxa"/>
          </w:tcPr>
          <w:p w:rsidR="006D2B36" w:rsidRPr="00AF6E1E" w:rsidRDefault="006D2B36" w:rsidP="00DF03ED">
            <w:pPr>
              <w:pStyle w:val="FootnoteText"/>
              <w:jc w:val="right"/>
              <w:rPr>
                <w:sz w:val="22"/>
                <w:szCs w:val="22"/>
              </w:rPr>
            </w:pPr>
            <w:r>
              <w:rPr>
                <w:sz w:val="22"/>
                <w:szCs w:val="22"/>
              </w:rPr>
              <w:t>$</w:t>
            </w:r>
            <w:r w:rsidRPr="00AF6E1E">
              <w:rPr>
                <w:sz w:val="22"/>
                <w:szCs w:val="22"/>
              </w:rPr>
              <w:t>0.00</w:t>
            </w:r>
          </w:p>
        </w:tc>
        <w:tc>
          <w:tcPr>
            <w:tcW w:w="1615" w:type="dxa"/>
          </w:tcPr>
          <w:p w:rsidR="006D2B36" w:rsidRPr="00AF6E1E" w:rsidRDefault="006D2B36" w:rsidP="00DF03ED">
            <w:pPr>
              <w:pStyle w:val="FootnoteText"/>
              <w:jc w:val="right"/>
              <w:rPr>
                <w:sz w:val="22"/>
                <w:szCs w:val="22"/>
              </w:rPr>
            </w:pPr>
            <w:r w:rsidRPr="00AF6E1E">
              <w:rPr>
                <w:sz w:val="22"/>
                <w:szCs w:val="22"/>
              </w:rPr>
              <w:t>$67.76</w:t>
            </w:r>
          </w:p>
        </w:tc>
      </w:tr>
      <w:tr w:rsidR="006D2B36" w:rsidRPr="00614FFF" w:rsidTr="00DF03ED">
        <w:trPr>
          <w:jc w:val="center"/>
        </w:trPr>
        <w:tc>
          <w:tcPr>
            <w:tcW w:w="2250" w:type="dxa"/>
            <w:vAlign w:val="bottom"/>
          </w:tcPr>
          <w:p w:rsidR="006D2B36" w:rsidRPr="00847F63" w:rsidRDefault="006D2B36" w:rsidP="00DF03ED">
            <w:pPr>
              <w:pStyle w:val="FootnoteText"/>
              <w:rPr>
                <w:sz w:val="22"/>
                <w:szCs w:val="22"/>
              </w:rPr>
            </w:pPr>
            <w:r w:rsidRPr="00847F63">
              <w:rPr>
                <w:color w:val="000000"/>
                <w:sz w:val="22"/>
                <w:szCs w:val="22"/>
              </w:rPr>
              <w:t>Fuel Charge</w:t>
            </w:r>
          </w:p>
        </w:tc>
        <w:tc>
          <w:tcPr>
            <w:tcW w:w="1980" w:type="dxa"/>
          </w:tcPr>
          <w:p w:rsidR="006D2B36" w:rsidRPr="00847F63" w:rsidRDefault="006D2B36" w:rsidP="00DF03ED">
            <w:pPr>
              <w:pStyle w:val="FootnoteText"/>
              <w:jc w:val="right"/>
              <w:rPr>
                <w:sz w:val="22"/>
                <w:szCs w:val="22"/>
              </w:rPr>
            </w:pPr>
            <w:r w:rsidRPr="00847F63">
              <w:rPr>
                <w:sz w:val="22"/>
                <w:szCs w:val="22"/>
              </w:rPr>
              <w:t>27.02</w:t>
            </w:r>
          </w:p>
        </w:tc>
        <w:tc>
          <w:tcPr>
            <w:tcW w:w="1800" w:type="dxa"/>
          </w:tcPr>
          <w:p w:rsidR="006D2B36" w:rsidRPr="00847F63" w:rsidRDefault="006D2B36" w:rsidP="00DF03ED">
            <w:pPr>
              <w:pStyle w:val="FootnoteText"/>
              <w:jc w:val="right"/>
              <w:rPr>
                <w:sz w:val="22"/>
                <w:szCs w:val="22"/>
              </w:rPr>
            </w:pPr>
            <w:r w:rsidRPr="00847F63">
              <w:rPr>
                <w:sz w:val="22"/>
                <w:szCs w:val="22"/>
              </w:rPr>
              <w:t>22.85</w:t>
            </w:r>
          </w:p>
        </w:tc>
        <w:tc>
          <w:tcPr>
            <w:tcW w:w="1715" w:type="dxa"/>
          </w:tcPr>
          <w:p w:rsidR="006D2B36" w:rsidRPr="00847F63" w:rsidRDefault="006D2B36" w:rsidP="00DF03ED">
            <w:pPr>
              <w:pStyle w:val="FootnoteText"/>
              <w:jc w:val="right"/>
              <w:rPr>
                <w:sz w:val="22"/>
                <w:szCs w:val="22"/>
              </w:rPr>
            </w:pPr>
            <w:r w:rsidRPr="00847F63">
              <w:rPr>
                <w:sz w:val="22"/>
                <w:szCs w:val="22"/>
              </w:rPr>
              <w:t>(4.17)</w:t>
            </w:r>
          </w:p>
        </w:tc>
        <w:tc>
          <w:tcPr>
            <w:tcW w:w="1615" w:type="dxa"/>
          </w:tcPr>
          <w:p w:rsidR="006D2B36" w:rsidRPr="00847F63" w:rsidRDefault="006D2B36" w:rsidP="00DF03ED">
            <w:pPr>
              <w:pStyle w:val="FootnoteText"/>
              <w:jc w:val="right"/>
              <w:rPr>
                <w:sz w:val="22"/>
                <w:szCs w:val="22"/>
              </w:rPr>
            </w:pPr>
            <w:r w:rsidRPr="00847F63">
              <w:rPr>
                <w:sz w:val="22"/>
                <w:szCs w:val="22"/>
              </w:rPr>
              <w:t>22.85</w:t>
            </w:r>
          </w:p>
        </w:tc>
      </w:tr>
      <w:tr w:rsidR="006D2B36" w:rsidRPr="00614FFF" w:rsidTr="00DF03ED">
        <w:trPr>
          <w:jc w:val="center"/>
        </w:trPr>
        <w:tc>
          <w:tcPr>
            <w:tcW w:w="2250" w:type="dxa"/>
            <w:vAlign w:val="bottom"/>
          </w:tcPr>
          <w:p w:rsidR="006D2B36" w:rsidRPr="00847F63" w:rsidRDefault="006D2B36" w:rsidP="00DF03ED">
            <w:pPr>
              <w:pStyle w:val="FootnoteText"/>
              <w:rPr>
                <w:color w:val="000000"/>
                <w:sz w:val="22"/>
                <w:szCs w:val="22"/>
              </w:rPr>
            </w:pPr>
            <w:r w:rsidRPr="00847F63">
              <w:rPr>
                <w:color w:val="000000"/>
                <w:sz w:val="22"/>
                <w:szCs w:val="22"/>
              </w:rPr>
              <w:t>Fuel Credit</w:t>
            </w:r>
          </w:p>
        </w:tc>
        <w:tc>
          <w:tcPr>
            <w:tcW w:w="1980" w:type="dxa"/>
          </w:tcPr>
          <w:p w:rsidR="006D2B36" w:rsidRPr="00847F63" w:rsidRDefault="006D2B36" w:rsidP="00DF03ED">
            <w:pPr>
              <w:pStyle w:val="FootnoteText"/>
              <w:jc w:val="right"/>
              <w:rPr>
                <w:sz w:val="22"/>
                <w:szCs w:val="22"/>
              </w:rPr>
            </w:pPr>
            <w:r w:rsidRPr="00847F63">
              <w:rPr>
                <w:sz w:val="22"/>
                <w:szCs w:val="22"/>
              </w:rPr>
              <w:t>0.00</w:t>
            </w:r>
          </w:p>
        </w:tc>
        <w:tc>
          <w:tcPr>
            <w:tcW w:w="1800" w:type="dxa"/>
          </w:tcPr>
          <w:p w:rsidR="006D2B36" w:rsidRPr="00847F63" w:rsidRDefault="006D2B36" w:rsidP="00DF03ED">
            <w:pPr>
              <w:pStyle w:val="FootnoteText"/>
              <w:jc w:val="right"/>
              <w:rPr>
                <w:sz w:val="22"/>
                <w:szCs w:val="22"/>
              </w:rPr>
            </w:pPr>
            <w:r w:rsidRPr="00847F63">
              <w:rPr>
                <w:sz w:val="22"/>
                <w:szCs w:val="22"/>
              </w:rPr>
              <w:t>(18.40)</w:t>
            </w:r>
          </w:p>
        </w:tc>
        <w:tc>
          <w:tcPr>
            <w:tcW w:w="1715" w:type="dxa"/>
          </w:tcPr>
          <w:p w:rsidR="006D2B36" w:rsidRPr="00847F63" w:rsidRDefault="006D2B36" w:rsidP="00DF03ED">
            <w:pPr>
              <w:pStyle w:val="FootnoteText"/>
              <w:jc w:val="right"/>
              <w:rPr>
                <w:sz w:val="22"/>
                <w:szCs w:val="22"/>
              </w:rPr>
            </w:pPr>
            <w:r w:rsidRPr="00847F63">
              <w:rPr>
                <w:sz w:val="22"/>
                <w:szCs w:val="22"/>
              </w:rPr>
              <w:t>(18.40)</w:t>
            </w:r>
          </w:p>
        </w:tc>
        <w:tc>
          <w:tcPr>
            <w:tcW w:w="1615" w:type="dxa"/>
          </w:tcPr>
          <w:p w:rsidR="006D2B36" w:rsidRPr="00847F63" w:rsidRDefault="006D2B36" w:rsidP="00DF03ED">
            <w:pPr>
              <w:pStyle w:val="FootnoteText"/>
              <w:jc w:val="right"/>
              <w:rPr>
                <w:sz w:val="22"/>
                <w:szCs w:val="22"/>
              </w:rPr>
            </w:pPr>
            <w:r w:rsidRPr="00847F63">
              <w:rPr>
                <w:sz w:val="22"/>
                <w:szCs w:val="22"/>
              </w:rPr>
              <w:t>0.00</w:t>
            </w:r>
          </w:p>
        </w:tc>
      </w:tr>
      <w:tr w:rsidR="006D2B36" w:rsidRPr="00614FFF" w:rsidTr="00DF03ED">
        <w:trPr>
          <w:jc w:val="center"/>
        </w:trPr>
        <w:tc>
          <w:tcPr>
            <w:tcW w:w="2250" w:type="dxa"/>
            <w:vAlign w:val="bottom"/>
          </w:tcPr>
          <w:p w:rsidR="006D2B36" w:rsidRPr="00AF6E1E" w:rsidRDefault="006D2B36" w:rsidP="00DF03ED">
            <w:pPr>
              <w:pStyle w:val="FootnoteText"/>
              <w:rPr>
                <w:sz w:val="22"/>
                <w:szCs w:val="22"/>
              </w:rPr>
            </w:pPr>
            <w:r w:rsidRPr="00AF6E1E">
              <w:rPr>
                <w:color w:val="000000"/>
                <w:sz w:val="22"/>
                <w:szCs w:val="22"/>
              </w:rPr>
              <w:t>Conservation Charge</w:t>
            </w:r>
          </w:p>
        </w:tc>
        <w:tc>
          <w:tcPr>
            <w:tcW w:w="1980" w:type="dxa"/>
          </w:tcPr>
          <w:p w:rsidR="006D2B36" w:rsidRPr="00AF6E1E" w:rsidRDefault="006D2B36" w:rsidP="00DF03ED">
            <w:pPr>
              <w:pStyle w:val="FootnoteText"/>
              <w:jc w:val="right"/>
              <w:rPr>
                <w:sz w:val="22"/>
                <w:szCs w:val="22"/>
                <w:highlight w:val="yellow"/>
              </w:rPr>
            </w:pPr>
            <w:r w:rsidRPr="00AF6E1E">
              <w:rPr>
                <w:sz w:val="22"/>
                <w:szCs w:val="22"/>
              </w:rPr>
              <w:t>2.32</w:t>
            </w:r>
          </w:p>
        </w:tc>
        <w:tc>
          <w:tcPr>
            <w:tcW w:w="1800" w:type="dxa"/>
          </w:tcPr>
          <w:p w:rsidR="006D2B36" w:rsidRPr="00AF6E1E" w:rsidRDefault="006D2B36" w:rsidP="00DF03ED">
            <w:pPr>
              <w:pStyle w:val="FootnoteText"/>
              <w:jc w:val="right"/>
              <w:rPr>
                <w:sz w:val="22"/>
                <w:szCs w:val="22"/>
              </w:rPr>
            </w:pPr>
            <w:r w:rsidRPr="00AF6E1E">
              <w:rPr>
                <w:sz w:val="22"/>
                <w:szCs w:val="22"/>
              </w:rPr>
              <w:t>2.32</w:t>
            </w:r>
          </w:p>
        </w:tc>
        <w:tc>
          <w:tcPr>
            <w:tcW w:w="1715" w:type="dxa"/>
          </w:tcPr>
          <w:p w:rsidR="006D2B36" w:rsidRPr="00AF6E1E" w:rsidRDefault="006D2B36" w:rsidP="00DF03ED">
            <w:pPr>
              <w:pStyle w:val="FootnoteText"/>
              <w:jc w:val="right"/>
              <w:rPr>
                <w:sz w:val="22"/>
                <w:szCs w:val="22"/>
              </w:rPr>
            </w:pPr>
            <w:r w:rsidRPr="00AF6E1E">
              <w:rPr>
                <w:sz w:val="22"/>
                <w:szCs w:val="22"/>
              </w:rPr>
              <w:t>0.00</w:t>
            </w:r>
          </w:p>
        </w:tc>
        <w:tc>
          <w:tcPr>
            <w:tcW w:w="1615" w:type="dxa"/>
          </w:tcPr>
          <w:p w:rsidR="006D2B36" w:rsidRPr="00AF6E1E" w:rsidRDefault="006D2B36" w:rsidP="00DF03ED">
            <w:pPr>
              <w:pStyle w:val="FootnoteText"/>
              <w:jc w:val="right"/>
              <w:rPr>
                <w:sz w:val="22"/>
                <w:szCs w:val="22"/>
              </w:rPr>
            </w:pPr>
            <w:r w:rsidRPr="00AF6E1E">
              <w:rPr>
                <w:sz w:val="22"/>
                <w:szCs w:val="22"/>
              </w:rPr>
              <w:t>2.32</w:t>
            </w:r>
          </w:p>
        </w:tc>
      </w:tr>
      <w:tr w:rsidR="006D2B36" w:rsidRPr="00614FFF" w:rsidTr="00DF03ED">
        <w:trPr>
          <w:jc w:val="center"/>
        </w:trPr>
        <w:tc>
          <w:tcPr>
            <w:tcW w:w="2250" w:type="dxa"/>
            <w:vAlign w:val="bottom"/>
          </w:tcPr>
          <w:p w:rsidR="006D2B36" w:rsidRPr="00AF6E1E" w:rsidRDefault="006D2B36" w:rsidP="00DF03ED">
            <w:pPr>
              <w:pStyle w:val="FootnoteText"/>
              <w:rPr>
                <w:sz w:val="22"/>
                <w:szCs w:val="22"/>
              </w:rPr>
            </w:pPr>
            <w:r w:rsidRPr="00AF6E1E">
              <w:rPr>
                <w:color w:val="000000"/>
                <w:sz w:val="22"/>
                <w:szCs w:val="22"/>
              </w:rPr>
              <w:t>Capacity Charge</w:t>
            </w:r>
          </w:p>
        </w:tc>
        <w:tc>
          <w:tcPr>
            <w:tcW w:w="1980" w:type="dxa"/>
          </w:tcPr>
          <w:p w:rsidR="006D2B36" w:rsidRPr="00AF6E1E" w:rsidRDefault="006D2B36" w:rsidP="00DF03ED">
            <w:pPr>
              <w:pStyle w:val="FootnoteText"/>
              <w:jc w:val="right"/>
              <w:rPr>
                <w:sz w:val="22"/>
                <w:szCs w:val="22"/>
                <w:highlight w:val="yellow"/>
              </w:rPr>
            </w:pPr>
            <w:r w:rsidRPr="00AF6E1E">
              <w:rPr>
                <w:sz w:val="22"/>
                <w:szCs w:val="22"/>
              </w:rPr>
              <w:t>0.10</w:t>
            </w:r>
          </w:p>
        </w:tc>
        <w:tc>
          <w:tcPr>
            <w:tcW w:w="1800" w:type="dxa"/>
          </w:tcPr>
          <w:p w:rsidR="006D2B36" w:rsidRPr="00AF6E1E" w:rsidRDefault="006D2B36" w:rsidP="00DF03ED">
            <w:pPr>
              <w:pStyle w:val="FootnoteText"/>
              <w:jc w:val="right"/>
              <w:rPr>
                <w:sz w:val="22"/>
                <w:szCs w:val="22"/>
              </w:rPr>
            </w:pPr>
            <w:r w:rsidRPr="00AF6E1E">
              <w:rPr>
                <w:sz w:val="22"/>
                <w:szCs w:val="22"/>
              </w:rPr>
              <w:t>(0.12)</w:t>
            </w:r>
          </w:p>
        </w:tc>
        <w:tc>
          <w:tcPr>
            <w:tcW w:w="1715" w:type="dxa"/>
          </w:tcPr>
          <w:p w:rsidR="006D2B36" w:rsidRPr="00AF6E1E" w:rsidRDefault="006D2B36" w:rsidP="00DF03ED">
            <w:pPr>
              <w:pStyle w:val="FootnoteText"/>
              <w:jc w:val="right"/>
              <w:rPr>
                <w:sz w:val="22"/>
                <w:szCs w:val="22"/>
              </w:rPr>
            </w:pPr>
            <w:r>
              <w:rPr>
                <w:sz w:val="22"/>
                <w:szCs w:val="22"/>
              </w:rPr>
              <w:t>(</w:t>
            </w:r>
            <w:r w:rsidRPr="00AF6E1E">
              <w:rPr>
                <w:sz w:val="22"/>
                <w:szCs w:val="22"/>
              </w:rPr>
              <w:t>0.22</w:t>
            </w:r>
            <w:r>
              <w:rPr>
                <w:sz w:val="22"/>
                <w:szCs w:val="22"/>
              </w:rPr>
              <w:t>)</w:t>
            </w:r>
          </w:p>
        </w:tc>
        <w:tc>
          <w:tcPr>
            <w:tcW w:w="1615" w:type="dxa"/>
          </w:tcPr>
          <w:p w:rsidR="006D2B36" w:rsidRPr="00AF6E1E" w:rsidRDefault="006D2B36" w:rsidP="00DF03ED">
            <w:pPr>
              <w:pStyle w:val="FootnoteText"/>
              <w:jc w:val="right"/>
              <w:rPr>
                <w:sz w:val="22"/>
                <w:szCs w:val="22"/>
              </w:rPr>
            </w:pPr>
            <w:r w:rsidRPr="00AF6E1E">
              <w:rPr>
                <w:sz w:val="22"/>
                <w:szCs w:val="22"/>
              </w:rPr>
              <w:t>(0.12)</w:t>
            </w:r>
          </w:p>
        </w:tc>
      </w:tr>
      <w:tr w:rsidR="006D2B36" w:rsidRPr="00614FFF" w:rsidTr="00DF03ED">
        <w:trPr>
          <w:jc w:val="center"/>
        </w:trPr>
        <w:tc>
          <w:tcPr>
            <w:tcW w:w="2250" w:type="dxa"/>
            <w:vAlign w:val="bottom"/>
          </w:tcPr>
          <w:p w:rsidR="006D2B36" w:rsidRPr="00AF6E1E" w:rsidRDefault="006D2B36" w:rsidP="00DF03ED">
            <w:pPr>
              <w:pStyle w:val="FootnoteText"/>
              <w:rPr>
                <w:sz w:val="22"/>
                <w:szCs w:val="22"/>
              </w:rPr>
            </w:pPr>
            <w:r w:rsidRPr="00AF6E1E">
              <w:rPr>
                <w:color w:val="000000"/>
                <w:sz w:val="22"/>
                <w:szCs w:val="22"/>
              </w:rPr>
              <w:t>Environmental Charge</w:t>
            </w:r>
          </w:p>
        </w:tc>
        <w:tc>
          <w:tcPr>
            <w:tcW w:w="1980" w:type="dxa"/>
          </w:tcPr>
          <w:p w:rsidR="006D2B36" w:rsidRPr="00472C67" w:rsidRDefault="006D2B36" w:rsidP="00DF03ED">
            <w:pPr>
              <w:pStyle w:val="FootnoteText"/>
              <w:jc w:val="right"/>
              <w:rPr>
                <w:sz w:val="22"/>
                <w:szCs w:val="22"/>
                <w:highlight w:val="yellow"/>
                <w:u w:val="single"/>
              </w:rPr>
            </w:pPr>
            <w:r w:rsidRPr="00472C67">
              <w:rPr>
                <w:sz w:val="22"/>
                <w:szCs w:val="22"/>
                <w:u w:val="single"/>
              </w:rPr>
              <w:t>2.44</w:t>
            </w:r>
          </w:p>
        </w:tc>
        <w:tc>
          <w:tcPr>
            <w:tcW w:w="1800" w:type="dxa"/>
          </w:tcPr>
          <w:p w:rsidR="006D2B36" w:rsidRPr="00472C67" w:rsidRDefault="006D2B36" w:rsidP="00DF03ED">
            <w:pPr>
              <w:pStyle w:val="FootnoteText"/>
              <w:jc w:val="right"/>
              <w:rPr>
                <w:sz w:val="22"/>
                <w:szCs w:val="22"/>
                <w:u w:val="single"/>
              </w:rPr>
            </w:pPr>
            <w:r w:rsidRPr="00472C67">
              <w:rPr>
                <w:sz w:val="22"/>
                <w:szCs w:val="22"/>
                <w:u w:val="single"/>
              </w:rPr>
              <w:t>2.44</w:t>
            </w:r>
          </w:p>
        </w:tc>
        <w:tc>
          <w:tcPr>
            <w:tcW w:w="1715" w:type="dxa"/>
          </w:tcPr>
          <w:p w:rsidR="006D2B36" w:rsidRPr="00472C67" w:rsidRDefault="006D2B36" w:rsidP="00DF03ED">
            <w:pPr>
              <w:pStyle w:val="FootnoteText"/>
              <w:jc w:val="right"/>
              <w:rPr>
                <w:sz w:val="22"/>
                <w:szCs w:val="22"/>
                <w:u w:val="single"/>
              </w:rPr>
            </w:pPr>
            <w:r w:rsidRPr="00472C67">
              <w:rPr>
                <w:sz w:val="22"/>
                <w:szCs w:val="22"/>
                <w:u w:val="single"/>
              </w:rPr>
              <w:t>0.00</w:t>
            </w:r>
          </w:p>
        </w:tc>
        <w:tc>
          <w:tcPr>
            <w:tcW w:w="1615" w:type="dxa"/>
          </w:tcPr>
          <w:p w:rsidR="006D2B36" w:rsidRPr="00472C67" w:rsidRDefault="006D2B36" w:rsidP="00DF03ED">
            <w:pPr>
              <w:pStyle w:val="FootnoteText"/>
              <w:jc w:val="right"/>
              <w:rPr>
                <w:sz w:val="22"/>
                <w:szCs w:val="22"/>
                <w:u w:val="single"/>
              </w:rPr>
            </w:pPr>
            <w:r w:rsidRPr="00472C67">
              <w:rPr>
                <w:sz w:val="22"/>
                <w:szCs w:val="22"/>
                <w:u w:val="single"/>
              </w:rPr>
              <w:t>2.44</w:t>
            </w:r>
          </w:p>
        </w:tc>
      </w:tr>
      <w:tr w:rsidR="006D2B36" w:rsidRPr="00614FFF" w:rsidTr="00DF03ED">
        <w:trPr>
          <w:jc w:val="center"/>
        </w:trPr>
        <w:tc>
          <w:tcPr>
            <w:tcW w:w="2250" w:type="dxa"/>
            <w:vAlign w:val="bottom"/>
          </w:tcPr>
          <w:p w:rsidR="006D2B36" w:rsidRPr="00AF6E1E" w:rsidRDefault="006D2B36" w:rsidP="00DF03ED">
            <w:pPr>
              <w:pStyle w:val="FootnoteText"/>
              <w:rPr>
                <w:sz w:val="22"/>
                <w:szCs w:val="22"/>
              </w:rPr>
            </w:pPr>
            <w:r w:rsidRPr="00AF6E1E">
              <w:rPr>
                <w:color w:val="000000"/>
                <w:sz w:val="22"/>
                <w:szCs w:val="22"/>
              </w:rPr>
              <w:t>Gross Receipts Tax</w:t>
            </w:r>
          </w:p>
        </w:tc>
        <w:tc>
          <w:tcPr>
            <w:tcW w:w="1980" w:type="dxa"/>
          </w:tcPr>
          <w:p w:rsidR="006D2B36" w:rsidRPr="00542E36" w:rsidRDefault="006D2B36" w:rsidP="00DF03ED">
            <w:pPr>
              <w:pStyle w:val="FootnoteText"/>
              <w:jc w:val="right"/>
              <w:rPr>
                <w:sz w:val="22"/>
                <w:szCs w:val="22"/>
                <w:u w:val="single"/>
              </w:rPr>
            </w:pPr>
            <w:r w:rsidRPr="00542E36">
              <w:rPr>
                <w:sz w:val="22"/>
                <w:szCs w:val="22"/>
                <w:u w:val="single"/>
              </w:rPr>
              <w:t>2.55</w:t>
            </w:r>
          </w:p>
        </w:tc>
        <w:tc>
          <w:tcPr>
            <w:tcW w:w="1800" w:type="dxa"/>
          </w:tcPr>
          <w:p w:rsidR="006D2B36" w:rsidRPr="00542E36" w:rsidRDefault="006D2B36" w:rsidP="00DF03ED">
            <w:pPr>
              <w:pStyle w:val="FootnoteText"/>
              <w:jc w:val="right"/>
              <w:rPr>
                <w:sz w:val="22"/>
                <w:szCs w:val="22"/>
                <w:u w:val="single"/>
              </w:rPr>
            </w:pPr>
            <w:r w:rsidRPr="00542E36">
              <w:rPr>
                <w:sz w:val="22"/>
                <w:szCs w:val="22"/>
                <w:u w:val="single"/>
              </w:rPr>
              <w:t>1.97</w:t>
            </w:r>
          </w:p>
        </w:tc>
        <w:tc>
          <w:tcPr>
            <w:tcW w:w="1715" w:type="dxa"/>
          </w:tcPr>
          <w:p w:rsidR="006D2B36" w:rsidRPr="00542E36" w:rsidRDefault="006D2B36" w:rsidP="00DF03ED">
            <w:pPr>
              <w:pStyle w:val="FootnoteText"/>
              <w:jc w:val="right"/>
              <w:rPr>
                <w:sz w:val="22"/>
                <w:szCs w:val="22"/>
                <w:u w:val="single"/>
              </w:rPr>
            </w:pPr>
            <w:r w:rsidRPr="00542E36">
              <w:rPr>
                <w:sz w:val="22"/>
                <w:szCs w:val="22"/>
                <w:u w:val="single"/>
              </w:rPr>
              <w:t>(0.58)</w:t>
            </w:r>
          </w:p>
        </w:tc>
        <w:tc>
          <w:tcPr>
            <w:tcW w:w="1615" w:type="dxa"/>
          </w:tcPr>
          <w:p w:rsidR="006D2B36" w:rsidRPr="00542E36" w:rsidRDefault="006D2B36" w:rsidP="00DF03ED">
            <w:pPr>
              <w:pStyle w:val="FootnoteText"/>
              <w:jc w:val="right"/>
              <w:rPr>
                <w:sz w:val="22"/>
                <w:szCs w:val="22"/>
                <w:u w:val="single"/>
              </w:rPr>
            </w:pPr>
            <w:r w:rsidRPr="00542E36">
              <w:rPr>
                <w:sz w:val="22"/>
                <w:szCs w:val="22"/>
                <w:u w:val="single"/>
              </w:rPr>
              <w:t>2.44</w:t>
            </w:r>
          </w:p>
        </w:tc>
      </w:tr>
      <w:tr w:rsidR="006D2B36" w:rsidRPr="00614FFF" w:rsidTr="00DF03ED">
        <w:trPr>
          <w:jc w:val="center"/>
        </w:trPr>
        <w:tc>
          <w:tcPr>
            <w:tcW w:w="2250" w:type="dxa"/>
            <w:vAlign w:val="bottom"/>
          </w:tcPr>
          <w:p w:rsidR="006D2B36" w:rsidRPr="00285746" w:rsidRDefault="006D2B36" w:rsidP="00DF03ED">
            <w:pPr>
              <w:pStyle w:val="FootnoteText"/>
              <w:jc w:val="left"/>
              <w:rPr>
                <w:b/>
                <w:bCs/>
                <w:sz w:val="22"/>
                <w:szCs w:val="22"/>
              </w:rPr>
            </w:pPr>
            <w:r w:rsidRPr="00285746">
              <w:rPr>
                <w:b/>
                <w:bCs/>
                <w:color w:val="000000"/>
                <w:sz w:val="22"/>
                <w:szCs w:val="22"/>
              </w:rPr>
              <w:t>Total</w:t>
            </w:r>
          </w:p>
        </w:tc>
        <w:tc>
          <w:tcPr>
            <w:tcW w:w="1980" w:type="dxa"/>
          </w:tcPr>
          <w:p w:rsidR="006D2B36" w:rsidRPr="00AF6E1E" w:rsidRDefault="006D2B36" w:rsidP="00DF03ED">
            <w:pPr>
              <w:pStyle w:val="FootnoteText"/>
              <w:jc w:val="right"/>
              <w:rPr>
                <w:sz w:val="22"/>
                <w:szCs w:val="22"/>
                <w:u w:val="double"/>
              </w:rPr>
            </w:pPr>
            <w:r w:rsidRPr="00AF6E1E">
              <w:rPr>
                <w:sz w:val="22"/>
                <w:szCs w:val="22"/>
                <w:u w:val="double"/>
              </w:rPr>
              <w:t xml:space="preserve">$102.19 </w:t>
            </w:r>
          </w:p>
        </w:tc>
        <w:tc>
          <w:tcPr>
            <w:tcW w:w="1800" w:type="dxa"/>
          </w:tcPr>
          <w:p w:rsidR="006D2B36" w:rsidRPr="00AF6E1E" w:rsidRDefault="006D2B36" w:rsidP="00DF03ED">
            <w:pPr>
              <w:pStyle w:val="FootnoteText"/>
              <w:jc w:val="right"/>
              <w:rPr>
                <w:sz w:val="22"/>
                <w:szCs w:val="22"/>
                <w:u w:val="double"/>
              </w:rPr>
            </w:pPr>
            <w:r w:rsidRPr="00AF6E1E">
              <w:rPr>
                <w:sz w:val="22"/>
                <w:szCs w:val="22"/>
                <w:u w:val="double"/>
              </w:rPr>
              <w:t xml:space="preserve">$78.82 </w:t>
            </w:r>
          </w:p>
        </w:tc>
        <w:tc>
          <w:tcPr>
            <w:tcW w:w="1715" w:type="dxa"/>
          </w:tcPr>
          <w:p w:rsidR="006D2B36" w:rsidRPr="00542E36" w:rsidRDefault="006D2B36" w:rsidP="00DF03ED">
            <w:pPr>
              <w:pStyle w:val="FootnoteText"/>
              <w:jc w:val="right"/>
              <w:rPr>
                <w:sz w:val="22"/>
                <w:szCs w:val="22"/>
                <w:u w:val="double"/>
              </w:rPr>
            </w:pPr>
            <w:r w:rsidRPr="00542E36">
              <w:rPr>
                <w:sz w:val="22"/>
                <w:szCs w:val="22"/>
                <w:u w:val="double"/>
              </w:rPr>
              <w:t>($23.37)</w:t>
            </w:r>
          </w:p>
        </w:tc>
        <w:tc>
          <w:tcPr>
            <w:tcW w:w="1615" w:type="dxa"/>
          </w:tcPr>
          <w:p w:rsidR="006D2B36" w:rsidRPr="00AF6E1E" w:rsidRDefault="006D2B36" w:rsidP="00DF03ED">
            <w:pPr>
              <w:pStyle w:val="FootnoteText"/>
              <w:jc w:val="right"/>
              <w:rPr>
                <w:sz w:val="22"/>
                <w:szCs w:val="22"/>
                <w:u w:val="double"/>
              </w:rPr>
            </w:pPr>
            <w:r w:rsidRPr="00AF6E1E">
              <w:rPr>
                <w:sz w:val="22"/>
                <w:szCs w:val="22"/>
                <w:u w:val="double"/>
              </w:rPr>
              <w:t xml:space="preserve">$97.69 </w:t>
            </w:r>
          </w:p>
        </w:tc>
      </w:tr>
    </w:tbl>
    <w:p w:rsidR="006D2B36" w:rsidRPr="0098485F" w:rsidRDefault="006D2B36" w:rsidP="006D2B36">
      <w:pPr>
        <w:pStyle w:val="FootnoteText"/>
      </w:pPr>
      <w:r>
        <w:t>Source: Tampa Electric</w:t>
      </w:r>
      <w:r w:rsidRPr="0098485F">
        <w:t xml:space="preserve"> Petition, Schedule E-10.</w:t>
      </w:r>
    </w:p>
    <w:p w:rsidR="006D2B36" w:rsidRPr="006D2B36" w:rsidRDefault="006D2B36" w:rsidP="006D2B36">
      <w:pPr>
        <w:jc w:val="both"/>
      </w:pPr>
    </w:p>
    <w:p w:rsidR="006D2B36" w:rsidRDefault="006D2B36" w:rsidP="006D2B36">
      <w:pPr>
        <w:pStyle w:val="CenterUnderline"/>
        <w:jc w:val="both"/>
        <w:rPr>
          <w:u w:val="none"/>
        </w:rPr>
      </w:pPr>
      <w:r>
        <w:rPr>
          <w:u w:val="none"/>
        </w:rPr>
        <w:tab/>
      </w:r>
      <w:r w:rsidRPr="006D2B36">
        <w:rPr>
          <w:u w:val="none"/>
        </w:rPr>
        <w:t xml:space="preserve">Tampa Electric’s current total residential charge for 1,000 kWh of usage is $102.19. Effective with the June 2020 billing cycle and continuing through August, the proposed charge will be $78.82, or a decrease of $23.37 (22.9 percent). </w:t>
      </w:r>
      <w:r>
        <w:rPr>
          <w:u w:val="none"/>
        </w:rPr>
        <w:t xml:space="preserve"> </w:t>
      </w:r>
      <w:r w:rsidRPr="006D2B36">
        <w:rPr>
          <w:u w:val="none"/>
        </w:rPr>
        <w:t xml:space="preserve">The proposed June through August line item bill credit is $18.40. Effective with the September 2020 billing cycle and continuing through December, the bill will be $97.69. </w:t>
      </w:r>
      <w:r>
        <w:rPr>
          <w:u w:val="none"/>
        </w:rPr>
        <w:t xml:space="preserve"> </w:t>
      </w:r>
      <w:r w:rsidRPr="006D2B36">
        <w:rPr>
          <w:u w:val="none"/>
        </w:rPr>
        <w:t xml:space="preserve">The June through December portion (i.e., amount not included in the monthly credits) of the fuel mid-course correction reflects a reduction of $4.17 per 1,000 kWh. </w:t>
      </w:r>
      <w:r>
        <w:rPr>
          <w:u w:val="none"/>
        </w:rPr>
        <w:t xml:space="preserve"> </w:t>
      </w:r>
      <w:r w:rsidR="000512D7">
        <w:rPr>
          <w:u w:val="none"/>
        </w:rPr>
        <w:t>N</w:t>
      </w:r>
      <w:r w:rsidRPr="006D2B36">
        <w:rPr>
          <w:u w:val="none"/>
        </w:rPr>
        <w:t xml:space="preserve">on-residential classes, commercial, and industrial customers can expect a reduction of 14 to 20 percent, depending on usage. </w:t>
      </w:r>
      <w:r>
        <w:rPr>
          <w:u w:val="none"/>
        </w:rPr>
        <w:t xml:space="preserve"> </w:t>
      </w:r>
      <w:r w:rsidRPr="006D2B36">
        <w:rPr>
          <w:u w:val="none"/>
        </w:rPr>
        <w:t xml:space="preserve">Tampa Electric stated that it will provide customers notice of the changes with its June bills and on its website. The Company also filed the tariff (First Revised 6.023) for after the credit concludes post-August 2020. </w:t>
      </w:r>
      <w:r>
        <w:rPr>
          <w:u w:val="none"/>
        </w:rPr>
        <w:t>Commission s</w:t>
      </w:r>
      <w:r w:rsidRPr="006D2B36">
        <w:rPr>
          <w:u w:val="none"/>
        </w:rPr>
        <w:t xml:space="preserve">taff </w:t>
      </w:r>
      <w:r>
        <w:rPr>
          <w:u w:val="none"/>
        </w:rPr>
        <w:t xml:space="preserve">has </w:t>
      </w:r>
      <w:r w:rsidRPr="006D2B36">
        <w:rPr>
          <w:u w:val="none"/>
        </w:rPr>
        <w:t>request</w:t>
      </w:r>
      <w:r>
        <w:rPr>
          <w:u w:val="none"/>
        </w:rPr>
        <w:t>ed</w:t>
      </w:r>
      <w:r w:rsidRPr="006D2B36">
        <w:rPr>
          <w:u w:val="none"/>
        </w:rPr>
        <w:t xml:space="preserve"> administrative authority to approve th</w:t>
      </w:r>
      <w:r w:rsidR="00FA69EB">
        <w:rPr>
          <w:u w:val="none"/>
        </w:rPr>
        <w:t>is</w:t>
      </w:r>
      <w:r w:rsidRPr="006D2B36">
        <w:rPr>
          <w:u w:val="none"/>
        </w:rPr>
        <w:t xml:space="preserve"> First Revised Tariff Sheet No. 6.023, effective September 2020</w:t>
      </w:r>
      <w:r w:rsidR="00FA69EB">
        <w:rPr>
          <w:u w:val="none"/>
        </w:rPr>
        <w:t xml:space="preserve"> should we approve Tampa Electric’s proposed modification</w:t>
      </w:r>
      <w:r w:rsidRPr="006D2B36">
        <w:rPr>
          <w:u w:val="none"/>
        </w:rPr>
        <w:t>.</w:t>
      </w:r>
      <w:r w:rsidR="00FA69EB">
        <w:rPr>
          <w:u w:val="none"/>
        </w:rPr>
        <w:t xml:space="preserve">  </w:t>
      </w:r>
      <w:r w:rsidRPr="006D2B36">
        <w:rPr>
          <w:u w:val="none"/>
        </w:rPr>
        <w:t xml:space="preserve">Further, Tampa Electric </w:t>
      </w:r>
      <w:r w:rsidR="00FA69EB">
        <w:rPr>
          <w:u w:val="none"/>
        </w:rPr>
        <w:t xml:space="preserve">has represented that </w:t>
      </w:r>
      <w:r w:rsidRPr="006D2B36">
        <w:rPr>
          <w:u w:val="none"/>
        </w:rPr>
        <w:t xml:space="preserve">it </w:t>
      </w:r>
      <w:r w:rsidR="00FA69EB">
        <w:rPr>
          <w:u w:val="none"/>
        </w:rPr>
        <w:t xml:space="preserve">has </w:t>
      </w:r>
      <w:r w:rsidRPr="006D2B36">
        <w:rPr>
          <w:u w:val="none"/>
        </w:rPr>
        <w:t>consulted with the Office of Public Counsel (OPC) about its primary proposal (factors shown on Attachment A) and that  OPC is in support of the proposal</w:t>
      </w:r>
      <w:r>
        <w:rPr>
          <w:u w:val="none"/>
        </w:rPr>
        <w:t>.</w:t>
      </w:r>
    </w:p>
    <w:p w:rsidR="004C678B" w:rsidRPr="006D2B36" w:rsidRDefault="004C678B" w:rsidP="006D2B36">
      <w:pPr>
        <w:pStyle w:val="CenterUnderline"/>
        <w:jc w:val="both"/>
        <w:rPr>
          <w:u w:val="none"/>
        </w:rPr>
      </w:pPr>
    </w:p>
    <w:p w:rsidR="00594C38" w:rsidRDefault="00594C38" w:rsidP="00594C38">
      <w:pPr>
        <w:jc w:val="both"/>
      </w:pPr>
      <w:r>
        <w:tab/>
        <w:t xml:space="preserve">For the reasons stated above, we hereby grant </w:t>
      </w:r>
      <w:r w:rsidRPr="00E44C6D">
        <w:rPr>
          <w:bCs/>
        </w:rPr>
        <w:t>Tampa Electric</w:t>
      </w:r>
      <w:r w:rsidRPr="00A3390B">
        <w:rPr>
          <w:bCs/>
        </w:rPr>
        <w:t xml:space="preserve">’s petition to </w:t>
      </w:r>
      <w:r>
        <w:rPr>
          <w:bCs/>
        </w:rPr>
        <w:t xml:space="preserve">reduce </w:t>
      </w:r>
      <w:r w:rsidRPr="00A3390B">
        <w:rPr>
          <w:bCs/>
        </w:rPr>
        <w:t xml:space="preserve">its currently-approved 2020 fuel and capacity cost recovery </w:t>
      </w:r>
      <w:r>
        <w:rPr>
          <w:bCs/>
        </w:rPr>
        <w:t xml:space="preserve">factors for </w:t>
      </w:r>
      <w:r w:rsidRPr="00A3390B">
        <w:rPr>
          <w:bCs/>
        </w:rPr>
        <w:t xml:space="preserve">purposes of </w:t>
      </w:r>
      <w:r>
        <w:rPr>
          <w:bCs/>
        </w:rPr>
        <w:t>flowing</w:t>
      </w:r>
      <w:r w:rsidRPr="00A3390B">
        <w:rPr>
          <w:bCs/>
        </w:rPr>
        <w:t xml:space="preserve"> </w:t>
      </w:r>
      <w:r>
        <w:rPr>
          <w:bCs/>
        </w:rPr>
        <w:t xml:space="preserve">back </w:t>
      </w:r>
      <w:r w:rsidRPr="00A3390B">
        <w:rPr>
          <w:bCs/>
        </w:rPr>
        <w:t>to customers a projected over-recovery of fuel and capacity charges during the period of June through December 2020</w:t>
      </w:r>
      <w:r>
        <w:rPr>
          <w:bCs/>
        </w:rPr>
        <w:t>, and issuing fuel-related bill credits in the months of June, July, and August 2020.   Further, we approve t</w:t>
      </w:r>
      <w:r w:rsidRPr="00BC4040">
        <w:t>he t</w:t>
      </w:r>
      <w:r>
        <w:t>ariffs as shown on Attachment A</w:t>
      </w:r>
      <w:r w:rsidRPr="00BC4040">
        <w:t xml:space="preserve"> </w:t>
      </w:r>
      <w:r>
        <w:t xml:space="preserve">effective </w:t>
      </w:r>
      <w:r w:rsidRPr="00BC4040">
        <w:t xml:space="preserve">June 1, 2020. </w:t>
      </w:r>
      <w:r>
        <w:t>Finally, we hereby give Commission s</w:t>
      </w:r>
      <w:r w:rsidRPr="00BC4040">
        <w:t xml:space="preserve">taff </w:t>
      </w:r>
      <w:r>
        <w:t xml:space="preserve">administrative </w:t>
      </w:r>
      <w:r w:rsidRPr="00BC4040">
        <w:t>authority to approve the First Revised Tariff Sheet No. 6.023, effective September 2020.</w:t>
      </w:r>
    </w:p>
    <w:p w:rsidR="00594C38" w:rsidRDefault="00594C38" w:rsidP="00594C38">
      <w:pPr>
        <w:jc w:val="both"/>
      </w:pPr>
    </w:p>
    <w:p w:rsidR="00594C38" w:rsidRPr="00594C38" w:rsidRDefault="00594C38" w:rsidP="00594C38">
      <w:pPr>
        <w:jc w:val="both"/>
        <w:rPr>
          <w:bCs/>
          <w:u w:val="single"/>
        </w:rPr>
      </w:pPr>
      <w:r>
        <w:tab/>
      </w:r>
      <w:r>
        <w:rPr>
          <w:u w:val="single"/>
        </w:rPr>
        <w:t>Florida Power &amp; Light Company</w:t>
      </w:r>
    </w:p>
    <w:p w:rsidR="006D2B36" w:rsidRPr="006D2B36" w:rsidRDefault="006D2B36" w:rsidP="006D2B36">
      <w:pPr>
        <w:pStyle w:val="CenterUnderline"/>
        <w:jc w:val="both"/>
        <w:rPr>
          <w:u w:val="none"/>
        </w:rPr>
      </w:pPr>
    </w:p>
    <w:p w:rsidR="00594C38" w:rsidRDefault="00594C38" w:rsidP="00594C38">
      <w:pPr>
        <w:pStyle w:val="FootnoteText"/>
        <w:rPr>
          <w:sz w:val="24"/>
          <w:szCs w:val="24"/>
        </w:rPr>
      </w:pPr>
      <w:r>
        <w:tab/>
      </w:r>
      <w:r>
        <w:rPr>
          <w:sz w:val="24"/>
          <w:szCs w:val="24"/>
        </w:rPr>
        <w:t>FPL participated in the Commission’s most-recent fuel hearing which took</w:t>
      </w:r>
      <w:r w:rsidRPr="00A04FF0">
        <w:rPr>
          <w:sz w:val="24"/>
          <w:szCs w:val="24"/>
        </w:rPr>
        <w:t xml:space="preserve"> place on November 5, 201</w:t>
      </w:r>
      <w:r>
        <w:rPr>
          <w:sz w:val="24"/>
          <w:szCs w:val="24"/>
        </w:rPr>
        <w:t>9.  The Fuel Order issued from the 2019</w:t>
      </w:r>
      <w:r w:rsidRPr="00A04FF0">
        <w:rPr>
          <w:sz w:val="24"/>
          <w:szCs w:val="24"/>
        </w:rPr>
        <w:t xml:space="preserve"> hearing set</w:t>
      </w:r>
      <w:r>
        <w:rPr>
          <w:sz w:val="24"/>
          <w:szCs w:val="24"/>
        </w:rPr>
        <w:t xml:space="preserve"> forth FPL’s fuel, purchased power, and capacity-related cost recovery factors effective with the first billing cycle of January 2020.</w:t>
      </w:r>
      <w:r>
        <w:rPr>
          <w:rStyle w:val="FootnoteReference"/>
          <w:sz w:val="24"/>
          <w:szCs w:val="24"/>
        </w:rPr>
        <w:footnoteReference w:id="14"/>
      </w:r>
    </w:p>
    <w:p w:rsidR="00594C38" w:rsidRDefault="00594C38" w:rsidP="00594C38">
      <w:pPr>
        <w:jc w:val="both"/>
      </w:pPr>
    </w:p>
    <w:p w:rsidR="00594C38" w:rsidRPr="00594C38" w:rsidRDefault="00594C38" w:rsidP="00594C38">
      <w:pPr>
        <w:jc w:val="center"/>
        <w:rPr>
          <w:bCs/>
          <w:iCs/>
          <w:u w:val="single"/>
        </w:rPr>
      </w:pPr>
      <w:r w:rsidRPr="00594C38">
        <w:rPr>
          <w:bCs/>
          <w:iCs/>
          <w:u w:val="single"/>
        </w:rPr>
        <w:t>Mid-Course Correction</w:t>
      </w:r>
    </w:p>
    <w:p w:rsidR="00594C38" w:rsidRDefault="00594C38" w:rsidP="00594C38">
      <w:pPr>
        <w:jc w:val="both"/>
      </w:pPr>
    </w:p>
    <w:p w:rsidR="00594C38" w:rsidRDefault="00594C38" w:rsidP="00594C38">
      <w:pPr>
        <w:jc w:val="both"/>
      </w:pPr>
      <w:r>
        <w:tab/>
        <w:t>FPL</w:t>
      </w:r>
      <w:r w:rsidRPr="00415E47">
        <w:t xml:space="preserve"> has proposed to </w:t>
      </w:r>
      <w:r>
        <w:t>address</w:t>
      </w:r>
      <w:r w:rsidRPr="00415E47">
        <w:t xml:space="preserve"> </w:t>
      </w:r>
      <w:r>
        <w:t>a</w:t>
      </w:r>
      <w:r w:rsidRPr="00415E47">
        <w:t xml:space="preserve"> projected 2020 </w:t>
      </w:r>
      <w:r>
        <w:t xml:space="preserve">fuel </w:t>
      </w:r>
      <w:r w:rsidRPr="00415E47">
        <w:t xml:space="preserve">over-recovery of $206,083,515 </w:t>
      </w:r>
      <w:r>
        <w:t>by reducing its fuel factors in</w:t>
      </w:r>
      <w:r w:rsidRPr="009F00FB">
        <w:t xml:space="preserve"> the month of May 2020. </w:t>
      </w:r>
      <w:r>
        <w:t xml:space="preserve"> </w:t>
      </w:r>
      <w:r w:rsidRPr="009F00FB">
        <w:t>The projected 2020 over-recovery o</w:t>
      </w:r>
      <w:r>
        <w:t>f fuel charges</w:t>
      </w:r>
      <w:r w:rsidRPr="009F00FB">
        <w:t xml:space="preserve"> is</w:t>
      </w:r>
      <w:r>
        <w:t xml:space="preserve"> </w:t>
      </w:r>
      <w:r w:rsidRPr="00415E47">
        <w:t xml:space="preserve">specifically associated with </w:t>
      </w:r>
      <w:r>
        <w:t>a decline in projected</w:t>
      </w:r>
      <w:r w:rsidRPr="00415E47">
        <w:t xml:space="preserve"> fuel</w:t>
      </w:r>
      <w:r>
        <w:t xml:space="preserve"> costs</w:t>
      </w:r>
      <w:r w:rsidRPr="00415E47">
        <w:t>.</w:t>
      </w:r>
      <w:r>
        <w:t xml:space="preserve">  FPL’s fuel mid-course correction position following the calculation methodology in </w:t>
      </w:r>
      <w:r w:rsidRPr="00B300C0">
        <w:t>Rule 25-6.0424</w:t>
      </w:r>
      <w:r>
        <w:t>(1)(a)</w:t>
      </w:r>
      <w:r w:rsidRPr="00B300C0">
        <w:t>, F.A.C.</w:t>
      </w:r>
      <w:r>
        <w:t>, is 6.3 percent, which is</w:t>
      </w:r>
      <w:r w:rsidRPr="00A45F75">
        <w:t xml:space="preserve"> </w:t>
      </w:r>
      <w:r>
        <w:t xml:space="preserve">under </w:t>
      </w:r>
      <w:r w:rsidRPr="00A45F75">
        <w:t xml:space="preserve">the </w:t>
      </w:r>
      <w:r>
        <w:t xml:space="preserve">10 </w:t>
      </w:r>
      <w:r w:rsidRPr="00A45F75">
        <w:t xml:space="preserve">percent threshold </w:t>
      </w:r>
      <w:r w:rsidRPr="00A0787E">
        <w:t xml:space="preserve">prompting a </w:t>
      </w:r>
      <w:r>
        <w:t xml:space="preserve">noticing requirement </w:t>
      </w:r>
      <w:r w:rsidRPr="00A45F75">
        <w:t xml:space="preserve">pursuant to </w:t>
      </w:r>
      <w:r>
        <w:t>the same rule</w:t>
      </w:r>
      <w:r w:rsidRPr="00A45F75">
        <w:t>.</w:t>
      </w:r>
      <w:r w:rsidRPr="00415E47">
        <w:t xml:space="preserve"> </w:t>
      </w:r>
      <w:r>
        <w:t xml:space="preserve"> FPL’s original projection of natural gas costs for 2020 was formulated near the end of July 2019.  At that time, FPL projected the average delivered cost of natural gas to be $4.06 per </w:t>
      </w:r>
      <w:r w:rsidRPr="004336D0">
        <w:t>MMBtu. FPL</w:t>
      </w:r>
      <w:r>
        <w:t xml:space="preserve"> now projects, based on March 2020 data, the average 2020 cost of natural gas will be $3.53 per MMBtu (reduction of 13 percent). </w:t>
      </w:r>
    </w:p>
    <w:p w:rsidR="00594C38" w:rsidRDefault="00594C38" w:rsidP="00594C38">
      <w:pPr>
        <w:jc w:val="both"/>
      </w:pPr>
    </w:p>
    <w:p w:rsidR="00594C38" w:rsidRDefault="00594C38" w:rsidP="00594C38">
      <w:pPr>
        <w:jc w:val="both"/>
      </w:pPr>
      <w:r>
        <w:tab/>
        <w:t>FPL’s re-projection of 2020 fuel costs returns an estimated over-recovery of $206.1 million.  Typically, at this point in a fuel clause cycle a utility would incorporate any over- or under-recovery from the prior period (prior calendar year) into its mid-course correction request. However, FPL has proposed to address its final prior period true up amount, which is a net under-recovery of $51.6 million, as part of its 2021 fuel cost recovery request.  In support of the requested treatment, FPL contends that by excluding the 2019 true up amount, it is maximizing the effect of the May 2020 rate reduction.  FPL’s requested approach is, in principle, similar to Tampa Electric’s proposal relating to its 2019 capacity cost over-recovery, i.e., not incorporating a prior period true up amount.</w:t>
      </w:r>
      <w:r w:rsidR="00B821A5">
        <w:t xml:space="preserve">  </w:t>
      </w:r>
      <w:r w:rsidRPr="005A61C1">
        <w:t xml:space="preserve">Further, FPL </w:t>
      </w:r>
      <w:r w:rsidR="00B821A5">
        <w:t xml:space="preserve">has </w:t>
      </w:r>
      <w:r>
        <w:t xml:space="preserve">cited Order No. PSC-2019-0109-PCO-EI as precedent </w:t>
      </w:r>
      <w:r w:rsidR="00B821A5">
        <w:t xml:space="preserve">where we </w:t>
      </w:r>
      <w:r w:rsidRPr="009F6AEB">
        <w:t>authoriz</w:t>
      </w:r>
      <w:r>
        <w:t>ed an</w:t>
      </w:r>
      <w:r w:rsidRPr="009F6AEB">
        <w:t xml:space="preserve"> electric utility to implement </w:t>
      </w:r>
      <w:r>
        <w:t xml:space="preserve">a </w:t>
      </w:r>
      <w:r w:rsidRPr="009F6AEB">
        <w:t>mid</w:t>
      </w:r>
      <w:r>
        <w:t>-</w:t>
      </w:r>
      <w:r w:rsidRPr="009F6AEB">
        <w:t xml:space="preserve">course correction that excluded </w:t>
      </w:r>
      <w:r>
        <w:t xml:space="preserve">the prior year’s </w:t>
      </w:r>
      <w:r w:rsidRPr="009F6AEB">
        <w:t>under-recovery</w:t>
      </w:r>
      <w:r>
        <w:t xml:space="preserve"> amount</w:t>
      </w:r>
      <w:r w:rsidRPr="009F6AEB">
        <w:t>.</w:t>
      </w:r>
      <w:r>
        <w:rPr>
          <w:rStyle w:val="FootnoteReference"/>
        </w:rPr>
        <w:footnoteReference w:id="15"/>
      </w:r>
    </w:p>
    <w:p w:rsidR="00594C38" w:rsidRDefault="00594C38" w:rsidP="00594C38">
      <w:pPr>
        <w:jc w:val="both"/>
      </w:pPr>
    </w:p>
    <w:p w:rsidR="00B821A5" w:rsidRPr="002E71EB" w:rsidRDefault="00B821A5" w:rsidP="00B821A5">
      <w:pPr>
        <w:jc w:val="both"/>
      </w:pPr>
      <w:r>
        <w:tab/>
      </w:r>
      <w:r w:rsidR="00594C38" w:rsidRPr="00B821A5">
        <w:t>As part of the mid-course correction filing, FPL updated its projections for purchased power, qualifying facilities, and economy purchases due to the updated fuel pricing and input</w:t>
      </w:r>
      <w:r>
        <w:t xml:space="preserve"> </w:t>
      </w:r>
      <w:r w:rsidRPr="00295A69">
        <w:t xml:space="preserve">assumptions. Regarding capacity cost recovery, </w:t>
      </w:r>
      <w:r>
        <w:t>FPL</w:t>
      </w:r>
      <w:r w:rsidRPr="00295A69">
        <w:t xml:space="preserve"> did not propose a</w:t>
      </w:r>
      <w:r>
        <w:t>ny</w:t>
      </w:r>
      <w:r w:rsidRPr="00295A69">
        <w:t xml:space="preserve"> change</w:t>
      </w:r>
      <w:r>
        <w:t>s</w:t>
      </w:r>
      <w:r w:rsidRPr="00295A69">
        <w:t xml:space="preserve"> to its currently-approved </w:t>
      </w:r>
      <w:r>
        <w:t>factors</w:t>
      </w:r>
      <w:r w:rsidRPr="00295A69">
        <w:t xml:space="preserve">. </w:t>
      </w:r>
    </w:p>
    <w:p w:rsidR="00B821A5" w:rsidRDefault="00B821A5" w:rsidP="00B821A5">
      <w:pPr>
        <w:jc w:val="both"/>
      </w:pPr>
    </w:p>
    <w:p w:rsidR="00B821A5" w:rsidRDefault="00B821A5" w:rsidP="00B821A5">
      <w:pPr>
        <w:jc w:val="center"/>
        <w:rPr>
          <w:bCs/>
          <w:iCs/>
          <w:u w:val="single"/>
        </w:rPr>
      </w:pPr>
      <w:r w:rsidRPr="00B821A5">
        <w:rPr>
          <w:bCs/>
          <w:iCs/>
          <w:u w:val="single"/>
        </w:rPr>
        <w:t>Bill Impacts</w:t>
      </w:r>
    </w:p>
    <w:p w:rsidR="00B821A5" w:rsidRPr="00B821A5" w:rsidRDefault="00B821A5" w:rsidP="00B821A5">
      <w:pPr>
        <w:jc w:val="center"/>
        <w:rPr>
          <w:bCs/>
          <w:iCs/>
          <w:u w:val="single"/>
        </w:rPr>
      </w:pPr>
    </w:p>
    <w:p w:rsidR="00B821A5" w:rsidRDefault="001A484B" w:rsidP="00B821A5">
      <w:pPr>
        <w:jc w:val="both"/>
      </w:pPr>
      <w:r>
        <w:tab/>
      </w:r>
      <w:r w:rsidR="00B821A5">
        <w:t>Table 2 below</w:t>
      </w:r>
      <w:r w:rsidR="00B821A5" w:rsidRPr="00415E47">
        <w:t xml:space="preserve"> </w:t>
      </w:r>
      <w:r w:rsidR="00B821A5">
        <w:t>displays</w:t>
      </w:r>
      <w:r w:rsidR="00B821A5" w:rsidRPr="00415E47">
        <w:t xml:space="preserve"> the </w:t>
      </w:r>
      <w:r w:rsidR="00B821A5">
        <w:t>bill</w:t>
      </w:r>
      <w:r w:rsidR="00B821A5" w:rsidRPr="00415E47">
        <w:t xml:space="preserve"> impact</w:t>
      </w:r>
      <w:r w:rsidR="00B821A5">
        <w:t xml:space="preserve"> </w:t>
      </w:r>
      <w:r w:rsidR="00B821A5" w:rsidRPr="00415E47">
        <w:t xml:space="preserve">to a residential customer using 1,000 kWh </w:t>
      </w:r>
      <w:r w:rsidR="00B821A5">
        <w:t xml:space="preserve">of electricity </w:t>
      </w:r>
      <w:r w:rsidR="00B821A5" w:rsidRPr="00415E47">
        <w:t xml:space="preserve">a month and </w:t>
      </w:r>
      <w:r w:rsidR="00B821A5">
        <w:t xml:space="preserve">further </w:t>
      </w:r>
      <w:r w:rsidR="00B821A5" w:rsidRPr="00415E47">
        <w:t xml:space="preserve">discusses </w:t>
      </w:r>
      <w:r w:rsidR="00B821A5">
        <w:t xml:space="preserve">the effects of FPL’s </w:t>
      </w:r>
      <w:r w:rsidR="00B821A5" w:rsidRPr="00415E47">
        <w:t>request.</w:t>
      </w:r>
    </w:p>
    <w:p w:rsidR="00B821A5" w:rsidRDefault="00B821A5" w:rsidP="00B821A5">
      <w:pPr>
        <w:jc w:val="both"/>
      </w:pPr>
    </w:p>
    <w:tbl>
      <w:tblPr>
        <w:tblStyle w:val="TableGrid"/>
        <w:tblW w:w="9360" w:type="dxa"/>
        <w:tblInd w:w="-10" w:type="dxa"/>
        <w:tblLook w:val="04A0" w:firstRow="1" w:lastRow="0" w:firstColumn="1" w:lastColumn="0" w:noHBand="0" w:noVBand="1"/>
      </w:tblPr>
      <w:tblGrid>
        <w:gridCol w:w="2278"/>
        <w:gridCol w:w="1440"/>
        <w:gridCol w:w="1422"/>
        <w:gridCol w:w="1351"/>
        <w:gridCol w:w="1439"/>
        <w:gridCol w:w="1430"/>
      </w:tblGrid>
      <w:tr w:rsidR="00B821A5" w:rsidRPr="006912C5" w:rsidTr="00DF03ED">
        <w:trPr>
          <w:tblHeader/>
        </w:trPr>
        <w:tc>
          <w:tcPr>
            <w:tcW w:w="9360" w:type="dxa"/>
            <w:gridSpan w:val="6"/>
            <w:tcBorders>
              <w:top w:val="nil"/>
              <w:left w:val="nil"/>
              <w:bottom w:val="nil"/>
              <w:right w:val="nil"/>
            </w:tcBorders>
            <w:vAlign w:val="bottom"/>
          </w:tcPr>
          <w:p w:rsidR="00B821A5" w:rsidRPr="000512D7" w:rsidRDefault="00B821A5" w:rsidP="00B821A5">
            <w:pPr>
              <w:pStyle w:val="FootnoteText"/>
              <w:jc w:val="center"/>
              <w:rPr>
                <w:color w:val="000000"/>
                <w:sz w:val="24"/>
                <w:szCs w:val="24"/>
              </w:rPr>
            </w:pPr>
            <w:r w:rsidRPr="000512D7">
              <w:rPr>
                <w:b/>
                <w:bCs/>
                <w:color w:val="000000"/>
                <w:sz w:val="24"/>
                <w:szCs w:val="24"/>
              </w:rPr>
              <w:t>Table 2</w:t>
            </w:r>
          </w:p>
        </w:tc>
      </w:tr>
      <w:tr w:rsidR="00B821A5" w:rsidRPr="006912C5" w:rsidTr="00DF03ED">
        <w:trPr>
          <w:tblHeader/>
        </w:trPr>
        <w:tc>
          <w:tcPr>
            <w:tcW w:w="9360" w:type="dxa"/>
            <w:gridSpan w:val="6"/>
            <w:tcBorders>
              <w:top w:val="nil"/>
              <w:left w:val="nil"/>
              <w:right w:val="nil"/>
            </w:tcBorders>
            <w:vAlign w:val="bottom"/>
          </w:tcPr>
          <w:p w:rsidR="00B821A5" w:rsidRPr="000512D7" w:rsidRDefault="00B821A5" w:rsidP="00DF03ED">
            <w:pPr>
              <w:pStyle w:val="FootnoteText"/>
              <w:jc w:val="center"/>
              <w:rPr>
                <w:color w:val="000000"/>
                <w:sz w:val="24"/>
                <w:szCs w:val="24"/>
              </w:rPr>
            </w:pPr>
            <w:r w:rsidRPr="000512D7">
              <w:rPr>
                <w:b/>
                <w:bCs/>
                <w:color w:val="000000"/>
                <w:sz w:val="24"/>
                <w:szCs w:val="24"/>
              </w:rPr>
              <w:t>Monthly Residential Billing Detail at 1,000 kWh</w:t>
            </w:r>
          </w:p>
        </w:tc>
      </w:tr>
      <w:tr w:rsidR="00B821A5" w:rsidRPr="006912C5" w:rsidTr="00DF03ED">
        <w:trPr>
          <w:tblHeader/>
        </w:trPr>
        <w:tc>
          <w:tcPr>
            <w:tcW w:w="2278" w:type="dxa"/>
            <w:vAlign w:val="bottom"/>
          </w:tcPr>
          <w:p w:rsidR="00B821A5" w:rsidRPr="00316F06" w:rsidRDefault="00B821A5" w:rsidP="00DF03ED">
            <w:pPr>
              <w:pStyle w:val="FootnoteText"/>
              <w:jc w:val="center"/>
              <w:rPr>
                <w:b/>
                <w:bCs/>
                <w:sz w:val="22"/>
                <w:szCs w:val="22"/>
              </w:rPr>
            </w:pPr>
            <w:r w:rsidRPr="00316F06">
              <w:rPr>
                <w:b/>
                <w:bCs/>
                <w:color w:val="000000"/>
                <w:sz w:val="22"/>
                <w:szCs w:val="22"/>
              </w:rPr>
              <w:t>Invoice Component</w:t>
            </w:r>
          </w:p>
        </w:tc>
        <w:tc>
          <w:tcPr>
            <w:tcW w:w="1440" w:type="dxa"/>
            <w:vAlign w:val="bottom"/>
          </w:tcPr>
          <w:p w:rsidR="00B821A5" w:rsidRPr="00316F06" w:rsidRDefault="00B821A5" w:rsidP="00DF03ED">
            <w:pPr>
              <w:pStyle w:val="FootnoteText"/>
              <w:jc w:val="center"/>
              <w:rPr>
                <w:b/>
                <w:bCs/>
                <w:sz w:val="22"/>
                <w:szCs w:val="22"/>
              </w:rPr>
            </w:pPr>
            <w:r w:rsidRPr="00316F06">
              <w:rPr>
                <w:b/>
                <w:bCs/>
                <w:color w:val="000000"/>
                <w:sz w:val="22"/>
                <w:szCs w:val="22"/>
              </w:rPr>
              <w:t>Currently-Approved Charges for April 2020</w:t>
            </w:r>
            <w:r w:rsidRPr="00316F06">
              <w:rPr>
                <w:rStyle w:val="FootnoteReference"/>
                <w:b/>
                <w:bCs/>
                <w:color w:val="000000"/>
                <w:sz w:val="22"/>
                <w:szCs w:val="22"/>
              </w:rPr>
              <w:footnoteReference w:id="16"/>
            </w:r>
          </w:p>
        </w:tc>
        <w:tc>
          <w:tcPr>
            <w:tcW w:w="1422" w:type="dxa"/>
            <w:vAlign w:val="bottom"/>
          </w:tcPr>
          <w:p w:rsidR="00B821A5" w:rsidRPr="00316F06" w:rsidRDefault="00B821A5" w:rsidP="00DF03ED">
            <w:pPr>
              <w:pStyle w:val="FootnoteText"/>
              <w:jc w:val="center"/>
              <w:rPr>
                <w:b/>
                <w:bCs/>
                <w:sz w:val="22"/>
                <w:szCs w:val="22"/>
              </w:rPr>
            </w:pPr>
            <w:r w:rsidRPr="00316F06">
              <w:rPr>
                <w:b/>
                <w:bCs/>
                <w:color w:val="000000"/>
                <w:sz w:val="22"/>
                <w:szCs w:val="22"/>
              </w:rPr>
              <w:t>Currently-Approved Charges for May 2020</w:t>
            </w:r>
            <w:r w:rsidRPr="00316F06">
              <w:rPr>
                <w:rStyle w:val="FootnoteReference"/>
                <w:b/>
                <w:bCs/>
                <w:color w:val="000000"/>
                <w:sz w:val="22"/>
                <w:szCs w:val="22"/>
              </w:rPr>
              <w:footnoteReference w:id="17"/>
            </w:r>
          </w:p>
        </w:tc>
        <w:tc>
          <w:tcPr>
            <w:tcW w:w="1351" w:type="dxa"/>
            <w:vAlign w:val="bottom"/>
          </w:tcPr>
          <w:p w:rsidR="00B821A5" w:rsidRPr="00316F06" w:rsidRDefault="00B821A5" w:rsidP="00DF03ED">
            <w:pPr>
              <w:pStyle w:val="FootnoteText"/>
              <w:jc w:val="center"/>
              <w:rPr>
                <w:b/>
                <w:bCs/>
                <w:sz w:val="22"/>
                <w:szCs w:val="22"/>
              </w:rPr>
            </w:pPr>
            <w:r w:rsidRPr="00316F06">
              <w:rPr>
                <w:b/>
                <w:bCs/>
                <w:color w:val="000000"/>
                <w:sz w:val="22"/>
                <w:szCs w:val="22"/>
              </w:rPr>
              <w:t>Proposed Charges for May 2020</w:t>
            </w:r>
          </w:p>
        </w:tc>
        <w:tc>
          <w:tcPr>
            <w:tcW w:w="1439" w:type="dxa"/>
          </w:tcPr>
          <w:p w:rsidR="00B821A5" w:rsidRPr="00316F06" w:rsidRDefault="00B821A5" w:rsidP="00DF03ED">
            <w:pPr>
              <w:pStyle w:val="FootnoteText"/>
              <w:jc w:val="center"/>
              <w:rPr>
                <w:b/>
                <w:bCs/>
                <w:color w:val="000000"/>
                <w:sz w:val="22"/>
                <w:szCs w:val="22"/>
              </w:rPr>
            </w:pPr>
            <w:r>
              <w:rPr>
                <w:b/>
                <w:bCs/>
                <w:color w:val="000000"/>
                <w:sz w:val="22"/>
                <w:szCs w:val="22"/>
              </w:rPr>
              <w:t>Approved to P</w:t>
            </w:r>
            <w:r w:rsidRPr="00316F06">
              <w:rPr>
                <w:b/>
                <w:bCs/>
                <w:color w:val="000000"/>
                <w:sz w:val="22"/>
                <w:szCs w:val="22"/>
              </w:rPr>
              <w:t>roposed May 2020 Difference</w:t>
            </w:r>
          </w:p>
        </w:tc>
        <w:tc>
          <w:tcPr>
            <w:tcW w:w="1430" w:type="dxa"/>
            <w:vAlign w:val="bottom"/>
          </w:tcPr>
          <w:p w:rsidR="00B821A5" w:rsidRPr="00316F06" w:rsidRDefault="00B821A5" w:rsidP="00DF03ED">
            <w:pPr>
              <w:pStyle w:val="FootnoteText"/>
              <w:jc w:val="center"/>
              <w:rPr>
                <w:b/>
                <w:bCs/>
                <w:sz w:val="22"/>
                <w:szCs w:val="22"/>
              </w:rPr>
            </w:pPr>
            <w:r w:rsidRPr="00316F06">
              <w:rPr>
                <w:b/>
                <w:bCs/>
                <w:color w:val="000000"/>
                <w:sz w:val="22"/>
                <w:szCs w:val="22"/>
              </w:rPr>
              <w:t>Approved Charges June-Dec. 2020</w:t>
            </w:r>
          </w:p>
        </w:tc>
      </w:tr>
      <w:tr w:rsidR="00B821A5" w:rsidRPr="006912C5" w:rsidTr="00DF03ED">
        <w:tc>
          <w:tcPr>
            <w:tcW w:w="2278" w:type="dxa"/>
            <w:vAlign w:val="bottom"/>
          </w:tcPr>
          <w:p w:rsidR="00B821A5" w:rsidRPr="00316F06" w:rsidRDefault="00B821A5" w:rsidP="00DF03ED">
            <w:pPr>
              <w:pStyle w:val="FootnoteText"/>
              <w:rPr>
                <w:sz w:val="22"/>
                <w:szCs w:val="22"/>
              </w:rPr>
            </w:pPr>
            <w:r w:rsidRPr="00316F06">
              <w:rPr>
                <w:color w:val="000000"/>
                <w:sz w:val="22"/>
                <w:szCs w:val="22"/>
              </w:rPr>
              <w:t>Base Charge</w:t>
            </w:r>
          </w:p>
        </w:tc>
        <w:tc>
          <w:tcPr>
            <w:tcW w:w="1440" w:type="dxa"/>
            <w:vAlign w:val="bottom"/>
          </w:tcPr>
          <w:p w:rsidR="00B821A5" w:rsidRPr="00316F06" w:rsidRDefault="00B821A5" w:rsidP="00DF03ED">
            <w:pPr>
              <w:pStyle w:val="FootnoteText"/>
              <w:jc w:val="right"/>
              <w:rPr>
                <w:sz w:val="22"/>
                <w:szCs w:val="22"/>
              </w:rPr>
            </w:pPr>
            <w:r w:rsidRPr="00316F06">
              <w:rPr>
                <w:color w:val="000000"/>
                <w:sz w:val="22"/>
                <w:szCs w:val="22"/>
              </w:rPr>
              <w:t xml:space="preserve">$69.43 </w:t>
            </w:r>
          </w:p>
        </w:tc>
        <w:tc>
          <w:tcPr>
            <w:tcW w:w="1422" w:type="dxa"/>
            <w:vAlign w:val="bottom"/>
          </w:tcPr>
          <w:p w:rsidR="00B821A5" w:rsidRPr="00316F06" w:rsidRDefault="00B821A5" w:rsidP="00DF03ED">
            <w:pPr>
              <w:pStyle w:val="FootnoteText"/>
              <w:jc w:val="right"/>
              <w:rPr>
                <w:sz w:val="22"/>
                <w:szCs w:val="22"/>
              </w:rPr>
            </w:pPr>
            <w:r w:rsidRPr="00316F06">
              <w:rPr>
                <w:color w:val="000000"/>
                <w:sz w:val="22"/>
                <w:szCs w:val="22"/>
              </w:rPr>
              <w:t xml:space="preserve">$69.94 </w:t>
            </w:r>
          </w:p>
        </w:tc>
        <w:tc>
          <w:tcPr>
            <w:tcW w:w="1351" w:type="dxa"/>
            <w:vAlign w:val="bottom"/>
          </w:tcPr>
          <w:p w:rsidR="00B821A5" w:rsidRPr="00316F06" w:rsidRDefault="00B821A5" w:rsidP="00DF03ED">
            <w:pPr>
              <w:pStyle w:val="FootnoteText"/>
              <w:jc w:val="right"/>
              <w:rPr>
                <w:sz w:val="22"/>
                <w:szCs w:val="22"/>
              </w:rPr>
            </w:pPr>
            <w:r w:rsidRPr="00316F06">
              <w:rPr>
                <w:color w:val="000000"/>
                <w:sz w:val="22"/>
                <w:szCs w:val="22"/>
              </w:rPr>
              <w:t xml:space="preserve">$69.94 </w:t>
            </w:r>
          </w:p>
        </w:tc>
        <w:tc>
          <w:tcPr>
            <w:tcW w:w="1439" w:type="dxa"/>
          </w:tcPr>
          <w:p w:rsidR="00B821A5" w:rsidRPr="00316F06" w:rsidRDefault="00B821A5" w:rsidP="00DF03ED">
            <w:pPr>
              <w:pStyle w:val="FootnoteText"/>
              <w:jc w:val="right"/>
              <w:rPr>
                <w:color w:val="000000"/>
                <w:sz w:val="22"/>
                <w:szCs w:val="22"/>
              </w:rPr>
            </w:pPr>
            <w:r w:rsidRPr="00316F06">
              <w:rPr>
                <w:sz w:val="22"/>
                <w:szCs w:val="22"/>
              </w:rPr>
              <w:t>$0.00</w:t>
            </w:r>
          </w:p>
        </w:tc>
        <w:tc>
          <w:tcPr>
            <w:tcW w:w="1430" w:type="dxa"/>
            <w:vAlign w:val="bottom"/>
          </w:tcPr>
          <w:p w:rsidR="00B821A5" w:rsidRPr="00316F06" w:rsidRDefault="00B821A5" w:rsidP="00DF03ED">
            <w:pPr>
              <w:pStyle w:val="FootnoteText"/>
              <w:jc w:val="right"/>
              <w:rPr>
                <w:sz w:val="22"/>
                <w:szCs w:val="22"/>
              </w:rPr>
            </w:pPr>
            <w:r w:rsidRPr="00316F06">
              <w:rPr>
                <w:color w:val="000000"/>
                <w:sz w:val="22"/>
                <w:szCs w:val="22"/>
              </w:rPr>
              <w:t xml:space="preserve">$69.94 </w:t>
            </w:r>
          </w:p>
        </w:tc>
      </w:tr>
      <w:tr w:rsidR="00B821A5" w:rsidRPr="006912C5" w:rsidTr="00DF03ED">
        <w:tc>
          <w:tcPr>
            <w:tcW w:w="2278" w:type="dxa"/>
            <w:vAlign w:val="bottom"/>
          </w:tcPr>
          <w:p w:rsidR="00B821A5" w:rsidRPr="00316F06" w:rsidRDefault="00B821A5" w:rsidP="00DF03ED">
            <w:pPr>
              <w:pStyle w:val="FootnoteText"/>
              <w:rPr>
                <w:sz w:val="22"/>
                <w:szCs w:val="22"/>
              </w:rPr>
            </w:pPr>
            <w:r w:rsidRPr="00316F06">
              <w:rPr>
                <w:color w:val="000000"/>
                <w:sz w:val="22"/>
                <w:szCs w:val="22"/>
              </w:rPr>
              <w:t>Fuel Charge</w:t>
            </w:r>
          </w:p>
        </w:tc>
        <w:tc>
          <w:tcPr>
            <w:tcW w:w="1440" w:type="dxa"/>
            <w:vAlign w:val="bottom"/>
          </w:tcPr>
          <w:p w:rsidR="00B821A5" w:rsidRPr="00316F06" w:rsidRDefault="00B821A5" w:rsidP="00DF03ED">
            <w:pPr>
              <w:pStyle w:val="FootnoteText"/>
              <w:jc w:val="right"/>
              <w:rPr>
                <w:sz w:val="22"/>
                <w:szCs w:val="22"/>
              </w:rPr>
            </w:pPr>
            <w:r w:rsidRPr="00316F06">
              <w:rPr>
                <w:color w:val="000000"/>
                <w:sz w:val="22"/>
                <w:szCs w:val="22"/>
              </w:rPr>
              <w:t xml:space="preserve">18.97 </w:t>
            </w:r>
          </w:p>
        </w:tc>
        <w:tc>
          <w:tcPr>
            <w:tcW w:w="1422" w:type="dxa"/>
            <w:vAlign w:val="bottom"/>
          </w:tcPr>
          <w:p w:rsidR="00B821A5" w:rsidRPr="00316F06" w:rsidRDefault="00B821A5" w:rsidP="00DF03ED">
            <w:pPr>
              <w:pStyle w:val="FootnoteText"/>
              <w:jc w:val="right"/>
              <w:rPr>
                <w:sz w:val="22"/>
                <w:szCs w:val="22"/>
              </w:rPr>
            </w:pPr>
            <w:r w:rsidRPr="00316F06">
              <w:rPr>
                <w:color w:val="000000"/>
                <w:sz w:val="22"/>
                <w:szCs w:val="22"/>
              </w:rPr>
              <w:t xml:space="preserve">18.84 </w:t>
            </w:r>
          </w:p>
        </w:tc>
        <w:tc>
          <w:tcPr>
            <w:tcW w:w="1351" w:type="dxa"/>
            <w:vAlign w:val="bottom"/>
          </w:tcPr>
          <w:p w:rsidR="00B821A5" w:rsidRPr="00316F06" w:rsidRDefault="00B821A5" w:rsidP="00DF03ED">
            <w:pPr>
              <w:pStyle w:val="FootnoteText"/>
              <w:jc w:val="right"/>
              <w:rPr>
                <w:sz w:val="22"/>
                <w:szCs w:val="22"/>
              </w:rPr>
            </w:pPr>
            <w:r w:rsidRPr="00316F06">
              <w:rPr>
                <w:sz w:val="22"/>
                <w:szCs w:val="22"/>
              </w:rPr>
              <w:t>(3.65)</w:t>
            </w:r>
          </w:p>
        </w:tc>
        <w:tc>
          <w:tcPr>
            <w:tcW w:w="1439" w:type="dxa"/>
          </w:tcPr>
          <w:p w:rsidR="00B821A5" w:rsidRPr="00316F06" w:rsidRDefault="00B821A5" w:rsidP="00DF03ED">
            <w:pPr>
              <w:pStyle w:val="FootnoteText"/>
              <w:jc w:val="right"/>
              <w:rPr>
                <w:color w:val="000000"/>
                <w:sz w:val="22"/>
                <w:szCs w:val="22"/>
              </w:rPr>
            </w:pPr>
            <w:r w:rsidRPr="00316F06">
              <w:rPr>
                <w:sz w:val="22"/>
                <w:szCs w:val="22"/>
              </w:rPr>
              <w:t>(22.49)</w:t>
            </w:r>
          </w:p>
        </w:tc>
        <w:tc>
          <w:tcPr>
            <w:tcW w:w="1430" w:type="dxa"/>
            <w:vAlign w:val="bottom"/>
          </w:tcPr>
          <w:p w:rsidR="00B821A5" w:rsidRPr="00316F06" w:rsidRDefault="00B821A5" w:rsidP="00DF03ED">
            <w:pPr>
              <w:pStyle w:val="FootnoteText"/>
              <w:jc w:val="right"/>
              <w:rPr>
                <w:sz w:val="22"/>
                <w:szCs w:val="22"/>
              </w:rPr>
            </w:pPr>
            <w:r w:rsidRPr="00316F06">
              <w:rPr>
                <w:color w:val="000000"/>
                <w:sz w:val="22"/>
                <w:szCs w:val="22"/>
              </w:rPr>
              <w:t xml:space="preserve">18.84 </w:t>
            </w:r>
          </w:p>
        </w:tc>
      </w:tr>
      <w:tr w:rsidR="00B821A5" w:rsidRPr="006912C5" w:rsidTr="00DF03ED">
        <w:tc>
          <w:tcPr>
            <w:tcW w:w="2278" w:type="dxa"/>
            <w:vAlign w:val="bottom"/>
          </w:tcPr>
          <w:p w:rsidR="00B821A5" w:rsidRPr="00316F06" w:rsidRDefault="00B821A5" w:rsidP="00DF03ED">
            <w:pPr>
              <w:pStyle w:val="FootnoteText"/>
              <w:rPr>
                <w:sz w:val="22"/>
                <w:szCs w:val="22"/>
              </w:rPr>
            </w:pPr>
            <w:r w:rsidRPr="00316F06">
              <w:rPr>
                <w:color w:val="000000"/>
                <w:sz w:val="22"/>
                <w:szCs w:val="22"/>
              </w:rPr>
              <w:t>Conservation Charge</w:t>
            </w:r>
          </w:p>
        </w:tc>
        <w:tc>
          <w:tcPr>
            <w:tcW w:w="1440" w:type="dxa"/>
            <w:vAlign w:val="bottom"/>
          </w:tcPr>
          <w:p w:rsidR="00B821A5" w:rsidRPr="00316F06" w:rsidRDefault="00B821A5" w:rsidP="00DF03ED">
            <w:pPr>
              <w:pStyle w:val="FootnoteText"/>
              <w:jc w:val="right"/>
              <w:rPr>
                <w:sz w:val="22"/>
                <w:szCs w:val="22"/>
              </w:rPr>
            </w:pPr>
            <w:r w:rsidRPr="00316F06">
              <w:rPr>
                <w:color w:val="000000"/>
                <w:sz w:val="22"/>
                <w:szCs w:val="22"/>
              </w:rPr>
              <w:t xml:space="preserve">1.39 </w:t>
            </w:r>
          </w:p>
        </w:tc>
        <w:tc>
          <w:tcPr>
            <w:tcW w:w="1422" w:type="dxa"/>
            <w:vAlign w:val="bottom"/>
          </w:tcPr>
          <w:p w:rsidR="00B821A5" w:rsidRPr="00316F06" w:rsidRDefault="00B821A5" w:rsidP="00DF03ED">
            <w:pPr>
              <w:pStyle w:val="FootnoteText"/>
              <w:jc w:val="right"/>
              <w:rPr>
                <w:sz w:val="22"/>
                <w:szCs w:val="22"/>
              </w:rPr>
            </w:pPr>
            <w:r w:rsidRPr="00316F06">
              <w:rPr>
                <w:color w:val="000000"/>
                <w:sz w:val="22"/>
                <w:szCs w:val="22"/>
              </w:rPr>
              <w:t xml:space="preserve">1.39 </w:t>
            </w:r>
          </w:p>
        </w:tc>
        <w:tc>
          <w:tcPr>
            <w:tcW w:w="1351" w:type="dxa"/>
            <w:vAlign w:val="bottom"/>
          </w:tcPr>
          <w:p w:rsidR="00B821A5" w:rsidRPr="00316F06" w:rsidRDefault="00B821A5" w:rsidP="00DF03ED">
            <w:pPr>
              <w:pStyle w:val="FootnoteText"/>
              <w:jc w:val="right"/>
              <w:rPr>
                <w:sz w:val="22"/>
                <w:szCs w:val="22"/>
              </w:rPr>
            </w:pPr>
            <w:r w:rsidRPr="00316F06">
              <w:rPr>
                <w:color w:val="000000"/>
                <w:sz w:val="22"/>
                <w:szCs w:val="22"/>
              </w:rPr>
              <w:t xml:space="preserve">1.39 </w:t>
            </w:r>
          </w:p>
        </w:tc>
        <w:tc>
          <w:tcPr>
            <w:tcW w:w="1439" w:type="dxa"/>
          </w:tcPr>
          <w:p w:rsidR="00B821A5" w:rsidRPr="00316F06" w:rsidRDefault="00B821A5" w:rsidP="00DF03ED">
            <w:pPr>
              <w:pStyle w:val="FootnoteText"/>
              <w:jc w:val="right"/>
              <w:rPr>
                <w:color w:val="000000"/>
                <w:sz w:val="22"/>
                <w:szCs w:val="22"/>
              </w:rPr>
            </w:pPr>
            <w:r w:rsidRPr="00316F06">
              <w:rPr>
                <w:sz w:val="22"/>
                <w:szCs w:val="22"/>
              </w:rPr>
              <w:t>0.00</w:t>
            </w:r>
          </w:p>
        </w:tc>
        <w:tc>
          <w:tcPr>
            <w:tcW w:w="1430" w:type="dxa"/>
            <w:vAlign w:val="bottom"/>
          </w:tcPr>
          <w:p w:rsidR="00B821A5" w:rsidRPr="00316F06" w:rsidRDefault="00B821A5" w:rsidP="00DF03ED">
            <w:pPr>
              <w:pStyle w:val="FootnoteText"/>
              <w:jc w:val="right"/>
              <w:rPr>
                <w:sz w:val="22"/>
                <w:szCs w:val="22"/>
              </w:rPr>
            </w:pPr>
            <w:r w:rsidRPr="00316F06">
              <w:rPr>
                <w:color w:val="000000"/>
                <w:sz w:val="22"/>
                <w:szCs w:val="22"/>
              </w:rPr>
              <w:t xml:space="preserve">1.39 </w:t>
            </w:r>
          </w:p>
        </w:tc>
      </w:tr>
      <w:tr w:rsidR="00B821A5" w:rsidRPr="006912C5" w:rsidTr="00DF03ED">
        <w:tc>
          <w:tcPr>
            <w:tcW w:w="2278" w:type="dxa"/>
            <w:vAlign w:val="bottom"/>
          </w:tcPr>
          <w:p w:rsidR="00B821A5" w:rsidRPr="00316F06" w:rsidRDefault="00B821A5" w:rsidP="00DF03ED">
            <w:pPr>
              <w:pStyle w:val="FootnoteText"/>
              <w:rPr>
                <w:sz w:val="22"/>
                <w:szCs w:val="22"/>
              </w:rPr>
            </w:pPr>
            <w:r w:rsidRPr="00316F06">
              <w:rPr>
                <w:color w:val="000000"/>
                <w:sz w:val="22"/>
                <w:szCs w:val="22"/>
              </w:rPr>
              <w:t>Capacity Charge</w:t>
            </w:r>
          </w:p>
        </w:tc>
        <w:tc>
          <w:tcPr>
            <w:tcW w:w="1440" w:type="dxa"/>
            <w:vAlign w:val="bottom"/>
          </w:tcPr>
          <w:p w:rsidR="00B821A5" w:rsidRPr="00316F06" w:rsidRDefault="00B821A5" w:rsidP="00DF03ED">
            <w:pPr>
              <w:pStyle w:val="FootnoteText"/>
              <w:jc w:val="right"/>
              <w:rPr>
                <w:sz w:val="22"/>
                <w:szCs w:val="22"/>
              </w:rPr>
            </w:pPr>
            <w:r w:rsidRPr="00316F06">
              <w:rPr>
                <w:color w:val="000000"/>
                <w:sz w:val="22"/>
                <w:szCs w:val="22"/>
              </w:rPr>
              <w:t xml:space="preserve">2.30 </w:t>
            </w:r>
          </w:p>
        </w:tc>
        <w:tc>
          <w:tcPr>
            <w:tcW w:w="1422" w:type="dxa"/>
            <w:vAlign w:val="bottom"/>
          </w:tcPr>
          <w:p w:rsidR="00B821A5" w:rsidRPr="00316F06" w:rsidRDefault="00B821A5" w:rsidP="00DF03ED">
            <w:pPr>
              <w:pStyle w:val="FootnoteText"/>
              <w:jc w:val="right"/>
              <w:rPr>
                <w:sz w:val="22"/>
                <w:szCs w:val="22"/>
              </w:rPr>
            </w:pPr>
            <w:r w:rsidRPr="00316F06">
              <w:rPr>
                <w:color w:val="000000"/>
                <w:sz w:val="22"/>
                <w:szCs w:val="22"/>
              </w:rPr>
              <w:t xml:space="preserve">2.30 </w:t>
            </w:r>
          </w:p>
        </w:tc>
        <w:tc>
          <w:tcPr>
            <w:tcW w:w="1351" w:type="dxa"/>
            <w:vAlign w:val="bottom"/>
          </w:tcPr>
          <w:p w:rsidR="00B821A5" w:rsidRPr="00316F06" w:rsidRDefault="00B821A5" w:rsidP="00DF03ED">
            <w:pPr>
              <w:pStyle w:val="FootnoteText"/>
              <w:jc w:val="right"/>
              <w:rPr>
                <w:sz w:val="22"/>
                <w:szCs w:val="22"/>
              </w:rPr>
            </w:pPr>
            <w:r w:rsidRPr="00316F06">
              <w:rPr>
                <w:color w:val="000000"/>
                <w:sz w:val="22"/>
                <w:szCs w:val="22"/>
              </w:rPr>
              <w:t xml:space="preserve">2.30 </w:t>
            </w:r>
          </w:p>
        </w:tc>
        <w:tc>
          <w:tcPr>
            <w:tcW w:w="1439" w:type="dxa"/>
          </w:tcPr>
          <w:p w:rsidR="00B821A5" w:rsidRPr="00316F06" w:rsidRDefault="00B821A5" w:rsidP="00DF03ED">
            <w:pPr>
              <w:pStyle w:val="FootnoteText"/>
              <w:jc w:val="right"/>
              <w:rPr>
                <w:color w:val="000000"/>
                <w:sz w:val="22"/>
                <w:szCs w:val="22"/>
              </w:rPr>
            </w:pPr>
            <w:r w:rsidRPr="00316F06">
              <w:rPr>
                <w:sz w:val="22"/>
                <w:szCs w:val="22"/>
              </w:rPr>
              <w:t>0.00</w:t>
            </w:r>
          </w:p>
        </w:tc>
        <w:tc>
          <w:tcPr>
            <w:tcW w:w="1430" w:type="dxa"/>
            <w:vAlign w:val="bottom"/>
          </w:tcPr>
          <w:p w:rsidR="00B821A5" w:rsidRPr="00316F06" w:rsidRDefault="00B821A5" w:rsidP="00DF03ED">
            <w:pPr>
              <w:pStyle w:val="FootnoteText"/>
              <w:jc w:val="right"/>
              <w:rPr>
                <w:sz w:val="22"/>
                <w:szCs w:val="22"/>
              </w:rPr>
            </w:pPr>
            <w:r w:rsidRPr="00316F06">
              <w:rPr>
                <w:color w:val="000000"/>
                <w:sz w:val="22"/>
                <w:szCs w:val="22"/>
              </w:rPr>
              <w:t xml:space="preserve">2.30 </w:t>
            </w:r>
          </w:p>
        </w:tc>
      </w:tr>
      <w:tr w:rsidR="00B821A5" w:rsidRPr="006912C5" w:rsidTr="00DF03ED">
        <w:tc>
          <w:tcPr>
            <w:tcW w:w="2278" w:type="dxa"/>
            <w:vAlign w:val="bottom"/>
          </w:tcPr>
          <w:p w:rsidR="00B821A5" w:rsidRPr="00316F06" w:rsidRDefault="00B821A5" w:rsidP="00DF03ED">
            <w:pPr>
              <w:pStyle w:val="FootnoteText"/>
              <w:rPr>
                <w:sz w:val="22"/>
                <w:szCs w:val="22"/>
              </w:rPr>
            </w:pPr>
            <w:r w:rsidRPr="00316F06">
              <w:rPr>
                <w:color w:val="000000"/>
                <w:sz w:val="22"/>
                <w:szCs w:val="22"/>
              </w:rPr>
              <w:t>Environmental Charge</w:t>
            </w:r>
          </w:p>
        </w:tc>
        <w:tc>
          <w:tcPr>
            <w:tcW w:w="1440" w:type="dxa"/>
            <w:vAlign w:val="bottom"/>
          </w:tcPr>
          <w:p w:rsidR="00B821A5" w:rsidRPr="00316F06" w:rsidRDefault="00B821A5" w:rsidP="00DF03ED">
            <w:pPr>
              <w:pStyle w:val="FootnoteText"/>
              <w:jc w:val="right"/>
              <w:rPr>
                <w:sz w:val="22"/>
                <w:szCs w:val="22"/>
                <w:u w:val="single"/>
              </w:rPr>
            </w:pPr>
            <w:r w:rsidRPr="00316F06">
              <w:rPr>
                <w:color w:val="000000"/>
                <w:sz w:val="22"/>
                <w:szCs w:val="22"/>
                <w:u w:val="single"/>
              </w:rPr>
              <w:t xml:space="preserve">1.55 </w:t>
            </w:r>
          </w:p>
        </w:tc>
        <w:tc>
          <w:tcPr>
            <w:tcW w:w="1422" w:type="dxa"/>
            <w:vAlign w:val="bottom"/>
          </w:tcPr>
          <w:p w:rsidR="00B821A5" w:rsidRPr="00316F06" w:rsidRDefault="00B821A5" w:rsidP="00DF03ED">
            <w:pPr>
              <w:pStyle w:val="FootnoteText"/>
              <w:jc w:val="right"/>
              <w:rPr>
                <w:sz w:val="22"/>
                <w:szCs w:val="22"/>
                <w:u w:val="single"/>
              </w:rPr>
            </w:pPr>
            <w:r w:rsidRPr="00316F06">
              <w:rPr>
                <w:color w:val="000000"/>
                <w:sz w:val="22"/>
                <w:szCs w:val="22"/>
                <w:u w:val="single"/>
              </w:rPr>
              <w:t xml:space="preserve">1.55 </w:t>
            </w:r>
          </w:p>
        </w:tc>
        <w:tc>
          <w:tcPr>
            <w:tcW w:w="1351" w:type="dxa"/>
            <w:vAlign w:val="bottom"/>
          </w:tcPr>
          <w:p w:rsidR="00B821A5" w:rsidRPr="00316F06" w:rsidRDefault="00B821A5" w:rsidP="00DF03ED">
            <w:pPr>
              <w:pStyle w:val="FootnoteText"/>
              <w:jc w:val="right"/>
              <w:rPr>
                <w:sz w:val="22"/>
                <w:szCs w:val="22"/>
                <w:u w:val="single"/>
              </w:rPr>
            </w:pPr>
            <w:r w:rsidRPr="00316F06">
              <w:rPr>
                <w:color w:val="000000"/>
                <w:sz w:val="22"/>
                <w:szCs w:val="22"/>
                <w:u w:val="single"/>
              </w:rPr>
              <w:t xml:space="preserve">1.55 </w:t>
            </w:r>
          </w:p>
        </w:tc>
        <w:tc>
          <w:tcPr>
            <w:tcW w:w="1439" w:type="dxa"/>
            <w:vAlign w:val="bottom"/>
          </w:tcPr>
          <w:p w:rsidR="00B821A5" w:rsidRPr="00316F06" w:rsidRDefault="00B821A5" w:rsidP="00DF03ED">
            <w:pPr>
              <w:pStyle w:val="FootnoteText"/>
              <w:jc w:val="right"/>
              <w:rPr>
                <w:color w:val="000000"/>
                <w:sz w:val="22"/>
                <w:szCs w:val="22"/>
                <w:u w:val="single"/>
              </w:rPr>
            </w:pPr>
            <w:r w:rsidRPr="00316F06">
              <w:rPr>
                <w:sz w:val="22"/>
                <w:szCs w:val="22"/>
                <w:u w:val="single"/>
              </w:rPr>
              <w:t>0.00</w:t>
            </w:r>
          </w:p>
        </w:tc>
        <w:tc>
          <w:tcPr>
            <w:tcW w:w="1430" w:type="dxa"/>
            <w:vAlign w:val="bottom"/>
          </w:tcPr>
          <w:p w:rsidR="00B821A5" w:rsidRPr="00316F06" w:rsidRDefault="00B821A5" w:rsidP="00DF03ED">
            <w:pPr>
              <w:pStyle w:val="FootnoteText"/>
              <w:jc w:val="right"/>
              <w:rPr>
                <w:sz w:val="22"/>
                <w:szCs w:val="22"/>
                <w:u w:val="single"/>
              </w:rPr>
            </w:pPr>
            <w:r w:rsidRPr="00316F06">
              <w:rPr>
                <w:color w:val="000000"/>
                <w:sz w:val="22"/>
                <w:szCs w:val="22"/>
                <w:u w:val="single"/>
              </w:rPr>
              <w:t xml:space="preserve">1.55 </w:t>
            </w:r>
          </w:p>
        </w:tc>
      </w:tr>
      <w:tr w:rsidR="00B821A5" w:rsidRPr="006912C5" w:rsidTr="00DF03ED">
        <w:tc>
          <w:tcPr>
            <w:tcW w:w="2278" w:type="dxa"/>
            <w:vAlign w:val="bottom"/>
          </w:tcPr>
          <w:p w:rsidR="00B821A5" w:rsidRPr="00316F06" w:rsidRDefault="00B821A5" w:rsidP="00DF03ED">
            <w:pPr>
              <w:pStyle w:val="FootnoteText"/>
              <w:rPr>
                <w:sz w:val="22"/>
                <w:szCs w:val="22"/>
              </w:rPr>
            </w:pPr>
            <w:r w:rsidRPr="00316F06">
              <w:rPr>
                <w:color w:val="000000"/>
                <w:sz w:val="22"/>
                <w:szCs w:val="22"/>
              </w:rPr>
              <w:t>Gross Receipts Tax</w:t>
            </w:r>
          </w:p>
        </w:tc>
        <w:tc>
          <w:tcPr>
            <w:tcW w:w="1440" w:type="dxa"/>
            <w:vAlign w:val="bottom"/>
          </w:tcPr>
          <w:p w:rsidR="00B821A5" w:rsidRPr="00316F06" w:rsidRDefault="00B821A5" w:rsidP="00DF03ED">
            <w:pPr>
              <w:pStyle w:val="FootnoteText"/>
              <w:jc w:val="right"/>
              <w:rPr>
                <w:sz w:val="22"/>
                <w:szCs w:val="22"/>
                <w:u w:val="single"/>
              </w:rPr>
            </w:pPr>
            <w:r w:rsidRPr="00316F06">
              <w:rPr>
                <w:color w:val="000000"/>
                <w:sz w:val="22"/>
                <w:szCs w:val="22"/>
                <w:u w:val="single"/>
              </w:rPr>
              <w:t xml:space="preserve">2.40 </w:t>
            </w:r>
          </w:p>
        </w:tc>
        <w:tc>
          <w:tcPr>
            <w:tcW w:w="1422" w:type="dxa"/>
            <w:vAlign w:val="bottom"/>
          </w:tcPr>
          <w:p w:rsidR="00B821A5" w:rsidRPr="00316F06" w:rsidRDefault="00B821A5" w:rsidP="00DF03ED">
            <w:pPr>
              <w:pStyle w:val="FootnoteText"/>
              <w:jc w:val="right"/>
              <w:rPr>
                <w:sz w:val="22"/>
                <w:szCs w:val="22"/>
                <w:u w:val="single"/>
              </w:rPr>
            </w:pPr>
            <w:r w:rsidRPr="00316F06">
              <w:rPr>
                <w:color w:val="000000"/>
                <w:sz w:val="22"/>
                <w:szCs w:val="22"/>
                <w:u w:val="single"/>
              </w:rPr>
              <w:t xml:space="preserve">2.41 </w:t>
            </w:r>
          </w:p>
        </w:tc>
        <w:tc>
          <w:tcPr>
            <w:tcW w:w="1351" w:type="dxa"/>
            <w:vAlign w:val="bottom"/>
          </w:tcPr>
          <w:p w:rsidR="00B821A5" w:rsidRPr="00316F06" w:rsidRDefault="00B821A5" w:rsidP="00DF03ED">
            <w:pPr>
              <w:pStyle w:val="FootnoteText"/>
              <w:jc w:val="right"/>
              <w:rPr>
                <w:sz w:val="22"/>
                <w:szCs w:val="22"/>
                <w:u w:val="single"/>
              </w:rPr>
            </w:pPr>
            <w:r w:rsidRPr="00316F06">
              <w:rPr>
                <w:color w:val="000000"/>
                <w:sz w:val="22"/>
                <w:szCs w:val="22"/>
                <w:u w:val="single"/>
              </w:rPr>
              <w:t xml:space="preserve">1.83 </w:t>
            </w:r>
          </w:p>
        </w:tc>
        <w:tc>
          <w:tcPr>
            <w:tcW w:w="1439" w:type="dxa"/>
          </w:tcPr>
          <w:p w:rsidR="00B821A5" w:rsidRPr="00316F06" w:rsidRDefault="00B821A5" w:rsidP="00DF03ED">
            <w:pPr>
              <w:pStyle w:val="FootnoteText"/>
              <w:jc w:val="right"/>
              <w:rPr>
                <w:color w:val="000000"/>
                <w:sz w:val="22"/>
                <w:szCs w:val="22"/>
                <w:u w:val="single"/>
              </w:rPr>
            </w:pPr>
            <w:r w:rsidRPr="00316F06">
              <w:rPr>
                <w:sz w:val="22"/>
                <w:szCs w:val="22"/>
                <w:u w:val="single"/>
              </w:rPr>
              <w:t>(0.58)</w:t>
            </w:r>
          </w:p>
        </w:tc>
        <w:tc>
          <w:tcPr>
            <w:tcW w:w="1430" w:type="dxa"/>
            <w:vAlign w:val="bottom"/>
          </w:tcPr>
          <w:p w:rsidR="00B821A5" w:rsidRPr="00316F06" w:rsidRDefault="00B821A5" w:rsidP="00DF03ED">
            <w:pPr>
              <w:pStyle w:val="FootnoteText"/>
              <w:jc w:val="right"/>
              <w:rPr>
                <w:sz w:val="22"/>
                <w:szCs w:val="22"/>
                <w:u w:val="single"/>
              </w:rPr>
            </w:pPr>
            <w:r w:rsidRPr="00316F06">
              <w:rPr>
                <w:color w:val="000000"/>
                <w:sz w:val="22"/>
                <w:szCs w:val="22"/>
                <w:u w:val="single"/>
              </w:rPr>
              <w:t xml:space="preserve">2.41 </w:t>
            </w:r>
          </w:p>
        </w:tc>
      </w:tr>
      <w:tr w:rsidR="00B821A5" w:rsidRPr="006912C5" w:rsidTr="00DF03ED">
        <w:trPr>
          <w:trHeight w:val="278"/>
        </w:trPr>
        <w:tc>
          <w:tcPr>
            <w:tcW w:w="2278" w:type="dxa"/>
            <w:vAlign w:val="bottom"/>
          </w:tcPr>
          <w:p w:rsidR="00B821A5" w:rsidRPr="00316F06" w:rsidRDefault="00B821A5" w:rsidP="00DF03ED">
            <w:pPr>
              <w:pStyle w:val="FootnoteText"/>
              <w:rPr>
                <w:b/>
                <w:bCs/>
                <w:sz w:val="22"/>
                <w:szCs w:val="22"/>
              </w:rPr>
            </w:pPr>
            <w:r w:rsidRPr="00316F06">
              <w:rPr>
                <w:b/>
                <w:bCs/>
                <w:color w:val="000000"/>
                <w:sz w:val="22"/>
                <w:szCs w:val="22"/>
              </w:rPr>
              <w:t>Total</w:t>
            </w:r>
          </w:p>
        </w:tc>
        <w:tc>
          <w:tcPr>
            <w:tcW w:w="1440" w:type="dxa"/>
            <w:vAlign w:val="bottom"/>
          </w:tcPr>
          <w:p w:rsidR="00B821A5" w:rsidRPr="00316F06" w:rsidRDefault="00B821A5" w:rsidP="00DF03ED">
            <w:pPr>
              <w:pStyle w:val="FootnoteText"/>
              <w:jc w:val="right"/>
              <w:rPr>
                <w:sz w:val="22"/>
                <w:szCs w:val="22"/>
                <w:u w:val="double"/>
              </w:rPr>
            </w:pPr>
            <w:r w:rsidRPr="00316F06">
              <w:rPr>
                <w:color w:val="000000"/>
                <w:sz w:val="22"/>
                <w:szCs w:val="22"/>
                <w:u w:val="double"/>
              </w:rPr>
              <w:t xml:space="preserve">$96.04 </w:t>
            </w:r>
          </w:p>
        </w:tc>
        <w:tc>
          <w:tcPr>
            <w:tcW w:w="1422" w:type="dxa"/>
            <w:vAlign w:val="bottom"/>
          </w:tcPr>
          <w:p w:rsidR="00B821A5" w:rsidRPr="00316F06" w:rsidRDefault="00B821A5" w:rsidP="00DF03ED">
            <w:pPr>
              <w:pStyle w:val="FootnoteText"/>
              <w:jc w:val="right"/>
              <w:rPr>
                <w:sz w:val="22"/>
                <w:szCs w:val="22"/>
                <w:u w:val="double"/>
              </w:rPr>
            </w:pPr>
            <w:r w:rsidRPr="00316F06">
              <w:rPr>
                <w:color w:val="000000"/>
                <w:sz w:val="22"/>
                <w:szCs w:val="22"/>
                <w:u w:val="double"/>
              </w:rPr>
              <w:t xml:space="preserve">$96.43 </w:t>
            </w:r>
          </w:p>
        </w:tc>
        <w:tc>
          <w:tcPr>
            <w:tcW w:w="1351" w:type="dxa"/>
            <w:vAlign w:val="bottom"/>
          </w:tcPr>
          <w:p w:rsidR="00B821A5" w:rsidRPr="00316F06" w:rsidRDefault="00B821A5" w:rsidP="00DF03ED">
            <w:pPr>
              <w:pStyle w:val="FootnoteText"/>
              <w:jc w:val="right"/>
              <w:rPr>
                <w:sz w:val="22"/>
                <w:szCs w:val="22"/>
                <w:u w:val="double"/>
              </w:rPr>
            </w:pPr>
            <w:r w:rsidRPr="00316F06">
              <w:rPr>
                <w:color w:val="000000"/>
                <w:sz w:val="22"/>
                <w:szCs w:val="22"/>
                <w:u w:val="double"/>
              </w:rPr>
              <w:t xml:space="preserve">$73.36 </w:t>
            </w:r>
          </w:p>
        </w:tc>
        <w:tc>
          <w:tcPr>
            <w:tcW w:w="1439" w:type="dxa"/>
          </w:tcPr>
          <w:p w:rsidR="00B821A5" w:rsidRPr="00316F06" w:rsidRDefault="00B821A5" w:rsidP="00DF03ED">
            <w:pPr>
              <w:pStyle w:val="FootnoteText"/>
              <w:jc w:val="right"/>
              <w:rPr>
                <w:color w:val="000000"/>
                <w:sz w:val="22"/>
                <w:szCs w:val="22"/>
                <w:u w:val="double"/>
              </w:rPr>
            </w:pPr>
            <w:r w:rsidRPr="00316F06">
              <w:rPr>
                <w:sz w:val="22"/>
                <w:szCs w:val="22"/>
                <w:u w:val="double"/>
              </w:rPr>
              <w:t>($23.07)</w:t>
            </w:r>
          </w:p>
        </w:tc>
        <w:tc>
          <w:tcPr>
            <w:tcW w:w="1430" w:type="dxa"/>
            <w:vAlign w:val="bottom"/>
          </w:tcPr>
          <w:p w:rsidR="00B821A5" w:rsidRPr="00316F06" w:rsidRDefault="00B821A5" w:rsidP="00DF03ED">
            <w:pPr>
              <w:pStyle w:val="FootnoteText"/>
              <w:jc w:val="right"/>
              <w:rPr>
                <w:sz w:val="22"/>
                <w:szCs w:val="22"/>
                <w:u w:val="double"/>
              </w:rPr>
            </w:pPr>
            <w:r w:rsidRPr="00316F06">
              <w:rPr>
                <w:color w:val="000000"/>
                <w:sz w:val="22"/>
                <w:szCs w:val="22"/>
                <w:u w:val="double"/>
              </w:rPr>
              <w:t xml:space="preserve">$96.43 </w:t>
            </w:r>
          </w:p>
        </w:tc>
      </w:tr>
    </w:tbl>
    <w:p w:rsidR="00B821A5" w:rsidRPr="0022052D" w:rsidRDefault="00B821A5" w:rsidP="00B821A5">
      <w:pPr>
        <w:pStyle w:val="FootnoteText"/>
      </w:pPr>
      <w:r w:rsidRPr="0022052D">
        <w:t>Source: FPL Petition, Schedule E-10.</w:t>
      </w:r>
    </w:p>
    <w:p w:rsidR="00B821A5" w:rsidRDefault="00B821A5" w:rsidP="00B821A5">
      <w:pPr>
        <w:jc w:val="both"/>
      </w:pPr>
    </w:p>
    <w:p w:rsidR="00B821A5" w:rsidRPr="00847F63" w:rsidRDefault="00B821A5" w:rsidP="00B821A5">
      <w:pPr>
        <w:jc w:val="both"/>
      </w:pPr>
      <w:r>
        <w:tab/>
        <w:t xml:space="preserve">FPL’s </w:t>
      </w:r>
      <w:r w:rsidRPr="00A31C95">
        <w:t>curren</w:t>
      </w:r>
      <w:r>
        <w:t>t total residential charge for</w:t>
      </w:r>
      <w:r w:rsidRPr="00A31C95">
        <w:t xml:space="preserve"> 1,000 kWh of usage </w:t>
      </w:r>
      <w:r>
        <w:t xml:space="preserve">for January through April 2020 is $96.04.  Effective May 2020, we approved by Order No. </w:t>
      </w:r>
      <w:bookmarkStart w:id="8" w:name="OrderNo0479"/>
      <w:r>
        <w:t>PSC-2019-0484-FOF-</w:t>
      </w:r>
      <w:bookmarkEnd w:id="8"/>
      <w:r w:rsidR="000512D7">
        <w:t>EI,</w:t>
      </w:r>
      <w:r>
        <w:t xml:space="preserve"> FPL’s 2020 SoBR</w:t>
      </w:r>
      <w:r w:rsidRPr="00847F63">
        <w:t>A</w:t>
      </w:r>
      <w:r>
        <w:t>,</w:t>
      </w:r>
      <w:r w:rsidRPr="00847F63">
        <w:t xml:space="preserve"> which would have increased the 1,000 kWh bill to $96.43.</w:t>
      </w:r>
      <w:r>
        <w:t xml:space="preserve">  </w:t>
      </w:r>
      <w:r w:rsidRPr="00847F63">
        <w:t xml:space="preserve">Applying the proposed one-time fuel credit decreases the $96.43 bill to $73.36, or a reduction of $23.07 in May (23.9 percent). </w:t>
      </w:r>
    </w:p>
    <w:p w:rsidR="00B821A5" w:rsidRPr="00847F63" w:rsidRDefault="00B821A5" w:rsidP="00B821A5">
      <w:pPr>
        <w:jc w:val="both"/>
      </w:pPr>
    </w:p>
    <w:p w:rsidR="00B821A5" w:rsidRDefault="00B821A5" w:rsidP="00B821A5">
      <w:pPr>
        <w:jc w:val="both"/>
      </w:pPr>
      <w:r>
        <w:tab/>
      </w:r>
      <w:r w:rsidRPr="00847F63">
        <w:t xml:space="preserve">FPL </w:t>
      </w:r>
      <w:r>
        <w:t xml:space="preserve">has </w:t>
      </w:r>
      <w:r w:rsidRPr="00847F63">
        <w:t xml:space="preserve">requested that it be allowed to return to the fuel adjustment factors approved by Order No. PSC-2019-0484-FOF-EI following the one-time May reduction. </w:t>
      </w:r>
      <w:r>
        <w:t xml:space="preserve"> </w:t>
      </w:r>
      <w:r w:rsidR="004C678B">
        <w:t>I</w:t>
      </w:r>
      <w:r w:rsidRPr="00847F63">
        <w:t>f approved, effective with the June 2020 billing c</w:t>
      </w:r>
      <w:r>
        <w:t xml:space="preserve">ycle, the residential charge for 1,000 kWh will return </w:t>
      </w:r>
      <w:r w:rsidRPr="008269BC">
        <w:t>to $96.43.</w:t>
      </w:r>
      <w:r>
        <w:t xml:space="preserve">  </w:t>
      </w:r>
      <w:r w:rsidRPr="009E6E8E">
        <w:t>Concerning non-residential</w:t>
      </w:r>
      <w:r>
        <w:t xml:space="preserve"> customers, </w:t>
      </w:r>
      <w:r w:rsidRPr="008269BC">
        <w:t>typical bill reductions</w:t>
      </w:r>
      <w:r w:rsidRPr="00644BEB">
        <w:t xml:space="preserve"> will range from approximately 2</w:t>
      </w:r>
      <w:r>
        <w:t xml:space="preserve">4 to </w:t>
      </w:r>
      <w:r w:rsidRPr="00644BEB">
        <w:t>3</w:t>
      </w:r>
      <w:r>
        <w:t>0 percent</w:t>
      </w:r>
      <w:r w:rsidRPr="00644BEB">
        <w:t xml:space="preserve"> for commercial customers</w:t>
      </w:r>
      <w:r>
        <w:t>,</w:t>
      </w:r>
      <w:r w:rsidRPr="00644BEB">
        <w:t xml:space="preserve"> and approximately </w:t>
      </w:r>
      <w:r>
        <w:t>53 percent</w:t>
      </w:r>
      <w:r w:rsidRPr="00644BEB">
        <w:t xml:space="preserve"> for industrial customers</w:t>
      </w:r>
      <w:r>
        <w:t>.</w:t>
      </w:r>
      <w:r>
        <w:rPr>
          <w:rStyle w:val="FootnoteReference"/>
        </w:rPr>
        <w:footnoteReference w:id="18"/>
      </w:r>
      <w:r>
        <w:t xml:space="preserve"> </w:t>
      </w:r>
    </w:p>
    <w:p w:rsidR="00B821A5" w:rsidRDefault="00B821A5" w:rsidP="00B821A5">
      <w:pPr>
        <w:jc w:val="both"/>
      </w:pPr>
    </w:p>
    <w:p w:rsidR="00B821A5" w:rsidRDefault="00B821A5" w:rsidP="00B821A5">
      <w:pPr>
        <w:jc w:val="both"/>
      </w:pPr>
      <w:r>
        <w:tab/>
        <w:t>FPL’s proposed tariff is contained in Attachment B</w:t>
      </w:r>
      <w:r w:rsidR="000512D7">
        <w:t>, attached</w:t>
      </w:r>
      <w:r>
        <w:t>.  FPL has provided notice of its request for a mid-course correction with its April customer bills, subject to our approval</w:t>
      </w:r>
      <w:r w:rsidRPr="00AC7D95">
        <w:t>.</w:t>
      </w:r>
    </w:p>
    <w:p w:rsidR="00B821A5" w:rsidRDefault="00B821A5" w:rsidP="00B821A5">
      <w:pPr>
        <w:jc w:val="both"/>
      </w:pPr>
    </w:p>
    <w:p w:rsidR="00B821A5" w:rsidRDefault="00B821A5" w:rsidP="00B821A5">
      <w:pPr>
        <w:jc w:val="both"/>
      </w:pPr>
      <w:r>
        <w:rPr>
          <w:bCs/>
        </w:rPr>
        <w:tab/>
        <w:t xml:space="preserve">For the reasons stated above, we hereby </w:t>
      </w:r>
      <w:r w:rsidRPr="0087607A">
        <w:rPr>
          <w:bCs/>
        </w:rPr>
        <w:t xml:space="preserve">approve FPL’s petition to </w:t>
      </w:r>
      <w:r>
        <w:rPr>
          <w:bCs/>
        </w:rPr>
        <w:t>reduce</w:t>
      </w:r>
      <w:r w:rsidRPr="0087607A">
        <w:rPr>
          <w:bCs/>
        </w:rPr>
        <w:t xml:space="preserve">, for one month, </w:t>
      </w:r>
      <w:r>
        <w:rPr>
          <w:bCs/>
        </w:rPr>
        <w:t xml:space="preserve">its currently-approved 2020 </w:t>
      </w:r>
      <w:r w:rsidRPr="0087607A">
        <w:rPr>
          <w:bCs/>
        </w:rPr>
        <w:t xml:space="preserve">fuel cost recovery </w:t>
      </w:r>
      <w:r>
        <w:rPr>
          <w:bCs/>
        </w:rPr>
        <w:t xml:space="preserve">factors for </w:t>
      </w:r>
      <w:r w:rsidRPr="0087607A">
        <w:rPr>
          <w:bCs/>
        </w:rPr>
        <w:t xml:space="preserve">purposes of </w:t>
      </w:r>
      <w:r>
        <w:rPr>
          <w:bCs/>
        </w:rPr>
        <w:t>flowing</w:t>
      </w:r>
      <w:r w:rsidRPr="0087607A">
        <w:rPr>
          <w:bCs/>
        </w:rPr>
        <w:t xml:space="preserve"> </w:t>
      </w:r>
      <w:r>
        <w:rPr>
          <w:bCs/>
        </w:rPr>
        <w:t xml:space="preserve">back </w:t>
      </w:r>
      <w:r w:rsidRPr="0087607A">
        <w:rPr>
          <w:bCs/>
        </w:rPr>
        <w:t xml:space="preserve">to customers a projected over-recovery of fuel charges </w:t>
      </w:r>
      <w:r>
        <w:rPr>
          <w:bCs/>
        </w:rPr>
        <w:t>during</w:t>
      </w:r>
      <w:r w:rsidRPr="0087607A">
        <w:rPr>
          <w:bCs/>
        </w:rPr>
        <w:t xml:space="preserve"> the m</w:t>
      </w:r>
      <w:r w:rsidRPr="0072091C">
        <w:rPr>
          <w:bCs/>
        </w:rPr>
        <w:t xml:space="preserve">onth of May 2020. </w:t>
      </w:r>
      <w:r>
        <w:rPr>
          <w:bCs/>
        </w:rPr>
        <w:t xml:space="preserve">  </w:t>
      </w:r>
      <w:r w:rsidRPr="0072091C">
        <w:t xml:space="preserve">The tariffs shown on Attachment B </w:t>
      </w:r>
      <w:r>
        <w:t xml:space="preserve">are hereby </w:t>
      </w:r>
      <w:r w:rsidRPr="0072091C">
        <w:t xml:space="preserve">approved effective May 1, 2020. </w:t>
      </w:r>
      <w:r>
        <w:t>Finally, Commission s</w:t>
      </w:r>
      <w:r w:rsidRPr="0072091C">
        <w:t xml:space="preserve">taff </w:t>
      </w:r>
      <w:r>
        <w:t xml:space="preserve">is hereby </w:t>
      </w:r>
      <w:r w:rsidRPr="0072091C">
        <w:t>given administrative authority to approve tariffs effective June 1, 2020</w:t>
      </w:r>
      <w:r>
        <w:t xml:space="preserve">, </w:t>
      </w:r>
      <w:r w:rsidRPr="0072091C">
        <w:t>reflect</w:t>
      </w:r>
      <w:r>
        <w:t>ing</w:t>
      </w:r>
      <w:r w:rsidRPr="0072091C">
        <w:t xml:space="preserve"> the fuel factors approved in Order No. PSC-2019-0484-FOF-EI.</w:t>
      </w:r>
    </w:p>
    <w:p w:rsidR="00B821A5" w:rsidRDefault="00B821A5" w:rsidP="00B821A5">
      <w:pPr>
        <w:jc w:val="both"/>
      </w:pPr>
    </w:p>
    <w:p w:rsidR="00B821A5" w:rsidRDefault="00B821A5" w:rsidP="00B821A5">
      <w:pPr>
        <w:jc w:val="both"/>
        <w:rPr>
          <w:u w:val="single"/>
        </w:rPr>
      </w:pPr>
      <w:r>
        <w:tab/>
      </w:r>
      <w:r>
        <w:rPr>
          <w:u w:val="single"/>
        </w:rPr>
        <w:t>Gulf Power Company</w:t>
      </w:r>
    </w:p>
    <w:p w:rsidR="00B821A5" w:rsidRDefault="00B821A5" w:rsidP="00B821A5">
      <w:pPr>
        <w:jc w:val="both"/>
        <w:rPr>
          <w:u w:val="single"/>
        </w:rPr>
      </w:pPr>
    </w:p>
    <w:p w:rsidR="00BB6E41" w:rsidRDefault="00B821A5" w:rsidP="00BB6E41">
      <w:pPr>
        <w:jc w:val="both"/>
      </w:pPr>
      <w:r>
        <w:tab/>
      </w:r>
      <w:r w:rsidR="00BB6E41" w:rsidRPr="00847F63">
        <w:t>Gulf partic</w:t>
      </w:r>
      <w:r w:rsidR="00BB6E41">
        <w:t>ipated in our most-recent fuel hearing which took</w:t>
      </w:r>
      <w:r w:rsidR="00BB6E41" w:rsidRPr="00A04FF0">
        <w:t xml:space="preserve"> place on November 5, 201</w:t>
      </w:r>
      <w:r w:rsidR="00BB6E41">
        <w:t>9.  The Fuel Order issued from the 2019</w:t>
      </w:r>
      <w:r w:rsidR="00BB6E41" w:rsidRPr="00A04FF0">
        <w:t xml:space="preserve"> hearing set</w:t>
      </w:r>
      <w:r w:rsidR="00BB6E41">
        <w:t xml:space="preserve"> forth Gulf’s fuel, purchased power, and capacity-related cost recovery factors effective with the first billing cycle of 2020.</w:t>
      </w:r>
      <w:r w:rsidR="00BB6E41">
        <w:rPr>
          <w:rStyle w:val="FootnoteReference"/>
        </w:rPr>
        <w:footnoteReference w:id="19"/>
      </w:r>
    </w:p>
    <w:p w:rsidR="00BB6E41" w:rsidRDefault="00BB6E41" w:rsidP="00BB6E41">
      <w:pPr>
        <w:jc w:val="both"/>
      </w:pPr>
    </w:p>
    <w:p w:rsidR="00BB6E41" w:rsidRPr="00BB6E41" w:rsidRDefault="00BB6E41" w:rsidP="00BB6E41">
      <w:pPr>
        <w:jc w:val="center"/>
        <w:rPr>
          <w:bCs/>
          <w:iCs/>
          <w:u w:val="single"/>
        </w:rPr>
      </w:pPr>
      <w:r w:rsidRPr="00BB6E41">
        <w:rPr>
          <w:bCs/>
          <w:iCs/>
          <w:u w:val="single"/>
        </w:rPr>
        <w:t>Mid-Course Correction</w:t>
      </w:r>
    </w:p>
    <w:p w:rsidR="00BB6E41" w:rsidRDefault="00BB6E41" w:rsidP="00BB6E41">
      <w:pPr>
        <w:jc w:val="both"/>
        <w:rPr>
          <w:bCs/>
        </w:rPr>
      </w:pPr>
    </w:p>
    <w:p w:rsidR="00BB6E41" w:rsidRDefault="00BB6E41" w:rsidP="00BB6E41">
      <w:pPr>
        <w:jc w:val="both"/>
        <w:rPr>
          <w:bCs/>
        </w:rPr>
      </w:pPr>
      <w:r>
        <w:rPr>
          <w:bCs/>
        </w:rPr>
        <w:tab/>
      </w:r>
      <w:r w:rsidRPr="00863550">
        <w:rPr>
          <w:bCs/>
        </w:rPr>
        <w:t>With respect to the components of the mid-course correction calculation, which returns the total dollar amount used</w:t>
      </w:r>
      <w:r>
        <w:rPr>
          <w:bCs/>
        </w:rPr>
        <w:t xml:space="preserve"> to calculate the proposed reduction</w:t>
      </w:r>
      <w:r w:rsidRPr="00863550">
        <w:rPr>
          <w:bCs/>
        </w:rPr>
        <w:t xml:space="preserve">, </w:t>
      </w:r>
      <w:r w:rsidRPr="00863550">
        <w:t>Gulf</w:t>
      </w:r>
      <w:r w:rsidRPr="00863550">
        <w:rPr>
          <w:bCs/>
        </w:rPr>
        <w:t xml:space="preserve"> combined its final 2019 </w:t>
      </w:r>
      <w:r w:rsidRPr="00EB02D1">
        <w:rPr>
          <w:bCs/>
        </w:rPr>
        <w:t>over-recovery of $</w:t>
      </w:r>
      <w:r w:rsidRPr="00EB02D1">
        <w:t>8,868,596</w:t>
      </w:r>
      <w:r w:rsidRPr="00EB02D1">
        <w:rPr>
          <w:bCs/>
        </w:rPr>
        <w:t xml:space="preserve"> with its estimated 2020 over-recovery of $</w:t>
      </w:r>
      <w:r w:rsidRPr="00EB02D1">
        <w:t>42,404,427</w:t>
      </w:r>
      <w:r w:rsidRPr="00EB02D1">
        <w:rPr>
          <w:bCs/>
        </w:rPr>
        <w:t>, resulting in a</w:t>
      </w:r>
      <w:r>
        <w:rPr>
          <w:bCs/>
        </w:rPr>
        <w:t xml:space="preserve"> total estimated 2020</w:t>
      </w:r>
      <w:r w:rsidRPr="00EB02D1">
        <w:rPr>
          <w:bCs/>
        </w:rPr>
        <w:t xml:space="preserve"> over-recovery of $51,273,023, or the total</w:t>
      </w:r>
      <w:r>
        <w:rPr>
          <w:bCs/>
        </w:rPr>
        <w:t xml:space="preserve"> mid-course correction</w:t>
      </w:r>
      <w:r w:rsidRPr="00EB02D1">
        <w:rPr>
          <w:bCs/>
        </w:rPr>
        <w:t xml:space="preserve"> amount </w:t>
      </w:r>
      <w:r>
        <w:rPr>
          <w:bCs/>
        </w:rPr>
        <w:t>proposed to be flowed</w:t>
      </w:r>
      <w:r w:rsidRPr="00EB02D1">
        <w:rPr>
          <w:bCs/>
        </w:rPr>
        <w:t xml:space="preserve"> to customers.</w:t>
      </w:r>
      <w:r>
        <w:rPr>
          <w:bCs/>
        </w:rPr>
        <w:t xml:space="preserve">  Gulf’s fuel </w:t>
      </w:r>
      <w:r w:rsidRPr="0006088B">
        <w:rPr>
          <w:bCs/>
        </w:rPr>
        <w:t>mid-course correction position following the calculation methodology in Rule 25-6.0424, F.A.C.</w:t>
      </w:r>
      <w:r>
        <w:rPr>
          <w:bCs/>
        </w:rPr>
        <w:t>,</w:t>
      </w:r>
      <w:r w:rsidRPr="0006088B">
        <w:rPr>
          <w:bCs/>
        </w:rPr>
        <w:t xml:space="preserve"> is </w:t>
      </w:r>
      <w:r>
        <w:rPr>
          <w:bCs/>
        </w:rPr>
        <w:t>14.7</w:t>
      </w:r>
      <w:r w:rsidRPr="0006088B">
        <w:rPr>
          <w:bCs/>
        </w:rPr>
        <w:t xml:space="preserve"> percent. </w:t>
      </w:r>
    </w:p>
    <w:p w:rsidR="00BB6E41" w:rsidRDefault="00BB6E41" w:rsidP="00BB6E41">
      <w:pPr>
        <w:jc w:val="both"/>
        <w:rPr>
          <w:bCs/>
        </w:rPr>
      </w:pPr>
      <w:bookmarkStart w:id="9" w:name="_Hlk37577360"/>
    </w:p>
    <w:p w:rsidR="00BB6E41" w:rsidRPr="00847F63" w:rsidRDefault="00BB6E41" w:rsidP="00BB6E41">
      <w:pPr>
        <w:jc w:val="both"/>
      </w:pPr>
      <w:r>
        <w:rPr>
          <w:bCs/>
        </w:rPr>
        <w:tab/>
      </w:r>
      <w:r w:rsidRPr="008F0944">
        <w:rPr>
          <w:bCs/>
        </w:rPr>
        <w:t xml:space="preserve">The projected 2020 over-recovery of fuel charges </w:t>
      </w:r>
      <w:r>
        <w:rPr>
          <w:bCs/>
        </w:rPr>
        <w:t>i</w:t>
      </w:r>
      <w:r w:rsidRPr="008F0944">
        <w:rPr>
          <w:bCs/>
        </w:rPr>
        <w:t xml:space="preserve">s specifically associated with </w:t>
      </w:r>
      <w:r>
        <w:rPr>
          <w:bCs/>
        </w:rPr>
        <w:t xml:space="preserve">a decline in </w:t>
      </w:r>
      <w:r w:rsidRPr="008F0944">
        <w:rPr>
          <w:bCs/>
        </w:rPr>
        <w:t>projected fuel costs</w:t>
      </w:r>
      <w:r>
        <w:rPr>
          <w:bCs/>
        </w:rPr>
        <w:t xml:space="preserve">. </w:t>
      </w:r>
      <w:bookmarkEnd w:id="9"/>
      <w:r>
        <w:rPr>
          <w:bCs/>
        </w:rPr>
        <w:t xml:space="preserve"> </w:t>
      </w:r>
      <w:r>
        <w:t xml:space="preserve">Gulf’s original projection of 2020 natural gas costs was formulated near the end of July 2019.  At that time, Gulf projected the average cost of natural gas to be $3.39 per </w:t>
      </w:r>
      <w:r w:rsidRPr="004336D0">
        <w:t xml:space="preserve">MMBtu. </w:t>
      </w:r>
      <w:r>
        <w:t xml:space="preserve">Gulf now projects, based on March 2020 data, the average 2020 cost of natural gas will </w:t>
      </w:r>
      <w:r w:rsidRPr="00847F63">
        <w:t xml:space="preserve">be $2.57 per MMBtu (reduction of 24.2 percent). </w:t>
      </w:r>
    </w:p>
    <w:p w:rsidR="00BB6E41" w:rsidRPr="00847F63" w:rsidRDefault="00BB6E41" w:rsidP="00BB6E41">
      <w:pPr>
        <w:jc w:val="both"/>
      </w:pPr>
    </w:p>
    <w:p w:rsidR="00BB6E41" w:rsidRDefault="00BB6E41" w:rsidP="00BB6E41">
      <w:pPr>
        <w:jc w:val="both"/>
      </w:pPr>
      <w:r>
        <w:rPr>
          <w:bCs/>
        </w:rPr>
        <w:tab/>
      </w:r>
      <w:r w:rsidRPr="00847F63">
        <w:rPr>
          <w:bCs/>
        </w:rPr>
        <w:t xml:space="preserve">Gulf </w:t>
      </w:r>
      <w:r>
        <w:rPr>
          <w:bCs/>
        </w:rPr>
        <w:t xml:space="preserve">has </w:t>
      </w:r>
      <w:r w:rsidRPr="00847F63">
        <w:rPr>
          <w:bCs/>
        </w:rPr>
        <w:t xml:space="preserve">proposed to flow its projected 2020 over-recovery of $51.3 million to customers through a bill credit in the month of May 2020. </w:t>
      </w:r>
      <w:r>
        <w:rPr>
          <w:bCs/>
        </w:rPr>
        <w:t xml:space="preserve"> </w:t>
      </w:r>
      <w:r w:rsidRPr="00847F63">
        <w:t>As part of the mid-course co</w:t>
      </w:r>
      <w:r w:rsidRPr="00295A69">
        <w:t xml:space="preserve">rrection filing, Gulf updated its projections for purchased power and economy purchases due to the updated fuel pricing and input assumptions. </w:t>
      </w:r>
      <w:r>
        <w:t xml:space="preserve"> </w:t>
      </w:r>
      <w:r w:rsidRPr="00295A69">
        <w:t>Regarding capacity cost recovery, Gulf did not propose any change</w:t>
      </w:r>
      <w:r>
        <w:t>s</w:t>
      </w:r>
      <w:r w:rsidRPr="00295A69">
        <w:t xml:space="preserve"> to its currently-approved </w:t>
      </w:r>
      <w:r>
        <w:t>factors</w:t>
      </w:r>
      <w:r w:rsidRPr="00295A69">
        <w:t>.</w:t>
      </w:r>
    </w:p>
    <w:p w:rsidR="00BB6E41" w:rsidRPr="0064413A" w:rsidRDefault="00BB6E41" w:rsidP="00BB6E41">
      <w:pPr>
        <w:jc w:val="both"/>
        <w:rPr>
          <w:bCs/>
          <w:iCs/>
        </w:rPr>
      </w:pPr>
    </w:p>
    <w:p w:rsidR="00BB6E41" w:rsidRPr="00BB6E41" w:rsidRDefault="00BB6E41" w:rsidP="00BB6E41">
      <w:pPr>
        <w:jc w:val="center"/>
        <w:rPr>
          <w:bCs/>
          <w:iCs/>
          <w:u w:val="single"/>
        </w:rPr>
      </w:pPr>
      <w:r w:rsidRPr="00BB6E41">
        <w:rPr>
          <w:bCs/>
          <w:iCs/>
          <w:u w:val="single"/>
        </w:rPr>
        <w:t>Bill Impacts</w:t>
      </w:r>
    </w:p>
    <w:p w:rsidR="00BB6E41" w:rsidRDefault="00BB6E41" w:rsidP="00BB6E41">
      <w:pPr>
        <w:jc w:val="both"/>
      </w:pPr>
    </w:p>
    <w:p w:rsidR="00BB6E41" w:rsidRDefault="00BB6E41" w:rsidP="00BB6E41">
      <w:pPr>
        <w:jc w:val="both"/>
      </w:pPr>
      <w:r>
        <w:tab/>
        <w:t>Table 3 below</w:t>
      </w:r>
      <w:r w:rsidRPr="00415E47">
        <w:t xml:space="preserve"> </w:t>
      </w:r>
      <w:r>
        <w:t>displays</w:t>
      </w:r>
      <w:r w:rsidRPr="00415E47">
        <w:t xml:space="preserve"> the </w:t>
      </w:r>
      <w:r>
        <w:t>bill</w:t>
      </w:r>
      <w:r w:rsidRPr="00415E47">
        <w:t xml:space="preserve"> impact</w:t>
      </w:r>
      <w:r>
        <w:t xml:space="preserve"> </w:t>
      </w:r>
      <w:r w:rsidRPr="00415E47">
        <w:t xml:space="preserve">to a residential customer using 1,000 kWh </w:t>
      </w:r>
      <w:r>
        <w:t xml:space="preserve">of electricity </w:t>
      </w:r>
      <w:r w:rsidRPr="00415E47">
        <w:t xml:space="preserve">a month and </w:t>
      </w:r>
      <w:r>
        <w:t xml:space="preserve">further </w:t>
      </w:r>
      <w:r w:rsidRPr="00415E47">
        <w:t xml:space="preserve">discusses </w:t>
      </w:r>
      <w:r>
        <w:t xml:space="preserve">the effects of Gulf’s </w:t>
      </w:r>
      <w:r w:rsidRPr="00415E47">
        <w:t>request.</w:t>
      </w:r>
    </w:p>
    <w:p w:rsidR="00BB6E41" w:rsidRDefault="00BB6E41" w:rsidP="00BB6E41">
      <w:pPr>
        <w:jc w:val="both"/>
      </w:pPr>
    </w:p>
    <w:tbl>
      <w:tblPr>
        <w:tblStyle w:val="TableGrid"/>
        <w:tblW w:w="9370" w:type="dxa"/>
        <w:tblInd w:w="-15" w:type="dxa"/>
        <w:tblLook w:val="04A0" w:firstRow="1" w:lastRow="0" w:firstColumn="1" w:lastColumn="0" w:noHBand="0" w:noVBand="1"/>
      </w:tblPr>
      <w:tblGrid>
        <w:gridCol w:w="2800"/>
        <w:gridCol w:w="1620"/>
        <w:gridCol w:w="1620"/>
        <w:gridCol w:w="1710"/>
        <w:gridCol w:w="1620"/>
      </w:tblGrid>
      <w:tr w:rsidR="00BB6E41" w:rsidRPr="006912C5" w:rsidTr="00DF03ED">
        <w:trPr>
          <w:tblHeader/>
        </w:trPr>
        <w:tc>
          <w:tcPr>
            <w:tcW w:w="9370" w:type="dxa"/>
            <w:gridSpan w:val="5"/>
            <w:tcBorders>
              <w:top w:val="nil"/>
              <w:left w:val="nil"/>
              <w:bottom w:val="nil"/>
              <w:right w:val="nil"/>
            </w:tcBorders>
            <w:shd w:val="clear" w:color="auto" w:fill="auto"/>
            <w:vAlign w:val="bottom"/>
          </w:tcPr>
          <w:p w:rsidR="00BB6E41" w:rsidRPr="000512D7" w:rsidRDefault="00BB6E41" w:rsidP="00BB6E41">
            <w:pPr>
              <w:pStyle w:val="FootnoteText"/>
              <w:jc w:val="center"/>
              <w:rPr>
                <w:b/>
                <w:bCs/>
                <w:color w:val="000000"/>
                <w:sz w:val="24"/>
                <w:szCs w:val="24"/>
              </w:rPr>
            </w:pPr>
            <w:r w:rsidRPr="000512D7">
              <w:br w:type="page"/>
            </w:r>
            <w:r w:rsidRPr="000512D7">
              <w:rPr>
                <w:b/>
                <w:bCs/>
                <w:color w:val="000000"/>
                <w:sz w:val="24"/>
                <w:szCs w:val="24"/>
              </w:rPr>
              <w:t>Table 3</w:t>
            </w:r>
          </w:p>
        </w:tc>
      </w:tr>
      <w:tr w:rsidR="00BB6E41" w:rsidRPr="006912C5" w:rsidTr="00DF03ED">
        <w:trPr>
          <w:tblHeader/>
        </w:trPr>
        <w:tc>
          <w:tcPr>
            <w:tcW w:w="9370" w:type="dxa"/>
            <w:gridSpan w:val="5"/>
            <w:tcBorders>
              <w:top w:val="nil"/>
              <w:left w:val="nil"/>
              <w:right w:val="nil"/>
            </w:tcBorders>
            <w:shd w:val="clear" w:color="auto" w:fill="auto"/>
            <w:vAlign w:val="bottom"/>
          </w:tcPr>
          <w:p w:rsidR="00BB6E41" w:rsidRPr="000512D7" w:rsidRDefault="00BB6E41" w:rsidP="00DF03ED">
            <w:pPr>
              <w:pStyle w:val="FootnoteText"/>
              <w:jc w:val="center"/>
              <w:rPr>
                <w:b/>
                <w:bCs/>
                <w:color w:val="000000"/>
                <w:sz w:val="24"/>
                <w:szCs w:val="24"/>
              </w:rPr>
            </w:pPr>
            <w:r w:rsidRPr="000512D7">
              <w:rPr>
                <w:b/>
                <w:bCs/>
                <w:color w:val="000000"/>
                <w:sz w:val="24"/>
                <w:szCs w:val="24"/>
              </w:rPr>
              <w:t>Monthly Residential Billing Detail at 1,000 kWh</w:t>
            </w:r>
          </w:p>
        </w:tc>
      </w:tr>
      <w:tr w:rsidR="00BB6E41" w:rsidRPr="006912C5" w:rsidTr="00DF03ED">
        <w:trPr>
          <w:tblHeader/>
        </w:trPr>
        <w:tc>
          <w:tcPr>
            <w:tcW w:w="2800" w:type="dxa"/>
            <w:shd w:val="clear" w:color="auto" w:fill="auto"/>
            <w:vAlign w:val="bottom"/>
          </w:tcPr>
          <w:p w:rsidR="00BB6E41" w:rsidRPr="0006088B" w:rsidRDefault="00BB6E41" w:rsidP="00DF03ED">
            <w:pPr>
              <w:pStyle w:val="FootnoteText"/>
              <w:jc w:val="center"/>
              <w:rPr>
                <w:b/>
                <w:bCs/>
                <w:sz w:val="22"/>
                <w:szCs w:val="22"/>
              </w:rPr>
            </w:pPr>
            <w:r w:rsidRPr="0006088B">
              <w:rPr>
                <w:b/>
                <w:bCs/>
                <w:color w:val="000000"/>
                <w:sz w:val="22"/>
                <w:szCs w:val="22"/>
              </w:rPr>
              <w:t>Invoice Component</w:t>
            </w:r>
          </w:p>
        </w:tc>
        <w:tc>
          <w:tcPr>
            <w:tcW w:w="1620" w:type="dxa"/>
            <w:shd w:val="clear" w:color="auto" w:fill="auto"/>
            <w:vAlign w:val="bottom"/>
          </w:tcPr>
          <w:p w:rsidR="00BB6E41" w:rsidRPr="0006088B" w:rsidRDefault="00BB6E41" w:rsidP="00DF03ED">
            <w:pPr>
              <w:pStyle w:val="FootnoteText"/>
              <w:jc w:val="center"/>
              <w:rPr>
                <w:b/>
                <w:bCs/>
                <w:sz w:val="22"/>
                <w:szCs w:val="22"/>
              </w:rPr>
            </w:pPr>
            <w:r w:rsidRPr="0006088B">
              <w:rPr>
                <w:b/>
                <w:bCs/>
                <w:color w:val="000000"/>
                <w:sz w:val="22"/>
                <w:szCs w:val="22"/>
              </w:rPr>
              <w:t>Currently-Approved 2020 Charges</w:t>
            </w:r>
            <w:r w:rsidRPr="0006088B">
              <w:rPr>
                <w:rStyle w:val="FootnoteReference"/>
                <w:b/>
                <w:bCs/>
                <w:color w:val="000000"/>
                <w:sz w:val="22"/>
                <w:szCs w:val="22"/>
              </w:rPr>
              <w:footnoteReference w:id="20"/>
            </w:r>
          </w:p>
        </w:tc>
        <w:tc>
          <w:tcPr>
            <w:tcW w:w="1620" w:type="dxa"/>
            <w:shd w:val="clear" w:color="auto" w:fill="auto"/>
            <w:vAlign w:val="bottom"/>
          </w:tcPr>
          <w:p w:rsidR="00BB6E41" w:rsidRPr="0006088B" w:rsidRDefault="00BB6E41" w:rsidP="00DF03ED">
            <w:pPr>
              <w:pStyle w:val="FootnoteText"/>
              <w:jc w:val="center"/>
              <w:rPr>
                <w:b/>
                <w:bCs/>
                <w:sz w:val="22"/>
                <w:szCs w:val="22"/>
              </w:rPr>
            </w:pPr>
            <w:r w:rsidRPr="0006088B">
              <w:rPr>
                <w:b/>
                <w:bCs/>
                <w:color w:val="000000"/>
                <w:sz w:val="22"/>
                <w:szCs w:val="22"/>
              </w:rPr>
              <w:t>Proposed Charges for May 2020</w:t>
            </w:r>
          </w:p>
        </w:tc>
        <w:tc>
          <w:tcPr>
            <w:tcW w:w="1710" w:type="dxa"/>
            <w:shd w:val="clear" w:color="auto" w:fill="auto"/>
            <w:vAlign w:val="bottom"/>
          </w:tcPr>
          <w:p w:rsidR="00BB6E41" w:rsidRPr="0006088B" w:rsidRDefault="00BB6E41" w:rsidP="00DF03ED">
            <w:pPr>
              <w:pStyle w:val="FootnoteText"/>
              <w:jc w:val="center"/>
              <w:rPr>
                <w:b/>
                <w:bCs/>
                <w:sz w:val="22"/>
                <w:szCs w:val="22"/>
              </w:rPr>
            </w:pPr>
            <w:r>
              <w:rPr>
                <w:b/>
                <w:bCs/>
                <w:color w:val="000000"/>
                <w:sz w:val="22"/>
                <w:szCs w:val="22"/>
              </w:rPr>
              <w:t>Approved to P</w:t>
            </w:r>
            <w:r w:rsidRPr="0006088B">
              <w:rPr>
                <w:b/>
                <w:bCs/>
                <w:color w:val="000000"/>
                <w:sz w:val="22"/>
                <w:szCs w:val="22"/>
              </w:rPr>
              <w:t>roposed May 2020 Difference</w:t>
            </w:r>
          </w:p>
        </w:tc>
        <w:tc>
          <w:tcPr>
            <w:tcW w:w="1620" w:type="dxa"/>
            <w:shd w:val="clear" w:color="auto" w:fill="auto"/>
            <w:vAlign w:val="bottom"/>
          </w:tcPr>
          <w:p w:rsidR="00BB6E41" w:rsidRPr="0006088B" w:rsidRDefault="00BB6E41" w:rsidP="00DF03ED">
            <w:pPr>
              <w:pStyle w:val="FootnoteText"/>
              <w:jc w:val="center"/>
              <w:rPr>
                <w:b/>
                <w:bCs/>
                <w:sz w:val="22"/>
                <w:szCs w:val="22"/>
              </w:rPr>
            </w:pPr>
            <w:r w:rsidRPr="0006088B">
              <w:rPr>
                <w:b/>
                <w:bCs/>
                <w:color w:val="000000"/>
                <w:sz w:val="22"/>
                <w:szCs w:val="22"/>
              </w:rPr>
              <w:t>Approved Charges June-Dec. 2020</w:t>
            </w:r>
          </w:p>
        </w:tc>
      </w:tr>
      <w:tr w:rsidR="00BB6E41" w:rsidRPr="006912C5" w:rsidTr="00DF03ED">
        <w:tc>
          <w:tcPr>
            <w:tcW w:w="2800" w:type="dxa"/>
            <w:shd w:val="clear" w:color="auto" w:fill="auto"/>
            <w:vAlign w:val="bottom"/>
          </w:tcPr>
          <w:p w:rsidR="00BB6E41" w:rsidRPr="0006088B" w:rsidRDefault="00BB6E41" w:rsidP="00DF03ED">
            <w:pPr>
              <w:pStyle w:val="FootnoteText"/>
              <w:rPr>
                <w:sz w:val="22"/>
                <w:szCs w:val="22"/>
              </w:rPr>
            </w:pPr>
            <w:r w:rsidRPr="0006088B">
              <w:rPr>
                <w:color w:val="000000"/>
                <w:sz w:val="22"/>
                <w:szCs w:val="22"/>
              </w:rPr>
              <w:t>Base Charge</w:t>
            </w:r>
          </w:p>
        </w:tc>
        <w:tc>
          <w:tcPr>
            <w:tcW w:w="1620" w:type="dxa"/>
            <w:shd w:val="clear" w:color="auto" w:fill="auto"/>
            <w:vAlign w:val="bottom"/>
          </w:tcPr>
          <w:p w:rsidR="00BB6E41" w:rsidRPr="0006088B" w:rsidRDefault="00BB6E41" w:rsidP="00DF03ED">
            <w:pPr>
              <w:pStyle w:val="FootnoteText"/>
              <w:jc w:val="right"/>
              <w:rPr>
                <w:sz w:val="22"/>
                <w:szCs w:val="22"/>
              </w:rPr>
            </w:pPr>
            <w:r w:rsidRPr="0006088B">
              <w:rPr>
                <w:sz w:val="22"/>
                <w:szCs w:val="22"/>
              </w:rPr>
              <w:t>$68.06</w:t>
            </w:r>
          </w:p>
        </w:tc>
        <w:tc>
          <w:tcPr>
            <w:tcW w:w="1620" w:type="dxa"/>
            <w:shd w:val="clear" w:color="auto" w:fill="auto"/>
            <w:vAlign w:val="bottom"/>
          </w:tcPr>
          <w:p w:rsidR="00BB6E41" w:rsidRPr="0006088B" w:rsidRDefault="00BB6E41" w:rsidP="00DF03ED">
            <w:pPr>
              <w:pStyle w:val="FootnoteText"/>
              <w:jc w:val="right"/>
              <w:rPr>
                <w:sz w:val="22"/>
                <w:szCs w:val="22"/>
              </w:rPr>
            </w:pPr>
            <w:r w:rsidRPr="0006088B">
              <w:rPr>
                <w:sz w:val="22"/>
                <w:szCs w:val="22"/>
              </w:rPr>
              <w:t>$68.06</w:t>
            </w:r>
          </w:p>
        </w:tc>
        <w:tc>
          <w:tcPr>
            <w:tcW w:w="1710" w:type="dxa"/>
            <w:shd w:val="clear" w:color="auto" w:fill="auto"/>
            <w:vAlign w:val="bottom"/>
          </w:tcPr>
          <w:p w:rsidR="00BB6E41" w:rsidRPr="0006088B" w:rsidRDefault="00BB6E41" w:rsidP="00DF03ED">
            <w:pPr>
              <w:pStyle w:val="FootnoteText"/>
              <w:jc w:val="right"/>
              <w:rPr>
                <w:sz w:val="22"/>
                <w:szCs w:val="22"/>
              </w:rPr>
            </w:pPr>
            <w:r>
              <w:rPr>
                <w:sz w:val="22"/>
                <w:szCs w:val="22"/>
              </w:rPr>
              <w:t>$0.00</w:t>
            </w:r>
          </w:p>
        </w:tc>
        <w:tc>
          <w:tcPr>
            <w:tcW w:w="1620" w:type="dxa"/>
            <w:shd w:val="clear" w:color="auto" w:fill="auto"/>
            <w:vAlign w:val="bottom"/>
          </w:tcPr>
          <w:p w:rsidR="00BB6E41" w:rsidRPr="0006088B" w:rsidRDefault="00BB6E41" w:rsidP="00DF03ED">
            <w:pPr>
              <w:pStyle w:val="FootnoteText"/>
              <w:jc w:val="right"/>
              <w:rPr>
                <w:sz w:val="22"/>
                <w:szCs w:val="22"/>
              </w:rPr>
            </w:pPr>
            <w:r w:rsidRPr="0006088B">
              <w:rPr>
                <w:sz w:val="22"/>
                <w:szCs w:val="22"/>
              </w:rPr>
              <w:t>$68.06</w:t>
            </w:r>
          </w:p>
        </w:tc>
      </w:tr>
      <w:tr w:rsidR="00BB6E41" w:rsidRPr="006912C5" w:rsidTr="00DF03ED">
        <w:tc>
          <w:tcPr>
            <w:tcW w:w="2800" w:type="dxa"/>
            <w:shd w:val="clear" w:color="auto" w:fill="auto"/>
            <w:vAlign w:val="bottom"/>
          </w:tcPr>
          <w:p w:rsidR="00BB6E41" w:rsidRPr="00847F63" w:rsidRDefault="00BB6E41" w:rsidP="00DF03ED">
            <w:pPr>
              <w:pStyle w:val="FootnoteText"/>
              <w:rPr>
                <w:sz w:val="22"/>
                <w:szCs w:val="22"/>
              </w:rPr>
            </w:pPr>
            <w:r w:rsidRPr="00847F63">
              <w:rPr>
                <w:color w:val="000000"/>
                <w:sz w:val="22"/>
                <w:szCs w:val="22"/>
              </w:rPr>
              <w:t>Fuel Charge</w:t>
            </w:r>
          </w:p>
        </w:tc>
        <w:tc>
          <w:tcPr>
            <w:tcW w:w="1620" w:type="dxa"/>
            <w:shd w:val="clear" w:color="auto" w:fill="auto"/>
            <w:vAlign w:val="bottom"/>
          </w:tcPr>
          <w:p w:rsidR="00BB6E41" w:rsidRPr="00847F63" w:rsidRDefault="00BB6E41" w:rsidP="00DF03ED">
            <w:pPr>
              <w:pStyle w:val="FootnoteText"/>
              <w:jc w:val="right"/>
              <w:rPr>
                <w:sz w:val="22"/>
                <w:szCs w:val="22"/>
              </w:rPr>
            </w:pPr>
            <w:r w:rsidRPr="00847F63">
              <w:rPr>
                <w:sz w:val="22"/>
                <w:szCs w:val="22"/>
              </w:rPr>
              <w:t>32.62</w:t>
            </w:r>
          </w:p>
        </w:tc>
        <w:tc>
          <w:tcPr>
            <w:tcW w:w="1620" w:type="dxa"/>
            <w:shd w:val="clear" w:color="auto" w:fill="auto"/>
            <w:vAlign w:val="bottom"/>
          </w:tcPr>
          <w:p w:rsidR="00BB6E41" w:rsidRPr="00847F63" w:rsidRDefault="00BB6E41" w:rsidP="00DF03ED">
            <w:pPr>
              <w:pStyle w:val="FootnoteText"/>
              <w:jc w:val="right"/>
              <w:rPr>
                <w:sz w:val="22"/>
                <w:szCs w:val="22"/>
              </w:rPr>
            </w:pPr>
            <w:r w:rsidRPr="00847F63">
              <w:rPr>
                <w:sz w:val="22"/>
                <w:szCs w:val="22"/>
              </w:rPr>
              <w:t>32.62</w:t>
            </w:r>
          </w:p>
        </w:tc>
        <w:tc>
          <w:tcPr>
            <w:tcW w:w="1710" w:type="dxa"/>
            <w:shd w:val="clear" w:color="auto" w:fill="auto"/>
            <w:vAlign w:val="bottom"/>
          </w:tcPr>
          <w:p w:rsidR="00BB6E41" w:rsidRPr="00847F63" w:rsidRDefault="00BB6E41" w:rsidP="00DF03ED">
            <w:pPr>
              <w:pStyle w:val="FootnoteText"/>
              <w:jc w:val="right"/>
              <w:rPr>
                <w:sz w:val="22"/>
                <w:szCs w:val="22"/>
              </w:rPr>
            </w:pPr>
            <w:r w:rsidRPr="00847F63">
              <w:rPr>
                <w:sz w:val="22"/>
                <w:szCs w:val="22"/>
              </w:rPr>
              <w:t>0.00</w:t>
            </w:r>
          </w:p>
        </w:tc>
        <w:tc>
          <w:tcPr>
            <w:tcW w:w="1620" w:type="dxa"/>
            <w:shd w:val="clear" w:color="auto" w:fill="auto"/>
            <w:vAlign w:val="bottom"/>
          </w:tcPr>
          <w:p w:rsidR="00BB6E41" w:rsidRPr="00847F63" w:rsidRDefault="00BB6E41" w:rsidP="00DF03ED">
            <w:pPr>
              <w:pStyle w:val="FootnoteText"/>
              <w:jc w:val="right"/>
              <w:rPr>
                <w:sz w:val="22"/>
                <w:szCs w:val="22"/>
              </w:rPr>
            </w:pPr>
            <w:r w:rsidRPr="00847F63">
              <w:rPr>
                <w:sz w:val="22"/>
                <w:szCs w:val="22"/>
              </w:rPr>
              <w:t>32.62</w:t>
            </w:r>
          </w:p>
        </w:tc>
      </w:tr>
      <w:tr w:rsidR="00BB6E41" w:rsidRPr="006912C5" w:rsidTr="00DF03ED">
        <w:tc>
          <w:tcPr>
            <w:tcW w:w="2800" w:type="dxa"/>
            <w:shd w:val="clear" w:color="auto" w:fill="auto"/>
            <w:vAlign w:val="bottom"/>
          </w:tcPr>
          <w:p w:rsidR="00BB6E41" w:rsidRPr="00847F63" w:rsidRDefault="00BB6E41" w:rsidP="00DF03ED">
            <w:pPr>
              <w:pStyle w:val="FootnoteText"/>
              <w:rPr>
                <w:color w:val="000000"/>
                <w:sz w:val="22"/>
                <w:szCs w:val="22"/>
              </w:rPr>
            </w:pPr>
            <w:r w:rsidRPr="00847F63">
              <w:rPr>
                <w:color w:val="000000"/>
                <w:sz w:val="22"/>
                <w:szCs w:val="22"/>
              </w:rPr>
              <w:t>Fuel Credit</w:t>
            </w:r>
          </w:p>
        </w:tc>
        <w:tc>
          <w:tcPr>
            <w:tcW w:w="1620" w:type="dxa"/>
            <w:shd w:val="clear" w:color="auto" w:fill="auto"/>
            <w:vAlign w:val="bottom"/>
          </w:tcPr>
          <w:p w:rsidR="00BB6E41" w:rsidRPr="00847F63" w:rsidRDefault="00BB6E41" w:rsidP="00DF03ED">
            <w:pPr>
              <w:pStyle w:val="FootnoteText"/>
              <w:jc w:val="right"/>
              <w:rPr>
                <w:sz w:val="22"/>
                <w:szCs w:val="22"/>
              </w:rPr>
            </w:pPr>
            <w:r w:rsidRPr="00847F63">
              <w:rPr>
                <w:sz w:val="22"/>
                <w:szCs w:val="22"/>
              </w:rPr>
              <w:t>0.00</w:t>
            </w:r>
          </w:p>
        </w:tc>
        <w:tc>
          <w:tcPr>
            <w:tcW w:w="1620" w:type="dxa"/>
            <w:shd w:val="clear" w:color="auto" w:fill="auto"/>
            <w:vAlign w:val="bottom"/>
          </w:tcPr>
          <w:p w:rsidR="00BB6E41" w:rsidRPr="00847F63" w:rsidRDefault="00BB6E41" w:rsidP="00DF03ED">
            <w:pPr>
              <w:pStyle w:val="FootnoteText"/>
              <w:jc w:val="right"/>
              <w:rPr>
                <w:sz w:val="22"/>
                <w:szCs w:val="22"/>
              </w:rPr>
            </w:pPr>
            <w:r w:rsidRPr="00847F63">
              <w:rPr>
                <w:sz w:val="22"/>
                <w:szCs w:val="22"/>
              </w:rPr>
              <w:t>(54.98)</w:t>
            </w:r>
          </w:p>
        </w:tc>
        <w:tc>
          <w:tcPr>
            <w:tcW w:w="1710" w:type="dxa"/>
            <w:shd w:val="clear" w:color="auto" w:fill="auto"/>
            <w:vAlign w:val="bottom"/>
          </w:tcPr>
          <w:p w:rsidR="00BB6E41" w:rsidRPr="00847F63" w:rsidRDefault="00BB6E41" w:rsidP="00DF03ED">
            <w:pPr>
              <w:pStyle w:val="FootnoteText"/>
              <w:jc w:val="right"/>
              <w:rPr>
                <w:sz w:val="22"/>
                <w:szCs w:val="22"/>
              </w:rPr>
            </w:pPr>
            <w:r w:rsidRPr="00847F63">
              <w:rPr>
                <w:sz w:val="22"/>
                <w:szCs w:val="22"/>
              </w:rPr>
              <w:t>(54.98)</w:t>
            </w:r>
          </w:p>
        </w:tc>
        <w:tc>
          <w:tcPr>
            <w:tcW w:w="1620" w:type="dxa"/>
            <w:shd w:val="clear" w:color="auto" w:fill="auto"/>
            <w:vAlign w:val="bottom"/>
          </w:tcPr>
          <w:p w:rsidR="00BB6E41" w:rsidRPr="00847F63" w:rsidRDefault="00BB6E41" w:rsidP="00DF03ED">
            <w:pPr>
              <w:pStyle w:val="FootnoteText"/>
              <w:jc w:val="right"/>
              <w:rPr>
                <w:sz w:val="22"/>
                <w:szCs w:val="22"/>
              </w:rPr>
            </w:pPr>
            <w:r w:rsidRPr="00847F63">
              <w:rPr>
                <w:sz w:val="22"/>
                <w:szCs w:val="22"/>
              </w:rPr>
              <w:t>0.00</w:t>
            </w:r>
          </w:p>
        </w:tc>
      </w:tr>
      <w:tr w:rsidR="00BB6E41" w:rsidRPr="006912C5" w:rsidTr="00DF03ED">
        <w:tc>
          <w:tcPr>
            <w:tcW w:w="2800" w:type="dxa"/>
            <w:shd w:val="clear" w:color="auto" w:fill="auto"/>
            <w:vAlign w:val="bottom"/>
          </w:tcPr>
          <w:p w:rsidR="00BB6E41" w:rsidRPr="0006088B" w:rsidRDefault="00BB6E41" w:rsidP="00DF03ED">
            <w:pPr>
              <w:pStyle w:val="FootnoteText"/>
              <w:rPr>
                <w:sz w:val="22"/>
                <w:szCs w:val="22"/>
              </w:rPr>
            </w:pPr>
            <w:r w:rsidRPr="0006088B">
              <w:rPr>
                <w:color w:val="000000"/>
                <w:sz w:val="22"/>
                <w:szCs w:val="22"/>
              </w:rPr>
              <w:t>Conservation Charge</w:t>
            </w:r>
          </w:p>
        </w:tc>
        <w:tc>
          <w:tcPr>
            <w:tcW w:w="1620" w:type="dxa"/>
            <w:shd w:val="clear" w:color="auto" w:fill="auto"/>
            <w:vAlign w:val="bottom"/>
          </w:tcPr>
          <w:p w:rsidR="00BB6E41" w:rsidRPr="0006088B" w:rsidRDefault="00BB6E41" w:rsidP="00DF03ED">
            <w:pPr>
              <w:pStyle w:val="FootnoteText"/>
              <w:jc w:val="right"/>
              <w:rPr>
                <w:sz w:val="22"/>
                <w:szCs w:val="22"/>
              </w:rPr>
            </w:pPr>
            <w:r w:rsidRPr="0006088B">
              <w:rPr>
                <w:sz w:val="22"/>
                <w:szCs w:val="22"/>
              </w:rPr>
              <w:t>0.60</w:t>
            </w:r>
          </w:p>
        </w:tc>
        <w:tc>
          <w:tcPr>
            <w:tcW w:w="1620" w:type="dxa"/>
            <w:shd w:val="clear" w:color="auto" w:fill="auto"/>
            <w:vAlign w:val="bottom"/>
          </w:tcPr>
          <w:p w:rsidR="00BB6E41" w:rsidRPr="0006088B" w:rsidRDefault="00BB6E41" w:rsidP="00DF03ED">
            <w:pPr>
              <w:pStyle w:val="FootnoteText"/>
              <w:jc w:val="right"/>
              <w:rPr>
                <w:sz w:val="22"/>
                <w:szCs w:val="22"/>
              </w:rPr>
            </w:pPr>
            <w:r w:rsidRPr="0006088B">
              <w:rPr>
                <w:sz w:val="22"/>
                <w:szCs w:val="22"/>
              </w:rPr>
              <w:t>0.60</w:t>
            </w:r>
          </w:p>
        </w:tc>
        <w:tc>
          <w:tcPr>
            <w:tcW w:w="1710" w:type="dxa"/>
            <w:shd w:val="clear" w:color="auto" w:fill="auto"/>
            <w:vAlign w:val="bottom"/>
          </w:tcPr>
          <w:p w:rsidR="00BB6E41" w:rsidRPr="0006088B" w:rsidRDefault="00BB6E41" w:rsidP="00DF03ED">
            <w:pPr>
              <w:pStyle w:val="FootnoteText"/>
              <w:jc w:val="right"/>
              <w:rPr>
                <w:sz w:val="22"/>
                <w:szCs w:val="22"/>
              </w:rPr>
            </w:pPr>
            <w:r>
              <w:rPr>
                <w:sz w:val="22"/>
                <w:szCs w:val="22"/>
              </w:rPr>
              <w:t>0.00</w:t>
            </w:r>
          </w:p>
        </w:tc>
        <w:tc>
          <w:tcPr>
            <w:tcW w:w="1620" w:type="dxa"/>
            <w:shd w:val="clear" w:color="auto" w:fill="auto"/>
            <w:vAlign w:val="bottom"/>
          </w:tcPr>
          <w:p w:rsidR="00BB6E41" w:rsidRPr="0006088B" w:rsidRDefault="00BB6E41" w:rsidP="00DF03ED">
            <w:pPr>
              <w:pStyle w:val="FootnoteText"/>
              <w:jc w:val="right"/>
              <w:rPr>
                <w:sz w:val="22"/>
                <w:szCs w:val="22"/>
              </w:rPr>
            </w:pPr>
            <w:r w:rsidRPr="0006088B">
              <w:rPr>
                <w:sz w:val="22"/>
                <w:szCs w:val="22"/>
              </w:rPr>
              <w:t>0.60</w:t>
            </w:r>
          </w:p>
        </w:tc>
      </w:tr>
      <w:tr w:rsidR="00BB6E41" w:rsidRPr="006912C5" w:rsidTr="00DF03ED">
        <w:tc>
          <w:tcPr>
            <w:tcW w:w="2800" w:type="dxa"/>
            <w:shd w:val="clear" w:color="auto" w:fill="auto"/>
            <w:vAlign w:val="bottom"/>
          </w:tcPr>
          <w:p w:rsidR="00BB6E41" w:rsidRPr="0006088B" w:rsidRDefault="00BB6E41" w:rsidP="00DF03ED">
            <w:pPr>
              <w:pStyle w:val="FootnoteText"/>
              <w:rPr>
                <w:sz w:val="22"/>
                <w:szCs w:val="22"/>
              </w:rPr>
            </w:pPr>
            <w:r w:rsidRPr="0006088B">
              <w:rPr>
                <w:color w:val="000000"/>
                <w:sz w:val="22"/>
                <w:szCs w:val="22"/>
              </w:rPr>
              <w:t>Capacity Charge</w:t>
            </w:r>
          </w:p>
        </w:tc>
        <w:tc>
          <w:tcPr>
            <w:tcW w:w="1620" w:type="dxa"/>
            <w:shd w:val="clear" w:color="auto" w:fill="auto"/>
            <w:vAlign w:val="bottom"/>
          </w:tcPr>
          <w:p w:rsidR="00BB6E41" w:rsidRPr="0006088B" w:rsidRDefault="00BB6E41" w:rsidP="00DF03ED">
            <w:pPr>
              <w:pStyle w:val="FootnoteText"/>
              <w:jc w:val="right"/>
              <w:rPr>
                <w:sz w:val="22"/>
                <w:szCs w:val="22"/>
              </w:rPr>
            </w:pPr>
            <w:r w:rsidRPr="0006088B">
              <w:rPr>
                <w:sz w:val="22"/>
                <w:szCs w:val="22"/>
              </w:rPr>
              <w:t>8.78</w:t>
            </w:r>
          </w:p>
        </w:tc>
        <w:tc>
          <w:tcPr>
            <w:tcW w:w="1620" w:type="dxa"/>
            <w:shd w:val="clear" w:color="auto" w:fill="auto"/>
            <w:vAlign w:val="bottom"/>
          </w:tcPr>
          <w:p w:rsidR="00BB6E41" w:rsidRPr="0006088B" w:rsidRDefault="00BB6E41" w:rsidP="00DF03ED">
            <w:pPr>
              <w:pStyle w:val="FootnoteText"/>
              <w:jc w:val="right"/>
              <w:rPr>
                <w:sz w:val="22"/>
                <w:szCs w:val="22"/>
              </w:rPr>
            </w:pPr>
            <w:r w:rsidRPr="0006088B">
              <w:rPr>
                <w:sz w:val="22"/>
                <w:szCs w:val="22"/>
              </w:rPr>
              <w:t>8.78</w:t>
            </w:r>
          </w:p>
        </w:tc>
        <w:tc>
          <w:tcPr>
            <w:tcW w:w="1710" w:type="dxa"/>
            <w:shd w:val="clear" w:color="auto" w:fill="auto"/>
            <w:vAlign w:val="bottom"/>
          </w:tcPr>
          <w:p w:rsidR="00BB6E41" w:rsidRPr="0006088B" w:rsidRDefault="00BB6E41" w:rsidP="00DF03ED">
            <w:pPr>
              <w:pStyle w:val="FootnoteText"/>
              <w:jc w:val="right"/>
              <w:rPr>
                <w:sz w:val="22"/>
                <w:szCs w:val="22"/>
              </w:rPr>
            </w:pPr>
            <w:r>
              <w:rPr>
                <w:sz w:val="22"/>
                <w:szCs w:val="22"/>
              </w:rPr>
              <w:t>0.00</w:t>
            </w:r>
          </w:p>
        </w:tc>
        <w:tc>
          <w:tcPr>
            <w:tcW w:w="1620" w:type="dxa"/>
            <w:shd w:val="clear" w:color="auto" w:fill="auto"/>
            <w:vAlign w:val="bottom"/>
          </w:tcPr>
          <w:p w:rsidR="00BB6E41" w:rsidRPr="0006088B" w:rsidRDefault="00BB6E41" w:rsidP="00DF03ED">
            <w:pPr>
              <w:pStyle w:val="FootnoteText"/>
              <w:jc w:val="right"/>
              <w:rPr>
                <w:sz w:val="22"/>
                <w:szCs w:val="22"/>
              </w:rPr>
            </w:pPr>
            <w:r w:rsidRPr="0006088B">
              <w:rPr>
                <w:sz w:val="22"/>
                <w:szCs w:val="22"/>
              </w:rPr>
              <w:t>8.78</w:t>
            </w:r>
          </w:p>
        </w:tc>
      </w:tr>
      <w:tr w:rsidR="00BB6E41" w:rsidRPr="006912C5" w:rsidTr="00DF03ED">
        <w:tc>
          <w:tcPr>
            <w:tcW w:w="2800" w:type="dxa"/>
            <w:shd w:val="clear" w:color="auto" w:fill="auto"/>
            <w:vAlign w:val="bottom"/>
          </w:tcPr>
          <w:p w:rsidR="00BB6E41" w:rsidRPr="0006088B" w:rsidRDefault="00BB6E41" w:rsidP="00DF03ED">
            <w:pPr>
              <w:pStyle w:val="FootnoteText"/>
              <w:rPr>
                <w:sz w:val="22"/>
                <w:szCs w:val="22"/>
              </w:rPr>
            </w:pPr>
            <w:r w:rsidRPr="0006088B">
              <w:rPr>
                <w:color w:val="000000"/>
                <w:sz w:val="22"/>
                <w:szCs w:val="22"/>
              </w:rPr>
              <w:t>Environmental Charge</w:t>
            </w:r>
          </w:p>
        </w:tc>
        <w:tc>
          <w:tcPr>
            <w:tcW w:w="1620" w:type="dxa"/>
            <w:shd w:val="clear" w:color="auto" w:fill="auto"/>
            <w:vAlign w:val="bottom"/>
          </w:tcPr>
          <w:p w:rsidR="00BB6E41" w:rsidRPr="0006088B" w:rsidRDefault="00BB6E41" w:rsidP="00DF03ED">
            <w:pPr>
              <w:pStyle w:val="FootnoteText"/>
              <w:jc w:val="right"/>
              <w:rPr>
                <w:sz w:val="22"/>
                <w:szCs w:val="22"/>
              </w:rPr>
            </w:pPr>
            <w:r w:rsidRPr="0006088B">
              <w:rPr>
                <w:sz w:val="22"/>
                <w:szCs w:val="22"/>
              </w:rPr>
              <w:t>18.86</w:t>
            </w:r>
          </w:p>
        </w:tc>
        <w:tc>
          <w:tcPr>
            <w:tcW w:w="1620" w:type="dxa"/>
            <w:shd w:val="clear" w:color="auto" w:fill="auto"/>
            <w:vAlign w:val="bottom"/>
          </w:tcPr>
          <w:p w:rsidR="00BB6E41" w:rsidRPr="0006088B" w:rsidRDefault="00BB6E41" w:rsidP="00DF03ED">
            <w:pPr>
              <w:pStyle w:val="FootnoteText"/>
              <w:jc w:val="right"/>
              <w:rPr>
                <w:sz w:val="22"/>
                <w:szCs w:val="22"/>
              </w:rPr>
            </w:pPr>
            <w:r w:rsidRPr="0006088B">
              <w:rPr>
                <w:sz w:val="22"/>
                <w:szCs w:val="22"/>
              </w:rPr>
              <w:t>18.86</w:t>
            </w:r>
          </w:p>
        </w:tc>
        <w:tc>
          <w:tcPr>
            <w:tcW w:w="1710" w:type="dxa"/>
            <w:shd w:val="clear" w:color="auto" w:fill="auto"/>
            <w:vAlign w:val="bottom"/>
          </w:tcPr>
          <w:p w:rsidR="00BB6E41" w:rsidRPr="0006088B" w:rsidRDefault="00BB6E41" w:rsidP="00DF03ED">
            <w:pPr>
              <w:pStyle w:val="FootnoteText"/>
              <w:jc w:val="right"/>
              <w:rPr>
                <w:sz w:val="22"/>
                <w:szCs w:val="22"/>
              </w:rPr>
            </w:pPr>
            <w:r>
              <w:rPr>
                <w:sz w:val="22"/>
                <w:szCs w:val="22"/>
              </w:rPr>
              <w:t>0.00</w:t>
            </w:r>
          </w:p>
        </w:tc>
        <w:tc>
          <w:tcPr>
            <w:tcW w:w="1620" w:type="dxa"/>
            <w:shd w:val="clear" w:color="auto" w:fill="auto"/>
            <w:vAlign w:val="bottom"/>
          </w:tcPr>
          <w:p w:rsidR="00BB6E41" w:rsidRPr="0006088B" w:rsidRDefault="00BB6E41" w:rsidP="00DF03ED">
            <w:pPr>
              <w:pStyle w:val="FootnoteText"/>
              <w:jc w:val="right"/>
              <w:rPr>
                <w:sz w:val="22"/>
                <w:szCs w:val="22"/>
              </w:rPr>
            </w:pPr>
            <w:r w:rsidRPr="0006088B">
              <w:rPr>
                <w:sz w:val="22"/>
                <w:szCs w:val="22"/>
              </w:rPr>
              <w:t>18.86</w:t>
            </w:r>
          </w:p>
        </w:tc>
      </w:tr>
      <w:tr w:rsidR="00BB6E41" w:rsidRPr="006912C5" w:rsidTr="00DF03ED">
        <w:tc>
          <w:tcPr>
            <w:tcW w:w="2800" w:type="dxa"/>
            <w:shd w:val="clear" w:color="auto" w:fill="auto"/>
            <w:vAlign w:val="bottom"/>
          </w:tcPr>
          <w:p w:rsidR="00BB6E41" w:rsidRPr="0006088B" w:rsidRDefault="00BB6E41" w:rsidP="00DF03ED">
            <w:pPr>
              <w:pStyle w:val="FootnoteText"/>
              <w:rPr>
                <w:color w:val="000000"/>
                <w:sz w:val="22"/>
                <w:szCs w:val="22"/>
              </w:rPr>
            </w:pPr>
            <w:r w:rsidRPr="0006088B">
              <w:rPr>
                <w:color w:val="000000"/>
                <w:sz w:val="22"/>
                <w:szCs w:val="22"/>
              </w:rPr>
              <w:t>Storm Charge</w:t>
            </w:r>
          </w:p>
        </w:tc>
        <w:tc>
          <w:tcPr>
            <w:tcW w:w="1620" w:type="dxa"/>
            <w:shd w:val="clear" w:color="auto" w:fill="auto"/>
            <w:vAlign w:val="bottom"/>
          </w:tcPr>
          <w:p w:rsidR="00BB6E41" w:rsidRPr="0006088B" w:rsidRDefault="00BB6E41" w:rsidP="00DF03ED">
            <w:pPr>
              <w:pStyle w:val="FootnoteText"/>
              <w:jc w:val="right"/>
              <w:rPr>
                <w:sz w:val="22"/>
                <w:szCs w:val="22"/>
                <w:u w:val="single"/>
              </w:rPr>
            </w:pPr>
            <w:r w:rsidRPr="0006088B">
              <w:rPr>
                <w:sz w:val="22"/>
                <w:szCs w:val="22"/>
                <w:u w:val="single"/>
              </w:rPr>
              <w:t>8.00</w:t>
            </w:r>
          </w:p>
        </w:tc>
        <w:tc>
          <w:tcPr>
            <w:tcW w:w="1620" w:type="dxa"/>
            <w:shd w:val="clear" w:color="auto" w:fill="auto"/>
            <w:vAlign w:val="bottom"/>
          </w:tcPr>
          <w:p w:rsidR="00BB6E41" w:rsidRPr="0006088B" w:rsidRDefault="00BB6E41" w:rsidP="00DF03ED">
            <w:pPr>
              <w:pStyle w:val="FootnoteText"/>
              <w:jc w:val="right"/>
              <w:rPr>
                <w:color w:val="000000"/>
                <w:sz w:val="22"/>
                <w:szCs w:val="22"/>
                <w:u w:val="single"/>
              </w:rPr>
            </w:pPr>
            <w:r w:rsidRPr="0006088B">
              <w:rPr>
                <w:sz w:val="22"/>
                <w:szCs w:val="22"/>
                <w:u w:val="single"/>
              </w:rPr>
              <w:t>8.00</w:t>
            </w:r>
          </w:p>
        </w:tc>
        <w:tc>
          <w:tcPr>
            <w:tcW w:w="1710" w:type="dxa"/>
            <w:shd w:val="clear" w:color="auto" w:fill="auto"/>
            <w:vAlign w:val="bottom"/>
          </w:tcPr>
          <w:p w:rsidR="00BB6E41" w:rsidRPr="0072091C" w:rsidRDefault="00BB6E41" w:rsidP="00DF03ED">
            <w:pPr>
              <w:pStyle w:val="FootnoteText"/>
              <w:jc w:val="right"/>
              <w:rPr>
                <w:color w:val="000000"/>
                <w:sz w:val="22"/>
                <w:szCs w:val="22"/>
                <w:u w:val="single"/>
              </w:rPr>
            </w:pPr>
            <w:r w:rsidRPr="0072091C">
              <w:rPr>
                <w:color w:val="000000"/>
                <w:sz w:val="22"/>
                <w:szCs w:val="22"/>
                <w:u w:val="single"/>
              </w:rPr>
              <w:t>0.00</w:t>
            </w:r>
          </w:p>
        </w:tc>
        <w:tc>
          <w:tcPr>
            <w:tcW w:w="1620" w:type="dxa"/>
            <w:shd w:val="clear" w:color="auto" w:fill="auto"/>
            <w:vAlign w:val="bottom"/>
          </w:tcPr>
          <w:p w:rsidR="00BB6E41" w:rsidRPr="0006088B" w:rsidRDefault="00BB6E41" w:rsidP="00DF03ED">
            <w:pPr>
              <w:pStyle w:val="FootnoteText"/>
              <w:jc w:val="right"/>
              <w:rPr>
                <w:color w:val="000000"/>
                <w:sz w:val="22"/>
                <w:szCs w:val="22"/>
                <w:u w:val="single"/>
              </w:rPr>
            </w:pPr>
            <w:r w:rsidRPr="0006088B">
              <w:rPr>
                <w:sz w:val="22"/>
                <w:szCs w:val="22"/>
                <w:u w:val="single"/>
              </w:rPr>
              <w:t>8.00</w:t>
            </w:r>
          </w:p>
        </w:tc>
      </w:tr>
      <w:tr w:rsidR="00BB6E41" w:rsidRPr="006912C5" w:rsidTr="00DF03ED">
        <w:tc>
          <w:tcPr>
            <w:tcW w:w="2800" w:type="dxa"/>
            <w:shd w:val="clear" w:color="auto" w:fill="auto"/>
            <w:vAlign w:val="bottom"/>
          </w:tcPr>
          <w:p w:rsidR="00BB6E41" w:rsidRPr="0006088B" w:rsidRDefault="00BB6E41" w:rsidP="00DF03ED">
            <w:pPr>
              <w:pStyle w:val="FootnoteText"/>
              <w:rPr>
                <w:sz w:val="22"/>
                <w:szCs w:val="22"/>
              </w:rPr>
            </w:pPr>
            <w:r w:rsidRPr="0006088B">
              <w:rPr>
                <w:color w:val="000000"/>
                <w:sz w:val="22"/>
                <w:szCs w:val="22"/>
              </w:rPr>
              <w:t>Gross Receipts Tax</w:t>
            </w:r>
          </w:p>
        </w:tc>
        <w:tc>
          <w:tcPr>
            <w:tcW w:w="1620" w:type="dxa"/>
            <w:shd w:val="clear" w:color="auto" w:fill="auto"/>
            <w:vAlign w:val="bottom"/>
          </w:tcPr>
          <w:p w:rsidR="00BB6E41" w:rsidRPr="0006088B" w:rsidRDefault="00BB6E41" w:rsidP="00DF03ED">
            <w:pPr>
              <w:pStyle w:val="FootnoteText"/>
              <w:jc w:val="right"/>
              <w:rPr>
                <w:sz w:val="22"/>
                <w:szCs w:val="22"/>
                <w:u w:val="single"/>
              </w:rPr>
            </w:pPr>
            <w:r w:rsidRPr="0006088B">
              <w:rPr>
                <w:sz w:val="22"/>
                <w:szCs w:val="22"/>
                <w:u w:val="single"/>
              </w:rPr>
              <w:t>3.51</w:t>
            </w:r>
          </w:p>
        </w:tc>
        <w:tc>
          <w:tcPr>
            <w:tcW w:w="1620" w:type="dxa"/>
            <w:shd w:val="clear" w:color="auto" w:fill="auto"/>
            <w:vAlign w:val="bottom"/>
          </w:tcPr>
          <w:p w:rsidR="00BB6E41" w:rsidRPr="0006088B" w:rsidRDefault="00BB6E41" w:rsidP="00DF03ED">
            <w:pPr>
              <w:pStyle w:val="FootnoteText"/>
              <w:jc w:val="right"/>
              <w:rPr>
                <w:sz w:val="22"/>
                <w:szCs w:val="22"/>
                <w:u w:val="single"/>
              </w:rPr>
            </w:pPr>
            <w:r w:rsidRPr="0006088B">
              <w:rPr>
                <w:sz w:val="22"/>
                <w:szCs w:val="22"/>
                <w:u w:val="single"/>
              </w:rPr>
              <w:t>2.10</w:t>
            </w:r>
          </w:p>
        </w:tc>
        <w:tc>
          <w:tcPr>
            <w:tcW w:w="1710" w:type="dxa"/>
            <w:shd w:val="clear" w:color="auto" w:fill="auto"/>
            <w:vAlign w:val="bottom"/>
          </w:tcPr>
          <w:p w:rsidR="00BB6E41" w:rsidRPr="0006088B" w:rsidRDefault="00BB6E41" w:rsidP="00DF03ED">
            <w:pPr>
              <w:pStyle w:val="FootnoteText"/>
              <w:jc w:val="right"/>
              <w:rPr>
                <w:sz w:val="22"/>
                <w:szCs w:val="22"/>
                <w:u w:val="single"/>
              </w:rPr>
            </w:pPr>
            <w:r w:rsidRPr="0006088B">
              <w:rPr>
                <w:sz w:val="22"/>
                <w:szCs w:val="22"/>
                <w:u w:val="single"/>
              </w:rPr>
              <w:t>(1.41)</w:t>
            </w:r>
          </w:p>
        </w:tc>
        <w:tc>
          <w:tcPr>
            <w:tcW w:w="1620" w:type="dxa"/>
            <w:shd w:val="clear" w:color="auto" w:fill="auto"/>
            <w:vAlign w:val="bottom"/>
          </w:tcPr>
          <w:p w:rsidR="00BB6E41" w:rsidRPr="0006088B" w:rsidRDefault="00BB6E41" w:rsidP="00DF03ED">
            <w:pPr>
              <w:pStyle w:val="FootnoteText"/>
              <w:jc w:val="right"/>
              <w:rPr>
                <w:sz w:val="22"/>
                <w:szCs w:val="22"/>
                <w:u w:val="single"/>
              </w:rPr>
            </w:pPr>
            <w:r w:rsidRPr="0006088B">
              <w:rPr>
                <w:sz w:val="22"/>
                <w:szCs w:val="22"/>
                <w:u w:val="single"/>
              </w:rPr>
              <w:t>3.51</w:t>
            </w:r>
          </w:p>
        </w:tc>
      </w:tr>
      <w:tr w:rsidR="00BB6E41" w:rsidRPr="006912C5" w:rsidTr="00DF03ED">
        <w:trPr>
          <w:trHeight w:val="260"/>
        </w:trPr>
        <w:tc>
          <w:tcPr>
            <w:tcW w:w="2800" w:type="dxa"/>
            <w:shd w:val="clear" w:color="auto" w:fill="auto"/>
            <w:vAlign w:val="bottom"/>
          </w:tcPr>
          <w:p w:rsidR="00BB6E41" w:rsidRPr="0006088B" w:rsidRDefault="00BB6E41" w:rsidP="00DF03ED">
            <w:pPr>
              <w:pStyle w:val="FootnoteText"/>
              <w:rPr>
                <w:b/>
                <w:bCs/>
                <w:sz w:val="22"/>
                <w:szCs w:val="22"/>
              </w:rPr>
            </w:pPr>
            <w:r w:rsidRPr="0006088B">
              <w:rPr>
                <w:b/>
                <w:bCs/>
                <w:color w:val="000000"/>
                <w:sz w:val="22"/>
                <w:szCs w:val="22"/>
              </w:rPr>
              <w:t>Total</w:t>
            </w:r>
          </w:p>
        </w:tc>
        <w:tc>
          <w:tcPr>
            <w:tcW w:w="1620" w:type="dxa"/>
            <w:shd w:val="clear" w:color="auto" w:fill="auto"/>
            <w:vAlign w:val="bottom"/>
          </w:tcPr>
          <w:p w:rsidR="00BB6E41" w:rsidRPr="0006088B" w:rsidRDefault="00BB6E41" w:rsidP="00DF03ED">
            <w:pPr>
              <w:pStyle w:val="FootnoteText"/>
              <w:jc w:val="right"/>
              <w:rPr>
                <w:sz w:val="22"/>
                <w:szCs w:val="22"/>
                <w:u w:val="double"/>
              </w:rPr>
            </w:pPr>
            <w:r w:rsidRPr="0006088B">
              <w:rPr>
                <w:sz w:val="22"/>
                <w:szCs w:val="22"/>
                <w:u w:val="double"/>
              </w:rPr>
              <w:t>$140.43</w:t>
            </w:r>
          </w:p>
        </w:tc>
        <w:tc>
          <w:tcPr>
            <w:tcW w:w="1620" w:type="dxa"/>
            <w:shd w:val="clear" w:color="auto" w:fill="auto"/>
            <w:vAlign w:val="bottom"/>
          </w:tcPr>
          <w:p w:rsidR="00BB6E41" w:rsidRPr="0006088B" w:rsidRDefault="00BB6E41" w:rsidP="00DF03ED">
            <w:pPr>
              <w:pStyle w:val="FootnoteText"/>
              <w:jc w:val="right"/>
              <w:rPr>
                <w:sz w:val="22"/>
                <w:szCs w:val="22"/>
                <w:u w:val="double"/>
              </w:rPr>
            </w:pPr>
            <w:r w:rsidRPr="0006088B">
              <w:rPr>
                <w:sz w:val="22"/>
                <w:szCs w:val="22"/>
                <w:u w:val="double"/>
              </w:rPr>
              <w:t>$84.04</w:t>
            </w:r>
          </w:p>
        </w:tc>
        <w:tc>
          <w:tcPr>
            <w:tcW w:w="1710" w:type="dxa"/>
            <w:shd w:val="clear" w:color="auto" w:fill="auto"/>
            <w:vAlign w:val="bottom"/>
          </w:tcPr>
          <w:p w:rsidR="00BB6E41" w:rsidRPr="0006088B" w:rsidRDefault="00BB6E41" w:rsidP="00DF03ED">
            <w:pPr>
              <w:pStyle w:val="FootnoteText"/>
              <w:jc w:val="right"/>
              <w:rPr>
                <w:sz w:val="22"/>
                <w:szCs w:val="22"/>
                <w:u w:val="double"/>
              </w:rPr>
            </w:pPr>
            <w:r w:rsidRPr="0006088B">
              <w:rPr>
                <w:sz w:val="22"/>
                <w:szCs w:val="22"/>
                <w:u w:val="double"/>
              </w:rPr>
              <w:t>($56.39)</w:t>
            </w:r>
          </w:p>
        </w:tc>
        <w:tc>
          <w:tcPr>
            <w:tcW w:w="1620" w:type="dxa"/>
            <w:shd w:val="clear" w:color="auto" w:fill="auto"/>
            <w:vAlign w:val="bottom"/>
          </w:tcPr>
          <w:p w:rsidR="00BB6E41" w:rsidRPr="0006088B" w:rsidRDefault="00BB6E41" w:rsidP="00DF03ED">
            <w:pPr>
              <w:pStyle w:val="FootnoteText"/>
              <w:jc w:val="right"/>
              <w:rPr>
                <w:sz w:val="22"/>
                <w:szCs w:val="22"/>
                <w:u w:val="double"/>
              </w:rPr>
            </w:pPr>
            <w:r w:rsidRPr="0006088B">
              <w:rPr>
                <w:sz w:val="22"/>
                <w:szCs w:val="22"/>
                <w:u w:val="double"/>
              </w:rPr>
              <w:t>$140.43</w:t>
            </w:r>
          </w:p>
        </w:tc>
      </w:tr>
    </w:tbl>
    <w:p w:rsidR="00BB6E41" w:rsidRPr="0022052D" w:rsidRDefault="00BB6E41" w:rsidP="00BB6E41">
      <w:pPr>
        <w:pStyle w:val="FootnoteText"/>
      </w:pPr>
      <w:r w:rsidRPr="0022052D">
        <w:t xml:space="preserve">Source: </w:t>
      </w:r>
      <w:r>
        <w:t>Gulf</w:t>
      </w:r>
      <w:r w:rsidRPr="0022052D">
        <w:t xml:space="preserve"> Petition, Schedule E-10.</w:t>
      </w:r>
    </w:p>
    <w:p w:rsidR="00BB6E41" w:rsidRDefault="00BB6E41" w:rsidP="00BB6E41">
      <w:pPr>
        <w:jc w:val="both"/>
      </w:pPr>
    </w:p>
    <w:p w:rsidR="00BB6E41" w:rsidRDefault="00BB6E41" w:rsidP="00BB6E41">
      <w:pPr>
        <w:jc w:val="both"/>
      </w:pPr>
      <w:r>
        <w:tab/>
      </w:r>
      <w:r w:rsidRPr="00847F63">
        <w:t xml:space="preserve">Gulf’s current total residential charge for 1,000 kWh of usage is $140.43. By applying the proposed one-month fuel credit, the total bill lowers to $84.04, or a reduction of $56.39 (40.2 percent) for the month of May 2020. </w:t>
      </w:r>
      <w:r>
        <w:t xml:space="preserve"> </w:t>
      </w:r>
      <w:r w:rsidRPr="00847F63">
        <w:t xml:space="preserve">The proposed fuel credit is shown in Attachment C, Original Sheet No. 6.34a, which is effective for the May 2020 billing cycle. </w:t>
      </w:r>
      <w:r>
        <w:t xml:space="preserve"> </w:t>
      </w:r>
      <w:r w:rsidRPr="00847F63">
        <w:t>Gulf also filed its First Revised Tariff Sheet No. 6.34a for after the credit concludes post May 2020.</w:t>
      </w:r>
      <w:r>
        <w:t xml:space="preserve">  Commission staff has </w:t>
      </w:r>
      <w:r w:rsidRPr="00C03D71">
        <w:t>request</w:t>
      </w:r>
      <w:r>
        <w:t>ed</w:t>
      </w:r>
      <w:r w:rsidRPr="00C03D71">
        <w:t xml:space="preserve"> administrative authority to approve the First Revised Tariff Sheet No. 6.34a effective June 2020.</w:t>
      </w:r>
      <w:r>
        <w:t xml:space="preserve"> </w:t>
      </w:r>
      <w:r w:rsidRPr="009E6E8E">
        <w:t>Concerning non-residential</w:t>
      </w:r>
      <w:r>
        <w:t xml:space="preserve"> customers, t</w:t>
      </w:r>
      <w:r w:rsidRPr="00644BEB">
        <w:t>ypical</w:t>
      </w:r>
      <w:r>
        <w:t xml:space="preserve"> bill</w:t>
      </w:r>
      <w:r w:rsidRPr="00644BEB">
        <w:t xml:space="preserve"> reduction</w:t>
      </w:r>
      <w:r>
        <w:t>s</w:t>
      </w:r>
      <w:r w:rsidRPr="00644BEB">
        <w:t xml:space="preserve"> will range from approximately </w:t>
      </w:r>
      <w:r>
        <w:t>40 to 54 percent</w:t>
      </w:r>
      <w:r w:rsidRPr="00644BEB">
        <w:t xml:space="preserve"> for </w:t>
      </w:r>
      <w:r>
        <w:t xml:space="preserve">small </w:t>
      </w:r>
      <w:r w:rsidRPr="00644BEB">
        <w:t>commercial customers</w:t>
      </w:r>
      <w:r>
        <w:t>,</w:t>
      </w:r>
      <w:r w:rsidRPr="00644BEB">
        <w:t xml:space="preserve"> approximately 5</w:t>
      </w:r>
      <w:r>
        <w:t>3 percent for medium commercial customers, and approximately 56 percent</w:t>
      </w:r>
      <w:r w:rsidRPr="00644BEB">
        <w:t xml:space="preserve"> for </w:t>
      </w:r>
      <w:r>
        <w:t>large commercial</w:t>
      </w:r>
      <w:r w:rsidRPr="00644BEB">
        <w:t xml:space="preserve"> customers</w:t>
      </w:r>
      <w:r>
        <w:t>.</w:t>
      </w:r>
      <w:r>
        <w:rPr>
          <w:rStyle w:val="FootnoteReference"/>
        </w:rPr>
        <w:footnoteReference w:id="21"/>
      </w:r>
      <w:r>
        <w:t xml:space="preserve"> Gulf’s tariff is shown on Attachment C</w:t>
      </w:r>
      <w:r w:rsidR="000512D7">
        <w:t>, attached to this order</w:t>
      </w:r>
      <w:r>
        <w:t>.  Gulf has provided notice of this request for a mid-course correction with its April customer bills, subject to our approval.</w:t>
      </w:r>
    </w:p>
    <w:p w:rsidR="00BB6E41" w:rsidRDefault="00BB6E41" w:rsidP="00BB6E41">
      <w:pPr>
        <w:jc w:val="both"/>
        <w:rPr>
          <w:bCs/>
        </w:rPr>
      </w:pPr>
    </w:p>
    <w:p w:rsidR="00B821A5" w:rsidRDefault="001A484B" w:rsidP="00BB6E41">
      <w:pPr>
        <w:jc w:val="both"/>
        <w:rPr>
          <w:bCs/>
        </w:rPr>
      </w:pPr>
      <w:r>
        <w:rPr>
          <w:bCs/>
        </w:rPr>
        <w:tab/>
      </w:r>
      <w:r w:rsidR="00BB6E41">
        <w:rPr>
          <w:bCs/>
        </w:rPr>
        <w:t xml:space="preserve">Based on the reasons stated above, we hereby </w:t>
      </w:r>
      <w:r w:rsidR="00BB6E41" w:rsidRPr="00BB6E41">
        <w:rPr>
          <w:bCs/>
        </w:rPr>
        <w:t xml:space="preserve">approve Gulf's petition to provide customers a fuel-related bill credit during the month of May 2020 for purposes of flowing </w:t>
      </w:r>
      <w:r w:rsidR="00BB6E41">
        <w:rPr>
          <w:bCs/>
        </w:rPr>
        <w:t xml:space="preserve">back </w:t>
      </w:r>
      <w:r w:rsidR="00BB6E41" w:rsidRPr="00BB6E41">
        <w:rPr>
          <w:bCs/>
        </w:rPr>
        <w:t xml:space="preserve">to customers a projected over-recovery of fuel costs. </w:t>
      </w:r>
      <w:r w:rsidR="00BB6E41">
        <w:rPr>
          <w:bCs/>
        </w:rPr>
        <w:t xml:space="preserve"> </w:t>
      </w:r>
      <w:r w:rsidR="00BB6E41" w:rsidRPr="00BB6E41">
        <w:rPr>
          <w:bCs/>
        </w:rPr>
        <w:t xml:space="preserve">The tariff showing the fuel credit </w:t>
      </w:r>
      <w:r w:rsidR="00BB6E41">
        <w:rPr>
          <w:bCs/>
        </w:rPr>
        <w:t>contained in</w:t>
      </w:r>
      <w:r w:rsidR="00BB6E41" w:rsidRPr="00BB6E41">
        <w:rPr>
          <w:bCs/>
        </w:rPr>
        <w:t xml:space="preserve"> Attachment C </w:t>
      </w:r>
      <w:r w:rsidR="00BB6E41">
        <w:rPr>
          <w:bCs/>
        </w:rPr>
        <w:t xml:space="preserve">is hereby </w:t>
      </w:r>
      <w:r w:rsidR="00BB6E41" w:rsidRPr="00BB6E41">
        <w:rPr>
          <w:bCs/>
        </w:rPr>
        <w:t xml:space="preserve">approved effective May 1, 2020. </w:t>
      </w:r>
      <w:r w:rsidR="00BB6E41">
        <w:rPr>
          <w:bCs/>
        </w:rPr>
        <w:t xml:space="preserve">  Finally, Commission s</w:t>
      </w:r>
      <w:r w:rsidR="00BB6E41" w:rsidRPr="00BB6E41">
        <w:rPr>
          <w:bCs/>
        </w:rPr>
        <w:t xml:space="preserve">taff </w:t>
      </w:r>
      <w:r w:rsidR="00BB6E41">
        <w:rPr>
          <w:bCs/>
        </w:rPr>
        <w:t xml:space="preserve">is hereby </w:t>
      </w:r>
      <w:r w:rsidR="00BB6E41" w:rsidRPr="00BB6E41">
        <w:rPr>
          <w:bCs/>
        </w:rPr>
        <w:t>given administrative authority to approve the First Revised Tariff Sheet No. 6.34a effective June 1, 2020.</w:t>
      </w:r>
    </w:p>
    <w:p w:rsidR="00BB6E41" w:rsidRDefault="00BB6E41" w:rsidP="00BB6E41">
      <w:pPr>
        <w:jc w:val="both"/>
        <w:rPr>
          <w:bCs/>
        </w:rPr>
      </w:pPr>
    </w:p>
    <w:p w:rsidR="000512D7" w:rsidRDefault="000512D7" w:rsidP="00BB6E41">
      <w:pPr>
        <w:jc w:val="both"/>
        <w:rPr>
          <w:bCs/>
        </w:rPr>
      </w:pPr>
    </w:p>
    <w:p w:rsidR="006B3A07" w:rsidRDefault="006B3A07" w:rsidP="00BB6E41">
      <w:pPr>
        <w:jc w:val="both"/>
        <w:rPr>
          <w:bCs/>
          <w:u w:val="single"/>
        </w:rPr>
      </w:pPr>
      <w:r>
        <w:rPr>
          <w:bCs/>
        </w:rPr>
        <w:tab/>
      </w:r>
      <w:r>
        <w:rPr>
          <w:bCs/>
          <w:u w:val="single"/>
        </w:rPr>
        <w:t>Duke Energy Florida, LLC</w:t>
      </w:r>
    </w:p>
    <w:p w:rsidR="006B3A07" w:rsidRPr="006B3A07" w:rsidRDefault="006B3A07" w:rsidP="00BB6E41">
      <w:pPr>
        <w:jc w:val="both"/>
        <w:rPr>
          <w:bCs/>
          <w:u w:val="single"/>
        </w:rPr>
      </w:pPr>
    </w:p>
    <w:p w:rsidR="006B3A07" w:rsidRDefault="006B3A07" w:rsidP="006B3A07">
      <w:pPr>
        <w:jc w:val="both"/>
      </w:pPr>
      <w:r>
        <w:tab/>
        <w:t>DEF participated in our most-recent fuel hearing which took</w:t>
      </w:r>
      <w:r w:rsidRPr="00A04FF0">
        <w:t xml:space="preserve"> place on November 5, 201</w:t>
      </w:r>
      <w:r>
        <w:t>9. The Fuel Order issued from the 2019</w:t>
      </w:r>
      <w:r w:rsidRPr="00A04FF0">
        <w:t xml:space="preserve"> hearing set</w:t>
      </w:r>
      <w:r>
        <w:t xml:space="preserve"> forth DEF’s initial 2020 fuel, purchased power, and capacity-related cost recovery factors effective with the first billing cycle of 2020.</w:t>
      </w:r>
      <w:r>
        <w:rPr>
          <w:rStyle w:val="FootnoteReference"/>
        </w:rPr>
        <w:footnoteReference w:id="22"/>
      </w:r>
      <w:r>
        <w:t xml:space="preserve">  DEF implemented a previously-approved rate change effective April 2020.</w:t>
      </w:r>
      <w:r>
        <w:rPr>
          <w:rStyle w:val="FootnoteReference"/>
        </w:rPr>
        <w:footnoteReference w:id="23"/>
      </w:r>
      <w:r>
        <w:t xml:space="preserve"> The April rate adjustment is associated with</w:t>
      </w:r>
      <w:r w:rsidRPr="00324086">
        <w:t xml:space="preserve"> the </w:t>
      </w:r>
      <w:r>
        <w:t>Columbia s</w:t>
      </w:r>
      <w:r w:rsidRPr="00324086">
        <w:t>olar project</w:t>
      </w:r>
      <w:r>
        <w:t xml:space="preserve"> going into service. Although the April 2020 rates differ from the March rates shown on Schedule E-10 of the DEF Petition, we discuss its rate recommendation from the April 2020 levels.</w:t>
      </w:r>
      <w:r>
        <w:rPr>
          <w:rStyle w:val="FootnoteReference"/>
        </w:rPr>
        <w:footnoteReference w:id="24"/>
      </w:r>
    </w:p>
    <w:p w:rsidR="006B3A07" w:rsidRDefault="006B3A07" w:rsidP="006B3A07">
      <w:pPr>
        <w:jc w:val="both"/>
      </w:pPr>
    </w:p>
    <w:p w:rsidR="006B3A07" w:rsidRPr="006B3A07" w:rsidRDefault="006B3A07" w:rsidP="006B3A07">
      <w:pPr>
        <w:jc w:val="center"/>
        <w:rPr>
          <w:bCs/>
          <w:iCs/>
          <w:u w:val="single"/>
        </w:rPr>
      </w:pPr>
      <w:r w:rsidRPr="006B3A07">
        <w:rPr>
          <w:bCs/>
          <w:iCs/>
          <w:u w:val="single"/>
        </w:rPr>
        <w:t>Mid-Course Correction</w:t>
      </w:r>
    </w:p>
    <w:p w:rsidR="006B3A07" w:rsidRDefault="006B3A07" w:rsidP="006B3A07">
      <w:pPr>
        <w:jc w:val="both"/>
        <w:rPr>
          <w:bCs/>
        </w:rPr>
      </w:pPr>
    </w:p>
    <w:p w:rsidR="006B3A07" w:rsidRDefault="006B3A07" w:rsidP="006B3A07">
      <w:pPr>
        <w:jc w:val="both"/>
        <w:rPr>
          <w:bCs/>
        </w:rPr>
      </w:pPr>
      <w:r>
        <w:rPr>
          <w:bCs/>
        </w:rPr>
        <w:tab/>
      </w:r>
      <w:r w:rsidRPr="00863550">
        <w:rPr>
          <w:bCs/>
        </w:rPr>
        <w:t xml:space="preserve">With respect to the components of the mid-course correction calculation, which in this case returns the total dollar amount used to calculate the proposed rate reductions, </w:t>
      </w:r>
      <w:r>
        <w:t>DEF</w:t>
      </w:r>
      <w:r w:rsidRPr="00863550">
        <w:rPr>
          <w:bCs/>
        </w:rPr>
        <w:t xml:space="preserve"> combined its </w:t>
      </w:r>
      <w:r>
        <w:rPr>
          <w:bCs/>
        </w:rPr>
        <w:t xml:space="preserve">total </w:t>
      </w:r>
      <w:r w:rsidRPr="00863550">
        <w:rPr>
          <w:bCs/>
        </w:rPr>
        <w:t xml:space="preserve">2019 </w:t>
      </w:r>
      <w:r>
        <w:rPr>
          <w:bCs/>
        </w:rPr>
        <w:t>fuel under</w:t>
      </w:r>
      <w:r w:rsidRPr="00EB02D1">
        <w:rPr>
          <w:bCs/>
        </w:rPr>
        <w:t>-recovery of $</w:t>
      </w:r>
      <w:r w:rsidRPr="001E5553">
        <w:t>21,535,230</w:t>
      </w:r>
      <w:r w:rsidRPr="00EB02D1">
        <w:rPr>
          <w:bCs/>
        </w:rPr>
        <w:t>, with its estimated 2020</w:t>
      </w:r>
      <w:r>
        <w:rPr>
          <w:bCs/>
        </w:rPr>
        <w:t xml:space="preserve"> fuel</w:t>
      </w:r>
      <w:r w:rsidRPr="00EB02D1">
        <w:rPr>
          <w:bCs/>
        </w:rPr>
        <w:t xml:space="preserve"> over-recovery of $</w:t>
      </w:r>
      <w:r>
        <w:t>99,767,015</w:t>
      </w:r>
      <w:r w:rsidRPr="00EB02D1">
        <w:rPr>
          <w:bCs/>
        </w:rPr>
        <w:t>, resulting in a</w:t>
      </w:r>
      <w:r>
        <w:rPr>
          <w:bCs/>
        </w:rPr>
        <w:t xml:space="preserve"> net mid-course correction amount</w:t>
      </w:r>
      <w:r w:rsidRPr="00EB02D1">
        <w:rPr>
          <w:bCs/>
        </w:rPr>
        <w:t xml:space="preserve"> of $</w:t>
      </w:r>
      <w:r>
        <w:rPr>
          <w:bCs/>
        </w:rPr>
        <w:t>78,231,785.</w:t>
      </w:r>
      <w:r w:rsidRPr="00EB02D1">
        <w:rPr>
          <w:bCs/>
        </w:rPr>
        <w:t xml:space="preserve"> </w:t>
      </w:r>
      <w:r>
        <w:rPr>
          <w:bCs/>
        </w:rPr>
        <w:t xml:space="preserve"> This is </w:t>
      </w:r>
      <w:r w:rsidR="000512D7">
        <w:rPr>
          <w:bCs/>
        </w:rPr>
        <w:t xml:space="preserve">the </w:t>
      </w:r>
      <w:r>
        <w:rPr>
          <w:bCs/>
        </w:rPr>
        <w:t xml:space="preserve">total </w:t>
      </w:r>
      <w:r w:rsidRPr="00EB02D1">
        <w:rPr>
          <w:bCs/>
        </w:rPr>
        <w:t xml:space="preserve">amount </w:t>
      </w:r>
      <w:r>
        <w:rPr>
          <w:bCs/>
        </w:rPr>
        <w:t>proposed to be flowed</w:t>
      </w:r>
      <w:r w:rsidRPr="00EB02D1">
        <w:rPr>
          <w:bCs/>
        </w:rPr>
        <w:t xml:space="preserve"> </w:t>
      </w:r>
      <w:r w:rsidR="000512D7">
        <w:rPr>
          <w:bCs/>
        </w:rPr>
        <w:t xml:space="preserve">back </w:t>
      </w:r>
      <w:r w:rsidRPr="00EB02D1">
        <w:rPr>
          <w:bCs/>
        </w:rPr>
        <w:t>to customers.</w:t>
      </w:r>
      <w:r>
        <w:rPr>
          <w:bCs/>
        </w:rPr>
        <w:t xml:space="preserve">  DEF’s fuel </w:t>
      </w:r>
      <w:r w:rsidRPr="0006088B">
        <w:rPr>
          <w:bCs/>
        </w:rPr>
        <w:t xml:space="preserve">mid-course correction position following the calculation methodology in </w:t>
      </w:r>
      <w:r w:rsidRPr="00B300C0">
        <w:t>Rule 25-6.0424</w:t>
      </w:r>
      <w:r>
        <w:t>(1)(a) F.A.C</w:t>
      </w:r>
      <w:r w:rsidRPr="0006088B">
        <w:rPr>
          <w:bCs/>
        </w:rPr>
        <w:t>.</w:t>
      </w:r>
      <w:r>
        <w:rPr>
          <w:bCs/>
        </w:rPr>
        <w:t>,</w:t>
      </w:r>
      <w:r w:rsidRPr="0006088B">
        <w:rPr>
          <w:bCs/>
        </w:rPr>
        <w:t xml:space="preserve"> is </w:t>
      </w:r>
      <w:r>
        <w:rPr>
          <w:bCs/>
        </w:rPr>
        <w:t>6.1</w:t>
      </w:r>
      <w:r w:rsidRPr="0006088B">
        <w:rPr>
          <w:bCs/>
        </w:rPr>
        <w:t xml:space="preserve"> percent</w:t>
      </w:r>
      <w:r>
        <w:rPr>
          <w:bCs/>
        </w:rPr>
        <w:t>,</w:t>
      </w:r>
      <w:r w:rsidRPr="002E6886">
        <w:t xml:space="preserve"> </w:t>
      </w:r>
      <w:r>
        <w:t>which is</w:t>
      </w:r>
      <w:r w:rsidRPr="00A45F75">
        <w:t xml:space="preserve"> </w:t>
      </w:r>
      <w:r>
        <w:t xml:space="preserve">under </w:t>
      </w:r>
      <w:r w:rsidRPr="00A45F75">
        <w:t xml:space="preserve">the </w:t>
      </w:r>
      <w:r>
        <w:t xml:space="preserve">10 </w:t>
      </w:r>
      <w:r w:rsidRPr="00A45F75">
        <w:t xml:space="preserve">percent threshold </w:t>
      </w:r>
      <w:bookmarkStart w:id="10" w:name="_Hlk37513919"/>
      <w:r>
        <w:t xml:space="preserve">prompting a </w:t>
      </w:r>
      <w:bookmarkEnd w:id="10"/>
      <w:r>
        <w:t xml:space="preserve">noticing requirement </w:t>
      </w:r>
      <w:r w:rsidRPr="00A45F75">
        <w:t xml:space="preserve">pursuant to </w:t>
      </w:r>
      <w:r>
        <w:t>the same rule</w:t>
      </w:r>
      <w:r w:rsidRPr="00A45F75">
        <w:t>.</w:t>
      </w:r>
      <w:r w:rsidRPr="0006088B">
        <w:rPr>
          <w:bCs/>
        </w:rPr>
        <w:t xml:space="preserve">   </w:t>
      </w:r>
      <w:r>
        <w:rPr>
          <w:bCs/>
        </w:rPr>
        <w:t xml:space="preserve"> </w:t>
      </w:r>
    </w:p>
    <w:p w:rsidR="006B3A07" w:rsidRDefault="006B3A07" w:rsidP="006B3A07">
      <w:pPr>
        <w:jc w:val="both"/>
        <w:rPr>
          <w:bCs/>
        </w:rPr>
      </w:pPr>
    </w:p>
    <w:p w:rsidR="006B3A07" w:rsidRDefault="006B3A07" w:rsidP="006B3A07">
      <w:pPr>
        <w:jc w:val="both"/>
        <w:rPr>
          <w:bCs/>
        </w:rPr>
      </w:pPr>
      <w:r>
        <w:rPr>
          <w:bCs/>
        </w:rPr>
        <w:tab/>
      </w:r>
      <w:r w:rsidRPr="008F0944">
        <w:rPr>
          <w:bCs/>
        </w:rPr>
        <w:t xml:space="preserve">The projected 2020 over-recovery of fuel charges is specifically associated with </w:t>
      </w:r>
      <w:r>
        <w:rPr>
          <w:bCs/>
        </w:rPr>
        <w:t xml:space="preserve">a decline in </w:t>
      </w:r>
      <w:r w:rsidRPr="008F0944">
        <w:rPr>
          <w:bCs/>
        </w:rPr>
        <w:t>projected fuel costs</w:t>
      </w:r>
      <w:r>
        <w:rPr>
          <w:bCs/>
        </w:rPr>
        <w:t>. DEF</w:t>
      </w:r>
      <w:r w:rsidRPr="004445B4">
        <w:rPr>
          <w:bCs/>
        </w:rPr>
        <w:t>’s original projection of</w:t>
      </w:r>
      <w:r>
        <w:rPr>
          <w:bCs/>
        </w:rPr>
        <w:t xml:space="preserve"> its 2020 natural gas cost was</w:t>
      </w:r>
      <w:r w:rsidRPr="004445B4">
        <w:rPr>
          <w:bCs/>
        </w:rPr>
        <w:t xml:space="preserve"> formulated </w:t>
      </w:r>
      <w:r>
        <w:rPr>
          <w:bCs/>
        </w:rPr>
        <w:t>i</w:t>
      </w:r>
      <w:r w:rsidRPr="004445B4">
        <w:rPr>
          <w:bCs/>
        </w:rPr>
        <w:t>n Ju</w:t>
      </w:r>
      <w:r>
        <w:rPr>
          <w:bCs/>
        </w:rPr>
        <w:t xml:space="preserve">ne </w:t>
      </w:r>
      <w:r w:rsidRPr="004445B4">
        <w:rPr>
          <w:bCs/>
        </w:rPr>
        <w:t xml:space="preserve">2019. </w:t>
      </w:r>
      <w:r>
        <w:rPr>
          <w:bCs/>
        </w:rPr>
        <w:t xml:space="preserve"> </w:t>
      </w:r>
      <w:r w:rsidRPr="004445B4">
        <w:rPr>
          <w:bCs/>
        </w:rPr>
        <w:t xml:space="preserve">At that time, </w:t>
      </w:r>
      <w:r>
        <w:rPr>
          <w:bCs/>
        </w:rPr>
        <w:t>DEF</w:t>
      </w:r>
      <w:r w:rsidRPr="004445B4">
        <w:rPr>
          <w:bCs/>
        </w:rPr>
        <w:t xml:space="preserve"> projected the average cost of natural gas to be $</w:t>
      </w:r>
      <w:r>
        <w:rPr>
          <w:bCs/>
        </w:rPr>
        <w:t>4</w:t>
      </w:r>
      <w:r w:rsidRPr="004445B4">
        <w:rPr>
          <w:bCs/>
        </w:rPr>
        <w:t>.</w:t>
      </w:r>
      <w:r>
        <w:rPr>
          <w:bCs/>
        </w:rPr>
        <w:t>06</w:t>
      </w:r>
      <w:r w:rsidRPr="004445B4">
        <w:rPr>
          <w:bCs/>
        </w:rPr>
        <w:t xml:space="preserve"> per MMBtu. </w:t>
      </w:r>
      <w:r>
        <w:rPr>
          <w:bCs/>
        </w:rPr>
        <w:t>DEF</w:t>
      </w:r>
      <w:r w:rsidRPr="004445B4">
        <w:rPr>
          <w:bCs/>
        </w:rPr>
        <w:t xml:space="preserve"> now projects the average 2020 cost of natural gas will be $</w:t>
      </w:r>
      <w:r>
        <w:rPr>
          <w:bCs/>
        </w:rPr>
        <w:t>3.68</w:t>
      </w:r>
      <w:r w:rsidRPr="004445B4">
        <w:rPr>
          <w:bCs/>
        </w:rPr>
        <w:t xml:space="preserve"> per MMBtu (</w:t>
      </w:r>
      <w:r>
        <w:rPr>
          <w:bCs/>
        </w:rPr>
        <w:t xml:space="preserve">or </w:t>
      </w:r>
      <w:r w:rsidRPr="004445B4">
        <w:rPr>
          <w:bCs/>
        </w:rPr>
        <w:t xml:space="preserve">reduction of </w:t>
      </w:r>
      <w:r>
        <w:rPr>
          <w:bCs/>
        </w:rPr>
        <w:t>9</w:t>
      </w:r>
      <w:r w:rsidRPr="004445B4">
        <w:rPr>
          <w:bCs/>
        </w:rPr>
        <w:t>.</w:t>
      </w:r>
      <w:r>
        <w:rPr>
          <w:bCs/>
        </w:rPr>
        <w:t>4</w:t>
      </w:r>
      <w:r w:rsidRPr="004445B4">
        <w:rPr>
          <w:bCs/>
        </w:rPr>
        <w:t xml:space="preserve"> percent).</w:t>
      </w:r>
    </w:p>
    <w:p w:rsidR="006B3A07" w:rsidRDefault="006B3A07" w:rsidP="006B3A07">
      <w:pPr>
        <w:jc w:val="both"/>
        <w:rPr>
          <w:bCs/>
        </w:rPr>
      </w:pPr>
    </w:p>
    <w:p w:rsidR="006B3A07" w:rsidRDefault="006B3A07" w:rsidP="006B3A07">
      <w:pPr>
        <w:jc w:val="both"/>
      </w:pPr>
      <w:r>
        <w:rPr>
          <w:bCs/>
        </w:rPr>
        <w:tab/>
        <w:t>DEF has proposed to address</w:t>
      </w:r>
      <w:r w:rsidRPr="00EB02D1">
        <w:rPr>
          <w:bCs/>
        </w:rPr>
        <w:t xml:space="preserve"> its 2020 </w:t>
      </w:r>
      <w:r>
        <w:rPr>
          <w:bCs/>
        </w:rPr>
        <w:t>mid-course amount</w:t>
      </w:r>
      <w:r w:rsidRPr="00EB02D1">
        <w:rPr>
          <w:bCs/>
        </w:rPr>
        <w:t xml:space="preserve"> of</w:t>
      </w:r>
      <w:r>
        <w:rPr>
          <w:bCs/>
        </w:rPr>
        <w:t xml:space="preserve"> approximately</w:t>
      </w:r>
      <w:r w:rsidRPr="00EB02D1">
        <w:rPr>
          <w:bCs/>
        </w:rPr>
        <w:t xml:space="preserve"> $</w:t>
      </w:r>
      <w:r>
        <w:rPr>
          <w:bCs/>
        </w:rPr>
        <w:t>78.2 million through</w:t>
      </w:r>
      <w:r w:rsidRPr="00EB02D1">
        <w:rPr>
          <w:bCs/>
        </w:rPr>
        <w:t xml:space="preserve"> reduced fuel cost recovery</w:t>
      </w:r>
      <w:r>
        <w:rPr>
          <w:bCs/>
        </w:rPr>
        <w:t xml:space="preserve"> factors for the month of May 2020</w:t>
      </w:r>
      <w:r w:rsidRPr="00A936FD">
        <w:rPr>
          <w:bCs/>
        </w:rPr>
        <w:t xml:space="preserve">. </w:t>
      </w:r>
      <w:r>
        <w:rPr>
          <w:bCs/>
        </w:rPr>
        <w:t xml:space="preserve"> DEF</w:t>
      </w:r>
      <w:r w:rsidRPr="00B12E39">
        <w:rPr>
          <w:bCs/>
        </w:rPr>
        <w:t xml:space="preserve"> did not revise any of its planned power purchases but “will continue to utilize power purchases when needed to economically and reliably support the needs of the system.”</w:t>
      </w:r>
      <w:r w:rsidRPr="00B12E39">
        <w:rPr>
          <w:rStyle w:val="FootnoteReference"/>
          <w:bCs/>
        </w:rPr>
        <w:footnoteReference w:id="25"/>
      </w:r>
      <w:r w:rsidRPr="00B12E39">
        <w:rPr>
          <w:bCs/>
        </w:rPr>
        <w:t xml:space="preserve"> </w:t>
      </w:r>
      <w:r>
        <w:rPr>
          <w:bCs/>
        </w:rPr>
        <w:t xml:space="preserve"> </w:t>
      </w:r>
      <w:r w:rsidRPr="00B12E39">
        <w:rPr>
          <w:bCs/>
        </w:rPr>
        <w:t>Further</w:t>
      </w:r>
      <w:r>
        <w:rPr>
          <w:bCs/>
        </w:rPr>
        <w:t xml:space="preserve">, DEF </w:t>
      </w:r>
      <w:r w:rsidRPr="00295A69">
        <w:t>did not propose any change</w:t>
      </w:r>
      <w:r>
        <w:t>s</w:t>
      </w:r>
      <w:r w:rsidRPr="00295A69">
        <w:t xml:space="preserve"> to its currently-approved </w:t>
      </w:r>
      <w:r>
        <w:t>Capacity Cost Recovery factors.</w:t>
      </w:r>
    </w:p>
    <w:p w:rsidR="006B3A07" w:rsidRDefault="006B3A07" w:rsidP="006B3A07">
      <w:pPr>
        <w:jc w:val="both"/>
      </w:pPr>
    </w:p>
    <w:p w:rsidR="006B3A07" w:rsidRDefault="006B3A07" w:rsidP="006B3A07">
      <w:pPr>
        <w:jc w:val="center"/>
        <w:rPr>
          <w:bCs/>
          <w:iCs/>
          <w:u w:val="single"/>
        </w:rPr>
      </w:pPr>
      <w:r w:rsidRPr="006B3A07">
        <w:rPr>
          <w:bCs/>
          <w:iCs/>
          <w:u w:val="single"/>
        </w:rPr>
        <w:t>Bill Impacts</w:t>
      </w:r>
    </w:p>
    <w:p w:rsidR="006B3A07" w:rsidRPr="006B3A07" w:rsidRDefault="006B3A07" w:rsidP="006B3A07">
      <w:pPr>
        <w:jc w:val="center"/>
        <w:rPr>
          <w:bCs/>
          <w:iCs/>
          <w:u w:val="single"/>
        </w:rPr>
      </w:pPr>
    </w:p>
    <w:p w:rsidR="006B3A07" w:rsidRDefault="006B3A07" w:rsidP="006B3A07">
      <w:pPr>
        <w:jc w:val="both"/>
      </w:pPr>
      <w:r>
        <w:tab/>
      </w:r>
      <w:r w:rsidRPr="00A936FD">
        <w:t>Table 4</w:t>
      </w:r>
      <w:r>
        <w:t xml:space="preserve"> below</w:t>
      </w:r>
      <w:r w:rsidRPr="00A936FD">
        <w:t xml:space="preserve"> display</w:t>
      </w:r>
      <w:r>
        <w:t>s</w:t>
      </w:r>
      <w:r w:rsidRPr="00A936FD">
        <w:t xml:space="preserve"> the rate impact to a residential customer using 1,000 kWh </w:t>
      </w:r>
      <w:r w:rsidRPr="006B005A">
        <w:t xml:space="preserve">of electricity </w:t>
      </w:r>
      <w:r w:rsidRPr="00A936FD">
        <w:t xml:space="preserve">a month and further discusses the effects of </w:t>
      </w:r>
      <w:r>
        <w:t>DEF</w:t>
      </w:r>
      <w:r w:rsidRPr="00A936FD">
        <w:t>’s request.</w:t>
      </w:r>
    </w:p>
    <w:p w:rsidR="006B3A07" w:rsidRDefault="006B3A07">
      <w:r>
        <w:br w:type="page"/>
      </w:r>
    </w:p>
    <w:tbl>
      <w:tblPr>
        <w:tblStyle w:val="TableGrid"/>
        <w:tblW w:w="9370" w:type="dxa"/>
        <w:tblInd w:w="-15" w:type="dxa"/>
        <w:tblLook w:val="04A0" w:firstRow="1" w:lastRow="0" w:firstColumn="1" w:lastColumn="0" w:noHBand="0" w:noVBand="1"/>
      </w:tblPr>
      <w:tblGrid>
        <w:gridCol w:w="2800"/>
        <w:gridCol w:w="1620"/>
        <w:gridCol w:w="1620"/>
        <w:gridCol w:w="1710"/>
        <w:gridCol w:w="1620"/>
      </w:tblGrid>
      <w:tr w:rsidR="006B3A07" w:rsidRPr="006912C5" w:rsidTr="00DF03ED">
        <w:trPr>
          <w:tblHeader/>
        </w:trPr>
        <w:tc>
          <w:tcPr>
            <w:tcW w:w="9370" w:type="dxa"/>
            <w:gridSpan w:val="5"/>
            <w:tcBorders>
              <w:top w:val="nil"/>
              <w:left w:val="nil"/>
              <w:bottom w:val="nil"/>
              <w:right w:val="nil"/>
            </w:tcBorders>
            <w:shd w:val="clear" w:color="auto" w:fill="auto"/>
            <w:vAlign w:val="bottom"/>
          </w:tcPr>
          <w:p w:rsidR="006B3A07" w:rsidRPr="000512D7" w:rsidRDefault="006B3A07" w:rsidP="006B3A07">
            <w:pPr>
              <w:pStyle w:val="FootnoteText"/>
              <w:jc w:val="center"/>
              <w:rPr>
                <w:b/>
                <w:bCs/>
                <w:color w:val="000000"/>
                <w:sz w:val="24"/>
                <w:szCs w:val="24"/>
              </w:rPr>
            </w:pPr>
            <w:r w:rsidRPr="000512D7">
              <w:rPr>
                <w:b/>
                <w:bCs/>
                <w:color w:val="000000"/>
                <w:sz w:val="24"/>
                <w:szCs w:val="24"/>
              </w:rPr>
              <w:t>Table 4</w:t>
            </w:r>
          </w:p>
        </w:tc>
      </w:tr>
      <w:tr w:rsidR="006B3A07" w:rsidRPr="006912C5" w:rsidTr="00DF03ED">
        <w:trPr>
          <w:tblHeader/>
        </w:trPr>
        <w:tc>
          <w:tcPr>
            <w:tcW w:w="9370" w:type="dxa"/>
            <w:gridSpan w:val="5"/>
            <w:tcBorders>
              <w:top w:val="nil"/>
              <w:left w:val="nil"/>
              <w:right w:val="nil"/>
            </w:tcBorders>
            <w:shd w:val="clear" w:color="auto" w:fill="auto"/>
            <w:vAlign w:val="bottom"/>
          </w:tcPr>
          <w:p w:rsidR="006B3A07" w:rsidRPr="000512D7" w:rsidRDefault="006B3A07" w:rsidP="00DF03ED">
            <w:pPr>
              <w:pStyle w:val="FootnoteText"/>
              <w:jc w:val="center"/>
              <w:rPr>
                <w:b/>
                <w:bCs/>
                <w:color w:val="000000"/>
                <w:sz w:val="24"/>
                <w:szCs w:val="24"/>
              </w:rPr>
            </w:pPr>
            <w:r w:rsidRPr="000512D7">
              <w:rPr>
                <w:b/>
                <w:bCs/>
                <w:color w:val="000000"/>
                <w:sz w:val="24"/>
                <w:szCs w:val="24"/>
              </w:rPr>
              <w:t>Monthly Residential Billing Detail at 1,000 kWh</w:t>
            </w:r>
          </w:p>
        </w:tc>
      </w:tr>
      <w:tr w:rsidR="006B3A07" w:rsidRPr="006912C5" w:rsidTr="00DF03ED">
        <w:trPr>
          <w:tblHeader/>
        </w:trPr>
        <w:tc>
          <w:tcPr>
            <w:tcW w:w="2800" w:type="dxa"/>
            <w:shd w:val="clear" w:color="auto" w:fill="auto"/>
            <w:vAlign w:val="bottom"/>
          </w:tcPr>
          <w:p w:rsidR="006B3A07" w:rsidRPr="00DE0B88" w:rsidRDefault="006B3A07" w:rsidP="00DF03ED">
            <w:pPr>
              <w:pStyle w:val="FootnoteText"/>
              <w:jc w:val="center"/>
              <w:rPr>
                <w:b/>
                <w:bCs/>
                <w:sz w:val="24"/>
                <w:szCs w:val="24"/>
              </w:rPr>
            </w:pPr>
            <w:r w:rsidRPr="00DE0B88">
              <w:rPr>
                <w:b/>
                <w:bCs/>
                <w:color w:val="000000"/>
                <w:sz w:val="22"/>
                <w:szCs w:val="22"/>
              </w:rPr>
              <w:t>Invoice Component</w:t>
            </w:r>
          </w:p>
        </w:tc>
        <w:tc>
          <w:tcPr>
            <w:tcW w:w="1620" w:type="dxa"/>
            <w:shd w:val="clear" w:color="auto" w:fill="auto"/>
            <w:vAlign w:val="bottom"/>
          </w:tcPr>
          <w:p w:rsidR="006B3A07" w:rsidRPr="00DE0B88" w:rsidRDefault="006B3A07" w:rsidP="00DF03ED">
            <w:pPr>
              <w:pStyle w:val="FootnoteText"/>
              <w:jc w:val="center"/>
              <w:rPr>
                <w:b/>
                <w:bCs/>
                <w:sz w:val="24"/>
                <w:szCs w:val="24"/>
              </w:rPr>
            </w:pPr>
            <w:r w:rsidRPr="00DE0B88">
              <w:rPr>
                <w:b/>
                <w:bCs/>
                <w:color w:val="000000"/>
                <w:sz w:val="22"/>
                <w:szCs w:val="22"/>
              </w:rPr>
              <w:t>Currently-Approved Charges</w:t>
            </w:r>
            <w:r>
              <w:rPr>
                <w:b/>
                <w:bCs/>
                <w:color w:val="000000"/>
                <w:sz w:val="22"/>
                <w:szCs w:val="22"/>
              </w:rPr>
              <w:t xml:space="preserve"> for April 2020</w:t>
            </w:r>
            <w:r w:rsidRPr="00DE0B88">
              <w:rPr>
                <w:rStyle w:val="FootnoteReference"/>
                <w:b/>
                <w:bCs/>
                <w:color w:val="000000"/>
                <w:sz w:val="22"/>
                <w:szCs w:val="22"/>
              </w:rPr>
              <w:footnoteReference w:id="26"/>
            </w:r>
          </w:p>
        </w:tc>
        <w:tc>
          <w:tcPr>
            <w:tcW w:w="1620" w:type="dxa"/>
            <w:shd w:val="clear" w:color="auto" w:fill="auto"/>
            <w:vAlign w:val="bottom"/>
          </w:tcPr>
          <w:p w:rsidR="006B3A07" w:rsidRPr="00DE0B88" w:rsidRDefault="006B3A07" w:rsidP="00DF03ED">
            <w:pPr>
              <w:pStyle w:val="FootnoteText"/>
              <w:jc w:val="center"/>
              <w:rPr>
                <w:b/>
                <w:bCs/>
                <w:sz w:val="24"/>
                <w:szCs w:val="24"/>
              </w:rPr>
            </w:pPr>
            <w:r w:rsidRPr="00DE0B88">
              <w:rPr>
                <w:b/>
                <w:bCs/>
                <w:color w:val="000000"/>
                <w:sz w:val="22"/>
                <w:szCs w:val="22"/>
              </w:rPr>
              <w:t>Proposed Charges for May 2020</w:t>
            </w:r>
          </w:p>
        </w:tc>
        <w:tc>
          <w:tcPr>
            <w:tcW w:w="1710" w:type="dxa"/>
            <w:shd w:val="clear" w:color="auto" w:fill="auto"/>
            <w:vAlign w:val="bottom"/>
          </w:tcPr>
          <w:p w:rsidR="006B3A07" w:rsidRPr="00DE0B88" w:rsidRDefault="006B3A07" w:rsidP="00DF03ED">
            <w:pPr>
              <w:pStyle w:val="FootnoteText"/>
              <w:jc w:val="center"/>
              <w:rPr>
                <w:b/>
                <w:bCs/>
                <w:sz w:val="24"/>
                <w:szCs w:val="24"/>
              </w:rPr>
            </w:pPr>
            <w:r w:rsidRPr="00DE0B88">
              <w:rPr>
                <w:b/>
                <w:bCs/>
                <w:color w:val="000000"/>
                <w:sz w:val="22"/>
                <w:szCs w:val="22"/>
              </w:rPr>
              <w:t>Approved to Proposed May 2020 Difference</w:t>
            </w:r>
          </w:p>
        </w:tc>
        <w:tc>
          <w:tcPr>
            <w:tcW w:w="1620" w:type="dxa"/>
            <w:shd w:val="clear" w:color="auto" w:fill="auto"/>
            <w:vAlign w:val="bottom"/>
          </w:tcPr>
          <w:p w:rsidR="006B3A07" w:rsidRPr="00DE0B88" w:rsidRDefault="006B3A07" w:rsidP="00DF03ED">
            <w:pPr>
              <w:pStyle w:val="FootnoteText"/>
              <w:jc w:val="center"/>
              <w:rPr>
                <w:b/>
                <w:bCs/>
                <w:sz w:val="24"/>
                <w:szCs w:val="24"/>
              </w:rPr>
            </w:pPr>
            <w:r w:rsidRPr="00DE0B88">
              <w:rPr>
                <w:b/>
                <w:bCs/>
                <w:color w:val="000000"/>
                <w:sz w:val="22"/>
                <w:szCs w:val="22"/>
              </w:rPr>
              <w:t>Approved Charges June-Dec. 2020</w:t>
            </w:r>
          </w:p>
        </w:tc>
      </w:tr>
      <w:tr w:rsidR="006B3A07" w:rsidRPr="006912C5" w:rsidTr="00DF03ED">
        <w:tc>
          <w:tcPr>
            <w:tcW w:w="2800" w:type="dxa"/>
            <w:shd w:val="clear" w:color="auto" w:fill="auto"/>
            <w:vAlign w:val="bottom"/>
          </w:tcPr>
          <w:p w:rsidR="006B3A07" w:rsidRPr="00C82BE9" w:rsidRDefault="006B3A07" w:rsidP="00DF03ED">
            <w:pPr>
              <w:pStyle w:val="FootnoteText"/>
              <w:rPr>
                <w:sz w:val="24"/>
                <w:szCs w:val="24"/>
              </w:rPr>
            </w:pPr>
            <w:r w:rsidRPr="00C82BE9">
              <w:rPr>
                <w:color w:val="000000"/>
                <w:sz w:val="22"/>
                <w:szCs w:val="22"/>
              </w:rPr>
              <w:t>Base Charge</w:t>
            </w:r>
          </w:p>
        </w:tc>
        <w:tc>
          <w:tcPr>
            <w:tcW w:w="1620" w:type="dxa"/>
            <w:shd w:val="clear" w:color="auto" w:fill="auto"/>
            <w:vAlign w:val="bottom"/>
          </w:tcPr>
          <w:p w:rsidR="006B3A07" w:rsidRPr="00BB56BD" w:rsidRDefault="006B3A07" w:rsidP="00DF03ED">
            <w:pPr>
              <w:pStyle w:val="FootnoteText"/>
              <w:jc w:val="right"/>
              <w:rPr>
                <w:sz w:val="22"/>
                <w:szCs w:val="22"/>
              </w:rPr>
            </w:pPr>
            <w:r>
              <w:rPr>
                <w:sz w:val="22"/>
                <w:szCs w:val="22"/>
              </w:rPr>
              <w:t>$</w:t>
            </w:r>
            <w:r w:rsidRPr="00BB56BD">
              <w:rPr>
                <w:sz w:val="22"/>
                <w:szCs w:val="22"/>
              </w:rPr>
              <w:t xml:space="preserve">71.96 </w:t>
            </w:r>
          </w:p>
        </w:tc>
        <w:tc>
          <w:tcPr>
            <w:tcW w:w="1620" w:type="dxa"/>
            <w:shd w:val="clear" w:color="auto" w:fill="auto"/>
            <w:vAlign w:val="bottom"/>
          </w:tcPr>
          <w:p w:rsidR="006B3A07" w:rsidRPr="00BB56BD" w:rsidRDefault="006B3A07" w:rsidP="00DF03ED">
            <w:pPr>
              <w:pStyle w:val="FootnoteText"/>
              <w:jc w:val="right"/>
              <w:rPr>
                <w:sz w:val="22"/>
                <w:szCs w:val="22"/>
              </w:rPr>
            </w:pPr>
            <w:r>
              <w:rPr>
                <w:sz w:val="22"/>
                <w:szCs w:val="22"/>
              </w:rPr>
              <w:t>$</w:t>
            </w:r>
            <w:r w:rsidRPr="00BB56BD">
              <w:rPr>
                <w:sz w:val="22"/>
                <w:szCs w:val="22"/>
              </w:rPr>
              <w:t xml:space="preserve">71.96 </w:t>
            </w:r>
          </w:p>
        </w:tc>
        <w:tc>
          <w:tcPr>
            <w:tcW w:w="1710" w:type="dxa"/>
            <w:shd w:val="clear" w:color="auto" w:fill="auto"/>
            <w:vAlign w:val="bottom"/>
          </w:tcPr>
          <w:p w:rsidR="006B3A07" w:rsidRPr="00BB56BD" w:rsidRDefault="006B3A07" w:rsidP="00DF03ED">
            <w:pPr>
              <w:pStyle w:val="FootnoteText"/>
              <w:jc w:val="right"/>
              <w:rPr>
                <w:sz w:val="22"/>
                <w:szCs w:val="22"/>
              </w:rPr>
            </w:pPr>
            <w:r>
              <w:rPr>
                <w:sz w:val="22"/>
                <w:szCs w:val="22"/>
              </w:rPr>
              <w:t>$0.00</w:t>
            </w:r>
          </w:p>
        </w:tc>
        <w:tc>
          <w:tcPr>
            <w:tcW w:w="1620" w:type="dxa"/>
            <w:shd w:val="clear" w:color="auto" w:fill="auto"/>
            <w:vAlign w:val="bottom"/>
          </w:tcPr>
          <w:p w:rsidR="006B3A07" w:rsidRPr="00BB56BD" w:rsidRDefault="006B3A07" w:rsidP="00DF03ED">
            <w:pPr>
              <w:pStyle w:val="FootnoteText"/>
              <w:jc w:val="right"/>
              <w:rPr>
                <w:sz w:val="22"/>
                <w:szCs w:val="22"/>
              </w:rPr>
            </w:pPr>
            <w:r>
              <w:rPr>
                <w:sz w:val="22"/>
                <w:szCs w:val="22"/>
              </w:rPr>
              <w:t>$</w:t>
            </w:r>
            <w:r w:rsidRPr="00BB56BD">
              <w:rPr>
                <w:sz w:val="22"/>
                <w:szCs w:val="22"/>
              </w:rPr>
              <w:t xml:space="preserve">71.96 </w:t>
            </w:r>
          </w:p>
        </w:tc>
      </w:tr>
      <w:tr w:rsidR="006B3A07" w:rsidRPr="006912C5" w:rsidTr="00DF03ED">
        <w:tc>
          <w:tcPr>
            <w:tcW w:w="2800" w:type="dxa"/>
            <w:shd w:val="clear" w:color="auto" w:fill="auto"/>
            <w:vAlign w:val="bottom"/>
          </w:tcPr>
          <w:p w:rsidR="006B3A07" w:rsidRPr="00C82BE9" w:rsidRDefault="006B3A07" w:rsidP="00DF03ED">
            <w:pPr>
              <w:pStyle w:val="FootnoteText"/>
              <w:rPr>
                <w:sz w:val="24"/>
                <w:szCs w:val="24"/>
              </w:rPr>
            </w:pPr>
            <w:r w:rsidRPr="00C82BE9">
              <w:rPr>
                <w:color w:val="000000"/>
                <w:sz w:val="22"/>
                <w:szCs w:val="22"/>
              </w:rPr>
              <w:t>Fuel Charge</w:t>
            </w:r>
          </w:p>
        </w:tc>
        <w:tc>
          <w:tcPr>
            <w:tcW w:w="1620" w:type="dxa"/>
            <w:shd w:val="clear" w:color="auto" w:fill="auto"/>
            <w:vAlign w:val="bottom"/>
          </w:tcPr>
          <w:p w:rsidR="006B3A07" w:rsidRPr="00BB56BD" w:rsidRDefault="006B3A07" w:rsidP="00DF03ED">
            <w:pPr>
              <w:pStyle w:val="FootnoteText"/>
              <w:jc w:val="right"/>
              <w:rPr>
                <w:sz w:val="22"/>
                <w:szCs w:val="22"/>
              </w:rPr>
            </w:pPr>
            <w:r w:rsidRPr="00BB56BD">
              <w:rPr>
                <w:sz w:val="22"/>
                <w:szCs w:val="22"/>
              </w:rPr>
              <w:t xml:space="preserve">30.67 </w:t>
            </w:r>
          </w:p>
        </w:tc>
        <w:tc>
          <w:tcPr>
            <w:tcW w:w="1620" w:type="dxa"/>
            <w:shd w:val="clear" w:color="auto" w:fill="auto"/>
            <w:vAlign w:val="bottom"/>
          </w:tcPr>
          <w:p w:rsidR="006B3A07" w:rsidRPr="00BB56BD" w:rsidRDefault="006B3A07" w:rsidP="00DF03ED">
            <w:pPr>
              <w:pStyle w:val="FootnoteText"/>
              <w:jc w:val="right"/>
              <w:rPr>
                <w:sz w:val="22"/>
                <w:szCs w:val="22"/>
              </w:rPr>
            </w:pPr>
            <w:r w:rsidRPr="00BB56BD">
              <w:rPr>
                <w:sz w:val="22"/>
                <w:szCs w:val="22"/>
              </w:rPr>
              <w:t xml:space="preserve">4.50 </w:t>
            </w:r>
          </w:p>
        </w:tc>
        <w:tc>
          <w:tcPr>
            <w:tcW w:w="1710" w:type="dxa"/>
            <w:shd w:val="clear" w:color="auto" w:fill="auto"/>
            <w:vAlign w:val="bottom"/>
          </w:tcPr>
          <w:p w:rsidR="006B3A07" w:rsidRPr="00BB56BD" w:rsidRDefault="006B3A07" w:rsidP="00DF03ED">
            <w:pPr>
              <w:pStyle w:val="FootnoteText"/>
              <w:jc w:val="right"/>
              <w:rPr>
                <w:sz w:val="22"/>
                <w:szCs w:val="22"/>
              </w:rPr>
            </w:pPr>
            <w:r>
              <w:rPr>
                <w:sz w:val="22"/>
                <w:szCs w:val="22"/>
              </w:rPr>
              <w:t>(</w:t>
            </w:r>
            <w:r w:rsidRPr="00BB56BD">
              <w:rPr>
                <w:sz w:val="22"/>
                <w:szCs w:val="22"/>
              </w:rPr>
              <w:t>26.17)</w:t>
            </w:r>
          </w:p>
        </w:tc>
        <w:tc>
          <w:tcPr>
            <w:tcW w:w="1620" w:type="dxa"/>
            <w:shd w:val="clear" w:color="auto" w:fill="auto"/>
            <w:vAlign w:val="bottom"/>
          </w:tcPr>
          <w:p w:rsidR="006B3A07" w:rsidRPr="00BB56BD" w:rsidRDefault="006B3A07" w:rsidP="00DF03ED">
            <w:pPr>
              <w:pStyle w:val="FootnoteText"/>
              <w:jc w:val="right"/>
              <w:rPr>
                <w:sz w:val="22"/>
                <w:szCs w:val="22"/>
              </w:rPr>
            </w:pPr>
            <w:r w:rsidRPr="00BB56BD">
              <w:rPr>
                <w:sz w:val="22"/>
                <w:szCs w:val="22"/>
              </w:rPr>
              <w:t xml:space="preserve">30.67 </w:t>
            </w:r>
          </w:p>
        </w:tc>
      </w:tr>
      <w:tr w:rsidR="006B3A07" w:rsidRPr="006912C5" w:rsidTr="00DF03ED">
        <w:tc>
          <w:tcPr>
            <w:tcW w:w="2800" w:type="dxa"/>
            <w:shd w:val="clear" w:color="auto" w:fill="auto"/>
            <w:vAlign w:val="bottom"/>
          </w:tcPr>
          <w:p w:rsidR="006B3A07" w:rsidRPr="00C82BE9" w:rsidRDefault="006B3A07" w:rsidP="00DF03ED">
            <w:pPr>
              <w:pStyle w:val="FootnoteText"/>
              <w:rPr>
                <w:sz w:val="24"/>
                <w:szCs w:val="24"/>
              </w:rPr>
            </w:pPr>
            <w:r w:rsidRPr="00C82BE9">
              <w:rPr>
                <w:color w:val="000000"/>
                <w:sz w:val="22"/>
                <w:szCs w:val="22"/>
              </w:rPr>
              <w:t>Conservation Charge</w:t>
            </w:r>
          </w:p>
        </w:tc>
        <w:tc>
          <w:tcPr>
            <w:tcW w:w="1620" w:type="dxa"/>
            <w:shd w:val="clear" w:color="auto" w:fill="auto"/>
            <w:vAlign w:val="bottom"/>
          </w:tcPr>
          <w:p w:rsidR="006B3A07" w:rsidRPr="00BB56BD" w:rsidRDefault="006B3A07" w:rsidP="00DF03ED">
            <w:pPr>
              <w:pStyle w:val="FootnoteText"/>
              <w:jc w:val="right"/>
              <w:rPr>
                <w:sz w:val="22"/>
                <w:szCs w:val="22"/>
              </w:rPr>
            </w:pPr>
            <w:r w:rsidRPr="00BB56BD">
              <w:rPr>
                <w:sz w:val="22"/>
                <w:szCs w:val="22"/>
              </w:rPr>
              <w:t xml:space="preserve">3.39 </w:t>
            </w:r>
          </w:p>
        </w:tc>
        <w:tc>
          <w:tcPr>
            <w:tcW w:w="1620" w:type="dxa"/>
            <w:shd w:val="clear" w:color="auto" w:fill="auto"/>
            <w:vAlign w:val="bottom"/>
          </w:tcPr>
          <w:p w:rsidR="006B3A07" w:rsidRPr="00BB56BD" w:rsidRDefault="006B3A07" w:rsidP="00DF03ED">
            <w:pPr>
              <w:pStyle w:val="FootnoteText"/>
              <w:jc w:val="right"/>
              <w:rPr>
                <w:sz w:val="22"/>
                <w:szCs w:val="22"/>
              </w:rPr>
            </w:pPr>
            <w:r w:rsidRPr="00BB56BD">
              <w:rPr>
                <w:sz w:val="22"/>
                <w:szCs w:val="22"/>
              </w:rPr>
              <w:t xml:space="preserve">3.39 </w:t>
            </w:r>
          </w:p>
        </w:tc>
        <w:tc>
          <w:tcPr>
            <w:tcW w:w="1710" w:type="dxa"/>
            <w:shd w:val="clear" w:color="auto" w:fill="auto"/>
            <w:vAlign w:val="bottom"/>
          </w:tcPr>
          <w:p w:rsidR="006B3A07" w:rsidRPr="00BB56BD" w:rsidRDefault="006B3A07" w:rsidP="00DF03ED">
            <w:pPr>
              <w:pStyle w:val="FootnoteText"/>
              <w:jc w:val="right"/>
              <w:rPr>
                <w:sz w:val="22"/>
                <w:szCs w:val="22"/>
              </w:rPr>
            </w:pPr>
            <w:r>
              <w:rPr>
                <w:sz w:val="22"/>
                <w:szCs w:val="22"/>
              </w:rPr>
              <w:t>0.00</w:t>
            </w:r>
          </w:p>
        </w:tc>
        <w:tc>
          <w:tcPr>
            <w:tcW w:w="1620" w:type="dxa"/>
            <w:shd w:val="clear" w:color="auto" w:fill="auto"/>
            <w:vAlign w:val="bottom"/>
          </w:tcPr>
          <w:p w:rsidR="006B3A07" w:rsidRPr="00BB56BD" w:rsidRDefault="006B3A07" w:rsidP="00DF03ED">
            <w:pPr>
              <w:pStyle w:val="FootnoteText"/>
              <w:jc w:val="right"/>
              <w:rPr>
                <w:sz w:val="22"/>
                <w:szCs w:val="22"/>
              </w:rPr>
            </w:pPr>
            <w:r w:rsidRPr="00BB56BD">
              <w:rPr>
                <w:sz w:val="22"/>
                <w:szCs w:val="22"/>
              </w:rPr>
              <w:t xml:space="preserve">3.39 </w:t>
            </w:r>
          </w:p>
        </w:tc>
      </w:tr>
      <w:tr w:rsidR="006B3A07" w:rsidRPr="006912C5" w:rsidTr="00DF03ED">
        <w:tc>
          <w:tcPr>
            <w:tcW w:w="2800" w:type="dxa"/>
            <w:shd w:val="clear" w:color="auto" w:fill="auto"/>
            <w:vAlign w:val="bottom"/>
          </w:tcPr>
          <w:p w:rsidR="006B3A07" w:rsidRPr="00C82BE9" w:rsidRDefault="006B3A07" w:rsidP="00DF03ED">
            <w:pPr>
              <w:pStyle w:val="FootnoteText"/>
              <w:rPr>
                <w:sz w:val="24"/>
                <w:szCs w:val="24"/>
              </w:rPr>
            </w:pPr>
            <w:r w:rsidRPr="00C82BE9">
              <w:rPr>
                <w:color w:val="000000"/>
                <w:sz w:val="22"/>
                <w:szCs w:val="22"/>
              </w:rPr>
              <w:t>Capacity Charge</w:t>
            </w:r>
          </w:p>
        </w:tc>
        <w:tc>
          <w:tcPr>
            <w:tcW w:w="1620" w:type="dxa"/>
            <w:shd w:val="clear" w:color="auto" w:fill="auto"/>
            <w:vAlign w:val="bottom"/>
          </w:tcPr>
          <w:p w:rsidR="006B3A07" w:rsidRPr="00BB56BD" w:rsidRDefault="006B3A07" w:rsidP="00DF03ED">
            <w:pPr>
              <w:pStyle w:val="FootnoteText"/>
              <w:jc w:val="right"/>
              <w:rPr>
                <w:sz w:val="22"/>
                <w:szCs w:val="22"/>
              </w:rPr>
            </w:pPr>
            <w:r w:rsidRPr="00BB56BD">
              <w:rPr>
                <w:color w:val="000000"/>
                <w:sz w:val="22"/>
                <w:szCs w:val="22"/>
              </w:rPr>
              <w:t xml:space="preserve">12.00 </w:t>
            </w:r>
          </w:p>
        </w:tc>
        <w:tc>
          <w:tcPr>
            <w:tcW w:w="1620" w:type="dxa"/>
            <w:shd w:val="clear" w:color="auto" w:fill="auto"/>
            <w:vAlign w:val="bottom"/>
          </w:tcPr>
          <w:p w:rsidR="006B3A07" w:rsidRPr="00BB56BD" w:rsidRDefault="006B3A07" w:rsidP="00DF03ED">
            <w:pPr>
              <w:pStyle w:val="FootnoteText"/>
              <w:jc w:val="right"/>
              <w:rPr>
                <w:sz w:val="22"/>
                <w:szCs w:val="22"/>
              </w:rPr>
            </w:pPr>
            <w:r w:rsidRPr="00BB56BD">
              <w:rPr>
                <w:color w:val="000000"/>
                <w:sz w:val="22"/>
                <w:szCs w:val="22"/>
              </w:rPr>
              <w:t xml:space="preserve">12.00 </w:t>
            </w:r>
          </w:p>
        </w:tc>
        <w:tc>
          <w:tcPr>
            <w:tcW w:w="1710" w:type="dxa"/>
            <w:shd w:val="clear" w:color="auto" w:fill="auto"/>
            <w:vAlign w:val="bottom"/>
          </w:tcPr>
          <w:p w:rsidR="006B3A07" w:rsidRPr="00BB56BD" w:rsidRDefault="006B3A07" w:rsidP="00DF03ED">
            <w:pPr>
              <w:pStyle w:val="FootnoteText"/>
              <w:jc w:val="right"/>
              <w:rPr>
                <w:sz w:val="22"/>
                <w:szCs w:val="22"/>
              </w:rPr>
            </w:pPr>
            <w:r>
              <w:rPr>
                <w:sz w:val="22"/>
                <w:szCs w:val="22"/>
              </w:rPr>
              <w:t>0.00</w:t>
            </w:r>
          </w:p>
        </w:tc>
        <w:tc>
          <w:tcPr>
            <w:tcW w:w="1620" w:type="dxa"/>
            <w:shd w:val="clear" w:color="auto" w:fill="auto"/>
            <w:vAlign w:val="bottom"/>
          </w:tcPr>
          <w:p w:rsidR="006B3A07" w:rsidRPr="00BB56BD" w:rsidRDefault="006B3A07" w:rsidP="00DF03ED">
            <w:pPr>
              <w:pStyle w:val="FootnoteText"/>
              <w:jc w:val="right"/>
              <w:rPr>
                <w:sz w:val="22"/>
                <w:szCs w:val="22"/>
              </w:rPr>
            </w:pPr>
            <w:r w:rsidRPr="00BB56BD">
              <w:rPr>
                <w:color w:val="000000"/>
                <w:sz w:val="22"/>
                <w:szCs w:val="22"/>
              </w:rPr>
              <w:t xml:space="preserve">12.00 </w:t>
            </w:r>
          </w:p>
        </w:tc>
      </w:tr>
      <w:tr w:rsidR="006B3A07" w:rsidRPr="006912C5" w:rsidTr="00DF03ED">
        <w:tc>
          <w:tcPr>
            <w:tcW w:w="2800" w:type="dxa"/>
            <w:shd w:val="clear" w:color="auto" w:fill="auto"/>
            <w:vAlign w:val="bottom"/>
          </w:tcPr>
          <w:p w:rsidR="006B3A07" w:rsidRPr="00C82BE9" w:rsidRDefault="006B3A07" w:rsidP="00DF03ED">
            <w:pPr>
              <w:pStyle w:val="FootnoteText"/>
              <w:rPr>
                <w:sz w:val="24"/>
                <w:szCs w:val="24"/>
              </w:rPr>
            </w:pPr>
            <w:r w:rsidRPr="00C82BE9">
              <w:rPr>
                <w:color w:val="000000"/>
                <w:sz w:val="22"/>
                <w:szCs w:val="22"/>
              </w:rPr>
              <w:t>Environmental Charge</w:t>
            </w:r>
          </w:p>
        </w:tc>
        <w:tc>
          <w:tcPr>
            <w:tcW w:w="1620" w:type="dxa"/>
            <w:shd w:val="clear" w:color="auto" w:fill="auto"/>
            <w:vAlign w:val="bottom"/>
          </w:tcPr>
          <w:p w:rsidR="006B3A07" w:rsidRPr="00BB56BD" w:rsidRDefault="006B3A07" w:rsidP="00DF03ED">
            <w:pPr>
              <w:pStyle w:val="FootnoteText"/>
              <w:jc w:val="right"/>
              <w:rPr>
                <w:sz w:val="22"/>
                <w:szCs w:val="22"/>
              </w:rPr>
            </w:pPr>
            <w:r w:rsidRPr="00BB56BD">
              <w:rPr>
                <w:color w:val="000000"/>
                <w:sz w:val="22"/>
                <w:szCs w:val="22"/>
              </w:rPr>
              <w:t xml:space="preserve">0.79 </w:t>
            </w:r>
          </w:p>
        </w:tc>
        <w:tc>
          <w:tcPr>
            <w:tcW w:w="1620" w:type="dxa"/>
            <w:shd w:val="clear" w:color="auto" w:fill="auto"/>
            <w:vAlign w:val="bottom"/>
          </w:tcPr>
          <w:p w:rsidR="006B3A07" w:rsidRPr="00BB56BD" w:rsidRDefault="006B3A07" w:rsidP="00DF03ED">
            <w:pPr>
              <w:pStyle w:val="FootnoteText"/>
              <w:jc w:val="right"/>
              <w:rPr>
                <w:sz w:val="22"/>
                <w:szCs w:val="22"/>
              </w:rPr>
            </w:pPr>
            <w:r w:rsidRPr="00BB56BD">
              <w:rPr>
                <w:color w:val="000000"/>
                <w:sz w:val="22"/>
                <w:szCs w:val="22"/>
              </w:rPr>
              <w:t xml:space="preserve">0.79 </w:t>
            </w:r>
          </w:p>
        </w:tc>
        <w:tc>
          <w:tcPr>
            <w:tcW w:w="1710" w:type="dxa"/>
            <w:shd w:val="clear" w:color="auto" w:fill="auto"/>
            <w:vAlign w:val="bottom"/>
          </w:tcPr>
          <w:p w:rsidR="006B3A07" w:rsidRPr="00BB56BD" w:rsidRDefault="006B3A07" w:rsidP="00DF03ED">
            <w:pPr>
              <w:pStyle w:val="FootnoteText"/>
              <w:jc w:val="right"/>
              <w:rPr>
                <w:sz w:val="22"/>
                <w:szCs w:val="22"/>
              </w:rPr>
            </w:pPr>
            <w:r>
              <w:rPr>
                <w:sz w:val="22"/>
                <w:szCs w:val="22"/>
              </w:rPr>
              <w:t>0.00</w:t>
            </w:r>
          </w:p>
        </w:tc>
        <w:tc>
          <w:tcPr>
            <w:tcW w:w="1620" w:type="dxa"/>
            <w:shd w:val="clear" w:color="auto" w:fill="auto"/>
            <w:vAlign w:val="bottom"/>
          </w:tcPr>
          <w:p w:rsidR="006B3A07" w:rsidRPr="00BB56BD" w:rsidRDefault="006B3A07" w:rsidP="00DF03ED">
            <w:pPr>
              <w:pStyle w:val="FootnoteText"/>
              <w:jc w:val="right"/>
              <w:rPr>
                <w:sz w:val="22"/>
                <w:szCs w:val="22"/>
              </w:rPr>
            </w:pPr>
            <w:r w:rsidRPr="00BB56BD">
              <w:rPr>
                <w:color w:val="000000"/>
                <w:sz w:val="22"/>
                <w:szCs w:val="22"/>
              </w:rPr>
              <w:t xml:space="preserve">0.79 </w:t>
            </w:r>
          </w:p>
        </w:tc>
      </w:tr>
      <w:tr w:rsidR="006B3A07" w:rsidRPr="006912C5" w:rsidTr="00DF03ED">
        <w:tc>
          <w:tcPr>
            <w:tcW w:w="2800" w:type="dxa"/>
            <w:shd w:val="clear" w:color="auto" w:fill="auto"/>
            <w:vAlign w:val="bottom"/>
          </w:tcPr>
          <w:p w:rsidR="006B3A07" w:rsidRPr="00C82BE9" w:rsidRDefault="006B3A07" w:rsidP="00DF03ED">
            <w:pPr>
              <w:pStyle w:val="FootnoteText"/>
              <w:rPr>
                <w:color w:val="000000"/>
                <w:sz w:val="22"/>
                <w:szCs w:val="22"/>
              </w:rPr>
            </w:pPr>
            <w:r w:rsidRPr="000021A4">
              <w:rPr>
                <w:color w:val="000000"/>
                <w:sz w:val="22"/>
                <w:szCs w:val="22"/>
              </w:rPr>
              <w:t>Storm Charge</w:t>
            </w:r>
          </w:p>
        </w:tc>
        <w:tc>
          <w:tcPr>
            <w:tcW w:w="1620" w:type="dxa"/>
            <w:shd w:val="clear" w:color="auto" w:fill="auto"/>
            <w:vAlign w:val="bottom"/>
          </w:tcPr>
          <w:p w:rsidR="006B3A07" w:rsidRPr="00BB56BD" w:rsidRDefault="006B3A07" w:rsidP="00DF03ED">
            <w:pPr>
              <w:pStyle w:val="FootnoteText"/>
              <w:jc w:val="right"/>
              <w:rPr>
                <w:sz w:val="22"/>
                <w:szCs w:val="22"/>
              </w:rPr>
            </w:pPr>
            <w:r w:rsidRPr="00BB56BD">
              <w:rPr>
                <w:sz w:val="22"/>
                <w:szCs w:val="22"/>
              </w:rPr>
              <w:t xml:space="preserve">5.34 </w:t>
            </w:r>
          </w:p>
        </w:tc>
        <w:tc>
          <w:tcPr>
            <w:tcW w:w="1620" w:type="dxa"/>
            <w:shd w:val="clear" w:color="auto" w:fill="auto"/>
            <w:vAlign w:val="bottom"/>
          </w:tcPr>
          <w:p w:rsidR="006B3A07" w:rsidRPr="00BB56BD" w:rsidRDefault="006B3A07" w:rsidP="00DF03ED">
            <w:pPr>
              <w:pStyle w:val="FootnoteText"/>
              <w:jc w:val="right"/>
              <w:rPr>
                <w:sz w:val="22"/>
                <w:szCs w:val="22"/>
              </w:rPr>
            </w:pPr>
            <w:r w:rsidRPr="00BB56BD">
              <w:rPr>
                <w:color w:val="000000"/>
                <w:sz w:val="22"/>
                <w:szCs w:val="22"/>
              </w:rPr>
              <w:t xml:space="preserve">5.34 </w:t>
            </w:r>
          </w:p>
        </w:tc>
        <w:tc>
          <w:tcPr>
            <w:tcW w:w="1710" w:type="dxa"/>
            <w:shd w:val="clear" w:color="auto" w:fill="auto"/>
            <w:vAlign w:val="bottom"/>
          </w:tcPr>
          <w:p w:rsidR="006B3A07" w:rsidRPr="00BB56BD" w:rsidRDefault="006B3A07" w:rsidP="00DF03ED">
            <w:pPr>
              <w:pStyle w:val="FootnoteText"/>
              <w:jc w:val="right"/>
              <w:rPr>
                <w:color w:val="000000"/>
                <w:sz w:val="22"/>
                <w:szCs w:val="22"/>
              </w:rPr>
            </w:pPr>
            <w:r>
              <w:rPr>
                <w:color w:val="000000"/>
                <w:sz w:val="22"/>
                <w:szCs w:val="22"/>
              </w:rPr>
              <w:t>0.00</w:t>
            </w:r>
          </w:p>
        </w:tc>
        <w:tc>
          <w:tcPr>
            <w:tcW w:w="1620" w:type="dxa"/>
            <w:shd w:val="clear" w:color="auto" w:fill="auto"/>
            <w:vAlign w:val="bottom"/>
          </w:tcPr>
          <w:p w:rsidR="006B3A07" w:rsidRPr="00BB56BD" w:rsidRDefault="006B3A07" w:rsidP="00DF03ED">
            <w:pPr>
              <w:pStyle w:val="FootnoteText"/>
              <w:jc w:val="right"/>
              <w:rPr>
                <w:sz w:val="22"/>
                <w:szCs w:val="22"/>
              </w:rPr>
            </w:pPr>
            <w:r w:rsidRPr="00BB56BD">
              <w:rPr>
                <w:sz w:val="22"/>
                <w:szCs w:val="22"/>
              </w:rPr>
              <w:t xml:space="preserve">5.34 </w:t>
            </w:r>
          </w:p>
        </w:tc>
      </w:tr>
      <w:tr w:rsidR="006B3A07" w:rsidRPr="006912C5" w:rsidTr="00DF03ED">
        <w:tc>
          <w:tcPr>
            <w:tcW w:w="2800" w:type="dxa"/>
            <w:shd w:val="clear" w:color="auto" w:fill="auto"/>
            <w:vAlign w:val="bottom"/>
          </w:tcPr>
          <w:p w:rsidR="006B3A07" w:rsidRPr="000021A4" w:rsidRDefault="006B3A07" w:rsidP="00DF03ED">
            <w:pPr>
              <w:pStyle w:val="FootnoteText"/>
              <w:rPr>
                <w:color w:val="000000"/>
                <w:sz w:val="22"/>
                <w:szCs w:val="22"/>
              </w:rPr>
            </w:pPr>
            <w:r>
              <w:rPr>
                <w:color w:val="000000"/>
                <w:sz w:val="22"/>
                <w:szCs w:val="22"/>
              </w:rPr>
              <w:t>Asset Securitization Charge</w:t>
            </w:r>
          </w:p>
        </w:tc>
        <w:tc>
          <w:tcPr>
            <w:tcW w:w="1620" w:type="dxa"/>
            <w:shd w:val="clear" w:color="auto" w:fill="auto"/>
            <w:vAlign w:val="bottom"/>
          </w:tcPr>
          <w:p w:rsidR="006B3A07" w:rsidRPr="00316F06" w:rsidRDefault="006B3A07" w:rsidP="00DF03ED">
            <w:pPr>
              <w:pStyle w:val="FootnoteText"/>
              <w:jc w:val="right"/>
              <w:rPr>
                <w:sz w:val="22"/>
                <w:szCs w:val="22"/>
                <w:u w:val="single"/>
              </w:rPr>
            </w:pPr>
            <w:r w:rsidRPr="00316F06">
              <w:rPr>
                <w:sz w:val="22"/>
                <w:szCs w:val="22"/>
                <w:u w:val="single"/>
              </w:rPr>
              <w:t xml:space="preserve">2.35 </w:t>
            </w:r>
          </w:p>
        </w:tc>
        <w:tc>
          <w:tcPr>
            <w:tcW w:w="1620" w:type="dxa"/>
            <w:shd w:val="clear" w:color="auto" w:fill="auto"/>
            <w:vAlign w:val="bottom"/>
          </w:tcPr>
          <w:p w:rsidR="006B3A07" w:rsidRPr="00316F06" w:rsidRDefault="006B3A07" w:rsidP="00DF03ED">
            <w:pPr>
              <w:pStyle w:val="FootnoteText"/>
              <w:jc w:val="right"/>
              <w:rPr>
                <w:color w:val="000000"/>
                <w:sz w:val="22"/>
                <w:szCs w:val="22"/>
                <w:u w:val="single"/>
              </w:rPr>
            </w:pPr>
            <w:r w:rsidRPr="00316F06">
              <w:rPr>
                <w:color w:val="000000"/>
                <w:sz w:val="22"/>
                <w:szCs w:val="22"/>
                <w:u w:val="single"/>
              </w:rPr>
              <w:t xml:space="preserve">2.35 </w:t>
            </w:r>
          </w:p>
        </w:tc>
        <w:tc>
          <w:tcPr>
            <w:tcW w:w="1710" w:type="dxa"/>
            <w:shd w:val="clear" w:color="auto" w:fill="auto"/>
            <w:vAlign w:val="bottom"/>
          </w:tcPr>
          <w:p w:rsidR="006B3A07" w:rsidRPr="00316F06" w:rsidRDefault="006B3A07" w:rsidP="00DF03ED">
            <w:pPr>
              <w:pStyle w:val="FootnoteText"/>
              <w:jc w:val="right"/>
              <w:rPr>
                <w:color w:val="000000"/>
                <w:sz w:val="22"/>
                <w:szCs w:val="22"/>
                <w:u w:val="single"/>
              </w:rPr>
            </w:pPr>
            <w:r>
              <w:rPr>
                <w:color w:val="000000"/>
                <w:sz w:val="22"/>
                <w:szCs w:val="22"/>
                <w:u w:val="single"/>
              </w:rPr>
              <w:t>0.00</w:t>
            </w:r>
          </w:p>
        </w:tc>
        <w:tc>
          <w:tcPr>
            <w:tcW w:w="1620" w:type="dxa"/>
            <w:shd w:val="clear" w:color="auto" w:fill="auto"/>
            <w:vAlign w:val="bottom"/>
          </w:tcPr>
          <w:p w:rsidR="006B3A07" w:rsidRPr="00316F06" w:rsidRDefault="006B3A07" w:rsidP="00DF03ED">
            <w:pPr>
              <w:pStyle w:val="FootnoteText"/>
              <w:jc w:val="right"/>
              <w:rPr>
                <w:color w:val="000000"/>
                <w:sz w:val="22"/>
                <w:szCs w:val="22"/>
                <w:u w:val="single"/>
              </w:rPr>
            </w:pPr>
            <w:r w:rsidRPr="00316F06">
              <w:rPr>
                <w:sz w:val="22"/>
                <w:szCs w:val="22"/>
                <w:u w:val="single"/>
              </w:rPr>
              <w:t xml:space="preserve">2.35 </w:t>
            </w:r>
          </w:p>
        </w:tc>
      </w:tr>
      <w:tr w:rsidR="006B3A07" w:rsidRPr="006912C5" w:rsidTr="00DF03ED">
        <w:tc>
          <w:tcPr>
            <w:tcW w:w="2800" w:type="dxa"/>
            <w:shd w:val="clear" w:color="auto" w:fill="auto"/>
            <w:vAlign w:val="bottom"/>
          </w:tcPr>
          <w:p w:rsidR="006B3A07" w:rsidRPr="00C82BE9" w:rsidRDefault="006B3A07" w:rsidP="00DF03ED">
            <w:pPr>
              <w:pStyle w:val="FootnoteText"/>
              <w:rPr>
                <w:sz w:val="24"/>
                <w:szCs w:val="24"/>
              </w:rPr>
            </w:pPr>
            <w:r w:rsidRPr="00C82BE9">
              <w:rPr>
                <w:color w:val="000000"/>
                <w:sz w:val="22"/>
                <w:szCs w:val="22"/>
              </w:rPr>
              <w:t>Gross Receipts Tax</w:t>
            </w:r>
          </w:p>
        </w:tc>
        <w:tc>
          <w:tcPr>
            <w:tcW w:w="1620" w:type="dxa"/>
            <w:shd w:val="clear" w:color="auto" w:fill="auto"/>
            <w:vAlign w:val="bottom"/>
          </w:tcPr>
          <w:p w:rsidR="006B3A07" w:rsidRPr="00316F06" w:rsidRDefault="006B3A07" w:rsidP="00DF03ED">
            <w:pPr>
              <w:pStyle w:val="FootnoteText"/>
              <w:jc w:val="right"/>
              <w:rPr>
                <w:sz w:val="22"/>
                <w:szCs w:val="22"/>
                <w:u w:val="single"/>
              </w:rPr>
            </w:pPr>
            <w:r w:rsidRPr="00316F06">
              <w:rPr>
                <w:sz w:val="22"/>
                <w:szCs w:val="22"/>
                <w:u w:val="single"/>
              </w:rPr>
              <w:t xml:space="preserve">3.24 </w:t>
            </w:r>
          </w:p>
        </w:tc>
        <w:tc>
          <w:tcPr>
            <w:tcW w:w="1620" w:type="dxa"/>
            <w:shd w:val="clear" w:color="auto" w:fill="auto"/>
            <w:vAlign w:val="bottom"/>
          </w:tcPr>
          <w:p w:rsidR="006B3A07" w:rsidRPr="00316F06" w:rsidRDefault="006B3A07" w:rsidP="00DF03ED">
            <w:pPr>
              <w:pStyle w:val="FootnoteText"/>
              <w:jc w:val="right"/>
              <w:rPr>
                <w:sz w:val="22"/>
                <w:szCs w:val="22"/>
                <w:u w:val="single"/>
              </w:rPr>
            </w:pPr>
            <w:r w:rsidRPr="00316F06">
              <w:rPr>
                <w:color w:val="000000"/>
                <w:sz w:val="22"/>
                <w:szCs w:val="22"/>
                <w:u w:val="single"/>
              </w:rPr>
              <w:t xml:space="preserve">2.57 </w:t>
            </w:r>
          </w:p>
        </w:tc>
        <w:tc>
          <w:tcPr>
            <w:tcW w:w="1710" w:type="dxa"/>
            <w:shd w:val="clear" w:color="auto" w:fill="auto"/>
            <w:vAlign w:val="bottom"/>
          </w:tcPr>
          <w:p w:rsidR="006B3A07" w:rsidRPr="00316F06" w:rsidRDefault="006B3A07" w:rsidP="00DF03ED">
            <w:pPr>
              <w:pStyle w:val="FootnoteText"/>
              <w:jc w:val="right"/>
              <w:rPr>
                <w:sz w:val="22"/>
                <w:szCs w:val="22"/>
                <w:u w:val="single"/>
              </w:rPr>
            </w:pPr>
            <w:r>
              <w:rPr>
                <w:sz w:val="22"/>
                <w:szCs w:val="22"/>
                <w:u w:val="single"/>
              </w:rPr>
              <w:t>(</w:t>
            </w:r>
            <w:r w:rsidRPr="00316F06">
              <w:rPr>
                <w:sz w:val="22"/>
                <w:szCs w:val="22"/>
                <w:u w:val="single"/>
              </w:rPr>
              <w:t>0.67)</w:t>
            </w:r>
          </w:p>
        </w:tc>
        <w:tc>
          <w:tcPr>
            <w:tcW w:w="1620" w:type="dxa"/>
            <w:shd w:val="clear" w:color="auto" w:fill="auto"/>
            <w:vAlign w:val="bottom"/>
          </w:tcPr>
          <w:p w:rsidR="006B3A07" w:rsidRPr="00316F06" w:rsidRDefault="006B3A07" w:rsidP="00DF03ED">
            <w:pPr>
              <w:pStyle w:val="FootnoteText"/>
              <w:jc w:val="right"/>
              <w:rPr>
                <w:sz w:val="22"/>
                <w:szCs w:val="22"/>
                <w:u w:val="single"/>
              </w:rPr>
            </w:pPr>
            <w:r w:rsidRPr="00316F06">
              <w:rPr>
                <w:sz w:val="22"/>
                <w:szCs w:val="22"/>
                <w:u w:val="single"/>
              </w:rPr>
              <w:t xml:space="preserve">3.24 </w:t>
            </w:r>
          </w:p>
        </w:tc>
      </w:tr>
      <w:tr w:rsidR="006B3A07" w:rsidRPr="006912C5" w:rsidTr="00DF03ED">
        <w:trPr>
          <w:trHeight w:val="278"/>
        </w:trPr>
        <w:tc>
          <w:tcPr>
            <w:tcW w:w="2800" w:type="dxa"/>
            <w:shd w:val="clear" w:color="auto" w:fill="auto"/>
            <w:vAlign w:val="bottom"/>
          </w:tcPr>
          <w:p w:rsidR="006B3A07" w:rsidRPr="00DE0B88" w:rsidRDefault="006B3A07" w:rsidP="00DF03ED">
            <w:pPr>
              <w:pStyle w:val="FootnoteText"/>
              <w:rPr>
                <w:b/>
                <w:bCs/>
                <w:sz w:val="24"/>
                <w:szCs w:val="24"/>
              </w:rPr>
            </w:pPr>
            <w:r w:rsidRPr="00DE0B88">
              <w:rPr>
                <w:b/>
                <w:bCs/>
                <w:color w:val="000000"/>
                <w:sz w:val="22"/>
                <w:szCs w:val="22"/>
              </w:rPr>
              <w:t>Total</w:t>
            </w:r>
          </w:p>
        </w:tc>
        <w:tc>
          <w:tcPr>
            <w:tcW w:w="1620" w:type="dxa"/>
            <w:shd w:val="clear" w:color="auto" w:fill="auto"/>
            <w:vAlign w:val="bottom"/>
          </w:tcPr>
          <w:p w:rsidR="006B3A07" w:rsidRPr="00BB56BD" w:rsidRDefault="006B3A07" w:rsidP="00DF03ED">
            <w:pPr>
              <w:pStyle w:val="FootnoteText"/>
              <w:jc w:val="right"/>
              <w:rPr>
                <w:sz w:val="22"/>
                <w:szCs w:val="22"/>
                <w:u w:val="double"/>
              </w:rPr>
            </w:pPr>
            <w:r w:rsidRPr="00BB56BD">
              <w:rPr>
                <w:sz w:val="22"/>
                <w:szCs w:val="22"/>
                <w:u w:val="double"/>
              </w:rPr>
              <w:t>$129.74</w:t>
            </w:r>
          </w:p>
        </w:tc>
        <w:tc>
          <w:tcPr>
            <w:tcW w:w="1620" w:type="dxa"/>
            <w:shd w:val="clear" w:color="auto" w:fill="auto"/>
            <w:vAlign w:val="bottom"/>
          </w:tcPr>
          <w:p w:rsidR="006B3A07" w:rsidRPr="00BB56BD" w:rsidRDefault="006B3A07" w:rsidP="00DF03ED">
            <w:pPr>
              <w:pStyle w:val="FootnoteText"/>
              <w:jc w:val="right"/>
              <w:rPr>
                <w:sz w:val="22"/>
                <w:szCs w:val="22"/>
                <w:u w:val="double"/>
              </w:rPr>
            </w:pPr>
            <w:r w:rsidRPr="00BB56BD">
              <w:rPr>
                <w:sz w:val="22"/>
                <w:szCs w:val="22"/>
                <w:u w:val="double"/>
              </w:rPr>
              <w:t>$102.90</w:t>
            </w:r>
          </w:p>
        </w:tc>
        <w:tc>
          <w:tcPr>
            <w:tcW w:w="1710" w:type="dxa"/>
            <w:shd w:val="clear" w:color="auto" w:fill="auto"/>
            <w:vAlign w:val="bottom"/>
          </w:tcPr>
          <w:p w:rsidR="006B3A07" w:rsidRPr="00BB56BD" w:rsidRDefault="006B3A07" w:rsidP="00DF03ED">
            <w:pPr>
              <w:pStyle w:val="FootnoteText"/>
              <w:jc w:val="right"/>
              <w:rPr>
                <w:sz w:val="22"/>
                <w:szCs w:val="22"/>
                <w:u w:val="double"/>
              </w:rPr>
            </w:pPr>
            <w:r w:rsidRPr="00BB56BD">
              <w:rPr>
                <w:sz w:val="22"/>
                <w:szCs w:val="22"/>
                <w:u w:val="double"/>
              </w:rPr>
              <w:t>($26.84)</w:t>
            </w:r>
          </w:p>
        </w:tc>
        <w:tc>
          <w:tcPr>
            <w:tcW w:w="1620" w:type="dxa"/>
            <w:shd w:val="clear" w:color="auto" w:fill="auto"/>
            <w:vAlign w:val="bottom"/>
          </w:tcPr>
          <w:p w:rsidR="006B3A07" w:rsidRPr="00BB56BD" w:rsidRDefault="006B3A07" w:rsidP="00DF03ED">
            <w:pPr>
              <w:pStyle w:val="FootnoteText"/>
              <w:jc w:val="right"/>
              <w:rPr>
                <w:sz w:val="22"/>
                <w:szCs w:val="22"/>
                <w:u w:val="double"/>
              </w:rPr>
            </w:pPr>
            <w:r w:rsidRPr="00BB56BD">
              <w:rPr>
                <w:sz w:val="22"/>
                <w:szCs w:val="22"/>
                <w:u w:val="double"/>
              </w:rPr>
              <w:t>$129.74</w:t>
            </w:r>
          </w:p>
        </w:tc>
      </w:tr>
    </w:tbl>
    <w:p w:rsidR="006B3A07" w:rsidRPr="0022052D" w:rsidRDefault="006B3A07" w:rsidP="006B3A07">
      <w:pPr>
        <w:pStyle w:val="FootnoteText"/>
      </w:pPr>
      <w:r w:rsidRPr="0022052D">
        <w:t xml:space="preserve">Source: </w:t>
      </w:r>
      <w:r w:rsidRPr="00B12E39">
        <w:t xml:space="preserve">DEF Petition, Schedule E-10 and Order No. </w:t>
      </w:r>
      <w:bookmarkStart w:id="11" w:name="_Hlk37645943"/>
      <w:r w:rsidRPr="00B12E39">
        <w:t>PSC-2019-0292-FOF-EI</w:t>
      </w:r>
      <w:bookmarkEnd w:id="11"/>
      <w:r w:rsidRPr="00B12E39">
        <w:t>.</w:t>
      </w:r>
    </w:p>
    <w:p w:rsidR="006B3A07" w:rsidRDefault="006B3A07" w:rsidP="006B3A07">
      <w:pPr>
        <w:jc w:val="both"/>
      </w:pPr>
    </w:p>
    <w:p w:rsidR="006B3A07" w:rsidRDefault="006B3A07" w:rsidP="006B3A07">
      <w:pPr>
        <w:jc w:val="both"/>
      </w:pPr>
      <w:r>
        <w:tab/>
        <w:t>DEF</w:t>
      </w:r>
      <w:r w:rsidRPr="007E7498">
        <w:t xml:space="preserve">’s </w:t>
      </w:r>
      <w:r w:rsidRPr="00A31C95">
        <w:t>curren</w:t>
      </w:r>
      <w:r>
        <w:t>t total residential charge for</w:t>
      </w:r>
      <w:r w:rsidRPr="00A31C95">
        <w:t xml:space="preserve"> 1,000 kWh of usage</w:t>
      </w:r>
      <w:r w:rsidRPr="007E7498">
        <w:t xml:space="preserve"> is $129.7</w:t>
      </w:r>
      <w:r>
        <w:t>4</w:t>
      </w:r>
      <w:r w:rsidRPr="00077D24">
        <w:t>.</w:t>
      </w:r>
      <w:r>
        <w:t xml:space="preserve">  </w:t>
      </w:r>
      <w:r w:rsidRPr="0039212D">
        <w:t xml:space="preserve">By applying the proposed one-month fuel rate decrease, the total charge lowers to </w:t>
      </w:r>
      <w:r>
        <w:t xml:space="preserve">$102.90, or a reduction of $26.84 (20.7 percent) for the month of May 2020.  DEF requested that it be allowed to return to the rates approved by </w:t>
      </w:r>
      <w:r w:rsidRPr="004C64B2">
        <w:t>Order No</w:t>
      </w:r>
      <w:r>
        <w:t xml:space="preserve">. </w:t>
      </w:r>
      <w:r w:rsidRPr="004C64B2">
        <w:t>PSC-2019-0484-FOF-EI</w:t>
      </w:r>
      <w:r>
        <w:t xml:space="preserve"> following the one-time May reduction (from June through December 2020).  </w:t>
      </w:r>
      <w:r w:rsidRPr="009E6E8E">
        <w:t>Concerning non-residential</w:t>
      </w:r>
      <w:r>
        <w:t xml:space="preserve"> customers, t</w:t>
      </w:r>
      <w:r w:rsidRPr="00644BEB">
        <w:t>ypical</w:t>
      </w:r>
      <w:r>
        <w:t xml:space="preserve"> bill</w:t>
      </w:r>
      <w:r w:rsidRPr="00644BEB">
        <w:t xml:space="preserve"> reduction</w:t>
      </w:r>
      <w:r>
        <w:t>s</w:t>
      </w:r>
      <w:r w:rsidRPr="00644BEB">
        <w:t xml:space="preserve"> will range from approximately 20</w:t>
      </w:r>
      <w:r>
        <w:t xml:space="preserve"> to </w:t>
      </w:r>
      <w:r w:rsidRPr="00644BEB">
        <w:t>32</w:t>
      </w:r>
      <w:r>
        <w:t xml:space="preserve"> percent</w:t>
      </w:r>
      <w:r w:rsidRPr="00644BEB">
        <w:t xml:space="preserve"> for commercial customers</w:t>
      </w:r>
      <w:r>
        <w:t>,</w:t>
      </w:r>
      <w:r w:rsidRPr="00644BEB">
        <w:t xml:space="preserve"> and approximately 25</w:t>
      </w:r>
      <w:r>
        <w:t xml:space="preserve"> to </w:t>
      </w:r>
      <w:r w:rsidRPr="00644BEB">
        <w:t>45</w:t>
      </w:r>
      <w:r>
        <w:t xml:space="preserve"> percent</w:t>
      </w:r>
      <w:r w:rsidRPr="00644BEB">
        <w:t xml:space="preserve"> for industrial customers.</w:t>
      </w:r>
      <w:r>
        <w:rPr>
          <w:rStyle w:val="FootnoteReference"/>
        </w:rPr>
        <w:footnoteReference w:id="27"/>
      </w:r>
      <w:r>
        <w:t xml:space="preserve">  DEF’s proposed tariff is shown on Attachment D</w:t>
      </w:r>
      <w:r w:rsidR="000512D7">
        <w:t>, attached to this order.</w:t>
      </w:r>
      <w:r>
        <w:t xml:space="preserve">  DEF </w:t>
      </w:r>
      <w:r w:rsidRPr="00AF5D64">
        <w:t xml:space="preserve">will provide notice of </w:t>
      </w:r>
      <w:r>
        <w:t>the</w:t>
      </w:r>
      <w:r w:rsidRPr="00AF5D64">
        <w:t xml:space="preserve"> changes with the May billing statement and on its website</w:t>
      </w:r>
      <w:r w:rsidRPr="00A23BF4">
        <w:t>.</w:t>
      </w:r>
      <w:r>
        <w:t xml:space="preserve"> </w:t>
      </w:r>
    </w:p>
    <w:p w:rsidR="006B3A07" w:rsidRDefault="006B3A07" w:rsidP="006B3A07">
      <w:pPr>
        <w:jc w:val="both"/>
      </w:pPr>
    </w:p>
    <w:p w:rsidR="00BB6E41" w:rsidRDefault="006B3A07" w:rsidP="006B3A07">
      <w:pPr>
        <w:jc w:val="both"/>
      </w:pPr>
      <w:r>
        <w:tab/>
        <w:t xml:space="preserve">For the reasons stated above, we hereby </w:t>
      </w:r>
      <w:r w:rsidRPr="005F4DB1">
        <w:t xml:space="preserve">approve DEF’s petition to reduce, for one month, its currently-approved 2020 fuel cost recovery factors for purposes of flowing to customers a projected over-recovery of fuel charges in the month of May 2020. </w:t>
      </w:r>
      <w:r>
        <w:t xml:space="preserve"> </w:t>
      </w:r>
      <w:r w:rsidRPr="005F4DB1">
        <w:t xml:space="preserve">The tariffs as shown on Attachment D </w:t>
      </w:r>
      <w:r>
        <w:t xml:space="preserve">are hereby </w:t>
      </w:r>
      <w:r w:rsidRPr="005F4DB1">
        <w:t xml:space="preserve">approved effective May 1, 2020. </w:t>
      </w:r>
      <w:r>
        <w:t xml:space="preserve"> Finally, Commission s</w:t>
      </w:r>
      <w:r w:rsidRPr="005F4DB1">
        <w:t xml:space="preserve">taff </w:t>
      </w:r>
      <w:r>
        <w:t xml:space="preserve">is hereby </w:t>
      </w:r>
      <w:r w:rsidRPr="005F4DB1">
        <w:t xml:space="preserve">given administrative authority to approve tariffs effective June 1, 2020, </w:t>
      </w:r>
      <w:r>
        <w:t>that r</w:t>
      </w:r>
      <w:r w:rsidRPr="005F4DB1">
        <w:t>eflect the fuel factors approved in Order No. PSC-2019-0484-FOF-EI.</w:t>
      </w:r>
    </w:p>
    <w:p w:rsidR="00BB6E41" w:rsidRDefault="00BB6E41" w:rsidP="00BB6E41">
      <w:pPr>
        <w:jc w:val="both"/>
      </w:pPr>
    </w:p>
    <w:p w:rsidR="00BB6E41" w:rsidRDefault="00E424AD" w:rsidP="00BB6E41">
      <w:pPr>
        <w:jc w:val="both"/>
      </w:pPr>
      <w:r>
        <w:tab/>
        <w:t>Based on the foregoing, it is</w:t>
      </w:r>
    </w:p>
    <w:p w:rsidR="00E424AD" w:rsidRDefault="00E424AD" w:rsidP="00BB6E41">
      <w:pPr>
        <w:jc w:val="both"/>
      </w:pPr>
    </w:p>
    <w:p w:rsidR="00E424AD" w:rsidRDefault="00E424AD" w:rsidP="00BB6E41">
      <w:pPr>
        <w:jc w:val="both"/>
        <w:rPr>
          <w:iCs/>
        </w:rPr>
      </w:pPr>
      <w:r>
        <w:tab/>
        <w:t xml:space="preserve">ORDERED by the Florida Public Service Commission that Tampa Electric Company’s </w:t>
      </w:r>
      <w:r w:rsidRPr="00E424AD">
        <w:rPr>
          <w:iCs/>
        </w:rPr>
        <w:t>Petition for Mid-Course Correction of its Fuel Cost Recovery Factors and Capacity Cost Recovery Factors</w:t>
      </w:r>
      <w:r>
        <w:rPr>
          <w:iCs/>
        </w:rPr>
        <w:t xml:space="preserve"> is hereby granted.  It is further</w:t>
      </w:r>
    </w:p>
    <w:p w:rsidR="00E424AD" w:rsidRDefault="00E424AD" w:rsidP="00BB6E41">
      <w:pPr>
        <w:jc w:val="both"/>
        <w:rPr>
          <w:iCs/>
        </w:rPr>
      </w:pPr>
    </w:p>
    <w:p w:rsidR="00E424AD" w:rsidRDefault="00E424AD" w:rsidP="00BB6E41">
      <w:pPr>
        <w:jc w:val="both"/>
        <w:rPr>
          <w:bCs/>
        </w:rPr>
      </w:pPr>
      <w:r>
        <w:rPr>
          <w:iCs/>
        </w:rPr>
        <w:tab/>
        <w:t xml:space="preserve">ORDERED that </w:t>
      </w:r>
      <w:r w:rsidRPr="00E44C6D">
        <w:rPr>
          <w:bCs/>
        </w:rPr>
        <w:t>Tampa Electric</w:t>
      </w:r>
      <w:r>
        <w:rPr>
          <w:bCs/>
        </w:rPr>
        <w:t xml:space="preserve"> Company shall</w:t>
      </w:r>
      <w:r w:rsidRPr="00A3390B">
        <w:rPr>
          <w:bCs/>
        </w:rPr>
        <w:t xml:space="preserve"> </w:t>
      </w:r>
      <w:r>
        <w:rPr>
          <w:bCs/>
        </w:rPr>
        <w:t xml:space="preserve">reduce </w:t>
      </w:r>
      <w:r w:rsidRPr="00A3390B">
        <w:rPr>
          <w:bCs/>
        </w:rPr>
        <w:t xml:space="preserve">its currently-approved 2020 fuel and capacity cost recovery </w:t>
      </w:r>
      <w:r>
        <w:rPr>
          <w:bCs/>
        </w:rPr>
        <w:t xml:space="preserve">factors for </w:t>
      </w:r>
      <w:r w:rsidRPr="00A3390B">
        <w:rPr>
          <w:bCs/>
        </w:rPr>
        <w:t xml:space="preserve">purposes of </w:t>
      </w:r>
      <w:r>
        <w:rPr>
          <w:bCs/>
        </w:rPr>
        <w:t>flowing</w:t>
      </w:r>
      <w:r w:rsidRPr="00A3390B">
        <w:rPr>
          <w:bCs/>
        </w:rPr>
        <w:t xml:space="preserve"> </w:t>
      </w:r>
      <w:r>
        <w:rPr>
          <w:bCs/>
        </w:rPr>
        <w:t xml:space="preserve">back </w:t>
      </w:r>
      <w:r w:rsidRPr="00A3390B">
        <w:rPr>
          <w:bCs/>
        </w:rPr>
        <w:t>to customers a projected over-recovery of fuel and capacity charges during the period of June through December 2020</w:t>
      </w:r>
      <w:r>
        <w:rPr>
          <w:bCs/>
        </w:rPr>
        <w:t>, and shall issue fuel-related bill credits in the months of June, July, and August 2020, as detailed in the body of this order.  It is further</w:t>
      </w:r>
    </w:p>
    <w:p w:rsidR="00E424AD" w:rsidRDefault="00E424AD" w:rsidP="00BB6E41">
      <w:pPr>
        <w:jc w:val="both"/>
        <w:rPr>
          <w:bCs/>
        </w:rPr>
      </w:pPr>
    </w:p>
    <w:p w:rsidR="00E424AD" w:rsidRDefault="00E424AD" w:rsidP="00BB6E41">
      <w:pPr>
        <w:jc w:val="both"/>
      </w:pPr>
      <w:r>
        <w:rPr>
          <w:bCs/>
        </w:rPr>
        <w:tab/>
      </w:r>
      <w:r w:rsidR="00F62D67">
        <w:rPr>
          <w:bCs/>
        </w:rPr>
        <w:t xml:space="preserve">ORDERED </w:t>
      </w:r>
      <w:r>
        <w:rPr>
          <w:bCs/>
        </w:rPr>
        <w:t xml:space="preserve">that </w:t>
      </w:r>
      <w:r w:rsidR="001639D6">
        <w:rPr>
          <w:bCs/>
        </w:rPr>
        <w:t xml:space="preserve">the Seventy-Ninth Revised Sheet No. 6.020, </w:t>
      </w:r>
      <w:r>
        <w:t>contained in Attachment A</w:t>
      </w:r>
      <w:r w:rsidR="001639D6">
        <w:t>,</w:t>
      </w:r>
      <w:r w:rsidRPr="00BC4040">
        <w:t xml:space="preserve"> </w:t>
      </w:r>
      <w:r w:rsidR="001639D6">
        <w:t>is hereby</w:t>
      </w:r>
      <w:r>
        <w:t xml:space="preserve"> approved effective </w:t>
      </w:r>
      <w:r w:rsidRPr="00BC4040">
        <w:t>June 1, 2020.</w:t>
      </w:r>
      <w:r>
        <w:t xml:space="preserve">  It is further</w:t>
      </w:r>
    </w:p>
    <w:p w:rsidR="00E424AD" w:rsidRDefault="00E424AD" w:rsidP="00BB6E41">
      <w:pPr>
        <w:jc w:val="both"/>
      </w:pPr>
    </w:p>
    <w:p w:rsidR="00E424AD" w:rsidRPr="00E424AD" w:rsidRDefault="00E424AD" w:rsidP="00BB6E41">
      <w:pPr>
        <w:jc w:val="both"/>
      </w:pPr>
      <w:r>
        <w:tab/>
        <w:t>ORDERED that Commission s</w:t>
      </w:r>
      <w:r w:rsidRPr="00BC4040">
        <w:t xml:space="preserve">taff </w:t>
      </w:r>
      <w:r>
        <w:t xml:space="preserve">shall have administrative </w:t>
      </w:r>
      <w:r w:rsidRPr="00BC4040">
        <w:t>authority to approve the First Revised Tariff Sheet No. 6.023,</w:t>
      </w:r>
      <w:r>
        <w:t xml:space="preserve"> contained </w:t>
      </w:r>
      <w:r w:rsidR="00F62D67">
        <w:t>i</w:t>
      </w:r>
      <w:r>
        <w:t xml:space="preserve">n Attachment </w:t>
      </w:r>
      <w:r w:rsidR="001639D6">
        <w:t xml:space="preserve">A, </w:t>
      </w:r>
      <w:r w:rsidRPr="00BC4040">
        <w:t>effective September 2020.</w:t>
      </w:r>
      <w:r w:rsidR="001639D6">
        <w:t xml:space="preserve">  It is further </w:t>
      </w:r>
    </w:p>
    <w:p w:rsidR="00BB6E41" w:rsidRPr="00E424AD" w:rsidRDefault="00BB6E41" w:rsidP="00BB6E41">
      <w:pPr>
        <w:jc w:val="both"/>
      </w:pPr>
    </w:p>
    <w:p w:rsidR="006D2B36" w:rsidRDefault="001639D6" w:rsidP="00594C38">
      <w:pPr>
        <w:pStyle w:val="CenterUnderline"/>
        <w:jc w:val="both"/>
        <w:rPr>
          <w:iCs/>
          <w:u w:val="none"/>
        </w:rPr>
      </w:pPr>
      <w:r>
        <w:rPr>
          <w:u w:val="none"/>
        </w:rPr>
        <w:tab/>
        <w:t xml:space="preserve">ORDERED that </w:t>
      </w:r>
      <w:r w:rsidR="00F62D67" w:rsidRPr="00F62D67">
        <w:rPr>
          <w:u w:val="none"/>
        </w:rPr>
        <w:t>Florida Power &amp; Light Company</w:t>
      </w:r>
      <w:r w:rsidR="00F62D67">
        <w:rPr>
          <w:u w:val="none"/>
        </w:rPr>
        <w:t>’s</w:t>
      </w:r>
      <w:r w:rsidR="00F62D67" w:rsidRPr="00F62D67">
        <w:rPr>
          <w:u w:val="none"/>
        </w:rPr>
        <w:t xml:space="preserve"> </w:t>
      </w:r>
      <w:r w:rsidR="00F62D67" w:rsidRPr="00F62D67">
        <w:rPr>
          <w:iCs/>
          <w:u w:val="none"/>
        </w:rPr>
        <w:t>Mid-Course Correction Petition</w:t>
      </w:r>
      <w:r w:rsidR="00F62D67">
        <w:rPr>
          <w:iCs/>
          <w:u w:val="none"/>
        </w:rPr>
        <w:t xml:space="preserve"> is hereby granted.  It is further</w:t>
      </w:r>
    </w:p>
    <w:p w:rsidR="00F62D67" w:rsidRDefault="00F62D67" w:rsidP="00594C38">
      <w:pPr>
        <w:pStyle w:val="CenterUnderline"/>
        <w:jc w:val="both"/>
        <w:rPr>
          <w:iCs/>
          <w:u w:val="none"/>
        </w:rPr>
      </w:pPr>
    </w:p>
    <w:p w:rsidR="00F62D67" w:rsidRDefault="00F62D67" w:rsidP="00594C38">
      <w:pPr>
        <w:pStyle w:val="CenterUnderline"/>
        <w:jc w:val="both"/>
        <w:rPr>
          <w:u w:val="none"/>
        </w:rPr>
      </w:pPr>
      <w:r>
        <w:rPr>
          <w:iCs/>
          <w:u w:val="none"/>
        </w:rPr>
        <w:tab/>
        <w:t xml:space="preserve">ORDERED that Florida Power &amp; Light Company shall </w:t>
      </w:r>
      <w:r w:rsidRPr="00F62D67">
        <w:rPr>
          <w:u w:val="none"/>
        </w:rPr>
        <w:t xml:space="preserve">reduce, for one month, its currently-approved 2020 fuel cost recovery factors for purposes of flowing </w:t>
      </w:r>
      <w:r>
        <w:rPr>
          <w:u w:val="none"/>
        </w:rPr>
        <w:t xml:space="preserve">back </w:t>
      </w:r>
      <w:r w:rsidRPr="00F62D67">
        <w:rPr>
          <w:u w:val="none"/>
        </w:rPr>
        <w:t xml:space="preserve">to </w:t>
      </w:r>
      <w:r>
        <w:rPr>
          <w:u w:val="none"/>
        </w:rPr>
        <w:t xml:space="preserve">its </w:t>
      </w:r>
      <w:r w:rsidRPr="00F62D67">
        <w:rPr>
          <w:u w:val="none"/>
        </w:rPr>
        <w:t>customers a projected over-recovery of 2020 fuel charges in the month of May 2020.</w:t>
      </w:r>
      <w:r>
        <w:rPr>
          <w:u w:val="none"/>
        </w:rPr>
        <w:t xml:space="preserve">  It is further</w:t>
      </w:r>
    </w:p>
    <w:p w:rsidR="00F62D67" w:rsidRDefault="00F62D67" w:rsidP="00594C38">
      <w:pPr>
        <w:pStyle w:val="CenterUnderline"/>
        <w:jc w:val="both"/>
        <w:rPr>
          <w:u w:val="none"/>
        </w:rPr>
      </w:pPr>
    </w:p>
    <w:p w:rsidR="00F62D67" w:rsidRDefault="00F62D67" w:rsidP="00594C38">
      <w:pPr>
        <w:pStyle w:val="CenterUnderline"/>
        <w:jc w:val="both"/>
        <w:rPr>
          <w:u w:val="none"/>
        </w:rPr>
      </w:pPr>
      <w:r>
        <w:rPr>
          <w:u w:val="none"/>
        </w:rPr>
        <w:tab/>
        <w:t>ORDERED that t</w:t>
      </w:r>
      <w:r w:rsidRPr="00F62D67">
        <w:rPr>
          <w:u w:val="none"/>
        </w:rPr>
        <w:t>he tariffs as shown on Attachment B sh</w:t>
      </w:r>
      <w:r w:rsidR="000512D7">
        <w:rPr>
          <w:u w:val="none"/>
        </w:rPr>
        <w:t>all</w:t>
      </w:r>
      <w:r w:rsidRPr="00F62D67">
        <w:rPr>
          <w:u w:val="none"/>
        </w:rPr>
        <w:t xml:space="preserve"> be approved effective May 1, 2020.</w:t>
      </w:r>
      <w:r>
        <w:rPr>
          <w:u w:val="none"/>
        </w:rPr>
        <w:t xml:space="preserve">  It is further</w:t>
      </w:r>
    </w:p>
    <w:p w:rsidR="00F62D67" w:rsidRDefault="00F62D67" w:rsidP="00594C38">
      <w:pPr>
        <w:pStyle w:val="CenterUnderline"/>
        <w:jc w:val="both"/>
        <w:rPr>
          <w:u w:val="none"/>
        </w:rPr>
      </w:pPr>
    </w:p>
    <w:p w:rsidR="00F62D67" w:rsidRDefault="00F62D67" w:rsidP="00594C38">
      <w:pPr>
        <w:pStyle w:val="CenterUnderline"/>
        <w:jc w:val="both"/>
        <w:rPr>
          <w:iCs/>
          <w:u w:val="none"/>
        </w:rPr>
      </w:pPr>
      <w:r>
        <w:rPr>
          <w:u w:val="none"/>
        </w:rPr>
        <w:tab/>
        <w:t>ORDERED that Commission staff shall have a</w:t>
      </w:r>
      <w:r w:rsidRPr="00F62D67">
        <w:rPr>
          <w:u w:val="none"/>
        </w:rPr>
        <w:t xml:space="preserve">dministrative authority to approve tariffs effective June 1, 2020, </w:t>
      </w:r>
      <w:r>
        <w:rPr>
          <w:u w:val="none"/>
        </w:rPr>
        <w:t xml:space="preserve">that </w:t>
      </w:r>
      <w:r w:rsidRPr="00F62D67">
        <w:rPr>
          <w:u w:val="none"/>
        </w:rPr>
        <w:t>reflect the fuel factors approved in Order No. PSC-2019-0484-FOF-EI.</w:t>
      </w:r>
      <w:r w:rsidRPr="00F62D67">
        <w:rPr>
          <w:iCs/>
          <w:u w:val="none"/>
        </w:rPr>
        <w:t xml:space="preserve"> </w:t>
      </w:r>
      <w:r w:rsidR="00170F2B">
        <w:rPr>
          <w:iCs/>
          <w:u w:val="none"/>
        </w:rPr>
        <w:t xml:space="preserve"> It is further</w:t>
      </w:r>
    </w:p>
    <w:p w:rsidR="00170F2B" w:rsidRDefault="00170F2B" w:rsidP="00594C38">
      <w:pPr>
        <w:pStyle w:val="CenterUnderline"/>
        <w:jc w:val="both"/>
        <w:rPr>
          <w:iCs/>
          <w:u w:val="none"/>
        </w:rPr>
      </w:pPr>
    </w:p>
    <w:p w:rsidR="00170F2B" w:rsidRDefault="00170F2B" w:rsidP="00594C38">
      <w:pPr>
        <w:pStyle w:val="CenterUnderline"/>
        <w:jc w:val="both"/>
        <w:rPr>
          <w:u w:val="none"/>
        </w:rPr>
      </w:pPr>
      <w:r>
        <w:rPr>
          <w:iCs/>
          <w:u w:val="none"/>
        </w:rPr>
        <w:tab/>
        <w:t xml:space="preserve">ORDERED that </w:t>
      </w:r>
      <w:r w:rsidRPr="00170F2B">
        <w:rPr>
          <w:u w:val="none"/>
        </w:rPr>
        <w:t>Gulf Power Company</w:t>
      </w:r>
      <w:r>
        <w:rPr>
          <w:u w:val="none"/>
        </w:rPr>
        <w:t xml:space="preserve">’s </w:t>
      </w:r>
      <w:r w:rsidRPr="00170F2B">
        <w:rPr>
          <w:iCs/>
          <w:u w:val="none"/>
        </w:rPr>
        <w:t>Mid-Course Correction Petition</w:t>
      </w:r>
      <w:r w:rsidRPr="00170F2B">
        <w:rPr>
          <w:u w:val="none"/>
        </w:rPr>
        <w:t xml:space="preserve"> </w:t>
      </w:r>
      <w:r>
        <w:rPr>
          <w:u w:val="none"/>
        </w:rPr>
        <w:t xml:space="preserve">is hereby </w:t>
      </w:r>
      <w:r w:rsidR="00DF03ED">
        <w:rPr>
          <w:u w:val="none"/>
        </w:rPr>
        <w:t>grante</w:t>
      </w:r>
      <w:r>
        <w:rPr>
          <w:u w:val="none"/>
        </w:rPr>
        <w:t>d.  It is further</w:t>
      </w:r>
    </w:p>
    <w:p w:rsidR="00170F2B" w:rsidRDefault="00170F2B" w:rsidP="00594C38">
      <w:pPr>
        <w:pStyle w:val="CenterUnderline"/>
        <w:jc w:val="both"/>
        <w:rPr>
          <w:u w:val="none"/>
        </w:rPr>
      </w:pPr>
    </w:p>
    <w:p w:rsidR="00170F2B" w:rsidRDefault="00170F2B" w:rsidP="00594C38">
      <w:pPr>
        <w:pStyle w:val="CenterUnderline"/>
        <w:jc w:val="both"/>
        <w:rPr>
          <w:u w:val="none"/>
        </w:rPr>
      </w:pPr>
      <w:r>
        <w:rPr>
          <w:u w:val="none"/>
        </w:rPr>
        <w:tab/>
        <w:t xml:space="preserve">ORDERED that Gulf Power Company shall </w:t>
      </w:r>
      <w:r w:rsidRPr="00170F2B">
        <w:rPr>
          <w:u w:val="none"/>
        </w:rPr>
        <w:t>provide customers a fuel-related bill credit during the month of May 2020 for purposes of flowing back to customers a projected over-recovery of fuel costs.</w:t>
      </w:r>
      <w:r>
        <w:rPr>
          <w:u w:val="none"/>
        </w:rPr>
        <w:t xml:space="preserve">  It is further</w:t>
      </w:r>
    </w:p>
    <w:p w:rsidR="00170F2B" w:rsidRDefault="00170F2B" w:rsidP="00594C38">
      <w:pPr>
        <w:pStyle w:val="CenterUnderline"/>
        <w:jc w:val="both"/>
        <w:rPr>
          <w:u w:val="none"/>
        </w:rPr>
      </w:pPr>
    </w:p>
    <w:p w:rsidR="00170F2B" w:rsidRDefault="00170F2B" w:rsidP="00594C38">
      <w:pPr>
        <w:pStyle w:val="CenterUnderline"/>
        <w:jc w:val="both"/>
        <w:rPr>
          <w:u w:val="none"/>
        </w:rPr>
      </w:pPr>
      <w:r>
        <w:rPr>
          <w:u w:val="none"/>
        </w:rPr>
        <w:tab/>
        <w:t xml:space="preserve">ORDERED that Gulf Power Company’s </w:t>
      </w:r>
      <w:r w:rsidRPr="00170F2B">
        <w:rPr>
          <w:u w:val="none"/>
        </w:rPr>
        <w:t xml:space="preserve">tariff </w:t>
      </w:r>
      <w:r>
        <w:rPr>
          <w:u w:val="none"/>
        </w:rPr>
        <w:t xml:space="preserve">for the </w:t>
      </w:r>
      <w:r w:rsidRPr="00170F2B">
        <w:rPr>
          <w:u w:val="none"/>
        </w:rPr>
        <w:t xml:space="preserve">fuel credit shown </w:t>
      </w:r>
      <w:r>
        <w:rPr>
          <w:u w:val="none"/>
        </w:rPr>
        <w:t>o</w:t>
      </w:r>
      <w:r w:rsidRPr="00170F2B">
        <w:rPr>
          <w:u w:val="none"/>
        </w:rPr>
        <w:t xml:space="preserve">n Attachment C </w:t>
      </w:r>
      <w:r>
        <w:rPr>
          <w:u w:val="none"/>
        </w:rPr>
        <w:t xml:space="preserve">is hereby </w:t>
      </w:r>
      <w:r w:rsidRPr="00170F2B">
        <w:rPr>
          <w:u w:val="none"/>
        </w:rPr>
        <w:t>approved effective May 1, 2020.</w:t>
      </w:r>
      <w:r>
        <w:rPr>
          <w:u w:val="none"/>
        </w:rPr>
        <w:t xml:space="preserve">  It is further</w:t>
      </w:r>
    </w:p>
    <w:p w:rsidR="00170F2B" w:rsidRDefault="00170F2B" w:rsidP="00594C38">
      <w:pPr>
        <w:pStyle w:val="CenterUnderline"/>
        <w:jc w:val="both"/>
        <w:rPr>
          <w:u w:val="none"/>
        </w:rPr>
      </w:pPr>
    </w:p>
    <w:p w:rsidR="00170F2B" w:rsidRDefault="00170F2B" w:rsidP="00594C38">
      <w:pPr>
        <w:pStyle w:val="CenterUnderline"/>
        <w:jc w:val="both"/>
        <w:rPr>
          <w:u w:val="none"/>
        </w:rPr>
      </w:pPr>
      <w:r>
        <w:rPr>
          <w:u w:val="none"/>
        </w:rPr>
        <w:tab/>
        <w:t>ORDERED that Commission s</w:t>
      </w:r>
      <w:r w:rsidRPr="000512D7">
        <w:rPr>
          <w:u w:val="none"/>
        </w:rPr>
        <w:t>t</w:t>
      </w:r>
      <w:r w:rsidRPr="00170F2B">
        <w:rPr>
          <w:u w:val="none"/>
        </w:rPr>
        <w:t>aff s</w:t>
      </w:r>
      <w:r>
        <w:rPr>
          <w:u w:val="none"/>
        </w:rPr>
        <w:t>hall have</w:t>
      </w:r>
      <w:r w:rsidRPr="00170F2B">
        <w:rPr>
          <w:u w:val="none"/>
        </w:rPr>
        <w:t xml:space="preserve"> administrative authority to approve the First Revised Tariff Sheet No. 6.34a</w:t>
      </w:r>
      <w:r>
        <w:rPr>
          <w:u w:val="none"/>
        </w:rPr>
        <w:t xml:space="preserve"> </w:t>
      </w:r>
      <w:r w:rsidRPr="00170F2B">
        <w:rPr>
          <w:u w:val="none"/>
        </w:rPr>
        <w:t>effective June 1, 2020.</w:t>
      </w:r>
      <w:r w:rsidR="00DF03ED">
        <w:rPr>
          <w:u w:val="none"/>
        </w:rPr>
        <w:t xml:space="preserve">  It is further</w:t>
      </w:r>
    </w:p>
    <w:p w:rsidR="00DF03ED" w:rsidRDefault="00DF03ED" w:rsidP="00594C38">
      <w:pPr>
        <w:pStyle w:val="CenterUnderline"/>
        <w:jc w:val="both"/>
        <w:rPr>
          <w:u w:val="none"/>
        </w:rPr>
      </w:pPr>
    </w:p>
    <w:p w:rsidR="00DF03ED" w:rsidRPr="00DF03ED" w:rsidRDefault="00DF03ED" w:rsidP="00594C38">
      <w:pPr>
        <w:pStyle w:val="CenterUnderline"/>
        <w:jc w:val="both"/>
        <w:rPr>
          <w:iCs/>
          <w:u w:val="none"/>
        </w:rPr>
      </w:pPr>
      <w:r>
        <w:rPr>
          <w:u w:val="none"/>
        </w:rPr>
        <w:tab/>
        <w:t xml:space="preserve">ORDERED that Duke Energy Florida, LLC’s </w:t>
      </w:r>
      <w:r w:rsidRPr="00DF03ED">
        <w:rPr>
          <w:iCs/>
          <w:u w:val="none"/>
        </w:rPr>
        <w:t>Emergency Petition for a Temporary</w:t>
      </w:r>
      <w:r w:rsidRPr="00DF03ED">
        <w:rPr>
          <w:u w:val="none"/>
        </w:rPr>
        <w:t xml:space="preserve"> </w:t>
      </w:r>
      <w:r w:rsidRPr="00DF03ED">
        <w:rPr>
          <w:iCs/>
          <w:u w:val="none"/>
        </w:rPr>
        <w:t>Mid-Course Correction</w:t>
      </w:r>
      <w:r>
        <w:rPr>
          <w:iCs/>
          <w:u w:val="none"/>
        </w:rPr>
        <w:t xml:space="preserve"> is hereby granted.  It is further</w:t>
      </w:r>
    </w:p>
    <w:p w:rsidR="00170F2B" w:rsidRPr="00170F2B" w:rsidRDefault="00170F2B" w:rsidP="00594C38">
      <w:pPr>
        <w:pStyle w:val="CenterUnderline"/>
        <w:jc w:val="both"/>
        <w:rPr>
          <w:iCs/>
          <w:u w:val="none"/>
        </w:rPr>
      </w:pPr>
    </w:p>
    <w:p w:rsidR="00170F2B" w:rsidRDefault="00DF03ED" w:rsidP="00594C38">
      <w:pPr>
        <w:pStyle w:val="CenterUnderline"/>
        <w:jc w:val="both"/>
        <w:rPr>
          <w:u w:val="none"/>
        </w:rPr>
      </w:pPr>
      <w:r>
        <w:rPr>
          <w:iCs/>
          <w:u w:val="none"/>
        </w:rPr>
        <w:tab/>
        <w:t xml:space="preserve">ORDERED that Duke Energy Florida, LLC shall </w:t>
      </w:r>
      <w:r w:rsidRPr="00DF03ED">
        <w:rPr>
          <w:u w:val="none"/>
        </w:rPr>
        <w:t>reduce, for one month, its currently-approved 2020 fuel cost recovery factors for purposes of flowing to customers a projected over-recovery of fuel charges during the month May 2020.</w:t>
      </w:r>
      <w:r>
        <w:rPr>
          <w:u w:val="none"/>
        </w:rPr>
        <w:t xml:space="preserve">  It is further</w:t>
      </w:r>
    </w:p>
    <w:p w:rsidR="00DF03ED" w:rsidRDefault="00DF03ED" w:rsidP="00594C38">
      <w:pPr>
        <w:pStyle w:val="CenterUnderline"/>
        <w:jc w:val="both"/>
        <w:rPr>
          <w:u w:val="none"/>
        </w:rPr>
      </w:pPr>
    </w:p>
    <w:p w:rsidR="00DF03ED" w:rsidRDefault="00DF03ED" w:rsidP="00594C38">
      <w:pPr>
        <w:pStyle w:val="CenterUnderline"/>
        <w:jc w:val="both"/>
        <w:rPr>
          <w:u w:val="none"/>
        </w:rPr>
      </w:pPr>
      <w:r>
        <w:rPr>
          <w:u w:val="none"/>
        </w:rPr>
        <w:tab/>
        <w:t xml:space="preserve">ORDERED that the tariffs contained in </w:t>
      </w:r>
      <w:r w:rsidRPr="00DF03ED">
        <w:rPr>
          <w:u w:val="none"/>
        </w:rPr>
        <w:t xml:space="preserve">Attachment D </w:t>
      </w:r>
      <w:r>
        <w:rPr>
          <w:u w:val="none"/>
        </w:rPr>
        <w:t xml:space="preserve">are </w:t>
      </w:r>
      <w:r w:rsidRPr="00DF03ED">
        <w:rPr>
          <w:u w:val="none"/>
        </w:rPr>
        <w:t>approved effective May 1, 2020.</w:t>
      </w:r>
      <w:r>
        <w:rPr>
          <w:u w:val="none"/>
        </w:rPr>
        <w:t xml:space="preserve">  It is further</w:t>
      </w:r>
    </w:p>
    <w:p w:rsidR="00DF03ED" w:rsidRDefault="00DF03ED" w:rsidP="00594C38">
      <w:pPr>
        <w:pStyle w:val="CenterUnderline"/>
        <w:jc w:val="both"/>
        <w:rPr>
          <w:u w:val="none"/>
        </w:rPr>
      </w:pPr>
    </w:p>
    <w:p w:rsidR="00933E1F" w:rsidRDefault="00DF03ED" w:rsidP="00594C38">
      <w:pPr>
        <w:pStyle w:val="CenterUnderline"/>
        <w:jc w:val="both"/>
        <w:rPr>
          <w:u w:val="none"/>
        </w:rPr>
      </w:pPr>
      <w:r>
        <w:rPr>
          <w:u w:val="none"/>
        </w:rPr>
        <w:tab/>
        <w:t>ORDERED that Commission staff</w:t>
      </w:r>
      <w:r w:rsidR="00933E1F">
        <w:rPr>
          <w:u w:val="none"/>
        </w:rPr>
        <w:t xml:space="preserve"> </w:t>
      </w:r>
      <w:r w:rsidR="00933E1F" w:rsidRPr="00170F2B">
        <w:rPr>
          <w:u w:val="none"/>
        </w:rPr>
        <w:t>s</w:t>
      </w:r>
      <w:r w:rsidR="00933E1F">
        <w:rPr>
          <w:u w:val="none"/>
        </w:rPr>
        <w:t>hall have</w:t>
      </w:r>
      <w:r w:rsidR="00933E1F" w:rsidRPr="00170F2B">
        <w:rPr>
          <w:u w:val="none"/>
        </w:rPr>
        <w:t xml:space="preserve"> administrative authority to approve </w:t>
      </w:r>
      <w:r w:rsidR="00933E1F" w:rsidRPr="00933E1F">
        <w:rPr>
          <w:u w:val="none"/>
        </w:rPr>
        <w:t xml:space="preserve">tariffs effective June 1, 2020, </w:t>
      </w:r>
      <w:r w:rsidR="00933E1F">
        <w:rPr>
          <w:u w:val="none"/>
        </w:rPr>
        <w:t xml:space="preserve">that </w:t>
      </w:r>
      <w:r w:rsidR="00933E1F" w:rsidRPr="00933E1F">
        <w:rPr>
          <w:u w:val="none"/>
        </w:rPr>
        <w:t>reflect the fuel factors approved in Order No. PSC-2019-0484-FOF-EI</w:t>
      </w:r>
      <w:r w:rsidR="00933E1F">
        <w:rPr>
          <w:u w:val="none"/>
        </w:rPr>
        <w:t xml:space="preserve">. </w:t>
      </w:r>
      <w:r w:rsidR="000512D7">
        <w:rPr>
          <w:u w:val="none"/>
        </w:rPr>
        <w:t xml:space="preserve"> It is further</w:t>
      </w:r>
    </w:p>
    <w:p w:rsidR="000512D7" w:rsidRDefault="000512D7" w:rsidP="00594C38">
      <w:pPr>
        <w:pStyle w:val="CenterUnderline"/>
        <w:jc w:val="both"/>
        <w:rPr>
          <w:u w:val="none"/>
        </w:rPr>
      </w:pPr>
    </w:p>
    <w:p w:rsidR="000512D7" w:rsidRDefault="000512D7" w:rsidP="00594C38">
      <w:pPr>
        <w:pStyle w:val="CenterUnderline"/>
        <w:jc w:val="both"/>
        <w:rPr>
          <w:u w:val="none"/>
        </w:rPr>
      </w:pPr>
      <w:r>
        <w:rPr>
          <w:u w:val="none"/>
        </w:rPr>
        <w:tab/>
        <w:t xml:space="preserve">ORDERED that the 20200001-EI </w:t>
      </w:r>
      <w:r w:rsidR="009770A5">
        <w:rPr>
          <w:u w:val="none"/>
        </w:rPr>
        <w:t>f</w:t>
      </w:r>
      <w:r>
        <w:rPr>
          <w:u w:val="none"/>
        </w:rPr>
        <w:t xml:space="preserve">uel </w:t>
      </w:r>
      <w:r w:rsidR="009770A5">
        <w:rPr>
          <w:u w:val="none"/>
        </w:rPr>
        <w:t>c</w:t>
      </w:r>
      <w:r>
        <w:rPr>
          <w:u w:val="none"/>
        </w:rPr>
        <w:t xml:space="preserve">lause docket is an on-going proceeding and shall remain open. </w:t>
      </w:r>
    </w:p>
    <w:p w:rsidR="00933E1F" w:rsidRDefault="00933E1F" w:rsidP="00594C38">
      <w:pPr>
        <w:pStyle w:val="CenterUnderline"/>
        <w:jc w:val="both"/>
        <w:rPr>
          <w:iCs/>
          <w:u w:val="none"/>
        </w:rPr>
      </w:pPr>
    </w:p>
    <w:p w:rsidR="00933E1F" w:rsidRDefault="00933E1F" w:rsidP="00933E1F">
      <w:pPr>
        <w:pStyle w:val="CenterUnderline"/>
        <w:keepNext/>
        <w:keepLines/>
        <w:jc w:val="both"/>
        <w:rPr>
          <w:iCs/>
          <w:u w:val="none"/>
        </w:rPr>
      </w:pPr>
      <w:r>
        <w:rPr>
          <w:iCs/>
          <w:u w:val="none"/>
        </w:rPr>
        <w:tab/>
        <w:t xml:space="preserve">By ORDER of the Florida Public Service Commission this </w:t>
      </w:r>
      <w:bookmarkStart w:id="12" w:name="replaceDate"/>
      <w:bookmarkEnd w:id="12"/>
      <w:r w:rsidR="001C0292">
        <w:rPr>
          <w:iCs/>
        </w:rPr>
        <w:t>14th</w:t>
      </w:r>
      <w:r w:rsidR="001C0292">
        <w:rPr>
          <w:iCs/>
          <w:u w:val="none"/>
        </w:rPr>
        <w:t xml:space="preserve"> day of </w:t>
      </w:r>
      <w:r w:rsidR="001C0292">
        <w:rPr>
          <w:iCs/>
        </w:rPr>
        <w:t>May</w:t>
      </w:r>
      <w:r w:rsidR="001C0292">
        <w:rPr>
          <w:iCs/>
          <w:u w:val="none"/>
        </w:rPr>
        <w:t xml:space="preserve">, </w:t>
      </w:r>
      <w:r w:rsidR="001C0292">
        <w:rPr>
          <w:iCs/>
        </w:rPr>
        <w:t>2020</w:t>
      </w:r>
      <w:r w:rsidR="001C0292">
        <w:rPr>
          <w:iCs/>
          <w:u w:val="none"/>
        </w:rPr>
        <w:t>.</w:t>
      </w:r>
    </w:p>
    <w:p w:rsidR="001C0292" w:rsidRPr="001C0292" w:rsidRDefault="001C0292" w:rsidP="00933E1F">
      <w:pPr>
        <w:pStyle w:val="CenterUnderline"/>
        <w:keepNext/>
        <w:keepLines/>
        <w:jc w:val="both"/>
        <w:rPr>
          <w:iCs/>
          <w:u w:val="none"/>
        </w:rPr>
      </w:pPr>
    </w:p>
    <w:p w:rsidR="00933E1F" w:rsidRDefault="00933E1F" w:rsidP="00933E1F">
      <w:pPr>
        <w:pStyle w:val="CenterUnderline"/>
        <w:keepNext/>
        <w:keepLines/>
        <w:jc w:val="both"/>
        <w:rPr>
          <w:iCs/>
          <w:u w:val="none"/>
        </w:rPr>
      </w:pPr>
    </w:p>
    <w:p w:rsidR="00933E1F" w:rsidRDefault="00933E1F" w:rsidP="00933E1F">
      <w:pPr>
        <w:pStyle w:val="CenterUnderline"/>
        <w:keepNext/>
        <w:keepLines/>
        <w:jc w:val="both"/>
        <w:rPr>
          <w:iCs/>
          <w:u w:val="none"/>
        </w:rPr>
      </w:pPr>
    </w:p>
    <w:tbl>
      <w:tblPr>
        <w:tblW w:w="4720" w:type="dxa"/>
        <w:tblInd w:w="3800" w:type="dxa"/>
        <w:tblLayout w:type="fixed"/>
        <w:tblLook w:val="0000" w:firstRow="0" w:lastRow="0" w:firstColumn="0" w:lastColumn="0" w:noHBand="0" w:noVBand="0"/>
      </w:tblPr>
      <w:tblGrid>
        <w:gridCol w:w="686"/>
        <w:gridCol w:w="4034"/>
      </w:tblGrid>
      <w:tr w:rsidR="00933E1F" w:rsidTr="00933E1F">
        <w:tc>
          <w:tcPr>
            <w:tcW w:w="720" w:type="dxa"/>
            <w:shd w:val="clear" w:color="auto" w:fill="auto"/>
          </w:tcPr>
          <w:p w:rsidR="00933E1F" w:rsidRDefault="00933E1F" w:rsidP="00933E1F">
            <w:pPr>
              <w:pStyle w:val="CenterUnderline"/>
              <w:keepNext/>
              <w:keepLines/>
              <w:jc w:val="both"/>
              <w:rPr>
                <w:iCs/>
                <w:u w:val="none"/>
              </w:rPr>
            </w:pPr>
            <w:bookmarkStart w:id="13" w:name="bkmrkSignature" w:colFirst="0" w:colLast="0"/>
          </w:p>
        </w:tc>
        <w:tc>
          <w:tcPr>
            <w:tcW w:w="4320" w:type="dxa"/>
            <w:tcBorders>
              <w:bottom w:val="single" w:sz="4" w:space="0" w:color="auto"/>
            </w:tcBorders>
            <w:shd w:val="clear" w:color="auto" w:fill="auto"/>
          </w:tcPr>
          <w:p w:rsidR="00933E1F" w:rsidRDefault="001C0292" w:rsidP="00933E1F">
            <w:pPr>
              <w:pStyle w:val="CenterUnderline"/>
              <w:keepNext/>
              <w:keepLines/>
              <w:jc w:val="both"/>
              <w:rPr>
                <w:iCs/>
                <w:u w:val="none"/>
              </w:rPr>
            </w:pPr>
            <w:r>
              <w:rPr>
                <w:iCs/>
                <w:u w:val="none"/>
              </w:rPr>
              <w:t>/s/ Adam J. Teitzman</w:t>
            </w:r>
          </w:p>
        </w:tc>
      </w:tr>
      <w:bookmarkEnd w:id="13"/>
      <w:tr w:rsidR="00933E1F" w:rsidTr="00933E1F">
        <w:tc>
          <w:tcPr>
            <w:tcW w:w="720" w:type="dxa"/>
            <w:shd w:val="clear" w:color="auto" w:fill="auto"/>
          </w:tcPr>
          <w:p w:rsidR="00933E1F" w:rsidRDefault="00933E1F" w:rsidP="00933E1F">
            <w:pPr>
              <w:pStyle w:val="CenterUnderline"/>
              <w:keepNext/>
              <w:keepLines/>
              <w:jc w:val="both"/>
              <w:rPr>
                <w:iCs/>
                <w:u w:val="none"/>
              </w:rPr>
            </w:pPr>
          </w:p>
        </w:tc>
        <w:tc>
          <w:tcPr>
            <w:tcW w:w="4320" w:type="dxa"/>
            <w:tcBorders>
              <w:top w:val="single" w:sz="4" w:space="0" w:color="auto"/>
            </w:tcBorders>
            <w:shd w:val="clear" w:color="auto" w:fill="auto"/>
          </w:tcPr>
          <w:p w:rsidR="00933E1F" w:rsidRDefault="00933E1F" w:rsidP="00933E1F">
            <w:pPr>
              <w:pStyle w:val="CenterUnderline"/>
              <w:keepNext/>
              <w:keepLines/>
              <w:jc w:val="both"/>
              <w:rPr>
                <w:iCs/>
                <w:u w:val="none"/>
              </w:rPr>
            </w:pPr>
            <w:r>
              <w:rPr>
                <w:iCs/>
                <w:u w:val="none"/>
              </w:rPr>
              <w:t>ADAM J. TEITZMAN</w:t>
            </w:r>
          </w:p>
          <w:p w:rsidR="00933E1F" w:rsidRDefault="00933E1F" w:rsidP="00933E1F">
            <w:pPr>
              <w:pStyle w:val="CenterUnderline"/>
              <w:keepNext/>
              <w:keepLines/>
              <w:jc w:val="both"/>
              <w:rPr>
                <w:iCs/>
                <w:u w:val="none"/>
              </w:rPr>
            </w:pPr>
            <w:r>
              <w:rPr>
                <w:iCs/>
                <w:u w:val="none"/>
              </w:rPr>
              <w:t>Commission Clerk</w:t>
            </w:r>
          </w:p>
        </w:tc>
      </w:tr>
    </w:tbl>
    <w:p w:rsidR="00933E1F" w:rsidRDefault="00933E1F" w:rsidP="00933E1F">
      <w:pPr>
        <w:pStyle w:val="OrderSigInfo"/>
        <w:keepNext/>
        <w:keepLines/>
      </w:pPr>
      <w:r>
        <w:t>Florida Public Service Commission</w:t>
      </w:r>
    </w:p>
    <w:p w:rsidR="00933E1F" w:rsidRDefault="00933E1F" w:rsidP="00933E1F">
      <w:pPr>
        <w:pStyle w:val="OrderSigInfo"/>
        <w:keepNext/>
        <w:keepLines/>
      </w:pPr>
      <w:r>
        <w:t>2540 Shumard Oak Boulevard</w:t>
      </w:r>
    </w:p>
    <w:p w:rsidR="00933E1F" w:rsidRDefault="00933E1F" w:rsidP="00933E1F">
      <w:pPr>
        <w:pStyle w:val="OrderSigInfo"/>
        <w:keepNext/>
        <w:keepLines/>
      </w:pPr>
      <w:r>
        <w:t>Tallahassee, Florida 32399</w:t>
      </w:r>
    </w:p>
    <w:p w:rsidR="00933E1F" w:rsidRDefault="00933E1F" w:rsidP="00933E1F">
      <w:pPr>
        <w:pStyle w:val="OrderSigInfo"/>
        <w:keepNext/>
        <w:keepLines/>
      </w:pPr>
      <w:r>
        <w:t>(850) 413</w:t>
      </w:r>
      <w:r>
        <w:noBreakHyphen/>
        <w:t>6770</w:t>
      </w:r>
    </w:p>
    <w:p w:rsidR="00933E1F" w:rsidRDefault="00933E1F" w:rsidP="00933E1F">
      <w:pPr>
        <w:pStyle w:val="OrderSigInfo"/>
        <w:keepNext/>
        <w:keepLines/>
      </w:pPr>
      <w:r>
        <w:t>www.floridapsc.com</w:t>
      </w:r>
    </w:p>
    <w:p w:rsidR="00933E1F" w:rsidRDefault="00933E1F" w:rsidP="00933E1F">
      <w:pPr>
        <w:pStyle w:val="OrderSigInfo"/>
        <w:keepNext/>
        <w:keepLines/>
      </w:pPr>
    </w:p>
    <w:p w:rsidR="00933E1F" w:rsidRDefault="00933E1F" w:rsidP="00933E1F">
      <w:pPr>
        <w:pStyle w:val="OrderSigInfo"/>
        <w:keepNext/>
        <w:keepLines/>
      </w:pPr>
      <w:r>
        <w:t>Copies furnished:  A copy of this document is provided to the parties of record at the time of issuance and, if applicable, interested persons.</w:t>
      </w:r>
    </w:p>
    <w:p w:rsidR="00933E1F" w:rsidRDefault="00933E1F" w:rsidP="00933E1F">
      <w:pPr>
        <w:pStyle w:val="OrderBody"/>
        <w:keepNext/>
        <w:keepLines/>
      </w:pPr>
    </w:p>
    <w:p w:rsidR="00170F2B" w:rsidRDefault="00933E1F" w:rsidP="00594C38">
      <w:pPr>
        <w:pStyle w:val="CenterUnderline"/>
        <w:jc w:val="both"/>
        <w:rPr>
          <w:iCs/>
          <w:u w:val="none"/>
        </w:rPr>
      </w:pPr>
      <w:r>
        <w:rPr>
          <w:iCs/>
          <w:u w:val="none"/>
        </w:rPr>
        <w:t>SBr</w:t>
      </w:r>
    </w:p>
    <w:p w:rsidR="00933E1F" w:rsidRDefault="00933E1F" w:rsidP="00594C38">
      <w:pPr>
        <w:pStyle w:val="CenterUnderline"/>
        <w:jc w:val="both"/>
        <w:rPr>
          <w:iCs/>
          <w:u w:val="none"/>
        </w:rPr>
      </w:pPr>
    </w:p>
    <w:p w:rsidR="00933E1F" w:rsidRDefault="00933E1F" w:rsidP="00933E1F">
      <w:pPr>
        <w:pStyle w:val="CenterUnderline"/>
      </w:pPr>
      <w:r>
        <w:t>NOTICE OF FURTHER PROCEEDINGS OR JUDICIAL REVIEW</w:t>
      </w:r>
    </w:p>
    <w:p w:rsidR="00933E1F" w:rsidRDefault="00933E1F" w:rsidP="00933E1F">
      <w:pPr>
        <w:pStyle w:val="CenterUnderline"/>
      </w:pPr>
    </w:p>
    <w:p w:rsidR="00933E1F" w:rsidRDefault="00933E1F" w:rsidP="00933E1F">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933E1F" w:rsidRDefault="00933E1F" w:rsidP="00933E1F">
      <w:pPr>
        <w:pStyle w:val="OrderBody"/>
      </w:pPr>
    </w:p>
    <w:p w:rsidR="00933E1F" w:rsidRDefault="00933E1F" w:rsidP="00933E1F">
      <w:pPr>
        <w:pStyle w:val="OrderBody"/>
      </w:pPr>
      <w:r>
        <w:tab/>
        <w:t>Mediation may be available on a case-by-case basis.  If mediation is conducted, it does not affect a substantially interested person's right to a hearing.</w:t>
      </w:r>
    </w:p>
    <w:p w:rsidR="00933E1F" w:rsidRDefault="00933E1F" w:rsidP="00933E1F">
      <w:pPr>
        <w:pStyle w:val="OrderBody"/>
      </w:pPr>
    </w:p>
    <w:p w:rsidR="00933E1F" w:rsidRDefault="00933E1F" w:rsidP="00933E1F">
      <w:pPr>
        <w:pStyle w:val="OrderBody"/>
      </w:pPr>
      <w:r>
        <w:tab/>
        <w:t>Any party adversely affected by this order, which is preliminary, procedural or intermediate in nature, may request: (1) reconsideration within 10 days pursuant to Rule 25-22.0376, Florida Administrative Code; or (2) judicial review by the Florida Supreme Court, in the case of an electric, gas or telephone utility, or the First District Court of Appeal, in the case of a water or wastewater utility.  A motion for reconsideration shall be filed with the Office of Commission Clerk, in the form prescribed by Rule 25-22.0376, Florida Administrative Code.  Judicial review of a preliminary, procedural or intermediate ruling or order is available if review of the final action will not provide an adequate remedy.  Such review may be requested from the appropriate court, as described above, pursuant to Rule 9.100, Florida Rules of Appellate Procedure.</w:t>
      </w:r>
    </w:p>
    <w:p w:rsidR="00933E1F" w:rsidRDefault="00933E1F" w:rsidP="00933E1F">
      <w:pPr>
        <w:pStyle w:val="OrderBody"/>
      </w:pPr>
    </w:p>
    <w:p w:rsidR="00324B1C" w:rsidRDefault="00324B1C" w:rsidP="00933E1F">
      <w:pPr>
        <w:pStyle w:val="OrderBody"/>
        <w:sectPr w:rsidR="00324B1C" w:rsidSect="00324B1C">
          <w:headerReference w:type="default" r:id="rId7"/>
          <w:footerReference w:type="first" r:id="rId8"/>
          <w:pgSz w:w="12240" w:h="15840" w:code="1"/>
          <w:pgMar w:top="1440" w:right="1440" w:bottom="1440" w:left="1440" w:header="720" w:footer="720" w:gutter="0"/>
          <w:cols w:space="720"/>
          <w:titlePg/>
          <w:docGrid w:linePitch="360"/>
        </w:sectPr>
      </w:pPr>
    </w:p>
    <w:p w:rsidR="00933E1F" w:rsidRDefault="00933E1F" w:rsidP="00933E1F">
      <w:pPr>
        <w:pStyle w:val="OrderBody"/>
      </w:pPr>
    </w:p>
    <w:p w:rsidR="00933E1F" w:rsidRDefault="00933E1F"/>
    <w:p w:rsidR="00933E1F" w:rsidRDefault="00933E1F" w:rsidP="00933E1F">
      <w:pPr>
        <w:pStyle w:val="OrderBody"/>
        <w:rPr>
          <w:iCs/>
        </w:rPr>
      </w:pPr>
      <w:r>
        <w:rPr>
          <w:iCs/>
          <w:noProof/>
        </w:rPr>
        <w:drawing>
          <wp:inline distT="0" distB="0" distL="0" distR="0" wp14:anchorId="6CE4596E" wp14:editId="0F47D058">
            <wp:extent cx="5797550" cy="76511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7550" cy="7651115"/>
                    </a:xfrm>
                    <a:prstGeom prst="rect">
                      <a:avLst/>
                    </a:prstGeom>
                    <a:noFill/>
                  </pic:spPr>
                </pic:pic>
              </a:graphicData>
            </a:graphic>
          </wp:inline>
        </w:drawing>
      </w:r>
    </w:p>
    <w:p w:rsidR="00324B1C" w:rsidRDefault="00933E1F" w:rsidP="00933E1F">
      <w:pPr>
        <w:pStyle w:val="OrderBody"/>
        <w:rPr>
          <w:iCs/>
        </w:rPr>
        <w:sectPr w:rsidR="00324B1C">
          <w:headerReference w:type="first" r:id="rId10"/>
          <w:pgSz w:w="12240" w:h="15840" w:code="1"/>
          <w:pgMar w:top="1440" w:right="1440" w:bottom="1440" w:left="1440" w:header="720" w:footer="720" w:gutter="0"/>
          <w:cols w:space="720"/>
          <w:titlePg/>
          <w:docGrid w:linePitch="360"/>
        </w:sectPr>
      </w:pPr>
      <w:r>
        <w:rPr>
          <w:caps/>
          <w:noProof/>
        </w:rPr>
        <w:drawing>
          <wp:inline distT="0" distB="0" distL="0" distR="0" wp14:anchorId="51106B5A" wp14:editId="7DF33C0D">
            <wp:extent cx="5822066" cy="8125428"/>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1189" cy="8138160"/>
                    </a:xfrm>
                    <a:prstGeom prst="rect">
                      <a:avLst/>
                    </a:prstGeom>
                  </pic:spPr>
                </pic:pic>
              </a:graphicData>
            </a:graphic>
          </wp:inline>
        </w:drawing>
      </w:r>
    </w:p>
    <w:p w:rsidR="00933E1F" w:rsidRDefault="00933E1F" w:rsidP="00933E1F">
      <w:pPr>
        <w:pStyle w:val="OrderBody"/>
        <w:rPr>
          <w:iCs/>
        </w:rPr>
      </w:pPr>
      <w:r>
        <w:rPr>
          <w:caps/>
          <w:noProof/>
        </w:rPr>
        <w:drawing>
          <wp:inline distT="0" distB="0" distL="0" distR="0" wp14:anchorId="2B5B87CC" wp14:editId="7175596D">
            <wp:extent cx="5943600" cy="8025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L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8025130"/>
                    </a:xfrm>
                    <a:prstGeom prst="rect">
                      <a:avLst/>
                    </a:prstGeom>
                  </pic:spPr>
                </pic:pic>
              </a:graphicData>
            </a:graphic>
          </wp:inline>
        </w:drawing>
      </w:r>
    </w:p>
    <w:p w:rsidR="00933E1F" w:rsidRDefault="00933E1F" w:rsidP="00933E1F">
      <w:pPr>
        <w:pStyle w:val="OrderBody"/>
        <w:rPr>
          <w:iCs/>
        </w:rPr>
      </w:pPr>
    </w:p>
    <w:p w:rsidR="00324B1C" w:rsidRDefault="00933E1F" w:rsidP="00933E1F">
      <w:pPr>
        <w:pStyle w:val="OrderBody"/>
        <w:rPr>
          <w:iCs/>
        </w:rPr>
        <w:sectPr w:rsidR="00324B1C">
          <w:headerReference w:type="first" r:id="rId13"/>
          <w:pgSz w:w="12240" w:h="15840" w:code="1"/>
          <w:pgMar w:top="1440" w:right="1440" w:bottom="1440" w:left="1440" w:header="720" w:footer="720" w:gutter="0"/>
          <w:cols w:space="720"/>
          <w:titlePg/>
          <w:docGrid w:linePitch="360"/>
        </w:sectPr>
      </w:pPr>
      <w:r>
        <w:rPr>
          <w:noProof/>
        </w:rPr>
        <w:drawing>
          <wp:inline distT="0" distB="0" distL="0" distR="0" wp14:anchorId="3DF48CE7" wp14:editId="69CE5FBE">
            <wp:extent cx="5943600" cy="7804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PL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804150"/>
                    </a:xfrm>
                    <a:prstGeom prst="rect">
                      <a:avLst/>
                    </a:prstGeom>
                  </pic:spPr>
                </pic:pic>
              </a:graphicData>
            </a:graphic>
          </wp:inline>
        </w:drawing>
      </w:r>
    </w:p>
    <w:p w:rsidR="00933E1F" w:rsidRDefault="00933E1F" w:rsidP="00933E1F">
      <w:pPr>
        <w:pStyle w:val="OrderBody"/>
        <w:rPr>
          <w:iCs/>
        </w:rPr>
      </w:pPr>
    </w:p>
    <w:p w:rsidR="00324B1C" w:rsidRDefault="00933E1F" w:rsidP="00933E1F">
      <w:pPr>
        <w:pStyle w:val="OrderBody"/>
        <w:rPr>
          <w:iCs/>
        </w:rPr>
        <w:sectPr w:rsidR="00324B1C">
          <w:headerReference w:type="first" r:id="rId15"/>
          <w:pgSz w:w="12240" w:h="15840" w:code="1"/>
          <w:pgMar w:top="1440" w:right="1440" w:bottom="1440" w:left="1440" w:header="720" w:footer="720" w:gutter="0"/>
          <w:cols w:space="720"/>
          <w:titlePg/>
          <w:docGrid w:linePitch="360"/>
        </w:sectPr>
      </w:pPr>
      <w:r>
        <w:rPr>
          <w:noProof/>
        </w:rPr>
        <w:drawing>
          <wp:inline distT="0" distB="0" distL="0" distR="0" wp14:anchorId="4D92F1CA" wp14:editId="1952A0E9">
            <wp:extent cx="5943600" cy="78981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C 1 Revis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898130"/>
                    </a:xfrm>
                    <a:prstGeom prst="rect">
                      <a:avLst/>
                    </a:prstGeom>
                  </pic:spPr>
                </pic:pic>
              </a:graphicData>
            </a:graphic>
          </wp:inline>
        </w:drawing>
      </w:r>
    </w:p>
    <w:p w:rsidR="00933E1F" w:rsidRDefault="00933E1F" w:rsidP="00933E1F">
      <w:pPr>
        <w:pStyle w:val="OrderBody"/>
        <w:rPr>
          <w:iCs/>
        </w:rPr>
      </w:pPr>
      <w:r>
        <w:rPr>
          <w:noProof/>
        </w:rPr>
        <w:drawing>
          <wp:inline distT="0" distB="0" distL="0" distR="0" wp14:anchorId="02391595" wp14:editId="62FDA202">
            <wp:extent cx="5940957" cy="813816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F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565" cy="8141733"/>
                    </a:xfrm>
                    <a:prstGeom prst="rect">
                      <a:avLst/>
                    </a:prstGeom>
                  </pic:spPr>
                </pic:pic>
              </a:graphicData>
            </a:graphic>
          </wp:inline>
        </w:drawing>
      </w:r>
      <w:bookmarkStart w:id="15" w:name="_GoBack"/>
      <w:bookmarkEnd w:id="15"/>
    </w:p>
    <w:p w:rsidR="00933E1F" w:rsidRDefault="00933E1F" w:rsidP="00933E1F">
      <w:pPr>
        <w:pStyle w:val="OrderBody"/>
        <w:rPr>
          <w:iCs/>
        </w:rPr>
      </w:pPr>
      <w:r>
        <w:rPr>
          <w:noProof/>
        </w:rPr>
        <w:drawing>
          <wp:inline distT="0" distB="0" distL="0" distR="0" wp14:anchorId="373D1F5D" wp14:editId="3EE90E33">
            <wp:extent cx="5943600" cy="81273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F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8127365"/>
                    </a:xfrm>
                    <a:prstGeom prst="rect">
                      <a:avLst/>
                    </a:prstGeom>
                  </pic:spPr>
                </pic:pic>
              </a:graphicData>
            </a:graphic>
          </wp:inline>
        </w:drawing>
      </w:r>
    </w:p>
    <w:sectPr w:rsidR="00933E1F">
      <w:headerReference w:type="first" r:id="rId1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2D7" w:rsidRDefault="000512D7">
      <w:r>
        <w:separator/>
      </w:r>
    </w:p>
  </w:endnote>
  <w:endnote w:type="continuationSeparator" w:id="0">
    <w:p w:rsidR="000512D7" w:rsidRDefault="00051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2D7" w:rsidRDefault="000512D7">
    <w:pPr>
      <w:pStyle w:val="Footer"/>
    </w:pPr>
  </w:p>
  <w:p w:rsidR="000512D7" w:rsidRDefault="000512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2D7" w:rsidRDefault="000512D7">
      <w:r>
        <w:separator/>
      </w:r>
    </w:p>
  </w:footnote>
  <w:footnote w:type="continuationSeparator" w:id="0">
    <w:p w:rsidR="000512D7" w:rsidRDefault="000512D7">
      <w:r>
        <w:continuationSeparator/>
      </w:r>
    </w:p>
  </w:footnote>
  <w:footnote w:id="1">
    <w:p w:rsidR="000512D7" w:rsidRPr="00ED0216" w:rsidRDefault="000512D7" w:rsidP="006D2B36">
      <w:pPr>
        <w:pStyle w:val="FootnoteText"/>
      </w:pPr>
      <w:r>
        <w:rPr>
          <w:rStyle w:val="FootnoteReference"/>
        </w:rPr>
        <w:footnoteRef/>
      </w:r>
      <w:r w:rsidRPr="008B1D3B">
        <w:t>O</w:t>
      </w:r>
      <w:r>
        <w:t>rder No. PSC-2019-0484-FOF-EI, i</w:t>
      </w:r>
      <w:r w:rsidRPr="008B1D3B">
        <w:t xml:space="preserve">ssued November 18, 2019, in Docket No. 20190001-EI, </w:t>
      </w:r>
      <w:r w:rsidRPr="001B72C6">
        <w:rPr>
          <w:i/>
          <w:iCs/>
        </w:rPr>
        <w:t>In re: Fuel and purchased power cost recovery clause with generating performance incentive factor</w:t>
      </w:r>
      <w:r w:rsidRPr="008B1D3B">
        <w:t>.</w:t>
      </w:r>
    </w:p>
  </w:footnote>
  <w:footnote w:id="2">
    <w:p w:rsidR="000512D7" w:rsidRDefault="000512D7" w:rsidP="006D2B36">
      <w:pPr>
        <w:pStyle w:val="FootnoteText"/>
      </w:pPr>
      <w:r>
        <w:rPr>
          <w:rStyle w:val="FootnoteReference"/>
        </w:rPr>
        <w:footnoteRef/>
      </w:r>
      <w:r w:rsidRPr="0072541E">
        <w:t>The spot price in this case i</w:t>
      </w:r>
      <w:r>
        <w:t>s</w:t>
      </w:r>
      <w:r w:rsidRPr="0072541E">
        <w:t xml:space="preserve"> the current market price for natural gas that can be bought or sold for immediate delivery</w:t>
      </w:r>
      <w:r>
        <w:t>,</w:t>
      </w:r>
      <w:r w:rsidRPr="0072541E">
        <w:t xml:space="preserve"> quoted </w:t>
      </w:r>
      <w:r>
        <w:t>for</w:t>
      </w:r>
      <w:r w:rsidRPr="0072541E">
        <w:t xml:space="preserve"> Henry Hub.</w:t>
      </w:r>
      <w:r>
        <w:t xml:space="preserve"> The historical p</w:t>
      </w:r>
      <w:r w:rsidRPr="00666825">
        <w:t>rices reported</w:t>
      </w:r>
      <w:r>
        <w:t xml:space="preserve"> herein were sourced</w:t>
      </w:r>
      <w:r w:rsidRPr="00666825">
        <w:t xml:space="preserve"> </w:t>
      </w:r>
      <w:r>
        <w:t>from</w:t>
      </w:r>
      <w:r w:rsidRPr="00666825">
        <w:t xml:space="preserve"> The U.S. Energy Information </w:t>
      </w:r>
      <w:r w:rsidRPr="00202C18">
        <w:t xml:space="preserve">Administration, </w:t>
      </w:r>
      <w:r>
        <w:t>and can be</w:t>
      </w:r>
      <w:r w:rsidRPr="00666825">
        <w:t xml:space="preserve"> located at</w:t>
      </w:r>
      <w:r>
        <w:t>:</w:t>
      </w:r>
      <w:r w:rsidRPr="00666825">
        <w:t xml:space="preserve"> </w:t>
      </w:r>
      <w:hyperlink r:id="rId1" w:history="1">
        <w:r w:rsidRPr="007C0B5E">
          <w:rPr>
            <w:rStyle w:val="Hyperlink"/>
          </w:rPr>
          <w:t>https://www.eia.gov/dnav/ng/hist/rngwhhdm.htm</w:t>
        </w:r>
      </w:hyperlink>
    </w:p>
  </w:footnote>
  <w:footnote w:id="3">
    <w:p w:rsidR="000512D7" w:rsidRDefault="000512D7" w:rsidP="006D2B36">
      <w:pPr>
        <w:pStyle w:val="FootnoteText"/>
      </w:pPr>
      <w:r>
        <w:rPr>
          <w:rStyle w:val="FootnoteReference"/>
        </w:rPr>
        <w:footnoteRef/>
      </w:r>
      <w:r w:rsidRPr="00CC43DD">
        <w:t>The New York Mercantile Exchange is a commodity futures exchange owned and operated by CME Group of Chicago.</w:t>
      </w:r>
    </w:p>
  </w:footnote>
  <w:footnote w:id="4">
    <w:p w:rsidR="000512D7" w:rsidRDefault="000512D7" w:rsidP="006D2B36">
      <w:pPr>
        <w:pStyle w:val="FootnoteText"/>
      </w:pPr>
      <w:r>
        <w:rPr>
          <w:rStyle w:val="FootnoteReference"/>
        </w:rPr>
        <w:footnoteRef/>
      </w:r>
      <w:r w:rsidRPr="00645642">
        <w:t>COVID-19 is a respiratory illness that can spread from person to person.</w:t>
      </w:r>
      <w:r>
        <w:t xml:space="preserve"> For further information, please refer to The Florida Department of Health, at: </w:t>
      </w:r>
      <w:hyperlink r:id="rId2" w:history="1">
        <w:r w:rsidRPr="00CD5366">
          <w:rPr>
            <w:rStyle w:val="Hyperlink"/>
          </w:rPr>
          <w:t>http://www.floridahealth.gov/</w:t>
        </w:r>
      </w:hyperlink>
      <w:r>
        <w:rPr>
          <w:rStyle w:val="Hyperlink"/>
        </w:rPr>
        <w:t>.</w:t>
      </w:r>
    </w:p>
  </w:footnote>
  <w:footnote w:id="5">
    <w:p w:rsidR="000512D7" w:rsidRDefault="000512D7" w:rsidP="006D2B36">
      <w:pPr>
        <w:pStyle w:val="FootnoteText"/>
      </w:pPr>
      <w:r>
        <w:rPr>
          <w:rStyle w:val="FootnoteReference"/>
        </w:rPr>
        <w:footnoteRef/>
      </w:r>
      <w:r>
        <w:t>Document No. 01597-2020.</w:t>
      </w:r>
    </w:p>
  </w:footnote>
  <w:footnote w:id="6">
    <w:p w:rsidR="000512D7" w:rsidRPr="00840AB8" w:rsidRDefault="000512D7" w:rsidP="006D2B36">
      <w:pPr>
        <w:pStyle w:val="FootnoteText"/>
      </w:pPr>
      <w:r w:rsidRPr="00840AB8">
        <w:rPr>
          <w:rStyle w:val="FootnoteReference"/>
        </w:rPr>
        <w:footnoteRef/>
      </w:r>
      <w:r w:rsidRPr="00840AB8">
        <w:t xml:space="preserve">Document </w:t>
      </w:r>
      <w:r w:rsidRPr="007E3076">
        <w:t>No. 01718-2020</w:t>
      </w:r>
      <w:r w:rsidRPr="00840AB8">
        <w:t>.</w:t>
      </w:r>
    </w:p>
  </w:footnote>
  <w:footnote w:id="7">
    <w:p w:rsidR="000512D7" w:rsidRPr="00840AB8" w:rsidRDefault="000512D7" w:rsidP="006D2B36">
      <w:pPr>
        <w:pStyle w:val="FootnoteText"/>
      </w:pPr>
      <w:r w:rsidRPr="00840AB8">
        <w:rPr>
          <w:rStyle w:val="FootnoteReference"/>
        </w:rPr>
        <w:footnoteRef/>
      </w:r>
      <w:r w:rsidRPr="00636483">
        <w:t>Document No. 017</w:t>
      </w:r>
      <w:r>
        <w:t>30</w:t>
      </w:r>
      <w:r w:rsidRPr="00636483">
        <w:t>-2020</w:t>
      </w:r>
      <w:r w:rsidRPr="00840AB8">
        <w:t>.</w:t>
      </w:r>
    </w:p>
  </w:footnote>
  <w:footnote w:id="8">
    <w:p w:rsidR="000512D7" w:rsidRPr="00840AB8" w:rsidRDefault="000512D7" w:rsidP="006D2B36">
      <w:pPr>
        <w:pStyle w:val="FootnoteText"/>
      </w:pPr>
      <w:r w:rsidRPr="00840AB8">
        <w:rPr>
          <w:rStyle w:val="FootnoteReference"/>
        </w:rPr>
        <w:footnoteRef/>
      </w:r>
      <w:r w:rsidRPr="00636483">
        <w:t>Document No. 017</w:t>
      </w:r>
      <w:r>
        <w:t>36</w:t>
      </w:r>
      <w:r w:rsidRPr="00636483">
        <w:t>-2020</w:t>
      </w:r>
      <w:r w:rsidRPr="00840AB8">
        <w:t>.</w:t>
      </w:r>
    </w:p>
  </w:footnote>
  <w:footnote w:id="9">
    <w:p w:rsidR="000512D7" w:rsidRPr="007A705D" w:rsidRDefault="000512D7" w:rsidP="006D2B36">
      <w:pPr>
        <w:pStyle w:val="OrderBody"/>
        <w:tabs>
          <w:tab w:val="center" w:pos="4320"/>
          <w:tab w:val="right" w:pos="8640"/>
        </w:tabs>
        <w:rPr>
          <w:sz w:val="20"/>
          <w:szCs w:val="20"/>
        </w:rPr>
      </w:pPr>
      <w:r>
        <w:rPr>
          <w:rStyle w:val="FootnoteReference"/>
        </w:rPr>
        <w:footnoteRef/>
      </w:r>
      <w:r>
        <w:rPr>
          <w:sz w:val="20"/>
          <w:szCs w:val="20"/>
        </w:rPr>
        <w:t xml:space="preserve">Order No. </w:t>
      </w:r>
      <w:bookmarkStart w:id="7" w:name="OrderNo0161"/>
      <w:r>
        <w:rPr>
          <w:sz w:val="20"/>
          <w:szCs w:val="20"/>
        </w:rPr>
        <w:t>PSC-15-0161-PCO-EI</w:t>
      </w:r>
      <w:bookmarkEnd w:id="7"/>
      <w:r>
        <w:rPr>
          <w:sz w:val="20"/>
          <w:szCs w:val="20"/>
        </w:rPr>
        <w:t xml:space="preserve">, issued April 30, 2015, in Docket No. 150001-EI, </w:t>
      </w:r>
      <w:r w:rsidRPr="00D36C1B">
        <w:rPr>
          <w:i/>
          <w:sz w:val="20"/>
          <w:szCs w:val="20"/>
        </w:rPr>
        <w:t xml:space="preserve">In re: </w:t>
      </w:r>
      <w:r>
        <w:rPr>
          <w:i/>
          <w:sz w:val="20"/>
          <w:szCs w:val="20"/>
        </w:rPr>
        <w:t xml:space="preserve">Fuel and purchased power cost recovery clause and generating performance incentive factor </w:t>
      </w:r>
      <w:r>
        <w:rPr>
          <w:sz w:val="20"/>
          <w:szCs w:val="20"/>
        </w:rPr>
        <w:t>(rates reduced 15 days before billing cycle began.)</w:t>
      </w:r>
    </w:p>
  </w:footnote>
  <w:footnote w:id="10">
    <w:p w:rsidR="000512D7" w:rsidRDefault="000512D7" w:rsidP="006D2B36">
      <w:pPr>
        <w:pStyle w:val="FootnoteText"/>
      </w:pPr>
      <w:r>
        <w:rPr>
          <w:rStyle w:val="FootnoteReference"/>
        </w:rPr>
        <w:footnoteRef/>
      </w:r>
      <w:r w:rsidRPr="00D36C1B">
        <w:rPr>
          <w:i/>
        </w:rPr>
        <w:t>Gulf Power Company v. Florida Public Service Commission</w:t>
      </w:r>
      <w:r>
        <w:t>, 487 So. 2d.  1036, 1038 (Fla. 1986).</w:t>
      </w:r>
    </w:p>
  </w:footnote>
  <w:footnote w:id="11">
    <w:p w:rsidR="000512D7" w:rsidRDefault="000512D7" w:rsidP="006D2B36">
      <w:pPr>
        <w:pStyle w:val="FootnoteText"/>
      </w:pPr>
      <w:r>
        <w:rPr>
          <w:rStyle w:val="FootnoteReference"/>
        </w:rPr>
        <w:footnoteRef/>
      </w:r>
      <w:r w:rsidRPr="008B1D3B">
        <w:t>Order No. PSC-2019-0484-FOF-EI</w:t>
      </w:r>
      <w:r>
        <w:t>.</w:t>
      </w:r>
    </w:p>
  </w:footnote>
  <w:footnote w:id="12">
    <w:p w:rsidR="000512D7" w:rsidRDefault="000512D7" w:rsidP="006D2B36">
      <w:pPr>
        <w:pStyle w:val="FootnoteText"/>
      </w:pPr>
      <w:r>
        <w:rPr>
          <w:rStyle w:val="FootnoteReference"/>
        </w:rPr>
        <w:footnoteRef/>
      </w:r>
      <w:r>
        <w:t>Document No. 01597-2020.</w:t>
      </w:r>
    </w:p>
  </w:footnote>
  <w:footnote w:id="13">
    <w:p w:rsidR="000512D7" w:rsidRDefault="000512D7" w:rsidP="006D2B36">
      <w:pPr>
        <w:pStyle w:val="FootnoteText"/>
      </w:pPr>
      <w:r>
        <w:rPr>
          <w:rStyle w:val="FootnoteReference"/>
        </w:rPr>
        <w:footnoteRef/>
      </w:r>
      <w:r w:rsidRPr="008B1D3B">
        <w:t>Order No. PSC-2019-0484-FOF-EI</w:t>
      </w:r>
      <w:r>
        <w:t>.</w:t>
      </w:r>
    </w:p>
  </w:footnote>
  <w:footnote w:id="14">
    <w:p w:rsidR="000512D7" w:rsidRDefault="000512D7" w:rsidP="00594C38">
      <w:pPr>
        <w:pStyle w:val="FootnoteText"/>
      </w:pPr>
      <w:r>
        <w:rPr>
          <w:rStyle w:val="FootnoteReference"/>
        </w:rPr>
        <w:footnoteRef/>
      </w:r>
      <w:r w:rsidRPr="008B1D3B">
        <w:t>Order No. PSC-2019-0484-FOF-EI</w:t>
      </w:r>
      <w:r>
        <w:t>.</w:t>
      </w:r>
    </w:p>
  </w:footnote>
  <w:footnote w:id="15">
    <w:p w:rsidR="000512D7" w:rsidRDefault="000512D7" w:rsidP="00594C38">
      <w:pPr>
        <w:pStyle w:val="FootnoteText"/>
      </w:pPr>
      <w:r>
        <w:rPr>
          <w:rStyle w:val="FootnoteReference"/>
        </w:rPr>
        <w:footnoteRef/>
      </w:r>
      <w:r w:rsidRPr="009F6AEB">
        <w:t>O</w:t>
      </w:r>
      <w:r>
        <w:t>rder No. PSC-2019-0109-PCO-EI, i</w:t>
      </w:r>
      <w:r w:rsidRPr="009F6AEB">
        <w:t xml:space="preserve">ssued March 22, 2019, </w:t>
      </w:r>
      <w:r>
        <w:t xml:space="preserve">in </w:t>
      </w:r>
      <w:r w:rsidRPr="009F6AEB">
        <w:t>Docket 20190001-EI</w:t>
      </w:r>
      <w:r w:rsidRPr="00A67C37">
        <w:t xml:space="preserve">, </w:t>
      </w:r>
      <w:r w:rsidRPr="00D36C1B">
        <w:rPr>
          <w:i/>
        </w:rPr>
        <w:t>In re:</w:t>
      </w:r>
      <w:r w:rsidRPr="00D36C1B">
        <w:rPr>
          <w:i/>
          <w:iCs/>
        </w:rPr>
        <w:t xml:space="preserve"> </w:t>
      </w:r>
      <w:r w:rsidRPr="009F6AEB">
        <w:rPr>
          <w:i/>
          <w:iCs/>
        </w:rPr>
        <w:t>Fuel and purchased power cost recovery clause with generating performance incentive factor</w:t>
      </w:r>
      <w:r w:rsidRPr="009F6AEB">
        <w:t>.</w:t>
      </w:r>
    </w:p>
  </w:footnote>
  <w:footnote w:id="16">
    <w:p w:rsidR="000512D7" w:rsidRDefault="000512D7" w:rsidP="00B821A5">
      <w:pPr>
        <w:pStyle w:val="FootnoteText"/>
      </w:pPr>
      <w:r>
        <w:rPr>
          <w:rStyle w:val="FootnoteReference"/>
        </w:rPr>
        <w:footnoteRef/>
      </w:r>
      <w:r w:rsidRPr="008B1D3B">
        <w:t>Order No. PSC-2019-0484-FOF-EI</w:t>
      </w:r>
      <w:r>
        <w:t>.</w:t>
      </w:r>
    </w:p>
  </w:footnote>
  <w:footnote w:id="17">
    <w:p w:rsidR="000512D7" w:rsidRDefault="000512D7" w:rsidP="00B821A5">
      <w:pPr>
        <w:pStyle w:val="FootnoteText"/>
      </w:pPr>
      <w:r>
        <w:rPr>
          <w:rStyle w:val="FootnoteReference"/>
        </w:rPr>
        <w:footnoteRef/>
      </w:r>
      <w:r w:rsidRPr="002C54A6">
        <w:rPr>
          <w:i/>
          <w:iCs/>
        </w:rPr>
        <w:t>Id</w:t>
      </w:r>
      <w:r>
        <w:t>.</w:t>
      </w:r>
    </w:p>
  </w:footnote>
  <w:footnote w:id="18">
    <w:p w:rsidR="000512D7" w:rsidRDefault="000512D7" w:rsidP="00B821A5">
      <w:pPr>
        <w:pStyle w:val="FootnoteText"/>
      </w:pPr>
      <w:r>
        <w:rPr>
          <w:rStyle w:val="FootnoteReference"/>
        </w:rPr>
        <w:footnoteRef/>
      </w:r>
      <w:r>
        <w:t>Document No. 01868-2020.</w:t>
      </w:r>
    </w:p>
  </w:footnote>
  <w:footnote w:id="19">
    <w:p w:rsidR="000512D7" w:rsidRDefault="000512D7" w:rsidP="00BB6E41">
      <w:pPr>
        <w:pStyle w:val="FootnoteText"/>
      </w:pPr>
      <w:r>
        <w:rPr>
          <w:rStyle w:val="FootnoteReference"/>
        </w:rPr>
        <w:footnoteRef/>
      </w:r>
      <w:r w:rsidRPr="008B1D3B">
        <w:t>Order No. PSC-2019-0484-FOF-EI</w:t>
      </w:r>
      <w:r>
        <w:t>.</w:t>
      </w:r>
    </w:p>
  </w:footnote>
  <w:footnote w:id="20">
    <w:p w:rsidR="000512D7" w:rsidRPr="00A936FD" w:rsidRDefault="000512D7" w:rsidP="00BB6E41">
      <w:pPr>
        <w:pStyle w:val="FootnoteText"/>
      </w:pPr>
      <w:r>
        <w:rPr>
          <w:rStyle w:val="FootnoteReference"/>
        </w:rPr>
        <w:footnoteRef/>
      </w:r>
      <w:r w:rsidRPr="00A936FD">
        <w:rPr>
          <w:i/>
          <w:iCs/>
        </w:rPr>
        <w:t>Id</w:t>
      </w:r>
      <w:r>
        <w:t>.</w:t>
      </w:r>
    </w:p>
  </w:footnote>
  <w:footnote w:id="21">
    <w:p w:rsidR="000512D7" w:rsidRDefault="000512D7" w:rsidP="00BB6E41">
      <w:pPr>
        <w:pStyle w:val="FootnoteText"/>
      </w:pPr>
      <w:r>
        <w:rPr>
          <w:rStyle w:val="FootnoteReference"/>
        </w:rPr>
        <w:footnoteRef/>
      </w:r>
      <w:r>
        <w:t>Document No. 01854-2020.</w:t>
      </w:r>
    </w:p>
  </w:footnote>
  <w:footnote w:id="22">
    <w:p w:rsidR="000512D7" w:rsidRDefault="000512D7" w:rsidP="006B3A07">
      <w:pPr>
        <w:pStyle w:val="FootnoteText"/>
      </w:pPr>
      <w:r>
        <w:rPr>
          <w:rStyle w:val="FootnoteReference"/>
        </w:rPr>
        <w:footnoteRef/>
      </w:r>
      <w:r w:rsidRPr="008B1D3B">
        <w:t>Order No. PSC-2019-0484-FOF-EI</w:t>
      </w:r>
      <w:r>
        <w:t>.</w:t>
      </w:r>
    </w:p>
  </w:footnote>
  <w:footnote w:id="23">
    <w:p w:rsidR="000512D7" w:rsidRDefault="000512D7" w:rsidP="006B3A07">
      <w:pPr>
        <w:pStyle w:val="FootnoteText"/>
      </w:pPr>
      <w:r>
        <w:rPr>
          <w:rStyle w:val="FootnoteReference"/>
        </w:rPr>
        <w:footnoteRef/>
      </w:r>
      <w:r>
        <w:t>Or</w:t>
      </w:r>
      <w:r w:rsidRPr="005A06C6">
        <w:t xml:space="preserve">der No. PSC-2019-0292-FOF-EI, Docket No. 20190072-EI, Issued July 22, 2019, In re: </w:t>
      </w:r>
      <w:r w:rsidRPr="005A06C6">
        <w:rPr>
          <w:i/>
          <w:iCs/>
        </w:rPr>
        <w:t>Petition for a limited proceeding to approve second solar base rate adjustment, by Duke Energy Florida, LLC</w:t>
      </w:r>
      <w:r w:rsidRPr="005A06C6">
        <w:t>.</w:t>
      </w:r>
    </w:p>
  </w:footnote>
  <w:footnote w:id="24">
    <w:p w:rsidR="000512D7" w:rsidRDefault="000512D7" w:rsidP="006B3A07">
      <w:pPr>
        <w:pStyle w:val="FootnoteText"/>
      </w:pPr>
      <w:r>
        <w:rPr>
          <w:rStyle w:val="FootnoteReference"/>
        </w:rPr>
        <w:footnoteRef/>
      </w:r>
      <w:r>
        <w:t>Document No. 01736-2020.</w:t>
      </w:r>
    </w:p>
  </w:footnote>
  <w:footnote w:id="25">
    <w:p w:rsidR="000512D7" w:rsidRDefault="000512D7" w:rsidP="006B3A07">
      <w:pPr>
        <w:pStyle w:val="FootnoteText"/>
      </w:pPr>
      <w:r>
        <w:rPr>
          <w:rStyle w:val="FootnoteReference"/>
        </w:rPr>
        <w:footnoteRef/>
      </w:r>
      <w:r w:rsidRPr="009E6E8E">
        <w:t>Document No. 01828-2020</w:t>
      </w:r>
      <w:r>
        <w:t>.</w:t>
      </w:r>
    </w:p>
  </w:footnote>
  <w:footnote w:id="26">
    <w:p w:rsidR="000512D7" w:rsidRDefault="000512D7" w:rsidP="006B3A07">
      <w:pPr>
        <w:pStyle w:val="OrderBody"/>
      </w:pPr>
      <w:r>
        <w:rPr>
          <w:rStyle w:val="FootnoteReference"/>
        </w:rPr>
        <w:footnoteRef/>
      </w:r>
      <w:r w:rsidRPr="005A06C6">
        <w:rPr>
          <w:sz w:val="20"/>
          <w:szCs w:val="20"/>
        </w:rPr>
        <w:t>Order No. PSC-2019-0292-FOF-EI.</w:t>
      </w:r>
    </w:p>
  </w:footnote>
  <w:footnote w:id="27">
    <w:p w:rsidR="000512D7" w:rsidRDefault="000512D7" w:rsidP="006B3A07">
      <w:pPr>
        <w:pStyle w:val="FootnoteText"/>
      </w:pPr>
      <w:r>
        <w:rPr>
          <w:rStyle w:val="FootnoteReference"/>
        </w:rPr>
        <w:footnoteRef/>
      </w:r>
      <w:r w:rsidRPr="009E6E8E">
        <w:t>Document No. 01828-2020.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2D7" w:rsidRDefault="000512D7">
    <w:pPr>
      <w:pStyle w:val="OrderHeader"/>
    </w:pPr>
    <w:r>
      <w:t xml:space="preserve">ORDER NO. </w:t>
    </w:r>
    <w:r w:rsidR="000A25B4">
      <w:fldChar w:fldCharType="begin"/>
    </w:r>
    <w:r w:rsidR="000A25B4">
      <w:instrText xml:space="preserve"> REF OrderNo0154 </w:instrText>
    </w:r>
    <w:r w:rsidR="000A25B4">
      <w:fldChar w:fldCharType="separate"/>
    </w:r>
    <w:r w:rsidR="004669D6">
      <w:t>PSC-2020-0154-PCO-EI</w:t>
    </w:r>
    <w:r w:rsidR="000A25B4">
      <w:fldChar w:fldCharType="end"/>
    </w:r>
  </w:p>
  <w:p w:rsidR="000512D7" w:rsidRDefault="000512D7">
    <w:pPr>
      <w:pStyle w:val="OrderHeader"/>
    </w:pPr>
    <w:bookmarkStart w:id="14" w:name="HeaderDocketNo"/>
    <w:bookmarkEnd w:id="14"/>
    <w:r>
      <w:t>DOCKET NO. 20200001-EI</w:t>
    </w:r>
  </w:p>
  <w:p w:rsidR="000512D7" w:rsidRDefault="000512D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25B4">
      <w:rPr>
        <w:rStyle w:val="PageNumber"/>
        <w:noProof/>
      </w:rPr>
      <w:t>21</w:t>
    </w:r>
    <w:r>
      <w:rPr>
        <w:rStyle w:val="PageNumber"/>
      </w:rPr>
      <w:fldChar w:fldCharType="end"/>
    </w:r>
  </w:p>
  <w:p w:rsidR="000512D7" w:rsidRDefault="000512D7">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2D7" w:rsidRDefault="000512D7" w:rsidP="00324B1C">
    <w:pPr>
      <w:pStyle w:val="OrderHeader"/>
    </w:pPr>
    <w:r>
      <w:t xml:space="preserve">ORDER NO. </w:t>
    </w:r>
    <w:r w:rsidR="004669D6">
      <w:fldChar w:fldCharType="begin"/>
    </w:r>
    <w:r w:rsidR="004669D6">
      <w:instrText xml:space="preserve"> REF OrderNo0154 </w:instrText>
    </w:r>
    <w:r w:rsidR="004669D6">
      <w:fldChar w:fldCharType="separate"/>
    </w:r>
    <w:r w:rsidR="004669D6">
      <w:t>PSC-2020-0154-PCO-EI</w:t>
    </w:r>
    <w:r w:rsidR="004669D6">
      <w:fldChar w:fldCharType="end"/>
    </w:r>
  </w:p>
  <w:p w:rsidR="000512D7" w:rsidRDefault="000512D7" w:rsidP="00324B1C">
    <w:pPr>
      <w:pStyle w:val="OrderHeader"/>
    </w:pPr>
    <w:r>
      <w:t>DOCKET NO. 20200001-EI</w:t>
    </w:r>
    <w:r>
      <w:tab/>
    </w:r>
    <w:r>
      <w:tab/>
      <w:t>ATTACHMENT A</w:t>
    </w:r>
  </w:p>
  <w:p w:rsidR="000512D7" w:rsidRDefault="000512D7" w:rsidP="00324B1C">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0A25B4">
      <w:rPr>
        <w:rStyle w:val="PageNumber"/>
        <w:noProof/>
      </w:rPr>
      <w:t>15</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2D7" w:rsidRDefault="000512D7" w:rsidP="00324B1C">
    <w:pPr>
      <w:pStyle w:val="OrderHeader"/>
    </w:pPr>
    <w:r>
      <w:t xml:space="preserve">ORDER NO. </w:t>
    </w:r>
    <w:r w:rsidR="004669D6">
      <w:fldChar w:fldCharType="begin"/>
    </w:r>
    <w:r w:rsidR="004669D6">
      <w:instrText xml:space="preserve"> REF OrderNo0154 </w:instrText>
    </w:r>
    <w:r w:rsidR="004669D6">
      <w:fldChar w:fldCharType="separate"/>
    </w:r>
    <w:r w:rsidR="004669D6">
      <w:t>PSC-2020-0154-PCO-EI</w:t>
    </w:r>
    <w:r w:rsidR="004669D6">
      <w:fldChar w:fldCharType="end"/>
    </w:r>
  </w:p>
  <w:p w:rsidR="000512D7" w:rsidRDefault="000512D7" w:rsidP="00324B1C">
    <w:pPr>
      <w:pStyle w:val="OrderHeader"/>
    </w:pPr>
    <w:r>
      <w:t>DOCKET NO. 20200001-EI</w:t>
    </w:r>
    <w:r>
      <w:tab/>
    </w:r>
    <w:r>
      <w:tab/>
      <w:t>ATTACHMENT B</w:t>
    </w:r>
  </w:p>
  <w:p w:rsidR="000512D7" w:rsidRDefault="000512D7" w:rsidP="00324B1C">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0A25B4">
      <w:rPr>
        <w:rStyle w:val="PageNumber"/>
        <w:noProof/>
      </w:rPr>
      <w:t>17</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2D7" w:rsidRDefault="000512D7" w:rsidP="00324B1C">
    <w:pPr>
      <w:pStyle w:val="OrderHeader"/>
    </w:pPr>
    <w:r>
      <w:t xml:space="preserve">ORDER NO. </w:t>
    </w:r>
    <w:r w:rsidR="004669D6">
      <w:fldChar w:fldCharType="begin"/>
    </w:r>
    <w:r w:rsidR="004669D6">
      <w:instrText xml:space="preserve"> REF OrderNo0154 </w:instrText>
    </w:r>
    <w:r w:rsidR="004669D6">
      <w:fldChar w:fldCharType="separate"/>
    </w:r>
    <w:r w:rsidR="004669D6">
      <w:t>PSC-2020-0154-PCO-EI</w:t>
    </w:r>
    <w:r w:rsidR="004669D6">
      <w:fldChar w:fldCharType="end"/>
    </w:r>
  </w:p>
  <w:p w:rsidR="000512D7" w:rsidRDefault="000512D7" w:rsidP="00324B1C">
    <w:pPr>
      <w:pStyle w:val="OrderHeader"/>
    </w:pPr>
    <w:r>
      <w:t>DOCKET NO. 20200001-EI</w:t>
    </w:r>
    <w:r>
      <w:tab/>
    </w:r>
    <w:r>
      <w:tab/>
      <w:t>ATTACHMENT C</w:t>
    </w:r>
  </w:p>
  <w:p w:rsidR="000512D7" w:rsidRDefault="000512D7" w:rsidP="00324B1C">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0A25B4">
      <w:rPr>
        <w:rStyle w:val="PageNumber"/>
        <w:noProof/>
      </w:rPr>
      <w:t>19</w:t>
    </w:r>
    <w:r>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2D7" w:rsidRDefault="000512D7" w:rsidP="00324B1C">
    <w:pPr>
      <w:pStyle w:val="OrderHeader"/>
    </w:pPr>
    <w:r>
      <w:t xml:space="preserve">ORDER NO. </w:t>
    </w:r>
    <w:r w:rsidR="004669D6">
      <w:fldChar w:fldCharType="begin"/>
    </w:r>
    <w:r w:rsidR="004669D6">
      <w:instrText xml:space="preserve"> REF OrderNo0154 </w:instrText>
    </w:r>
    <w:r w:rsidR="004669D6">
      <w:fldChar w:fldCharType="separate"/>
    </w:r>
    <w:r w:rsidR="004669D6">
      <w:t>PSC-2020-0154-PCO-EI</w:t>
    </w:r>
    <w:r w:rsidR="004669D6">
      <w:fldChar w:fldCharType="end"/>
    </w:r>
  </w:p>
  <w:p w:rsidR="000512D7" w:rsidRDefault="000512D7" w:rsidP="00324B1C">
    <w:pPr>
      <w:pStyle w:val="OrderHeader"/>
    </w:pPr>
    <w:r>
      <w:t>DOCKET NO. 20200001-EI</w:t>
    </w:r>
    <w:r>
      <w:tab/>
    </w:r>
    <w:r>
      <w:tab/>
      <w:t>ATTACHMENT D</w:t>
    </w:r>
  </w:p>
  <w:p w:rsidR="000512D7" w:rsidRDefault="000512D7" w:rsidP="00324B1C">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A25B4">
      <w:rPr>
        <w:rStyle w:val="PageNumber"/>
        <w:noProof/>
      </w:rPr>
      <w:t>20</w:t>
    </w:r>
    <w:r>
      <w:rPr>
        <w:rStyle w:val="PageNumber"/>
      </w:rPr>
      <w:fldChar w:fldCharType="end"/>
    </w:r>
  </w:p>
  <w:p w:rsidR="000512D7" w:rsidRDefault="000512D7" w:rsidP="00324B1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001-EI"/>
  </w:docVars>
  <w:rsids>
    <w:rsidRoot w:val="006D2B36"/>
    <w:rsid w:val="000022B8"/>
    <w:rsid w:val="00025C9D"/>
    <w:rsid w:val="00030A09"/>
    <w:rsid w:val="0003433F"/>
    <w:rsid w:val="00035A8C"/>
    <w:rsid w:val="00036BDD"/>
    <w:rsid w:val="000512D7"/>
    <w:rsid w:val="00053AB9"/>
    <w:rsid w:val="00056229"/>
    <w:rsid w:val="00057AF1"/>
    <w:rsid w:val="00065FC2"/>
    <w:rsid w:val="00067685"/>
    <w:rsid w:val="00067B07"/>
    <w:rsid w:val="000730D7"/>
    <w:rsid w:val="00076E6B"/>
    <w:rsid w:val="00081AE4"/>
    <w:rsid w:val="0008247D"/>
    <w:rsid w:val="00090AFC"/>
    <w:rsid w:val="00096507"/>
    <w:rsid w:val="000A25B4"/>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639D6"/>
    <w:rsid w:val="001655D4"/>
    <w:rsid w:val="00170F2B"/>
    <w:rsid w:val="00187E32"/>
    <w:rsid w:val="00194A97"/>
    <w:rsid w:val="00194E81"/>
    <w:rsid w:val="001A15E7"/>
    <w:rsid w:val="001A33C9"/>
    <w:rsid w:val="001A484B"/>
    <w:rsid w:val="001A58F3"/>
    <w:rsid w:val="001B034E"/>
    <w:rsid w:val="001C0292"/>
    <w:rsid w:val="001C2847"/>
    <w:rsid w:val="001C3BB5"/>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574DA"/>
    <w:rsid w:val="002613E4"/>
    <w:rsid w:val="0026544B"/>
    <w:rsid w:val="00276CDC"/>
    <w:rsid w:val="00277655"/>
    <w:rsid w:val="002824B7"/>
    <w:rsid w:val="00282AC4"/>
    <w:rsid w:val="00293DC9"/>
    <w:rsid w:val="002A11AC"/>
    <w:rsid w:val="002A6F30"/>
    <w:rsid w:val="002B3111"/>
    <w:rsid w:val="002C2096"/>
    <w:rsid w:val="002C7908"/>
    <w:rsid w:val="002D391B"/>
    <w:rsid w:val="002D4B1F"/>
    <w:rsid w:val="002D7D15"/>
    <w:rsid w:val="002E1B2E"/>
    <w:rsid w:val="002E27EB"/>
    <w:rsid w:val="002F2A9D"/>
    <w:rsid w:val="002F31C2"/>
    <w:rsid w:val="002F7BF6"/>
    <w:rsid w:val="00303FDE"/>
    <w:rsid w:val="00313C5B"/>
    <w:rsid w:val="003140E8"/>
    <w:rsid w:val="003231C7"/>
    <w:rsid w:val="00323839"/>
    <w:rsid w:val="00324B1C"/>
    <w:rsid w:val="003270C4"/>
    <w:rsid w:val="00331ED0"/>
    <w:rsid w:val="00332B0A"/>
    <w:rsid w:val="00333A41"/>
    <w:rsid w:val="00345434"/>
    <w:rsid w:val="0035495B"/>
    <w:rsid w:val="00355A93"/>
    <w:rsid w:val="00361522"/>
    <w:rsid w:val="0037196E"/>
    <w:rsid w:val="003744F5"/>
    <w:rsid w:val="003875A9"/>
    <w:rsid w:val="00387BDE"/>
    <w:rsid w:val="00390DD8"/>
    <w:rsid w:val="00394DC6"/>
    <w:rsid w:val="00397C3E"/>
    <w:rsid w:val="003B1A09"/>
    <w:rsid w:val="003D4CCA"/>
    <w:rsid w:val="003D52A6"/>
    <w:rsid w:val="003D6416"/>
    <w:rsid w:val="003E1D48"/>
    <w:rsid w:val="003E711F"/>
    <w:rsid w:val="003F1D2B"/>
    <w:rsid w:val="00411DF2"/>
    <w:rsid w:val="00411E8F"/>
    <w:rsid w:val="004247F5"/>
    <w:rsid w:val="0042527B"/>
    <w:rsid w:val="00427EAC"/>
    <w:rsid w:val="004431B4"/>
    <w:rsid w:val="0045537F"/>
    <w:rsid w:val="00457DC7"/>
    <w:rsid w:val="004640B3"/>
    <w:rsid w:val="004669D6"/>
    <w:rsid w:val="00472BCC"/>
    <w:rsid w:val="004A25CD"/>
    <w:rsid w:val="004A26CC"/>
    <w:rsid w:val="004B2108"/>
    <w:rsid w:val="004B3A2B"/>
    <w:rsid w:val="004B70D3"/>
    <w:rsid w:val="004C312D"/>
    <w:rsid w:val="004C678B"/>
    <w:rsid w:val="004D2D1B"/>
    <w:rsid w:val="004D5067"/>
    <w:rsid w:val="004D6838"/>
    <w:rsid w:val="004D72BC"/>
    <w:rsid w:val="004E469D"/>
    <w:rsid w:val="004E7F4F"/>
    <w:rsid w:val="004F2DDE"/>
    <w:rsid w:val="004F7826"/>
    <w:rsid w:val="0050097F"/>
    <w:rsid w:val="00514B1F"/>
    <w:rsid w:val="00523C5C"/>
    <w:rsid w:val="00525E93"/>
    <w:rsid w:val="0052671D"/>
    <w:rsid w:val="005300C0"/>
    <w:rsid w:val="00540E6B"/>
    <w:rsid w:val="0055595D"/>
    <w:rsid w:val="00556A10"/>
    <w:rsid w:val="00557F50"/>
    <w:rsid w:val="00571D3D"/>
    <w:rsid w:val="0058264B"/>
    <w:rsid w:val="005868AA"/>
    <w:rsid w:val="00590845"/>
    <w:rsid w:val="00594C38"/>
    <w:rsid w:val="005963C2"/>
    <w:rsid w:val="005A0D69"/>
    <w:rsid w:val="005A31F4"/>
    <w:rsid w:val="005A73EA"/>
    <w:rsid w:val="005B45F7"/>
    <w:rsid w:val="005B63EA"/>
    <w:rsid w:val="005C1A88"/>
    <w:rsid w:val="005C5033"/>
    <w:rsid w:val="005E751B"/>
    <w:rsid w:val="005F3354"/>
    <w:rsid w:val="0060005E"/>
    <w:rsid w:val="0060095B"/>
    <w:rsid w:val="00601266"/>
    <w:rsid w:val="00610221"/>
    <w:rsid w:val="00610E73"/>
    <w:rsid w:val="00616DF2"/>
    <w:rsid w:val="0063168D"/>
    <w:rsid w:val="00647025"/>
    <w:rsid w:val="0064730A"/>
    <w:rsid w:val="006531A4"/>
    <w:rsid w:val="00660774"/>
    <w:rsid w:val="0066389A"/>
    <w:rsid w:val="0066495C"/>
    <w:rsid w:val="00665CC7"/>
    <w:rsid w:val="00672612"/>
    <w:rsid w:val="00677F18"/>
    <w:rsid w:val="00693483"/>
    <w:rsid w:val="006A0BF3"/>
    <w:rsid w:val="006B0036"/>
    <w:rsid w:val="006B0DA6"/>
    <w:rsid w:val="006B3A07"/>
    <w:rsid w:val="006C547E"/>
    <w:rsid w:val="006D2B36"/>
    <w:rsid w:val="006D2B51"/>
    <w:rsid w:val="006D5575"/>
    <w:rsid w:val="006D7191"/>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A12EC"/>
    <w:rsid w:val="008B19A6"/>
    <w:rsid w:val="008B4EFB"/>
    <w:rsid w:val="008C21C8"/>
    <w:rsid w:val="008C6375"/>
    <w:rsid w:val="008C6A5B"/>
    <w:rsid w:val="008D498D"/>
    <w:rsid w:val="008D6D36"/>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33E1F"/>
    <w:rsid w:val="00943D21"/>
    <w:rsid w:val="0094504B"/>
    <w:rsid w:val="00964A38"/>
    <w:rsid w:val="00965EAF"/>
    <w:rsid w:val="00966A9D"/>
    <w:rsid w:val="0096742B"/>
    <w:rsid w:val="009718C5"/>
    <w:rsid w:val="009770A5"/>
    <w:rsid w:val="009924CF"/>
    <w:rsid w:val="00994100"/>
    <w:rsid w:val="009A6B17"/>
    <w:rsid w:val="009D4C29"/>
    <w:rsid w:val="009F6AD2"/>
    <w:rsid w:val="00A00D8D"/>
    <w:rsid w:val="00A01BB6"/>
    <w:rsid w:val="00A4303C"/>
    <w:rsid w:val="00A46CAF"/>
    <w:rsid w:val="00A470FD"/>
    <w:rsid w:val="00A50B5E"/>
    <w:rsid w:val="00A62DAB"/>
    <w:rsid w:val="00A6757A"/>
    <w:rsid w:val="00A726A6"/>
    <w:rsid w:val="00A74842"/>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821A5"/>
    <w:rsid w:val="00B86EF0"/>
    <w:rsid w:val="00B96969"/>
    <w:rsid w:val="00B97900"/>
    <w:rsid w:val="00BA1229"/>
    <w:rsid w:val="00BA44A8"/>
    <w:rsid w:val="00BA49C5"/>
    <w:rsid w:val="00BB6E41"/>
    <w:rsid w:val="00BC786E"/>
    <w:rsid w:val="00BD5C92"/>
    <w:rsid w:val="00BE50E6"/>
    <w:rsid w:val="00BE7A0C"/>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0904"/>
    <w:rsid w:val="00C91123"/>
    <w:rsid w:val="00CA71FF"/>
    <w:rsid w:val="00CB5276"/>
    <w:rsid w:val="00CB5BFC"/>
    <w:rsid w:val="00CB68D7"/>
    <w:rsid w:val="00CB785B"/>
    <w:rsid w:val="00CC7E68"/>
    <w:rsid w:val="00CD7132"/>
    <w:rsid w:val="00CE0E6F"/>
    <w:rsid w:val="00CE3B21"/>
    <w:rsid w:val="00CE56FC"/>
    <w:rsid w:val="00CE7A4D"/>
    <w:rsid w:val="00CF32D2"/>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3ED"/>
    <w:rsid w:val="00DF09A7"/>
    <w:rsid w:val="00DF2B51"/>
    <w:rsid w:val="00E001D6"/>
    <w:rsid w:val="00E03A76"/>
    <w:rsid w:val="00E04410"/>
    <w:rsid w:val="00E07484"/>
    <w:rsid w:val="00E11351"/>
    <w:rsid w:val="00E4225C"/>
    <w:rsid w:val="00E424AD"/>
    <w:rsid w:val="00E44879"/>
    <w:rsid w:val="00E72914"/>
    <w:rsid w:val="00E75AE0"/>
    <w:rsid w:val="00E83C1F"/>
    <w:rsid w:val="00E85684"/>
    <w:rsid w:val="00E8794B"/>
    <w:rsid w:val="00E97656"/>
    <w:rsid w:val="00EA172C"/>
    <w:rsid w:val="00EA259B"/>
    <w:rsid w:val="00EA35A3"/>
    <w:rsid w:val="00EA3E6A"/>
    <w:rsid w:val="00EB18EF"/>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2D67"/>
    <w:rsid w:val="00F63191"/>
    <w:rsid w:val="00F6702E"/>
    <w:rsid w:val="00F70E84"/>
    <w:rsid w:val="00FA092B"/>
    <w:rsid w:val="00FA4F6C"/>
    <w:rsid w:val="00FA69EB"/>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6D2B36"/>
  </w:style>
  <w:style w:type="character" w:styleId="Hyperlink">
    <w:name w:val="Hyperlink"/>
    <w:uiPriority w:val="99"/>
    <w:rsid w:val="006D2B36"/>
    <w:rPr>
      <w:color w:val="0000FF"/>
      <w:u w:val="single"/>
    </w:rPr>
  </w:style>
  <w:style w:type="paragraph" w:styleId="BalloonText">
    <w:name w:val="Balloon Text"/>
    <w:basedOn w:val="Normal"/>
    <w:link w:val="BalloonTextChar"/>
    <w:semiHidden/>
    <w:unhideWhenUsed/>
    <w:rsid w:val="00933E1F"/>
    <w:rPr>
      <w:rFonts w:ascii="Tahoma" w:hAnsi="Tahoma" w:cs="Tahoma"/>
      <w:sz w:val="16"/>
      <w:szCs w:val="16"/>
    </w:rPr>
  </w:style>
  <w:style w:type="character" w:customStyle="1" w:styleId="BalloonTextChar">
    <w:name w:val="Balloon Text Char"/>
    <w:basedOn w:val="DefaultParagraphFont"/>
    <w:link w:val="BalloonText"/>
    <w:semiHidden/>
    <w:rsid w:val="00933E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www.floridahealth.gov/" TargetMode="External"/><Relationship Id="rId1" Type="http://schemas.openxmlformats.org/officeDocument/2006/relationships/hyperlink" Target="https://www.eia.gov/dnav/ng/hist/rngwhhdm.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E0496-9074-445F-9C90-9C0060DB8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Brown, Polmann, and Fay.dotm</Template>
  <TotalTime>0</TotalTime>
  <Pages>21</Pages>
  <Words>4780</Words>
  <Characters>27248</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2020-05-14T17:42:00Z</dcterms:created>
  <dcterms:modified xsi:type="dcterms:W3CDTF">2020-05-14T19:56:00Z</dcterms:modified>
</cp:coreProperties>
</file>