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244066" w:rsidP="00244066">
      <w:pPr>
        <w:pStyle w:val="OrderHeading"/>
      </w:pPr>
      <w:r>
        <w:t>BEFORE THE FLORIDA PUBLIC SERVICE COMMISSION</w:t>
      </w:r>
    </w:p>
    <w:p w:rsidR="00244066" w:rsidRDefault="00244066" w:rsidP="00244066">
      <w:pPr>
        <w:pStyle w:val="OrderBody"/>
      </w:pPr>
    </w:p>
    <w:p w:rsidR="00244066" w:rsidRDefault="00244066" w:rsidP="0024406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44066" w:rsidRPr="00C63FCF" w:rsidTr="00C63FCF">
        <w:trPr>
          <w:trHeight w:val="828"/>
        </w:trPr>
        <w:tc>
          <w:tcPr>
            <w:tcW w:w="4788" w:type="dxa"/>
            <w:tcBorders>
              <w:bottom w:val="single" w:sz="8" w:space="0" w:color="auto"/>
              <w:right w:val="double" w:sz="6" w:space="0" w:color="auto"/>
            </w:tcBorders>
            <w:shd w:val="clear" w:color="auto" w:fill="auto"/>
          </w:tcPr>
          <w:p w:rsidR="00244066" w:rsidRDefault="00244066" w:rsidP="00C63FCF">
            <w:pPr>
              <w:pStyle w:val="OrderBody"/>
              <w:tabs>
                <w:tab w:val="center" w:pos="4320"/>
                <w:tab w:val="right" w:pos="8640"/>
              </w:tabs>
              <w:jc w:val="left"/>
            </w:pPr>
            <w:r>
              <w:t xml:space="preserve">In re: </w:t>
            </w:r>
            <w:bookmarkStart w:id="0" w:name="SSInRe"/>
            <w:bookmarkEnd w:id="0"/>
            <w:r>
              <w:t>Joint Petition for approval of territorial agreement in Sumter County by Peoples Gas System, The City of Leesburg and South Sumter Gas Company.</w:t>
            </w:r>
          </w:p>
        </w:tc>
        <w:tc>
          <w:tcPr>
            <w:tcW w:w="4788" w:type="dxa"/>
            <w:tcBorders>
              <w:left w:val="double" w:sz="6" w:space="0" w:color="auto"/>
            </w:tcBorders>
            <w:shd w:val="clear" w:color="auto" w:fill="auto"/>
          </w:tcPr>
          <w:p w:rsidR="00244066" w:rsidRDefault="00244066" w:rsidP="00244066">
            <w:pPr>
              <w:pStyle w:val="OrderBody"/>
            </w:pPr>
            <w:r>
              <w:t xml:space="preserve">DOCKET NO. </w:t>
            </w:r>
            <w:bookmarkStart w:id="1" w:name="SSDocketNo"/>
            <w:bookmarkEnd w:id="1"/>
            <w:r>
              <w:t>20200085-GU</w:t>
            </w:r>
          </w:p>
          <w:p w:rsidR="00244066" w:rsidRDefault="00244066" w:rsidP="00C63FCF">
            <w:pPr>
              <w:pStyle w:val="OrderBody"/>
              <w:tabs>
                <w:tab w:val="center" w:pos="4320"/>
                <w:tab w:val="right" w:pos="8640"/>
              </w:tabs>
              <w:jc w:val="left"/>
            </w:pPr>
            <w:r>
              <w:t xml:space="preserve">ORDER NO. </w:t>
            </w:r>
            <w:r w:rsidR="00B31000">
              <w:t>PSC-2020-0221-PAA</w:t>
            </w:r>
            <w:r w:rsidR="00FE2600">
              <w:t>-GU</w:t>
            </w:r>
          </w:p>
          <w:p w:rsidR="00244066" w:rsidRDefault="00244066" w:rsidP="003C67CD">
            <w:pPr>
              <w:pStyle w:val="OrderBody"/>
              <w:tabs>
                <w:tab w:val="center" w:pos="4320"/>
                <w:tab w:val="right" w:pos="8640"/>
              </w:tabs>
              <w:jc w:val="left"/>
            </w:pPr>
            <w:r>
              <w:t xml:space="preserve">ISSUED: </w:t>
            </w:r>
            <w:r w:rsidR="00B31000">
              <w:t>June 29, 2020</w:t>
            </w:r>
          </w:p>
        </w:tc>
      </w:tr>
    </w:tbl>
    <w:p w:rsidR="00244066" w:rsidRDefault="00244066" w:rsidP="00244066"/>
    <w:p w:rsidR="00244066" w:rsidRDefault="00244066" w:rsidP="00244066"/>
    <w:p w:rsidR="00244066" w:rsidRDefault="00244066" w:rsidP="00B67A43">
      <w:pPr>
        <w:ind w:firstLine="720"/>
        <w:jc w:val="both"/>
      </w:pPr>
      <w:bookmarkStart w:id="2" w:name="Commissioners"/>
      <w:bookmarkEnd w:id="2"/>
      <w:r>
        <w:t>The following Commissioners participated in the disposition of this matter:</w:t>
      </w:r>
    </w:p>
    <w:p w:rsidR="00244066" w:rsidRDefault="00244066" w:rsidP="00B67A43"/>
    <w:p w:rsidR="00244066" w:rsidRDefault="00244066" w:rsidP="00B67A43">
      <w:pPr>
        <w:jc w:val="center"/>
      </w:pPr>
      <w:r>
        <w:t>GARY F. CLARK, Chairman</w:t>
      </w:r>
    </w:p>
    <w:p w:rsidR="00244066" w:rsidRDefault="00244066" w:rsidP="00B67A43">
      <w:pPr>
        <w:jc w:val="center"/>
      </w:pPr>
      <w:r>
        <w:t>ART GRAHAM</w:t>
      </w:r>
    </w:p>
    <w:p w:rsidR="00244066" w:rsidRDefault="00244066" w:rsidP="00B67A43">
      <w:pPr>
        <w:jc w:val="center"/>
      </w:pPr>
      <w:r>
        <w:t>JULIE I. BROWN</w:t>
      </w:r>
    </w:p>
    <w:p w:rsidR="00244066" w:rsidRDefault="00244066" w:rsidP="00B67A43">
      <w:pPr>
        <w:jc w:val="center"/>
      </w:pPr>
      <w:r>
        <w:t>DONALD J. POLMANN</w:t>
      </w:r>
    </w:p>
    <w:p w:rsidR="00244066" w:rsidRDefault="00244066" w:rsidP="00B67A43">
      <w:pPr>
        <w:jc w:val="center"/>
      </w:pPr>
      <w:r>
        <w:t>ANDREW GILES FAY</w:t>
      </w:r>
    </w:p>
    <w:p w:rsidR="00244066" w:rsidRDefault="00244066" w:rsidP="00244066">
      <w:pPr>
        <w:pStyle w:val="OrderBody"/>
      </w:pPr>
    </w:p>
    <w:p w:rsidR="00244066" w:rsidRDefault="00244066" w:rsidP="00244066">
      <w:pPr>
        <w:pStyle w:val="OrderBody"/>
      </w:pPr>
    </w:p>
    <w:p w:rsidR="009E53AF" w:rsidRPr="009E53AF" w:rsidRDefault="009E53AF" w:rsidP="009E53AF">
      <w:pPr>
        <w:pStyle w:val="OrderBody"/>
        <w:jc w:val="center"/>
        <w:rPr>
          <w:u w:val="single"/>
        </w:rPr>
      </w:pPr>
      <w:bookmarkStart w:id="3" w:name="OrderText"/>
      <w:bookmarkStart w:id="4" w:name="OrderTitle"/>
      <w:bookmarkEnd w:id="3"/>
      <w:r w:rsidRPr="009E53AF">
        <w:rPr>
          <w:u w:val="single"/>
        </w:rPr>
        <w:t>PROPOSED AGENCY ACTION</w:t>
      </w:r>
    </w:p>
    <w:p w:rsidR="00244066" w:rsidRPr="003E4B2D" w:rsidRDefault="009E53AF" w:rsidP="009E53AF">
      <w:pPr>
        <w:pStyle w:val="OrderBody"/>
        <w:jc w:val="center"/>
        <w:rPr>
          <w:u w:val="single"/>
        </w:rPr>
      </w:pPr>
      <w:r w:rsidRPr="009E53AF">
        <w:rPr>
          <w:u w:val="single"/>
        </w:rPr>
        <w:t>ORDER APPROVING</w:t>
      </w:r>
      <w:bookmarkEnd w:id="4"/>
      <w:r>
        <w:rPr>
          <w:u w:val="single"/>
        </w:rPr>
        <w:t xml:space="preserve"> JOINT TERRITORIAL AGREEMENT </w:t>
      </w:r>
    </w:p>
    <w:p w:rsidR="00244066" w:rsidRPr="003E4B2D" w:rsidRDefault="00244066">
      <w:pPr>
        <w:pStyle w:val="OrderBody"/>
      </w:pPr>
    </w:p>
    <w:p w:rsidR="00244066" w:rsidRPr="003E4B2D" w:rsidRDefault="00244066">
      <w:pPr>
        <w:pStyle w:val="OrderBody"/>
      </w:pPr>
    </w:p>
    <w:p w:rsidR="00244066" w:rsidRPr="003E4B2D" w:rsidRDefault="00244066">
      <w:pPr>
        <w:pStyle w:val="OrderBody"/>
      </w:pPr>
      <w:r w:rsidRPr="003E4B2D">
        <w:t>BY THE COMMISSION:</w:t>
      </w:r>
    </w:p>
    <w:p w:rsidR="00244066" w:rsidRPr="003E4B2D" w:rsidRDefault="00244066">
      <w:pPr>
        <w:pStyle w:val="OrderBody"/>
      </w:pPr>
    </w:p>
    <w:p w:rsidR="00244066" w:rsidRDefault="00244066">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244066"/>
    <w:p w:rsidR="00244066" w:rsidRPr="009E53AF" w:rsidRDefault="00244066" w:rsidP="00817498">
      <w:pPr>
        <w:pStyle w:val="RecommendationMajorSectionHeading"/>
        <w:rPr>
          <w:rFonts w:ascii="Times New Roman" w:hAnsi="Times New Roman" w:cs="Times New Roman"/>
        </w:rPr>
      </w:pPr>
      <w:r w:rsidRPr="009E53AF">
        <w:rPr>
          <w:rFonts w:ascii="Times New Roman" w:hAnsi="Times New Roman" w:cs="Times New Roman"/>
        </w:rPr>
        <w:t>Background</w:t>
      </w:r>
    </w:p>
    <w:p w:rsidR="00244066" w:rsidRDefault="004D2004" w:rsidP="00244066">
      <w:pPr>
        <w:jc w:val="both"/>
        <w:rPr>
          <w:lang w:val="en"/>
        </w:rPr>
      </w:pPr>
      <w:r>
        <w:tab/>
      </w:r>
      <w:r w:rsidR="00244066">
        <w:t xml:space="preserve">On March 11, 2020, Peoples Gas System (Peoples) and the City of Leesburg (Leesburg), collectively the joint petitioners, filed a petition seeking </w:t>
      </w:r>
      <w:r w:rsidR="00CB6141">
        <w:t>our</w:t>
      </w:r>
      <w:r w:rsidR="00244066">
        <w:t xml:space="preserve"> approval of a Territorial Agreement delineating their respective service boundaries in Sumter County, Florida. </w:t>
      </w:r>
      <w:r w:rsidR="009E53AF">
        <w:t xml:space="preserve">We note that </w:t>
      </w:r>
      <w:r w:rsidR="00244066">
        <w:t xml:space="preserve">South Sumter Gas Company, LLC, although listed in the title of the petition, is not a party to the proposed Territorial Agreement. </w:t>
      </w:r>
      <w:r w:rsidR="00244066">
        <w:rPr>
          <w:lang w:val="en"/>
        </w:rPr>
        <w:t>The proposed Territorial Agreement and a map depicting the current service territories and proposed changes, and boundary areas to be served by Peoples and Leesburg are provided in Attachment A</w:t>
      </w:r>
      <w:r w:rsidR="00C51752">
        <w:rPr>
          <w:lang w:val="en"/>
        </w:rPr>
        <w:t xml:space="preserve"> to this Order</w:t>
      </w:r>
      <w:r w:rsidR="00244066">
        <w:rPr>
          <w:lang w:val="en"/>
        </w:rPr>
        <w:t>.</w:t>
      </w:r>
    </w:p>
    <w:p w:rsidR="00244066" w:rsidRDefault="00244066" w:rsidP="00244066">
      <w:pPr>
        <w:jc w:val="both"/>
        <w:rPr>
          <w:lang w:val="en"/>
        </w:rPr>
      </w:pPr>
    </w:p>
    <w:p w:rsidR="00244066" w:rsidRDefault="004D2004" w:rsidP="00244066">
      <w:pPr>
        <w:jc w:val="both"/>
      </w:pPr>
      <w:r>
        <w:tab/>
      </w:r>
      <w:r w:rsidR="00244066">
        <w:t>On February 23, 2018, Peoples filed a petition in Docket No. 20180055-GU,</w:t>
      </w:r>
      <w:r w:rsidR="00244066">
        <w:rPr>
          <w:rStyle w:val="FootnoteReference"/>
        </w:rPr>
        <w:footnoteReference w:id="1"/>
      </w:r>
      <w:r w:rsidR="00244066">
        <w:t xml:space="preserve"> requesting that </w:t>
      </w:r>
      <w:r w:rsidR="00CB6141">
        <w:t>we</w:t>
      </w:r>
      <w:r w:rsidR="00244066">
        <w:t xml:space="preserve"> resolve a territorial dispute between Peoples and Leesburg and/or </w:t>
      </w:r>
      <w:r w:rsidR="00244066" w:rsidRPr="00063A8B">
        <w:t>South Sumter Gas Company, LLC</w:t>
      </w:r>
      <w:r w:rsidR="00244066">
        <w:t xml:space="preserve">. The Petition alleged that Peoples and Leesburg and/or </w:t>
      </w:r>
      <w:r w:rsidR="00244066" w:rsidRPr="00063A8B">
        <w:t>South Sumter Gas Company, LLC</w:t>
      </w:r>
      <w:r w:rsidR="00244066">
        <w:t xml:space="preserve"> were in a dispute as to the rights of each to provide natural gas services to the customers in Sumter County, including The Villages. The area in dispute is characterized by </w:t>
      </w:r>
      <w:r w:rsidR="00244066">
        <w:lastRenderedPageBreak/>
        <w:t xml:space="preserve">residential areas of varying density, interspersed with commercial support areas, and is referred to as Bigham North, Bigham West, Bigham East (Bigham developments). </w:t>
      </w:r>
    </w:p>
    <w:p w:rsidR="00244066" w:rsidRDefault="00244066" w:rsidP="00244066">
      <w:pPr>
        <w:jc w:val="both"/>
      </w:pPr>
    </w:p>
    <w:p w:rsidR="00244066" w:rsidRDefault="004D2004" w:rsidP="00244066">
      <w:pPr>
        <w:jc w:val="both"/>
        <w:rPr>
          <w:lang w:val="en"/>
        </w:rPr>
      </w:pPr>
      <w:r>
        <w:tab/>
      </w:r>
      <w:r w:rsidR="00244066">
        <w:t xml:space="preserve">On August 21, 2018, </w:t>
      </w:r>
      <w:r w:rsidR="009E53AF">
        <w:t>we</w:t>
      </w:r>
      <w:r w:rsidR="00244066">
        <w:t xml:space="preserve"> referred the dispute to the Division of Administrative Hearings (DOAH). DOAH assigned an Administrative Law Judge (ALJ) for the purpose of conducting an administrative hearing and issuing a Recommended Order</w:t>
      </w:r>
      <w:r w:rsidR="00244066">
        <w:rPr>
          <w:rStyle w:val="FootnoteReference"/>
        </w:rPr>
        <w:footnoteReference w:id="2"/>
      </w:r>
      <w:r w:rsidR="00244066">
        <w:t xml:space="preserve"> on the territorial dispute. The administrative hearing was held from June 24 to 27, 2019, </w:t>
      </w:r>
      <w:r w:rsidR="00244066">
        <w:rPr>
          <w:lang w:val="en"/>
        </w:rPr>
        <w:t>and a Recommended Order was issued on September 30, 2019.</w:t>
      </w:r>
      <w:r w:rsidR="00244066">
        <w:rPr>
          <w:rStyle w:val="FootnoteReference"/>
          <w:lang w:val="en"/>
        </w:rPr>
        <w:footnoteReference w:id="3"/>
      </w:r>
      <w:r w:rsidR="00244066">
        <w:rPr>
          <w:lang w:val="en"/>
        </w:rPr>
        <w:t xml:space="preserve">  In that Order, the ALJ awarded Peoples the disputed territory encompassing the Bigham North, Bigham East, and Bigham West developments in the Villages in Sumter County. The ALJ’s Order did not award any other territory to any of the parties. At the January 14, 2020 Commission Conference, </w:t>
      </w:r>
      <w:r w:rsidR="009E53AF">
        <w:rPr>
          <w:lang w:val="en"/>
        </w:rPr>
        <w:t>we</w:t>
      </w:r>
      <w:r w:rsidR="00244066">
        <w:rPr>
          <w:lang w:val="en"/>
        </w:rPr>
        <w:t xml:space="preserve"> adopted the ALJ’s Recommended Order</w:t>
      </w:r>
      <w:r w:rsidR="00244066" w:rsidRPr="003F4855">
        <w:rPr>
          <w:lang w:val="en"/>
        </w:rPr>
        <w:t xml:space="preserve"> without modification</w:t>
      </w:r>
      <w:r w:rsidR="00244066">
        <w:rPr>
          <w:lang w:val="en"/>
        </w:rPr>
        <w:t xml:space="preserve"> by final </w:t>
      </w:r>
      <w:r w:rsidR="00244066">
        <w:t>Order No. PSC-2020-0052-FOF-GU</w:t>
      </w:r>
      <w:r w:rsidR="00244066">
        <w:rPr>
          <w:lang w:val="en"/>
        </w:rPr>
        <w:t>.</w:t>
      </w:r>
      <w:r w:rsidR="00244066">
        <w:rPr>
          <w:rStyle w:val="FootnoteReference"/>
          <w:lang w:val="en"/>
        </w:rPr>
        <w:footnoteReference w:id="4"/>
      </w:r>
      <w:r w:rsidR="00244066">
        <w:rPr>
          <w:lang w:val="en"/>
        </w:rPr>
        <w:t xml:space="preserve"> </w:t>
      </w:r>
    </w:p>
    <w:p w:rsidR="00244066" w:rsidRDefault="00244066" w:rsidP="00244066">
      <w:pPr>
        <w:jc w:val="both"/>
        <w:rPr>
          <w:lang w:val="en"/>
        </w:rPr>
      </w:pPr>
    </w:p>
    <w:p w:rsidR="00244066" w:rsidRDefault="004D2004" w:rsidP="00244066">
      <w:pPr>
        <w:jc w:val="both"/>
        <w:rPr>
          <w:lang w:val="en"/>
        </w:rPr>
      </w:pPr>
      <w:r>
        <w:rPr>
          <w:lang w:val="en"/>
        </w:rPr>
        <w:tab/>
      </w:r>
      <w:r w:rsidR="00244066">
        <w:rPr>
          <w:lang w:val="en"/>
        </w:rPr>
        <w:t xml:space="preserve">The proposed Territorial Agreement in the instant docket incorporates </w:t>
      </w:r>
      <w:r w:rsidR="009E53AF">
        <w:rPr>
          <w:lang w:val="en"/>
        </w:rPr>
        <w:t xml:space="preserve">our </w:t>
      </w:r>
      <w:r w:rsidR="00244066">
        <w:rPr>
          <w:lang w:val="en"/>
        </w:rPr>
        <w:t xml:space="preserve">decision in Order No. PSC-2020-0052-FOF-GU, a separate </w:t>
      </w:r>
      <w:r w:rsidR="00244066" w:rsidRPr="002E0E3E">
        <w:rPr>
          <w:lang w:val="en"/>
        </w:rPr>
        <w:t>Settlement Agreement</w:t>
      </w:r>
      <w:r w:rsidR="00244066">
        <w:rPr>
          <w:lang w:val="en"/>
        </w:rPr>
        <w:t xml:space="preserve"> between the parties addressing the transfer of infrastructure from Leesburg to Peoples, and </w:t>
      </w:r>
      <w:r w:rsidR="00244066">
        <w:rPr>
          <w:color w:val="000000"/>
        </w:rPr>
        <w:t>establishes new service boundary lines between the joint petitioners for the remaining portions of the county</w:t>
      </w:r>
      <w:r w:rsidR="00244066">
        <w:rPr>
          <w:lang w:val="en"/>
        </w:rPr>
        <w:t xml:space="preserve">. </w:t>
      </w:r>
      <w:r w:rsidR="00244066" w:rsidRPr="002E0E3E">
        <w:t xml:space="preserve">The referenced Settlement Agreement is not subject to </w:t>
      </w:r>
      <w:r w:rsidR="009E53AF">
        <w:t>our</w:t>
      </w:r>
      <w:r w:rsidR="00244066" w:rsidRPr="002E0E3E">
        <w:t xml:space="preserve"> approval, </w:t>
      </w:r>
      <w:r w:rsidR="00244066">
        <w:t xml:space="preserve">and </w:t>
      </w:r>
      <w:r w:rsidR="00244066" w:rsidRPr="002E0E3E">
        <w:t xml:space="preserve">hence was provided </w:t>
      </w:r>
      <w:r w:rsidR="00244066">
        <w:t>for informational purposes only</w:t>
      </w:r>
      <w:r w:rsidR="00244066" w:rsidRPr="002E0E3E">
        <w:t>.</w:t>
      </w:r>
      <w:r w:rsidR="00244066">
        <w:t xml:space="preserve"> </w:t>
      </w:r>
      <w:r w:rsidR="00244066">
        <w:rPr>
          <w:lang w:val="en"/>
        </w:rPr>
        <w:t xml:space="preserve">The joint petitioners believe the Territorial Agreement will avoid future litigation and territorial disputes in Sumter County and enhance natural gas service for customers. </w:t>
      </w:r>
    </w:p>
    <w:p w:rsidR="00244066" w:rsidRDefault="00244066" w:rsidP="00244066">
      <w:pPr>
        <w:jc w:val="both"/>
        <w:rPr>
          <w:lang w:val="en"/>
        </w:rPr>
      </w:pPr>
    </w:p>
    <w:p w:rsidR="00244066" w:rsidRDefault="004D2004" w:rsidP="00244066">
      <w:pPr>
        <w:jc w:val="both"/>
      </w:pPr>
      <w:r>
        <w:rPr>
          <w:lang w:val="en"/>
        </w:rPr>
        <w:tab/>
      </w:r>
      <w:r w:rsidR="00721751">
        <w:rPr>
          <w:lang w:val="en"/>
        </w:rPr>
        <w:t xml:space="preserve">We </w:t>
      </w:r>
      <w:r w:rsidR="00244066">
        <w:rPr>
          <w:lang w:val="en"/>
        </w:rPr>
        <w:t>ha</w:t>
      </w:r>
      <w:r w:rsidR="00721751">
        <w:rPr>
          <w:lang w:val="en"/>
        </w:rPr>
        <w:t>ve</w:t>
      </w:r>
      <w:r w:rsidR="00244066">
        <w:rPr>
          <w:lang w:val="en"/>
        </w:rPr>
        <w:t xml:space="preserve"> jurisdiction over this matter pursuant to Section 366.04, Florida Statutes (F.S.).</w:t>
      </w:r>
    </w:p>
    <w:p w:rsidR="0046042E" w:rsidRDefault="0046042E" w:rsidP="00244066">
      <w:pPr>
        <w:spacing w:after="240"/>
        <w:jc w:val="both"/>
        <w:outlineLvl w:val="0"/>
        <w:rPr>
          <w:b/>
          <w:bCs/>
          <w:kern w:val="32"/>
          <w:szCs w:val="32"/>
        </w:rPr>
      </w:pPr>
    </w:p>
    <w:p w:rsidR="00721751" w:rsidRPr="001220D7" w:rsidRDefault="00721751" w:rsidP="001220D7">
      <w:pPr>
        <w:spacing w:after="240"/>
        <w:jc w:val="center"/>
        <w:outlineLvl w:val="0"/>
        <w:rPr>
          <w:b/>
          <w:bCs/>
          <w:kern w:val="32"/>
          <w:szCs w:val="32"/>
          <w:u w:val="single"/>
        </w:rPr>
      </w:pPr>
      <w:r w:rsidRPr="001220D7">
        <w:rPr>
          <w:b/>
          <w:bCs/>
          <w:kern w:val="32"/>
          <w:szCs w:val="32"/>
          <w:u w:val="single"/>
        </w:rPr>
        <w:t>Decision</w:t>
      </w:r>
    </w:p>
    <w:p w:rsidR="00244066" w:rsidRPr="00244066" w:rsidRDefault="0046042E" w:rsidP="00244066">
      <w:pPr>
        <w:spacing w:after="240"/>
        <w:jc w:val="both"/>
        <w:rPr>
          <w:lang w:val="en"/>
        </w:rPr>
      </w:pPr>
      <w:r>
        <w:rPr>
          <w:lang w:val="en"/>
        </w:rPr>
        <w:tab/>
      </w:r>
      <w:r w:rsidR="00244066" w:rsidRPr="00244066">
        <w:rPr>
          <w:lang w:val="en"/>
        </w:rPr>
        <w:t>Pursuant to Section 366.04(2)(d), F.S., and Rule 25-6.0440, F</w:t>
      </w:r>
      <w:r>
        <w:rPr>
          <w:lang w:val="en"/>
        </w:rPr>
        <w:t>.A.C.</w:t>
      </w:r>
      <w:r w:rsidR="00244066" w:rsidRPr="00244066">
        <w:rPr>
          <w:lang w:val="en"/>
        </w:rPr>
        <w:t xml:space="preserve">, </w:t>
      </w:r>
      <w:r>
        <w:rPr>
          <w:lang w:val="en"/>
        </w:rPr>
        <w:t xml:space="preserve">we </w:t>
      </w:r>
      <w:r w:rsidR="00244066" w:rsidRPr="00244066">
        <w:rPr>
          <w:lang w:val="en"/>
        </w:rPr>
        <w:t>ha</w:t>
      </w:r>
      <w:r>
        <w:rPr>
          <w:lang w:val="en"/>
        </w:rPr>
        <w:t>ve</w:t>
      </w:r>
      <w:r w:rsidR="00244066" w:rsidRPr="00244066">
        <w:rPr>
          <w:lang w:val="en"/>
        </w:rPr>
        <w:t xml:space="preserve"> jurisdiction </w:t>
      </w:r>
      <w:r>
        <w:rPr>
          <w:lang w:val="en"/>
        </w:rPr>
        <w:t>over</w:t>
      </w:r>
      <w:r w:rsidR="00244066" w:rsidRPr="00244066">
        <w:rPr>
          <w:lang w:val="en"/>
        </w:rPr>
        <w:t xml:space="preserve"> territorial agreements between and among rural electric cooperatives, municipal electric utilities, and other electric utilities. Unless </w:t>
      </w:r>
      <w:r>
        <w:rPr>
          <w:lang w:val="en"/>
        </w:rPr>
        <w:t>we</w:t>
      </w:r>
      <w:r w:rsidR="00244066" w:rsidRPr="00244066">
        <w:rPr>
          <w:lang w:val="en"/>
        </w:rPr>
        <w:t xml:space="preserve"> determine that the agreement will cause a detriment to the public interest, the agreement should be approved.</w:t>
      </w:r>
      <w:r w:rsidR="00244066" w:rsidRPr="00244066">
        <w:rPr>
          <w:vertAlign w:val="superscript"/>
          <w:lang w:val="en"/>
        </w:rPr>
        <w:footnoteReference w:id="5"/>
      </w:r>
    </w:p>
    <w:p w:rsidR="00244066" w:rsidRPr="001220D7" w:rsidRDefault="00244066" w:rsidP="00244066">
      <w:pPr>
        <w:jc w:val="both"/>
        <w:outlineLvl w:val="2"/>
        <w:rPr>
          <w:b/>
          <w:bCs/>
          <w:iCs/>
          <w:szCs w:val="28"/>
        </w:rPr>
      </w:pPr>
      <w:r w:rsidRPr="001220D7">
        <w:rPr>
          <w:b/>
          <w:bCs/>
          <w:iCs/>
          <w:szCs w:val="28"/>
        </w:rPr>
        <w:t>Peoples and Leesburg Territorial Agreement</w:t>
      </w:r>
    </w:p>
    <w:p w:rsidR="00244066" w:rsidRPr="00244066" w:rsidRDefault="004D2004" w:rsidP="00244066">
      <w:pPr>
        <w:jc w:val="both"/>
      </w:pPr>
      <w:r>
        <w:tab/>
      </w:r>
      <w:r w:rsidR="00244066" w:rsidRPr="00244066">
        <w:t xml:space="preserve">The proposed Territorial Agreement between Peoples and Leesburg was executed on March 9, 2020, and would continue to be in effect until modification by mutual agreement by the parties and approved by </w:t>
      </w:r>
      <w:r w:rsidR="0046042E">
        <w:t>us</w:t>
      </w:r>
      <w:r w:rsidR="00244066" w:rsidRPr="00244066">
        <w:t xml:space="preserve"> or until termination or modification mandated by court order, as stated in Section 1.1 of the territorial agreement. </w:t>
      </w:r>
    </w:p>
    <w:p w:rsidR="00244066" w:rsidRPr="00244066" w:rsidRDefault="004D2004" w:rsidP="00244066">
      <w:pPr>
        <w:jc w:val="both"/>
      </w:pPr>
      <w:r>
        <w:lastRenderedPageBreak/>
        <w:tab/>
      </w:r>
      <w:r w:rsidR="0046042E">
        <w:t>A</w:t>
      </w:r>
      <w:r w:rsidR="00244066" w:rsidRPr="00244066">
        <w:t>s a result of Order No. PSC-2020-0052-FOF-GU, 3,625 (includes 3,615 residential and 10 commercial customers) Leesburg service customers in Bigham North, Bigham West, and Bigham East w</w:t>
      </w:r>
      <w:r w:rsidR="0046042E">
        <w:t>ere</w:t>
      </w:r>
      <w:r w:rsidR="00244066" w:rsidRPr="00244066">
        <w:t xml:space="preserve"> transferred to Peoples, effective June 1, 2020. Pursuant to the proposed Territorial Agreement in the instant docket, the joint petitioners will also transfer three additional customers (fire station, a district building, and The Villages Grown–a hydroponic and aeroponic farm) located adjacent to Bailey West Development to Peoples. Section 2.1 of the proposed Territorial Agreement also includes additional areas in Sumter County to be served by Peoples in the future. The joint petitioners stated that any new customers taking service within the areas contained in Article II – Boundary Provisions of the proposed Territorial Agreement will be served by either Peoples or Leesburg according to the future service areas identified in the map </w:t>
      </w:r>
      <w:r w:rsidR="00C51752">
        <w:t>in</w:t>
      </w:r>
      <w:r w:rsidR="0046042E">
        <w:t xml:space="preserve"> </w:t>
      </w:r>
      <w:r w:rsidR="00244066" w:rsidRPr="00244066">
        <w:t xml:space="preserve">Attachment A. </w:t>
      </w:r>
    </w:p>
    <w:p w:rsidR="00244066" w:rsidRPr="00244066" w:rsidRDefault="00244066" w:rsidP="00244066">
      <w:pPr>
        <w:jc w:val="both"/>
      </w:pPr>
    </w:p>
    <w:p w:rsidR="00244066" w:rsidRPr="00244066" w:rsidRDefault="004D2004" w:rsidP="00244066">
      <w:pPr>
        <w:jc w:val="both"/>
      </w:pPr>
      <w:r>
        <w:tab/>
      </w:r>
      <w:r w:rsidR="00244066" w:rsidRPr="00244066">
        <w:t xml:space="preserve">During the pendency of Docket No. 20180055-GU, Leesburg filed a territorial dispute petition in Docket No. 20180185-GU against Peoples regarding its natural gas service to Suwannee American Cement Company, LLC in Sumter County. This petition </w:t>
      </w:r>
      <w:r w:rsidR="00E87B3C">
        <w:t xml:space="preserve">was </w:t>
      </w:r>
      <w:r w:rsidR="00244066" w:rsidRPr="00244066">
        <w:t xml:space="preserve">still pending before </w:t>
      </w:r>
      <w:r w:rsidR="00E87B3C">
        <w:t>us; however, p</w:t>
      </w:r>
      <w:r w:rsidR="00244066" w:rsidRPr="00244066">
        <w:t>ursuant to Section 2.1 of the proposed Territorial Agreement and pursuant to the Settlement Agreement, the Suwannee American Cement Company, LLC</w:t>
      </w:r>
      <w:r w:rsidR="00E87B3C">
        <w:t>,</w:t>
      </w:r>
      <w:r w:rsidR="00244066" w:rsidRPr="00244066">
        <w:t xml:space="preserve"> will continue to be served by Peoples. </w:t>
      </w:r>
      <w:r w:rsidR="00E87B3C">
        <w:t>T</w:t>
      </w:r>
      <w:r w:rsidR="00244066" w:rsidRPr="00244066">
        <w:t xml:space="preserve">he joint petitioners stated that the unresolved issues in Docket No. 20180185-GU will be resolved </w:t>
      </w:r>
      <w:r w:rsidR="00E87B3C">
        <w:t xml:space="preserve">by our action to approve </w:t>
      </w:r>
      <w:r w:rsidR="00244066" w:rsidRPr="00244066">
        <w:t>the proposed Territorial Agreement and Leesburg</w:t>
      </w:r>
      <w:r w:rsidR="00E87B3C">
        <w:t>’s</w:t>
      </w:r>
      <w:r w:rsidR="00244066" w:rsidRPr="00244066">
        <w:t xml:space="preserve"> petition in Docket No. 20180185-GU</w:t>
      </w:r>
      <w:r w:rsidR="00E87B3C">
        <w:t xml:space="preserve"> will be voluntarily dismissed</w:t>
      </w:r>
      <w:r w:rsidR="00244066" w:rsidRPr="00244066">
        <w:t>.</w:t>
      </w:r>
    </w:p>
    <w:p w:rsidR="00244066" w:rsidRPr="00244066" w:rsidRDefault="00244066" w:rsidP="00244066"/>
    <w:p w:rsidR="00244066" w:rsidRPr="001220D7" w:rsidRDefault="00244066" w:rsidP="00244066">
      <w:pPr>
        <w:jc w:val="both"/>
        <w:outlineLvl w:val="2"/>
        <w:rPr>
          <w:b/>
          <w:bCs/>
          <w:iCs/>
          <w:szCs w:val="28"/>
          <w:lang w:val="en"/>
        </w:rPr>
      </w:pPr>
      <w:r w:rsidRPr="001220D7">
        <w:rPr>
          <w:b/>
          <w:bCs/>
          <w:iCs/>
          <w:szCs w:val="28"/>
          <w:lang w:val="en"/>
        </w:rPr>
        <w:t>Transfer of Assets</w:t>
      </w:r>
    </w:p>
    <w:p w:rsidR="00244066" w:rsidRDefault="004D2004" w:rsidP="00244066">
      <w:pPr>
        <w:autoSpaceDE w:val="0"/>
        <w:autoSpaceDN w:val="0"/>
        <w:adjustRightInd w:val="0"/>
        <w:jc w:val="both"/>
      </w:pPr>
      <w:r>
        <w:tab/>
      </w:r>
      <w:r w:rsidR="00244066" w:rsidRPr="00244066">
        <w:t xml:space="preserve">The joint petitioners, in paragraph 10 of the petition and in paragraph 9 of the Territorial Agreement, stated their intention to provide an orderly transfer of assets in the Bigham developments without the need for further litigation. Rule 25-7.0471(2)(a), F.A.C., requires </w:t>
      </w:r>
      <w:r w:rsidR="00E87B3C">
        <w:t xml:space="preserve">us </w:t>
      </w:r>
      <w:r w:rsidR="00244066" w:rsidRPr="00244066">
        <w:t>to consider the reasonableness of the purchase price of any facilities being transferred.</w:t>
      </w:r>
    </w:p>
    <w:p w:rsidR="00E87B3C" w:rsidRPr="00244066" w:rsidRDefault="00E87B3C" w:rsidP="00244066">
      <w:pPr>
        <w:autoSpaceDE w:val="0"/>
        <w:autoSpaceDN w:val="0"/>
        <w:adjustRightInd w:val="0"/>
        <w:jc w:val="both"/>
      </w:pPr>
    </w:p>
    <w:p w:rsidR="00244066" w:rsidRPr="00244066" w:rsidRDefault="004D2004" w:rsidP="00244066">
      <w:pPr>
        <w:autoSpaceDE w:val="0"/>
        <w:autoSpaceDN w:val="0"/>
        <w:adjustRightInd w:val="0"/>
        <w:jc w:val="both"/>
      </w:pPr>
      <w:r>
        <w:tab/>
      </w:r>
      <w:r w:rsidR="00E87B3C">
        <w:t>In accordance with the Territorial Agreement, t</w:t>
      </w:r>
      <w:r w:rsidR="00244066" w:rsidRPr="00244066">
        <w:t xml:space="preserve">he joint petitioners stated that Peoples will be paying for the infrastructure for the approximately 3,625 Bigham development customers  transferred to Peoples. South Sumter Gas Company, LLC </w:t>
      </w:r>
      <w:r w:rsidR="00E87B3C">
        <w:t xml:space="preserve">was </w:t>
      </w:r>
      <w:r w:rsidR="00244066" w:rsidRPr="00244066">
        <w:t xml:space="preserve">retained by Leesburg </w:t>
      </w:r>
      <w:r w:rsidR="00E87B3C">
        <w:t xml:space="preserve">to serve </w:t>
      </w:r>
      <w:r w:rsidR="00244066" w:rsidRPr="00244066">
        <w:t xml:space="preserve">as </w:t>
      </w:r>
      <w:r w:rsidR="00E87B3C">
        <w:t>the</w:t>
      </w:r>
      <w:r w:rsidR="00244066" w:rsidRPr="00244066">
        <w:t xml:space="preserve"> construction company </w:t>
      </w:r>
      <w:r w:rsidR="00E87B3C">
        <w:t xml:space="preserve">for </w:t>
      </w:r>
      <w:r w:rsidR="00244066" w:rsidRPr="00244066">
        <w:t xml:space="preserve">the infrastructure </w:t>
      </w:r>
      <w:r w:rsidR="00E87B3C">
        <w:t xml:space="preserve">necessary </w:t>
      </w:r>
      <w:r w:rsidR="00244066" w:rsidRPr="00244066">
        <w:t>to serve the Bigham developments. Peoples will pay $5,000,000 to South Sumter Gas Company, LLC, with $500,000 to be to be retained by Peoples to pay for warranty claims. The balance will be paid to South Sumter Gas Company, LLC, in one year less claims for warranty issues related to the infrastructure being transferred. This payment amount result</w:t>
      </w:r>
      <w:r w:rsidR="005372F2">
        <w:t>s</w:t>
      </w:r>
      <w:r w:rsidR="00244066" w:rsidRPr="00244066">
        <w:t xml:space="preserve"> in a per customer amount ranging between $1,241 to $1,379 depending on the reduction for warranty expenses. Through </w:t>
      </w:r>
      <w:r w:rsidR="00C51752">
        <w:t>our</w:t>
      </w:r>
      <w:r w:rsidR="00244066" w:rsidRPr="00244066">
        <w:t xml:space="preserve"> adoption of the ALJ’s Recommended Order, </w:t>
      </w:r>
      <w:r w:rsidR="00E87B3C">
        <w:t>we</w:t>
      </w:r>
      <w:r w:rsidR="00244066" w:rsidRPr="00244066">
        <w:t xml:space="preserve"> concluded in Order No. PSC-2020-0052-FOF-GU that “the cost-per-home for Leesburg and SSGC to provide service in Bigham is $1,800. In addition, Leesburg will be installing automated meters at a cost of $72.80 per home. The preponderance of evidence indicates that PGS cost-per-home is $1,579.”</w:t>
      </w:r>
      <w:r w:rsidR="00244066" w:rsidRPr="00244066">
        <w:rPr>
          <w:vertAlign w:val="superscript"/>
        </w:rPr>
        <w:footnoteReference w:id="6"/>
      </w:r>
      <w:r w:rsidR="00244066" w:rsidRPr="00244066">
        <w:t xml:space="preserve"> </w:t>
      </w:r>
    </w:p>
    <w:p w:rsidR="00244066" w:rsidRPr="00244066" w:rsidRDefault="00244066" w:rsidP="00244066">
      <w:pPr>
        <w:autoSpaceDE w:val="0"/>
        <w:autoSpaceDN w:val="0"/>
        <w:adjustRightInd w:val="0"/>
        <w:jc w:val="both"/>
      </w:pPr>
    </w:p>
    <w:p w:rsidR="00244066" w:rsidRPr="00244066" w:rsidRDefault="004D2004" w:rsidP="00244066">
      <w:pPr>
        <w:autoSpaceDE w:val="0"/>
        <w:autoSpaceDN w:val="0"/>
        <w:adjustRightInd w:val="0"/>
        <w:jc w:val="both"/>
      </w:pPr>
      <w:r>
        <w:tab/>
      </w:r>
      <w:r w:rsidR="00244066" w:rsidRPr="00244066">
        <w:t xml:space="preserve">The per customer purchase price stated above is less than the cost determined by Order No. PSC-2020-0052-FOF-GU. The joint petitioners also stated that no purchase price has been </w:t>
      </w:r>
      <w:r w:rsidR="00244066" w:rsidRPr="00244066">
        <w:lastRenderedPageBreak/>
        <w:t xml:space="preserve">affixed to Leesburg’s transfer of its Bigham development infrastructure, as Leesburg did not incur significant costs in installing infrastructure in the Bigham developments. </w:t>
      </w:r>
      <w:r w:rsidR="00E87B3C">
        <w:t xml:space="preserve">We find </w:t>
      </w:r>
      <w:r w:rsidR="00244066" w:rsidRPr="00244066">
        <w:t xml:space="preserve">the negotiated infrastructure transfer cost is reasonable and approximates the cost established in Order No. PSC-2020-0052-FOF-GU. </w:t>
      </w:r>
    </w:p>
    <w:p w:rsidR="00244066" w:rsidRPr="00244066" w:rsidRDefault="00244066" w:rsidP="00244066">
      <w:pPr>
        <w:autoSpaceDE w:val="0"/>
        <w:autoSpaceDN w:val="0"/>
        <w:adjustRightInd w:val="0"/>
        <w:jc w:val="both"/>
      </w:pPr>
    </w:p>
    <w:p w:rsidR="00244066" w:rsidRPr="001220D7" w:rsidRDefault="00244066" w:rsidP="00244066">
      <w:pPr>
        <w:jc w:val="both"/>
        <w:outlineLvl w:val="2"/>
        <w:rPr>
          <w:b/>
          <w:bCs/>
          <w:iCs/>
          <w:szCs w:val="28"/>
        </w:rPr>
      </w:pPr>
      <w:r w:rsidRPr="001220D7">
        <w:rPr>
          <w:b/>
          <w:bCs/>
          <w:iCs/>
          <w:szCs w:val="28"/>
        </w:rPr>
        <w:t>Customer Deposits and Notification</w:t>
      </w:r>
    </w:p>
    <w:p w:rsidR="00244066" w:rsidRPr="00244066" w:rsidRDefault="004D2004" w:rsidP="00244066">
      <w:pPr>
        <w:jc w:val="both"/>
      </w:pPr>
      <w:r>
        <w:tab/>
      </w:r>
      <w:r w:rsidR="00244066" w:rsidRPr="00244066">
        <w:t>Leesburg notified its affected natural gas customers v</w:t>
      </w:r>
      <w:r w:rsidR="005D1F56">
        <w:t>ia a letter dated April 1, 2020</w:t>
      </w:r>
      <w:r w:rsidR="00244066" w:rsidRPr="00244066">
        <w:t xml:space="preserve">, which stated that their customer deposit will be applied towards the final bill or outstanding balance, and any remaining deposit amount will be directly refunded to the customer by check within 30 to 45 days of the date of transfer (June 1, 2020). Of the 3,625 Leesburg customers to be transferred to Peoples, per Order PSC-2020-0052-FOF-GU, 1,909 customers have a deposit on file with Leesburg. Leesburg’s customer deposit is $50. </w:t>
      </w:r>
    </w:p>
    <w:p w:rsidR="00244066" w:rsidRPr="00244066" w:rsidRDefault="00244066" w:rsidP="00244066">
      <w:pPr>
        <w:jc w:val="both"/>
      </w:pPr>
    </w:p>
    <w:p w:rsidR="00244066" w:rsidRDefault="004D2004" w:rsidP="00244066">
      <w:pPr>
        <w:jc w:val="both"/>
      </w:pPr>
      <w:r>
        <w:tab/>
      </w:r>
      <w:r w:rsidR="00244066" w:rsidRPr="00244066">
        <w:t>Peoples propos</w:t>
      </w:r>
      <w:r w:rsidR="005372F2">
        <w:t>ed</w:t>
      </w:r>
      <w:r w:rsidR="00244066" w:rsidRPr="00244066">
        <w:t xml:space="preserve"> a $50 deposit for Leesburg customers transferred to Peoples. After 12 months of service, Peoples will reassess the deposit amount in accordance with 366.05(1), F.S. According to Peoples’ </w:t>
      </w:r>
      <w:r w:rsidR="00C51752">
        <w:t xml:space="preserve">proposed </w:t>
      </w:r>
      <w:r w:rsidR="00244066" w:rsidRPr="00244066">
        <w:t xml:space="preserve">customer notification, it will collect the deposit in its first </w:t>
      </w:r>
      <w:r w:rsidR="00244066">
        <w:t>bill in July 2020 and</w:t>
      </w:r>
      <w:r w:rsidR="00244066" w:rsidRPr="00D968F9">
        <w:t xml:space="preserve"> return the deposit </w:t>
      </w:r>
      <w:r w:rsidR="00244066">
        <w:t>with interest after 23 months of continuous service and no more than one late payment. Peoples</w:t>
      </w:r>
      <w:r w:rsidR="00244066" w:rsidRPr="00D968F9">
        <w:t>’</w:t>
      </w:r>
      <w:r w:rsidR="00244066">
        <w:t xml:space="preserve"> tariff allows transferred customers to request a credit check to evaluate if the customer would qualify to have the deposit waived. Peoples</w:t>
      </w:r>
      <w:r w:rsidR="00244066" w:rsidRPr="00FF6051">
        <w:t xml:space="preserve"> included in</w:t>
      </w:r>
      <w:r w:rsidR="00244066">
        <w:t>formation in its</w:t>
      </w:r>
      <w:r w:rsidR="00C51752">
        <w:t xml:space="preserve"> proposed</w:t>
      </w:r>
      <w:r w:rsidR="00244066">
        <w:t xml:space="preserve"> customer notification</w:t>
      </w:r>
      <w:r w:rsidR="00244066" w:rsidRPr="00FF6051">
        <w:t xml:space="preserve"> on how customers can request the credit check </w:t>
      </w:r>
      <w:r w:rsidR="00244066">
        <w:t>to determine if</w:t>
      </w:r>
      <w:r w:rsidR="00244066" w:rsidRPr="00FF6051">
        <w:t xml:space="preserve"> the deposit can be waived.</w:t>
      </w:r>
    </w:p>
    <w:p w:rsidR="00244066" w:rsidRDefault="00244066" w:rsidP="00244066">
      <w:pPr>
        <w:jc w:val="both"/>
      </w:pPr>
    </w:p>
    <w:p w:rsidR="00244066" w:rsidRDefault="004D2004" w:rsidP="00244066">
      <w:pPr>
        <w:jc w:val="both"/>
      </w:pPr>
      <w:r>
        <w:tab/>
      </w:r>
      <w:r w:rsidR="00244066" w:rsidRPr="00581443">
        <w:t xml:space="preserve">Pursuant to the proposed Territorial Agreement, three additional </w:t>
      </w:r>
      <w:r w:rsidR="00244066">
        <w:t xml:space="preserve">commercial </w:t>
      </w:r>
      <w:r w:rsidR="00244066" w:rsidRPr="00581443">
        <w:t>customers will be transferred to Peoples.</w:t>
      </w:r>
      <w:r w:rsidR="00244066">
        <w:t xml:space="preserve"> </w:t>
      </w:r>
      <w:r w:rsidR="00244066" w:rsidRPr="00D55F25">
        <w:t xml:space="preserve">These three customers </w:t>
      </w:r>
      <w:r w:rsidR="00244066">
        <w:t xml:space="preserve">currently are being served by Leesburg and are located outside of the area ordered to be transferred to Peoples in Order No. PSC-2020-0052-FOF-GU. The parties have agreed to transfer these customers to Peoples in the proposed Territorial Agreement. </w:t>
      </w:r>
      <w:r w:rsidR="00244066" w:rsidRPr="00F40C13">
        <w:t>Peoples stated that it will contact the three additional customers individually to discuss the transfer and applicable billing rates.</w:t>
      </w:r>
      <w:r w:rsidR="00244066">
        <w:t xml:space="preserve"> </w:t>
      </w:r>
    </w:p>
    <w:p w:rsidR="00244066" w:rsidRDefault="00244066" w:rsidP="00244066">
      <w:pPr>
        <w:jc w:val="both"/>
      </w:pPr>
    </w:p>
    <w:p w:rsidR="00244066" w:rsidRPr="00817498" w:rsidRDefault="00244066" w:rsidP="00817498">
      <w:pPr>
        <w:pStyle w:val="First-LevelSubheading"/>
        <w:rPr>
          <w:rFonts w:ascii="Times New Roman" w:hAnsi="Times New Roman" w:cs="Times New Roman"/>
        </w:rPr>
      </w:pPr>
      <w:r w:rsidRPr="00817498">
        <w:rPr>
          <w:rFonts w:ascii="Times New Roman" w:hAnsi="Times New Roman" w:cs="Times New Roman"/>
        </w:rPr>
        <w:t>Conclusion</w:t>
      </w:r>
    </w:p>
    <w:p w:rsidR="00244066" w:rsidRDefault="004D2004" w:rsidP="00244066">
      <w:pPr>
        <w:jc w:val="both"/>
        <w:rPr>
          <w:lang w:val="en"/>
        </w:rPr>
      </w:pPr>
      <w:r>
        <w:tab/>
      </w:r>
      <w:r w:rsidR="00244066" w:rsidRPr="00CE7918">
        <w:t xml:space="preserve">Through the proposed Territorial Agreement, the joint petitioners will be able to serve customers within clearly defined service areas, </w:t>
      </w:r>
      <w:r w:rsidR="00244066">
        <w:t xml:space="preserve">comport with the requirements of Order No. PSC-2020-0052-FOF-GU, </w:t>
      </w:r>
      <w:r w:rsidR="00244066" w:rsidRPr="00CE7918">
        <w:t xml:space="preserve">resolve the dispute in Docket No. 20180185-GU, avoid future litigation, </w:t>
      </w:r>
      <w:r w:rsidR="00244066" w:rsidRPr="00CE7918">
        <w:rPr>
          <w:lang w:val="en"/>
        </w:rPr>
        <w:t>eliminate any potential uneconomic duplication of facilities, and serve current and future customers without service disruption.</w:t>
      </w:r>
    </w:p>
    <w:p w:rsidR="00244066" w:rsidRDefault="00244066" w:rsidP="00244066">
      <w:pPr>
        <w:jc w:val="both"/>
        <w:rPr>
          <w:lang w:val="en"/>
        </w:rPr>
      </w:pPr>
    </w:p>
    <w:p w:rsidR="00244066" w:rsidRDefault="004D2004" w:rsidP="00244066">
      <w:pPr>
        <w:autoSpaceDE w:val="0"/>
        <w:autoSpaceDN w:val="0"/>
        <w:adjustRightInd w:val="0"/>
        <w:spacing w:after="240"/>
        <w:jc w:val="both"/>
        <w:rPr>
          <w:lang w:val="en"/>
        </w:rPr>
      </w:pPr>
      <w:r>
        <w:rPr>
          <w:lang w:val="en"/>
        </w:rPr>
        <w:tab/>
      </w:r>
      <w:r w:rsidR="00244066">
        <w:rPr>
          <w:lang w:val="en"/>
        </w:rPr>
        <w:t xml:space="preserve">After review of the joint petition and the petitioners’ joint responses to Commission staff’s data requests, </w:t>
      </w:r>
      <w:r w:rsidR="009B09E8">
        <w:rPr>
          <w:lang w:val="en"/>
        </w:rPr>
        <w:t xml:space="preserve">we find </w:t>
      </w:r>
      <w:r w:rsidR="00244066">
        <w:rPr>
          <w:lang w:val="en"/>
        </w:rPr>
        <w:t xml:space="preserve">that the proposed Territorial Agreement is in the public interest and will enable Peoples and Leesburg to serve their current and future customers efficiently. It appears that the proposed Territorial Agreement eliminates any potential uneconomic duplication of facilities and will not cause a decrease in reliability of natural gas service. Pursuant to the joint petition, approval of this Territorial Agreement will establish definitive service boundaries and avoid future litigation. Additionally, Leesburg will withdraw its counter-petition in Docket No. 20180185-GU to resolve the territorial dispute related to the Suwannee American Cement, </w:t>
      </w:r>
      <w:r w:rsidR="00CB6141">
        <w:rPr>
          <w:lang w:val="en"/>
        </w:rPr>
        <w:t xml:space="preserve">following our </w:t>
      </w:r>
      <w:r w:rsidR="00244066">
        <w:rPr>
          <w:lang w:val="en"/>
        </w:rPr>
        <w:t>approv</w:t>
      </w:r>
      <w:r w:rsidR="00CB6141">
        <w:rPr>
          <w:lang w:val="en"/>
        </w:rPr>
        <w:t>al of</w:t>
      </w:r>
      <w:r w:rsidR="00244066">
        <w:rPr>
          <w:lang w:val="en"/>
        </w:rPr>
        <w:t xml:space="preserve"> th</w:t>
      </w:r>
      <w:r w:rsidR="00CB6141">
        <w:rPr>
          <w:lang w:val="en"/>
        </w:rPr>
        <w:t>is</w:t>
      </w:r>
      <w:r w:rsidR="00244066">
        <w:rPr>
          <w:lang w:val="en"/>
        </w:rPr>
        <w:t xml:space="preserve"> Territorial Agreement. </w:t>
      </w:r>
      <w:r w:rsidR="00CB6141">
        <w:rPr>
          <w:lang w:val="en"/>
        </w:rPr>
        <w:t xml:space="preserve">Therefore, we find </w:t>
      </w:r>
      <w:r w:rsidR="00244066">
        <w:rPr>
          <w:lang w:val="en"/>
        </w:rPr>
        <w:t xml:space="preserve">that the proposed </w:t>
      </w:r>
      <w:r w:rsidR="00244066">
        <w:rPr>
          <w:lang w:val="en"/>
        </w:rPr>
        <w:lastRenderedPageBreak/>
        <w:t xml:space="preserve">Territorial Agreement between Peoples and Leesburg will not cause a detriment to the public interest and </w:t>
      </w:r>
      <w:r w:rsidR="00CB6141">
        <w:rPr>
          <w:lang w:val="en"/>
        </w:rPr>
        <w:t xml:space="preserve">hereby </w:t>
      </w:r>
      <w:r w:rsidR="00244066">
        <w:rPr>
          <w:lang w:val="en"/>
        </w:rPr>
        <w:t>approv</w:t>
      </w:r>
      <w:r w:rsidR="00CB6141">
        <w:rPr>
          <w:lang w:val="en"/>
        </w:rPr>
        <w:t>e  the Territorial Agreement</w:t>
      </w:r>
      <w:r w:rsidR="00244066">
        <w:rPr>
          <w:lang w:val="en"/>
        </w:rPr>
        <w:t>.</w:t>
      </w:r>
    </w:p>
    <w:p w:rsidR="00244066" w:rsidRDefault="00244066" w:rsidP="0091631F">
      <w:pPr>
        <w:pStyle w:val="OrderBody"/>
      </w:pPr>
      <w:r>
        <w:tab/>
        <w:t>Based on the foregoing, it is</w:t>
      </w:r>
    </w:p>
    <w:p w:rsidR="00244066" w:rsidRDefault="00244066" w:rsidP="0091631F">
      <w:pPr>
        <w:pStyle w:val="OrderBody"/>
      </w:pPr>
    </w:p>
    <w:p w:rsidR="00721751" w:rsidRPr="00244066" w:rsidRDefault="00244066" w:rsidP="00721751">
      <w:pPr>
        <w:spacing w:after="240"/>
        <w:jc w:val="both"/>
      </w:pPr>
      <w:r>
        <w:tab/>
        <w:t xml:space="preserve">ORDERED by the Florida Public Service Commission </w:t>
      </w:r>
      <w:r w:rsidR="00721751" w:rsidRPr="00244066">
        <w:rPr>
          <w:lang w:val="en"/>
        </w:rPr>
        <w:t xml:space="preserve">the proposed Territorial Agreement between Peoples </w:t>
      </w:r>
      <w:r w:rsidR="00721751">
        <w:rPr>
          <w:lang w:val="en"/>
        </w:rPr>
        <w:t xml:space="preserve">Gas Company </w:t>
      </w:r>
      <w:r w:rsidR="00721751" w:rsidRPr="00244066">
        <w:rPr>
          <w:lang w:val="en"/>
        </w:rPr>
        <w:t xml:space="preserve">and </w:t>
      </w:r>
      <w:r w:rsidR="00721751">
        <w:rPr>
          <w:lang w:val="en"/>
        </w:rPr>
        <w:t xml:space="preserve">the City of </w:t>
      </w:r>
      <w:r w:rsidR="00721751" w:rsidRPr="00244066">
        <w:rPr>
          <w:lang w:val="en"/>
        </w:rPr>
        <w:t>Leesburg in Sumter County</w:t>
      </w:r>
      <w:r w:rsidR="00721751">
        <w:rPr>
          <w:lang w:val="en"/>
        </w:rPr>
        <w:t xml:space="preserve"> </w:t>
      </w:r>
      <w:r w:rsidR="00F91829">
        <w:rPr>
          <w:lang w:val="en"/>
        </w:rPr>
        <w:t xml:space="preserve">(Attachment A hereto) </w:t>
      </w:r>
      <w:r w:rsidR="00721751">
        <w:rPr>
          <w:lang w:val="en"/>
        </w:rPr>
        <w:t>is approved</w:t>
      </w:r>
      <w:r w:rsidR="00721751" w:rsidRPr="00244066">
        <w:rPr>
          <w:lang w:val="en"/>
        </w:rPr>
        <w:t xml:space="preserve">. </w:t>
      </w:r>
      <w:r w:rsidR="00721751">
        <w:rPr>
          <w:lang w:val="en"/>
        </w:rPr>
        <w:t>It is further</w:t>
      </w:r>
    </w:p>
    <w:p w:rsidR="00244066" w:rsidRDefault="00244066" w:rsidP="0091631F">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244066" w:rsidRDefault="00244066" w:rsidP="00244066">
      <w:pPr>
        <w:pStyle w:val="OrderBody"/>
      </w:pPr>
    </w:p>
    <w:p w:rsidR="00244066" w:rsidRDefault="00244066" w:rsidP="005D1F56">
      <w:pPr>
        <w:autoSpaceDE w:val="0"/>
        <w:autoSpaceDN w:val="0"/>
        <w:adjustRightInd w:val="0"/>
        <w:jc w:val="both"/>
      </w:pPr>
      <w:r>
        <w:tab/>
        <w:t xml:space="preserve">ORDERED that </w:t>
      </w:r>
      <w:r w:rsidR="00F91829">
        <w:t>if no protest is filed by a person whose substantial interests are affected within 21 days of the issuance of the Order, this docket should be closed upon the issuance of a Consummating Order.</w:t>
      </w:r>
    </w:p>
    <w:p w:rsidR="00244066" w:rsidRDefault="00244066" w:rsidP="00244066">
      <w:pPr>
        <w:pStyle w:val="OrderBody"/>
      </w:pPr>
    </w:p>
    <w:p w:rsidR="00244066" w:rsidRDefault="00244066" w:rsidP="00244066">
      <w:pPr>
        <w:pStyle w:val="OrderBody"/>
        <w:keepNext/>
        <w:keepLines/>
      </w:pPr>
      <w:r>
        <w:tab/>
        <w:t xml:space="preserve">By ORDER of the Florida Public Service Commission this </w:t>
      </w:r>
      <w:bookmarkStart w:id="5" w:name="replaceDate"/>
      <w:bookmarkEnd w:id="5"/>
      <w:r w:rsidR="003C67CD">
        <w:rPr>
          <w:u w:val="single"/>
        </w:rPr>
        <w:t>29th</w:t>
      </w:r>
      <w:r w:rsidR="003C67CD">
        <w:t xml:space="preserve"> day of </w:t>
      </w:r>
      <w:r w:rsidR="003C67CD">
        <w:rPr>
          <w:u w:val="single"/>
        </w:rPr>
        <w:t>June</w:t>
      </w:r>
      <w:r w:rsidR="003C67CD">
        <w:t xml:space="preserve">, </w:t>
      </w:r>
      <w:r w:rsidR="003C67CD">
        <w:rPr>
          <w:u w:val="single"/>
        </w:rPr>
        <w:t>2020</w:t>
      </w:r>
      <w:r w:rsidR="003C67CD">
        <w:t>.</w:t>
      </w:r>
    </w:p>
    <w:p w:rsidR="003C67CD" w:rsidRPr="003C67CD" w:rsidRDefault="003C67CD" w:rsidP="00244066">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244066" w:rsidTr="00244066">
        <w:tc>
          <w:tcPr>
            <w:tcW w:w="720" w:type="dxa"/>
            <w:shd w:val="clear" w:color="auto" w:fill="auto"/>
          </w:tcPr>
          <w:p w:rsidR="00244066" w:rsidRDefault="00244066" w:rsidP="00244066">
            <w:pPr>
              <w:pStyle w:val="OrderBody"/>
              <w:keepNext/>
              <w:keepLines/>
            </w:pPr>
            <w:bookmarkStart w:id="6" w:name="bkmrkSignature" w:colFirst="0" w:colLast="0"/>
          </w:p>
        </w:tc>
        <w:tc>
          <w:tcPr>
            <w:tcW w:w="4320" w:type="dxa"/>
            <w:tcBorders>
              <w:bottom w:val="single" w:sz="4" w:space="0" w:color="auto"/>
            </w:tcBorders>
            <w:shd w:val="clear" w:color="auto" w:fill="auto"/>
          </w:tcPr>
          <w:p w:rsidR="00B31000" w:rsidRDefault="00402EAA" w:rsidP="00244066">
            <w:pPr>
              <w:pStyle w:val="OrderBody"/>
              <w:keepNext/>
              <w:keepLines/>
            </w:pPr>
            <w:r>
              <w:t>/s/ Adam J. Teitzman</w:t>
            </w:r>
            <w:bookmarkStart w:id="7" w:name="_GoBack"/>
            <w:bookmarkEnd w:id="7"/>
          </w:p>
        </w:tc>
      </w:tr>
      <w:bookmarkEnd w:id="6"/>
      <w:tr w:rsidR="00244066" w:rsidTr="00244066">
        <w:tc>
          <w:tcPr>
            <w:tcW w:w="720" w:type="dxa"/>
            <w:shd w:val="clear" w:color="auto" w:fill="auto"/>
          </w:tcPr>
          <w:p w:rsidR="00244066" w:rsidRDefault="00244066" w:rsidP="00244066">
            <w:pPr>
              <w:pStyle w:val="OrderBody"/>
              <w:keepNext/>
              <w:keepLines/>
            </w:pPr>
          </w:p>
        </w:tc>
        <w:tc>
          <w:tcPr>
            <w:tcW w:w="4320" w:type="dxa"/>
            <w:tcBorders>
              <w:top w:val="single" w:sz="4" w:space="0" w:color="auto"/>
            </w:tcBorders>
            <w:shd w:val="clear" w:color="auto" w:fill="auto"/>
          </w:tcPr>
          <w:p w:rsidR="00244066" w:rsidRDefault="00244066" w:rsidP="00244066">
            <w:pPr>
              <w:pStyle w:val="OrderBody"/>
              <w:keepNext/>
              <w:keepLines/>
            </w:pPr>
            <w:r>
              <w:t>ADAM J. TEITZMAN</w:t>
            </w:r>
          </w:p>
          <w:p w:rsidR="00244066" w:rsidRDefault="00244066" w:rsidP="00244066">
            <w:pPr>
              <w:pStyle w:val="OrderBody"/>
              <w:keepNext/>
              <w:keepLines/>
            </w:pPr>
            <w:r>
              <w:t>Commission Clerk</w:t>
            </w:r>
          </w:p>
        </w:tc>
      </w:tr>
    </w:tbl>
    <w:p w:rsidR="00244066" w:rsidRDefault="00244066" w:rsidP="00244066">
      <w:pPr>
        <w:pStyle w:val="OrderSigInfo"/>
        <w:keepNext/>
        <w:keepLines/>
      </w:pPr>
      <w:r>
        <w:t>Florida Public Service Commission</w:t>
      </w:r>
    </w:p>
    <w:p w:rsidR="00244066" w:rsidRDefault="00244066" w:rsidP="00244066">
      <w:pPr>
        <w:pStyle w:val="OrderSigInfo"/>
        <w:keepNext/>
        <w:keepLines/>
      </w:pPr>
      <w:r>
        <w:t>2540 Shumard Oak Boulevard</w:t>
      </w:r>
    </w:p>
    <w:p w:rsidR="00244066" w:rsidRDefault="00244066" w:rsidP="00244066">
      <w:pPr>
        <w:pStyle w:val="OrderSigInfo"/>
        <w:keepNext/>
        <w:keepLines/>
      </w:pPr>
      <w:r>
        <w:t>Tallahassee, Florida 32399</w:t>
      </w:r>
    </w:p>
    <w:p w:rsidR="00244066" w:rsidRDefault="00244066" w:rsidP="00244066">
      <w:pPr>
        <w:pStyle w:val="OrderSigInfo"/>
        <w:keepNext/>
        <w:keepLines/>
      </w:pPr>
      <w:r>
        <w:t>(850) 413</w:t>
      </w:r>
      <w:r>
        <w:noBreakHyphen/>
        <w:t>6770</w:t>
      </w:r>
    </w:p>
    <w:p w:rsidR="00244066" w:rsidRDefault="00244066" w:rsidP="00244066">
      <w:pPr>
        <w:pStyle w:val="OrderSigInfo"/>
        <w:keepNext/>
        <w:keepLines/>
      </w:pPr>
      <w:r>
        <w:t>www.floridapsc.com</w:t>
      </w:r>
    </w:p>
    <w:p w:rsidR="00244066" w:rsidRDefault="00244066" w:rsidP="00244066">
      <w:pPr>
        <w:pStyle w:val="OrderSigInfo"/>
        <w:keepNext/>
        <w:keepLines/>
      </w:pPr>
    </w:p>
    <w:p w:rsidR="00244066" w:rsidRDefault="00244066" w:rsidP="00244066">
      <w:pPr>
        <w:pStyle w:val="OrderSigInfo"/>
        <w:keepNext/>
        <w:keepLines/>
      </w:pPr>
      <w:r>
        <w:t>Copies furnished:  A copy of this document is provided to the parties of record at the time of issuance and, if applicable, interested persons.</w:t>
      </w:r>
    </w:p>
    <w:p w:rsidR="00244066" w:rsidRDefault="00244066" w:rsidP="00244066">
      <w:pPr>
        <w:pStyle w:val="OrderBody"/>
        <w:keepNext/>
        <w:keepLines/>
      </w:pPr>
    </w:p>
    <w:p w:rsidR="00244066" w:rsidRDefault="00244066" w:rsidP="00244066">
      <w:pPr>
        <w:pStyle w:val="OrderBody"/>
        <w:keepNext/>
        <w:keepLines/>
      </w:pPr>
    </w:p>
    <w:p w:rsidR="00244066" w:rsidRDefault="00244066" w:rsidP="00244066">
      <w:pPr>
        <w:pStyle w:val="OrderBody"/>
        <w:keepNext/>
        <w:keepLines/>
      </w:pPr>
      <w:r>
        <w:t>WLT</w:t>
      </w:r>
    </w:p>
    <w:p w:rsidR="00244066" w:rsidRDefault="00244066" w:rsidP="00244066">
      <w:pPr>
        <w:pStyle w:val="OrderBody"/>
      </w:pPr>
    </w:p>
    <w:p w:rsidR="00244066" w:rsidRDefault="00244066" w:rsidP="00244066">
      <w:pPr>
        <w:pStyle w:val="OrderBody"/>
      </w:pPr>
    </w:p>
    <w:p w:rsidR="00183FFF" w:rsidRDefault="00183FFF" w:rsidP="00244066">
      <w:pPr>
        <w:pStyle w:val="OrderBody"/>
      </w:pPr>
    </w:p>
    <w:p w:rsidR="00183FFF" w:rsidRDefault="00183FFF" w:rsidP="00244066">
      <w:pPr>
        <w:pStyle w:val="OrderBody"/>
      </w:pPr>
    </w:p>
    <w:p w:rsidR="00183FFF" w:rsidRDefault="00183FFF" w:rsidP="00244066">
      <w:pPr>
        <w:pStyle w:val="OrderBody"/>
      </w:pPr>
    </w:p>
    <w:p w:rsidR="003C67CD" w:rsidRDefault="003C67CD" w:rsidP="00244066">
      <w:pPr>
        <w:pStyle w:val="OrderBody"/>
      </w:pPr>
    </w:p>
    <w:p w:rsidR="00183FFF" w:rsidRDefault="00183FFF" w:rsidP="00244066">
      <w:pPr>
        <w:pStyle w:val="OrderBody"/>
      </w:pPr>
    </w:p>
    <w:p w:rsidR="00BC5C23" w:rsidRDefault="00BC5C23" w:rsidP="00BC5C23">
      <w:pPr>
        <w:pStyle w:val="OrderBody"/>
      </w:pPr>
    </w:p>
    <w:p w:rsidR="00BC5C23" w:rsidRDefault="00BC5C23" w:rsidP="00BC5C23">
      <w:pPr>
        <w:pStyle w:val="CenterUnderline"/>
      </w:pPr>
      <w:r>
        <w:lastRenderedPageBreak/>
        <w:t>NOTICE OF FURTHER PROCEEDINGS OR JUDICIAL REVIEW</w:t>
      </w:r>
    </w:p>
    <w:p w:rsidR="00BC5C23" w:rsidRDefault="00BC5C23" w:rsidP="00BC5C23">
      <w:pPr>
        <w:pStyle w:val="CenterUnderline"/>
      </w:pPr>
    </w:p>
    <w:p w:rsidR="00BC5C23" w:rsidRDefault="00BC5C23" w:rsidP="00BC5C23">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BC5C23" w:rsidRDefault="00BC5C23" w:rsidP="00BC5C23">
      <w:pPr>
        <w:pStyle w:val="OrderBody"/>
      </w:pPr>
    </w:p>
    <w:p w:rsidR="00BC5C23" w:rsidRDefault="00BC5C23" w:rsidP="00BC5C23">
      <w:pPr>
        <w:pStyle w:val="OrderBody"/>
      </w:pPr>
      <w:r>
        <w:tab/>
        <w:t>Mediation may be available on a case-by-case basis.  If mediation is conducted, it does not affect a substantially interested person's right to a hearing.</w:t>
      </w:r>
    </w:p>
    <w:p w:rsidR="00BC5C23" w:rsidRDefault="00BC5C23" w:rsidP="00BC5C23">
      <w:pPr>
        <w:pStyle w:val="OrderBody"/>
      </w:pPr>
    </w:p>
    <w:p w:rsidR="00BC5C23" w:rsidRDefault="00BC5C23" w:rsidP="00BC5C23">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3C67CD">
        <w:rPr>
          <w:u w:val="single"/>
        </w:rPr>
        <w:t>July 20, 2020</w:t>
      </w:r>
      <w:r>
        <w:t>.</w:t>
      </w:r>
    </w:p>
    <w:p w:rsidR="00BC5C23" w:rsidRDefault="00BC5C23" w:rsidP="00BC5C23">
      <w:pPr>
        <w:pStyle w:val="OrderBody"/>
      </w:pPr>
    </w:p>
    <w:p w:rsidR="00BC5C23" w:rsidRDefault="00BC5C23" w:rsidP="00BC5C23">
      <w:pPr>
        <w:pStyle w:val="OrderBody"/>
      </w:pPr>
      <w:r>
        <w:tab/>
        <w:t>In the absence of such a petition, this order shall become final and effective upon the issuance of a Consummating Order.</w:t>
      </w:r>
    </w:p>
    <w:p w:rsidR="00BC5C23" w:rsidRDefault="00BC5C23" w:rsidP="00BC5C23">
      <w:pPr>
        <w:pStyle w:val="OrderBody"/>
      </w:pPr>
    </w:p>
    <w:p w:rsidR="00BC5C23" w:rsidRDefault="00BC5C23" w:rsidP="00BC5C23">
      <w:pPr>
        <w:pStyle w:val="OrderBody"/>
      </w:pPr>
      <w:r>
        <w:tab/>
        <w:t>Any objection or protest filed in this/these docket(s) before the issuance date of this order is considered abandoned unless it satisfies the foregoing conditions and is renewed within the specified protest period.</w:t>
      </w:r>
    </w:p>
    <w:p w:rsidR="00BC5C23" w:rsidRDefault="00BC5C23" w:rsidP="00BC5C23">
      <w:pPr>
        <w:pStyle w:val="OrderBody"/>
      </w:pPr>
    </w:p>
    <w:p w:rsidR="00BC5C23" w:rsidRDefault="00BC5C23" w:rsidP="00BC5C23">
      <w:pPr>
        <w:pStyle w:val="OrderBody"/>
        <w:sectPr w:rsidR="00BC5C23">
          <w:headerReference w:type="default" r:id="rId6"/>
          <w:pgSz w:w="12240" w:h="15840" w:code="1"/>
          <w:pgMar w:top="1440" w:right="1440" w:bottom="1440" w:left="1440" w:header="720" w:footer="720" w:gutter="0"/>
          <w:cols w:space="720"/>
          <w:titlePg/>
          <w:docGrid w:linePitch="360"/>
        </w:sectPr>
      </w:pPr>
    </w:p>
    <w:p w:rsidR="00244066" w:rsidRDefault="00244066" w:rsidP="00244066">
      <w:pPr>
        <w:pStyle w:val="OrderBody"/>
      </w:pPr>
    </w:p>
    <w:p w:rsidR="00244066" w:rsidRDefault="00B4151F" w:rsidP="00244066">
      <w:pPr>
        <w:pStyle w:val="OrderBody"/>
      </w:pPr>
      <w:r>
        <w:rPr>
          <w:noProof/>
        </w:rPr>
        <w:drawing>
          <wp:inline distT="0" distB="0" distL="0" distR="0" wp14:anchorId="3F930845" wp14:editId="06B10A1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0940" w:rsidRDefault="009F0940" w:rsidP="00244066">
      <w:pPr>
        <w:pStyle w:val="OrderBody"/>
        <w:sectPr w:rsidR="009F0940">
          <w:headerReference w:type="first" r:id="rId8"/>
          <w:pgSz w:w="12240" w:h="15840" w:code="1"/>
          <w:pgMar w:top="1440" w:right="1440" w:bottom="1440" w:left="1440" w:header="720" w:footer="720" w:gutter="0"/>
          <w:cols w:space="720"/>
          <w:titlePg/>
          <w:docGrid w:linePitch="360"/>
        </w:sectPr>
      </w:pPr>
    </w:p>
    <w:p w:rsidR="009F0940" w:rsidRDefault="009F0940" w:rsidP="00244066">
      <w:pPr>
        <w:pStyle w:val="OrderBody"/>
      </w:pPr>
      <w:r>
        <w:rPr>
          <w:noProof/>
        </w:rPr>
        <w:lastRenderedPageBreak/>
        <w:drawing>
          <wp:inline distT="0" distB="0" distL="0" distR="0" wp14:anchorId="25E7BFE0" wp14:editId="46B8AB4C">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0940" w:rsidRDefault="009F0940" w:rsidP="00244066">
      <w:pPr>
        <w:pStyle w:val="OrderBody"/>
      </w:pPr>
    </w:p>
    <w:p w:rsidR="009F0940" w:rsidRDefault="009F0940" w:rsidP="00244066">
      <w:pPr>
        <w:pStyle w:val="OrderBody"/>
      </w:pPr>
      <w:r>
        <w:rPr>
          <w:noProof/>
        </w:rPr>
        <w:lastRenderedPageBreak/>
        <w:drawing>
          <wp:inline distT="0" distB="0" distL="0" distR="0" wp14:anchorId="18994FE1" wp14:editId="4C9A18E5">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0940" w:rsidRDefault="009F0940" w:rsidP="00244066">
      <w:pPr>
        <w:pStyle w:val="OrderBody"/>
        <w:sectPr w:rsidR="009F0940">
          <w:headerReference w:type="default" r:id="rId11"/>
          <w:pgSz w:w="12240" w:h="15840" w:code="1"/>
          <w:pgMar w:top="1440" w:right="1440" w:bottom="1440" w:left="1440" w:header="720" w:footer="720" w:gutter="0"/>
          <w:cols w:space="720"/>
          <w:titlePg/>
          <w:docGrid w:linePitch="360"/>
        </w:sectPr>
      </w:pPr>
    </w:p>
    <w:p w:rsidR="009F0940" w:rsidRDefault="009F0940" w:rsidP="009F0940">
      <w:pPr>
        <w:ind w:firstLine="720"/>
      </w:pPr>
      <w:r>
        <w:rPr>
          <w:noProof/>
        </w:rPr>
        <w:lastRenderedPageBreak/>
        <w:drawing>
          <wp:inline distT="0" distB="0" distL="0" distR="0" wp14:anchorId="2433443B" wp14:editId="5DCD5CF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0940" w:rsidRDefault="009F0940" w:rsidP="009F0940">
      <w:pPr>
        <w:ind w:firstLine="720"/>
        <w:sectPr w:rsidR="009F0940">
          <w:headerReference w:type="first" r:id="rId13"/>
          <w:pgSz w:w="12240" w:h="15840" w:code="1"/>
          <w:pgMar w:top="1440" w:right="1440" w:bottom="1440" w:left="1440" w:header="720" w:footer="720" w:gutter="0"/>
          <w:cols w:space="720"/>
          <w:titlePg/>
          <w:docGrid w:linePitch="360"/>
        </w:sectPr>
      </w:pPr>
    </w:p>
    <w:p w:rsidR="009F0940" w:rsidRDefault="009F0940" w:rsidP="009F0940">
      <w:pPr>
        <w:ind w:firstLine="720"/>
      </w:pPr>
      <w:r>
        <w:rPr>
          <w:noProof/>
        </w:rPr>
        <w:lastRenderedPageBreak/>
        <w:drawing>
          <wp:inline distT="0" distB="0" distL="0" distR="0" wp14:anchorId="6B142A8C" wp14:editId="7FB13557">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0940" w:rsidRDefault="009F0940" w:rsidP="009F0940">
      <w:pPr>
        <w:ind w:firstLine="720"/>
        <w:sectPr w:rsidR="009F0940">
          <w:headerReference w:type="first" r:id="rId15"/>
          <w:pgSz w:w="12240" w:h="15840" w:code="1"/>
          <w:pgMar w:top="1440" w:right="1440" w:bottom="1440" w:left="1440" w:header="720" w:footer="720" w:gutter="0"/>
          <w:cols w:space="720"/>
          <w:titlePg/>
          <w:docGrid w:linePitch="360"/>
        </w:sectPr>
      </w:pPr>
    </w:p>
    <w:p w:rsidR="009F0940" w:rsidRDefault="009F0940" w:rsidP="009F0940">
      <w:pPr>
        <w:ind w:firstLine="720"/>
      </w:pPr>
      <w:r>
        <w:rPr>
          <w:noProof/>
        </w:rPr>
        <w:lastRenderedPageBreak/>
        <w:drawing>
          <wp:inline distT="0" distB="0" distL="0" distR="0" wp14:anchorId="1A93C833" wp14:editId="32740134">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0940" w:rsidRDefault="009F0940" w:rsidP="009F0940">
      <w:pPr>
        <w:ind w:firstLine="720"/>
        <w:sectPr w:rsidR="009F0940">
          <w:headerReference w:type="first" r:id="rId17"/>
          <w:pgSz w:w="12240" w:h="15840" w:code="1"/>
          <w:pgMar w:top="1440" w:right="1440" w:bottom="1440" w:left="1440" w:header="720" w:footer="720" w:gutter="0"/>
          <w:cols w:space="720"/>
          <w:titlePg/>
          <w:docGrid w:linePitch="360"/>
        </w:sectPr>
      </w:pPr>
    </w:p>
    <w:p w:rsidR="009F0940" w:rsidRDefault="009F0940" w:rsidP="009F0940">
      <w:pPr>
        <w:ind w:firstLine="720"/>
      </w:pPr>
      <w:r>
        <w:rPr>
          <w:noProof/>
        </w:rPr>
        <w:lastRenderedPageBreak/>
        <w:drawing>
          <wp:inline distT="0" distB="0" distL="0" distR="0" wp14:anchorId="28F9B7F3" wp14:editId="0F12AB1D">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0940" w:rsidRDefault="009F0940" w:rsidP="009F0940">
      <w:pPr>
        <w:ind w:firstLine="720"/>
        <w:sectPr w:rsidR="009F0940">
          <w:headerReference w:type="first" r:id="rId19"/>
          <w:pgSz w:w="12240" w:h="15840" w:code="1"/>
          <w:pgMar w:top="1440" w:right="1440" w:bottom="1440" w:left="1440" w:header="720" w:footer="720" w:gutter="0"/>
          <w:cols w:space="720"/>
          <w:titlePg/>
          <w:docGrid w:linePitch="360"/>
        </w:sectPr>
      </w:pPr>
    </w:p>
    <w:p w:rsidR="009F0940" w:rsidRDefault="009F0940" w:rsidP="009F0940">
      <w:pPr>
        <w:ind w:firstLine="720"/>
      </w:pPr>
      <w:r>
        <w:rPr>
          <w:noProof/>
        </w:rPr>
        <w:lastRenderedPageBreak/>
        <w:drawing>
          <wp:inline distT="0" distB="0" distL="0" distR="0" wp14:anchorId="5CA02D05" wp14:editId="07EC0132">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0940" w:rsidRDefault="009F0940" w:rsidP="009F0940">
      <w:pPr>
        <w:ind w:firstLine="720"/>
        <w:sectPr w:rsidR="009F0940">
          <w:headerReference w:type="first" r:id="rId21"/>
          <w:pgSz w:w="12240" w:h="15840" w:code="1"/>
          <w:pgMar w:top="1440" w:right="1440" w:bottom="1440" w:left="1440" w:header="720" w:footer="720" w:gutter="0"/>
          <w:cols w:space="720"/>
          <w:titlePg/>
          <w:docGrid w:linePitch="360"/>
        </w:sectPr>
      </w:pPr>
    </w:p>
    <w:p w:rsidR="009F0940" w:rsidRDefault="009F0940" w:rsidP="009F0940">
      <w:pPr>
        <w:ind w:firstLine="720"/>
      </w:pPr>
      <w:r>
        <w:rPr>
          <w:noProof/>
        </w:rPr>
        <w:lastRenderedPageBreak/>
        <w:drawing>
          <wp:inline distT="0" distB="0" distL="0" distR="0" wp14:anchorId="55803271" wp14:editId="321BFF1B">
            <wp:extent cx="5943600" cy="6162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6162675"/>
                    </a:xfrm>
                    <a:prstGeom prst="rect">
                      <a:avLst/>
                    </a:prstGeom>
                  </pic:spPr>
                </pic:pic>
              </a:graphicData>
            </a:graphic>
          </wp:inline>
        </w:drawing>
      </w:r>
    </w:p>
    <w:p w:rsidR="009F0940" w:rsidRDefault="009F0940" w:rsidP="009F0940">
      <w:pPr>
        <w:ind w:firstLine="720"/>
      </w:pPr>
    </w:p>
    <w:p w:rsidR="004D2004" w:rsidRPr="009F0940" w:rsidRDefault="004D2004" w:rsidP="00DC06AE">
      <w:pPr>
        <w:ind w:firstLine="720"/>
      </w:pPr>
    </w:p>
    <w:sectPr w:rsidR="004D2004" w:rsidRPr="009F0940">
      <w:headerReference w:type="first" r:id="rId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50E" w:rsidRDefault="00F2350E">
      <w:r>
        <w:separator/>
      </w:r>
    </w:p>
  </w:endnote>
  <w:endnote w:type="continuationSeparator" w:id="0">
    <w:p w:rsidR="00F2350E" w:rsidRDefault="00F23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50E" w:rsidRDefault="00F2350E">
      <w:r>
        <w:separator/>
      </w:r>
    </w:p>
  </w:footnote>
  <w:footnote w:type="continuationSeparator" w:id="0">
    <w:p w:rsidR="00F2350E" w:rsidRDefault="00F2350E">
      <w:r>
        <w:continuationSeparator/>
      </w:r>
    </w:p>
  </w:footnote>
  <w:footnote w:id="1">
    <w:p w:rsidR="00244066" w:rsidRPr="00CF4AE3" w:rsidRDefault="00244066" w:rsidP="00244066">
      <w:pPr>
        <w:pStyle w:val="FootnoteText"/>
        <w:rPr>
          <w:i/>
        </w:rPr>
      </w:pPr>
      <w:r>
        <w:rPr>
          <w:rStyle w:val="FootnoteReference"/>
        </w:rPr>
        <w:footnoteRef/>
      </w:r>
      <w:r>
        <w:t xml:space="preserve"> </w:t>
      </w:r>
      <w:r>
        <w:rPr>
          <w:i/>
        </w:rPr>
        <w:t xml:space="preserve">In re: </w:t>
      </w:r>
      <w:r w:rsidRPr="00584566">
        <w:rPr>
          <w:i/>
        </w:rPr>
        <w:t>Petition to resolve territorial dispute in Sumter County and/or Lake County with City of Leesburg and/or South Sumter Gas Company, LLC, by Peoples Gas System.</w:t>
      </w:r>
    </w:p>
  </w:footnote>
  <w:footnote w:id="2">
    <w:p w:rsidR="00244066" w:rsidRPr="00234702" w:rsidRDefault="00244066" w:rsidP="00244066">
      <w:pPr>
        <w:pStyle w:val="FootnoteText"/>
      </w:pPr>
      <w:r w:rsidRPr="00234702">
        <w:rPr>
          <w:rStyle w:val="FootnoteReference"/>
        </w:rPr>
        <w:footnoteRef/>
      </w:r>
      <w:r w:rsidRPr="00234702">
        <w:t xml:space="preserve"> </w:t>
      </w:r>
      <w:r>
        <w:rPr>
          <w:spacing w:val="-3"/>
        </w:rPr>
        <w:t>"Recommended Order"</w:t>
      </w:r>
      <w:r w:rsidRPr="00234702">
        <w:rPr>
          <w:spacing w:val="-3"/>
        </w:rPr>
        <w:t xml:space="preserve"> </w:t>
      </w:r>
      <w:r>
        <w:rPr>
          <w:spacing w:val="-3"/>
        </w:rPr>
        <w:t>is defined in</w:t>
      </w:r>
      <w:r w:rsidRPr="00234702">
        <w:rPr>
          <w:spacing w:val="-3"/>
        </w:rPr>
        <w:t xml:space="preserve"> Section 120.52(15), F.S., as the official recommendation of the </w:t>
      </w:r>
      <w:r>
        <w:rPr>
          <w:spacing w:val="-3"/>
        </w:rPr>
        <w:t>ALJ</w:t>
      </w:r>
      <w:r w:rsidRPr="00234702">
        <w:rPr>
          <w:spacing w:val="-3"/>
        </w:rPr>
        <w:t xml:space="preserve"> assigned by DOAH or of any other duly authorized presiding officer, other than the agency head or member thereof.</w:t>
      </w:r>
    </w:p>
  </w:footnote>
  <w:footnote w:id="3">
    <w:p w:rsidR="00244066" w:rsidRDefault="00244066" w:rsidP="00244066">
      <w:pPr>
        <w:pStyle w:val="FootnoteText"/>
      </w:pPr>
      <w:r>
        <w:rPr>
          <w:rStyle w:val="FootnoteReference"/>
        </w:rPr>
        <w:footnoteRef/>
      </w:r>
      <w:r>
        <w:t xml:space="preserve"> </w:t>
      </w:r>
      <w:r w:rsidRPr="00CF4AE3">
        <w:rPr>
          <w:i/>
        </w:rPr>
        <w:t>Peoples Gas System vs. South Sumter Gas Company, LLC, and City of Leesburg</w:t>
      </w:r>
      <w:r>
        <w:t>, DOAH Case No. 18-4422, Recommended Order issued on September 30, 2019.</w:t>
      </w:r>
    </w:p>
  </w:footnote>
  <w:footnote w:id="4">
    <w:p w:rsidR="00244066" w:rsidRDefault="00244066" w:rsidP="00244066">
      <w:pPr>
        <w:pStyle w:val="FootnoteText"/>
      </w:pPr>
      <w:r>
        <w:rPr>
          <w:rStyle w:val="FootnoteReference"/>
        </w:rPr>
        <w:footnoteRef/>
      </w:r>
      <w:r>
        <w:t xml:space="preserve"> Order No. PSC-2020-0052-FOF-GU, issued February 11, 2020, in Docket No. 20180055-GU, </w:t>
      </w:r>
      <w:r w:rsidRPr="00FF3A0D">
        <w:rPr>
          <w:i/>
        </w:rPr>
        <w:t>In re: Petition to resolve territorial dispute in Sumter County and/or Lake County with City of Leesburg and/or South Sumter Gas Company, LLC, by Peoples Gas System</w:t>
      </w:r>
      <w:r>
        <w:t>.</w:t>
      </w:r>
    </w:p>
  </w:footnote>
  <w:footnote w:id="5">
    <w:p w:rsidR="00244066" w:rsidRPr="006F6207" w:rsidRDefault="00244066" w:rsidP="00244066">
      <w:pPr>
        <w:pStyle w:val="FootnoteText"/>
      </w:pPr>
      <w:r w:rsidRPr="00CF4AE3">
        <w:rPr>
          <w:rStyle w:val="FootnoteReference"/>
          <w:i/>
        </w:rPr>
        <w:footnoteRef/>
      </w:r>
      <w:r w:rsidRPr="00CF4AE3">
        <w:rPr>
          <w:i/>
        </w:rPr>
        <w:t xml:space="preserve"> Utilities Commission of the City of New Smyrna Beach v. Florida Public Service Commission, </w:t>
      </w:r>
      <w:r w:rsidRPr="00FD01B1">
        <w:t>469 So. 2d 731 (Fla. 1985).</w:t>
      </w:r>
    </w:p>
  </w:footnote>
  <w:footnote w:id="6">
    <w:p w:rsidR="00244066" w:rsidRDefault="00244066" w:rsidP="00244066">
      <w:pPr>
        <w:pStyle w:val="FootnoteText"/>
      </w:pPr>
      <w:r>
        <w:rPr>
          <w:rStyle w:val="FootnoteReference"/>
        </w:rPr>
        <w:footnoteRef/>
      </w:r>
      <w:r>
        <w:t xml:space="preserve"> Order No. PSC-2020-0052-FOF-GU at p. 92 (Conclusion of Law 160).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C23" w:rsidRDefault="00BC5C23">
    <w:pPr>
      <w:pStyle w:val="OrderHeader"/>
    </w:pPr>
    <w:r>
      <w:t xml:space="preserve">ORDER NO. </w:t>
    </w:r>
    <w:bookmarkStart w:id="8" w:name="HeaderOrderNo"/>
    <w:bookmarkEnd w:id="8"/>
    <w:r w:rsidR="003C67CD">
      <w:t>PSC-2020-0221-PAA-GU</w:t>
    </w:r>
  </w:p>
  <w:p w:rsidR="00BC5C23" w:rsidRDefault="00BC5C23">
    <w:pPr>
      <w:pStyle w:val="OrderHeader"/>
    </w:pPr>
    <w:r>
      <w:t>DOCKET NO. 20200085-GU</w:t>
    </w:r>
  </w:p>
  <w:p w:rsidR="00BC5C23" w:rsidRDefault="00BC5C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EC1">
      <w:rPr>
        <w:rStyle w:val="PageNumber"/>
        <w:noProof/>
      </w:rPr>
      <w:t>5</w:t>
    </w:r>
    <w:r>
      <w:rPr>
        <w:rStyle w:val="PageNumber"/>
      </w:rPr>
      <w:fldChar w:fldCharType="end"/>
    </w:r>
  </w:p>
  <w:p w:rsidR="00BC5C23" w:rsidRDefault="00BC5C23">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066" w:rsidRDefault="00244066" w:rsidP="00244066">
    <w:pPr>
      <w:pStyle w:val="OrderHeader"/>
    </w:pPr>
    <w:r>
      <w:t xml:space="preserve">ORDER NO. </w:t>
    </w:r>
    <w:r w:rsidR="003C67CD">
      <w:t>PSC-2020-0221-PAA-GU</w:t>
    </w:r>
  </w:p>
  <w:p w:rsidR="00244066" w:rsidRDefault="00244066" w:rsidP="00244066">
    <w:pPr>
      <w:pStyle w:val="OrderHeader"/>
    </w:pPr>
    <w:r>
      <w:t>DOCKET NO. 20200085-GU</w:t>
    </w:r>
    <w:r w:rsidR="00B4151F">
      <w:tab/>
    </w:r>
    <w:r w:rsidR="00B4151F">
      <w:tab/>
      <w:t>Attachment A</w:t>
    </w:r>
  </w:p>
  <w:p w:rsidR="00244066" w:rsidRDefault="00244066" w:rsidP="002440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EC1">
      <w:rPr>
        <w:rStyle w:val="PageNumber"/>
        <w:noProof/>
      </w:rPr>
      <w:t>7</w:t>
    </w:r>
    <w:r>
      <w:rPr>
        <w:rStyle w:val="PageNumber"/>
      </w:rPr>
      <w:fldChar w:fldCharType="end"/>
    </w:r>
  </w:p>
  <w:p w:rsidR="00244066" w:rsidRDefault="002440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940" w:rsidRDefault="009F0940">
    <w:pPr>
      <w:pStyle w:val="OrderHeader"/>
    </w:pPr>
    <w:r>
      <w:t xml:space="preserve">ORDER NO. </w:t>
    </w:r>
    <w:r w:rsidR="003C67CD">
      <w:t>PSC-2020-0221-PAA-GU</w:t>
    </w:r>
  </w:p>
  <w:p w:rsidR="009F0940" w:rsidRDefault="009F0940">
    <w:pPr>
      <w:pStyle w:val="OrderHeader"/>
    </w:pPr>
    <w:r>
      <w:t>DOCKET NO. 20200085-GU</w:t>
    </w:r>
    <w:r>
      <w:tab/>
    </w:r>
    <w:r>
      <w:tab/>
      <w:t>Attachment A</w:t>
    </w:r>
  </w:p>
  <w:p w:rsidR="009F0940" w:rsidRDefault="009F094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EC1">
      <w:rPr>
        <w:rStyle w:val="PageNumber"/>
        <w:noProof/>
      </w:rPr>
      <w:t>9</w:t>
    </w:r>
    <w:r>
      <w:rPr>
        <w:rStyle w:val="PageNumber"/>
      </w:rPr>
      <w:fldChar w:fldCharType="end"/>
    </w:r>
  </w:p>
  <w:p w:rsidR="009F0940" w:rsidRDefault="009F0940">
    <w:pPr>
      <w:pStyle w:val="Order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940" w:rsidRDefault="009F0940" w:rsidP="00244066">
    <w:pPr>
      <w:pStyle w:val="OrderHeader"/>
    </w:pPr>
    <w:r>
      <w:t xml:space="preserve">ORDER NO. </w:t>
    </w:r>
    <w:r w:rsidR="003C67CD">
      <w:t>PSC-2020-0221-PAA-GU</w:t>
    </w:r>
  </w:p>
  <w:p w:rsidR="009F0940" w:rsidRDefault="009F0940" w:rsidP="00244066">
    <w:pPr>
      <w:pStyle w:val="OrderHeader"/>
    </w:pPr>
    <w:r>
      <w:t>DOCKET NO. 20200085-GU</w:t>
    </w:r>
    <w:r>
      <w:tab/>
    </w:r>
    <w:r>
      <w:tab/>
      <w:t>Attachment A</w:t>
    </w:r>
  </w:p>
  <w:p w:rsidR="009F0940" w:rsidRDefault="009F0940" w:rsidP="002440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EC1">
      <w:rPr>
        <w:rStyle w:val="PageNumber"/>
        <w:noProof/>
      </w:rPr>
      <w:t>10</w:t>
    </w:r>
    <w:r>
      <w:rPr>
        <w:rStyle w:val="PageNumber"/>
      </w:rPr>
      <w:fldChar w:fldCharType="end"/>
    </w:r>
  </w:p>
  <w:p w:rsidR="009F0940" w:rsidRDefault="009F09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940" w:rsidRDefault="009F0940" w:rsidP="00244066">
    <w:pPr>
      <w:pStyle w:val="OrderHeader"/>
    </w:pPr>
    <w:r>
      <w:t xml:space="preserve">ORDER NO. </w:t>
    </w:r>
    <w:r w:rsidR="003C67CD">
      <w:t>PSC-2020-0221-PAA-GU</w:t>
    </w:r>
  </w:p>
  <w:p w:rsidR="009F0940" w:rsidRDefault="009F0940" w:rsidP="00244066">
    <w:pPr>
      <w:pStyle w:val="OrderHeader"/>
    </w:pPr>
    <w:r>
      <w:t>DOCKET NO. 20200085-GU</w:t>
    </w:r>
    <w:r>
      <w:tab/>
    </w:r>
    <w:r>
      <w:tab/>
      <w:t>Attachment A</w:t>
    </w:r>
  </w:p>
  <w:p w:rsidR="009F0940" w:rsidRDefault="009F0940" w:rsidP="002440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EC1">
      <w:rPr>
        <w:rStyle w:val="PageNumber"/>
        <w:noProof/>
      </w:rPr>
      <w:t>11</w:t>
    </w:r>
    <w:r>
      <w:rPr>
        <w:rStyle w:val="PageNumber"/>
      </w:rPr>
      <w:fldChar w:fldCharType="end"/>
    </w:r>
  </w:p>
  <w:p w:rsidR="009F0940" w:rsidRDefault="009F09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940" w:rsidRDefault="009F0940" w:rsidP="00244066">
    <w:pPr>
      <w:pStyle w:val="OrderHeader"/>
    </w:pPr>
    <w:r>
      <w:t xml:space="preserve">ORDER NO. </w:t>
    </w:r>
    <w:r w:rsidR="003C67CD">
      <w:t>PSC-2020-0221-PAA-GU</w:t>
    </w:r>
  </w:p>
  <w:p w:rsidR="009F0940" w:rsidRDefault="009F0940" w:rsidP="00244066">
    <w:pPr>
      <w:pStyle w:val="OrderHeader"/>
    </w:pPr>
    <w:r>
      <w:t>DOCKET NO. 20200085-GU</w:t>
    </w:r>
    <w:r>
      <w:tab/>
    </w:r>
    <w:r>
      <w:tab/>
      <w:t>Attachment A</w:t>
    </w:r>
  </w:p>
  <w:p w:rsidR="009F0940" w:rsidRDefault="009F0940" w:rsidP="002440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EC1">
      <w:rPr>
        <w:rStyle w:val="PageNumber"/>
        <w:noProof/>
      </w:rPr>
      <w:t>12</w:t>
    </w:r>
    <w:r>
      <w:rPr>
        <w:rStyle w:val="PageNumber"/>
      </w:rPr>
      <w:fldChar w:fldCharType="end"/>
    </w:r>
  </w:p>
  <w:p w:rsidR="009F0940" w:rsidRDefault="009F09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940" w:rsidRDefault="009F0940" w:rsidP="00244066">
    <w:pPr>
      <w:pStyle w:val="OrderHeader"/>
    </w:pPr>
    <w:r>
      <w:t xml:space="preserve">ORDER NO. </w:t>
    </w:r>
    <w:r w:rsidR="003C67CD">
      <w:t>PSC-2020-0221-PAA-GU</w:t>
    </w:r>
  </w:p>
  <w:p w:rsidR="009F0940" w:rsidRDefault="009F0940" w:rsidP="00244066">
    <w:pPr>
      <w:pStyle w:val="OrderHeader"/>
    </w:pPr>
    <w:r>
      <w:t>DOCKET NO. 20200085-GU</w:t>
    </w:r>
    <w:r>
      <w:tab/>
    </w:r>
    <w:r>
      <w:tab/>
      <w:t>Attachment A</w:t>
    </w:r>
  </w:p>
  <w:p w:rsidR="009F0940" w:rsidRDefault="009F0940" w:rsidP="002440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EC1">
      <w:rPr>
        <w:rStyle w:val="PageNumber"/>
        <w:noProof/>
      </w:rPr>
      <w:t>13</w:t>
    </w:r>
    <w:r>
      <w:rPr>
        <w:rStyle w:val="PageNumber"/>
      </w:rPr>
      <w:fldChar w:fldCharType="end"/>
    </w:r>
  </w:p>
  <w:p w:rsidR="009F0940" w:rsidRDefault="009F09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940" w:rsidRDefault="009F0940" w:rsidP="00244066">
    <w:pPr>
      <w:pStyle w:val="OrderHeader"/>
    </w:pPr>
    <w:r>
      <w:t xml:space="preserve">ORDER NO. </w:t>
    </w:r>
    <w:r w:rsidR="003C67CD">
      <w:t>PSC-2020-0221-PAA-GU</w:t>
    </w:r>
  </w:p>
  <w:p w:rsidR="009F0940" w:rsidRDefault="009F0940" w:rsidP="00244066">
    <w:pPr>
      <w:pStyle w:val="OrderHeader"/>
    </w:pPr>
    <w:r>
      <w:t>DOCKET NO. 20200085-GU</w:t>
    </w:r>
    <w:r>
      <w:tab/>
    </w:r>
    <w:r>
      <w:tab/>
      <w:t>Attachment A</w:t>
    </w:r>
  </w:p>
  <w:p w:rsidR="009F0940" w:rsidRDefault="009F0940" w:rsidP="002440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66EC1">
      <w:rPr>
        <w:rStyle w:val="PageNumber"/>
        <w:noProof/>
      </w:rPr>
      <w:t>14</w:t>
    </w:r>
    <w:r>
      <w:rPr>
        <w:rStyle w:val="PageNumber"/>
      </w:rPr>
      <w:fldChar w:fldCharType="end"/>
    </w:r>
  </w:p>
  <w:p w:rsidR="009F0940" w:rsidRDefault="009F09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D73" w:rsidRDefault="00377D73" w:rsidP="00377D73">
    <w:pPr>
      <w:pStyle w:val="Header"/>
    </w:pPr>
    <w:r>
      <w:t xml:space="preserve">ORDER NO. </w:t>
    </w:r>
    <w:r w:rsidR="003C67CD">
      <w:t>PSC-2020-0221-PAA-GU</w:t>
    </w:r>
  </w:p>
  <w:p w:rsidR="00377D73" w:rsidRDefault="00377D73" w:rsidP="00377D73">
    <w:pPr>
      <w:pStyle w:val="Header"/>
    </w:pPr>
    <w:r>
      <w:t>DOCKET NO. 20200085-GU</w:t>
    </w:r>
    <w:r>
      <w:tab/>
    </w:r>
    <w:r>
      <w:tab/>
      <w:t>Attachment A</w:t>
    </w:r>
  </w:p>
  <w:p w:rsidR="00377D73" w:rsidRDefault="00377D73" w:rsidP="00377D73">
    <w:pPr>
      <w:pStyle w:val="Header"/>
    </w:pPr>
    <w:r>
      <w:t>PAGE 15</w:t>
    </w:r>
  </w:p>
  <w:p w:rsidR="004D2004" w:rsidRPr="00A329C1" w:rsidRDefault="004D2004" w:rsidP="00A329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85-GU"/>
  </w:docVars>
  <w:rsids>
    <w:rsidRoot w:val="00244066"/>
    <w:rsid w:val="000022B8"/>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20D7"/>
    <w:rsid w:val="0012387E"/>
    <w:rsid w:val="00126593"/>
    <w:rsid w:val="00136087"/>
    <w:rsid w:val="00142A96"/>
    <w:rsid w:val="001513DE"/>
    <w:rsid w:val="00154A71"/>
    <w:rsid w:val="001655D4"/>
    <w:rsid w:val="00183FFF"/>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44066"/>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66EC1"/>
    <w:rsid w:val="0037196E"/>
    <w:rsid w:val="003744F5"/>
    <w:rsid w:val="00377D73"/>
    <w:rsid w:val="003875A9"/>
    <w:rsid w:val="00387BDE"/>
    <w:rsid w:val="00390DD8"/>
    <w:rsid w:val="00394DC6"/>
    <w:rsid w:val="00397C3E"/>
    <w:rsid w:val="003B1A09"/>
    <w:rsid w:val="003C67CD"/>
    <w:rsid w:val="003D4CCA"/>
    <w:rsid w:val="003D52A6"/>
    <w:rsid w:val="003D6416"/>
    <w:rsid w:val="003E1D48"/>
    <w:rsid w:val="003E711F"/>
    <w:rsid w:val="003F1D2B"/>
    <w:rsid w:val="00402EAA"/>
    <w:rsid w:val="00411DF2"/>
    <w:rsid w:val="00411E8F"/>
    <w:rsid w:val="004247F5"/>
    <w:rsid w:val="0042527B"/>
    <w:rsid w:val="00427EAC"/>
    <w:rsid w:val="004431B4"/>
    <w:rsid w:val="0045537F"/>
    <w:rsid w:val="00457DC7"/>
    <w:rsid w:val="0046042E"/>
    <w:rsid w:val="004640B3"/>
    <w:rsid w:val="00472BCC"/>
    <w:rsid w:val="004A25CD"/>
    <w:rsid w:val="004A26CC"/>
    <w:rsid w:val="004A365A"/>
    <w:rsid w:val="004B2108"/>
    <w:rsid w:val="004B3A2B"/>
    <w:rsid w:val="004B70D3"/>
    <w:rsid w:val="004C312D"/>
    <w:rsid w:val="004D2004"/>
    <w:rsid w:val="004D2D1B"/>
    <w:rsid w:val="004D5067"/>
    <w:rsid w:val="004D6838"/>
    <w:rsid w:val="004D72BC"/>
    <w:rsid w:val="004E469D"/>
    <w:rsid w:val="004E7F4F"/>
    <w:rsid w:val="004F2DDE"/>
    <w:rsid w:val="004F7826"/>
    <w:rsid w:val="0050097F"/>
    <w:rsid w:val="005034E4"/>
    <w:rsid w:val="00514B1F"/>
    <w:rsid w:val="00523C5C"/>
    <w:rsid w:val="00525E93"/>
    <w:rsid w:val="0052671D"/>
    <w:rsid w:val="005300C0"/>
    <w:rsid w:val="005372F2"/>
    <w:rsid w:val="00540E6B"/>
    <w:rsid w:val="0055595D"/>
    <w:rsid w:val="00556A10"/>
    <w:rsid w:val="00557F50"/>
    <w:rsid w:val="00571D3D"/>
    <w:rsid w:val="0058264B"/>
    <w:rsid w:val="005868AA"/>
    <w:rsid w:val="00590845"/>
    <w:rsid w:val="005963C2"/>
    <w:rsid w:val="00597838"/>
    <w:rsid w:val="005A0D69"/>
    <w:rsid w:val="005A31F4"/>
    <w:rsid w:val="005A73EA"/>
    <w:rsid w:val="005B45F7"/>
    <w:rsid w:val="005B63EA"/>
    <w:rsid w:val="005C1A88"/>
    <w:rsid w:val="005C5033"/>
    <w:rsid w:val="005D1F56"/>
    <w:rsid w:val="005E751B"/>
    <w:rsid w:val="005F3354"/>
    <w:rsid w:val="0060005E"/>
    <w:rsid w:val="0060095B"/>
    <w:rsid w:val="00601266"/>
    <w:rsid w:val="00610221"/>
    <w:rsid w:val="00610E73"/>
    <w:rsid w:val="00616DF2"/>
    <w:rsid w:val="0063168D"/>
    <w:rsid w:val="00647025"/>
    <w:rsid w:val="00647169"/>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42BE"/>
    <w:rsid w:val="006E5D4D"/>
    <w:rsid w:val="006E6D16"/>
    <w:rsid w:val="00703F2A"/>
    <w:rsid w:val="00704C5D"/>
    <w:rsid w:val="007072BC"/>
    <w:rsid w:val="00715275"/>
    <w:rsid w:val="00721751"/>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0625"/>
    <w:rsid w:val="007D3D20"/>
    <w:rsid w:val="007D742E"/>
    <w:rsid w:val="007E3AFD"/>
    <w:rsid w:val="00801DAD"/>
    <w:rsid w:val="00803189"/>
    <w:rsid w:val="00804E7A"/>
    <w:rsid w:val="00805FBB"/>
    <w:rsid w:val="00806CAA"/>
    <w:rsid w:val="008169A4"/>
    <w:rsid w:val="00817498"/>
    <w:rsid w:val="008278FE"/>
    <w:rsid w:val="00832598"/>
    <w:rsid w:val="0083397E"/>
    <w:rsid w:val="0083534B"/>
    <w:rsid w:val="008412C3"/>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3DF6"/>
    <w:rsid w:val="008C5155"/>
    <w:rsid w:val="008C6375"/>
    <w:rsid w:val="008C6A5B"/>
    <w:rsid w:val="008D498D"/>
    <w:rsid w:val="008D6D36"/>
    <w:rsid w:val="008E0693"/>
    <w:rsid w:val="008E26A5"/>
    <w:rsid w:val="008E42D2"/>
    <w:rsid w:val="008E6328"/>
    <w:rsid w:val="008F578F"/>
    <w:rsid w:val="009040EE"/>
    <w:rsid w:val="009057FD"/>
    <w:rsid w:val="00906FBA"/>
    <w:rsid w:val="0091631F"/>
    <w:rsid w:val="009163E8"/>
    <w:rsid w:val="009228C7"/>
    <w:rsid w:val="00922A7F"/>
    <w:rsid w:val="00923A5E"/>
    <w:rsid w:val="00924FE7"/>
    <w:rsid w:val="00926E27"/>
    <w:rsid w:val="00931C8C"/>
    <w:rsid w:val="00937DD2"/>
    <w:rsid w:val="00943D21"/>
    <w:rsid w:val="0094504B"/>
    <w:rsid w:val="009566AF"/>
    <w:rsid w:val="00964A38"/>
    <w:rsid w:val="00966A9D"/>
    <w:rsid w:val="0096742B"/>
    <w:rsid w:val="009718C5"/>
    <w:rsid w:val="009924CF"/>
    <w:rsid w:val="00994100"/>
    <w:rsid w:val="009A6B17"/>
    <w:rsid w:val="009B09E8"/>
    <w:rsid w:val="009D4C29"/>
    <w:rsid w:val="009E53AF"/>
    <w:rsid w:val="009F0940"/>
    <w:rsid w:val="009F6AD2"/>
    <w:rsid w:val="00A00D8D"/>
    <w:rsid w:val="00A01AAA"/>
    <w:rsid w:val="00A01BB6"/>
    <w:rsid w:val="00A329C1"/>
    <w:rsid w:val="00A33952"/>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1000"/>
    <w:rsid w:val="00B3644F"/>
    <w:rsid w:val="00B4057A"/>
    <w:rsid w:val="00B40894"/>
    <w:rsid w:val="00B41039"/>
    <w:rsid w:val="00B4151F"/>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5C23"/>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4769F"/>
    <w:rsid w:val="00C51752"/>
    <w:rsid w:val="00C55A33"/>
    <w:rsid w:val="00C66692"/>
    <w:rsid w:val="00C673B5"/>
    <w:rsid w:val="00C70086"/>
    <w:rsid w:val="00C7063D"/>
    <w:rsid w:val="00C830BC"/>
    <w:rsid w:val="00C8524D"/>
    <w:rsid w:val="00C90904"/>
    <w:rsid w:val="00C91123"/>
    <w:rsid w:val="00CA71FF"/>
    <w:rsid w:val="00CB5276"/>
    <w:rsid w:val="00CB5BFC"/>
    <w:rsid w:val="00CB6141"/>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32E8C"/>
    <w:rsid w:val="00D46FAA"/>
    <w:rsid w:val="00D47A40"/>
    <w:rsid w:val="00D51D33"/>
    <w:rsid w:val="00D5660E"/>
    <w:rsid w:val="00D57BB2"/>
    <w:rsid w:val="00D57E57"/>
    <w:rsid w:val="00D67BD2"/>
    <w:rsid w:val="00D70752"/>
    <w:rsid w:val="00D80E2D"/>
    <w:rsid w:val="00D84D5E"/>
    <w:rsid w:val="00D8560E"/>
    <w:rsid w:val="00D8758F"/>
    <w:rsid w:val="00DA4EDD"/>
    <w:rsid w:val="00DA6B78"/>
    <w:rsid w:val="00DC06AE"/>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87B3C"/>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350E"/>
    <w:rsid w:val="00F277B6"/>
    <w:rsid w:val="00F27DA5"/>
    <w:rsid w:val="00F37E07"/>
    <w:rsid w:val="00F4182A"/>
    <w:rsid w:val="00F54380"/>
    <w:rsid w:val="00F54B47"/>
    <w:rsid w:val="00F61247"/>
    <w:rsid w:val="00F63191"/>
    <w:rsid w:val="00F6702E"/>
    <w:rsid w:val="00F70E84"/>
    <w:rsid w:val="00F91829"/>
    <w:rsid w:val="00FA092B"/>
    <w:rsid w:val="00FA4F6C"/>
    <w:rsid w:val="00FA6EFD"/>
    <w:rsid w:val="00FB3791"/>
    <w:rsid w:val="00FB6780"/>
    <w:rsid w:val="00FB74EA"/>
    <w:rsid w:val="00FD2C9E"/>
    <w:rsid w:val="00FD4786"/>
    <w:rsid w:val="00FD616C"/>
    <w:rsid w:val="00FE2600"/>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1AE2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244066"/>
    <w:pPr>
      <w:jc w:val="center"/>
    </w:pPr>
    <w:rPr>
      <w:rFonts w:ascii="Arial" w:hAnsi="Arial"/>
      <w:b/>
    </w:rPr>
  </w:style>
  <w:style w:type="character" w:customStyle="1" w:styleId="FootnoteTextChar">
    <w:name w:val="Footnote Text Char"/>
    <w:basedOn w:val="DefaultParagraphFont"/>
    <w:link w:val="FootnoteText"/>
    <w:uiPriority w:val="99"/>
    <w:rsid w:val="00244066"/>
  </w:style>
  <w:style w:type="paragraph" w:customStyle="1" w:styleId="First-LevelSubheading">
    <w:name w:val="First-Level Subheading"/>
    <w:basedOn w:val="Normal"/>
    <w:next w:val="BodyText"/>
    <w:qFormat/>
    <w:rsid w:val="00244066"/>
    <w:pPr>
      <w:jc w:val="both"/>
      <w:outlineLvl w:val="2"/>
    </w:pPr>
    <w:rPr>
      <w:rFonts w:ascii="Arial" w:hAnsi="Arial" w:cs="Arial"/>
      <w:b/>
      <w:bCs/>
      <w:iCs/>
      <w:szCs w:val="28"/>
    </w:rPr>
  </w:style>
  <w:style w:type="paragraph" w:styleId="BalloonText">
    <w:name w:val="Balloon Text"/>
    <w:basedOn w:val="Normal"/>
    <w:link w:val="BalloonTextChar"/>
    <w:semiHidden/>
    <w:unhideWhenUsed/>
    <w:rsid w:val="00B4151F"/>
    <w:rPr>
      <w:rFonts w:ascii="Tahoma" w:hAnsi="Tahoma" w:cs="Tahoma"/>
      <w:sz w:val="16"/>
      <w:szCs w:val="16"/>
    </w:rPr>
  </w:style>
  <w:style w:type="character" w:customStyle="1" w:styleId="BalloonTextChar">
    <w:name w:val="Balloon Text Char"/>
    <w:basedOn w:val="DefaultParagraphFont"/>
    <w:link w:val="BalloonText"/>
    <w:semiHidden/>
    <w:rsid w:val="00B4151F"/>
    <w:rPr>
      <w:rFonts w:ascii="Tahoma" w:hAnsi="Tahoma" w:cs="Tahoma"/>
      <w:sz w:val="16"/>
      <w:szCs w:val="16"/>
    </w:rPr>
  </w:style>
  <w:style w:type="character" w:styleId="CommentReference">
    <w:name w:val="annotation reference"/>
    <w:basedOn w:val="DefaultParagraphFont"/>
    <w:semiHidden/>
    <w:unhideWhenUsed/>
    <w:rsid w:val="00C51752"/>
    <w:rPr>
      <w:sz w:val="16"/>
      <w:szCs w:val="16"/>
    </w:rPr>
  </w:style>
  <w:style w:type="paragraph" w:styleId="CommentText">
    <w:name w:val="annotation text"/>
    <w:basedOn w:val="Normal"/>
    <w:link w:val="CommentTextChar"/>
    <w:semiHidden/>
    <w:unhideWhenUsed/>
    <w:rsid w:val="00C51752"/>
    <w:rPr>
      <w:sz w:val="20"/>
      <w:szCs w:val="20"/>
    </w:rPr>
  </w:style>
  <w:style w:type="character" w:customStyle="1" w:styleId="CommentTextChar">
    <w:name w:val="Comment Text Char"/>
    <w:basedOn w:val="DefaultParagraphFont"/>
    <w:link w:val="CommentText"/>
    <w:semiHidden/>
    <w:rsid w:val="00C51752"/>
  </w:style>
  <w:style w:type="paragraph" w:styleId="CommentSubject">
    <w:name w:val="annotation subject"/>
    <w:basedOn w:val="CommentText"/>
    <w:next w:val="CommentText"/>
    <w:link w:val="CommentSubjectChar"/>
    <w:semiHidden/>
    <w:unhideWhenUsed/>
    <w:rsid w:val="00C51752"/>
    <w:rPr>
      <w:b/>
      <w:bCs/>
    </w:rPr>
  </w:style>
  <w:style w:type="character" w:customStyle="1" w:styleId="CommentSubjectChar">
    <w:name w:val="Comment Subject Char"/>
    <w:basedOn w:val="CommentTextChar"/>
    <w:link w:val="CommentSubject"/>
    <w:semiHidden/>
    <w:rsid w:val="00C517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eader" Target="header8.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15</Pages>
  <Words>2083</Words>
  <Characters>11878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2020-06-29T16:04:00Z</dcterms:created>
  <dcterms:modified xsi:type="dcterms:W3CDTF">2020-06-29T20:29:00Z</dcterms:modified>
</cp:coreProperties>
</file>