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EC00F2" w:rsidP="00EC00F2">
      <w:pPr>
        <w:pStyle w:val="OrderHeading"/>
      </w:pPr>
      <w:r>
        <w:t>BEFORE THE FLORIDA PUBLIC SERVICE COMMISSION</w:t>
      </w:r>
    </w:p>
    <w:p w:rsidR="00EC00F2" w:rsidRDefault="00EC00F2" w:rsidP="00EC00F2">
      <w:pPr>
        <w:pStyle w:val="OrderBody"/>
      </w:pPr>
    </w:p>
    <w:p w:rsidR="00EC00F2" w:rsidRDefault="00EC00F2" w:rsidP="00EC00F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EC00F2" w:rsidRPr="00C63FCF" w:rsidTr="00C63FCF">
        <w:trPr>
          <w:trHeight w:val="828"/>
        </w:trPr>
        <w:tc>
          <w:tcPr>
            <w:tcW w:w="4788" w:type="dxa"/>
            <w:tcBorders>
              <w:bottom w:val="single" w:sz="8" w:space="0" w:color="auto"/>
              <w:right w:val="double" w:sz="6" w:space="0" w:color="auto"/>
            </w:tcBorders>
            <w:shd w:val="clear" w:color="auto" w:fill="auto"/>
          </w:tcPr>
          <w:p w:rsidR="00EC00F2" w:rsidRDefault="00EC00F2" w:rsidP="00C63FCF">
            <w:pPr>
              <w:pStyle w:val="OrderBody"/>
              <w:tabs>
                <w:tab w:val="center" w:pos="4320"/>
                <w:tab w:val="right" w:pos="8640"/>
              </w:tabs>
              <w:jc w:val="left"/>
            </w:pPr>
            <w:r>
              <w:t xml:space="preserve">In re: </w:t>
            </w:r>
            <w:bookmarkStart w:id="0" w:name="SSInRe"/>
            <w:bookmarkEnd w:id="0"/>
            <w:r>
              <w:t>Joint petition for approval of intermittent electric standby power agreement, by Tampa Electric Company, Duke Energy Florida, and Mosaic Fertilizer, LLC.</w:t>
            </w:r>
          </w:p>
        </w:tc>
        <w:tc>
          <w:tcPr>
            <w:tcW w:w="4788" w:type="dxa"/>
            <w:tcBorders>
              <w:left w:val="double" w:sz="6" w:space="0" w:color="auto"/>
            </w:tcBorders>
            <w:shd w:val="clear" w:color="auto" w:fill="auto"/>
          </w:tcPr>
          <w:p w:rsidR="00EC00F2" w:rsidRDefault="00EC00F2" w:rsidP="00EC00F2">
            <w:pPr>
              <w:pStyle w:val="OrderBody"/>
            </w:pPr>
            <w:r>
              <w:t xml:space="preserve">DOCKET NO. </w:t>
            </w:r>
            <w:bookmarkStart w:id="1" w:name="SSDocketNo"/>
            <w:bookmarkEnd w:id="1"/>
            <w:r>
              <w:t>20200218-EI</w:t>
            </w:r>
          </w:p>
          <w:p w:rsidR="00EC00F2" w:rsidRDefault="00EC00F2" w:rsidP="00C63FCF">
            <w:pPr>
              <w:pStyle w:val="OrderBody"/>
              <w:tabs>
                <w:tab w:val="center" w:pos="4320"/>
                <w:tab w:val="right" w:pos="8640"/>
              </w:tabs>
              <w:jc w:val="left"/>
            </w:pPr>
            <w:r>
              <w:t xml:space="preserve">ORDER NO. </w:t>
            </w:r>
            <w:bookmarkStart w:id="2" w:name="OrderNo0044"/>
            <w:r w:rsidR="0032312A">
              <w:t>PSC-2021-0044-PAA-EI</w:t>
            </w:r>
            <w:bookmarkEnd w:id="2"/>
          </w:p>
          <w:p w:rsidR="00EC00F2" w:rsidRDefault="00EC00F2" w:rsidP="00C63FCF">
            <w:pPr>
              <w:pStyle w:val="OrderBody"/>
              <w:tabs>
                <w:tab w:val="center" w:pos="4320"/>
                <w:tab w:val="right" w:pos="8640"/>
              </w:tabs>
              <w:jc w:val="left"/>
            </w:pPr>
            <w:r>
              <w:t xml:space="preserve">ISSUED: </w:t>
            </w:r>
            <w:r w:rsidR="0032312A">
              <w:t>January 25, 2021</w:t>
            </w:r>
          </w:p>
        </w:tc>
      </w:tr>
    </w:tbl>
    <w:p w:rsidR="00EC00F2" w:rsidRDefault="00EC00F2" w:rsidP="00EC00F2"/>
    <w:p w:rsidR="00EC00F2" w:rsidRDefault="00EC00F2" w:rsidP="00B67A43">
      <w:pPr>
        <w:ind w:firstLine="720"/>
        <w:jc w:val="both"/>
      </w:pPr>
      <w:bookmarkStart w:id="3" w:name="Commissioners"/>
      <w:bookmarkEnd w:id="3"/>
      <w:r>
        <w:t>The following Commissioners participated in the disposition of this matter:</w:t>
      </w:r>
    </w:p>
    <w:p w:rsidR="00EC00F2" w:rsidRDefault="00EC00F2" w:rsidP="00B67A43"/>
    <w:p w:rsidR="00EC00F2" w:rsidRDefault="00EC00F2" w:rsidP="00B67A43">
      <w:pPr>
        <w:jc w:val="center"/>
      </w:pPr>
      <w:r>
        <w:t>GARY F. CLARK, Chairman</w:t>
      </w:r>
    </w:p>
    <w:p w:rsidR="00EC00F2" w:rsidRDefault="00EC00F2" w:rsidP="00B67A43">
      <w:pPr>
        <w:jc w:val="center"/>
      </w:pPr>
      <w:r>
        <w:t>ART GRAHAM</w:t>
      </w:r>
    </w:p>
    <w:p w:rsidR="00EC00F2" w:rsidRDefault="00EC00F2" w:rsidP="00B67A43">
      <w:pPr>
        <w:jc w:val="center"/>
      </w:pPr>
      <w:r>
        <w:t>JULIE I. BROWN</w:t>
      </w:r>
    </w:p>
    <w:p w:rsidR="00EC00F2" w:rsidRDefault="00EC00F2" w:rsidP="00B67A43">
      <w:pPr>
        <w:jc w:val="center"/>
      </w:pPr>
      <w:r>
        <w:t>ANDREW GILES FAY</w:t>
      </w:r>
    </w:p>
    <w:p w:rsidR="00EC00F2" w:rsidRDefault="00EC00F2" w:rsidP="00B67A43">
      <w:pPr>
        <w:jc w:val="center"/>
      </w:pPr>
      <w:r>
        <w:t>MIKE LA ROSA</w:t>
      </w:r>
    </w:p>
    <w:p w:rsidR="00CB5276" w:rsidRDefault="00CB5276">
      <w:pPr>
        <w:pStyle w:val="OrderBody"/>
      </w:pPr>
    </w:p>
    <w:p w:rsidR="00755F99" w:rsidRPr="00755F99" w:rsidRDefault="00755F99" w:rsidP="00EC00F2">
      <w:pPr>
        <w:pStyle w:val="CenterUnderline"/>
      </w:pPr>
      <w:r w:rsidRPr="00755F99">
        <w:t>NOTICE OF PROPOSED AGENCY ACTION</w:t>
      </w:r>
    </w:p>
    <w:p w:rsidR="00EC00F2" w:rsidRDefault="00EC00F2" w:rsidP="00EC00F2">
      <w:pPr>
        <w:pStyle w:val="CenterUnderline"/>
      </w:pPr>
      <w:r>
        <w:t>ORDER</w:t>
      </w:r>
      <w:bookmarkStart w:id="4" w:name="OrderTitle"/>
      <w:r>
        <w:t xml:space="preserve"> APPROVING AMENDMENT TO TAMPA ELECTRIC COMPANY’S</w:t>
      </w:r>
    </w:p>
    <w:p w:rsidR="00EC00F2" w:rsidRDefault="00EC00F2" w:rsidP="00EC00F2">
      <w:pPr>
        <w:pStyle w:val="CenterUnderline"/>
      </w:pPr>
      <w:r>
        <w:t xml:space="preserve">INTERMITTENT ELECTRIC STANDBY AGREEMENT </w:t>
      </w:r>
      <w:bookmarkEnd w:id="4"/>
    </w:p>
    <w:p w:rsidR="00EC00F2" w:rsidRDefault="00EC00F2" w:rsidP="00EC00F2">
      <w:pPr>
        <w:pStyle w:val="CenterUnderline"/>
      </w:pPr>
    </w:p>
    <w:p w:rsidR="00EC00F2" w:rsidRDefault="00EC00F2" w:rsidP="00EC00F2">
      <w:pPr>
        <w:pStyle w:val="OrderBody"/>
      </w:pPr>
      <w:r>
        <w:t>BY THE COMMISSION:</w:t>
      </w:r>
    </w:p>
    <w:p w:rsidR="00755F99" w:rsidRDefault="00755F99" w:rsidP="00EC00F2">
      <w:pPr>
        <w:pStyle w:val="OrderBody"/>
      </w:pPr>
    </w:p>
    <w:p w:rsidR="00755F99" w:rsidRDefault="00755F99" w:rsidP="00EC00F2">
      <w:pPr>
        <w:pStyle w:val="OrderBody"/>
      </w:pPr>
      <w:r>
        <w:tab/>
        <w:t xml:space="preserve">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  </w:t>
      </w:r>
    </w:p>
    <w:p w:rsidR="00CB5276" w:rsidRPr="00EC00F2" w:rsidRDefault="00EC00F2" w:rsidP="00EC00F2">
      <w:pPr>
        <w:pStyle w:val="OrderBody"/>
        <w:jc w:val="center"/>
        <w:rPr>
          <w:u w:val="single"/>
        </w:rPr>
      </w:pPr>
      <w:bookmarkStart w:id="5" w:name="OrderText"/>
      <w:bookmarkEnd w:id="5"/>
      <w:r w:rsidRPr="00EC00F2">
        <w:rPr>
          <w:u w:val="single"/>
        </w:rPr>
        <w:t>BACKGROUND</w:t>
      </w:r>
    </w:p>
    <w:p w:rsidR="00D57E57" w:rsidRDefault="00D57E57" w:rsidP="00D57E57">
      <w:pPr>
        <w:rPr>
          <w:u w:val="single"/>
        </w:rPr>
      </w:pPr>
    </w:p>
    <w:p w:rsidR="00EC00F2" w:rsidRDefault="00EC00F2" w:rsidP="00EC00F2">
      <w:pPr>
        <w:jc w:val="both"/>
      </w:pPr>
      <w:r>
        <w:tab/>
        <w:t>On September 17, 2020, Tampa Electric Company (Tampa Electric), Duke Energy Florida, LLC (Duke), and Mosaic Fertilizer, LLC (Mosaic) (jointly Petitioners) filed a joint petition for approval of an amendment to their intermittent electric standby power agreement. The agreement was originally approved in Order No. PSC-15-0414-PAA-EI (2015 order) to allow Tampa Electric to provide intermittent standby power to Mosaic’s South Pasture Beneficiation Plant.</w:t>
      </w:r>
      <w:r>
        <w:rPr>
          <w:rStyle w:val="FootnoteReference"/>
        </w:rPr>
        <w:footnoteReference w:id="1"/>
      </w:r>
      <w:r>
        <w:t xml:space="preserve">  </w:t>
      </w:r>
      <w:r w:rsidRPr="004513CB">
        <w:t xml:space="preserve">Mosaic is in the business of </w:t>
      </w:r>
      <w:r>
        <w:t>mining and processing phosphate</w:t>
      </w:r>
      <w:r w:rsidRPr="004513CB">
        <w:t xml:space="preserve"> and manufacturing fertilizer. Mosaic has operations in the servi</w:t>
      </w:r>
      <w:r>
        <w:t>ce territories of Tampa Electri</w:t>
      </w:r>
      <w:r w:rsidRPr="004513CB">
        <w:t>c, Duke, and other utilities</w:t>
      </w:r>
      <w:r>
        <w:t xml:space="preserve"> within the state</w:t>
      </w:r>
      <w:r w:rsidRPr="004513CB">
        <w:t>.</w:t>
      </w:r>
      <w:r>
        <w:t xml:space="preserve"> We have </w:t>
      </w:r>
      <w:r w:rsidRPr="00CA4EEF">
        <w:t>jurisdiction over this matter pursuant to Sections 366.03, 366.04, 366.05, and 366.06, F</w:t>
      </w:r>
      <w:r>
        <w:t xml:space="preserve">lorida </w:t>
      </w:r>
      <w:r w:rsidRPr="00CA4EEF">
        <w:t>S</w:t>
      </w:r>
      <w:r>
        <w:t>tatutes (F.S.)</w:t>
      </w:r>
      <w:r w:rsidRPr="00CA4EEF">
        <w:t>.</w:t>
      </w:r>
    </w:p>
    <w:p w:rsidR="00EC00F2" w:rsidRDefault="00EC00F2" w:rsidP="00EC00F2">
      <w:pPr>
        <w:jc w:val="both"/>
      </w:pPr>
    </w:p>
    <w:p w:rsidR="00EC00F2" w:rsidRDefault="00EC00F2" w:rsidP="00EC00F2">
      <w:pPr>
        <w:jc w:val="center"/>
        <w:rPr>
          <w:u w:val="single"/>
        </w:rPr>
      </w:pPr>
      <w:r>
        <w:rPr>
          <w:u w:val="single"/>
        </w:rPr>
        <w:t>DECISION</w:t>
      </w:r>
    </w:p>
    <w:p w:rsidR="00EC00F2" w:rsidRDefault="00EC00F2" w:rsidP="00EC00F2">
      <w:pPr>
        <w:jc w:val="both"/>
        <w:rPr>
          <w:u w:val="single"/>
        </w:rPr>
      </w:pPr>
    </w:p>
    <w:p w:rsidR="00EC00F2" w:rsidRDefault="00EC00F2" w:rsidP="00EC00F2">
      <w:pPr>
        <w:pStyle w:val="BodyText"/>
        <w:jc w:val="both"/>
      </w:pPr>
      <w:r>
        <w:tab/>
        <w:t xml:space="preserve">The current agreement as approved in the 2015 order and the proposed amendment address the supply of electric service to certain Mosaic facilities located in Hardee County. </w:t>
      </w:r>
      <w:r w:rsidRPr="00383987">
        <w:t>Specifically, the Mosaic facilities at issue are the South Pierce Generatin</w:t>
      </w:r>
      <w:r>
        <w:t>g Facilities</w:t>
      </w:r>
      <w:r w:rsidRPr="00383987">
        <w:t xml:space="preserve"> (South </w:t>
      </w:r>
      <w:r w:rsidRPr="00383987">
        <w:lastRenderedPageBreak/>
        <w:t>Pierce), the South Pasture Beneficiation Plant (</w:t>
      </w:r>
      <w:r>
        <w:t xml:space="preserve">South </w:t>
      </w:r>
      <w:r w:rsidRPr="00383987">
        <w:t>Pasture), the Bartow Generating F</w:t>
      </w:r>
      <w:r>
        <w:t xml:space="preserve">acilities (Bartow), and the South Fort Meade Beneficiation Plant (South Fort Meade).  The current agreement allows </w:t>
      </w:r>
      <w:r w:rsidRPr="00383987">
        <w:t>Tampa Electric to provide intermittent standby power to Mosaic during infrequent p</w:t>
      </w:r>
      <w:r>
        <w:t xml:space="preserve">eriods when generation from the </w:t>
      </w:r>
      <w:r w:rsidRPr="00383987">
        <w:t>South Pierce facility is no</w:t>
      </w:r>
      <w:r>
        <w:t xml:space="preserve">t sufficient to serve the South </w:t>
      </w:r>
      <w:r w:rsidRPr="00383987">
        <w:t>Pasture</w:t>
      </w:r>
      <w:r>
        <w:t xml:space="preserve"> </w:t>
      </w:r>
      <w:r w:rsidRPr="00383987">
        <w:t>load</w:t>
      </w:r>
      <w:r>
        <w:t xml:space="preserve">. </w:t>
      </w:r>
    </w:p>
    <w:p w:rsidR="00EC00F2" w:rsidRDefault="00EC00F2" w:rsidP="00EC00F2">
      <w:pPr>
        <w:pStyle w:val="BodyText"/>
        <w:jc w:val="both"/>
      </w:pPr>
      <w:r>
        <w:tab/>
        <w:t>The proposed amendment would expand Mosaic’s ability to utilize its self-generated renewable energy to serve its own facilities by adding the provision of electricity from Mosaic’s Bartow facility, which generates power, to Mosaic’s South Fort Meade facility.  Under the proposed amendment, Tampa Electric would also provide intermittent electric standby power to Mosaic’s South Fort Meade facility when generation from the South Pierce or Bartow facilities is not sufficient.  The amendment would become</w:t>
      </w:r>
      <w:r w:rsidRPr="00383987">
        <w:t xml:space="preserve"> effective on the date of a final Commissi</w:t>
      </w:r>
      <w:r>
        <w:t>on order approving the amendment.  The proposed amendment</w:t>
      </w:r>
      <w:r w:rsidRPr="00383987">
        <w:t xml:space="preserve"> is Attachment A </w:t>
      </w:r>
      <w:r>
        <w:t>to this order</w:t>
      </w:r>
      <w:r w:rsidRPr="00383987">
        <w:t>.</w:t>
      </w:r>
    </w:p>
    <w:p w:rsidR="00EC00F2" w:rsidRDefault="00EC00F2" w:rsidP="00EC00F2">
      <w:pPr>
        <w:pStyle w:val="First-LevelSubheading"/>
        <w:rPr>
          <w:rFonts w:ascii="Times New Roman" w:hAnsi="Times New Roman" w:cs="Times New Roman"/>
          <w:b w:val="0"/>
          <w:u w:val="single"/>
        </w:rPr>
      </w:pPr>
      <w:r>
        <w:tab/>
      </w:r>
      <w:r w:rsidRPr="00EC00F2">
        <w:rPr>
          <w:rFonts w:ascii="Times New Roman" w:hAnsi="Times New Roman" w:cs="Times New Roman"/>
          <w:b w:val="0"/>
          <w:u w:val="single"/>
        </w:rPr>
        <w:t xml:space="preserve">Description of Mosaic’s Facilities </w:t>
      </w:r>
    </w:p>
    <w:p w:rsidR="00EC00F2" w:rsidRDefault="00FA2B34" w:rsidP="00EC00F2">
      <w:pPr>
        <w:pStyle w:val="BodyText"/>
        <w:jc w:val="both"/>
      </w:pPr>
      <w:r>
        <w:tab/>
      </w:r>
      <w:r w:rsidR="00EC00F2">
        <w:t xml:space="preserve">Maps of the current Mosaic facilities and the facilities and associated changes to Mosaic’s operations that would be accomplished by the proposed agreement are shown in Attachment B. </w:t>
      </w:r>
      <w:r>
        <w:t xml:space="preserve">  </w:t>
      </w:r>
      <w:r w:rsidR="00EC00F2">
        <w:t>The South Pierce and South Pasture facilities were at issue in the 2015 order; the proposed amendment addresses the provision of electricity to the Bartow and South Fort Meade facilities.</w:t>
      </w:r>
    </w:p>
    <w:p w:rsidR="00EC00F2" w:rsidRPr="00FA2B34" w:rsidRDefault="00EC00F2" w:rsidP="00EC00F2">
      <w:pPr>
        <w:pStyle w:val="Second-LevelSubheading"/>
        <w:rPr>
          <w:rFonts w:ascii="Times New Roman" w:hAnsi="Times New Roman" w:cs="Times New Roman"/>
          <w:b w:val="0"/>
          <w:i w:val="0"/>
          <w:u w:val="single"/>
        </w:rPr>
      </w:pPr>
      <w:r w:rsidRPr="00FA2B34">
        <w:rPr>
          <w:rFonts w:ascii="Times New Roman" w:hAnsi="Times New Roman" w:cs="Times New Roman"/>
          <w:b w:val="0"/>
          <w:i w:val="0"/>
          <w:u w:val="single"/>
        </w:rPr>
        <w:t>South Pierce</w:t>
      </w:r>
    </w:p>
    <w:p w:rsidR="00EC00F2" w:rsidRPr="007B2D7B" w:rsidRDefault="00FA2B34" w:rsidP="00EC00F2">
      <w:pPr>
        <w:pStyle w:val="BodyText"/>
        <w:jc w:val="both"/>
      </w:pPr>
      <w:r>
        <w:tab/>
      </w:r>
      <w:r w:rsidR="00EC00F2">
        <w:t xml:space="preserve">South Pierce is a qualifying </w:t>
      </w:r>
      <w:r w:rsidR="00EC00F2" w:rsidRPr="00B34A8F">
        <w:t>cogeneration facility</w:t>
      </w:r>
      <w:r w:rsidR="00EC00F2">
        <w:rPr>
          <w:rStyle w:val="FootnoteReference"/>
        </w:rPr>
        <w:footnoteReference w:id="2"/>
      </w:r>
      <w:r w:rsidR="00EC00F2" w:rsidRPr="00B34A8F">
        <w:t xml:space="preserve"> which consists of two steam-turbine generators that generate </w:t>
      </w:r>
      <w:r w:rsidR="00EC00F2">
        <w:t xml:space="preserve">electricity </w:t>
      </w:r>
      <w:r w:rsidR="00EC00F2" w:rsidRPr="00B34A8F">
        <w:t>from waste heat captured during the fertilizer production process.</w:t>
      </w:r>
      <w:r w:rsidR="00EC00F2">
        <w:t xml:space="preserve"> </w:t>
      </w:r>
      <w:r>
        <w:t xml:space="preserve"> </w:t>
      </w:r>
      <w:r w:rsidR="00EC00F2" w:rsidRPr="00B34A8F">
        <w:t xml:space="preserve">Mosaic uses the electricity generated to self-service the South Pierce facility and </w:t>
      </w:r>
      <w:r w:rsidR="00EC00F2">
        <w:t xml:space="preserve">directs the excess electricity generated to serve the full load of the South Pasture plant. </w:t>
      </w:r>
      <w:r>
        <w:t xml:space="preserve"> </w:t>
      </w:r>
      <w:r w:rsidR="00EC00F2">
        <w:t xml:space="preserve">As addressed in the 2015 order, in the event generation from the South Pierce facility is not sufficient to serve the South Pasture load, Tampa Electric provides standby power to the South Pierce facility. </w:t>
      </w:r>
      <w:r>
        <w:t xml:space="preserve"> </w:t>
      </w:r>
      <w:r w:rsidR="00EC00F2">
        <w:t xml:space="preserve">Tampa Electric only serves the load at South Pasture when the South Pierce cogeneration is off-line for repair or maintenance, or the combined load of the South Pierce and South Pasture facilities exceeds the output of the South Pierce cogeneration facility. </w:t>
      </w:r>
      <w:r>
        <w:t xml:space="preserve"> </w:t>
      </w:r>
      <w:r w:rsidR="00EC00F2">
        <w:t xml:space="preserve">Such intermittent electric service is characterized as standby service. The South Pierce and South Pasture plant are connected via a transmission line owned by Mosaic and located on Mosaic-owned property. </w:t>
      </w:r>
      <w:r>
        <w:t xml:space="preserve"> </w:t>
      </w:r>
      <w:r w:rsidR="00EC00F2">
        <w:t>The South Pierce facility is located in Tampa Electric’s service territory.</w:t>
      </w:r>
    </w:p>
    <w:p w:rsidR="00EC00F2" w:rsidRPr="00FA2B34" w:rsidRDefault="00EC00F2" w:rsidP="00EC00F2">
      <w:pPr>
        <w:pStyle w:val="Second-LevelSubheading"/>
        <w:rPr>
          <w:rFonts w:ascii="Times New Roman" w:hAnsi="Times New Roman" w:cs="Times New Roman"/>
          <w:b w:val="0"/>
          <w:i w:val="0"/>
          <w:u w:val="single"/>
        </w:rPr>
      </w:pPr>
      <w:r w:rsidRPr="00FA2B34">
        <w:rPr>
          <w:rFonts w:ascii="Times New Roman" w:hAnsi="Times New Roman" w:cs="Times New Roman"/>
          <w:b w:val="0"/>
          <w:i w:val="0"/>
          <w:u w:val="single"/>
        </w:rPr>
        <w:t xml:space="preserve">South Pasture </w:t>
      </w:r>
    </w:p>
    <w:p w:rsidR="00755F99" w:rsidRDefault="00FA2B34" w:rsidP="00755F99">
      <w:pPr>
        <w:pStyle w:val="BodyText"/>
        <w:jc w:val="both"/>
      </w:pPr>
      <w:r>
        <w:tab/>
      </w:r>
      <w:r w:rsidR="00EC00F2" w:rsidRPr="00B34A8F">
        <w:t xml:space="preserve">The </w:t>
      </w:r>
      <w:r w:rsidR="00EC00F2">
        <w:t xml:space="preserve">South </w:t>
      </w:r>
      <w:r w:rsidR="00EC00F2" w:rsidRPr="00B34A8F">
        <w:t xml:space="preserve">Pasture </w:t>
      </w:r>
      <w:r w:rsidR="00EC00F2">
        <w:t>p</w:t>
      </w:r>
      <w:r w:rsidR="00EC00F2" w:rsidRPr="00B34A8F">
        <w:t>lant produces fertilizer products and is currently served by</w:t>
      </w:r>
      <w:r w:rsidR="00EC00F2">
        <w:t xml:space="preserve"> Tampa Electric under the intermittent electric standby power agreement approved in the 2015 order. </w:t>
      </w:r>
      <w:r>
        <w:t xml:space="preserve"> </w:t>
      </w:r>
      <w:r w:rsidR="00EC00F2">
        <w:t xml:space="preserve">The South Pasture plant is located in Peace River Electric Cooperative’s (Peace River) service territory. Prior to approval of the current agreement, Duke provided service to the South Pasture plant because the facility requires service at transmission level and Peace River does not have transmission level facilities in the area. </w:t>
      </w:r>
      <w:r>
        <w:t xml:space="preserve"> </w:t>
      </w:r>
      <w:r w:rsidR="00EC00F2">
        <w:t xml:space="preserve">Pursuant to the current agreement, which provided for Tampa Electric to provide standby power to the South Pasture load, Duke no longer provides </w:t>
      </w:r>
      <w:r w:rsidR="00EC00F2">
        <w:lastRenderedPageBreak/>
        <w:t xml:space="preserve">standby power to the South Pasture plant, because only one utility can be connected to the Mosaic facilities at a time. </w:t>
      </w:r>
      <w:r>
        <w:t xml:space="preserve"> </w:t>
      </w:r>
      <w:r w:rsidR="00EC00F2">
        <w:t>Commission approval of the current agreement was necessary to allow Tampa Electric to provide standby service to South Pasture which is located in an area Duke is permitted to serve.</w:t>
      </w:r>
    </w:p>
    <w:p w:rsidR="00755F99" w:rsidRPr="00755F99" w:rsidRDefault="00755F99" w:rsidP="00755F99">
      <w:pPr>
        <w:rPr>
          <w:u w:val="single"/>
        </w:rPr>
      </w:pPr>
      <w:r>
        <w:tab/>
      </w:r>
      <w:r>
        <w:rPr>
          <w:u w:val="single"/>
        </w:rPr>
        <w:t>Bartow</w:t>
      </w:r>
    </w:p>
    <w:p w:rsidR="00EC00F2" w:rsidRPr="007B2D7B" w:rsidRDefault="00755F99" w:rsidP="00EC00F2">
      <w:pPr>
        <w:pStyle w:val="BodyText"/>
        <w:jc w:val="both"/>
      </w:pPr>
      <w:r>
        <w:tab/>
      </w:r>
      <w:r w:rsidR="00EC00F2">
        <w:t xml:space="preserve">Bartow is a qualifying cogneration facility which consists of two steam-turbine generators that generate renewable energy from waste heat captured during the fertilizer production process. </w:t>
      </w:r>
      <w:r w:rsidR="00FA2B34">
        <w:t xml:space="preserve"> </w:t>
      </w:r>
      <w:r w:rsidR="00EC00F2">
        <w:t xml:space="preserve">Mosaic uses the electricity generated to self-service the South Fort Meade facility and sells any excess energy to Tampa Electric under the as-available COG-1 tariff. </w:t>
      </w:r>
      <w:r w:rsidR="00EC00F2" w:rsidRPr="00127658">
        <w:t>Tampa Electric provide</w:t>
      </w:r>
      <w:r w:rsidR="00EC00F2">
        <w:t>s standby service to Bartow, which is located in Tampa Electric’s service territory.</w:t>
      </w:r>
    </w:p>
    <w:p w:rsidR="00EC00F2" w:rsidRPr="00FA2B34" w:rsidRDefault="00EC00F2" w:rsidP="00EC00F2">
      <w:pPr>
        <w:pStyle w:val="Second-LevelSubheading"/>
        <w:rPr>
          <w:rFonts w:ascii="Times New Roman" w:hAnsi="Times New Roman" w:cs="Times New Roman"/>
          <w:b w:val="0"/>
          <w:i w:val="0"/>
          <w:u w:val="single"/>
        </w:rPr>
      </w:pPr>
      <w:r w:rsidRPr="00FA2B34">
        <w:rPr>
          <w:rFonts w:ascii="Times New Roman" w:hAnsi="Times New Roman" w:cs="Times New Roman"/>
          <w:b w:val="0"/>
          <w:i w:val="0"/>
          <w:u w:val="single"/>
        </w:rPr>
        <w:t>South Fort Meade</w:t>
      </w:r>
    </w:p>
    <w:p w:rsidR="00EC00F2" w:rsidRPr="007B2D7B" w:rsidRDefault="00FA2B34" w:rsidP="00EC00F2">
      <w:pPr>
        <w:pStyle w:val="BodyText"/>
        <w:jc w:val="both"/>
      </w:pPr>
      <w:r>
        <w:tab/>
      </w:r>
      <w:r w:rsidR="00EC00F2">
        <w:t>The South Fort Meade plant produces fertilizer products and is currently served by Duke under the Interruptible General Service rate schedule.</w:t>
      </w:r>
      <w:r>
        <w:t xml:space="preserve">  </w:t>
      </w:r>
      <w:r w:rsidR="00EC00F2">
        <w:t>South Fort Meade is located in Peace River’s service territory</w:t>
      </w:r>
      <w:r w:rsidR="00EC00F2" w:rsidRPr="0031352E">
        <w:t xml:space="preserve">; however, pursuant to </w:t>
      </w:r>
      <w:r w:rsidR="00EC00F2">
        <w:t xml:space="preserve">a </w:t>
      </w:r>
      <w:r w:rsidR="00EC00F2" w:rsidRPr="0031352E">
        <w:t>territorial agreement between Duke and Peace River, Duke provi</w:t>
      </w:r>
      <w:r w:rsidR="00EC00F2">
        <w:t>des service to South Fort Meade</w:t>
      </w:r>
      <w:r w:rsidR="00EC00F2" w:rsidRPr="0031352E">
        <w:t xml:space="preserve"> because the facility requires service at transmission level.</w:t>
      </w:r>
      <w:r w:rsidR="00EC00F2">
        <w:rPr>
          <w:rStyle w:val="FootnoteReference"/>
        </w:rPr>
        <w:footnoteReference w:id="3"/>
      </w:r>
      <w:r w:rsidR="00EC00F2">
        <w:t xml:space="preserve"> </w:t>
      </w:r>
      <w:r>
        <w:t xml:space="preserve"> </w:t>
      </w:r>
      <w:r w:rsidR="00EC00F2">
        <w:t>The P</w:t>
      </w:r>
      <w:r w:rsidR="00EC00F2" w:rsidRPr="0031352E">
        <w:t xml:space="preserve">etitioners state that Peace River has read the amended agreement and Peace River's consent to approval and implementation of the amended </w:t>
      </w:r>
      <w:r w:rsidR="00EC00F2">
        <w:t>agreement is attached as Exhibit C</w:t>
      </w:r>
      <w:r w:rsidR="00EC00F2" w:rsidRPr="0031352E">
        <w:t xml:space="preserve"> to the petition.</w:t>
      </w:r>
    </w:p>
    <w:p w:rsidR="00EC00F2" w:rsidRPr="00FA2B34" w:rsidRDefault="00EC00F2" w:rsidP="00EC00F2">
      <w:pPr>
        <w:pStyle w:val="Second-LevelSubheading"/>
        <w:rPr>
          <w:rFonts w:ascii="Times New Roman" w:hAnsi="Times New Roman" w:cs="Times New Roman"/>
          <w:b w:val="0"/>
          <w:i w:val="0"/>
          <w:u w:val="single"/>
        </w:rPr>
      </w:pPr>
      <w:r w:rsidRPr="00FA2B34">
        <w:rPr>
          <w:rFonts w:ascii="Times New Roman" w:hAnsi="Times New Roman" w:cs="Times New Roman"/>
          <w:b w:val="0"/>
          <w:i w:val="0"/>
          <w:u w:val="single"/>
        </w:rPr>
        <w:t>Mosaic’s Transmission Lines</w:t>
      </w:r>
    </w:p>
    <w:p w:rsidR="00EC00F2" w:rsidRPr="007B2D7B" w:rsidRDefault="00FA2B34" w:rsidP="00EC00F2">
      <w:pPr>
        <w:pStyle w:val="BodyText"/>
        <w:jc w:val="both"/>
      </w:pPr>
      <w:r>
        <w:tab/>
      </w:r>
      <w:r w:rsidR="00EC00F2">
        <w:t>Mosaic owns a 10-mile 69 kilovolt transmission line that connects the South Pierce facility to the South Pasture facility.</w:t>
      </w:r>
      <w:r>
        <w:t xml:space="preserve">  </w:t>
      </w:r>
      <w:r w:rsidR="00EC00F2">
        <w:t xml:space="preserve">As shown in Attachment B, page 2 of 2, to the recommendation, Mosaic plans to extend this transmission line to connect the South Pierce and Bartow facilities to the South Pasture and the South Fort Meade facilities. </w:t>
      </w:r>
      <w:r>
        <w:t xml:space="preserve"> </w:t>
      </w:r>
      <w:r w:rsidR="00EC00F2">
        <w:t xml:space="preserve">Mosaic stated that they plan to have this extension, which is known as the </w:t>
      </w:r>
      <w:r w:rsidR="00EC00F2" w:rsidRPr="00ED1CA9">
        <w:rPr>
          <w:i/>
        </w:rPr>
        <w:t>South Pasture South Fort Meade Tie Line</w:t>
      </w:r>
      <w:r w:rsidR="00EC00F2">
        <w:t xml:space="preserve">, completed by the third quarter of 2021. </w:t>
      </w:r>
      <w:r>
        <w:t xml:space="preserve"> </w:t>
      </w:r>
      <w:r w:rsidR="00EC00F2" w:rsidRPr="00FA24FC">
        <w:t>The transmission line will be owned by Mosaic and solely located on Mosaic-owned property, with</w:t>
      </w:r>
      <w:r w:rsidR="00EC00F2">
        <w:t xml:space="preserve"> </w:t>
      </w:r>
      <w:r w:rsidR="00EC00F2" w:rsidRPr="00FA24FC">
        <w:t>the exception of crossings of public right of ways</w:t>
      </w:r>
      <w:r w:rsidR="00EC00F2">
        <w:t>,</w:t>
      </w:r>
      <w:r w:rsidR="00EC00F2" w:rsidRPr="00FA24FC">
        <w:t xml:space="preserve"> such as roads. This type of arrangement is referred to as self-service. </w:t>
      </w:r>
    </w:p>
    <w:p w:rsidR="00EC00F2" w:rsidRPr="00FA2B34" w:rsidRDefault="00FA2B34" w:rsidP="00EC00F2">
      <w:pPr>
        <w:pStyle w:val="First-LevelSubheading"/>
        <w:rPr>
          <w:rFonts w:ascii="Times New Roman" w:hAnsi="Times New Roman" w:cs="Times New Roman"/>
          <w:b w:val="0"/>
          <w:u w:val="single"/>
        </w:rPr>
      </w:pPr>
      <w:r>
        <w:tab/>
      </w:r>
      <w:r w:rsidR="00EC00F2" w:rsidRPr="00FA2B34">
        <w:rPr>
          <w:rFonts w:ascii="Times New Roman" w:hAnsi="Times New Roman" w:cs="Times New Roman"/>
          <w:b w:val="0"/>
          <w:u w:val="single"/>
        </w:rPr>
        <w:t>Proposed Amendment</w:t>
      </w:r>
    </w:p>
    <w:p w:rsidR="00EC00F2" w:rsidRDefault="00FA2B34" w:rsidP="00EC00F2">
      <w:pPr>
        <w:pStyle w:val="BodyText"/>
        <w:jc w:val="both"/>
      </w:pPr>
      <w:r>
        <w:tab/>
      </w:r>
      <w:r w:rsidR="00EC00F2">
        <w:t xml:space="preserve">The primary purpose of the proposed amendment is to expand Mosaic’s ability to utilize its renewable energy to serve its own facilities by connecting the Bartow generating facility, once construction of the new transmission line is complete, to the South Pasture and South Fort Meade facilities. </w:t>
      </w:r>
      <w:r>
        <w:t xml:space="preserve"> </w:t>
      </w:r>
      <w:r w:rsidR="00EC00F2">
        <w:t xml:space="preserve">If the amendment is approved and the transmission line extension completed, Tampa Electric would also be able to provide intermittent standby power to Bartow and South Fort Meade. </w:t>
      </w:r>
      <w:r>
        <w:t xml:space="preserve"> </w:t>
      </w:r>
      <w:r w:rsidR="00EC00F2">
        <w:t xml:space="preserve">Commission approval of the proposed amendment is required, because the South Fort Meade facility is currently served by Duke. </w:t>
      </w:r>
      <w:r>
        <w:t xml:space="preserve"> </w:t>
      </w:r>
      <w:r w:rsidR="00EC00F2">
        <w:t xml:space="preserve">As discussed in the 2015 order, only one utility can be connected electrically to the Mosaic facilities at a time. </w:t>
      </w:r>
    </w:p>
    <w:p w:rsidR="00EC00F2" w:rsidRDefault="00FA2B34" w:rsidP="00EC00F2">
      <w:pPr>
        <w:pStyle w:val="BodyText"/>
        <w:jc w:val="both"/>
      </w:pPr>
      <w:r>
        <w:tab/>
      </w:r>
      <w:r w:rsidR="00EC00F2">
        <w:t>The P</w:t>
      </w:r>
      <w:r w:rsidR="00EC00F2" w:rsidRPr="004E11F4">
        <w:t xml:space="preserve">etitioners explained that the infrequent circumstance under which Tampa Electric would provide standby power to the </w:t>
      </w:r>
      <w:r w:rsidR="00EC00F2">
        <w:t xml:space="preserve">South </w:t>
      </w:r>
      <w:r w:rsidR="00EC00F2" w:rsidRPr="004E11F4">
        <w:t xml:space="preserve">Pasture </w:t>
      </w:r>
      <w:r w:rsidR="00EC00F2">
        <w:t xml:space="preserve">or South Fort Meade facilities </w:t>
      </w:r>
      <w:r w:rsidR="00EC00F2" w:rsidRPr="004E11F4">
        <w:t xml:space="preserve">is when the </w:t>
      </w:r>
      <w:r w:rsidR="00EC00F2">
        <w:lastRenderedPageBreak/>
        <w:t xml:space="preserve">generating </w:t>
      </w:r>
      <w:r w:rsidR="00EC00F2" w:rsidRPr="004E11F4">
        <w:t>South Pierce</w:t>
      </w:r>
      <w:r w:rsidR="00EC00F2">
        <w:t xml:space="preserve"> or Bartow facilities are</w:t>
      </w:r>
      <w:r w:rsidR="00EC00F2" w:rsidRPr="004E11F4">
        <w:t xml:space="preserve"> de-rated or offline for repair or maintenance</w:t>
      </w:r>
      <w:r w:rsidR="00EC00F2">
        <w:t>,</w:t>
      </w:r>
      <w:r w:rsidR="00EC00F2" w:rsidRPr="004E11F4">
        <w:t xml:space="preserve"> or when the</w:t>
      </w:r>
      <w:r w:rsidR="00EC00F2">
        <w:t xml:space="preserve"> South Pasture or South Fort Meade </w:t>
      </w:r>
      <w:r w:rsidR="00EC00F2" w:rsidRPr="004E11F4">
        <w:t xml:space="preserve">load exceeds the output of the South Pierce </w:t>
      </w:r>
      <w:r w:rsidR="00EC00F2">
        <w:t>and Bartow facilities</w:t>
      </w:r>
      <w:r w:rsidR="00EC00F2" w:rsidRPr="004E11F4">
        <w:t>.</w:t>
      </w:r>
    </w:p>
    <w:p w:rsidR="00EC00F2" w:rsidRDefault="00FA2B34" w:rsidP="00EC00F2">
      <w:pPr>
        <w:pStyle w:val="BodyText"/>
        <w:jc w:val="both"/>
      </w:pPr>
      <w:r>
        <w:tab/>
      </w:r>
      <w:r w:rsidR="00EC00F2">
        <w:t>The current and the proposed agreement include</w:t>
      </w:r>
      <w:r>
        <w:t>s</w:t>
      </w:r>
      <w:r w:rsidR="00EC00F2">
        <w:t xml:space="preserve"> a 3,500 Megawatt-hour annual cap on the amount of standby power Tampa Electric can provide to Mosaic. </w:t>
      </w:r>
      <w:r>
        <w:t xml:space="preserve"> </w:t>
      </w:r>
      <w:r w:rsidR="00EC00F2">
        <w:t xml:space="preserve">If the cap is exceeded, Mosaic would disconnect the South Pasture and South Fort Meade facilities from its generation facilities and connect the two facilities to Duke. </w:t>
      </w:r>
      <w:r>
        <w:t xml:space="preserve"> </w:t>
      </w:r>
      <w:r w:rsidR="00EC00F2">
        <w:t xml:space="preserve">The purpose of the negotiated cap is to ensure that Tampa Electric’s standby service is infrequent and intermittent. </w:t>
      </w:r>
      <w:r>
        <w:t xml:space="preserve"> </w:t>
      </w:r>
      <w:r w:rsidR="00EC00F2">
        <w:t>Once Mosaic has purchased a certain amount of electricity from Duke as outlined in paragraph 6 of the proposed agreement, Mosaic will reconnect its facilities and the cap will be reset to zero.</w:t>
      </w:r>
    </w:p>
    <w:p w:rsidR="00EC00F2" w:rsidRDefault="00FA2B34" w:rsidP="00EC00F2">
      <w:pPr>
        <w:pStyle w:val="IssueHeading"/>
        <w:rPr>
          <w:rFonts w:ascii="Times New Roman" w:hAnsi="Times New Roman" w:cs="Times New Roman"/>
          <w:b w:val="0"/>
          <w:i w:val="0"/>
        </w:rPr>
      </w:pPr>
      <w:r>
        <w:rPr>
          <w:rFonts w:ascii="Times New Roman" w:hAnsi="Times New Roman" w:cs="Times New Roman"/>
          <w:b w:val="0"/>
          <w:i w:val="0"/>
        </w:rPr>
        <w:tab/>
      </w:r>
      <w:r w:rsidR="00EC00F2">
        <w:rPr>
          <w:rFonts w:ascii="Times New Roman" w:hAnsi="Times New Roman" w:cs="Times New Roman"/>
          <w:b w:val="0"/>
          <w:i w:val="0"/>
        </w:rPr>
        <w:t>As noted in the 2015 order, t</w:t>
      </w:r>
      <w:r w:rsidR="00EC00F2" w:rsidRPr="004E11F4">
        <w:rPr>
          <w:rFonts w:ascii="Times New Roman" w:hAnsi="Times New Roman" w:cs="Times New Roman"/>
          <w:b w:val="0"/>
          <w:i w:val="0"/>
        </w:rPr>
        <w:t xml:space="preserve">he </w:t>
      </w:r>
      <w:r w:rsidR="00EC00F2">
        <w:rPr>
          <w:rFonts w:ascii="Times New Roman" w:hAnsi="Times New Roman" w:cs="Times New Roman"/>
          <w:b w:val="0"/>
          <w:i w:val="0"/>
        </w:rPr>
        <w:t xml:space="preserve">Florida </w:t>
      </w:r>
      <w:r w:rsidR="00EC00F2" w:rsidRPr="004E11F4">
        <w:rPr>
          <w:rFonts w:ascii="Times New Roman" w:hAnsi="Times New Roman" w:cs="Times New Roman"/>
          <w:b w:val="0"/>
          <w:i w:val="0"/>
        </w:rPr>
        <w:t>Supreme Court found that an individual does not have the right to service by a particular utility merely because the individual deems it advantageous</w:t>
      </w:r>
      <w:r w:rsidR="00EC00F2">
        <w:rPr>
          <w:rFonts w:ascii="Times New Roman" w:hAnsi="Times New Roman" w:cs="Times New Roman"/>
          <w:b w:val="0"/>
          <w:i w:val="0"/>
        </w:rPr>
        <w:t>.</w:t>
      </w:r>
      <w:r w:rsidR="00EC00F2">
        <w:rPr>
          <w:rStyle w:val="FootnoteReference"/>
          <w:rFonts w:ascii="Times New Roman" w:hAnsi="Times New Roman" w:cs="Times New Roman"/>
          <w:b w:val="0"/>
          <w:i w:val="0"/>
        </w:rPr>
        <w:footnoteReference w:id="4"/>
      </w:r>
      <w:r w:rsidR="00EC00F2">
        <w:rPr>
          <w:rFonts w:ascii="Times New Roman" w:hAnsi="Times New Roman" w:cs="Times New Roman"/>
          <w:b w:val="0"/>
          <w:i w:val="0"/>
        </w:rPr>
        <w:t xml:space="preserve"> </w:t>
      </w:r>
      <w:r>
        <w:rPr>
          <w:rFonts w:ascii="Times New Roman" w:hAnsi="Times New Roman" w:cs="Times New Roman"/>
          <w:b w:val="0"/>
          <w:i w:val="0"/>
        </w:rPr>
        <w:t xml:space="preserve"> </w:t>
      </w:r>
      <w:r w:rsidR="00EC00F2" w:rsidRPr="004E11F4">
        <w:rPr>
          <w:rFonts w:ascii="Times New Roman" w:hAnsi="Times New Roman" w:cs="Times New Roman"/>
          <w:b w:val="0"/>
          <w:i w:val="0"/>
        </w:rPr>
        <w:t xml:space="preserve">However, the proposed </w:t>
      </w:r>
      <w:r w:rsidR="00EC00F2">
        <w:rPr>
          <w:rFonts w:ascii="Times New Roman" w:hAnsi="Times New Roman" w:cs="Times New Roman"/>
          <w:b w:val="0"/>
          <w:i w:val="0"/>
        </w:rPr>
        <w:t xml:space="preserve">amendment to the </w:t>
      </w:r>
      <w:r w:rsidR="00EC00F2" w:rsidRPr="004E11F4">
        <w:rPr>
          <w:rFonts w:ascii="Times New Roman" w:hAnsi="Times New Roman" w:cs="Times New Roman"/>
          <w:b w:val="0"/>
          <w:i w:val="0"/>
        </w:rPr>
        <w:t xml:space="preserve">agreement for intermittent standby power is confined to unique and limited circumstances as presented by the facts of this case. </w:t>
      </w:r>
      <w:r>
        <w:rPr>
          <w:rFonts w:ascii="Times New Roman" w:hAnsi="Times New Roman" w:cs="Times New Roman"/>
          <w:b w:val="0"/>
          <w:i w:val="0"/>
        </w:rPr>
        <w:t xml:space="preserve"> </w:t>
      </w:r>
      <w:r w:rsidR="00EC00F2" w:rsidRPr="004E11F4">
        <w:rPr>
          <w:rFonts w:ascii="Times New Roman" w:hAnsi="Times New Roman" w:cs="Times New Roman"/>
          <w:b w:val="0"/>
          <w:i w:val="0"/>
        </w:rPr>
        <w:t xml:space="preserve">The </w:t>
      </w:r>
      <w:r w:rsidR="00EC00F2">
        <w:rPr>
          <w:rFonts w:ascii="Times New Roman" w:hAnsi="Times New Roman" w:cs="Times New Roman"/>
          <w:b w:val="0"/>
          <w:i w:val="0"/>
        </w:rPr>
        <w:t xml:space="preserve">amended </w:t>
      </w:r>
      <w:r w:rsidR="00EC00F2" w:rsidRPr="004E11F4">
        <w:rPr>
          <w:rFonts w:ascii="Times New Roman" w:hAnsi="Times New Roman" w:cs="Times New Roman"/>
          <w:b w:val="0"/>
          <w:i w:val="0"/>
        </w:rPr>
        <w:t xml:space="preserve">agreement maintains the current territorial boundaries for Tampa Electric and Duke, while allowing Mosaic to self-generate power to serve </w:t>
      </w:r>
      <w:r w:rsidR="00EC00F2">
        <w:rPr>
          <w:rFonts w:ascii="Times New Roman" w:hAnsi="Times New Roman" w:cs="Times New Roman"/>
          <w:b w:val="0"/>
          <w:i w:val="0"/>
        </w:rPr>
        <w:t>its</w:t>
      </w:r>
      <w:r w:rsidR="00EC00F2" w:rsidRPr="004E11F4">
        <w:rPr>
          <w:rFonts w:ascii="Times New Roman" w:hAnsi="Times New Roman" w:cs="Times New Roman"/>
          <w:b w:val="0"/>
          <w:i w:val="0"/>
        </w:rPr>
        <w:t xml:space="preserve"> </w:t>
      </w:r>
      <w:r w:rsidR="00EC00F2">
        <w:rPr>
          <w:rFonts w:ascii="Times New Roman" w:hAnsi="Times New Roman" w:cs="Times New Roman"/>
          <w:b w:val="0"/>
          <w:i w:val="0"/>
        </w:rPr>
        <w:t xml:space="preserve">South </w:t>
      </w:r>
      <w:r w:rsidR="00EC00F2" w:rsidRPr="004E11F4">
        <w:rPr>
          <w:rFonts w:ascii="Times New Roman" w:hAnsi="Times New Roman" w:cs="Times New Roman"/>
          <w:b w:val="0"/>
          <w:i w:val="0"/>
        </w:rPr>
        <w:t xml:space="preserve">Pasture </w:t>
      </w:r>
      <w:r w:rsidR="00EC00F2">
        <w:rPr>
          <w:rFonts w:ascii="Times New Roman" w:hAnsi="Times New Roman" w:cs="Times New Roman"/>
          <w:b w:val="0"/>
          <w:i w:val="0"/>
        </w:rPr>
        <w:t xml:space="preserve">and South Fort Meade </w:t>
      </w:r>
      <w:r w:rsidR="00EC00F2" w:rsidRPr="004E11F4">
        <w:rPr>
          <w:rFonts w:ascii="Times New Roman" w:hAnsi="Times New Roman" w:cs="Times New Roman"/>
          <w:b w:val="0"/>
          <w:i w:val="0"/>
        </w:rPr>
        <w:t>load</w:t>
      </w:r>
      <w:r w:rsidR="00EC00F2">
        <w:rPr>
          <w:rFonts w:ascii="Times New Roman" w:hAnsi="Times New Roman" w:cs="Times New Roman"/>
          <w:b w:val="0"/>
          <w:i w:val="0"/>
        </w:rPr>
        <w:t>s</w:t>
      </w:r>
      <w:r w:rsidR="00EC00F2" w:rsidRPr="004E11F4">
        <w:rPr>
          <w:rFonts w:ascii="Times New Roman" w:hAnsi="Times New Roman" w:cs="Times New Roman"/>
          <w:b w:val="0"/>
          <w:i w:val="0"/>
        </w:rPr>
        <w:t>.</w:t>
      </w:r>
    </w:p>
    <w:p w:rsidR="00EC00F2" w:rsidRDefault="00FA2B34" w:rsidP="00EC00F2">
      <w:pPr>
        <w:jc w:val="both"/>
      </w:pPr>
      <w:r>
        <w:tab/>
      </w:r>
      <w:r w:rsidR="00DE4A31">
        <w:t>Based on the facts presented above, we find that t</w:t>
      </w:r>
      <w:r w:rsidR="00DE4A31" w:rsidRPr="004E11F4">
        <w:t xml:space="preserve">he proposed </w:t>
      </w:r>
      <w:r w:rsidR="00DE4A31">
        <w:t xml:space="preserve">amended </w:t>
      </w:r>
      <w:r w:rsidR="00DE4A31" w:rsidRPr="004E11F4">
        <w:t xml:space="preserve">agreement is consistent with </w:t>
      </w:r>
      <w:r w:rsidR="00DE4A31">
        <w:t xml:space="preserve">our </w:t>
      </w:r>
      <w:r w:rsidR="00DE4A31" w:rsidRPr="004E11F4">
        <w:t xml:space="preserve">policy of encouraging agreements, promotes renewable energy, and has no immediate impact on Tampa Electric's and Duke's general body of ratepayers. </w:t>
      </w:r>
      <w:r w:rsidR="00DE4A31">
        <w:t xml:space="preserve"> Therefore, we  approve </w:t>
      </w:r>
      <w:r w:rsidR="00EC00F2" w:rsidRPr="00EE152D">
        <w:t>the proposed amendment to the current intermittent electric standby power agreement between Tampa Electric, Duke, and Mosaic</w:t>
      </w:r>
      <w:r w:rsidR="00EC00F2">
        <w:t xml:space="preserve">, </w:t>
      </w:r>
      <w:r w:rsidR="00EC00F2" w:rsidRPr="00EE152D">
        <w:t xml:space="preserve">effective on the date </w:t>
      </w:r>
      <w:r w:rsidR="00DE4A31">
        <w:t>our order approving the amendment becomes final</w:t>
      </w:r>
      <w:r w:rsidR="00EC00F2" w:rsidRPr="00EE152D">
        <w:t xml:space="preserve">. </w:t>
      </w:r>
      <w:r w:rsidR="00DE4A31">
        <w:t xml:space="preserve"> </w:t>
      </w:r>
    </w:p>
    <w:p w:rsidR="00DE4A31" w:rsidRDefault="00DE4A31" w:rsidP="00EC00F2">
      <w:pPr>
        <w:jc w:val="both"/>
      </w:pPr>
    </w:p>
    <w:p w:rsidR="00DE4A31" w:rsidRDefault="00DE4A31" w:rsidP="00EC00F2">
      <w:pPr>
        <w:jc w:val="both"/>
      </w:pPr>
      <w:r>
        <w:tab/>
        <w:t>Based on the foregoing, it is</w:t>
      </w:r>
    </w:p>
    <w:p w:rsidR="00DE4A31" w:rsidRDefault="00DE4A31" w:rsidP="00EC00F2">
      <w:pPr>
        <w:jc w:val="both"/>
      </w:pPr>
    </w:p>
    <w:p w:rsidR="00DE4A31" w:rsidRDefault="00DE4A31" w:rsidP="00EC00F2">
      <w:pPr>
        <w:jc w:val="both"/>
      </w:pPr>
      <w:r>
        <w:tab/>
        <w:t>ORDERED by the Florida Public Service Commission that the proposed amendment</w:t>
      </w:r>
      <w:r w:rsidRPr="00383987">
        <w:t xml:space="preserve"> </w:t>
      </w:r>
      <w:r>
        <w:t>to the intermittent electric standby power agreement, found in</w:t>
      </w:r>
      <w:r w:rsidRPr="00383987">
        <w:t xml:space="preserve"> Attachment A </w:t>
      </w:r>
      <w:r>
        <w:t>to this order, is hereby approved</w:t>
      </w:r>
      <w:r w:rsidR="007F695B">
        <w:t xml:space="preserve"> effective on the date that this order becomes final</w:t>
      </w:r>
      <w:r>
        <w:t>.  It is further</w:t>
      </w:r>
    </w:p>
    <w:p w:rsidR="00DE4A31" w:rsidRDefault="00DE4A31" w:rsidP="00EC00F2">
      <w:pPr>
        <w:jc w:val="both"/>
      </w:pPr>
    </w:p>
    <w:p w:rsidR="00DE4A31" w:rsidRDefault="00DE4A31" w:rsidP="00EC00F2">
      <w:pPr>
        <w:jc w:val="both"/>
      </w:pPr>
      <w:r>
        <w:tab/>
        <w:t xml:space="preserve">ORDERED that </w:t>
      </w:r>
      <w:r w:rsidR="00755F99">
        <w:t>the provisions of this order, issued as proposed agency action, shall become final and effective upon the issuance of a Consummating Order unless an appropriate petition, in the form provided by Rule 28-106.201, Florida Administrative Code, is received the Commission Clerk, 2540 Shumard Oak Boulevard</w:t>
      </w:r>
      <w:r w:rsidR="007F695B">
        <w:t>, Tallahassee, Florida 32399-0850, by the close of business on the date set forth in the “Notice of Further Proceedings” attached hereto.  Is is further</w:t>
      </w:r>
    </w:p>
    <w:p w:rsidR="007F695B" w:rsidRDefault="007F695B" w:rsidP="00EC00F2">
      <w:pPr>
        <w:jc w:val="both"/>
      </w:pPr>
    </w:p>
    <w:p w:rsidR="007F695B" w:rsidRPr="00EC00F2" w:rsidRDefault="007F695B" w:rsidP="00EC00F2">
      <w:pPr>
        <w:jc w:val="both"/>
      </w:pPr>
      <w:r>
        <w:tab/>
        <w:t xml:space="preserve">ORDERED that </w:t>
      </w:r>
      <w:r w:rsidR="008115A3">
        <w:t>upon the issuance of a Consummating Order</w:t>
      </w:r>
      <w:r>
        <w:t xml:space="preserve">, this docket shall be closed.  </w:t>
      </w:r>
    </w:p>
    <w:p w:rsidR="00EC00F2" w:rsidRDefault="00EC00F2">
      <w:pPr>
        <w:jc w:val="both"/>
      </w:pPr>
    </w:p>
    <w:p w:rsidR="007F695B" w:rsidRDefault="007F695B" w:rsidP="007F695B">
      <w:pPr>
        <w:keepNext/>
        <w:keepLines/>
        <w:jc w:val="both"/>
      </w:pPr>
      <w:r>
        <w:lastRenderedPageBreak/>
        <w:tab/>
        <w:t xml:space="preserve">By ORDER of the Florida Public Service Commission this </w:t>
      </w:r>
      <w:bookmarkStart w:id="6" w:name="replaceDate"/>
      <w:bookmarkEnd w:id="6"/>
      <w:r w:rsidR="0032312A">
        <w:rPr>
          <w:u w:val="single"/>
        </w:rPr>
        <w:t>25th</w:t>
      </w:r>
      <w:r w:rsidR="0032312A">
        <w:t xml:space="preserve"> day of </w:t>
      </w:r>
      <w:r w:rsidR="0032312A">
        <w:rPr>
          <w:u w:val="single"/>
        </w:rPr>
        <w:t>January</w:t>
      </w:r>
      <w:r w:rsidR="0032312A">
        <w:t xml:space="preserve">, </w:t>
      </w:r>
      <w:r w:rsidR="0032312A">
        <w:rPr>
          <w:u w:val="single"/>
        </w:rPr>
        <w:t>2021</w:t>
      </w:r>
      <w:r w:rsidR="0032312A">
        <w:t>.</w:t>
      </w:r>
    </w:p>
    <w:p w:rsidR="0032312A" w:rsidRPr="0032312A" w:rsidRDefault="0032312A" w:rsidP="007F695B">
      <w:pPr>
        <w:keepNext/>
        <w:keepLines/>
        <w:jc w:val="both"/>
      </w:pPr>
    </w:p>
    <w:p w:rsidR="007F695B" w:rsidRDefault="007F695B" w:rsidP="007F695B">
      <w:pPr>
        <w:keepNext/>
        <w:keepLines/>
        <w:jc w:val="both"/>
      </w:pPr>
    </w:p>
    <w:p w:rsidR="007F695B" w:rsidRDefault="007F695B" w:rsidP="007F695B">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7F695B" w:rsidTr="007F695B">
        <w:tc>
          <w:tcPr>
            <w:tcW w:w="720" w:type="dxa"/>
            <w:shd w:val="clear" w:color="auto" w:fill="auto"/>
          </w:tcPr>
          <w:p w:rsidR="007F695B" w:rsidRDefault="007F695B" w:rsidP="007F695B">
            <w:pPr>
              <w:keepNext/>
              <w:keepLines/>
              <w:jc w:val="both"/>
            </w:pPr>
            <w:bookmarkStart w:id="7" w:name="bkmrkSignature" w:colFirst="0" w:colLast="0"/>
          </w:p>
        </w:tc>
        <w:tc>
          <w:tcPr>
            <w:tcW w:w="4320" w:type="dxa"/>
            <w:tcBorders>
              <w:bottom w:val="single" w:sz="4" w:space="0" w:color="auto"/>
            </w:tcBorders>
            <w:shd w:val="clear" w:color="auto" w:fill="auto"/>
          </w:tcPr>
          <w:p w:rsidR="007F695B" w:rsidRDefault="00D92DD1" w:rsidP="007F695B">
            <w:pPr>
              <w:keepNext/>
              <w:keepLines/>
              <w:jc w:val="both"/>
            </w:pPr>
            <w:r>
              <w:t>/s/ Adam J. Teitzman</w:t>
            </w:r>
            <w:bookmarkStart w:id="8" w:name="_GoBack"/>
            <w:bookmarkEnd w:id="8"/>
          </w:p>
        </w:tc>
      </w:tr>
      <w:bookmarkEnd w:id="7"/>
      <w:tr w:rsidR="007F695B" w:rsidTr="007F695B">
        <w:tc>
          <w:tcPr>
            <w:tcW w:w="720" w:type="dxa"/>
            <w:shd w:val="clear" w:color="auto" w:fill="auto"/>
          </w:tcPr>
          <w:p w:rsidR="007F695B" w:rsidRDefault="007F695B" w:rsidP="007F695B">
            <w:pPr>
              <w:keepNext/>
              <w:keepLines/>
              <w:jc w:val="both"/>
            </w:pPr>
          </w:p>
        </w:tc>
        <w:tc>
          <w:tcPr>
            <w:tcW w:w="4320" w:type="dxa"/>
            <w:tcBorders>
              <w:top w:val="single" w:sz="4" w:space="0" w:color="auto"/>
            </w:tcBorders>
            <w:shd w:val="clear" w:color="auto" w:fill="auto"/>
          </w:tcPr>
          <w:p w:rsidR="007F695B" w:rsidRDefault="007F695B" w:rsidP="007F695B">
            <w:pPr>
              <w:keepNext/>
              <w:keepLines/>
              <w:jc w:val="both"/>
            </w:pPr>
            <w:r>
              <w:t>ADAM J. TEITZMAN</w:t>
            </w:r>
          </w:p>
          <w:p w:rsidR="007F695B" w:rsidRDefault="007F695B" w:rsidP="007F695B">
            <w:pPr>
              <w:keepNext/>
              <w:keepLines/>
              <w:jc w:val="both"/>
            </w:pPr>
            <w:r>
              <w:t>Commission Clerk</w:t>
            </w:r>
          </w:p>
        </w:tc>
      </w:tr>
    </w:tbl>
    <w:p w:rsidR="007F695B" w:rsidRDefault="007F695B" w:rsidP="007F695B">
      <w:pPr>
        <w:pStyle w:val="OrderSigInfo"/>
        <w:keepNext/>
        <w:keepLines/>
      </w:pPr>
      <w:r>
        <w:t>Florida Public Service Commission</w:t>
      </w:r>
    </w:p>
    <w:p w:rsidR="007F695B" w:rsidRDefault="007F695B" w:rsidP="007F695B">
      <w:pPr>
        <w:pStyle w:val="OrderSigInfo"/>
        <w:keepNext/>
        <w:keepLines/>
      </w:pPr>
      <w:r>
        <w:t>2540 Shumard Oak Boulevard</w:t>
      </w:r>
    </w:p>
    <w:p w:rsidR="007F695B" w:rsidRDefault="007F695B" w:rsidP="007F695B">
      <w:pPr>
        <w:pStyle w:val="OrderSigInfo"/>
        <w:keepNext/>
        <w:keepLines/>
      </w:pPr>
      <w:r>
        <w:t>Tallahassee, Florida 32399</w:t>
      </w:r>
    </w:p>
    <w:p w:rsidR="007F695B" w:rsidRDefault="007F695B" w:rsidP="007F695B">
      <w:pPr>
        <w:pStyle w:val="OrderSigInfo"/>
        <w:keepNext/>
        <w:keepLines/>
      </w:pPr>
      <w:r>
        <w:t>(850) 413</w:t>
      </w:r>
      <w:r>
        <w:noBreakHyphen/>
        <w:t>6770</w:t>
      </w:r>
    </w:p>
    <w:p w:rsidR="007F695B" w:rsidRDefault="007F695B" w:rsidP="007F695B">
      <w:pPr>
        <w:pStyle w:val="OrderSigInfo"/>
        <w:keepNext/>
        <w:keepLines/>
      </w:pPr>
      <w:r>
        <w:t>www.floridapsc.com</w:t>
      </w:r>
    </w:p>
    <w:p w:rsidR="007F695B" w:rsidRDefault="007F695B" w:rsidP="007F695B">
      <w:pPr>
        <w:pStyle w:val="OrderSigInfo"/>
        <w:keepNext/>
        <w:keepLines/>
      </w:pPr>
    </w:p>
    <w:p w:rsidR="007F695B" w:rsidRDefault="007F695B" w:rsidP="007F695B">
      <w:pPr>
        <w:pStyle w:val="OrderSigInfo"/>
        <w:keepNext/>
        <w:keepLines/>
      </w:pPr>
      <w:r>
        <w:t>Copies furnished:  A copy of this document is provided to the parties of record at the time of issuance and, if applicable, interested persons.</w:t>
      </w:r>
    </w:p>
    <w:p w:rsidR="007F695B" w:rsidRDefault="007F695B" w:rsidP="007F695B">
      <w:pPr>
        <w:pStyle w:val="OrderBody"/>
      </w:pPr>
    </w:p>
    <w:p w:rsidR="007F695B" w:rsidRDefault="007F695B" w:rsidP="007F695B">
      <w:pPr>
        <w:pStyle w:val="OrderBody"/>
      </w:pPr>
      <w:r>
        <w:t>SBr</w:t>
      </w:r>
    </w:p>
    <w:p w:rsidR="007F695B" w:rsidRDefault="007F695B" w:rsidP="007F695B">
      <w:pPr>
        <w:pStyle w:val="OrderBody"/>
      </w:pPr>
    </w:p>
    <w:p w:rsidR="007F695B" w:rsidRDefault="007F695B" w:rsidP="007F695B">
      <w:pPr>
        <w:pStyle w:val="CenterUnderline"/>
      </w:pPr>
      <w:r>
        <w:t>NOTICE OF FURTHER PROCEEDINGS OR JUDICIAL REVIEW</w:t>
      </w:r>
    </w:p>
    <w:p w:rsidR="007F695B" w:rsidRDefault="007F695B" w:rsidP="007F695B">
      <w:pPr>
        <w:pStyle w:val="CenterUnderline"/>
      </w:pPr>
    </w:p>
    <w:p w:rsidR="007F695B" w:rsidRDefault="007F695B" w:rsidP="007F695B">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7F695B" w:rsidRDefault="007F695B" w:rsidP="007F695B">
      <w:pPr>
        <w:pStyle w:val="OrderBody"/>
      </w:pPr>
    </w:p>
    <w:p w:rsidR="007F695B" w:rsidRDefault="007F695B" w:rsidP="007F695B">
      <w:pPr>
        <w:pStyle w:val="OrderBody"/>
      </w:pPr>
      <w:r>
        <w:tab/>
        <w:t>Mediation may be available on a case-by-case basis.  If mediation is conducted, it does not affect a substantially interested person's right to a hearing.</w:t>
      </w:r>
    </w:p>
    <w:p w:rsidR="007F695B" w:rsidRDefault="007F695B" w:rsidP="007F695B">
      <w:pPr>
        <w:pStyle w:val="OrderBody"/>
      </w:pPr>
    </w:p>
    <w:p w:rsidR="007F695B" w:rsidRDefault="007F695B" w:rsidP="007F695B">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32312A">
        <w:rPr>
          <w:u w:val="single"/>
        </w:rPr>
        <w:t>February 15, 2021</w:t>
      </w:r>
      <w:r>
        <w:t>.</w:t>
      </w:r>
    </w:p>
    <w:p w:rsidR="007F695B" w:rsidRDefault="007F695B" w:rsidP="007F695B">
      <w:pPr>
        <w:pStyle w:val="OrderBody"/>
      </w:pPr>
    </w:p>
    <w:p w:rsidR="007F695B" w:rsidRDefault="007F695B" w:rsidP="007F695B">
      <w:pPr>
        <w:pStyle w:val="OrderBody"/>
      </w:pPr>
      <w:r>
        <w:tab/>
        <w:t>In the absence of such a petition, this order shall become final and effective upon the issuance of a Consummating Order.</w:t>
      </w:r>
    </w:p>
    <w:p w:rsidR="007F695B" w:rsidRDefault="007F695B" w:rsidP="007F695B">
      <w:pPr>
        <w:pStyle w:val="OrderBody"/>
      </w:pPr>
    </w:p>
    <w:p w:rsidR="007F695B" w:rsidRDefault="007F695B" w:rsidP="007F695B">
      <w:pPr>
        <w:pStyle w:val="OrderBody"/>
      </w:pPr>
      <w:r>
        <w:tab/>
        <w:t>Any objection or protest filed in this/these docket(s) before the issuance date of this order is considered abandoned unless it satisfies the foregoing conditions and is renewed within the specified protest period.</w:t>
      </w:r>
    </w:p>
    <w:p w:rsidR="00E14DF9" w:rsidRDefault="00E14DF9" w:rsidP="007F695B">
      <w:pPr>
        <w:pStyle w:val="OrderBody"/>
      </w:pPr>
    </w:p>
    <w:p w:rsidR="0030793E" w:rsidRDefault="0030793E" w:rsidP="007F695B">
      <w:pPr>
        <w:pStyle w:val="OrderBody"/>
      </w:pPr>
    </w:p>
    <w:p w:rsidR="0030793E" w:rsidRDefault="0030793E" w:rsidP="007F695B">
      <w:pPr>
        <w:pStyle w:val="OrderBody"/>
      </w:pPr>
    </w:p>
    <w:p w:rsidR="00E14DF9" w:rsidRDefault="00DE6FB4" w:rsidP="007F695B">
      <w:pPr>
        <w:pStyle w:val="OrderBody"/>
      </w:pPr>
      <w:r>
        <w:lastRenderedPageBreak/>
        <w:tab/>
      </w:r>
      <w:r>
        <w:tab/>
      </w:r>
      <w:r>
        <w:tab/>
      </w:r>
      <w:r>
        <w:tab/>
      </w:r>
      <w:r>
        <w:tab/>
      </w:r>
      <w:r>
        <w:tab/>
      </w:r>
      <w:r>
        <w:tab/>
      </w:r>
      <w:r>
        <w:tab/>
      </w:r>
      <w:r>
        <w:tab/>
        <w:t>ATTACHMENT A</w:t>
      </w:r>
    </w:p>
    <w:p w:rsidR="00E14DF9" w:rsidRDefault="00E14DF9" w:rsidP="007F695B">
      <w:pPr>
        <w:pStyle w:val="OrderBody"/>
      </w:pPr>
      <w:r>
        <w:rPr>
          <w:noProof/>
        </w:rPr>
        <w:drawing>
          <wp:inline distT="0" distB="0" distL="0" distR="0" wp14:anchorId="69905D6E" wp14:editId="625D31AE">
            <wp:extent cx="5943600" cy="76739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p>
    <w:p w:rsidR="00DE6FB4" w:rsidRDefault="00DE6FB4" w:rsidP="007F695B">
      <w:pPr>
        <w:pStyle w:val="OrderBody"/>
      </w:pPr>
    </w:p>
    <w:p w:rsidR="00DE6FB4" w:rsidRDefault="00DE6FB4" w:rsidP="007F695B">
      <w:pPr>
        <w:pStyle w:val="OrderBody"/>
      </w:pPr>
      <w:r>
        <w:rPr>
          <w:noProof/>
        </w:rPr>
        <w:drawing>
          <wp:inline distT="0" distB="0" distL="0" distR="0" wp14:anchorId="100358F2" wp14:editId="6B77EE0A">
            <wp:extent cx="5943600" cy="76739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p>
    <w:p w:rsidR="00DE6FB4" w:rsidRDefault="00DE6FB4" w:rsidP="007F695B">
      <w:pPr>
        <w:pStyle w:val="OrderBody"/>
      </w:pPr>
    </w:p>
    <w:p w:rsidR="00DE6FB4" w:rsidRDefault="00DE6FB4" w:rsidP="007F695B">
      <w:pPr>
        <w:pStyle w:val="OrderBody"/>
      </w:pPr>
      <w:r>
        <w:rPr>
          <w:noProof/>
        </w:rPr>
        <w:drawing>
          <wp:inline distT="0" distB="0" distL="0" distR="0" wp14:anchorId="0CEF66DA" wp14:editId="57498133">
            <wp:extent cx="5943600" cy="76739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p>
    <w:p w:rsidR="00DE6FB4" w:rsidRDefault="00DE6FB4" w:rsidP="007F695B">
      <w:pPr>
        <w:pStyle w:val="OrderBody"/>
      </w:pPr>
      <w:r>
        <w:rPr>
          <w:noProof/>
        </w:rPr>
        <w:lastRenderedPageBreak/>
        <w:drawing>
          <wp:inline distT="0" distB="0" distL="0" distR="0" wp14:anchorId="0687ED8B" wp14:editId="27B09B5B">
            <wp:extent cx="5943600" cy="76739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p>
    <w:p w:rsidR="00DE6FB4" w:rsidRDefault="00DE6FB4" w:rsidP="007F695B">
      <w:pPr>
        <w:pStyle w:val="OrderBody"/>
      </w:pPr>
    </w:p>
    <w:p w:rsidR="00DE6FB4" w:rsidRDefault="00DE6FB4" w:rsidP="007F695B">
      <w:pPr>
        <w:pStyle w:val="OrderBody"/>
      </w:pPr>
    </w:p>
    <w:p w:rsidR="00DE6FB4" w:rsidRDefault="00DE6FB4" w:rsidP="007F695B">
      <w:pPr>
        <w:pStyle w:val="OrderBody"/>
      </w:pPr>
      <w:r>
        <w:rPr>
          <w:noProof/>
        </w:rPr>
        <w:drawing>
          <wp:inline distT="0" distB="0" distL="0" distR="0" wp14:anchorId="5094002B" wp14:editId="58D748C3">
            <wp:extent cx="5943600" cy="76739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p>
    <w:p w:rsidR="00DE6FB4" w:rsidRDefault="00DE6FB4" w:rsidP="007F695B">
      <w:pPr>
        <w:pStyle w:val="OrderBody"/>
      </w:pPr>
    </w:p>
    <w:p w:rsidR="00DE6FB4" w:rsidRDefault="00DE6FB4" w:rsidP="007F695B">
      <w:pPr>
        <w:pStyle w:val="OrderBody"/>
      </w:pPr>
      <w:r>
        <w:rPr>
          <w:noProof/>
        </w:rPr>
        <w:drawing>
          <wp:inline distT="0" distB="0" distL="0" distR="0" wp14:anchorId="6A35E5EC" wp14:editId="30C277DC">
            <wp:extent cx="5943600" cy="76739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p>
    <w:p w:rsidR="00DE6FB4" w:rsidRDefault="00DE6FB4" w:rsidP="007F695B">
      <w:pPr>
        <w:pStyle w:val="OrderBody"/>
      </w:pPr>
      <w:r>
        <w:rPr>
          <w:noProof/>
        </w:rPr>
        <w:lastRenderedPageBreak/>
        <w:drawing>
          <wp:inline distT="0" distB="0" distL="0" distR="0" wp14:anchorId="365AE579" wp14:editId="58222DC5">
            <wp:extent cx="5943600" cy="76739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p>
    <w:p w:rsidR="00DE6FB4" w:rsidRDefault="00DE6FB4" w:rsidP="007F695B">
      <w:pPr>
        <w:pStyle w:val="OrderBody"/>
      </w:pPr>
      <w:r>
        <w:rPr>
          <w:noProof/>
        </w:rPr>
        <w:lastRenderedPageBreak/>
        <w:drawing>
          <wp:inline distT="0" distB="0" distL="0" distR="0" wp14:anchorId="46D5F443" wp14:editId="19089392">
            <wp:extent cx="5943600" cy="76739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p>
    <w:p w:rsidR="00DE6FB4" w:rsidRDefault="00DE6FB4" w:rsidP="007F695B">
      <w:pPr>
        <w:pStyle w:val="OrderBody"/>
      </w:pPr>
    </w:p>
    <w:p w:rsidR="00DE6FB4" w:rsidRDefault="00DE6FB4" w:rsidP="00DE6FB4">
      <w:pPr>
        <w:pStyle w:val="OrderBody"/>
        <w:jc w:val="right"/>
      </w:pPr>
      <w:r>
        <w:lastRenderedPageBreak/>
        <w:t>ATTACHMENT B</w:t>
      </w:r>
    </w:p>
    <w:p w:rsidR="004969A4" w:rsidRDefault="004969A4" w:rsidP="00DE6FB4">
      <w:pPr>
        <w:pStyle w:val="OrderBody"/>
        <w:jc w:val="right"/>
      </w:pPr>
      <w:r>
        <w:tab/>
        <w:t>Page 1 of 2</w:t>
      </w:r>
    </w:p>
    <w:p w:rsidR="00DE6FB4" w:rsidRDefault="00DE6FB4" w:rsidP="007F695B">
      <w:pPr>
        <w:pStyle w:val="OrderBody"/>
      </w:pPr>
    </w:p>
    <w:p w:rsidR="00DE6FB4" w:rsidRDefault="00DE6FB4" w:rsidP="00DE6FB4">
      <w:pPr>
        <w:pStyle w:val="BodyText"/>
      </w:pPr>
    </w:p>
    <w:p w:rsidR="00DE6FB4" w:rsidRDefault="00DE6FB4" w:rsidP="00DE6FB4">
      <w:pPr>
        <w:pStyle w:val="BodyText"/>
      </w:pPr>
    </w:p>
    <w:p w:rsidR="00DE6FB4" w:rsidRDefault="00DE6FB4" w:rsidP="00DE6FB4">
      <w:pPr>
        <w:pStyle w:val="BodyText"/>
      </w:pPr>
      <w:r w:rsidRPr="00D56DC7">
        <w:rPr>
          <w:noProof/>
        </w:rPr>
        <w:drawing>
          <wp:inline distT="0" distB="0" distL="0" distR="0" wp14:anchorId="75AF73CC" wp14:editId="66FA3CFD">
            <wp:extent cx="5943600" cy="44626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62676"/>
                    </a:xfrm>
                    <a:prstGeom prst="rect">
                      <a:avLst/>
                    </a:prstGeom>
                    <a:noFill/>
                    <a:ln>
                      <a:noFill/>
                    </a:ln>
                  </pic:spPr>
                </pic:pic>
              </a:graphicData>
            </a:graphic>
          </wp:inline>
        </w:drawing>
      </w:r>
    </w:p>
    <w:p w:rsidR="00DE6FB4" w:rsidRDefault="00DE6FB4" w:rsidP="00DE6FB4">
      <w:pPr>
        <w:pStyle w:val="OrderBody"/>
      </w:pPr>
      <w:r>
        <w:br w:type="page"/>
      </w:r>
    </w:p>
    <w:p w:rsidR="004969A4" w:rsidRDefault="004969A4" w:rsidP="004969A4">
      <w:pPr>
        <w:pStyle w:val="OrderBody"/>
        <w:jc w:val="right"/>
      </w:pPr>
      <w:r>
        <w:lastRenderedPageBreak/>
        <w:t>ATTACHMENT B</w:t>
      </w:r>
    </w:p>
    <w:p w:rsidR="004969A4" w:rsidRDefault="004969A4" w:rsidP="004969A4">
      <w:pPr>
        <w:pStyle w:val="OrderBody"/>
        <w:jc w:val="right"/>
      </w:pPr>
      <w:r>
        <w:tab/>
        <w:t>Page 2 of 2</w:t>
      </w:r>
    </w:p>
    <w:p w:rsidR="004969A4" w:rsidRDefault="004969A4" w:rsidP="00DE6FB4">
      <w:pPr>
        <w:pStyle w:val="OrderBody"/>
        <w:rPr>
          <w:noProof/>
        </w:rPr>
      </w:pPr>
    </w:p>
    <w:p w:rsidR="004969A4" w:rsidRDefault="004969A4" w:rsidP="00DE6FB4">
      <w:pPr>
        <w:pStyle w:val="OrderBody"/>
        <w:rPr>
          <w:noProof/>
        </w:rPr>
      </w:pPr>
    </w:p>
    <w:p w:rsidR="004969A4" w:rsidRDefault="004969A4" w:rsidP="00DE6FB4">
      <w:pPr>
        <w:pStyle w:val="OrderBody"/>
        <w:rPr>
          <w:noProof/>
        </w:rPr>
      </w:pPr>
    </w:p>
    <w:p w:rsidR="00DE6FB4" w:rsidRDefault="00DE6FB4" w:rsidP="00DE6FB4">
      <w:pPr>
        <w:pStyle w:val="OrderBody"/>
      </w:pPr>
      <w:r>
        <w:rPr>
          <w:noProof/>
        </w:rPr>
        <w:drawing>
          <wp:inline distT="0" distB="0" distL="0" distR="0" wp14:anchorId="237E37FD" wp14:editId="3C369FCE">
            <wp:extent cx="5943600" cy="46031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sa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603115"/>
                    </a:xfrm>
                    <a:prstGeom prst="rect">
                      <a:avLst/>
                    </a:prstGeom>
                  </pic:spPr>
                </pic:pic>
              </a:graphicData>
            </a:graphic>
          </wp:inline>
        </w:drawing>
      </w:r>
    </w:p>
    <w:sectPr w:rsidR="00DE6FB4">
      <w:headerReference w:type="default" r:id="rId16"/>
      <w:foot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0F2" w:rsidRDefault="00EC00F2">
      <w:r>
        <w:separator/>
      </w:r>
    </w:p>
  </w:endnote>
  <w:endnote w:type="continuationSeparator" w:id="0">
    <w:p w:rsidR="00EC00F2" w:rsidRDefault="00EC0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0F2" w:rsidRDefault="00EC00F2">
      <w:r>
        <w:separator/>
      </w:r>
    </w:p>
  </w:footnote>
  <w:footnote w:type="continuationSeparator" w:id="0">
    <w:p w:rsidR="00EC00F2" w:rsidRDefault="00EC00F2">
      <w:r>
        <w:continuationSeparator/>
      </w:r>
    </w:p>
  </w:footnote>
  <w:footnote w:id="1">
    <w:p w:rsidR="00EC00F2" w:rsidRDefault="00EC00F2" w:rsidP="00EC00F2">
      <w:pPr>
        <w:pStyle w:val="FootnoteText"/>
      </w:pPr>
      <w:r>
        <w:rPr>
          <w:rStyle w:val="FootnoteReference"/>
        </w:rPr>
        <w:footnoteRef/>
      </w:r>
      <w:r>
        <w:t xml:space="preserve"> Order No. PSC-15-0414-PAA-EI, issued October 1, 2015, in Docket No. 20150177-EI, </w:t>
      </w:r>
      <w:r w:rsidRPr="004513CB">
        <w:rPr>
          <w:i/>
        </w:rPr>
        <w:t>In re: Joint petition by Tampa Electric Company, Duke Energy Florida, and Mosaic Fertilizer, LLC, for approval of intermittent electric standby power agreement.</w:t>
      </w:r>
    </w:p>
  </w:footnote>
  <w:footnote w:id="2">
    <w:p w:rsidR="00EC00F2" w:rsidRDefault="00EC00F2" w:rsidP="00EC00F2">
      <w:pPr>
        <w:pStyle w:val="FootnoteText"/>
      </w:pPr>
      <w:r>
        <w:rPr>
          <w:rStyle w:val="FootnoteReference"/>
        </w:rPr>
        <w:footnoteRef/>
      </w:r>
      <w:r>
        <w:t xml:space="preserve"> Rule 25-17.080, Florida Administrative Code (F.A.C.), defines the criteria a small power producer must meet to qualify as a cogeneration facility. Pursuant to Rule 25-17.082, F.A.C., </w:t>
      </w:r>
      <w:r w:rsidRPr="00071B5E">
        <w:rPr>
          <w:noProof/>
          <w:color w:val="000000"/>
        </w:rPr>
        <w:t>each</w:t>
      </w:r>
      <w:r>
        <w:rPr>
          <w:noProof/>
          <w:color w:val="000000"/>
        </w:rPr>
        <w:t xml:space="preserve"> investor-owned</w:t>
      </w:r>
      <w:r w:rsidRPr="00071B5E">
        <w:rPr>
          <w:noProof/>
          <w:color w:val="000000"/>
        </w:rPr>
        <w:t xml:space="preserve"> utility shall purchase electricity produced and sold by qualifying facilities at rates which have been agreed upon by the utility and qualifying facility or at the utility’s published tariff.</w:t>
      </w:r>
    </w:p>
  </w:footnote>
  <w:footnote w:id="3">
    <w:p w:rsidR="00EC00F2" w:rsidRDefault="00EC00F2" w:rsidP="00EC00F2">
      <w:pPr>
        <w:pStyle w:val="FootnoteText"/>
      </w:pPr>
      <w:r>
        <w:rPr>
          <w:rStyle w:val="FootnoteReference"/>
        </w:rPr>
        <w:footnoteRef/>
      </w:r>
      <w:r>
        <w:t xml:space="preserve"> </w:t>
      </w:r>
      <w:r w:rsidRPr="004650DE">
        <w:t xml:space="preserve">Order No. PSC-2019-0048-PAA-EU, issued January 28, 2019, in Docket No. 20180159-EU, </w:t>
      </w:r>
      <w:r>
        <w:rPr>
          <w:i/>
        </w:rPr>
        <w:t>In r</w:t>
      </w:r>
      <w:r w:rsidRPr="001E0C75">
        <w:rPr>
          <w:i/>
        </w:rPr>
        <w:t>e: Joint petition for approval of amendment to territorial agreement in Hardee, Highlands, Polk, and Osceola Counties, by Peace River Electric Cooperative and Duke Energy Florida, LLC.</w:t>
      </w:r>
    </w:p>
  </w:footnote>
  <w:footnote w:id="4">
    <w:p w:rsidR="00EC00F2" w:rsidRDefault="00EC00F2" w:rsidP="00EC00F2">
      <w:pPr>
        <w:pStyle w:val="FootnoteText"/>
      </w:pPr>
      <w:r>
        <w:rPr>
          <w:rStyle w:val="FootnoteReference"/>
        </w:rPr>
        <w:footnoteRef/>
      </w:r>
      <w:r>
        <w:t xml:space="preserve"> Storey v. Mayo, 217 So. 2d 304 (Fla. 1968)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044 ">
      <w:r w:rsidR="0030793E">
        <w:t>PSC-2021-0044-PAA-EI</w:t>
      </w:r>
    </w:fldSimple>
  </w:p>
  <w:p w:rsidR="00FA6EFD" w:rsidRDefault="00EC00F2">
    <w:pPr>
      <w:pStyle w:val="OrderHeader"/>
    </w:pPr>
    <w:bookmarkStart w:id="9" w:name="HeaderDocketNo"/>
    <w:bookmarkEnd w:id="9"/>
    <w:r>
      <w:t>DOCKET NO. 20200218-EI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92DD1">
      <w:rPr>
        <w:rStyle w:val="PageNumber"/>
        <w:noProof/>
      </w:rPr>
      <w:t>5</w:t>
    </w:r>
    <w:r>
      <w:rPr>
        <w:rStyle w:val="PageNumber"/>
      </w:rPr>
      <w:fldChar w:fldCharType="end"/>
    </w:r>
  </w:p>
  <w:p w:rsidR="00FA6EFD" w:rsidRDefault="00FA6EFD">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218-EI"/>
  </w:docVars>
  <w:rsids>
    <w:rsidRoot w:val="00EC00F2"/>
    <w:rsid w:val="000022B8"/>
    <w:rsid w:val="00011251"/>
    <w:rsid w:val="00025C9D"/>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36B0"/>
    <w:rsid w:val="001F4CA3"/>
    <w:rsid w:val="002002ED"/>
    <w:rsid w:val="002170E5"/>
    <w:rsid w:val="00220D57"/>
    <w:rsid w:val="0022721A"/>
    <w:rsid w:val="00230BB9"/>
    <w:rsid w:val="00241CEF"/>
    <w:rsid w:val="0025124E"/>
    <w:rsid w:val="00252B30"/>
    <w:rsid w:val="002613E4"/>
    <w:rsid w:val="00262C43"/>
    <w:rsid w:val="0026544B"/>
    <w:rsid w:val="00276CDC"/>
    <w:rsid w:val="00277655"/>
    <w:rsid w:val="002824B7"/>
    <w:rsid w:val="00282AC4"/>
    <w:rsid w:val="00293DC9"/>
    <w:rsid w:val="002A11AC"/>
    <w:rsid w:val="002A6D75"/>
    <w:rsid w:val="002A6F30"/>
    <w:rsid w:val="002B3111"/>
    <w:rsid w:val="002C118E"/>
    <w:rsid w:val="002C2096"/>
    <w:rsid w:val="002C7908"/>
    <w:rsid w:val="002D391B"/>
    <w:rsid w:val="002D4B1F"/>
    <w:rsid w:val="002D7D15"/>
    <w:rsid w:val="002E1B2E"/>
    <w:rsid w:val="002E27EB"/>
    <w:rsid w:val="002F2A9D"/>
    <w:rsid w:val="002F31C2"/>
    <w:rsid w:val="002F7BF6"/>
    <w:rsid w:val="00303FDE"/>
    <w:rsid w:val="0030793E"/>
    <w:rsid w:val="00313C5B"/>
    <w:rsid w:val="003140E8"/>
    <w:rsid w:val="0032312A"/>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B1A09"/>
    <w:rsid w:val="003B56FD"/>
    <w:rsid w:val="003C0431"/>
    <w:rsid w:val="003D3989"/>
    <w:rsid w:val="003D4CCA"/>
    <w:rsid w:val="003D52A6"/>
    <w:rsid w:val="003D6416"/>
    <w:rsid w:val="003E1D48"/>
    <w:rsid w:val="003E711F"/>
    <w:rsid w:val="003F1D2B"/>
    <w:rsid w:val="003F5870"/>
    <w:rsid w:val="00411DF2"/>
    <w:rsid w:val="00411E8F"/>
    <w:rsid w:val="004247F5"/>
    <w:rsid w:val="0042527B"/>
    <w:rsid w:val="00427EAC"/>
    <w:rsid w:val="004431B4"/>
    <w:rsid w:val="0045537F"/>
    <w:rsid w:val="00457DC7"/>
    <w:rsid w:val="004640B3"/>
    <w:rsid w:val="00472BCC"/>
    <w:rsid w:val="004969A4"/>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40E6B"/>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245C"/>
    <w:rsid w:val="005C5033"/>
    <w:rsid w:val="005E751B"/>
    <w:rsid w:val="005F3354"/>
    <w:rsid w:val="0060005E"/>
    <w:rsid w:val="0060095B"/>
    <w:rsid w:val="00601266"/>
    <w:rsid w:val="00610221"/>
    <w:rsid w:val="00610E73"/>
    <w:rsid w:val="00616DF2"/>
    <w:rsid w:val="0062385D"/>
    <w:rsid w:val="0063168D"/>
    <w:rsid w:val="00635C79"/>
    <w:rsid w:val="00637295"/>
    <w:rsid w:val="006455DF"/>
    <w:rsid w:val="00647025"/>
    <w:rsid w:val="0064730A"/>
    <w:rsid w:val="006531A4"/>
    <w:rsid w:val="00660774"/>
    <w:rsid w:val="0066389A"/>
    <w:rsid w:val="0066495C"/>
    <w:rsid w:val="00665CC7"/>
    <w:rsid w:val="00672612"/>
    <w:rsid w:val="00677F18"/>
    <w:rsid w:val="00693483"/>
    <w:rsid w:val="006A0BF3"/>
    <w:rsid w:val="006B0036"/>
    <w:rsid w:val="006B0DA6"/>
    <w:rsid w:val="006C547E"/>
    <w:rsid w:val="006D2B51"/>
    <w:rsid w:val="006D5575"/>
    <w:rsid w:val="006D7191"/>
    <w:rsid w:val="006E42BE"/>
    <w:rsid w:val="006E5D4D"/>
    <w:rsid w:val="006E6D16"/>
    <w:rsid w:val="00703F2A"/>
    <w:rsid w:val="00704C5D"/>
    <w:rsid w:val="007072BC"/>
    <w:rsid w:val="00715275"/>
    <w:rsid w:val="00721B44"/>
    <w:rsid w:val="007232A2"/>
    <w:rsid w:val="00725E34"/>
    <w:rsid w:val="00726366"/>
    <w:rsid w:val="00733B6B"/>
    <w:rsid w:val="00740808"/>
    <w:rsid w:val="007467C4"/>
    <w:rsid w:val="00755F99"/>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35B8"/>
    <w:rsid w:val="007C36E3"/>
    <w:rsid w:val="007C7134"/>
    <w:rsid w:val="007D3D20"/>
    <w:rsid w:val="007D742E"/>
    <w:rsid w:val="007E3AFD"/>
    <w:rsid w:val="007F695B"/>
    <w:rsid w:val="00801DAD"/>
    <w:rsid w:val="00803189"/>
    <w:rsid w:val="00804E7A"/>
    <w:rsid w:val="00805FBB"/>
    <w:rsid w:val="00806EC5"/>
    <w:rsid w:val="008115A3"/>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A12EC"/>
    <w:rsid w:val="008B19A6"/>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718C5"/>
    <w:rsid w:val="009924CF"/>
    <w:rsid w:val="00994100"/>
    <w:rsid w:val="009A6B17"/>
    <w:rsid w:val="009D4C29"/>
    <w:rsid w:val="009E521E"/>
    <w:rsid w:val="009F6AD2"/>
    <w:rsid w:val="009F7C1B"/>
    <w:rsid w:val="00A00D8D"/>
    <w:rsid w:val="00A01BB6"/>
    <w:rsid w:val="00A03262"/>
    <w:rsid w:val="00A22B28"/>
    <w:rsid w:val="00A4303C"/>
    <w:rsid w:val="00A46CAF"/>
    <w:rsid w:val="00A470FD"/>
    <w:rsid w:val="00A50B5E"/>
    <w:rsid w:val="00A62DAB"/>
    <w:rsid w:val="00A6757A"/>
    <w:rsid w:val="00A726A6"/>
    <w:rsid w:val="00A74842"/>
    <w:rsid w:val="00A9515B"/>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2928"/>
    <w:rsid w:val="00BF6691"/>
    <w:rsid w:val="00C028FC"/>
    <w:rsid w:val="00C037F2"/>
    <w:rsid w:val="00C0386D"/>
    <w:rsid w:val="00C065A1"/>
    <w:rsid w:val="00C10ED5"/>
    <w:rsid w:val="00C12574"/>
    <w:rsid w:val="00C151A6"/>
    <w:rsid w:val="00C24098"/>
    <w:rsid w:val="00C30A4E"/>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92DD1"/>
    <w:rsid w:val="00DA4EDD"/>
    <w:rsid w:val="00DA6B78"/>
    <w:rsid w:val="00DC1D94"/>
    <w:rsid w:val="00DC42CF"/>
    <w:rsid w:val="00DE057F"/>
    <w:rsid w:val="00DE2082"/>
    <w:rsid w:val="00DE2289"/>
    <w:rsid w:val="00DE4A31"/>
    <w:rsid w:val="00DE6FB4"/>
    <w:rsid w:val="00DF09A7"/>
    <w:rsid w:val="00DF2B51"/>
    <w:rsid w:val="00E001D6"/>
    <w:rsid w:val="00E03A76"/>
    <w:rsid w:val="00E04410"/>
    <w:rsid w:val="00E07484"/>
    <w:rsid w:val="00E11351"/>
    <w:rsid w:val="00E14DF9"/>
    <w:rsid w:val="00E4225C"/>
    <w:rsid w:val="00E44879"/>
    <w:rsid w:val="00E72914"/>
    <w:rsid w:val="00E75AE0"/>
    <w:rsid w:val="00E83C1F"/>
    <w:rsid w:val="00E85684"/>
    <w:rsid w:val="00E8794B"/>
    <w:rsid w:val="00E97656"/>
    <w:rsid w:val="00EA172C"/>
    <w:rsid w:val="00EA259B"/>
    <w:rsid w:val="00EA35A3"/>
    <w:rsid w:val="00EA3E6A"/>
    <w:rsid w:val="00EB18EF"/>
    <w:rsid w:val="00EB7951"/>
    <w:rsid w:val="00EC00F2"/>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A092B"/>
    <w:rsid w:val="00FA2B34"/>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Heading">
    <w:name w:val="Issue Heading"/>
    <w:basedOn w:val="Heading1"/>
    <w:next w:val="BodyText"/>
    <w:link w:val="IssueHeadingChar"/>
    <w:qFormat/>
    <w:rsid w:val="00EC00F2"/>
    <w:pPr>
      <w:keepNext w:val="0"/>
    </w:pPr>
    <w:rPr>
      <w:rFonts w:ascii="Arial" w:hAnsi="Arial"/>
      <w:b/>
      <w:i/>
    </w:rPr>
  </w:style>
  <w:style w:type="character" w:customStyle="1" w:styleId="IssueHeadingChar">
    <w:name w:val="Issue Heading Char"/>
    <w:link w:val="IssueHeading"/>
    <w:rsid w:val="00EC00F2"/>
    <w:rPr>
      <w:rFonts w:ascii="Arial" w:hAnsi="Arial" w:cs="Arial"/>
      <w:b/>
      <w:bCs/>
      <w:i/>
      <w:kern w:val="32"/>
      <w:sz w:val="24"/>
      <w:szCs w:val="32"/>
    </w:rPr>
  </w:style>
  <w:style w:type="paragraph" w:customStyle="1" w:styleId="First-LevelSubheading">
    <w:name w:val="First-Level Subheading"/>
    <w:basedOn w:val="Normal"/>
    <w:next w:val="BodyText"/>
    <w:qFormat/>
    <w:rsid w:val="00EC00F2"/>
    <w:pPr>
      <w:jc w:val="both"/>
      <w:outlineLvl w:val="2"/>
    </w:pPr>
    <w:rPr>
      <w:rFonts w:ascii="Arial" w:hAnsi="Arial" w:cs="Arial"/>
      <w:b/>
      <w:bCs/>
      <w:iCs/>
      <w:szCs w:val="28"/>
    </w:rPr>
  </w:style>
  <w:style w:type="paragraph" w:customStyle="1" w:styleId="Second-LevelSubheading">
    <w:name w:val="Second-Level Subheading"/>
    <w:basedOn w:val="First-LevelSubheading"/>
    <w:next w:val="BodyText"/>
    <w:qFormat/>
    <w:rsid w:val="00EC00F2"/>
    <w:pPr>
      <w:ind w:left="720"/>
      <w:outlineLvl w:val="3"/>
    </w:pPr>
    <w:rPr>
      <w:i/>
    </w:rPr>
  </w:style>
  <w:style w:type="paragraph" w:styleId="BalloonText">
    <w:name w:val="Balloon Text"/>
    <w:basedOn w:val="Normal"/>
    <w:link w:val="BalloonTextChar"/>
    <w:semiHidden/>
    <w:unhideWhenUsed/>
    <w:rsid w:val="00E14DF9"/>
    <w:rPr>
      <w:rFonts w:ascii="Tahoma" w:hAnsi="Tahoma" w:cs="Tahoma"/>
      <w:sz w:val="16"/>
      <w:szCs w:val="16"/>
    </w:rPr>
  </w:style>
  <w:style w:type="character" w:customStyle="1" w:styleId="BalloonTextChar">
    <w:name w:val="Balloon Text Char"/>
    <w:basedOn w:val="DefaultParagraphFont"/>
    <w:link w:val="BalloonText"/>
    <w:semiHidden/>
    <w:rsid w:val="00E14D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Fay,%20and%20La%20Ro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Fay, and La Rosa</Template>
  <TotalTime>0</TotalTime>
  <Pages>15</Pages>
  <Words>1923</Words>
  <Characters>10965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2021-01-25T13:00:00Z</dcterms:created>
  <dcterms:modified xsi:type="dcterms:W3CDTF">2021-01-25T19:24:00Z</dcterms:modified>
</cp:coreProperties>
</file>