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2.xml" ContentType="application/vnd.openxmlformats-officedocument.wordprocessingml.footer+xml"/>
  <Override PartName="/word/footer3.xml" ContentType="application/vnd.openxmlformats-officedocument.wordprocessingml.footer+xml"/>
  <Override PartName="/word/header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115" w:type="dxa"/>
          <w:right w:w="115" w:type="dxa"/>
        </w:tblCellMar>
        <w:tblLook w:val="01E0" w:firstRow="1" w:lastRow="1" w:firstColumn="1" w:lastColumn="1" w:noHBand="0" w:noVBand="0"/>
      </w:tblPr>
      <w:tblGrid>
        <w:gridCol w:w="1254"/>
        <w:gridCol w:w="948"/>
        <w:gridCol w:w="1488"/>
        <w:gridCol w:w="5785"/>
      </w:tblGrid>
      <w:tr w:rsidR="007C0528" w14:paraId="249BB6AE" w14:textId="77777777">
        <w:tc>
          <w:tcPr>
            <w:tcW w:w="2202" w:type="dxa"/>
            <w:gridSpan w:val="2"/>
            <w:tcBorders>
              <w:top w:val="nil"/>
              <w:left w:val="nil"/>
              <w:bottom w:val="single" w:sz="24" w:space="0" w:color="auto"/>
              <w:right w:val="nil"/>
            </w:tcBorders>
            <w:shd w:val="clear" w:color="auto" w:fill="auto"/>
            <w:tcMar>
              <w:top w:w="0" w:type="dxa"/>
              <w:left w:w="0" w:type="dxa"/>
              <w:bottom w:w="0" w:type="dxa"/>
              <w:right w:w="0" w:type="dxa"/>
            </w:tcMar>
          </w:tcPr>
          <w:p w14:paraId="16990976" w14:textId="77777777" w:rsidR="007C0528" w:rsidRDefault="007C0528" w:rsidP="00532DFB">
            <w:pPr>
              <w:pStyle w:val="MastHeadState"/>
            </w:pPr>
            <w:bookmarkStart w:id="0" w:name="_GoBack"/>
            <w:bookmarkEnd w:id="0"/>
            <w:r>
              <w:t>State of Florida</w:t>
            </w:r>
          </w:p>
          <w:p w14:paraId="080CBD27" w14:textId="77777777" w:rsidR="007C0528" w:rsidRDefault="00072CCA">
            <w:pPr>
              <w:jc w:val="center"/>
            </w:pPr>
            <w:r>
              <w:rPr>
                <w:noProof/>
              </w:rPr>
              <w:drawing>
                <wp:inline distT="0" distB="0" distL="0" distR="0" wp14:anchorId="7CE0C80A" wp14:editId="56672B0E">
                  <wp:extent cx="923925" cy="914400"/>
                  <wp:effectExtent l="0" t="0" r="9525" b="0"/>
                  <wp:docPr id="1" name="Picture 1" descr="pscSE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scSEAL"/>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923925" cy="914400"/>
                          </a:xfrm>
                          <a:prstGeom prst="rect">
                            <a:avLst/>
                          </a:prstGeom>
                          <a:noFill/>
                          <a:ln>
                            <a:noFill/>
                          </a:ln>
                        </pic:spPr>
                      </pic:pic>
                    </a:graphicData>
                  </a:graphic>
                </wp:inline>
              </w:drawing>
            </w:r>
          </w:p>
          <w:p w14:paraId="6BC12701" w14:textId="77777777" w:rsidR="007C0528" w:rsidRDefault="007C0528"/>
        </w:tc>
        <w:tc>
          <w:tcPr>
            <w:tcW w:w="7273" w:type="dxa"/>
            <w:gridSpan w:val="2"/>
            <w:tcBorders>
              <w:top w:val="nil"/>
              <w:left w:val="nil"/>
              <w:bottom w:val="single" w:sz="24" w:space="0" w:color="auto"/>
              <w:right w:val="nil"/>
            </w:tcBorders>
            <w:shd w:val="clear" w:color="auto" w:fill="auto"/>
            <w:vAlign w:val="bottom"/>
          </w:tcPr>
          <w:p w14:paraId="6C024726" w14:textId="77777777" w:rsidR="007C0528" w:rsidRDefault="007C0528">
            <w:pPr>
              <w:pStyle w:val="MastHeadPSC"/>
            </w:pPr>
            <w:r>
              <w:t>Public Service Commission</w:t>
            </w:r>
          </w:p>
          <w:p w14:paraId="2E706B53" w14:textId="77777777" w:rsidR="007C0528" w:rsidRDefault="007C0528">
            <w:pPr>
              <w:pStyle w:val="MastHeadAddress"/>
            </w:pPr>
            <w:r>
              <w:t>Capital Circle Office Center ● 2540 Shumard Oak Boulevard</w:t>
            </w:r>
            <w:r>
              <w:br/>
              <w:t>Tallahassee, Florida 32399-0850</w:t>
            </w:r>
          </w:p>
          <w:p w14:paraId="29D225FF" w14:textId="77777777" w:rsidR="007C0528" w:rsidRDefault="007C0528">
            <w:pPr>
              <w:pStyle w:val="MastHeadMemorandum"/>
            </w:pPr>
            <w:r>
              <w:t>-M-E-M-O-R-A-N-D-U-M-</w:t>
            </w:r>
          </w:p>
          <w:p w14:paraId="7E086F1D" w14:textId="77777777" w:rsidR="007C0528" w:rsidRDefault="007C0528">
            <w:pPr>
              <w:pStyle w:val="MemoHeading"/>
            </w:pPr>
          </w:p>
        </w:tc>
      </w:tr>
      <w:tr w:rsidR="007C0528" w14:paraId="63F665C9" w14:textId="77777777">
        <w:tc>
          <w:tcPr>
            <w:tcW w:w="1254" w:type="dxa"/>
            <w:tcBorders>
              <w:top w:val="single" w:sz="24" w:space="0" w:color="auto"/>
              <w:left w:val="nil"/>
              <w:bottom w:val="nil"/>
              <w:right w:val="nil"/>
            </w:tcBorders>
            <w:shd w:val="clear" w:color="auto" w:fill="auto"/>
            <w:tcMar>
              <w:top w:w="288" w:type="dxa"/>
              <w:bottom w:w="0" w:type="dxa"/>
              <w:right w:w="0" w:type="dxa"/>
            </w:tcMar>
          </w:tcPr>
          <w:p w14:paraId="04BBF087" w14:textId="77777777" w:rsidR="007C0528" w:rsidRDefault="007C0528" w:rsidP="00506C03">
            <w:pPr>
              <w:pStyle w:val="MemoHeadingLabel"/>
            </w:pPr>
            <w:r>
              <w:t>DATE:</w:t>
            </w:r>
          </w:p>
        </w:tc>
        <w:tc>
          <w:tcPr>
            <w:tcW w:w="8221" w:type="dxa"/>
            <w:gridSpan w:val="3"/>
            <w:tcBorders>
              <w:top w:val="single" w:sz="24" w:space="0" w:color="auto"/>
              <w:left w:val="nil"/>
              <w:bottom w:val="nil"/>
              <w:right w:val="nil"/>
            </w:tcBorders>
            <w:shd w:val="clear" w:color="auto" w:fill="auto"/>
            <w:tcMar>
              <w:bottom w:w="0" w:type="dxa"/>
            </w:tcMar>
          </w:tcPr>
          <w:p w14:paraId="3907312D" w14:textId="77777777" w:rsidR="007C0528" w:rsidRDefault="00511D1A">
            <w:pPr>
              <w:pStyle w:val="MemoHeading"/>
            </w:pPr>
            <w:bookmarkStart w:id="1" w:name="FilingDate"/>
            <w:r>
              <w:t>March 23, 2023</w:t>
            </w:r>
            <w:bookmarkEnd w:id="1"/>
          </w:p>
        </w:tc>
      </w:tr>
      <w:tr w:rsidR="007C0528" w14:paraId="09FD373D" w14:textId="77777777">
        <w:tc>
          <w:tcPr>
            <w:tcW w:w="1254" w:type="dxa"/>
            <w:tcBorders>
              <w:top w:val="nil"/>
              <w:left w:val="nil"/>
              <w:bottom w:val="nil"/>
              <w:right w:val="nil"/>
            </w:tcBorders>
            <w:shd w:val="clear" w:color="auto" w:fill="auto"/>
            <w:tcMar>
              <w:top w:w="288" w:type="dxa"/>
              <w:bottom w:w="0" w:type="dxa"/>
              <w:right w:w="0" w:type="dxa"/>
            </w:tcMar>
          </w:tcPr>
          <w:p w14:paraId="7EABB312" w14:textId="77777777" w:rsidR="007C0528" w:rsidRDefault="007C0528" w:rsidP="00506C03">
            <w:pPr>
              <w:pStyle w:val="MemoHeadingLabel"/>
            </w:pPr>
            <w:r>
              <w:t>TO:</w:t>
            </w:r>
          </w:p>
        </w:tc>
        <w:tc>
          <w:tcPr>
            <w:tcW w:w="8221" w:type="dxa"/>
            <w:gridSpan w:val="3"/>
            <w:tcBorders>
              <w:top w:val="nil"/>
              <w:left w:val="nil"/>
              <w:bottom w:val="nil"/>
              <w:right w:val="nil"/>
            </w:tcBorders>
            <w:shd w:val="clear" w:color="auto" w:fill="auto"/>
            <w:tcMar>
              <w:top w:w="288" w:type="dxa"/>
              <w:bottom w:w="0" w:type="dxa"/>
            </w:tcMar>
          </w:tcPr>
          <w:p w14:paraId="1C01BEB0" w14:textId="77777777" w:rsidR="007C0528" w:rsidRDefault="007C0528" w:rsidP="0093658B">
            <w:pPr>
              <w:pStyle w:val="MemoHeading"/>
            </w:pPr>
            <w:r>
              <w:t>Office of Commission Clerk (</w:t>
            </w:r>
            <w:r w:rsidR="004E69B5">
              <w:t>Teitzman</w:t>
            </w:r>
            <w:r>
              <w:t>)</w:t>
            </w:r>
          </w:p>
        </w:tc>
      </w:tr>
      <w:tr w:rsidR="007C0528" w14:paraId="3D7E891A" w14:textId="77777777">
        <w:tc>
          <w:tcPr>
            <w:tcW w:w="1254" w:type="dxa"/>
            <w:tcBorders>
              <w:top w:val="nil"/>
              <w:left w:val="nil"/>
              <w:bottom w:val="nil"/>
              <w:right w:val="nil"/>
            </w:tcBorders>
            <w:shd w:val="clear" w:color="auto" w:fill="auto"/>
            <w:tcMar>
              <w:top w:w="288" w:type="dxa"/>
              <w:right w:w="0" w:type="dxa"/>
            </w:tcMar>
          </w:tcPr>
          <w:p w14:paraId="523CD5B5" w14:textId="77777777" w:rsidR="007C0528" w:rsidRDefault="007C0528" w:rsidP="00506C03">
            <w:pPr>
              <w:pStyle w:val="MemoHeadingLabel"/>
            </w:pPr>
            <w:r>
              <w:t>FROM:</w:t>
            </w:r>
          </w:p>
        </w:tc>
        <w:tc>
          <w:tcPr>
            <w:tcW w:w="8221" w:type="dxa"/>
            <w:gridSpan w:val="3"/>
            <w:tcBorders>
              <w:top w:val="nil"/>
              <w:left w:val="nil"/>
              <w:bottom w:val="nil"/>
              <w:right w:val="nil"/>
            </w:tcBorders>
            <w:shd w:val="clear" w:color="auto" w:fill="auto"/>
            <w:tcMar>
              <w:top w:w="288" w:type="dxa"/>
              <w:bottom w:w="0" w:type="dxa"/>
            </w:tcMar>
          </w:tcPr>
          <w:p w14:paraId="02DF6397" w14:textId="18B1E525" w:rsidR="00511D1A" w:rsidRDefault="00511D1A">
            <w:pPr>
              <w:pStyle w:val="MemoHeading"/>
            </w:pPr>
            <w:bookmarkStart w:id="2" w:name="From"/>
            <w:r>
              <w:t>Division of Engineering (Davis, Ellis)</w:t>
            </w:r>
          </w:p>
          <w:p w14:paraId="4EFC3B5F" w14:textId="77777777" w:rsidR="007C0528" w:rsidRDefault="00511D1A">
            <w:pPr>
              <w:pStyle w:val="MemoHeading"/>
            </w:pPr>
            <w:r>
              <w:t>Office of the General Counsel (</w:t>
            </w:r>
            <w:r w:rsidR="008C69E5">
              <w:t xml:space="preserve">M. </w:t>
            </w:r>
            <w:r>
              <w:t xml:space="preserve">Thompson, </w:t>
            </w:r>
            <w:r w:rsidR="008C69E5">
              <w:t xml:space="preserve">J. </w:t>
            </w:r>
            <w:r>
              <w:t>Crawford)</w:t>
            </w:r>
            <w:bookmarkEnd w:id="2"/>
          </w:p>
        </w:tc>
      </w:tr>
      <w:tr w:rsidR="007C0528" w14:paraId="665ACCEE" w14:textId="77777777">
        <w:tc>
          <w:tcPr>
            <w:tcW w:w="1254" w:type="dxa"/>
            <w:tcBorders>
              <w:top w:val="nil"/>
              <w:left w:val="nil"/>
              <w:bottom w:val="nil"/>
              <w:right w:val="nil"/>
            </w:tcBorders>
            <w:shd w:val="clear" w:color="auto" w:fill="auto"/>
            <w:tcMar>
              <w:top w:w="288" w:type="dxa"/>
              <w:right w:w="0" w:type="dxa"/>
            </w:tcMar>
          </w:tcPr>
          <w:p w14:paraId="3A5E6FE8" w14:textId="77777777" w:rsidR="007C0528" w:rsidRDefault="007C0528" w:rsidP="00506C03">
            <w:pPr>
              <w:pStyle w:val="MemoHeadingLabel"/>
            </w:pPr>
            <w:r>
              <w:t>RE:</w:t>
            </w:r>
          </w:p>
        </w:tc>
        <w:tc>
          <w:tcPr>
            <w:tcW w:w="8221" w:type="dxa"/>
            <w:gridSpan w:val="3"/>
            <w:tcBorders>
              <w:top w:val="nil"/>
              <w:left w:val="nil"/>
              <w:bottom w:val="nil"/>
              <w:right w:val="nil"/>
            </w:tcBorders>
            <w:shd w:val="clear" w:color="auto" w:fill="auto"/>
            <w:tcMar>
              <w:top w:w="288" w:type="dxa"/>
            </w:tcMar>
          </w:tcPr>
          <w:p w14:paraId="53F7D95E" w14:textId="77777777" w:rsidR="007C0528" w:rsidRDefault="00511D1A">
            <w:pPr>
              <w:pStyle w:val="MemoHeadingRe"/>
            </w:pPr>
            <w:bookmarkStart w:id="3" w:name="Re"/>
            <w:r>
              <w:t>Docket No. 20220186-EI – Petition for approval of purchased power agreement between Tampa Electric Company and Pasco County.</w:t>
            </w:r>
            <w:bookmarkEnd w:id="3"/>
          </w:p>
        </w:tc>
      </w:tr>
      <w:tr w:rsidR="007C0528" w14:paraId="55F8F209" w14:textId="77777777">
        <w:tc>
          <w:tcPr>
            <w:tcW w:w="1254" w:type="dxa"/>
            <w:tcBorders>
              <w:top w:val="nil"/>
              <w:left w:val="nil"/>
              <w:bottom w:val="nil"/>
              <w:right w:val="nil"/>
            </w:tcBorders>
            <w:shd w:val="clear" w:color="auto" w:fill="auto"/>
            <w:tcMar>
              <w:top w:w="288" w:type="dxa"/>
              <w:bottom w:w="0" w:type="dxa"/>
              <w:right w:w="0" w:type="dxa"/>
            </w:tcMar>
          </w:tcPr>
          <w:p w14:paraId="4474A1E0" w14:textId="77777777" w:rsidR="007C0528" w:rsidRDefault="007C0528" w:rsidP="00506C03">
            <w:pPr>
              <w:pStyle w:val="MemoHeadingLabel"/>
            </w:pPr>
            <w:r>
              <w:t>AGENDA:</w:t>
            </w:r>
          </w:p>
        </w:tc>
        <w:tc>
          <w:tcPr>
            <w:tcW w:w="8221" w:type="dxa"/>
            <w:gridSpan w:val="3"/>
            <w:tcBorders>
              <w:top w:val="nil"/>
              <w:left w:val="nil"/>
              <w:bottom w:val="nil"/>
              <w:right w:val="nil"/>
            </w:tcBorders>
            <w:shd w:val="clear" w:color="auto" w:fill="auto"/>
            <w:tcMar>
              <w:top w:w="288" w:type="dxa"/>
            </w:tcMar>
          </w:tcPr>
          <w:p w14:paraId="4972D8EE" w14:textId="77777777" w:rsidR="007C0528" w:rsidRDefault="00511D1A">
            <w:pPr>
              <w:pStyle w:val="MemoHeading"/>
            </w:pPr>
            <w:bookmarkStart w:id="4" w:name="AgendaDate"/>
            <w:r>
              <w:t>04/04/23</w:t>
            </w:r>
            <w:bookmarkEnd w:id="4"/>
            <w:r w:rsidR="007C0528">
              <w:t xml:space="preserve"> – </w:t>
            </w:r>
            <w:bookmarkStart w:id="5" w:name="PermittedStatus"/>
            <w:r>
              <w:t xml:space="preserve">Regular Agenda – </w:t>
            </w:r>
            <w:r w:rsidR="00424861">
              <w:t xml:space="preserve">Proposed Agency Action - </w:t>
            </w:r>
            <w:r>
              <w:t>Interested Persons May Participate</w:t>
            </w:r>
            <w:bookmarkEnd w:id="5"/>
          </w:p>
        </w:tc>
      </w:tr>
      <w:tr w:rsidR="007C0528" w14:paraId="54C66553" w14:textId="77777777">
        <w:tc>
          <w:tcPr>
            <w:tcW w:w="3690" w:type="dxa"/>
            <w:gridSpan w:val="3"/>
            <w:tcBorders>
              <w:top w:val="nil"/>
              <w:left w:val="nil"/>
              <w:bottom w:val="nil"/>
              <w:right w:val="nil"/>
            </w:tcBorders>
            <w:shd w:val="clear" w:color="auto" w:fill="auto"/>
            <w:tcMar>
              <w:top w:w="288" w:type="dxa"/>
              <w:bottom w:w="0" w:type="dxa"/>
              <w:right w:w="0" w:type="dxa"/>
            </w:tcMar>
          </w:tcPr>
          <w:p w14:paraId="4A6A195D" w14:textId="77777777" w:rsidR="007C0528" w:rsidRDefault="007C0528" w:rsidP="00506C03">
            <w:pPr>
              <w:pStyle w:val="MemoHeadingLabel"/>
            </w:pPr>
            <w:r>
              <w:t>COMMISSIONERS ASSIGNED:</w:t>
            </w:r>
          </w:p>
        </w:tc>
        <w:tc>
          <w:tcPr>
            <w:tcW w:w="5785" w:type="dxa"/>
            <w:tcBorders>
              <w:top w:val="nil"/>
              <w:left w:val="nil"/>
              <w:bottom w:val="nil"/>
              <w:right w:val="nil"/>
            </w:tcBorders>
            <w:shd w:val="clear" w:color="auto" w:fill="auto"/>
          </w:tcPr>
          <w:p w14:paraId="635BD34F" w14:textId="77777777" w:rsidR="007C0528" w:rsidRDefault="00511D1A">
            <w:pPr>
              <w:pStyle w:val="MemoHeading"/>
            </w:pPr>
            <w:bookmarkStart w:id="6" w:name="CommissionersAssigned"/>
            <w:r>
              <w:t>All Commissioners</w:t>
            </w:r>
            <w:bookmarkEnd w:id="6"/>
          </w:p>
        </w:tc>
      </w:tr>
      <w:tr w:rsidR="007C0528" w14:paraId="7008669A" w14:textId="77777777">
        <w:tc>
          <w:tcPr>
            <w:tcW w:w="3690" w:type="dxa"/>
            <w:gridSpan w:val="3"/>
            <w:tcBorders>
              <w:top w:val="nil"/>
              <w:left w:val="nil"/>
              <w:bottom w:val="nil"/>
              <w:right w:val="nil"/>
            </w:tcBorders>
            <w:shd w:val="clear" w:color="auto" w:fill="auto"/>
            <w:tcMar>
              <w:top w:w="288" w:type="dxa"/>
              <w:bottom w:w="0" w:type="dxa"/>
              <w:right w:w="0" w:type="dxa"/>
            </w:tcMar>
          </w:tcPr>
          <w:p w14:paraId="5A2A0302" w14:textId="77777777" w:rsidR="007C0528" w:rsidRDefault="007C0528" w:rsidP="00506C03">
            <w:pPr>
              <w:pStyle w:val="MemoHeadingLabel"/>
            </w:pPr>
            <w:r>
              <w:t>PREHEARING OFFICER:</w:t>
            </w:r>
          </w:p>
        </w:tc>
        <w:tc>
          <w:tcPr>
            <w:tcW w:w="5785" w:type="dxa"/>
            <w:tcBorders>
              <w:top w:val="nil"/>
              <w:left w:val="nil"/>
              <w:bottom w:val="nil"/>
              <w:right w:val="nil"/>
            </w:tcBorders>
            <w:shd w:val="clear" w:color="auto" w:fill="auto"/>
          </w:tcPr>
          <w:p w14:paraId="18C2461C" w14:textId="77777777" w:rsidR="007C0528" w:rsidRDefault="00511D1A">
            <w:pPr>
              <w:pStyle w:val="MemoHeading"/>
            </w:pPr>
            <w:bookmarkStart w:id="7" w:name="PrehearingOfficer"/>
            <w:r>
              <w:t>La Rosa</w:t>
            </w:r>
            <w:bookmarkEnd w:id="7"/>
          </w:p>
        </w:tc>
      </w:tr>
      <w:tr w:rsidR="007C0528" w14:paraId="03F0B104" w14:textId="77777777" w:rsidTr="0093658B">
        <w:tc>
          <w:tcPr>
            <w:tcW w:w="3690" w:type="dxa"/>
            <w:gridSpan w:val="3"/>
            <w:tcBorders>
              <w:top w:val="nil"/>
              <w:left w:val="nil"/>
              <w:bottom w:val="nil"/>
              <w:right w:val="nil"/>
            </w:tcBorders>
            <w:shd w:val="clear" w:color="auto" w:fill="auto"/>
            <w:tcMar>
              <w:top w:w="288" w:type="dxa"/>
              <w:bottom w:w="0" w:type="dxa"/>
              <w:right w:w="0" w:type="dxa"/>
            </w:tcMar>
          </w:tcPr>
          <w:p w14:paraId="0D551843" w14:textId="77777777" w:rsidR="007C0528" w:rsidRDefault="007C0528" w:rsidP="00506C03">
            <w:pPr>
              <w:pStyle w:val="MemoHeadingLabel"/>
            </w:pPr>
            <w:bookmarkStart w:id="8" w:name="CriticalDatesLabel"/>
            <w:r>
              <w:t>CRITICAL DATES:</w:t>
            </w:r>
            <w:bookmarkEnd w:id="8"/>
          </w:p>
        </w:tc>
        <w:tc>
          <w:tcPr>
            <w:tcW w:w="5785" w:type="dxa"/>
            <w:tcBorders>
              <w:top w:val="nil"/>
              <w:left w:val="nil"/>
              <w:bottom w:val="nil"/>
              <w:right w:val="nil"/>
            </w:tcBorders>
            <w:shd w:val="clear" w:color="auto" w:fill="auto"/>
          </w:tcPr>
          <w:p w14:paraId="14906EA0" w14:textId="77777777" w:rsidR="007C0528" w:rsidRDefault="00511D1A">
            <w:pPr>
              <w:pStyle w:val="MemoHeading"/>
            </w:pPr>
            <w:bookmarkStart w:id="9" w:name="CriticalDates"/>
            <w:r>
              <w:t>None</w:t>
            </w:r>
            <w:bookmarkEnd w:id="9"/>
          </w:p>
        </w:tc>
      </w:tr>
      <w:tr w:rsidR="007C0528" w14:paraId="47FAD1E7" w14:textId="77777777" w:rsidTr="0093658B">
        <w:tc>
          <w:tcPr>
            <w:tcW w:w="3690" w:type="dxa"/>
            <w:gridSpan w:val="3"/>
            <w:tcBorders>
              <w:top w:val="nil"/>
              <w:left w:val="nil"/>
              <w:bottom w:val="single" w:sz="24" w:space="0" w:color="auto"/>
              <w:right w:val="nil"/>
            </w:tcBorders>
            <w:shd w:val="clear" w:color="auto" w:fill="auto"/>
            <w:tcMar>
              <w:top w:w="288" w:type="dxa"/>
              <w:bottom w:w="216" w:type="dxa"/>
              <w:right w:w="0" w:type="dxa"/>
            </w:tcMar>
          </w:tcPr>
          <w:p w14:paraId="43C3A578" w14:textId="77777777" w:rsidR="007C0528" w:rsidRDefault="007C0528" w:rsidP="00506C03">
            <w:pPr>
              <w:pStyle w:val="MemoHeadingLabel"/>
            </w:pPr>
            <w:r>
              <w:t>SPECIAL INSTRUCTIONS:</w:t>
            </w:r>
          </w:p>
        </w:tc>
        <w:tc>
          <w:tcPr>
            <w:tcW w:w="5785" w:type="dxa"/>
            <w:tcBorders>
              <w:top w:val="nil"/>
              <w:left w:val="nil"/>
              <w:bottom w:val="single" w:sz="24" w:space="0" w:color="auto"/>
              <w:right w:val="nil"/>
            </w:tcBorders>
            <w:shd w:val="clear" w:color="auto" w:fill="auto"/>
            <w:tcMar>
              <w:bottom w:w="216" w:type="dxa"/>
            </w:tcMar>
          </w:tcPr>
          <w:p w14:paraId="43AFBD37" w14:textId="77777777" w:rsidR="007C0528" w:rsidRDefault="00511D1A">
            <w:pPr>
              <w:pStyle w:val="MemoHeading"/>
            </w:pPr>
            <w:bookmarkStart w:id="10" w:name="SpecialInstructions"/>
            <w:r>
              <w:t>None</w:t>
            </w:r>
            <w:bookmarkEnd w:id="10"/>
          </w:p>
        </w:tc>
      </w:tr>
    </w:tbl>
    <w:p w14:paraId="7C536C79" w14:textId="77777777" w:rsidR="007C0528" w:rsidRDefault="007C0528">
      <w:pPr>
        <w:pStyle w:val="BodyText"/>
      </w:pPr>
    </w:p>
    <w:p w14:paraId="27754AD4" w14:textId="77777777" w:rsidR="007C0528" w:rsidRDefault="007C0528">
      <w:pPr>
        <w:pStyle w:val="RecommendationMajorSectionHeading"/>
      </w:pPr>
      <w:bookmarkStart w:id="11" w:name="RecToC"/>
      <w:bookmarkEnd w:id="11"/>
      <w:r>
        <w:t xml:space="preserve"> </w:t>
      </w:r>
      <w:bookmarkStart w:id="12" w:name="CaseBackground"/>
      <w:r>
        <w:t>Case Background</w:t>
      </w:r>
      <w:r>
        <w:fldChar w:fldCharType="begin"/>
      </w:r>
      <w:r>
        <w:instrText xml:space="preserve"> TC  "</w:instrText>
      </w:r>
      <w:r>
        <w:tab/>
      </w:r>
      <w:bookmarkStart w:id="13" w:name="_Toc94516455"/>
      <w:r>
        <w:instrText>Case Background</w:instrText>
      </w:r>
      <w:bookmarkEnd w:id="13"/>
      <w:r>
        <w:instrText xml:space="preserve">" \l 1 </w:instrText>
      </w:r>
      <w:r>
        <w:fldChar w:fldCharType="end"/>
      </w:r>
    </w:p>
    <w:p w14:paraId="59C47E02" w14:textId="054E0C48" w:rsidR="00302E0C" w:rsidRDefault="00302E0C" w:rsidP="00302E0C">
      <w:pPr>
        <w:pStyle w:val="BodyText"/>
      </w:pPr>
      <w:r>
        <w:t xml:space="preserve">On November 4, 2022, Tampa Electric Company (TECO or Company), filed a petition requesting approval of a negotiated </w:t>
      </w:r>
      <w:r w:rsidR="00064BB7">
        <w:t xml:space="preserve">purchased power agreement (PPA) </w:t>
      </w:r>
      <w:r>
        <w:t xml:space="preserve">for the purchase of firm capacity and energy with Pasco County, Florida (Pasco). </w:t>
      </w:r>
      <w:r w:rsidR="00066960">
        <w:t xml:space="preserve">A copy of the PPA is attached (Attachment A). </w:t>
      </w:r>
      <w:r>
        <w:t xml:space="preserve">The </w:t>
      </w:r>
      <w:r w:rsidR="00064BB7">
        <w:t xml:space="preserve">PPA </w:t>
      </w:r>
      <w:r>
        <w:t xml:space="preserve">is based on Pasco’s Waste-to-Energy Facility (WTE Facility) located in Spring Hill, Florida, which is an existing 31 megawatt (MW) Qualifying Facility (QF). The WTE Facility is located in the territory of Duke Energy Florida, LLC (DEF), and would require access to DEF’s transmission capacity to deliver the electricity to TECO. Pasco is proposing to </w:t>
      </w:r>
      <w:r w:rsidR="00932045">
        <w:t xml:space="preserve">initially </w:t>
      </w:r>
      <w:r>
        <w:t>sell 21 MW</w:t>
      </w:r>
      <w:r w:rsidR="00932045">
        <w:t>, with the option to sell 25 MW,</w:t>
      </w:r>
      <w:r>
        <w:t xml:space="preserve"> of firm capacity and energy to TECO for a 10-year period from January 1, 2025</w:t>
      </w:r>
      <w:r w:rsidR="00B82D2B">
        <w:t>,</w:t>
      </w:r>
      <w:r>
        <w:t xml:space="preserve"> through December 31, 2034.</w:t>
      </w:r>
    </w:p>
    <w:p w14:paraId="7030AFFA" w14:textId="107B14A7" w:rsidR="007C0528" w:rsidRDefault="00302E0C" w:rsidP="00962260">
      <w:pPr>
        <w:pStyle w:val="BodyText"/>
      </w:pPr>
      <w:r>
        <w:t>The Florida Public Service Commission (Commission) has jurisdiction over this matter pursuant to Sections 366.051, 366.81, and 366.91, Florida Statutes (F.S.).</w:t>
      </w:r>
    </w:p>
    <w:bookmarkEnd w:id="12"/>
    <w:p w14:paraId="16DBF02D" w14:textId="77777777" w:rsidR="00EA2273" w:rsidRDefault="00EA2273">
      <w:pPr>
        <w:pStyle w:val="RecommendationMajorSectionHeading"/>
        <w:sectPr w:rsidR="00EA2273">
          <w:headerReference w:type="default" r:id="rId9"/>
          <w:footerReference w:type="default" r:id="rId10"/>
          <w:type w:val="continuous"/>
          <w:pgSz w:w="12240" w:h="15840" w:code="1"/>
          <w:pgMar w:top="1584" w:right="1440" w:bottom="1440" w:left="1440" w:header="720" w:footer="720" w:gutter="0"/>
          <w:cols w:space="720"/>
          <w:formProt w:val="0"/>
          <w:titlePg/>
          <w:docGrid w:linePitch="360"/>
        </w:sectPr>
      </w:pPr>
    </w:p>
    <w:p w14:paraId="0E99A69F" w14:textId="77777777" w:rsidR="007C0528" w:rsidRDefault="007C0528">
      <w:pPr>
        <w:pStyle w:val="RecommendationMajorSectionHeading"/>
      </w:pPr>
      <w:bookmarkStart w:id="16" w:name="DiscussionOfIssues"/>
      <w:r>
        <w:lastRenderedPageBreak/>
        <w:t>Discussion of Issues</w:t>
      </w:r>
    </w:p>
    <w:bookmarkEnd w:id="16"/>
    <w:p w14:paraId="3799E50C" w14:textId="60EB77D0" w:rsidR="00511D1A" w:rsidRDefault="00511D1A">
      <w:pPr>
        <w:pStyle w:val="IssueHeading"/>
        <w:rPr>
          <w:vanish/>
          <w:specVanish/>
        </w:rPr>
      </w:pPr>
      <w:r w:rsidRPr="004C3641">
        <w:t xml:space="preserve">Issue </w:t>
      </w:r>
      <w:fldSimple w:instr=" SEQ Issue \* MERGEFORMAT ">
        <w:r w:rsidR="00237579">
          <w:rPr>
            <w:noProof/>
          </w:rPr>
          <w:t>1</w:t>
        </w:r>
      </w:fldSimple>
      <w:r w:rsidRPr="004C3641">
        <w:t>:</w:t>
      </w:r>
      <w:r>
        <w:fldChar w:fldCharType="begin"/>
      </w:r>
      <w:r>
        <w:instrText xml:space="preserve"> TC "</w:instrText>
      </w:r>
      <w:r>
        <w:fldChar w:fldCharType="begin"/>
      </w:r>
      <w:r>
        <w:instrText xml:space="preserve"> SEQ issue \c </w:instrText>
      </w:r>
      <w:r>
        <w:fldChar w:fldCharType="separate"/>
      </w:r>
      <w:r w:rsidR="00237579">
        <w:rPr>
          <w:noProof/>
        </w:rPr>
        <w:instrText>1</w:instrText>
      </w:r>
      <w:r>
        <w:fldChar w:fldCharType="end"/>
      </w:r>
      <w:r>
        <w:tab/>
        <w:instrText xml:space="preserve">" \l 1 </w:instrText>
      </w:r>
      <w:r>
        <w:fldChar w:fldCharType="end"/>
      </w:r>
      <w:r>
        <w:t> </w:t>
      </w:r>
    </w:p>
    <w:p w14:paraId="25F4DB8C" w14:textId="77777777" w:rsidR="00511D1A" w:rsidRDefault="00511D1A">
      <w:pPr>
        <w:pStyle w:val="BodyText"/>
      </w:pPr>
      <w:r>
        <w:t> </w:t>
      </w:r>
      <w:r w:rsidR="008A558D">
        <w:t>Should the Commission approve cost recovery of the negotiated purchased power agreement between Pasco and TECO?</w:t>
      </w:r>
    </w:p>
    <w:p w14:paraId="3D9749B3" w14:textId="77777777" w:rsidR="00511D1A" w:rsidRPr="004C3641" w:rsidRDefault="00511D1A">
      <w:pPr>
        <w:pStyle w:val="IssueSubsectionHeading"/>
        <w:rPr>
          <w:vanish/>
          <w:specVanish/>
        </w:rPr>
      </w:pPr>
      <w:r w:rsidRPr="004C3641">
        <w:t>Recommendation: </w:t>
      </w:r>
    </w:p>
    <w:p w14:paraId="6FF32893" w14:textId="1638BA04" w:rsidR="00511D1A" w:rsidRDefault="00511D1A">
      <w:pPr>
        <w:pStyle w:val="BodyText"/>
      </w:pPr>
      <w:r>
        <w:t> </w:t>
      </w:r>
      <w:r w:rsidR="00D720B0">
        <w:t xml:space="preserve">Yes, the fixed energy priced agreement should be approved. However, in order to minimize risks to ratepayers, all transmission costs above the negotiated cost cap contained in the agreement and future costs associated with renewable energy credits should not be approved for cost recovery at this time. </w:t>
      </w:r>
      <w:r w:rsidR="00302E0C">
        <w:t>(Davis)</w:t>
      </w:r>
    </w:p>
    <w:p w14:paraId="6DEB8B88" w14:textId="77777777" w:rsidR="00511D1A" w:rsidRPr="004C3641" w:rsidRDefault="00511D1A">
      <w:pPr>
        <w:pStyle w:val="IssueSubsectionHeading"/>
        <w:rPr>
          <w:vanish/>
          <w:specVanish/>
        </w:rPr>
      </w:pPr>
      <w:r w:rsidRPr="004C3641">
        <w:t>Staff Analysis: </w:t>
      </w:r>
    </w:p>
    <w:p w14:paraId="0054D8F8" w14:textId="28171CEA" w:rsidR="00302E0C" w:rsidRDefault="00511D1A" w:rsidP="00302E0C">
      <w:pPr>
        <w:pStyle w:val="BodyText"/>
      </w:pPr>
      <w:r>
        <w:t> </w:t>
      </w:r>
      <w:r w:rsidR="00302E0C">
        <w:t>Pasco proposes to sell 21 MW</w:t>
      </w:r>
      <w:r w:rsidR="001D4004">
        <w:t xml:space="preserve"> from its WTE facility</w:t>
      </w:r>
      <w:r w:rsidR="00AF35C9">
        <w:t xml:space="preserve"> (</w:t>
      </w:r>
      <w:r w:rsidR="00302E0C">
        <w:t>with an option to increase up to 25 MW when planned facility upgrades are completed</w:t>
      </w:r>
      <w:r w:rsidR="00AF35C9">
        <w:t>)</w:t>
      </w:r>
      <w:r w:rsidR="00302E0C">
        <w:t xml:space="preserve"> of firm capacity and energy</w:t>
      </w:r>
      <w:r w:rsidR="00302E0C" w:rsidRPr="0014542D">
        <w:t xml:space="preserve"> </w:t>
      </w:r>
      <w:r w:rsidR="00302E0C">
        <w:t xml:space="preserve">at a 92 percent monthly availability to TECO for a term from January 1, 2025, through December 31, 2034. </w:t>
      </w:r>
      <w:r w:rsidR="00AE4AAC">
        <w:t xml:space="preserve">The date of planned facility upgrades are not known at this time. </w:t>
      </w:r>
      <w:r w:rsidR="00302E0C">
        <w:t xml:space="preserve">The facility will use municipal solid waste as its primary fuel, a source of renewable energy pursuant to </w:t>
      </w:r>
      <w:r w:rsidR="00CA58E6">
        <w:t xml:space="preserve">Section </w:t>
      </w:r>
      <w:r w:rsidR="00302E0C">
        <w:t>366.91</w:t>
      </w:r>
      <w:r w:rsidR="00CA58E6">
        <w:t>(2)</w:t>
      </w:r>
      <w:r w:rsidR="00302E0C">
        <w:t xml:space="preserve">(e), F.S. The price structure in the contract has no capacity payment, but an “all-in” </w:t>
      </w:r>
      <w:r w:rsidR="00083E2E">
        <w:t xml:space="preserve">confidential </w:t>
      </w:r>
      <w:r w:rsidR="00AE4AAC">
        <w:t>dollars</w:t>
      </w:r>
      <w:r w:rsidR="00A94ACB">
        <w:t xml:space="preserve"> per </w:t>
      </w:r>
      <w:r w:rsidR="00920F89">
        <w:t>megawatt-hour (</w:t>
      </w:r>
      <w:r w:rsidR="00083E2E">
        <w:t>MWh</w:t>
      </w:r>
      <w:r w:rsidR="00920F89">
        <w:t>)</w:t>
      </w:r>
      <w:r w:rsidR="00A94ACB">
        <w:t xml:space="preserve"> </w:t>
      </w:r>
      <w:r w:rsidR="00302E0C">
        <w:t xml:space="preserve">energy rate payment. The initial </w:t>
      </w:r>
      <w:r w:rsidR="00A94ACB">
        <w:t xml:space="preserve">rate </w:t>
      </w:r>
      <w:r w:rsidR="00237579">
        <w:t>is fixed for the first 5</w:t>
      </w:r>
      <w:r w:rsidR="00302E0C">
        <w:t xml:space="preserve"> years and steps up to a higher energy price in years 6-10. </w:t>
      </w:r>
    </w:p>
    <w:p w14:paraId="52145F9C" w14:textId="3ADD7382" w:rsidR="00302E0C" w:rsidRDefault="0088201A" w:rsidP="00302E0C">
      <w:pPr>
        <w:pStyle w:val="BodyText"/>
      </w:pPr>
      <w:r>
        <w:t xml:space="preserve">The contract has two notable features relating to transmission and </w:t>
      </w:r>
      <w:r w:rsidR="00481079">
        <w:t>renewable energy credits</w:t>
      </w:r>
      <w:r w:rsidR="00920F89">
        <w:t xml:space="preserve"> (</w:t>
      </w:r>
      <w:r>
        <w:t>RECs</w:t>
      </w:r>
      <w:r w:rsidR="00920F89">
        <w:t>)</w:t>
      </w:r>
      <w:r>
        <w:t>. Regarding transmission, as the Pasco WTE Facility is interconnected and located within DEF’s service territory, it will require use of a portion of DEF’s transmission capacity to deliver energy to a delivery point with TECO</w:t>
      </w:r>
      <w:r w:rsidRPr="00F76EDF">
        <w:t xml:space="preserve">. Traditionally, a QF such as Pasco would request this service and pay DEF for the transmission service pursuant to Rule 25-17.0889, Florida Administrative Code (F.A.C.). However, Section 5 of the PPA makes TECO responsible for requesting and securing the required </w:t>
      </w:r>
      <w:r>
        <w:t>transmission</w:t>
      </w:r>
      <w:r w:rsidRPr="00F76EDF">
        <w:t xml:space="preserve"> service from DEF and for paying all costs </w:t>
      </w:r>
      <w:r>
        <w:t>including potential transmission studies, system upgrades if needed, and transmission capacity fees based on DEF’s Open Access Transmission Tariff (OATT). TECO’s monthly payments to Pasco would be reduced by the amount of the transmission expenses incurred below the negotiated c</w:t>
      </w:r>
      <w:r w:rsidRPr="00F76EDF">
        <w:t xml:space="preserve">ost </w:t>
      </w:r>
      <w:r>
        <w:t>c</w:t>
      </w:r>
      <w:r w:rsidRPr="00F76EDF">
        <w:t>ap</w:t>
      </w:r>
      <w:r>
        <w:t>. In essence, such treatment would assign the cost of transmission service to Pasco, consistent with Rule 25-17.0889, F.A.C. However, any transmission expenses above the cost cap, including transmission studies and system upgrades, would be paid by TECO and potentially recovered through the Fuel and Purchased Power Cost Recovery Clause (Fuel Clause).</w:t>
      </w:r>
    </w:p>
    <w:p w14:paraId="72A4C261" w14:textId="6C7C4C16" w:rsidR="00302E0C" w:rsidRDefault="00302E0C" w:rsidP="00302E0C">
      <w:pPr>
        <w:pStyle w:val="BodyText"/>
      </w:pPr>
      <w:r w:rsidRPr="006D5A26">
        <w:t>The other notable feature relates to RECs.</w:t>
      </w:r>
      <w:r w:rsidR="00733313">
        <w:t xml:space="preserve"> </w:t>
      </w:r>
      <w:r w:rsidR="00635DFE">
        <w:t xml:space="preserve">RECs are </w:t>
      </w:r>
      <w:r w:rsidR="00083E2E">
        <w:t xml:space="preserve">tradeable </w:t>
      </w:r>
      <w:r w:rsidR="00635DFE">
        <w:t>renewable energy credits</w:t>
      </w:r>
      <w:r w:rsidR="00083E2E">
        <w:t>, which can be certified to represent the production of energy</w:t>
      </w:r>
      <w:r w:rsidR="00635DFE">
        <w:t xml:space="preserve"> from a renewable power source </w:t>
      </w:r>
      <w:r w:rsidR="00083E2E">
        <w:t>typically in increments of 1 MWh</w:t>
      </w:r>
      <w:r w:rsidR="00635DFE">
        <w:t>.</w:t>
      </w:r>
      <w:r w:rsidR="00083E2E">
        <w:t xml:space="preserve"> An entity can purchase a REC in order to retire it to either meet a regulatory requirement (such as a state or federal renewable portfolio standard) or to otherwise claim the environmental aspects of the energy produced.</w:t>
      </w:r>
      <w:r w:rsidR="00A94ACB">
        <w:t xml:space="preserve"> </w:t>
      </w:r>
      <w:r w:rsidRPr="006D5A26">
        <w:t>TECO will receive the RECs associated with the energy purchased through the contract at no cost, with some caveats. These caveats include two main components: (1)</w:t>
      </w:r>
      <w:r w:rsidR="00083E2E">
        <w:t xml:space="preserve"> </w:t>
      </w:r>
      <w:r w:rsidR="008E3E76">
        <w:t>i</w:t>
      </w:r>
      <w:r w:rsidRPr="006D5A26">
        <w:t>f federal or state legislation establish a value for RECs, TECO would be</w:t>
      </w:r>
      <w:r>
        <w:t xml:space="preserve"> required to pay the larger of these two values</w:t>
      </w:r>
      <w:r w:rsidR="006E5734">
        <w:t xml:space="preserve"> to Pasco</w:t>
      </w:r>
      <w:r w:rsidR="008E3E76">
        <w:t>;</w:t>
      </w:r>
      <w:r>
        <w:t xml:space="preserve"> and (2) </w:t>
      </w:r>
      <w:r w:rsidR="008E3E76">
        <w:t>i</w:t>
      </w:r>
      <w:r>
        <w:t>f Pasco is able to find a third party buyer, TECO would be required to sell them to the third party and provide the proceeds to Pasco or purcha</w:t>
      </w:r>
      <w:r w:rsidR="00923FCC">
        <w:t xml:space="preserve">se the RECs themselves, in a de </w:t>
      </w:r>
      <w:r>
        <w:t xml:space="preserve">facto right of </w:t>
      </w:r>
      <w:r w:rsidR="00923FCC">
        <w:t xml:space="preserve">first </w:t>
      </w:r>
      <w:r>
        <w:t xml:space="preserve">refusal arrangement. </w:t>
      </w:r>
      <w:r w:rsidRPr="00401B61">
        <w:t xml:space="preserve">In the latter scenario, REC payments would also </w:t>
      </w:r>
      <w:r w:rsidR="00920F89">
        <w:t>be applied to the transmission cost c</w:t>
      </w:r>
      <w:r w:rsidRPr="00401B61">
        <w:t>ap, potentially reducing amounts paid by TECO.</w:t>
      </w:r>
    </w:p>
    <w:p w14:paraId="35C2023E" w14:textId="46EC7BE5" w:rsidR="008A558D" w:rsidRDefault="00302E0C" w:rsidP="00302E0C">
      <w:pPr>
        <w:pStyle w:val="BodyText"/>
      </w:pPr>
      <w:r w:rsidRPr="00A071FA">
        <w:lastRenderedPageBreak/>
        <w:t>Rule 25-17.0832(3), F.A.C., s</w:t>
      </w:r>
      <w:r>
        <w:t>tates that in reviewing negotiated firm capacity and energy contracts for the purpose of cost recovery, the Commission shall consider factors relating to the contract that would impact the utility's customers, including: need for power by purchasing utility and/or Florida utilities statewide, the cost-effectiveness of the contract, security provisions for early payments, and performance guarantees associated with the facility. These factors are evaluated below.</w:t>
      </w:r>
      <w:r w:rsidR="008A558D">
        <w:t xml:space="preserve"> </w:t>
      </w:r>
    </w:p>
    <w:p w14:paraId="6EDCD9DD" w14:textId="77777777" w:rsidR="008A558D" w:rsidRDefault="008A558D" w:rsidP="008A558D">
      <w:pPr>
        <w:pStyle w:val="First-LevelSubheading"/>
      </w:pPr>
      <w:r>
        <w:t>Need for Power</w:t>
      </w:r>
    </w:p>
    <w:p w14:paraId="299EEF38" w14:textId="683C53B1" w:rsidR="008A558D" w:rsidRDefault="00302E0C" w:rsidP="008A558D">
      <w:pPr>
        <w:pStyle w:val="BodyText"/>
      </w:pPr>
      <w:r>
        <w:t>Based on TECO’s 2022 Ten-Year Site Plan (TYSP), the next planned capacity addition that could be avoided is a natural gas-fired reciprocating engine, rated at 18.7 MW with an in-service date of January 1, 2028. Therefore, the PPA’s firm capacity of 21 MW could defer the construction of the future generation unit for the duration of the PPA. As TECO is projected to rely upon natural gas for up to 85 percent of its energy during the contract period</w:t>
      </w:r>
      <w:r w:rsidR="008E3E76">
        <w:t>,</w:t>
      </w:r>
      <w:r>
        <w:t xml:space="preserve"> according to its 2022 TYSP, the PPA would improve the Company’s fuel diversity by increasing the contribution of renewable resources. Therefore, staff believes the proposed negotiated contract will enhance TECO's system reliability and increase TECO’s fuel diversity.</w:t>
      </w:r>
    </w:p>
    <w:p w14:paraId="514BFB9A" w14:textId="77777777" w:rsidR="008A558D" w:rsidRDefault="008A558D" w:rsidP="008A558D">
      <w:pPr>
        <w:pStyle w:val="First-LevelSubheading"/>
      </w:pPr>
      <w:r>
        <w:t>Cost-Effectiveness</w:t>
      </w:r>
    </w:p>
    <w:p w14:paraId="6B002EFD" w14:textId="3E79DAE2" w:rsidR="00511D1A" w:rsidRDefault="003E0D9E" w:rsidP="008A558D">
      <w:pPr>
        <w:pStyle w:val="BodyText"/>
      </w:pPr>
      <w:r>
        <w:t xml:space="preserve">Rule 25-17.0832(3)(b), F.A.C., states in part that the Commission should consider whether the cumulative present worth of payments to a </w:t>
      </w:r>
      <w:r w:rsidR="007A5599">
        <w:t xml:space="preserve">QF </w:t>
      </w:r>
      <w:r>
        <w:t xml:space="preserve">are no greater than the cumulative present worth of the purchasing utility's avoided cost </w:t>
      </w:r>
      <w:r w:rsidR="007A5599">
        <w:t>of capacity and energy. In its p</w:t>
      </w:r>
      <w:r>
        <w:t>etition, TECO stated that the estimated benefits of the PPA ranged from $4.3 million to $11.4 million on a net present value (NPV) basis. The reason for the savings are primarily reduced fuel, with other avoided costs including deferred generation capital, fixed O&amp;M</w:t>
      </w:r>
      <w:r w:rsidR="007A5599">
        <w:t>,</w:t>
      </w:r>
      <w:r>
        <w:t xml:space="preserve"> and deferred natural gas transport. The break-even point for </w:t>
      </w:r>
      <w:r w:rsidR="007A5599">
        <w:t>the cost-effectiveness of the PP</w:t>
      </w:r>
      <w:r>
        <w:t>A occurs in the first year of the contract for both the low and high savings range. The range is dependent upon when or if the facility upgrades from 21 MW to 25 MW, and the analysis includes the impact of system benefits from the avoided capacity and fuel, versus the costs of the PPA energy payments and DEF transmission costs. In response to Staff’s First Data Request, TECO stated that the cost-effectiveness was based on the Company’s 2021 TYSP, not the 2022 TYSP which was filed April 1, 2022, well before the filing of TECO’s petition. As a result, staff requested a revised analysis using the Company’s 2022 TYSP and the most recent available fuel forecasts.</w:t>
      </w:r>
      <w:r>
        <w:rPr>
          <w:rStyle w:val="FootnoteReference"/>
        </w:rPr>
        <w:footnoteReference w:id="1"/>
      </w:r>
      <w:r>
        <w:t xml:space="preserve"> In response to Staff’s Data Request, TECO provided that the cost-effectiveness now ranged fr</w:t>
      </w:r>
      <w:r w:rsidR="00631E85">
        <w:t>om $1.2 million to $9.0 million</w:t>
      </w:r>
      <w:r>
        <w:t xml:space="preserve"> </w:t>
      </w:r>
      <w:r w:rsidR="00236D46">
        <w:t xml:space="preserve">on a </w:t>
      </w:r>
      <w:r w:rsidRPr="006D5A26">
        <w:t>NPV</w:t>
      </w:r>
      <w:r>
        <w:t xml:space="preserve"> basis. The reason for the savings for this range is the same as the previous range</w:t>
      </w:r>
      <w:r w:rsidRPr="006D5A26">
        <w:t>.</w:t>
      </w:r>
      <w:r>
        <w:t xml:space="preserve"> The break-even point occurs in the first year for the 21 MW scenario and the third year for the 25 MW scenario. Table 1-1 summarizes the cost-effectiveness scenarios reviewed by staff for the PPA.</w:t>
      </w:r>
    </w:p>
    <w:p w14:paraId="658F363D" w14:textId="77777777" w:rsidR="009C573D" w:rsidRDefault="009C573D" w:rsidP="008A558D">
      <w:pPr>
        <w:pStyle w:val="BodyText"/>
      </w:pPr>
    </w:p>
    <w:p w14:paraId="6985DC6D" w14:textId="77777777" w:rsidR="009C573D" w:rsidRDefault="009C573D" w:rsidP="008A558D">
      <w:pPr>
        <w:pStyle w:val="BodyText"/>
        <w:sectPr w:rsidR="009C573D" w:rsidSect="0068481F">
          <w:headerReference w:type="default" r:id="rId11"/>
          <w:headerReference w:type="first" r:id="rId12"/>
          <w:footerReference w:type="first" r:id="rId13"/>
          <w:pgSz w:w="12240" w:h="15840" w:code="1"/>
          <w:pgMar w:top="1584" w:right="1440" w:bottom="1440" w:left="1440" w:header="720" w:footer="720" w:gutter="0"/>
          <w:cols w:space="720"/>
          <w:formProt w:val="0"/>
          <w:docGrid w:linePitch="360"/>
        </w:sectPr>
      </w:pPr>
    </w:p>
    <w:p w14:paraId="01F90F33" w14:textId="3BD2BE3F" w:rsidR="00302E0C" w:rsidRDefault="00302E0C" w:rsidP="00302E0C">
      <w:pPr>
        <w:pStyle w:val="TableNumber"/>
        <w:keepNext/>
      </w:pPr>
      <w:r>
        <w:t xml:space="preserve">Table </w:t>
      </w:r>
      <w:r w:rsidR="00E959FB">
        <w:fldChar w:fldCharType="begin"/>
      </w:r>
      <w:r w:rsidR="00E959FB">
        <w:instrText xml:space="preserve"> SEQ Issue \c </w:instrText>
      </w:r>
      <w:r w:rsidR="00E959FB">
        <w:fldChar w:fldCharType="separate"/>
      </w:r>
      <w:r w:rsidR="00237579">
        <w:rPr>
          <w:noProof/>
        </w:rPr>
        <w:t>1</w:t>
      </w:r>
      <w:r w:rsidR="00E959FB">
        <w:rPr>
          <w:noProof/>
        </w:rPr>
        <w:fldChar w:fldCharType="end"/>
      </w:r>
      <w:r>
        <w:t>-1</w:t>
      </w:r>
    </w:p>
    <w:p w14:paraId="4AC8D4AB" w14:textId="77777777" w:rsidR="00302E0C" w:rsidRDefault="00302E0C" w:rsidP="00302E0C">
      <w:pPr>
        <w:pStyle w:val="TableTitle"/>
        <w:keepNext/>
      </w:pPr>
      <w:r>
        <w:t>PPA Savings Scenarios</w:t>
      </w:r>
    </w:p>
    <w:tbl>
      <w:tblPr>
        <w:tblStyle w:val="TableGrid"/>
        <w:tblW w:w="9548" w:type="dxa"/>
        <w:tblLook w:val="04A0" w:firstRow="1" w:lastRow="0" w:firstColumn="1" w:lastColumn="0" w:noHBand="0" w:noVBand="1"/>
      </w:tblPr>
      <w:tblGrid>
        <w:gridCol w:w="4630"/>
        <w:gridCol w:w="2418"/>
        <w:gridCol w:w="2489"/>
        <w:gridCol w:w="11"/>
      </w:tblGrid>
      <w:tr w:rsidR="00302E0C" w14:paraId="4DC0DAA2" w14:textId="77777777" w:rsidTr="00A30A26">
        <w:trPr>
          <w:gridAfter w:val="1"/>
          <w:wAfter w:w="11" w:type="dxa"/>
        </w:trPr>
        <w:tc>
          <w:tcPr>
            <w:tcW w:w="4630" w:type="dxa"/>
            <w:vMerge w:val="restart"/>
            <w:vAlign w:val="center"/>
          </w:tcPr>
          <w:p w14:paraId="159391DB" w14:textId="77777777" w:rsidR="00302E0C" w:rsidRDefault="00302E0C" w:rsidP="00A30A26">
            <w:pPr>
              <w:jc w:val="center"/>
            </w:pPr>
            <w:r>
              <w:t>Scenario</w:t>
            </w:r>
          </w:p>
        </w:tc>
        <w:tc>
          <w:tcPr>
            <w:tcW w:w="4907" w:type="dxa"/>
            <w:gridSpan w:val="2"/>
            <w:vAlign w:val="center"/>
          </w:tcPr>
          <w:p w14:paraId="594F2EBC" w14:textId="10B01506" w:rsidR="00302E0C" w:rsidRDefault="00302E0C">
            <w:pPr>
              <w:jc w:val="center"/>
            </w:pPr>
            <w:r>
              <w:t>Savings ($</w:t>
            </w:r>
            <w:r w:rsidR="00A94ACB">
              <w:t>million</w:t>
            </w:r>
            <w:r>
              <w:t>)</w:t>
            </w:r>
          </w:p>
        </w:tc>
      </w:tr>
      <w:tr w:rsidR="00302E0C" w14:paraId="0DF66375" w14:textId="77777777" w:rsidTr="00A30A26">
        <w:tc>
          <w:tcPr>
            <w:tcW w:w="4630" w:type="dxa"/>
            <w:vMerge/>
            <w:vAlign w:val="center"/>
          </w:tcPr>
          <w:p w14:paraId="7A9047BF" w14:textId="77777777" w:rsidR="00302E0C" w:rsidRDefault="00302E0C" w:rsidP="00A30A26">
            <w:pPr>
              <w:jc w:val="center"/>
            </w:pPr>
          </w:p>
        </w:tc>
        <w:tc>
          <w:tcPr>
            <w:tcW w:w="2418" w:type="dxa"/>
            <w:vAlign w:val="center"/>
          </w:tcPr>
          <w:p w14:paraId="0C1D74DC" w14:textId="10226461" w:rsidR="00302E0C" w:rsidRDefault="00302E0C" w:rsidP="00A30A26">
            <w:pPr>
              <w:jc w:val="center"/>
            </w:pPr>
            <w:r>
              <w:t>High</w:t>
            </w:r>
            <w:r w:rsidR="00B910D0">
              <w:t xml:space="preserve"> (21 MW)</w:t>
            </w:r>
          </w:p>
        </w:tc>
        <w:tc>
          <w:tcPr>
            <w:tcW w:w="2500" w:type="dxa"/>
            <w:gridSpan w:val="2"/>
            <w:vAlign w:val="center"/>
          </w:tcPr>
          <w:p w14:paraId="6118C2CF" w14:textId="50D05E7A" w:rsidR="00302E0C" w:rsidRDefault="00302E0C" w:rsidP="00A30A26">
            <w:pPr>
              <w:jc w:val="center"/>
            </w:pPr>
            <w:r>
              <w:t>Low</w:t>
            </w:r>
            <w:r w:rsidR="00B910D0">
              <w:t xml:space="preserve"> (25 MW)</w:t>
            </w:r>
          </w:p>
        </w:tc>
      </w:tr>
      <w:tr w:rsidR="00302E0C" w14:paraId="53DAF627" w14:textId="77777777" w:rsidTr="00A30A26">
        <w:tc>
          <w:tcPr>
            <w:tcW w:w="4630" w:type="dxa"/>
          </w:tcPr>
          <w:p w14:paraId="40523454" w14:textId="77777777" w:rsidR="00302E0C" w:rsidRDefault="00302E0C" w:rsidP="00A30A26">
            <w:r>
              <w:t>Petition: 2021 TYSP and Fuel Forecast</w:t>
            </w:r>
          </w:p>
        </w:tc>
        <w:tc>
          <w:tcPr>
            <w:tcW w:w="2418" w:type="dxa"/>
          </w:tcPr>
          <w:p w14:paraId="2CAE5687" w14:textId="77777777" w:rsidR="00302E0C" w:rsidRDefault="00302E0C" w:rsidP="00A30A26">
            <w:pPr>
              <w:jc w:val="center"/>
            </w:pPr>
            <w:r>
              <w:t>$11.4</w:t>
            </w:r>
          </w:p>
        </w:tc>
        <w:tc>
          <w:tcPr>
            <w:tcW w:w="2500" w:type="dxa"/>
            <w:gridSpan w:val="2"/>
          </w:tcPr>
          <w:p w14:paraId="373A54FB" w14:textId="77777777" w:rsidR="00302E0C" w:rsidRDefault="00302E0C" w:rsidP="00A30A26">
            <w:pPr>
              <w:jc w:val="center"/>
            </w:pPr>
            <w:r>
              <w:t>$4.3</w:t>
            </w:r>
          </w:p>
        </w:tc>
      </w:tr>
      <w:tr w:rsidR="00302E0C" w14:paraId="7603F99C" w14:textId="77777777" w:rsidTr="00A30A26">
        <w:tc>
          <w:tcPr>
            <w:tcW w:w="4630" w:type="dxa"/>
          </w:tcPr>
          <w:p w14:paraId="12220F43" w14:textId="77777777" w:rsidR="00302E0C" w:rsidRDefault="00302E0C" w:rsidP="00A30A26">
            <w:r>
              <w:t>Revised: 2022 TYSP and 01/23 Fuel Forecast</w:t>
            </w:r>
          </w:p>
        </w:tc>
        <w:tc>
          <w:tcPr>
            <w:tcW w:w="2418" w:type="dxa"/>
          </w:tcPr>
          <w:p w14:paraId="3FB02FB1" w14:textId="77777777" w:rsidR="00302E0C" w:rsidRDefault="00302E0C" w:rsidP="00A30A26">
            <w:pPr>
              <w:jc w:val="center"/>
            </w:pPr>
            <w:r>
              <w:t>$9.0</w:t>
            </w:r>
          </w:p>
        </w:tc>
        <w:tc>
          <w:tcPr>
            <w:tcW w:w="2500" w:type="dxa"/>
            <w:gridSpan w:val="2"/>
          </w:tcPr>
          <w:p w14:paraId="65227589" w14:textId="77777777" w:rsidR="00302E0C" w:rsidRDefault="00302E0C" w:rsidP="00A30A26">
            <w:pPr>
              <w:jc w:val="center"/>
            </w:pPr>
            <w:r>
              <w:t>$1.2</w:t>
            </w:r>
          </w:p>
        </w:tc>
      </w:tr>
    </w:tbl>
    <w:p w14:paraId="118BC4A5" w14:textId="61A0DCF0" w:rsidR="008A558D" w:rsidRDefault="00302E0C" w:rsidP="008A558D">
      <w:pPr>
        <w:pStyle w:val="TableSource"/>
      </w:pPr>
      <w:r w:rsidRPr="008A558D">
        <w:rPr>
          <w:sz w:val="20"/>
          <w:szCs w:val="20"/>
        </w:rPr>
        <w:t>Source:</w:t>
      </w:r>
      <w:r>
        <w:t xml:space="preserve"> </w:t>
      </w:r>
      <w:r w:rsidRPr="00EB01A2">
        <w:rPr>
          <w:sz w:val="20"/>
          <w:szCs w:val="20"/>
        </w:rPr>
        <w:t xml:space="preserve">TECO’s Response to Staff’s </w:t>
      </w:r>
      <w:r>
        <w:rPr>
          <w:sz w:val="20"/>
          <w:szCs w:val="20"/>
        </w:rPr>
        <w:t>First</w:t>
      </w:r>
      <w:r w:rsidRPr="00EB01A2">
        <w:rPr>
          <w:sz w:val="20"/>
          <w:szCs w:val="20"/>
        </w:rPr>
        <w:t xml:space="preserve"> Data Request.</w:t>
      </w:r>
      <w:r w:rsidRPr="00CC0C04">
        <w:rPr>
          <w:rStyle w:val="FootnoteReference"/>
        </w:rPr>
        <w:footnoteReference w:id="2"/>
      </w:r>
    </w:p>
    <w:p w14:paraId="3A03A1DE" w14:textId="77777777" w:rsidR="008A558D" w:rsidRDefault="008A558D" w:rsidP="008A558D">
      <w:pPr>
        <w:pStyle w:val="Second-LevelSubheading"/>
      </w:pPr>
      <w:r>
        <w:t>Economic Risks</w:t>
      </w:r>
    </w:p>
    <w:p w14:paraId="386596C5" w14:textId="535D9E85" w:rsidR="00302E0C" w:rsidRDefault="009C573D" w:rsidP="00302E0C">
      <w:pPr>
        <w:pStyle w:val="BodyText"/>
      </w:pPr>
      <w:r>
        <w:t>Because the PPA includes fixed energy rate payments, the rates are not allowed to float with changes to TECO’s system fuel costs. This allocates all the risk of fuel price fluctuations from the Pasco WTE Facility to TECO’s ratepayers. For example, if fuel costs do not escalate as quickly as projected in the cost-effectiveness analyses, it may result in a loss to customers. Conversely, if fuel costs escalate faster, customers would see an increased benefit. Regardless, TECO would remain obligated to pay the contracted rate and may seek to recover the costs from the ratepayers through the Fuel Clause, subject to Commission review.</w:t>
      </w:r>
    </w:p>
    <w:p w14:paraId="2AAEDCB1" w14:textId="7DC7A216" w:rsidR="00781D46" w:rsidRDefault="00302E0C" w:rsidP="00B910D0">
      <w:pPr>
        <w:pStyle w:val="BodyText"/>
      </w:pPr>
      <w:r>
        <w:t>In</w:t>
      </w:r>
      <w:r w:rsidR="00010D46">
        <w:t xml:space="preserve"> a previous docket</w:t>
      </w:r>
      <w:r>
        <w:t>, the Commission has expressed concerns regarding fixed price contracts.</w:t>
      </w:r>
      <w:r>
        <w:rPr>
          <w:rStyle w:val="FootnoteReference"/>
        </w:rPr>
        <w:footnoteReference w:id="3"/>
      </w:r>
      <w:r>
        <w:t xml:space="preserve"> </w:t>
      </w:r>
      <w:r w:rsidR="00781D46">
        <w:t>In Docket No. 20110090-EQ, the Commission noted in its approval of a Progress Energy Florida</w:t>
      </w:r>
      <w:r w:rsidR="00C02E41">
        <w:t>, Inc.</w:t>
      </w:r>
      <w:r w:rsidR="00781D46">
        <w:t xml:space="preserve"> (PEF) PPA that also featured fixed energy rates for the duration of the contract, that: </w:t>
      </w:r>
    </w:p>
    <w:p w14:paraId="2DC7BBF2" w14:textId="6A267FCA" w:rsidR="00781D46" w:rsidRDefault="00781D46" w:rsidP="00063C1C">
      <w:pPr>
        <w:pStyle w:val="BodyText"/>
        <w:tabs>
          <w:tab w:val="num" w:pos="-57"/>
        </w:tabs>
        <w:spacing w:before="240"/>
        <w:ind w:left="720" w:right="720"/>
        <w:rPr>
          <w:shd w:val="clear" w:color="auto" w:fill="FFFFFF"/>
        </w:rPr>
      </w:pPr>
      <w:r>
        <w:t xml:space="preserve">While the company does not make a return on purchased power, it is responsible for protecting the ratepayers during negotiations with renewable power providers and should include terms and conditions that minimize risk to the company’s general body of ratepayers. By using fixed prices for all components of the contract, risks associated with fuel price fluctuations are shifted to the ratepayers, and away from the renewable generator. </w:t>
      </w:r>
      <w:r>
        <w:rPr>
          <w:shd w:val="clear" w:color="auto" w:fill="FFFFFF"/>
        </w:rPr>
        <w:t xml:space="preserve">PEF should strive in its future negotiations to be diligent in protecting its ratepayers from undue or excessive risk. </w:t>
      </w:r>
      <w:r>
        <w:t>Notwithstanding the benefits of a negotiated purchase power agreement, in negotiating future contracts and to protect the ratepayers, utilities and companies should strive to adhere to Rule 25-17.250, F.A.C., in that only a portion of the base energy costs associated with the avoided unit shall be fixed, and prospectively, utilities should strive not to established a “100 percent fixed” or a majority fixed base energy cost.</w:t>
      </w:r>
    </w:p>
    <w:p w14:paraId="2C55C43B" w14:textId="4C14DB85" w:rsidR="00302E0C" w:rsidRDefault="009C573D" w:rsidP="00302E0C">
      <w:pPr>
        <w:pStyle w:val="BodyText"/>
      </w:pPr>
      <w:r>
        <w:t xml:space="preserve">An example of this risk </w:t>
      </w:r>
      <w:r w:rsidR="00E17198">
        <w:t xml:space="preserve">posed to ratepayers </w:t>
      </w:r>
      <w:r>
        <w:t xml:space="preserve">is </w:t>
      </w:r>
      <w:r w:rsidR="00481079">
        <w:t xml:space="preserve">highlighted in </w:t>
      </w:r>
      <w:r>
        <w:t xml:space="preserve">the revised analysis requested by staff, with TECO noting a decrease in its fuel projections as part </w:t>
      </w:r>
      <w:r w:rsidR="00481079">
        <w:t xml:space="preserve">of </w:t>
      </w:r>
      <w:r>
        <w:t>its midcourse correction. Changes in forecasts, including fuel savings and other factors such as transmission rates and deferred capacity, reduced the NPV benefit as shown in Table 1-1.</w:t>
      </w:r>
    </w:p>
    <w:p w14:paraId="05E23045" w14:textId="17632DF2" w:rsidR="00302E0C" w:rsidRDefault="009C573D" w:rsidP="00302E0C">
      <w:pPr>
        <w:pStyle w:val="BodyText"/>
      </w:pPr>
      <w:r>
        <w:t xml:space="preserve">The </w:t>
      </w:r>
      <w:r w:rsidR="0047696B">
        <w:t xml:space="preserve">proposed </w:t>
      </w:r>
      <w:r>
        <w:t xml:space="preserve">PPA also exposes ratepayers to a new form of risk associated with transmission costs. The typical purchased power agreement assumes all transmission costs are carried by the QF. For example, in TECO’s </w:t>
      </w:r>
      <w:r w:rsidRPr="00B30502">
        <w:t>Standard Offer Contract</w:t>
      </w:r>
      <w:r>
        <w:t>, the QF is solely responsible for all cost to provide transmission to the point of interconnection with TECO.</w:t>
      </w:r>
      <w:r>
        <w:rPr>
          <w:rStyle w:val="FootnoteReference"/>
        </w:rPr>
        <w:footnoteReference w:id="4"/>
      </w:r>
      <w:r>
        <w:t xml:space="preserve"> As discussed above, the PPA assigns the cost of securing transmission service to TECO. The costs are then passed along to Pasco up to the negotiated cost cap. Based on the analysis provided by TECO, transmission costs above the cost cap are projected to be incurred by TECO no earlier than in year 4 of the 10-year contract, with transmission costs higher if Pasco is able to deliver at a higher output (up to 25 MW pursuant to the PPA). TECO describes the transmission cost risk as havin</w:t>
      </w:r>
      <w:r w:rsidR="00C45CFD">
        <w:t>g decreased between filing its p</w:t>
      </w:r>
      <w:r>
        <w:t>etition and the revised analysis requested by staff, as DEF’s transmission cost forec</w:t>
      </w:r>
      <w:r w:rsidR="00C45CFD">
        <w:t>ast was lower than used in the p</w:t>
      </w:r>
      <w:r>
        <w:t>etition’s analysis. However, the transmission cost above the negotiated cost cap remains a risk to ratepayers.</w:t>
      </w:r>
    </w:p>
    <w:p w14:paraId="51628A93" w14:textId="49E7EE31" w:rsidR="008A558D" w:rsidRDefault="00907F62" w:rsidP="00302E0C">
      <w:pPr>
        <w:pStyle w:val="BodyText"/>
      </w:pPr>
      <w:r>
        <w:t>While the contract is projected to be cost-effective based on the assumed transmission cost risks in TECO’s analysis, if the PPA is approved this cost could be passed</w:t>
      </w:r>
      <w:r w:rsidR="00841829">
        <w:t xml:space="preserve"> on to the ratepayers since the costs</w:t>
      </w:r>
      <w:r>
        <w:t xml:space="preserve"> are incurred by TECO as part of the PPA. In response to Staff’s Second</w:t>
      </w:r>
      <w:r w:rsidRPr="00B30502">
        <w:t xml:space="preserve"> Data Request</w:t>
      </w:r>
      <w:r>
        <w:t>,</w:t>
      </w:r>
      <w:r w:rsidRPr="00B30502">
        <w:t xml:space="preserve"> Questions Nos. 7 through 9</w:t>
      </w:r>
      <w:r>
        <w:t xml:space="preserve">, TECO stated that </w:t>
      </w:r>
      <w:r w:rsidR="00841829">
        <w:t>it</w:t>
      </w:r>
      <w:r>
        <w:t xml:space="preserve"> would not seek recovery for costs for transmission studies, upgrades and associated administrative costs with arranging transmission services.</w:t>
      </w:r>
      <w:r w:rsidRPr="003A5298">
        <w:rPr>
          <w:rStyle w:val="FootnoteReference"/>
        </w:rPr>
        <w:footnoteReference w:id="5"/>
      </w:r>
      <w:r>
        <w:t xml:space="preserve"> This still leaves ratepayers potentially liable for any transmission costs associated with DEF’s OATT above the cost cap. To be consistent with Rule 25-17.0889, F.A.C. and to prevent adding any transmission risks to ratepayers, staff recommends that all costs associated with transmission services above the cost cap should not be eligible for cost recovery at this time.</w:t>
      </w:r>
    </w:p>
    <w:p w14:paraId="4C6B1C7E" w14:textId="77777777" w:rsidR="008A558D" w:rsidRDefault="008A558D" w:rsidP="008A558D">
      <w:pPr>
        <w:pStyle w:val="Second-LevelSubheading"/>
      </w:pPr>
      <w:r>
        <w:t>Renewable Energy Credits</w:t>
      </w:r>
    </w:p>
    <w:p w14:paraId="4430E79D" w14:textId="3C946480" w:rsidR="008A558D" w:rsidRDefault="00051E1D" w:rsidP="008A558D">
      <w:pPr>
        <w:pStyle w:val="BodyText"/>
      </w:pPr>
      <w:r>
        <w:t xml:space="preserve">Based on the </w:t>
      </w:r>
      <w:r w:rsidR="0047696B">
        <w:t xml:space="preserve">proposed </w:t>
      </w:r>
      <w:r>
        <w:t xml:space="preserve">PPA, TECO will receive RECs when purchasing power through the contract at no cost to TECO, except under certain circumstances. If a monetary </w:t>
      </w:r>
      <w:r w:rsidR="00F20E4A">
        <w:t>value is established by a state</w:t>
      </w:r>
      <w:r>
        <w:t xml:space="preserve"> or federal government entity, the higher of the established governmental monetary values will be used as a basis of payment to Pasco. If no governmental monetary value is established, then Pasco has the option to market the RECs to a third party buyer. However, if Pasco is successful in finding a t</w:t>
      </w:r>
      <w:r w:rsidR="00F20E4A">
        <w:t xml:space="preserve">hird party buyer, TECO has a de </w:t>
      </w:r>
      <w:r>
        <w:t xml:space="preserve">facto right of first refusal. Under this scenario, TECO would either pay the market price or </w:t>
      </w:r>
      <w:r w:rsidR="00CC3495" w:rsidRPr="00CC3495">
        <w:t>sell the RECs to a third party buyer, and turn the proceeds over to Pasco.</w:t>
      </w:r>
      <w:r w:rsidDel="007F3E08">
        <w:t xml:space="preserve"> </w:t>
      </w:r>
      <w:r>
        <w:t xml:space="preserve">At this time, there is no federal or state legislation requiring the purchase of RECs. Staff recommends that the Commission’s approval of the PPA not be considered as approval of any future REC purchases pursuant to the PPA, but that TECO be required to demonstrate the need for their purchase </w:t>
      </w:r>
      <w:r w:rsidR="00422D3B">
        <w:t xml:space="preserve">if </w:t>
      </w:r>
      <w:r>
        <w:t>it seeks cost recovery in the future.</w:t>
      </w:r>
    </w:p>
    <w:p w14:paraId="233243B6" w14:textId="77777777" w:rsidR="008A558D" w:rsidRDefault="008A558D" w:rsidP="008A558D">
      <w:pPr>
        <w:pStyle w:val="First-LevelSubheading"/>
      </w:pPr>
      <w:r>
        <w:t>Security and Performance Guarantees</w:t>
      </w:r>
    </w:p>
    <w:p w14:paraId="5A5C5024" w14:textId="77777777" w:rsidR="00051E1D" w:rsidRDefault="00051E1D" w:rsidP="00051E1D">
      <w:pPr>
        <w:pStyle w:val="BodyText"/>
      </w:pPr>
      <w:r w:rsidRPr="00EF1AFF">
        <w:t xml:space="preserve">Security in this contract </w:t>
      </w:r>
      <w:r>
        <w:t xml:space="preserve">include </w:t>
      </w:r>
      <w:r w:rsidRPr="00EF1AFF">
        <w:t xml:space="preserve">provisions to ensure repayment of firm </w:t>
      </w:r>
      <w:r>
        <w:t xml:space="preserve">capacity </w:t>
      </w:r>
      <w:r w:rsidRPr="00EF1AFF">
        <w:t xml:space="preserve">and </w:t>
      </w:r>
      <w:r>
        <w:t xml:space="preserve">energy payments </w:t>
      </w:r>
      <w:r w:rsidRPr="00EF1AFF">
        <w:t>in the event that the qualifying facility fails to deliver firm capacity and energy pursuant to the terms and conditions of the contract.</w:t>
      </w:r>
      <w:r>
        <w:t xml:space="preserve"> Rule 25-17.0832(3)(c), F.A.C., requires the Commission to consider if such security is adequate for the contract. The QF is an existing facility which eliminates the risk of early “all-in” energy (which includes capacity) payments due to construction delays. However, the contract begins in year 2025 and the avoided unit is scheduled for 2028 implementation. If the QF defaults during this time period, the contract includes a termination payment table for determining compensation to TECO.</w:t>
      </w:r>
    </w:p>
    <w:p w14:paraId="227B69AB" w14:textId="0420DD50" w:rsidR="008A558D" w:rsidRDefault="00051E1D" w:rsidP="00051E1D">
      <w:pPr>
        <w:pStyle w:val="BodyText"/>
      </w:pPr>
      <w:r>
        <w:t xml:space="preserve">Performance guarantees, as included in this contract, detail how a </w:t>
      </w:r>
      <w:r w:rsidR="00B96301">
        <w:t>QF</w:t>
      </w:r>
      <w:r>
        <w:t xml:space="preserve"> is to operate and require financial penalties or other remedies should it fail to do so within the contract's terms and conditions. Rule 25-17.0832(3)(d), F.A.C., requires the Commission to consider whether the utility's </w:t>
      </w:r>
      <w:r w:rsidR="008C7DF6">
        <w:t>ratepayers</w:t>
      </w:r>
      <w:r>
        <w:t xml:space="preserve"> will be protected by the contract's terms. Staff has reviewed the performance guarantees contained in the negotiated contract and </w:t>
      </w:r>
      <w:r w:rsidR="00C45510">
        <w:t xml:space="preserve">believes they are </w:t>
      </w:r>
      <w:r>
        <w:t xml:space="preserve">adequate. These protections include a lower energy rate payment if Pasco WTE facility does not provide a monthly energy availability of at least 92 percent at TECO-DEF service territory boundary. Also, if </w:t>
      </w:r>
      <w:r w:rsidR="00907F62">
        <w:t xml:space="preserve">the </w:t>
      </w:r>
      <w:r>
        <w:t xml:space="preserve">Pasco WTE </w:t>
      </w:r>
      <w:r w:rsidR="00422D3B">
        <w:t>F</w:t>
      </w:r>
      <w:r>
        <w:t>acility has an availability less than 70 percent for any 6-months in a calendar year during the contract, this failure will be considered a default which means TECO can recover costs of obtaining replacement power from Pasco.</w:t>
      </w:r>
    </w:p>
    <w:p w14:paraId="739190DF" w14:textId="77777777" w:rsidR="008A558D" w:rsidRDefault="008A558D" w:rsidP="008A558D">
      <w:pPr>
        <w:pStyle w:val="First-LevelSubheading"/>
      </w:pPr>
      <w:r>
        <w:t>Conclusion</w:t>
      </w:r>
    </w:p>
    <w:p w14:paraId="326FAD5A" w14:textId="74D8CA76" w:rsidR="008A558D" w:rsidRDefault="00907F62" w:rsidP="008A558D">
      <w:pPr>
        <w:pStyle w:val="BodyText"/>
      </w:pPr>
      <w:r>
        <w:t>Based on TECO’s most recent planning assumptions, the fixed-price purchased power agreement is projected to provide TECO’s customers NPV benefits that range from $1.2 to $9.0 million over a ten year period.</w:t>
      </w:r>
      <w:r w:rsidRPr="00383557">
        <w:t xml:space="preserve"> </w:t>
      </w:r>
      <w:r>
        <w:t>However, in order to minimize risks to ratepayers, all transmission costs above the negotiated cost cap contained in the agreement and future costs associated with renewable energy credits should not be approved for cost recovery at this time.</w:t>
      </w:r>
    </w:p>
    <w:p w14:paraId="015A36BB" w14:textId="77777777" w:rsidR="008A558D" w:rsidRDefault="008A558D" w:rsidP="008A558D">
      <w:pPr>
        <w:pStyle w:val="BodyText"/>
      </w:pPr>
    </w:p>
    <w:p w14:paraId="7CF26006" w14:textId="7F8EF84C" w:rsidR="00511D1A" w:rsidRDefault="00511D1A">
      <w:pPr>
        <w:pStyle w:val="IssueHeading"/>
        <w:rPr>
          <w:vanish/>
          <w:specVanish/>
        </w:rPr>
      </w:pPr>
      <w:r w:rsidRPr="004C3641">
        <w:rPr>
          <w:b w:val="0"/>
          <w:i w:val="0"/>
        </w:rPr>
        <w:br w:type="page"/>
      </w:r>
      <w:r w:rsidRPr="004C3641">
        <w:t xml:space="preserve">Issue </w:t>
      </w:r>
      <w:fldSimple w:instr=" SEQ Issue \* MERGEFORMAT ">
        <w:r w:rsidR="00237579">
          <w:rPr>
            <w:noProof/>
          </w:rPr>
          <w:t>2</w:t>
        </w:r>
      </w:fldSimple>
      <w:r w:rsidRPr="004C3641">
        <w:t>:</w:t>
      </w:r>
      <w:r>
        <w:fldChar w:fldCharType="begin"/>
      </w:r>
      <w:r>
        <w:instrText xml:space="preserve"> TC "</w:instrText>
      </w:r>
      <w:r>
        <w:fldChar w:fldCharType="begin"/>
      </w:r>
      <w:r>
        <w:instrText xml:space="preserve"> SEQ issue \c </w:instrText>
      </w:r>
      <w:r>
        <w:fldChar w:fldCharType="separate"/>
      </w:r>
      <w:r w:rsidR="00237579">
        <w:rPr>
          <w:noProof/>
        </w:rPr>
        <w:instrText>2</w:instrText>
      </w:r>
      <w:r>
        <w:fldChar w:fldCharType="end"/>
      </w:r>
      <w:r>
        <w:tab/>
        <w:instrText xml:space="preserve">" \l 1 </w:instrText>
      </w:r>
      <w:r>
        <w:fldChar w:fldCharType="end"/>
      </w:r>
      <w:r>
        <w:t> </w:t>
      </w:r>
    </w:p>
    <w:p w14:paraId="795AB9F1" w14:textId="77777777" w:rsidR="00511D1A" w:rsidRDefault="00511D1A">
      <w:pPr>
        <w:pStyle w:val="BodyText"/>
      </w:pPr>
      <w:r>
        <w:t> Should this docket be closed?</w:t>
      </w:r>
    </w:p>
    <w:p w14:paraId="289C505B" w14:textId="77777777" w:rsidR="00511D1A" w:rsidRPr="004C3641" w:rsidRDefault="00511D1A">
      <w:pPr>
        <w:pStyle w:val="IssueSubsectionHeading"/>
        <w:rPr>
          <w:vanish/>
          <w:specVanish/>
        </w:rPr>
      </w:pPr>
      <w:r w:rsidRPr="004C3641">
        <w:t>Recommendation: </w:t>
      </w:r>
    </w:p>
    <w:p w14:paraId="0FC38C00" w14:textId="77777777" w:rsidR="00511D1A" w:rsidRDefault="00511D1A">
      <w:pPr>
        <w:pStyle w:val="BodyText"/>
      </w:pPr>
      <w:r>
        <w:t> </w:t>
      </w:r>
      <w:r w:rsidR="008A558D" w:rsidRPr="001974C7">
        <w:t>Yes. This docket should be closed upon issuance of a Consummating Order unless a person whose substantial interests are affected by the Commission's decision files a protest within 21 days of the issuance of the proposed agency action.</w:t>
      </w:r>
      <w:r w:rsidR="008A558D">
        <w:t xml:space="preserve"> (Thompson)</w:t>
      </w:r>
      <w:r>
        <w:t xml:space="preserve"> </w:t>
      </w:r>
    </w:p>
    <w:p w14:paraId="5BDEA6C7" w14:textId="77777777" w:rsidR="00511D1A" w:rsidRPr="004C3641" w:rsidRDefault="00511D1A">
      <w:pPr>
        <w:pStyle w:val="IssueSubsectionHeading"/>
        <w:rPr>
          <w:vanish/>
          <w:specVanish/>
        </w:rPr>
      </w:pPr>
      <w:r w:rsidRPr="004C3641">
        <w:t>Staff Analysis: </w:t>
      </w:r>
    </w:p>
    <w:p w14:paraId="07B104C7" w14:textId="736CF62C" w:rsidR="00511D1A" w:rsidRDefault="00511D1A">
      <w:pPr>
        <w:pStyle w:val="BodyText"/>
      </w:pPr>
      <w:r>
        <w:t> </w:t>
      </w:r>
      <w:r w:rsidR="008A558D" w:rsidRPr="001974C7">
        <w:t>This docket should be closed upon issuance of a Consummating Order unless a person whose substantial interests are affected by the Commission's decision files a protest within 21 days of the issuance of the proposed agency action.</w:t>
      </w:r>
    </w:p>
    <w:p w14:paraId="362CEEFF" w14:textId="77777777" w:rsidR="00F151B2" w:rsidRDefault="00F151B2">
      <w:pPr>
        <w:pStyle w:val="BodyText"/>
      </w:pPr>
    </w:p>
    <w:p w14:paraId="19273F4E" w14:textId="77777777" w:rsidR="006A1C2C" w:rsidRDefault="006A1C2C" w:rsidP="00E275D8">
      <w:pPr>
        <w:pStyle w:val="BodyText"/>
        <w:sectPr w:rsidR="006A1C2C" w:rsidSect="0068481F">
          <w:footerReference w:type="default" r:id="rId14"/>
          <w:pgSz w:w="12240" w:h="15840" w:code="1"/>
          <w:pgMar w:top="1584" w:right="1440" w:bottom="1440" w:left="1440" w:header="720" w:footer="720" w:gutter="0"/>
          <w:cols w:space="720"/>
          <w:formProt w:val="0"/>
          <w:docGrid w:linePitch="360"/>
        </w:sectPr>
      </w:pPr>
    </w:p>
    <w:p w14:paraId="22B6D461" w14:textId="67D9EDFC" w:rsidR="00F151B2" w:rsidRDefault="00F151B2" w:rsidP="00F151B2">
      <w:pPr>
        <w:pStyle w:val="BodyText"/>
      </w:pPr>
      <w:r>
        <w:rPr>
          <w:noProof/>
        </w:rPr>
        <w:drawing>
          <wp:inline distT="0" distB="0" distL="0" distR="0" wp14:anchorId="42AE3E2E" wp14:editId="59390D85">
            <wp:extent cx="5943600" cy="7691755"/>
            <wp:effectExtent l="0" t="0" r="0" b="4445"/>
            <wp:docPr id="41" name="Picture 41"/>
            <wp:cNvGraphicFramePr/>
            <a:graphic xmlns:a="http://schemas.openxmlformats.org/drawingml/2006/main">
              <a:graphicData uri="http://schemas.openxmlformats.org/drawingml/2006/picture">
                <pic:pic xmlns:pic="http://schemas.openxmlformats.org/drawingml/2006/picture">
                  <pic:nvPicPr>
                    <pic:cNvPr id="41" name=""/>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E8BC719" w14:textId="77777777" w:rsidR="00F151B2" w:rsidRDefault="00F151B2">
      <w:r>
        <w:br w:type="page"/>
      </w:r>
    </w:p>
    <w:p w14:paraId="5891AE56" w14:textId="57FAB679" w:rsidR="00F151B2" w:rsidRDefault="00F151B2" w:rsidP="00F151B2">
      <w:pPr>
        <w:pStyle w:val="BodyText"/>
      </w:pPr>
      <w:r>
        <w:rPr>
          <w:noProof/>
        </w:rPr>
        <w:drawing>
          <wp:inline distT="0" distB="0" distL="0" distR="0" wp14:anchorId="73C42DBF" wp14:editId="314A3D0E">
            <wp:extent cx="5943600" cy="7691755"/>
            <wp:effectExtent l="0" t="0" r="0" b="4445"/>
            <wp:docPr id="42" name="Picture 42"/>
            <wp:cNvGraphicFramePr/>
            <a:graphic xmlns:a="http://schemas.openxmlformats.org/drawingml/2006/main">
              <a:graphicData uri="http://schemas.openxmlformats.org/drawingml/2006/picture">
                <pic:pic xmlns:pic="http://schemas.openxmlformats.org/drawingml/2006/picture">
                  <pic:nvPicPr>
                    <pic:cNvPr id="42" name=""/>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8371719" w14:textId="77777777" w:rsidR="00F151B2" w:rsidRDefault="00F151B2">
      <w:r>
        <w:br w:type="page"/>
      </w:r>
    </w:p>
    <w:p w14:paraId="7B49C440" w14:textId="1EFDC3F9" w:rsidR="00F151B2" w:rsidRDefault="00F151B2" w:rsidP="00F151B2">
      <w:pPr>
        <w:pStyle w:val="BodyText"/>
      </w:pPr>
      <w:r>
        <w:rPr>
          <w:noProof/>
        </w:rPr>
        <w:drawing>
          <wp:inline distT="0" distB="0" distL="0" distR="0" wp14:anchorId="09767EA0" wp14:editId="018FA52C">
            <wp:extent cx="5943600" cy="7691755"/>
            <wp:effectExtent l="0" t="0" r="0" b="4445"/>
            <wp:docPr id="83" name="Picture 83"/>
            <wp:cNvGraphicFramePr/>
            <a:graphic xmlns:a="http://schemas.openxmlformats.org/drawingml/2006/main">
              <a:graphicData uri="http://schemas.openxmlformats.org/drawingml/2006/picture">
                <pic:pic xmlns:pic="http://schemas.openxmlformats.org/drawingml/2006/picture">
                  <pic:nvPicPr>
                    <pic:cNvPr id="83" name=""/>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853F3AA" w14:textId="77777777" w:rsidR="00F151B2" w:rsidRDefault="00F151B2">
      <w:r>
        <w:br w:type="page"/>
      </w:r>
    </w:p>
    <w:p w14:paraId="069BB866" w14:textId="6AC09A14" w:rsidR="00F151B2" w:rsidRDefault="00F151B2" w:rsidP="00F151B2">
      <w:pPr>
        <w:pStyle w:val="BodyText"/>
      </w:pPr>
      <w:r>
        <w:rPr>
          <w:noProof/>
        </w:rPr>
        <w:drawing>
          <wp:inline distT="0" distB="0" distL="0" distR="0" wp14:anchorId="45AEEEE2" wp14:editId="4F182A15">
            <wp:extent cx="5943600" cy="7691755"/>
            <wp:effectExtent l="0" t="0" r="0" b="4445"/>
            <wp:docPr id="84" name="Picture 84"/>
            <wp:cNvGraphicFramePr/>
            <a:graphic xmlns:a="http://schemas.openxmlformats.org/drawingml/2006/main">
              <a:graphicData uri="http://schemas.openxmlformats.org/drawingml/2006/picture">
                <pic:pic xmlns:pic="http://schemas.openxmlformats.org/drawingml/2006/picture">
                  <pic:nvPicPr>
                    <pic:cNvPr id="84" name=""/>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9E3E327" w14:textId="77777777" w:rsidR="00F151B2" w:rsidRDefault="00F151B2">
      <w:r>
        <w:br w:type="page"/>
      </w:r>
    </w:p>
    <w:p w14:paraId="410B54CA" w14:textId="5E1656DE" w:rsidR="00F151B2" w:rsidRDefault="00F151B2" w:rsidP="00F151B2">
      <w:pPr>
        <w:pStyle w:val="BodyText"/>
      </w:pPr>
      <w:r>
        <w:rPr>
          <w:noProof/>
        </w:rPr>
        <w:drawing>
          <wp:inline distT="0" distB="0" distL="0" distR="0" wp14:anchorId="3C4AA4C7" wp14:editId="5337C34E">
            <wp:extent cx="5943600" cy="7691755"/>
            <wp:effectExtent l="0" t="0" r="0" b="4445"/>
            <wp:docPr id="85" name="Picture 85"/>
            <wp:cNvGraphicFramePr/>
            <a:graphic xmlns:a="http://schemas.openxmlformats.org/drawingml/2006/main">
              <a:graphicData uri="http://schemas.openxmlformats.org/drawingml/2006/picture">
                <pic:pic xmlns:pic="http://schemas.openxmlformats.org/drawingml/2006/picture">
                  <pic:nvPicPr>
                    <pic:cNvPr id="85" name=""/>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A0F785D" w14:textId="77777777" w:rsidR="00F151B2" w:rsidRDefault="00F151B2">
      <w:r>
        <w:br w:type="page"/>
      </w:r>
    </w:p>
    <w:p w14:paraId="12F863B8" w14:textId="0F797D96" w:rsidR="00F151B2" w:rsidRDefault="00F151B2" w:rsidP="00F151B2">
      <w:pPr>
        <w:pStyle w:val="BodyText"/>
      </w:pPr>
      <w:r>
        <w:rPr>
          <w:noProof/>
        </w:rPr>
        <w:drawing>
          <wp:inline distT="0" distB="0" distL="0" distR="0" wp14:anchorId="5D90378A" wp14:editId="34ABF717">
            <wp:extent cx="5943600" cy="7691755"/>
            <wp:effectExtent l="0" t="0" r="0" b="4445"/>
            <wp:docPr id="86" name="Picture 86"/>
            <wp:cNvGraphicFramePr/>
            <a:graphic xmlns:a="http://schemas.openxmlformats.org/drawingml/2006/main">
              <a:graphicData uri="http://schemas.openxmlformats.org/drawingml/2006/picture">
                <pic:pic xmlns:pic="http://schemas.openxmlformats.org/drawingml/2006/picture">
                  <pic:nvPicPr>
                    <pic:cNvPr id="86" name=""/>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2D38C41" w14:textId="77777777" w:rsidR="00F151B2" w:rsidRDefault="00F151B2">
      <w:r>
        <w:br w:type="page"/>
      </w:r>
    </w:p>
    <w:p w14:paraId="0DBFBB1A" w14:textId="3CECDF0F" w:rsidR="00F151B2" w:rsidRDefault="00F151B2" w:rsidP="00F151B2">
      <w:pPr>
        <w:pStyle w:val="BodyText"/>
      </w:pPr>
      <w:r>
        <w:rPr>
          <w:noProof/>
        </w:rPr>
        <w:drawing>
          <wp:inline distT="0" distB="0" distL="0" distR="0" wp14:anchorId="11915092" wp14:editId="7047E40A">
            <wp:extent cx="5943600" cy="7691755"/>
            <wp:effectExtent l="0" t="0" r="0" b="4445"/>
            <wp:docPr id="87" name="Picture 87"/>
            <wp:cNvGraphicFramePr/>
            <a:graphic xmlns:a="http://schemas.openxmlformats.org/drawingml/2006/main">
              <a:graphicData uri="http://schemas.openxmlformats.org/drawingml/2006/picture">
                <pic:pic xmlns:pic="http://schemas.openxmlformats.org/drawingml/2006/picture">
                  <pic:nvPicPr>
                    <pic:cNvPr id="87" name=""/>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6361265" w14:textId="77777777" w:rsidR="00F151B2" w:rsidRDefault="00F151B2">
      <w:r>
        <w:br w:type="page"/>
      </w:r>
    </w:p>
    <w:p w14:paraId="6559B11F" w14:textId="6A52FC61" w:rsidR="00F151B2" w:rsidRDefault="00F151B2" w:rsidP="00F151B2">
      <w:pPr>
        <w:pStyle w:val="BodyText"/>
      </w:pPr>
      <w:r>
        <w:rPr>
          <w:noProof/>
        </w:rPr>
        <w:drawing>
          <wp:inline distT="0" distB="0" distL="0" distR="0" wp14:anchorId="21253E61" wp14:editId="17A110A5">
            <wp:extent cx="5943600" cy="7691755"/>
            <wp:effectExtent l="0" t="0" r="0" b="4445"/>
            <wp:docPr id="88" name="Picture 88"/>
            <wp:cNvGraphicFramePr/>
            <a:graphic xmlns:a="http://schemas.openxmlformats.org/drawingml/2006/main">
              <a:graphicData uri="http://schemas.openxmlformats.org/drawingml/2006/picture">
                <pic:pic xmlns:pic="http://schemas.openxmlformats.org/drawingml/2006/picture">
                  <pic:nvPicPr>
                    <pic:cNvPr id="88"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CA90EC7" w14:textId="77777777" w:rsidR="00F151B2" w:rsidRDefault="00F151B2">
      <w:r>
        <w:br w:type="page"/>
      </w:r>
    </w:p>
    <w:p w14:paraId="1662E0B3" w14:textId="2EDA0227" w:rsidR="00F151B2" w:rsidRDefault="00F151B2" w:rsidP="00F151B2">
      <w:pPr>
        <w:pStyle w:val="BodyText"/>
      </w:pPr>
      <w:r>
        <w:rPr>
          <w:noProof/>
        </w:rPr>
        <w:drawing>
          <wp:inline distT="0" distB="0" distL="0" distR="0" wp14:anchorId="24C17309" wp14:editId="1430B605">
            <wp:extent cx="5943600" cy="7691755"/>
            <wp:effectExtent l="0" t="0" r="0" b="4445"/>
            <wp:docPr id="89" name="Picture 89"/>
            <wp:cNvGraphicFramePr/>
            <a:graphic xmlns:a="http://schemas.openxmlformats.org/drawingml/2006/main">
              <a:graphicData uri="http://schemas.openxmlformats.org/drawingml/2006/picture">
                <pic:pic xmlns:pic="http://schemas.openxmlformats.org/drawingml/2006/picture">
                  <pic:nvPicPr>
                    <pic:cNvPr id="89" name=""/>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C914DF5" w14:textId="77777777" w:rsidR="00F151B2" w:rsidRDefault="00F151B2">
      <w:r>
        <w:br w:type="page"/>
      </w:r>
    </w:p>
    <w:p w14:paraId="519DD3FA" w14:textId="17ACA5DE" w:rsidR="00F151B2" w:rsidRDefault="00F151B2" w:rsidP="00F151B2">
      <w:pPr>
        <w:pStyle w:val="BodyText"/>
      </w:pPr>
      <w:r>
        <w:rPr>
          <w:noProof/>
        </w:rPr>
        <w:drawing>
          <wp:inline distT="0" distB="0" distL="0" distR="0" wp14:anchorId="7DDBBAAC" wp14:editId="017A50FD">
            <wp:extent cx="5943600" cy="7691755"/>
            <wp:effectExtent l="0" t="0" r="0" b="4445"/>
            <wp:docPr id="90" name="Picture 90"/>
            <wp:cNvGraphicFramePr/>
            <a:graphic xmlns:a="http://schemas.openxmlformats.org/drawingml/2006/main">
              <a:graphicData uri="http://schemas.openxmlformats.org/drawingml/2006/picture">
                <pic:pic xmlns:pic="http://schemas.openxmlformats.org/drawingml/2006/picture">
                  <pic:nvPicPr>
                    <pic:cNvPr id="90" name=""/>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563F21D" w14:textId="77777777" w:rsidR="00F151B2" w:rsidRDefault="00F151B2">
      <w:r>
        <w:br w:type="page"/>
      </w:r>
    </w:p>
    <w:p w14:paraId="6FD9F583" w14:textId="5EC13FF0" w:rsidR="00F151B2" w:rsidRDefault="00F151B2" w:rsidP="00F151B2">
      <w:pPr>
        <w:pStyle w:val="BodyText"/>
      </w:pPr>
      <w:r>
        <w:rPr>
          <w:noProof/>
        </w:rPr>
        <w:drawing>
          <wp:inline distT="0" distB="0" distL="0" distR="0" wp14:anchorId="327B26EB" wp14:editId="34577848">
            <wp:extent cx="5943600" cy="7691755"/>
            <wp:effectExtent l="0" t="0" r="0" b="4445"/>
            <wp:docPr id="91" name="Picture 91"/>
            <wp:cNvGraphicFramePr/>
            <a:graphic xmlns:a="http://schemas.openxmlformats.org/drawingml/2006/main">
              <a:graphicData uri="http://schemas.openxmlformats.org/drawingml/2006/picture">
                <pic:pic xmlns:pic="http://schemas.openxmlformats.org/drawingml/2006/picture">
                  <pic:nvPicPr>
                    <pic:cNvPr id="91" name=""/>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6BEC855" w14:textId="77777777" w:rsidR="00F151B2" w:rsidRDefault="00F151B2">
      <w:r>
        <w:br w:type="page"/>
      </w:r>
    </w:p>
    <w:p w14:paraId="1103EDAA" w14:textId="51C492B1" w:rsidR="00F151B2" w:rsidRDefault="00F151B2" w:rsidP="00F151B2">
      <w:pPr>
        <w:pStyle w:val="BodyText"/>
      </w:pPr>
      <w:r>
        <w:rPr>
          <w:noProof/>
        </w:rPr>
        <w:drawing>
          <wp:inline distT="0" distB="0" distL="0" distR="0" wp14:anchorId="3A40FF73" wp14:editId="53689A0F">
            <wp:extent cx="5943600" cy="7691755"/>
            <wp:effectExtent l="0" t="0" r="0" b="4445"/>
            <wp:docPr id="92" name="Picture 92"/>
            <wp:cNvGraphicFramePr/>
            <a:graphic xmlns:a="http://schemas.openxmlformats.org/drawingml/2006/main">
              <a:graphicData uri="http://schemas.openxmlformats.org/drawingml/2006/picture">
                <pic:pic xmlns:pic="http://schemas.openxmlformats.org/drawingml/2006/picture">
                  <pic:nvPicPr>
                    <pic:cNvPr id="92" name=""/>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D3C6A23" w14:textId="77777777" w:rsidR="00F151B2" w:rsidRDefault="00F151B2">
      <w:r>
        <w:br w:type="page"/>
      </w:r>
    </w:p>
    <w:p w14:paraId="16DDB063" w14:textId="33C20918" w:rsidR="00F151B2" w:rsidRDefault="00F151B2" w:rsidP="00F151B2">
      <w:pPr>
        <w:pStyle w:val="BodyText"/>
      </w:pPr>
      <w:r>
        <w:rPr>
          <w:noProof/>
        </w:rPr>
        <w:drawing>
          <wp:inline distT="0" distB="0" distL="0" distR="0" wp14:anchorId="08911B67" wp14:editId="338795D9">
            <wp:extent cx="5943600" cy="7691755"/>
            <wp:effectExtent l="0" t="0" r="0" b="4445"/>
            <wp:docPr id="93" name="Picture 93"/>
            <wp:cNvGraphicFramePr/>
            <a:graphic xmlns:a="http://schemas.openxmlformats.org/drawingml/2006/main">
              <a:graphicData uri="http://schemas.openxmlformats.org/drawingml/2006/picture">
                <pic:pic xmlns:pic="http://schemas.openxmlformats.org/drawingml/2006/picture">
                  <pic:nvPicPr>
                    <pic:cNvPr id="93" name=""/>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5E3B383" w14:textId="77777777" w:rsidR="00F151B2" w:rsidRDefault="00F151B2">
      <w:r>
        <w:br w:type="page"/>
      </w:r>
    </w:p>
    <w:p w14:paraId="3855198D" w14:textId="32DFB8E4" w:rsidR="00F151B2" w:rsidRDefault="00F151B2" w:rsidP="00F151B2">
      <w:pPr>
        <w:pStyle w:val="BodyText"/>
      </w:pPr>
      <w:r>
        <w:rPr>
          <w:noProof/>
        </w:rPr>
        <w:drawing>
          <wp:inline distT="0" distB="0" distL="0" distR="0" wp14:anchorId="610CEF51" wp14:editId="3066AC3B">
            <wp:extent cx="5943600" cy="7691755"/>
            <wp:effectExtent l="0" t="0" r="0" b="4445"/>
            <wp:docPr id="94" name="Picture 94"/>
            <wp:cNvGraphicFramePr/>
            <a:graphic xmlns:a="http://schemas.openxmlformats.org/drawingml/2006/main">
              <a:graphicData uri="http://schemas.openxmlformats.org/drawingml/2006/picture">
                <pic:pic xmlns:pic="http://schemas.openxmlformats.org/drawingml/2006/picture">
                  <pic:nvPicPr>
                    <pic:cNvPr id="94" name=""/>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BC4D8B2" w14:textId="77777777" w:rsidR="00F151B2" w:rsidRDefault="00F151B2">
      <w:r>
        <w:br w:type="page"/>
      </w:r>
    </w:p>
    <w:p w14:paraId="49F764B8" w14:textId="2A64FCF9" w:rsidR="00F151B2" w:rsidRDefault="00F151B2" w:rsidP="00F151B2">
      <w:pPr>
        <w:pStyle w:val="BodyText"/>
      </w:pPr>
      <w:r>
        <w:rPr>
          <w:noProof/>
        </w:rPr>
        <w:drawing>
          <wp:inline distT="0" distB="0" distL="0" distR="0" wp14:anchorId="6107FA68" wp14:editId="7A61A6BA">
            <wp:extent cx="5943600" cy="7691755"/>
            <wp:effectExtent l="0" t="0" r="0" b="4445"/>
            <wp:docPr id="95" name="Picture 95"/>
            <wp:cNvGraphicFramePr/>
            <a:graphic xmlns:a="http://schemas.openxmlformats.org/drawingml/2006/main">
              <a:graphicData uri="http://schemas.openxmlformats.org/drawingml/2006/picture">
                <pic:pic xmlns:pic="http://schemas.openxmlformats.org/drawingml/2006/picture">
                  <pic:nvPicPr>
                    <pic:cNvPr id="95" name=""/>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F49AA61" w14:textId="77777777" w:rsidR="00F151B2" w:rsidRDefault="00F151B2">
      <w:r>
        <w:br w:type="page"/>
      </w:r>
    </w:p>
    <w:p w14:paraId="4E5EEADD" w14:textId="51470ABB" w:rsidR="00F151B2" w:rsidRDefault="00F151B2" w:rsidP="00F151B2">
      <w:pPr>
        <w:pStyle w:val="BodyText"/>
      </w:pPr>
      <w:r>
        <w:rPr>
          <w:noProof/>
        </w:rPr>
        <w:drawing>
          <wp:inline distT="0" distB="0" distL="0" distR="0" wp14:anchorId="5A81D1D4" wp14:editId="566FE8D9">
            <wp:extent cx="5943600" cy="7691755"/>
            <wp:effectExtent l="0" t="0" r="0" b="4445"/>
            <wp:docPr id="96" name="Picture 96"/>
            <wp:cNvGraphicFramePr/>
            <a:graphic xmlns:a="http://schemas.openxmlformats.org/drawingml/2006/main">
              <a:graphicData uri="http://schemas.openxmlformats.org/drawingml/2006/picture">
                <pic:pic xmlns:pic="http://schemas.openxmlformats.org/drawingml/2006/picture">
                  <pic:nvPicPr>
                    <pic:cNvPr id="96" name=""/>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D7381C6" w14:textId="77777777" w:rsidR="00F151B2" w:rsidRDefault="00F151B2">
      <w:r>
        <w:br w:type="page"/>
      </w:r>
    </w:p>
    <w:p w14:paraId="7F2533F4" w14:textId="367E08E1" w:rsidR="00F151B2" w:rsidRDefault="00F151B2" w:rsidP="00F151B2">
      <w:pPr>
        <w:pStyle w:val="BodyText"/>
      </w:pPr>
      <w:r>
        <w:rPr>
          <w:noProof/>
        </w:rPr>
        <w:drawing>
          <wp:inline distT="0" distB="0" distL="0" distR="0" wp14:anchorId="3CC2770C" wp14:editId="693BE969">
            <wp:extent cx="5943600" cy="7691755"/>
            <wp:effectExtent l="0" t="0" r="0" b="4445"/>
            <wp:docPr id="97" name="Picture 97"/>
            <wp:cNvGraphicFramePr/>
            <a:graphic xmlns:a="http://schemas.openxmlformats.org/drawingml/2006/main">
              <a:graphicData uri="http://schemas.openxmlformats.org/drawingml/2006/picture">
                <pic:pic xmlns:pic="http://schemas.openxmlformats.org/drawingml/2006/picture">
                  <pic:nvPicPr>
                    <pic:cNvPr id="97" name=""/>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C277828" w14:textId="77777777" w:rsidR="00F151B2" w:rsidRDefault="00F151B2">
      <w:r>
        <w:br w:type="page"/>
      </w:r>
    </w:p>
    <w:p w14:paraId="402A6C00" w14:textId="206ED69D" w:rsidR="00F151B2" w:rsidRDefault="00F151B2" w:rsidP="00F151B2">
      <w:pPr>
        <w:pStyle w:val="BodyText"/>
      </w:pPr>
      <w:r>
        <w:rPr>
          <w:noProof/>
        </w:rPr>
        <w:drawing>
          <wp:inline distT="0" distB="0" distL="0" distR="0" wp14:anchorId="6F60C993" wp14:editId="6D48236B">
            <wp:extent cx="5943600" cy="7691755"/>
            <wp:effectExtent l="0" t="0" r="0" b="4445"/>
            <wp:docPr id="98" name="Picture 98"/>
            <wp:cNvGraphicFramePr/>
            <a:graphic xmlns:a="http://schemas.openxmlformats.org/drawingml/2006/main">
              <a:graphicData uri="http://schemas.openxmlformats.org/drawingml/2006/picture">
                <pic:pic xmlns:pic="http://schemas.openxmlformats.org/drawingml/2006/picture">
                  <pic:nvPicPr>
                    <pic:cNvPr id="98" name=""/>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72C1788" w14:textId="77777777" w:rsidR="00F151B2" w:rsidRDefault="00F151B2">
      <w:r>
        <w:br w:type="page"/>
      </w:r>
    </w:p>
    <w:p w14:paraId="79A740D3" w14:textId="7E8DFA33" w:rsidR="00F151B2" w:rsidRDefault="00F151B2" w:rsidP="00F151B2">
      <w:pPr>
        <w:pStyle w:val="BodyText"/>
      </w:pPr>
      <w:r>
        <w:rPr>
          <w:noProof/>
        </w:rPr>
        <w:drawing>
          <wp:inline distT="0" distB="0" distL="0" distR="0" wp14:anchorId="4EEF55E5" wp14:editId="5C349750">
            <wp:extent cx="5943600" cy="7691755"/>
            <wp:effectExtent l="0" t="0" r="0" b="4445"/>
            <wp:docPr id="99" name="Picture 99"/>
            <wp:cNvGraphicFramePr/>
            <a:graphic xmlns:a="http://schemas.openxmlformats.org/drawingml/2006/main">
              <a:graphicData uri="http://schemas.openxmlformats.org/drawingml/2006/picture">
                <pic:pic xmlns:pic="http://schemas.openxmlformats.org/drawingml/2006/picture">
                  <pic:nvPicPr>
                    <pic:cNvPr id="99" name=""/>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7C47130" w14:textId="77777777" w:rsidR="00F151B2" w:rsidRDefault="00F151B2">
      <w:r>
        <w:br w:type="page"/>
      </w:r>
    </w:p>
    <w:p w14:paraId="1AFD32AE" w14:textId="4435D9A1" w:rsidR="00F151B2" w:rsidRDefault="00F151B2" w:rsidP="00F151B2">
      <w:pPr>
        <w:pStyle w:val="BodyText"/>
      </w:pPr>
      <w:r>
        <w:rPr>
          <w:noProof/>
        </w:rPr>
        <w:drawing>
          <wp:inline distT="0" distB="0" distL="0" distR="0" wp14:anchorId="2C4DFF73" wp14:editId="5A47340D">
            <wp:extent cx="5943600" cy="7691755"/>
            <wp:effectExtent l="0" t="0" r="0" b="4445"/>
            <wp:docPr id="100" name="Picture 100"/>
            <wp:cNvGraphicFramePr/>
            <a:graphic xmlns:a="http://schemas.openxmlformats.org/drawingml/2006/main">
              <a:graphicData uri="http://schemas.openxmlformats.org/drawingml/2006/picture">
                <pic:pic xmlns:pic="http://schemas.openxmlformats.org/drawingml/2006/picture">
                  <pic:nvPicPr>
                    <pic:cNvPr id="100" name=""/>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0EAC5CF" w14:textId="77777777" w:rsidR="00F151B2" w:rsidRDefault="00F151B2">
      <w:r>
        <w:br w:type="page"/>
      </w:r>
    </w:p>
    <w:p w14:paraId="1EA53D85" w14:textId="594959D8" w:rsidR="00F151B2" w:rsidRDefault="00F151B2" w:rsidP="00F151B2">
      <w:pPr>
        <w:pStyle w:val="BodyText"/>
      </w:pPr>
      <w:r>
        <w:rPr>
          <w:noProof/>
        </w:rPr>
        <w:drawing>
          <wp:inline distT="0" distB="0" distL="0" distR="0" wp14:anchorId="369860CF" wp14:editId="7C57A26D">
            <wp:extent cx="5943600" cy="7691755"/>
            <wp:effectExtent l="0" t="0" r="0" b="4445"/>
            <wp:docPr id="101" name="Picture 101"/>
            <wp:cNvGraphicFramePr/>
            <a:graphic xmlns:a="http://schemas.openxmlformats.org/drawingml/2006/main">
              <a:graphicData uri="http://schemas.openxmlformats.org/drawingml/2006/picture">
                <pic:pic xmlns:pic="http://schemas.openxmlformats.org/drawingml/2006/picture">
                  <pic:nvPicPr>
                    <pic:cNvPr id="101" name=""/>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E089878" w14:textId="77777777" w:rsidR="00F151B2" w:rsidRDefault="00F151B2">
      <w:r>
        <w:br w:type="page"/>
      </w:r>
    </w:p>
    <w:p w14:paraId="0E8D2ECE" w14:textId="48F51AF1" w:rsidR="00F151B2" w:rsidRDefault="00F151B2" w:rsidP="00F151B2">
      <w:pPr>
        <w:pStyle w:val="BodyText"/>
      </w:pPr>
      <w:r>
        <w:rPr>
          <w:noProof/>
        </w:rPr>
        <w:drawing>
          <wp:inline distT="0" distB="0" distL="0" distR="0" wp14:anchorId="656EF0F3" wp14:editId="384804DF">
            <wp:extent cx="5943600" cy="7691755"/>
            <wp:effectExtent l="0" t="0" r="0" b="4445"/>
            <wp:docPr id="102" name="Picture 102"/>
            <wp:cNvGraphicFramePr/>
            <a:graphic xmlns:a="http://schemas.openxmlformats.org/drawingml/2006/main">
              <a:graphicData uri="http://schemas.openxmlformats.org/drawingml/2006/picture">
                <pic:pic xmlns:pic="http://schemas.openxmlformats.org/drawingml/2006/picture">
                  <pic:nvPicPr>
                    <pic:cNvPr id="102" name=""/>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E177D51" w14:textId="77777777" w:rsidR="00F151B2" w:rsidRDefault="00F151B2">
      <w:r>
        <w:br w:type="page"/>
      </w:r>
    </w:p>
    <w:p w14:paraId="17C3ADF4" w14:textId="05F7217D" w:rsidR="00F151B2" w:rsidRDefault="00F151B2" w:rsidP="00F151B2">
      <w:pPr>
        <w:pStyle w:val="BodyText"/>
      </w:pPr>
      <w:r>
        <w:rPr>
          <w:noProof/>
        </w:rPr>
        <w:drawing>
          <wp:inline distT="0" distB="0" distL="0" distR="0" wp14:anchorId="1801EC7D" wp14:editId="4AFA40C3">
            <wp:extent cx="5943600" cy="7691755"/>
            <wp:effectExtent l="0" t="0" r="0" b="4445"/>
            <wp:docPr id="103" name="Picture 103"/>
            <wp:cNvGraphicFramePr/>
            <a:graphic xmlns:a="http://schemas.openxmlformats.org/drawingml/2006/main">
              <a:graphicData uri="http://schemas.openxmlformats.org/drawingml/2006/picture">
                <pic:pic xmlns:pic="http://schemas.openxmlformats.org/drawingml/2006/picture">
                  <pic:nvPicPr>
                    <pic:cNvPr id="103" name=""/>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4CC619E" w14:textId="77777777" w:rsidR="00F151B2" w:rsidRDefault="00F151B2">
      <w:r>
        <w:br w:type="page"/>
      </w:r>
    </w:p>
    <w:p w14:paraId="307EA7C6" w14:textId="30AA9A99" w:rsidR="00F151B2" w:rsidRDefault="00F151B2" w:rsidP="00F151B2">
      <w:pPr>
        <w:pStyle w:val="BodyText"/>
      </w:pPr>
      <w:r>
        <w:rPr>
          <w:noProof/>
        </w:rPr>
        <w:drawing>
          <wp:inline distT="0" distB="0" distL="0" distR="0" wp14:anchorId="409127C5" wp14:editId="392A03DF">
            <wp:extent cx="5943600" cy="7691755"/>
            <wp:effectExtent l="0" t="0" r="0" b="4445"/>
            <wp:docPr id="104" name="Picture 104"/>
            <wp:cNvGraphicFramePr/>
            <a:graphic xmlns:a="http://schemas.openxmlformats.org/drawingml/2006/main">
              <a:graphicData uri="http://schemas.openxmlformats.org/drawingml/2006/picture">
                <pic:pic xmlns:pic="http://schemas.openxmlformats.org/drawingml/2006/picture">
                  <pic:nvPicPr>
                    <pic:cNvPr id="104" name=""/>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BF99CE0" w14:textId="77777777" w:rsidR="00F151B2" w:rsidRDefault="00F151B2">
      <w:r>
        <w:br w:type="page"/>
      </w:r>
    </w:p>
    <w:p w14:paraId="5352F5C0" w14:textId="56E47283" w:rsidR="00F151B2" w:rsidRDefault="00F151B2" w:rsidP="00F151B2">
      <w:pPr>
        <w:pStyle w:val="BodyText"/>
      </w:pPr>
      <w:r>
        <w:rPr>
          <w:noProof/>
        </w:rPr>
        <w:drawing>
          <wp:inline distT="0" distB="0" distL="0" distR="0" wp14:anchorId="078AB19F" wp14:editId="3CAB1FFB">
            <wp:extent cx="5943600" cy="7691755"/>
            <wp:effectExtent l="0" t="0" r="0" b="4445"/>
            <wp:docPr id="105" name="Picture 105"/>
            <wp:cNvGraphicFramePr/>
            <a:graphic xmlns:a="http://schemas.openxmlformats.org/drawingml/2006/main">
              <a:graphicData uri="http://schemas.openxmlformats.org/drawingml/2006/picture">
                <pic:pic xmlns:pic="http://schemas.openxmlformats.org/drawingml/2006/picture">
                  <pic:nvPicPr>
                    <pic:cNvPr id="105" name=""/>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509FF5B" w14:textId="77777777" w:rsidR="00F151B2" w:rsidRDefault="00F151B2">
      <w:r>
        <w:br w:type="page"/>
      </w:r>
    </w:p>
    <w:p w14:paraId="56D8D15B" w14:textId="0BAC1427" w:rsidR="00F151B2" w:rsidRDefault="00F151B2" w:rsidP="00F151B2">
      <w:pPr>
        <w:pStyle w:val="BodyText"/>
      </w:pPr>
      <w:r>
        <w:rPr>
          <w:noProof/>
        </w:rPr>
        <w:drawing>
          <wp:inline distT="0" distB="0" distL="0" distR="0" wp14:anchorId="15BCEEDD" wp14:editId="5A33DC74">
            <wp:extent cx="5943600" cy="7691755"/>
            <wp:effectExtent l="0" t="0" r="0" b="4445"/>
            <wp:docPr id="106" name="Picture 106"/>
            <wp:cNvGraphicFramePr/>
            <a:graphic xmlns:a="http://schemas.openxmlformats.org/drawingml/2006/main">
              <a:graphicData uri="http://schemas.openxmlformats.org/drawingml/2006/picture">
                <pic:pic xmlns:pic="http://schemas.openxmlformats.org/drawingml/2006/picture">
                  <pic:nvPicPr>
                    <pic:cNvPr id="106" name=""/>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38DC527" w14:textId="77777777" w:rsidR="00F151B2" w:rsidRDefault="00F151B2">
      <w:r>
        <w:br w:type="page"/>
      </w:r>
    </w:p>
    <w:p w14:paraId="5813D3AA" w14:textId="2211D3DB" w:rsidR="00F151B2" w:rsidRDefault="00F151B2" w:rsidP="00F151B2">
      <w:pPr>
        <w:pStyle w:val="BodyText"/>
      </w:pPr>
      <w:r>
        <w:rPr>
          <w:noProof/>
        </w:rPr>
        <w:drawing>
          <wp:inline distT="0" distB="0" distL="0" distR="0" wp14:anchorId="1ACD4787" wp14:editId="479CDB7E">
            <wp:extent cx="5943600" cy="7691755"/>
            <wp:effectExtent l="0" t="0" r="0" b="4445"/>
            <wp:docPr id="107" name="Picture 107"/>
            <wp:cNvGraphicFramePr/>
            <a:graphic xmlns:a="http://schemas.openxmlformats.org/drawingml/2006/main">
              <a:graphicData uri="http://schemas.openxmlformats.org/drawingml/2006/picture">
                <pic:pic xmlns:pic="http://schemas.openxmlformats.org/drawingml/2006/picture">
                  <pic:nvPicPr>
                    <pic:cNvPr id="107" name=""/>
                    <pic:cNvPicPr/>
                  </pic:nvPicPr>
                  <pic:blipFill>
                    <a:blip r:embed="rId4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0F94E34" w14:textId="77777777" w:rsidR="00F151B2" w:rsidRDefault="00F151B2">
      <w:r>
        <w:br w:type="page"/>
      </w:r>
    </w:p>
    <w:p w14:paraId="54CB9B4E" w14:textId="3C0D3B4A" w:rsidR="00F151B2" w:rsidRDefault="00F151B2" w:rsidP="00F151B2">
      <w:pPr>
        <w:pStyle w:val="BodyText"/>
      </w:pPr>
      <w:r>
        <w:rPr>
          <w:noProof/>
        </w:rPr>
        <w:drawing>
          <wp:inline distT="0" distB="0" distL="0" distR="0" wp14:anchorId="5CB31F11" wp14:editId="7BA75BB7">
            <wp:extent cx="5943600" cy="7691755"/>
            <wp:effectExtent l="0" t="0" r="0" b="4445"/>
            <wp:docPr id="108" name="Picture 108"/>
            <wp:cNvGraphicFramePr/>
            <a:graphic xmlns:a="http://schemas.openxmlformats.org/drawingml/2006/main">
              <a:graphicData uri="http://schemas.openxmlformats.org/drawingml/2006/picture">
                <pic:pic xmlns:pic="http://schemas.openxmlformats.org/drawingml/2006/picture">
                  <pic:nvPicPr>
                    <pic:cNvPr id="108" name=""/>
                    <pic:cNvPicPr/>
                  </pic:nvPicPr>
                  <pic:blipFill>
                    <a:blip r:embed="rId4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2A86065" w14:textId="77777777" w:rsidR="00F151B2" w:rsidRDefault="00F151B2">
      <w:r>
        <w:br w:type="page"/>
      </w:r>
    </w:p>
    <w:p w14:paraId="0DE59837" w14:textId="6F9935D3" w:rsidR="00F151B2" w:rsidRDefault="00F151B2" w:rsidP="00F151B2">
      <w:pPr>
        <w:pStyle w:val="BodyText"/>
      </w:pPr>
      <w:r>
        <w:rPr>
          <w:noProof/>
        </w:rPr>
        <w:drawing>
          <wp:inline distT="0" distB="0" distL="0" distR="0" wp14:anchorId="4D5D22CD" wp14:editId="6D3755EA">
            <wp:extent cx="5943600" cy="7691755"/>
            <wp:effectExtent l="0" t="0" r="0" b="4445"/>
            <wp:docPr id="109" name="Picture 109"/>
            <wp:cNvGraphicFramePr/>
            <a:graphic xmlns:a="http://schemas.openxmlformats.org/drawingml/2006/main">
              <a:graphicData uri="http://schemas.openxmlformats.org/drawingml/2006/picture">
                <pic:pic xmlns:pic="http://schemas.openxmlformats.org/drawingml/2006/picture">
                  <pic:nvPicPr>
                    <pic:cNvPr id="109" name=""/>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3B2C64D" w14:textId="77777777" w:rsidR="00F151B2" w:rsidRDefault="00F151B2">
      <w:r>
        <w:br w:type="page"/>
      </w:r>
    </w:p>
    <w:p w14:paraId="1818198F" w14:textId="5AA4F80C" w:rsidR="00F151B2" w:rsidRDefault="00F151B2" w:rsidP="00F151B2">
      <w:pPr>
        <w:pStyle w:val="BodyText"/>
      </w:pPr>
      <w:r>
        <w:rPr>
          <w:noProof/>
        </w:rPr>
        <w:drawing>
          <wp:inline distT="0" distB="0" distL="0" distR="0" wp14:anchorId="12D80685" wp14:editId="0919EDF6">
            <wp:extent cx="5943600" cy="7691755"/>
            <wp:effectExtent l="0" t="0" r="0" b="4445"/>
            <wp:docPr id="110" name="Picture 110"/>
            <wp:cNvGraphicFramePr/>
            <a:graphic xmlns:a="http://schemas.openxmlformats.org/drawingml/2006/main">
              <a:graphicData uri="http://schemas.openxmlformats.org/drawingml/2006/picture">
                <pic:pic xmlns:pic="http://schemas.openxmlformats.org/drawingml/2006/picture">
                  <pic:nvPicPr>
                    <pic:cNvPr id="110" name=""/>
                    <pic:cNvPicPr/>
                  </pic:nvPicPr>
                  <pic:blipFill>
                    <a:blip r:embed="rId44"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05CCDD39" w14:textId="77777777" w:rsidR="00F151B2" w:rsidRDefault="00F151B2">
      <w:r>
        <w:br w:type="page"/>
      </w:r>
    </w:p>
    <w:p w14:paraId="40ECE1F3" w14:textId="20A4E999" w:rsidR="00F151B2" w:rsidRDefault="00F151B2" w:rsidP="00F151B2">
      <w:pPr>
        <w:pStyle w:val="BodyText"/>
      </w:pPr>
      <w:r>
        <w:rPr>
          <w:noProof/>
        </w:rPr>
        <w:drawing>
          <wp:inline distT="0" distB="0" distL="0" distR="0" wp14:anchorId="5E79A74C" wp14:editId="3E6574D0">
            <wp:extent cx="5943600" cy="7691755"/>
            <wp:effectExtent l="0" t="0" r="0" b="4445"/>
            <wp:docPr id="111" name="Picture 111"/>
            <wp:cNvGraphicFramePr/>
            <a:graphic xmlns:a="http://schemas.openxmlformats.org/drawingml/2006/main">
              <a:graphicData uri="http://schemas.openxmlformats.org/drawingml/2006/picture">
                <pic:pic xmlns:pic="http://schemas.openxmlformats.org/drawingml/2006/picture">
                  <pic:nvPicPr>
                    <pic:cNvPr id="111" name=""/>
                    <pic:cNvPicPr/>
                  </pic:nvPicPr>
                  <pic:blipFill>
                    <a:blip r:embed="rId45"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1A24C59" w14:textId="77777777" w:rsidR="00F151B2" w:rsidRDefault="00F151B2">
      <w:r>
        <w:br w:type="page"/>
      </w:r>
    </w:p>
    <w:p w14:paraId="0E6054E1" w14:textId="1C0CEAB5" w:rsidR="00F151B2" w:rsidRDefault="00F151B2" w:rsidP="00F151B2">
      <w:pPr>
        <w:pStyle w:val="BodyText"/>
      </w:pPr>
      <w:r>
        <w:rPr>
          <w:noProof/>
        </w:rPr>
        <w:drawing>
          <wp:inline distT="0" distB="0" distL="0" distR="0" wp14:anchorId="2B3CF106" wp14:editId="34E06722">
            <wp:extent cx="5943600" cy="7691755"/>
            <wp:effectExtent l="0" t="0" r="0" b="4445"/>
            <wp:docPr id="112" name="Picture 112"/>
            <wp:cNvGraphicFramePr/>
            <a:graphic xmlns:a="http://schemas.openxmlformats.org/drawingml/2006/main">
              <a:graphicData uri="http://schemas.openxmlformats.org/drawingml/2006/picture">
                <pic:pic xmlns:pic="http://schemas.openxmlformats.org/drawingml/2006/picture">
                  <pic:nvPicPr>
                    <pic:cNvPr id="112" name=""/>
                    <pic:cNvPicPr/>
                  </pic:nvPicPr>
                  <pic:blipFill>
                    <a:blip r:embed="rId46">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694DD8C" w14:textId="77777777" w:rsidR="00F151B2" w:rsidRDefault="00F151B2">
      <w:r>
        <w:br w:type="page"/>
      </w:r>
    </w:p>
    <w:p w14:paraId="34E6F9E1" w14:textId="4E6FC413" w:rsidR="00F151B2" w:rsidRDefault="00F151B2" w:rsidP="00F151B2">
      <w:pPr>
        <w:pStyle w:val="BodyText"/>
      </w:pPr>
      <w:r>
        <w:rPr>
          <w:noProof/>
        </w:rPr>
        <w:drawing>
          <wp:inline distT="0" distB="0" distL="0" distR="0" wp14:anchorId="4D6158B8" wp14:editId="67E948F4">
            <wp:extent cx="5943600" cy="7691755"/>
            <wp:effectExtent l="0" t="0" r="0" b="4445"/>
            <wp:docPr id="113" name="Picture 113"/>
            <wp:cNvGraphicFramePr/>
            <a:graphic xmlns:a="http://schemas.openxmlformats.org/drawingml/2006/main">
              <a:graphicData uri="http://schemas.openxmlformats.org/drawingml/2006/picture">
                <pic:pic xmlns:pic="http://schemas.openxmlformats.org/drawingml/2006/picture">
                  <pic:nvPicPr>
                    <pic:cNvPr id="113" name=""/>
                    <pic:cNvPicPr/>
                  </pic:nvPicPr>
                  <pic:blipFill>
                    <a:blip r:embed="rId47">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30C1E026" w14:textId="77777777" w:rsidR="00F151B2" w:rsidRDefault="00F151B2">
      <w:r>
        <w:br w:type="page"/>
      </w:r>
    </w:p>
    <w:p w14:paraId="470CBB07" w14:textId="1247F522" w:rsidR="00F151B2" w:rsidRDefault="00F151B2" w:rsidP="00F151B2">
      <w:pPr>
        <w:pStyle w:val="BodyText"/>
      </w:pPr>
      <w:r>
        <w:rPr>
          <w:noProof/>
        </w:rPr>
        <w:drawing>
          <wp:inline distT="0" distB="0" distL="0" distR="0" wp14:anchorId="435AB03A" wp14:editId="351E2475">
            <wp:extent cx="5943600" cy="7691755"/>
            <wp:effectExtent l="0" t="0" r="0" b="4445"/>
            <wp:docPr id="114" name="Picture 114"/>
            <wp:cNvGraphicFramePr/>
            <a:graphic xmlns:a="http://schemas.openxmlformats.org/drawingml/2006/main">
              <a:graphicData uri="http://schemas.openxmlformats.org/drawingml/2006/picture">
                <pic:pic xmlns:pic="http://schemas.openxmlformats.org/drawingml/2006/picture">
                  <pic:nvPicPr>
                    <pic:cNvPr id="114" name=""/>
                    <pic:cNvPicPr/>
                  </pic:nvPicPr>
                  <pic:blipFill>
                    <a:blip r:embed="rId48">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6D93D930" w14:textId="77777777" w:rsidR="00F151B2" w:rsidRDefault="00F151B2">
      <w:r>
        <w:br w:type="page"/>
      </w:r>
    </w:p>
    <w:p w14:paraId="3F0DDF9A" w14:textId="10BC9B1A" w:rsidR="00F151B2" w:rsidRDefault="00F151B2" w:rsidP="00F151B2">
      <w:pPr>
        <w:pStyle w:val="BodyText"/>
      </w:pPr>
      <w:r>
        <w:rPr>
          <w:noProof/>
        </w:rPr>
        <w:drawing>
          <wp:inline distT="0" distB="0" distL="0" distR="0" wp14:anchorId="2007AD79" wp14:editId="206465A7">
            <wp:extent cx="5943600" cy="7691755"/>
            <wp:effectExtent l="0" t="0" r="0" b="4445"/>
            <wp:docPr id="115" name="Picture 115"/>
            <wp:cNvGraphicFramePr/>
            <a:graphic xmlns:a="http://schemas.openxmlformats.org/drawingml/2006/main">
              <a:graphicData uri="http://schemas.openxmlformats.org/drawingml/2006/picture">
                <pic:pic xmlns:pic="http://schemas.openxmlformats.org/drawingml/2006/picture">
                  <pic:nvPicPr>
                    <pic:cNvPr id="115" name=""/>
                    <pic:cNvPicPr/>
                  </pic:nvPicPr>
                  <pic:blipFill>
                    <a:blip r:embed="rId49">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2E96FD6E" w14:textId="77777777" w:rsidR="00F151B2" w:rsidRDefault="00F151B2">
      <w:r>
        <w:br w:type="page"/>
      </w:r>
    </w:p>
    <w:p w14:paraId="00EC9FD7" w14:textId="6FADA3DF" w:rsidR="00F151B2" w:rsidRDefault="00F151B2" w:rsidP="00F151B2">
      <w:pPr>
        <w:pStyle w:val="BodyText"/>
      </w:pPr>
      <w:r>
        <w:rPr>
          <w:noProof/>
        </w:rPr>
        <w:drawing>
          <wp:inline distT="0" distB="0" distL="0" distR="0" wp14:anchorId="373128E9" wp14:editId="367AB1BA">
            <wp:extent cx="5943600" cy="7691755"/>
            <wp:effectExtent l="0" t="0" r="0" b="4445"/>
            <wp:docPr id="116" name="Picture 116"/>
            <wp:cNvGraphicFramePr/>
            <a:graphic xmlns:a="http://schemas.openxmlformats.org/drawingml/2006/main">
              <a:graphicData uri="http://schemas.openxmlformats.org/drawingml/2006/picture">
                <pic:pic xmlns:pic="http://schemas.openxmlformats.org/drawingml/2006/picture">
                  <pic:nvPicPr>
                    <pic:cNvPr id="116" name=""/>
                    <pic:cNvPicPr/>
                  </pic:nvPicPr>
                  <pic:blipFill>
                    <a:blip r:embed="rId50">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3748763" w14:textId="77777777" w:rsidR="00F151B2" w:rsidRDefault="00F151B2">
      <w:r>
        <w:br w:type="page"/>
      </w:r>
    </w:p>
    <w:p w14:paraId="1568C72C" w14:textId="75FD8F1E" w:rsidR="00F151B2" w:rsidRDefault="00F151B2" w:rsidP="00F151B2">
      <w:pPr>
        <w:pStyle w:val="BodyText"/>
      </w:pPr>
      <w:r>
        <w:rPr>
          <w:noProof/>
        </w:rPr>
        <w:drawing>
          <wp:inline distT="0" distB="0" distL="0" distR="0" wp14:anchorId="7E8BA0D9" wp14:editId="5040BC91">
            <wp:extent cx="5943600" cy="7691755"/>
            <wp:effectExtent l="0" t="0" r="0" b="4445"/>
            <wp:docPr id="117" name="Picture 117"/>
            <wp:cNvGraphicFramePr/>
            <a:graphic xmlns:a="http://schemas.openxmlformats.org/drawingml/2006/main">
              <a:graphicData uri="http://schemas.openxmlformats.org/drawingml/2006/picture">
                <pic:pic xmlns:pic="http://schemas.openxmlformats.org/drawingml/2006/picture">
                  <pic:nvPicPr>
                    <pic:cNvPr id="117" name=""/>
                    <pic:cNvPicPr/>
                  </pic:nvPicPr>
                  <pic:blipFill>
                    <a:blip r:embed="rId51" cstate="print">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1B68673D" w14:textId="77777777" w:rsidR="00F151B2" w:rsidRDefault="00F151B2">
      <w:r>
        <w:br w:type="page"/>
      </w:r>
    </w:p>
    <w:p w14:paraId="0F3EC44E" w14:textId="2BD5E0E2" w:rsidR="00F151B2" w:rsidRDefault="00F151B2" w:rsidP="00F151B2">
      <w:pPr>
        <w:pStyle w:val="BodyText"/>
      </w:pPr>
      <w:r>
        <w:rPr>
          <w:noProof/>
        </w:rPr>
        <w:drawing>
          <wp:inline distT="0" distB="0" distL="0" distR="0" wp14:anchorId="27DAF490" wp14:editId="422F02F8">
            <wp:extent cx="5943600" cy="7691755"/>
            <wp:effectExtent l="0" t="0" r="0" b="4445"/>
            <wp:docPr id="118" name="Picture 118"/>
            <wp:cNvGraphicFramePr/>
            <a:graphic xmlns:a="http://schemas.openxmlformats.org/drawingml/2006/main">
              <a:graphicData uri="http://schemas.openxmlformats.org/drawingml/2006/picture">
                <pic:pic xmlns:pic="http://schemas.openxmlformats.org/drawingml/2006/picture">
                  <pic:nvPicPr>
                    <pic:cNvPr id="118" name=""/>
                    <pic:cNvPicPr/>
                  </pic:nvPicPr>
                  <pic:blipFill>
                    <a:blip r:embed="rId52">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47210821" w14:textId="77777777" w:rsidR="00F151B2" w:rsidRDefault="00F151B2">
      <w:r>
        <w:br w:type="page"/>
      </w:r>
    </w:p>
    <w:p w14:paraId="5A6D3D4F" w14:textId="3A4716A6" w:rsidR="00F151B2" w:rsidRDefault="00F151B2" w:rsidP="00F151B2">
      <w:pPr>
        <w:pStyle w:val="BodyText"/>
      </w:pPr>
      <w:r>
        <w:rPr>
          <w:noProof/>
        </w:rPr>
        <w:drawing>
          <wp:inline distT="0" distB="0" distL="0" distR="0" wp14:anchorId="21B58365" wp14:editId="16AC45A5">
            <wp:extent cx="5943600" cy="7691755"/>
            <wp:effectExtent l="0" t="0" r="0" b="4445"/>
            <wp:docPr id="119" name="Picture 119"/>
            <wp:cNvGraphicFramePr/>
            <a:graphic xmlns:a="http://schemas.openxmlformats.org/drawingml/2006/main">
              <a:graphicData uri="http://schemas.openxmlformats.org/drawingml/2006/picture">
                <pic:pic xmlns:pic="http://schemas.openxmlformats.org/drawingml/2006/picture">
                  <pic:nvPicPr>
                    <pic:cNvPr id="119" name=""/>
                    <pic:cNvPicPr/>
                  </pic:nvPicPr>
                  <pic:blipFill>
                    <a:blip r:embed="rId53">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543CA8A2" w14:textId="77777777" w:rsidR="00F151B2" w:rsidRDefault="00F151B2">
      <w:r>
        <w:br w:type="page"/>
      </w:r>
    </w:p>
    <w:p w14:paraId="421BA99F" w14:textId="3B7E6310" w:rsidR="00F151B2" w:rsidRDefault="00F151B2" w:rsidP="00F151B2">
      <w:pPr>
        <w:pStyle w:val="BodyText"/>
      </w:pPr>
      <w:r>
        <w:rPr>
          <w:noProof/>
        </w:rPr>
        <w:drawing>
          <wp:inline distT="0" distB="0" distL="0" distR="0" wp14:anchorId="29619939" wp14:editId="27ACFB4D">
            <wp:extent cx="5943600" cy="7691755"/>
            <wp:effectExtent l="0" t="0" r="0" b="4445"/>
            <wp:docPr id="120" name="Picture 120"/>
            <wp:cNvGraphicFramePr/>
            <a:graphic xmlns:a="http://schemas.openxmlformats.org/drawingml/2006/main">
              <a:graphicData uri="http://schemas.openxmlformats.org/drawingml/2006/picture">
                <pic:pic xmlns:pic="http://schemas.openxmlformats.org/drawingml/2006/picture">
                  <pic:nvPicPr>
                    <pic:cNvPr id="120" name=""/>
                    <pic:cNvPicPr/>
                  </pic:nvPicPr>
                  <pic:blipFill>
                    <a:blip r:embed="rId54">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p w14:paraId="7AAB239E" w14:textId="77777777" w:rsidR="00F151B2" w:rsidRDefault="00F151B2">
      <w:r>
        <w:br w:type="page"/>
      </w:r>
    </w:p>
    <w:p w14:paraId="3B761131" w14:textId="2D834B77" w:rsidR="00F151B2" w:rsidRDefault="00F151B2" w:rsidP="00F151B2">
      <w:pPr>
        <w:pStyle w:val="BodyText"/>
      </w:pPr>
      <w:r>
        <w:rPr>
          <w:noProof/>
        </w:rPr>
        <w:drawing>
          <wp:inline distT="0" distB="0" distL="0" distR="0" wp14:anchorId="20F2EAC6" wp14:editId="1C0CE529">
            <wp:extent cx="5943600" cy="7691755"/>
            <wp:effectExtent l="0" t="0" r="0" b="4445"/>
            <wp:docPr id="121" name="Picture 121"/>
            <wp:cNvGraphicFramePr/>
            <a:graphic xmlns:a="http://schemas.openxmlformats.org/drawingml/2006/main">
              <a:graphicData uri="http://schemas.openxmlformats.org/drawingml/2006/picture">
                <pic:pic xmlns:pic="http://schemas.openxmlformats.org/drawingml/2006/picture">
                  <pic:nvPicPr>
                    <pic:cNvPr id="121" name=""/>
                    <pic:cNvPicPr/>
                  </pic:nvPicPr>
                  <pic:blipFill>
                    <a:blip r:embed="rId55">
                      <a:extLst>
                        <a:ext uri="{28A0092B-C50C-407E-A947-70E740481C1C}">
                          <a14:useLocalDpi xmlns:a14="http://schemas.microsoft.com/office/drawing/2010/main" val="0"/>
                        </a:ext>
                      </a:extLst>
                    </a:blip>
                    <a:stretch>
                      <a:fillRect/>
                    </a:stretch>
                  </pic:blipFill>
                  <pic:spPr>
                    <a:xfrm>
                      <a:off x="0" y="0"/>
                      <a:ext cx="5943600" cy="7691755"/>
                    </a:xfrm>
                    <a:prstGeom prst="rect">
                      <a:avLst/>
                    </a:prstGeom>
                  </pic:spPr>
                </pic:pic>
              </a:graphicData>
            </a:graphic>
          </wp:inline>
        </w:drawing>
      </w:r>
    </w:p>
    <w:sectPr w:rsidR="00F151B2" w:rsidSect="0068481F">
      <w:headerReference w:type="default" r:id="rId56"/>
      <w:pgSz w:w="12240" w:h="15840" w:code="1"/>
      <w:pgMar w:top="1584" w:right="1440" w:bottom="1440" w:left="1440" w:header="720" w:footer="720" w:gutter="0"/>
      <w:cols w:space="720"/>
      <w:formProt w:val="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DFE7681" w14:textId="77777777" w:rsidR="00F350A3" w:rsidRDefault="00F350A3">
      <w:r>
        <w:separator/>
      </w:r>
    </w:p>
  </w:endnote>
  <w:endnote w:type="continuationSeparator" w:id="0">
    <w:p w14:paraId="19543A9C" w14:textId="77777777" w:rsidR="00F350A3" w:rsidRDefault="00F350A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ourier New">
    <w:panose1 w:val="02070309020205020404"/>
    <w:charset w:val="00"/>
    <w:family w:val="modern"/>
    <w:pitch w:val="fixed"/>
    <w:sig w:usb0="E0002EFF" w:usb1="C0007843" w:usb2="00000009" w:usb3="00000000" w:csb0="000001FF" w:csb1="00000000"/>
  </w:font>
  <w:font w:name="Cambria">
    <w:panose1 w:val="02040503050406030204"/>
    <w:charset w:val="00"/>
    <w:family w:val="roman"/>
    <w:pitch w:val="variable"/>
    <w:sig w:usb0="E00006FF" w:usb1="420024FF" w:usb2="02000000" w:usb3="00000000" w:csb0="0000019F" w:csb1="00000000"/>
  </w:font>
  <w:font w:name="Calibri">
    <w:panose1 w:val="020F05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15AA20B" w14:textId="2A9B29EF" w:rsidR="00BC402E" w:rsidRDefault="00BC402E">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7C369F">
      <w:rPr>
        <w:rStyle w:val="PageNumber"/>
        <w:noProof/>
      </w:rPr>
      <w:t>3</w:t>
    </w:r>
    <w:r>
      <w:rPr>
        <w:rStyle w:val="PageNumber"/>
      </w:rPr>
      <w:fldChar w:fldCharType="end"/>
    </w:r>
    <w:r>
      <w:rPr>
        <w:rStyle w:val="PageNumber"/>
      </w:rPr>
      <w:t xml:space="preserve"> -</w:t>
    </w: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EAEB75" w14:textId="77777777" w:rsidR="00BC402E" w:rsidRDefault="00BC402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86E545A" w14:textId="0062750E" w:rsidR="006A1C2C" w:rsidRDefault="006A1C2C">
    <w:pPr>
      <w:pStyle w:val="Footer"/>
      <w:tabs>
        <w:tab w:val="clear" w:pos="4320"/>
        <w:tab w:val="clear" w:pos="8640"/>
        <w:tab w:val="center" w:pos="4674"/>
        <w:tab w:val="right" w:pos="9360"/>
      </w:tabs>
    </w:pPr>
    <w:r>
      <w:tab/>
      <w:t xml:space="preserve">- </w:t>
    </w:r>
    <w:r>
      <w:rPr>
        <w:rStyle w:val="PageNumber"/>
      </w:rPr>
      <w:fldChar w:fldCharType="begin"/>
    </w:r>
    <w:r>
      <w:rPr>
        <w:rStyle w:val="PageNumber"/>
      </w:rPr>
      <w:instrText xml:space="preserve"> PAGE </w:instrText>
    </w:r>
    <w:r>
      <w:rPr>
        <w:rStyle w:val="PageNumber"/>
      </w:rPr>
      <w:fldChar w:fldCharType="separate"/>
    </w:r>
    <w:r w:rsidR="007C369F">
      <w:rPr>
        <w:rStyle w:val="PageNumber"/>
        <w:noProof/>
      </w:rPr>
      <w:t>21</w:t>
    </w:r>
    <w:r>
      <w:rPr>
        <w:rStyle w:val="PageNumber"/>
      </w:rPr>
      <w:fldChar w:fldCharType="end"/>
    </w:r>
    <w:r>
      <w:rPr>
        <w:rStyle w:val="PageNumber"/>
      </w:rPr>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62A4FD3" w14:textId="77777777" w:rsidR="00F350A3" w:rsidRDefault="00F350A3">
      <w:r>
        <w:separator/>
      </w:r>
    </w:p>
  </w:footnote>
  <w:footnote w:type="continuationSeparator" w:id="0">
    <w:p w14:paraId="49998753" w14:textId="77777777" w:rsidR="00F350A3" w:rsidRDefault="00F350A3">
      <w:r>
        <w:continuationSeparator/>
      </w:r>
    </w:p>
  </w:footnote>
  <w:footnote w:id="1">
    <w:p w14:paraId="4AB73F21" w14:textId="77777777" w:rsidR="003E0D9E" w:rsidRDefault="003E0D9E" w:rsidP="003E0D9E">
      <w:pPr>
        <w:pStyle w:val="FootnoteText"/>
      </w:pPr>
      <w:r>
        <w:rPr>
          <w:rStyle w:val="FootnoteReference"/>
        </w:rPr>
        <w:footnoteRef/>
      </w:r>
      <w:r>
        <w:t xml:space="preserve"> TECO’s revised analysis uses the same fuel forecast from the Company’s midcourse correction filed on January 23, 2023.</w:t>
      </w:r>
    </w:p>
  </w:footnote>
  <w:footnote w:id="2">
    <w:p w14:paraId="6BD0CC09" w14:textId="77777777" w:rsidR="00302E0C" w:rsidRDefault="00302E0C" w:rsidP="00302E0C">
      <w:pPr>
        <w:pStyle w:val="FootnoteText"/>
      </w:pPr>
      <w:r>
        <w:rPr>
          <w:rStyle w:val="FootnoteReference"/>
        </w:rPr>
        <w:footnoteRef/>
      </w:r>
      <w:r>
        <w:t xml:space="preserve"> </w:t>
      </w:r>
      <w:r w:rsidRPr="003A5298">
        <w:t>Document No. 008</w:t>
      </w:r>
      <w:r>
        <w:t>2</w:t>
      </w:r>
      <w:r w:rsidRPr="003A5298">
        <w:t>8-2023, filed on February 2, 2023 in Docket No. 20220186-EI</w:t>
      </w:r>
      <w:r>
        <w:t>.</w:t>
      </w:r>
    </w:p>
  </w:footnote>
  <w:footnote w:id="3">
    <w:p w14:paraId="1298E5E4" w14:textId="1255313F" w:rsidR="00302E0C" w:rsidRDefault="00302E0C" w:rsidP="00D67906">
      <w:pPr>
        <w:pStyle w:val="Footer"/>
        <w:tabs>
          <w:tab w:val="clear" w:pos="4320"/>
          <w:tab w:val="clear" w:pos="8640"/>
          <w:tab w:val="center" w:pos="4674"/>
          <w:tab w:val="right" w:pos="9360"/>
        </w:tabs>
        <w:jc w:val="both"/>
      </w:pPr>
      <w:r>
        <w:rPr>
          <w:rStyle w:val="FootnoteReference"/>
          <w:sz w:val="20"/>
          <w:szCs w:val="20"/>
        </w:rPr>
        <w:footnoteRef/>
      </w:r>
      <w:r>
        <w:rPr>
          <w:sz w:val="20"/>
          <w:szCs w:val="20"/>
        </w:rPr>
        <w:t xml:space="preserve"> </w:t>
      </w:r>
      <w:r w:rsidRPr="00512C2E">
        <w:rPr>
          <w:sz w:val="20"/>
          <w:szCs w:val="20"/>
        </w:rPr>
        <w:t>See Order No. PSC-11-0439-PAA-EQ, issued October 11, 2011, in Docket No. 20110090-EQ</w:t>
      </w:r>
      <w:r>
        <w:rPr>
          <w:sz w:val="20"/>
          <w:szCs w:val="20"/>
        </w:rPr>
        <w:t xml:space="preserve">, </w:t>
      </w:r>
      <w:r w:rsidRPr="00973482">
        <w:rPr>
          <w:i/>
          <w:sz w:val="20"/>
          <w:szCs w:val="20"/>
        </w:rPr>
        <w:t>In re: Petition for Approving Negotiated Power Purchase Agreement between Progress Energy Florida, Inc. and U.S. Ecogen Polk, LLC.</w:t>
      </w:r>
    </w:p>
  </w:footnote>
  <w:footnote w:id="4">
    <w:p w14:paraId="7689FA1B" w14:textId="77777777" w:rsidR="009C573D" w:rsidRDefault="009C573D" w:rsidP="009C573D">
      <w:pPr>
        <w:pStyle w:val="FootnoteText"/>
      </w:pPr>
      <w:r>
        <w:rPr>
          <w:rStyle w:val="FootnoteReference"/>
        </w:rPr>
        <w:footnoteRef/>
      </w:r>
      <w:r>
        <w:t xml:space="preserve"> </w:t>
      </w:r>
      <w:r w:rsidRPr="00512C2E">
        <w:t>See Order No. PSC-</w:t>
      </w:r>
      <w:r>
        <w:t>2022-0247-PAA-EQ</w:t>
      </w:r>
      <w:r w:rsidRPr="00512C2E">
        <w:t xml:space="preserve">, issued </w:t>
      </w:r>
      <w:r>
        <w:t>June 9, 2022</w:t>
      </w:r>
      <w:r w:rsidRPr="00512C2E">
        <w:t xml:space="preserve">, in Docket No. </w:t>
      </w:r>
      <w:r>
        <w:t xml:space="preserve">20220070-EQ, </w:t>
      </w:r>
      <w:r w:rsidRPr="0023147A">
        <w:rPr>
          <w:i/>
        </w:rPr>
        <w:t xml:space="preserve">In re: Petition for </w:t>
      </w:r>
      <w:r>
        <w:rPr>
          <w:i/>
        </w:rPr>
        <w:t>Approval of revisions to standard offer contract and rate schedule COG-2, by Tampa Electric Company.</w:t>
      </w:r>
    </w:p>
  </w:footnote>
  <w:footnote w:id="5">
    <w:p w14:paraId="641F9D63" w14:textId="77777777" w:rsidR="00907F62" w:rsidRPr="00256B46" w:rsidRDefault="00907F62" w:rsidP="00907F62">
      <w:pPr>
        <w:pStyle w:val="FootnoteText"/>
      </w:pPr>
      <w:r w:rsidRPr="00256B46">
        <w:rPr>
          <w:rStyle w:val="FootnoteReference"/>
        </w:rPr>
        <w:footnoteRef/>
      </w:r>
      <w:r w:rsidRPr="00256B46">
        <w:t xml:space="preserve"> Document No. 01713-2023, filed on March 2, 2023 in Docket No. 20220186-EI</w:t>
      </w:r>
      <w:r>
        <w:t>.</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C4CB821" w14:textId="77777777" w:rsidR="00BC402E" w:rsidRDefault="00511D1A" w:rsidP="00220732">
    <w:pPr>
      <w:pStyle w:val="Header"/>
      <w:tabs>
        <w:tab w:val="clear" w:pos="4320"/>
        <w:tab w:val="clear" w:pos="8640"/>
        <w:tab w:val="right" w:pos="9360"/>
      </w:tabs>
    </w:pPr>
    <w:bookmarkStart w:id="14" w:name="DocketLabel"/>
    <w:r>
      <w:t>Docket No.</w:t>
    </w:r>
    <w:bookmarkEnd w:id="14"/>
    <w:r w:rsidR="00BC402E">
      <w:t xml:space="preserve"> </w:t>
    </w:r>
    <w:bookmarkStart w:id="15" w:name="DocketList"/>
    <w:r>
      <w:t>20220186-EI</w:t>
    </w:r>
    <w:bookmarkEnd w:id="15"/>
  </w:p>
  <w:p w14:paraId="1640A148" w14:textId="3933EC87" w:rsidR="00BC402E" w:rsidRDefault="00BC402E">
    <w:pPr>
      <w:pStyle w:val="Header"/>
    </w:pPr>
    <w:r>
      <w:t xml:space="preserve">Date: </w:t>
    </w:r>
    <w:fldSimple w:instr=" REF FilingDate ">
      <w:r w:rsidR="00237579">
        <w:t>March 23, 2023</w:t>
      </w:r>
    </w:fldSimple>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027C03B" w14:textId="4024830F" w:rsidR="00BC402E" w:rsidRDefault="00BC402E" w:rsidP="00220732">
    <w:pPr>
      <w:pStyle w:val="Header"/>
      <w:tabs>
        <w:tab w:val="clear" w:pos="4320"/>
        <w:tab w:val="clear" w:pos="8640"/>
        <w:tab w:val="right" w:pos="9360"/>
      </w:tabs>
    </w:pPr>
    <w:r>
      <w:fldChar w:fldCharType="begin"/>
    </w:r>
    <w:r>
      <w:instrText xml:space="preserve"> REF DocketLabel</w:instrText>
    </w:r>
    <w:r>
      <w:fldChar w:fldCharType="separate"/>
    </w:r>
    <w:r w:rsidR="00237579">
      <w:t>Docket No.</w:t>
    </w:r>
    <w:r>
      <w:fldChar w:fldCharType="end"/>
    </w:r>
    <w:r>
      <w:t xml:space="preserve"> </w:t>
    </w:r>
    <w:r>
      <w:fldChar w:fldCharType="begin"/>
    </w:r>
    <w:r>
      <w:instrText xml:space="preserve"> REF DocketList</w:instrText>
    </w:r>
    <w:r>
      <w:fldChar w:fldCharType="separate"/>
    </w:r>
    <w:r w:rsidR="00237579">
      <w:t>20220186-EI</w:t>
    </w:r>
    <w:r>
      <w:fldChar w:fldCharType="end"/>
    </w:r>
    <w:r>
      <w:tab/>
      <w:t xml:space="preserve">Issue </w:t>
    </w:r>
    <w:r w:rsidR="00E959FB">
      <w:fldChar w:fldCharType="begin"/>
    </w:r>
    <w:r w:rsidR="00E959FB">
      <w:instrText xml:space="preserve"> Seq Issue \c \* Arabic </w:instrText>
    </w:r>
    <w:r w:rsidR="00E959FB">
      <w:fldChar w:fldCharType="separate"/>
    </w:r>
    <w:r w:rsidR="007C369F">
      <w:rPr>
        <w:noProof/>
      </w:rPr>
      <w:t>2</w:t>
    </w:r>
    <w:r w:rsidR="00E959FB">
      <w:rPr>
        <w:noProof/>
      </w:rPr>
      <w:fldChar w:fldCharType="end"/>
    </w:r>
  </w:p>
  <w:p w14:paraId="00066D75" w14:textId="0530E2E1" w:rsidR="00BC402E" w:rsidRDefault="00BC402E">
    <w:pPr>
      <w:pStyle w:val="Header"/>
    </w:pPr>
    <w:r>
      <w:t xml:space="preserve">Date: </w:t>
    </w:r>
    <w:fldSimple w:instr=" REF FilingDate ">
      <w:r w:rsidR="00237579">
        <w:t>March 23, 2023</w:t>
      </w:r>
    </w:fldSimple>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5B7126B" w14:textId="77777777" w:rsidR="00BC402E" w:rsidRDefault="00BC402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363EC11" w14:textId="0D724409" w:rsidR="006A1C2C" w:rsidRDefault="006A1C2C" w:rsidP="00220732">
    <w:pPr>
      <w:pStyle w:val="Header"/>
      <w:tabs>
        <w:tab w:val="clear" w:pos="4320"/>
        <w:tab w:val="clear" w:pos="8640"/>
        <w:tab w:val="right" w:pos="9360"/>
      </w:tabs>
    </w:pPr>
    <w:r>
      <w:fldChar w:fldCharType="begin"/>
    </w:r>
    <w:r>
      <w:instrText xml:space="preserve"> REF DocketLabel</w:instrText>
    </w:r>
    <w:r>
      <w:fldChar w:fldCharType="separate"/>
    </w:r>
    <w:r>
      <w:t>Docket No.</w:t>
    </w:r>
    <w:r>
      <w:fldChar w:fldCharType="end"/>
    </w:r>
    <w:r>
      <w:t xml:space="preserve"> </w:t>
    </w:r>
    <w:r>
      <w:fldChar w:fldCharType="begin"/>
    </w:r>
    <w:r>
      <w:instrText xml:space="preserve"> REF DocketList</w:instrText>
    </w:r>
    <w:r>
      <w:fldChar w:fldCharType="separate"/>
    </w:r>
    <w:r>
      <w:t>20220186-EI</w:t>
    </w:r>
    <w:r>
      <w:fldChar w:fldCharType="end"/>
    </w:r>
    <w:r>
      <w:tab/>
      <w:t>Attachment A</w:t>
    </w:r>
  </w:p>
  <w:p w14:paraId="2B63FFB3" w14:textId="414AD4DE" w:rsidR="006A1C2C" w:rsidRDefault="006A1C2C" w:rsidP="006A1C2C">
    <w:pPr>
      <w:pStyle w:val="Header"/>
      <w:tabs>
        <w:tab w:val="clear" w:pos="8640"/>
      </w:tabs>
    </w:pPr>
    <w:r>
      <w:t xml:space="preserve">Date: </w:t>
    </w:r>
    <w:fldSimple w:instr=" REF FilingDate ">
      <w:r>
        <w:t>March 23, 2023</w:t>
      </w:r>
    </w:fldSimple>
    <w:r w:rsidR="00F151B2">
      <w:tab/>
    </w:r>
    <w:r w:rsidR="00F151B2">
      <w:tab/>
    </w:r>
    <w:r w:rsidR="00F151B2">
      <w:tab/>
    </w:r>
    <w:r w:rsidR="00F151B2">
      <w:tab/>
    </w:r>
    <w:r w:rsidR="00F151B2">
      <w:tab/>
    </w:r>
    <w:r w:rsidR="00F151B2">
      <w:tab/>
    </w:r>
    <w:r>
      <w:t xml:space="preserve"> </w:t>
    </w:r>
    <w:r w:rsidR="00CB206B">
      <w:t xml:space="preserve">Page </w:t>
    </w:r>
    <w:r w:rsidR="00CB206B">
      <w:fldChar w:fldCharType="begin"/>
    </w:r>
    <w:r w:rsidR="00CB206B">
      <w:instrText>=</w:instrText>
    </w:r>
    <w:r w:rsidR="00CB206B">
      <w:fldChar w:fldCharType="begin"/>
    </w:r>
    <w:r w:rsidR="00CB206B">
      <w:instrText>page</w:instrText>
    </w:r>
    <w:r w:rsidR="00CB206B">
      <w:fldChar w:fldCharType="separate"/>
    </w:r>
    <w:r w:rsidR="007C369F">
      <w:rPr>
        <w:noProof/>
      </w:rPr>
      <w:instrText>21</w:instrText>
    </w:r>
    <w:r w:rsidR="00CB206B">
      <w:fldChar w:fldCharType="end"/>
    </w:r>
    <w:r w:rsidR="00CB206B">
      <w:instrText>-7</w:instrText>
    </w:r>
    <w:r w:rsidR="00CB206B">
      <w:fldChar w:fldCharType="separate"/>
    </w:r>
    <w:r w:rsidR="007C369F">
      <w:rPr>
        <w:noProof/>
      </w:rPr>
      <w:t>14</w:t>
    </w:r>
    <w:r w:rsidR="00CB206B">
      <w:fldChar w:fldCharType="end"/>
    </w:r>
    <w:r w:rsidR="00CB206B">
      <w:t xml:space="preserve"> </w:t>
    </w:r>
    <w:r>
      <w:t xml:space="preserve">of </w:t>
    </w:r>
    <w:r w:rsidR="00F151B2">
      <w:t>41</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C"/>
    <w:multiLevelType w:val="singleLevel"/>
    <w:tmpl w:val="BEFC6C16"/>
    <w:lvl w:ilvl="0">
      <w:start w:val="1"/>
      <w:numFmt w:val="decimal"/>
      <w:lvlText w:val="%1."/>
      <w:lvlJc w:val="left"/>
      <w:pPr>
        <w:tabs>
          <w:tab w:val="num" w:pos="1800"/>
        </w:tabs>
        <w:ind w:left="1800" w:hanging="360"/>
      </w:pPr>
    </w:lvl>
  </w:abstractNum>
  <w:abstractNum w:abstractNumId="1" w15:restartNumberingAfterBreak="0">
    <w:nsid w:val="FFFFFF7D"/>
    <w:multiLevelType w:val="singleLevel"/>
    <w:tmpl w:val="40AA0D90"/>
    <w:lvl w:ilvl="0">
      <w:start w:val="1"/>
      <w:numFmt w:val="decimal"/>
      <w:lvlText w:val="%1."/>
      <w:lvlJc w:val="left"/>
      <w:pPr>
        <w:tabs>
          <w:tab w:val="num" w:pos="1440"/>
        </w:tabs>
        <w:ind w:left="1440" w:hanging="360"/>
      </w:pPr>
    </w:lvl>
  </w:abstractNum>
  <w:abstractNum w:abstractNumId="2" w15:restartNumberingAfterBreak="0">
    <w:nsid w:val="FFFFFF7E"/>
    <w:multiLevelType w:val="singleLevel"/>
    <w:tmpl w:val="E7762B08"/>
    <w:lvl w:ilvl="0">
      <w:start w:val="1"/>
      <w:numFmt w:val="decimal"/>
      <w:lvlText w:val="%1."/>
      <w:lvlJc w:val="left"/>
      <w:pPr>
        <w:tabs>
          <w:tab w:val="num" w:pos="1080"/>
        </w:tabs>
        <w:ind w:left="1080" w:hanging="360"/>
      </w:pPr>
    </w:lvl>
  </w:abstractNum>
  <w:abstractNum w:abstractNumId="3" w15:restartNumberingAfterBreak="0">
    <w:nsid w:val="FFFFFF7F"/>
    <w:multiLevelType w:val="singleLevel"/>
    <w:tmpl w:val="C8FE44F6"/>
    <w:lvl w:ilvl="0">
      <w:start w:val="1"/>
      <w:numFmt w:val="decimal"/>
      <w:lvlText w:val="%1."/>
      <w:lvlJc w:val="left"/>
      <w:pPr>
        <w:tabs>
          <w:tab w:val="num" w:pos="720"/>
        </w:tabs>
        <w:ind w:left="720" w:hanging="360"/>
      </w:pPr>
    </w:lvl>
  </w:abstractNum>
  <w:abstractNum w:abstractNumId="4" w15:restartNumberingAfterBreak="0">
    <w:nsid w:val="FFFFFF80"/>
    <w:multiLevelType w:val="singleLevel"/>
    <w:tmpl w:val="3320B406"/>
    <w:lvl w:ilvl="0">
      <w:start w:val="1"/>
      <w:numFmt w:val="bullet"/>
      <w:lvlText w:val=""/>
      <w:lvlJc w:val="left"/>
      <w:pPr>
        <w:tabs>
          <w:tab w:val="num" w:pos="1800"/>
        </w:tabs>
        <w:ind w:left="1800" w:hanging="360"/>
      </w:pPr>
      <w:rPr>
        <w:rFonts w:ascii="Symbol" w:hAnsi="Symbol" w:hint="default"/>
      </w:rPr>
    </w:lvl>
  </w:abstractNum>
  <w:abstractNum w:abstractNumId="5" w15:restartNumberingAfterBreak="0">
    <w:nsid w:val="FFFFFF81"/>
    <w:multiLevelType w:val="singleLevel"/>
    <w:tmpl w:val="E60CFDA4"/>
    <w:lvl w:ilvl="0">
      <w:start w:val="1"/>
      <w:numFmt w:val="bullet"/>
      <w:lvlText w:val=""/>
      <w:lvlJc w:val="left"/>
      <w:pPr>
        <w:tabs>
          <w:tab w:val="num" w:pos="1440"/>
        </w:tabs>
        <w:ind w:left="1440" w:hanging="360"/>
      </w:pPr>
      <w:rPr>
        <w:rFonts w:ascii="Symbol" w:hAnsi="Symbol" w:hint="default"/>
      </w:rPr>
    </w:lvl>
  </w:abstractNum>
  <w:abstractNum w:abstractNumId="6" w15:restartNumberingAfterBreak="0">
    <w:nsid w:val="FFFFFF82"/>
    <w:multiLevelType w:val="singleLevel"/>
    <w:tmpl w:val="F63058F4"/>
    <w:lvl w:ilvl="0">
      <w:start w:val="1"/>
      <w:numFmt w:val="bullet"/>
      <w:lvlText w:val=""/>
      <w:lvlJc w:val="left"/>
      <w:pPr>
        <w:tabs>
          <w:tab w:val="num" w:pos="1080"/>
        </w:tabs>
        <w:ind w:left="1080" w:hanging="360"/>
      </w:pPr>
      <w:rPr>
        <w:rFonts w:ascii="Symbol" w:hAnsi="Symbol" w:hint="default"/>
      </w:rPr>
    </w:lvl>
  </w:abstractNum>
  <w:abstractNum w:abstractNumId="7" w15:restartNumberingAfterBreak="0">
    <w:nsid w:val="FFFFFF83"/>
    <w:multiLevelType w:val="singleLevel"/>
    <w:tmpl w:val="55F8770E"/>
    <w:lvl w:ilvl="0">
      <w:start w:val="1"/>
      <w:numFmt w:val="bullet"/>
      <w:lvlText w:val=""/>
      <w:lvlJc w:val="left"/>
      <w:pPr>
        <w:tabs>
          <w:tab w:val="num" w:pos="720"/>
        </w:tabs>
        <w:ind w:left="720" w:hanging="360"/>
      </w:pPr>
      <w:rPr>
        <w:rFonts w:ascii="Symbol" w:hAnsi="Symbol" w:hint="default"/>
      </w:rPr>
    </w:lvl>
  </w:abstractNum>
  <w:abstractNum w:abstractNumId="8" w15:restartNumberingAfterBreak="0">
    <w:nsid w:val="FFFFFF88"/>
    <w:multiLevelType w:val="singleLevel"/>
    <w:tmpl w:val="D0D63E3A"/>
    <w:lvl w:ilvl="0">
      <w:start w:val="1"/>
      <w:numFmt w:val="decimal"/>
      <w:lvlText w:val="%1."/>
      <w:lvlJc w:val="left"/>
      <w:pPr>
        <w:tabs>
          <w:tab w:val="num" w:pos="360"/>
        </w:tabs>
        <w:ind w:left="360" w:hanging="360"/>
      </w:pPr>
    </w:lvl>
  </w:abstractNum>
  <w:abstractNum w:abstractNumId="9" w15:restartNumberingAfterBreak="0">
    <w:nsid w:val="FFFFFF89"/>
    <w:multiLevelType w:val="singleLevel"/>
    <w:tmpl w:val="1024AEA4"/>
    <w:lvl w:ilvl="0">
      <w:start w:val="1"/>
      <w:numFmt w:val="bullet"/>
      <w:lvlText w:val=""/>
      <w:lvlJc w:val="left"/>
      <w:pPr>
        <w:tabs>
          <w:tab w:val="num" w:pos="360"/>
        </w:tabs>
        <w:ind w:left="360" w:hanging="360"/>
      </w:pPr>
      <w:rPr>
        <w:rFonts w:ascii="Symbol" w:hAnsi="Symbol" w:hint="default"/>
      </w:rPr>
    </w:lvl>
  </w:abstractNum>
  <w:num w:numId="1">
    <w:abstractNumId w:val="9"/>
  </w:num>
  <w:num w:numId="2">
    <w:abstractNumId w:val="7"/>
  </w:num>
  <w:num w:numId="3">
    <w:abstractNumId w:val="6"/>
  </w:num>
  <w:num w:numId="4">
    <w:abstractNumId w:val="5"/>
  </w:num>
  <w:num w:numId="5">
    <w:abstractNumId w:val="4"/>
  </w:num>
  <w:num w:numId="6">
    <w:abstractNumId w:val="8"/>
  </w:num>
  <w:num w:numId="7">
    <w:abstractNumId w:val="3"/>
  </w:num>
  <w:num w:numId="8">
    <w:abstractNumId w:val="2"/>
  </w:num>
  <w:num w:numId="9">
    <w:abstractNumId w:val="1"/>
  </w:num>
  <w:num w:numId="10">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ctiveWritingStyle w:appName="MSWord" w:lang="en-US" w:vendorID="64" w:dllVersion="131078" w:nlCheck="1" w:checkStyle="1"/>
  <w:activeWritingStyle w:appName="MSWord" w:lang="es-MX" w:vendorID="64" w:dllVersion="131078" w:nlCheck="1" w:checkStyle="1"/>
  <w:attachedTemplate r:id="rId1"/>
  <w:stylePaneFormatFilter w:val="0004" w:allStyles="0" w:customStyles="0" w:latentStyles="1" w:stylesInUse="0" w:headingStyles="0" w:numberingStyles="0" w:tableStyles="0" w:directFormattingOnRuns="0" w:directFormattingOnParagraphs="0" w:directFormattingOnNumbering="0" w:directFormattingOnTables="0" w:clearFormatting="0" w:top3HeadingStyles="0" w:visibleStyles="0" w:alternateStyleNames="0"/>
  <w:defaultTabStop w:val="720"/>
  <w:drawingGridHorizontalSpacing w:val="57"/>
  <w:noPunctuationKerning/>
  <w:characterSpacingControl w:val="doNotCompress"/>
  <w:hdrShapeDefaults>
    <o:shapedefaults v:ext="edit" spidmax="34817"/>
  </w:hdrShapeDefaults>
  <w:footnotePr>
    <w:footnote w:id="-1"/>
    <w:footnote w:id="0"/>
  </w:footnotePr>
  <w:endnotePr>
    <w:endnote w:id="-1"/>
    <w:endnote w:id="0"/>
  </w:endnotePr>
  <w:compat>
    <w:doNotExpandShiftReturn/>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dgnword-docGUID" w:val="{32DC39D9-B7F2-4F33-8079-DE13EA01171C}"/>
    <w:docVar w:name="dgnword-eventsink" w:val="337566896"/>
    <w:docVar w:name="NumberOfIssues" w:val="0"/>
    <w:docVar w:name="StaffInToC" w:val="True"/>
  </w:docVars>
  <w:rsids>
    <w:rsidRoot w:val="00511D1A"/>
    <w:rsid w:val="000043D5"/>
    <w:rsid w:val="00006170"/>
    <w:rsid w:val="00010D46"/>
    <w:rsid w:val="00010E37"/>
    <w:rsid w:val="000172DA"/>
    <w:rsid w:val="00022337"/>
    <w:rsid w:val="00023A0E"/>
    <w:rsid w:val="000247C5"/>
    <w:rsid w:val="000277C2"/>
    <w:rsid w:val="00035B48"/>
    <w:rsid w:val="00036CE2"/>
    <w:rsid w:val="000437FE"/>
    <w:rsid w:val="000513BE"/>
    <w:rsid w:val="00051573"/>
    <w:rsid w:val="00051E1D"/>
    <w:rsid w:val="0005451B"/>
    <w:rsid w:val="00060401"/>
    <w:rsid w:val="00063C1C"/>
    <w:rsid w:val="00064BB7"/>
    <w:rsid w:val="00065A06"/>
    <w:rsid w:val="000666F3"/>
    <w:rsid w:val="00066960"/>
    <w:rsid w:val="00070DCB"/>
    <w:rsid w:val="00072CCA"/>
    <w:rsid w:val="00073120"/>
    <w:rsid w:val="000764D0"/>
    <w:rsid w:val="000828D3"/>
    <w:rsid w:val="00083E2E"/>
    <w:rsid w:val="000A2B57"/>
    <w:rsid w:val="000A418B"/>
    <w:rsid w:val="000B0ACE"/>
    <w:rsid w:val="000C4431"/>
    <w:rsid w:val="000C6607"/>
    <w:rsid w:val="000D1C06"/>
    <w:rsid w:val="000D3043"/>
    <w:rsid w:val="000D4319"/>
    <w:rsid w:val="000E24FA"/>
    <w:rsid w:val="000E338A"/>
    <w:rsid w:val="000E4392"/>
    <w:rsid w:val="000E70D9"/>
    <w:rsid w:val="000F3456"/>
    <w:rsid w:val="000F374A"/>
    <w:rsid w:val="000F4DAF"/>
    <w:rsid w:val="00104A62"/>
    <w:rsid w:val="00105BA1"/>
    <w:rsid w:val="001076AF"/>
    <w:rsid w:val="001109F6"/>
    <w:rsid w:val="00116C6B"/>
    <w:rsid w:val="00117C8C"/>
    <w:rsid w:val="001239F0"/>
    <w:rsid w:val="00124C38"/>
    <w:rsid w:val="00124E2E"/>
    <w:rsid w:val="00125ED4"/>
    <w:rsid w:val="001303BF"/>
    <w:rsid w:val="001305E9"/>
    <w:rsid w:val="001307AF"/>
    <w:rsid w:val="00130FCA"/>
    <w:rsid w:val="0013347E"/>
    <w:rsid w:val="00135687"/>
    <w:rsid w:val="00136BD1"/>
    <w:rsid w:val="001402E5"/>
    <w:rsid w:val="00145321"/>
    <w:rsid w:val="00146B5D"/>
    <w:rsid w:val="00150ECE"/>
    <w:rsid w:val="00154957"/>
    <w:rsid w:val="0015506E"/>
    <w:rsid w:val="00163031"/>
    <w:rsid w:val="001654C4"/>
    <w:rsid w:val="00171A90"/>
    <w:rsid w:val="0017703A"/>
    <w:rsid w:val="00180254"/>
    <w:rsid w:val="00183C8D"/>
    <w:rsid w:val="0018480E"/>
    <w:rsid w:val="00191E1F"/>
    <w:rsid w:val="00191EE8"/>
    <w:rsid w:val="00192943"/>
    <w:rsid w:val="00193BAF"/>
    <w:rsid w:val="00194791"/>
    <w:rsid w:val="001A7406"/>
    <w:rsid w:val="001A7AE4"/>
    <w:rsid w:val="001B1EDC"/>
    <w:rsid w:val="001B4053"/>
    <w:rsid w:val="001B4FEE"/>
    <w:rsid w:val="001B51C5"/>
    <w:rsid w:val="001B672A"/>
    <w:rsid w:val="001B6F3F"/>
    <w:rsid w:val="001C52B5"/>
    <w:rsid w:val="001D0D3E"/>
    <w:rsid w:val="001D2817"/>
    <w:rsid w:val="001D2899"/>
    <w:rsid w:val="001D2B9B"/>
    <w:rsid w:val="001D4004"/>
    <w:rsid w:val="001E14A3"/>
    <w:rsid w:val="001E7FF4"/>
    <w:rsid w:val="001F2245"/>
    <w:rsid w:val="001F2C63"/>
    <w:rsid w:val="001F2EA8"/>
    <w:rsid w:val="001F48C7"/>
    <w:rsid w:val="001F6DA1"/>
    <w:rsid w:val="00200178"/>
    <w:rsid w:val="00204200"/>
    <w:rsid w:val="002044E6"/>
    <w:rsid w:val="00205C82"/>
    <w:rsid w:val="00205DC2"/>
    <w:rsid w:val="00212B17"/>
    <w:rsid w:val="002163B6"/>
    <w:rsid w:val="00217215"/>
    <w:rsid w:val="00220732"/>
    <w:rsid w:val="0022121F"/>
    <w:rsid w:val="00221D32"/>
    <w:rsid w:val="00222AC1"/>
    <w:rsid w:val="00225C3F"/>
    <w:rsid w:val="00236D46"/>
    <w:rsid w:val="00237579"/>
    <w:rsid w:val="00256B46"/>
    <w:rsid w:val="00263D44"/>
    <w:rsid w:val="002702AD"/>
    <w:rsid w:val="00281EB4"/>
    <w:rsid w:val="002915CD"/>
    <w:rsid w:val="00292D82"/>
    <w:rsid w:val="00293EE7"/>
    <w:rsid w:val="002963CB"/>
    <w:rsid w:val="002B2DAC"/>
    <w:rsid w:val="002B4A01"/>
    <w:rsid w:val="002B7C40"/>
    <w:rsid w:val="002C291B"/>
    <w:rsid w:val="002C746A"/>
    <w:rsid w:val="002C7E4E"/>
    <w:rsid w:val="002D226D"/>
    <w:rsid w:val="002D74E3"/>
    <w:rsid w:val="002F6030"/>
    <w:rsid w:val="003001AC"/>
    <w:rsid w:val="00302E0C"/>
    <w:rsid w:val="003037E1"/>
    <w:rsid w:val="00307E51"/>
    <w:rsid w:val="003103EC"/>
    <w:rsid w:val="00312132"/>
    <w:rsid w:val="003130BA"/>
    <w:rsid w:val="003144EF"/>
    <w:rsid w:val="0031480E"/>
    <w:rsid w:val="00316877"/>
    <w:rsid w:val="00322F74"/>
    <w:rsid w:val="00325E15"/>
    <w:rsid w:val="003345E1"/>
    <w:rsid w:val="00340073"/>
    <w:rsid w:val="003411D8"/>
    <w:rsid w:val="003445B0"/>
    <w:rsid w:val="00353B66"/>
    <w:rsid w:val="00355934"/>
    <w:rsid w:val="00357928"/>
    <w:rsid w:val="00357EB4"/>
    <w:rsid w:val="003632FD"/>
    <w:rsid w:val="00364F78"/>
    <w:rsid w:val="00370F78"/>
    <w:rsid w:val="00372805"/>
    <w:rsid w:val="00373180"/>
    <w:rsid w:val="0037362D"/>
    <w:rsid w:val="00375AB9"/>
    <w:rsid w:val="0037691E"/>
    <w:rsid w:val="003821A0"/>
    <w:rsid w:val="00384918"/>
    <w:rsid w:val="00385B04"/>
    <w:rsid w:val="003864CF"/>
    <w:rsid w:val="003948AE"/>
    <w:rsid w:val="00396115"/>
    <w:rsid w:val="003A08C0"/>
    <w:rsid w:val="003A22A6"/>
    <w:rsid w:val="003A32EB"/>
    <w:rsid w:val="003A5298"/>
    <w:rsid w:val="003A5494"/>
    <w:rsid w:val="003B2510"/>
    <w:rsid w:val="003B4355"/>
    <w:rsid w:val="003C2CC4"/>
    <w:rsid w:val="003C3710"/>
    <w:rsid w:val="003C42A3"/>
    <w:rsid w:val="003C48F7"/>
    <w:rsid w:val="003D0BFD"/>
    <w:rsid w:val="003E0463"/>
    <w:rsid w:val="003E0D9E"/>
    <w:rsid w:val="003E0EFC"/>
    <w:rsid w:val="003E4A2B"/>
    <w:rsid w:val="003E6FE9"/>
    <w:rsid w:val="003E76C2"/>
    <w:rsid w:val="003F1367"/>
    <w:rsid w:val="003F1679"/>
    <w:rsid w:val="003F21EB"/>
    <w:rsid w:val="003F4A35"/>
    <w:rsid w:val="003F5F03"/>
    <w:rsid w:val="003F7FDD"/>
    <w:rsid w:val="00402101"/>
    <w:rsid w:val="00402481"/>
    <w:rsid w:val="004042B4"/>
    <w:rsid w:val="00410DC4"/>
    <w:rsid w:val="00412DAE"/>
    <w:rsid w:val="0041302D"/>
    <w:rsid w:val="00422D3B"/>
    <w:rsid w:val="004242E6"/>
    <w:rsid w:val="00424861"/>
    <w:rsid w:val="00427B35"/>
    <w:rsid w:val="00431598"/>
    <w:rsid w:val="004319AD"/>
    <w:rsid w:val="004426B8"/>
    <w:rsid w:val="00444432"/>
    <w:rsid w:val="00445CB2"/>
    <w:rsid w:val="00447D5C"/>
    <w:rsid w:val="00450202"/>
    <w:rsid w:val="004502B2"/>
    <w:rsid w:val="00455499"/>
    <w:rsid w:val="004649A7"/>
    <w:rsid w:val="00465E82"/>
    <w:rsid w:val="00471860"/>
    <w:rsid w:val="0047696B"/>
    <w:rsid w:val="00477026"/>
    <w:rsid w:val="00477730"/>
    <w:rsid w:val="00481079"/>
    <w:rsid w:val="004A744D"/>
    <w:rsid w:val="004B60BD"/>
    <w:rsid w:val="004C3150"/>
    <w:rsid w:val="004C3641"/>
    <w:rsid w:val="004C3873"/>
    <w:rsid w:val="004C4390"/>
    <w:rsid w:val="004C4AF7"/>
    <w:rsid w:val="004C7501"/>
    <w:rsid w:val="004D020C"/>
    <w:rsid w:val="004D2881"/>
    <w:rsid w:val="004D2D7D"/>
    <w:rsid w:val="004D385F"/>
    <w:rsid w:val="004D5B39"/>
    <w:rsid w:val="004D7976"/>
    <w:rsid w:val="004E0CEA"/>
    <w:rsid w:val="004E330D"/>
    <w:rsid w:val="004E4985"/>
    <w:rsid w:val="004E5147"/>
    <w:rsid w:val="004E69B5"/>
    <w:rsid w:val="004F50D1"/>
    <w:rsid w:val="004F5C43"/>
    <w:rsid w:val="005050A2"/>
    <w:rsid w:val="00506030"/>
    <w:rsid w:val="0050652D"/>
    <w:rsid w:val="00506C03"/>
    <w:rsid w:val="00511A11"/>
    <w:rsid w:val="00511D1A"/>
    <w:rsid w:val="00516496"/>
    <w:rsid w:val="00522E7D"/>
    <w:rsid w:val="00523B11"/>
    <w:rsid w:val="0052455B"/>
    <w:rsid w:val="0052572A"/>
    <w:rsid w:val="00532DFB"/>
    <w:rsid w:val="00543CB3"/>
    <w:rsid w:val="005442E4"/>
    <w:rsid w:val="00547652"/>
    <w:rsid w:val="0055529B"/>
    <w:rsid w:val="00560FF0"/>
    <w:rsid w:val="005614BD"/>
    <w:rsid w:val="0057154F"/>
    <w:rsid w:val="00580F69"/>
    <w:rsid w:val="00581CA3"/>
    <w:rsid w:val="00585031"/>
    <w:rsid w:val="00586E8B"/>
    <w:rsid w:val="00587A44"/>
    <w:rsid w:val="00597730"/>
    <w:rsid w:val="005977EC"/>
    <w:rsid w:val="00597DE7"/>
    <w:rsid w:val="005A4AA2"/>
    <w:rsid w:val="005A75BC"/>
    <w:rsid w:val="005B34B6"/>
    <w:rsid w:val="005B4236"/>
    <w:rsid w:val="005B606A"/>
    <w:rsid w:val="005B6C8F"/>
    <w:rsid w:val="005B6EC3"/>
    <w:rsid w:val="005C17D7"/>
    <w:rsid w:val="005C33CE"/>
    <w:rsid w:val="005D0F74"/>
    <w:rsid w:val="005D2E7D"/>
    <w:rsid w:val="005D4A8F"/>
    <w:rsid w:val="005D561B"/>
    <w:rsid w:val="005D578F"/>
    <w:rsid w:val="005D5ECF"/>
    <w:rsid w:val="005E263C"/>
    <w:rsid w:val="005F468D"/>
    <w:rsid w:val="005F69A3"/>
    <w:rsid w:val="0060098D"/>
    <w:rsid w:val="00603AB1"/>
    <w:rsid w:val="00604CC7"/>
    <w:rsid w:val="00613441"/>
    <w:rsid w:val="00615423"/>
    <w:rsid w:val="006165B2"/>
    <w:rsid w:val="00617276"/>
    <w:rsid w:val="0062527B"/>
    <w:rsid w:val="00625D97"/>
    <w:rsid w:val="00625F1C"/>
    <w:rsid w:val="0062658E"/>
    <w:rsid w:val="006279E1"/>
    <w:rsid w:val="00630CEB"/>
    <w:rsid w:val="00631E85"/>
    <w:rsid w:val="00632264"/>
    <w:rsid w:val="006355F2"/>
    <w:rsid w:val="00635DFE"/>
    <w:rsid w:val="00640E3F"/>
    <w:rsid w:val="006470BC"/>
    <w:rsid w:val="006554D3"/>
    <w:rsid w:val="00660000"/>
    <w:rsid w:val="006603F4"/>
    <w:rsid w:val="00661708"/>
    <w:rsid w:val="00666522"/>
    <w:rsid w:val="00667036"/>
    <w:rsid w:val="00667B89"/>
    <w:rsid w:val="00673BDB"/>
    <w:rsid w:val="00674341"/>
    <w:rsid w:val="006771B8"/>
    <w:rsid w:val="006824F6"/>
    <w:rsid w:val="00682631"/>
    <w:rsid w:val="00683A89"/>
    <w:rsid w:val="006843B6"/>
    <w:rsid w:val="0068481F"/>
    <w:rsid w:val="006869A3"/>
    <w:rsid w:val="00693EA1"/>
    <w:rsid w:val="00694820"/>
    <w:rsid w:val="0069636F"/>
    <w:rsid w:val="00696F5D"/>
    <w:rsid w:val="00697249"/>
    <w:rsid w:val="006A06F3"/>
    <w:rsid w:val="006A1A67"/>
    <w:rsid w:val="006A1C2C"/>
    <w:rsid w:val="006B09C4"/>
    <w:rsid w:val="006B3947"/>
    <w:rsid w:val="006B4293"/>
    <w:rsid w:val="006B624F"/>
    <w:rsid w:val="006C0C95"/>
    <w:rsid w:val="006C1F48"/>
    <w:rsid w:val="006C31E3"/>
    <w:rsid w:val="006D18D3"/>
    <w:rsid w:val="006D1EE9"/>
    <w:rsid w:val="006D2257"/>
    <w:rsid w:val="006D3BD1"/>
    <w:rsid w:val="006D5A26"/>
    <w:rsid w:val="006E010E"/>
    <w:rsid w:val="006E08CB"/>
    <w:rsid w:val="006E5734"/>
    <w:rsid w:val="006E598D"/>
    <w:rsid w:val="006F036D"/>
    <w:rsid w:val="0070437D"/>
    <w:rsid w:val="00704CF1"/>
    <w:rsid w:val="00705B04"/>
    <w:rsid w:val="0071040E"/>
    <w:rsid w:val="00717EE9"/>
    <w:rsid w:val="00723742"/>
    <w:rsid w:val="00724992"/>
    <w:rsid w:val="00724F64"/>
    <w:rsid w:val="00727F90"/>
    <w:rsid w:val="0073024A"/>
    <w:rsid w:val="00733313"/>
    <w:rsid w:val="00734820"/>
    <w:rsid w:val="007349DC"/>
    <w:rsid w:val="0074365E"/>
    <w:rsid w:val="00744B55"/>
    <w:rsid w:val="007515FD"/>
    <w:rsid w:val="00760D80"/>
    <w:rsid w:val="00761CB4"/>
    <w:rsid w:val="0076309E"/>
    <w:rsid w:val="00763975"/>
    <w:rsid w:val="00780C09"/>
    <w:rsid w:val="00780DDF"/>
    <w:rsid w:val="00781D46"/>
    <w:rsid w:val="007834E9"/>
    <w:rsid w:val="00787DBC"/>
    <w:rsid w:val="0079019A"/>
    <w:rsid w:val="00792935"/>
    <w:rsid w:val="00793202"/>
    <w:rsid w:val="0079395A"/>
    <w:rsid w:val="007A04A1"/>
    <w:rsid w:val="007A1840"/>
    <w:rsid w:val="007A5599"/>
    <w:rsid w:val="007B3E66"/>
    <w:rsid w:val="007B730C"/>
    <w:rsid w:val="007C0528"/>
    <w:rsid w:val="007C08EA"/>
    <w:rsid w:val="007C369F"/>
    <w:rsid w:val="007C3D38"/>
    <w:rsid w:val="007D0F35"/>
    <w:rsid w:val="007D4546"/>
    <w:rsid w:val="007D4FEB"/>
    <w:rsid w:val="007D6146"/>
    <w:rsid w:val="007E0CE7"/>
    <w:rsid w:val="007F1193"/>
    <w:rsid w:val="007F316B"/>
    <w:rsid w:val="007F417F"/>
    <w:rsid w:val="007F68A8"/>
    <w:rsid w:val="007F7644"/>
    <w:rsid w:val="008008E0"/>
    <w:rsid w:val="008042BD"/>
    <w:rsid w:val="008050B3"/>
    <w:rsid w:val="00816624"/>
    <w:rsid w:val="00821F79"/>
    <w:rsid w:val="00822427"/>
    <w:rsid w:val="00822562"/>
    <w:rsid w:val="00823663"/>
    <w:rsid w:val="00823664"/>
    <w:rsid w:val="00824CBA"/>
    <w:rsid w:val="008305B7"/>
    <w:rsid w:val="00832DDC"/>
    <w:rsid w:val="00841829"/>
    <w:rsid w:val="008426B0"/>
    <w:rsid w:val="008431BB"/>
    <w:rsid w:val="00845E34"/>
    <w:rsid w:val="00850BAC"/>
    <w:rsid w:val="00854A3E"/>
    <w:rsid w:val="00855D08"/>
    <w:rsid w:val="008618A4"/>
    <w:rsid w:val="008731AB"/>
    <w:rsid w:val="00874344"/>
    <w:rsid w:val="0087505D"/>
    <w:rsid w:val="00877703"/>
    <w:rsid w:val="0088201A"/>
    <w:rsid w:val="00882155"/>
    <w:rsid w:val="0088233B"/>
    <w:rsid w:val="008824BC"/>
    <w:rsid w:val="0088599E"/>
    <w:rsid w:val="00886C37"/>
    <w:rsid w:val="008915FC"/>
    <w:rsid w:val="00892D99"/>
    <w:rsid w:val="00893315"/>
    <w:rsid w:val="00894C09"/>
    <w:rsid w:val="008A3825"/>
    <w:rsid w:val="008A558D"/>
    <w:rsid w:val="008B5C68"/>
    <w:rsid w:val="008B62AE"/>
    <w:rsid w:val="008C04B5"/>
    <w:rsid w:val="008C14FA"/>
    <w:rsid w:val="008C69E5"/>
    <w:rsid w:val="008C7B0B"/>
    <w:rsid w:val="008C7DF6"/>
    <w:rsid w:val="008D4057"/>
    <w:rsid w:val="008E1F19"/>
    <w:rsid w:val="008E3E76"/>
    <w:rsid w:val="008F2262"/>
    <w:rsid w:val="008F4D2B"/>
    <w:rsid w:val="008F5B91"/>
    <w:rsid w:val="008F7736"/>
    <w:rsid w:val="0090019E"/>
    <w:rsid w:val="00900435"/>
    <w:rsid w:val="00901086"/>
    <w:rsid w:val="00901C8A"/>
    <w:rsid w:val="00902F66"/>
    <w:rsid w:val="00904F3B"/>
    <w:rsid w:val="00905886"/>
    <w:rsid w:val="009070D6"/>
    <w:rsid w:val="009076C6"/>
    <w:rsid w:val="00907F62"/>
    <w:rsid w:val="0091019E"/>
    <w:rsid w:val="009106F1"/>
    <w:rsid w:val="00912404"/>
    <w:rsid w:val="009145D6"/>
    <w:rsid w:val="00915541"/>
    <w:rsid w:val="00920E64"/>
    <w:rsid w:val="00920F89"/>
    <w:rsid w:val="00922002"/>
    <w:rsid w:val="009225CB"/>
    <w:rsid w:val="00923FCC"/>
    <w:rsid w:val="00924020"/>
    <w:rsid w:val="00924BF4"/>
    <w:rsid w:val="009271A7"/>
    <w:rsid w:val="0092762F"/>
    <w:rsid w:val="00932045"/>
    <w:rsid w:val="00934B96"/>
    <w:rsid w:val="0093658B"/>
    <w:rsid w:val="009429FF"/>
    <w:rsid w:val="009444D1"/>
    <w:rsid w:val="00945BD6"/>
    <w:rsid w:val="009479FB"/>
    <w:rsid w:val="00951C45"/>
    <w:rsid w:val="00951DD8"/>
    <w:rsid w:val="00962260"/>
    <w:rsid w:val="009656F2"/>
    <w:rsid w:val="00966A08"/>
    <w:rsid w:val="009701B7"/>
    <w:rsid w:val="00971207"/>
    <w:rsid w:val="00975CB4"/>
    <w:rsid w:val="009863B0"/>
    <w:rsid w:val="00987DE1"/>
    <w:rsid w:val="00990571"/>
    <w:rsid w:val="00991905"/>
    <w:rsid w:val="009926B2"/>
    <w:rsid w:val="0099673A"/>
    <w:rsid w:val="009A3291"/>
    <w:rsid w:val="009A3330"/>
    <w:rsid w:val="009A548F"/>
    <w:rsid w:val="009A7C96"/>
    <w:rsid w:val="009B61BF"/>
    <w:rsid w:val="009C3253"/>
    <w:rsid w:val="009C3DB9"/>
    <w:rsid w:val="009C573D"/>
    <w:rsid w:val="009C5968"/>
    <w:rsid w:val="009C68D9"/>
    <w:rsid w:val="009D0436"/>
    <w:rsid w:val="009D46E5"/>
    <w:rsid w:val="009D568A"/>
    <w:rsid w:val="009E32A9"/>
    <w:rsid w:val="009F04EC"/>
    <w:rsid w:val="009F2A7C"/>
    <w:rsid w:val="009F3B36"/>
    <w:rsid w:val="009F68E5"/>
    <w:rsid w:val="00A019B9"/>
    <w:rsid w:val="00A03157"/>
    <w:rsid w:val="00A03AB9"/>
    <w:rsid w:val="00A11756"/>
    <w:rsid w:val="00A12497"/>
    <w:rsid w:val="00A12508"/>
    <w:rsid w:val="00A1282B"/>
    <w:rsid w:val="00A13A27"/>
    <w:rsid w:val="00A15B7C"/>
    <w:rsid w:val="00A175B6"/>
    <w:rsid w:val="00A21835"/>
    <w:rsid w:val="00A23740"/>
    <w:rsid w:val="00A2374B"/>
    <w:rsid w:val="00A23AAB"/>
    <w:rsid w:val="00A27D6E"/>
    <w:rsid w:val="00A328EC"/>
    <w:rsid w:val="00A33A51"/>
    <w:rsid w:val="00A41CA6"/>
    <w:rsid w:val="00A431ED"/>
    <w:rsid w:val="00A47927"/>
    <w:rsid w:val="00A47FFC"/>
    <w:rsid w:val="00A5442F"/>
    <w:rsid w:val="00A54FF9"/>
    <w:rsid w:val="00A56765"/>
    <w:rsid w:val="00A675AC"/>
    <w:rsid w:val="00A7097D"/>
    <w:rsid w:val="00A7581F"/>
    <w:rsid w:val="00A81274"/>
    <w:rsid w:val="00A86ACA"/>
    <w:rsid w:val="00A92439"/>
    <w:rsid w:val="00A92FB1"/>
    <w:rsid w:val="00A9319A"/>
    <w:rsid w:val="00A94ACB"/>
    <w:rsid w:val="00A95980"/>
    <w:rsid w:val="00A95A0C"/>
    <w:rsid w:val="00AA2765"/>
    <w:rsid w:val="00AA77B5"/>
    <w:rsid w:val="00AB6C5D"/>
    <w:rsid w:val="00AC3401"/>
    <w:rsid w:val="00AC51A7"/>
    <w:rsid w:val="00AC603B"/>
    <w:rsid w:val="00AD0E89"/>
    <w:rsid w:val="00AD444B"/>
    <w:rsid w:val="00AD5614"/>
    <w:rsid w:val="00AD6C78"/>
    <w:rsid w:val="00AD78A9"/>
    <w:rsid w:val="00AE03F0"/>
    <w:rsid w:val="00AE2EAB"/>
    <w:rsid w:val="00AE4AAC"/>
    <w:rsid w:val="00AF13D0"/>
    <w:rsid w:val="00AF35C9"/>
    <w:rsid w:val="00AF5E0E"/>
    <w:rsid w:val="00AF5F89"/>
    <w:rsid w:val="00AF6E85"/>
    <w:rsid w:val="00AF6FB4"/>
    <w:rsid w:val="00AF73CB"/>
    <w:rsid w:val="00B002D6"/>
    <w:rsid w:val="00B02EF0"/>
    <w:rsid w:val="00B03379"/>
    <w:rsid w:val="00B03FA5"/>
    <w:rsid w:val="00B04110"/>
    <w:rsid w:val="00B05B51"/>
    <w:rsid w:val="00B12B61"/>
    <w:rsid w:val="00B14E5A"/>
    <w:rsid w:val="00B15370"/>
    <w:rsid w:val="00B16DA4"/>
    <w:rsid w:val="00B17BEB"/>
    <w:rsid w:val="00B21A3C"/>
    <w:rsid w:val="00B223C0"/>
    <w:rsid w:val="00B234ED"/>
    <w:rsid w:val="00B249B2"/>
    <w:rsid w:val="00B25CA3"/>
    <w:rsid w:val="00B2765A"/>
    <w:rsid w:val="00B30502"/>
    <w:rsid w:val="00B3109A"/>
    <w:rsid w:val="00B32D37"/>
    <w:rsid w:val="00B41AA8"/>
    <w:rsid w:val="00B42B45"/>
    <w:rsid w:val="00B47A18"/>
    <w:rsid w:val="00B516ED"/>
    <w:rsid w:val="00B565DA"/>
    <w:rsid w:val="00B57A6A"/>
    <w:rsid w:val="00B62D0D"/>
    <w:rsid w:val="00B66D99"/>
    <w:rsid w:val="00B760F1"/>
    <w:rsid w:val="00B7669E"/>
    <w:rsid w:val="00B76EBB"/>
    <w:rsid w:val="00B77DA1"/>
    <w:rsid w:val="00B822A0"/>
    <w:rsid w:val="00B82D2B"/>
    <w:rsid w:val="00B82F85"/>
    <w:rsid w:val="00B858AE"/>
    <w:rsid w:val="00B85964"/>
    <w:rsid w:val="00B910D0"/>
    <w:rsid w:val="00B96250"/>
    <w:rsid w:val="00B96301"/>
    <w:rsid w:val="00BA0D55"/>
    <w:rsid w:val="00BA37B3"/>
    <w:rsid w:val="00BA4CC6"/>
    <w:rsid w:val="00BA7F46"/>
    <w:rsid w:val="00BB0F1D"/>
    <w:rsid w:val="00BB3493"/>
    <w:rsid w:val="00BB6E4C"/>
    <w:rsid w:val="00BB7468"/>
    <w:rsid w:val="00BC0514"/>
    <w:rsid w:val="00BC188A"/>
    <w:rsid w:val="00BC402E"/>
    <w:rsid w:val="00BC70C6"/>
    <w:rsid w:val="00BD0F48"/>
    <w:rsid w:val="00BD14E5"/>
    <w:rsid w:val="00BE0E50"/>
    <w:rsid w:val="00BE6DDB"/>
    <w:rsid w:val="00BF03E0"/>
    <w:rsid w:val="00BF5010"/>
    <w:rsid w:val="00C02E41"/>
    <w:rsid w:val="00C03009"/>
    <w:rsid w:val="00C03D5F"/>
    <w:rsid w:val="00C13791"/>
    <w:rsid w:val="00C210BD"/>
    <w:rsid w:val="00C2575A"/>
    <w:rsid w:val="00C31BB3"/>
    <w:rsid w:val="00C36977"/>
    <w:rsid w:val="00C45510"/>
    <w:rsid w:val="00C45CFD"/>
    <w:rsid w:val="00C46628"/>
    <w:rsid w:val="00C467DA"/>
    <w:rsid w:val="00C477D9"/>
    <w:rsid w:val="00C57869"/>
    <w:rsid w:val="00C60BA3"/>
    <w:rsid w:val="00C623F7"/>
    <w:rsid w:val="00C62A81"/>
    <w:rsid w:val="00C67CD7"/>
    <w:rsid w:val="00C71E00"/>
    <w:rsid w:val="00C75BC5"/>
    <w:rsid w:val="00C81670"/>
    <w:rsid w:val="00C81773"/>
    <w:rsid w:val="00C82861"/>
    <w:rsid w:val="00C86896"/>
    <w:rsid w:val="00C86D19"/>
    <w:rsid w:val="00C907A8"/>
    <w:rsid w:val="00C91670"/>
    <w:rsid w:val="00C93211"/>
    <w:rsid w:val="00C93DB8"/>
    <w:rsid w:val="00C942EC"/>
    <w:rsid w:val="00C96047"/>
    <w:rsid w:val="00C979D0"/>
    <w:rsid w:val="00CA0818"/>
    <w:rsid w:val="00CA15C8"/>
    <w:rsid w:val="00CA2C8F"/>
    <w:rsid w:val="00CA30DA"/>
    <w:rsid w:val="00CA3A24"/>
    <w:rsid w:val="00CA58E6"/>
    <w:rsid w:val="00CB1777"/>
    <w:rsid w:val="00CB206B"/>
    <w:rsid w:val="00CB33E9"/>
    <w:rsid w:val="00CB3E90"/>
    <w:rsid w:val="00CC10A9"/>
    <w:rsid w:val="00CC3495"/>
    <w:rsid w:val="00CD0655"/>
    <w:rsid w:val="00CD7683"/>
    <w:rsid w:val="00CE2BF8"/>
    <w:rsid w:val="00CE484E"/>
    <w:rsid w:val="00CE4D20"/>
    <w:rsid w:val="00CE656F"/>
    <w:rsid w:val="00CE6AF3"/>
    <w:rsid w:val="00CF0DA8"/>
    <w:rsid w:val="00CF2E25"/>
    <w:rsid w:val="00CF4453"/>
    <w:rsid w:val="00CF5589"/>
    <w:rsid w:val="00CF5D94"/>
    <w:rsid w:val="00CF7E0F"/>
    <w:rsid w:val="00D00893"/>
    <w:rsid w:val="00D034D7"/>
    <w:rsid w:val="00D04BE4"/>
    <w:rsid w:val="00D06FC7"/>
    <w:rsid w:val="00D12565"/>
    <w:rsid w:val="00D140C1"/>
    <w:rsid w:val="00D14127"/>
    <w:rsid w:val="00D479AE"/>
    <w:rsid w:val="00D50FCD"/>
    <w:rsid w:val="00D533E3"/>
    <w:rsid w:val="00D53738"/>
    <w:rsid w:val="00D55EBA"/>
    <w:rsid w:val="00D57591"/>
    <w:rsid w:val="00D60B16"/>
    <w:rsid w:val="00D60F02"/>
    <w:rsid w:val="00D62A6F"/>
    <w:rsid w:val="00D66E49"/>
    <w:rsid w:val="00D67906"/>
    <w:rsid w:val="00D70D71"/>
    <w:rsid w:val="00D720B0"/>
    <w:rsid w:val="00D72F74"/>
    <w:rsid w:val="00D731CD"/>
    <w:rsid w:val="00D81563"/>
    <w:rsid w:val="00D837C1"/>
    <w:rsid w:val="00D85907"/>
    <w:rsid w:val="00D860AC"/>
    <w:rsid w:val="00D9073E"/>
    <w:rsid w:val="00D9221D"/>
    <w:rsid w:val="00D9253C"/>
    <w:rsid w:val="00D958DF"/>
    <w:rsid w:val="00D96DA1"/>
    <w:rsid w:val="00DA51E7"/>
    <w:rsid w:val="00DB0260"/>
    <w:rsid w:val="00DB1C78"/>
    <w:rsid w:val="00DB7D96"/>
    <w:rsid w:val="00DC23FE"/>
    <w:rsid w:val="00DC59E6"/>
    <w:rsid w:val="00DD150B"/>
    <w:rsid w:val="00DD3356"/>
    <w:rsid w:val="00DD5025"/>
    <w:rsid w:val="00DD5464"/>
    <w:rsid w:val="00DD6F85"/>
    <w:rsid w:val="00DE254E"/>
    <w:rsid w:val="00DE32C0"/>
    <w:rsid w:val="00DE3F45"/>
    <w:rsid w:val="00DE76A7"/>
    <w:rsid w:val="00DF1510"/>
    <w:rsid w:val="00DF6971"/>
    <w:rsid w:val="00E02F1F"/>
    <w:rsid w:val="00E05454"/>
    <w:rsid w:val="00E06484"/>
    <w:rsid w:val="00E06B24"/>
    <w:rsid w:val="00E17198"/>
    <w:rsid w:val="00E20A7D"/>
    <w:rsid w:val="00E23FE4"/>
    <w:rsid w:val="00E275D8"/>
    <w:rsid w:val="00E30F6A"/>
    <w:rsid w:val="00E3117C"/>
    <w:rsid w:val="00E31288"/>
    <w:rsid w:val="00E34307"/>
    <w:rsid w:val="00E34511"/>
    <w:rsid w:val="00E3635B"/>
    <w:rsid w:val="00E375C3"/>
    <w:rsid w:val="00E375CA"/>
    <w:rsid w:val="00E5219C"/>
    <w:rsid w:val="00E5364F"/>
    <w:rsid w:val="00E53CDE"/>
    <w:rsid w:val="00E567E8"/>
    <w:rsid w:val="00E63766"/>
    <w:rsid w:val="00E64679"/>
    <w:rsid w:val="00E65EBC"/>
    <w:rsid w:val="00E6602E"/>
    <w:rsid w:val="00E677FE"/>
    <w:rsid w:val="00E70939"/>
    <w:rsid w:val="00E73432"/>
    <w:rsid w:val="00E73D0F"/>
    <w:rsid w:val="00E77B0C"/>
    <w:rsid w:val="00E77FB8"/>
    <w:rsid w:val="00E838B0"/>
    <w:rsid w:val="00E86A7C"/>
    <w:rsid w:val="00E878E1"/>
    <w:rsid w:val="00E87F2C"/>
    <w:rsid w:val="00E94DF8"/>
    <w:rsid w:val="00E95278"/>
    <w:rsid w:val="00E96A42"/>
    <w:rsid w:val="00EA2273"/>
    <w:rsid w:val="00EA7C3C"/>
    <w:rsid w:val="00EB01A2"/>
    <w:rsid w:val="00EB2DB3"/>
    <w:rsid w:val="00EC3FBB"/>
    <w:rsid w:val="00EC6B7A"/>
    <w:rsid w:val="00ED03F5"/>
    <w:rsid w:val="00ED32DE"/>
    <w:rsid w:val="00ED3A87"/>
    <w:rsid w:val="00ED5B67"/>
    <w:rsid w:val="00EE1A5C"/>
    <w:rsid w:val="00EE5F5A"/>
    <w:rsid w:val="00EF1F91"/>
    <w:rsid w:val="00EF264C"/>
    <w:rsid w:val="00EF3FEE"/>
    <w:rsid w:val="00EF6B41"/>
    <w:rsid w:val="00F04B59"/>
    <w:rsid w:val="00F07B69"/>
    <w:rsid w:val="00F11741"/>
    <w:rsid w:val="00F117B0"/>
    <w:rsid w:val="00F12B1C"/>
    <w:rsid w:val="00F13CF8"/>
    <w:rsid w:val="00F151B2"/>
    <w:rsid w:val="00F15855"/>
    <w:rsid w:val="00F16185"/>
    <w:rsid w:val="00F200B2"/>
    <w:rsid w:val="00F20E4A"/>
    <w:rsid w:val="00F227DC"/>
    <w:rsid w:val="00F30701"/>
    <w:rsid w:val="00F32978"/>
    <w:rsid w:val="00F350A3"/>
    <w:rsid w:val="00F45CB2"/>
    <w:rsid w:val="00F511F3"/>
    <w:rsid w:val="00F5281E"/>
    <w:rsid w:val="00F544C0"/>
    <w:rsid w:val="00F55332"/>
    <w:rsid w:val="00F561AA"/>
    <w:rsid w:val="00F6156E"/>
    <w:rsid w:val="00F6504A"/>
    <w:rsid w:val="00F65519"/>
    <w:rsid w:val="00F66D9F"/>
    <w:rsid w:val="00F713C0"/>
    <w:rsid w:val="00F75DDC"/>
    <w:rsid w:val="00F7792F"/>
    <w:rsid w:val="00F842AA"/>
    <w:rsid w:val="00F8476F"/>
    <w:rsid w:val="00F853E1"/>
    <w:rsid w:val="00F85604"/>
    <w:rsid w:val="00F93809"/>
    <w:rsid w:val="00F94B7A"/>
    <w:rsid w:val="00FA104E"/>
    <w:rsid w:val="00FA17AC"/>
    <w:rsid w:val="00FA32DE"/>
    <w:rsid w:val="00FA3382"/>
    <w:rsid w:val="00FA59CD"/>
    <w:rsid w:val="00FB0CDC"/>
    <w:rsid w:val="00FB1740"/>
    <w:rsid w:val="00FB4235"/>
    <w:rsid w:val="00FC4446"/>
    <w:rsid w:val="00FC5469"/>
    <w:rsid w:val="00FC6D7D"/>
    <w:rsid w:val="00FD16B0"/>
    <w:rsid w:val="00FD4FED"/>
    <w:rsid w:val="00FE00C8"/>
    <w:rsid w:val="00FE0577"/>
    <w:rsid w:val="00FE2FF8"/>
    <w:rsid w:val="00FE59EC"/>
    <w:rsid w:val="00FE5B67"/>
    <w:rsid w:val="00FE60D6"/>
    <w:rsid w:val="00FF4046"/>
    <w:rsid w:val="00FF41B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4817"/>
    <o:shapelayout v:ext="edit">
      <o:idmap v:ext="edit" data="1"/>
    </o:shapelayout>
  </w:shapeDefaults>
  <w:decimalSymbol w:val="."/>
  <w:listSeparator w:val=","/>
  <w14:docId w14:val="2768A033"/>
  <w15:docId w15:val="{0EC8F788-9751-400C-9E57-4F42E58B836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1">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nhideWhenUsed="1"/>
    <w:lsdException w:name="toc 2" w:semiHidden="1" w:unhideWhenUsed="1"/>
    <w:lsdException w:name="toc 3" w:semiHidden="1" w:unhideWhenUsed="1"/>
    <w:lsdException w:name="toc 4"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Pr>
      <w:sz w:val="24"/>
      <w:szCs w:val="24"/>
    </w:rPr>
  </w:style>
  <w:style w:type="paragraph" w:styleId="Heading1">
    <w:name w:val="heading 1"/>
    <w:basedOn w:val="Normal"/>
    <w:next w:val="BodyText"/>
    <w:link w:val="Heading1Char"/>
    <w:qFormat/>
    <w:pPr>
      <w:keepNext/>
      <w:spacing w:after="240"/>
      <w:jc w:val="both"/>
      <w:outlineLvl w:val="0"/>
    </w:pPr>
    <w:rPr>
      <w:rFonts w:cs="Arial"/>
      <w:bCs/>
      <w:kern w:val="32"/>
      <w:szCs w:val="32"/>
    </w:rPr>
  </w:style>
  <w:style w:type="paragraph" w:styleId="Heading2">
    <w:name w:val="heading 2"/>
    <w:basedOn w:val="Normal"/>
    <w:next w:val="BodyText"/>
    <w:link w:val="Heading2Char"/>
    <w:qFormat/>
    <w:pPr>
      <w:keepNext/>
      <w:spacing w:after="240"/>
      <w:jc w:val="both"/>
      <w:outlineLvl w:val="1"/>
    </w:pPr>
    <w:rPr>
      <w:rFonts w:cs="Arial"/>
      <w:bCs/>
      <w:iCs/>
      <w:szCs w:val="28"/>
    </w:rPr>
  </w:style>
  <w:style w:type="paragraph" w:styleId="Heading3">
    <w:name w:val="heading 3"/>
    <w:basedOn w:val="BodyText"/>
    <w:next w:val="BodyText"/>
    <w:qFormat/>
    <w:pPr>
      <w:outlineLvl w:val="2"/>
    </w:pPr>
  </w:style>
  <w:style w:type="paragraph" w:styleId="Heading4">
    <w:name w:val="heading 4"/>
    <w:basedOn w:val="Normal"/>
    <w:next w:val="Normal"/>
    <w:qFormat/>
    <w:pPr>
      <w:keepNext/>
      <w:spacing w:before="240" w:after="60"/>
      <w:outlineLvl w:val="3"/>
    </w:pPr>
    <w:rPr>
      <w:b/>
      <w:bCs/>
      <w:sz w:val="28"/>
      <w:szCs w:val="28"/>
    </w:rPr>
  </w:style>
  <w:style w:type="paragraph" w:styleId="Heading5">
    <w:name w:val="heading 5"/>
    <w:basedOn w:val="Normal"/>
    <w:next w:val="Normal"/>
    <w:qFormat/>
    <w:pPr>
      <w:spacing w:before="240" w:after="60"/>
      <w:outlineLvl w:val="4"/>
    </w:pPr>
    <w:rPr>
      <w:b/>
      <w:bCs/>
      <w:i/>
      <w:iCs/>
      <w:sz w:val="26"/>
      <w:szCs w:val="26"/>
    </w:rPr>
  </w:style>
  <w:style w:type="paragraph" w:styleId="Heading6">
    <w:name w:val="heading 6"/>
    <w:basedOn w:val="Normal"/>
    <w:next w:val="Normal"/>
    <w:qFormat/>
    <w:pPr>
      <w:spacing w:before="240" w:after="60"/>
      <w:outlineLvl w:val="5"/>
    </w:pPr>
    <w:rPr>
      <w:b/>
      <w:bCs/>
      <w:sz w:val="22"/>
      <w:szCs w:val="22"/>
    </w:rPr>
  </w:style>
  <w:style w:type="paragraph" w:styleId="Heading7">
    <w:name w:val="heading 7"/>
    <w:basedOn w:val="Normal"/>
    <w:next w:val="Normal"/>
    <w:qFormat/>
    <w:pPr>
      <w:spacing w:before="240" w:after="60"/>
      <w:outlineLvl w:val="6"/>
    </w:pPr>
  </w:style>
  <w:style w:type="paragraph" w:styleId="Heading8">
    <w:name w:val="heading 8"/>
    <w:basedOn w:val="Normal"/>
    <w:next w:val="Normal"/>
    <w:qFormat/>
    <w:pPr>
      <w:spacing w:before="240" w:after="60"/>
      <w:outlineLvl w:val="7"/>
    </w:pPr>
    <w:rPr>
      <w:i/>
      <w:iCs/>
    </w:rPr>
  </w:style>
  <w:style w:type="paragraph" w:styleId="Heading9">
    <w:name w:val="heading 9"/>
    <w:basedOn w:val="Normal"/>
    <w:next w:val="Normal"/>
    <w:qFormat/>
    <w:pPr>
      <w:spacing w:before="240" w:after="60"/>
      <w:outlineLvl w:val="8"/>
    </w:pPr>
    <w:rPr>
      <w:rFonts w:ascii="Arial" w:hAnsi="Arial" w:cs="Arial"/>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036CE2"/>
    <w:pPr>
      <w:spacing w:after="240"/>
      <w:jc w:val="both"/>
    </w:pPr>
  </w:style>
  <w:style w:type="character" w:customStyle="1" w:styleId="BodyTextChar">
    <w:name w:val="Body Text Char"/>
    <w:link w:val="BodyText"/>
    <w:rsid w:val="00036CE2"/>
    <w:rPr>
      <w:sz w:val="24"/>
      <w:szCs w:val="24"/>
    </w:rPr>
  </w:style>
  <w:style w:type="character" w:customStyle="1" w:styleId="Heading1Char">
    <w:name w:val="Heading 1 Char"/>
    <w:link w:val="Heading1"/>
    <w:rPr>
      <w:rFonts w:cs="Arial"/>
      <w:bCs/>
      <w:kern w:val="32"/>
      <w:sz w:val="24"/>
      <w:szCs w:val="32"/>
      <w:lang w:val="en-US" w:eastAsia="en-US" w:bidi="ar-SA"/>
    </w:rPr>
  </w:style>
  <w:style w:type="character" w:customStyle="1" w:styleId="Heading2Char">
    <w:name w:val="Heading 2 Char"/>
    <w:link w:val="Heading2"/>
    <w:rPr>
      <w:rFonts w:cs="Arial"/>
      <w:bCs/>
      <w:iCs/>
      <w:sz w:val="24"/>
      <w:szCs w:val="28"/>
      <w:lang w:val="en-US" w:eastAsia="en-US" w:bidi="ar-SA"/>
    </w:rPr>
  </w:style>
  <w:style w:type="paragraph" w:styleId="Header">
    <w:name w:val="header"/>
    <w:basedOn w:val="Normal"/>
    <w:pPr>
      <w:tabs>
        <w:tab w:val="center" w:pos="4320"/>
        <w:tab w:val="right" w:pos="8640"/>
      </w:tabs>
      <w:jc w:val="both"/>
    </w:pPr>
  </w:style>
  <w:style w:type="paragraph" w:styleId="Footer">
    <w:name w:val="footer"/>
    <w:basedOn w:val="Normal"/>
    <w:link w:val="FooterChar"/>
    <w:pPr>
      <w:tabs>
        <w:tab w:val="center" w:pos="4320"/>
        <w:tab w:val="right" w:pos="8640"/>
      </w:tabs>
    </w:pPr>
  </w:style>
  <w:style w:type="paragraph" w:customStyle="1" w:styleId="MemoAddresses">
    <w:name w:val="Memo Addresses"/>
    <w:basedOn w:val="Normal"/>
    <w:next w:val="Normal"/>
    <w:pPr>
      <w:spacing w:before="120"/>
      <w:ind w:left="1008" w:hanging="1008"/>
      <w:jc w:val="both"/>
    </w:pPr>
  </w:style>
  <w:style w:type="paragraph" w:customStyle="1" w:styleId="MastHeadPSC">
    <w:name w:val="MastHead PSC"/>
    <w:basedOn w:val="Normal"/>
    <w:next w:val="Normal"/>
    <w:rsid w:val="00E567E8"/>
    <w:pPr>
      <w:jc w:val="center"/>
    </w:pPr>
    <w:rPr>
      <w:b/>
      <w:sz w:val="48"/>
      <w:szCs w:val="48"/>
    </w:rPr>
  </w:style>
  <w:style w:type="paragraph" w:customStyle="1" w:styleId="MastHeadMemorandum">
    <w:name w:val="MastHead Memorandum"/>
    <w:basedOn w:val="Normal"/>
    <w:next w:val="Normal"/>
    <w:pPr>
      <w:jc w:val="center"/>
    </w:pPr>
    <w:rPr>
      <w:b/>
      <w:sz w:val="28"/>
      <w:szCs w:val="28"/>
    </w:rPr>
  </w:style>
  <w:style w:type="paragraph" w:customStyle="1" w:styleId="MastHeadAddress">
    <w:name w:val="MastHead Address"/>
    <w:basedOn w:val="Normal"/>
    <w:next w:val="Normal"/>
    <w:pPr>
      <w:spacing w:after="200"/>
      <w:jc w:val="center"/>
    </w:pPr>
    <w:rPr>
      <w:b/>
      <w:smallCaps/>
      <w:sz w:val="20"/>
      <w:szCs w:val="20"/>
    </w:rPr>
  </w:style>
  <w:style w:type="paragraph" w:customStyle="1" w:styleId="MastHeadState">
    <w:name w:val="MastHead State"/>
    <w:basedOn w:val="Normal"/>
    <w:next w:val="Normal"/>
    <w:pPr>
      <w:jc w:val="center"/>
    </w:pPr>
    <w:rPr>
      <w:b/>
      <w:sz w:val="28"/>
      <w:szCs w:val="28"/>
    </w:rPr>
  </w:style>
  <w:style w:type="table" w:styleId="TableGrid">
    <w:name w:val="Table Grid"/>
    <w:basedOn w:val="TableNormal"/>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MemoHeading">
    <w:name w:val="Memo Heading"/>
    <w:basedOn w:val="Normal"/>
    <w:next w:val="Normal"/>
    <w:pPr>
      <w:jc w:val="both"/>
    </w:pPr>
  </w:style>
  <w:style w:type="paragraph" w:customStyle="1" w:styleId="BlockText5">
    <w:name w:val="Block Text .5&quot;"/>
    <w:basedOn w:val="Normal"/>
    <w:pPr>
      <w:spacing w:after="120"/>
      <w:ind w:left="720" w:right="720"/>
    </w:pPr>
  </w:style>
  <w:style w:type="paragraph" w:customStyle="1" w:styleId="BlockText1">
    <w:name w:val="Block Text 1&quot;"/>
    <w:basedOn w:val="Normal"/>
    <w:pPr>
      <w:spacing w:after="120"/>
      <w:ind w:left="1440" w:right="1440"/>
    </w:pPr>
  </w:style>
  <w:style w:type="paragraph" w:customStyle="1" w:styleId="BlockText15">
    <w:name w:val="Block Text 1.5&quot;"/>
    <w:basedOn w:val="Normal"/>
    <w:pPr>
      <w:spacing w:after="120"/>
      <w:ind w:left="2160" w:right="2160"/>
    </w:pPr>
  </w:style>
  <w:style w:type="paragraph" w:customStyle="1" w:styleId="IssueHeading">
    <w:name w:val="Issue Heading"/>
    <w:basedOn w:val="Heading1"/>
    <w:next w:val="BodyText"/>
    <w:link w:val="IssueHeadingChar"/>
    <w:qFormat/>
    <w:rsid w:val="00920E64"/>
    <w:pPr>
      <w:keepNext w:val="0"/>
    </w:pPr>
    <w:rPr>
      <w:rFonts w:ascii="Arial" w:hAnsi="Arial"/>
      <w:b/>
      <w:i/>
    </w:rPr>
  </w:style>
  <w:style w:type="character" w:customStyle="1" w:styleId="IssueHeadingChar">
    <w:name w:val="Issue Heading Char"/>
    <w:link w:val="IssueHeading"/>
    <w:rsid w:val="00920E64"/>
    <w:rPr>
      <w:rFonts w:ascii="Arial" w:hAnsi="Arial" w:cs="Arial"/>
      <w:b/>
      <w:bCs/>
      <w:i/>
      <w:kern w:val="32"/>
      <w:sz w:val="24"/>
      <w:szCs w:val="32"/>
    </w:rPr>
  </w:style>
  <w:style w:type="paragraph" w:customStyle="1" w:styleId="MemoHeadingRe">
    <w:name w:val="Memo Heading Re"/>
    <w:basedOn w:val="MemoHeading"/>
    <w:pPr>
      <w:tabs>
        <w:tab w:val="left" w:pos="2520"/>
        <w:tab w:val="left" w:pos="2736"/>
      </w:tabs>
    </w:pPr>
  </w:style>
  <w:style w:type="paragraph" w:styleId="TOC1">
    <w:name w:val="toc 1"/>
    <w:basedOn w:val="Normal"/>
    <w:next w:val="Normal"/>
    <w:pPr>
      <w:tabs>
        <w:tab w:val="left" w:pos="864"/>
        <w:tab w:val="right" w:leader="dot" w:pos="9360"/>
      </w:tabs>
      <w:ind w:left="864" w:right="360" w:hanging="864"/>
    </w:pPr>
  </w:style>
  <w:style w:type="character" w:styleId="Hyperlink">
    <w:name w:val="Hyperlink"/>
    <w:rPr>
      <w:color w:val="0000FF"/>
      <w:u w:val="single"/>
    </w:rPr>
  </w:style>
  <w:style w:type="paragraph" w:customStyle="1" w:styleId="RecommendationMajorSectionHeading">
    <w:name w:val="Recommendation Major Section Heading"/>
    <w:basedOn w:val="Heading1"/>
    <w:next w:val="BodyText"/>
    <w:rsid w:val="00F55332"/>
    <w:pPr>
      <w:jc w:val="center"/>
    </w:pPr>
    <w:rPr>
      <w:rFonts w:ascii="Arial" w:hAnsi="Arial"/>
      <w:b/>
    </w:rPr>
  </w:style>
  <w:style w:type="paragraph" w:customStyle="1" w:styleId="IssueSubsectionHeading">
    <w:name w:val="Issue Subsection Heading"/>
    <w:basedOn w:val="Heading2"/>
    <w:next w:val="BodyText"/>
    <w:link w:val="IssueSubsectionHeadingChar"/>
    <w:qFormat/>
    <w:rsid w:val="00920E64"/>
    <w:pPr>
      <w:keepNext w:val="0"/>
    </w:pPr>
    <w:rPr>
      <w:rFonts w:ascii="Arial" w:hAnsi="Arial"/>
      <w:b/>
      <w:i/>
    </w:rPr>
  </w:style>
  <w:style w:type="character" w:customStyle="1" w:styleId="IssueSubsectionHeadingChar">
    <w:name w:val="Issue Subsection Heading Char"/>
    <w:link w:val="IssueSubsectionHeading"/>
    <w:rsid w:val="00920E64"/>
    <w:rPr>
      <w:rFonts w:ascii="Arial" w:hAnsi="Arial" w:cs="Arial"/>
      <w:b/>
      <w:bCs/>
      <w:i/>
      <w:iCs/>
      <w:sz w:val="24"/>
      <w:szCs w:val="28"/>
    </w:rPr>
  </w:style>
  <w:style w:type="paragraph" w:customStyle="1" w:styleId="RecommendationHeading">
    <w:name w:val="Recommendation Heading"/>
    <w:basedOn w:val="Heading1"/>
    <w:next w:val="BodyText"/>
    <w:pPr>
      <w:keepNext w:val="0"/>
      <w:jc w:val="center"/>
    </w:pPr>
    <w:rPr>
      <w:b/>
      <w:u w:val="single"/>
    </w:rPr>
  </w:style>
  <w:style w:type="paragraph" w:customStyle="1" w:styleId="DiscussionofIssues">
    <w:name w:val="Discussion of Issues"/>
    <w:basedOn w:val="RecommendationMajorSectionHeading"/>
    <w:next w:val="BodyText"/>
    <w:pPr>
      <w:spacing w:after="0"/>
    </w:pPr>
  </w:style>
  <w:style w:type="character" w:styleId="PageNumber">
    <w:name w:val="page number"/>
    <w:basedOn w:val="DefaultParagraphFont"/>
  </w:style>
  <w:style w:type="paragraph" w:customStyle="1" w:styleId="TOCColumnHeadings">
    <w:name w:val="TOC Column Headings"/>
    <w:basedOn w:val="Normal"/>
    <w:rsid w:val="003864CF"/>
    <w:pPr>
      <w:tabs>
        <w:tab w:val="left" w:pos="864"/>
        <w:tab w:val="right" w:pos="9360"/>
      </w:tabs>
    </w:pPr>
    <w:rPr>
      <w:rFonts w:ascii="Arial" w:hAnsi="Arial"/>
      <w:b/>
      <w:i/>
    </w:rPr>
  </w:style>
  <w:style w:type="table" w:customStyle="1" w:styleId="TableMasthead">
    <w:name w:val="Table Masthead"/>
    <w:basedOn w:val="TableGrid"/>
    <w:tblPr/>
  </w:style>
  <w:style w:type="paragraph" w:customStyle="1" w:styleId="StyleHeading1BoldUnderline">
    <w:name w:val="Style Heading 1 + Bold Underline"/>
    <w:basedOn w:val="Heading1"/>
    <w:link w:val="StyleHeading1BoldUnderlineChar"/>
    <w:pPr>
      <w:keepNext w:val="0"/>
      <w:spacing w:before="240"/>
    </w:pPr>
    <w:rPr>
      <w:b/>
      <w:u w:val="single"/>
    </w:rPr>
  </w:style>
  <w:style w:type="character" w:customStyle="1" w:styleId="StyleHeading1BoldUnderlineChar">
    <w:name w:val="Style Heading 1 + Bold Underline Char"/>
    <w:link w:val="StyleHeading1BoldUnderline"/>
    <w:rPr>
      <w:rFonts w:cs="Arial"/>
      <w:b/>
      <w:bCs/>
      <w:kern w:val="32"/>
      <w:sz w:val="24"/>
      <w:szCs w:val="32"/>
      <w:u w:val="single"/>
      <w:lang w:val="en-US" w:eastAsia="en-US" w:bidi="ar-SA"/>
    </w:rPr>
  </w:style>
  <w:style w:type="paragraph" w:customStyle="1" w:styleId="RecommendationIssueGroupingSection">
    <w:name w:val="Recommendation Issue Grouping Section"/>
    <w:basedOn w:val="RecommendationMajorSectionHeading"/>
    <w:next w:val="IssueHeading"/>
    <w:pPr>
      <w:jc w:val="left"/>
    </w:pPr>
  </w:style>
  <w:style w:type="paragraph" w:styleId="FootnoteText">
    <w:name w:val="footnote text"/>
    <w:basedOn w:val="Normal"/>
    <w:link w:val="FootnoteTextChar"/>
    <w:pPr>
      <w:jc w:val="both"/>
    </w:pPr>
    <w:rPr>
      <w:sz w:val="20"/>
      <w:szCs w:val="20"/>
    </w:rPr>
  </w:style>
  <w:style w:type="paragraph" w:styleId="TOC3">
    <w:name w:val="toc 3"/>
    <w:basedOn w:val="TOC2"/>
    <w:next w:val="Normal"/>
    <w:pPr>
      <w:tabs>
        <w:tab w:val="clear" w:pos="1152"/>
        <w:tab w:val="left" w:pos="1584"/>
      </w:tabs>
      <w:ind w:left="1584" w:hanging="432"/>
    </w:pPr>
  </w:style>
  <w:style w:type="paragraph" w:styleId="TOC2">
    <w:name w:val="toc 2"/>
    <w:basedOn w:val="TOC1"/>
    <w:next w:val="Normal"/>
    <w:pPr>
      <w:tabs>
        <w:tab w:val="clear" w:pos="864"/>
        <w:tab w:val="left" w:pos="1152"/>
      </w:tabs>
      <w:ind w:left="1152" w:hanging="288"/>
    </w:pPr>
  </w:style>
  <w:style w:type="paragraph" w:styleId="DocumentMap">
    <w:name w:val="Document Map"/>
    <w:basedOn w:val="Normal"/>
    <w:semiHidden/>
    <w:pPr>
      <w:shd w:val="clear" w:color="auto" w:fill="000080"/>
    </w:pPr>
    <w:rPr>
      <w:rFonts w:ascii="Tahoma" w:hAnsi="Tahoma" w:cs="Tahoma"/>
    </w:rPr>
  </w:style>
  <w:style w:type="paragraph" w:styleId="BalloonText">
    <w:name w:val="Balloon Text"/>
    <w:basedOn w:val="Normal"/>
    <w:semiHidden/>
    <w:rPr>
      <w:rFonts w:ascii="Tahoma" w:hAnsi="Tahoma" w:cs="Tahoma"/>
      <w:sz w:val="16"/>
      <w:szCs w:val="16"/>
    </w:rPr>
  </w:style>
  <w:style w:type="paragraph" w:styleId="BlockText">
    <w:name w:val="Block Text"/>
    <w:basedOn w:val="Normal"/>
    <w:pPr>
      <w:spacing w:after="120"/>
      <w:ind w:left="1440" w:right="1440"/>
    </w:pPr>
  </w:style>
  <w:style w:type="paragraph" w:styleId="BodyText2">
    <w:name w:val="Body Text 2"/>
    <w:basedOn w:val="Normal"/>
    <w:pPr>
      <w:spacing w:after="120" w:line="480" w:lineRule="auto"/>
    </w:pPr>
  </w:style>
  <w:style w:type="paragraph" w:styleId="BodyText3">
    <w:name w:val="Body Text 3"/>
    <w:basedOn w:val="Normal"/>
    <w:pPr>
      <w:spacing w:after="120"/>
    </w:pPr>
    <w:rPr>
      <w:sz w:val="16"/>
      <w:szCs w:val="16"/>
    </w:rPr>
  </w:style>
  <w:style w:type="paragraph" w:styleId="BodyTextFirstIndent">
    <w:name w:val="Body Text First Indent"/>
    <w:basedOn w:val="BodyText"/>
    <w:pPr>
      <w:spacing w:after="120"/>
      <w:ind w:firstLine="210"/>
      <w:jc w:val="left"/>
    </w:pPr>
  </w:style>
  <w:style w:type="paragraph" w:styleId="BodyTextIndent">
    <w:name w:val="Body Text Indent"/>
    <w:basedOn w:val="Normal"/>
    <w:pPr>
      <w:spacing w:after="120"/>
      <w:ind w:left="360"/>
    </w:pPr>
  </w:style>
  <w:style w:type="paragraph" w:styleId="BodyTextFirstIndent2">
    <w:name w:val="Body Text First Indent 2"/>
    <w:basedOn w:val="BodyTextIndent"/>
    <w:pPr>
      <w:ind w:firstLine="210"/>
    </w:pPr>
  </w:style>
  <w:style w:type="paragraph" w:styleId="BodyTextIndent2">
    <w:name w:val="Body Text Indent 2"/>
    <w:basedOn w:val="Normal"/>
    <w:pPr>
      <w:spacing w:after="120" w:line="480" w:lineRule="auto"/>
      <w:ind w:left="360"/>
    </w:pPr>
  </w:style>
  <w:style w:type="paragraph" w:styleId="BodyTextIndent3">
    <w:name w:val="Body Text Indent 3"/>
    <w:basedOn w:val="Normal"/>
    <w:pPr>
      <w:spacing w:after="120"/>
      <w:ind w:left="360"/>
    </w:pPr>
    <w:rPr>
      <w:sz w:val="16"/>
      <w:szCs w:val="16"/>
    </w:rPr>
  </w:style>
  <w:style w:type="paragraph" w:styleId="Caption">
    <w:name w:val="caption"/>
    <w:basedOn w:val="Normal"/>
    <w:next w:val="Normal"/>
    <w:qFormat/>
    <w:pPr>
      <w:spacing w:before="120" w:after="120"/>
    </w:pPr>
    <w:rPr>
      <w:b/>
      <w:bCs/>
      <w:sz w:val="20"/>
      <w:szCs w:val="20"/>
    </w:rPr>
  </w:style>
  <w:style w:type="paragraph" w:styleId="Closing">
    <w:name w:val="Closing"/>
    <w:basedOn w:val="Normal"/>
    <w:pPr>
      <w:ind w:left="4320"/>
    </w:pPr>
  </w:style>
  <w:style w:type="paragraph" w:styleId="CommentText">
    <w:name w:val="annotation text"/>
    <w:basedOn w:val="Normal"/>
    <w:semiHidden/>
    <w:rPr>
      <w:sz w:val="20"/>
      <w:szCs w:val="20"/>
    </w:rPr>
  </w:style>
  <w:style w:type="paragraph" w:styleId="CommentSubject">
    <w:name w:val="annotation subject"/>
    <w:basedOn w:val="CommentText"/>
    <w:next w:val="CommentText"/>
    <w:semiHidden/>
    <w:rPr>
      <w:b/>
      <w:bCs/>
    </w:rPr>
  </w:style>
  <w:style w:type="paragraph" w:styleId="Date">
    <w:name w:val="Date"/>
    <w:basedOn w:val="Normal"/>
    <w:next w:val="Normal"/>
  </w:style>
  <w:style w:type="paragraph" w:styleId="E-mailSignature">
    <w:name w:val="E-mail Signature"/>
    <w:basedOn w:val="Normal"/>
  </w:style>
  <w:style w:type="paragraph" w:styleId="EndnoteText">
    <w:name w:val="endnote text"/>
    <w:basedOn w:val="Normal"/>
    <w:semiHidden/>
    <w:rPr>
      <w:sz w:val="20"/>
      <w:szCs w:val="20"/>
    </w:rPr>
  </w:style>
  <w:style w:type="paragraph" w:styleId="EnvelopeAddress">
    <w:name w:val="envelope address"/>
    <w:basedOn w:val="Normal"/>
    <w:pPr>
      <w:framePr w:w="7920" w:h="1980" w:hRule="exact" w:hSpace="180" w:wrap="auto" w:hAnchor="page" w:xAlign="center" w:yAlign="bottom"/>
      <w:ind w:left="2880"/>
    </w:pPr>
    <w:rPr>
      <w:rFonts w:ascii="Arial" w:hAnsi="Arial" w:cs="Arial"/>
    </w:rPr>
  </w:style>
  <w:style w:type="paragraph" w:styleId="EnvelopeReturn">
    <w:name w:val="envelope return"/>
    <w:basedOn w:val="Normal"/>
    <w:rPr>
      <w:rFonts w:ascii="Arial" w:hAnsi="Arial" w:cs="Arial"/>
      <w:sz w:val="20"/>
      <w:szCs w:val="20"/>
    </w:rPr>
  </w:style>
  <w:style w:type="paragraph" w:styleId="HTMLAddress">
    <w:name w:val="HTML Address"/>
    <w:basedOn w:val="Normal"/>
    <w:rPr>
      <w:i/>
      <w:iCs/>
    </w:rPr>
  </w:style>
  <w:style w:type="paragraph" w:styleId="HTMLPreformatted">
    <w:name w:val="HTML Preformatted"/>
    <w:basedOn w:val="Normal"/>
    <w:rPr>
      <w:rFonts w:ascii="Courier New" w:hAnsi="Courier New" w:cs="Courier New"/>
      <w:sz w:val="20"/>
      <w:szCs w:val="20"/>
    </w:rPr>
  </w:style>
  <w:style w:type="paragraph" w:styleId="Index1">
    <w:name w:val="index 1"/>
    <w:basedOn w:val="Normal"/>
    <w:next w:val="Normal"/>
    <w:autoRedefine/>
    <w:semiHidden/>
    <w:pPr>
      <w:ind w:left="240" w:hanging="240"/>
    </w:pPr>
  </w:style>
  <w:style w:type="paragraph" w:styleId="Index2">
    <w:name w:val="index 2"/>
    <w:basedOn w:val="Normal"/>
    <w:next w:val="Normal"/>
    <w:autoRedefine/>
    <w:semiHidden/>
    <w:pPr>
      <w:ind w:left="480" w:hanging="240"/>
    </w:pPr>
  </w:style>
  <w:style w:type="paragraph" w:styleId="Index3">
    <w:name w:val="index 3"/>
    <w:basedOn w:val="Normal"/>
    <w:next w:val="Normal"/>
    <w:autoRedefine/>
    <w:semiHidden/>
    <w:pPr>
      <w:ind w:left="720" w:hanging="240"/>
    </w:pPr>
  </w:style>
  <w:style w:type="paragraph" w:styleId="Index4">
    <w:name w:val="index 4"/>
    <w:basedOn w:val="Normal"/>
    <w:next w:val="Normal"/>
    <w:autoRedefine/>
    <w:semiHidden/>
    <w:pPr>
      <w:ind w:left="960" w:hanging="240"/>
    </w:pPr>
  </w:style>
  <w:style w:type="paragraph" w:styleId="Index5">
    <w:name w:val="index 5"/>
    <w:basedOn w:val="Normal"/>
    <w:next w:val="Normal"/>
    <w:autoRedefine/>
    <w:semiHidden/>
    <w:pPr>
      <w:ind w:left="1200" w:hanging="240"/>
    </w:pPr>
  </w:style>
  <w:style w:type="paragraph" w:styleId="Index6">
    <w:name w:val="index 6"/>
    <w:basedOn w:val="Normal"/>
    <w:next w:val="Normal"/>
    <w:autoRedefine/>
    <w:semiHidden/>
    <w:pPr>
      <w:ind w:left="1440" w:hanging="240"/>
    </w:pPr>
  </w:style>
  <w:style w:type="paragraph" w:styleId="Index7">
    <w:name w:val="index 7"/>
    <w:basedOn w:val="Normal"/>
    <w:next w:val="Normal"/>
    <w:autoRedefine/>
    <w:semiHidden/>
    <w:pPr>
      <w:ind w:left="1680" w:hanging="240"/>
    </w:pPr>
  </w:style>
  <w:style w:type="paragraph" w:styleId="Index8">
    <w:name w:val="index 8"/>
    <w:basedOn w:val="Normal"/>
    <w:next w:val="Normal"/>
    <w:autoRedefine/>
    <w:semiHidden/>
    <w:pPr>
      <w:ind w:left="1920" w:hanging="240"/>
    </w:pPr>
  </w:style>
  <w:style w:type="paragraph" w:styleId="Index9">
    <w:name w:val="index 9"/>
    <w:basedOn w:val="Normal"/>
    <w:next w:val="Normal"/>
    <w:autoRedefine/>
    <w:semiHidden/>
    <w:pPr>
      <w:ind w:left="2160" w:hanging="240"/>
    </w:pPr>
  </w:style>
  <w:style w:type="paragraph" w:styleId="IndexHeading">
    <w:name w:val="index heading"/>
    <w:basedOn w:val="Normal"/>
    <w:next w:val="Index1"/>
    <w:semiHidden/>
    <w:rPr>
      <w:rFonts w:ascii="Arial" w:hAnsi="Arial" w:cs="Arial"/>
      <w:b/>
      <w:bCs/>
    </w:rPr>
  </w:style>
  <w:style w:type="paragraph" w:styleId="List">
    <w:name w:val="List"/>
    <w:basedOn w:val="Normal"/>
    <w:pPr>
      <w:ind w:left="360" w:hanging="360"/>
    </w:pPr>
  </w:style>
  <w:style w:type="paragraph" w:styleId="List2">
    <w:name w:val="List 2"/>
    <w:basedOn w:val="Normal"/>
    <w:pPr>
      <w:ind w:left="720" w:hanging="360"/>
    </w:pPr>
  </w:style>
  <w:style w:type="paragraph" w:styleId="List3">
    <w:name w:val="List 3"/>
    <w:basedOn w:val="Normal"/>
    <w:pPr>
      <w:ind w:left="1080" w:hanging="360"/>
    </w:pPr>
  </w:style>
  <w:style w:type="paragraph" w:styleId="List4">
    <w:name w:val="List 4"/>
    <w:basedOn w:val="Normal"/>
    <w:pPr>
      <w:ind w:left="1440" w:hanging="360"/>
    </w:pPr>
  </w:style>
  <w:style w:type="paragraph" w:styleId="List5">
    <w:name w:val="List 5"/>
    <w:basedOn w:val="Normal"/>
    <w:pPr>
      <w:ind w:left="1800" w:hanging="360"/>
    </w:pPr>
  </w:style>
  <w:style w:type="paragraph" w:styleId="ListBullet">
    <w:name w:val="List Bullet"/>
    <w:basedOn w:val="Normal"/>
    <w:autoRedefine/>
    <w:pPr>
      <w:tabs>
        <w:tab w:val="num" w:pos="360"/>
      </w:tabs>
      <w:ind w:left="360" w:hanging="360"/>
    </w:pPr>
  </w:style>
  <w:style w:type="paragraph" w:styleId="ListBullet2">
    <w:name w:val="List Bullet 2"/>
    <w:basedOn w:val="Normal"/>
    <w:autoRedefine/>
    <w:pPr>
      <w:tabs>
        <w:tab w:val="num" w:pos="720"/>
      </w:tabs>
      <w:ind w:left="720" w:hanging="360"/>
    </w:pPr>
  </w:style>
  <w:style w:type="paragraph" w:styleId="ListBullet3">
    <w:name w:val="List Bullet 3"/>
    <w:basedOn w:val="Normal"/>
    <w:autoRedefine/>
    <w:pPr>
      <w:tabs>
        <w:tab w:val="num" w:pos="1080"/>
      </w:tabs>
      <w:ind w:left="1080" w:hanging="360"/>
    </w:pPr>
  </w:style>
  <w:style w:type="paragraph" w:styleId="ListBullet4">
    <w:name w:val="List Bullet 4"/>
    <w:basedOn w:val="Normal"/>
    <w:autoRedefine/>
    <w:pPr>
      <w:tabs>
        <w:tab w:val="num" w:pos="1440"/>
      </w:tabs>
      <w:ind w:left="1440" w:hanging="360"/>
    </w:pPr>
  </w:style>
  <w:style w:type="paragraph" w:styleId="ListBullet5">
    <w:name w:val="List Bullet 5"/>
    <w:basedOn w:val="Normal"/>
    <w:autoRedefine/>
    <w:pPr>
      <w:tabs>
        <w:tab w:val="num" w:pos="1800"/>
      </w:tabs>
      <w:ind w:left="1800" w:hanging="360"/>
    </w:pPr>
  </w:style>
  <w:style w:type="paragraph" w:styleId="ListContinue">
    <w:name w:val="List Continue"/>
    <w:basedOn w:val="Normal"/>
    <w:pPr>
      <w:spacing w:after="120"/>
      <w:ind w:left="360"/>
    </w:pPr>
  </w:style>
  <w:style w:type="paragraph" w:styleId="ListContinue2">
    <w:name w:val="List Continue 2"/>
    <w:basedOn w:val="Normal"/>
    <w:pPr>
      <w:spacing w:after="120"/>
      <w:ind w:left="720"/>
    </w:pPr>
  </w:style>
  <w:style w:type="paragraph" w:styleId="ListContinue3">
    <w:name w:val="List Continue 3"/>
    <w:basedOn w:val="Normal"/>
    <w:pPr>
      <w:spacing w:after="120"/>
      <w:ind w:left="1080"/>
    </w:pPr>
  </w:style>
  <w:style w:type="paragraph" w:styleId="ListContinue4">
    <w:name w:val="List Continue 4"/>
    <w:basedOn w:val="Normal"/>
    <w:pPr>
      <w:spacing w:after="120"/>
      <w:ind w:left="1440"/>
    </w:pPr>
  </w:style>
  <w:style w:type="paragraph" w:styleId="ListContinue5">
    <w:name w:val="List Continue 5"/>
    <w:basedOn w:val="Normal"/>
    <w:pPr>
      <w:spacing w:after="120"/>
      <w:ind w:left="1800"/>
    </w:pPr>
  </w:style>
  <w:style w:type="paragraph" w:styleId="ListNumber">
    <w:name w:val="List Number"/>
    <w:basedOn w:val="Normal"/>
    <w:pPr>
      <w:tabs>
        <w:tab w:val="num" w:pos="360"/>
      </w:tabs>
      <w:ind w:left="360" w:hanging="360"/>
    </w:pPr>
  </w:style>
  <w:style w:type="paragraph" w:styleId="ListNumber2">
    <w:name w:val="List Number 2"/>
    <w:basedOn w:val="Normal"/>
    <w:pPr>
      <w:tabs>
        <w:tab w:val="num" w:pos="720"/>
      </w:tabs>
      <w:ind w:left="720" w:hanging="360"/>
    </w:pPr>
  </w:style>
  <w:style w:type="paragraph" w:styleId="ListNumber3">
    <w:name w:val="List Number 3"/>
    <w:basedOn w:val="Normal"/>
    <w:pPr>
      <w:tabs>
        <w:tab w:val="num" w:pos="1080"/>
      </w:tabs>
      <w:ind w:left="1080" w:hanging="360"/>
    </w:pPr>
  </w:style>
  <w:style w:type="paragraph" w:styleId="ListNumber4">
    <w:name w:val="List Number 4"/>
    <w:basedOn w:val="Normal"/>
    <w:pPr>
      <w:tabs>
        <w:tab w:val="num" w:pos="1440"/>
      </w:tabs>
      <w:ind w:left="1440" w:hanging="360"/>
    </w:pPr>
  </w:style>
  <w:style w:type="paragraph" w:styleId="ListNumber5">
    <w:name w:val="List Number 5"/>
    <w:basedOn w:val="Normal"/>
    <w:pPr>
      <w:tabs>
        <w:tab w:val="num" w:pos="1800"/>
      </w:tabs>
      <w:ind w:left="1800" w:hanging="360"/>
    </w:pPr>
  </w:style>
  <w:style w:type="paragraph" w:styleId="MacroText">
    <w:name w:val="macro"/>
    <w:semiHidden/>
    <w:pPr>
      <w:tabs>
        <w:tab w:val="left" w:pos="480"/>
        <w:tab w:val="left" w:pos="960"/>
        <w:tab w:val="left" w:pos="1440"/>
        <w:tab w:val="left" w:pos="1920"/>
        <w:tab w:val="left" w:pos="2400"/>
        <w:tab w:val="left" w:pos="2880"/>
        <w:tab w:val="left" w:pos="3360"/>
        <w:tab w:val="left" w:pos="3840"/>
        <w:tab w:val="left" w:pos="4320"/>
      </w:tabs>
    </w:pPr>
    <w:rPr>
      <w:rFonts w:ascii="Courier New" w:hAnsi="Courier New" w:cs="Courier New"/>
    </w:rPr>
  </w:style>
  <w:style w:type="paragraph" w:styleId="MessageHeader">
    <w:name w:val="Message Header"/>
    <w:basedOn w:val="Normal"/>
    <w:pPr>
      <w:pBdr>
        <w:top w:val="single" w:sz="6" w:space="1" w:color="auto"/>
        <w:left w:val="single" w:sz="6" w:space="1" w:color="auto"/>
        <w:bottom w:val="single" w:sz="6" w:space="1" w:color="auto"/>
        <w:right w:val="single" w:sz="6" w:space="1" w:color="auto"/>
      </w:pBdr>
      <w:shd w:val="pct20" w:color="auto" w:fill="auto"/>
      <w:ind w:left="1080" w:hanging="1080"/>
    </w:pPr>
    <w:rPr>
      <w:rFonts w:ascii="Arial" w:hAnsi="Arial" w:cs="Arial"/>
    </w:rPr>
  </w:style>
  <w:style w:type="paragraph" w:styleId="NormalWeb">
    <w:name w:val="Normal (Web)"/>
    <w:basedOn w:val="Normal"/>
  </w:style>
  <w:style w:type="paragraph" w:styleId="NormalIndent">
    <w:name w:val="Normal Indent"/>
    <w:basedOn w:val="Normal"/>
    <w:pPr>
      <w:ind w:left="720"/>
    </w:pPr>
  </w:style>
  <w:style w:type="paragraph" w:styleId="NoteHeading">
    <w:name w:val="Note Heading"/>
    <w:basedOn w:val="Normal"/>
    <w:next w:val="Normal"/>
  </w:style>
  <w:style w:type="paragraph" w:styleId="PlainText">
    <w:name w:val="Plain Text"/>
    <w:basedOn w:val="Normal"/>
    <w:rPr>
      <w:rFonts w:ascii="Courier New" w:hAnsi="Courier New" w:cs="Courier New"/>
      <w:sz w:val="20"/>
      <w:szCs w:val="20"/>
    </w:rPr>
  </w:style>
  <w:style w:type="paragraph" w:styleId="Salutation">
    <w:name w:val="Salutation"/>
    <w:basedOn w:val="Normal"/>
    <w:next w:val="Normal"/>
  </w:style>
  <w:style w:type="paragraph" w:styleId="Signature">
    <w:name w:val="Signature"/>
    <w:basedOn w:val="Normal"/>
    <w:pPr>
      <w:ind w:left="4320"/>
    </w:pPr>
  </w:style>
  <w:style w:type="paragraph" w:styleId="Subtitle">
    <w:name w:val="Subtitle"/>
    <w:basedOn w:val="Normal"/>
    <w:qFormat/>
    <w:pPr>
      <w:spacing w:after="60"/>
      <w:jc w:val="center"/>
      <w:outlineLvl w:val="1"/>
    </w:pPr>
    <w:rPr>
      <w:rFonts w:ascii="Arial" w:hAnsi="Arial" w:cs="Arial"/>
    </w:rPr>
  </w:style>
  <w:style w:type="paragraph" w:styleId="TableofAuthorities">
    <w:name w:val="table of authorities"/>
    <w:basedOn w:val="Normal"/>
    <w:next w:val="Normal"/>
    <w:semiHidden/>
    <w:pPr>
      <w:ind w:left="240" w:hanging="240"/>
    </w:pPr>
  </w:style>
  <w:style w:type="paragraph" w:styleId="TableofFigures">
    <w:name w:val="table of figures"/>
    <w:basedOn w:val="Normal"/>
    <w:next w:val="Normal"/>
    <w:semiHidden/>
    <w:pPr>
      <w:ind w:left="480" w:hanging="480"/>
    </w:pPr>
  </w:style>
  <w:style w:type="paragraph" w:styleId="Title">
    <w:name w:val="Title"/>
    <w:basedOn w:val="Normal"/>
    <w:qFormat/>
    <w:pPr>
      <w:spacing w:before="240" w:after="60"/>
      <w:jc w:val="center"/>
      <w:outlineLvl w:val="0"/>
    </w:pPr>
    <w:rPr>
      <w:rFonts w:ascii="Arial" w:hAnsi="Arial" w:cs="Arial"/>
      <w:b/>
      <w:bCs/>
      <w:kern w:val="28"/>
      <w:sz w:val="32"/>
      <w:szCs w:val="32"/>
    </w:rPr>
  </w:style>
  <w:style w:type="paragraph" w:styleId="TOAHeading">
    <w:name w:val="toa heading"/>
    <w:basedOn w:val="Normal"/>
    <w:next w:val="Normal"/>
    <w:semiHidden/>
    <w:pPr>
      <w:spacing w:before="120"/>
    </w:pPr>
    <w:rPr>
      <w:rFonts w:ascii="Arial" w:hAnsi="Arial" w:cs="Arial"/>
      <w:b/>
      <w:bCs/>
    </w:rPr>
  </w:style>
  <w:style w:type="paragraph" w:styleId="TOC4">
    <w:name w:val="toc 4"/>
    <w:basedOn w:val="Normal"/>
    <w:next w:val="Normal"/>
    <w:autoRedefine/>
    <w:semiHidden/>
    <w:pPr>
      <w:ind w:left="720"/>
    </w:pPr>
  </w:style>
  <w:style w:type="paragraph" w:styleId="TOC5">
    <w:name w:val="toc 5"/>
    <w:basedOn w:val="Normal"/>
    <w:next w:val="Normal"/>
    <w:autoRedefine/>
    <w:semiHidden/>
    <w:pPr>
      <w:ind w:left="960"/>
    </w:pPr>
  </w:style>
  <w:style w:type="paragraph" w:styleId="TOC6">
    <w:name w:val="toc 6"/>
    <w:basedOn w:val="Normal"/>
    <w:next w:val="Normal"/>
    <w:autoRedefine/>
    <w:semiHidden/>
    <w:pPr>
      <w:ind w:left="1200"/>
    </w:pPr>
  </w:style>
  <w:style w:type="paragraph" w:styleId="TOC9">
    <w:name w:val="toc 9"/>
    <w:basedOn w:val="TOC1"/>
    <w:next w:val="Normal"/>
    <w:autoRedefine/>
    <w:pPr>
      <w:ind w:left="1728"/>
    </w:pPr>
    <w:rPr>
      <w:u w:val="single"/>
    </w:rPr>
  </w:style>
  <w:style w:type="paragraph" w:customStyle="1" w:styleId="MemoHeadingLabel">
    <w:name w:val="Memo Heading Label"/>
    <w:basedOn w:val="MemoHeading"/>
    <w:qFormat/>
    <w:rsid w:val="00506C03"/>
    <w:rPr>
      <w:rFonts w:ascii="Arial" w:hAnsi="Arial"/>
      <w:b/>
    </w:rPr>
  </w:style>
  <w:style w:type="paragraph" w:customStyle="1" w:styleId="First-LevelSubheading">
    <w:name w:val="First-Level Subheading"/>
    <w:basedOn w:val="IssueSubsectionHeading"/>
    <w:next w:val="BodyText"/>
    <w:qFormat/>
    <w:rsid w:val="00B57A6A"/>
    <w:pPr>
      <w:spacing w:after="0"/>
      <w:outlineLvl w:val="2"/>
    </w:pPr>
    <w:rPr>
      <w:i w:val="0"/>
    </w:rPr>
  </w:style>
  <w:style w:type="paragraph" w:customStyle="1" w:styleId="Second-LevelSubheading">
    <w:name w:val="Second-Level Subheading"/>
    <w:basedOn w:val="First-LevelSubheading"/>
    <w:next w:val="BodyText"/>
    <w:qFormat/>
    <w:rsid w:val="009070D6"/>
    <w:pPr>
      <w:ind w:left="720"/>
      <w:outlineLvl w:val="3"/>
    </w:pPr>
    <w:rPr>
      <w:i/>
    </w:rPr>
  </w:style>
  <w:style w:type="paragraph" w:customStyle="1" w:styleId="TableNumber">
    <w:name w:val="Table Number"/>
    <w:basedOn w:val="BodyText"/>
    <w:next w:val="BodyText"/>
    <w:qFormat/>
    <w:rsid w:val="00CA2C8F"/>
    <w:pPr>
      <w:spacing w:before="480" w:after="0"/>
      <w:jc w:val="center"/>
    </w:pPr>
    <w:rPr>
      <w:rFonts w:ascii="Arial" w:hAnsi="Arial"/>
      <w:b/>
    </w:rPr>
  </w:style>
  <w:style w:type="paragraph" w:customStyle="1" w:styleId="TableTitle">
    <w:name w:val="Table Title"/>
    <w:basedOn w:val="BodyText"/>
    <w:next w:val="BodyText"/>
    <w:qFormat/>
    <w:rsid w:val="00CA2C8F"/>
    <w:pPr>
      <w:spacing w:after="0"/>
      <w:jc w:val="center"/>
    </w:pPr>
    <w:rPr>
      <w:rFonts w:ascii="Arial" w:hAnsi="Arial"/>
      <w:b/>
    </w:rPr>
  </w:style>
  <w:style w:type="paragraph" w:customStyle="1" w:styleId="TableSource">
    <w:name w:val="Table Source"/>
    <w:basedOn w:val="BodyText"/>
    <w:next w:val="BodyText"/>
    <w:qFormat/>
    <w:rsid w:val="00CA2C8F"/>
    <w:pPr>
      <w:spacing w:after="480"/>
    </w:pPr>
  </w:style>
  <w:style w:type="paragraph" w:customStyle="1" w:styleId="PartyName">
    <w:name w:val="Party Name"/>
    <w:basedOn w:val="IssueSubsectionHeading"/>
    <w:next w:val="BodyText"/>
    <w:qFormat/>
    <w:rsid w:val="00920E64"/>
    <w:rPr>
      <w:i w:val="0"/>
    </w:rPr>
  </w:style>
  <w:style w:type="paragraph" w:customStyle="1" w:styleId="Third-LevelSubheading">
    <w:name w:val="Third-Level Subheading"/>
    <w:basedOn w:val="Second-LevelSubheading"/>
    <w:next w:val="BodyText"/>
    <w:qFormat/>
    <w:rsid w:val="00E275D8"/>
    <w:pPr>
      <w:ind w:left="1440"/>
      <w:outlineLvl w:val="4"/>
    </w:pPr>
  </w:style>
  <w:style w:type="character" w:styleId="FootnoteReference">
    <w:name w:val="footnote reference"/>
    <w:basedOn w:val="DefaultParagraphFont"/>
    <w:semiHidden/>
    <w:unhideWhenUsed/>
    <w:rsid w:val="008A558D"/>
    <w:rPr>
      <w:vertAlign w:val="superscript"/>
    </w:rPr>
  </w:style>
  <w:style w:type="character" w:customStyle="1" w:styleId="FooterChar">
    <w:name w:val="Footer Char"/>
    <w:basedOn w:val="DefaultParagraphFont"/>
    <w:link w:val="Footer"/>
    <w:rsid w:val="008A558D"/>
    <w:rPr>
      <w:sz w:val="24"/>
      <w:szCs w:val="24"/>
    </w:rPr>
  </w:style>
  <w:style w:type="character" w:styleId="CommentReference">
    <w:name w:val="annotation reference"/>
    <w:basedOn w:val="DefaultParagraphFont"/>
    <w:semiHidden/>
    <w:unhideWhenUsed/>
    <w:rsid w:val="00302E0C"/>
    <w:rPr>
      <w:sz w:val="16"/>
      <w:szCs w:val="16"/>
    </w:rPr>
  </w:style>
  <w:style w:type="character" w:customStyle="1" w:styleId="FootnoteTextChar">
    <w:name w:val="Footnote Text Char"/>
    <w:basedOn w:val="DefaultParagraphFont"/>
    <w:link w:val="FootnoteText"/>
    <w:rsid w:val="003E0D9E"/>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664789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13" Type="http://schemas.openxmlformats.org/officeDocument/2006/relationships/footer" Target="footer2.xml"/><Relationship Id="rId18" Type="http://schemas.openxmlformats.org/officeDocument/2006/relationships/image" Target="media/image5.jpeg"/><Relationship Id="rId26" Type="http://schemas.openxmlformats.org/officeDocument/2006/relationships/image" Target="media/image13.JPG"/><Relationship Id="rId39" Type="http://schemas.openxmlformats.org/officeDocument/2006/relationships/image" Target="media/image26.jpeg"/><Relationship Id="rId21" Type="http://schemas.openxmlformats.org/officeDocument/2006/relationships/image" Target="media/image8.jpeg"/><Relationship Id="rId34" Type="http://schemas.openxmlformats.org/officeDocument/2006/relationships/image" Target="media/image21.JPG"/><Relationship Id="rId42" Type="http://schemas.openxmlformats.org/officeDocument/2006/relationships/image" Target="media/image29.JPG"/><Relationship Id="rId47" Type="http://schemas.openxmlformats.org/officeDocument/2006/relationships/image" Target="media/image34.JPG"/><Relationship Id="rId50" Type="http://schemas.openxmlformats.org/officeDocument/2006/relationships/image" Target="media/image37.JPG"/><Relationship Id="rId55" Type="http://schemas.openxmlformats.org/officeDocument/2006/relationships/image" Target="media/image42.JPG"/><Relationship Id="rId7" Type="http://schemas.openxmlformats.org/officeDocument/2006/relationships/endnotes" Target="endnotes.xml"/><Relationship Id="rId12" Type="http://schemas.openxmlformats.org/officeDocument/2006/relationships/header" Target="header3.xml"/><Relationship Id="rId17" Type="http://schemas.openxmlformats.org/officeDocument/2006/relationships/image" Target="media/image4.jpeg"/><Relationship Id="rId25" Type="http://schemas.openxmlformats.org/officeDocument/2006/relationships/image" Target="media/image12.jpeg"/><Relationship Id="rId33" Type="http://schemas.openxmlformats.org/officeDocument/2006/relationships/image" Target="media/image20.jpeg"/><Relationship Id="rId38" Type="http://schemas.openxmlformats.org/officeDocument/2006/relationships/image" Target="media/image25.jpeg"/><Relationship Id="rId46" Type="http://schemas.openxmlformats.org/officeDocument/2006/relationships/image" Target="media/image33.JPG"/><Relationship Id="rId2" Type="http://schemas.openxmlformats.org/officeDocument/2006/relationships/numbering" Target="numbering.xml"/><Relationship Id="rId16" Type="http://schemas.openxmlformats.org/officeDocument/2006/relationships/image" Target="media/image3.jpeg"/><Relationship Id="rId20" Type="http://schemas.openxmlformats.org/officeDocument/2006/relationships/image" Target="media/image7.jpeg"/><Relationship Id="rId29" Type="http://schemas.openxmlformats.org/officeDocument/2006/relationships/image" Target="media/image16.JPG"/><Relationship Id="rId41" Type="http://schemas.openxmlformats.org/officeDocument/2006/relationships/image" Target="media/image28.JPG"/><Relationship Id="rId54" Type="http://schemas.openxmlformats.org/officeDocument/2006/relationships/image" Target="media/image41.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eader" Target="header2.xml"/><Relationship Id="rId24" Type="http://schemas.openxmlformats.org/officeDocument/2006/relationships/image" Target="media/image11.jpeg"/><Relationship Id="rId32" Type="http://schemas.openxmlformats.org/officeDocument/2006/relationships/image" Target="media/image19.jpeg"/><Relationship Id="rId37" Type="http://schemas.openxmlformats.org/officeDocument/2006/relationships/image" Target="media/image24.jpeg"/><Relationship Id="rId40" Type="http://schemas.openxmlformats.org/officeDocument/2006/relationships/image" Target="media/image27.jpeg"/><Relationship Id="rId45" Type="http://schemas.openxmlformats.org/officeDocument/2006/relationships/image" Target="media/image32.JPG"/><Relationship Id="rId53" Type="http://schemas.openxmlformats.org/officeDocument/2006/relationships/image" Target="media/image40.JPG"/><Relationship Id="rId58" Type="http://schemas.openxmlformats.org/officeDocument/2006/relationships/theme" Target="theme/theme1.xml"/><Relationship Id="rId5" Type="http://schemas.openxmlformats.org/officeDocument/2006/relationships/webSettings" Target="webSettings.xml"/><Relationship Id="rId15" Type="http://schemas.openxmlformats.org/officeDocument/2006/relationships/image" Target="media/image2.jpeg"/><Relationship Id="rId23" Type="http://schemas.openxmlformats.org/officeDocument/2006/relationships/image" Target="media/image10.JPG"/><Relationship Id="rId28" Type="http://schemas.openxmlformats.org/officeDocument/2006/relationships/image" Target="media/image15.JPG"/><Relationship Id="rId36" Type="http://schemas.openxmlformats.org/officeDocument/2006/relationships/image" Target="media/image23.jpeg"/><Relationship Id="rId49" Type="http://schemas.openxmlformats.org/officeDocument/2006/relationships/image" Target="media/image36.JPG"/><Relationship Id="rId57" Type="http://schemas.openxmlformats.org/officeDocument/2006/relationships/fontTable" Target="fontTable.xml"/><Relationship Id="rId10" Type="http://schemas.openxmlformats.org/officeDocument/2006/relationships/footer" Target="footer1.xml"/><Relationship Id="rId19" Type="http://schemas.openxmlformats.org/officeDocument/2006/relationships/image" Target="media/image6.jpeg"/><Relationship Id="rId31" Type="http://schemas.openxmlformats.org/officeDocument/2006/relationships/image" Target="media/image18.jpeg"/><Relationship Id="rId44" Type="http://schemas.openxmlformats.org/officeDocument/2006/relationships/image" Target="media/image31.JPG"/><Relationship Id="rId52" Type="http://schemas.openxmlformats.org/officeDocument/2006/relationships/image" Target="media/image39.JPG"/><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9.JPG"/><Relationship Id="rId27" Type="http://schemas.openxmlformats.org/officeDocument/2006/relationships/image" Target="media/image14.JPG"/><Relationship Id="rId30" Type="http://schemas.openxmlformats.org/officeDocument/2006/relationships/image" Target="media/image17.jpeg"/><Relationship Id="rId35" Type="http://schemas.openxmlformats.org/officeDocument/2006/relationships/image" Target="media/image22.jpeg"/><Relationship Id="rId43" Type="http://schemas.openxmlformats.org/officeDocument/2006/relationships/image" Target="media/image30.JPG"/><Relationship Id="rId48" Type="http://schemas.openxmlformats.org/officeDocument/2006/relationships/image" Target="media/image35.JPG"/><Relationship Id="rId56" Type="http://schemas.openxmlformats.org/officeDocument/2006/relationships/header" Target="header4.xml"/><Relationship Id="rId8" Type="http://schemas.openxmlformats.org/officeDocument/2006/relationships/image" Target="media/image1.png"/><Relationship Id="rId51" Type="http://schemas.openxmlformats.org/officeDocument/2006/relationships/image" Target="media/image38.JPG"/><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apps\msword\templates\PSC\Recommendation%20(Regular).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1559B83-5D81-4B7F-B142-3E2F5EA4A11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Recommendation (Regular).dotm</Template>
  <TotalTime>0</TotalTime>
  <Pages>48</Pages>
  <Words>2595</Words>
  <Characters>14126</Characters>
  <Application>Microsoft Office Word</Application>
  <DocSecurity>0</DocSecurity>
  <Lines>117</Lines>
  <Paragraphs>33</Paragraphs>
  <ScaleCrop>false</ScaleCrop>
  <HeadingPairs>
    <vt:vector size="2" baseType="variant">
      <vt:variant>
        <vt:lpstr>Title</vt:lpstr>
      </vt:variant>
      <vt:variant>
        <vt:i4>1</vt:i4>
      </vt:variant>
    </vt:vector>
  </HeadingPairs>
  <TitlesOfParts>
    <vt:vector size="1" baseType="lpstr">
      <vt:lpstr>Recommendation</vt:lpstr>
    </vt:vector>
  </TitlesOfParts>
  <Company>Florida Public Service Commission</Company>
  <LinksUpToDate>false</LinksUpToDate>
  <CharactersWithSpaces>16688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Recommendation</dc:title>
  <dc:creator>Patricia Zellner</dc:creator>
  <cp:lastModifiedBy>Joann Parsons</cp:lastModifiedBy>
  <cp:revision>2</cp:revision>
  <cp:lastPrinted>2023-03-13T14:07:00Z</cp:lastPrinted>
  <dcterms:created xsi:type="dcterms:W3CDTF">2023-03-23T11:52:00Z</dcterms:created>
  <dcterms:modified xsi:type="dcterms:W3CDTF">2023-03-23T11:52:00Z</dcterms:modified>
  <cp:category>recommendation</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DocketList">
    <vt:lpwstr>20220186-EI</vt:lpwstr>
  </property>
  <property fmtid="{D5CDD505-2E9C-101B-9397-08002B2CF9AE}" pid="3" name="MasterDocument">
    <vt:bool>false</vt:bool>
  </property>
</Properties>
</file>