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3662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36627">
            <w:pPr>
              <w:pStyle w:val="MemoHeading"/>
            </w:pPr>
            <w:bookmarkStart w:id="1" w:name="FilingDate"/>
            <w:r>
              <w:t>January 25,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36627" w:rsidRDefault="00836627">
            <w:pPr>
              <w:pStyle w:val="MemoHeading"/>
            </w:pPr>
            <w:bookmarkStart w:id="2" w:name="From"/>
            <w:r>
              <w:t>Division of Economics (Guffey)</w:t>
            </w:r>
          </w:p>
          <w:p w:rsidR="007C0528" w:rsidRDefault="00836627">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36627">
            <w:pPr>
              <w:pStyle w:val="MemoHeadingRe"/>
            </w:pPr>
            <w:bookmarkStart w:id="3" w:name="Re"/>
            <w:r>
              <w:t xml:space="preserve">Docket No. 20170198-EI – </w:t>
            </w:r>
            <w:r w:rsidR="00E44786" w:rsidRPr="00E44786">
              <w:t>Petition to close to new business all existing lighting rates and approve new LED lighting rates and tariffs, by Tampa Electric Company</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36627">
            <w:pPr>
              <w:pStyle w:val="MemoHeading"/>
            </w:pPr>
            <w:bookmarkStart w:id="4" w:name="AgendaDate"/>
            <w:r>
              <w:t>02/06/18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3662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3662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36627">
            <w:pPr>
              <w:pStyle w:val="MemoHeading"/>
            </w:pPr>
            <w:bookmarkStart w:id="9" w:name="CriticalDates"/>
            <w:r>
              <w:t>05/05/18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B10C2">
            <w:pPr>
              <w:pStyle w:val="MemoHeading"/>
            </w:pPr>
            <w:r>
              <w:t xml:space="preserve">Please place this item </w:t>
            </w:r>
            <w:r w:rsidR="00C61808">
              <w:t>immediately</w:t>
            </w:r>
            <w:r>
              <w:t xml:space="preserve"> after Docket No. 2017</w:t>
            </w:r>
            <w:r w:rsidR="00C61808">
              <w:t>0199-EI.</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07B14" w:rsidRDefault="001D70CA" w:rsidP="001D70CA">
      <w:pPr>
        <w:jc w:val="both"/>
      </w:pPr>
      <w:r>
        <w:t xml:space="preserve">On September 5, 2017, Tampa Electric Company (TECO or </w:t>
      </w:r>
      <w:r w:rsidR="00EB7ADA">
        <w:t>c</w:t>
      </w:r>
      <w:r>
        <w:t>ompany) filed a petition</w:t>
      </w:r>
      <w:r w:rsidR="00BF56C2">
        <w:t xml:space="preserve"> seeking Commission approval for revisions to its Lighting Service (LS-1) tariff. The LS-1 tariff is applicable to any customer for the sole purpose of lighting roadways or other outdoor areas. Specifically, TECO proposed to </w:t>
      </w:r>
      <w:r>
        <w:t xml:space="preserve">close its existing </w:t>
      </w:r>
      <w:r w:rsidR="00BF56C2">
        <w:t xml:space="preserve">17 </w:t>
      </w:r>
      <w:r>
        <w:t xml:space="preserve">Light Emitting Diode (LED) </w:t>
      </w:r>
      <w:r w:rsidR="00415664">
        <w:t>fixture offerings</w:t>
      </w:r>
      <w:r>
        <w:t xml:space="preserve"> to new </w:t>
      </w:r>
      <w:r w:rsidR="00415664">
        <w:t>customers</w:t>
      </w:r>
      <w:r>
        <w:t xml:space="preserve">, approve 21 new LED </w:t>
      </w:r>
      <w:r w:rsidR="00415664">
        <w:t>fixture</w:t>
      </w:r>
      <w:r w:rsidR="00BF56C2">
        <w:t xml:space="preserve"> offerings,</w:t>
      </w:r>
      <w:r>
        <w:t xml:space="preserve"> add two new pole options</w:t>
      </w:r>
      <w:r w:rsidR="00BF56C2">
        <w:t>,</w:t>
      </w:r>
      <w:r>
        <w:t xml:space="preserve"> close two pole options to new customers, and revise the outdoor lighting agreement. </w:t>
      </w:r>
      <w:r w:rsidR="00BF56C2">
        <w:t>The proposed tariff revisions are shown in Exhibit A to the petition</w:t>
      </w:r>
      <w:r w:rsidR="00A01008">
        <w:t>. D</w:t>
      </w:r>
      <w:r w:rsidR="00BF56C2">
        <w:t>ue to the</w:t>
      </w:r>
      <w:r w:rsidR="001075F5">
        <w:t>ir</w:t>
      </w:r>
      <w:r w:rsidR="00BF56C2">
        <w:t xml:space="preserve"> voluminous nature</w:t>
      </w:r>
      <w:r w:rsidR="001075F5">
        <w:t>,</w:t>
      </w:r>
      <w:r w:rsidR="00A01008">
        <w:t xml:space="preserve"> </w:t>
      </w:r>
      <w:r w:rsidR="001075F5">
        <w:t>the tariffs</w:t>
      </w:r>
      <w:r w:rsidR="00A01008">
        <w:t xml:space="preserve"> </w:t>
      </w:r>
      <w:r w:rsidR="00BF56C2">
        <w:t xml:space="preserve">have not been attached to this recommendation. </w:t>
      </w:r>
    </w:p>
    <w:p w:rsidR="00107B14" w:rsidRDefault="00107B14" w:rsidP="001D70CA">
      <w:pPr>
        <w:jc w:val="both"/>
      </w:pPr>
    </w:p>
    <w:p w:rsidR="00415664" w:rsidRDefault="00415664" w:rsidP="001D70CA">
      <w:pPr>
        <w:jc w:val="both"/>
      </w:pPr>
      <w:r>
        <w:t>TECO filed this docket in conjunction with Docket No. 20170199-EI</w:t>
      </w:r>
      <w:r w:rsidR="00A01008">
        <w:t>,</w:t>
      </w:r>
      <w:r>
        <w:t xml:space="preserve"> in which TECO requested approval of its </w:t>
      </w:r>
      <w:r w:rsidR="00107B14">
        <w:t>c</w:t>
      </w:r>
      <w:r>
        <w:t xml:space="preserve">onservation </w:t>
      </w:r>
      <w:r w:rsidR="00107B14">
        <w:t>s</w:t>
      </w:r>
      <w:r>
        <w:t xml:space="preserve">treet and </w:t>
      </w:r>
      <w:r w:rsidR="00107B14">
        <w:t>o</w:t>
      </w:r>
      <w:r>
        <w:t xml:space="preserve">utdoor </w:t>
      </w:r>
      <w:r w:rsidR="00107B14">
        <w:t>l</w:t>
      </w:r>
      <w:r>
        <w:t xml:space="preserve">ighting </w:t>
      </w:r>
      <w:r w:rsidR="00107B14">
        <w:t>c</w:t>
      </w:r>
      <w:r>
        <w:t xml:space="preserve">onversion </w:t>
      </w:r>
      <w:r w:rsidR="00107B14">
        <w:t>p</w:t>
      </w:r>
      <w:r>
        <w:t xml:space="preserve">rogram as </w:t>
      </w:r>
      <w:r w:rsidR="00B32BA8">
        <w:t xml:space="preserve">a </w:t>
      </w:r>
      <w:r>
        <w:t xml:space="preserve">Demand Side </w:t>
      </w:r>
      <w:r>
        <w:lastRenderedPageBreak/>
        <w:t>Management program.</w:t>
      </w:r>
      <w:r w:rsidR="00107B14">
        <w:t xml:space="preserve"> The conversion program would allow TECO to convert its non-LED lighting facilities to LED service over the next five years. </w:t>
      </w:r>
    </w:p>
    <w:p w:rsidR="001D70CA" w:rsidRDefault="001D70CA" w:rsidP="001D70CA"/>
    <w:p w:rsidR="001D70CA" w:rsidRDefault="001D70CA" w:rsidP="001D70CA">
      <w:pPr>
        <w:pStyle w:val="BodyText"/>
      </w:pPr>
      <w:r>
        <w:t>The Commission first approved TECO’s LED lighting tariff in 2013.</w:t>
      </w:r>
      <w:r>
        <w:rPr>
          <w:rStyle w:val="FootnoteReference"/>
        </w:rPr>
        <w:footnoteReference w:id="1"/>
      </w:r>
      <w:r>
        <w:t xml:space="preserve"> In 2015, the High Pressure Sodium (HPS) and Metal Halide (MH) lighting services and their associated tariffs were closed to new customers.</w:t>
      </w:r>
      <w:r>
        <w:rPr>
          <w:rStyle w:val="FootnoteReference"/>
        </w:rPr>
        <w:footnoteReference w:id="2"/>
      </w:r>
      <w:r>
        <w:t xml:space="preserve"> The closure of the HPS and MH lighting resulted in TECO offering only LED lighting to new outdoor lighting customers. </w:t>
      </w:r>
      <w:r w:rsidR="008758E3">
        <w:t xml:space="preserve">Existing customers who were receiving service under </w:t>
      </w:r>
      <w:r w:rsidR="00107B14">
        <w:t xml:space="preserve">the </w:t>
      </w:r>
      <w:r w:rsidR="008758E3">
        <w:t>HPS and MH tariffs at that time were grandfathered in and continue to receive such service today.</w:t>
      </w:r>
    </w:p>
    <w:p w:rsidR="00415664" w:rsidRDefault="001D70CA" w:rsidP="001D70CA">
      <w:pPr>
        <w:pStyle w:val="BodyText"/>
      </w:pPr>
      <w:r>
        <w:t>On September 15, 2017, TECO waived the 60-day file and suspend provision per Section 366.06(3), Florida Statutes (F.S.). During the review of TECO’s petition, staff issued three data requests to the Company and held an informal</w:t>
      </w:r>
      <w:r w:rsidR="00D33366">
        <w:t>,</w:t>
      </w:r>
      <w:r>
        <w:t xml:space="preserve"> noticed meeting related to this docket and </w:t>
      </w:r>
      <w:r w:rsidR="00415664">
        <w:t>D</w:t>
      </w:r>
      <w:r>
        <w:t xml:space="preserve">ocket </w:t>
      </w:r>
      <w:r w:rsidR="00415664">
        <w:t xml:space="preserve">No. </w:t>
      </w:r>
      <w:r>
        <w:t xml:space="preserve">20170199-EI on November 18, 2017. On November 20, 2017, TECO filed a letter summarizing the representations made by the company at the November 18, 2017 meeting. </w:t>
      </w:r>
    </w:p>
    <w:p w:rsidR="00415664" w:rsidRDefault="001D70CA" w:rsidP="001D70CA">
      <w:pPr>
        <w:pStyle w:val="BodyText"/>
      </w:pPr>
      <w:r>
        <w:t xml:space="preserve">On December 15, 2017, TECO filed a letter with the Commission stating that the </w:t>
      </w:r>
      <w:r w:rsidR="00415664">
        <w:t>c</w:t>
      </w:r>
      <w:r>
        <w:t>ompany is no longer requesting Commission approval of a capital recovery schedule referred to in paragraphs 22, 23, and 27 of the petition</w:t>
      </w:r>
      <w:r w:rsidR="00107B14">
        <w:t xml:space="preserve"> in the instant docket</w:t>
      </w:r>
      <w:r>
        <w:t>.</w:t>
      </w:r>
      <w:r w:rsidR="00415664">
        <w:t xml:space="preserve"> The letter served as an amendment to TECO’s petition.</w:t>
      </w:r>
      <w:r>
        <w:t xml:space="preserve"> </w:t>
      </w:r>
    </w:p>
    <w:p w:rsidR="0068481F" w:rsidRDefault="001D70CA" w:rsidP="001D70CA">
      <w:pPr>
        <w:pStyle w:val="BodyText"/>
      </w:pPr>
      <w:r>
        <w:t>The cities of Tampa, Temple Terrace, Plant City</w:t>
      </w:r>
      <w:r w:rsidR="003B74E8">
        <w:t>, and Winter Haven, and Polk County</w:t>
      </w:r>
      <w:r>
        <w:t xml:space="preserve"> filed letters on November 2</w:t>
      </w:r>
      <w:r w:rsidR="007E6162">
        <w:t>7</w:t>
      </w:r>
      <w:r>
        <w:t xml:space="preserve">, 2017, December </w:t>
      </w:r>
      <w:r w:rsidR="007E6162">
        <w:t>15</w:t>
      </w:r>
      <w:r>
        <w:t xml:space="preserve">, 2017, December </w:t>
      </w:r>
      <w:r w:rsidR="007E6162">
        <w:t>28</w:t>
      </w:r>
      <w:r>
        <w:t>, 2017</w:t>
      </w:r>
      <w:r w:rsidR="003B74E8">
        <w:t xml:space="preserve"> and on </w:t>
      </w:r>
      <w:r w:rsidR="007E6162">
        <w:t>January</w:t>
      </w:r>
      <w:r w:rsidR="003B74E8">
        <w:t xml:space="preserve"> 24, 2018</w:t>
      </w:r>
      <w:r w:rsidR="00A01008">
        <w:t>,</w:t>
      </w:r>
      <w:r>
        <w:t xml:space="preserve"> respectively</w:t>
      </w:r>
      <w:r w:rsidR="00A01008">
        <w:t>,</w:t>
      </w:r>
      <w:r w:rsidR="007E6162">
        <w:t xml:space="preserve"> </w:t>
      </w:r>
      <w:r>
        <w:t xml:space="preserve">supporting the </w:t>
      </w:r>
      <w:r w:rsidR="00415664">
        <w:t>c</w:t>
      </w:r>
      <w:r>
        <w:t xml:space="preserve">ompany’s proposed LED Lighting Conversion Program. </w:t>
      </w:r>
      <w:r w:rsidR="0094580F">
        <w:t xml:space="preserve">On January 11, 2018, Southern Alliance for Clean Energy also filed a letter </w:t>
      </w:r>
      <w:r w:rsidR="001075F5">
        <w:t>in</w:t>
      </w:r>
      <w:r w:rsidR="0094580F">
        <w:t xml:space="preserve"> support of TECO’s program. </w:t>
      </w:r>
      <w:r>
        <w:t>The Commission has jurisdiction over this matter pursuant to Sections 366.03, 366.04, 366.05, and 366.06, F.S.</w:t>
      </w:r>
    </w:p>
    <w:p w:rsidR="001D70CA" w:rsidRDefault="001D70CA" w:rsidP="001D70CA">
      <w:pPr>
        <w:pStyle w:val="BodyText"/>
      </w:pP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32681" w:rsidRDefault="00832681">
      <w:pPr>
        <w:pStyle w:val="IssueHeading"/>
        <w:rPr>
          <w:vanish/>
          <w:specVanish/>
        </w:rPr>
      </w:pPr>
      <w:r w:rsidRPr="004C3641">
        <w:t xml:space="preserve">Issue </w:t>
      </w:r>
      <w:r w:rsidR="0039573B">
        <w:fldChar w:fldCharType="begin"/>
      </w:r>
      <w:r w:rsidR="0039573B">
        <w:instrText xml:space="preserve"> SEQ Issue \* MERGEFORMAT </w:instrText>
      </w:r>
      <w:r w:rsidR="0039573B">
        <w:fldChar w:fldCharType="separate"/>
      </w:r>
      <w:r w:rsidR="0029642A">
        <w:rPr>
          <w:noProof/>
        </w:rPr>
        <w:t>1</w:t>
      </w:r>
      <w:r w:rsidR="003957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642A">
        <w:rPr>
          <w:noProof/>
        </w:rPr>
        <w:instrText>1</w:instrText>
      </w:r>
      <w:r>
        <w:fldChar w:fldCharType="end"/>
      </w:r>
      <w:r>
        <w:tab/>
        <w:instrText xml:space="preserve">(Guffey, Wu)" \l 1 </w:instrText>
      </w:r>
      <w:r>
        <w:fldChar w:fldCharType="end"/>
      </w:r>
      <w:r>
        <w:t> </w:t>
      </w:r>
    </w:p>
    <w:p w:rsidR="00832681" w:rsidRDefault="00832681">
      <w:pPr>
        <w:pStyle w:val="BodyText"/>
      </w:pPr>
      <w:r>
        <w:t xml:space="preserve"> Should the Commission approve TECO's </w:t>
      </w:r>
      <w:r w:rsidR="009C661F">
        <w:t xml:space="preserve">proposed </w:t>
      </w:r>
      <w:r w:rsidR="003742FF">
        <w:t xml:space="preserve">lighting service </w:t>
      </w:r>
      <w:r w:rsidR="009C661F">
        <w:t>tariff revisions</w:t>
      </w:r>
      <w:r>
        <w:t>?</w:t>
      </w:r>
    </w:p>
    <w:p w:rsidR="00832681" w:rsidRPr="004C3641" w:rsidRDefault="00832681">
      <w:pPr>
        <w:pStyle w:val="IssueSubsectionHeading"/>
        <w:rPr>
          <w:vanish/>
          <w:specVanish/>
        </w:rPr>
      </w:pPr>
      <w:r w:rsidRPr="004C3641">
        <w:t>Recommendation: </w:t>
      </w:r>
    </w:p>
    <w:p w:rsidR="00832681" w:rsidRDefault="00832681">
      <w:pPr>
        <w:pStyle w:val="BodyText"/>
      </w:pPr>
      <w:r>
        <w:t> Yes. The Commission should approve TECO</w:t>
      </w:r>
      <w:r w:rsidR="009C661F">
        <w:t xml:space="preserve">’s proposed </w:t>
      </w:r>
      <w:r w:rsidR="003742FF">
        <w:t xml:space="preserve">lighting service </w:t>
      </w:r>
      <w:r w:rsidR="009C661F">
        <w:t>tariff revisions effective February 6, 2018</w:t>
      </w:r>
      <w:r>
        <w:t>. (Guffey)</w:t>
      </w:r>
    </w:p>
    <w:p w:rsidR="00832681" w:rsidRPr="004C3641" w:rsidRDefault="00832681">
      <w:pPr>
        <w:pStyle w:val="IssueSubsectionHeading"/>
        <w:rPr>
          <w:vanish/>
          <w:specVanish/>
        </w:rPr>
      </w:pPr>
      <w:r w:rsidRPr="004C3641">
        <w:t>Staff Analysis: </w:t>
      </w:r>
    </w:p>
    <w:p w:rsidR="00832681" w:rsidRDefault="00832681">
      <w:pPr>
        <w:pStyle w:val="BodyText"/>
      </w:pPr>
      <w:r>
        <w:t xml:space="preserve"> TECO provides outdoor lighting </w:t>
      </w:r>
      <w:r w:rsidR="00ED52E6">
        <w:t>utilizing</w:t>
      </w:r>
      <w:r>
        <w:t xml:space="preserve"> three lighting technologies: (1)</w:t>
      </w:r>
      <w:r w:rsidR="003742FF">
        <w:t xml:space="preserve"> </w:t>
      </w:r>
      <w:r>
        <w:t>HSP, (2) MH, and (3) LED. TECO offers only LED lighting to new customers</w:t>
      </w:r>
      <w:r w:rsidR="009C661F">
        <w:t xml:space="preserve"> with both HPS and MH service closed to new customers</w:t>
      </w:r>
      <w:r>
        <w:t xml:space="preserve">. The company asserts that 35 percent of TECO’s lighting customers are government customers and consist </w:t>
      </w:r>
      <w:r w:rsidR="001075F5">
        <w:t xml:space="preserve">primarily </w:t>
      </w:r>
      <w:r>
        <w:t>of roadway lighting</w:t>
      </w:r>
      <w:r w:rsidR="001075F5">
        <w:t xml:space="preserve"> service</w:t>
      </w:r>
      <w:r>
        <w:t>.</w:t>
      </w:r>
    </w:p>
    <w:p w:rsidR="007A7DA9" w:rsidRDefault="007A7DA9" w:rsidP="007A7DA9">
      <w:pPr>
        <w:pStyle w:val="First-LevelSubheading"/>
      </w:pPr>
      <w:r>
        <w:t>Proposed Tariff Revisions</w:t>
      </w:r>
    </w:p>
    <w:p w:rsidR="00832681" w:rsidRDefault="00ED52E6" w:rsidP="00832681">
      <w:pPr>
        <w:pStyle w:val="BodyText"/>
      </w:pPr>
      <w:r>
        <w:t>In conjunction with the proposed conversion program discussed in Docket No. 20170199-EI, TECO proposed revisions to its lighting tariffs</w:t>
      </w:r>
      <w:r w:rsidR="00BF0D31">
        <w:t xml:space="preserve"> as a vehicle for implementing the conversion program. The proposed tariff revisions</w:t>
      </w:r>
      <w:r>
        <w:t xml:space="preserve"> are discussed in more detail below.</w:t>
      </w:r>
    </w:p>
    <w:p w:rsidR="00832681" w:rsidRDefault="00832681" w:rsidP="00832681">
      <w:pPr>
        <w:pStyle w:val="BodyText"/>
      </w:pPr>
      <w:r>
        <w:t>TECO propose</w:t>
      </w:r>
      <w:r w:rsidR="007A7DA9">
        <w:t>d</w:t>
      </w:r>
      <w:r>
        <w:t xml:space="preserve"> to close </w:t>
      </w:r>
      <w:r w:rsidR="00DC3659">
        <w:t xml:space="preserve">its </w:t>
      </w:r>
      <w:r>
        <w:t xml:space="preserve">17 existing LED offerings to new customers </w:t>
      </w:r>
      <w:r w:rsidR="00DC3659">
        <w:t>(</w:t>
      </w:r>
      <w:r>
        <w:t>Tariff Sheet No. 6.808</w:t>
      </w:r>
      <w:r w:rsidR="00DC3659">
        <w:t>)</w:t>
      </w:r>
      <w:r>
        <w:t>. The company</w:t>
      </w:r>
      <w:r w:rsidR="001075F5">
        <w:t>,</w:t>
      </w:r>
      <w:r>
        <w:t xml:space="preserve"> in its response to staff’s first data request state</w:t>
      </w:r>
      <w:r w:rsidR="00DC3659">
        <w:t>d</w:t>
      </w:r>
      <w:r>
        <w:t xml:space="preserve"> that the currently approved LED tariffs were based on 2012 LED material costs. Since then</w:t>
      </w:r>
      <w:r w:rsidR="007A7DA9">
        <w:t>,</w:t>
      </w:r>
      <w:r>
        <w:t xml:space="preserve"> the material costs have </w:t>
      </w:r>
      <w:r w:rsidR="00DC3659">
        <w:t>decreased</w:t>
      </w:r>
      <w:r>
        <w:t xml:space="preserve"> and the efficiency of the lighting fixtures ha</w:t>
      </w:r>
      <w:r w:rsidR="00DC3659">
        <w:t>s</w:t>
      </w:r>
      <w:r>
        <w:t xml:space="preserve"> improved</w:t>
      </w:r>
      <w:r w:rsidR="00BF0D31">
        <w:t xml:space="preserve">, resulting in revised lighting </w:t>
      </w:r>
      <w:r w:rsidR="00AC30B4">
        <w:t>charges</w:t>
      </w:r>
      <w:r>
        <w:t xml:space="preserve">. </w:t>
      </w:r>
    </w:p>
    <w:p w:rsidR="007A7DA9" w:rsidRDefault="00BF0D31" w:rsidP="00832681">
      <w:pPr>
        <w:jc w:val="both"/>
      </w:pPr>
      <w:r>
        <w:t>Therefore</w:t>
      </w:r>
      <w:r w:rsidR="007A7DA9">
        <w:t xml:space="preserve">, </w:t>
      </w:r>
      <w:r w:rsidR="00DC3659">
        <w:t>TECO propos</w:t>
      </w:r>
      <w:r w:rsidR="007A7DA9">
        <w:t>ed</w:t>
      </w:r>
      <w:r w:rsidR="00DC3659">
        <w:t xml:space="preserve"> 21 new LED fixture offerings (Tariff Sheet No. 6.809)</w:t>
      </w:r>
      <w:r w:rsidR="00AC30B4">
        <w:t xml:space="preserve"> and associated charges</w:t>
      </w:r>
      <w:r w:rsidR="00DC3659">
        <w:t>.</w:t>
      </w:r>
      <w:r w:rsidR="007A7DA9">
        <w:t xml:space="preserve"> The charges for the new LED lighting category are comprised of three components: a fixture charge, a maintenance charge, and a non-fuel energy charge, consistent with TECO’s other lighting options.</w:t>
      </w:r>
      <w:r w:rsidR="004167BA">
        <w:t xml:space="preserve"> The fixture charges were developed based on material costs</w:t>
      </w:r>
      <w:r w:rsidR="001912E5">
        <w:t xml:space="preserve"> (luminaire, bracket, and materials handling)</w:t>
      </w:r>
      <w:r w:rsidR="004167BA">
        <w:t xml:space="preserve"> plus labor and vehicle costs associated with installation</w:t>
      </w:r>
      <w:r w:rsidR="001075F5">
        <w:t>.</w:t>
      </w:r>
      <w:r w:rsidR="004167BA">
        <w:t xml:space="preserve"> The maintenance charges were developed based on TECO’s estimated maintenance costs by fixture type; primary elements of expected maintenance costs pertain to the luminaire uni</w:t>
      </w:r>
      <w:r w:rsidR="007D2783">
        <w:t>t and luminaire parts</w:t>
      </w:r>
      <w:r w:rsidR="004167BA">
        <w:t>.  The non-fuel energy charge is determined by multiplying the estimated kilowatt-hour (kWh) usage by fixture type by the non-fuel energy charge as approved in TECO’s most recent rate proceeding</w:t>
      </w:r>
      <w:r w:rsidR="00A01008">
        <w:t>.</w:t>
      </w:r>
    </w:p>
    <w:p w:rsidR="007A7DA9" w:rsidRDefault="007A7DA9" w:rsidP="00832681">
      <w:pPr>
        <w:jc w:val="both"/>
      </w:pPr>
    </w:p>
    <w:p w:rsidR="00832681" w:rsidRDefault="00832681" w:rsidP="00832681">
      <w:pPr>
        <w:jc w:val="both"/>
      </w:pPr>
      <w:r>
        <w:t xml:space="preserve">The new LED fixtures will utilize </w:t>
      </w:r>
      <w:r w:rsidR="007D2783">
        <w:t xml:space="preserve">a </w:t>
      </w:r>
      <w:r>
        <w:t>next generation photocell</w:t>
      </w:r>
      <w:r w:rsidR="007D2783">
        <w:t xml:space="preserve"> called a </w:t>
      </w:r>
      <w:r>
        <w:t>Netwo</w:t>
      </w:r>
      <w:r w:rsidR="007D2783">
        <w:t xml:space="preserve">rked Lighting Controller (NLC) that contains </w:t>
      </w:r>
      <w:r>
        <w:t>embedded wireless communication technology that will enable the company to remotely sense maintenance and outage</w:t>
      </w:r>
      <w:r w:rsidR="007D2783">
        <w:t xml:space="preserve"> events</w:t>
      </w:r>
      <w:r>
        <w:t>, provide remote on</w:t>
      </w:r>
      <w:r w:rsidR="007D2783">
        <w:t xml:space="preserve"> and</w:t>
      </w:r>
      <w:r>
        <w:t xml:space="preserve"> off capabilities, measure real time input voltage, current, power factor, energy consumption, GPS location, and have the ability to communicate the information back to the company via the communication network.</w:t>
      </w:r>
      <w:r w:rsidR="004167BA">
        <w:t xml:space="preserve"> The </w:t>
      </w:r>
      <w:r w:rsidR="00E44786">
        <w:t>costs of the NLC are</w:t>
      </w:r>
      <w:r w:rsidR="004167BA">
        <w:t xml:space="preserve"> included in the monthly fixture charges</w:t>
      </w:r>
      <w:r w:rsidR="007D2783">
        <w:t xml:space="preserve"> and the expected maintenance cost</w:t>
      </w:r>
      <w:r w:rsidR="001075F5">
        <w:t>s</w:t>
      </w:r>
      <w:r w:rsidR="007D2783">
        <w:t xml:space="preserve"> of the NLC are included in the monthly maintenance charge for each LED fixture</w:t>
      </w:r>
      <w:r w:rsidR="004167BA">
        <w:t>.</w:t>
      </w:r>
    </w:p>
    <w:p w:rsidR="00832681" w:rsidRDefault="00832681" w:rsidP="00832681">
      <w:pPr>
        <w:jc w:val="both"/>
      </w:pPr>
    </w:p>
    <w:p w:rsidR="00EE74E5" w:rsidRDefault="00EE74E5" w:rsidP="008F37BC">
      <w:pPr>
        <w:pStyle w:val="BodyText"/>
      </w:pPr>
      <w:r>
        <w:t xml:space="preserve">In addition to the above discussed lighting requests, TECO </w:t>
      </w:r>
      <w:r w:rsidR="00AC30B4">
        <w:t xml:space="preserve">proposed </w:t>
      </w:r>
      <w:r>
        <w:t xml:space="preserve">to add two new pole </w:t>
      </w:r>
      <w:r w:rsidR="00AC30B4">
        <w:t xml:space="preserve">options </w:t>
      </w:r>
      <w:r>
        <w:t xml:space="preserve">while closing two pole </w:t>
      </w:r>
      <w:r w:rsidR="00AC30B4">
        <w:t>options</w:t>
      </w:r>
      <w:r>
        <w:t xml:space="preserve"> </w:t>
      </w:r>
      <w:r w:rsidR="00AC30B4">
        <w:t xml:space="preserve">(Round and Winston pole style) </w:t>
      </w:r>
      <w:r>
        <w:t xml:space="preserve">to new customers. The </w:t>
      </w:r>
      <w:r w:rsidR="00AC30B4">
        <w:t xml:space="preserve">proposed </w:t>
      </w:r>
      <w:r>
        <w:t>new poles</w:t>
      </w:r>
      <w:r w:rsidR="00AC30B4">
        <w:t xml:space="preserve"> </w:t>
      </w:r>
      <w:r w:rsidR="000F3584">
        <w:t>(</w:t>
      </w:r>
      <w:r w:rsidR="00AC30B4">
        <w:t>Winston and Waterside pole style)</w:t>
      </w:r>
      <w:r w:rsidR="000F3584">
        <w:t xml:space="preserve"> are aluminum and</w:t>
      </w:r>
      <w:r w:rsidR="001E60C4">
        <w:t>,</w:t>
      </w:r>
      <w:r w:rsidR="000F3584">
        <w:t xml:space="preserve"> as explained by TECO in response to staff discovery</w:t>
      </w:r>
      <w:r w:rsidR="001075F5">
        <w:t>,</w:t>
      </w:r>
      <w:r w:rsidR="000F3584">
        <w:t xml:space="preserve"> are expected to provide reduced maintenance issues. As the </w:t>
      </w:r>
      <w:r w:rsidR="000F3584">
        <w:lastRenderedPageBreak/>
        <w:t xml:space="preserve">Round and Winston </w:t>
      </w:r>
      <w:r>
        <w:t xml:space="preserve">poles fail over </w:t>
      </w:r>
      <w:r w:rsidR="001075F5">
        <w:t>time</w:t>
      </w:r>
      <w:r>
        <w:t>, they will be replaced with the new Winst</w:t>
      </w:r>
      <w:r w:rsidR="000F3584">
        <w:t xml:space="preserve">on and Waterside pole offerings; however, the poles are not part of the conversion program. </w:t>
      </w:r>
    </w:p>
    <w:p w:rsidR="00832681" w:rsidRDefault="008F37BC" w:rsidP="00832681">
      <w:pPr>
        <w:pStyle w:val="BodyText"/>
      </w:pPr>
      <w:r>
        <w:t>Finally, TECO proposed revisions to its outdoor lighting agreement</w:t>
      </w:r>
      <w:r w:rsidR="006A0841">
        <w:t xml:space="preserve">, which contains an </w:t>
      </w:r>
      <w:r w:rsidR="001A5E35">
        <w:t>initial</w:t>
      </w:r>
      <w:r w:rsidR="006A0841">
        <w:t xml:space="preserve"> 10-year term</w:t>
      </w:r>
      <w:r>
        <w:t xml:space="preserve">. </w:t>
      </w:r>
      <w:r w:rsidR="00832681">
        <w:t xml:space="preserve">The </w:t>
      </w:r>
      <w:r w:rsidR="00D1075A">
        <w:t>c</w:t>
      </w:r>
      <w:r w:rsidR="00832681">
        <w:t xml:space="preserve">onversion </w:t>
      </w:r>
      <w:r w:rsidR="00D1075A">
        <w:t>p</w:t>
      </w:r>
      <w:r w:rsidR="00832681">
        <w:t xml:space="preserve">rogram does not require the customers to sign a new lighting agreement nor does the </w:t>
      </w:r>
      <w:r w:rsidR="00D1075A">
        <w:t>conversion p</w:t>
      </w:r>
      <w:r w:rsidR="00832681">
        <w:t xml:space="preserve">rogram require that </w:t>
      </w:r>
      <w:r w:rsidR="00D1075A">
        <w:t>customers</w:t>
      </w:r>
      <w:r w:rsidR="00832681">
        <w:t xml:space="preserve"> agree to any extension of service obligation under their existing agreement. The proposed changes to the agreement include language to allow for other services made available via NLC, language to provide flexibility to manage the pace of luminaire technology progression, and remove language that is duplicated within the tariff.</w:t>
      </w:r>
    </w:p>
    <w:p w:rsidR="00832681" w:rsidRDefault="00832681" w:rsidP="000F3584">
      <w:pPr>
        <w:pStyle w:val="First-LevelSubheading"/>
      </w:pPr>
      <w:r>
        <w:t>Customer Notification</w:t>
      </w:r>
    </w:p>
    <w:p w:rsidR="00832681" w:rsidRPr="00325C01" w:rsidRDefault="00832681" w:rsidP="00832681">
      <w:pPr>
        <w:pStyle w:val="BodyText"/>
      </w:pPr>
      <w:r>
        <w:t>TECO has prepared general correspondence</w:t>
      </w:r>
      <w:r w:rsidR="001075F5">
        <w:t>,</w:t>
      </w:r>
      <w:r>
        <w:t xml:space="preserve"> including a news release and letter</w:t>
      </w:r>
      <w:r w:rsidR="001075F5">
        <w:t>,</w:t>
      </w:r>
      <w:r>
        <w:t xml:space="preserve"> describing the benefits of LED lighting and the conversion program to existing lighting customers</w:t>
      </w:r>
      <w:r w:rsidR="001075F5">
        <w:t xml:space="preserve"> and</w:t>
      </w:r>
      <w:r>
        <w:t xml:space="preserve"> door hanger</w:t>
      </w:r>
      <w:r w:rsidR="006330BA">
        <w:t>s</w:t>
      </w:r>
      <w:r>
        <w:t xml:space="preserve"> </w:t>
      </w:r>
      <w:r w:rsidR="006330BA">
        <w:t>for</w:t>
      </w:r>
      <w:r>
        <w:t xml:space="preserve"> customers whos</w:t>
      </w:r>
      <w:r w:rsidR="006330BA">
        <w:t>e</w:t>
      </w:r>
      <w:r>
        <w:t xml:space="preserve"> HPS or MH fixture will be replaced with an LED fixture upon failure</w:t>
      </w:r>
      <w:r w:rsidR="001075F5">
        <w:t>.</w:t>
      </w:r>
      <w:r>
        <w:t xml:space="preserve"> </w:t>
      </w:r>
      <w:r w:rsidR="001075F5">
        <w:t>C</w:t>
      </w:r>
      <w:r>
        <w:t>ustomers in planned geographical areas will receive targeted communication directly before the conversion begins. TECO state</w:t>
      </w:r>
      <w:r w:rsidR="008061D6">
        <w:t>d</w:t>
      </w:r>
      <w:r>
        <w:t xml:space="preserve"> that it has had communication with larger volume lighting customers</w:t>
      </w:r>
      <w:r w:rsidR="00B5435B">
        <w:t>,</w:t>
      </w:r>
      <w:r>
        <w:t xml:space="preserve"> such as cities and counties</w:t>
      </w:r>
      <w:r w:rsidR="00B5435B">
        <w:t>,</w:t>
      </w:r>
      <w:r>
        <w:t xml:space="preserve"> about the planned conversions. TECO </w:t>
      </w:r>
      <w:r w:rsidR="008061D6">
        <w:t xml:space="preserve">also </w:t>
      </w:r>
      <w:r>
        <w:t>state</w:t>
      </w:r>
      <w:r w:rsidR="008061D6">
        <w:t>d</w:t>
      </w:r>
      <w:r>
        <w:t xml:space="preserve"> that customers whose bills will increase </w:t>
      </w:r>
      <w:r w:rsidR="00F16F84">
        <w:t xml:space="preserve">as a result of the conversion </w:t>
      </w:r>
      <w:r>
        <w:t xml:space="preserve">will receive a letter from the company and </w:t>
      </w:r>
      <w:r w:rsidR="00B5435B">
        <w:t xml:space="preserve">TECO </w:t>
      </w:r>
      <w:r>
        <w:t>will provide options for additional communications through email and phone</w:t>
      </w:r>
      <w:r w:rsidR="00B5435B">
        <w:t xml:space="preserve"> calls</w:t>
      </w:r>
      <w:r>
        <w:t>.</w:t>
      </w:r>
    </w:p>
    <w:p w:rsidR="00832681" w:rsidRDefault="00832681" w:rsidP="00832681">
      <w:pPr>
        <w:pStyle w:val="First-LevelSubheading"/>
      </w:pPr>
      <w:r>
        <w:t>Conclusion</w:t>
      </w:r>
    </w:p>
    <w:p w:rsidR="00832681" w:rsidRPr="0074310E" w:rsidRDefault="00BD1350">
      <w:pPr>
        <w:pStyle w:val="IssueHeading"/>
        <w:rPr>
          <w:rFonts w:ascii="Times New Roman" w:hAnsi="Times New Roman" w:cs="Times New Roman"/>
          <w:b w:val="0"/>
          <w:i w:val="0"/>
        </w:rPr>
      </w:pPr>
      <w:r w:rsidRPr="0074310E">
        <w:rPr>
          <w:rFonts w:ascii="Times New Roman" w:hAnsi="Times New Roman" w:cs="Times New Roman"/>
          <w:b w:val="0"/>
          <w:i w:val="0"/>
        </w:rPr>
        <w:t>TECO asserts that approval of new tariffs for new LEDs which when implemented will utilize less energy</w:t>
      </w:r>
      <w:r w:rsidR="0074310E">
        <w:rPr>
          <w:rFonts w:ascii="Times New Roman" w:hAnsi="Times New Roman" w:cs="Times New Roman"/>
          <w:b w:val="0"/>
          <w:i w:val="0"/>
        </w:rPr>
        <w:t>, and thereby provide energy conservation benefits to its customers</w:t>
      </w:r>
      <w:r w:rsidRPr="0074310E">
        <w:rPr>
          <w:rFonts w:ascii="Times New Roman" w:hAnsi="Times New Roman" w:cs="Times New Roman"/>
          <w:b w:val="0"/>
          <w:i w:val="0"/>
        </w:rPr>
        <w:t xml:space="preserve">. While the cost of HPS and MH is increasing due to lower production, the new generation LED lighting costs have decreased substantially allowing for lower cost of ownership. </w:t>
      </w:r>
      <w:r w:rsidR="0074310E">
        <w:rPr>
          <w:rFonts w:ascii="Times New Roman" w:hAnsi="Times New Roman" w:cs="Times New Roman"/>
          <w:b w:val="0"/>
          <w:i w:val="0"/>
        </w:rPr>
        <w:t>Additional f</w:t>
      </w:r>
      <w:r w:rsidRPr="0074310E">
        <w:rPr>
          <w:rFonts w:ascii="Times New Roman" w:hAnsi="Times New Roman" w:cs="Times New Roman"/>
          <w:b w:val="0"/>
          <w:i w:val="0"/>
        </w:rPr>
        <w:t>eatures of new generation LED lighting include</w:t>
      </w:r>
      <w:r w:rsidR="0074310E">
        <w:rPr>
          <w:rFonts w:ascii="Times New Roman" w:hAnsi="Times New Roman" w:cs="Times New Roman"/>
          <w:b w:val="0"/>
          <w:i w:val="0"/>
        </w:rPr>
        <w:t xml:space="preserve"> </w:t>
      </w:r>
      <w:r w:rsidRPr="0074310E">
        <w:rPr>
          <w:rFonts w:ascii="Times New Roman" w:hAnsi="Times New Roman" w:cs="Times New Roman"/>
          <w:b w:val="0"/>
          <w:i w:val="0"/>
        </w:rPr>
        <w:t>reliab</w:t>
      </w:r>
      <w:r w:rsidR="0074310E">
        <w:rPr>
          <w:rFonts w:ascii="Times New Roman" w:hAnsi="Times New Roman" w:cs="Times New Roman"/>
          <w:b w:val="0"/>
          <w:i w:val="0"/>
        </w:rPr>
        <w:t>ility</w:t>
      </w:r>
      <w:r w:rsidRPr="0074310E">
        <w:rPr>
          <w:rFonts w:ascii="Times New Roman" w:hAnsi="Times New Roman" w:cs="Times New Roman"/>
          <w:b w:val="0"/>
          <w:i w:val="0"/>
        </w:rPr>
        <w:t xml:space="preserve">, uniformity of foot-candles, less stray light, </w:t>
      </w:r>
      <w:r w:rsidR="0074310E">
        <w:rPr>
          <w:rFonts w:ascii="Times New Roman" w:hAnsi="Times New Roman" w:cs="Times New Roman"/>
          <w:b w:val="0"/>
          <w:i w:val="0"/>
        </w:rPr>
        <w:t xml:space="preserve">and </w:t>
      </w:r>
      <w:r w:rsidRPr="0074310E">
        <w:rPr>
          <w:rFonts w:ascii="Times New Roman" w:hAnsi="Times New Roman" w:cs="Times New Roman"/>
          <w:b w:val="0"/>
          <w:i w:val="0"/>
        </w:rPr>
        <w:t>fewer unit failures (due to fewer components, and due to operating c</w:t>
      </w:r>
      <w:r w:rsidR="0074310E">
        <w:rPr>
          <w:rFonts w:ascii="Times New Roman" w:hAnsi="Times New Roman" w:cs="Times New Roman"/>
          <w:b w:val="0"/>
          <w:i w:val="0"/>
        </w:rPr>
        <w:t xml:space="preserve">loser to ambient temperatures). </w:t>
      </w:r>
      <w:r w:rsidR="009E4288" w:rsidRPr="009E4288">
        <w:rPr>
          <w:rFonts w:ascii="Times New Roman" w:hAnsi="Times New Roman" w:cs="Times New Roman"/>
          <w:b w:val="0"/>
          <w:i w:val="0"/>
        </w:rPr>
        <w:t xml:space="preserve">For the reasons </w:t>
      </w:r>
      <w:r w:rsidR="00C52BD8">
        <w:rPr>
          <w:rFonts w:ascii="Times New Roman" w:hAnsi="Times New Roman" w:cs="Times New Roman"/>
          <w:b w:val="0"/>
          <w:i w:val="0"/>
        </w:rPr>
        <w:t>stated</w:t>
      </w:r>
      <w:r w:rsidR="009E4288" w:rsidRPr="009E4288">
        <w:rPr>
          <w:rFonts w:ascii="Times New Roman" w:hAnsi="Times New Roman" w:cs="Times New Roman"/>
          <w:b w:val="0"/>
          <w:i w:val="0"/>
        </w:rPr>
        <w:t xml:space="preserve"> above, </w:t>
      </w:r>
      <w:r w:rsidR="009E4288">
        <w:rPr>
          <w:rFonts w:ascii="Times New Roman" w:hAnsi="Times New Roman" w:cs="Times New Roman"/>
          <w:b w:val="0"/>
          <w:i w:val="0"/>
        </w:rPr>
        <w:t>s</w:t>
      </w:r>
      <w:r w:rsidR="009E4288">
        <w:rPr>
          <w:rFonts w:ascii="Times New Roman" w:hAnsi="Times New Roman" w:cs="Times New Roman"/>
          <w:b w:val="0"/>
          <w:bCs w:val="0"/>
          <w:i w:val="0"/>
          <w:kern w:val="0"/>
          <w:szCs w:val="24"/>
        </w:rPr>
        <w:t xml:space="preserve">taff recommends approval of </w:t>
      </w:r>
      <w:r w:rsidR="009E4288" w:rsidRPr="00ED52E6">
        <w:rPr>
          <w:rFonts w:ascii="Times New Roman" w:hAnsi="Times New Roman" w:cs="Times New Roman"/>
          <w:b w:val="0"/>
          <w:bCs w:val="0"/>
          <w:i w:val="0"/>
          <w:kern w:val="0"/>
          <w:szCs w:val="24"/>
        </w:rPr>
        <w:t xml:space="preserve">TECO’s proposed </w:t>
      </w:r>
      <w:r w:rsidR="009E4288" w:rsidRPr="000F3584">
        <w:rPr>
          <w:rFonts w:ascii="Times New Roman" w:hAnsi="Times New Roman" w:cs="Times New Roman"/>
          <w:b w:val="0"/>
          <w:bCs w:val="0"/>
          <w:i w:val="0"/>
          <w:kern w:val="0"/>
          <w:szCs w:val="24"/>
        </w:rPr>
        <w:t>lighting service</w:t>
      </w:r>
      <w:r w:rsidR="009E4288" w:rsidRPr="00ED52E6">
        <w:rPr>
          <w:rFonts w:ascii="Times New Roman" w:hAnsi="Times New Roman" w:cs="Times New Roman"/>
          <w:b w:val="0"/>
          <w:bCs w:val="0"/>
          <w:i w:val="0"/>
          <w:kern w:val="0"/>
          <w:szCs w:val="24"/>
        </w:rPr>
        <w:t xml:space="preserve"> tariff revisions effective February 6, 2018</w:t>
      </w:r>
      <w:r w:rsidR="009E4288">
        <w:rPr>
          <w:rFonts w:ascii="Times New Roman" w:hAnsi="Times New Roman" w:cs="Times New Roman"/>
          <w:b w:val="0"/>
          <w:bCs w:val="0"/>
          <w:i w:val="0"/>
          <w:kern w:val="0"/>
          <w:szCs w:val="24"/>
        </w:rPr>
        <w:t xml:space="preserve">. </w:t>
      </w:r>
      <w:r w:rsidR="00832681" w:rsidRPr="004C3641">
        <w:rPr>
          <w:b w:val="0"/>
          <w:i w:val="0"/>
        </w:rPr>
        <w:br w:type="page"/>
      </w:r>
      <w:r w:rsidR="00832681" w:rsidRPr="004C3641">
        <w:lastRenderedPageBreak/>
        <w:t xml:space="preserve">Issue </w:t>
      </w:r>
      <w:r w:rsidR="0039573B">
        <w:fldChar w:fldCharType="begin"/>
      </w:r>
      <w:r w:rsidR="0039573B">
        <w:instrText xml:space="preserve"> SEQ Issue \* MERGEFORMAT </w:instrText>
      </w:r>
      <w:r w:rsidR="0039573B">
        <w:fldChar w:fldCharType="separate"/>
      </w:r>
      <w:r w:rsidR="0029642A">
        <w:rPr>
          <w:noProof/>
        </w:rPr>
        <w:t>2</w:t>
      </w:r>
      <w:r w:rsidR="0039573B">
        <w:rPr>
          <w:noProof/>
        </w:rPr>
        <w:fldChar w:fldCharType="end"/>
      </w:r>
      <w:r w:rsidR="00832681" w:rsidRPr="004C3641">
        <w:t>:</w:t>
      </w:r>
      <w:r w:rsidR="00832681">
        <w:fldChar w:fldCharType="begin"/>
      </w:r>
      <w:r w:rsidR="00832681">
        <w:instrText xml:space="preserve"> TC "</w:instrText>
      </w:r>
      <w:r w:rsidR="00832681">
        <w:fldChar w:fldCharType="begin"/>
      </w:r>
      <w:r w:rsidR="00832681">
        <w:instrText xml:space="preserve"> SEQ issue \c </w:instrText>
      </w:r>
      <w:r w:rsidR="00832681">
        <w:fldChar w:fldCharType="separate"/>
      </w:r>
      <w:r w:rsidR="0029642A">
        <w:rPr>
          <w:noProof/>
        </w:rPr>
        <w:instrText>2</w:instrText>
      </w:r>
      <w:r w:rsidR="00832681">
        <w:fldChar w:fldCharType="end"/>
      </w:r>
      <w:r w:rsidR="00832681">
        <w:tab/>
        <w:instrText xml:space="preserve">" \l 1 </w:instrText>
      </w:r>
      <w:r w:rsidR="00832681">
        <w:fldChar w:fldCharType="end"/>
      </w:r>
      <w:r w:rsidR="00832681">
        <w:t> </w:t>
      </w:r>
    </w:p>
    <w:p w:rsidR="00832681" w:rsidRDefault="00832681">
      <w:pPr>
        <w:pStyle w:val="BodyText"/>
      </w:pPr>
      <w:r>
        <w:t> Should this docket be closed?</w:t>
      </w:r>
    </w:p>
    <w:p w:rsidR="00832681" w:rsidRPr="004C3641" w:rsidRDefault="00832681">
      <w:pPr>
        <w:pStyle w:val="IssueSubsectionHeading"/>
        <w:rPr>
          <w:vanish/>
          <w:specVanish/>
        </w:rPr>
      </w:pPr>
      <w:r w:rsidRPr="004C3641">
        <w:t>Recommendation: </w:t>
      </w:r>
    </w:p>
    <w:p w:rsidR="00832681" w:rsidRDefault="00832681">
      <w:pPr>
        <w:pStyle w:val="BodyText"/>
      </w:pPr>
      <w:r>
        <w:t xml:space="preserve"> Yes. If Issue 1 is approved, the tariffs should become effective on February 6, 2018. If a protest is filed within 21 days of the issuance of the order, the tariffs should remain in effect, with any revenues held subject to refund, pending resolution of the protest. If no timely protest is filed, the docket should be closed upon the issuance of a consummating order. (Trierweiler) </w:t>
      </w:r>
    </w:p>
    <w:p w:rsidR="00832681" w:rsidRPr="004C3641" w:rsidRDefault="00832681">
      <w:pPr>
        <w:pStyle w:val="IssueSubsectionHeading"/>
        <w:rPr>
          <w:vanish/>
          <w:specVanish/>
        </w:rPr>
      </w:pPr>
      <w:r w:rsidRPr="004C3641">
        <w:t>Staff Analysis: </w:t>
      </w:r>
    </w:p>
    <w:p w:rsidR="00832681" w:rsidRDefault="00832681">
      <w:pPr>
        <w:pStyle w:val="BodyText"/>
      </w:pPr>
      <w:r>
        <w:t> If Issue 1 is approved, the tariffs should become effective on February 6, 2018. If a protest is filed within 21 days of the issuance of the order, the tariffs should remain in effect, with any revenues held subject to refund, pending resolution of the protest. If no timely protest is filed, the docket should be closed upon the issuance of a consummating order.</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27" w:rsidRDefault="00836627">
      <w:r>
        <w:separator/>
      </w:r>
    </w:p>
  </w:endnote>
  <w:endnote w:type="continuationSeparator" w:id="0">
    <w:p w:rsidR="00836627" w:rsidRDefault="0083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C266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27" w:rsidRDefault="00836627">
      <w:r>
        <w:separator/>
      </w:r>
    </w:p>
  </w:footnote>
  <w:footnote w:type="continuationSeparator" w:id="0">
    <w:p w:rsidR="00836627" w:rsidRDefault="00836627">
      <w:r>
        <w:continuationSeparator/>
      </w:r>
    </w:p>
  </w:footnote>
  <w:footnote w:id="1">
    <w:p w:rsidR="001D70CA" w:rsidRDefault="001D70CA" w:rsidP="001D70CA">
      <w:pPr>
        <w:pStyle w:val="FootnoteText"/>
      </w:pPr>
      <w:r>
        <w:rPr>
          <w:rStyle w:val="FootnoteReference"/>
        </w:rPr>
        <w:footnoteRef/>
      </w:r>
      <w:r>
        <w:t xml:space="preserve"> Order No. PSC-13-0138-FOF-EI, issued March 25, 2013, in Docket No. 130019-EI, </w:t>
      </w:r>
      <w:r w:rsidRPr="001B5A03">
        <w:rPr>
          <w:i/>
        </w:rPr>
        <w:t>In re: Petition for approval of revised lighting tariffs by Tampa electric Company</w:t>
      </w:r>
      <w:r>
        <w:t xml:space="preserve">. </w:t>
      </w:r>
    </w:p>
  </w:footnote>
  <w:footnote w:id="2">
    <w:p w:rsidR="001D70CA" w:rsidRDefault="001D70CA" w:rsidP="001D70CA">
      <w:pPr>
        <w:pStyle w:val="FootnoteText"/>
      </w:pPr>
      <w:r>
        <w:rPr>
          <w:rStyle w:val="FootnoteReference"/>
        </w:rPr>
        <w:footnoteRef/>
      </w:r>
      <w:r>
        <w:t xml:space="preserve"> Order No. PSC-2015-0094-TRF-EI, issued February 5, 2015, in Docket No. 140232-EI, </w:t>
      </w:r>
      <w:r w:rsidRPr="00CC2F13">
        <w:rPr>
          <w:i/>
        </w:rPr>
        <w:t>In re: Petition for approval of revised lighting tariff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3662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20170198-EI</w:t>
    </w:r>
    <w:bookmarkEnd w:id="14"/>
  </w:p>
  <w:p w:rsidR="00BC402E" w:rsidRDefault="00BC402E">
    <w:pPr>
      <w:pStyle w:val="Header"/>
    </w:pPr>
    <w:r>
      <w:t xml:space="preserve">Date: </w:t>
    </w:r>
    <w:fldSimple w:instr=" REF FilingDate ">
      <w:r w:rsidR="0029642A">
        <w:t>January 25,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9642A">
      <w:t>Docket No.</w:t>
    </w:r>
    <w:r>
      <w:fldChar w:fldCharType="end"/>
    </w:r>
    <w:r>
      <w:t xml:space="preserve"> </w:t>
    </w:r>
    <w:r>
      <w:fldChar w:fldCharType="begin"/>
    </w:r>
    <w:r>
      <w:instrText xml:space="preserve"> REF DocketList</w:instrText>
    </w:r>
    <w:r>
      <w:fldChar w:fldCharType="separate"/>
    </w:r>
    <w:r w:rsidR="0029642A">
      <w:t>20170198-EI</w:t>
    </w:r>
    <w:r>
      <w:fldChar w:fldCharType="end"/>
    </w:r>
    <w:r>
      <w:tab/>
      <w:t xml:space="preserve">Issue </w:t>
    </w:r>
    <w:fldSimple w:instr=" Seq Issue \c \* Arabic ">
      <w:r w:rsidR="009C2664">
        <w:rPr>
          <w:noProof/>
        </w:rPr>
        <w:t>2</w:t>
      </w:r>
    </w:fldSimple>
  </w:p>
  <w:p w:rsidR="00BC402E" w:rsidRDefault="00BC402E">
    <w:pPr>
      <w:pStyle w:val="Header"/>
    </w:pPr>
    <w:r>
      <w:t xml:space="preserve">Date: </w:t>
    </w:r>
    <w:fldSimple w:instr=" REF FilingDate ">
      <w:r w:rsidR="0029642A">
        <w:t>January 25,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C9B164B"/>
    <w:multiLevelType w:val="hybridMultilevel"/>
    <w:tmpl w:val="BD24C1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3662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A7A37"/>
    <w:rsid w:val="000C4431"/>
    <w:rsid w:val="000D1C06"/>
    <w:rsid w:val="000D4319"/>
    <w:rsid w:val="000F3584"/>
    <w:rsid w:val="000F374A"/>
    <w:rsid w:val="001075F5"/>
    <w:rsid w:val="001076AF"/>
    <w:rsid w:val="00107B14"/>
    <w:rsid w:val="00117C8C"/>
    <w:rsid w:val="00124E2E"/>
    <w:rsid w:val="00125ED4"/>
    <w:rsid w:val="001305E9"/>
    <w:rsid w:val="001307AF"/>
    <w:rsid w:val="00135687"/>
    <w:rsid w:val="0015506E"/>
    <w:rsid w:val="00163031"/>
    <w:rsid w:val="00171A90"/>
    <w:rsid w:val="00180254"/>
    <w:rsid w:val="001912E5"/>
    <w:rsid w:val="00191E1F"/>
    <w:rsid w:val="00192943"/>
    <w:rsid w:val="001A5E35"/>
    <w:rsid w:val="001A7406"/>
    <w:rsid w:val="001B4FEE"/>
    <w:rsid w:val="001B51C5"/>
    <w:rsid w:val="001B6F3F"/>
    <w:rsid w:val="001C52B5"/>
    <w:rsid w:val="001C6B22"/>
    <w:rsid w:val="001D0D3E"/>
    <w:rsid w:val="001D70CA"/>
    <w:rsid w:val="001E60C4"/>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9642A"/>
    <w:rsid w:val="002D226D"/>
    <w:rsid w:val="002E717E"/>
    <w:rsid w:val="002F6030"/>
    <w:rsid w:val="003037E1"/>
    <w:rsid w:val="00307E51"/>
    <w:rsid w:val="003103EC"/>
    <w:rsid w:val="003144EF"/>
    <w:rsid w:val="00321AD1"/>
    <w:rsid w:val="00322F74"/>
    <w:rsid w:val="00340073"/>
    <w:rsid w:val="00346400"/>
    <w:rsid w:val="003632FD"/>
    <w:rsid w:val="00372805"/>
    <w:rsid w:val="00373180"/>
    <w:rsid w:val="003742FF"/>
    <w:rsid w:val="00375AB9"/>
    <w:rsid w:val="003821A0"/>
    <w:rsid w:val="00385B04"/>
    <w:rsid w:val="003864CF"/>
    <w:rsid w:val="003A22A6"/>
    <w:rsid w:val="003A5494"/>
    <w:rsid w:val="003B2510"/>
    <w:rsid w:val="003B74E8"/>
    <w:rsid w:val="003C2CC4"/>
    <w:rsid w:val="003C3710"/>
    <w:rsid w:val="003C7D9F"/>
    <w:rsid w:val="003E0EFC"/>
    <w:rsid w:val="003E4A2B"/>
    <w:rsid w:val="003E76C2"/>
    <w:rsid w:val="003F1679"/>
    <w:rsid w:val="003F21EB"/>
    <w:rsid w:val="003F4A35"/>
    <w:rsid w:val="003F7FDD"/>
    <w:rsid w:val="00402481"/>
    <w:rsid w:val="00402ED5"/>
    <w:rsid w:val="004042B4"/>
    <w:rsid w:val="00410DC4"/>
    <w:rsid w:val="00412DAE"/>
    <w:rsid w:val="00415664"/>
    <w:rsid w:val="004167BA"/>
    <w:rsid w:val="004242E6"/>
    <w:rsid w:val="00431598"/>
    <w:rsid w:val="004319AD"/>
    <w:rsid w:val="004426B8"/>
    <w:rsid w:val="00444432"/>
    <w:rsid w:val="00454081"/>
    <w:rsid w:val="00471860"/>
    <w:rsid w:val="004A2348"/>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3444"/>
    <w:rsid w:val="0062527B"/>
    <w:rsid w:val="00625D97"/>
    <w:rsid w:val="00625F1C"/>
    <w:rsid w:val="006279E1"/>
    <w:rsid w:val="00630CEB"/>
    <w:rsid w:val="00632264"/>
    <w:rsid w:val="006330BA"/>
    <w:rsid w:val="00634B4E"/>
    <w:rsid w:val="006470BC"/>
    <w:rsid w:val="006554D3"/>
    <w:rsid w:val="00667036"/>
    <w:rsid w:val="00673BDB"/>
    <w:rsid w:val="00674341"/>
    <w:rsid w:val="006771B8"/>
    <w:rsid w:val="006843B6"/>
    <w:rsid w:val="0068481F"/>
    <w:rsid w:val="00696F5D"/>
    <w:rsid w:val="00697249"/>
    <w:rsid w:val="006A0841"/>
    <w:rsid w:val="006B2276"/>
    <w:rsid w:val="006B3947"/>
    <w:rsid w:val="006B4293"/>
    <w:rsid w:val="006B624F"/>
    <w:rsid w:val="006C0C95"/>
    <w:rsid w:val="006C31E3"/>
    <w:rsid w:val="006C632E"/>
    <w:rsid w:val="006D18D3"/>
    <w:rsid w:val="006E08CB"/>
    <w:rsid w:val="006E598D"/>
    <w:rsid w:val="006F7903"/>
    <w:rsid w:val="0070437D"/>
    <w:rsid w:val="00704CF1"/>
    <w:rsid w:val="00705B04"/>
    <w:rsid w:val="00724992"/>
    <w:rsid w:val="00734820"/>
    <w:rsid w:val="007349DC"/>
    <w:rsid w:val="0074310E"/>
    <w:rsid w:val="0074365E"/>
    <w:rsid w:val="00744B55"/>
    <w:rsid w:val="007515FD"/>
    <w:rsid w:val="00760D80"/>
    <w:rsid w:val="007647EC"/>
    <w:rsid w:val="007805C1"/>
    <w:rsid w:val="00780C09"/>
    <w:rsid w:val="00780DDF"/>
    <w:rsid w:val="007834E9"/>
    <w:rsid w:val="007843CE"/>
    <w:rsid w:val="00787DBC"/>
    <w:rsid w:val="0079019A"/>
    <w:rsid w:val="00792935"/>
    <w:rsid w:val="007A04A1"/>
    <w:rsid w:val="007A1840"/>
    <w:rsid w:val="007A7DA9"/>
    <w:rsid w:val="007B10C2"/>
    <w:rsid w:val="007C0528"/>
    <w:rsid w:val="007C3D38"/>
    <w:rsid w:val="007D0F35"/>
    <w:rsid w:val="007D2783"/>
    <w:rsid w:val="007D4FEB"/>
    <w:rsid w:val="007D6146"/>
    <w:rsid w:val="007E0CE7"/>
    <w:rsid w:val="007E6162"/>
    <w:rsid w:val="007F1193"/>
    <w:rsid w:val="007F417F"/>
    <w:rsid w:val="007F6476"/>
    <w:rsid w:val="007F7644"/>
    <w:rsid w:val="008042BD"/>
    <w:rsid w:val="008061D6"/>
    <w:rsid w:val="00816624"/>
    <w:rsid w:val="00822427"/>
    <w:rsid w:val="00822562"/>
    <w:rsid w:val="00823663"/>
    <w:rsid w:val="00832681"/>
    <w:rsid w:val="00832DDC"/>
    <w:rsid w:val="00836627"/>
    <w:rsid w:val="00850BAC"/>
    <w:rsid w:val="00854A3E"/>
    <w:rsid w:val="00855D08"/>
    <w:rsid w:val="00874344"/>
    <w:rsid w:val="008758E3"/>
    <w:rsid w:val="00882155"/>
    <w:rsid w:val="0088233B"/>
    <w:rsid w:val="0088599E"/>
    <w:rsid w:val="00886C37"/>
    <w:rsid w:val="00892D99"/>
    <w:rsid w:val="00893315"/>
    <w:rsid w:val="008B62AE"/>
    <w:rsid w:val="008C04B5"/>
    <w:rsid w:val="008C14FA"/>
    <w:rsid w:val="008C7B0B"/>
    <w:rsid w:val="008D4057"/>
    <w:rsid w:val="008E1F19"/>
    <w:rsid w:val="008E3F0A"/>
    <w:rsid w:val="008F2262"/>
    <w:rsid w:val="008F37BC"/>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80F"/>
    <w:rsid w:val="00945BD6"/>
    <w:rsid w:val="009479FB"/>
    <w:rsid w:val="00951C45"/>
    <w:rsid w:val="009656F2"/>
    <w:rsid w:val="00966A08"/>
    <w:rsid w:val="00971207"/>
    <w:rsid w:val="00975CB4"/>
    <w:rsid w:val="009863B0"/>
    <w:rsid w:val="00987DE1"/>
    <w:rsid w:val="00990571"/>
    <w:rsid w:val="0099673A"/>
    <w:rsid w:val="009A3330"/>
    <w:rsid w:val="009A7C96"/>
    <w:rsid w:val="009C2664"/>
    <w:rsid w:val="009C3DB9"/>
    <w:rsid w:val="009C661F"/>
    <w:rsid w:val="009D46E5"/>
    <w:rsid w:val="009D568A"/>
    <w:rsid w:val="009E4288"/>
    <w:rsid w:val="009F04EC"/>
    <w:rsid w:val="009F2A7C"/>
    <w:rsid w:val="009F3B36"/>
    <w:rsid w:val="00A01008"/>
    <w:rsid w:val="00A019B9"/>
    <w:rsid w:val="00A12508"/>
    <w:rsid w:val="00A1282B"/>
    <w:rsid w:val="00A13A27"/>
    <w:rsid w:val="00A175B6"/>
    <w:rsid w:val="00A21835"/>
    <w:rsid w:val="00A2374B"/>
    <w:rsid w:val="00A27D6E"/>
    <w:rsid w:val="00A328EC"/>
    <w:rsid w:val="00A33A51"/>
    <w:rsid w:val="00A41CA6"/>
    <w:rsid w:val="00A46DA8"/>
    <w:rsid w:val="00A47927"/>
    <w:rsid w:val="00A47FFC"/>
    <w:rsid w:val="00A5442F"/>
    <w:rsid w:val="00A54FF9"/>
    <w:rsid w:val="00A56765"/>
    <w:rsid w:val="00A675AC"/>
    <w:rsid w:val="00A7581F"/>
    <w:rsid w:val="00A92FB1"/>
    <w:rsid w:val="00A95A0C"/>
    <w:rsid w:val="00AA2765"/>
    <w:rsid w:val="00AA77B5"/>
    <w:rsid w:val="00AB6C5D"/>
    <w:rsid w:val="00AC30B4"/>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BA8"/>
    <w:rsid w:val="00B33902"/>
    <w:rsid w:val="00B516ED"/>
    <w:rsid w:val="00B5435B"/>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1350"/>
    <w:rsid w:val="00BF0D31"/>
    <w:rsid w:val="00BF5010"/>
    <w:rsid w:val="00BF56C2"/>
    <w:rsid w:val="00C03D5F"/>
    <w:rsid w:val="00C13791"/>
    <w:rsid w:val="00C31BB3"/>
    <w:rsid w:val="00C36977"/>
    <w:rsid w:val="00C467DA"/>
    <w:rsid w:val="00C477D9"/>
    <w:rsid w:val="00C52BD8"/>
    <w:rsid w:val="00C60BA3"/>
    <w:rsid w:val="00C61808"/>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3A9"/>
    <w:rsid w:val="00CE2BF8"/>
    <w:rsid w:val="00CE484E"/>
    <w:rsid w:val="00CE656F"/>
    <w:rsid w:val="00CF0DA8"/>
    <w:rsid w:val="00CF2E25"/>
    <w:rsid w:val="00CF4453"/>
    <w:rsid w:val="00CF5D94"/>
    <w:rsid w:val="00CF7E0F"/>
    <w:rsid w:val="00D034D7"/>
    <w:rsid w:val="00D04BE4"/>
    <w:rsid w:val="00D06FC7"/>
    <w:rsid w:val="00D1075A"/>
    <w:rsid w:val="00D12565"/>
    <w:rsid w:val="00D14127"/>
    <w:rsid w:val="00D33366"/>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3659"/>
    <w:rsid w:val="00DC59E6"/>
    <w:rsid w:val="00DD150B"/>
    <w:rsid w:val="00DD5025"/>
    <w:rsid w:val="00DF1510"/>
    <w:rsid w:val="00E02F1F"/>
    <w:rsid w:val="00E06484"/>
    <w:rsid w:val="00E20A7D"/>
    <w:rsid w:val="00E275D8"/>
    <w:rsid w:val="00E30F6A"/>
    <w:rsid w:val="00E3117C"/>
    <w:rsid w:val="00E375CA"/>
    <w:rsid w:val="00E44786"/>
    <w:rsid w:val="00E567E8"/>
    <w:rsid w:val="00E64679"/>
    <w:rsid w:val="00E65EBC"/>
    <w:rsid w:val="00E677FE"/>
    <w:rsid w:val="00E73432"/>
    <w:rsid w:val="00E77B0C"/>
    <w:rsid w:val="00E77FB8"/>
    <w:rsid w:val="00E81A9E"/>
    <w:rsid w:val="00E838B0"/>
    <w:rsid w:val="00E86A7C"/>
    <w:rsid w:val="00E878E1"/>
    <w:rsid w:val="00E87F2C"/>
    <w:rsid w:val="00E95278"/>
    <w:rsid w:val="00EA2273"/>
    <w:rsid w:val="00EA7C3C"/>
    <w:rsid w:val="00EB2DB3"/>
    <w:rsid w:val="00EB7ADA"/>
    <w:rsid w:val="00EC3FBB"/>
    <w:rsid w:val="00EC6B7A"/>
    <w:rsid w:val="00ED3A87"/>
    <w:rsid w:val="00ED52E6"/>
    <w:rsid w:val="00ED5B67"/>
    <w:rsid w:val="00EE74E5"/>
    <w:rsid w:val="00EF264C"/>
    <w:rsid w:val="00EF3FEE"/>
    <w:rsid w:val="00F04B59"/>
    <w:rsid w:val="00F11741"/>
    <w:rsid w:val="00F12B1C"/>
    <w:rsid w:val="00F13CF8"/>
    <w:rsid w:val="00F15855"/>
    <w:rsid w:val="00F16F84"/>
    <w:rsid w:val="00F32978"/>
    <w:rsid w:val="00F45CB2"/>
    <w:rsid w:val="00F5350D"/>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D70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D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1480</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2018-01-24T14:41:00Z</cp:lastPrinted>
  <dcterms:created xsi:type="dcterms:W3CDTF">2018-01-25T15:02:00Z</dcterms:created>
  <dcterms:modified xsi:type="dcterms:W3CDTF">2018-01-25T15:02:00Z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20170198-EI</vt:lpwstr>
  </property>
  <property fmtid="{D5CDD505-2E9C-101B-9397-08002B2CF9AE}" pid="3" name="MasterDocument">
    <vt:bool>false</vt:bool>
  </property>
</Properties>
</file>