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1D9785D4" wp14:editId="58F5CB24">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D2DC0">
            <w:pPr>
              <w:pStyle w:val="MemoHeading"/>
            </w:pPr>
            <w:bookmarkStart w:id="1" w:name="FilingDate"/>
            <w:r>
              <w:t>September 25,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D2DC0" w:rsidRDefault="000D2DC0">
            <w:pPr>
              <w:pStyle w:val="MemoHeading"/>
            </w:pPr>
            <w:bookmarkStart w:id="2" w:name="From"/>
            <w:r>
              <w:t>Division of Economics (Pope, Barrett)</w:t>
            </w:r>
          </w:p>
          <w:p w:rsidR="000D2DC0" w:rsidRDefault="000D2DC0">
            <w:pPr>
              <w:pStyle w:val="MemoHeading"/>
            </w:pPr>
            <w:r>
              <w:t>Division of Accounting and Finance (Gatlin, Vogel)</w:t>
            </w:r>
          </w:p>
          <w:p w:rsidR="007C0528" w:rsidRDefault="000D2DC0">
            <w:pPr>
              <w:pStyle w:val="MemoHeading"/>
            </w:pPr>
            <w:r>
              <w:t>Office of the General Counsel (Thompson,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D2DC0">
            <w:pPr>
              <w:pStyle w:val="MemoHeadingRe"/>
            </w:pPr>
            <w:bookmarkStart w:id="3" w:name="Re"/>
            <w:r>
              <w:t>Docket No. 20250057-GU – Petition for approval of tariff modification for equipment financing, by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D2DC0">
            <w:pPr>
              <w:pStyle w:val="MemoHeading"/>
            </w:pPr>
            <w:bookmarkStart w:id="4" w:name="AgendaDate"/>
            <w:r>
              <w:t>10/07/25</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D2DC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D2DC0">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C408A">
            <w:pPr>
              <w:pStyle w:val="MemoHeading"/>
            </w:pPr>
            <w:bookmarkStart w:id="9" w:name="CriticalDates"/>
            <w:r>
              <w:t>12/04</w:t>
            </w:r>
            <w:r w:rsidR="000D2DC0">
              <w:t>/25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D2DC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E6037" w:rsidRDefault="000D2DC0" w:rsidP="000D2DC0">
      <w:pPr>
        <w:pStyle w:val="BodyText"/>
      </w:pPr>
      <w:r>
        <w:t>On April 4, 2025, Florida Public Utilities Company</w:t>
      </w:r>
      <w:r w:rsidR="001F3C7A">
        <w:t xml:space="preserve"> </w:t>
      </w:r>
      <w:r w:rsidR="00DD56BF">
        <w:t>- Gas</w:t>
      </w:r>
      <w:r>
        <w:t xml:space="preserve"> (FPUC or </w:t>
      </w:r>
      <w:r w:rsidR="00DD56BF">
        <w:t xml:space="preserve">the </w:t>
      </w:r>
      <w:r>
        <w:t xml:space="preserve">Company) filed a </w:t>
      </w:r>
      <w:r w:rsidR="00FE661E" w:rsidRPr="00FE661E">
        <w:t>petition for approval of a tariff modification</w:t>
      </w:r>
      <w:r>
        <w:t xml:space="preserve"> (petition) seeking </w:t>
      </w:r>
      <w:r w:rsidRPr="003A6954">
        <w:t xml:space="preserve">Commission approval of a tariff modification to </w:t>
      </w:r>
      <w:r w:rsidR="005E410C">
        <w:t>offer</w:t>
      </w:r>
      <w:r w:rsidR="005E410C" w:rsidRPr="003A6954">
        <w:t xml:space="preserve"> </w:t>
      </w:r>
      <w:r w:rsidR="00B947D1">
        <w:t xml:space="preserve">term </w:t>
      </w:r>
      <w:r w:rsidRPr="003A6954">
        <w:t xml:space="preserve">financing </w:t>
      </w:r>
      <w:r w:rsidR="005E410C">
        <w:t xml:space="preserve">to customers </w:t>
      </w:r>
      <w:r w:rsidRPr="003A6954">
        <w:t>for</w:t>
      </w:r>
      <w:r w:rsidR="00C03450">
        <w:t xml:space="preserve"> </w:t>
      </w:r>
      <w:r w:rsidR="00C03450" w:rsidRPr="003A6954">
        <w:t>gas conversion, compression, or renewable natural gas (RNG)</w:t>
      </w:r>
      <w:r w:rsidR="00C03450">
        <w:t xml:space="preserve"> equipment and appliances</w:t>
      </w:r>
      <w:r w:rsidR="00634B25" w:rsidRPr="003A6954">
        <w:t xml:space="preserve"> owned and maintained by the custo</w:t>
      </w:r>
      <w:r w:rsidR="00634B25">
        <w:t>mer</w:t>
      </w:r>
      <w:r w:rsidRPr="003A6954">
        <w:t>. The filing includes First Revised Tariff Sheet 6.153 a</w:t>
      </w:r>
      <w:r w:rsidR="00634B25">
        <w:t xml:space="preserve">nd Original Tariff Sheet 6.154. </w:t>
      </w:r>
    </w:p>
    <w:p w:rsidR="00DC351C" w:rsidRDefault="00EE6037" w:rsidP="000D2DC0">
      <w:pPr>
        <w:pStyle w:val="BodyText"/>
      </w:pPr>
      <w:r w:rsidRPr="00EE6037">
        <w:t>In its petition, FPUC stated that the proposed modification has two primary purposes: (1) to assist customers in converting to natural gas by making upfront equipment costs more affordable, especially where those costs might otherwise be prohibitive, and (2) to maintain tariff consistency by aligning FPUC’s tariff with Florida City Gas</w:t>
      </w:r>
      <w:r w:rsidR="005A275A">
        <w:t xml:space="preserve"> (FCG)</w:t>
      </w:r>
      <w:r w:rsidRPr="00EE6037">
        <w:t xml:space="preserve">, which has </w:t>
      </w:r>
      <w:r w:rsidR="001F3C7A">
        <w:t>implemented</w:t>
      </w:r>
      <w:r w:rsidRPr="00EE6037">
        <w:t xml:space="preserve"> </w:t>
      </w:r>
      <w:r w:rsidRPr="00EE6037">
        <w:lastRenderedPageBreak/>
        <w:t>similar provisions</w:t>
      </w:r>
      <w:r w:rsidRPr="003A6954">
        <w:t>.</w:t>
      </w:r>
      <w:r>
        <w:rPr>
          <w:rStyle w:val="FootnoteReference"/>
        </w:rPr>
        <w:footnoteReference w:id="1"/>
      </w:r>
      <w:r w:rsidRPr="00EE6037">
        <w:t xml:space="preserve"> </w:t>
      </w:r>
      <w:r w:rsidR="009D6539">
        <w:t>T</w:t>
      </w:r>
      <w:r w:rsidRPr="00EE6037">
        <w:t>he Company clarified that the program would initially focus on residential water heaters</w:t>
      </w:r>
      <w:r w:rsidR="00582B78">
        <w:t>,</w:t>
      </w:r>
      <w:r w:rsidRPr="00EE6037">
        <w:t xml:space="preserve"> but is broad enough to cover other gas conversion, compression, and RNG equipment in the future</w:t>
      </w:r>
      <w:r w:rsidR="00544573">
        <w:t>.</w:t>
      </w:r>
      <w:r w:rsidR="00544573">
        <w:rPr>
          <w:rStyle w:val="FootnoteReference"/>
        </w:rPr>
        <w:footnoteReference w:id="2"/>
      </w:r>
      <w:r w:rsidRPr="00EE6037">
        <w:t xml:space="preserve"> FPUC further explained that financing charges would appear as a separate line item on customer bills, that all expenses and revenues would be treated “above the line,”</w:t>
      </w:r>
      <w:r w:rsidR="0044568C">
        <w:rPr>
          <w:rStyle w:val="FootnoteReference"/>
        </w:rPr>
        <w:footnoteReference w:id="3"/>
      </w:r>
      <w:r w:rsidRPr="00EE6037">
        <w:t xml:space="preserve"> and that participation would be limited to property owners</w:t>
      </w:r>
      <w:r w:rsidR="00942B39">
        <w:t xml:space="preserve">. For all </w:t>
      </w:r>
      <w:r w:rsidR="00B947D1">
        <w:t xml:space="preserve">finance </w:t>
      </w:r>
      <w:r w:rsidR="00942B39">
        <w:t xml:space="preserve">program participants, the Company intends to place </w:t>
      </w:r>
      <w:r w:rsidRPr="00EE6037">
        <w:t>a UCC-1 lien</w:t>
      </w:r>
      <w:r w:rsidR="00B45F78">
        <w:rPr>
          <w:rStyle w:val="FootnoteReference"/>
        </w:rPr>
        <w:footnoteReference w:id="4"/>
      </w:r>
      <w:r w:rsidRPr="00EE6037">
        <w:t xml:space="preserve"> recorded to secure repayment in the event of transfer of ownership.</w:t>
      </w:r>
      <w:r>
        <w:t xml:space="preserve"> </w:t>
      </w:r>
    </w:p>
    <w:p w:rsidR="00475F76" w:rsidRDefault="00475F76" w:rsidP="00475F76">
      <w:pPr>
        <w:pStyle w:val="BodyText"/>
        <w:spacing w:after="0"/>
      </w:pPr>
      <w:r>
        <w:t xml:space="preserve">The financing arrangement would be based upon an agreement the utility and the customer would enter into to finance the installed equipment cost, plus a finance charge, which would be reflected as a line item entry on the customer’s bill until equipment and related installation is paid off. With this tariff offering, FPUC asserts it will be able to help customers facilitate the cost of equipment conversions to natural gas. </w:t>
      </w:r>
    </w:p>
    <w:p w:rsidR="00475F76" w:rsidRDefault="00475F76" w:rsidP="00475F76">
      <w:pPr>
        <w:pStyle w:val="BodyText"/>
        <w:spacing w:after="0"/>
      </w:pPr>
    </w:p>
    <w:p w:rsidR="00475F76" w:rsidRDefault="00475F76" w:rsidP="00475F76">
      <w:pPr>
        <w:pStyle w:val="BodyText"/>
        <w:spacing w:after="0"/>
      </w:pPr>
      <w:r>
        <w:t>FPUC further sets forth that it and FCG are affiliate companies of Chesapeake Utilities, Inc., and that FCG has a similar provision in its tariff, last revised in 2021, to help customers manage the cost of converting appliances to natural gas.</w:t>
      </w:r>
      <w:r>
        <w:rPr>
          <w:rStyle w:val="FootnoteReference"/>
        </w:rPr>
        <w:footnoteReference w:id="5"/>
      </w:r>
      <w:r>
        <w:t xml:space="preserve"> The petition included a version of FPUC’s First Revised Tariff Sheet 6.153 and Original Tariff Sheet 6.154 </w:t>
      </w:r>
      <w:r w:rsidR="004D4F10">
        <w:t xml:space="preserve">which </w:t>
      </w:r>
      <w:r w:rsidR="00EE7F40">
        <w:t>was</w:t>
      </w:r>
      <w:r>
        <w:t xml:space="preserve"> identical to FCG’s tariff.  FPUC indicated that revising its tariff sheets to include this equipment financing option will promote the alignment of the two companies’ services.</w:t>
      </w:r>
    </w:p>
    <w:p w:rsidR="00475F76" w:rsidRDefault="00475F76" w:rsidP="00475F76">
      <w:pPr>
        <w:pStyle w:val="BodyText"/>
        <w:spacing w:after="0"/>
      </w:pPr>
    </w:p>
    <w:p w:rsidR="00475F76" w:rsidRDefault="00475F76" w:rsidP="00475F76">
      <w:pPr>
        <w:pStyle w:val="BodyText"/>
        <w:spacing w:after="0"/>
      </w:pPr>
      <w:r>
        <w:t xml:space="preserve">However, in response to discussions between Company and staff, FPUC submitted revised language in the proposed tariff sheets on August 20, 2025. While the original version stated that FPUC would be “providing” the equipment, the revised proposed tariff sheets clarify that FPUC intends to offer customers equipment financing rather than the direct sale of equipment. This revised version of the tariff for which the Company is requesting Commission approval appears in </w:t>
      </w:r>
      <w:r w:rsidRPr="004A25D0">
        <w:t>Attachment A</w:t>
      </w:r>
      <w:r>
        <w:t xml:space="preserve">. </w:t>
      </w:r>
    </w:p>
    <w:p w:rsidR="00475F76" w:rsidRDefault="00475F76" w:rsidP="00475F76">
      <w:pPr>
        <w:pStyle w:val="BodyText"/>
        <w:spacing w:after="0"/>
        <w:ind w:right="720"/>
      </w:pPr>
    </w:p>
    <w:p w:rsidR="00475F76" w:rsidRDefault="00475F76" w:rsidP="00475F76">
      <w:pPr>
        <w:pStyle w:val="BodyText"/>
        <w:spacing w:after="0"/>
      </w:pPr>
      <w:r>
        <w:t xml:space="preserve">Initially, FPUC states that its planned implementation of the proposed tariff will be to offer financing for water heaters for residential customers under the conversion category of the tariff. Although compression and RNG equipment are also equipment categories in the proposed tariff revision, the utility asserts it intends to consider equipment financing for these types of </w:t>
      </w:r>
      <w:r>
        <w:lastRenderedPageBreak/>
        <w:t xml:space="preserve">equipment on a case-by-case basis. FPUC states that it has not </w:t>
      </w:r>
      <w:r w:rsidR="005C74BB">
        <w:t xml:space="preserve">fully </w:t>
      </w:r>
      <w:r>
        <w:t>investigated or developed preliminary equipment financing agreements for equipment types other than for water heaters.</w:t>
      </w:r>
      <w:r>
        <w:rPr>
          <w:rStyle w:val="FootnoteReference"/>
        </w:rPr>
        <w:footnoteReference w:id="6"/>
      </w:r>
    </w:p>
    <w:p w:rsidR="00475F76" w:rsidRDefault="00475F76" w:rsidP="00475F76">
      <w:pPr>
        <w:pStyle w:val="BodyText"/>
        <w:spacing w:after="0"/>
      </w:pPr>
    </w:p>
    <w:p w:rsidR="00475F76" w:rsidRDefault="00475F76" w:rsidP="00475F76">
      <w:pPr>
        <w:pStyle w:val="BodyText"/>
      </w:pPr>
      <w:r>
        <w:t>FPUC asserts that the equipment financing program will be available for both electric-to-gas conversions and gas-to-gas efficiency upgrades. Pre-established pricing for financed equipment would reflect any reductions for rebate amounts the equipment would qualify for under FPUC’s Natural Gas Conservation Cost Recovery Clause (NGCCRC) programs. However, the Company clarified that any cost above the pre-established price will be the customer’s responsibility.</w:t>
      </w:r>
      <w:r>
        <w:rPr>
          <w:rStyle w:val="FootnoteReference"/>
        </w:rPr>
        <w:footnoteReference w:id="7"/>
      </w:r>
      <w:r>
        <w:t xml:space="preserve"> </w:t>
      </w:r>
    </w:p>
    <w:p w:rsidR="00475F76" w:rsidRDefault="00475F76" w:rsidP="00475F76">
      <w:pPr>
        <w:pStyle w:val="BodyText"/>
      </w:pPr>
      <w:r>
        <w:t>FPUC states that it will develop an approved third-party vendor list, wherein its customers will have the option to select contractors to provide the equipment and perform the installation work. The Company states that vendors will be independent third parties without affiliation to FPUC or Chesapeake Utilities, installation will be performed by licensed contractors, and customers will select among qualified providers.</w:t>
      </w:r>
      <w:r>
        <w:rPr>
          <w:rStyle w:val="FootnoteReference"/>
        </w:rPr>
        <w:footnoteReference w:id="8"/>
      </w:r>
    </w:p>
    <w:p w:rsidR="00475F76" w:rsidRDefault="00475F76" w:rsidP="00475F76">
      <w:pPr>
        <w:pStyle w:val="BodyText"/>
        <w:spacing w:after="0"/>
      </w:pPr>
      <w:r>
        <w:t>In order to qualify for equipment financing, FPUC maintains that its customers would have to  demonstrate twelve months of good standing to enroll.</w:t>
      </w:r>
      <w:r>
        <w:rPr>
          <w:rStyle w:val="FootnoteReference"/>
        </w:rPr>
        <w:footnoteReference w:id="9"/>
      </w:r>
      <w:r>
        <w:t xml:space="preserve"> Additionally, in order to participate in its finance program, customers would be required to</w:t>
      </w:r>
      <w:r w:rsidRPr="003A6954">
        <w:t xml:space="preserve"> own the property </w:t>
      </w:r>
      <w:r>
        <w:t xml:space="preserve">at the service address </w:t>
      </w:r>
      <w:r w:rsidRPr="003A6954">
        <w:t>receiving service from FPUC</w:t>
      </w:r>
      <w:r>
        <w:t xml:space="preserve">. </w:t>
      </w:r>
    </w:p>
    <w:p w:rsidR="00475F76" w:rsidRDefault="00475F76" w:rsidP="00475F76">
      <w:pPr>
        <w:pStyle w:val="BodyText"/>
        <w:spacing w:after="0"/>
      </w:pPr>
    </w:p>
    <w:p w:rsidR="00475F76" w:rsidRDefault="00475F76" w:rsidP="00475F76">
      <w:pPr>
        <w:pStyle w:val="BodyText"/>
        <w:spacing w:after="0"/>
      </w:pPr>
      <w:r w:rsidRPr="003A6954">
        <w:t xml:space="preserve">FPUC </w:t>
      </w:r>
      <w:r>
        <w:t xml:space="preserve">asserts that it </w:t>
      </w:r>
      <w:r w:rsidRPr="003A6954">
        <w:t xml:space="preserve">will secure repayment </w:t>
      </w:r>
      <w:r>
        <w:t xml:space="preserve">of all financed equipment costs </w:t>
      </w:r>
      <w:r w:rsidRPr="003A6954">
        <w:t>by fili</w:t>
      </w:r>
      <w:r>
        <w:t>ng a UCC-1 lien on the property, and states that the UCC-1 lien would be</w:t>
      </w:r>
      <w:r w:rsidRPr="003A6954">
        <w:t xml:space="preserve"> transferable to a new owner</w:t>
      </w:r>
      <w:r>
        <w:t>,</w:t>
      </w:r>
      <w:r w:rsidRPr="003A6954">
        <w:t xml:space="preserve"> if the original participant moves before the balance is paid</w:t>
      </w:r>
      <w:r>
        <w:t xml:space="preserve"> in full. FPUC contends that</w:t>
      </w:r>
      <w:r w:rsidRPr="003A6954">
        <w:t xml:space="preserve"> all expenses and revenues associated with the </w:t>
      </w:r>
      <w:r>
        <w:t xml:space="preserve">equipment financing </w:t>
      </w:r>
      <w:r w:rsidRPr="003A6954">
        <w:t xml:space="preserve">program will be treated “above the line” for regulatory purposes. </w:t>
      </w:r>
      <w:r>
        <w:t>The Company asserts that n</w:t>
      </w:r>
      <w:r w:rsidRPr="003A6954">
        <w:t>onpayment of equipment financing charges will not result in service disconnection</w:t>
      </w:r>
      <w:r>
        <w:t>,</w:t>
      </w:r>
      <w:r w:rsidRPr="00442B04">
        <w:t xml:space="preserve"> </w:t>
      </w:r>
      <w:r>
        <w:t>and any associated bad debt expense will be recorded and recovered through the program rather than the general body of ratepayers.</w:t>
      </w:r>
      <w:r>
        <w:rPr>
          <w:rStyle w:val="FootnoteReference"/>
        </w:rPr>
        <w:footnoteReference w:id="10"/>
      </w:r>
      <w:r>
        <w:t xml:space="preserve"> When the equipment financing balance is paid in full, the lien will be removed</w:t>
      </w:r>
      <w:r w:rsidRPr="003A6954">
        <w:t xml:space="preserve">. </w:t>
      </w:r>
    </w:p>
    <w:p w:rsidR="00475F76" w:rsidRDefault="00475F76" w:rsidP="00475F76">
      <w:pPr>
        <w:pStyle w:val="BodyText"/>
        <w:spacing w:after="0"/>
      </w:pPr>
    </w:p>
    <w:p w:rsidR="00475F76" w:rsidRDefault="00475F76" w:rsidP="00475F76">
      <w:pPr>
        <w:pStyle w:val="BodyText"/>
        <w:spacing w:after="0"/>
      </w:pPr>
      <w:r>
        <w:t xml:space="preserve">FPUC provided a sample customer water heater financing agreement, </w:t>
      </w:r>
      <w:r w:rsidRPr="003A6954">
        <w:t xml:space="preserve">a mock-up bill </w:t>
      </w:r>
      <w:r>
        <w:t xml:space="preserve">inclusive of </w:t>
      </w:r>
      <w:r w:rsidRPr="003A6954">
        <w:t xml:space="preserve">the </w:t>
      </w:r>
      <w:r>
        <w:t xml:space="preserve">proposed </w:t>
      </w:r>
      <w:r w:rsidRPr="003A6954">
        <w:t>financ</w:t>
      </w:r>
      <w:r>
        <w:t>e</w:t>
      </w:r>
      <w:r w:rsidRPr="003A6954">
        <w:t xml:space="preserve"> charge</w:t>
      </w:r>
      <w:r>
        <w:t xml:space="preserve">, and a </w:t>
      </w:r>
      <w:r w:rsidRPr="003A6954">
        <w:t xml:space="preserve">hypothetical </w:t>
      </w:r>
      <w:r>
        <w:t xml:space="preserve">example of finance calculations and payments based on a 60-month </w:t>
      </w:r>
      <w:r w:rsidRPr="003A6954">
        <w:t>amortization schedule.</w:t>
      </w:r>
      <w:r>
        <w:rPr>
          <w:rStyle w:val="FootnoteReference"/>
        </w:rPr>
        <w:footnoteReference w:id="11"/>
      </w:r>
      <w:r w:rsidRPr="003A6954">
        <w:t xml:space="preserve"> FPUC also provided </w:t>
      </w:r>
      <w:r>
        <w:t>s</w:t>
      </w:r>
      <w:r w:rsidRPr="003A6954">
        <w:t xml:space="preserve">ample accounting entries showing payment </w:t>
      </w:r>
      <w:r>
        <w:t>amount</w:t>
      </w:r>
      <w:r w:rsidRPr="003A6954">
        <w:t xml:space="preserve"> to third-party contractors, application of NGCCRC rebates, transaction fees</w:t>
      </w:r>
      <w:r>
        <w:t xml:space="preserve"> (liens and administrative fees)</w:t>
      </w:r>
      <w:r w:rsidRPr="003A6954">
        <w:t>, and recognition of financing income.</w:t>
      </w:r>
      <w:r>
        <w:rPr>
          <w:rStyle w:val="FootnoteReference"/>
        </w:rPr>
        <w:footnoteReference w:id="12"/>
      </w:r>
      <w:r w:rsidRPr="00CB402A">
        <w:t xml:space="preserve"> </w:t>
      </w:r>
    </w:p>
    <w:p w:rsidR="00475F76" w:rsidRDefault="00475F76" w:rsidP="00475F76">
      <w:pPr>
        <w:pStyle w:val="BodyText"/>
        <w:spacing w:after="0"/>
      </w:pPr>
    </w:p>
    <w:p w:rsidR="00475F76" w:rsidRDefault="00475F76" w:rsidP="00475F76">
      <w:pPr>
        <w:pStyle w:val="BodyText"/>
        <w:spacing w:after="0"/>
      </w:pPr>
      <w:r>
        <w:t xml:space="preserve">The Company projects up to 100 participants in its financing program in the first year, with approximately 80 percent of participants seeking gas-to-gas equipment efficiency upgrades and </w:t>
      </w:r>
      <w:r>
        <w:lastRenderedPageBreak/>
        <w:t>the remainder seeking electric-to-gas conversions. For reference, in 2023 FPUC recorded 212 gas-to-gas and 129 electric-to-gas tankless water heater conversions, while in 2024 it recorded 239 gas-to-gas and 77 electric-to-gas conversions. The Company states that its projection of 100 participants is informed by FCG’s experience since implementing a similar tariff provision in late 2023. For reference, FCG provided financing for 138 gas-to-gas upgrades in 2024 and 23 electric-to-gas conversions.</w:t>
      </w:r>
    </w:p>
    <w:p w:rsidR="00475F76" w:rsidRDefault="00475F76" w:rsidP="00475F76">
      <w:pPr>
        <w:pStyle w:val="BodyText"/>
        <w:spacing w:after="0"/>
      </w:pPr>
    </w:p>
    <w:p w:rsidR="001D0E71" w:rsidRDefault="00EE6037" w:rsidP="001D0E71">
      <w:pPr>
        <w:jc w:val="both"/>
      </w:pPr>
      <w:r w:rsidRPr="00EE6037">
        <w:t xml:space="preserve">During the review process, staff issued </w:t>
      </w:r>
      <w:r w:rsidR="009910FC">
        <w:t>four</w:t>
      </w:r>
      <w:r w:rsidRPr="00EE6037">
        <w:t xml:space="preserve"> data requests to FPUC</w:t>
      </w:r>
      <w:r w:rsidR="00141A5E">
        <w:t xml:space="preserve"> and </w:t>
      </w:r>
      <w:r w:rsidRPr="00EE6037">
        <w:t xml:space="preserve">held </w:t>
      </w:r>
      <w:r w:rsidR="00141A5E">
        <w:t xml:space="preserve">two </w:t>
      </w:r>
      <w:r w:rsidR="006B21DD">
        <w:t>teleconferences with the C</w:t>
      </w:r>
      <w:r w:rsidRPr="00EE6037">
        <w:t>ompany to discuss the filing and related issues.</w:t>
      </w:r>
      <w:r w:rsidR="004D4F10">
        <w:t xml:space="preserve"> </w:t>
      </w:r>
      <w:r w:rsidR="003D31A0">
        <w:t xml:space="preserve">By Order No. PSC-2025-0168-PCO-GU, issued May 27, 2025, the </w:t>
      </w:r>
      <w:r w:rsidR="005C6D35">
        <w:t>Commission</w:t>
      </w:r>
      <w:r w:rsidR="003D31A0">
        <w:t xml:space="preserve"> suspended the proposed tariff revisions.</w:t>
      </w:r>
    </w:p>
    <w:p w:rsidR="00EE6037" w:rsidRDefault="00EE6037" w:rsidP="000D2DC0">
      <w:pPr>
        <w:jc w:val="both"/>
      </w:pPr>
    </w:p>
    <w:p w:rsidR="0068481F" w:rsidRDefault="000D2DC0" w:rsidP="00634B25">
      <w:pPr>
        <w:jc w:val="both"/>
      </w:pPr>
      <w:r>
        <w:t xml:space="preserve">The Commission has jurisdiction over this matter pursuant to Section 366.04, and 366.052, Florida Statutes (F.S.). </w:t>
      </w:r>
    </w:p>
    <w:p w:rsidR="007C0528" w:rsidRDefault="007C0528" w:rsidP="0068481F"/>
    <w:bookmarkEnd w:id="12"/>
    <w:p w:rsidR="00EA2273" w:rsidRDefault="00EA2273">
      <w:pPr>
        <w:pStyle w:val="RecommendationMajorSectionHeading"/>
        <w:sectPr w:rsidR="00EA2273">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0D2DC0" w:rsidRDefault="000D2DC0">
      <w:pPr>
        <w:pStyle w:val="IssueHeading"/>
        <w:rPr>
          <w:vanish/>
          <w:specVanish/>
        </w:rPr>
      </w:pPr>
      <w:r w:rsidRPr="004C3641">
        <w:t xml:space="preserve">Issue </w:t>
      </w:r>
      <w:fldSimple w:instr=" SEQ Issue \* MERGEFORMAT ">
        <w:r w:rsidR="00282F8A">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282F8A">
        <w:rPr>
          <w:noProof/>
        </w:rPr>
        <w:instrText>1</w:instrText>
      </w:r>
      <w:r>
        <w:fldChar w:fldCharType="end"/>
      </w:r>
      <w:r>
        <w:tab/>
        <w:instrText xml:space="preserve">" \l 1 </w:instrText>
      </w:r>
      <w:r>
        <w:fldChar w:fldCharType="end"/>
      </w:r>
      <w:r>
        <w:t> </w:t>
      </w:r>
    </w:p>
    <w:p w:rsidR="000D2DC0" w:rsidRDefault="000D2DC0">
      <w:pPr>
        <w:pStyle w:val="BodyText"/>
      </w:pPr>
      <w:r>
        <w:t xml:space="preserve"> Should the Commission approve FPUC's proposed </w:t>
      </w:r>
      <w:r w:rsidRPr="00056C2C">
        <w:t>First Revised Tariff Sheet 6.153 and Original Tariff Sheet 6.154</w:t>
      </w:r>
      <w:r w:rsidR="00582B78">
        <w:t>, as revised on August 20, 2025,</w:t>
      </w:r>
      <w:r w:rsidR="00B8261F">
        <w:t xml:space="preserve"> </w:t>
      </w:r>
      <w:r w:rsidR="00B947D1">
        <w:t xml:space="preserve">that would allow customers to </w:t>
      </w:r>
      <w:r w:rsidR="00FC3F08">
        <w:t xml:space="preserve">enter into agreements with FPUC for </w:t>
      </w:r>
      <w:r w:rsidR="00B947D1">
        <w:t>term</w:t>
      </w:r>
      <w:r>
        <w:t xml:space="preserve"> financing </w:t>
      </w:r>
      <w:r w:rsidR="00FC3F08">
        <w:t xml:space="preserve">of equipment classified as </w:t>
      </w:r>
      <w:r w:rsidR="00BB4CA0" w:rsidRPr="003A6954">
        <w:t>gas conversion</w:t>
      </w:r>
      <w:r w:rsidR="00B947D1">
        <w:t xml:space="preserve"> (inclusive of appliances)</w:t>
      </w:r>
      <w:r w:rsidR="00BB4CA0" w:rsidRPr="003A6954">
        <w:t xml:space="preserve">, compression, or </w:t>
      </w:r>
      <w:r w:rsidR="00141A5E">
        <w:t>RNG</w:t>
      </w:r>
      <w:r w:rsidR="00FC3F08">
        <w:t xml:space="preserve"> equipment</w:t>
      </w:r>
      <w:r>
        <w:t>?</w:t>
      </w:r>
    </w:p>
    <w:p w:rsidR="00FC4A0A" w:rsidRPr="004C3641" w:rsidRDefault="000D2DC0" w:rsidP="00FC4A0A">
      <w:pPr>
        <w:pStyle w:val="IssueSubsectionHeading"/>
        <w:rPr>
          <w:vanish/>
          <w:specVanish/>
        </w:rPr>
      </w:pPr>
      <w:r w:rsidRPr="004C3641">
        <w:t>Recommendation</w:t>
      </w:r>
      <w:r w:rsidR="00BC408A">
        <w:t xml:space="preserve">: </w:t>
      </w:r>
      <w:r w:rsidR="00FC4A0A" w:rsidRPr="004C3641">
        <w:t> </w:t>
      </w:r>
    </w:p>
    <w:p w:rsidR="00BC2773" w:rsidRDefault="00FC4A0A" w:rsidP="00FC4A0A">
      <w:pPr>
        <w:pStyle w:val="IssueSubsectionHeading"/>
        <w:rPr>
          <w:rFonts w:ascii="Times New Roman" w:hAnsi="Times New Roman" w:cs="Times New Roman"/>
          <w:b w:val="0"/>
          <w:i w:val="0"/>
        </w:rPr>
      </w:pPr>
      <w:r>
        <w:t> </w:t>
      </w:r>
      <w:r w:rsidR="00C83F7D">
        <w:rPr>
          <w:rFonts w:ascii="Times New Roman" w:hAnsi="Times New Roman" w:cs="Times New Roman"/>
          <w:b w:val="0"/>
          <w:i w:val="0"/>
        </w:rPr>
        <w:t>T</w:t>
      </w:r>
      <w:r w:rsidR="004A25D0" w:rsidRPr="004A25D0">
        <w:rPr>
          <w:rFonts w:ascii="Times New Roman" w:hAnsi="Times New Roman" w:cs="Times New Roman"/>
          <w:b w:val="0"/>
          <w:i w:val="0"/>
        </w:rPr>
        <w:t xml:space="preserve">he Commission </w:t>
      </w:r>
      <w:r w:rsidR="00C83F7D">
        <w:rPr>
          <w:rFonts w:ascii="Times New Roman" w:hAnsi="Times New Roman" w:cs="Times New Roman"/>
          <w:b w:val="0"/>
          <w:i w:val="0"/>
        </w:rPr>
        <w:t xml:space="preserve">should </w:t>
      </w:r>
      <w:r w:rsidR="004A25D0" w:rsidRPr="004A25D0">
        <w:rPr>
          <w:rFonts w:ascii="Times New Roman" w:hAnsi="Times New Roman" w:cs="Times New Roman"/>
          <w:b w:val="0"/>
          <w:i w:val="0"/>
        </w:rPr>
        <w:t>approve</w:t>
      </w:r>
      <w:r w:rsidR="0029396E">
        <w:rPr>
          <w:rFonts w:ascii="Times New Roman" w:hAnsi="Times New Roman" w:cs="Times New Roman"/>
          <w:b w:val="0"/>
          <w:i w:val="0"/>
        </w:rPr>
        <w:t xml:space="preserve"> </w:t>
      </w:r>
      <w:r w:rsidR="004A25D0" w:rsidRPr="004A25D0">
        <w:rPr>
          <w:rFonts w:ascii="Times New Roman" w:hAnsi="Times New Roman" w:cs="Times New Roman"/>
          <w:b w:val="0"/>
          <w:i w:val="0"/>
        </w:rPr>
        <w:t>FPUC’s revised tariff sheets (First Revised Tariff Sheet 6.153 and Original Tariff Sheet 6.154</w:t>
      </w:r>
      <w:r w:rsidR="008315DA">
        <w:rPr>
          <w:rFonts w:ascii="Times New Roman" w:hAnsi="Times New Roman" w:cs="Times New Roman"/>
          <w:b w:val="0"/>
          <w:i w:val="0"/>
        </w:rPr>
        <w:t xml:space="preserve">, </w:t>
      </w:r>
      <w:r w:rsidR="00641494" w:rsidRPr="00641494">
        <w:rPr>
          <w:rFonts w:ascii="Times New Roman" w:hAnsi="Times New Roman" w:cs="Times New Roman"/>
          <w:b w:val="0"/>
          <w:i w:val="0"/>
        </w:rPr>
        <w:t>as revised on August 20, 2025,</w:t>
      </w:r>
      <w:r w:rsidR="00641494">
        <w:rPr>
          <w:rFonts w:ascii="Times New Roman" w:hAnsi="Times New Roman" w:cs="Times New Roman"/>
          <w:b w:val="0"/>
          <w:i w:val="0"/>
        </w:rPr>
        <w:t xml:space="preserve"> attached</w:t>
      </w:r>
      <w:r w:rsidR="004A25D0" w:rsidRPr="004A25D0">
        <w:rPr>
          <w:rFonts w:ascii="Times New Roman" w:hAnsi="Times New Roman" w:cs="Times New Roman"/>
          <w:b w:val="0"/>
          <w:i w:val="0"/>
        </w:rPr>
        <w:t>) regarding the provision of financing for gas conversion</w:t>
      </w:r>
      <w:r w:rsidR="00FC3F08">
        <w:rPr>
          <w:rFonts w:ascii="Times New Roman" w:hAnsi="Times New Roman" w:cs="Times New Roman"/>
          <w:b w:val="0"/>
          <w:i w:val="0"/>
        </w:rPr>
        <w:t xml:space="preserve"> (inclusive of appliances)</w:t>
      </w:r>
      <w:r w:rsidR="004A25D0" w:rsidRPr="004A25D0">
        <w:rPr>
          <w:rFonts w:ascii="Times New Roman" w:hAnsi="Times New Roman" w:cs="Times New Roman"/>
          <w:b w:val="0"/>
          <w:i w:val="0"/>
        </w:rPr>
        <w:t xml:space="preserve">, compression, or </w:t>
      </w:r>
      <w:r w:rsidR="00141A5E">
        <w:rPr>
          <w:rFonts w:ascii="Times New Roman" w:hAnsi="Times New Roman" w:cs="Times New Roman"/>
          <w:b w:val="0"/>
          <w:i w:val="0"/>
        </w:rPr>
        <w:t>RNG</w:t>
      </w:r>
      <w:r w:rsidR="004A25D0" w:rsidRPr="004A25D0">
        <w:rPr>
          <w:rFonts w:ascii="Times New Roman" w:hAnsi="Times New Roman" w:cs="Times New Roman"/>
          <w:b w:val="0"/>
          <w:i w:val="0"/>
        </w:rPr>
        <w:t xml:space="preserve"> equipment to be owned and maintained by the customer</w:t>
      </w:r>
      <w:r w:rsidR="00C83F7D">
        <w:rPr>
          <w:rFonts w:ascii="Times New Roman" w:hAnsi="Times New Roman" w:cs="Times New Roman"/>
          <w:b w:val="0"/>
          <w:i w:val="0"/>
        </w:rPr>
        <w:t>, but with th</w:t>
      </w:r>
      <w:r w:rsidR="001305A0">
        <w:rPr>
          <w:rFonts w:ascii="Times New Roman" w:hAnsi="Times New Roman" w:cs="Times New Roman"/>
          <w:b w:val="0"/>
          <w:i w:val="0"/>
        </w:rPr>
        <w:t xml:space="preserve">e following </w:t>
      </w:r>
      <w:r w:rsidR="00C83F7D">
        <w:rPr>
          <w:rFonts w:ascii="Times New Roman" w:hAnsi="Times New Roman" w:cs="Times New Roman"/>
          <w:b w:val="0"/>
          <w:i w:val="0"/>
        </w:rPr>
        <w:t xml:space="preserve">conditions designed to protect </w:t>
      </w:r>
      <w:r w:rsidR="007506A2">
        <w:rPr>
          <w:rFonts w:ascii="Times New Roman" w:hAnsi="Times New Roman" w:cs="Times New Roman"/>
          <w:b w:val="0"/>
          <w:i w:val="0"/>
        </w:rPr>
        <w:t xml:space="preserve">the general body of </w:t>
      </w:r>
      <w:r w:rsidR="00C83F7D">
        <w:rPr>
          <w:rFonts w:ascii="Times New Roman" w:hAnsi="Times New Roman" w:cs="Times New Roman"/>
          <w:b w:val="0"/>
          <w:i w:val="0"/>
        </w:rPr>
        <w:t>ratepayers</w:t>
      </w:r>
      <w:r w:rsidR="004A25D0" w:rsidRPr="004A25D0">
        <w:rPr>
          <w:rFonts w:ascii="Times New Roman" w:hAnsi="Times New Roman" w:cs="Times New Roman"/>
          <w:b w:val="0"/>
          <w:i w:val="0"/>
        </w:rPr>
        <w:t xml:space="preserve">: </w:t>
      </w:r>
    </w:p>
    <w:p w:rsidR="001305A0" w:rsidRPr="001305A0" w:rsidRDefault="001305A0" w:rsidP="001305A0">
      <w:pPr>
        <w:pStyle w:val="IssueSubsectionHeading"/>
        <w:rPr>
          <w:rFonts w:ascii="Times New Roman" w:hAnsi="Times New Roman" w:cs="Times New Roman"/>
          <w:b w:val="0"/>
          <w:i w:val="0"/>
        </w:rPr>
      </w:pPr>
      <w:r w:rsidRPr="001305A0">
        <w:rPr>
          <w:rFonts w:ascii="Times New Roman" w:hAnsi="Times New Roman" w:cs="Times New Roman"/>
          <w:b w:val="0"/>
          <w:i w:val="0"/>
        </w:rPr>
        <w:t xml:space="preserve">(1) FPUC </w:t>
      </w:r>
      <w:r w:rsidR="00C83F7D">
        <w:rPr>
          <w:rFonts w:ascii="Times New Roman" w:hAnsi="Times New Roman" w:cs="Times New Roman"/>
          <w:b w:val="0"/>
          <w:i w:val="0"/>
        </w:rPr>
        <w:t xml:space="preserve">should be required to </w:t>
      </w:r>
      <w:r w:rsidRPr="001305A0">
        <w:rPr>
          <w:rFonts w:ascii="Times New Roman" w:hAnsi="Times New Roman" w:cs="Times New Roman"/>
          <w:b w:val="0"/>
          <w:i w:val="0"/>
        </w:rPr>
        <w:t xml:space="preserve">file copies of equipment finance agreement forms, including updates, in this docket prior to implementation </w:t>
      </w:r>
      <w:r w:rsidR="00FC3F08">
        <w:rPr>
          <w:rFonts w:ascii="Times New Roman" w:hAnsi="Times New Roman" w:cs="Times New Roman"/>
          <w:b w:val="0"/>
          <w:i w:val="0"/>
        </w:rPr>
        <w:t xml:space="preserve">of financing </w:t>
      </w:r>
      <w:r w:rsidRPr="001305A0">
        <w:rPr>
          <w:rFonts w:ascii="Times New Roman" w:hAnsi="Times New Roman" w:cs="Times New Roman"/>
          <w:b w:val="0"/>
          <w:i w:val="0"/>
        </w:rPr>
        <w:t>for each category of equipment</w:t>
      </w:r>
      <w:r w:rsidR="0029396E">
        <w:rPr>
          <w:rFonts w:ascii="Times New Roman" w:hAnsi="Times New Roman" w:cs="Times New Roman"/>
          <w:b w:val="0"/>
          <w:i w:val="0"/>
        </w:rPr>
        <w:t>, until the rate schedules and tariffs</w:t>
      </w:r>
      <w:r w:rsidR="0029396E" w:rsidRPr="001305A0">
        <w:rPr>
          <w:rFonts w:ascii="Times New Roman" w:hAnsi="Times New Roman" w:cs="Times New Roman"/>
          <w:b w:val="0"/>
          <w:i w:val="0"/>
        </w:rPr>
        <w:t xml:space="preserve"> across </w:t>
      </w:r>
      <w:r w:rsidR="0029396E">
        <w:rPr>
          <w:rFonts w:ascii="Times New Roman" w:hAnsi="Times New Roman" w:cs="Times New Roman"/>
          <w:b w:val="0"/>
          <w:i w:val="0"/>
        </w:rPr>
        <w:t xml:space="preserve">all </w:t>
      </w:r>
      <w:r w:rsidR="0029396E" w:rsidRPr="001305A0">
        <w:rPr>
          <w:rFonts w:ascii="Times New Roman" w:hAnsi="Times New Roman" w:cs="Times New Roman"/>
          <w:b w:val="0"/>
          <w:i w:val="0"/>
        </w:rPr>
        <w:t>Chesapeake-affiliated gas utilities</w:t>
      </w:r>
      <w:r w:rsidR="0029396E">
        <w:rPr>
          <w:rFonts w:ascii="Times New Roman" w:hAnsi="Times New Roman" w:cs="Times New Roman"/>
          <w:b w:val="0"/>
          <w:i w:val="0"/>
        </w:rPr>
        <w:t xml:space="preserve"> operating in Florida are consolidated</w:t>
      </w:r>
      <w:r w:rsidR="003D31A0">
        <w:rPr>
          <w:rFonts w:ascii="Times New Roman" w:hAnsi="Times New Roman" w:cs="Times New Roman"/>
          <w:b w:val="0"/>
          <w:i w:val="0"/>
        </w:rPr>
        <w:t xml:space="preserve"> </w:t>
      </w:r>
      <w:r w:rsidR="003D31A0" w:rsidRPr="003D31A0">
        <w:rPr>
          <w:rFonts w:ascii="Times New Roman" w:hAnsi="Times New Roman" w:cs="Times New Roman"/>
          <w:b w:val="0"/>
          <w:i w:val="0"/>
        </w:rPr>
        <w:t>in a future rate proceeding</w:t>
      </w:r>
      <w:r w:rsidRPr="001305A0">
        <w:rPr>
          <w:rFonts w:ascii="Times New Roman" w:hAnsi="Times New Roman" w:cs="Times New Roman"/>
          <w:b w:val="0"/>
          <w:i w:val="0"/>
        </w:rPr>
        <w:t xml:space="preserve">; </w:t>
      </w:r>
      <w:r w:rsidR="00E0559D">
        <w:rPr>
          <w:rFonts w:ascii="Times New Roman" w:hAnsi="Times New Roman" w:cs="Times New Roman"/>
          <w:b w:val="0"/>
          <w:i w:val="0"/>
        </w:rPr>
        <w:t>and</w:t>
      </w:r>
    </w:p>
    <w:p w:rsidR="000D2DC0" w:rsidRPr="00582B78" w:rsidRDefault="001305A0" w:rsidP="001305A0">
      <w:pPr>
        <w:pStyle w:val="IssueSubsectionHeading"/>
        <w:rPr>
          <w:rFonts w:ascii="Times New Roman" w:hAnsi="Times New Roman" w:cs="Times New Roman"/>
          <w:b w:val="0"/>
          <w:i w:val="0"/>
        </w:rPr>
      </w:pPr>
      <w:r w:rsidRPr="001305A0">
        <w:rPr>
          <w:rFonts w:ascii="Times New Roman" w:hAnsi="Times New Roman" w:cs="Times New Roman"/>
          <w:b w:val="0"/>
          <w:i w:val="0"/>
        </w:rPr>
        <w:t xml:space="preserve">(2) FPUC </w:t>
      </w:r>
      <w:r w:rsidR="00C83F7D">
        <w:rPr>
          <w:rFonts w:ascii="Times New Roman" w:hAnsi="Times New Roman" w:cs="Times New Roman"/>
          <w:b w:val="0"/>
          <w:i w:val="0"/>
        </w:rPr>
        <w:t xml:space="preserve">should be required to </w:t>
      </w:r>
      <w:r w:rsidRPr="001305A0">
        <w:rPr>
          <w:rFonts w:ascii="Times New Roman" w:hAnsi="Times New Roman" w:cs="Times New Roman"/>
          <w:b w:val="0"/>
          <w:i w:val="0"/>
        </w:rPr>
        <w:t xml:space="preserve">file annual reports </w:t>
      </w:r>
      <w:r w:rsidR="003D31A0" w:rsidRPr="003D31A0">
        <w:rPr>
          <w:rFonts w:ascii="Times New Roman" w:hAnsi="Times New Roman" w:cs="Times New Roman"/>
          <w:b w:val="0"/>
          <w:i w:val="0"/>
        </w:rPr>
        <w:t>in this docket</w:t>
      </w:r>
      <w:r w:rsidR="00525505">
        <w:rPr>
          <w:rFonts w:ascii="Times New Roman" w:hAnsi="Times New Roman" w:cs="Times New Roman"/>
          <w:b w:val="0"/>
          <w:i w:val="0"/>
        </w:rPr>
        <w:t>,</w:t>
      </w:r>
      <w:r w:rsidR="003D31A0">
        <w:rPr>
          <w:rFonts w:ascii="Times New Roman" w:hAnsi="Times New Roman" w:cs="Times New Roman"/>
          <w:b w:val="0"/>
          <w:i w:val="0"/>
        </w:rPr>
        <w:t xml:space="preserve"> </w:t>
      </w:r>
      <w:r w:rsidRPr="001305A0">
        <w:rPr>
          <w:rFonts w:ascii="Times New Roman" w:hAnsi="Times New Roman" w:cs="Times New Roman"/>
          <w:b w:val="0"/>
          <w:i w:val="0"/>
        </w:rPr>
        <w:t>by March 1 of 2026 and 2027</w:t>
      </w:r>
      <w:r w:rsidR="00D800AD">
        <w:rPr>
          <w:rFonts w:ascii="Times New Roman" w:hAnsi="Times New Roman" w:cs="Times New Roman"/>
          <w:b w:val="0"/>
          <w:i w:val="0"/>
        </w:rPr>
        <w:t xml:space="preserve"> for the prior year’s financing activities</w:t>
      </w:r>
      <w:r w:rsidR="00525505">
        <w:rPr>
          <w:rFonts w:ascii="Times New Roman" w:hAnsi="Times New Roman" w:cs="Times New Roman"/>
          <w:b w:val="0"/>
          <w:i w:val="0"/>
        </w:rPr>
        <w:t>,</w:t>
      </w:r>
      <w:r w:rsidRPr="001305A0">
        <w:rPr>
          <w:rFonts w:ascii="Times New Roman" w:hAnsi="Times New Roman" w:cs="Times New Roman"/>
          <w:b w:val="0"/>
          <w:i w:val="0"/>
        </w:rPr>
        <w:t xml:space="preserve"> providing: (a) participation </w:t>
      </w:r>
      <w:r w:rsidR="000A3A01">
        <w:rPr>
          <w:rFonts w:ascii="Times New Roman" w:hAnsi="Times New Roman" w:cs="Times New Roman"/>
          <w:b w:val="0"/>
          <w:i w:val="0"/>
        </w:rPr>
        <w:t xml:space="preserve">metrics </w:t>
      </w:r>
      <w:r w:rsidRPr="001305A0">
        <w:rPr>
          <w:rFonts w:ascii="Times New Roman" w:hAnsi="Times New Roman" w:cs="Times New Roman"/>
          <w:b w:val="0"/>
          <w:i w:val="0"/>
        </w:rPr>
        <w:t xml:space="preserve">by category; (b) financial performance (all program revenues and costs, including equipment installation costs, cost-of-capital amounts, bad-debt costs, </w:t>
      </w:r>
      <w:r w:rsidR="0029396E">
        <w:rPr>
          <w:rFonts w:ascii="Times New Roman" w:hAnsi="Times New Roman" w:cs="Times New Roman"/>
          <w:b w:val="0"/>
          <w:i w:val="0"/>
        </w:rPr>
        <w:t>transaction</w:t>
      </w:r>
      <w:r w:rsidR="00C83F7D">
        <w:rPr>
          <w:rFonts w:ascii="Times New Roman" w:hAnsi="Times New Roman" w:cs="Times New Roman"/>
          <w:b w:val="0"/>
          <w:i w:val="0"/>
        </w:rPr>
        <w:t xml:space="preserve"> costs, </w:t>
      </w:r>
      <w:r w:rsidRPr="001305A0">
        <w:rPr>
          <w:rFonts w:ascii="Times New Roman" w:hAnsi="Times New Roman" w:cs="Times New Roman"/>
          <w:b w:val="0"/>
          <w:i w:val="0"/>
        </w:rPr>
        <w:t xml:space="preserve"> and other cost categories); (c) defaults and lien activity; (d) rebate utilization; and (e) vendor information. The report sh</w:t>
      </w:r>
      <w:r w:rsidR="0044568C">
        <w:rPr>
          <w:rFonts w:ascii="Times New Roman" w:hAnsi="Times New Roman" w:cs="Times New Roman"/>
          <w:b w:val="0"/>
          <w:i w:val="0"/>
        </w:rPr>
        <w:t>ould</w:t>
      </w:r>
      <w:r w:rsidRPr="001305A0">
        <w:rPr>
          <w:rFonts w:ascii="Times New Roman" w:hAnsi="Times New Roman" w:cs="Times New Roman"/>
          <w:b w:val="0"/>
          <w:i w:val="0"/>
        </w:rPr>
        <w:t xml:space="preserve"> be organized by equipment type, with separate subsections if the program expands beyond water heaters</w:t>
      </w:r>
      <w:r w:rsidR="00582B78">
        <w:rPr>
          <w:rFonts w:ascii="Times New Roman" w:hAnsi="Times New Roman" w:cs="Times New Roman"/>
          <w:b w:val="0"/>
          <w:i w:val="0"/>
        </w:rPr>
        <w:t>.</w:t>
      </w:r>
      <w:r w:rsidR="006D2D3D">
        <w:rPr>
          <w:rFonts w:ascii="Times New Roman" w:hAnsi="Times New Roman" w:cs="Times New Roman"/>
          <w:b w:val="0"/>
          <w:i w:val="0"/>
        </w:rPr>
        <w:t xml:space="preserve"> (Pope, Barrett, Gatlin, Thompson)</w:t>
      </w:r>
    </w:p>
    <w:p w:rsidR="000D2DC0" w:rsidRPr="004C3641" w:rsidRDefault="000D2DC0" w:rsidP="00257771">
      <w:pPr>
        <w:pStyle w:val="IssueSubsectionHeading"/>
        <w:spacing w:after="0"/>
        <w:rPr>
          <w:vanish/>
          <w:specVanish/>
        </w:rPr>
      </w:pPr>
      <w:r w:rsidRPr="004C3641">
        <w:t>Staff Analysis: </w:t>
      </w:r>
    </w:p>
    <w:p w:rsidR="009B58C2" w:rsidRDefault="000D2DC0" w:rsidP="00257771">
      <w:pPr>
        <w:pStyle w:val="BodyText"/>
        <w:spacing w:after="0"/>
      </w:pPr>
      <w:r>
        <w:t> </w:t>
      </w:r>
    </w:p>
    <w:p w:rsidR="000F3FB8" w:rsidRDefault="000F3FB8" w:rsidP="000D2DC0">
      <w:pPr>
        <w:pStyle w:val="BodyText"/>
        <w:spacing w:after="0"/>
      </w:pPr>
    </w:p>
    <w:p w:rsidR="0090597E" w:rsidRDefault="00141A5E" w:rsidP="00EA1DFC">
      <w:pPr>
        <w:pStyle w:val="BodyText"/>
        <w:spacing w:after="0"/>
        <w:rPr>
          <w:rFonts w:ascii="Arial" w:hAnsi="Arial" w:cs="Arial"/>
          <w:b/>
        </w:rPr>
      </w:pPr>
      <w:r>
        <w:rPr>
          <w:rFonts w:ascii="Arial" w:hAnsi="Arial" w:cs="Arial"/>
          <w:b/>
        </w:rPr>
        <w:t>Key Considerations</w:t>
      </w:r>
    </w:p>
    <w:p w:rsidR="00141A5E" w:rsidRPr="00EA1DFC" w:rsidRDefault="00141A5E" w:rsidP="00EA1DFC">
      <w:pPr>
        <w:pStyle w:val="BodyText"/>
        <w:spacing w:after="0"/>
        <w:rPr>
          <w:rFonts w:ascii="Arial" w:hAnsi="Arial" w:cs="Arial"/>
          <w:b/>
        </w:rPr>
      </w:pPr>
    </w:p>
    <w:p w:rsidR="003A452B" w:rsidRPr="00141A5E" w:rsidRDefault="00EA1DFC" w:rsidP="00141A5E">
      <w:pPr>
        <w:pStyle w:val="BodyText"/>
        <w:spacing w:after="0"/>
        <w:ind w:firstLine="720"/>
        <w:rPr>
          <w:rFonts w:ascii="Arial" w:hAnsi="Arial" w:cs="Arial"/>
          <w:b/>
          <w:i/>
        </w:rPr>
      </w:pPr>
      <w:r>
        <w:rPr>
          <w:rFonts w:ascii="Arial" w:hAnsi="Arial" w:cs="Arial"/>
          <w:b/>
          <w:i/>
        </w:rPr>
        <w:t>Statutory Considerations and Precedence of Utility Equipment Financing</w:t>
      </w:r>
    </w:p>
    <w:p w:rsidR="00D92C44" w:rsidRDefault="003B7193" w:rsidP="00D92C44">
      <w:pPr>
        <w:pStyle w:val="BodyText"/>
        <w:spacing w:after="0"/>
      </w:pPr>
      <w:r>
        <w:t>The Commission has jurisdiction over this matter under Section 366.04, F.S., which provides the Commission authority to regulate natural gas utilities.  Section 366.05(2), F.S., further requires that any utility that “sells appliances or other me</w:t>
      </w:r>
      <w:r w:rsidR="005C6D35">
        <w:t>rchandi</w:t>
      </w:r>
      <w:r>
        <w:t xml:space="preserve">se shall keep separate and individual accounts for the sale and profit from such sales.” </w:t>
      </w:r>
      <w:r w:rsidR="00475F76">
        <w:t xml:space="preserve">A sale is defined by Section 672.106(1), F.S., as “the passing of title from the seller to a buyer for a price.” </w:t>
      </w:r>
      <w:r w:rsidR="003C0861">
        <w:t xml:space="preserve">FPUC asserts that, because the company would never have custody of or title to the equipment, it would not qualify as a sale. Rather, </w:t>
      </w:r>
      <w:r>
        <w:t xml:space="preserve">FPUC states that the proposed tariff in this docket would allow for </w:t>
      </w:r>
      <w:r w:rsidR="005C6D35">
        <w:t>financing</w:t>
      </w:r>
      <w:r>
        <w:t xml:space="preserve"> of the customer’s purchase of an appliance from a third-party vendor</w:t>
      </w:r>
      <w:r w:rsidR="003C0861">
        <w:t xml:space="preserve"> as opposed to </w:t>
      </w:r>
      <w:r w:rsidR="006E2EB2">
        <w:t xml:space="preserve">the utility making </w:t>
      </w:r>
      <w:r w:rsidR="003C0861">
        <w:t>a</w:t>
      </w:r>
      <w:r>
        <w:t xml:space="preserve"> sale to the customer, which exempts </w:t>
      </w:r>
      <w:r w:rsidR="006E2EB2">
        <w:t>FPUC’s proposal</w:t>
      </w:r>
      <w:r>
        <w:t xml:space="preserve"> from the purview of Statute 366.05(2), F.S.</w:t>
      </w:r>
    </w:p>
    <w:p w:rsidR="003B7193" w:rsidRDefault="003B7193" w:rsidP="00D92C44">
      <w:pPr>
        <w:pStyle w:val="BodyText"/>
        <w:spacing w:after="0"/>
      </w:pPr>
    </w:p>
    <w:p w:rsidR="003B7193" w:rsidRDefault="003B7193" w:rsidP="00D92C44">
      <w:pPr>
        <w:pStyle w:val="BodyText"/>
        <w:spacing w:after="0"/>
      </w:pPr>
      <w:r>
        <w:t xml:space="preserve">The </w:t>
      </w:r>
      <w:r w:rsidR="005C6D35">
        <w:t>Commission</w:t>
      </w:r>
      <w:r>
        <w:t xml:space="preserve"> has previously approved limited forms of equipment financing by regulated utilities. Examples include Peoples Gas Sys</w:t>
      </w:r>
      <w:r w:rsidR="00EE7F40">
        <w:t>tem, Inc.’s natural gas vehicle</w:t>
      </w:r>
      <w:r>
        <w:t xml:space="preserve"> compressor financing program for fleet operators,</w:t>
      </w:r>
      <w:r>
        <w:rPr>
          <w:rStyle w:val="FootnoteReference"/>
        </w:rPr>
        <w:footnoteReference w:id="13"/>
      </w:r>
      <w:r w:rsidRPr="003B7193">
        <w:t xml:space="preserve"> </w:t>
      </w:r>
      <w:r>
        <w:t>Florida Power &amp; Light Company’s (FPL) Supplemental Power Services Tariff for backup generators,</w:t>
      </w:r>
      <w:r>
        <w:rPr>
          <w:rStyle w:val="FootnoteReference"/>
        </w:rPr>
        <w:footnoteReference w:id="14"/>
      </w:r>
      <w:r w:rsidRPr="003B7193">
        <w:t xml:space="preserve"> </w:t>
      </w:r>
      <w:r>
        <w:t>and the HVAC On-Bill Option</w:t>
      </w:r>
      <w:r>
        <w:rPr>
          <w:rStyle w:val="FootnoteReference"/>
        </w:rPr>
        <w:footnoteReference w:id="15"/>
      </w:r>
      <w:r w:rsidRPr="003B7193">
        <w:t xml:space="preserve"> </w:t>
      </w:r>
      <w:r>
        <w:t>approved for FPL customers. FCG has maintained an equipment financing tariff similar to the proposed tariff in this docket since the late 1990s and amended it as recently as 2020.</w:t>
      </w:r>
      <w:r>
        <w:rPr>
          <w:rStyle w:val="FootnoteReference"/>
        </w:rPr>
        <w:footnoteReference w:id="16"/>
      </w:r>
      <w:r w:rsidR="00C070E7">
        <w:t xml:space="preserve"> Staff believes the existence of these precedents provides a regulatory basis</w:t>
      </w:r>
      <w:r w:rsidR="00485661">
        <w:t xml:space="preserve"> for considering FPUC’s request, and recommends approval of FPUC’s proposal as consistent with prior Commission decisions.</w:t>
      </w:r>
    </w:p>
    <w:p w:rsidR="00C070E7" w:rsidRDefault="00C070E7" w:rsidP="00D92C44">
      <w:pPr>
        <w:pStyle w:val="BodyText"/>
        <w:spacing w:after="0"/>
      </w:pPr>
    </w:p>
    <w:p w:rsidR="00EF0400" w:rsidRPr="0090597E" w:rsidRDefault="00AB6EBE" w:rsidP="00EF0400">
      <w:pPr>
        <w:pStyle w:val="BodyText"/>
        <w:spacing w:after="0"/>
        <w:ind w:firstLine="720"/>
        <w:rPr>
          <w:rFonts w:ascii="Arial" w:hAnsi="Arial" w:cs="Arial"/>
          <w:b/>
          <w:i/>
        </w:rPr>
      </w:pPr>
      <w:r>
        <w:rPr>
          <w:rFonts w:ascii="Arial" w:hAnsi="Arial" w:cs="Arial"/>
          <w:b/>
          <w:i/>
        </w:rPr>
        <w:t xml:space="preserve">Compression and RNG </w:t>
      </w:r>
      <w:r w:rsidR="00AB62D5">
        <w:rPr>
          <w:rFonts w:ascii="Arial" w:hAnsi="Arial" w:cs="Arial"/>
          <w:b/>
          <w:i/>
        </w:rPr>
        <w:t xml:space="preserve">Equipment Financing </w:t>
      </w:r>
    </w:p>
    <w:p w:rsidR="00675D5F" w:rsidRDefault="00EF0400" w:rsidP="00202209">
      <w:pPr>
        <w:pStyle w:val="BodyText"/>
        <w:spacing w:after="0"/>
      </w:pPr>
      <w:r w:rsidRPr="00C53160">
        <w:t>Although</w:t>
      </w:r>
      <w:r w:rsidR="00202209">
        <w:t xml:space="preserve"> the proposed tariff seek</w:t>
      </w:r>
      <w:r w:rsidR="004A491B">
        <w:t>s</w:t>
      </w:r>
      <w:r w:rsidR="00202209">
        <w:t xml:space="preserve"> </w:t>
      </w:r>
      <w:r w:rsidR="00202209" w:rsidRPr="003A6954">
        <w:t xml:space="preserve">approval </w:t>
      </w:r>
      <w:r w:rsidR="00202209">
        <w:t xml:space="preserve">to offer </w:t>
      </w:r>
      <w:r w:rsidR="00202209" w:rsidRPr="003A6954">
        <w:t>financing for</w:t>
      </w:r>
      <w:r w:rsidR="00202209">
        <w:t xml:space="preserve"> </w:t>
      </w:r>
      <w:r w:rsidR="00202209" w:rsidRPr="003A6954">
        <w:t>gas c</w:t>
      </w:r>
      <w:r w:rsidR="00202209">
        <w:t xml:space="preserve">onversion, compression, or RNG equipment, </w:t>
      </w:r>
      <w:r w:rsidR="007506A2">
        <w:t>FPUC</w:t>
      </w:r>
      <w:r w:rsidR="004A491B">
        <w:t xml:space="preserve"> plans to focus its implementation of this tariff to facilitate financing of water heaters.</w:t>
      </w:r>
      <w:r w:rsidR="003F7A34">
        <w:rPr>
          <w:rStyle w:val="FootnoteReference"/>
        </w:rPr>
        <w:footnoteReference w:id="17"/>
      </w:r>
      <w:r w:rsidR="004A491B">
        <w:t xml:space="preserve"> The </w:t>
      </w:r>
      <w:r w:rsidR="007506A2">
        <w:t>Company</w:t>
      </w:r>
      <w:r w:rsidR="004A491B">
        <w:t xml:space="preserve"> states that a wide variety of equipment could fall under the </w:t>
      </w:r>
      <w:r w:rsidR="00202209">
        <w:t>compression and RNG equipment categories</w:t>
      </w:r>
      <w:r w:rsidR="004A491B">
        <w:t xml:space="preserve">, </w:t>
      </w:r>
      <w:r w:rsidR="003F7A34">
        <w:t xml:space="preserve">but </w:t>
      </w:r>
      <w:r w:rsidR="007506A2">
        <w:t>it currently lacks the</w:t>
      </w:r>
      <w:r w:rsidR="003F7A34">
        <w:t xml:space="preserve"> detailed information </w:t>
      </w:r>
      <w:r w:rsidR="00A768E5">
        <w:t xml:space="preserve">about financing terms, options, or offerings for </w:t>
      </w:r>
      <w:r w:rsidR="003F7A34">
        <w:t>these categories</w:t>
      </w:r>
      <w:r w:rsidR="007506A2">
        <w:t>.  FPUC</w:t>
      </w:r>
      <w:r w:rsidR="00A768E5">
        <w:t xml:space="preserve"> characterize</w:t>
      </w:r>
      <w:r w:rsidR="007506A2">
        <w:t>s</w:t>
      </w:r>
      <w:r w:rsidR="00A768E5">
        <w:t xml:space="preserve"> these categories as a possible “future expansion” for which it would develop such details at a later time, after it had reviewed equipment and installation costs, and develop</w:t>
      </w:r>
      <w:r w:rsidR="00BF421D">
        <w:t>ed</w:t>
      </w:r>
      <w:r w:rsidR="00A768E5">
        <w:t xml:space="preserve"> financing terms accordingly.</w:t>
      </w:r>
      <w:r w:rsidR="00A768E5">
        <w:rPr>
          <w:rStyle w:val="FootnoteReference"/>
        </w:rPr>
        <w:footnoteReference w:id="18"/>
      </w:r>
      <w:r w:rsidR="003F7A34">
        <w:t xml:space="preserve"> </w:t>
      </w:r>
      <w:r w:rsidR="00A768E5">
        <w:t xml:space="preserve">FPUC has indicated that the financing terms for compression and RNG equipment will differ somewhat compared to conversion equipment, and </w:t>
      </w:r>
      <w:r w:rsidR="003F7A34">
        <w:t>acknowledge</w:t>
      </w:r>
      <w:r w:rsidR="00A768E5">
        <w:t>d</w:t>
      </w:r>
      <w:r w:rsidR="003F7A34">
        <w:t xml:space="preserve"> that </w:t>
      </w:r>
      <w:r w:rsidR="004A491B">
        <w:t xml:space="preserve">a case-by-case </w:t>
      </w:r>
      <w:r w:rsidR="003F7A34">
        <w:t>review would be necessary before it would enter into an agreement for compression or RNG equipment financing.</w:t>
      </w:r>
      <w:r w:rsidR="00A768E5">
        <w:rPr>
          <w:rStyle w:val="FootnoteReference"/>
        </w:rPr>
        <w:footnoteReference w:id="19"/>
      </w:r>
      <w:r w:rsidR="003F7A34">
        <w:t xml:space="preserve"> </w:t>
      </w:r>
    </w:p>
    <w:p w:rsidR="00675D5F" w:rsidRDefault="00675D5F" w:rsidP="00202209">
      <w:pPr>
        <w:pStyle w:val="BodyText"/>
        <w:spacing w:after="0"/>
      </w:pPr>
    </w:p>
    <w:p w:rsidR="00EF0400" w:rsidRDefault="00675D5F" w:rsidP="00EF0400">
      <w:pPr>
        <w:pStyle w:val="BodyText"/>
        <w:spacing w:after="0"/>
      </w:pPr>
      <w:r>
        <w:t xml:space="preserve">The Company’s </w:t>
      </w:r>
      <w:r w:rsidR="0044568C">
        <w:t>immediate focus</w:t>
      </w:r>
      <w:r>
        <w:t xml:space="preserve"> for the tariff is centered on tankless water heaters for residential customers under the conversion category of the tariff. </w:t>
      </w:r>
      <w:r w:rsidR="00484746">
        <w:t>FPUC provided estimates of participation for tankless water heaters, but no category-specific data or analysis for the compression and RNG equipment categories.</w:t>
      </w:r>
      <w:r w:rsidR="00A768E5">
        <w:rPr>
          <w:rStyle w:val="FootnoteReference"/>
        </w:rPr>
        <w:footnoteReference w:id="20"/>
      </w:r>
      <w:r w:rsidR="00484746">
        <w:t xml:space="preserve"> </w:t>
      </w:r>
    </w:p>
    <w:p w:rsidR="00EF0400" w:rsidRDefault="00EF0400" w:rsidP="00EF0400">
      <w:pPr>
        <w:pStyle w:val="BodyText"/>
        <w:spacing w:after="0"/>
        <w:ind w:firstLine="720"/>
        <w:rPr>
          <w:rFonts w:ascii="Arial" w:hAnsi="Arial" w:cs="Arial"/>
          <w:b/>
          <w:i/>
        </w:rPr>
      </w:pPr>
    </w:p>
    <w:p w:rsidR="00484746" w:rsidRPr="0090597E" w:rsidRDefault="00A14BC5" w:rsidP="00A14BC5">
      <w:pPr>
        <w:pStyle w:val="BodyText"/>
        <w:spacing w:after="0"/>
        <w:ind w:firstLine="720"/>
        <w:rPr>
          <w:rFonts w:ascii="Arial" w:hAnsi="Arial" w:cs="Arial"/>
          <w:b/>
          <w:i/>
        </w:rPr>
      </w:pPr>
      <w:r>
        <w:rPr>
          <w:rFonts w:ascii="Arial" w:hAnsi="Arial" w:cs="Arial"/>
          <w:b/>
          <w:i/>
        </w:rPr>
        <w:t>Non-participant S</w:t>
      </w:r>
      <w:r w:rsidR="00484746">
        <w:rPr>
          <w:rFonts w:ascii="Arial" w:hAnsi="Arial" w:cs="Arial"/>
          <w:b/>
          <w:i/>
        </w:rPr>
        <w:t>afeguards</w:t>
      </w:r>
    </w:p>
    <w:p w:rsidR="00141A5E" w:rsidRDefault="00C070E7" w:rsidP="00484746">
      <w:pPr>
        <w:pStyle w:val="IssueSubsectionHeading"/>
        <w:rPr>
          <w:rFonts w:ascii="Times New Roman" w:hAnsi="Times New Roman" w:cs="Times New Roman"/>
          <w:b w:val="0"/>
          <w:i w:val="0"/>
        </w:rPr>
      </w:pPr>
      <w:r w:rsidRPr="00C070E7">
        <w:rPr>
          <w:rFonts w:ascii="Times New Roman" w:hAnsi="Times New Roman" w:cs="Times New Roman"/>
          <w:b w:val="0"/>
          <w:i w:val="0"/>
        </w:rPr>
        <w:t>In its program design, FPUC built in safeguards to limit imposing an undue risk to its general body of ratepayers. First, the utility set forth that only customers in good standing would be  eligible to participate in the equipment loan program.</w:t>
      </w:r>
      <w:r w:rsidRPr="00C070E7">
        <w:rPr>
          <w:rFonts w:ascii="Times New Roman" w:hAnsi="Times New Roman" w:cs="Times New Roman"/>
          <w:b w:val="0"/>
          <w:i w:val="0"/>
          <w:vertAlign w:val="superscript"/>
        </w:rPr>
        <w:footnoteReference w:id="21"/>
      </w:r>
      <w:r w:rsidRPr="00C070E7">
        <w:rPr>
          <w:rFonts w:ascii="Times New Roman" w:hAnsi="Times New Roman" w:cs="Times New Roman"/>
          <w:b w:val="0"/>
          <w:i w:val="0"/>
        </w:rPr>
        <w:t xml:space="preserve"> Second, the utility stated it will establish a UCC-1 lien on the property to secure the financed amount. Third, the financial agreement includes a cost component for bad-debt reserve that will be funded based on the Company’s historical uncollectible rate, with recoveries credited back if amounts are later collected under the lien. Likewise, the utility plans to include in its program fee its transactions costs to cover administration and lien placement. Staff believes these utility safeguards reduce the risk that the program would result in a shift of finance program costs to non-participants.</w:t>
      </w:r>
    </w:p>
    <w:p w:rsidR="004B025F" w:rsidRPr="00200BE7" w:rsidRDefault="00141A5E" w:rsidP="00200BE7">
      <w:pPr>
        <w:pStyle w:val="IssueSubsectionHeading"/>
        <w:rPr>
          <w:rFonts w:ascii="Times New Roman" w:hAnsi="Times New Roman" w:cs="Times New Roman"/>
          <w:b w:val="0"/>
          <w:i w:val="0"/>
        </w:rPr>
      </w:pPr>
      <w:r w:rsidRPr="00141A5E">
        <w:rPr>
          <w:rFonts w:ascii="Times New Roman" w:hAnsi="Times New Roman" w:cs="Times New Roman"/>
          <w:b w:val="0"/>
          <w:i w:val="0"/>
        </w:rPr>
        <w:t xml:space="preserve">Section 366.05(2), F.S., which requires separate accounting for sale of appliances or merchandise, also prohibits the Commission from taking any profit or loss related to those sales into account. Although FPUC maintains that this tariff does not allow for sale of equipment as contemplated by Section 366.05(2), F.S., </w:t>
      </w:r>
      <w:r w:rsidR="00DD43CC">
        <w:rPr>
          <w:rFonts w:ascii="Times New Roman" w:hAnsi="Times New Roman" w:cs="Times New Roman"/>
          <w:b w:val="0"/>
          <w:i w:val="0"/>
        </w:rPr>
        <w:t>FPUC has agreed that it can establish separate subac</w:t>
      </w:r>
      <w:r>
        <w:rPr>
          <w:rFonts w:ascii="Times New Roman" w:hAnsi="Times New Roman" w:cs="Times New Roman"/>
          <w:b w:val="0"/>
          <w:i w:val="0"/>
        </w:rPr>
        <w:t>c</w:t>
      </w:r>
      <w:r w:rsidR="00DD43CC">
        <w:rPr>
          <w:rFonts w:ascii="Times New Roman" w:hAnsi="Times New Roman" w:cs="Times New Roman"/>
          <w:b w:val="0"/>
          <w:i w:val="0"/>
        </w:rPr>
        <w:t>ounts for the finance activities that will allow the Commission to review the finance program in future rate case proceedings.</w:t>
      </w:r>
      <w:r w:rsidR="004B025F">
        <w:rPr>
          <w:rStyle w:val="FootnoteReference"/>
          <w:rFonts w:ascii="Times New Roman" w:hAnsi="Times New Roman" w:cs="Times New Roman"/>
          <w:b w:val="0"/>
          <w:i w:val="0"/>
        </w:rPr>
        <w:footnoteReference w:id="22"/>
      </w:r>
      <w:r w:rsidR="00DD43CC">
        <w:rPr>
          <w:rFonts w:ascii="Times New Roman" w:hAnsi="Times New Roman" w:cs="Times New Roman"/>
          <w:b w:val="0"/>
          <w:i w:val="0"/>
        </w:rPr>
        <w:t xml:space="preserve"> </w:t>
      </w:r>
    </w:p>
    <w:p w:rsidR="00C070E7" w:rsidRPr="00C070E7" w:rsidRDefault="00C070E7" w:rsidP="00C070E7">
      <w:pPr>
        <w:spacing w:after="240"/>
        <w:jc w:val="both"/>
      </w:pPr>
      <w:r w:rsidRPr="00C070E7">
        <w:t>According to FPUC, all financing-related revenues and expenses would be treated “above the line.”</w:t>
      </w:r>
      <w:r w:rsidRPr="00C070E7">
        <w:rPr>
          <w:vertAlign w:val="superscript"/>
        </w:rPr>
        <w:footnoteReference w:id="23"/>
      </w:r>
      <w:r w:rsidRPr="00C070E7">
        <w:t xml:space="preserve"> The Company represents that its role is limited to providing financing at the Company’s overall cost of capital. The appliance and installation costs would not be recorded to “plant in service” because the utility would not hold title to any asset. However, accounts receivable and a provision for bad debt would be included in working capital, thus included in rate base at the time of the next rate proceeding.</w:t>
      </w:r>
      <w:r w:rsidRPr="00C070E7">
        <w:rPr>
          <w:vertAlign w:val="superscript"/>
        </w:rPr>
        <w:footnoteReference w:id="24"/>
      </w:r>
      <w:r w:rsidRPr="00C070E7">
        <w:t xml:space="preserve"> </w:t>
      </w:r>
    </w:p>
    <w:p w:rsidR="00C070E7" w:rsidRDefault="00C070E7" w:rsidP="0075318C">
      <w:pPr>
        <w:jc w:val="both"/>
        <w:outlineLvl w:val="1"/>
      </w:pPr>
      <w:r w:rsidRPr="00C070E7">
        <w:t xml:space="preserve">Staff </w:t>
      </w:r>
      <w:r w:rsidRPr="00C070E7">
        <w:rPr>
          <w:bCs/>
          <w:iCs/>
          <w:szCs w:val="28"/>
        </w:rPr>
        <w:t>notes</w:t>
      </w:r>
      <w:r w:rsidRPr="00C070E7">
        <w:t xml:space="preserve"> that the equipment financing program as proposed involves uneven flows of revenues and expenses over time. FPUC must pay the plumbing vendors the full price of equipment installations at the time of installation, and the Company would receive funds from program participants based on cost amortization over a period of years. Thus, intergenerational inequities at some level can be expected, but if rates charged for financing are set to recover all related costs, the program would be fully cost compensatory over time.</w:t>
      </w:r>
    </w:p>
    <w:p w:rsidR="0075318C" w:rsidRPr="00C070E7" w:rsidRDefault="0075318C" w:rsidP="0075318C">
      <w:pPr>
        <w:jc w:val="both"/>
        <w:outlineLvl w:val="1"/>
      </w:pPr>
    </w:p>
    <w:p w:rsidR="0060258D" w:rsidRPr="00B44436" w:rsidRDefault="0060258D" w:rsidP="00B44436">
      <w:pPr>
        <w:pStyle w:val="IssueSubsectionHeading"/>
        <w:spacing w:after="0"/>
        <w:rPr>
          <w:i w:val="0"/>
        </w:rPr>
      </w:pPr>
      <w:r w:rsidRPr="00B44436">
        <w:rPr>
          <w:i w:val="0"/>
        </w:rPr>
        <w:t>Re</w:t>
      </w:r>
      <w:r w:rsidR="00B44436">
        <w:rPr>
          <w:i w:val="0"/>
        </w:rPr>
        <w:t>commended Re</w:t>
      </w:r>
      <w:r w:rsidRPr="00B44436">
        <w:rPr>
          <w:i w:val="0"/>
        </w:rPr>
        <w:t>porting Requirements</w:t>
      </w:r>
    </w:p>
    <w:p w:rsidR="0075318C" w:rsidRDefault="007F6D4F" w:rsidP="0075318C">
      <w:pPr>
        <w:jc w:val="both"/>
        <w:outlineLvl w:val="1"/>
        <w:rPr>
          <w:bCs/>
          <w:iCs/>
          <w:szCs w:val="28"/>
        </w:rPr>
      </w:pPr>
      <w:r w:rsidRPr="007F6D4F">
        <w:rPr>
          <w:bCs/>
          <w:iCs/>
          <w:szCs w:val="28"/>
        </w:rPr>
        <w:t xml:space="preserve">As discussed above, FPUC’s stated intention upon approval is to offer financing primarily for water heater conversions. While the proposed revised tariff includes the option to finance its customers compression and RNG equipment, the Company has no financing terms, options, offerings, or customer agreements for either compression or RNG equipment at this time. </w:t>
      </w:r>
      <w:r w:rsidR="007506A2">
        <w:rPr>
          <w:bCs/>
          <w:iCs/>
          <w:szCs w:val="28"/>
        </w:rPr>
        <w:t>Due to this current lack of information, s</w:t>
      </w:r>
      <w:r w:rsidRPr="007F6D4F">
        <w:rPr>
          <w:bCs/>
          <w:iCs/>
          <w:szCs w:val="28"/>
        </w:rPr>
        <w:t>taff believes FPUC should be required to submit</w:t>
      </w:r>
      <w:r>
        <w:rPr>
          <w:bCs/>
          <w:iCs/>
          <w:szCs w:val="28"/>
        </w:rPr>
        <w:t>, for staff review,</w:t>
      </w:r>
      <w:r w:rsidRPr="007F6D4F">
        <w:rPr>
          <w:bCs/>
          <w:iCs/>
          <w:szCs w:val="28"/>
        </w:rPr>
        <w:t xml:space="preserve"> copies of equipment finance agreement forms (detailing terms, conditions, and including updates when they arise) in this docket prior to implementing the provision of financing arrangements for each category of equipment.</w:t>
      </w:r>
    </w:p>
    <w:p w:rsidR="0075318C" w:rsidRDefault="0075318C" w:rsidP="0075318C">
      <w:pPr>
        <w:jc w:val="both"/>
        <w:outlineLvl w:val="1"/>
        <w:rPr>
          <w:bCs/>
          <w:iCs/>
          <w:szCs w:val="28"/>
        </w:rPr>
      </w:pPr>
    </w:p>
    <w:p w:rsidR="00202209" w:rsidRDefault="00E5264D" w:rsidP="0075318C">
      <w:pPr>
        <w:jc w:val="both"/>
        <w:outlineLvl w:val="1"/>
      </w:pPr>
      <w:r>
        <w:t xml:space="preserve">In order to provide oversight of the proposed financing </w:t>
      </w:r>
      <w:r w:rsidR="005D34E2">
        <w:t xml:space="preserve">program and its impact </w:t>
      </w:r>
      <w:r w:rsidR="008E7EBF">
        <w:t>to</w:t>
      </w:r>
      <w:r w:rsidR="005D34E2">
        <w:t xml:space="preserve"> both partic</w:t>
      </w:r>
      <w:r w:rsidR="007F6D4F">
        <w:t>i</w:t>
      </w:r>
      <w:r w:rsidR="005D34E2">
        <w:t>pant</w:t>
      </w:r>
      <w:r w:rsidR="0075318C">
        <w:t>s</w:t>
      </w:r>
      <w:r w:rsidR="005D34E2">
        <w:t xml:space="preserve"> and </w:t>
      </w:r>
      <w:r w:rsidR="007506A2">
        <w:t>FPUC’s general body of ratepayers</w:t>
      </w:r>
      <w:r>
        <w:t xml:space="preserve">, </w:t>
      </w:r>
      <w:r w:rsidR="008E7EBF">
        <w:t>s</w:t>
      </w:r>
      <w:r w:rsidR="00202209">
        <w:t xml:space="preserve">taff also believes </w:t>
      </w:r>
      <w:r w:rsidR="00202209" w:rsidRPr="004A25D0">
        <w:t xml:space="preserve">FPUC </w:t>
      </w:r>
      <w:r w:rsidR="00202209">
        <w:t xml:space="preserve">should adhere to a </w:t>
      </w:r>
      <w:r>
        <w:t>post-</w:t>
      </w:r>
      <w:r w:rsidR="00484F02">
        <w:t>approval</w:t>
      </w:r>
      <w:r>
        <w:t xml:space="preserve"> </w:t>
      </w:r>
      <w:r w:rsidR="00202209">
        <w:t>reporting requirement</w:t>
      </w:r>
      <w:r>
        <w:t xml:space="preserve"> as relates to </w:t>
      </w:r>
      <w:r w:rsidR="00484F02">
        <w:t xml:space="preserve">this proposed </w:t>
      </w:r>
      <w:r>
        <w:t>tariff</w:t>
      </w:r>
      <w:r w:rsidR="00202209">
        <w:t xml:space="preserve">. Specifically, FPUC should be required to submit in this docket </w:t>
      </w:r>
      <w:r w:rsidR="0060258D">
        <w:t xml:space="preserve">equipment financing </w:t>
      </w:r>
      <w:r w:rsidR="00EB1A09">
        <w:t>a</w:t>
      </w:r>
      <w:r w:rsidR="00202209" w:rsidRPr="004A25D0">
        <w:t xml:space="preserve">nnual </w:t>
      </w:r>
      <w:r w:rsidR="0060258D">
        <w:t>r</w:t>
      </w:r>
      <w:r w:rsidR="00202209" w:rsidRPr="004A25D0">
        <w:t>eports</w:t>
      </w:r>
      <w:r w:rsidR="00525505">
        <w:t>,</w:t>
      </w:r>
      <w:r w:rsidR="00202209" w:rsidRPr="004A25D0">
        <w:t xml:space="preserve"> by March 1 of 2026 and 2027</w:t>
      </w:r>
      <w:r w:rsidR="00D800AD">
        <w:t xml:space="preserve"> for the prior year’s financing activities</w:t>
      </w:r>
      <w:r w:rsidR="00525505">
        <w:t>,</w:t>
      </w:r>
      <w:r w:rsidR="00202209" w:rsidRPr="004A25D0">
        <w:t xml:space="preserve"> that provide </w:t>
      </w:r>
      <w:r w:rsidR="00202209">
        <w:t xml:space="preserve">the following: (a) </w:t>
      </w:r>
      <w:r w:rsidR="00202209" w:rsidRPr="004A25D0">
        <w:t>participation</w:t>
      </w:r>
      <w:r w:rsidR="00202209">
        <w:t xml:space="preserve"> information for each </w:t>
      </w:r>
      <w:r>
        <w:t xml:space="preserve">equipment </w:t>
      </w:r>
      <w:r w:rsidR="00202209">
        <w:t>category</w:t>
      </w:r>
      <w:r w:rsidR="005D34E2">
        <w:t xml:space="preserve"> (appliance-specific)</w:t>
      </w:r>
      <w:r w:rsidR="00202209" w:rsidRPr="004A25D0">
        <w:t xml:space="preserve">, </w:t>
      </w:r>
      <w:r w:rsidR="00202209">
        <w:t xml:space="preserve">(b) </w:t>
      </w:r>
      <w:r w:rsidR="00202209" w:rsidRPr="004A25D0">
        <w:t>financial performance</w:t>
      </w:r>
      <w:r w:rsidR="00202209">
        <w:t xml:space="preserve"> </w:t>
      </w:r>
      <w:r w:rsidR="00DD43CC">
        <w:t xml:space="preserve">based on separated accounting detail </w:t>
      </w:r>
      <w:r w:rsidR="00202209">
        <w:t xml:space="preserve">(all program revenues and costs, including equipment installation costs, cost of capital, bad debt costs, </w:t>
      </w:r>
      <w:r>
        <w:t>transaction costs</w:t>
      </w:r>
      <w:r w:rsidR="00202209">
        <w:t xml:space="preserve">, and </w:t>
      </w:r>
      <w:r>
        <w:t xml:space="preserve">any/all </w:t>
      </w:r>
      <w:r w:rsidR="00202209">
        <w:t>other cost categories</w:t>
      </w:r>
      <w:r w:rsidR="00DD43CC">
        <w:t>, all maintained in separate subaccounts</w:t>
      </w:r>
      <w:r w:rsidR="00202209">
        <w:t>)</w:t>
      </w:r>
      <w:r w:rsidR="00202209" w:rsidRPr="004A25D0">
        <w:t xml:space="preserve">, </w:t>
      </w:r>
      <w:r w:rsidR="00202209">
        <w:t xml:space="preserve">(c) </w:t>
      </w:r>
      <w:r w:rsidR="00202209" w:rsidRPr="004A25D0">
        <w:t>defaults and lien activity</w:t>
      </w:r>
      <w:r>
        <w:t xml:space="preserve"> metrics</w:t>
      </w:r>
      <w:r w:rsidR="00202209" w:rsidRPr="004A25D0">
        <w:t xml:space="preserve">, </w:t>
      </w:r>
      <w:r w:rsidR="00202209">
        <w:t xml:space="preserve">(d) </w:t>
      </w:r>
      <w:r w:rsidR="00202209" w:rsidRPr="004A25D0">
        <w:t>rebate</w:t>
      </w:r>
      <w:r>
        <w:t xml:space="preserve"> participation and dollar amounts</w:t>
      </w:r>
      <w:r w:rsidR="00202209" w:rsidRPr="004A25D0">
        <w:t xml:space="preserve">, and </w:t>
      </w:r>
      <w:r w:rsidR="00202209">
        <w:t xml:space="preserve">(e) </w:t>
      </w:r>
      <w:r w:rsidR="00202209" w:rsidRPr="004A25D0">
        <w:t xml:space="preserve">vendor </w:t>
      </w:r>
      <w:r w:rsidR="005D34E2">
        <w:t>participation details</w:t>
      </w:r>
      <w:r w:rsidR="00202209">
        <w:t>. The annual report should be organized by equipment type</w:t>
      </w:r>
      <w:r w:rsidR="00202209" w:rsidRPr="004A25D0">
        <w:t xml:space="preserve">, with separate subsections if the </w:t>
      </w:r>
      <w:r w:rsidR="00202209">
        <w:t xml:space="preserve">utility’s financing </w:t>
      </w:r>
      <w:r w:rsidR="00202209" w:rsidRPr="004A25D0">
        <w:t>program expands beyond water heaters</w:t>
      </w:r>
      <w:r w:rsidR="00202209">
        <w:t xml:space="preserve">. </w:t>
      </w:r>
    </w:p>
    <w:p w:rsidR="00202209" w:rsidRDefault="00D800AD" w:rsidP="00202209">
      <w:pPr>
        <w:pStyle w:val="IssueSubsectionHeading"/>
        <w:rPr>
          <w:rFonts w:ascii="Times New Roman" w:hAnsi="Times New Roman" w:cs="Times New Roman"/>
          <w:b w:val="0"/>
          <w:i w:val="0"/>
        </w:rPr>
      </w:pPr>
      <w:r>
        <w:rPr>
          <w:rFonts w:ascii="Times New Roman" w:hAnsi="Times New Roman" w:cs="Times New Roman"/>
          <w:b w:val="0"/>
          <w:i w:val="0"/>
        </w:rPr>
        <w:t>I</w:t>
      </w:r>
      <w:r w:rsidR="005D34E2">
        <w:rPr>
          <w:rFonts w:ascii="Times New Roman" w:hAnsi="Times New Roman" w:cs="Times New Roman"/>
          <w:b w:val="0"/>
          <w:i w:val="0"/>
        </w:rPr>
        <w:t xml:space="preserve">n the event that </w:t>
      </w:r>
      <w:r w:rsidR="00202209">
        <w:rPr>
          <w:rFonts w:ascii="Times New Roman" w:hAnsi="Times New Roman" w:cs="Times New Roman"/>
          <w:b w:val="0"/>
          <w:i w:val="0"/>
        </w:rPr>
        <w:t>FPUC</w:t>
      </w:r>
      <w:r w:rsidR="00EB1A09">
        <w:rPr>
          <w:rFonts w:ascii="Times New Roman" w:hAnsi="Times New Roman" w:cs="Times New Roman"/>
          <w:b w:val="0"/>
          <w:i w:val="0"/>
        </w:rPr>
        <w:t>’s</w:t>
      </w:r>
      <w:r w:rsidR="005D34E2">
        <w:rPr>
          <w:rFonts w:ascii="Times New Roman" w:hAnsi="Times New Roman" w:cs="Times New Roman"/>
          <w:b w:val="0"/>
          <w:i w:val="0"/>
        </w:rPr>
        <w:t xml:space="preserve"> parent company, Chesapeake LLC, seeks Commission approval to consolidate the rates </w:t>
      </w:r>
      <w:r w:rsidR="004B025F">
        <w:rPr>
          <w:rFonts w:ascii="Times New Roman" w:hAnsi="Times New Roman" w:cs="Times New Roman"/>
          <w:b w:val="0"/>
          <w:i w:val="0"/>
        </w:rPr>
        <w:t xml:space="preserve">and tariffs </w:t>
      </w:r>
      <w:r w:rsidR="005D34E2">
        <w:rPr>
          <w:rFonts w:ascii="Times New Roman" w:hAnsi="Times New Roman" w:cs="Times New Roman"/>
          <w:b w:val="0"/>
          <w:i w:val="0"/>
        </w:rPr>
        <w:t xml:space="preserve">of its Florida </w:t>
      </w:r>
      <w:r w:rsidR="00C03B87">
        <w:rPr>
          <w:rFonts w:ascii="Times New Roman" w:hAnsi="Times New Roman" w:cs="Times New Roman"/>
          <w:b w:val="0"/>
          <w:i w:val="0"/>
        </w:rPr>
        <w:t xml:space="preserve">natural gas </w:t>
      </w:r>
      <w:r w:rsidR="005D34E2">
        <w:rPr>
          <w:rFonts w:ascii="Times New Roman" w:hAnsi="Times New Roman" w:cs="Times New Roman"/>
          <w:b w:val="0"/>
          <w:i w:val="0"/>
        </w:rPr>
        <w:t xml:space="preserve">divisions, staff believes the Commission </w:t>
      </w:r>
      <w:r w:rsidR="00582B78">
        <w:rPr>
          <w:rFonts w:ascii="Times New Roman" w:hAnsi="Times New Roman" w:cs="Times New Roman"/>
          <w:b w:val="0"/>
          <w:i w:val="0"/>
        </w:rPr>
        <w:t>would have an opportunity to</w:t>
      </w:r>
      <w:r w:rsidR="005D34E2">
        <w:rPr>
          <w:rFonts w:ascii="Times New Roman" w:hAnsi="Times New Roman" w:cs="Times New Roman"/>
          <w:b w:val="0"/>
          <w:i w:val="0"/>
        </w:rPr>
        <w:t xml:space="preserve"> evaluate the merits of further alignment of the Florida divisions’ tariffs into a single tariff</w:t>
      </w:r>
      <w:r w:rsidR="007F6D4F">
        <w:rPr>
          <w:rFonts w:ascii="Times New Roman" w:hAnsi="Times New Roman" w:cs="Times New Roman"/>
          <w:b w:val="0"/>
          <w:i w:val="0"/>
        </w:rPr>
        <w:t xml:space="preserve"> based</w:t>
      </w:r>
      <w:r w:rsidR="00C83F7D">
        <w:rPr>
          <w:rFonts w:ascii="Times New Roman" w:hAnsi="Times New Roman" w:cs="Times New Roman"/>
          <w:b w:val="0"/>
          <w:i w:val="0"/>
        </w:rPr>
        <w:t>,</w:t>
      </w:r>
      <w:r w:rsidR="007F6D4F">
        <w:rPr>
          <w:rFonts w:ascii="Times New Roman" w:hAnsi="Times New Roman" w:cs="Times New Roman"/>
          <w:b w:val="0"/>
          <w:i w:val="0"/>
        </w:rPr>
        <w:t xml:space="preserve"> </w:t>
      </w:r>
      <w:r w:rsidR="00C83F7D">
        <w:rPr>
          <w:rFonts w:ascii="Times New Roman" w:hAnsi="Times New Roman" w:cs="Times New Roman"/>
          <w:b w:val="0"/>
          <w:i w:val="0"/>
        </w:rPr>
        <w:t xml:space="preserve">in part, </w:t>
      </w:r>
      <w:r w:rsidR="007F6D4F">
        <w:rPr>
          <w:rFonts w:ascii="Times New Roman" w:hAnsi="Times New Roman" w:cs="Times New Roman"/>
          <w:b w:val="0"/>
          <w:i w:val="0"/>
        </w:rPr>
        <w:t xml:space="preserve">upon the results </w:t>
      </w:r>
      <w:r w:rsidR="00E01E35">
        <w:rPr>
          <w:rFonts w:ascii="Times New Roman" w:hAnsi="Times New Roman" w:cs="Times New Roman"/>
          <w:b w:val="0"/>
          <w:i w:val="0"/>
        </w:rPr>
        <w:t xml:space="preserve">and details </w:t>
      </w:r>
      <w:r w:rsidR="007F6D4F">
        <w:rPr>
          <w:rFonts w:ascii="Times New Roman" w:hAnsi="Times New Roman" w:cs="Times New Roman"/>
          <w:b w:val="0"/>
          <w:i w:val="0"/>
        </w:rPr>
        <w:t>provided in the equipment financing annual reports</w:t>
      </w:r>
      <w:r w:rsidR="00202209">
        <w:rPr>
          <w:rFonts w:ascii="Times New Roman" w:hAnsi="Times New Roman" w:cs="Times New Roman"/>
          <w:b w:val="0"/>
          <w:i w:val="0"/>
        </w:rPr>
        <w:t>.</w:t>
      </w:r>
    </w:p>
    <w:p w:rsidR="000D2DC0" w:rsidRDefault="000D2DC0" w:rsidP="000D2DC0">
      <w:pPr>
        <w:pStyle w:val="BodyText"/>
        <w:spacing w:after="0"/>
      </w:pPr>
      <w:r w:rsidRPr="000D2DC0">
        <w:rPr>
          <w:rFonts w:ascii="Arial" w:hAnsi="Arial" w:cs="Arial"/>
          <w:b/>
        </w:rPr>
        <w:t>Conclusion</w:t>
      </w:r>
      <w:r w:rsidR="00731C5E">
        <w:rPr>
          <w:rFonts w:ascii="Arial" w:hAnsi="Arial" w:cs="Arial"/>
          <w:b/>
        </w:rPr>
        <w:t xml:space="preserve"> </w:t>
      </w:r>
    </w:p>
    <w:p w:rsidR="0029396E" w:rsidRDefault="006D2D3D" w:rsidP="0029396E">
      <w:pPr>
        <w:pStyle w:val="IssueSubsectionHeading"/>
        <w:rPr>
          <w:rFonts w:ascii="Times New Roman" w:hAnsi="Times New Roman" w:cs="Times New Roman"/>
          <w:b w:val="0"/>
          <w:i w:val="0"/>
        </w:rPr>
      </w:pPr>
      <w:r>
        <w:rPr>
          <w:rFonts w:ascii="Times New Roman" w:hAnsi="Times New Roman" w:cs="Times New Roman"/>
          <w:b w:val="0"/>
          <w:i w:val="0"/>
        </w:rPr>
        <w:t xml:space="preserve">Staff </w:t>
      </w:r>
      <w:r w:rsidR="007F6D4F">
        <w:rPr>
          <w:rFonts w:ascii="Times New Roman" w:hAnsi="Times New Roman" w:cs="Times New Roman"/>
          <w:b w:val="0"/>
          <w:i w:val="0"/>
        </w:rPr>
        <w:t>believes</w:t>
      </w:r>
      <w:r w:rsidR="0029396E" w:rsidRPr="004A25D0">
        <w:rPr>
          <w:rFonts w:ascii="Times New Roman" w:hAnsi="Times New Roman" w:cs="Times New Roman"/>
          <w:b w:val="0"/>
          <w:i w:val="0"/>
        </w:rPr>
        <w:t xml:space="preserve"> the Commission</w:t>
      </w:r>
      <w:r w:rsidR="007F6D4F">
        <w:rPr>
          <w:rFonts w:ascii="Times New Roman" w:hAnsi="Times New Roman" w:cs="Times New Roman"/>
          <w:b w:val="0"/>
          <w:i w:val="0"/>
        </w:rPr>
        <w:t xml:space="preserve"> should</w:t>
      </w:r>
      <w:r w:rsidR="0029396E" w:rsidRPr="004A25D0">
        <w:rPr>
          <w:rFonts w:ascii="Times New Roman" w:hAnsi="Times New Roman" w:cs="Times New Roman"/>
          <w:b w:val="0"/>
          <w:i w:val="0"/>
        </w:rPr>
        <w:t xml:space="preserve"> approve</w:t>
      </w:r>
      <w:r w:rsidR="0029396E">
        <w:rPr>
          <w:rFonts w:ascii="Times New Roman" w:hAnsi="Times New Roman" w:cs="Times New Roman"/>
          <w:b w:val="0"/>
          <w:i w:val="0"/>
        </w:rPr>
        <w:t xml:space="preserve"> </w:t>
      </w:r>
      <w:r w:rsidR="00141A5E">
        <w:rPr>
          <w:rFonts w:ascii="Times New Roman" w:hAnsi="Times New Roman" w:cs="Times New Roman"/>
          <w:b w:val="0"/>
          <w:i w:val="0"/>
        </w:rPr>
        <w:t xml:space="preserve">FPUC’s </w:t>
      </w:r>
      <w:r w:rsidR="00484F02">
        <w:rPr>
          <w:rFonts w:ascii="Times New Roman" w:hAnsi="Times New Roman" w:cs="Times New Roman"/>
          <w:b w:val="0"/>
          <w:i w:val="0"/>
        </w:rPr>
        <w:t xml:space="preserve">proposed </w:t>
      </w:r>
      <w:r w:rsidR="00141A5E">
        <w:rPr>
          <w:rFonts w:ascii="Times New Roman" w:hAnsi="Times New Roman" w:cs="Times New Roman"/>
          <w:b w:val="0"/>
          <w:i w:val="0"/>
        </w:rPr>
        <w:t xml:space="preserve">revised tariff sheets </w:t>
      </w:r>
      <w:r w:rsidR="0029396E" w:rsidRPr="004A25D0">
        <w:rPr>
          <w:rFonts w:ascii="Times New Roman" w:hAnsi="Times New Roman" w:cs="Times New Roman"/>
          <w:b w:val="0"/>
          <w:i w:val="0"/>
        </w:rPr>
        <w:t>(First Revised Tariff Sheet 6.153 and Original Tariff Sheet 6.154</w:t>
      </w:r>
      <w:r w:rsidR="0044568C">
        <w:rPr>
          <w:rFonts w:ascii="Times New Roman" w:hAnsi="Times New Roman" w:cs="Times New Roman"/>
          <w:b w:val="0"/>
          <w:i w:val="0"/>
        </w:rPr>
        <w:t>,</w:t>
      </w:r>
      <w:r w:rsidR="00641494" w:rsidRPr="00641494">
        <w:rPr>
          <w:rFonts w:ascii="Times New Roman" w:hAnsi="Times New Roman" w:cs="Times New Roman"/>
          <w:b w:val="0"/>
          <w:i w:val="0"/>
        </w:rPr>
        <w:t xml:space="preserve"> as revised on August 20, 2025,</w:t>
      </w:r>
      <w:r w:rsidR="00641494">
        <w:rPr>
          <w:rFonts w:ascii="Times New Roman" w:hAnsi="Times New Roman" w:cs="Times New Roman"/>
          <w:b w:val="0"/>
          <w:i w:val="0"/>
        </w:rPr>
        <w:t xml:space="preserve"> </w:t>
      </w:r>
      <w:r w:rsidR="0044568C">
        <w:rPr>
          <w:rFonts w:ascii="Times New Roman" w:hAnsi="Times New Roman" w:cs="Times New Roman"/>
          <w:b w:val="0"/>
          <w:i w:val="0"/>
        </w:rPr>
        <w:t>attached</w:t>
      </w:r>
      <w:r w:rsidR="0029396E" w:rsidRPr="004A25D0">
        <w:rPr>
          <w:rFonts w:ascii="Times New Roman" w:hAnsi="Times New Roman" w:cs="Times New Roman"/>
          <w:b w:val="0"/>
          <w:i w:val="0"/>
        </w:rPr>
        <w:t>) regarding the provision of financing for gas conversion</w:t>
      </w:r>
      <w:r w:rsidR="0029396E">
        <w:rPr>
          <w:rFonts w:ascii="Times New Roman" w:hAnsi="Times New Roman" w:cs="Times New Roman"/>
          <w:b w:val="0"/>
          <w:i w:val="0"/>
        </w:rPr>
        <w:t xml:space="preserve"> (inclusive of appliances)</w:t>
      </w:r>
      <w:r w:rsidR="0029396E" w:rsidRPr="004A25D0">
        <w:rPr>
          <w:rFonts w:ascii="Times New Roman" w:hAnsi="Times New Roman" w:cs="Times New Roman"/>
          <w:b w:val="0"/>
          <w:i w:val="0"/>
        </w:rPr>
        <w:t>, compression, or</w:t>
      </w:r>
      <w:r w:rsidR="00141A5E">
        <w:rPr>
          <w:rFonts w:ascii="Times New Roman" w:hAnsi="Times New Roman" w:cs="Times New Roman"/>
          <w:b w:val="0"/>
          <w:i w:val="0"/>
        </w:rPr>
        <w:t xml:space="preserve"> RNG</w:t>
      </w:r>
      <w:r w:rsidR="0029396E" w:rsidRPr="004A25D0">
        <w:rPr>
          <w:rFonts w:ascii="Times New Roman" w:hAnsi="Times New Roman" w:cs="Times New Roman"/>
          <w:b w:val="0"/>
          <w:i w:val="0"/>
        </w:rPr>
        <w:t xml:space="preserve"> equipment to be owned</w:t>
      </w:r>
      <w:r w:rsidR="007F6D4F">
        <w:rPr>
          <w:rFonts w:ascii="Times New Roman" w:hAnsi="Times New Roman" w:cs="Times New Roman"/>
          <w:b w:val="0"/>
          <w:i w:val="0"/>
        </w:rPr>
        <w:t xml:space="preserve"> and maintained by the customer, but with the </w:t>
      </w:r>
      <w:r w:rsidR="0029396E">
        <w:rPr>
          <w:rFonts w:ascii="Times New Roman" w:hAnsi="Times New Roman" w:cs="Times New Roman"/>
          <w:b w:val="0"/>
          <w:i w:val="0"/>
        </w:rPr>
        <w:t>following conditions</w:t>
      </w:r>
      <w:r w:rsidR="007F6D4F">
        <w:rPr>
          <w:rFonts w:ascii="Times New Roman" w:hAnsi="Times New Roman" w:cs="Times New Roman"/>
          <w:b w:val="0"/>
          <w:i w:val="0"/>
        </w:rPr>
        <w:t xml:space="preserve"> designed to protect </w:t>
      </w:r>
      <w:r w:rsidR="007506A2">
        <w:rPr>
          <w:rFonts w:ascii="Times New Roman" w:hAnsi="Times New Roman" w:cs="Times New Roman"/>
          <w:b w:val="0"/>
          <w:i w:val="0"/>
        </w:rPr>
        <w:t xml:space="preserve">the general body of </w:t>
      </w:r>
      <w:r w:rsidR="007F6D4F">
        <w:rPr>
          <w:rFonts w:ascii="Times New Roman" w:hAnsi="Times New Roman" w:cs="Times New Roman"/>
          <w:b w:val="0"/>
          <w:i w:val="0"/>
        </w:rPr>
        <w:t>ratepayers</w:t>
      </w:r>
      <w:r w:rsidR="0029396E" w:rsidRPr="004A25D0">
        <w:rPr>
          <w:rFonts w:ascii="Times New Roman" w:hAnsi="Times New Roman" w:cs="Times New Roman"/>
          <w:b w:val="0"/>
          <w:i w:val="0"/>
        </w:rPr>
        <w:t xml:space="preserve">: </w:t>
      </w:r>
    </w:p>
    <w:p w:rsidR="0029396E" w:rsidRPr="001305A0" w:rsidRDefault="0029396E" w:rsidP="0029396E">
      <w:pPr>
        <w:pStyle w:val="IssueSubsectionHeading"/>
        <w:rPr>
          <w:rFonts w:ascii="Times New Roman" w:hAnsi="Times New Roman" w:cs="Times New Roman"/>
          <w:b w:val="0"/>
          <w:i w:val="0"/>
        </w:rPr>
      </w:pPr>
      <w:r w:rsidRPr="001305A0">
        <w:rPr>
          <w:rFonts w:ascii="Times New Roman" w:hAnsi="Times New Roman" w:cs="Times New Roman"/>
          <w:b w:val="0"/>
          <w:i w:val="0"/>
        </w:rPr>
        <w:t>(1) FPUC sh</w:t>
      </w:r>
      <w:r w:rsidR="007F6D4F">
        <w:rPr>
          <w:rFonts w:ascii="Times New Roman" w:hAnsi="Times New Roman" w:cs="Times New Roman"/>
          <w:b w:val="0"/>
          <w:i w:val="0"/>
        </w:rPr>
        <w:t>ould</w:t>
      </w:r>
      <w:r w:rsidRPr="001305A0">
        <w:rPr>
          <w:rFonts w:ascii="Times New Roman" w:hAnsi="Times New Roman" w:cs="Times New Roman"/>
          <w:b w:val="0"/>
          <w:i w:val="0"/>
        </w:rPr>
        <w:t xml:space="preserve"> </w:t>
      </w:r>
      <w:r w:rsidR="00E01E35">
        <w:rPr>
          <w:rFonts w:ascii="Times New Roman" w:hAnsi="Times New Roman" w:cs="Times New Roman"/>
          <w:b w:val="0"/>
          <w:i w:val="0"/>
        </w:rPr>
        <w:t xml:space="preserve">be required to </w:t>
      </w:r>
      <w:r w:rsidRPr="001305A0">
        <w:rPr>
          <w:rFonts w:ascii="Times New Roman" w:hAnsi="Times New Roman" w:cs="Times New Roman"/>
          <w:b w:val="0"/>
          <w:i w:val="0"/>
        </w:rPr>
        <w:t xml:space="preserve">file copies of equipment finance agreement forms, including updates, in this docket prior to implementation </w:t>
      </w:r>
      <w:r>
        <w:rPr>
          <w:rFonts w:ascii="Times New Roman" w:hAnsi="Times New Roman" w:cs="Times New Roman"/>
          <w:b w:val="0"/>
          <w:i w:val="0"/>
        </w:rPr>
        <w:t xml:space="preserve">of financing </w:t>
      </w:r>
      <w:r w:rsidRPr="001305A0">
        <w:rPr>
          <w:rFonts w:ascii="Times New Roman" w:hAnsi="Times New Roman" w:cs="Times New Roman"/>
          <w:b w:val="0"/>
          <w:i w:val="0"/>
        </w:rPr>
        <w:t>for each category of equipment</w:t>
      </w:r>
      <w:r>
        <w:rPr>
          <w:rFonts w:ascii="Times New Roman" w:hAnsi="Times New Roman" w:cs="Times New Roman"/>
          <w:b w:val="0"/>
          <w:i w:val="0"/>
        </w:rPr>
        <w:t>, until the rate schedules and tariffs</w:t>
      </w:r>
      <w:r w:rsidRPr="001305A0">
        <w:rPr>
          <w:rFonts w:ascii="Times New Roman" w:hAnsi="Times New Roman" w:cs="Times New Roman"/>
          <w:b w:val="0"/>
          <w:i w:val="0"/>
        </w:rPr>
        <w:t xml:space="preserve"> across </w:t>
      </w:r>
      <w:r>
        <w:rPr>
          <w:rFonts w:ascii="Times New Roman" w:hAnsi="Times New Roman" w:cs="Times New Roman"/>
          <w:b w:val="0"/>
          <w:i w:val="0"/>
        </w:rPr>
        <w:t xml:space="preserve">all </w:t>
      </w:r>
      <w:r w:rsidRPr="001305A0">
        <w:rPr>
          <w:rFonts w:ascii="Times New Roman" w:hAnsi="Times New Roman" w:cs="Times New Roman"/>
          <w:b w:val="0"/>
          <w:i w:val="0"/>
        </w:rPr>
        <w:t>Chesapeake-affiliated gas utilities</w:t>
      </w:r>
      <w:r>
        <w:rPr>
          <w:rFonts w:ascii="Times New Roman" w:hAnsi="Times New Roman" w:cs="Times New Roman"/>
          <w:b w:val="0"/>
          <w:i w:val="0"/>
        </w:rPr>
        <w:t xml:space="preserve"> operating in Florida are consolidated</w:t>
      </w:r>
      <w:r w:rsidR="003D31A0">
        <w:rPr>
          <w:rFonts w:ascii="Times New Roman" w:hAnsi="Times New Roman" w:cs="Times New Roman"/>
          <w:b w:val="0"/>
          <w:i w:val="0"/>
        </w:rPr>
        <w:t xml:space="preserve"> </w:t>
      </w:r>
      <w:r w:rsidR="003D31A0" w:rsidRPr="003D31A0">
        <w:rPr>
          <w:rFonts w:ascii="Times New Roman" w:hAnsi="Times New Roman" w:cs="Times New Roman"/>
          <w:b w:val="0"/>
          <w:i w:val="0"/>
        </w:rPr>
        <w:t>in a future rate proceeding</w:t>
      </w:r>
      <w:r w:rsidRPr="001305A0">
        <w:rPr>
          <w:rFonts w:ascii="Times New Roman" w:hAnsi="Times New Roman" w:cs="Times New Roman"/>
          <w:b w:val="0"/>
          <w:i w:val="0"/>
        </w:rPr>
        <w:t>;</w:t>
      </w:r>
      <w:r w:rsidR="00E44D07">
        <w:rPr>
          <w:rFonts w:ascii="Times New Roman" w:hAnsi="Times New Roman" w:cs="Times New Roman"/>
          <w:b w:val="0"/>
          <w:i w:val="0"/>
        </w:rPr>
        <w:t xml:space="preserve"> and</w:t>
      </w:r>
    </w:p>
    <w:p w:rsidR="000D2DC0" w:rsidRDefault="0029396E" w:rsidP="00582B78">
      <w:pPr>
        <w:pStyle w:val="IssueSubsectionHeading"/>
        <w:rPr>
          <w:rFonts w:ascii="Times New Roman" w:hAnsi="Times New Roman" w:cs="Times New Roman"/>
          <w:b w:val="0"/>
          <w:i w:val="0"/>
        </w:rPr>
      </w:pPr>
      <w:r w:rsidRPr="001305A0">
        <w:rPr>
          <w:rFonts w:ascii="Times New Roman" w:hAnsi="Times New Roman" w:cs="Times New Roman"/>
          <w:b w:val="0"/>
          <w:i w:val="0"/>
        </w:rPr>
        <w:t>(2) FPUC sh</w:t>
      </w:r>
      <w:r w:rsidR="00C83F7D">
        <w:rPr>
          <w:rFonts w:ascii="Times New Roman" w:hAnsi="Times New Roman" w:cs="Times New Roman"/>
          <w:b w:val="0"/>
          <w:i w:val="0"/>
        </w:rPr>
        <w:t xml:space="preserve">ould </w:t>
      </w:r>
      <w:r w:rsidR="00E01E35">
        <w:rPr>
          <w:rFonts w:ascii="Times New Roman" w:hAnsi="Times New Roman" w:cs="Times New Roman"/>
          <w:b w:val="0"/>
          <w:i w:val="0"/>
        </w:rPr>
        <w:t xml:space="preserve">be required to </w:t>
      </w:r>
      <w:r w:rsidRPr="001305A0">
        <w:rPr>
          <w:rFonts w:ascii="Times New Roman" w:hAnsi="Times New Roman" w:cs="Times New Roman"/>
          <w:b w:val="0"/>
          <w:i w:val="0"/>
        </w:rPr>
        <w:t>file annual reports</w:t>
      </w:r>
      <w:r w:rsidR="00525505">
        <w:rPr>
          <w:rFonts w:ascii="Times New Roman" w:hAnsi="Times New Roman" w:cs="Times New Roman"/>
          <w:b w:val="0"/>
          <w:i w:val="0"/>
        </w:rPr>
        <w:t>,</w:t>
      </w:r>
      <w:r w:rsidRPr="001305A0">
        <w:rPr>
          <w:rFonts w:ascii="Times New Roman" w:hAnsi="Times New Roman" w:cs="Times New Roman"/>
          <w:b w:val="0"/>
          <w:i w:val="0"/>
        </w:rPr>
        <w:t xml:space="preserve"> by March 1 of 2026 and 2027 </w:t>
      </w:r>
      <w:r w:rsidR="00D800AD">
        <w:rPr>
          <w:rFonts w:ascii="Times New Roman" w:hAnsi="Times New Roman" w:cs="Times New Roman"/>
          <w:b w:val="0"/>
          <w:i w:val="0"/>
        </w:rPr>
        <w:t>for the prior year’s financing activities</w:t>
      </w:r>
      <w:r w:rsidR="00525505">
        <w:rPr>
          <w:rFonts w:ascii="Times New Roman" w:hAnsi="Times New Roman" w:cs="Times New Roman"/>
          <w:b w:val="0"/>
          <w:i w:val="0"/>
        </w:rPr>
        <w:t>,</w:t>
      </w:r>
      <w:r w:rsidR="00D800AD">
        <w:rPr>
          <w:rFonts w:ascii="Times New Roman" w:hAnsi="Times New Roman" w:cs="Times New Roman"/>
          <w:b w:val="0"/>
          <w:i w:val="0"/>
        </w:rPr>
        <w:t xml:space="preserve"> </w:t>
      </w:r>
      <w:r w:rsidRPr="001305A0">
        <w:rPr>
          <w:rFonts w:ascii="Times New Roman" w:hAnsi="Times New Roman" w:cs="Times New Roman"/>
          <w:b w:val="0"/>
          <w:i w:val="0"/>
        </w:rPr>
        <w:t xml:space="preserve">providing: (a) participation </w:t>
      </w:r>
      <w:r>
        <w:rPr>
          <w:rFonts w:ascii="Times New Roman" w:hAnsi="Times New Roman" w:cs="Times New Roman"/>
          <w:b w:val="0"/>
          <w:i w:val="0"/>
        </w:rPr>
        <w:t xml:space="preserve">metrics </w:t>
      </w:r>
      <w:r w:rsidRPr="001305A0">
        <w:rPr>
          <w:rFonts w:ascii="Times New Roman" w:hAnsi="Times New Roman" w:cs="Times New Roman"/>
          <w:b w:val="0"/>
          <w:i w:val="0"/>
        </w:rPr>
        <w:t xml:space="preserve">by category; (b) financial performance (all program revenues and costs, including equipment installation costs, cost-of-capital amounts, bad-debt costs, </w:t>
      </w:r>
      <w:r>
        <w:rPr>
          <w:rFonts w:ascii="Times New Roman" w:hAnsi="Times New Roman" w:cs="Times New Roman"/>
          <w:b w:val="0"/>
          <w:i w:val="0"/>
        </w:rPr>
        <w:t>transaction</w:t>
      </w:r>
      <w:r w:rsidR="00C83F7D">
        <w:rPr>
          <w:rFonts w:ascii="Times New Roman" w:hAnsi="Times New Roman" w:cs="Times New Roman"/>
          <w:b w:val="0"/>
          <w:i w:val="0"/>
        </w:rPr>
        <w:t xml:space="preserve"> costs,</w:t>
      </w:r>
      <w:r w:rsidRPr="001305A0">
        <w:rPr>
          <w:rFonts w:ascii="Times New Roman" w:hAnsi="Times New Roman" w:cs="Times New Roman"/>
          <w:b w:val="0"/>
          <w:i w:val="0"/>
        </w:rPr>
        <w:t xml:space="preserve"> and other cost categories); (c) defaults and lien activity; (d) rebate utilization; and (e) vendor information. The report </w:t>
      </w:r>
      <w:r w:rsidR="0044568C">
        <w:rPr>
          <w:rFonts w:ascii="Times New Roman" w:hAnsi="Times New Roman" w:cs="Times New Roman"/>
          <w:b w:val="0"/>
          <w:i w:val="0"/>
        </w:rPr>
        <w:t>should</w:t>
      </w:r>
      <w:r w:rsidRPr="001305A0">
        <w:rPr>
          <w:rFonts w:ascii="Times New Roman" w:hAnsi="Times New Roman" w:cs="Times New Roman"/>
          <w:b w:val="0"/>
          <w:i w:val="0"/>
        </w:rPr>
        <w:t xml:space="preserve"> be organized by equipment type, with separate subsections if the program expands beyond water heaters</w:t>
      </w:r>
      <w:r w:rsidR="00582B78">
        <w:rPr>
          <w:rFonts w:ascii="Times New Roman" w:hAnsi="Times New Roman" w:cs="Times New Roman"/>
          <w:b w:val="0"/>
          <w:i w:val="0"/>
        </w:rPr>
        <w:t>.</w:t>
      </w:r>
    </w:p>
    <w:p w:rsidR="001C6176" w:rsidRPr="001C6176" w:rsidRDefault="001C6176" w:rsidP="001C6176">
      <w:pPr>
        <w:pStyle w:val="IssueSubsectionHeading"/>
      </w:pPr>
      <w:r w:rsidRPr="00C070E7">
        <w:rPr>
          <w:rFonts w:ascii="Times New Roman" w:hAnsi="Times New Roman" w:cs="Times New Roman"/>
          <w:b w:val="0"/>
          <w:i w:val="0"/>
        </w:rPr>
        <w:t>Staff believes these utility safeguards reduce the risk that the program would result in a shift of finance program costs to non-participants.</w:t>
      </w:r>
    </w:p>
    <w:p w:rsidR="000D2DC0" w:rsidRDefault="000D2DC0">
      <w:pPr>
        <w:pStyle w:val="IssueHeading"/>
        <w:rPr>
          <w:vanish/>
          <w:specVanish/>
        </w:rPr>
      </w:pPr>
      <w:r w:rsidRPr="004C3641">
        <w:rPr>
          <w:b w:val="0"/>
          <w:i w:val="0"/>
        </w:rPr>
        <w:br w:type="page"/>
      </w:r>
      <w:r w:rsidRPr="004C3641">
        <w:t xml:space="preserve">Issue </w:t>
      </w:r>
      <w:fldSimple w:instr=" SEQ Issue \* MERGEFORMAT ">
        <w:r w:rsidR="00282F8A">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282F8A">
        <w:rPr>
          <w:noProof/>
        </w:rPr>
        <w:instrText>2</w:instrText>
      </w:r>
      <w:r>
        <w:fldChar w:fldCharType="end"/>
      </w:r>
      <w:r>
        <w:tab/>
        <w:instrText xml:space="preserve">(Thompson)" \l 1 </w:instrText>
      </w:r>
      <w:r>
        <w:fldChar w:fldCharType="end"/>
      </w:r>
      <w:r>
        <w:t> </w:t>
      </w:r>
    </w:p>
    <w:p w:rsidR="000D2DC0" w:rsidRDefault="000D2DC0">
      <w:pPr>
        <w:pStyle w:val="BodyText"/>
      </w:pPr>
      <w:r>
        <w:t> Should this docket be closed?</w:t>
      </w:r>
    </w:p>
    <w:p w:rsidR="000D2DC0" w:rsidRPr="004C3641" w:rsidRDefault="000D2DC0">
      <w:pPr>
        <w:pStyle w:val="IssueSubsectionHeading"/>
        <w:rPr>
          <w:vanish/>
          <w:specVanish/>
        </w:rPr>
      </w:pPr>
      <w:r w:rsidRPr="004C3641">
        <w:t>Recommendation: </w:t>
      </w:r>
    </w:p>
    <w:p w:rsidR="000D2DC0" w:rsidRDefault="000D2DC0" w:rsidP="00D91031">
      <w:pPr>
        <w:pStyle w:val="BodyText"/>
      </w:pPr>
      <w:r>
        <w:t> </w:t>
      </w:r>
      <w:r w:rsidR="00D91031">
        <w:t xml:space="preserve">No. If a protest is filed by a substantially affected person within 21 days of the issuance of the order, the tariffs should remain in effect, with any revenues held subject to refund, pending resolution of the protest. If no timely protest is filed, this docket should be placed into monitoring status upon the issuance of a consummating order so that the utility can file its reports in this docket. Once the monitoring reports have been filed, staff should have administrative authority to remove the docket from monitoring status and close it or request the Commission reopen the docket for further proceedings as deemed necessary at that time. </w:t>
      </w:r>
      <w:r w:rsidR="00041876" w:rsidRPr="00041876">
        <w:t>(Thompson)</w:t>
      </w:r>
    </w:p>
    <w:p w:rsidR="000D2DC0" w:rsidRPr="004C3641" w:rsidRDefault="000D2DC0">
      <w:pPr>
        <w:pStyle w:val="IssueSubsectionHeading"/>
        <w:rPr>
          <w:vanish/>
          <w:specVanish/>
        </w:rPr>
      </w:pPr>
      <w:r w:rsidRPr="004C3641">
        <w:t>Staff Analysis: </w:t>
      </w:r>
    </w:p>
    <w:p w:rsidR="000D2DC0" w:rsidRDefault="000D2DC0">
      <w:pPr>
        <w:pStyle w:val="BodyText"/>
      </w:pPr>
      <w:r>
        <w:t> </w:t>
      </w:r>
      <w:r w:rsidR="00D91031">
        <w:t xml:space="preserve">No. If a protest is filed by a substantially affected person within 21 days of the issuance of the order, the tariffs should remain in effect, with any revenues held subject to refund, pending resolution of the protest. If no timely protest is filed, this docket should be placed into monitoring status upon the issuance of a consummating order so that the utility can file its reports in this docket. Once the monitoring reports have been filed, staff should have administrative authority to remove the docket from monitoring status and close it or request the Commission reopen the docket for further proceedings as deemed necessary at that time. </w:t>
      </w:r>
    </w:p>
    <w:p w:rsidR="000D2DC0" w:rsidRDefault="000D2DC0"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sectPr w:rsidR="00904336" w:rsidSect="00904336">
          <w:headerReference w:type="default" r:id="rId15"/>
          <w:headerReference w:type="first" r:id="rId16"/>
          <w:footerReference w:type="first" r:id="rId17"/>
          <w:pgSz w:w="12240" w:h="15840" w:code="1"/>
          <w:pgMar w:top="1584" w:right="1440" w:bottom="1440" w:left="1440" w:header="720" w:footer="720" w:gutter="0"/>
          <w:cols w:space="720"/>
          <w:formProt w:val="0"/>
          <w:docGrid w:linePitch="360"/>
        </w:sectPr>
      </w:pPr>
    </w:p>
    <w:p w:rsidR="00904336" w:rsidRDefault="00904336" w:rsidP="00E275D8">
      <w:pPr>
        <w:pStyle w:val="BodyText"/>
        <w:rPr>
          <w:rFonts w:ascii="Arial" w:hAnsi="Arial" w:cs="Arial"/>
          <w:b/>
        </w:rPr>
      </w:pPr>
    </w:p>
    <w:p w:rsidR="00904336" w:rsidRDefault="00904336" w:rsidP="00E275D8">
      <w:pPr>
        <w:pStyle w:val="BodyText"/>
        <w:rPr>
          <w:rFonts w:ascii="Arial" w:hAnsi="Arial" w:cs="Arial"/>
          <w:b/>
        </w:rPr>
      </w:pPr>
      <w:r w:rsidRPr="00904336">
        <w:rPr>
          <w:rFonts w:ascii="Arial" w:hAnsi="Arial" w:cs="Arial"/>
          <w:b/>
          <w:noProof/>
        </w:rPr>
        <w:drawing>
          <wp:inline distT="0" distB="0" distL="0" distR="0" wp14:anchorId="19674042" wp14:editId="7456F926">
            <wp:extent cx="5943600" cy="767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78450"/>
                    </a:xfrm>
                    <a:prstGeom prst="rect">
                      <a:avLst/>
                    </a:prstGeom>
                    <a:noFill/>
                    <a:ln>
                      <a:noFill/>
                    </a:ln>
                  </pic:spPr>
                </pic:pic>
              </a:graphicData>
            </a:graphic>
          </wp:inline>
        </w:drawing>
      </w:r>
    </w:p>
    <w:p w:rsidR="00904336" w:rsidRDefault="00904336" w:rsidP="00E275D8">
      <w:pPr>
        <w:pStyle w:val="BodyText"/>
        <w:rPr>
          <w:rFonts w:ascii="Arial" w:hAnsi="Arial" w:cs="Arial"/>
          <w:b/>
        </w:rPr>
      </w:pPr>
    </w:p>
    <w:p w:rsidR="00904336" w:rsidRPr="000D2DC0" w:rsidRDefault="00904336" w:rsidP="00E275D8">
      <w:pPr>
        <w:pStyle w:val="BodyText"/>
        <w:rPr>
          <w:rFonts w:ascii="Arial" w:hAnsi="Arial" w:cs="Arial"/>
          <w:b/>
        </w:rPr>
      </w:pPr>
      <w:r w:rsidRPr="00904336">
        <w:rPr>
          <w:rFonts w:ascii="Arial" w:hAnsi="Arial" w:cs="Arial"/>
          <w:b/>
          <w:noProof/>
        </w:rPr>
        <w:drawing>
          <wp:inline distT="0" distB="0" distL="0" distR="0" wp14:anchorId="422EDD24" wp14:editId="5A3C7C8D">
            <wp:extent cx="5943600" cy="767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78450"/>
                    </a:xfrm>
                    <a:prstGeom prst="rect">
                      <a:avLst/>
                    </a:prstGeom>
                    <a:noFill/>
                    <a:ln>
                      <a:noFill/>
                    </a:ln>
                  </pic:spPr>
                </pic:pic>
              </a:graphicData>
            </a:graphic>
          </wp:inline>
        </w:drawing>
      </w:r>
    </w:p>
    <w:sectPr w:rsidR="00904336" w:rsidRPr="000D2DC0" w:rsidSect="00904336">
      <w:headerReference w:type="default" r:id="rId2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1F9" w:rsidRDefault="003371F9">
      <w:r>
        <w:separator/>
      </w:r>
    </w:p>
  </w:endnote>
  <w:endnote w:type="continuationSeparator" w:id="0">
    <w:p w:rsidR="003371F9" w:rsidRDefault="0033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F8A" w:rsidRDefault="00282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B121A">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F8A" w:rsidRDefault="00282F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1F9" w:rsidRDefault="003371F9">
      <w:r>
        <w:separator/>
      </w:r>
    </w:p>
  </w:footnote>
  <w:footnote w:type="continuationSeparator" w:id="0">
    <w:p w:rsidR="003371F9" w:rsidRDefault="003371F9">
      <w:r>
        <w:continuationSeparator/>
      </w:r>
    </w:p>
  </w:footnote>
  <w:footnote w:id="1">
    <w:p w:rsidR="00EE6037" w:rsidRDefault="00EE6037" w:rsidP="00EE6037">
      <w:pPr>
        <w:pStyle w:val="FootnoteText"/>
      </w:pPr>
      <w:r>
        <w:rPr>
          <w:rStyle w:val="FootnoteReference"/>
        </w:rPr>
        <w:footnoteRef/>
      </w:r>
      <w:r w:rsidR="00141A5E">
        <w:t xml:space="preserve"> </w:t>
      </w:r>
      <w:r w:rsidR="00BD5FC6">
        <w:t>Order No. PSC-2021-0040-TRF-GU</w:t>
      </w:r>
      <w:r w:rsidR="0044568C" w:rsidRPr="0044568C">
        <w:t>,</w:t>
      </w:r>
      <w:r w:rsidR="0044568C">
        <w:t xml:space="preserve"> </w:t>
      </w:r>
      <w:r w:rsidR="00423740" w:rsidRPr="00423740">
        <w:t>Florida City Gas Tariff, First Revised Sheet No. 26, paragraph 19 (effective Decemb</w:t>
      </w:r>
      <w:r w:rsidR="00423740">
        <w:t>er 1, 2023)</w:t>
      </w:r>
      <w:r w:rsidR="00DF3049">
        <w:t>.</w:t>
      </w:r>
    </w:p>
  </w:footnote>
  <w:footnote w:id="2">
    <w:p w:rsidR="00544573" w:rsidRDefault="00544573">
      <w:pPr>
        <w:pStyle w:val="FootnoteText"/>
      </w:pPr>
      <w:r>
        <w:rPr>
          <w:rStyle w:val="FootnoteReference"/>
        </w:rPr>
        <w:footnoteRef/>
      </w:r>
      <w:r w:rsidR="00141A5E">
        <w:t xml:space="preserve"> </w:t>
      </w:r>
      <w:r w:rsidRPr="00544573">
        <w:t>Document No. 03470-2025</w:t>
      </w:r>
      <w:r w:rsidR="00DF3049">
        <w:t>,</w:t>
      </w:r>
      <w:r w:rsidR="005A582F">
        <w:t xml:space="preserve"> </w:t>
      </w:r>
      <w:r w:rsidR="00DF3049">
        <w:t>R</w:t>
      </w:r>
      <w:r>
        <w:t>esponse to Staff’s First Data Request</w:t>
      </w:r>
      <w:r w:rsidR="00DF3049">
        <w:t>, No. 2</w:t>
      </w:r>
      <w:r w:rsidR="009727D1">
        <w:t>.a.</w:t>
      </w:r>
    </w:p>
  </w:footnote>
  <w:footnote w:id="3">
    <w:p w:rsidR="0044568C" w:rsidRDefault="0044568C">
      <w:pPr>
        <w:pStyle w:val="FootnoteText"/>
      </w:pPr>
      <w:r>
        <w:rPr>
          <w:rStyle w:val="FootnoteReference"/>
        </w:rPr>
        <w:footnoteRef/>
      </w:r>
      <w:r>
        <w:t xml:space="preserve"> </w:t>
      </w:r>
      <w:r w:rsidRPr="0044568C">
        <w:t>Expenses included in a utility’s revenue requirement are generally referred to as being “above the line.” Expenses disallowed by the regulator are generally referred to as being “below the line.”</w:t>
      </w:r>
    </w:p>
  </w:footnote>
  <w:footnote w:id="4">
    <w:p w:rsidR="00B45F78" w:rsidRDefault="00B45F78" w:rsidP="00B45F78">
      <w:pPr>
        <w:jc w:val="both"/>
      </w:pPr>
      <w:r>
        <w:rPr>
          <w:rStyle w:val="FootnoteReference"/>
        </w:rPr>
        <w:footnoteRef/>
      </w:r>
      <w:r>
        <w:t xml:space="preserve"> </w:t>
      </w:r>
      <w:r w:rsidRPr="00CB5092">
        <w:rPr>
          <w:color w:val="1F1F1F"/>
          <w:sz w:val="20"/>
          <w:szCs w:val="20"/>
          <w:shd w:val="clear" w:color="auto" w:fill="FFFFFF"/>
        </w:rPr>
        <w:t xml:space="preserve">A </w:t>
      </w:r>
      <w:r w:rsidRPr="00141A5E">
        <w:rPr>
          <w:sz w:val="20"/>
          <w:szCs w:val="20"/>
          <w:shd w:val="clear" w:color="auto" w:fill="FFFFFF"/>
        </w:rPr>
        <w:t>Uniform Commercial Code</w:t>
      </w:r>
      <w:r w:rsidRPr="00CB5092">
        <w:rPr>
          <w:color w:val="1F1F1F"/>
          <w:sz w:val="20"/>
          <w:szCs w:val="20"/>
          <w:shd w:val="clear" w:color="auto" w:fill="FFFFFF"/>
        </w:rPr>
        <w:t> </w:t>
      </w:r>
      <w:r w:rsidR="00D63E60">
        <w:rPr>
          <w:color w:val="1F1F1F"/>
          <w:sz w:val="20"/>
          <w:szCs w:val="20"/>
          <w:shd w:val="clear" w:color="auto" w:fill="FFFFFF"/>
        </w:rPr>
        <w:t xml:space="preserve">(UCC) </w:t>
      </w:r>
      <w:r w:rsidRPr="00CB5092">
        <w:rPr>
          <w:color w:val="1F1F1F"/>
          <w:sz w:val="20"/>
          <w:szCs w:val="20"/>
          <w:shd w:val="clear" w:color="auto" w:fill="FFFFFF"/>
        </w:rPr>
        <w:t>lien is a public notice filed by a lender that a business's assets serve as collateral for a loan. UCC filings allow creditors to reserve their rights to a debtor's assets if they default on a secured loan. This filing, typically made with the state's Secretary of State, gives the lender a first-position claim to the specified assets and serves as a public record for other potential creditors</w:t>
      </w:r>
      <w:r>
        <w:rPr>
          <w:color w:val="1F1F1F"/>
          <w:sz w:val="20"/>
          <w:szCs w:val="20"/>
          <w:shd w:val="clear" w:color="auto" w:fill="FFFFFF"/>
        </w:rPr>
        <w:t>.</w:t>
      </w:r>
    </w:p>
  </w:footnote>
  <w:footnote w:id="5">
    <w:p w:rsidR="00475F76" w:rsidRPr="00D01DEA" w:rsidRDefault="00475F76" w:rsidP="00475F76">
      <w:pPr>
        <w:pStyle w:val="FootnoteText"/>
        <w:rPr>
          <w:i/>
        </w:rPr>
      </w:pPr>
      <w:r>
        <w:rPr>
          <w:rStyle w:val="FootnoteReference"/>
        </w:rPr>
        <w:footnoteRef/>
      </w:r>
      <w:r>
        <w:t xml:space="preserve"> Order No. PSC-2021-0040-TRF-GU, issued January 25, 2021, in Docket No. 20200216-GU, </w:t>
      </w:r>
      <w:r w:rsidRPr="00D01DEA">
        <w:rPr>
          <w:i/>
        </w:rPr>
        <w:t>In re: Request for approval of tariff to accommodate receipt and transportation of renewable natural gas from customers, by Florida City Gas.</w:t>
      </w:r>
    </w:p>
  </w:footnote>
  <w:footnote w:id="6">
    <w:p w:rsidR="00475F76" w:rsidRDefault="00475F76" w:rsidP="00475F76">
      <w:pPr>
        <w:pStyle w:val="FootnoteText"/>
      </w:pPr>
      <w:r>
        <w:rPr>
          <w:rStyle w:val="FootnoteReference"/>
        </w:rPr>
        <w:footnoteRef/>
      </w:r>
      <w:r>
        <w:t xml:space="preserve"> Document No. </w:t>
      </w:r>
      <w:r w:rsidRPr="008C1E52">
        <w:t>03470-2025</w:t>
      </w:r>
      <w:r>
        <w:t xml:space="preserve">, </w:t>
      </w:r>
      <w:r w:rsidRPr="00FD71B7">
        <w:t>Response to Staff’s F</w:t>
      </w:r>
      <w:r>
        <w:t>irst Data Request, No</w:t>
      </w:r>
      <w:r w:rsidRPr="00FD71B7">
        <w:t xml:space="preserve">. </w:t>
      </w:r>
      <w:r w:rsidR="00DF3049">
        <w:t>2</w:t>
      </w:r>
      <w:r>
        <w:t>.</w:t>
      </w:r>
      <w:r w:rsidRPr="00FD71B7">
        <w:t>a.</w:t>
      </w:r>
      <w:r>
        <w:t xml:space="preserve"> </w:t>
      </w:r>
      <w:r w:rsidRPr="0049550A">
        <w:t>Examples of potential future financed equipment include compressors, dispenser pumps, filtration storage units, and digesters.</w:t>
      </w:r>
    </w:p>
  </w:footnote>
  <w:footnote w:id="7">
    <w:p w:rsidR="00475F76" w:rsidRDefault="00475F76" w:rsidP="00475F76">
      <w:pPr>
        <w:pStyle w:val="FootnoteText"/>
      </w:pPr>
      <w:r>
        <w:rPr>
          <w:rStyle w:val="FootnoteReference"/>
        </w:rPr>
        <w:footnoteRef/>
      </w:r>
      <w:r>
        <w:t xml:space="preserve"> Document No. </w:t>
      </w:r>
      <w:r w:rsidR="008A20BA" w:rsidRPr="008A20BA">
        <w:t>03470-2025, Response to Staff’s First</w:t>
      </w:r>
      <w:r w:rsidRPr="00FD71B7">
        <w:t xml:space="preserve"> Data Request, No</w:t>
      </w:r>
      <w:r w:rsidR="00ED6736">
        <w:t>. 2.d</w:t>
      </w:r>
      <w:r w:rsidRPr="00FD71B7">
        <w:t>.</w:t>
      </w:r>
    </w:p>
  </w:footnote>
  <w:footnote w:id="8">
    <w:p w:rsidR="00475F76" w:rsidRDefault="00475F76" w:rsidP="00475F76">
      <w:pPr>
        <w:pStyle w:val="FootnoteText"/>
      </w:pPr>
      <w:r>
        <w:rPr>
          <w:rStyle w:val="FootnoteReference"/>
        </w:rPr>
        <w:footnoteRef/>
      </w:r>
      <w:r>
        <w:t xml:space="preserve"> Document No. </w:t>
      </w:r>
      <w:r w:rsidRPr="008C1E52">
        <w:t>08076-2025</w:t>
      </w:r>
      <w:r>
        <w:t xml:space="preserve">, Response to Staff’s Third Data Request, Nos. 6.a., 6.b., and 6.c. </w:t>
      </w:r>
    </w:p>
  </w:footnote>
  <w:footnote w:id="9">
    <w:p w:rsidR="00475F76" w:rsidRDefault="00475F76" w:rsidP="00475F76">
      <w:pPr>
        <w:pStyle w:val="FootnoteText"/>
      </w:pPr>
      <w:r>
        <w:rPr>
          <w:rStyle w:val="FootnoteReference"/>
        </w:rPr>
        <w:footnoteRef/>
      </w:r>
      <w:r>
        <w:t xml:space="preserve"> </w:t>
      </w:r>
      <w:r w:rsidR="004513B5" w:rsidRPr="004513B5">
        <w:t>Document No. 08076-2025, Response to Staff’s T</w:t>
      </w:r>
      <w:r w:rsidR="004513B5">
        <w:t>hird Data Request, No. 1.b.</w:t>
      </w:r>
    </w:p>
  </w:footnote>
  <w:footnote w:id="10">
    <w:p w:rsidR="00475F76" w:rsidRPr="008137F2" w:rsidRDefault="00475F76" w:rsidP="00475F76">
      <w:pPr>
        <w:pStyle w:val="FootnoteText"/>
      </w:pPr>
      <w:r w:rsidRPr="00814889">
        <w:rPr>
          <w:rStyle w:val="FootnoteReference"/>
        </w:rPr>
        <w:footnoteRef/>
      </w:r>
      <w:r w:rsidRPr="00814889">
        <w:t xml:space="preserve"> The Company asserts that a program-specific bad-debt reserve will be funded based on the Company’s historical uncollectible rate, with any unrecovered balance applied to the reserve and credited back if amounts are later recovered under the lien</w:t>
      </w:r>
      <w:r w:rsidRPr="008137F2">
        <w:t xml:space="preserve">. </w:t>
      </w:r>
      <w:r w:rsidRPr="00200BE7">
        <w:t xml:space="preserve">Document No. </w:t>
      </w:r>
      <w:r w:rsidRPr="008C1E52">
        <w:t>09279-2025</w:t>
      </w:r>
      <w:r w:rsidRPr="00200BE7">
        <w:t xml:space="preserve">, </w:t>
      </w:r>
      <w:r w:rsidRPr="008137F2">
        <w:t>Response to Staff’s Fourth Data Request, Nos. 3.</w:t>
      </w:r>
      <w:r>
        <w:t xml:space="preserve"> a.– b</w:t>
      </w:r>
      <w:r w:rsidRPr="008137F2">
        <w:t>.</w:t>
      </w:r>
    </w:p>
  </w:footnote>
  <w:footnote w:id="11">
    <w:p w:rsidR="00475F76" w:rsidRDefault="00475F76" w:rsidP="00475F76">
      <w:pPr>
        <w:pStyle w:val="FootnoteText"/>
      </w:pPr>
      <w:r>
        <w:rPr>
          <w:rStyle w:val="FootnoteReference"/>
        </w:rPr>
        <w:footnoteRef/>
      </w:r>
      <w:r>
        <w:t xml:space="preserve"> </w:t>
      </w:r>
      <w:r w:rsidRPr="00200BE7">
        <w:t xml:space="preserve">Document No. </w:t>
      </w:r>
      <w:r w:rsidRPr="00351361">
        <w:t>04992-2025</w:t>
      </w:r>
      <w:r w:rsidRPr="00200BE7">
        <w:t xml:space="preserve">, </w:t>
      </w:r>
      <w:r>
        <w:t>Response to Staff’s Second Data Request, No. 1.</w:t>
      </w:r>
    </w:p>
  </w:footnote>
  <w:footnote w:id="12">
    <w:p w:rsidR="00475F76" w:rsidRDefault="00475F76" w:rsidP="00475F76">
      <w:pPr>
        <w:pStyle w:val="FootnoteText"/>
      </w:pPr>
      <w:r>
        <w:rPr>
          <w:rStyle w:val="FootnoteReference"/>
        </w:rPr>
        <w:footnoteRef/>
      </w:r>
      <w:r>
        <w:t xml:space="preserve"> </w:t>
      </w:r>
      <w:r w:rsidRPr="00200BE7">
        <w:t xml:space="preserve">Document No. </w:t>
      </w:r>
      <w:r w:rsidRPr="00351361">
        <w:t>04992-2025</w:t>
      </w:r>
      <w:r w:rsidRPr="00200BE7">
        <w:t xml:space="preserve">, </w:t>
      </w:r>
      <w:r>
        <w:t>Response to Staff’s Second Data Request, No. 1.</w:t>
      </w:r>
    </w:p>
  </w:footnote>
  <w:footnote w:id="13">
    <w:p w:rsidR="003B7193" w:rsidRDefault="003B7193">
      <w:pPr>
        <w:pStyle w:val="FootnoteText"/>
      </w:pPr>
      <w:r>
        <w:rPr>
          <w:rStyle w:val="FootnoteReference"/>
        </w:rPr>
        <w:footnoteRef/>
      </w:r>
      <w:r>
        <w:t xml:space="preserve"> Order No. 25626, issued January 22, 1992, in Docket No. 910942-EG, </w:t>
      </w:r>
      <w:r>
        <w:rPr>
          <w:i/>
        </w:rPr>
        <w:t>In Re: Petition for approval of its natural gas vehicle program of Peoples Gas System, Inc.</w:t>
      </w:r>
    </w:p>
  </w:footnote>
  <w:footnote w:id="14">
    <w:p w:rsidR="003B7193" w:rsidRDefault="003B7193">
      <w:pPr>
        <w:pStyle w:val="FootnoteText"/>
      </w:pPr>
      <w:r>
        <w:rPr>
          <w:rStyle w:val="FootnoteReference"/>
        </w:rPr>
        <w:footnoteRef/>
      </w:r>
      <w:r>
        <w:t xml:space="preserve"> Order No. PSC-2019-0220-TRF-EI, issued June 3, 2019, in Docket No. 20190034-EI, </w:t>
      </w:r>
      <w:r>
        <w:rPr>
          <w:i/>
        </w:rPr>
        <w:t>in re: Petition for approval of optional supplemental power services pilot program and rider, by Florida Power &amp; Light Company</w:t>
      </w:r>
      <w:r>
        <w:t>.</w:t>
      </w:r>
    </w:p>
  </w:footnote>
  <w:footnote w:id="15">
    <w:p w:rsidR="003B7193" w:rsidRDefault="003B7193">
      <w:pPr>
        <w:pStyle w:val="FootnoteText"/>
      </w:pPr>
      <w:r>
        <w:rPr>
          <w:rStyle w:val="FootnoteReference"/>
        </w:rPr>
        <w:footnoteRef/>
      </w:r>
      <w:r>
        <w:t xml:space="preserve"> </w:t>
      </w:r>
      <w:r>
        <w:rPr>
          <w:i/>
        </w:rPr>
        <w:t>See</w:t>
      </w:r>
      <w:r>
        <w:t xml:space="preserve"> Docket No. 20240012-EI, </w:t>
      </w:r>
      <w:r>
        <w:rPr>
          <w:i/>
        </w:rPr>
        <w:t>Commission review of numeric conservation goals (Florida Power &amp; Light Company)</w:t>
      </w:r>
      <w:r>
        <w:t>.</w:t>
      </w:r>
    </w:p>
  </w:footnote>
  <w:footnote w:id="16">
    <w:p w:rsidR="003B7193" w:rsidRDefault="003B7193">
      <w:pPr>
        <w:pStyle w:val="FootnoteText"/>
      </w:pPr>
      <w:r>
        <w:rPr>
          <w:rStyle w:val="FootnoteReference"/>
        </w:rPr>
        <w:footnoteRef/>
      </w:r>
      <w:r>
        <w:t xml:space="preserve"> </w:t>
      </w:r>
      <w:r w:rsidR="00C070E7">
        <w:rPr>
          <w:i/>
        </w:rPr>
        <w:t>See</w:t>
      </w:r>
      <w:r w:rsidR="00C070E7">
        <w:t xml:space="preserve"> Order No. PSC-2021-0040-TRF-GU.</w:t>
      </w:r>
    </w:p>
  </w:footnote>
  <w:footnote w:id="17">
    <w:p w:rsidR="003F7A34" w:rsidRDefault="003F7A34">
      <w:pPr>
        <w:pStyle w:val="FootnoteText"/>
      </w:pPr>
      <w:r>
        <w:rPr>
          <w:rStyle w:val="FootnoteReference"/>
        </w:rPr>
        <w:footnoteRef/>
      </w:r>
      <w:r>
        <w:t xml:space="preserve"> </w:t>
      </w:r>
      <w:r w:rsidR="00200BE7" w:rsidRPr="00200BE7">
        <w:t xml:space="preserve">Document No. </w:t>
      </w:r>
      <w:r w:rsidR="008C1E52" w:rsidRPr="008C1E52">
        <w:t>03470-2025</w:t>
      </w:r>
      <w:r w:rsidR="00200BE7" w:rsidRPr="00200BE7">
        <w:t xml:space="preserve">, </w:t>
      </w:r>
      <w:r w:rsidRPr="00FD71B7">
        <w:t>Response to Staff’s F</w:t>
      </w:r>
      <w:r>
        <w:t>irst Data Request, No</w:t>
      </w:r>
      <w:r w:rsidRPr="00FD71B7">
        <w:t xml:space="preserve">. </w:t>
      </w:r>
      <w:r>
        <w:t>1</w:t>
      </w:r>
      <w:r w:rsidR="00CC318D">
        <w:t>.</w:t>
      </w:r>
      <w:r w:rsidRPr="00FD71B7">
        <w:t>a.</w:t>
      </w:r>
      <w:r>
        <w:t xml:space="preserve"> </w:t>
      </w:r>
    </w:p>
  </w:footnote>
  <w:footnote w:id="18">
    <w:p w:rsidR="00A768E5" w:rsidRDefault="00A768E5">
      <w:pPr>
        <w:pStyle w:val="FootnoteText"/>
      </w:pPr>
      <w:r>
        <w:rPr>
          <w:rStyle w:val="FootnoteReference"/>
        </w:rPr>
        <w:footnoteRef/>
      </w:r>
      <w:r>
        <w:t xml:space="preserve"> </w:t>
      </w:r>
      <w:r w:rsidR="00200BE7" w:rsidRPr="00200BE7">
        <w:t xml:space="preserve">Document No. </w:t>
      </w:r>
      <w:r w:rsidR="008C1E52" w:rsidRPr="008C1E52">
        <w:t>03470-2025</w:t>
      </w:r>
      <w:r w:rsidR="00200BE7" w:rsidRPr="00200BE7">
        <w:t xml:space="preserve">, </w:t>
      </w:r>
      <w:r w:rsidRPr="00FD71B7">
        <w:t>Response to Staff’s F</w:t>
      </w:r>
      <w:r>
        <w:t>irst Data Request, No</w:t>
      </w:r>
      <w:r w:rsidRPr="00FD71B7">
        <w:t xml:space="preserve">. </w:t>
      </w:r>
      <w:r w:rsidR="00CC318D">
        <w:t>1.</w:t>
      </w:r>
      <w:r>
        <w:t>b</w:t>
      </w:r>
      <w:r w:rsidRPr="00FD71B7">
        <w:t>.</w:t>
      </w:r>
      <w:r>
        <w:t xml:space="preserve"> </w:t>
      </w:r>
    </w:p>
  </w:footnote>
  <w:footnote w:id="19">
    <w:p w:rsidR="00A768E5" w:rsidRDefault="00A768E5">
      <w:pPr>
        <w:pStyle w:val="FootnoteText"/>
      </w:pPr>
      <w:r>
        <w:rPr>
          <w:rStyle w:val="FootnoteReference"/>
        </w:rPr>
        <w:footnoteRef/>
      </w:r>
      <w:r>
        <w:t xml:space="preserve"> </w:t>
      </w:r>
      <w:r w:rsidR="00200BE7" w:rsidRPr="00200BE7">
        <w:t xml:space="preserve">Document No. </w:t>
      </w:r>
      <w:r w:rsidR="008C1E52" w:rsidRPr="008C1E52">
        <w:t>03470-2025</w:t>
      </w:r>
      <w:r w:rsidR="00200BE7" w:rsidRPr="00200BE7">
        <w:t xml:space="preserve">, </w:t>
      </w:r>
      <w:r w:rsidRPr="00FD71B7">
        <w:t>Response to Staff’s F</w:t>
      </w:r>
      <w:r>
        <w:t>irst Data Request, Nos</w:t>
      </w:r>
      <w:r w:rsidRPr="00FD71B7">
        <w:t xml:space="preserve">. </w:t>
      </w:r>
      <w:r>
        <w:t>1</w:t>
      </w:r>
      <w:r w:rsidR="00CC318D">
        <w:t>.</w:t>
      </w:r>
      <w:r w:rsidRPr="00FD71B7">
        <w:t>a.</w:t>
      </w:r>
      <w:r>
        <w:t xml:space="preserve"> and 2.a. </w:t>
      </w:r>
    </w:p>
  </w:footnote>
  <w:footnote w:id="20">
    <w:p w:rsidR="00A768E5" w:rsidRDefault="00A768E5">
      <w:pPr>
        <w:pStyle w:val="FootnoteText"/>
      </w:pPr>
      <w:r>
        <w:rPr>
          <w:rStyle w:val="FootnoteReference"/>
        </w:rPr>
        <w:footnoteRef/>
      </w:r>
      <w:r>
        <w:t xml:space="preserve"> </w:t>
      </w:r>
      <w:r w:rsidR="008C1E52" w:rsidRPr="00200BE7">
        <w:t xml:space="preserve">Document No. </w:t>
      </w:r>
      <w:r w:rsidR="008C1E52" w:rsidRPr="008C1E52">
        <w:t>03470-2025</w:t>
      </w:r>
      <w:r w:rsidR="008C1E52" w:rsidRPr="00200BE7">
        <w:t>,</w:t>
      </w:r>
      <w:r w:rsidR="008C1E52">
        <w:t xml:space="preserve"> </w:t>
      </w:r>
      <w:r w:rsidRPr="00FD71B7">
        <w:t>Response to Staff’s F</w:t>
      </w:r>
      <w:r>
        <w:t>irst Data Request, No</w:t>
      </w:r>
      <w:r w:rsidR="004B025F">
        <w:t>s. 4.a. and 4.b.</w:t>
      </w:r>
      <w:r>
        <w:t xml:space="preserve"> </w:t>
      </w:r>
    </w:p>
  </w:footnote>
  <w:footnote w:id="21">
    <w:p w:rsidR="00C070E7" w:rsidRDefault="00C070E7" w:rsidP="00C070E7">
      <w:pPr>
        <w:pStyle w:val="FootnoteText"/>
      </w:pPr>
      <w:r>
        <w:rPr>
          <w:rStyle w:val="FootnoteReference"/>
        </w:rPr>
        <w:footnoteRef/>
      </w:r>
      <w:r>
        <w:t xml:space="preserve"> </w:t>
      </w:r>
      <w:r w:rsidR="004513B5" w:rsidRPr="004513B5">
        <w:t>Document No. 08076-2025, Response to Staff’s Third Data Request, No. 1.b.</w:t>
      </w:r>
    </w:p>
  </w:footnote>
  <w:footnote w:id="22">
    <w:p w:rsidR="004B025F" w:rsidRDefault="004B025F">
      <w:pPr>
        <w:pStyle w:val="FootnoteText"/>
      </w:pPr>
      <w:r>
        <w:rPr>
          <w:rStyle w:val="FootnoteReference"/>
        </w:rPr>
        <w:footnoteRef/>
      </w:r>
      <w:r>
        <w:t xml:space="preserve"> </w:t>
      </w:r>
      <w:r w:rsidR="008C1E52" w:rsidRPr="00200BE7">
        <w:t>Document No.</w:t>
      </w:r>
      <w:r w:rsidR="008C1E52" w:rsidRPr="008C1E52">
        <w:t xml:space="preserve"> 08076-2025</w:t>
      </w:r>
      <w:r w:rsidR="008C1E52" w:rsidRPr="00200BE7">
        <w:t>,</w:t>
      </w:r>
      <w:r w:rsidR="008C1E52">
        <w:t xml:space="preserve"> </w:t>
      </w:r>
      <w:r>
        <w:t>Response to Staff’s Third Data Request, No</w:t>
      </w:r>
      <w:r w:rsidRPr="00FD71B7">
        <w:t xml:space="preserve">. </w:t>
      </w:r>
      <w:r>
        <w:t xml:space="preserve">2.e. </w:t>
      </w:r>
    </w:p>
  </w:footnote>
  <w:footnote w:id="23">
    <w:p w:rsidR="00C070E7" w:rsidRDefault="00C070E7" w:rsidP="00C070E7">
      <w:pPr>
        <w:pStyle w:val="FootnoteText"/>
      </w:pPr>
      <w:r>
        <w:rPr>
          <w:rStyle w:val="FootnoteReference"/>
        </w:rPr>
        <w:footnoteRef/>
      </w:r>
      <w:r>
        <w:t xml:space="preserve"> </w:t>
      </w:r>
      <w:r w:rsidR="004513B5" w:rsidRPr="004513B5">
        <w:t>Document No. 03470-2025,</w:t>
      </w:r>
      <w:r w:rsidR="004513B5">
        <w:t xml:space="preserve"> </w:t>
      </w:r>
      <w:r>
        <w:t>Response to Staff’s First Data Request, No. 1.f.</w:t>
      </w:r>
    </w:p>
  </w:footnote>
  <w:footnote w:id="24">
    <w:p w:rsidR="00C070E7" w:rsidRDefault="00C070E7" w:rsidP="00C070E7">
      <w:pPr>
        <w:pStyle w:val="FootnoteText"/>
      </w:pPr>
      <w:r>
        <w:rPr>
          <w:rStyle w:val="FootnoteReference"/>
        </w:rPr>
        <w:footnoteRef/>
      </w:r>
      <w:r>
        <w:t xml:space="preserve"> </w:t>
      </w:r>
      <w:r w:rsidR="004513B5" w:rsidRPr="004513B5">
        <w:t>Document No. 04992-2025, Response to Staff’s Second Data Request, No. 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F8A" w:rsidRDefault="00282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0D2DC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20250057-GU</w:t>
    </w:r>
    <w:bookmarkEnd w:id="15"/>
  </w:p>
  <w:p w:rsidR="00BC402E" w:rsidRDefault="00BC402E">
    <w:pPr>
      <w:pStyle w:val="Header"/>
    </w:pPr>
    <w:r>
      <w:t xml:space="preserve">Date: </w:t>
    </w:r>
    <w:fldSimple w:instr=" REF FilingDate ">
      <w:r w:rsidR="00282F8A">
        <w:t>September 25,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F8A" w:rsidRDefault="00282F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82F8A">
      <w:t>Docket No.</w:t>
    </w:r>
    <w:r>
      <w:fldChar w:fldCharType="end"/>
    </w:r>
    <w:r>
      <w:t xml:space="preserve"> </w:t>
    </w:r>
    <w:r>
      <w:fldChar w:fldCharType="begin"/>
    </w:r>
    <w:r>
      <w:instrText xml:space="preserve"> REF DocketList</w:instrText>
    </w:r>
    <w:r>
      <w:fldChar w:fldCharType="separate"/>
    </w:r>
    <w:r w:rsidR="00282F8A">
      <w:t>20250057-GU</w:t>
    </w:r>
    <w:r>
      <w:fldChar w:fldCharType="end"/>
    </w:r>
    <w:r>
      <w:tab/>
      <w:t xml:space="preserve">Issue </w:t>
    </w:r>
    <w:fldSimple w:instr=" Seq Issue \c \* Arabic ">
      <w:r w:rsidR="00EB121A">
        <w:rPr>
          <w:noProof/>
        </w:rPr>
        <w:t>2</w:t>
      </w:r>
    </w:fldSimple>
  </w:p>
  <w:p w:rsidR="00BC402E" w:rsidRDefault="00BC402E">
    <w:pPr>
      <w:pStyle w:val="Header"/>
    </w:pPr>
    <w:r>
      <w:t xml:space="preserve">Date: </w:t>
    </w:r>
    <w:fldSimple w:instr=" REF FilingDate ">
      <w:r w:rsidR="00282F8A">
        <w:t>September 25, 2025</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1A7" w:rsidRDefault="002311A7" w:rsidP="00220732">
    <w:pPr>
      <w:pStyle w:val="Header"/>
      <w:tabs>
        <w:tab w:val="clear" w:pos="4320"/>
        <w:tab w:val="clear" w:pos="8640"/>
        <w:tab w:val="right" w:pos="9360"/>
      </w:tabs>
    </w:pPr>
    <w:r>
      <w:fldChar w:fldCharType="begin"/>
    </w:r>
    <w:r>
      <w:instrText xml:space="preserve"> REF DocketLabel</w:instrText>
    </w:r>
    <w:r>
      <w:fldChar w:fldCharType="separate"/>
    </w:r>
    <w:r w:rsidR="00282F8A">
      <w:t>Docket No.</w:t>
    </w:r>
    <w:r>
      <w:fldChar w:fldCharType="end"/>
    </w:r>
    <w:r>
      <w:t xml:space="preserve"> </w:t>
    </w:r>
    <w:r>
      <w:fldChar w:fldCharType="begin"/>
    </w:r>
    <w:r>
      <w:instrText xml:space="preserve"> REF DocketList</w:instrText>
    </w:r>
    <w:r>
      <w:fldChar w:fldCharType="separate"/>
    </w:r>
    <w:r w:rsidR="00282F8A">
      <w:t>20250057-GU</w:t>
    </w:r>
    <w:r>
      <w:fldChar w:fldCharType="end"/>
    </w:r>
    <w:r>
      <w:tab/>
      <w:t>Attachment A</w:t>
    </w:r>
  </w:p>
  <w:p w:rsidR="002311A7" w:rsidRDefault="002311A7">
    <w:pPr>
      <w:pStyle w:val="Header"/>
    </w:pPr>
    <w:r>
      <w:t xml:space="preserve">Date: </w:t>
    </w:r>
    <w:fldSimple w:instr=" REF FilingDate ">
      <w:r w:rsidR="00282F8A">
        <w:t>September 25, 2025</w:t>
      </w:r>
    </w:fldSimple>
    <w:r>
      <w:t xml:space="preserve"> </w:t>
    </w:r>
    <w:r>
      <w:tab/>
      <w:t xml:space="preserve">                                                                                               Page </w:t>
    </w:r>
    <w:r>
      <w:fldChar w:fldCharType="begin"/>
    </w:r>
    <w:r>
      <w:instrText xml:space="preserve"> =</w:instrText>
    </w:r>
    <w:r>
      <w:fldChar w:fldCharType="begin"/>
    </w:r>
    <w:r>
      <w:instrText>PAGE</w:instrText>
    </w:r>
    <w:r>
      <w:fldChar w:fldCharType="separate"/>
    </w:r>
    <w:r w:rsidR="00EB121A">
      <w:rPr>
        <w:noProof/>
      </w:rPr>
      <w:instrText>11</w:instrText>
    </w:r>
    <w:r>
      <w:fldChar w:fldCharType="end"/>
    </w:r>
    <w:r w:rsidR="00257771">
      <w:instrText>-9</w:instrText>
    </w:r>
    <w:r>
      <w:fldChar w:fldCharType="separate"/>
    </w:r>
    <w:r w:rsidR="00EB121A">
      <w:rPr>
        <w:noProof/>
      </w:rPr>
      <w:t>2</w:t>
    </w:r>
    <w:r>
      <w:fldChar w:fldCharType="end"/>
    </w:r>
    <w:r w:rsidR="00E22BF2">
      <w:t xml:space="preserve"> of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D32E06"/>
    <w:multiLevelType w:val="hybridMultilevel"/>
    <w:tmpl w:val="128E3D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B43E7A"/>
    <w:multiLevelType w:val="hybridMultilevel"/>
    <w:tmpl w:val="EBC2F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C03450"/>
    <w:rsid w:val="000043D5"/>
    <w:rsid w:val="000048BD"/>
    <w:rsid w:val="00006170"/>
    <w:rsid w:val="00010E37"/>
    <w:rsid w:val="000172DA"/>
    <w:rsid w:val="00022008"/>
    <w:rsid w:val="00022337"/>
    <w:rsid w:val="00023A0E"/>
    <w:rsid w:val="000247C5"/>
    <w:rsid w:val="000277C2"/>
    <w:rsid w:val="00035B48"/>
    <w:rsid w:val="00036CE2"/>
    <w:rsid w:val="00041876"/>
    <w:rsid w:val="0004356B"/>
    <w:rsid w:val="000437FE"/>
    <w:rsid w:val="000513BE"/>
    <w:rsid w:val="00051573"/>
    <w:rsid w:val="0005451B"/>
    <w:rsid w:val="000635C8"/>
    <w:rsid w:val="00064C29"/>
    <w:rsid w:val="00065A06"/>
    <w:rsid w:val="000666F3"/>
    <w:rsid w:val="00066C79"/>
    <w:rsid w:val="00070DCB"/>
    <w:rsid w:val="00072CCA"/>
    <w:rsid w:val="00073120"/>
    <w:rsid w:val="000764D0"/>
    <w:rsid w:val="00080368"/>
    <w:rsid w:val="000828D3"/>
    <w:rsid w:val="00087A0E"/>
    <w:rsid w:val="00090DB4"/>
    <w:rsid w:val="00097804"/>
    <w:rsid w:val="000A2B57"/>
    <w:rsid w:val="000A3A01"/>
    <w:rsid w:val="000A418B"/>
    <w:rsid w:val="000B0ACE"/>
    <w:rsid w:val="000B57D4"/>
    <w:rsid w:val="000C4431"/>
    <w:rsid w:val="000C5435"/>
    <w:rsid w:val="000C6607"/>
    <w:rsid w:val="000D1C06"/>
    <w:rsid w:val="000D2DC0"/>
    <w:rsid w:val="000D3043"/>
    <w:rsid w:val="000D4319"/>
    <w:rsid w:val="000D4831"/>
    <w:rsid w:val="000E24FA"/>
    <w:rsid w:val="000E338A"/>
    <w:rsid w:val="000E4392"/>
    <w:rsid w:val="000E620E"/>
    <w:rsid w:val="000F374A"/>
    <w:rsid w:val="000F3FB8"/>
    <w:rsid w:val="000F4DAF"/>
    <w:rsid w:val="000F53C1"/>
    <w:rsid w:val="000F5936"/>
    <w:rsid w:val="00102784"/>
    <w:rsid w:val="00105BA1"/>
    <w:rsid w:val="001066FE"/>
    <w:rsid w:val="001076AF"/>
    <w:rsid w:val="001109F6"/>
    <w:rsid w:val="00116C6B"/>
    <w:rsid w:val="00117C8C"/>
    <w:rsid w:val="00120642"/>
    <w:rsid w:val="001239F0"/>
    <w:rsid w:val="00124C38"/>
    <w:rsid w:val="00124E2E"/>
    <w:rsid w:val="00125ED4"/>
    <w:rsid w:val="00127E1E"/>
    <w:rsid w:val="001303BF"/>
    <w:rsid w:val="001305A0"/>
    <w:rsid w:val="001305E9"/>
    <w:rsid w:val="001307AF"/>
    <w:rsid w:val="0013347E"/>
    <w:rsid w:val="00135687"/>
    <w:rsid w:val="00136BD1"/>
    <w:rsid w:val="00141A5E"/>
    <w:rsid w:val="00142045"/>
    <w:rsid w:val="00146B5D"/>
    <w:rsid w:val="00150ECE"/>
    <w:rsid w:val="00151464"/>
    <w:rsid w:val="0015506E"/>
    <w:rsid w:val="00157CCC"/>
    <w:rsid w:val="001616DC"/>
    <w:rsid w:val="00163031"/>
    <w:rsid w:val="0016354C"/>
    <w:rsid w:val="00163BA8"/>
    <w:rsid w:val="001654C4"/>
    <w:rsid w:val="0016701C"/>
    <w:rsid w:val="00171A90"/>
    <w:rsid w:val="00171BA0"/>
    <w:rsid w:val="00180254"/>
    <w:rsid w:val="00191E1F"/>
    <w:rsid w:val="00191EE8"/>
    <w:rsid w:val="00192943"/>
    <w:rsid w:val="00193596"/>
    <w:rsid w:val="00193BAF"/>
    <w:rsid w:val="00194791"/>
    <w:rsid w:val="00196046"/>
    <w:rsid w:val="00197835"/>
    <w:rsid w:val="001A206F"/>
    <w:rsid w:val="001A7406"/>
    <w:rsid w:val="001A7AE4"/>
    <w:rsid w:val="001B1EDC"/>
    <w:rsid w:val="001B4053"/>
    <w:rsid w:val="001B4FEE"/>
    <w:rsid w:val="001B51C5"/>
    <w:rsid w:val="001B672A"/>
    <w:rsid w:val="001B6F3F"/>
    <w:rsid w:val="001C13F4"/>
    <w:rsid w:val="001C52B5"/>
    <w:rsid w:val="001C6176"/>
    <w:rsid w:val="001D0D3E"/>
    <w:rsid w:val="001D0E71"/>
    <w:rsid w:val="001D2817"/>
    <w:rsid w:val="001D2899"/>
    <w:rsid w:val="001E14A3"/>
    <w:rsid w:val="001E390F"/>
    <w:rsid w:val="001E7FF4"/>
    <w:rsid w:val="001F1B9D"/>
    <w:rsid w:val="001F2245"/>
    <w:rsid w:val="001F2C63"/>
    <w:rsid w:val="001F3C7A"/>
    <w:rsid w:val="001F48C7"/>
    <w:rsid w:val="001F6DA1"/>
    <w:rsid w:val="00200178"/>
    <w:rsid w:val="00200BE7"/>
    <w:rsid w:val="00202209"/>
    <w:rsid w:val="00204200"/>
    <w:rsid w:val="002044E6"/>
    <w:rsid w:val="00205C82"/>
    <w:rsid w:val="00205DC2"/>
    <w:rsid w:val="00207D13"/>
    <w:rsid w:val="00212B17"/>
    <w:rsid w:val="002163B6"/>
    <w:rsid w:val="00217215"/>
    <w:rsid w:val="00220732"/>
    <w:rsid w:val="0022121F"/>
    <w:rsid w:val="00221D32"/>
    <w:rsid w:val="00222AC1"/>
    <w:rsid w:val="0022357B"/>
    <w:rsid w:val="00225C3F"/>
    <w:rsid w:val="002311A7"/>
    <w:rsid w:val="002370B7"/>
    <w:rsid w:val="00246444"/>
    <w:rsid w:val="00257771"/>
    <w:rsid w:val="00263D44"/>
    <w:rsid w:val="002702AD"/>
    <w:rsid w:val="00281EB4"/>
    <w:rsid w:val="00282588"/>
    <w:rsid w:val="00282F8A"/>
    <w:rsid w:val="002877EC"/>
    <w:rsid w:val="00292D82"/>
    <w:rsid w:val="0029396E"/>
    <w:rsid w:val="00293EE7"/>
    <w:rsid w:val="002963CB"/>
    <w:rsid w:val="002A05EA"/>
    <w:rsid w:val="002A5015"/>
    <w:rsid w:val="002B2DAC"/>
    <w:rsid w:val="002B4A01"/>
    <w:rsid w:val="002B5DC3"/>
    <w:rsid w:val="002B6CC7"/>
    <w:rsid w:val="002C291B"/>
    <w:rsid w:val="002C746A"/>
    <w:rsid w:val="002C7E4E"/>
    <w:rsid w:val="002D226D"/>
    <w:rsid w:val="002D5FDE"/>
    <w:rsid w:val="002D74E3"/>
    <w:rsid w:val="002E3C47"/>
    <w:rsid w:val="002F6030"/>
    <w:rsid w:val="003001AC"/>
    <w:rsid w:val="003037E1"/>
    <w:rsid w:val="00307E51"/>
    <w:rsid w:val="003103EC"/>
    <w:rsid w:val="00312132"/>
    <w:rsid w:val="003130BA"/>
    <w:rsid w:val="00313607"/>
    <w:rsid w:val="003144EF"/>
    <w:rsid w:val="0031480E"/>
    <w:rsid w:val="00316877"/>
    <w:rsid w:val="00321ABD"/>
    <w:rsid w:val="00322F74"/>
    <w:rsid w:val="00323191"/>
    <w:rsid w:val="0032546D"/>
    <w:rsid w:val="00325E15"/>
    <w:rsid w:val="00335116"/>
    <w:rsid w:val="003371F9"/>
    <w:rsid w:val="00340073"/>
    <w:rsid w:val="003411D8"/>
    <w:rsid w:val="0034192C"/>
    <w:rsid w:val="00343FBE"/>
    <w:rsid w:val="003445B0"/>
    <w:rsid w:val="00351361"/>
    <w:rsid w:val="00353B66"/>
    <w:rsid w:val="00355934"/>
    <w:rsid w:val="00357928"/>
    <w:rsid w:val="0036010E"/>
    <w:rsid w:val="003632A3"/>
    <w:rsid w:val="003632FD"/>
    <w:rsid w:val="00370F78"/>
    <w:rsid w:val="00372805"/>
    <w:rsid w:val="00373180"/>
    <w:rsid w:val="00375AB9"/>
    <w:rsid w:val="0037691E"/>
    <w:rsid w:val="003821A0"/>
    <w:rsid w:val="00385B04"/>
    <w:rsid w:val="003864CF"/>
    <w:rsid w:val="003948AE"/>
    <w:rsid w:val="003A08C0"/>
    <w:rsid w:val="003A22A6"/>
    <w:rsid w:val="003A32EB"/>
    <w:rsid w:val="003A452B"/>
    <w:rsid w:val="003A5494"/>
    <w:rsid w:val="003B2510"/>
    <w:rsid w:val="003B4355"/>
    <w:rsid w:val="003B5D0A"/>
    <w:rsid w:val="003B7193"/>
    <w:rsid w:val="003C0861"/>
    <w:rsid w:val="003C2CC4"/>
    <w:rsid w:val="003C3710"/>
    <w:rsid w:val="003C42A3"/>
    <w:rsid w:val="003C48F7"/>
    <w:rsid w:val="003D31A0"/>
    <w:rsid w:val="003E0463"/>
    <w:rsid w:val="003E0EFC"/>
    <w:rsid w:val="003E363F"/>
    <w:rsid w:val="003E4A2B"/>
    <w:rsid w:val="003E5BDD"/>
    <w:rsid w:val="003E6FE9"/>
    <w:rsid w:val="003E76C2"/>
    <w:rsid w:val="003F1367"/>
    <w:rsid w:val="003F1679"/>
    <w:rsid w:val="003F21EB"/>
    <w:rsid w:val="003F4A35"/>
    <w:rsid w:val="003F5F03"/>
    <w:rsid w:val="003F6F03"/>
    <w:rsid w:val="003F7A34"/>
    <w:rsid w:val="003F7FDD"/>
    <w:rsid w:val="00400E4A"/>
    <w:rsid w:val="00402101"/>
    <w:rsid w:val="00402481"/>
    <w:rsid w:val="00402978"/>
    <w:rsid w:val="004042B4"/>
    <w:rsid w:val="00406CAE"/>
    <w:rsid w:val="004108F7"/>
    <w:rsid w:val="00410DC4"/>
    <w:rsid w:val="00412DAE"/>
    <w:rsid w:val="0041302D"/>
    <w:rsid w:val="00414E43"/>
    <w:rsid w:val="0042151A"/>
    <w:rsid w:val="00423740"/>
    <w:rsid w:val="004242E6"/>
    <w:rsid w:val="00427B35"/>
    <w:rsid w:val="00431598"/>
    <w:rsid w:val="004319AD"/>
    <w:rsid w:val="00435267"/>
    <w:rsid w:val="004426B8"/>
    <w:rsid w:val="00442B04"/>
    <w:rsid w:val="00444432"/>
    <w:rsid w:val="0044568C"/>
    <w:rsid w:val="00447D5C"/>
    <w:rsid w:val="00450202"/>
    <w:rsid w:val="004502B2"/>
    <w:rsid w:val="00451166"/>
    <w:rsid w:val="004513B5"/>
    <w:rsid w:val="00451AC5"/>
    <w:rsid w:val="00455499"/>
    <w:rsid w:val="00462D62"/>
    <w:rsid w:val="0046304A"/>
    <w:rsid w:val="004649A7"/>
    <w:rsid w:val="00467458"/>
    <w:rsid w:val="00471860"/>
    <w:rsid w:val="00471DFE"/>
    <w:rsid w:val="00475F76"/>
    <w:rsid w:val="00477026"/>
    <w:rsid w:val="00477730"/>
    <w:rsid w:val="0048336A"/>
    <w:rsid w:val="00484746"/>
    <w:rsid w:val="00484F02"/>
    <w:rsid w:val="00485661"/>
    <w:rsid w:val="00490084"/>
    <w:rsid w:val="0049550A"/>
    <w:rsid w:val="004A25D0"/>
    <w:rsid w:val="004A3D0C"/>
    <w:rsid w:val="004A491B"/>
    <w:rsid w:val="004A744D"/>
    <w:rsid w:val="004B025F"/>
    <w:rsid w:val="004B22DE"/>
    <w:rsid w:val="004B60BD"/>
    <w:rsid w:val="004C0E77"/>
    <w:rsid w:val="004C3150"/>
    <w:rsid w:val="004C3641"/>
    <w:rsid w:val="004C3873"/>
    <w:rsid w:val="004C4390"/>
    <w:rsid w:val="004C4AF7"/>
    <w:rsid w:val="004C73F7"/>
    <w:rsid w:val="004C7501"/>
    <w:rsid w:val="004D020C"/>
    <w:rsid w:val="004D071C"/>
    <w:rsid w:val="004D2881"/>
    <w:rsid w:val="004D2D7D"/>
    <w:rsid w:val="004D385F"/>
    <w:rsid w:val="004D4F10"/>
    <w:rsid w:val="004D5B39"/>
    <w:rsid w:val="004D6720"/>
    <w:rsid w:val="004D7976"/>
    <w:rsid w:val="004E0CEA"/>
    <w:rsid w:val="004E15FE"/>
    <w:rsid w:val="004E330D"/>
    <w:rsid w:val="004E4985"/>
    <w:rsid w:val="004E5147"/>
    <w:rsid w:val="004E69B5"/>
    <w:rsid w:val="004F50D1"/>
    <w:rsid w:val="004F5C43"/>
    <w:rsid w:val="005024B8"/>
    <w:rsid w:val="005050A2"/>
    <w:rsid w:val="00506030"/>
    <w:rsid w:val="0050652D"/>
    <w:rsid w:val="00506C03"/>
    <w:rsid w:val="005074A1"/>
    <w:rsid w:val="00511A11"/>
    <w:rsid w:val="00516496"/>
    <w:rsid w:val="005164F5"/>
    <w:rsid w:val="005219AC"/>
    <w:rsid w:val="00522E7D"/>
    <w:rsid w:val="00523B11"/>
    <w:rsid w:val="0052455B"/>
    <w:rsid w:val="00525505"/>
    <w:rsid w:val="0052572A"/>
    <w:rsid w:val="00532DFB"/>
    <w:rsid w:val="0054176C"/>
    <w:rsid w:val="00543CB3"/>
    <w:rsid w:val="005442E4"/>
    <w:rsid w:val="00544573"/>
    <w:rsid w:val="00547652"/>
    <w:rsid w:val="0055529B"/>
    <w:rsid w:val="00560FF0"/>
    <w:rsid w:val="005614BD"/>
    <w:rsid w:val="0057154F"/>
    <w:rsid w:val="00580F69"/>
    <w:rsid w:val="00581CA3"/>
    <w:rsid w:val="00582B78"/>
    <w:rsid w:val="00585031"/>
    <w:rsid w:val="00586E8B"/>
    <w:rsid w:val="00587090"/>
    <w:rsid w:val="00587A44"/>
    <w:rsid w:val="00597730"/>
    <w:rsid w:val="005977EC"/>
    <w:rsid w:val="00597DE7"/>
    <w:rsid w:val="005A1CD3"/>
    <w:rsid w:val="005A275A"/>
    <w:rsid w:val="005A2EB9"/>
    <w:rsid w:val="005A4AA2"/>
    <w:rsid w:val="005A582F"/>
    <w:rsid w:val="005A5994"/>
    <w:rsid w:val="005B26F0"/>
    <w:rsid w:val="005B34B6"/>
    <w:rsid w:val="005B4A20"/>
    <w:rsid w:val="005B606A"/>
    <w:rsid w:val="005B61BC"/>
    <w:rsid w:val="005B6C8F"/>
    <w:rsid w:val="005B6EC3"/>
    <w:rsid w:val="005C17D7"/>
    <w:rsid w:val="005C2F9D"/>
    <w:rsid w:val="005C33CE"/>
    <w:rsid w:val="005C6D35"/>
    <w:rsid w:val="005C74BB"/>
    <w:rsid w:val="005D0F74"/>
    <w:rsid w:val="005D2E7D"/>
    <w:rsid w:val="005D34E2"/>
    <w:rsid w:val="005D4A8F"/>
    <w:rsid w:val="005D561B"/>
    <w:rsid w:val="005D578F"/>
    <w:rsid w:val="005D5ECF"/>
    <w:rsid w:val="005E3785"/>
    <w:rsid w:val="005E410C"/>
    <w:rsid w:val="005E5355"/>
    <w:rsid w:val="005F468D"/>
    <w:rsid w:val="005F5556"/>
    <w:rsid w:val="005F69A3"/>
    <w:rsid w:val="0060258D"/>
    <w:rsid w:val="00604894"/>
    <w:rsid w:val="00604BBD"/>
    <w:rsid w:val="00604CC7"/>
    <w:rsid w:val="00605278"/>
    <w:rsid w:val="00613441"/>
    <w:rsid w:val="00615423"/>
    <w:rsid w:val="006165B2"/>
    <w:rsid w:val="00617276"/>
    <w:rsid w:val="00621878"/>
    <w:rsid w:val="0062527B"/>
    <w:rsid w:val="00625D97"/>
    <w:rsid w:val="00625F1C"/>
    <w:rsid w:val="0062658E"/>
    <w:rsid w:val="006279E1"/>
    <w:rsid w:val="00630CEB"/>
    <w:rsid w:val="00632264"/>
    <w:rsid w:val="00634B25"/>
    <w:rsid w:val="006355F2"/>
    <w:rsid w:val="0063602E"/>
    <w:rsid w:val="00641494"/>
    <w:rsid w:val="00644EBA"/>
    <w:rsid w:val="006470BC"/>
    <w:rsid w:val="006554D3"/>
    <w:rsid w:val="006603F4"/>
    <w:rsid w:val="00661708"/>
    <w:rsid w:val="00666522"/>
    <w:rsid w:val="00667036"/>
    <w:rsid w:val="00667B89"/>
    <w:rsid w:val="00667D97"/>
    <w:rsid w:val="00673BDB"/>
    <w:rsid w:val="00674341"/>
    <w:rsid w:val="00675D5F"/>
    <w:rsid w:val="006771B8"/>
    <w:rsid w:val="00682631"/>
    <w:rsid w:val="00683A89"/>
    <w:rsid w:val="006843B6"/>
    <w:rsid w:val="0068481F"/>
    <w:rsid w:val="00693EA1"/>
    <w:rsid w:val="0069636F"/>
    <w:rsid w:val="00696F5D"/>
    <w:rsid w:val="00697249"/>
    <w:rsid w:val="006A06F3"/>
    <w:rsid w:val="006A1A67"/>
    <w:rsid w:val="006A36D4"/>
    <w:rsid w:val="006B09C4"/>
    <w:rsid w:val="006B21DD"/>
    <w:rsid w:val="006B3947"/>
    <w:rsid w:val="006B4293"/>
    <w:rsid w:val="006B624F"/>
    <w:rsid w:val="006C0C95"/>
    <w:rsid w:val="006C31E3"/>
    <w:rsid w:val="006D18D3"/>
    <w:rsid w:val="006D1EE9"/>
    <w:rsid w:val="006D2D3D"/>
    <w:rsid w:val="006D339D"/>
    <w:rsid w:val="006D3BD1"/>
    <w:rsid w:val="006E010E"/>
    <w:rsid w:val="006E01A6"/>
    <w:rsid w:val="006E08CB"/>
    <w:rsid w:val="006E2EB2"/>
    <w:rsid w:val="006E326E"/>
    <w:rsid w:val="006E598D"/>
    <w:rsid w:val="006E6EB7"/>
    <w:rsid w:val="006F7DB7"/>
    <w:rsid w:val="0070437D"/>
    <w:rsid w:val="00704CF1"/>
    <w:rsid w:val="00705B04"/>
    <w:rsid w:val="00706A64"/>
    <w:rsid w:val="0071040E"/>
    <w:rsid w:val="00717EE9"/>
    <w:rsid w:val="00724992"/>
    <w:rsid w:val="00724F64"/>
    <w:rsid w:val="00727F90"/>
    <w:rsid w:val="00731C5E"/>
    <w:rsid w:val="00734820"/>
    <w:rsid w:val="007349DC"/>
    <w:rsid w:val="00735247"/>
    <w:rsid w:val="0074365E"/>
    <w:rsid w:val="00744B55"/>
    <w:rsid w:val="007506A2"/>
    <w:rsid w:val="007515FD"/>
    <w:rsid w:val="0075318C"/>
    <w:rsid w:val="00753AB2"/>
    <w:rsid w:val="00756B0D"/>
    <w:rsid w:val="00760D80"/>
    <w:rsid w:val="00761CB4"/>
    <w:rsid w:val="0076493F"/>
    <w:rsid w:val="00780C09"/>
    <w:rsid w:val="00780DDF"/>
    <w:rsid w:val="007834E9"/>
    <w:rsid w:val="00787DBC"/>
    <w:rsid w:val="0079019A"/>
    <w:rsid w:val="00792935"/>
    <w:rsid w:val="007A04A1"/>
    <w:rsid w:val="007A1840"/>
    <w:rsid w:val="007A41DD"/>
    <w:rsid w:val="007B730C"/>
    <w:rsid w:val="007C0528"/>
    <w:rsid w:val="007C08EA"/>
    <w:rsid w:val="007C3D38"/>
    <w:rsid w:val="007C68F8"/>
    <w:rsid w:val="007D0F35"/>
    <w:rsid w:val="007D1783"/>
    <w:rsid w:val="007D4546"/>
    <w:rsid w:val="007D49FE"/>
    <w:rsid w:val="007D4FEB"/>
    <w:rsid w:val="007D6146"/>
    <w:rsid w:val="007E0CE7"/>
    <w:rsid w:val="007E3234"/>
    <w:rsid w:val="007E5041"/>
    <w:rsid w:val="007E6DAF"/>
    <w:rsid w:val="007F1193"/>
    <w:rsid w:val="007F417F"/>
    <w:rsid w:val="007F6D4F"/>
    <w:rsid w:val="007F7644"/>
    <w:rsid w:val="008042BD"/>
    <w:rsid w:val="00804E17"/>
    <w:rsid w:val="008050B3"/>
    <w:rsid w:val="00806527"/>
    <w:rsid w:val="008137F2"/>
    <w:rsid w:val="00814889"/>
    <w:rsid w:val="00816624"/>
    <w:rsid w:val="00822427"/>
    <w:rsid w:val="00822562"/>
    <w:rsid w:val="00823663"/>
    <w:rsid w:val="00823664"/>
    <w:rsid w:val="00826247"/>
    <w:rsid w:val="008305B7"/>
    <w:rsid w:val="008315DA"/>
    <w:rsid w:val="00832DDC"/>
    <w:rsid w:val="008426B0"/>
    <w:rsid w:val="008431BB"/>
    <w:rsid w:val="00845E34"/>
    <w:rsid w:val="008469D6"/>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950C4"/>
    <w:rsid w:val="008A20BA"/>
    <w:rsid w:val="008B5C68"/>
    <w:rsid w:val="008B62AE"/>
    <w:rsid w:val="008C04B5"/>
    <w:rsid w:val="008C14FA"/>
    <w:rsid w:val="008C1E52"/>
    <w:rsid w:val="008C7B0B"/>
    <w:rsid w:val="008D4057"/>
    <w:rsid w:val="008E09B7"/>
    <w:rsid w:val="008E1F19"/>
    <w:rsid w:val="008E7EBF"/>
    <w:rsid w:val="008F0391"/>
    <w:rsid w:val="008F2262"/>
    <w:rsid w:val="008F4D2B"/>
    <w:rsid w:val="008F5B91"/>
    <w:rsid w:val="008F6219"/>
    <w:rsid w:val="008F6D9C"/>
    <w:rsid w:val="008F7736"/>
    <w:rsid w:val="0090019E"/>
    <w:rsid w:val="00900435"/>
    <w:rsid w:val="00901086"/>
    <w:rsid w:val="00901C8A"/>
    <w:rsid w:val="00902F66"/>
    <w:rsid w:val="00903C72"/>
    <w:rsid w:val="00904336"/>
    <w:rsid w:val="00904F3B"/>
    <w:rsid w:val="00905886"/>
    <w:rsid w:val="0090597E"/>
    <w:rsid w:val="009070D6"/>
    <w:rsid w:val="009076C6"/>
    <w:rsid w:val="0091019E"/>
    <w:rsid w:val="009106F1"/>
    <w:rsid w:val="00912404"/>
    <w:rsid w:val="009145D6"/>
    <w:rsid w:val="00915541"/>
    <w:rsid w:val="00920E64"/>
    <w:rsid w:val="00922002"/>
    <w:rsid w:val="009225CB"/>
    <w:rsid w:val="00924020"/>
    <w:rsid w:val="0092444A"/>
    <w:rsid w:val="00924509"/>
    <w:rsid w:val="00924BF4"/>
    <w:rsid w:val="009271A7"/>
    <w:rsid w:val="0092762F"/>
    <w:rsid w:val="0093658B"/>
    <w:rsid w:val="009429FF"/>
    <w:rsid w:val="00942B39"/>
    <w:rsid w:val="009444D1"/>
    <w:rsid w:val="009455E5"/>
    <w:rsid w:val="00945BD6"/>
    <w:rsid w:val="009479FB"/>
    <w:rsid w:val="00951C45"/>
    <w:rsid w:val="00951DD8"/>
    <w:rsid w:val="0096053F"/>
    <w:rsid w:val="009656F2"/>
    <w:rsid w:val="00966A08"/>
    <w:rsid w:val="009701B7"/>
    <w:rsid w:val="00971207"/>
    <w:rsid w:val="009727D1"/>
    <w:rsid w:val="00972FDC"/>
    <w:rsid w:val="00975CB4"/>
    <w:rsid w:val="009833B9"/>
    <w:rsid w:val="009863B0"/>
    <w:rsid w:val="00987DE1"/>
    <w:rsid w:val="00990571"/>
    <w:rsid w:val="009910FC"/>
    <w:rsid w:val="00991905"/>
    <w:rsid w:val="009926B2"/>
    <w:rsid w:val="00993B3C"/>
    <w:rsid w:val="0099673A"/>
    <w:rsid w:val="009A3291"/>
    <w:rsid w:val="009A3330"/>
    <w:rsid w:val="009A548F"/>
    <w:rsid w:val="009A648D"/>
    <w:rsid w:val="009A7C96"/>
    <w:rsid w:val="009B483E"/>
    <w:rsid w:val="009B5536"/>
    <w:rsid w:val="009B58C2"/>
    <w:rsid w:val="009B61BF"/>
    <w:rsid w:val="009C3253"/>
    <w:rsid w:val="009C3DB9"/>
    <w:rsid w:val="009C5968"/>
    <w:rsid w:val="009D0436"/>
    <w:rsid w:val="009D46E5"/>
    <w:rsid w:val="009D568A"/>
    <w:rsid w:val="009D6539"/>
    <w:rsid w:val="009E1136"/>
    <w:rsid w:val="009E7956"/>
    <w:rsid w:val="009F04EC"/>
    <w:rsid w:val="009F2A7C"/>
    <w:rsid w:val="009F3B36"/>
    <w:rsid w:val="00A019B9"/>
    <w:rsid w:val="00A03157"/>
    <w:rsid w:val="00A0463A"/>
    <w:rsid w:val="00A0518C"/>
    <w:rsid w:val="00A11756"/>
    <w:rsid w:val="00A12497"/>
    <w:rsid w:val="00A12508"/>
    <w:rsid w:val="00A1282B"/>
    <w:rsid w:val="00A13A27"/>
    <w:rsid w:val="00A14BC5"/>
    <w:rsid w:val="00A15B7C"/>
    <w:rsid w:val="00A175B6"/>
    <w:rsid w:val="00A21835"/>
    <w:rsid w:val="00A2374B"/>
    <w:rsid w:val="00A23AAB"/>
    <w:rsid w:val="00A23D95"/>
    <w:rsid w:val="00A2781F"/>
    <w:rsid w:val="00A27D6E"/>
    <w:rsid w:val="00A328EC"/>
    <w:rsid w:val="00A33A51"/>
    <w:rsid w:val="00A41CA6"/>
    <w:rsid w:val="00A43114"/>
    <w:rsid w:val="00A431ED"/>
    <w:rsid w:val="00A47927"/>
    <w:rsid w:val="00A47FFC"/>
    <w:rsid w:val="00A52ADA"/>
    <w:rsid w:val="00A5442F"/>
    <w:rsid w:val="00A54FF9"/>
    <w:rsid w:val="00A56765"/>
    <w:rsid w:val="00A63138"/>
    <w:rsid w:val="00A675AC"/>
    <w:rsid w:val="00A7097D"/>
    <w:rsid w:val="00A7581F"/>
    <w:rsid w:val="00A768E5"/>
    <w:rsid w:val="00A81274"/>
    <w:rsid w:val="00A86ACA"/>
    <w:rsid w:val="00A90058"/>
    <w:rsid w:val="00A92439"/>
    <w:rsid w:val="00A92EDD"/>
    <w:rsid w:val="00A92FB1"/>
    <w:rsid w:val="00A931B4"/>
    <w:rsid w:val="00A95980"/>
    <w:rsid w:val="00A95A0C"/>
    <w:rsid w:val="00AA011E"/>
    <w:rsid w:val="00AA251E"/>
    <w:rsid w:val="00AA2765"/>
    <w:rsid w:val="00AA77B5"/>
    <w:rsid w:val="00AB62D5"/>
    <w:rsid w:val="00AB6C5D"/>
    <w:rsid w:val="00AB6EBE"/>
    <w:rsid w:val="00AB762C"/>
    <w:rsid w:val="00AC3401"/>
    <w:rsid w:val="00AC51A7"/>
    <w:rsid w:val="00AC603B"/>
    <w:rsid w:val="00AD0E89"/>
    <w:rsid w:val="00AD1D87"/>
    <w:rsid w:val="00AD444B"/>
    <w:rsid w:val="00AD5614"/>
    <w:rsid w:val="00AD6C78"/>
    <w:rsid w:val="00AE03F0"/>
    <w:rsid w:val="00AE0ED2"/>
    <w:rsid w:val="00AE2EAB"/>
    <w:rsid w:val="00AF13D0"/>
    <w:rsid w:val="00AF3D9B"/>
    <w:rsid w:val="00AF5E0E"/>
    <w:rsid w:val="00AF5F89"/>
    <w:rsid w:val="00AF6FB4"/>
    <w:rsid w:val="00AF73CB"/>
    <w:rsid w:val="00B002D6"/>
    <w:rsid w:val="00B02EF0"/>
    <w:rsid w:val="00B03379"/>
    <w:rsid w:val="00B03FA5"/>
    <w:rsid w:val="00B04110"/>
    <w:rsid w:val="00B05B51"/>
    <w:rsid w:val="00B06F77"/>
    <w:rsid w:val="00B14E5A"/>
    <w:rsid w:val="00B15370"/>
    <w:rsid w:val="00B15C9A"/>
    <w:rsid w:val="00B16DA4"/>
    <w:rsid w:val="00B17BEB"/>
    <w:rsid w:val="00B209FB"/>
    <w:rsid w:val="00B21A3C"/>
    <w:rsid w:val="00B223C0"/>
    <w:rsid w:val="00B234ED"/>
    <w:rsid w:val="00B249B2"/>
    <w:rsid w:val="00B24BEC"/>
    <w:rsid w:val="00B25CA3"/>
    <w:rsid w:val="00B2765A"/>
    <w:rsid w:val="00B27DEB"/>
    <w:rsid w:val="00B3109A"/>
    <w:rsid w:val="00B32D37"/>
    <w:rsid w:val="00B41AA8"/>
    <w:rsid w:val="00B42B45"/>
    <w:rsid w:val="00B436BF"/>
    <w:rsid w:val="00B44436"/>
    <w:rsid w:val="00B45F78"/>
    <w:rsid w:val="00B47A45"/>
    <w:rsid w:val="00B50FAA"/>
    <w:rsid w:val="00B516ED"/>
    <w:rsid w:val="00B565DA"/>
    <w:rsid w:val="00B57A6A"/>
    <w:rsid w:val="00B62D0D"/>
    <w:rsid w:val="00B7272D"/>
    <w:rsid w:val="00B760F1"/>
    <w:rsid w:val="00B7669E"/>
    <w:rsid w:val="00B76EBB"/>
    <w:rsid w:val="00B77DA1"/>
    <w:rsid w:val="00B77F32"/>
    <w:rsid w:val="00B822A0"/>
    <w:rsid w:val="00B8261F"/>
    <w:rsid w:val="00B82F85"/>
    <w:rsid w:val="00B8510B"/>
    <w:rsid w:val="00B858AE"/>
    <w:rsid w:val="00B85964"/>
    <w:rsid w:val="00B947D1"/>
    <w:rsid w:val="00B96250"/>
    <w:rsid w:val="00BA0D55"/>
    <w:rsid w:val="00BA37B3"/>
    <w:rsid w:val="00BA4CC6"/>
    <w:rsid w:val="00BA7F46"/>
    <w:rsid w:val="00BB0F1D"/>
    <w:rsid w:val="00BB21E5"/>
    <w:rsid w:val="00BB3493"/>
    <w:rsid w:val="00BB4CA0"/>
    <w:rsid w:val="00BB5ED7"/>
    <w:rsid w:val="00BB6E4C"/>
    <w:rsid w:val="00BB7468"/>
    <w:rsid w:val="00BC0514"/>
    <w:rsid w:val="00BC188A"/>
    <w:rsid w:val="00BC2773"/>
    <w:rsid w:val="00BC3B87"/>
    <w:rsid w:val="00BC402E"/>
    <w:rsid w:val="00BC408A"/>
    <w:rsid w:val="00BC70C6"/>
    <w:rsid w:val="00BD0F48"/>
    <w:rsid w:val="00BD14E5"/>
    <w:rsid w:val="00BD5FC6"/>
    <w:rsid w:val="00BD7C7D"/>
    <w:rsid w:val="00BE0E50"/>
    <w:rsid w:val="00BE56C3"/>
    <w:rsid w:val="00BE6DDB"/>
    <w:rsid w:val="00BE6FDA"/>
    <w:rsid w:val="00BF03E0"/>
    <w:rsid w:val="00BF421D"/>
    <w:rsid w:val="00BF5010"/>
    <w:rsid w:val="00C00841"/>
    <w:rsid w:val="00C03009"/>
    <w:rsid w:val="00C03450"/>
    <w:rsid w:val="00C03B87"/>
    <w:rsid w:val="00C03D5F"/>
    <w:rsid w:val="00C06E60"/>
    <w:rsid w:val="00C070E7"/>
    <w:rsid w:val="00C1283B"/>
    <w:rsid w:val="00C13791"/>
    <w:rsid w:val="00C15B14"/>
    <w:rsid w:val="00C210BD"/>
    <w:rsid w:val="00C2575A"/>
    <w:rsid w:val="00C31BB3"/>
    <w:rsid w:val="00C36977"/>
    <w:rsid w:val="00C458D8"/>
    <w:rsid w:val="00C46628"/>
    <w:rsid w:val="00C467DA"/>
    <w:rsid w:val="00C477D9"/>
    <w:rsid w:val="00C530DF"/>
    <w:rsid w:val="00C53160"/>
    <w:rsid w:val="00C57869"/>
    <w:rsid w:val="00C6097E"/>
    <w:rsid w:val="00C60BA3"/>
    <w:rsid w:val="00C623F7"/>
    <w:rsid w:val="00C6297D"/>
    <w:rsid w:val="00C62A81"/>
    <w:rsid w:val="00C67CD7"/>
    <w:rsid w:val="00C71E00"/>
    <w:rsid w:val="00C75BC5"/>
    <w:rsid w:val="00C81670"/>
    <w:rsid w:val="00C81773"/>
    <w:rsid w:val="00C82861"/>
    <w:rsid w:val="00C8396C"/>
    <w:rsid w:val="00C83F7D"/>
    <w:rsid w:val="00C8564E"/>
    <w:rsid w:val="00C86896"/>
    <w:rsid w:val="00C907A8"/>
    <w:rsid w:val="00C91670"/>
    <w:rsid w:val="00C93211"/>
    <w:rsid w:val="00C93DB8"/>
    <w:rsid w:val="00C942EC"/>
    <w:rsid w:val="00C96047"/>
    <w:rsid w:val="00C96C9E"/>
    <w:rsid w:val="00C979D0"/>
    <w:rsid w:val="00CA0818"/>
    <w:rsid w:val="00CA08B9"/>
    <w:rsid w:val="00CA15C8"/>
    <w:rsid w:val="00CA2C8F"/>
    <w:rsid w:val="00CA30DA"/>
    <w:rsid w:val="00CA3A24"/>
    <w:rsid w:val="00CB1777"/>
    <w:rsid w:val="00CB33E9"/>
    <w:rsid w:val="00CB402A"/>
    <w:rsid w:val="00CC10A9"/>
    <w:rsid w:val="00CC311D"/>
    <w:rsid w:val="00CC318D"/>
    <w:rsid w:val="00CC7E29"/>
    <w:rsid w:val="00CD0655"/>
    <w:rsid w:val="00CD0660"/>
    <w:rsid w:val="00CE2BF8"/>
    <w:rsid w:val="00CE484E"/>
    <w:rsid w:val="00CE4D20"/>
    <w:rsid w:val="00CE656F"/>
    <w:rsid w:val="00CE6A0B"/>
    <w:rsid w:val="00CF0DA8"/>
    <w:rsid w:val="00CF2E25"/>
    <w:rsid w:val="00CF37AC"/>
    <w:rsid w:val="00CF4453"/>
    <w:rsid w:val="00CF4E7D"/>
    <w:rsid w:val="00CF5589"/>
    <w:rsid w:val="00CF5D94"/>
    <w:rsid w:val="00CF7E0F"/>
    <w:rsid w:val="00D00893"/>
    <w:rsid w:val="00D01DEA"/>
    <w:rsid w:val="00D034D7"/>
    <w:rsid w:val="00D04BE4"/>
    <w:rsid w:val="00D06FC7"/>
    <w:rsid w:val="00D12565"/>
    <w:rsid w:val="00D140C1"/>
    <w:rsid w:val="00D14127"/>
    <w:rsid w:val="00D26009"/>
    <w:rsid w:val="00D479AE"/>
    <w:rsid w:val="00D5097D"/>
    <w:rsid w:val="00D50FCD"/>
    <w:rsid w:val="00D533E3"/>
    <w:rsid w:val="00D60B16"/>
    <w:rsid w:val="00D60F02"/>
    <w:rsid w:val="00D62AF1"/>
    <w:rsid w:val="00D63E60"/>
    <w:rsid w:val="00D64A0B"/>
    <w:rsid w:val="00D66E49"/>
    <w:rsid w:val="00D70D71"/>
    <w:rsid w:val="00D72F74"/>
    <w:rsid w:val="00D73A20"/>
    <w:rsid w:val="00D800AD"/>
    <w:rsid w:val="00D80349"/>
    <w:rsid w:val="00D81563"/>
    <w:rsid w:val="00D837C1"/>
    <w:rsid w:val="00D85907"/>
    <w:rsid w:val="00D860AC"/>
    <w:rsid w:val="00D9073E"/>
    <w:rsid w:val="00D91031"/>
    <w:rsid w:val="00D91A40"/>
    <w:rsid w:val="00D9221D"/>
    <w:rsid w:val="00D9253C"/>
    <w:rsid w:val="00D9299B"/>
    <w:rsid w:val="00D92C44"/>
    <w:rsid w:val="00D958B2"/>
    <w:rsid w:val="00D958DF"/>
    <w:rsid w:val="00D9684D"/>
    <w:rsid w:val="00D96DA1"/>
    <w:rsid w:val="00DA51E7"/>
    <w:rsid w:val="00DA5ACA"/>
    <w:rsid w:val="00DB0260"/>
    <w:rsid w:val="00DB16CB"/>
    <w:rsid w:val="00DB1C78"/>
    <w:rsid w:val="00DB7D96"/>
    <w:rsid w:val="00DC23FE"/>
    <w:rsid w:val="00DC351C"/>
    <w:rsid w:val="00DC519E"/>
    <w:rsid w:val="00DC59E6"/>
    <w:rsid w:val="00DD150B"/>
    <w:rsid w:val="00DD3356"/>
    <w:rsid w:val="00DD43CC"/>
    <w:rsid w:val="00DD5025"/>
    <w:rsid w:val="00DD5464"/>
    <w:rsid w:val="00DD56BF"/>
    <w:rsid w:val="00DD59B5"/>
    <w:rsid w:val="00DD6F85"/>
    <w:rsid w:val="00DD748A"/>
    <w:rsid w:val="00DE254E"/>
    <w:rsid w:val="00DE32C0"/>
    <w:rsid w:val="00DE413B"/>
    <w:rsid w:val="00DE52C0"/>
    <w:rsid w:val="00DE76A7"/>
    <w:rsid w:val="00DF1510"/>
    <w:rsid w:val="00DF3049"/>
    <w:rsid w:val="00DF792E"/>
    <w:rsid w:val="00E01E35"/>
    <w:rsid w:val="00E02F1F"/>
    <w:rsid w:val="00E05454"/>
    <w:rsid w:val="00E0559D"/>
    <w:rsid w:val="00E06484"/>
    <w:rsid w:val="00E06B24"/>
    <w:rsid w:val="00E20A7D"/>
    <w:rsid w:val="00E22BF2"/>
    <w:rsid w:val="00E23FE4"/>
    <w:rsid w:val="00E275D8"/>
    <w:rsid w:val="00E30F6A"/>
    <w:rsid w:val="00E3117C"/>
    <w:rsid w:val="00E31288"/>
    <w:rsid w:val="00E3191F"/>
    <w:rsid w:val="00E34307"/>
    <w:rsid w:val="00E34511"/>
    <w:rsid w:val="00E3635B"/>
    <w:rsid w:val="00E375C3"/>
    <w:rsid w:val="00E375CA"/>
    <w:rsid w:val="00E44D07"/>
    <w:rsid w:val="00E51E52"/>
    <w:rsid w:val="00E5264D"/>
    <w:rsid w:val="00E5364F"/>
    <w:rsid w:val="00E53CDE"/>
    <w:rsid w:val="00E567E8"/>
    <w:rsid w:val="00E63766"/>
    <w:rsid w:val="00E64679"/>
    <w:rsid w:val="00E65EBC"/>
    <w:rsid w:val="00E6602E"/>
    <w:rsid w:val="00E677FE"/>
    <w:rsid w:val="00E70C78"/>
    <w:rsid w:val="00E72B17"/>
    <w:rsid w:val="00E73432"/>
    <w:rsid w:val="00E77B0C"/>
    <w:rsid w:val="00E77FB8"/>
    <w:rsid w:val="00E80717"/>
    <w:rsid w:val="00E838B0"/>
    <w:rsid w:val="00E86A7C"/>
    <w:rsid w:val="00E878E1"/>
    <w:rsid w:val="00E87F2C"/>
    <w:rsid w:val="00E95278"/>
    <w:rsid w:val="00E96A42"/>
    <w:rsid w:val="00EA0769"/>
    <w:rsid w:val="00EA1DFC"/>
    <w:rsid w:val="00EA2273"/>
    <w:rsid w:val="00EA7C3C"/>
    <w:rsid w:val="00EB121A"/>
    <w:rsid w:val="00EB1A09"/>
    <w:rsid w:val="00EB2DB3"/>
    <w:rsid w:val="00EB384B"/>
    <w:rsid w:val="00EC3FBB"/>
    <w:rsid w:val="00EC618C"/>
    <w:rsid w:val="00EC6B7A"/>
    <w:rsid w:val="00ED3A87"/>
    <w:rsid w:val="00ED5B67"/>
    <w:rsid w:val="00ED6736"/>
    <w:rsid w:val="00EE1A5C"/>
    <w:rsid w:val="00EE46FF"/>
    <w:rsid w:val="00EE5F5A"/>
    <w:rsid w:val="00EE6037"/>
    <w:rsid w:val="00EE7F40"/>
    <w:rsid w:val="00EF0400"/>
    <w:rsid w:val="00EF22FB"/>
    <w:rsid w:val="00EF264C"/>
    <w:rsid w:val="00EF3FEE"/>
    <w:rsid w:val="00EF6B41"/>
    <w:rsid w:val="00F04B59"/>
    <w:rsid w:val="00F07B69"/>
    <w:rsid w:val="00F11741"/>
    <w:rsid w:val="00F117B0"/>
    <w:rsid w:val="00F12B1C"/>
    <w:rsid w:val="00F13CF8"/>
    <w:rsid w:val="00F15855"/>
    <w:rsid w:val="00F200B2"/>
    <w:rsid w:val="00F2245B"/>
    <w:rsid w:val="00F227DC"/>
    <w:rsid w:val="00F25E42"/>
    <w:rsid w:val="00F263B9"/>
    <w:rsid w:val="00F30701"/>
    <w:rsid w:val="00F310CA"/>
    <w:rsid w:val="00F32978"/>
    <w:rsid w:val="00F37413"/>
    <w:rsid w:val="00F42D73"/>
    <w:rsid w:val="00F45CB2"/>
    <w:rsid w:val="00F511F3"/>
    <w:rsid w:val="00F544C0"/>
    <w:rsid w:val="00F55332"/>
    <w:rsid w:val="00F6156E"/>
    <w:rsid w:val="00F62F19"/>
    <w:rsid w:val="00F6504A"/>
    <w:rsid w:val="00F65519"/>
    <w:rsid w:val="00F6646E"/>
    <w:rsid w:val="00F66D9F"/>
    <w:rsid w:val="00F713C0"/>
    <w:rsid w:val="00F75DDC"/>
    <w:rsid w:val="00F7792F"/>
    <w:rsid w:val="00F806D2"/>
    <w:rsid w:val="00F842AA"/>
    <w:rsid w:val="00F8476F"/>
    <w:rsid w:val="00F853E1"/>
    <w:rsid w:val="00F85604"/>
    <w:rsid w:val="00F91280"/>
    <w:rsid w:val="00F93809"/>
    <w:rsid w:val="00F94B7A"/>
    <w:rsid w:val="00FA17AC"/>
    <w:rsid w:val="00FA32DE"/>
    <w:rsid w:val="00FA3382"/>
    <w:rsid w:val="00FA59CD"/>
    <w:rsid w:val="00FB0CDC"/>
    <w:rsid w:val="00FB1740"/>
    <w:rsid w:val="00FB4235"/>
    <w:rsid w:val="00FB6716"/>
    <w:rsid w:val="00FC3F08"/>
    <w:rsid w:val="00FC4446"/>
    <w:rsid w:val="00FC4A0A"/>
    <w:rsid w:val="00FC5469"/>
    <w:rsid w:val="00FC6D7D"/>
    <w:rsid w:val="00FD16B0"/>
    <w:rsid w:val="00FD4FED"/>
    <w:rsid w:val="00FD71B7"/>
    <w:rsid w:val="00FE00C8"/>
    <w:rsid w:val="00FE0577"/>
    <w:rsid w:val="00FE2FF8"/>
    <w:rsid w:val="00FE59EC"/>
    <w:rsid w:val="00FE5B67"/>
    <w:rsid w:val="00FE60D6"/>
    <w:rsid w:val="00FE661E"/>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A2333A0-E44F-4A97-8FF3-204721FE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D2DC0"/>
    <w:rPr>
      <w:vertAlign w:val="superscript"/>
    </w:rPr>
  </w:style>
  <w:style w:type="character" w:styleId="CommentReference">
    <w:name w:val="annotation reference"/>
    <w:basedOn w:val="DefaultParagraphFont"/>
    <w:semiHidden/>
    <w:unhideWhenUsed/>
    <w:rsid w:val="00BB4CA0"/>
    <w:rPr>
      <w:sz w:val="16"/>
      <w:szCs w:val="16"/>
    </w:rPr>
  </w:style>
  <w:style w:type="character" w:styleId="Strong">
    <w:name w:val="Strong"/>
    <w:basedOn w:val="DefaultParagraphFont"/>
    <w:uiPriority w:val="22"/>
    <w:qFormat/>
    <w:rsid w:val="007C68F8"/>
    <w:rPr>
      <w:b/>
      <w:bCs/>
    </w:rPr>
  </w:style>
  <w:style w:type="character" w:styleId="FollowedHyperlink">
    <w:name w:val="FollowedHyperlink"/>
    <w:basedOn w:val="DefaultParagraphFont"/>
    <w:semiHidden/>
    <w:unhideWhenUsed/>
    <w:rsid w:val="00064C29"/>
    <w:rPr>
      <w:color w:val="800080" w:themeColor="followedHyperlink"/>
      <w:u w:val="single"/>
    </w:rPr>
  </w:style>
  <w:style w:type="character" w:customStyle="1" w:styleId="CommentTextChar">
    <w:name w:val="Comment Text Char"/>
    <w:basedOn w:val="DefaultParagraphFont"/>
    <w:link w:val="CommentText"/>
    <w:semiHidden/>
    <w:rsid w:val="006E0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055501">
      <w:bodyDiv w:val="1"/>
      <w:marLeft w:val="0"/>
      <w:marRight w:val="0"/>
      <w:marTop w:val="0"/>
      <w:marBottom w:val="0"/>
      <w:divBdr>
        <w:top w:val="none" w:sz="0" w:space="0" w:color="auto"/>
        <w:left w:val="none" w:sz="0" w:space="0" w:color="auto"/>
        <w:bottom w:val="none" w:sz="0" w:space="0" w:color="auto"/>
        <w:right w:val="none" w:sz="0" w:space="0" w:color="auto"/>
      </w:divBdr>
    </w:div>
    <w:div w:id="204852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3827A-5304-4B10-937A-EB36D4A1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11</Pages>
  <Words>2959</Words>
  <Characters>17144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Bria Pope</dc:creator>
  <cp:lastModifiedBy>Jackie Colson</cp:lastModifiedBy>
  <cp:revision>2</cp:revision>
  <cp:lastPrinted>2025-09-24T15:30:00Z</cp:lastPrinted>
  <dcterms:created xsi:type="dcterms:W3CDTF">2025-09-25T15:26:00Z</dcterms:created>
  <dcterms:modified xsi:type="dcterms:W3CDTF">2025-09-25T15:26:00Z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20250057-GU</vt:lpwstr>
  </property>
  <property fmtid="{D5CDD505-2E9C-101B-9397-08002B2CF9AE}" pid="3" name="MasterDocument">
    <vt:bool>false</vt:bool>
  </property>
</Properties>
</file>