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64B9042E"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39770DEF" w14:textId="77777777" w:rsidR="007C0528" w:rsidRDefault="007C0528" w:rsidP="00532DFB">
            <w:pPr>
              <w:pStyle w:val="MastHeadState"/>
            </w:pPr>
            <w:bookmarkStart w:id="0" w:name="_GoBack"/>
            <w:bookmarkEnd w:id="0"/>
            <w:r>
              <w:t>State of Florida</w:t>
            </w:r>
          </w:p>
          <w:p w14:paraId="275E544E" w14:textId="77777777" w:rsidR="007C0528" w:rsidRDefault="00072CCA">
            <w:pPr>
              <w:jc w:val="center"/>
            </w:pPr>
            <w:r>
              <w:rPr>
                <w:noProof/>
              </w:rPr>
              <w:drawing>
                <wp:inline distT="0" distB="0" distL="0" distR="0" wp14:anchorId="2F6966EE" wp14:editId="799E94FF">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68D4FCF0"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4DF883C4" w14:textId="77777777" w:rsidR="007C0528" w:rsidRDefault="007C0528">
            <w:pPr>
              <w:pStyle w:val="MastHeadPSC"/>
            </w:pPr>
            <w:r>
              <w:t>Public Service Commission</w:t>
            </w:r>
          </w:p>
          <w:p w14:paraId="51E3C45A" w14:textId="77777777" w:rsidR="007C0528" w:rsidRDefault="007C0528">
            <w:pPr>
              <w:pStyle w:val="MastHeadAddress"/>
            </w:pPr>
            <w:r>
              <w:t>Capital Circle Office Center ● 2540 Shumard Oak Boulevard</w:t>
            </w:r>
            <w:r>
              <w:br/>
              <w:t>Tallahassee, Florida 32399-0850</w:t>
            </w:r>
          </w:p>
          <w:p w14:paraId="29F09BD8" w14:textId="77777777" w:rsidR="007C0528" w:rsidRDefault="007C0528">
            <w:pPr>
              <w:pStyle w:val="MastHeadMemorandum"/>
            </w:pPr>
            <w:r>
              <w:t>-M-E-M-O-R-A-N-D-U-M-</w:t>
            </w:r>
          </w:p>
          <w:p w14:paraId="0E977D92" w14:textId="77777777" w:rsidR="007C0528" w:rsidRDefault="007C0528">
            <w:pPr>
              <w:pStyle w:val="MemoHeading"/>
            </w:pPr>
          </w:p>
        </w:tc>
      </w:tr>
      <w:tr w:rsidR="007C0528" w14:paraId="1D2D313A"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28E2571E"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0E34DDC9" w14:textId="77777777" w:rsidR="007C0528" w:rsidRDefault="0034327A">
            <w:pPr>
              <w:pStyle w:val="MemoHeading"/>
            </w:pPr>
            <w:bookmarkStart w:id="1" w:name="FilingDate"/>
            <w:r>
              <w:t>January 22, 2026</w:t>
            </w:r>
            <w:bookmarkEnd w:id="1"/>
          </w:p>
        </w:tc>
      </w:tr>
      <w:tr w:rsidR="007C0528" w14:paraId="7FA9D7E1" w14:textId="77777777">
        <w:tc>
          <w:tcPr>
            <w:tcW w:w="1254" w:type="dxa"/>
            <w:tcBorders>
              <w:top w:val="nil"/>
              <w:left w:val="nil"/>
              <w:bottom w:val="nil"/>
              <w:right w:val="nil"/>
            </w:tcBorders>
            <w:shd w:val="clear" w:color="auto" w:fill="auto"/>
            <w:tcMar>
              <w:top w:w="288" w:type="dxa"/>
              <w:bottom w:w="0" w:type="dxa"/>
              <w:right w:w="0" w:type="dxa"/>
            </w:tcMar>
          </w:tcPr>
          <w:p w14:paraId="69C6434D"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7610DAE1" w14:textId="77777777" w:rsidR="007C0528" w:rsidRDefault="007C0528" w:rsidP="0093658B">
            <w:pPr>
              <w:pStyle w:val="MemoHeading"/>
            </w:pPr>
            <w:r>
              <w:t>Office of Commission Clerk (</w:t>
            </w:r>
            <w:r w:rsidR="004E69B5">
              <w:t>Teitzman</w:t>
            </w:r>
            <w:r>
              <w:t>)</w:t>
            </w:r>
          </w:p>
        </w:tc>
      </w:tr>
      <w:tr w:rsidR="007C0528" w14:paraId="5D27DC64" w14:textId="77777777">
        <w:tc>
          <w:tcPr>
            <w:tcW w:w="1254" w:type="dxa"/>
            <w:tcBorders>
              <w:top w:val="nil"/>
              <w:left w:val="nil"/>
              <w:bottom w:val="nil"/>
              <w:right w:val="nil"/>
            </w:tcBorders>
            <w:shd w:val="clear" w:color="auto" w:fill="auto"/>
            <w:tcMar>
              <w:top w:w="288" w:type="dxa"/>
              <w:right w:w="0" w:type="dxa"/>
            </w:tcMar>
          </w:tcPr>
          <w:p w14:paraId="31CBD38B"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737F3843" w14:textId="77777777" w:rsidR="0034327A" w:rsidRDefault="0034327A">
            <w:pPr>
              <w:pStyle w:val="MemoHeading"/>
            </w:pPr>
            <w:bookmarkStart w:id="2" w:name="From"/>
            <w:r>
              <w:t>Division of Engineering (Ramirez-Abundez, King, Ramos, Smith II)</w:t>
            </w:r>
          </w:p>
          <w:p w14:paraId="729E4817" w14:textId="3B38EDA2" w:rsidR="0034327A" w:rsidRDefault="0034327A">
            <w:pPr>
              <w:pStyle w:val="MemoHeading"/>
            </w:pPr>
            <w:r>
              <w:t xml:space="preserve">Division of Accounting and Finance (Cohn, </w:t>
            </w:r>
            <w:r w:rsidR="00D34337">
              <w:t xml:space="preserve">G. </w:t>
            </w:r>
            <w:r>
              <w:t>Kelley)</w:t>
            </w:r>
          </w:p>
          <w:p w14:paraId="3D408DF8" w14:textId="77777777" w:rsidR="0034327A" w:rsidRDefault="0034327A">
            <w:pPr>
              <w:pStyle w:val="MemoHeading"/>
            </w:pPr>
            <w:r>
              <w:t>Division of Economics (Bruce, Hudson, Sibley)</w:t>
            </w:r>
          </w:p>
          <w:p w14:paraId="7093476C" w14:textId="77777777" w:rsidR="007C0528" w:rsidRDefault="0034327A">
            <w:pPr>
              <w:pStyle w:val="MemoHeading"/>
            </w:pPr>
            <w:r>
              <w:t>Office of the General Counsel (Imig, Augspurger)</w:t>
            </w:r>
            <w:bookmarkEnd w:id="2"/>
          </w:p>
        </w:tc>
      </w:tr>
      <w:tr w:rsidR="007C0528" w14:paraId="3FEFD243" w14:textId="77777777">
        <w:tc>
          <w:tcPr>
            <w:tcW w:w="1254" w:type="dxa"/>
            <w:tcBorders>
              <w:top w:val="nil"/>
              <w:left w:val="nil"/>
              <w:bottom w:val="nil"/>
              <w:right w:val="nil"/>
            </w:tcBorders>
            <w:shd w:val="clear" w:color="auto" w:fill="auto"/>
            <w:tcMar>
              <w:top w:w="288" w:type="dxa"/>
              <w:right w:w="0" w:type="dxa"/>
            </w:tcMar>
          </w:tcPr>
          <w:p w14:paraId="5D3EC05E"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4B66C065" w14:textId="77777777" w:rsidR="007C0528" w:rsidRDefault="0034327A">
            <w:pPr>
              <w:pStyle w:val="MemoHeadingRe"/>
            </w:pPr>
            <w:bookmarkStart w:id="3" w:name="Re"/>
            <w:r>
              <w:t>Docket No. 20250023-WS – Application for staff-assisted rate case in Polk County, by NC Real Estate Projects, LLC d/b/a Grenelefe Utility.</w:t>
            </w:r>
            <w:bookmarkEnd w:id="3"/>
          </w:p>
        </w:tc>
      </w:tr>
      <w:tr w:rsidR="007C0528" w14:paraId="61B10522" w14:textId="77777777">
        <w:tc>
          <w:tcPr>
            <w:tcW w:w="1254" w:type="dxa"/>
            <w:tcBorders>
              <w:top w:val="nil"/>
              <w:left w:val="nil"/>
              <w:bottom w:val="nil"/>
              <w:right w:val="nil"/>
            </w:tcBorders>
            <w:shd w:val="clear" w:color="auto" w:fill="auto"/>
            <w:tcMar>
              <w:top w:w="288" w:type="dxa"/>
              <w:bottom w:w="0" w:type="dxa"/>
              <w:right w:w="0" w:type="dxa"/>
            </w:tcMar>
          </w:tcPr>
          <w:p w14:paraId="6E621992"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447BEFF3" w14:textId="4CE34883" w:rsidR="007C0528" w:rsidRDefault="00C60899">
            <w:pPr>
              <w:pStyle w:val="MemoHeading"/>
            </w:pPr>
            <w:bookmarkStart w:id="4" w:name="AgendaDate"/>
            <w:r>
              <w:t>02/03/26</w:t>
            </w:r>
            <w:bookmarkEnd w:id="4"/>
            <w:r>
              <w:t xml:space="preserve"> – </w:t>
            </w:r>
            <w:bookmarkStart w:id="5" w:name="PermittedStatus"/>
            <w:r>
              <w:t>Regular Agenda – Proposed Agency Action – Except for Issue Nos. 13, 14, and 15 - Interested Persons May Participate</w:t>
            </w:r>
            <w:bookmarkEnd w:id="5"/>
          </w:p>
        </w:tc>
      </w:tr>
      <w:tr w:rsidR="007C0528" w14:paraId="76E0EE85" w14:textId="77777777">
        <w:tc>
          <w:tcPr>
            <w:tcW w:w="3690" w:type="dxa"/>
            <w:gridSpan w:val="3"/>
            <w:tcBorders>
              <w:top w:val="nil"/>
              <w:left w:val="nil"/>
              <w:bottom w:val="nil"/>
              <w:right w:val="nil"/>
            </w:tcBorders>
            <w:shd w:val="clear" w:color="auto" w:fill="auto"/>
            <w:tcMar>
              <w:top w:w="288" w:type="dxa"/>
              <w:bottom w:w="0" w:type="dxa"/>
              <w:right w:w="0" w:type="dxa"/>
            </w:tcMar>
          </w:tcPr>
          <w:p w14:paraId="5F1ECA9B"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3B4F93AC" w14:textId="77777777" w:rsidR="007C0528" w:rsidRDefault="0034327A">
            <w:pPr>
              <w:pStyle w:val="MemoHeading"/>
            </w:pPr>
            <w:bookmarkStart w:id="6" w:name="CommissionersAssigned"/>
            <w:r>
              <w:t>All Commissioners</w:t>
            </w:r>
            <w:bookmarkEnd w:id="6"/>
          </w:p>
        </w:tc>
      </w:tr>
      <w:tr w:rsidR="00C60899" w14:paraId="200B64FA" w14:textId="77777777">
        <w:tc>
          <w:tcPr>
            <w:tcW w:w="3690" w:type="dxa"/>
            <w:gridSpan w:val="3"/>
            <w:tcBorders>
              <w:top w:val="nil"/>
              <w:left w:val="nil"/>
              <w:bottom w:val="nil"/>
              <w:right w:val="nil"/>
            </w:tcBorders>
            <w:shd w:val="clear" w:color="auto" w:fill="auto"/>
            <w:tcMar>
              <w:top w:w="288" w:type="dxa"/>
              <w:bottom w:w="0" w:type="dxa"/>
              <w:right w:w="0" w:type="dxa"/>
            </w:tcMar>
          </w:tcPr>
          <w:p w14:paraId="2E2B57A2" w14:textId="77777777" w:rsidR="00C60899" w:rsidRDefault="00C60899" w:rsidP="00C60899">
            <w:pPr>
              <w:pStyle w:val="MemoHeadingLabel"/>
            </w:pPr>
            <w:r>
              <w:t>PREHEARING OFFICER:</w:t>
            </w:r>
          </w:p>
        </w:tc>
        <w:tc>
          <w:tcPr>
            <w:tcW w:w="5785" w:type="dxa"/>
            <w:tcBorders>
              <w:top w:val="nil"/>
              <w:left w:val="nil"/>
              <w:bottom w:val="nil"/>
              <w:right w:val="nil"/>
            </w:tcBorders>
            <w:shd w:val="clear" w:color="auto" w:fill="auto"/>
          </w:tcPr>
          <w:p w14:paraId="4FCDAA4E" w14:textId="632A7B55" w:rsidR="00C60899" w:rsidRDefault="00C60899" w:rsidP="00C60899">
            <w:pPr>
              <w:pStyle w:val="MemoHeading"/>
            </w:pPr>
            <w:r>
              <w:t>Ortega</w:t>
            </w:r>
          </w:p>
        </w:tc>
      </w:tr>
      <w:tr w:rsidR="00C60899" w14:paraId="72AB9398"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702DA136" w14:textId="77777777" w:rsidR="00C60899" w:rsidRDefault="00C60899" w:rsidP="00C60899">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14:paraId="218E7F04" w14:textId="0808F38A" w:rsidR="00C60899" w:rsidRDefault="00C60899" w:rsidP="00C60899">
            <w:pPr>
              <w:pStyle w:val="MemoHeading"/>
            </w:pPr>
            <w:r>
              <w:t>06/03/26 (15-Month Effective Date (SARC))</w:t>
            </w:r>
          </w:p>
        </w:tc>
      </w:tr>
      <w:tr w:rsidR="007C0528" w14:paraId="0E0D3B83"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3B4A1193"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239108D9" w14:textId="77777777" w:rsidR="007C0528" w:rsidRDefault="0034327A">
            <w:pPr>
              <w:pStyle w:val="MemoHeading"/>
            </w:pPr>
            <w:bookmarkStart w:id="8" w:name="SpecialInstructions"/>
            <w:r>
              <w:t>None</w:t>
            </w:r>
            <w:bookmarkEnd w:id="8"/>
          </w:p>
        </w:tc>
      </w:tr>
    </w:tbl>
    <w:p w14:paraId="2CB0B96D" w14:textId="5208398A" w:rsidR="007C0528" w:rsidRDefault="007C0528">
      <w:pPr>
        <w:pStyle w:val="BodyText"/>
      </w:pPr>
    </w:p>
    <w:p w14:paraId="20943183" w14:textId="0FE20EE8" w:rsidR="00206AC3" w:rsidRDefault="00206AC3">
      <w:pPr>
        <w:pStyle w:val="BodyText"/>
      </w:pPr>
      <w:r>
        <w:br w:type="page"/>
      </w:r>
    </w:p>
    <w:p w14:paraId="34B73AD2" w14:textId="77777777" w:rsidR="00CE76A5" w:rsidRPr="00BA3BA0" w:rsidRDefault="00CE76A5" w:rsidP="00CE76A5">
      <w:pPr>
        <w:tabs>
          <w:tab w:val="left" w:pos="864"/>
          <w:tab w:val="right" w:leader="dot" w:pos="9360"/>
        </w:tabs>
        <w:spacing w:line="360" w:lineRule="auto"/>
        <w:ind w:left="864" w:right="360" w:hanging="864"/>
        <w:jc w:val="center"/>
        <w:rPr>
          <w:b/>
        </w:rPr>
      </w:pPr>
      <w:r w:rsidRPr="00BA3BA0">
        <w:rPr>
          <w:b/>
        </w:rPr>
        <w:lastRenderedPageBreak/>
        <w:t>TABLE OF CONTENTS</w:t>
      </w:r>
    </w:p>
    <w:p w14:paraId="4C6425A7" w14:textId="27702FDD" w:rsidR="00C3694F" w:rsidRDefault="00CE76A5">
      <w:pPr>
        <w:pStyle w:val="TOC1"/>
        <w:rPr>
          <w:rFonts w:asciiTheme="minorHAnsi" w:eastAsiaTheme="minorEastAsia" w:hAnsiTheme="minorHAnsi" w:cstheme="minorBidi"/>
          <w:noProof/>
          <w:sz w:val="22"/>
          <w:szCs w:val="22"/>
        </w:rPr>
      </w:pPr>
      <w:r>
        <w:fldChar w:fldCharType="begin"/>
      </w:r>
      <w:r>
        <w:instrText xml:space="preserve"> TOC \f \h \z </w:instrText>
      </w:r>
      <w:r>
        <w:fldChar w:fldCharType="separate"/>
      </w:r>
      <w:hyperlink w:anchor="_Toc219969996" w:history="1">
        <w:r w:rsidR="00C3694F" w:rsidRPr="008774ED">
          <w:rPr>
            <w:rStyle w:val="Hyperlink"/>
            <w:noProof/>
          </w:rPr>
          <w:t>Case Background</w:t>
        </w:r>
        <w:r w:rsidR="00C3694F">
          <w:rPr>
            <w:noProof/>
            <w:webHidden/>
          </w:rPr>
          <w:tab/>
        </w:r>
        <w:r w:rsidR="00C3694F">
          <w:rPr>
            <w:noProof/>
            <w:webHidden/>
          </w:rPr>
          <w:fldChar w:fldCharType="begin"/>
        </w:r>
        <w:r w:rsidR="00C3694F">
          <w:rPr>
            <w:noProof/>
            <w:webHidden/>
          </w:rPr>
          <w:instrText xml:space="preserve"> PAGEREF _Toc219969996 \h </w:instrText>
        </w:r>
        <w:r w:rsidR="00C3694F">
          <w:rPr>
            <w:noProof/>
            <w:webHidden/>
          </w:rPr>
        </w:r>
        <w:r w:rsidR="00C3694F">
          <w:rPr>
            <w:noProof/>
            <w:webHidden/>
          </w:rPr>
          <w:fldChar w:fldCharType="separate"/>
        </w:r>
        <w:r w:rsidR="00C3694F">
          <w:rPr>
            <w:noProof/>
            <w:webHidden/>
          </w:rPr>
          <w:t>3</w:t>
        </w:r>
        <w:r w:rsidR="00C3694F">
          <w:rPr>
            <w:noProof/>
            <w:webHidden/>
          </w:rPr>
          <w:fldChar w:fldCharType="end"/>
        </w:r>
      </w:hyperlink>
    </w:p>
    <w:p w14:paraId="39056643" w14:textId="7CC3ED17" w:rsidR="00C3694F" w:rsidRDefault="00C3694F">
      <w:pPr>
        <w:pStyle w:val="TOC1"/>
        <w:rPr>
          <w:rFonts w:asciiTheme="minorHAnsi" w:eastAsiaTheme="minorEastAsia" w:hAnsiTheme="minorHAnsi" w:cstheme="minorBidi"/>
          <w:noProof/>
          <w:sz w:val="22"/>
          <w:szCs w:val="22"/>
        </w:rPr>
      </w:pPr>
      <w:hyperlink w:anchor="_Toc219969997" w:history="1">
        <w:r w:rsidRPr="008774ED">
          <w:rPr>
            <w:rStyle w:val="Hyperlink"/>
            <w:noProof/>
          </w:rPr>
          <w:t>Issue 1 – Quality of Service</w:t>
        </w:r>
        <w:r>
          <w:rPr>
            <w:noProof/>
            <w:webHidden/>
          </w:rPr>
          <w:tab/>
        </w:r>
        <w:r>
          <w:rPr>
            <w:noProof/>
            <w:webHidden/>
          </w:rPr>
          <w:fldChar w:fldCharType="begin"/>
        </w:r>
        <w:r>
          <w:rPr>
            <w:noProof/>
            <w:webHidden/>
          </w:rPr>
          <w:instrText xml:space="preserve"> PAGEREF _Toc219969997 \h </w:instrText>
        </w:r>
        <w:r>
          <w:rPr>
            <w:noProof/>
            <w:webHidden/>
          </w:rPr>
        </w:r>
        <w:r>
          <w:rPr>
            <w:noProof/>
            <w:webHidden/>
          </w:rPr>
          <w:fldChar w:fldCharType="separate"/>
        </w:r>
        <w:r>
          <w:rPr>
            <w:noProof/>
            <w:webHidden/>
          </w:rPr>
          <w:t>4</w:t>
        </w:r>
        <w:r>
          <w:rPr>
            <w:noProof/>
            <w:webHidden/>
          </w:rPr>
          <w:fldChar w:fldCharType="end"/>
        </w:r>
      </w:hyperlink>
    </w:p>
    <w:p w14:paraId="1F30F614" w14:textId="33ABEDC8" w:rsidR="00C3694F" w:rsidRDefault="00C3694F">
      <w:pPr>
        <w:pStyle w:val="TOC1"/>
        <w:rPr>
          <w:rFonts w:asciiTheme="minorHAnsi" w:eastAsiaTheme="minorEastAsia" w:hAnsiTheme="minorHAnsi" w:cstheme="minorBidi"/>
          <w:noProof/>
          <w:sz w:val="22"/>
          <w:szCs w:val="22"/>
        </w:rPr>
      </w:pPr>
      <w:hyperlink w:anchor="_Toc219969998" w:history="1">
        <w:r w:rsidRPr="008774ED">
          <w:rPr>
            <w:rStyle w:val="Hyperlink"/>
            <w:noProof/>
          </w:rPr>
          <w:t>Issue 2 – Infrastructure and Operating Conditions</w:t>
        </w:r>
        <w:r>
          <w:rPr>
            <w:noProof/>
            <w:webHidden/>
          </w:rPr>
          <w:tab/>
        </w:r>
        <w:r>
          <w:rPr>
            <w:noProof/>
            <w:webHidden/>
          </w:rPr>
          <w:fldChar w:fldCharType="begin"/>
        </w:r>
        <w:r>
          <w:rPr>
            <w:noProof/>
            <w:webHidden/>
          </w:rPr>
          <w:instrText xml:space="preserve"> PAGEREF _Toc219969998 \h </w:instrText>
        </w:r>
        <w:r>
          <w:rPr>
            <w:noProof/>
            <w:webHidden/>
          </w:rPr>
        </w:r>
        <w:r>
          <w:rPr>
            <w:noProof/>
            <w:webHidden/>
          </w:rPr>
          <w:fldChar w:fldCharType="separate"/>
        </w:r>
        <w:r>
          <w:rPr>
            <w:noProof/>
            <w:webHidden/>
          </w:rPr>
          <w:t>10</w:t>
        </w:r>
        <w:r>
          <w:rPr>
            <w:noProof/>
            <w:webHidden/>
          </w:rPr>
          <w:fldChar w:fldCharType="end"/>
        </w:r>
      </w:hyperlink>
    </w:p>
    <w:p w14:paraId="345D19A9" w14:textId="52A77A05" w:rsidR="00C3694F" w:rsidRDefault="00C3694F">
      <w:pPr>
        <w:pStyle w:val="TOC1"/>
        <w:rPr>
          <w:rFonts w:asciiTheme="minorHAnsi" w:eastAsiaTheme="minorEastAsia" w:hAnsiTheme="minorHAnsi" w:cstheme="minorBidi"/>
          <w:noProof/>
          <w:sz w:val="22"/>
          <w:szCs w:val="22"/>
        </w:rPr>
      </w:pPr>
      <w:hyperlink w:anchor="_Toc219969999" w:history="1">
        <w:r w:rsidRPr="008774ED">
          <w:rPr>
            <w:rStyle w:val="Hyperlink"/>
            <w:noProof/>
          </w:rPr>
          <w:t>Issue 3 – Used and Useful</w:t>
        </w:r>
        <w:r>
          <w:rPr>
            <w:noProof/>
            <w:webHidden/>
          </w:rPr>
          <w:tab/>
        </w:r>
        <w:r>
          <w:rPr>
            <w:noProof/>
            <w:webHidden/>
          </w:rPr>
          <w:fldChar w:fldCharType="begin"/>
        </w:r>
        <w:r>
          <w:rPr>
            <w:noProof/>
            <w:webHidden/>
          </w:rPr>
          <w:instrText xml:space="preserve"> PAGEREF _Toc219969999 \h </w:instrText>
        </w:r>
        <w:r>
          <w:rPr>
            <w:noProof/>
            <w:webHidden/>
          </w:rPr>
        </w:r>
        <w:r>
          <w:rPr>
            <w:noProof/>
            <w:webHidden/>
          </w:rPr>
          <w:fldChar w:fldCharType="separate"/>
        </w:r>
        <w:r>
          <w:rPr>
            <w:noProof/>
            <w:webHidden/>
          </w:rPr>
          <w:t>12</w:t>
        </w:r>
        <w:r>
          <w:rPr>
            <w:noProof/>
            <w:webHidden/>
          </w:rPr>
          <w:fldChar w:fldCharType="end"/>
        </w:r>
      </w:hyperlink>
    </w:p>
    <w:p w14:paraId="72AE2B4D" w14:textId="640C9C11" w:rsidR="00C3694F" w:rsidRDefault="00C3694F">
      <w:pPr>
        <w:pStyle w:val="TOC1"/>
        <w:rPr>
          <w:rFonts w:asciiTheme="minorHAnsi" w:eastAsiaTheme="minorEastAsia" w:hAnsiTheme="minorHAnsi" w:cstheme="minorBidi"/>
          <w:noProof/>
          <w:sz w:val="22"/>
          <w:szCs w:val="22"/>
        </w:rPr>
      </w:pPr>
      <w:hyperlink w:anchor="_Toc219970000" w:history="1">
        <w:r w:rsidRPr="008774ED">
          <w:rPr>
            <w:rStyle w:val="Hyperlink"/>
            <w:noProof/>
          </w:rPr>
          <w:t>Issue 4 – Average Test Year Rate Base</w:t>
        </w:r>
        <w:r>
          <w:rPr>
            <w:noProof/>
            <w:webHidden/>
          </w:rPr>
          <w:tab/>
        </w:r>
        <w:r>
          <w:rPr>
            <w:noProof/>
            <w:webHidden/>
          </w:rPr>
          <w:fldChar w:fldCharType="begin"/>
        </w:r>
        <w:r>
          <w:rPr>
            <w:noProof/>
            <w:webHidden/>
          </w:rPr>
          <w:instrText xml:space="preserve"> PAGEREF _Toc219970000 \h </w:instrText>
        </w:r>
        <w:r>
          <w:rPr>
            <w:noProof/>
            <w:webHidden/>
          </w:rPr>
        </w:r>
        <w:r>
          <w:rPr>
            <w:noProof/>
            <w:webHidden/>
          </w:rPr>
          <w:fldChar w:fldCharType="separate"/>
        </w:r>
        <w:r>
          <w:rPr>
            <w:noProof/>
            <w:webHidden/>
          </w:rPr>
          <w:t>15</w:t>
        </w:r>
        <w:r>
          <w:rPr>
            <w:noProof/>
            <w:webHidden/>
          </w:rPr>
          <w:fldChar w:fldCharType="end"/>
        </w:r>
      </w:hyperlink>
    </w:p>
    <w:p w14:paraId="1EC0310B" w14:textId="5065AACA" w:rsidR="00C3694F" w:rsidRDefault="00C3694F">
      <w:pPr>
        <w:pStyle w:val="TOC1"/>
        <w:rPr>
          <w:rFonts w:asciiTheme="minorHAnsi" w:eastAsiaTheme="minorEastAsia" w:hAnsiTheme="minorHAnsi" w:cstheme="minorBidi"/>
          <w:noProof/>
          <w:sz w:val="22"/>
          <w:szCs w:val="22"/>
        </w:rPr>
      </w:pPr>
      <w:hyperlink w:anchor="_Toc219970001" w:history="1">
        <w:r w:rsidRPr="008774ED">
          <w:rPr>
            <w:rStyle w:val="Hyperlink"/>
            <w:noProof/>
          </w:rPr>
          <w:t>Issue 5 – Rate of Return</w:t>
        </w:r>
        <w:r>
          <w:rPr>
            <w:noProof/>
            <w:webHidden/>
          </w:rPr>
          <w:tab/>
        </w:r>
        <w:r>
          <w:rPr>
            <w:noProof/>
            <w:webHidden/>
          </w:rPr>
          <w:fldChar w:fldCharType="begin"/>
        </w:r>
        <w:r>
          <w:rPr>
            <w:noProof/>
            <w:webHidden/>
          </w:rPr>
          <w:instrText xml:space="preserve"> PAGEREF _Toc219970001 \h </w:instrText>
        </w:r>
        <w:r>
          <w:rPr>
            <w:noProof/>
            <w:webHidden/>
          </w:rPr>
        </w:r>
        <w:r>
          <w:rPr>
            <w:noProof/>
            <w:webHidden/>
          </w:rPr>
          <w:fldChar w:fldCharType="separate"/>
        </w:r>
        <w:r>
          <w:rPr>
            <w:noProof/>
            <w:webHidden/>
          </w:rPr>
          <w:t>26</w:t>
        </w:r>
        <w:r>
          <w:rPr>
            <w:noProof/>
            <w:webHidden/>
          </w:rPr>
          <w:fldChar w:fldCharType="end"/>
        </w:r>
      </w:hyperlink>
    </w:p>
    <w:p w14:paraId="4E264771" w14:textId="02BD429F" w:rsidR="00C3694F" w:rsidRDefault="00C3694F">
      <w:pPr>
        <w:pStyle w:val="TOC1"/>
        <w:rPr>
          <w:rFonts w:asciiTheme="minorHAnsi" w:eastAsiaTheme="minorEastAsia" w:hAnsiTheme="minorHAnsi" w:cstheme="minorBidi"/>
          <w:noProof/>
          <w:sz w:val="22"/>
          <w:szCs w:val="22"/>
        </w:rPr>
      </w:pPr>
      <w:hyperlink w:anchor="_Toc219970002" w:history="1">
        <w:r w:rsidRPr="008774ED">
          <w:rPr>
            <w:rStyle w:val="Hyperlink"/>
            <w:noProof/>
          </w:rPr>
          <w:t>Issue 6 – Test Year Revenues</w:t>
        </w:r>
        <w:r>
          <w:rPr>
            <w:noProof/>
            <w:webHidden/>
          </w:rPr>
          <w:tab/>
        </w:r>
        <w:r>
          <w:rPr>
            <w:noProof/>
            <w:webHidden/>
          </w:rPr>
          <w:fldChar w:fldCharType="begin"/>
        </w:r>
        <w:r>
          <w:rPr>
            <w:noProof/>
            <w:webHidden/>
          </w:rPr>
          <w:instrText xml:space="preserve"> PAGEREF _Toc219970002 \h </w:instrText>
        </w:r>
        <w:r>
          <w:rPr>
            <w:noProof/>
            <w:webHidden/>
          </w:rPr>
        </w:r>
        <w:r>
          <w:rPr>
            <w:noProof/>
            <w:webHidden/>
          </w:rPr>
          <w:fldChar w:fldCharType="separate"/>
        </w:r>
        <w:r>
          <w:rPr>
            <w:noProof/>
            <w:webHidden/>
          </w:rPr>
          <w:t>27</w:t>
        </w:r>
        <w:r>
          <w:rPr>
            <w:noProof/>
            <w:webHidden/>
          </w:rPr>
          <w:fldChar w:fldCharType="end"/>
        </w:r>
      </w:hyperlink>
    </w:p>
    <w:p w14:paraId="2D8F88BA" w14:textId="34672717" w:rsidR="00C3694F" w:rsidRDefault="00C3694F">
      <w:pPr>
        <w:pStyle w:val="TOC1"/>
        <w:rPr>
          <w:rFonts w:asciiTheme="minorHAnsi" w:eastAsiaTheme="minorEastAsia" w:hAnsiTheme="minorHAnsi" w:cstheme="minorBidi"/>
          <w:noProof/>
          <w:sz w:val="22"/>
          <w:szCs w:val="22"/>
        </w:rPr>
      </w:pPr>
      <w:hyperlink w:anchor="_Toc219970003" w:history="1">
        <w:r w:rsidRPr="008774ED">
          <w:rPr>
            <w:rStyle w:val="Hyperlink"/>
            <w:noProof/>
          </w:rPr>
          <w:t>Issue 7 – Operating Expenses</w:t>
        </w:r>
        <w:r>
          <w:rPr>
            <w:noProof/>
            <w:webHidden/>
          </w:rPr>
          <w:tab/>
        </w:r>
        <w:r>
          <w:rPr>
            <w:noProof/>
            <w:webHidden/>
          </w:rPr>
          <w:fldChar w:fldCharType="begin"/>
        </w:r>
        <w:r>
          <w:rPr>
            <w:noProof/>
            <w:webHidden/>
          </w:rPr>
          <w:instrText xml:space="preserve"> PAGEREF _Toc219970003 \h </w:instrText>
        </w:r>
        <w:r>
          <w:rPr>
            <w:noProof/>
            <w:webHidden/>
          </w:rPr>
        </w:r>
        <w:r>
          <w:rPr>
            <w:noProof/>
            <w:webHidden/>
          </w:rPr>
          <w:fldChar w:fldCharType="separate"/>
        </w:r>
        <w:r>
          <w:rPr>
            <w:noProof/>
            <w:webHidden/>
          </w:rPr>
          <w:t>28</w:t>
        </w:r>
        <w:r>
          <w:rPr>
            <w:noProof/>
            <w:webHidden/>
          </w:rPr>
          <w:fldChar w:fldCharType="end"/>
        </w:r>
      </w:hyperlink>
    </w:p>
    <w:p w14:paraId="767D16C4" w14:textId="41B993CA" w:rsidR="00C3694F" w:rsidRDefault="00C3694F">
      <w:pPr>
        <w:pStyle w:val="TOC1"/>
        <w:rPr>
          <w:rFonts w:asciiTheme="minorHAnsi" w:eastAsiaTheme="minorEastAsia" w:hAnsiTheme="minorHAnsi" w:cstheme="minorBidi"/>
          <w:noProof/>
          <w:sz w:val="22"/>
          <w:szCs w:val="22"/>
        </w:rPr>
      </w:pPr>
      <w:hyperlink w:anchor="_Toc219970004" w:history="1">
        <w:r w:rsidRPr="008774ED">
          <w:rPr>
            <w:rStyle w:val="Hyperlink"/>
            <w:noProof/>
          </w:rPr>
          <w:t>Issue 8 – Operating Ratio Methodology</w:t>
        </w:r>
        <w:r>
          <w:rPr>
            <w:noProof/>
            <w:webHidden/>
          </w:rPr>
          <w:tab/>
        </w:r>
        <w:r>
          <w:rPr>
            <w:noProof/>
            <w:webHidden/>
          </w:rPr>
          <w:fldChar w:fldCharType="begin"/>
        </w:r>
        <w:r>
          <w:rPr>
            <w:noProof/>
            <w:webHidden/>
          </w:rPr>
          <w:instrText xml:space="preserve"> PAGEREF _Toc219970004 \h </w:instrText>
        </w:r>
        <w:r>
          <w:rPr>
            <w:noProof/>
            <w:webHidden/>
          </w:rPr>
        </w:r>
        <w:r>
          <w:rPr>
            <w:noProof/>
            <w:webHidden/>
          </w:rPr>
          <w:fldChar w:fldCharType="separate"/>
        </w:r>
        <w:r>
          <w:rPr>
            <w:noProof/>
            <w:webHidden/>
          </w:rPr>
          <w:t>33</w:t>
        </w:r>
        <w:r>
          <w:rPr>
            <w:noProof/>
            <w:webHidden/>
          </w:rPr>
          <w:fldChar w:fldCharType="end"/>
        </w:r>
      </w:hyperlink>
    </w:p>
    <w:p w14:paraId="37DF5D2E" w14:textId="11DC386E" w:rsidR="00C3694F" w:rsidRDefault="00C3694F">
      <w:pPr>
        <w:pStyle w:val="TOC1"/>
        <w:rPr>
          <w:rFonts w:asciiTheme="minorHAnsi" w:eastAsiaTheme="minorEastAsia" w:hAnsiTheme="minorHAnsi" w:cstheme="minorBidi"/>
          <w:noProof/>
          <w:sz w:val="22"/>
          <w:szCs w:val="22"/>
        </w:rPr>
      </w:pPr>
      <w:hyperlink w:anchor="_Toc219970005" w:history="1">
        <w:r w:rsidRPr="008774ED">
          <w:rPr>
            <w:rStyle w:val="Hyperlink"/>
            <w:noProof/>
          </w:rPr>
          <w:t>Issue 9 – Revenue Requirement</w:t>
        </w:r>
        <w:r>
          <w:rPr>
            <w:noProof/>
            <w:webHidden/>
          </w:rPr>
          <w:tab/>
        </w:r>
        <w:r>
          <w:rPr>
            <w:noProof/>
            <w:webHidden/>
          </w:rPr>
          <w:fldChar w:fldCharType="begin"/>
        </w:r>
        <w:r>
          <w:rPr>
            <w:noProof/>
            <w:webHidden/>
          </w:rPr>
          <w:instrText xml:space="preserve"> PAGEREF _Toc219970005 \h </w:instrText>
        </w:r>
        <w:r>
          <w:rPr>
            <w:noProof/>
            <w:webHidden/>
          </w:rPr>
        </w:r>
        <w:r>
          <w:rPr>
            <w:noProof/>
            <w:webHidden/>
          </w:rPr>
          <w:fldChar w:fldCharType="separate"/>
        </w:r>
        <w:r>
          <w:rPr>
            <w:noProof/>
            <w:webHidden/>
          </w:rPr>
          <w:t>34</w:t>
        </w:r>
        <w:r>
          <w:rPr>
            <w:noProof/>
            <w:webHidden/>
          </w:rPr>
          <w:fldChar w:fldCharType="end"/>
        </w:r>
      </w:hyperlink>
    </w:p>
    <w:p w14:paraId="0F0690D8" w14:textId="19A48433" w:rsidR="00C3694F" w:rsidRDefault="00C3694F">
      <w:pPr>
        <w:pStyle w:val="TOC1"/>
        <w:rPr>
          <w:rFonts w:asciiTheme="minorHAnsi" w:eastAsiaTheme="minorEastAsia" w:hAnsiTheme="minorHAnsi" w:cstheme="minorBidi"/>
          <w:noProof/>
          <w:sz w:val="22"/>
          <w:szCs w:val="22"/>
        </w:rPr>
      </w:pPr>
      <w:hyperlink w:anchor="_Toc219970006" w:history="1">
        <w:r w:rsidRPr="008774ED">
          <w:rPr>
            <w:rStyle w:val="Hyperlink"/>
            <w:noProof/>
          </w:rPr>
          <w:t>Issue 10 –Rate Structures</w:t>
        </w:r>
        <w:r>
          <w:rPr>
            <w:noProof/>
            <w:webHidden/>
          </w:rPr>
          <w:tab/>
        </w:r>
        <w:r>
          <w:rPr>
            <w:noProof/>
            <w:webHidden/>
          </w:rPr>
          <w:fldChar w:fldCharType="begin"/>
        </w:r>
        <w:r>
          <w:rPr>
            <w:noProof/>
            <w:webHidden/>
          </w:rPr>
          <w:instrText xml:space="preserve"> PAGEREF _Toc219970006 \h </w:instrText>
        </w:r>
        <w:r>
          <w:rPr>
            <w:noProof/>
            <w:webHidden/>
          </w:rPr>
        </w:r>
        <w:r>
          <w:rPr>
            <w:noProof/>
            <w:webHidden/>
          </w:rPr>
          <w:fldChar w:fldCharType="separate"/>
        </w:r>
        <w:r>
          <w:rPr>
            <w:noProof/>
            <w:webHidden/>
          </w:rPr>
          <w:t>35</w:t>
        </w:r>
        <w:r>
          <w:rPr>
            <w:noProof/>
            <w:webHidden/>
          </w:rPr>
          <w:fldChar w:fldCharType="end"/>
        </w:r>
      </w:hyperlink>
    </w:p>
    <w:p w14:paraId="09EF6DDD" w14:textId="25D41C7F" w:rsidR="00C3694F" w:rsidRDefault="00C3694F">
      <w:pPr>
        <w:pStyle w:val="TOC1"/>
        <w:rPr>
          <w:rFonts w:asciiTheme="minorHAnsi" w:eastAsiaTheme="minorEastAsia" w:hAnsiTheme="minorHAnsi" w:cstheme="minorBidi"/>
          <w:noProof/>
          <w:sz w:val="22"/>
          <w:szCs w:val="22"/>
        </w:rPr>
      </w:pPr>
      <w:hyperlink w:anchor="_Toc219970007" w:history="1">
        <w:r w:rsidRPr="008774ED">
          <w:rPr>
            <w:rStyle w:val="Hyperlink"/>
            <w:noProof/>
          </w:rPr>
          <w:t>Issue 11 – Customer Deposits</w:t>
        </w:r>
        <w:r>
          <w:rPr>
            <w:noProof/>
            <w:webHidden/>
          </w:rPr>
          <w:tab/>
        </w:r>
        <w:r>
          <w:rPr>
            <w:noProof/>
            <w:webHidden/>
          </w:rPr>
          <w:fldChar w:fldCharType="begin"/>
        </w:r>
        <w:r>
          <w:rPr>
            <w:noProof/>
            <w:webHidden/>
          </w:rPr>
          <w:instrText xml:space="preserve"> PAGEREF _Toc219970007 \h </w:instrText>
        </w:r>
        <w:r>
          <w:rPr>
            <w:noProof/>
            <w:webHidden/>
          </w:rPr>
        </w:r>
        <w:r>
          <w:rPr>
            <w:noProof/>
            <w:webHidden/>
          </w:rPr>
          <w:fldChar w:fldCharType="separate"/>
        </w:r>
        <w:r>
          <w:rPr>
            <w:noProof/>
            <w:webHidden/>
          </w:rPr>
          <w:t>38</w:t>
        </w:r>
        <w:r>
          <w:rPr>
            <w:noProof/>
            <w:webHidden/>
          </w:rPr>
          <w:fldChar w:fldCharType="end"/>
        </w:r>
      </w:hyperlink>
    </w:p>
    <w:p w14:paraId="41565E06" w14:textId="69CD0BFF" w:rsidR="00C3694F" w:rsidRDefault="00C3694F">
      <w:pPr>
        <w:pStyle w:val="TOC1"/>
        <w:rPr>
          <w:rFonts w:asciiTheme="minorHAnsi" w:eastAsiaTheme="minorEastAsia" w:hAnsiTheme="minorHAnsi" w:cstheme="minorBidi"/>
          <w:noProof/>
          <w:sz w:val="22"/>
          <w:szCs w:val="22"/>
        </w:rPr>
      </w:pPr>
      <w:hyperlink w:anchor="_Toc219970008" w:history="1">
        <w:r w:rsidRPr="008774ED">
          <w:rPr>
            <w:rStyle w:val="Hyperlink"/>
            <w:noProof/>
          </w:rPr>
          <w:t>Issue 12 – Service Availability Charges</w:t>
        </w:r>
        <w:r>
          <w:rPr>
            <w:noProof/>
            <w:webHidden/>
          </w:rPr>
          <w:tab/>
        </w:r>
        <w:r>
          <w:rPr>
            <w:noProof/>
            <w:webHidden/>
          </w:rPr>
          <w:fldChar w:fldCharType="begin"/>
        </w:r>
        <w:r>
          <w:rPr>
            <w:noProof/>
            <w:webHidden/>
          </w:rPr>
          <w:instrText xml:space="preserve"> PAGEREF _Toc219970008 \h </w:instrText>
        </w:r>
        <w:r>
          <w:rPr>
            <w:noProof/>
            <w:webHidden/>
          </w:rPr>
        </w:r>
        <w:r>
          <w:rPr>
            <w:noProof/>
            <w:webHidden/>
          </w:rPr>
          <w:fldChar w:fldCharType="separate"/>
        </w:r>
        <w:r>
          <w:rPr>
            <w:noProof/>
            <w:webHidden/>
          </w:rPr>
          <w:t>39</w:t>
        </w:r>
        <w:r>
          <w:rPr>
            <w:noProof/>
            <w:webHidden/>
          </w:rPr>
          <w:fldChar w:fldCharType="end"/>
        </w:r>
      </w:hyperlink>
    </w:p>
    <w:p w14:paraId="2961E280" w14:textId="1B3C428F" w:rsidR="00C3694F" w:rsidRDefault="00C3694F">
      <w:pPr>
        <w:pStyle w:val="TOC1"/>
        <w:rPr>
          <w:rFonts w:asciiTheme="minorHAnsi" w:eastAsiaTheme="minorEastAsia" w:hAnsiTheme="minorHAnsi" w:cstheme="minorBidi"/>
          <w:noProof/>
          <w:sz w:val="22"/>
          <w:szCs w:val="22"/>
        </w:rPr>
      </w:pPr>
      <w:hyperlink w:anchor="_Toc219970009" w:history="1">
        <w:r w:rsidRPr="008774ED">
          <w:rPr>
            <w:rStyle w:val="Hyperlink"/>
            <w:noProof/>
          </w:rPr>
          <w:t>Issue 13 – Four-Year Rate Reduction</w:t>
        </w:r>
        <w:r>
          <w:rPr>
            <w:noProof/>
            <w:webHidden/>
          </w:rPr>
          <w:tab/>
        </w:r>
        <w:r>
          <w:rPr>
            <w:noProof/>
            <w:webHidden/>
          </w:rPr>
          <w:fldChar w:fldCharType="begin"/>
        </w:r>
        <w:r>
          <w:rPr>
            <w:noProof/>
            <w:webHidden/>
          </w:rPr>
          <w:instrText xml:space="preserve"> PAGEREF _Toc219970009 \h </w:instrText>
        </w:r>
        <w:r>
          <w:rPr>
            <w:noProof/>
            <w:webHidden/>
          </w:rPr>
        </w:r>
        <w:r>
          <w:rPr>
            <w:noProof/>
            <w:webHidden/>
          </w:rPr>
          <w:fldChar w:fldCharType="separate"/>
        </w:r>
        <w:r>
          <w:rPr>
            <w:noProof/>
            <w:webHidden/>
          </w:rPr>
          <w:t>43</w:t>
        </w:r>
        <w:r>
          <w:rPr>
            <w:noProof/>
            <w:webHidden/>
          </w:rPr>
          <w:fldChar w:fldCharType="end"/>
        </w:r>
      </w:hyperlink>
    </w:p>
    <w:p w14:paraId="2B3B0591" w14:textId="59AB2035" w:rsidR="00C3694F" w:rsidRDefault="00C3694F">
      <w:pPr>
        <w:pStyle w:val="TOC1"/>
        <w:rPr>
          <w:rFonts w:asciiTheme="minorHAnsi" w:eastAsiaTheme="minorEastAsia" w:hAnsiTheme="minorHAnsi" w:cstheme="minorBidi"/>
          <w:noProof/>
          <w:sz w:val="22"/>
          <w:szCs w:val="22"/>
        </w:rPr>
      </w:pPr>
      <w:hyperlink w:anchor="_Toc219970010" w:history="1">
        <w:r w:rsidRPr="008774ED">
          <w:rPr>
            <w:rStyle w:val="Hyperlink"/>
            <w:noProof/>
          </w:rPr>
          <w:t>Issue 14 – Temporary Rates</w:t>
        </w:r>
        <w:r>
          <w:rPr>
            <w:noProof/>
            <w:webHidden/>
          </w:rPr>
          <w:tab/>
        </w:r>
        <w:r>
          <w:rPr>
            <w:noProof/>
            <w:webHidden/>
          </w:rPr>
          <w:fldChar w:fldCharType="begin"/>
        </w:r>
        <w:r>
          <w:rPr>
            <w:noProof/>
            <w:webHidden/>
          </w:rPr>
          <w:instrText xml:space="preserve"> PAGEREF _Toc219970010 \h </w:instrText>
        </w:r>
        <w:r>
          <w:rPr>
            <w:noProof/>
            <w:webHidden/>
          </w:rPr>
        </w:r>
        <w:r>
          <w:rPr>
            <w:noProof/>
            <w:webHidden/>
          </w:rPr>
          <w:fldChar w:fldCharType="separate"/>
        </w:r>
        <w:r>
          <w:rPr>
            <w:noProof/>
            <w:webHidden/>
          </w:rPr>
          <w:t>44</w:t>
        </w:r>
        <w:r>
          <w:rPr>
            <w:noProof/>
            <w:webHidden/>
          </w:rPr>
          <w:fldChar w:fldCharType="end"/>
        </w:r>
      </w:hyperlink>
    </w:p>
    <w:p w14:paraId="125166F1" w14:textId="2DA15159" w:rsidR="00C3694F" w:rsidRDefault="00C3694F">
      <w:pPr>
        <w:pStyle w:val="TOC1"/>
        <w:rPr>
          <w:rFonts w:asciiTheme="minorHAnsi" w:eastAsiaTheme="minorEastAsia" w:hAnsiTheme="minorHAnsi" w:cstheme="minorBidi"/>
          <w:noProof/>
          <w:sz w:val="22"/>
          <w:szCs w:val="22"/>
        </w:rPr>
      </w:pPr>
      <w:hyperlink w:anchor="_Toc219970011" w:history="1">
        <w:r w:rsidRPr="008774ED">
          <w:rPr>
            <w:rStyle w:val="Hyperlink"/>
            <w:noProof/>
          </w:rPr>
          <w:t>Issue 15 – NARUC USOA Compliance</w:t>
        </w:r>
        <w:r>
          <w:rPr>
            <w:noProof/>
            <w:webHidden/>
          </w:rPr>
          <w:tab/>
        </w:r>
        <w:r>
          <w:rPr>
            <w:noProof/>
            <w:webHidden/>
          </w:rPr>
          <w:fldChar w:fldCharType="begin"/>
        </w:r>
        <w:r>
          <w:rPr>
            <w:noProof/>
            <w:webHidden/>
          </w:rPr>
          <w:instrText xml:space="preserve"> PAGEREF _Toc219970011 \h </w:instrText>
        </w:r>
        <w:r>
          <w:rPr>
            <w:noProof/>
            <w:webHidden/>
          </w:rPr>
        </w:r>
        <w:r>
          <w:rPr>
            <w:noProof/>
            <w:webHidden/>
          </w:rPr>
          <w:fldChar w:fldCharType="separate"/>
        </w:r>
        <w:r>
          <w:rPr>
            <w:noProof/>
            <w:webHidden/>
          </w:rPr>
          <w:t>46</w:t>
        </w:r>
        <w:r>
          <w:rPr>
            <w:noProof/>
            <w:webHidden/>
          </w:rPr>
          <w:fldChar w:fldCharType="end"/>
        </w:r>
      </w:hyperlink>
    </w:p>
    <w:p w14:paraId="57E6E82B" w14:textId="2904C08F" w:rsidR="00C3694F" w:rsidRDefault="00C3694F">
      <w:pPr>
        <w:pStyle w:val="TOC1"/>
        <w:rPr>
          <w:rFonts w:asciiTheme="minorHAnsi" w:eastAsiaTheme="minorEastAsia" w:hAnsiTheme="minorHAnsi" w:cstheme="minorBidi"/>
          <w:noProof/>
          <w:sz w:val="22"/>
          <w:szCs w:val="22"/>
        </w:rPr>
      </w:pPr>
      <w:hyperlink w:anchor="_Toc219970012" w:history="1">
        <w:r w:rsidRPr="008774ED">
          <w:rPr>
            <w:rStyle w:val="Hyperlink"/>
            <w:noProof/>
          </w:rPr>
          <w:t>Issue 16 – Close Docket</w:t>
        </w:r>
        <w:r>
          <w:rPr>
            <w:noProof/>
            <w:webHidden/>
          </w:rPr>
          <w:tab/>
        </w:r>
        <w:r>
          <w:rPr>
            <w:noProof/>
            <w:webHidden/>
          </w:rPr>
          <w:fldChar w:fldCharType="begin"/>
        </w:r>
        <w:r>
          <w:rPr>
            <w:noProof/>
            <w:webHidden/>
          </w:rPr>
          <w:instrText xml:space="preserve"> PAGEREF _Toc219970012 \h </w:instrText>
        </w:r>
        <w:r>
          <w:rPr>
            <w:noProof/>
            <w:webHidden/>
          </w:rPr>
        </w:r>
        <w:r>
          <w:rPr>
            <w:noProof/>
            <w:webHidden/>
          </w:rPr>
          <w:fldChar w:fldCharType="separate"/>
        </w:r>
        <w:r>
          <w:rPr>
            <w:noProof/>
            <w:webHidden/>
          </w:rPr>
          <w:t>47</w:t>
        </w:r>
        <w:r>
          <w:rPr>
            <w:noProof/>
            <w:webHidden/>
          </w:rPr>
          <w:fldChar w:fldCharType="end"/>
        </w:r>
      </w:hyperlink>
    </w:p>
    <w:p w14:paraId="50659170" w14:textId="28730D08" w:rsidR="00C3694F" w:rsidRDefault="00C3694F">
      <w:pPr>
        <w:pStyle w:val="TOC1"/>
        <w:rPr>
          <w:rFonts w:asciiTheme="minorHAnsi" w:eastAsiaTheme="minorEastAsia" w:hAnsiTheme="minorHAnsi" w:cstheme="minorBidi"/>
          <w:noProof/>
          <w:sz w:val="22"/>
          <w:szCs w:val="22"/>
        </w:rPr>
      </w:pPr>
      <w:hyperlink w:anchor="_Toc219970013" w:history="1">
        <w:r w:rsidRPr="008774ED">
          <w:rPr>
            <w:rStyle w:val="Hyperlink"/>
            <w:rFonts w:eastAsiaTheme="minorHAnsi"/>
            <w:noProof/>
          </w:rPr>
          <w:t>Schedule No. 1-A Water Rate Base</w:t>
        </w:r>
        <w:r>
          <w:rPr>
            <w:noProof/>
            <w:webHidden/>
          </w:rPr>
          <w:tab/>
        </w:r>
        <w:r>
          <w:rPr>
            <w:noProof/>
            <w:webHidden/>
          </w:rPr>
          <w:fldChar w:fldCharType="begin"/>
        </w:r>
        <w:r>
          <w:rPr>
            <w:noProof/>
            <w:webHidden/>
          </w:rPr>
          <w:instrText xml:space="preserve"> PAGEREF _Toc219970013 \h </w:instrText>
        </w:r>
        <w:r>
          <w:rPr>
            <w:noProof/>
            <w:webHidden/>
          </w:rPr>
        </w:r>
        <w:r>
          <w:rPr>
            <w:noProof/>
            <w:webHidden/>
          </w:rPr>
          <w:fldChar w:fldCharType="separate"/>
        </w:r>
        <w:r>
          <w:rPr>
            <w:noProof/>
            <w:webHidden/>
          </w:rPr>
          <w:t>48</w:t>
        </w:r>
        <w:r>
          <w:rPr>
            <w:noProof/>
            <w:webHidden/>
          </w:rPr>
          <w:fldChar w:fldCharType="end"/>
        </w:r>
      </w:hyperlink>
    </w:p>
    <w:p w14:paraId="63894B07" w14:textId="09D97AFC" w:rsidR="00C3694F" w:rsidRDefault="00C3694F">
      <w:pPr>
        <w:pStyle w:val="TOC1"/>
        <w:rPr>
          <w:rFonts w:asciiTheme="minorHAnsi" w:eastAsiaTheme="minorEastAsia" w:hAnsiTheme="minorHAnsi" w:cstheme="minorBidi"/>
          <w:noProof/>
          <w:sz w:val="22"/>
          <w:szCs w:val="22"/>
        </w:rPr>
      </w:pPr>
      <w:hyperlink w:anchor="_Toc219970014" w:history="1">
        <w:r w:rsidRPr="008774ED">
          <w:rPr>
            <w:rStyle w:val="Hyperlink"/>
            <w:rFonts w:eastAsiaTheme="minorHAnsi"/>
            <w:noProof/>
          </w:rPr>
          <w:t>Schedule No. 1-B Wastewater Rate Base</w:t>
        </w:r>
        <w:r>
          <w:rPr>
            <w:noProof/>
            <w:webHidden/>
          </w:rPr>
          <w:tab/>
        </w:r>
        <w:r>
          <w:rPr>
            <w:noProof/>
            <w:webHidden/>
          </w:rPr>
          <w:fldChar w:fldCharType="begin"/>
        </w:r>
        <w:r>
          <w:rPr>
            <w:noProof/>
            <w:webHidden/>
          </w:rPr>
          <w:instrText xml:space="preserve"> PAGEREF _Toc219970014 \h </w:instrText>
        </w:r>
        <w:r>
          <w:rPr>
            <w:noProof/>
            <w:webHidden/>
          </w:rPr>
        </w:r>
        <w:r>
          <w:rPr>
            <w:noProof/>
            <w:webHidden/>
          </w:rPr>
          <w:fldChar w:fldCharType="separate"/>
        </w:r>
        <w:r>
          <w:rPr>
            <w:noProof/>
            <w:webHidden/>
          </w:rPr>
          <w:t>49</w:t>
        </w:r>
        <w:r>
          <w:rPr>
            <w:noProof/>
            <w:webHidden/>
          </w:rPr>
          <w:fldChar w:fldCharType="end"/>
        </w:r>
      </w:hyperlink>
    </w:p>
    <w:p w14:paraId="2510477A" w14:textId="2C5CB267" w:rsidR="00C3694F" w:rsidRDefault="00C3694F">
      <w:pPr>
        <w:pStyle w:val="TOC1"/>
        <w:rPr>
          <w:rFonts w:asciiTheme="minorHAnsi" w:eastAsiaTheme="minorEastAsia" w:hAnsiTheme="minorHAnsi" w:cstheme="minorBidi"/>
          <w:noProof/>
          <w:sz w:val="22"/>
          <w:szCs w:val="22"/>
        </w:rPr>
      </w:pPr>
      <w:hyperlink w:anchor="_Toc219970015" w:history="1">
        <w:r w:rsidRPr="008774ED">
          <w:rPr>
            <w:rStyle w:val="Hyperlink"/>
            <w:noProof/>
          </w:rPr>
          <w:t>Schedule No. 1-C Adjustments to Rate Base</w:t>
        </w:r>
        <w:r>
          <w:rPr>
            <w:noProof/>
            <w:webHidden/>
          </w:rPr>
          <w:tab/>
        </w:r>
        <w:r>
          <w:rPr>
            <w:noProof/>
            <w:webHidden/>
          </w:rPr>
          <w:fldChar w:fldCharType="begin"/>
        </w:r>
        <w:r>
          <w:rPr>
            <w:noProof/>
            <w:webHidden/>
          </w:rPr>
          <w:instrText xml:space="preserve"> PAGEREF _Toc219970015 \h </w:instrText>
        </w:r>
        <w:r>
          <w:rPr>
            <w:noProof/>
            <w:webHidden/>
          </w:rPr>
        </w:r>
        <w:r>
          <w:rPr>
            <w:noProof/>
            <w:webHidden/>
          </w:rPr>
          <w:fldChar w:fldCharType="separate"/>
        </w:r>
        <w:r>
          <w:rPr>
            <w:noProof/>
            <w:webHidden/>
          </w:rPr>
          <w:t>50</w:t>
        </w:r>
        <w:r>
          <w:rPr>
            <w:noProof/>
            <w:webHidden/>
          </w:rPr>
          <w:fldChar w:fldCharType="end"/>
        </w:r>
      </w:hyperlink>
    </w:p>
    <w:p w14:paraId="7C92D76D" w14:textId="227B5952" w:rsidR="00C3694F" w:rsidRDefault="00C3694F">
      <w:pPr>
        <w:pStyle w:val="TOC1"/>
        <w:rPr>
          <w:rFonts w:asciiTheme="minorHAnsi" w:eastAsiaTheme="minorEastAsia" w:hAnsiTheme="minorHAnsi" w:cstheme="minorBidi"/>
          <w:noProof/>
          <w:sz w:val="22"/>
          <w:szCs w:val="22"/>
        </w:rPr>
      </w:pPr>
      <w:hyperlink w:anchor="_Toc219970016" w:history="1">
        <w:r w:rsidRPr="008774ED">
          <w:rPr>
            <w:rStyle w:val="Hyperlink"/>
            <w:noProof/>
          </w:rPr>
          <w:t>Schedule No. 2 Schedule of Capital Structure</w:t>
        </w:r>
        <w:r>
          <w:rPr>
            <w:noProof/>
            <w:webHidden/>
          </w:rPr>
          <w:tab/>
        </w:r>
        <w:r>
          <w:rPr>
            <w:noProof/>
            <w:webHidden/>
          </w:rPr>
          <w:fldChar w:fldCharType="begin"/>
        </w:r>
        <w:r>
          <w:rPr>
            <w:noProof/>
            <w:webHidden/>
          </w:rPr>
          <w:instrText xml:space="preserve"> PAGEREF _Toc219970016 \h </w:instrText>
        </w:r>
        <w:r>
          <w:rPr>
            <w:noProof/>
            <w:webHidden/>
          </w:rPr>
        </w:r>
        <w:r>
          <w:rPr>
            <w:noProof/>
            <w:webHidden/>
          </w:rPr>
          <w:fldChar w:fldCharType="separate"/>
        </w:r>
        <w:r>
          <w:rPr>
            <w:noProof/>
            <w:webHidden/>
          </w:rPr>
          <w:t>51</w:t>
        </w:r>
        <w:r>
          <w:rPr>
            <w:noProof/>
            <w:webHidden/>
          </w:rPr>
          <w:fldChar w:fldCharType="end"/>
        </w:r>
      </w:hyperlink>
    </w:p>
    <w:p w14:paraId="285F7513" w14:textId="3DE35B82" w:rsidR="00C3694F" w:rsidRDefault="00C3694F">
      <w:pPr>
        <w:pStyle w:val="TOC1"/>
        <w:rPr>
          <w:rFonts w:asciiTheme="minorHAnsi" w:eastAsiaTheme="minorEastAsia" w:hAnsiTheme="minorHAnsi" w:cstheme="minorBidi"/>
          <w:noProof/>
          <w:sz w:val="22"/>
          <w:szCs w:val="22"/>
        </w:rPr>
      </w:pPr>
      <w:hyperlink w:anchor="_Toc219970017" w:history="1">
        <w:r w:rsidRPr="008774ED">
          <w:rPr>
            <w:rStyle w:val="Hyperlink"/>
            <w:noProof/>
          </w:rPr>
          <w:t>Schedule No. 3-A Water Operating Income</w:t>
        </w:r>
        <w:r>
          <w:rPr>
            <w:noProof/>
            <w:webHidden/>
          </w:rPr>
          <w:tab/>
        </w:r>
        <w:r>
          <w:rPr>
            <w:noProof/>
            <w:webHidden/>
          </w:rPr>
          <w:fldChar w:fldCharType="begin"/>
        </w:r>
        <w:r>
          <w:rPr>
            <w:noProof/>
            <w:webHidden/>
          </w:rPr>
          <w:instrText xml:space="preserve"> PAGEREF _Toc219970017 \h </w:instrText>
        </w:r>
        <w:r>
          <w:rPr>
            <w:noProof/>
            <w:webHidden/>
          </w:rPr>
        </w:r>
        <w:r>
          <w:rPr>
            <w:noProof/>
            <w:webHidden/>
          </w:rPr>
          <w:fldChar w:fldCharType="separate"/>
        </w:r>
        <w:r>
          <w:rPr>
            <w:noProof/>
            <w:webHidden/>
          </w:rPr>
          <w:t>52</w:t>
        </w:r>
        <w:r>
          <w:rPr>
            <w:noProof/>
            <w:webHidden/>
          </w:rPr>
          <w:fldChar w:fldCharType="end"/>
        </w:r>
      </w:hyperlink>
    </w:p>
    <w:p w14:paraId="711B12C5" w14:textId="671B3D47" w:rsidR="00C3694F" w:rsidRDefault="00C3694F">
      <w:pPr>
        <w:pStyle w:val="TOC1"/>
        <w:rPr>
          <w:rFonts w:asciiTheme="minorHAnsi" w:eastAsiaTheme="minorEastAsia" w:hAnsiTheme="minorHAnsi" w:cstheme="minorBidi"/>
          <w:noProof/>
          <w:sz w:val="22"/>
          <w:szCs w:val="22"/>
        </w:rPr>
      </w:pPr>
      <w:hyperlink w:anchor="_Toc219970018" w:history="1">
        <w:r w:rsidRPr="008774ED">
          <w:rPr>
            <w:rStyle w:val="Hyperlink"/>
            <w:noProof/>
          </w:rPr>
          <w:t>Schedule No. 3-B Wastewater Operating Income</w:t>
        </w:r>
        <w:r>
          <w:rPr>
            <w:noProof/>
            <w:webHidden/>
          </w:rPr>
          <w:tab/>
        </w:r>
        <w:r>
          <w:rPr>
            <w:noProof/>
            <w:webHidden/>
          </w:rPr>
          <w:fldChar w:fldCharType="begin"/>
        </w:r>
        <w:r>
          <w:rPr>
            <w:noProof/>
            <w:webHidden/>
          </w:rPr>
          <w:instrText xml:space="preserve"> PAGEREF _Toc219970018 \h </w:instrText>
        </w:r>
        <w:r>
          <w:rPr>
            <w:noProof/>
            <w:webHidden/>
          </w:rPr>
        </w:r>
        <w:r>
          <w:rPr>
            <w:noProof/>
            <w:webHidden/>
          </w:rPr>
          <w:fldChar w:fldCharType="separate"/>
        </w:r>
        <w:r>
          <w:rPr>
            <w:noProof/>
            <w:webHidden/>
          </w:rPr>
          <w:t>53</w:t>
        </w:r>
        <w:r>
          <w:rPr>
            <w:noProof/>
            <w:webHidden/>
          </w:rPr>
          <w:fldChar w:fldCharType="end"/>
        </w:r>
      </w:hyperlink>
    </w:p>
    <w:p w14:paraId="36AC0A99" w14:textId="266C89C5" w:rsidR="00C3694F" w:rsidRDefault="00C3694F">
      <w:pPr>
        <w:pStyle w:val="TOC1"/>
        <w:rPr>
          <w:rFonts w:asciiTheme="minorHAnsi" w:eastAsiaTheme="minorEastAsia" w:hAnsiTheme="minorHAnsi" w:cstheme="minorBidi"/>
          <w:noProof/>
          <w:sz w:val="22"/>
          <w:szCs w:val="22"/>
        </w:rPr>
      </w:pPr>
      <w:hyperlink w:anchor="_Toc219970019" w:history="1">
        <w:r w:rsidRPr="008774ED">
          <w:rPr>
            <w:rStyle w:val="Hyperlink"/>
            <w:noProof/>
          </w:rPr>
          <w:t>Schedule No. 3-C Adjustments to Operating Income</w:t>
        </w:r>
        <w:r>
          <w:rPr>
            <w:noProof/>
            <w:webHidden/>
          </w:rPr>
          <w:tab/>
        </w:r>
        <w:r>
          <w:rPr>
            <w:noProof/>
            <w:webHidden/>
          </w:rPr>
          <w:fldChar w:fldCharType="begin"/>
        </w:r>
        <w:r>
          <w:rPr>
            <w:noProof/>
            <w:webHidden/>
          </w:rPr>
          <w:instrText xml:space="preserve"> PAGEREF _Toc219970019 \h </w:instrText>
        </w:r>
        <w:r>
          <w:rPr>
            <w:noProof/>
            <w:webHidden/>
          </w:rPr>
        </w:r>
        <w:r>
          <w:rPr>
            <w:noProof/>
            <w:webHidden/>
          </w:rPr>
          <w:fldChar w:fldCharType="separate"/>
        </w:r>
        <w:r>
          <w:rPr>
            <w:noProof/>
            <w:webHidden/>
          </w:rPr>
          <w:t>54</w:t>
        </w:r>
        <w:r>
          <w:rPr>
            <w:noProof/>
            <w:webHidden/>
          </w:rPr>
          <w:fldChar w:fldCharType="end"/>
        </w:r>
      </w:hyperlink>
    </w:p>
    <w:p w14:paraId="011F7351" w14:textId="37D3AD6B" w:rsidR="00C3694F" w:rsidRDefault="00C3694F">
      <w:pPr>
        <w:pStyle w:val="TOC1"/>
        <w:rPr>
          <w:rFonts w:asciiTheme="minorHAnsi" w:eastAsiaTheme="minorEastAsia" w:hAnsiTheme="minorHAnsi" w:cstheme="minorBidi"/>
          <w:noProof/>
          <w:sz w:val="22"/>
          <w:szCs w:val="22"/>
        </w:rPr>
      </w:pPr>
      <w:hyperlink w:anchor="_Toc219970020" w:history="1">
        <w:r w:rsidRPr="008774ED">
          <w:rPr>
            <w:rStyle w:val="Hyperlink"/>
            <w:noProof/>
          </w:rPr>
          <w:t>Schedule No. 3-D Water O&amp;M</w:t>
        </w:r>
        <w:r>
          <w:rPr>
            <w:noProof/>
            <w:webHidden/>
          </w:rPr>
          <w:tab/>
        </w:r>
        <w:r>
          <w:rPr>
            <w:noProof/>
            <w:webHidden/>
          </w:rPr>
          <w:fldChar w:fldCharType="begin"/>
        </w:r>
        <w:r>
          <w:rPr>
            <w:noProof/>
            <w:webHidden/>
          </w:rPr>
          <w:instrText xml:space="preserve"> PAGEREF _Toc219970020 \h </w:instrText>
        </w:r>
        <w:r>
          <w:rPr>
            <w:noProof/>
            <w:webHidden/>
          </w:rPr>
        </w:r>
        <w:r>
          <w:rPr>
            <w:noProof/>
            <w:webHidden/>
          </w:rPr>
          <w:fldChar w:fldCharType="separate"/>
        </w:r>
        <w:r>
          <w:rPr>
            <w:noProof/>
            <w:webHidden/>
          </w:rPr>
          <w:t>56</w:t>
        </w:r>
        <w:r>
          <w:rPr>
            <w:noProof/>
            <w:webHidden/>
          </w:rPr>
          <w:fldChar w:fldCharType="end"/>
        </w:r>
      </w:hyperlink>
    </w:p>
    <w:p w14:paraId="2E9794D6" w14:textId="52C50178" w:rsidR="00C3694F" w:rsidRDefault="00C3694F">
      <w:pPr>
        <w:pStyle w:val="TOC1"/>
        <w:rPr>
          <w:rFonts w:asciiTheme="minorHAnsi" w:eastAsiaTheme="minorEastAsia" w:hAnsiTheme="minorHAnsi" w:cstheme="minorBidi"/>
          <w:noProof/>
          <w:sz w:val="22"/>
          <w:szCs w:val="22"/>
        </w:rPr>
      </w:pPr>
      <w:hyperlink w:anchor="_Toc219970021" w:history="1">
        <w:r w:rsidRPr="008774ED">
          <w:rPr>
            <w:rStyle w:val="Hyperlink"/>
            <w:noProof/>
          </w:rPr>
          <w:t>Schedule No. 3-E Wastewater O&amp;M</w:t>
        </w:r>
        <w:r>
          <w:rPr>
            <w:noProof/>
            <w:webHidden/>
          </w:rPr>
          <w:tab/>
        </w:r>
        <w:r>
          <w:rPr>
            <w:noProof/>
            <w:webHidden/>
          </w:rPr>
          <w:fldChar w:fldCharType="begin"/>
        </w:r>
        <w:r>
          <w:rPr>
            <w:noProof/>
            <w:webHidden/>
          </w:rPr>
          <w:instrText xml:space="preserve"> PAGEREF _Toc219970021 \h </w:instrText>
        </w:r>
        <w:r>
          <w:rPr>
            <w:noProof/>
            <w:webHidden/>
          </w:rPr>
        </w:r>
        <w:r>
          <w:rPr>
            <w:noProof/>
            <w:webHidden/>
          </w:rPr>
          <w:fldChar w:fldCharType="separate"/>
        </w:r>
        <w:r>
          <w:rPr>
            <w:noProof/>
            <w:webHidden/>
          </w:rPr>
          <w:t>57</w:t>
        </w:r>
        <w:r>
          <w:rPr>
            <w:noProof/>
            <w:webHidden/>
          </w:rPr>
          <w:fldChar w:fldCharType="end"/>
        </w:r>
      </w:hyperlink>
    </w:p>
    <w:p w14:paraId="0835A83E" w14:textId="0099867B" w:rsidR="00C3694F" w:rsidRDefault="00C3694F">
      <w:pPr>
        <w:pStyle w:val="TOC1"/>
        <w:rPr>
          <w:rFonts w:asciiTheme="minorHAnsi" w:eastAsiaTheme="minorEastAsia" w:hAnsiTheme="minorHAnsi" w:cstheme="minorBidi"/>
          <w:noProof/>
          <w:sz w:val="22"/>
          <w:szCs w:val="22"/>
        </w:rPr>
      </w:pPr>
      <w:hyperlink w:anchor="_Toc219970022" w:history="1">
        <w:r w:rsidRPr="008774ED">
          <w:rPr>
            <w:rStyle w:val="Hyperlink"/>
            <w:noProof/>
          </w:rPr>
          <w:t>Schedule No. 4-A – Monthly Water Rates</w:t>
        </w:r>
        <w:r>
          <w:rPr>
            <w:noProof/>
            <w:webHidden/>
          </w:rPr>
          <w:tab/>
        </w:r>
        <w:r>
          <w:rPr>
            <w:noProof/>
            <w:webHidden/>
          </w:rPr>
          <w:fldChar w:fldCharType="begin"/>
        </w:r>
        <w:r>
          <w:rPr>
            <w:noProof/>
            <w:webHidden/>
          </w:rPr>
          <w:instrText xml:space="preserve"> PAGEREF _Toc219970022 \h </w:instrText>
        </w:r>
        <w:r>
          <w:rPr>
            <w:noProof/>
            <w:webHidden/>
          </w:rPr>
        </w:r>
        <w:r>
          <w:rPr>
            <w:noProof/>
            <w:webHidden/>
          </w:rPr>
          <w:fldChar w:fldCharType="separate"/>
        </w:r>
        <w:r>
          <w:rPr>
            <w:noProof/>
            <w:webHidden/>
          </w:rPr>
          <w:t>58</w:t>
        </w:r>
        <w:r>
          <w:rPr>
            <w:noProof/>
            <w:webHidden/>
          </w:rPr>
          <w:fldChar w:fldCharType="end"/>
        </w:r>
      </w:hyperlink>
    </w:p>
    <w:p w14:paraId="0D8410FB" w14:textId="4BAA4418" w:rsidR="00C3694F" w:rsidRDefault="00C3694F">
      <w:pPr>
        <w:pStyle w:val="TOC1"/>
        <w:rPr>
          <w:rFonts w:asciiTheme="minorHAnsi" w:eastAsiaTheme="minorEastAsia" w:hAnsiTheme="minorHAnsi" w:cstheme="minorBidi"/>
          <w:noProof/>
          <w:sz w:val="22"/>
          <w:szCs w:val="22"/>
        </w:rPr>
      </w:pPr>
      <w:hyperlink w:anchor="_Toc219970023" w:history="1">
        <w:r w:rsidRPr="008774ED">
          <w:rPr>
            <w:rStyle w:val="Hyperlink"/>
            <w:noProof/>
          </w:rPr>
          <w:t>Schedule No. 4-B – Monthly Wastewater Rates</w:t>
        </w:r>
        <w:r>
          <w:rPr>
            <w:noProof/>
            <w:webHidden/>
          </w:rPr>
          <w:tab/>
        </w:r>
        <w:r>
          <w:rPr>
            <w:noProof/>
            <w:webHidden/>
          </w:rPr>
          <w:fldChar w:fldCharType="begin"/>
        </w:r>
        <w:r>
          <w:rPr>
            <w:noProof/>
            <w:webHidden/>
          </w:rPr>
          <w:instrText xml:space="preserve"> PAGEREF _Toc219970023 \h </w:instrText>
        </w:r>
        <w:r>
          <w:rPr>
            <w:noProof/>
            <w:webHidden/>
          </w:rPr>
        </w:r>
        <w:r>
          <w:rPr>
            <w:noProof/>
            <w:webHidden/>
          </w:rPr>
          <w:fldChar w:fldCharType="separate"/>
        </w:r>
        <w:r>
          <w:rPr>
            <w:noProof/>
            <w:webHidden/>
          </w:rPr>
          <w:t>59</w:t>
        </w:r>
        <w:r>
          <w:rPr>
            <w:noProof/>
            <w:webHidden/>
          </w:rPr>
          <w:fldChar w:fldCharType="end"/>
        </w:r>
      </w:hyperlink>
    </w:p>
    <w:p w14:paraId="1E8C1CBA" w14:textId="6B46B524" w:rsidR="00C3694F" w:rsidRDefault="00C3694F">
      <w:pPr>
        <w:pStyle w:val="TOC1"/>
        <w:rPr>
          <w:rFonts w:asciiTheme="minorHAnsi" w:eastAsiaTheme="minorEastAsia" w:hAnsiTheme="minorHAnsi" w:cstheme="minorBidi"/>
          <w:noProof/>
          <w:sz w:val="22"/>
          <w:szCs w:val="22"/>
        </w:rPr>
      </w:pPr>
      <w:hyperlink w:anchor="_Toc219970024" w:history="1">
        <w:r w:rsidRPr="008774ED">
          <w:rPr>
            <w:rStyle w:val="Hyperlink"/>
            <w:noProof/>
          </w:rPr>
          <w:t>Schedule No. 5 – Plant Capacity Charges</w:t>
        </w:r>
        <w:r>
          <w:rPr>
            <w:noProof/>
            <w:webHidden/>
          </w:rPr>
          <w:tab/>
        </w:r>
        <w:r>
          <w:rPr>
            <w:noProof/>
            <w:webHidden/>
          </w:rPr>
          <w:fldChar w:fldCharType="begin"/>
        </w:r>
        <w:r>
          <w:rPr>
            <w:noProof/>
            <w:webHidden/>
          </w:rPr>
          <w:instrText xml:space="preserve"> PAGEREF _Toc219970024 \h </w:instrText>
        </w:r>
        <w:r>
          <w:rPr>
            <w:noProof/>
            <w:webHidden/>
          </w:rPr>
        </w:r>
        <w:r>
          <w:rPr>
            <w:noProof/>
            <w:webHidden/>
          </w:rPr>
          <w:fldChar w:fldCharType="separate"/>
        </w:r>
        <w:r>
          <w:rPr>
            <w:noProof/>
            <w:webHidden/>
          </w:rPr>
          <w:t>60</w:t>
        </w:r>
        <w:r>
          <w:rPr>
            <w:noProof/>
            <w:webHidden/>
          </w:rPr>
          <w:fldChar w:fldCharType="end"/>
        </w:r>
      </w:hyperlink>
    </w:p>
    <w:p w14:paraId="414B89E2" w14:textId="2C0B6666" w:rsidR="00206AC3" w:rsidRDefault="00CE76A5">
      <w:pPr>
        <w:pStyle w:val="BodyText"/>
      </w:pPr>
      <w:r>
        <w:fldChar w:fldCharType="end"/>
      </w:r>
      <w:r w:rsidR="00206AC3">
        <w:br w:type="page"/>
      </w:r>
    </w:p>
    <w:p w14:paraId="12C66437" w14:textId="7BFC7466" w:rsidR="007C0528" w:rsidRDefault="007C0528">
      <w:pPr>
        <w:pStyle w:val="RecommendationMajorSectionHeading"/>
      </w:pPr>
      <w:bookmarkStart w:id="9" w:name="CaseBackground"/>
      <w:r>
        <w:lastRenderedPageBreak/>
        <w:t>Case Background</w:t>
      </w:r>
      <w:r>
        <w:fldChar w:fldCharType="begin"/>
      </w:r>
      <w:r>
        <w:instrText xml:space="preserve"> TC  "</w:instrText>
      </w:r>
      <w:r>
        <w:tab/>
      </w:r>
      <w:bookmarkStart w:id="10" w:name="_Toc94516455"/>
      <w:bookmarkStart w:id="11" w:name="_Toc219969996"/>
      <w:r>
        <w:instrText>Case Background</w:instrText>
      </w:r>
      <w:bookmarkEnd w:id="10"/>
      <w:bookmarkEnd w:id="11"/>
      <w:r>
        <w:instrText xml:space="preserve">" \l 1 </w:instrText>
      </w:r>
      <w:r>
        <w:fldChar w:fldCharType="end"/>
      </w:r>
    </w:p>
    <w:p w14:paraId="36A01660" w14:textId="77777777" w:rsidR="00D05BC0" w:rsidRDefault="00D05BC0" w:rsidP="00D05BC0">
      <w:pPr>
        <w:pStyle w:val="BodyText"/>
      </w:pPr>
      <w:r>
        <w:t>NC Real Estate Projects, LLC d/b/a Grenelefe Utility (Grenelefe or Utility) is a Class B water and wastewater utility operating in Polk County. Grenelefe provides service to approximately 1,400 water and wastewater customers. The Utility’s service territory is located within the Southwest Florida Water Management District (SWFWMD). In its 2024 Annual Report, Grenelefe reported net operating losses of $197,676 for water and $397,410 for wastewater.</w:t>
      </w:r>
    </w:p>
    <w:p w14:paraId="4ABFADDA" w14:textId="77777777" w:rsidR="00D05BC0" w:rsidRDefault="00D05BC0" w:rsidP="00D05BC0">
      <w:pPr>
        <w:pStyle w:val="BodyText"/>
      </w:pPr>
      <w:r>
        <w:t>On July 8, 2024, Certificate Nos. 589-W and 507-S were transferred to the Utility.</w:t>
      </w:r>
      <w:r>
        <w:rPr>
          <w:rStyle w:val="FootnoteReference"/>
        </w:rPr>
        <w:footnoteReference w:id="1"/>
      </w:r>
      <w:r>
        <w:t xml:space="preserve"> On September 17, 2024, Grenelefe filed an application with the Commission for an amendment of its water and wastewater service territories, which included the proposed addition of a new development of approximately 1,080 customers. The Commission approved Grenelefe’s certificate amendments on February 4, 2025.</w:t>
      </w:r>
      <w:r>
        <w:rPr>
          <w:rStyle w:val="FootnoteReference"/>
        </w:rPr>
        <w:footnoteReference w:id="2"/>
      </w:r>
      <w:r>
        <w:t xml:space="preserve"> The Utility’s rates were last established during a staff-assisted rate case (SARC) in 2011.</w:t>
      </w:r>
      <w:r>
        <w:rPr>
          <w:rStyle w:val="FootnoteReference"/>
        </w:rPr>
        <w:footnoteReference w:id="3"/>
      </w:r>
    </w:p>
    <w:p w14:paraId="367D6886" w14:textId="5ED00931" w:rsidR="00D05BC0" w:rsidRDefault="00D05BC0" w:rsidP="00D05BC0">
      <w:pPr>
        <w:pStyle w:val="BodyText"/>
      </w:pPr>
      <w:r>
        <w:t xml:space="preserve">On January 10, 2025, Grenelefe filed an application for a SARC. The official filing date was established as March 3, 2025. The 12-month period ended October 31, 2024, was selected as the test year. As part of its SARC application, the Utility requested both interim rates and service availability charges. However, on February 11, 2025, the Utility withdrew </w:t>
      </w:r>
      <w:r w:rsidR="007B1E4E">
        <w:t>its</w:t>
      </w:r>
      <w:r>
        <w:t xml:space="preserve"> request for interim service availability charges.</w:t>
      </w:r>
      <w:r>
        <w:rPr>
          <w:rStyle w:val="FootnoteReference"/>
        </w:rPr>
        <w:footnoteReference w:id="4"/>
      </w:r>
      <w:r>
        <w:t xml:space="preserve"> The Commission approved the Utility’s interim rates on March 11, 2025.</w:t>
      </w:r>
      <w:r>
        <w:rPr>
          <w:rStyle w:val="FootnoteReference"/>
        </w:rPr>
        <w:footnoteReference w:id="5"/>
      </w:r>
      <w:r>
        <w:t xml:space="preserve"> Subsequently, Grenelefe reinstated its request for interim service availability charges.</w:t>
      </w:r>
      <w:r>
        <w:rPr>
          <w:rStyle w:val="FootnoteReference"/>
        </w:rPr>
        <w:footnoteReference w:id="6"/>
      </w:r>
      <w:r>
        <w:t xml:space="preserve"> On September 24, 2025, the Commission approved the Utility’s interim service availability charges, but these charges have not been implemented as of January 22, 2026.</w:t>
      </w:r>
      <w:r>
        <w:rPr>
          <w:rStyle w:val="FootnoteReference"/>
        </w:rPr>
        <w:footnoteReference w:id="7"/>
      </w:r>
      <w:r w:rsidRPr="00DB3A3C">
        <w:t xml:space="preserve"> A virtual customer meeting was held on September 15, 2025.</w:t>
      </w:r>
    </w:p>
    <w:p w14:paraId="4BB667F9" w14:textId="66AF6197" w:rsidR="007C0528" w:rsidRDefault="00CB7DB5" w:rsidP="00D57544">
      <w:pPr>
        <w:pStyle w:val="BodyText"/>
      </w:pPr>
      <w:r>
        <w:t>The Commission has jurisdiction in this case pursuant to Sections 367.011, 367.081, 367.0812, 367.0814, 367.091, and 367.121, Florida Statutes (F.S.).</w:t>
      </w:r>
      <w:r w:rsidR="00D57544">
        <w:t xml:space="preserve"> </w:t>
      </w:r>
    </w:p>
    <w:bookmarkEnd w:id="9"/>
    <w:p w14:paraId="2FBF96CC" w14:textId="77777777" w:rsidR="00EA2273" w:rsidRDefault="00EA2273">
      <w:pPr>
        <w:pStyle w:val="RecommendationMajorSectionHeading"/>
        <w:sectPr w:rsidR="00EA2273" w:rsidSect="00470C1A">
          <w:headerReference w:type="even" r:id="rId9"/>
          <w:headerReference w:type="default" r:id="rId10"/>
          <w:footerReference w:type="even" r:id="rId11"/>
          <w:footerReference w:type="default" r:id="rId12"/>
          <w:headerReference w:type="first" r:id="rId13"/>
          <w:footerReference w:type="first" r:id="rId14"/>
          <w:pgSz w:w="12240" w:h="15840" w:code="1"/>
          <w:pgMar w:top="1584" w:right="1440" w:bottom="1440" w:left="1440" w:header="720" w:footer="720" w:gutter="0"/>
          <w:cols w:space="720"/>
          <w:formProt w:val="0"/>
          <w:titlePg/>
          <w:docGrid w:linePitch="360"/>
        </w:sectPr>
      </w:pPr>
    </w:p>
    <w:p w14:paraId="6408D3B1" w14:textId="77777777" w:rsidR="007C0528" w:rsidRDefault="007C0528">
      <w:pPr>
        <w:pStyle w:val="RecommendationMajorSectionHeading"/>
      </w:pPr>
      <w:bookmarkStart w:id="14" w:name="DiscussionOfIssues"/>
      <w:r>
        <w:t>Discussion of Issues</w:t>
      </w:r>
    </w:p>
    <w:bookmarkEnd w:id="14"/>
    <w:p w14:paraId="41AE275C" w14:textId="77777777" w:rsidR="00657ED3" w:rsidRDefault="00657ED3">
      <w:pPr>
        <w:rPr>
          <w:rFonts w:ascii="Arial" w:hAnsi="Arial" w:cs="Arial"/>
          <w:b/>
          <w:bCs/>
          <w:i/>
          <w:kern w:val="32"/>
          <w:szCs w:val="32"/>
        </w:rPr>
      </w:pPr>
    </w:p>
    <w:p w14:paraId="5128CA24" w14:textId="00A604E8" w:rsidR="00A024A0" w:rsidRDefault="00A024A0">
      <w:pPr>
        <w:pStyle w:val="IssueHeading"/>
        <w:rPr>
          <w:vanish/>
          <w:specVanish/>
        </w:rPr>
      </w:pPr>
      <w:r w:rsidRPr="004C3641">
        <w:t xml:space="preserve">Issue </w:t>
      </w:r>
      <w:r w:rsidR="00C3694F">
        <w:fldChar w:fldCharType="begin"/>
      </w:r>
      <w:r w:rsidR="00C3694F">
        <w:instrText xml:space="preserve"> SEQ Issue \* MERGEFORMAT </w:instrText>
      </w:r>
      <w:r w:rsidR="00C3694F">
        <w:fldChar w:fldCharType="separate"/>
      </w:r>
      <w:r w:rsidR="00C3694F">
        <w:rPr>
          <w:noProof/>
        </w:rPr>
        <w:t>1</w:t>
      </w:r>
      <w:r w:rsidR="00C3694F">
        <w:rPr>
          <w:noProof/>
        </w:rPr>
        <w:fldChar w:fldCharType="end"/>
      </w:r>
      <w:r w:rsidRPr="004C3641">
        <w:t>:</w:t>
      </w:r>
      <w:r>
        <w:fldChar w:fldCharType="begin"/>
      </w:r>
      <w:r>
        <w:instrText xml:space="preserve"> TC "</w:instrText>
      </w:r>
      <w:bookmarkStart w:id="15" w:name="_Toc219969997"/>
      <w:r w:rsidR="00470C1A">
        <w:instrText xml:space="preserve">Issue </w:instrText>
      </w:r>
      <w:r w:rsidR="00470C1A">
        <w:fldChar w:fldCharType="begin"/>
      </w:r>
      <w:r w:rsidR="00470C1A">
        <w:instrText xml:space="preserve"> SEQ issue \c </w:instrText>
      </w:r>
      <w:r w:rsidR="00470C1A">
        <w:fldChar w:fldCharType="separate"/>
      </w:r>
      <w:r w:rsidR="00C3694F">
        <w:rPr>
          <w:noProof/>
        </w:rPr>
        <w:instrText>1</w:instrText>
      </w:r>
      <w:r w:rsidR="00470C1A">
        <w:fldChar w:fldCharType="end"/>
      </w:r>
      <w:r w:rsidR="00470C1A">
        <w:instrText xml:space="preserve"> – Quality of Service</w:instrText>
      </w:r>
      <w:bookmarkEnd w:id="15"/>
      <w:r>
        <w:instrText xml:space="preserve">" \l 1 </w:instrText>
      </w:r>
      <w:r>
        <w:fldChar w:fldCharType="end"/>
      </w:r>
      <w:r>
        <w:t> </w:t>
      </w:r>
    </w:p>
    <w:p w14:paraId="24DF9920" w14:textId="77777777" w:rsidR="00A024A0" w:rsidRDefault="00A024A0">
      <w:pPr>
        <w:pStyle w:val="BodyText"/>
      </w:pPr>
      <w:r>
        <w:t> Is the quality of service provided by Grenelefe satisfactory?</w:t>
      </w:r>
    </w:p>
    <w:p w14:paraId="3102367E" w14:textId="77777777" w:rsidR="00A024A0" w:rsidRPr="004C3641" w:rsidRDefault="00A024A0">
      <w:pPr>
        <w:pStyle w:val="IssueSubsectionHeading"/>
        <w:rPr>
          <w:vanish/>
          <w:specVanish/>
        </w:rPr>
      </w:pPr>
      <w:r w:rsidRPr="004C3641">
        <w:t>Recommendation: </w:t>
      </w:r>
    </w:p>
    <w:p w14:paraId="3CF15FC2" w14:textId="07CBC4FA" w:rsidR="00A024A0" w:rsidRDefault="00A024A0">
      <w:pPr>
        <w:pStyle w:val="BodyText"/>
      </w:pPr>
      <w:r>
        <w:t> </w:t>
      </w:r>
      <w:r w:rsidR="00CB7DB5">
        <w:t xml:space="preserve">No. While </w:t>
      </w:r>
      <w:r w:rsidR="00CB7DB5">
        <w:rPr>
          <w:color w:val="000000"/>
        </w:rPr>
        <w:t xml:space="preserve">the Utility is in compliance with the Department of Environmental Protection (DEP) standards, </w:t>
      </w:r>
      <w:r w:rsidR="00CB7DB5">
        <w:t>staff recommends that the Utility’s attempt to address customer satisfaction could be improved.</w:t>
      </w:r>
      <w:r w:rsidR="00CB7DB5">
        <w:rPr>
          <w:color w:val="000000"/>
        </w:rPr>
        <w:t xml:space="preserve"> In addition, staff has identified </w:t>
      </w:r>
      <w:r w:rsidR="00CB7DB5" w:rsidRPr="0087453B">
        <w:t>managerial issues</w:t>
      </w:r>
      <w:r w:rsidR="00CB7DB5">
        <w:t>,</w:t>
      </w:r>
      <w:r w:rsidR="00CB7DB5" w:rsidRPr="0087453B">
        <w:t xml:space="preserve"> such as </w:t>
      </w:r>
      <w:r w:rsidR="00CB7DB5">
        <w:t>the Utility’s</w:t>
      </w:r>
      <w:r w:rsidR="00CB7DB5" w:rsidRPr="0087453B">
        <w:t xml:space="preserve"> failure to maintain required complaint and service interruption records</w:t>
      </w:r>
      <w:r w:rsidR="00CB7DB5">
        <w:t xml:space="preserve">. </w:t>
      </w:r>
      <w:r w:rsidR="00D05BC0">
        <w:t>A</w:t>
      </w:r>
      <w:r w:rsidR="00D05BC0">
        <w:rPr>
          <w:color w:val="000000"/>
        </w:rPr>
        <w:t>s such, staff recommends that Grenelefe’s quality of service be considered marginal, but that no penalty be imposed at this time. Staff further recommends that the Utility meet with its customers within three months of issuance of the Consummating or Final Order to discuss its quality of service issues. The Office of Public Counsel and Commission staff should be timely made aware of the meeting date, place, and time. Lastly, within one month after such meeting with its customers, the Utility shall file a report in this docket summarizing the results of the meeting</w:t>
      </w:r>
      <w:r w:rsidR="00CB7DB5">
        <w:rPr>
          <w:color w:val="000000"/>
        </w:rPr>
        <w:t>.</w:t>
      </w:r>
      <w:r>
        <w:t xml:space="preserve"> (Ramirez-Abundez)</w:t>
      </w:r>
    </w:p>
    <w:p w14:paraId="12F3631B" w14:textId="77777777" w:rsidR="00A024A0" w:rsidRPr="004C3641" w:rsidRDefault="00A024A0">
      <w:pPr>
        <w:pStyle w:val="IssueSubsectionHeading"/>
        <w:rPr>
          <w:vanish/>
          <w:specVanish/>
        </w:rPr>
      </w:pPr>
      <w:r w:rsidRPr="004C3641">
        <w:t>Staff Analysis: </w:t>
      </w:r>
    </w:p>
    <w:p w14:paraId="1E2DBD2E" w14:textId="3EAF397D" w:rsidR="00CB7DB5" w:rsidRDefault="00A024A0" w:rsidP="00CB7DB5">
      <w:pPr>
        <w:pStyle w:val="BodyText"/>
      </w:pPr>
      <w:r>
        <w:t> </w:t>
      </w:r>
      <w:r w:rsidR="00CB7DB5">
        <w:t>P</w:t>
      </w:r>
      <w:r w:rsidR="00CB7DB5" w:rsidRPr="00B2360E">
        <w:t xml:space="preserve">ursuant to Section 367.081(2)(a)1, F.S., and Rule 25-30.433(1), Florida Administrative Code (F.A.C.), in water and wastewater rate cases, the Commission shall determine the overall quality of service provided by the </w:t>
      </w:r>
      <w:r w:rsidR="00CB7DB5">
        <w:t>u</w:t>
      </w:r>
      <w:r w:rsidR="00CB7DB5" w:rsidRPr="00B2360E">
        <w:t xml:space="preserve">tility. This determination is made from an evaluation of the quality of the </w:t>
      </w:r>
      <w:r w:rsidR="00CB7DB5">
        <w:t>u</w:t>
      </w:r>
      <w:r w:rsidR="00CB7DB5" w:rsidRPr="00B2360E">
        <w:t xml:space="preserve">tility’s product (water) and the </w:t>
      </w:r>
      <w:r w:rsidR="00CB7DB5">
        <w:t>u</w:t>
      </w:r>
      <w:r w:rsidR="00CB7DB5" w:rsidRPr="00B2360E">
        <w:t xml:space="preserve">tility’s attempt to address customer satisfaction (water and wastewater). </w:t>
      </w:r>
      <w:r w:rsidR="00D05BC0" w:rsidRPr="00B2360E">
        <w:t xml:space="preserve">The Rule further states that the most recent chemical analyses for the water system, outstanding citations, violations, and consent orders on file with the </w:t>
      </w:r>
      <w:r w:rsidR="00D05BC0">
        <w:t>DEP</w:t>
      </w:r>
      <w:r w:rsidR="00D05BC0" w:rsidRPr="00B2360E">
        <w:t xml:space="preserve"> and the County health department, </w:t>
      </w:r>
      <w:r w:rsidR="00D05BC0">
        <w:t xml:space="preserve">as well as </w:t>
      </w:r>
      <w:r w:rsidR="00D05BC0" w:rsidRPr="00B2360E">
        <w:t>any DEP and county health department officials’ testimony concerning quality of service</w:t>
      </w:r>
      <w:r w:rsidR="00D05BC0">
        <w:t>,</w:t>
      </w:r>
      <w:r w:rsidR="00D05BC0" w:rsidRPr="00B2360E">
        <w:t xml:space="preserve"> shall be considered. In addition, any customer testimony, comments, or complaints received by the Com</w:t>
      </w:r>
      <w:r w:rsidR="00D05BC0">
        <w:t>mission are to be reviewed. The o</w:t>
      </w:r>
      <w:r w:rsidR="00D05BC0" w:rsidRPr="00B2360E">
        <w:t>perating conditions of the water and wastewater systems are addressed in Issue 2</w:t>
      </w:r>
      <w:r w:rsidR="00CB7DB5">
        <w:t>.</w:t>
      </w:r>
    </w:p>
    <w:p w14:paraId="5BBF544B" w14:textId="77777777" w:rsidR="00CB7DB5" w:rsidRDefault="00CB7DB5" w:rsidP="00CB7DB5">
      <w:pPr>
        <w:pStyle w:val="First-LevelSubheading"/>
      </w:pPr>
      <w:r>
        <w:t>Quality of Utility’s Product</w:t>
      </w:r>
    </w:p>
    <w:p w14:paraId="56119F21" w14:textId="6C350FC1" w:rsidR="00CB7DB5" w:rsidRDefault="00D05BC0" w:rsidP="00CB7DB5">
      <w:pPr>
        <w:pStyle w:val="BodyText"/>
      </w:pPr>
      <w:r>
        <w:t>In evaluation of Grenelefe’s product quality, staff reviewed the Utility’s compliance with the DEP’s primary and secondary drinking water standards. Primary standards protect public health, while secondary standards regulate contaminants that may impact taste, odor, and color of drinking water. In the DEP’s last Sanitary Survey Report, dated May 10, 2023, no chemical or bacteriological exceedances were noted for the previous 12 months and the Utility was determined to be in compliance with DEP standards. Staff also reviewed the DEP’s triennial Safe Drinking Water Program chemical analysis of samples taken at the point of entry on February 26, 2025. The results were in compliance with DEP standards</w:t>
      </w:r>
      <w:r w:rsidR="00CB7DB5">
        <w:t>.</w:t>
      </w:r>
    </w:p>
    <w:p w14:paraId="7D12A5AD" w14:textId="77777777" w:rsidR="00CB7DB5" w:rsidRPr="00C82059" w:rsidRDefault="00CB7DB5" w:rsidP="00CB7DB5">
      <w:pPr>
        <w:pStyle w:val="First-LevelSubheading"/>
      </w:pPr>
      <w:r w:rsidRPr="00C82059">
        <w:t>The Utility’s Attempt to Address Customer Satisfaction</w:t>
      </w:r>
    </w:p>
    <w:p w14:paraId="7FF66DA0" w14:textId="77777777" w:rsidR="00D05BC0" w:rsidRDefault="00D05BC0" w:rsidP="00CB7DB5">
      <w:pPr>
        <w:pStyle w:val="BodyText"/>
      </w:pPr>
      <w:r w:rsidRPr="00C82059">
        <w:t xml:space="preserve">Staff reviewed the complaints filed in the Commission’s Consumer Activity </w:t>
      </w:r>
      <w:r>
        <w:t xml:space="preserve">Tracking System (CATS) records, those </w:t>
      </w:r>
      <w:r w:rsidRPr="00C82059">
        <w:t>received by the Utility</w:t>
      </w:r>
      <w:r>
        <w:t>, and those filed with the DEP</w:t>
      </w:r>
      <w:r w:rsidRPr="00C82059">
        <w:t xml:space="preserve"> since 2022</w:t>
      </w:r>
      <w:r>
        <w:t xml:space="preserve"> when the Utility transferred to the current owner. For the analyzed time period, there was one complaint recorded in CATS under the current owner, which related to a delay in establishing service.</w:t>
      </w:r>
    </w:p>
    <w:p w14:paraId="3EDBCF73" w14:textId="4567DC3E" w:rsidR="00B6037C" w:rsidRDefault="00B6037C" w:rsidP="00B6037C">
      <w:pPr>
        <w:autoSpaceDE w:val="0"/>
        <w:autoSpaceDN w:val="0"/>
        <w:adjustRightInd w:val="0"/>
        <w:jc w:val="both"/>
      </w:pPr>
      <w:r>
        <w:t xml:space="preserve">In its first data request, staff asked the Utility to provide a list of all service complaints received </w:t>
      </w:r>
      <w:r>
        <w:rPr>
          <w:rFonts w:ascii="TimesNewRomanPSMT" w:hAnsi="TimesNewRomanPSMT" w:cs="TimesNewRomanPSMT"/>
        </w:rPr>
        <w:t>during the test year and four years prior to the test year</w:t>
      </w:r>
      <w:r>
        <w:t xml:space="preserve"> and also requested an explanation of how each complaint was resolved. In response, the Utility indicated it had received 215 complaints</w:t>
      </w:r>
      <w:r w:rsidRPr="004D0783">
        <w:t xml:space="preserve"> </w:t>
      </w:r>
      <w:r>
        <w:t>over nine broad categories since taking ownership and provided generalized responses for each category on how the complaints were addressed.</w:t>
      </w:r>
      <w:r>
        <w:rPr>
          <w:rStyle w:val="FootnoteReference"/>
        </w:rPr>
        <w:footnoteReference w:id="8"/>
      </w:r>
      <w:r>
        <w:t xml:space="preserve"> As this question was not fully answered, staff asked the question again in its fourth data request. Grenelefe responded that it was unaware of its obligation to record every service complaint prior to staff’s first data request and therefore the Utility did not have the complaint records to provide.</w:t>
      </w:r>
      <w:r>
        <w:rPr>
          <w:rStyle w:val="FootnoteReference"/>
        </w:rPr>
        <w:footnoteReference w:id="9"/>
      </w:r>
      <w:r>
        <w:t xml:space="preserve"> Based on the information available to staff, the accuracy of which is uncertain, the majority of the 215 complaints were related to improper billing and quality of service issues, such as minerals in the water, smell, pipe leaks, water pressure, and lift station alarm noise. While staff was unable to analyze the Utility’s complaints, they have been included in the summary table below.</w:t>
      </w:r>
    </w:p>
    <w:p w14:paraId="3C791C6D" w14:textId="77777777" w:rsidR="00B6037C" w:rsidRDefault="00B6037C" w:rsidP="00B6037C">
      <w:pPr>
        <w:autoSpaceDE w:val="0"/>
        <w:autoSpaceDN w:val="0"/>
        <w:adjustRightInd w:val="0"/>
        <w:jc w:val="both"/>
      </w:pPr>
    </w:p>
    <w:p w14:paraId="5DCA1374" w14:textId="3F7D2406" w:rsidR="00CB7DB5" w:rsidRDefault="00CB7DB5" w:rsidP="00B6037C">
      <w:pPr>
        <w:pStyle w:val="BodyText"/>
      </w:pPr>
      <w:r>
        <w:t xml:space="preserve">The DEP reported that it received three water complaints under the current owner regarding the number of </w:t>
      </w:r>
      <w:r w:rsidR="000D6AF8">
        <w:t>Boil Water Notices (</w:t>
      </w:r>
      <w:r>
        <w:t>BWN</w:t>
      </w:r>
      <w:r w:rsidR="000D6AF8">
        <w:t>)</w:t>
      </w:r>
      <w:r>
        <w:t xml:space="preserve"> issued and reports of cloudy water</w:t>
      </w:r>
      <w:r w:rsidR="00A05F0D">
        <w:t>,</w:t>
      </w:r>
      <w:r>
        <w:t xml:space="preserve"> but did not receive any wastewater complaints. A review of the customer complaints indicates the Utility has resolved all complaints filed with the Commission and with the DEP. Specific disposition of complaints received by the Utility is unknown. Table 1-1 summarizes the complaints from May 31, 2022, through the end of the test year recorded with CATS, the DEP, and the Utility. </w:t>
      </w:r>
    </w:p>
    <w:p w14:paraId="2C593736" w14:textId="00281358" w:rsidR="00CB7DB5" w:rsidRDefault="00CB7DB5" w:rsidP="00CB7DB5">
      <w:pPr>
        <w:pStyle w:val="TableNumber"/>
        <w:keepNext/>
      </w:pPr>
      <w:r>
        <w:t xml:space="preserve">Table </w:t>
      </w:r>
      <w:r w:rsidR="00C3694F">
        <w:fldChar w:fldCharType="begin"/>
      </w:r>
      <w:r w:rsidR="00C3694F">
        <w:instrText xml:space="preserve"> SEQ Issue \c </w:instrText>
      </w:r>
      <w:r w:rsidR="00C3694F">
        <w:fldChar w:fldCharType="separate"/>
      </w:r>
      <w:r w:rsidR="00C3694F">
        <w:rPr>
          <w:noProof/>
        </w:rPr>
        <w:t>1</w:t>
      </w:r>
      <w:r w:rsidR="00C3694F">
        <w:rPr>
          <w:noProof/>
        </w:rPr>
        <w:fldChar w:fldCharType="end"/>
      </w:r>
      <w:r>
        <w:t>-1</w:t>
      </w:r>
    </w:p>
    <w:p w14:paraId="75A7E5EF" w14:textId="77777777" w:rsidR="00CB7DB5" w:rsidRDefault="00CB7DB5" w:rsidP="00CB7DB5">
      <w:pPr>
        <w:pStyle w:val="TableTitle"/>
        <w:keepNext/>
      </w:pPr>
      <w:r>
        <w:t>Number of Complaints by Source and Subject</w:t>
      </w:r>
    </w:p>
    <w:tbl>
      <w:tblPr>
        <w:tblStyle w:val="TableGrid"/>
        <w:tblW w:w="6486" w:type="dxa"/>
        <w:jc w:val="center"/>
        <w:tblLook w:val="04A0" w:firstRow="1" w:lastRow="0" w:firstColumn="1" w:lastColumn="0" w:noHBand="0" w:noVBand="1"/>
      </w:tblPr>
      <w:tblGrid>
        <w:gridCol w:w="2192"/>
        <w:gridCol w:w="1107"/>
        <w:gridCol w:w="1112"/>
        <w:gridCol w:w="1243"/>
        <w:gridCol w:w="832"/>
      </w:tblGrid>
      <w:tr w:rsidR="00CB7DB5" w14:paraId="55A44C4A" w14:textId="77777777" w:rsidTr="00251943">
        <w:trPr>
          <w:jc w:val="center"/>
        </w:trPr>
        <w:tc>
          <w:tcPr>
            <w:tcW w:w="2192" w:type="dxa"/>
          </w:tcPr>
          <w:p w14:paraId="452D016D" w14:textId="77777777" w:rsidR="00CB7DB5" w:rsidRDefault="00CB7DB5" w:rsidP="00251943"/>
        </w:tc>
        <w:tc>
          <w:tcPr>
            <w:tcW w:w="1107" w:type="dxa"/>
            <w:vAlign w:val="center"/>
          </w:tcPr>
          <w:p w14:paraId="6A9C9952" w14:textId="77777777" w:rsidR="00CB7DB5" w:rsidRDefault="00CB7DB5" w:rsidP="00251943">
            <w:pPr>
              <w:jc w:val="center"/>
            </w:pPr>
            <w:r>
              <w:t xml:space="preserve">Current </w:t>
            </w:r>
          </w:p>
          <w:p w14:paraId="14B2E01E" w14:textId="77777777" w:rsidR="00CB7DB5" w:rsidRDefault="00CB7DB5" w:rsidP="00251943">
            <w:pPr>
              <w:jc w:val="center"/>
            </w:pPr>
            <w:r>
              <w:t xml:space="preserve">Owner </w:t>
            </w:r>
          </w:p>
          <w:p w14:paraId="2D4CA602" w14:textId="77777777" w:rsidR="00CB7DB5" w:rsidRDefault="00CB7DB5" w:rsidP="00251943">
            <w:pPr>
              <w:jc w:val="center"/>
            </w:pPr>
            <w:r>
              <w:t>(CATS)</w:t>
            </w:r>
          </w:p>
        </w:tc>
        <w:tc>
          <w:tcPr>
            <w:tcW w:w="1112" w:type="dxa"/>
            <w:vAlign w:val="center"/>
          </w:tcPr>
          <w:p w14:paraId="70895CA9" w14:textId="77777777" w:rsidR="00CB7DB5" w:rsidRDefault="00CB7DB5" w:rsidP="00251943">
            <w:pPr>
              <w:jc w:val="center"/>
            </w:pPr>
            <w:r>
              <w:t>DEP</w:t>
            </w:r>
          </w:p>
          <w:p w14:paraId="60B4B99A" w14:textId="77777777" w:rsidR="00CB7DB5" w:rsidRDefault="00CB7DB5" w:rsidP="00251943">
            <w:pPr>
              <w:jc w:val="center"/>
            </w:pPr>
            <w:r>
              <w:t>Records</w:t>
            </w:r>
          </w:p>
        </w:tc>
        <w:tc>
          <w:tcPr>
            <w:tcW w:w="1243" w:type="dxa"/>
            <w:vAlign w:val="center"/>
          </w:tcPr>
          <w:p w14:paraId="10412CAE" w14:textId="77777777" w:rsidR="00CB7DB5" w:rsidRDefault="00CB7DB5" w:rsidP="00251943">
            <w:pPr>
              <w:jc w:val="center"/>
            </w:pPr>
            <w:r>
              <w:t>Utility</w:t>
            </w:r>
          </w:p>
          <w:p w14:paraId="2F5BB99F" w14:textId="77777777" w:rsidR="00CB7DB5" w:rsidRDefault="00CB7DB5" w:rsidP="00251943">
            <w:pPr>
              <w:jc w:val="center"/>
            </w:pPr>
            <w:r>
              <w:t>Records</w:t>
            </w:r>
          </w:p>
        </w:tc>
        <w:tc>
          <w:tcPr>
            <w:tcW w:w="832" w:type="dxa"/>
            <w:vAlign w:val="center"/>
          </w:tcPr>
          <w:p w14:paraId="6CECDB41" w14:textId="77777777" w:rsidR="00CB7DB5" w:rsidRDefault="00CB7DB5" w:rsidP="00251943">
            <w:pPr>
              <w:jc w:val="center"/>
            </w:pPr>
            <w:r>
              <w:t>Total</w:t>
            </w:r>
          </w:p>
        </w:tc>
      </w:tr>
      <w:tr w:rsidR="00CB7DB5" w14:paraId="1E4C1794" w14:textId="77777777" w:rsidTr="00251943">
        <w:trPr>
          <w:jc w:val="center"/>
        </w:trPr>
        <w:tc>
          <w:tcPr>
            <w:tcW w:w="2192" w:type="dxa"/>
          </w:tcPr>
          <w:p w14:paraId="1B0FA081" w14:textId="77777777" w:rsidR="00CB7DB5" w:rsidRDefault="00CB7DB5" w:rsidP="00251943">
            <w:r>
              <w:t>Delay in Connection</w:t>
            </w:r>
          </w:p>
        </w:tc>
        <w:tc>
          <w:tcPr>
            <w:tcW w:w="1107" w:type="dxa"/>
            <w:vAlign w:val="center"/>
          </w:tcPr>
          <w:p w14:paraId="418D44BD" w14:textId="77777777" w:rsidR="00CB7DB5" w:rsidRDefault="00CB7DB5" w:rsidP="00251943">
            <w:pPr>
              <w:jc w:val="center"/>
            </w:pPr>
            <w:r>
              <w:t>1</w:t>
            </w:r>
          </w:p>
        </w:tc>
        <w:tc>
          <w:tcPr>
            <w:tcW w:w="1112" w:type="dxa"/>
            <w:vAlign w:val="center"/>
          </w:tcPr>
          <w:p w14:paraId="6392D243" w14:textId="77777777" w:rsidR="00CB7DB5" w:rsidRDefault="00CB7DB5" w:rsidP="00251943">
            <w:pPr>
              <w:jc w:val="center"/>
            </w:pPr>
            <w:r>
              <w:t>-</w:t>
            </w:r>
          </w:p>
        </w:tc>
        <w:tc>
          <w:tcPr>
            <w:tcW w:w="1243" w:type="dxa"/>
            <w:vAlign w:val="center"/>
          </w:tcPr>
          <w:p w14:paraId="129938BF" w14:textId="77777777" w:rsidR="00CB7DB5" w:rsidRDefault="00CB7DB5" w:rsidP="00251943">
            <w:pPr>
              <w:jc w:val="center"/>
            </w:pPr>
            <w:r>
              <w:t>-</w:t>
            </w:r>
          </w:p>
        </w:tc>
        <w:tc>
          <w:tcPr>
            <w:tcW w:w="832" w:type="dxa"/>
            <w:vAlign w:val="center"/>
          </w:tcPr>
          <w:p w14:paraId="1B22BA27" w14:textId="77777777" w:rsidR="00CB7DB5" w:rsidRDefault="00CB7DB5" w:rsidP="00251943">
            <w:pPr>
              <w:jc w:val="center"/>
            </w:pPr>
            <w:r>
              <w:t>1</w:t>
            </w:r>
          </w:p>
        </w:tc>
      </w:tr>
      <w:tr w:rsidR="00CB7DB5" w14:paraId="6A8030D8" w14:textId="77777777" w:rsidTr="00251943">
        <w:trPr>
          <w:jc w:val="center"/>
        </w:trPr>
        <w:tc>
          <w:tcPr>
            <w:tcW w:w="2192" w:type="dxa"/>
          </w:tcPr>
          <w:p w14:paraId="68313F16" w14:textId="77777777" w:rsidR="00CB7DB5" w:rsidRDefault="00CB7DB5" w:rsidP="00251943">
            <w:r>
              <w:t>Improper Billing</w:t>
            </w:r>
          </w:p>
        </w:tc>
        <w:tc>
          <w:tcPr>
            <w:tcW w:w="1107" w:type="dxa"/>
            <w:vAlign w:val="center"/>
          </w:tcPr>
          <w:p w14:paraId="444E2348" w14:textId="77777777" w:rsidR="00CB7DB5" w:rsidRDefault="00CB7DB5" w:rsidP="00251943">
            <w:pPr>
              <w:jc w:val="center"/>
            </w:pPr>
          </w:p>
        </w:tc>
        <w:tc>
          <w:tcPr>
            <w:tcW w:w="1112" w:type="dxa"/>
            <w:vAlign w:val="center"/>
          </w:tcPr>
          <w:p w14:paraId="04AC5767" w14:textId="77777777" w:rsidR="00CB7DB5" w:rsidRDefault="00CB7DB5" w:rsidP="00251943">
            <w:pPr>
              <w:jc w:val="center"/>
            </w:pPr>
            <w:r>
              <w:t>-</w:t>
            </w:r>
          </w:p>
        </w:tc>
        <w:tc>
          <w:tcPr>
            <w:tcW w:w="1243" w:type="dxa"/>
            <w:vAlign w:val="center"/>
          </w:tcPr>
          <w:p w14:paraId="62A1C084" w14:textId="77777777" w:rsidR="00CB7DB5" w:rsidRDefault="00CB7DB5" w:rsidP="00251943">
            <w:pPr>
              <w:jc w:val="center"/>
            </w:pPr>
            <w:r>
              <w:t>153</w:t>
            </w:r>
          </w:p>
        </w:tc>
        <w:tc>
          <w:tcPr>
            <w:tcW w:w="832" w:type="dxa"/>
            <w:vAlign w:val="center"/>
          </w:tcPr>
          <w:p w14:paraId="72636756" w14:textId="77777777" w:rsidR="00CB7DB5" w:rsidRDefault="00CB7DB5" w:rsidP="00251943">
            <w:pPr>
              <w:jc w:val="center"/>
            </w:pPr>
            <w:r>
              <w:t>153</w:t>
            </w:r>
          </w:p>
        </w:tc>
      </w:tr>
      <w:tr w:rsidR="00CB7DB5" w14:paraId="024CD45F" w14:textId="77777777" w:rsidTr="00251943">
        <w:trPr>
          <w:jc w:val="center"/>
        </w:trPr>
        <w:tc>
          <w:tcPr>
            <w:tcW w:w="2192" w:type="dxa"/>
          </w:tcPr>
          <w:p w14:paraId="52DED02B" w14:textId="77777777" w:rsidR="00CB7DB5" w:rsidRDefault="00CB7DB5" w:rsidP="00251943">
            <w:r>
              <w:t>Improper Disconnects</w:t>
            </w:r>
          </w:p>
        </w:tc>
        <w:tc>
          <w:tcPr>
            <w:tcW w:w="1107" w:type="dxa"/>
            <w:vAlign w:val="center"/>
          </w:tcPr>
          <w:p w14:paraId="48E4EB92" w14:textId="77777777" w:rsidR="00CB7DB5" w:rsidRDefault="00CB7DB5" w:rsidP="00251943">
            <w:pPr>
              <w:jc w:val="center"/>
            </w:pPr>
            <w:r>
              <w:t>-</w:t>
            </w:r>
          </w:p>
        </w:tc>
        <w:tc>
          <w:tcPr>
            <w:tcW w:w="1112" w:type="dxa"/>
            <w:vAlign w:val="center"/>
          </w:tcPr>
          <w:p w14:paraId="112E13BD" w14:textId="77777777" w:rsidR="00CB7DB5" w:rsidRDefault="00CB7DB5" w:rsidP="00251943">
            <w:pPr>
              <w:jc w:val="center"/>
            </w:pPr>
            <w:r>
              <w:t>-</w:t>
            </w:r>
          </w:p>
        </w:tc>
        <w:tc>
          <w:tcPr>
            <w:tcW w:w="1243" w:type="dxa"/>
            <w:vAlign w:val="center"/>
          </w:tcPr>
          <w:p w14:paraId="2FB7E904" w14:textId="77777777" w:rsidR="00CB7DB5" w:rsidRDefault="00CB7DB5" w:rsidP="00251943">
            <w:pPr>
              <w:jc w:val="center"/>
            </w:pPr>
            <w:r>
              <w:t>-</w:t>
            </w:r>
          </w:p>
        </w:tc>
        <w:tc>
          <w:tcPr>
            <w:tcW w:w="832" w:type="dxa"/>
            <w:vAlign w:val="center"/>
          </w:tcPr>
          <w:p w14:paraId="3D731080" w14:textId="77777777" w:rsidR="00CB7DB5" w:rsidRDefault="00CB7DB5" w:rsidP="00251943">
            <w:pPr>
              <w:jc w:val="center"/>
            </w:pPr>
            <w:r>
              <w:t>-</w:t>
            </w:r>
          </w:p>
        </w:tc>
      </w:tr>
      <w:tr w:rsidR="00CB7DB5" w14:paraId="07863ECF" w14:textId="77777777" w:rsidTr="00251943">
        <w:trPr>
          <w:jc w:val="center"/>
        </w:trPr>
        <w:tc>
          <w:tcPr>
            <w:tcW w:w="2192" w:type="dxa"/>
          </w:tcPr>
          <w:p w14:paraId="587BFA21" w14:textId="77777777" w:rsidR="00CB7DB5" w:rsidRDefault="00CB7DB5" w:rsidP="00251943">
            <w:r>
              <w:t>Outages</w:t>
            </w:r>
          </w:p>
        </w:tc>
        <w:tc>
          <w:tcPr>
            <w:tcW w:w="1107" w:type="dxa"/>
            <w:vAlign w:val="center"/>
          </w:tcPr>
          <w:p w14:paraId="2737B7FB" w14:textId="77777777" w:rsidR="00CB7DB5" w:rsidRDefault="00CB7DB5" w:rsidP="00251943">
            <w:pPr>
              <w:jc w:val="center"/>
            </w:pPr>
            <w:r>
              <w:t>-</w:t>
            </w:r>
          </w:p>
        </w:tc>
        <w:tc>
          <w:tcPr>
            <w:tcW w:w="1112" w:type="dxa"/>
            <w:vAlign w:val="center"/>
          </w:tcPr>
          <w:p w14:paraId="1F99E98F" w14:textId="77777777" w:rsidR="00CB7DB5" w:rsidRDefault="00CB7DB5" w:rsidP="00251943">
            <w:pPr>
              <w:jc w:val="center"/>
            </w:pPr>
            <w:r>
              <w:t>-</w:t>
            </w:r>
          </w:p>
        </w:tc>
        <w:tc>
          <w:tcPr>
            <w:tcW w:w="1243" w:type="dxa"/>
            <w:vAlign w:val="center"/>
          </w:tcPr>
          <w:p w14:paraId="6EA1D076" w14:textId="77777777" w:rsidR="00CB7DB5" w:rsidRDefault="00CB7DB5" w:rsidP="00251943">
            <w:pPr>
              <w:jc w:val="center"/>
            </w:pPr>
            <w:r>
              <w:t>-</w:t>
            </w:r>
          </w:p>
        </w:tc>
        <w:tc>
          <w:tcPr>
            <w:tcW w:w="832" w:type="dxa"/>
            <w:vAlign w:val="center"/>
          </w:tcPr>
          <w:p w14:paraId="50C743F0" w14:textId="77777777" w:rsidR="00CB7DB5" w:rsidRDefault="00CB7DB5" w:rsidP="00251943">
            <w:pPr>
              <w:jc w:val="center"/>
            </w:pPr>
            <w:r>
              <w:t>-</w:t>
            </w:r>
          </w:p>
        </w:tc>
      </w:tr>
      <w:tr w:rsidR="00CB7DB5" w14:paraId="70B9CFE2" w14:textId="77777777" w:rsidTr="00251943">
        <w:trPr>
          <w:jc w:val="center"/>
        </w:trPr>
        <w:tc>
          <w:tcPr>
            <w:tcW w:w="2192" w:type="dxa"/>
          </w:tcPr>
          <w:p w14:paraId="44243EE6" w14:textId="77777777" w:rsidR="00CB7DB5" w:rsidRDefault="00CB7DB5" w:rsidP="00251943">
            <w:r>
              <w:t>Quality of Service</w:t>
            </w:r>
          </w:p>
        </w:tc>
        <w:tc>
          <w:tcPr>
            <w:tcW w:w="1107" w:type="dxa"/>
            <w:vAlign w:val="center"/>
          </w:tcPr>
          <w:p w14:paraId="3D8DE422" w14:textId="77777777" w:rsidR="00CB7DB5" w:rsidRDefault="00CB7DB5" w:rsidP="00251943">
            <w:pPr>
              <w:jc w:val="center"/>
            </w:pPr>
            <w:r>
              <w:t>-</w:t>
            </w:r>
          </w:p>
        </w:tc>
        <w:tc>
          <w:tcPr>
            <w:tcW w:w="1112" w:type="dxa"/>
            <w:vAlign w:val="center"/>
          </w:tcPr>
          <w:p w14:paraId="0775B962" w14:textId="77777777" w:rsidR="00CB7DB5" w:rsidRDefault="00CB7DB5" w:rsidP="00251943">
            <w:pPr>
              <w:jc w:val="center"/>
            </w:pPr>
            <w:r>
              <w:t>3</w:t>
            </w:r>
          </w:p>
        </w:tc>
        <w:tc>
          <w:tcPr>
            <w:tcW w:w="1243" w:type="dxa"/>
            <w:vAlign w:val="center"/>
          </w:tcPr>
          <w:p w14:paraId="4A558D96" w14:textId="77777777" w:rsidR="00CB7DB5" w:rsidRDefault="00CB7DB5" w:rsidP="00251943">
            <w:pPr>
              <w:jc w:val="center"/>
            </w:pPr>
            <w:r>
              <w:t>62</w:t>
            </w:r>
          </w:p>
        </w:tc>
        <w:tc>
          <w:tcPr>
            <w:tcW w:w="832" w:type="dxa"/>
            <w:vAlign w:val="center"/>
          </w:tcPr>
          <w:p w14:paraId="4F259B0B" w14:textId="77777777" w:rsidR="00CB7DB5" w:rsidRDefault="00CB7DB5" w:rsidP="00251943">
            <w:pPr>
              <w:jc w:val="center"/>
            </w:pPr>
            <w:r>
              <w:t>65</w:t>
            </w:r>
          </w:p>
        </w:tc>
      </w:tr>
      <w:tr w:rsidR="00CB7DB5" w14:paraId="5E569D4E" w14:textId="77777777" w:rsidTr="00251943">
        <w:trPr>
          <w:jc w:val="center"/>
        </w:trPr>
        <w:tc>
          <w:tcPr>
            <w:tcW w:w="2192" w:type="dxa"/>
          </w:tcPr>
          <w:p w14:paraId="2368F79B" w14:textId="77777777" w:rsidR="00CB7DB5" w:rsidRDefault="00CB7DB5" w:rsidP="00251943">
            <w:r>
              <w:t>Total</w:t>
            </w:r>
          </w:p>
        </w:tc>
        <w:tc>
          <w:tcPr>
            <w:tcW w:w="1107" w:type="dxa"/>
            <w:vAlign w:val="center"/>
          </w:tcPr>
          <w:p w14:paraId="0CEFBB5F" w14:textId="77777777" w:rsidR="00CB7DB5" w:rsidRDefault="00CB7DB5" w:rsidP="00251943">
            <w:pPr>
              <w:jc w:val="center"/>
            </w:pPr>
            <w:r>
              <w:t>1</w:t>
            </w:r>
          </w:p>
        </w:tc>
        <w:tc>
          <w:tcPr>
            <w:tcW w:w="1112" w:type="dxa"/>
            <w:vAlign w:val="center"/>
          </w:tcPr>
          <w:p w14:paraId="63F3D89E" w14:textId="77777777" w:rsidR="00CB7DB5" w:rsidRDefault="00CB7DB5" w:rsidP="00251943">
            <w:pPr>
              <w:jc w:val="center"/>
            </w:pPr>
            <w:r>
              <w:t>3</w:t>
            </w:r>
          </w:p>
        </w:tc>
        <w:tc>
          <w:tcPr>
            <w:tcW w:w="1243" w:type="dxa"/>
            <w:vAlign w:val="center"/>
          </w:tcPr>
          <w:p w14:paraId="1CCA0C94" w14:textId="77777777" w:rsidR="00CB7DB5" w:rsidRDefault="00CB7DB5" w:rsidP="00251943">
            <w:pPr>
              <w:jc w:val="center"/>
            </w:pPr>
            <w:r>
              <w:t>215</w:t>
            </w:r>
          </w:p>
        </w:tc>
        <w:tc>
          <w:tcPr>
            <w:tcW w:w="832" w:type="dxa"/>
            <w:vAlign w:val="center"/>
          </w:tcPr>
          <w:p w14:paraId="0E5141D1" w14:textId="77777777" w:rsidR="00CB7DB5" w:rsidRDefault="00CB7DB5" w:rsidP="00251943">
            <w:pPr>
              <w:jc w:val="center"/>
            </w:pPr>
            <w:r>
              <w:t>219</w:t>
            </w:r>
          </w:p>
        </w:tc>
      </w:tr>
    </w:tbl>
    <w:p w14:paraId="3BDDA3E2" w14:textId="77777777" w:rsidR="00CB7DB5" w:rsidRDefault="00CB7DB5" w:rsidP="00A05F0D">
      <w:pPr>
        <w:pStyle w:val="TableSource"/>
        <w:spacing w:after="0"/>
      </w:pPr>
    </w:p>
    <w:p w14:paraId="40E4FA2E" w14:textId="3071ED69" w:rsidR="00CB7DB5" w:rsidRDefault="00CB7DB5" w:rsidP="00CB7DB5">
      <w:pPr>
        <w:pStyle w:val="BodyText"/>
      </w:pPr>
      <w:r>
        <w:t>Staff performed a supplemental review of the complaints filed in CATS following the Customer Meeting held on September 15, 2025. This review found two additional complaints in CATS. These two CATS complaints addressed a sewer main line back up and improper billing. Additionally, one of the CATS complaints resulted in an apparent violation of Rule 25-22.032(6)(b)</w:t>
      </w:r>
      <w:r w:rsidR="00C528E8">
        <w:t>,</w:t>
      </w:r>
      <w:r>
        <w:t xml:space="preserve"> F.A.C., due to the Utility not responding within the requi</w:t>
      </w:r>
      <w:r w:rsidR="00D57544">
        <w:t>red 15 days to staff inquiries.</w:t>
      </w:r>
    </w:p>
    <w:p w14:paraId="2B5E91D3" w14:textId="743785B4" w:rsidR="00CB7DB5" w:rsidRDefault="00B6037C" w:rsidP="00CB7DB5">
      <w:pPr>
        <w:pStyle w:val="BodyText"/>
      </w:pPr>
      <w:r>
        <w:t>At the v</w:t>
      </w:r>
      <w:r w:rsidRPr="00AA20AE">
        <w:t>irtual customer meeting held on September 15, 2025, 20 customers provided</w:t>
      </w:r>
      <w:r>
        <w:t xml:space="preserve"> </w:t>
      </w:r>
      <w:r w:rsidRPr="00AA20AE">
        <w:t xml:space="preserve">comments. At the meeting, customers </w:t>
      </w:r>
      <w:r>
        <w:t xml:space="preserve">echoed the </w:t>
      </w:r>
      <w:r w:rsidRPr="00AA20AE">
        <w:t>concern</w:t>
      </w:r>
      <w:r>
        <w:t xml:space="preserve">s </w:t>
      </w:r>
      <w:r w:rsidRPr="00AA20AE">
        <w:t>discussed above</w:t>
      </w:r>
      <w:r>
        <w:t xml:space="preserve"> as well as opposing the rate increase. In addition, eight customers specifically commented on the number of BWNs issued and one customer had outage concerns. Further,</w:t>
      </w:r>
      <w:r w:rsidRPr="00AA20AE">
        <w:t xml:space="preserve"> one customer </w:t>
      </w:r>
      <w:r>
        <w:t>discussed multiple</w:t>
      </w:r>
      <w:r w:rsidRPr="00AA20AE">
        <w:t xml:space="preserve"> sewage </w:t>
      </w:r>
      <w:r>
        <w:t>overflows he experienced in his upstairs condominium unit that emanated from line breaks underneath the customer’s landing. The DEP investigated the sewer overflow issues on October 22, 2025, upon receiving a customer complaint from the Department of Health. After a facility inspection, the DEP determined Grenelefe to be in compliance by letter dated December 12, 2025</w:t>
      </w:r>
      <w:r w:rsidR="00CB7DB5">
        <w:t>.</w:t>
      </w:r>
    </w:p>
    <w:p w14:paraId="660D20B2" w14:textId="4373E1EB" w:rsidR="00CB7DB5" w:rsidRDefault="00B6037C" w:rsidP="00CB7DB5">
      <w:pPr>
        <w:pStyle w:val="BodyText"/>
      </w:pPr>
      <w:r>
        <w:t>There were approximately 209 customer comments filed in the docket file as of December 12, 2025.</w:t>
      </w:r>
      <w:r>
        <w:rPr>
          <w:rStyle w:val="FootnoteReference"/>
        </w:rPr>
        <w:footnoteReference w:id="10"/>
      </w:r>
      <w:r>
        <w:t xml:space="preserve"> The majority of these comments</w:t>
      </w:r>
      <w:r w:rsidRPr="00AA7086">
        <w:t xml:space="preserve"> expressed </w:t>
      </w:r>
      <w:r>
        <w:t>concerns with the rate</w:t>
      </w:r>
      <w:r w:rsidRPr="00AA7086">
        <w:t xml:space="preserve"> increase and </w:t>
      </w:r>
      <w:r>
        <w:t>argued that the</w:t>
      </w:r>
      <w:r w:rsidRPr="00AA7086">
        <w:t xml:space="preserve"> water service is not reliable enough to justify </w:t>
      </w:r>
      <w:r>
        <w:t>such an</w:t>
      </w:r>
      <w:r w:rsidRPr="00AA7086">
        <w:t xml:space="preserve"> increase.</w:t>
      </w:r>
      <w:r>
        <w:t xml:space="preserve"> Other comments addressed: quality of service for both the water and wastewater systems (13); outages (11); and improper billing (3). In addition, customers expressed their dissatisfaction with the frequency and length of service interruptions. With respect to these service interruptions, customers also expressed communication concerns in regard to the Utility not providing comprehensive information as to the location of the areas affected by BWNs and when the BWNs were rescinded. Further, customers also identified communication issues regarding irrigation water services and not being notified of the discontinuation of those irrigation services</w:t>
      </w:r>
      <w:r w:rsidR="00CB7DB5">
        <w:t xml:space="preserve">. </w:t>
      </w:r>
    </w:p>
    <w:p w14:paraId="20AC2CB9" w14:textId="1334A6CB" w:rsidR="00CB7DB5" w:rsidRDefault="00B6037C" w:rsidP="00CB7DB5">
      <w:pPr>
        <w:pStyle w:val="BodyText"/>
      </w:pPr>
      <w:r>
        <w:t>On December 15, 2025, the Utility filed a letter in the docket file addressing the Office of Public Counsel’s (OPC) original observation letter dated October 3, 2025. The Utility’s letter stated that it had received 17 service-related complaints during this proceeding, of which the majority were related to BWNs and service interruptions, while two customer complaints concerned sewer backups, which it determined were not caused by reasons attributed to the Utility. On December 18, 2025, the OPC filed a subsequent letter detailing the level of customer participation in this proceeding (noting an unprecedented 16 percent of the customer base), and also expressing concerns on the amount of the overall rate increase</w:t>
      </w:r>
      <w:r w:rsidR="00CB7DB5">
        <w:t xml:space="preserve">. </w:t>
      </w:r>
    </w:p>
    <w:p w14:paraId="083C89CE" w14:textId="0591A381" w:rsidR="00CB7DB5" w:rsidRDefault="00CB7DB5" w:rsidP="00CB7DB5">
      <w:pPr>
        <w:jc w:val="both"/>
      </w:pPr>
      <w:r>
        <w:t>After the customer meeting, staff asked the Utility to explain how it addressed the concerns of the customers that spoke. Specifically regarding the sewage overflows, Grenelefe stated that sewage overflows into customer homes are a rare event and</w:t>
      </w:r>
      <w:r w:rsidR="00B6037C">
        <w:t>,</w:t>
      </w:r>
      <w:r>
        <w:t xml:space="preserve"> when they occur, the homeowner must attempt to clear their line to the Utility first. If the plumber hired by the customer is unable to clear the line, then the Utility will investigate to see if the blockage is the responsibility of the customer or the Utility. Grenelefe also stated that the </w:t>
      </w:r>
      <w:r w:rsidRPr="005A3FD6">
        <w:t>U</w:t>
      </w:r>
      <w:r>
        <w:t xml:space="preserve">tility responded to each customer who provided comment at the customer meeting and that these responses were provided to the </w:t>
      </w:r>
      <w:r w:rsidR="00C528E8">
        <w:t>Commission</w:t>
      </w:r>
      <w:r>
        <w:t>. Staff requested copies of the Utility’s responses to its customers in its seventh data request and the Utility provided copies of two different letters it sent to the customers that spoke at the customer meeting. One of the letters summarized service</w:t>
      </w:r>
      <w:r w:rsidR="00B6037C">
        <w:t>-</w:t>
      </w:r>
      <w:r>
        <w:t>related issues while the other summarized the reasons for the Utility’s rate increase requests.</w:t>
      </w:r>
      <w:r>
        <w:rPr>
          <w:rStyle w:val="FootnoteReference"/>
        </w:rPr>
        <w:footnoteReference w:id="11"/>
      </w:r>
    </w:p>
    <w:p w14:paraId="157F5A16" w14:textId="77777777" w:rsidR="00CB7DB5" w:rsidRPr="00AA20AE" w:rsidRDefault="00CB7DB5" w:rsidP="00CB7DB5">
      <w:pPr>
        <w:jc w:val="both"/>
      </w:pPr>
    </w:p>
    <w:p w14:paraId="51AFC4F3" w14:textId="519D566A" w:rsidR="00CB7DB5" w:rsidRDefault="00CB7DB5" w:rsidP="00CB7DB5">
      <w:pPr>
        <w:pStyle w:val="TableSource"/>
        <w:spacing w:after="240"/>
      </w:pPr>
      <w:r>
        <w:t xml:space="preserve">As noted above, several customers expressed concerns with service interruptions and BWNs. Specifically, customers reported confusion when receiving BWNs via text, uncertainty about whether the notices had been rescinded, and frustration with the frequency of the interruptions. </w:t>
      </w:r>
      <w:r w:rsidR="00B6037C">
        <w:t>The Utility indicated that the number of BWNs and service interruptions are due to the age of the system and the corresponding needs to replace its outdated meters and equipment, repair its lift stations, and replace the valves used to isolate the areas of the system that caused the BWNs.</w:t>
      </w:r>
      <w:r w:rsidR="00B6037C">
        <w:rPr>
          <w:rStyle w:val="FootnoteReference"/>
        </w:rPr>
        <w:footnoteReference w:id="12"/>
      </w:r>
      <w:r w:rsidR="00B6037C">
        <w:t xml:space="preserve"> These pro forma projects are discussed in Issue 4</w:t>
      </w:r>
      <w:r>
        <w:t xml:space="preserve">. </w:t>
      </w:r>
    </w:p>
    <w:p w14:paraId="5F2378A4" w14:textId="0CB040B4" w:rsidR="00CB7DB5" w:rsidRPr="00D009BE" w:rsidRDefault="00B6037C" w:rsidP="00CB7DB5">
      <w:pPr>
        <w:pStyle w:val="BodyText"/>
      </w:pPr>
      <w:r>
        <w:t xml:space="preserve">While the quality of the Utility’s product passes DEP drinking water standards, staff believes the Utility’s attempt to address customer satisfaction could be improved. CATS and the DEP recorded a minimal number of customer complaints since the transfer of ownership in 2022. Unfortunately, the number of complaints received by the Utility is unclear and of the 215 complaints the Utility initially stated it has received, staff cannot specifically analyze the types of complaints, frequency, or resolutions. Based on the customers who spoke at the customer meeting and comments filed in the docket file, there is a common theme of communication issues from the Utility to its customers. In addition to communication issues, customers also complained about the frequency and duration of service interruptions. As such, staff is recommending the Utility meet with its customers within </w:t>
      </w:r>
      <w:r>
        <w:rPr>
          <w:color w:val="000000"/>
        </w:rPr>
        <w:t>three months of issuance of the Consummating or Final Order to discuss its quality of service</w:t>
      </w:r>
      <w:r w:rsidR="00CB7DB5">
        <w:rPr>
          <w:color w:val="000000"/>
        </w:rPr>
        <w:t>.</w:t>
      </w:r>
    </w:p>
    <w:p w14:paraId="6ED807AA" w14:textId="77777777" w:rsidR="00CB7DB5" w:rsidRPr="00AB3FF1" w:rsidRDefault="00CB7DB5" w:rsidP="00CB7DB5">
      <w:pPr>
        <w:pStyle w:val="First-LevelSubheading"/>
      </w:pPr>
      <w:r>
        <w:t>Managerial Concerns</w:t>
      </w:r>
    </w:p>
    <w:p w14:paraId="70AAE7A9" w14:textId="6C623B40" w:rsidR="00CB7DB5" w:rsidRDefault="00CB7DB5" w:rsidP="00CB7DB5">
      <w:pPr>
        <w:pStyle w:val="TableSource"/>
        <w:spacing w:after="240"/>
      </w:pPr>
      <w:r>
        <w:t xml:space="preserve">Staff’s investigation into the Utility’s attempt to address </w:t>
      </w:r>
      <w:r w:rsidR="00B6037C">
        <w:t xml:space="preserve">its </w:t>
      </w:r>
      <w:r>
        <w:t>customer service revealed several manageria</w:t>
      </w:r>
      <w:r w:rsidR="00B6037C">
        <w:t>l issues related to poor record</w:t>
      </w:r>
      <w:r>
        <w:t>keeping and reporting. Such actions negatively impact the customer service provided by Grenelefe as well as the Utility’s obligation to provide timely and accurate information to the Commission.</w:t>
      </w:r>
    </w:p>
    <w:p w14:paraId="6786359A" w14:textId="77777777" w:rsidR="00CB7DB5" w:rsidRDefault="00CB7DB5" w:rsidP="00CB7DB5">
      <w:pPr>
        <w:pStyle w:val="TableSource"/>
        <w:spacing w:after="240"/>
      </w:pPr>
      <w:r>
        <w:t>First, as discussed above, customers raised concerns regarding several service interruptions and BWNs. Staff first attempted to review any records the Utility filed with the Commission p</w:t>
      </w:r>
      <w:r w:rsidRPr="005C0635">
        <w:t>ursuant to Rule 25-30.251(1) and (2), F.A.C.</w:t>
      </w:r>
      <w:r>
        <w:t xml:space="preserve"> The Rule states: “</w:t>
      </w:r>
      <w:r w:rsidRPr="005C0635">
        <w:t xml:space="preserve">each utility is required to maintain a record of all interruptions in service which affect 10 percent or more of its customers, and </w:t>
      </w:r>
      <w:r>
        <w:t xml:space="preserve">to </w:t>
      </w:r>
      <w:r w:rsidRPr="005C0635">
        <w:t>notify the Commission of these interruptions. The record is required to show the cause of the interruption, its date, time, duration, remedy, and steps taken to prevent recurrence.</w:t>
      </w:r>
      <w:r>
        <w:t>”</w:t>
      </w:r>
      <w:r w:rsidRPr="005C0635">
        <w:t xml:space="preserve"> </w:t>
      </w:r>
    </w:p>
    <w:p w14:paraId="22C354DA" w14:textId="36D33ECE" w:rsidR="00CB7DB5" w:rsidRDefault="00CB7DB5" w:rsidP="00CB7DB5">
      <w:pPr>
        <w:pStyle w:val="TableSource"/>
        <w:spacing w:after="240"/>
      </w:pPr>
      <w:r>
        <w:t xml:space="preserve">Grenelefe has not filed any such reports with the Commission. As such, staff analyzed BWNs received from the Utility and Department of Health/DEP and it appears that the Utility has issued </w:t>
      </w:r>
      <w:r w:rsidR="00560921">
        <w:t xml:space="preserve">at least </w:t>
      </w:r>
      <w:r>
        <w:t>seven BWNs since taking ownership of the Utility in 2022.</w:t>
      </w:r>
      <w:r>
        <w:rPr>
          <w:rStyle w:val="FootnoteReference"/>
        </w:rPr>
        <w:footnoteReference w:id="13"/>
      </w:r>
      <w:r>
        <w:t xml:space="preserve"> </w:t>
      </w:r>
      <w:r w:rsidRPr="00AE4D80">
        <w:t>Additionally, in response to staff’s seventh data request,</w:t>
      </w:r>
      <w:r>
        <w:t xml:space="preserve"> </w:t>
      </w:r>
      <w:r w:rsidRPr="00372217">
        <w:t xml:space="preserve">Grenelefe </w:t>
      </w:r>
      <w:r>
        <w:t>stated it has not maintained records in accordance with Rule 25-30.251(1), F.A.C.</w:t>
      </w:r>
      <w:r w:rsidRPr="00372217">
        <w:t xml:space="preserve">; however, </w:t>
      </w:r>
      <w:r>
        <w:t>it estimated approximately 10 service interruptions</w:t>
      </w:r>
      <w:r w:rsidRPr="00372217">
        <w:t xml:space="preserve"> </w:t>
      </w:r>
      <w:r>
        <w:t xml:space="preserve">that may have affected 10 percent or more of its customers since taking ownership. The provided information </w:t>
      </w:r>
      <w:r w:rsidRPr="00372217">
        <w:t>did not address all items required by the Rule, nor did the Utility notify the Commission of the interruptions.</w:t>
      </w:r>
      <w:r w:rsidRPr="00372217">
        <w:rPr>
          <w:vertAlign w:val="superscript"/>
        </w:rPr>
        <w:footnoteReference w:id="14"/>
      </w:r>
      <w:r>
        <w:t xml:space="preserve"> </w:t>
      </w:r>
      <w:r w:rsidRPr="00372217">
        <w:t>As such, staff recommends that the Utility maintain its service interruption records meeting the 10 percent threshold in the manner outlined in Ru</w:t>
      </w:r>
      <w:r w:rsidR="00B63280">
        <w:t xml:space="preserve">le 25-30.251(1), F.A.C., and </w:t>
      </w:r>
      <w:r w:rsidRPr="00372217">
        <w:t>notify the Commission of any such interruptions on a going-forward basis.</w:t>
      </w:r>
    </w:p>
    <w:p w14:paraId="3A9AE4FF" w14:textId="5BC1EE32" w:rsidR="00CB7DB5" w:rsidRDefault="00CB7DB5" w:rsidP="00CB7DB5">
      <w:pPr>
        <w:pStyle w:val="TableSource"/>
        <w:spacing w:after="240"/>
      </w:pPr>
      <w:r>
        <w:t>Second, as the Utility acknowledged, it was unaware of its obligation to record every service complaint. This is required pursuant to Rules 25-30.130 and 25-30.355</w:t>
      </w:r>
      <w:r w:rsidR="00C528E8">
        <w:t>,</w:t>
      </w:r>
      <w:r>
        <w:t xml:space="preserve"> F.A.C., which </w:t>
      </w:r>
      <w:r w:rsidR="00560921">
        <w:t>direct, in part</w:t>
      </w:r>
      <w:r>
        <w:t>: each utility shall maintain a record of all complaints received and each record shall show the name, address of the complainant, the nature of the complaint, the date received, the result of any investigation, the disposition of the complaint, and the date of the disposition. Not maintaining this information is not only an apparent Rule violation</w:t>
      </w:r>
      <w:r w:rsidR="00183B6E">
        <w:t>,</w:t>
      </w:r>
      <w:r>
        <w:t xml:space="preserve"> it also hampers staff’s ability to conduct a complete and accurate quality of service evaluation for the Commission’s consideration pursuant to Florida Statute. Further, the Utility did not timely respond to a CATS complaint</w:t>
      </w:r>
      <w:r w:rsidR="00183B6E">
        <w:t>,</w:t>
      </w:r>
      <w:r>
        <w:t xml:space="preserve"> which is an apparent violation of Rule 25-22.032(6)(b)</w:t>
      </w:r>
      <w:r w:rsidR="00183B6E">
        <w:t>,</w:t>
      </w:r>
      <w:r>
        <w:t xml:space="preserve"> F.A.C. Other issues with the managerial concerns for this Utility are listed below: </w:t>
      </w:r>
    </w:p>
    <w:p w14:paraId="634FCE25" w14:textId="337AE890" w:rsidR="00CB7DB5" w:rsidRDefault="00CB7DB5" w:rsidP="00CB7DB5">
      <w:pPr>
        <w:pStyle w:val="BodyText"/>
        <w:numPr>
          <w:ilvl w:val="1"/>
          <w:numId w:val="11"/>
        </w:numPr>
      </w:pPr>
      <w:r w:rsidRPr="003D5C46">
        <w:t>Pursuant to Rule 25-30.110</w:t>
      </w:r>
      <w:r w:rsidR="00183B6E">
        <w:t>,</w:t>
      </w:r>
      <w:r w:rsidRPr="003D5C46">
        <w:t xml:space="preserve"> F.A.C., Records and Reports; Annual Reports. The Utility is required to report any recorded accounted for water loss through flushing or other uses. The Utility </w:t>
      </w:r>
      <w:r w:rsidR="00742B21">
        <w:t xml:space="preserve">also </w:t>
      </w:r>
      <w:r w:rsidRPr="003D5C46">
        <w:t xml:space="preserve">did not provide </w:t>
      </w:r>
      <w:r w:rsidR="00742B21">
        <w:t>this</w:t>
      </w:r>
      <w:r w:rsidRPr="003D5C46">
        <w:t xml:space="preserve"> information regarding other uses for water when prompted through data requests. </w:t>
      </w:r>
    </w:p>
    <w:p w14:paraId="07A45489" w14:textId="46658A22" w:rsidR="00CB7DB5" w:rsidRPr="00DC4723" w:rsidRDefault="00560921" w:rsidP="00CB7DB5">
      <w:pPr>
        <w:pStyle w:val="BodyText"/>
        <w:numPr>
          <w:ilvl w:val="1"/>
          <w:numId w:val="11"/>
        </w:numPr>
      </w:pPr>
      <w:r w:rsidRPr="00DC4723">
        <w:t xml:space="preserve">In its first, second, and fourth data requests, as well as in </w:t>
      </w:r>
      <w:r>
        <w:t>two separate</w:t>
      </w:r>
      <w:r w:rsidRPr="00DC4723">
        <w:t xml:space="preserve"> email</w:t>
      </w:r>
      <w:r>
        <w:t>s and a call</w:t>
      </w:r>
      <w:r w:rsidRPr="00DC4723">
        <w:t xml:space="preserve"> to the Utility, staff requested copies of the failed fire hydrant inspections</w:t>
      </w:r>
      <w:r>
        <w:t>. The Utility did not respond to those inquiries. The Utility did provide copies</w:t>
      </w:r>
      <w:r w:rsidR="00742B21">
        <w:t xml:space="preserve"> of its failed fire hydrant inspections</w:t>
      </w:r>
      <w:r>
        <w:t xml:space="preserve"> on December 29, 2025; however, this information was both late and incomplete</w:t>
      </w:r>
      <w:r w:rsidR="00DC3A0A">
        <w:t>.</w:t>
      </w:r>
    </w:p>
    <w:p w14:paraId="464BBF3F" w14:textId="77777777" w:rsidR="00CB7DB5" w:rsidRPr="00DC4723" w:rsidRDefault="00CB7DB5" w:rsidP="00CB7DB5">
      <w:pPr>
        <w:pStyle w:val="BodyText"/>
        <w:numPr>
          <w:ilvl w:val="1"/>
          <w:numId w:val="11"/>
        </w:numPr>
      </w:pPr>
      <w:r w:rsidRPr="00DC4723">
        <w:t>Grenelefe did not provide copies of the lift station inspection reports requested by staff in its fourth and fifth data requests.</w:t>
      </w:r>
    </w:p>
    <w:p w14:paraId="62F4A58F" w14:textId="42AC2DD3" w:rsidR="00CB7DB5" w:rsidRDefault="00CB7DB5" w:rsidP="00CB7DB5">
      <w:pPr>
        <w:pStyle w:val="BodyText"/>
        <w:numPr>
          <w:ilvl w:val="1"/>
          <w:numId w:val="11"/>
        </w:numPr>
      </w:pPr>
      <w:r>
        <w:t xml:space="preserve">The Utility only provided one inspection report for the two hydropneumatic </w:t>
      </w:r>
      <w:r w:rsidR="00BD5216">
        <w:t xml:space="preserve">(hydro) </w:t>
      </w:r>
      <w:r>
        <w:t>storage tanks.</w:t>
      </w:r>
      <w:r>
        <w:rPr>
          <w:rStyle w:val="FootnoteReference"/>
        </w:rPr>
        <w:footnoteReference w:id="15"/>
      </w:r>
      <w:r>
        <w:t xml:space="preserve"> Staff located the inspection report for the second hydro storage tank on the DEP’s website. That report stated that the inspection was done on September 5, 2025, even though the Utility had previously stated it was done prior to April 25, 2025.</w:t>
      </w:r>
      <w:r>
        <w:rPr>
          <w:rStyle w:val="FootnoteReference"/>
        </w:rPr>
        <w:footnoteReference w:id="16"/>
      </w:r>
      <w:r>
        <w:t xml:space="preserve"> In addition, the Utility did not provide a standalone cost breakdown of the hydro storage tanks inspection cost as requested in the second and third data requests. </w:t>
      </w:r>
    </w:p>
    <w:p w14:paraId="5E803856" w14:textId="30C84315" w:rsidR="00CB7DB5" w:rsidRDefault="00CB7DB5" w:rsidP="00CB7DB5">
      <w:pPr>
        <w:pStyle w:val="BodyText"/>
        <w:numPr>
          <w:ilvl w:val="1"/>
          <w:numId w:val="11"/>
        </w:numPr>
      </w:pPr>
      <w:r>
        <w:t xml:space="preserve">Staff contacted the Utility multiple times, both in writing and via telephone, regarding billing information and there have been </w:t>
      </w:r>
      <w:r w:rsidR="00954524">
        <w:t xml:space="preserve">billing </w:t>
      </w:r>
      <w:r w:rsidRPr="001F18DD">
        <w:t xml:space="preserve">inconsistencies </w:t>
      </w:r>
      <w:r>
        <w:t>throughout the rate case as discussed in</w:t>
      </w:r>
      <w:r w:rsidR="00A250B0">
        <w:t xml:space="preserve"> Issue 6</w:t>
      </w:r>
      <w:r w:rsidR="004F75CD">
        <w:t>.</w:t>
      </w:r>
    </w:p>
    <w:p w14:paraId="77FE2FD4" w14:textId="77777777" w:rsidR="00CB7DB5" w:rsidRDefault="00CB7DB5" w:rsidP="00CB7DB5">
      <w:pPr>
        <w:pStyle w:val="First-LevelSubheading"/>
      </w:pPr>
      <w:r>
        <w:t>Conclusion</w:t>
      </w:r>
    </w:p>
    <w:p w14:paraId="6D7DCA21" w14:textId="5B419848" w:rsidR="00A024A0" w:rsidRDefault="00560921" w:rsidP="00CB7DB5">
      <w:pPr>
        <w:pStyle w:val="BodyText"/>
      </w:pPr>
      <w:r>
        <w:t>T</w:t>
      </w:r>
      <w:r>
        <w:rPr>
          <w:color w:val="000000"/>
        </w:rPr>
        <w:t xml:space="preserve">he Utility is in compliance with the DEP standards; however, several customer comments regarding service interruptions, BWNs, and billing issues have been received. In addition, staff has identified </w:t>
      </w:r>
      <w:r w:rsidRPr="0087453B">
        <w:t>managerial issues</w:t>
      </w:r>
      <w:r>
        <w:t>,</w:t>
      </w:r>
      <w:r w:rsidRPr="0087453B">
        <w:t xml:space="preserve"> such as </w:t>
      </w:r>
      <w:r>
        <w:t>the Utility’s</w:t>
      </w:r>
      <w:r w:rsidRPr="0087453B">
        <w:t xml:space="preserve"> failure to maintain required complaint and service interruption records</w:t>
      </w:r>
      <w:r>
        <w:t>. A</w:t>
      </w:r>
      <w:r>
        <w:rPr>
          <w:color w:val="000000"/>
        </w:rPr>
        <w:t>s such, staff recommends that Grenelefe’s quality of service be considered marginal, but that no penalty be imposed at this time. Staff further recommends that the Utility meet with its customers within three months of issuance of the Consummating or Final Order to discuss its quality of service issues. The Office of Public Counsel and Commission staff should be made aware of the meeting date, place, and time. Last, within one month after meeting with its customers, the Utility shall file a report in this docket summarizing the results of the meeting</w:t>
      </w:r>
      <w:r w:rsidR="00CB7DB5">
        <w:rPr>
          <w:color w:val="000000"/>
        </w:rPr>
        <w:t>.</w:t>
      </w:r>
    </w:p>
    <w:p w14:paraId="0DC04668" w14:textId="4EBCF329" w:rsidR="004A380F" w:rsidRDefault="004A380F">
      <w:pPr>
        <w:pStyle w:val="IssueHeading"/>
        <w:rPr>
          <w:vanish/>
          <w:specVanish/>
        </w:rPr>
      </w:pPr>
      <w:r w:rsidRPr="004C3641">
        <w:rPr>
          <w:b w:val="0"/>
          <w:i w:val="0"/>
        </w:rPr>
        <w:br w:type="page"/>
      </w:r>
      <w:r w:rsidRPr="004C3641">
        <w:t xml:space="preserve">Issue </w:t>
      </w:r>
      <w:r w:rsidR="00C3694F">
        <w:fldChar w:fldCharType="begin"/>
      </w:r>
      <w:r w:rsidR="00C3694F">
        <w:instrText xml:space="preserve"> SEQ Issue \* MERGEFORMAT </w:instrText>
      </w:r>
      <w:r w:rsidR="00C3694F">
        <w:fldChar w:fldCharType="separate"/>
      </w:r>
      <w:r w:rsidR="00C3694F">
        <w:rPr>
          <w:noProof/>
        </w:rPr>
        <w:t>2</w:t>
      </w:r>
      <w:r w:rsidR="00C3694F">
        <w:rPr>
          <w:noProof/>
        </w:rPr>
        <w:fldChar w:fldCharType="end"/>
      </w:r>
      <w:r w:rsidRPr="004C3641">
        <w:t>:</w:t>
      </w:r>
      <w:r>
        <w:fldChar w:fldCharType="begin"/>
      </w:r>
      <w:r>
        <w:instrText xml:space="preserve"> TC "</w:instrText>
      </w:r>
      <w:bookmarkStart w:id="16" w:name="_Toc219969998"/>
      <w:r w:rsidR="00470C1A">
        <w:instrText xml:space="preserve">Issue </w:instrText>
      </w:r>
      <w:r w:rsidR="00470C1A">
        <w:fldChar w:fldCharType="begin"/>
      </w:r>
      <w:r w:rsidR="00470C1A">
        <w:instrText xml:space="preserve"> SEQ issue \c </w:instrText>
      </w:r>
      <w:r w:rsidR="00470C1A">
        <w:fldChar w:fldCharType="separate"/>
      </w:r>
      <w:r w:rsidR="00C3694F">
        <w:rPr>
          <w:noProof/>
        </w:rPr>
        <w:instrText>2</w:instrText>
      </w:r>
      <w:r w:rsidR="00470C1A">
        <w:fldChar w:fldCharType="end"/>
      </w:r>
      <w:r w:rsidR="00470C1A">
        <w:instrText xml:space="preserve"> – Infrastructure and Operating Conditions</w:instrText>
      </w:r>
      <w:bookmarkEnd w:id="16"/>
      <w:r w:rsidR="00470C1A">
        <w:instrText xml:space="preserve"> </w:instrText>
      </w:r>
      <w:r>
        <w:instrText xml:space="preserve">" \l 1 </w:instrText>
      </w:r>
      <w:r>
        <w:fldChar w:fldCharType="end"/>
      </w:r>
      <w:r>
        <w:t> </w:t>
      </w:r>
    </w:p>
    <w:p w14:paraId="2459C558" w14:textId="77777777" w:rsidR="004A380F" w:rsidRDefault="004A380F">
      <w:pPr>
        <w:pStyle w:val="BodyText"/>
      </w:pPr>
      <w:r>
        <w:t> Are the infrastructure and operating conditions of Grenelefe’s water and wastewater system in compliance with DEP regulations?</w:t>
      </w:r>
    </w:p>
    <w:p w14:paraId="22F49856" w14:textId="77777777" w:rsidR="004A380F" w:rsidRPr="004C3641" w:rsidRDefault="004A380F">
      <w:pPr>
        <w:pStyle w:val="IssueSubsectionHeading"/>
        <w:rPr>
          <w:vanish/>
          <w:specVanish/>
        </w:rPr>
      </w:pPr>
      <w:r w:rsidRPr="004C3641">
        <w:t>Recommendation: </w:t>
      </w:r>
    </w:p>
    <w:p w14:paraId="1C84ED24" w14:textId="77777777" w:rsidR="004A380F" w:rsidRDefault="004A380F">
      <w:pPr>
        <w:pStyle w:val="BodyText"/>
      </w:pPr>
      <w:r>
        <w:t> </w:t>
      </w:r>
      <w:r w:rsidR="0040243D">
        <w:t>Yes. Grenelefe’s water and wastewater treatment facilities are in compliance with DEP regulations.</w:t>
      </w:r>
      <w:r>
        <w:t xml:space="preserve"> (Ramirez-Abundez)</w:t>
      </w:r>
    </w:p>
    <w:p w14:paraId="328A4603" w14:textId="77777777" w:rsidR="004A380F" w:rsidRPr="004C3641" w:rsidRDefault="004A380F">
      <w:pPr>
        <w:pStyle w:val="IssueSubsectionHeading"/>
        <w:rPr>
          <w:vanish/>
          <w:specVanish/>
        </w:rPr>
      </w:pPr>
      <w:r w:rsidRPr="004C3641">
        <w:t>Staff Analysis: </w:t>
      </w:r>
    </w:p>
    <w:p w14:paraId="7DACA2F3" w14:textId="1BB0557C" w:rsidR="0040243D" w:rsidRDefault="004A380F" w:rsidP="0040243D">
      <w:pPr>
        <w:pStyle w:val="BodyText"/>
      </w:pPr>
      <w:r>
        <w:t> </w:t>
      </w:r>
      <w:r w:rsidR="0040243D">
        <w:t>Rule 25-30.225(2), F.A.C., requires each water and wastewater utility to maintain and operate its plant and facility by employing qualified operators in accordance with the DEP</w:t>
      </w:r>
      <w:r w:rsidR="009115F8">
        <w:t xml:space="preserve"> Rules</w:t>
      </w:r>
      <w:r w:rsidR="0040243D">
        <w:t xml:space="preserve">. Rule 25-30.433(2), F.A.C., requires consideration of whether the infrastructure and operating conditions of the plant and facilities are in compliance with Rule 25-30.225, F.A.C. In making this determination, the Commission must consider testimony of the DEP and county health department officials, sanitary surveys for water and compliance evaluation inspections for wastewater systems, citations, violations, consent orders issued to the utility, customer testimony, comments, complaints, utility testimony, and responses to the aforementioned items. </w:t>
      </w:r>
    </w:p>
    <w:p w14:paraId="62F43784" w14:textId="77777777" w:rsidR="0040243D" w:rsidRDefault="0040243D" w:rsidP="0040243D">
      <w:pPr>
        <w:pStyle w:val="First-LevelSubheading"/>
      </w:pPr>
      <w:r>
        <w:t>Water and Wastewater Operating Conditions</w:t>
      </w:r>
    </w:p>
    <w:p w14:paraId="4E02AAE1" w14:textId="29E4AE27" w:rsidR="0040243D" w:rsidRDefault="0040243D" w:rsidP="0040243D">
      <w:pPr>
        <w:pStyle w:val="BodyText"/>
      </w:pPr>
      <w:r>
        <w:t>Grenelefe’s water system has a permitted capacity of 2,160,000 gallons per day</w:t>
      </w:r>
      <w:r w:rsidR="00BD5216">
        <w:t xml:space="preserve"> (gpd)</w:t>
      </w:r>
      <w:r w:rsidR="00BE7017">
        <w:t xml:space="preserve"> and a design capacity of 4,320,000 gpd</w:t>
      </w:r>
      <w:r>
        <w:t xml:space="preserve">. The system has two wells with pumping capacities of 1,500 gallons per minute (gpm) each, and two hydro storage tanks with capacities of 25,000 gallons each. There are 75 fire hydrants </w:t>
      </w:r>
      <w:r w:rsidR="009115F8">
        <w:t>located</w:t>
      </w:r>
      <w:r>
        <w:t xml:space="preserve"> throughout the service area. Groundwater from the wells is treated through liquid chlorination. Staff reviewed the Utility’s most recent Sanitary Survey Report conducted by the DEP on May 10, 2023. The DEP noted seven deficiencies which included: nonfunctioning air release valves for a hydro tank and both wells; one well concrete pad was cracked; seals on both wells were leaking; and no corrosion control on either plant. The DEP received a letter from the Utility </w:t>
      </w:r>
      <w:r w:rsidR="009115F8">
        <w:t>that</w:t>
      </w:r>
      <w:r>
        <w:t xml:space="preserve"> stated they had corrected all the deficiencies within 30 days of the Sanitary Survey Report.</w:t>
      </w:r>
    </w:p>
    <w:p w14:paraId="7D25D032" w14:textId="77777777" w:rsidR="00560921" w:rsidRDefault="00560921" w:rsidP="00560921">
      <w:pPr>
        <w:pStyle w:val="BodyText"/>
      </w:pPr>
      <w:r>
        <w:t xml:space="preserve">Grenelefe’s wastewater system consists of an existing 0.680 million gallons per day (MGD) Three-Month Rolling Average Daily Flow design capacity extended aeration domestic wastewater facility, with disposal to an existing 0.340 MGD annual average daily flow permitted capacity rapid infiltration basin system. Staff reviewed the Utility’s last DEP Compliance Evaluation Inspection report, dated December 6, 2022. The DEP noted two deficiencies: 1) three of the four groundwater monitoring wells were not labeled or secured; and 2) alarm malfunctions at all three lift stations. The DEP subsequently determined that all non-compliance items identified at the time of the inspection had been corrected and deemed the Utility to be in compliance as of March 15, 2023. </w:t>
      </w:r>
    </w:p>
    <w:p w14:paraId="5762511B" w14:textId="2EB1145D" w:rsidR="0040243D" w:rsidRDefault="00560921" w:rsidP="00560921">
      <w:pPr>
        <w:pStyle w:val="BodyText"/>
      </w:pPr>
      <w:r>
        <w:t xml:space="preserve">The DEP renewed Grenelefe’s operations permit on November 16, 2022, and also issued the Utility an Administrative Order (AO), which was accompanied by a schedule of compliance. </w:t>
      </w:r>
      <w:r w:rsidRPr="00E96F4E">
        <w:t>T</w:t>
      </w:r>
      <w:r w:rsidRPr="00E85208">
        <w:t>he schedule of compliance noted that the Utility will not meet specific conditions of its permit relating to total nitrogen (TN) and total phosphorus (TP) limits of its reclaimed water with its current wastewater system.</w:t>
      </w:r>
      <w:r>
        <w:t xml:space="preserve"> Grenelefe’s wastewater treatment plant (WWTP) is located in the Lake Okeechobee Basin Management Action Plan (BMAP) area. TN and TP limits for wastewater effluent must be met for wastewater facilities located in the BMAP area. As part of the instant docket, the Utility requested cost recovery for </w:t>
      </w:r>
      <w:r w:rsidRPr="00E54A58">
        <w:t>Project No. 10</w:t>
      </w:r>
      <w:r>
        <w:t xml:space="preserve"> (wastewater treatment plant m</w:t>
      </w:r>
      <w:r w:rsidRPr="00E54A58">
        <w:t>odification</w:t>
      </w:r>
      <w:r>
        <w:t>s)</w:t>
      </w:r>
      <w:r w:rsidRPr="00E54A58">
        <w:t xml:space="preserve"> </w:t>
      </w:r>
      <w:r>
        <w:t>to help address the TN and TP limits, as discussed further in Issue 4</w:t>
      </w:r>
      <w:r w:rsidRPr="00AD2105">
        <w:t>.</w:t>
      </w:r>
      <w:r>
        <w:t xml:space="preserve"> The AO ordered that the Utility should submit a proposal with the most feasible option to meet the TN and TP requirements and also obtain the DEP’s approval of the proposal prior to September 30, 2025. </w:t>
      </w:r>
      <w:r w:rsidRPr="00D251F9">
        <w:t>On November 12, 2025, the DEP issued a Compliance Assistance Offer and Complaint Inspection Report letters to the Utility; however, both of these items have been closed</w:t>
      </w:r>
      <w:r>
        <w:t xml:space="preserve"> and the Utility is currently in compliance with the DEP</w:t>
      </w:r>
      <w:r w:rsidR="00A250B0">
        <w:t>.</w:t>
      </w:r>
    </w:p>
    <w:p w14:paraId="71CE4AB4" w14:textId="77777777" w:rsidR="0040243D" w:rsidRDefault="0040243D" w:rsidP="0040243D">
      <w:pPr>
        <w:pStyle w:val="First-LevelSubheading"/>
      </w:pPr>
      <w:r>
        <w:t>Conclusion</w:t>
      </w:r>
    </w:p>
    <w:p w14:paraId="1214C9B0" w14:textId="77777777" w:rsidR="004A380F" w:rsidRDefault="0040243D" w:rsidP="0040243D">
      <w:pPr>
        <w:pStyle w:val="BodyText"/>
      </w:pPr>
      <w:r>
        <w:t>Grenelefe’s water and wastewater treatment facilities are in compliance with DEP regulations.</w:t>
      </w:r>
    </w:p>
    <w:p w14:paraId="428A26CD" w14:textId="1B24EDE8" w:rsidR="004A380F" w:rsidRDefault="004A380F">
      <w:pPr>
        <w:pStyle w:val="IssueHeading"/>
        <w:rPr>
          <w:vanish/>
          <w:specVanish/>
        </w:rPr>
      </w:pPr>
      <w:r w:rsidRPr="004C3641">
        <w:rPr>
          <w:b w:val="0"/>
          <w:i w:val="0"/>
        </w:rPr>
        <w:br w:type="page"/>
      </w:r>
      <w:r w:rsidRPr="004C3641">
        <w:t xml:space="preserve">Issue </w:t>
      </w:r>
      <w:r w:rsidR="00C3694F">
        <w:fldChar w:fldCharType="begin"/>
      </w:r>
      <w:r w:rsidR="00C3694F">
        <w:instrText xml:space="preserve"> SEQ Issue \* MERGEFORMAT </w:instrText>
      </w:r>
      <w:r w:rsidR="00C3694F">
        <w:fldChar w:fldCharType="separate"/>
      </w:r>
      <w:r w:rsidR="00C3694F">
        <w:rPr>
          <w:noProof/>
        </w:rPr>
        <w:t>3</w:t>
      </w:r>
      <w:r w:rsidR="00C3694F">
        <w:rPr>
          <w:noProof/>
        </w:rPr>
        <w:fldChar w:fldCharType="end"/>
      </w:r>
      <w:r w:rsidRPr="004C3641">
        <w:t>:</w:t>
      </w:r>
      <w:r>
        <w:fldChar w:fldCharType="begin"/>
      </w:r>
      <w:r>
        <w:instrText xml:space="preserve"> TC "</w:instrText>
      </w:r>
      <w:r w:rsidR="00470C1A" w:rsidRPr="00470C1A">
        <w:instrText xml:space="preserve"> </w:instrText>
      </w:r>
      <w:bookmarkStart w:id="17" w:name="_Toc219969999"/>
      <w:r w:rsidR="00470C1A">
        <w:instrText xml:space="preserve">Issue </w:instrText>
      </w:r>
      <w:r w:rsidR="00470C1A">
        <w:fldChar w:fldCharType="begin"/>
      </w:r>
      <w:r w:rsidR="00470C1A">
        <w:instrText xml:space="preserve"> SEQ issue \c </w:instrText>
      </w:r>
      <w:r w:rsidR="00470C1A">
        <w:fldChar w:fldCharType="separate"/>
      </w:r>
      <w:r w:rsidR="00C3694F">
        <w:rPr>
          <w:noProof/>
        </w:rPr>
        <w:instrText>3</w:instrText>
      </w:r>
      <w:r w:rsidR="00470C1A">
        <w:fldChar w:fldCharType="end"/>
      </w:r>
      <w:r w:rsidR="00470C1A">
        <w:instrText xml:space="preserve"> – Used and Useful</w:instrText>
      </w:r>
      <w:bookmarkEnd w:id="17"/>
      <w:r>
        <w:instrText xml:space="preserve">" \l 1 </w:instrText>
      </w:r>
      <w:r>
        <w:fldChar w:fldCharType="end"/>
      </w:r>
      <w:r>
        <w:t> </w:t>
      </w:r>
    </w:p>
    <w:p w14:paraId="48FF5359" w14:textId="3E05AF92" w:rsidR="004A380F" w:rsidRDefault="004A380F">
      <w:pPr>
        <w:pStyle w:val="BodyText"/>
      </w:pPr>
      <w:r>
        <w:t> What are the used and useful (U&amp;U) percentages of Grenelefe’s water treatment plant (WTP), WWTP, water distribution, and wastewater collection systems?</w:t>
      </w:r>
    </w:p>
    <w:p w14:paraId="062D651D" w14:textId="77777777" w:rsidR="004A380F" w:rsidRPr="004C3641" w:rsidRDefault="004A380F">
      <w:pPr>
        <w:pStyle w:val="IssueSubsectionHeading"/>
        <w:rPr>
          <w:vanish/>
          <w:specVanish/>
        </w:rPr>
      </w:pPr>
      <w:r w:rsidRPr="004C3641">
        <w:t>Recommendation: </w:t>
      </w:r>
    </w:p>
    <w:p w14:paraId="168CAC9B" w14:textId="77777777" w:rsidR="004A380F" w:rsidRDefault="004A380F">
      <w:pPr>
        <w:pStyle w:val="BodyText"/>
      </w:pPr>
      <w:r>
        <w:t> </w:t>
      </w:r>
      <w:r w:rsidR="0040243D">
        <w:t>Grenelefe’s WTP, WWTP, water distribution, and wastewater collections systems should be considered 100 percent U&amp;U. Additionally, staff recommends that a 53.9 percent adjustment to purchased power and chemicals should be made for excessive unaccounted for water (EUW). No adjustment is recommended for excessive infiltration and inflow (I&amp;I).</w:t>
      </w:r>
      <w:r>
        <w:t xml:space="preserve"> (Ramirez-Abundez)</w:t>
      </w:r>
    </w:p>
    <w:p w14:paraId="2DC66A16" w14:textId="77777777" w:rsidR="004A380F" w:rsidRPr="004C3641" w:rsidRDefault="004A380F">
      <w:pPr>
        <w:pStyle w:val="IssueSubsectionHeading"/>
        <w:rPr>
          <w:vanish/>
          <w:specVanish/>
        </w:rPr>
      </w:pPr>
      <w:r w:rsidRPr="004C3641">
        <w:t>Staff Analysis: </w:t>
      </w:r>
    </w:p>
    <w:p w14:paraId="2FE0952D" w14:textId="77777777" w:rsidR="0040243D" w:rsidRDefault="004A380F" w:rsidP="0040243D">
      <w:pPr>
        <w:pStyle w:val="BodyText"/>
      </w:pPr>
      <w:r>
        <w:t> </w:t>
      </w:r>
      <w:r w:rsidR="0040243D">
        <w:t xml:space="preserve">As stated in Issue 2, the Utility’s water system has two wells with pumping capacities of 1,500 gpm each and two hydro storage tanks with capacities of 25,000 gallons each. Grenelefe’s water distribution system is comprised of 214,368 feet of 4 inch to 10 inch polyvinyl chloride (PVC) pipe. There are 75 fire hydrants throughout the water distribution system. </w:t>
      </w:r>
    </w:p>
    <w:p w14:paraId="55C7A840" w14:textId="77777777" w:rsidR="0040243D" w:rsidRDefault="0040243D" w:rsidP="0040243D">
      <w:pPr>
        <w:pStyle w:val="BodyText"/>
      </w:pPr>
      <w:r>
        <w:t>Additionally, Grenelefe’s wastewater system consists of a 0.340 MGD extended aeration system, consisting of ten aeration basins, four clarifiers, seven deep bed automatic backwash filters, three prefilter chlorine contact chambers, one post chlorine contact chamber, one fluent pump wet well, and three digesters. The Utility’s wastewater collection system is composed of 67,584 feet of 8 inch to 10 inch PVC pipe. There are five duplex</w:t>
      </w:r>
      <w:r>
        <w:rPr>
          <w:rStyle w:val="FootnoteReference"/>
        </w:rPr>
        <w:footnoteReference w:id="17"/>
      </w:r>
      <w:r>
        <w:t xml:space="preserve"> lift stations throughout the wastewater collection system.</w:t>
      </w:r>
    </w:p>
    <w:p w14:paraId="678E9556" w14:textId="77777777" w:rsidR="0040243D" w:rsidRDefault="0040243D" w:rsidP="0040243D">
      <w:pPr>
        <w:pStyle w:val="First-LevelSubheading"/>
      </w:pPr>
      <w:r w:rsidRPr="00AD2105">
        <w:t>Used and Useful Percentages</w:t>
      </w:r>
    </w:p>
    <w:p w14:paraId="6403E845" w14:textId="77777777" w:rsidR="0040243D" w:rsidRDefault="0040243D" w:rsidP="0040243D">
      <w:pPr>
        <w:pStyle w:val="BodyText"/>
      </w:pPr>
      <w:r>
        <w:t>Rules 25-30.432 and 25-30.4325, F.A.C., address the method by which the U&amp;U of a wastewater and water system is determined, respectively. Grenelefe’s U&amp;U percentages were last determined in Docket No. 20110141-WS.</w:t>
      </w:r>
      <w:r>
        <w:rPr>
          <w:rStyle w:val="FootnoteReference"/>
        </w:rPr>
        <w:footnoteReference w:id="18"/>
      </w:r>
      <w:r>
        <w:t xml:space="preserve"> In that docket, the Commission determined the Utility’s WTP, WWTP, water distribution, and wastewater collection system to be 100 percent U&amp;U. As discussed in the Case Background, the Commission recently approved amendments to the Utility’s water and wastewater service territories.</w:t>
      </w:r>
      <w:r>
        <w:rPr>
          <w:rStyle w:val="FootnoteReference"/>
        </w:rPr>
        <w:footnoteReference w:id="19"/>
      </w:r>
      <w:r>
        <w:t xml:space="preserve"> </w:t>
      </w:r>
      <w:r w:rsidRPr="0011744B">
        <w:t>The Ut</w:t>
      </w:r>
      <w:r>
        <w:t xml:space="preserve">ility has requested an increase to the </w:t>
      </w:r>
      <w:r w:rsidRPr="0011744B">
        <w:t xml:space="preserve">permitted capacity </w:t>
      </w:r>
      <w:r>
        <w:t xml:space="preserve">of its WWTP </w:t>
      </w:r>
      <w:r w:rsidRPr="0011744B">
        <w:t>with the DEP</w:t>
      </w:r>
      <w:r>
        <w:t>. This</w:t>
      </w:r>
      <w:r w:rsidRPr="0011744B">
        <w:t xml:space="preserve"> project</w:t>
      </w:r>
      <w:r>
        <w:t>, along with other WWTP upgrades,</w:t>
      </w:r>
      <w:r w:rsidRPr="0011744B">
        <w:t xml:space="preserve"> is discussed further in Issue 4.</w:t>
      </w:r>
      <w:r>
        <w:t xml:space="preserve"> Consistent with the Commission’s previous decision, staff recommends that the Utility’s WTP, WWTP, water distribution, and wastewater collections systems be considered 100 percent U&amp;U. The U&amp;U of the WWTP and collections systems may be reevaluated in a future proceeding pending the final modifications to the Utility’s WWTP which may increase its permitted capacity.</w:t>
      </w:r>
    </w:p>
    <w:p w14:paraId="04F28BB7" w14:textId="77777777" w:rsidR="0040243D" w:rsidRDefault="0040243D" w:rsidP="0040243D">
      <w:pPr>
        <w:pStyle w:val="First-LevelSubheading"/>
      </w:pPr>
      <w:r>
        <w:t>Excessive Unaccounted for Water</w:t>
      </w:r>
    </w:p>
    <w:p w14:paraId="67E6AD7D" w14:textId="242B695B" w:rsidR="0040243D" w:rsidRDefault="0040243D" w:rsidP="0040243D">
      <w:pPr>
        <w:pStyle w:val="BodyText"/>
      </w:pPr>
      <w:r>
        <w:t>Rule 25-30.4325, F.A.C., provides factors to be considered in determining whether adjustments to operating expenses are necessary for EUW. EUW is defined as “unaccounted for water in excess of 10 percent of the amount produced.”</w:t>
      </w:r>
      <w:r>
        <w:rPr>
          <w:rStyle w:val="FootnoteReference"/>
        </w:rPr>
        <w:footnoteReference w:id="20"/>
      </w:r>
      <w:r>
        <w:t xml:space="preserve"> Unaccounted for water is all water produced that is not sold, metered, or accounted for in the records of the utility. In determining whether adjustments to plant and operating expenses are necessary in accordance with Rule 25-30.4325(10), F.A.C., staff considers several factors. These include the causes of EUW, any corrective action taken, or the economic feasibility of a proposed solution. EUW is calculated by subtracting both the gallons sold to customers and the gallons used for other services, such as flushing, from the total gallons pumped for the test year.</w:t>
      </w:r>
    </w:p>
    <w:p w14:paraId="623F384A" w14:textId="77777777" w:rsidR="00560921" w:rsidRDefault="00560921" w:rsidP="00560921">
      <w:pPr>
        <w:pStyle w:val="BodyText"/>
      </w:pPr>
      <w:r>
        <w:t>The Monthly Operating Reports that the Utility files with the DEP indicate that the Utility treated 116,252,434 gallons during the test year. In response to a staff data request, the Utility indicated that it purchased no water and did not provide water for other uses during the test year. Staff determined that the Utility sold 42,020,392 gallons of water for the test year. When both gallons sold and water used for other uses are subtracted from the total gallons pumped, there are 77,405,258 gallons that are unaccounted for. The formula for determining EUW as a percentage is given by gallons of unaccounted water / (total gallons pumped + gallons purchased). The resulting unaccounted for water is 63.9 percent and the excessive unaccounted for water is 53.9 percent. Regarding the cause, the Utility stated that the amount of EUW can be attributed to line breaks, lost water due to the age of the Utility infrastructure, and poor recordkeeping by the previous owner.</w:t>
      </w:r>
      <w:r>
        <w:rPr>
          <w:rStyle w:val="FootnoteReference"/>
        </w:rPr>
        <w:footnoteReference w:id="21"/>
      </w:r>
      <w:r>
        <w:t xml:space="preserve"> However, as discussed in Issue 1,</w:t>
      </w:r>
      <w:r w:rsidRPr="00D44E55">
        <w:t xml:space="preserve"> </w:t>
      </w:r>
      <w:r>
        <w:t>t</w:t>
      </w:r>
      <w:r w:rsidRPr="00D44E55">
        <w:t xml:space="preserve">he Utility </w:t>
      </w:r>
      <w:r>
        <w:t xml:space="preserve">did not provide </w:t>
      </w:r>
      <w:r w:rsidRPr="00D44E55">
        <w:t xml:space="preserve">any recorded </w:t>
      </w:r>
      <w:r>
        <w:t>amount</w:t>
      </w:r>
      <w:r w:rsidRPr="00D44E55">
        <w:t xml:space="preserve"> for water loss through flushing or other uses</w:t>
      </w:r>
      <w:r>
        <w:t xml:space="preserve"> pursuant to Rule 25-30.110, F.A.C.</w:t>
      </w:r>
    </w:p>
    <w:p w14:paraId="20697B07" w14:textId="77777777" w:rsidR="0040243D" w:rsidRDefault="0040243D" w:rsidP="0040243D">
      <w:pPr>
        <w:pStyle w:val="First-LevelSubheading"/>
      </w:pPr>
      <w:r>
        <w:t>Infiltration and Inflow</w:t>
      </w:r>
    </w:p>
    <w:p w14:paraId="7A5BCA88" w14:textId="77777777" w:rsidR="00560921" w:rsidRDefault="00560921" w:rsidP="00560921">
      <w:pPr>
        <w:pStyle w:val="BodyText"/>
      </w:pPr>
      <w:r>
        <w:t xml:space="preserve">Rule 25-30.432, F.A.C., provides that in determining the amount of U&amp;U plant, the Commission will consider </w:t>
      </w:r>
      <w:r w:rsidRPr="00F02D13">
        <w:t>I&amp;I.</w:t>
      </w:r>
      <w:r>
        <w:t xml:space="preserve"> Excessive I&amp;I is a calculation that is based on a comparison of the allowable wastewater treated to the actual amount of wastewater treated. Staff calculated the allowable infiltration based on system parameters and calculated that allowable inflow based on the water sold to customers. The sum of these amounts is allowable I&amp;I. Staff next calculated the estimated amount of wastewater returned from customers. The estimated return is determined by summing 80 percent of the water sold to residential customers with 90 percent of the water sold to non-residential customers. Adding the estimated return to the allowable I&amp;I yields the maximum amount of wastewater that should be treated by the wastewater system without incurring an adjustment to operating expenses. If this amount exceeds the actual amount of wastewater treated, no adjustments are made. If it is less than the gallons treated, then the difference is the excessive amount of I&amp;I. By convention, the allowance for infiltration is 500 gpd per inch diameter pipe per mile, and an additional 10 percent of residential water billed is allowed for inflow. </w:t>
      </w:r>
    </w:p>
    <w:p w14:paraId="1493DD4E" w14:textId="2E75BB98" w:rsidR="0040243D" w:rsidRDefault="00560921" w:rsidP="00560921">
      <w:pPr>
        <w:pStyle w:val="BodyText"/>
      </w:pPr>
      <w:r>
        <w:t>Using the pipe lengths of Grenelefe’s collection system, the infiltration allowance is calculated to be 21,024,000 gallons per year. Ten percent of the total gallons sold to customers is allowed for inflow, which totals 3,897,718 gallons. The sum of these amounts is the total allowable I&amp;I, which is 24,915,718 gallons per year. The amount calculated for estimated return is 31,348,410 gallons per year. To find the total amount of wastewater allowed, the total allowable I&amp;I and the estimated return are summed, yielding 56,264,427 gallons per year. Finally, this total is compared to the total treated during the test year, which is 46,296,700 gallons according to the Utility’s daily flow report. This is less than the estimated maximum amount allowed. Therefore, there is no excessive I&amp;I, and no adjustment to operating expenses is necessary</w:t>
      </w:r>
      <w:r w:rsidR="0040243D">
        <w:t xml:space="preserve">. </w:t>
      </w:r>
    </w:p>
    <w:p w14:paraId="079DBDAD" w14:textId="77777777" w:rsidR="0040243D" w:rsidRDefault="0040243D" w:rsidP="0040243D">
      <w:pPr>
        <w:pStyle w:val="First-LevelSubheading"/>
      </w:pPr>
      <w:r>
        <w:t>Conclusion</w:t>
      </w:r>
    </w:p>
    <w:p w14:paraId="49823C23" w14:textId="77777777" w:rsidR="004A380F" w:rsidRDefault="0040243D" w:rsidP="0040243D">
      <w:pPr>
        <w:pStyle w:val="BodyText"/>
      </w:pPr>
      <w:r>
        <w:t>Grenelefe’s WTP, WWTP, water distribution, and wastewater collections system should be considered 100 percent U&amp;U. Staff recommends there is 53.9 percent EUW, therefore, an adjustment to purchased power and chemicals should be made. Additionally, no adjustment is recommended for excessive I&amp;I.</w:t>
      </w:r>
    </w:p>
    <w:p w14:paraId="2449DD96" w14:textId="2F2326FD" w:rsidR="004A380F" w:rsidRDefault="004A380F">
      <w:pPr>
        <w:pStyle w:val="IssueHeading"/>
        <w:rPr>
          <w:vanish/>
          <w:specVanish/>
        </w:rPr>
      </w:pPr>
      <w:r w:rsidRPr="004C3641">
        <w:rPr>
          <w:b w:val="0"/>
          <w:i w:val="0"/>
        </w:rPr>
        <w:br w:type="page"/>
      </w:r>
      <w:r w:rsidRPr="004C3641">
        <w:t xml:space="preserve">Issue </w:t>
      </w:r>
      <w:r w:rsidR="00C3694F">
        <w:fldChar w:fldCharType="begin"/>
      </w:r>
      <w:r w:rsidR="00C3694F">
        <w:instrText xml:space="preserve"> SEQ Issue \* MERGEFORMAT </w:instrText>
      </w:r>
      <w:r w:rsidR="00C3694F">
        <w:fldChar w:fldCharType="separate"/>
      </w:r>
      <w:r w:rsidR="00C3694F">
        <w:rPr>
          <w:noProof/>
        </w:rPr>
        <w:t>4</w:t>
      </w:r>
      <w:r w:rsidR="00C3694F">
        <w:rPr>
          <w:noProof/>
        </w:rPr>
        <w:fldChar w:fldCharType="end"/>
      </w:r>
      <w:r w:rsidRPr="004C3641">
        <w:t>:</w:t>
      </w:r>
      <w:r>
        <w:fldChar w:fldCharType="begin"/>
      </w:r>
      <w:r>
        <w:instrText xml:space="preserve"> TC "</w:instrText>
      </w:r>
      <w:bookmarkStart w:id="18" w:name="_Toc219970000"/>
      <w:r w:rsidR="00470C1A">
        <w:instrText xml:space="preserve">Issue </w:instrText>
      </w:r>
      <w:r w:rsidR="00470C1A">
        <w:fldChar w:fldCharType="begin"/>
      </w:r>
      <w:r w:rsidR="00470C1A">
        <w:instrText xml:space="preserve"> SEQ issue \c </w:instrText>
      </w:r>
      <w:r w:rsidR="00470C1A">
        <w:fldChar w:fldCharType="separate"/>
      </w:r>
      <w:r w:rsidR="00C3694F">
        <w:rPr>
          <w:noProof/>
        </w:rPr>
        <w:instrText>4</w:instrText>
      </w:r>
      <w:r w:rsidR="00470C1A">
        <w:fldChar w:fldCharType="end"/>
      </w:r>
      <w:r w:rsidR="00470C1A">
        <w:instrText xml:space="preserve"> – Average Test Year Rate Base</w:instrText>
      </w:r>
      <w:bookmarkEnd w:id="18"/>
      <w:r>
        <w:instrText xml:space="preserve">" \l 1 </w:instrText>
      </w:r>
      <w:r>
        <w:fldChar w:fldCharType="end"/>
      </w:r>
      <w:r>
        <w:t> </w:t>
      </w:r>
    </w:p>
    <w:p w14:paraId="40C69949" w14:textId="77777777" w:rsidR="004A380F" w:rsidRDefault="004A380F">
      <w:pPr>
        <w:pStyle w:val="BodyText"/>
      </w:pPr>
      <w:r>
        <w:t> What is the appropriate average test year rate base for Grenelefe?</w:t>
      </w:r>
    </w:p>
    <w:p w14:paraId="1DF35E89" w14:textId="77777777" w:rsidR="004A380F" w:rsidRPr="004C3641" w:rsidRDefault="004A380F">
      <w:pPr>
        <w:pStyle w:val="IssueSubsectionHeading"/>
        <w:rPr>
          <w:vanish/>
          <w:specVanish/>
        </w:rPr>
      </w:pPr>
      <w:r w:rsidRPr="004C3641">
        <w:t>Recommendation: </w:t>
      </w:r>
    </w:p>
    <w:p w14:paraId="1C7E7F85" w14:textId="27FC45EF" w:rsidR="004A380F" w:rsidRDefault="004A380F">
      <w:pPr>
        <w:pStyle w:val="BodyText"/>
      </w:pPr>
      <w:r>
        <w:t> </w:t>
      </w:r>
      <w:r w:rsidR="004F75CD" w:rsidRPr="00A34FF1">
        <w:t xml:space="preserve">The appropriate average test year rate bases for Grenelefe are $1,866,312 for water and $1,241,585 for wastewater. </w:t>
      </w:r>
      <w:r w:rsidR="0040243D">
        <w:t>Further, staff recommends the Utility be required to submit a report no later than November 30, 2026, detailing the status of each Commission-approved pro forma project.</w:t>
      </w:r>
      <w:r>
        <w:t xml:space="preserve"> (Cohn, Ramirez-Abundez)</w:t>
      </w:r>
    </w:p>
    <w:p w14:paraId="3BEECB50" w14:textId="77777777" w:rsidR="004A380F" w:rsidRPr="004C3641" w:rsidRDefault="004A380F">
      <w:pPr>
        <w:pStyle w:val="IssueSubsectionHeading"/>
        <w:rPr>
          <w:vanish/>
          <w:specVanish/>
        </w:rPr>
      </w:pPr>
      <w:r w:rsidRPr="004C3641">
        <w:t>Staff Analysis: </w:t>
      </w:r>
    </w:p>
    <w:p w14:paraId="52FA862A" w14:textId="77777777" w:rsidR="00251943" w:rsidRDefault="004A380F" w:rsidP="00251943">
      <w:pPr>
        <w:pStyle w:val="First-LevelSubheading"/>
        <w:spacing w:after="240"/>
        <w:rPr>
          <w:rFonts w:ascii="Times New Roman" w:hAnsi="Times New Roman" w:cs="Times New Roman"/>
          <w:b w:val="0"/>
        </w:rPr>
      </w:pPr>
      <w:r>
        <w:t> </w:t>
      </w:r>
      <w:r w:rsidR="00251943" w:rsidRPr="00251943">
        <w:rPr>
          <w:rFonts w:ascii="Times New Roman" w:hAnsi="Times New Roman" w:cs="Times New Roman"/>
          <w:b w:val="0"/>
        </w:rPr>
        <w:t>The appropriate components of the Utility’s rate base include utility plant in service (UPIS), land and land rights, accumulated depreciation, contributions-in-aid of construction (CIAC), accumulated amortization of CIAC, capital recovery, accumulated capital recovery, and working capital. Staff selected the test year ended October 31, 2024, for the instant rate case. A summary of each component and the recommended adjustments are discussed below.</w:t>
      </w:r>
    </w:p>
    <w:p w14:paraId="6FF9EBBF" w14:textId="77777777" w:rsidR="00251943" w:rsidRPr="00E710F2" w:rsidRDefault="00251943" w:rsidP="00251943">
      <w:pPr>
        <w:rPr>
          <w:rFonts w:ascii="Arial" w:hAnsi="Arial" w:cs="Arial"/>
          <w:b/>
        </w:rPr>
      </w:pPr>
      <w:r w:rsidRPr="00E710F2">
        <w:rPr>
          <w:rFonts w:ascii="Arial" w:hAnsi="Arial" w:cs="Arial"/>
          <w:b/>
        </w:rPr>
        <w:t>Utility Plant in Service</w:t>
      </w:r>
    </w:p>
    <w:p w14:paraId="61D5ED34" w14:textId="2C2368D4" w:rsidR="00251943" w:rsidRPr="00251943" w:rsidRDefault="00560921" w:rsidP="00251943">
      <w:pPr>
        <w:pStyle w:val="BodyText"/>
      </w:pPr>
      <w:r>
        <w:t>The Utility recorded UPIS of $3,212,594 for water and $3,290,936 for wastewater. Audit staff decreased these amounts by $85,059 for water and $187,115 for wastewater to reflect adjustments from a prior Commission order, reclassify amounts from WWTP, and to reflect plant retirements.</w:t>
      </w:r>
      <w:r>
        <w:rPr>
          <w:rStyle w:val="FootnoteReference"/>
        </w:rPr>
        <w:footnoteReference w:id="22"/>
      </w:r>
      <w:r>
        <w:t xml:space="preserve"> Staff reduced water UPIS by an additional $9,386 to reflect an averaging adjustment. Additionally, staff increased water UPIS by $1,758,389 and wastewater UPIS by $949,844 to reflect pro forma additions. Staff then made subsequent adjustments to reflect pro forma-related retirements, reducing water UPIS by $543,861 and reducing wastewater UPIS by $131,852. These adjustments result in a net increase to UPIS of $1,120,084 for water and $630,877 for wastewater. Therefore, staff recommends a UPIS of $4,332,678 for water and $3,921,813 for wastewater.</w:t>
      </w:r>
    </w:p>
    <w:p w14:paraId="19AAD5AC" w14:textId="77777777" w:rsidR="0040243D" w:rsidRDefault="0040243D" w:rsidP="0040243D">
      <w:pPr>
        <w:pStyle w:val="First-LevelSubheading"/>
      </w:pPr>
      <w:r>
        <w:t>Pro Forma Plant Additions</w:t>
      </w:r>
    </w:p>
    <w:p w14:paraId="61610B92" w14:textId="4C590AF7" w:rsidR="0040243D" w:rsidRDefault="0040243D" w:rsidP="0040243D">
      <w:pPr>
        <w:pStyle w:val="BodyText"/>
      </w:pPr>
      <w:r>
        <w:t xml:space="preserve">Grenelefe requested pro forma projects for both its water and wastewater systems. However, since some items are not system specific, like a replacement vehicle, those costs would be allocated to both the water and wastewater systems. The pro forma projects are shown in Table 4-1 and each pro forma project is described below. </w:t>
      </w:r>
      <w:r w:rsidR="00FF316C">
        <w:t>Additionally, it is Commission practice for staff to evaluate whether a minimum of three bids were solicited for each project or the utility’s reasoning as to why three could not be obtained.</w:t>
      </w:r>
      <w:r w:rsidR="00FF316C">
        <w:rPr>
          <w:rStyle w:val="FootnoteReference"/>
        </w:rPr>
        <w:footnoteReference w:id="23"/>
      </w:r>
    </w:p>
    <w:p w14:paraId="6305BFDF" w14:textId="77777777" w:rsidR="0040243D" w:rsidRDefault="0040243D" w:rsidP="0040243D">
      <w:r>
        <w:br w:type="page"/>
      </w:r>
    </w:p>
    <w:p w14:paraId="6E9EB410" w14:textId="77777777" w:rsidR="0040243D" w:rsidRDefault="0040243D" w:rsidP="0040243D">
      <w:pPr>
        <w:pStyle w:val="TableNumber"/>
        <w:keepNext/>
      </w:pPr>
      <w:r>
        <w:t>Table 4-1</w:t>
      </w:r>
    </w:p>
    <w:p w14:paraId="596EB2C9" w14:textId="77777777" w:rsidR="0040243D" w:rsidRDefault="0040243D" w:rsidP="0040243D">
      <w:pPr>
        <w:pStyle w:val="TableTitle"/>
        <w:keepNext/>
      </w:pPr>
      <w:r>
        <w:t>Pro-Forma Plant Projects</w:t>
      </w:r>
    </w:p>
    <w:tbl>
      <w:tblPr>
        <w:tblStyle w:val="TableGrid"/>
        <w:tblW w:w="9576" w:type="dxa"/>
        <w:jc w:val="center"/>
        <w:tblLook w:val="04A0" w:firstRow="1" w:lastRow="0" w:firstColumn="1" w:lastColumn="0" w:noHBand="0" w:noVBand="1"/>
      </w:tblPr>
      <w:tblGrid>
        <w:gridCol w:w="666"/>
        <w:gridCol w:w="3313"/>
        <w:gridCol w:w="1030"/>
        <w:gridCol w:w="1416"/>
        <w:gridCol w:w="1656"/>
        <w:gridCol w:w="1495"/>
      </w:tblGrid>
      <w:tr w:rsidR="0040243D" w14:paraId="6288A30C" w14:textId="77777777" w:rsidTr="00251943">
        <w:trPr>
          <w:jc w:val="center"/>
        </w:trPr>
        <w:tc>
          <w:tcPr>
            <w:tcW w:w="666" w:type="dxa"/>
          </w:tcPr>
          <w:p w14:paraId="06CDB54B" w14:textId="77777777" w:rsidR="0040243D" w:rsidRDefault="0040243D" w:rsidP="00251943">
            <w:pPr>
              <w:jc w:val="center"/>
            </w:pPr>
          </w:p>
        </w:tc>
        <w:tc>
          <w:tcPr>
            <w:tcW w:w="3313" w:type="dxa"/>
            <w:vAlign w:val="center"/>
          </w:tcPr>
          <w:p w14:paraId="1CB0C3C8" w14:textId="77777777" w:rsidR="0040243D" w:rsidRDefault="0040243D" w:rsidP="00251943">
            <w:pPr>
              <w:jc w:val="center"/>
            </w:pPr>
            <w:r>
              <w:t>Project</w:t>
            </w:r>
          </w:p>
        </w:tc>
        <w:tc>
          <w:tcPr>
            <w:tcW w:w="1030" w:type="dxa"/>
            <w:vAlign w:val="center"/>
          </w:tcPr>
          <w:p w14:paraId="445398B6" w14:textId="77777777" w:rsidR="0040243D" w:rsidRDefault="0040243D" w:rsidP="00251943">
            <w:pPr>
              <w:jc w:val="center"/>
            </w:pPr>
            <w:r>
              <w:t>Account</w:t>
            </w:r>
          </w:p>
          <w:p w14:paraId="56165BC7" w14:textId="77777777" w:rsidR="0040243D" w:rsidRDefault="0040243D" w:rsidP="00251943">
            <w:pPr>
              <w:jc w:val="center"/>
            </w:pPr>
            <w:r>
              <w:t>Number</w:t>
            </w:r>
          </w:p>
        </w:tc>
        <w:tc>
          <w:tcPr>
            <w:tcW w:w="1416" w:type="dxa"/>
          </w:tcPr>
          <w:p w14:paraId="32CBBD15" w14:textId="77777777" w:rsidR="0040243D" w:rsidRDefault="0040243D" w:rsidP="00251943">
            <w:pPr>
              <w:jc w:val="center"/>
            </w:pPr>
            <w:r>
              <w:t>Utility</w:t>
            </w:r>
          </w:p>
          <w:p w14:paraId="4D2195A9" w14:textId="77777777" w:rsidR="0040243D" w:rsidRDefault="0040243D" w:rsidP="00251943">
            <w:pPr>
              <w:jc w:val="center"/>
            </w:pPr>
            <w:r>
              <w:t>Requested</w:t>
            </w:r>
          </w:p>
        </w:tc>
        <w:tc>
          <w:tcPr>
            <w:tcW w:w="1656" w:type="dxa"/>
            <w:vAlign w:val="center"/>
          </w:tcPr>
          <w:p w14:paraId="1C7755BB" w14:textId="77777777" w:rsidR="0040243D" w:rsidRDefault="0040243D" w:rsidP="00251943">
            <w:pPr>
              <w:jc w:val="center"/>
            </w:pPr>
            <w:r>
              <w:t>Staff Recommended</w:t>
            </w:r>
          </w:p>
        </w:tc>
        <w:tc>
          <w:tcPr>
            <w:tcW w:w="1495" w:type="dxa"/>
            <w:vAlign w:val="center"/>
          </w:tcPr>
          <w:p w14:paraId="2920988A" w14:textId="77777777" w:rsidR="0040243D" w:rsidRDefault="0040243D" w:rsidP="00251943">
            <w:pPr>
              <w:jc w:val="center"/>
            </w:pPr>
            <w:r>
              <w:t>Retirement*</w:t>
            </w:r>
          </w:p>
        </w:tc>
      </w:tr>
      <w:tr w:rsidR="0040243D" w:rsidRPr="00DC0B58" w14:paraId="7A897294" w14:textId="77777777" w:rsidTr="00251943">
        <w:trPr>
          <w:jc w:val="center"/>
        </w:trPr>
        <w:tc>
          <w:tcPr>
            <w:tcW w:w="9576" w:type="dxa"/>
            <w:gridSpan w:val="6"/>
          </w:tcPr>
          <w:p w14:paraId="2EE3F70D" w14:textId="77777777" w:rsidR="0040243D" w:rsidRPr="00DC0B58" w:rsidRDefault="0040243D" w:rsidP="00251943">
            <w:pPr>
              <w:jc w:val="center"/>
            </w:pPr>
            <w:r>
              <w:t>Water</w:t>
            </w:r>
          </w:p>
        </w:tc>
      </w:tr>
      <w:tr w:rsidR="00327928" w:rsidRPr="00DC0B58" w14:paraId="2E4DBFF8" w14:textId="77777777" w:rsidTr="00251943">
        <w:trPr>
          <w:jc w:val="center"/>
        </w:trPr>
        <w:tc>
          <w:tcPr>
            <w:tcW w:w="666" w:type="dxa"/>
          </w:tcPr>
          <w:p w14:paraId="05FD9533" w14:textId="77777777" w:rsidR="00327928" w:rsidRPr="00DC0B58" w:rsidRDefault="00327928" w:rsidP="00327928">
            <w:r w:rsidRPr="00DC0B58">
              <w:t>1.</w:t>
            </w:r>
          </w:p>
        </w:tc>
        <w:tc>
          <w:tcPr>
            <w:tcW w:w="3313" w:type="dxa"/>
            <w:vAlign w:val="center"/>
          </w:tcPr>
          <w:p w14:paraId="6C517BB3" w14:textId="77777777" w:rsidR="00327928" w:rsidRPr="00DC0B58" w:rsidRDefault="00327928" w:rsidP="00327928">
            <w:r w:rsidRPr="00DC0B58">
              <w:t xml:space="preserve">Neptune 5/8 by 3/4 T10 P/C R900i cellular USG meters (Meters and Meter boxes) </w:t>
            </w:r>
          </w:p>
        </w:tc>
        <w:tc>
          <w:tcPr>
            <w:tcW w:w="1030" w:type="dxa"/>
            <w:vAlign w:val="center"/>
          </w:tcPr>
          <w:p w14:paraId="0D036862" w14:textId="77777777" w:rsidR="00327928" w:rsidRPr="00DC0B58" w:rsidRDefault="00327928" w:rsidP="00327928">
            <w:pPr>
              <w:jc w:val="center"/>
            </w:pPr>
            <w:r w:rsidRPr="00DC0B58">
              <w:t>334</w:t>
            </w:r>
          </w:p>
        </w:tc>
        <w:tc>
          <w:tcPr>
            <w:tcW w:w="1416" w:type="dxa"/>
            <w:vAlign w:val="center"/>
          </w:tcPr>
          <w:p w14:paraId="56C82FDF" w14:textId="77777777" w:rsidR="00327928" w:rsidRDefault="00327928" w:rsidP="00327928">
            <w:pPr>
              <w:jc w:val="right"/>
            </w:pPr>
            <w:r>
              <w:t>$823,643</w:t>
            </w:r>
          </w:p>
        </w:tc>
        <w:tc>
          <w:tcPr>
            <w:tcW w:w="1656" w:type="dxa"/>
            <w:vAlign w:val="center"/>
          </w:tcPr>
          <w:p w14:paraId="58E167A9" w14:textId="77777777" w:rsidR="00327928" w:rsidRPr="00DC0B58" w:rsidRDefault="00327928" w:rsidP="00327928">
            <w:pPr>
              <w:jc w:val="right"/>
            </w:pPr>
            <w:r>
              <w:t>$758,838</w:t>
            </w:r>
          </w:p>
        </w:tc>
        <w:tc>
          <w:tcPr>
            <w:tcW w:w="1495" w:type="dxa"/>
            <w:vAlign w:val="center"/>
          </w:tcPr>
          <w:p w14:paraId="5A529C94" w14:textId="02033187" w:rsidR="00327928" w:rsidRPr="00DC0B58" w:rsidRDefault="00327928" w:rsidP="00327928">
            <w:pPr>
              <w:jc w:val="right"/>
            </w:pPr>
            <w:r>
              <w:t>($167,461)*</w:t>
            </w:r>
          </w:p>
        </w:tc>
      </w:tr>
      <w:tr w:rsidR="00327928" w:rsidRPr="00DC0B58" w14:paraId="2F98E12C" w14:textId="77777777" w:rsidTr="00251943">
        <w:trPr>
          <w:jc w:val="center"/>
        </w:trPr>
        <w:tc>
          <w:tcPr>
            <w:tcW w:w="666" w:type="dxa"/>
          </w:tcPr>
          <w:p w14:paraId="77CA5DA3" w14:textId="77777777" w:rsidR="00327928" w:rsidRPr="00DC0B58" w:rsidRDefault="00327928" w:rsidP="00327928">
            <w:r w:rsidRPr="00DC0B58">
              <w:t>2.</w:t>
            </w:r>
          </w:p>
        </w:tc>
        <w:tc>
          <w:tcPr>
            <w:tcW w:w="3313" w:type="dxa"/>
            <w:vAlign w:val="center"/>
          </w:tcPr>
          <w:p w14:paraId="29774089" w14:textId="77777777" w:rsidR="00327928" w:rsidRPr="00DC0B58" w:rsidRDefault="00327928" w:rsidP="00327928">
            <w:r w:rsidRPr="00DC0B58">
              <w:t>Radio Read Meter Installations</w:t>
            </w:r>
          </w:p>
        </w:tc>
        <w:tc>
          <w:tcPr>
            <w:tcW w:w="1030" w:type="dxa"/>
            <w:vAlign w:val="center"/>
          </w:tcPr>
          <w:p w14:paraId="5EF3873B" w14:textId="77777777" w:rsidR="00327928" w:rsidRPr="00DC0B58" w:rsidRDefault="00327928" w:rsidP="00327928">
            <w:pPr>
              <w:jc w:val="center"/>
            </w:pPr>
            <w:r w:rsidRPr="00DC0B58">
              <w:t>334</w:t>
            </w:r>
          </w:p>
        </w:tc>
        <w:tc>
          <w:tcPr>
            <w:tcW w:w="1416" w:type="dxa"/>
          </w:tcPr>
          <w:p w14:paraId="3F97DCDE" w14:textId="77777777" w:rsidR="00327928" w:rsidRDefault="00327928" w:rsidP="00327928">
            <w:pPr>
              <w:jc w:val="right"/>
            </w:pPr>
            <w:r>
              <w:t>$271,800</w:t>
            </w:r>
          </w:p>
        </w:tc>
        <w:tc>
          <w:tcPr>
            <w:tcW w:w="1656" w:type="dxa"/>
            <w:vAlign w:val="center"/>
          </w:tcPr>
          <w:p w14:paraId="400102D8" w14:textId="77777777" w:rsidR="00327928" w:rsidRPr="00DC0B58" w:rsidRDefault="00327928" w:rsidP="00327928">
            <w:pPr>
              <w:jc w:val="right"/>
            </w:pPr>
            <w:r>
              <w:t>$242,385</w:t>
            </w:r>
          </w:p>
        </w:tc>
        <w:tc>
          <w:tcPr>
            <w:tcW w:w="1495" w:type="dxa"/>
            <w:vAlign w:val="center"/>
          </w:tcPr>
          <w:p w14:paraId="01D6FC47" w14:textId="4F8FC782" w:rsidR="00327928" w:rsidRPr="00DC0B58" w:rsidRDefault="00327928" w:rsidP="00327928">
            <w:pPr>
              <w:jc w:val="right"/>
            </w:pPr>
            <w:r>
              <w:t>($53,493)*</w:t>
            </w:r>
          </w:p>
        </w:tc>
      </w:tr>
      <w:tr w:rsidR="00327928" w:rsidRPr="00DC0B58" w14:paraId="3F54BFB3" w14:textId="77777777" w:rsidTr="00251943">
        <w:trPr>
          <w:jc w:val="center"/>
        </w:trPr>
        <w:tc>
          <w:tcPr>
            <w:tcW w:w="666" w:type="dxa"/>
            <w:shd w:val="clear" w:color="auto" w:fill="auto"/>
          </w:tcPr>
          <w:p w14:paraId="1703235D" w14:textId="77777777" w:rsidR="00327928" w:rsidRPr="00DC0B58" w:rsidRDefault="00327928" w:rsidP="00327928">
            <w:r w:rsidRPr="00DC0B58">
              <w:t>3.</w:t>
            </w:r>
          </w:p>
        </w:tc>
        <w:tc>
          <w:tcPr>
            <w:tcW w:w="3313" w:type="dxa"/>
            <w:shd w:val="clear" w:color="auto" w:fill="auto"/>
            <w:vAlign w:val="center"/>
          </w:tcPr>
          <w:p w14:paraId="6E70711D" w14:textId="77777777" w:rsidR="00327928" w:rsidRPr="00DC0B58" w:rsidRDefault="00327928" w:rsidP="00327928">
            <w:r w:rsidRPr="00DC0B58">
              <w:t>Replacing 15 Fire Hydrants</w:t>
            </w:r>
          </w:p>
        </w:tc>
        <w:tc>
          <w:tcPr>
            <w:tcW w:w="1030" w:type="dxa"/>
            <w:shd w:val="clear" w:color="auto" w:fill="auto"/>
            <w:vAlign w:val="center"/>
          </w:tcPr>
          <w:p w14:paraId="6AB04691" w14:textId="77777777" w:rsidR="00327928" w:rsidRPr="00DC0B58" w:rsidRDefault="00327928" w:rsidP="00327928">
            <w:pPr>
              <w:jc w:val="center"/>
            </w:pPr>
            <w:r>
              <w:t>-</w:t>
            </w:r>
          </w:p>
        </w:tc>
        <w:tc>
          <w:tcPr>
            <w:tcW w:w="1416" w:type="dxa"/>
            <w:shd w:val="clear" w:color="auto" w:fill="auto"/>
          </w:tcPr>
          <w:p w14:paraId="07900B36" w14:textId="77777777" w:rsidR="00327928" w:rsidRPr="00DC0B58" w:rsidRDefault="00327928" w:rsidP="00327928">
            <w:pPr>
              <w:jc w:val="right"/>
            </w:pPr>
            <w:r>
              <w:t>$234,000</w:t>
            </w:r>
          </w:p>
        </w:tc>
        <w:tc>
          <w:tcPr>
            <w:tcW w:w="1656" w:type="dxa"/>
            <w:shd w:val="clear" w:color="auto" w:fill="auto"/>
            <w:vAlign w:val="center"/>
          </w:tcPr>
          <w:p w14:paraId="3C0AC4A0" w14:textId="77777777" w:rsidR="00327928" w:rsidRPr="00DC0B58" w:rsidRDefault="00327928" w:rsidP="00327928">
            <w:pPr>
              <w:jc w:val="right"/>
            </w:pPr>
            <w:r>
              <w:t>$0</w:t>
            </w:r>
          </w:p>
        </w:tc>
        <w:tc>
          <w:tcPr>
            <w:tcW w:w="1495" w:type="dxa"/>
            <w:vAlign w:val="center"/>
          </w:tcPr>
          <w:p w14:paraId="0425F5D6" w14:textId="585D3ECF" w:rsidR="00327928" w:rsidRPr="00DC0B58" w:rsidRDefault="00327928" w:rsidP="00327928">
            <w:pPr>
              <w:jc w:val="center"/>
            </w:pPr>
            <w:r>
              <w:t>-</w:t>
            </w:r>
          </w:p>
        </w:tc>
      </w:tr>
      <w:tr w:rsidR="00327928" w:rsidRPr="00DC0B58" w14:paraId="46BBF3B1" w14:textId="77777777" w:rsidTr="00251943">
        <w:trPr>
          <w:jc w:val="center"/>
        </w:trPr>
        <w:tc>
          <w:tcPr>
            <w:tcW w:w="666" w:type="dxa"/>
          </w:tcPr>
          <w:p w14:paraId="314B0F45" w14:textId="77777777" w:rsidR="00327928" w:rsidRPr="00DC0B58" w:rsidRDefault="00327928" w:rsidP="00327928">
            <w:r w:rsidRPr="00DC0B58">
              <w:t>4.</w:t>
            </w:r>
          </w:p>
        </w:tc>
        <w:tc>
          <w:tcPr>
            <w:tcW w:w="3313" w:type="dxa"/>
            <w:vAlign w:val="center"/>
          </w:tcPr>
          <w:p w14:paraId="27958A5B" w14:textId="77777777" w:rsidR="00327928" w:rsidRPr="00DC0B58" w:rsidRDefault="00327928" w:rsidP="00327928">
            <w:r>
              <w:t>Hydro Tank #6 Rehabilitation</w:t>
            </w:r>
          </w:p>
        </w:tc>
        <w:tc>
          <w:tcPr>
            <w:tcW w:w="1030" w:type="dxa"/>
            <w:vAlign w:val="center"/>
          </w:tcPr>
          <w:p w14:paraId="2EE9990E" w14:textId="77777777" w:rsidR="00327928" w:rsidRPr="00DC0B58" w:rsidRDefault="00327928" w:rsidP="00327928">
            <w:pPr>
              <w:jc w:val="center"/>
            </w:pPr>
            <w:r w:rsidRPr="00DC0B58">
              <w:t>330</w:t>
            </w:r>
          </w:p>
        </w:tc>
        <w:tc>
          <w:tcPr>
            <w:tcW w:w="1416" w:type="dxa"/>
          </w:tcPr>
          <w:p w14:paraId="52A17950" w14:textId="77777777" w:rsidR="00327928" w:rsidRDefault="00327928" w:rsidP="00327928">
            <w:pPr>
              <w:jc w:val="right"/>
            </w:pPr>
            <w:r>
              <w:t>$413,000</w:t>
            </w:r>
          </w:p>
        </w:tc>
        <w:tc>
          <w:tcPr>
            <w:tcW w:w="1656" w:type="dxa"/>
            <w:vAlign w:val="center"/>
          </w:tcPr>
          <w:p w14:paraId="17B7D9FE" w14:textId="77777777" w:rsidR="00327928" w:rsidRPr="00DC0B58" w:rsidRDefault="00327928" w:rsidP="00327928">
            <w:pPr>
              <w:jc w:val="right"/>
            </w:pPr>
            <w:r>
              <w:t>$66,786</w:t>
            </w:r>
          </w:p>
        </w:tc>
        <w:tc>
          <w:tcPr>
            <w:tcW w:w="1495" w:type="dxa"/>
            <w:vAlign w:val="center"/>
          </w:tcPr>
          <w:p w14:paraId="03329648" w14:textId="0C3F65F1" w:rsidR="00327928" w:rsidRPr="00DC0B58" w:rsidRDefault="00327928" w:rsidP="00327928">
            <w:pPr>
              <w:jc w:val="right"/>
            </w:pPr>
            <w:r>
              <w:t>($11,547)*</w:t>
            </w:r>
          </w:p>
        </w:tc>
      </w:tr>
      <w:tr w:rsidR="00327928" w:rsidRPr="00DC0B58" w14:paraId="2B2A51FF" w14:textId="77777777" w:rsidTr="00251943">
        <w:trPr>
          <w:jc w:val="center"/>
        </w:trPr>
        <w:tc>
          <w:tcPr>
            <w:tcW w:w="666" w:type="dxa"/>
          </w:tcPr>
          <w:p w14:paraId="3380953C" w14:textId="77777777" w:rsidR="00327928" w:rsidRPr="00DC0B58" w:rsidRDefault="00327928" w:rsidP="00327928">
            <w:r w:rsidRPr="00DC0B58">
              <w:t>5.</w:t>
            </w:r>
          </w:p>
        </w:tc>
        <w:tc>
          <w:tcPr>
            <w:tcW w:w="3313" w:type="dxa"/>
            <w:vAlign w:val="center"/>
          </w:tcPr>
          <w:p w14:paraId="66E9F7A9" w14:textId="77777777" w:rsidR="00327928" w:rsidRPr="00DC0B58" w:rsidRDefault="00327928" w:rsidP="00327928">
            <w:r w:rsidRPr="00DC0B58">
              <w:t>Hydro Tank #10 Rehabilitation</w:t>
            </w:r>
          </w:p>
        </w:tc>
        <w:tc>
          <w:tcPr>
            <w:tcW w:w="1030" w:type="dxa"/>
            <w:vAlign w:val="center"/>
          </w:tcPr>
          <w:p w14:paraId="38CEF892" w14:textId="77777777" w:rsidR="00327928" w:rsidRPr="00DC0B58" w:rsidRDefault="00327928" w:rsidP="00327928">
            <w:pPr>
              <w:jc w:val="center"/>
            </w:pPr>
            <w:r w:rsidRPr="00DC0B58">
              <w:t>330</w:t>
            </w:r>
          </w:p>
        </w:tc>
        <w:tc>
          <w:tcPr>
            <w:tcW w:w="1416" w:type="dxa"/>
          </w:tcPr>
          <w:p w14:paraId="7722BB46" w14:textId="77777777" w:rsidR="00327928" w:rsidRPr="00DC0B58" w:rsidRDefault="00327928" w:rsidP="00327928">
            <w:pPr>
              <w:jc w:val="right"/>
            </w:pPr>
            <w:r>
              <w:t>$66,786</w:t>
            </w:r>
          </w:p>
        </w:tc>
        <w:tc>
          <w:tcPr>
            <w:tcW w:w="1656" w:type="dxa"/>
            <w:vAlign w:val="center"/>
          </w:tcPr>
          <w:p w14:paraId="0A775C27" w14:textId="77777777" w:rsidR="00327928" w:rsidRPr="00DC0B58" w:rsidRDefault="00327928" w:rsidP="00327928">
            <w:pPr>
              <w:jc w:val="right"/>
            </w:pPr>
            <w:r w:rsidRPr="00DC0B58">
              <w:t>$66,786</w:t>
            </w:r>
          </w:p>
        </w:tc>
        <w:tc>
          <w:tcPr>
            <w:tcW w:w="1495" w:type="dxa"/>
            <w:vAlign w:val="center"/>
          </w:tcPr>
          <w:p w14:paraId="2016F10D" w14:textId="773680C0" w:rsidR="00327928" w:rsidRPr="00DC0B58" w:rsidRDefault="00327928" w:rsidP="00327928">
            <w:pPr>
              <w:jc w:val="right"/>
            </w:pPr>
            <w:r>
              <w:t>(</w:t>
            </w:r>
            <w:r w:rsidRPr="0044607C">
              <w:t>$</w:t>
            </w:r>
            <w:r>
              <w:t>11</w:t>
            </w:r>
            <w:r w:rsidRPr="0044607C">
              <w:t>,</w:t>
            </w:r>
            <w:r>
              <w:t>547)*</w:t>
            </w:r>
          </w:p>
        </w:tc>
      </w:tr>
      <w:tr w:rsidR="00327928" w:rsidRPr="00DC0B58" w14:paraId="30DDBCFC" w14:textId="77777777" w:rsidTr="00251943">
        <w:trPr>
          <w:jc w:val="center"/>
        </w:trPr>
        <w:tc>
          <w:tcPr>
            <w:tcW w:w="666" w:type="dxa"/>
          </w:tcPr>
          <w:p w14:paraId="1198680D" w14:textId="77777777" w:rsidR="00327928" w:rsidRPr="00DC0B58" w:rsidRDefault="00327928" w:rsidP="00327928">
            <w:r w:rsidRPr="00DC0B58">
              <w:t>6.</w:t>
            </w:r>
          </w:p>
        </w:tc>
        <w:tc>
          <w:tcPr>
            <w:tcW w:w="3313" w:type="dxa"/>
            <w:vAlign w:val="center"/>
          </w:tcPr>
          <w:p w14:paraId="1EDC67FB" w14:textId="77777777" w:rsidR="00327928" w:rsidRPr="00DC0B58" w:rsidRDefault="00327928" w:rsidP="00327928">
            <w:r w:rsidRPr="00DC0B58">
              <w:t>Potable Well #6 Refurbishment</w:t>
            </w:r>
          </w:p>
        </w:tc>
        <w:tc>
          <w:tcPr>
            <w:tcW w:w="1030" w:type="dxa"/>
            <w:vAlign w:val="center"/>
          </w:tcPr>
          <w:p w14:paraId="088DD6F0" w14:textId="77777777" w:rsidR="00327928" w:rsidRPr="00DC0B58" w:rsidRDefault="00327928" w:rsidP="00327928">
            <w:pPr>
              <w:jc w:val="center"/>
            </w:pPr>
            <w:r w:rsidRPr="00DC0B58">
              <w:t>311</w:t>
            </w:r>
          </w:p>
        </w:tc>
        <w:tc>
          <w:tcPr>
            <w:tcW w:w="1416" w:type="dxa"/>
          </w:tcPr>
          <w:p w14:paraId="447B64FE" w14:textId="77777777" w:rsidR="00327928" w:rsidRDefault="00327928" w:rsidP="00327928">
            <w:pPr>
              <w:jc w:val="right"/>
            </w:pPr>
            <w:r>
              <w:t>$121,000</w:t>
            </w:r>
          </w:p>
        </w:tc>
        <w:tc>
          <w:tcPr>
            <w:tcW w:w="1656" w:type="dxa"/>
            <w:vAlign w:val="center"/>
          </w:tcPr>
          <w:p w14:paraId="4CDE39C4" w14:textId="77777777" w:rsidR="00327928" w:rsidRPr="00DC0B58" w:rsidRDefault="00327928" w:rsidP="00327928">
            <w:pPr>
              <w:jc w:val="right"/>
            </w:pPr>
            <w:r>
              <w:t>$115,000</w:t>
            </w:r>
          </w:p>
        </w:tc>
        <w:tc>
          <w:tcPr>
            <w:tcW w:w="1495" w:type="dxa"/>
            <w:vAlign w:val="center"/>
          </w:tcPr>
          <w:p w14:paraId="045AF7B6" w14:textId="00F63A6B" w:rsidR="00327928" w:rsidRPr="00DC0B58" w:rsidRDefault="00327928" w:rsidP="00327928">
            <w:pPr>
              <w:jc w:val="right"/>
            </w:pPr>
            <w:r>
              <w:t>($10,421)*</w:t>
            </w:r>
          </w:p>
        </w:tc>
      </w:tr>
      <w:tr w:rsidR="00327928" w:rsidRPr="00DC0B58" w14:paraId="41B68D56" w14:textId="77777777" w:rsidTr="00251943">
        <w:trPr>
          <w:jc w:val="center"/>
        </w:trPr>
        <w:tc>
          <w:tcPr>
            <w:tcW w:w="666" w:type="dxa"/>
          </w:tcPr>
          <w:p w14:paraId="45A7EE68" w14:textId="77777777" w:rsidR="00327928" w:rsidRPr="00DC0B58" w:rsidRDefault="00327928" w:rsidP="00327928">
            <w:r w:rsidRPr="00DC0B58">
              <w:t>7.</w:t>
            </w:r>
          </w:p>
        </w:tc>
        <w:tc>
          <w:tcPr>
            <w:tcW w:w="3313" w:type="dxa"/>
            <w:vAlign w:val="center"/>
          </w:tcPr>
          <w:p w14:paraId="5671E3F9" w14:textId="77777777" w:rsidR="00327928" w:rsidRPr="00DC0B58" w:rsidRDefault="00327928" w:rsidP="00327928">
            <w:r w:rsidRPr="00DC0B58">
              <w:t xml:space="preserve">Potable Well #10 Refurbishment </w:t>
            </w:r>
          </w:p>
        </w:tc>
        <w:tc>
          <w:tcPr>
            <w:tcW w:w="1030" w:type="dxa"/>
            <w:vAlign w:val="center"/>
          </w:tcPr>
          <w:p w14:paraId="6A439947" w14:textId="77777777" w:rsidR="00327928" w:rsidRPr="00DC0B58" w:rsidRDefault="00327928" w:rsidP="00327928">
            <w:pPr>
              <w:jc w:val="center"/>
            </w:pPr>
            <w:r w:rsidRPr="00DC0B58">
              <w:t>311</w:t>
            </w:r>
          </w:p>
        </w:tc>
        <w:tc>
          <w:tcPr>
            <w:tcW w:w="1416" w:type="dxa"/>
          </w:tcPr>
          <w:p w14:paraId="3E5C201F" w14:textId="77777777" w:rsidR="00327928" w:rsidRDefault="00327928" w:rsidP="00327928">
            <w:pPr>
              <w:jc w:val="right"/>
            </w:pPr>
            <w:r>
              <w:t>$121,000</w:t>
            </w:r>
          </w:p>
        </w:tc>
        <w:tc>
          <w:tcPr>
            <w:tcW w:w="1656" w:type="dxa"/>
            <w:vAlign w:val="center"/>
          </w:tcPr>
          <w:p w14:paraId="6F490B3E" w14:textId="77777777" w:rsidR="00327928" w:rsidRPr="00DC0B58" w:rsidRDefault="00327928" w:rsidP="00327928">
            <w:pPr>
              <w:jc w:val="right"/>
            </w:pPr>
            <w:r>
              <w:t>$115,000</w:t>
            </w:r>
          </w:p>
        </w:tc>
        <w:tc>
          <w:tcPr>
            <w:tcW w:w="1495" w:type="dxa"/>
            <w:vAlign w:val="center"/>
          </w:tcPr>
          <w:p w14:paraId="60413C63" w14:textId="012BC74F" w:rsidR="00327928" w:rsidRPr="00DC0B58" w:rsidRDefault="00327928" w:rsidP="00327928">
            <w:pPr>
              <w:jc w:val="right"/>
            </w:pPr>
            <w:r>
              <w:t>($10,421)*</w:t>
            </w:r>
          </w:p>
        </w:tc>
      </w:tr>
      <w:tr w:rsidR="00327928" w:rsidRPr="00DC0B58" w14:paraId="0F70F750" w14:textId="77777777" w:rsidTr="00251943">
        <w:trPr>
          <w:jc w:val="center"/>
        </w:trPr>
        <w:tc>
          <w:tcPr>
            <w:tcW w:w="666" w:type="dxa"/>
          </w:tcPr>
          <w:p w14:paraId="13590140" w14:textId="77777777" w:rsidR="00327928" w:rsidRPr="00DC0B58" w:rsidRDefault="00327928" w:rsidP="00327928">
            <w:r>
              <w:t>8.</w:t>
            </w:r>
          </w:p>
        </w:tc>
        <w:tc>
          <w:tcPr>
            <w:tcW w:w="3313" w:type="dxa"/>
            <w:vAlign w:val="center"/>
          </w:tcPr>
          <w:p w14:paraId="5891A208" w14:textId="77777777" w:rsidR="00327928" w:rsidRPr="00DC0B58" w:rsidRDefault="00327928" w:rsidP="00327928">
            <w:r w:rsidRPr="00D95F0E">
              <w:t>Irrigation/Non-potable Wells</w:t>
            </w:r>
          </w:p>
        </w:tc>
        <w:tc>
          <w:tcPr>
            <w:tcW w:w="1030" w:type="dxa"/>
            <w:vAlign w:val="center"/>
          </w:tcPr>
          <w:p w14:paraId="6601E612" w14:textId="77777777" w:rsidR="00327928" w:rsidRPr="00DC0B58" w:rsidRDefault="00327928" w:rsidP="00327928">
            <w:pPr>
              <w:jc w:val="center"/>
            </w:pPr>
            <w:r>
              <w:t>-</w:t>
            </w:r>
          </w:p>
        </w:tc>
        <w:tc>
          <w:tcPr>
            <w:tcW w:w="1416" w:type="dxa"/>
          </w:tcPr>
          <w:p w14:paraId="71E42038" w14:textId="77777777" w:rsidR="00327928" w:rsidRDefault="00327928" w:rsidP="00327928">
            <w:pPr>
              <w:jc w:val="right"/>
            </w:pPr>
            <w:r>
              <w:t>$840,000</w:t>
            </w:r>
          </w:p>
        </w:tc>
        <w:tc>
          <w:tcPr>
            <w:tcW w:w="1656" w:type="dxa"/>
            <w:vAlign w:val="center"/>
          </w:tcPr>
          <w:p w14:paraId="57B502D2" w14:textId="77777777" w:rsidR="00327928" w:rsidRDefault="00327928" w:rsidP="00327928">
            <w:pPr>
              <w:jc w:val="right"/>
            </w:pPr>
            <w:r>
              <w:t>$0</w:t>
            </w:r>
          </w:p>
        </w:tc>
        <w:tc>
          <w:tcPr>
            <w:tcW w:w="1495" w:type="dxa"/>
            <w:vAlign w:val="center"/>
          </w:tcPr>
          <w:p w14:paraId="563A2381" w14:textId="4C1D6F87" w:rsidR="00327928" w:rsidRPr="00DC0B58" w:rsidRDefault="00327928" w:rsidP="00327928">
            <w:pPr>
              <w:jc w:val="right"/>
            </w:pPr>
            <w:r>
              <w:t>-</w:t>
            </w:r>
          </w:p>
        </w:tc>
      </w:tr>
      <w:tr w:rsidR="00327928" w:rsidRPr="00DC0B58" w14:paraId="0DC59E4F" w14:textId="77777777" w:rsidTr="00251943">
        <w:trPr>
          <w:jc w:val="center"/>
        </w:trPr>
        <w:tc>
          <w:tcPr>
            <w:tcW w:w="666" w:type="dxa"/>
          </w:tcPr>
          <w:p w14:paraId="7BCC7DAB" w14:textId="77777777" w:rsidR="00327928" w:rsidRPr="00DC0B58" w:rsidRDefault="00327928" w:rsidP="00327928">
            <w:r w:rsidRPr="00DC0B58">
              <w:t>9.</w:t>
            </w:r>
          </w:p>
        </w:tc>
        <w:tc>
          <w:tcPr>
            <w:tcW w:w="3313" w:type="dxa"/>
            <w:vAlign w:val="center"/>
          </w:tcPr>
          <w:p w14:paraId="6EFDFF81" w14:textId="77777777" w:rsidR="00327928" w:rsidRPr="00DC0B58" w:rsidRDefault="00327928" w:rsidP="00327928">
            <w:r>
              <w:t>20 Valve Replacements</w:t>
            </w:r>
          </w:p>
        </w:tc>
        <w:tc>
          <w:tcPr>
            <w:tcW w:w="1030" w:type="dxa"/>
            <w:vAlign w:val="center"/>
          </w:tcPr>
          <w:p w14:paraId="213FF7C5" w14:textId="77777777" w:rsidR="00327928" w:rsidRPr="00DC0B58" w:rsidRDefault="00327928" w:rsidP="00327928">
            <w:pPr>
              <w:jc w:val="center"/>
            </w:pPr>
            <w:r w:rsidRPr="00DC0B58">
              <w:t>331</w:t>
            </w:r>
          </w:p>
        </w:tc>
        <w:tc>
          <w:tcPr>
            <w:tcW w:w="1416" w:type="dxa"/>
          </w:tcPr>
          <w:p w14:paraId="2E10F671" w14:textId="77777777" w:rsidR="00327928" w:rsidRDefault="00327928" w:rsidP="00327928">
            <w:pPr>
              <w:jc w:val="right"/>
            </w:pPr>
            <w:r>
              <w:t>$1,897,176</w:t>
            </w:r>
          </w:p>
        </w:tc>
        <w:tc>
          <w:tcPr>
            <w:tcW w:w="1656" w:type="dxa"/>
            <w:vAlign w:val="center"/>
          </w:tcPr>
          <w:p w14:paraId="5BCB1787" w14:textId="77777777" w:rsidR="00327928" w:rsidRPr="00DC0B58" w:rsidRDefault="00327928" w:rsidP="00327928">
            <w:pPr>
              <w:jc w:val="right"/>
            </w:pPr>
            <w:r>
              <w:t>$363,200</w:t>
            </w:r>
          </w:p>
        </w:tc>
        <w:tc>
          <w:tcPr>
            <w:tcW w:w="1495" w:type="dxa"/>
            <w:vAlign w:val="center"/>
          </w:tcPr>
          <w:p w14:paraId="19528504" w14:textId="204C7D6F" w:rsidR="00327928" w:rsidRPr="00DC0B58" w:rsidRDefault="00327928" w:rsidP="00327928">
            <w:pPr>
              <w:jc w:val="right"/>
            </w:pPr>
            <w:r>
              <w:t>($272,400)</w:t>
            </w:r>
          </w:p>
        </w:tc>
      </w:tr>
      <w:tr w:rsidR="0040243D" w:rsidRPr="00DC0B58" w14:paraId="2D885432" w14:textId="77777777" w:rsidTr="00251943">
        <w:trPr>
          <w:jc w:val="center"/>
        </w:trPr>
        <w:tc>
          <w:tcPr>
            <w:tcW w:w="9576" w:type="dxa"/>
            <w:gridSpan w:val="6"/>
          </w:tcPr>
          <w:p w14:paraId="7156E47C" w14:textId="77777777" w:rsidR="0040243D" w:rsidRDefault="0040243D" w:rsidP="00251943">
            <w:pPr>
              <w:jc w:val="center"/>
            </w:pPr>
            <w:r>
              <w:t>Wastewater</w:t>
            </w:r>
          </w:p>
        </w:tc>
      </w:tr>
      <w:tr w:rsidR="00327928" w:rsidRPr="00DC0B58" w14:paraId="20904093" w14:textId="77777777" w:rsidTr="00251943">
        <w:trPr>
          <w:jc w:val="center"/>
        </w:trPr>
        <w:tc>
          <w:tcPr>
            <w:tcW w:w="666" w:type="dxa"/>
          </w:tcPr>
          <w:p w14:paraId="6212D269" w14:textId="77777777" w:rsidR="00327928" w:rsidRPr="00DC0B58" w:rsidRDefault="00327928" w:rsidP="00327928">
            <w:r>
              <w:t>10.</w:t>
            </w:r>
          </w:p>
        </w:tc>
        <w:tc>
          <w:tcPr>
            <w:tcW w:w="3313" w:type="dxa"/>
            <w:vAlign w:val="center"/>
          </w:tcPr>
          <w:p w14:paraId="071EF498" w14:textId="77777777" w:rsidR="00327928" w:rsidRPr="00DC0B58" w:rsidRDefault="00327928" w:rsidP="00327928">
            <w:r w:rsidRPr="00D95F0E">
              <w:t>Wastewater Treatment Plant Modifications</w:t>
            </w:r>
          </w:p>
        </w:tc>
        <w:tc>
          <w:tcPr>
            <w:tcW w:w="1030" w:type="dxa"/>
            <w:vAlign w:val="center"/>
          </w:tcPr>
          <w:p w14:paraId="499A14A7" w14:textId="77777777" w:rsidR="00327928" w:rsidRPr="00DC0B58" w:rsidRDefault="00327928" w:rsidP="00327928">
            <w:pPr>
              <w:jc w:val="center"/>
            </w:pPr>
            <w:r>
              <w:t>-</w:t>
            </w:r>
          </w:p>
        </w:tc>
        <w:tc>
          <w:tcPr>
            <w:tcW w:w="1416" w:type="dxa"/>
            <w:vAlign w:val="center"/>
          </w:tcPr>
          <w:p w14:paraId="371735AB" w14:textId="77777777" w:rsidR="00327928" w:rsidRDefault="00327928" w:rsidP="00327928">
            <w:pPr>
              <w:jc w:val="right"/>
            </w:pPr>
            <w:r>
              <w:t>$16,300,000</w:t>
            </w:r>
          </w:p>
        </w:tc>
        <w:tc>
          <w:tcPr>
            <w:tcW w:w="1656" w:type="dxa"/>
            <w:vAlign w:val="center"/>
          </w:tcPr>
          <w:p w14:paraId="1072A349" w14:textId="77777777" w:rsidR="00327928" w:rsidRDefault="00327928" w:rsidP="00327928">
            <w:pPr>
              <w:jc w:val="right"/>
            </w:pPr>
            <w:r>
              <w:t>$0</w:t>
            </w:r>
          </w:p>
        </w:tc>
        <w:tc>
          <w:tcPr>
            <w:tcW w:w="1495" w:type="dxa"/>
            <w:vAlign w:val="center"/>
          </w:tcPr>
          <w:p w14:paraId="18EEE9E9" w14:textId="4AFF61F9" w:rsidR="00327928" w:rsidRPr="00DC0B58" w:rsidRDefault="00327928" w:rsidP="00327928">
            <w:pPr>
              <w:jc w:val="center"/>
            </w:pPr>
            <w:r>
              <w:t>-</w:t>
            </w:r>
          </w:p>
        </w:tc>
      </w:tr>
      <w:tr w:rsidR="00327928" w:rsidRPr="00DC0B58" w14:paraId="1F7FE8F9" w14:textId="77777777" w:rsidTr="00251943">
        <w:trPr>
          <w:jc w:val="center"/>
        </w:trPr>
        <w:tc>
          <w:tcPr>
            <w:tcW w:w="666" w:type="dxa"/>
            <w:shd w:val="clear" w:color="auto" w:fill="auto"/>
          </w:tcPr>
          <w:p w14:paraId="590A1254" w14:textId="77777777" w:rsidR="00327928" w:rsidRPr="00DC0B58" w:rsidRDefault="00327928" w:rsidP="00327928">
            <w:r w:rsidRPr="00DC0B58">
              <w:t>11.</w:t>
            </w:r>
          </w:p>
        </w:tc>
        <w:tc>
          <w:tcPr>
            <w:tcW w:w="3313" w:type="dxa"/>
            <w:shd w:val="clear" w:color="auto" w:fill="auto"/>
          </w:tcPr>
          <w:p w14:paraId="726E12EE" w14:textId="77777777" w:rsidR="00327928" w:rsidRPr="00DC0B58" w:rsidRDefault="00327928" w:rsidP="00327928">
            <w:r w:rsidRPr="00DC0B58">
              <w:t>Lift Station #1 Refurbishment</w:t>
            </w:r>
          </w:p>
        </w:tc>
        <w:tc>
          <w:tcPr>
            <w:tcW w:w="1030" w:type="dxa"/>
            <w:shd w:val="clear" w:color="auto" w:fill="auto"/>
          </w:tcPr>
          <w:p w14:paraId="03D91C51" w14:textId="77777777" w:rsidR="00327928" w:rsidRPr="00DC0B58" w:rsidRDefault="00327928" w:rsidP="00327928">
            <w:pPr>
              <w:jc w:val="center"/>
            </w:pPr>
            <w:r w:rsidRPr="00DC0B58">
              <w:t>371</w:t>
            </w:r>
          </w:p>
        </w:tc>
        <w:tc>
          <w:tcPr>
            <w:tcW w:w="1416" w:type="dxa"/>
            <w:shd w:val="clear" w:color="auto" w:fill="auto"/>
          </w:tcPr>
          <w:p w14:paraId="3B1FF99C" w14:textId="77777777" w:rsidR="00327928" w:rsidRDefault="00327928" w:rsidP="00327928">
            <w:pPr>
              <w:jc w:val="right"/>
            </w:pPr>
            <w:r>
              <w:t>$198,672</w:t>
            </w:r>
          </w:p>
        </w:tc>
        <w:tc>
          <w:tcPr>
            <w:tcW w:w="1656" w:type="dxa"/>
            <w:shd w:val="clear" w:color="auto" w:fill="auto"/>
          </w:tcPr>
          <w:p w14:paraId="54B7B9A0" w14:textId="77777777" w:rsidR="00327928" w:rsidRPr="00DC0B58" w:rsidRDefault="00327928" w:rsidP="00327928">
            <w:pPr>
              <w:jc w:val="right"/>
            </w:pPr>
            <w:r>
              <w:t>$197,433</w:t>
            </w:r>
          </w:p>
        </w:tc>
        <w:tc>
          <w:tcPr>
            <w:tcW w:w="1495" w:type="dxa"/>
          </w:tcPr>
          <w:p w14:paraId="275914CE" w14:textId="425E772E" w:rsidR="00327928" w:rsidRPr="00DC0B58" w:rsidRDefault="00327928" w:rsidP="00327928">
            <w:pPr>
              <w:jc w:val="right"/>
            </w:pPr>
            <w:r>
              <w:t>($26,901)*</w:t>
            </w:r>
          </w:p>
        </w:tc>
      </w:tr>
      <w:tr w:rsidR="00327928" w:rsidRPr="00DC0B58" w14:paraId="5CCEA3D2" w14:textId="77777777" w:rsidTr="00251943">
        <w:trPr>
          <w:jc w:val="center"/>
        </w:trPr>
        <w:tc>
          <w:tcPr>
            <w:tcW w:w="666" w:type="dxa"/>
            <w:shd w:val="clear" w:color="auto" w:fill="auto"/>
          </w:tcPr>
          <w:p w14:paraId="09194C89" w14:textId="77777777" w:rsidR="00327928" w:rsidRPr="00DC0B58" w:rsidRDefault="00327928" w:rsidP="00327928">
            <w:r w:rsidRPr="00DC0B58">
              <w:t>12.</w:t>
            </w:r>
          </w:p>
        </w:tc>
        <w:tc>
          <w:tcPr>
            <w:tcW w:w="3313" w:type="dxa"/>
            <w:shd w:val="clear" w:color="auto" w:fill="auto"/>
          </w:tcPr>
          <w:p w14:paraId="2A99E077" w14:textId="77777777" w:rsidR="00327928" w:rsidRPr="00DC0B58" w:rsidRDefault="00327928" w:rsidP="00327928">
            <w:r w:rsidRPr="00DC0B58">
              <w:t>Lift Station #2 Refurbishment</w:t>
            </w:r>
          </w:p>
        </w:tc>
        <w:tc>
          <w:tcPr>
            <w:tcW w:w="1030" w:type="dxa"/>
            <w:shd w:val="clear" w:color="auto" w:fill="auto"/>
          </w:tcPr>
          <w:p w14:paraId="6C44EDA6" w14:textId="77777777" w:rsidR="00327928" w:rsidRPr="00DC0B58" w:rsidRDefault="00327928" w:rsidP="00327928">
            <w:pPr>
              <w:jc w:val="center"/>
            </w:pPr>
            <w:r w:rsidRPr="00DC0B58">
              <w:t>371</w:t>
            </w:r>
          </w:p>
        </w:tc>
        <w:tc>
          <w:tcPr>
            <w:tcW w:w="1416" w:type="dxa"/>
            <w:shd w:val="clear" w:color="auto" w:fill="auto"/>
          </w:tcPr>
          <w:p w14:paraId="2B5DF0E4" w14:textId="77777777" w:rsidR="00327928" w:rsidRPr="00DC0B58" w:rsidRDefault="00327928" w:rsidP="00327928">
            <w:pPr>
              <w:jc w:val="right"/>
            </w:pPr>
            <w:r>
              <w:t>$195,000</w:t>
            </w:r>
          </w:p>
        </w:tc>
        <w:tc>
          <w:tcPr>
            <w:tcW w:w="1656" w:type="dxa"/>
            <w:shd w:val="clear" w:color="auto" w:fill="auto"/>
          </w:tcPr>
          <w:p w14:paraId="4DEF30C5" w14:textId="77777777" w:rsidR="00327928" w:rsidRPr="00DC0B58" w:rsidRDefault="00327928" w:rsidP="00327928">
            <w:pPr>
              <w:jc w:val="right"/>
            </w:pPr>
            <w:r w:rsidRPr="00DC0B58">
              <w:t>$195,000</w:t>
            </w:r>
          </w:p>
        </w:tc>
        <w:tc>
          <w:tcPr>
            <w:tcW w:w="1495" w:type="dxa"/>
          </w:tcPr>
          <w:p w14:paraId="6C2EDC84" w14:textId="3D0F04DD" w:rsidR="00327928" w:rsidRPr="00DC0B58" w:rsidRDefault="00327928" w:rsidP="00327928">
            <w:pPr>
              <w:jc w:val="right"/>
            </w:pPr>
            <w:r>
              <w:t>($26,570)*</w:t>
            </w:r>
          </w:p>
        </w:tc>
      </w:tr>
      <w:tr w:rsidR="00327928" w:rsidRPr="00DC0B58" w14:paraId="4C38CB9B" w14:textId="77777777" w:rsidTr="00251943">
        <w:trPr>
          <w:jc w:val="center"/>
        </w:trPr>
        <w:tc>
          <w:tcPr>
            <w:tcW w:w="666" w:type="dxa"/>
            <w:shd w:val="clear" w:color="auto" w:fill="auto"/>
          </w:tcPr>
          <w:p w14:paraId="7E6F9078" w14:textId="77777777" w:rsidR="00327928" w:rsidRPr="00DC0B58" w:rsidRDefault="00327928" w:rsidP="00327928">
            <w:r w:rsidRPr="00DC0B58">
              <w:t>13.</w:t>
            </w:r>
          </w:p>
        </w:tc>
        <w:tc>
          <w:tcPr>
            <w:tcW w:w="3313" w:type="dxa"/>
            <w:shd w:val="clear" w:color="auto" w:fill="auto"/>
          </w:tcPr>
          <w:p w14:paraId="19063BFD" w14:textId="77777777" w:rsidR="00327928" w:rsidRPr="00DC0B58" w:rsidRDefault="00327928" w:rsidP="00327928">
            <w:r w:rsidRPr="00DC0B58">
              <w:t>Lift Station #3 Refurbishment</w:t>
            </w:r>
          </w:p>
        </w:tc>
        <w:tc>
          <w:tcPr>
            <w:tcW w:w="1030" w:type="dxa"/>
            <w:shd w:val="clear" w:color="auto" w:fill="auto"/>
          </w:tcPr>
          <w:p w14:paraId="1F381E12" w14:textId="77777777" w:rsidR="00327928" w:rsidRPr="00DC0B58" w:rsidRDefault="00327928" w:rsidP="00327928">
            <w:pPr>
              <w:jc w:val="center"/>
            </w:pPr>
            <w:r w:rsidRPr="00DC0B58">
              <w:t>371</w:t>
            </w:r>
          </w:p>
        </w:tc>
        <w:tc>
          <w:tcPr>
            <w:tcW w:w="1416" w:type="dxa"/>
            <w:shd w:val="clear" w:color="auto" w:fill="auto"/>
          </w:tcPr>
          <w:p w14:paraId="46E6651E" w14:textId="77777777" w:rsidR="00327928" w:rsidRDefault="00327928" w:rsidP="00327928">
            <w:pPr>
              <w:jc w:val="right"/>
            </w:pPr>
            <w:r>
              <w:t>$170,545</w:t>
            </w:r>
          </w:p>
        </w:tc>
        <w:tc>
          <w:tcPr>
            <w:tcW w:w="1656" w:type="dxa"/>
            <w:shd w:val="clear" w:color="auto" w:fill="auto"/>
          </w:tcPr>
          <w:p w14:paraId="0FC1FBCE" w14:textId="77777777" w:rsidR="00327928" w:rsidRPr="00DC0B58" w:rsidRDefault="00327928" w:rsidP="00327928">
            <w:pPr>
              <w:jc w:val="right"/>
            </w:pPr>
            <w:r>
              <w:t>$166,992</w:t>
            </w:r>
          </w:p>
        </w:tc>
        <w:tc>
          <w:tcPr>
            <w:tcW w:w="1495" w:type="dxa"/>
          </w:tcPr>
          <w:p w14:paraId="1FE5C164" w14:textId="043A745F" w:rsidR="00327928" w:rsidRPr="00DC0B58" w:rsidRDefault="00327928" w:rsidP="00327928">
            <w:pPr>
              <w:jc w:val="right"/>
            </w:pPr>
            <w:r>
              <w:t>($22,754)*</w:t>
            </w:r>
          </w:p>
        </w:tc>
      </w:tr>
      <w:tr w:rsidR="00327928" w:rsidRPr="00DC0B58" w14:paraId="4418276D" w14:textId="77777777" w:rsidTr="00251943">
        <w:trPr>
          <w:jc w:val="center"/>
        </w:trPr>
        <w:tc>
          <w:tcPr>
            <w:tcW w:w="666" w:type="dxa"/>
            <w:shd w:val="clear" w:color="auto" w:fill="auto"/>
          </w:tcPr>
          <w:p w14:paraId="39E7CE94" w14:textId="77777777" w:rsidR="00327928" w:rsidRPr="00DC0B58" w:rsidRDefault="00327928" w:rsidP="00327928">
            <w:r w:rsidRPr="00DC0B58">
              <w:t>14</w:t>
            </w:r>
          </w:p>
        </w:tc>
        <w:tc>
          <w:tcPr>
            <w:tcW w:w="3313" w:type="dxa"/>
            <w:shd w:val="clear" w:color="auto" w:fill="auto"/>
          </w:tcPr>
          <w:p w14:paraId="0CECD25E" w14:textId="77777777" w:rsidR="00327928" w:rsidRPr="00DC0B58" w:rsidRDefault="00327928" w:rsidP="00327928">
            <w:r w:rsidRPr="00DC0B58">
              <w:t>Lift Station #4 Refurbishment</w:t>
            </w:r>
          </w:p>
        </w:tc>
        <w:tc>
          <w:tcPr>
            <w:tcW w:w="1030" w:type="dxa"/>
            <w:shd w:val="clear" w:color="auto" w:fill="auto"/>
          </w:tcPr>
          <w:p w14:paraId="744F2860" w14:textId="77777777" w:rsidR="00327928" w:rsidRPr="00DC0B58" w:rsidRDefault="00327928" w:rsidP="00327928">
            <w:pPr>
              <w:jc w:val="center"/>
            </w:pPr>
            <w:r w:rsidRPr="00DC0B58">
              <w:t>371</w:t>
            </w:r>
          </w:p>
        </w:tc>
        <w:tc>
          <w:tcPr>
            <w:tcW w:w="1416" w:type="dxa"/>
            <w:shd w:val="clear" w:color="auto" w:fill="auto"/>
          </w:tcPr>
          <w:p w14:paraId="1BCCEEFA" w14:textId="77777777" w:rsidR="00327928" w:rsidRPr="00DC0B58" w:rsidRDefault="00327928" w:rsidP="00327928">
            <w:pPr>
              <w:jc w:val="right"/>
            </w:pPr>
            <w:r>
              <w:t>$188,500</w:t>
            </w:r>
          </w:p>
        </w:tc>
        <w:tc>
          <w:tcPr>
            <w:tcW w:w="1656" w:type="dxa"/>
            <w:shd w:val="clear" w:color="auto" w:fill="auto"/>
          </w:tcPr>
          <w:p w14:paraId="1FF8A94A" w14:textId="77777777" w:rsidR="00327928" w:rsidRPr="00DC0B58" w:rsidRDefault="00327928" w:rsidP="00327928">
            <w:pPr>
              <w:jc w:val="right"/>
            </w:pPr>
            <w:r w:rsidRPr="00DC0B58">
              <w:t>$188,500</w:t>
            </w:r>
          </w:p>
        </w:tc>
        <w:tc>
          <w:tcPr>
            <w:tcW w:w="1495" w:type="dxa"/>
          </w:tcPr>
          <w:p w14:paraId="218345C4" w14:textId="518F0B12" w:rsidR="00327928" w:rsidRPr="00DC0B58" w:rsidRDefault="00327928" w:rsidP="00327928">
            <w:pPr>
              <w:jc w:val="right"/>
            </w:pPr>
            <w:r>
              <w:t>($25,684)*</w:t>
            </w:r>
          </w:p>
        </w:tc>
      </w:tr>
      <w:tr w:rsidR="00327928" w:rsidRPr="00DC0B58" w14:paraId="479E6A34" w14:textId="77777777" w:rsidTr="00251943">
        <w:trPr>
          <w:jc w:val="center"/>
        </w:trPr>
        <w:tc>
          <w:tcPr>
            <w:tcW w:w="666" w:type="dxa"/>
            <w:shd w:val="clear" w:color="auto" w:fill="auto"/>
          </w:tcPr>
          <w:p w14:paraId="6DAD556A" w14:textId="77777777" w:rsidR="00327928" w:rsidRPr="00DC0B58" w:rsidRDefault="00327928" w:rsidP="00327928">
            <w:r w:rsidRPr="00DC0B58">
              <w:t>15.</w:t>
            </w:r>
          </w:p>
        </w:tc>
        <w:tc>
          <w:tcPr>
            <w:tcW w:w="3313" w:type="dxa"/>
            <w:shd w:val="clear" w:color="auto" w:fill="auto"/>
          </w:tcPr>
          <w:p w14:paraId="2DB2B507" w14:textId="77777777" w:rsidR="00327928" w:rsidRPr="00DC0B58" w:rsidRDefault="00327928" w:rsidP="00327928">
            <w:r w:rsidRPr="00DC0B58">
              <w:t>Lift Station #5 Refurbishment</w:t>
            </w:r>
          </w:p>
        </w:tc>
        <w:tc>
          <w:tcPr>
            <w:tcW w:w="1030" w:type="dxa"/>
            <w:shd w:val="clear" w:color="auto" w:fill="auto"/>
          </w:tcPr>
          <w:p w14:paraId="3BD78836" w14:textId="77777777" w:rsidR="00327928" w:rsidRPr="00DC0B58" w:rsidRDefault="00327928" w:rsidP="00327928">
            <w:pPr>
              <w:jc w:val="center"/>
            </w:pPr>
            <w:r w:rsidRPr="00DC0B58">
              <w:t>371</w:t>
            </w:r>
          </w:p>
        </w:tc>
        <w:tc>
          <w:tcPr>
            <w:tcW w:w="1416" w:type="dxa"/>
            <w:shd w:val="clear" w:color="auto" w:fill="auto"/>
          </w:tcPr>
          <w:p w14:paraId="56916212" w14:textId="77777777" w:rsidR="00327928" w:rsidRDefault="00327928" w:rsidP="00327928">
            <w:pPr>
              <w:jc w:val="right"/>
            </w:pPr>
            <w:r>
              <w:t>$175,500</w:t>
            </w:r>
          </w:p>
        </w:tc>
        <w:tc>
          <w:tcPr>
            <w:tcW w:w="1656" w:type="dxa"/>
            <w:shd w:val="clear" w:color="auto" w:fill="auto"/>
          </w:tcPr>
          <w:p w14:paraId="226C404E" w14:textId="77777777" w:rsidR="00327928" w:rsidRPr="00DC0B58" w:rsidRDefault="00327928" w:rsidP="00327928">
            <w:pPr>
              <w:jc w:val="right"/>
            </w:pPr>
            <w:r>
              <w:t>$171,525</w:t>
            </w:r>
          </w:p>
        </w:tc>
        <w:tc>
          <w:tcPr>
            <w:tcW w:w="1495" w:type="dxa"/>
          </w:tcPr>
          <w:p w14:paraId="2DEBBC2A" w14:textId="77A891F8" w:rsidR="00327928" w:rsidRPr="00DC0B58" w:rsidRDefault="00327928" w:rsidP="00327928">
            <w:pPr>
              <w:jc w:val="right"/>
            </w:pPr>
            <w:r>
              <w:t>($23,371)*</w:t>
            </w:r>
          </w:p>
        </w:tc>
      </w:tr>
      <w:tr w:rsidR="0040243D" w:rsidRPr="00DC0B58" w14:paraId="4813C090" w14:textId="77777777" w:rsidTr="00251943">
        <w:trPr>
          <w:jc w:val="center"/>
        </w:trPr>
        <w:tc>
          <w:tcPr>
            <w:tcW w:w="9576" w:type="dxa"/>
            <w:gridSpan w:val="6"/>
          </w:tcPr>
          <w:p w14:paraId="235D29A7" w14:textId="77777777" w:rsidR="0040243D" w:rsidRPr="00DC0B58" w:rsidRDefault="0040243D" w:rsidP="00251943">
            <w:pPr>
              <w:jc w:val="center"/>
            </w:pPr>
            <w:r>
              <w:t>Water/Wastewater</w:t>
            </w:r>
          </w:p>
        </w:tc>
      </w:tr>
      <w:tr w:rsidR="00327928" w:rsidRPr="00DC0B58" w14:paraId="1D108A8E" w14:textId="77777777" w:rsidTr="00251943">
        <w:trPr>
          <w:jc w:val="center"/>
        </w:trPr>
        <w:tc>
          <w:tcPr>
            <w:tcW w:w="666" w:type="dxa"/>
          </w:tcPr>
          <w:p w14:paraId="38CF266F" w14:textId="77777777" w:rsidR="00327928" w:rsidRPr="00DC0B58" w:rsidRDefault="00327928" w:rsidP="00327928">
            <w:r w:rsidRPr="00DC0B58">
              <w:t>16.</w:t>
            </w:r>
          </w:p>
        </w:tc>
        <w:tc>
          <w:tcPr>
            <w:tcW w:w="3313" w:type="dxa"/>
          </w:tcPr>
          <w:p w14:paraId="7E024D28" w14:textId="77777777" w:rsidR="00327928" w:rsidRPr="00DC0B58" w:rsidRDefault="00327928" w:rsidP="00327928">
            <w:r w:rsidRPr="00DC0B58">
              <w:t>Utility Truck – F-250</w:t>
            </w:r>
          </w:p>
        </w:tc>
        <w:tc>
          <w:tcPr>
            <w:tcW w:w="1030" w:type="dxa"/>
          </w:tcPr>
          <w:p w14:paraId="3956F9C2" w14:textId="77777777" w:rsidR="00327928" w:rsidRPr="00DC0B58" w:rsidRDefault="00327928" w:rsidP="00327928">
            <w:pPr>
              <w:jc w:val="center"/>
            </w:pPr>
            <w:r w:rsidRPr="00DC0B58">
              <w:t>341/391</w:t>
            </w:r>
          </w:p>
        </w:tc>
        <w:tc>
          <w:tcPr>
            <w:tcW w:w="1416" w:type="dxa"/>
          </w:tcPr>
          <w:p w14:paraId="58B855A0" w14:textId="77777777" w:rsidR="00327928" w:rsidRPr="00DC0B58" w:rsidRDefault="00327928" w:rsidP="00327928">
            <w:pPr>
              <w:jc w:val="right"/>
            </w:pPr>
            <w:r>
              <w:t>$52,239</w:t>
            </w:r>
          </w:p>
        </w:tc>
        <w:tc>
          <w:tcPr>
            <w:tcW w:w="1656" w:type="dxa"/>
          </w:tcPr>
          <w:p w14:paraId="32B9C646" w14:textId="77777777" w:rsidR="00327928" w:rsidRPr="00DC0B58" w:rsidRDefault="00327928" w:rsidP="00327928">
            <w:pPr>
              <w:jc w:val="right"/>
            </w:pPr>
            <w:r w:rsidRPr="00DC0B58">
              <w:t>$52,239</w:t>
            </w:r>
          </w:p>
        </w:tc>
        <w:tc>
          <w:tcPr>
            <w:tcW w:w="1495" w:type="dxa"/>
          </w:tcPr>
          <w:p w14:paraId="1BF83B88" w14:textId="5A7C4C70" w:rsidR="00327928" w:rsidRPr="00DC0B58" w:rsidRDefault="00327928" w:rsidP="00327928">
            <w:pPr>
              <w:jc w:val="right"/>
            </w:pPr>
            <w:r>
              <w:t>($9,874)*</w:t>
            </w:r>
          </w:p>
        </w:tc>
      </w:tr>
      <w:tr w:rsidR="00327928" w:rsidRPr="00DC0B58" w14:paraId="13BD2B4F" w14:textId="77777777" w:rsidTr="00251943">
        <w:trPr>
          <w:jc w:val="center"/>
        </w:trPr>
        <w:tc>
          <w:tcPr>
            <w:tcW w:w="666" w:type="dxa"/>
          </w:tcPr>
          <w:p w14:paraId="1EA01B44" w14:textId="77777777" w:rsidR="00327928" w:rsidRPr="00DC0B58" w:rsidRDefault="00327928" w:rsidP="00327928">
            <w:r>
              <w:t>17.</w:t>
            </w:r>
          </w:p>
        </w:tc>
        <w:tc>
          <w:tcPr>
            <w:tcW w:w="3313" w:type="dxa"/>
          </w:tcPr>
          <w:p w14:paraId="7F42C396" w14:textId="77777777" w:rsidR="00327928" w:rsidRPr="00DC0B58" w:rsidRDefault="00327928" w:rsidP="00327928">
            <w:r>
              <w:t>Utility Truck – F-150</w:t>
            </w:r>
          </w:p>
        </w:tc>
        <w:tc>
          <w:tcPr>
            <w:tcW w:w="1030" w:type="dxa"/>
          </w:tcPr>
          <w:p w14:paraId="3F564110" w14:textId="77777777" w:rsidR="00327928" w:rsidRPr="00DC0B58" w:rsidRDefault="00327928" w:rsidP="00327928">
            <w:pPr>
              <w:jc w:val="center"/>
            </w:pPr>
            <w:r>
              <w:t>-</w:t>
            </w:r>
          </w:p>
        </w:tc>
        <w:tc>
          <w:tcPr>
            <w:tcW w:w="1416" w:type="dxa"/>
          </w:tcPr>
          <w:p w14:paraId="6B0AC81E" w14:textId="77777777" w:rsidR="00327928" w:rsidRDefault="00327928" w:rsidP="00327928">
            <w:pPr>
              <w:jc w:val="right"/>
            </w:pPr>
            <w:r>
              <w:t>$43,168</w:t>
            </w:r>
          </w:p>
        </w:tc>
        <w:tc>
          <w:tcPr>
            <w:tcW w:w="1656" w:type="dxa"/>
          </w:tcPr>
          <w:p w14:paraId="17AC27C7" w14:textId="77777777" w:rsidR="00327928" w:rsidRPr="00DC0B58" w:rsidRDefault="00327928" w:rsidP="00327928">
            <w:pPr>
              <w:jc w:val="right"/>
            </w:pPr>
            <w:r>
              <w:t>$0</w:t>
            </w:r>
          </w:p>
        </w:tc>
        <w:tc>
          <w:tcPr>
            <w:tcW w:w="1495" w:type="dxa"/>
          </w:tcPr>
          <w:p w14:paraId="427EC0F4" w14:textId="5EF7EEF6" w:rsidR="00327928" w:rsidRPr="00DC0B58" w:rsidRDefault="00327928" w:rsidP="00327928">
            <w:pPr>
              <w:jc w:val="center"/>
            </w:pPr>
            <w:r>
              <w:t>-</w:t>
            </w:r>
          </w:p>
        </w:tc>
      </w:tr>
      <w:tr w:rsidR="00327928" w:rsidRPr="00DC0B58" w14:paraId="5F49E06E" w14:textId="77777777" w:rsidTr="00251943">
        <w:trPr>
          <w:jc w:val="center"/>
        </w:trPr>
        <w:tc>
          <w:tcPr>
            <w:tcW w:w="666" w:type="dxa"/>
          </w:tcPr>
          <w:p w14:paraId="5B3320EE" w14:textId="77777777" w:rsidR="00327928" w:rsidRPr="00DC0B58" w:rsidRDefault="00327928" w:rsidP="00327928">
            <w:r w:rsidRPr="00DC0B58">
              <w:t>18.</w:t>
            </w:r>
          </w:p>
        </w:tc>
        <w:tc>
          <w:tcPr>
            <w:tcW w:w="3313" w:type="dxa"/>
          </w:tcPr>
          <w:p w14:paraId="5383433F" w14:textId="77777777" w:rsidR="00327928" w:rsidRPr="00DC0B58" w:rsidRDefault="00327928" w:rsidP="00327928">
            <w:r>
              <w:t>Utility Golf Cart</w:t>
            </w:r>
          </w:p>
        </w:tc>
        <w:tc>
          <w:tcPr>
            <w:tcW w:w="1030" w:type="dxa"/>
          </w:tcPr>
          <w:p w14:paraId="6DB79A3B" w14:textId="77777777" w:rsidR="00327928" w:rsidRPr="00DC0B58" w:rsidRDefault="00327928" w:rsidP="00327928">
            <w:pPr>
              <w:jc w:val="center"/>
            </w:pPr>
            <w:r w:rsidRPr="00DC0B58">
              <w:t>341/391</w:t>
            </w:r>
          </w:p>
        </w:tc>
        <w:tc>
          <w:tcPr>
            <w:tcW w:w="1416" w:type="dxa"/>
          </w:tcPr>
          <w:p w14:paraId="37A4BB2D" w14:textId="77777777" w:rsidR="00327928" w:rsidRDefault="00327928" w:rsidP="00327928">
            <w:pPr>
              <w:jc w:val="right"/>
            </w:pPr>
            <w:r>
              <w:t>$51,870</w:t>
            </w:r>
          </w:p>
        </w:tc>
        <w:tc>
          <w:tcPr>
            <w:tcW w:w="1656" w:type="dxa"/>
          </w:tcPr>
          <w:p w14:paraId="45AD7CFF" w14:textId="77777777" w:rsidR="00327928" w:rsidRPr="00DC0B58" w:rsidRDefault="00327928" w:rsidP="00327928">
            <w:pPr>
              <w:jc w:val="right"/>
            </w:pPr>
            <w:r>
              <w:t>$8,549</w:t>
            </w:r>
          </w:p>
        </w:tc>
        <w:tc>
          <w:tcPr>
            <w:tcW w:w="1495" w:type="dxa"/>
          </w:tcPr>
          <w:p w14:paraId="2BA11FB3" w14:textId="68974EC6" w:rsidR="00327928" w:rsidRPr="00DC0B58" w:rsidRDefault="00327928" w:rsidP="00327928">
            <w:pPr>
              <w:jc w:val="right"/>
            </w:pPr>
            <w:r>
              <w:t>($3,268)*</w:t>
            </w:r>
          </w:p>
        </w:tc>
      </w:tr>
      <w:tr w:rsidR="00327928" w:rsidRPr="00DC0B58" w14:paraId="12693676" w14:textId="77777777" w:rsidTr="00251943">
        <w:trPr>
          <w:jc w:val="center"/>
        </w:trPr>
        <w:tc>
          <w:tcPr>
            <w:tcW w:w="666" w:type="dxa"/>
          </w:tcPr>
          <w:p w14:paraId="3033C3F6" w14:textId="77777777" w:rsidR="00327928" w:rsidRPr="00DC0B58" w:rsidRDefault="00327928" w:rsidP="00327928">
            <w:pPr>
              <w:jc w:val="center"/>
            </w:pPr>
            <w:r w:rsidRPr="00DC0B58">
              <w:t>-</w:t>
            </w:r>
          </w:p>
        </w:tc>
        <w:tc>
          <w:tcPr>
            <w:tcW w:w="3313" w:type="dxa"/>
            <w:vAlign w:val="center"/>
          </w:tcPr>
          <w:p w14:paraId="4CF192B4" w14:textId="77777777" w:rsidR="00327928" w:rsidRPr="00DC0B58" w:rsidRDefault="00327928" w:rsidP="00327928">
            <w:r w:rsidRPr="00DC0B58">
              <w:t>Total</w:t>
            </w:r>
          </w:p>
        </w:tc>
        <w:tc>
          <w:tcPr>
            <w:tcW w:w="1030" w:type="dxa"/>
            <w:vAlign w:val="center"/>
          </w:tcPr>
          <w:p w14:paraId="6A95D12A" w14:textId="77777777" w:rsidR="00327928" w:rsidRPr="00DC0B58" w:rsidRDefault="00327928" w:rsidP="00327928">
            <w:pPr>
              <w:jc w:val="center"/>
            </w:pPr>
            <w:r w:rsidRPr="00DC0B58">
              <w:t>-</w:t>
            </w:r>
          </w:p>
        </w:tc>
        <w:tc>
          <w:tcPr>
            <w:tcW w:w="1416" w:type="dxa"/>
          </w:tcPr>
          <w:p w14:paraId="108626EE" w14:textId="77777777" w:rsidR="00327928" w:rsidRPr="00DC0B58" w:rsidRDefault="00327928" w:rsidP="00327928">
            <w:pPr>
              <w:jc w:val="right"/>
            </w:pPr>
            <w:r>
              <w:t>$22,163,899</w:t>
            </w:r>
          </w:p>
        </w:tc>
        <w:tc>
          <w:tcPr>
            <w:tcW w:w="1656" w:type="dxa"/>
            <w:vAlign w:val="center"/>
          </w:tcPr>
          <w:p w14:paraId="059036CE" w14:textId="77777777" w:rsidR="00327928" w:rsidRPr="00DC0B58" w:rsidRDefault="00327928" w:rsidP="00327928">
            <w:pPr>
              <w:jc w:val="right"/>
            </w:pPr>
            <w:r w:rsidRPr="00DC0B58">
              <w:t>$</w:t>
            </w:r>
            <w:r>
              <w:t>2,708,233</w:t>
            </w:r>
          </w:p>
        </w:tc>
        <w:tc>
          <w:tcPr>
            <w:tcW w:w="1495" w:type="dxa"/>
            <w:vAlign w:val="center"/>
          </w:tcPr>
          <w:p w14:paraId="0893351C" w14:textId="0FB5E1FE" w:rsidR="00327928" w:rsidRPr="00DC0B58" w:rsidRDefault="00327928" w:rsidP="00327928">
            <w:pPr>
              <w:jc w:val="right"/>
            </w:pPr>
            <w:r>
              <w:t>($675,713)</w:t>
            </w:r>
          </w:p>
        </w:tc>
      </w:tr>
    </w:tbl>
    <w:p w14:paraId="695B04B0" w14:textId="77777777" w:rsidR="0040243D" w:rsidRDefault="0040243D" w:rsidP="004F75CD">
      <w:pPr>
        <w:pStyle w:val="BodyText"/>
        <w:spacing w:after="0"/>
      </w:pPr>
      <w:r w:rsidRPr="00DC0B58">
        <w:t>Source: Responses to staff data requests and staff calculations.</w:t>
      </w:r>
    </w:p>
    <w:p w14:paraId="63CFBA23" w14:textId="77777777" w:rsidR="0040243D" w:rsidRDefault="0040243D" w:rsidP="0040243D">
      <w:pPr>
        <w:pStyle w:val="BodyText"/>
      </w:pPr>
      <w:r>
        <w:t>*Denotes capped retirement</w:t>
      </w:r>
    </w:p>
    <w:p w14:paraId="3324C7A1" w14:textId="77777777" w:rsidR="0040243D" w:rsidRDefault="0040243D" w:rsidP="0040243D">
      <w:pPr>
        <w:pStyle w:val="Second-LevelSubheading"/>
      </w:pPr>
      <w:r>
        <w:t>Project Nos. 1 &amp; 2 – Meter Replacements</w:t>
      </w:r>
    </w:p>
    <w:p w14:paraId="250B2915" w14:textId="77777777" w:rsidR="0040243D" w:rsidRDefault="0040243D" w:rsidP="0040243D">
      <w:pPr>
        <w:pStyle w:val="BodyText"/>
      </w:pPr>
      <w:r>
        <w:t>Project Nos. 1 and 2 are for replacement meters and the associated installation costs. The Utility is proposing to install radio read meters as a replacement for its existing manual read meters. Radio read meters are digital read water meters that record water usage and send data to the master database center monthly. According to Grenelefe, its existing manual read meters are: 1) obsolete, and replacements and parts are hard to obtain; 2) close to or past their expected useful service life; and, 3) not functioning properly or are otherwise inaccessible.</w:t>
      </w:r>
    </w:p>
    <w:p w14:paraId="3833C9F2" w14:textId="385B617B" w:rsidR="0040243D" w:rsidRDefault="0040243D" w:rsidP="0040243D">
      <w:pPr>
        <w:pStyle w:val="BodyText"/>
      </w:pPr>
      <w:r>
        <w:t>The Utility considered the alternative of replacing the existing meters with other manual meters</w:t>
      </w:r>
      <w:r w:rsidR="00303742">
        <w:t>,</w:t>
      </w:r>
      <w:r>
        <w:t xml:space="preserve"> but decided not to since those meters would not diminish human error or the quantity of meter readings. In staff’s fourth data request</w:t>
      </w:r>
      <w:r w:rsidR="00303742">
        <w:t>,</w:t>
      </w:r>
      <w:r>
        <w:t xml:space="preserve"> staff asked the Utility if it considered Advanced Metering Infrastructure (AMI) meters or Automated Meter Reading (AMR) as alternatives</w:t>
      </w:r>
      <w:r w:rsidR="004954E8">
        <w:t>.</w:t>
      </w:r>
      <w:r>
        <w:t xml:space="preserve"> Grenelefe’s response stated that the Neptune Digital Meter system is the industry standard meter used by Utility companies. </w:t>
      </w:r>
    </w:p>
    <w:p w14:paraId="35D70F0C" w14:textId="77777777" w:rsidR="0040243D" w:rsidRPr="00EF766F" w:rsidRDefault="0040243D" w:rsidP="0040243D">
      <w:pPr>
        <w:pStyle w:val="BodyText"/>
      </w:pPr>
      <w:r w:rsidRPr="00EF766F">
        <w:t>The Utility provided three bids for the installation cost and only one bid for the material cost. The Utility explained that only one bid was solicited for the meters because the bidder was able to provide the Utility with a price no one would match and others would not waste time providing a proposal.</w:t>
      </w:r>
      <w:r w:rsidRPr="00EF766F">
        <w:rPr>
          <w:rStyle w:val="FootnoteReference"/>
        </w:rPr>
        <w:footnoteReference w:id="24"/>
      </w:r>
      <w:r w:rsidRPr="00EF766F">
        <w:t xml:space="preserve"> The provided bid was for 1,350 5/8 inch meters. However, this number was updated to 1,377 meters in a data request response, and also included meters of other sizes. </w:t>
      </w:r>
    </w:p>
    <w:p w14:paraId="166919CD" w14:textId="77777777" w:rsidR="0040243D" w:rsidRPr="00F958DC" w:rsidRDefault="0040243D" w:rsidP="0040243D">
      <w:pPr>
        <w:pStyle w:val="BodyText"/>
      </w:pPr>
      <w:r w:rsidRPr="00EF766F">
        <w:t>Staff is recommending approval of th</w:t>
      </w:r>
      <w:r>
        <w:t xml:space="preserve">e replacement meters due to the </w:t>
      </w:r>
      <w:r w:rsidRPr="00EF766F">
        <w:t xml:space="preserve">number of improper billing complaints from customers, the high EUW discussed in Issue 3, and the fact that the existing meters are past their useful lives. Also in response to staff’s fourth data request, the Utility stated that there should be $32,472 in annual </w:t>
      </w:r>
      <w:r w:rsidR="00521974">
        <w:t>Operations &amp; Maintenance (</w:t>
      </w:r>
      <w:r w:rsidRPr="00EF766F">
        <w:t>O&amp;M</w:t>
      </w:r>
      <w:r w:rsidR="00521974">
        <w:t>)</w:t>
      </w:r>
      <w:r w:rsidRPr="00EF766F">
        <w:t xml:space="preserve"> savings related to the installation of the radio read meters since no staff will be required to manually read each meter every month.</w:t>
      </w:r>
      <w:r>
        <w:t xml:space="preserve"> </w:t>
      </w:r>
      <w:r w:rsidRPr="00EF766F">
        <w:t>Specifically, staff recommends total project costs of $1,001,223. This includes s</w:t>
      </w:r>
      <w:r w:rsidRPr="00BC3A83">
        <w:t>electing the lowest bid for the installation costs ($242,385) and cost recovery for 1,243 5/8 inch meters ($757,838), based upon the updated meter count provided in response to staff’s fourth data request</w:t>
      </w:r>
      <w:r w:rsidR="00303742">
        <w:t>,</w:t>
      </w:r>
      <w:r w:rsidRPr="00BC3A83">
        <w:t xml:space="preserve"> minus the additional meter sizes.</w:t>
      </w:r>
      <w:r w:rsidRPr="00EF766F">
        <w:t xml:space="preserve"> Grenelefe stated that it expects the replacements</w:t>
      </w:r>
      <w:r>
        <w:t xml:space="preserve"> to take six to eight week</w:t>
      </w:r>
      <w:r w:rsidR="00303742">
        <w:t>s</w:t>
      </w:r>
      <w:r>
        <w:t xml:space="preserve"> and will begin replacing meters as soon as cost recovery for this project is approved. As such, the anticipated completion date for this project is June 30, 2026. </w:t>
      </w:r>
    </w:p>
    <w:p w14:paraId="590F8A2A" w14:textId="77777777" w:rsidR="0040243D" w:rsidRPr="00584579" w:rsidRDefault="0040243D" w:rsidP="0040243D">
      <w:pPr>
        <w:pStyle w:val="Second-LevelSubheading"/>
      </w:pPr>
      <w:r w:rsidRPr="001161A9">
        <w:t xml:space="preserve">No. 3 </w:t>
      </w:r>
      <w:r w:rsidRPr="001161A9">
        <w:softHyphen/>
        <w:t>– Fire Hydrants</w:t>
      </w:r>
    </w:p>
    <w:p w14:paraId="44344C0B" w14:textId="30FCAE44" w:rsidR="0040243D" w:rsidRDefault="0040243D" w:rsidP="0040243D">
      <w:pPr>
        <w:pStyle w:val="BodyText"/>
      </w:pPr>
      <w:r w:rsidRPr="00584579">
        <w:t>Project No. 3 is the r</w:t>
      </w:r>
      <w:r>
        <w:t>eplacement of 15 fire hydrants at a cost of approximately $234,000.</w:t>
      </w:r>
      <w:r w:rsidR="00696FAC">
        <w:rPr>
          <w:rStyle w:val="FootnoteReference"/>
        </w:rPr>
        <w:footnoteReference w:id="25"/>
      </w:r>
      <w:r w:rsidRPr="006052A6">
        <w:t xml:space="preserve"> </w:t>
      </w:r>
      <w:r w:rsidRPr="00584579">
        <w:t>The Utility has 75 fire hydrants in its service territory and stated that every year the fire hydrants need to be flow tested as ordered by the Polk</w:t>
      </w:r>
      <w:r>
        <w:t xml:space="preserve"> County Fire Marshall’s Office.</w:t>
      </w:r>
      <w:r w:rsidRPr="00F16575">
        <w:t xml:space="preserve"> </w:t>
      </w:r>
      <w:r>
        <w:t>S</w:t>
      </w:r>
      <w:r w:rsidRPr="00584579">
        <w:t>taff requested the flow testing documents</w:t>
      </w:r>
      <w:r>
        <w:t xml:space="preserve"> numerous times as noted below:</w:t>
      </w:r>
      <w:r w:rsidRPr="00584579">
        <w:t xml:space="preserve"> </w:t>
      </w:r>
    </w:p>
    <w:p w14:paraId="4107552F" w14:textId="4AEF9397" w:rsidR="004954E8" w:rsidRDefault="006039EF" w:rsidP="004954E8">
      <w:pPr>
        <w:pStyle w:val="BodyText"/>
        <w:numPr>
          <w:ilvl w:val="0"/>
          <w:numId w:val="12"/>
        </w:numPr>
      </w:pPr>
      <w:r>
        <w:t>S</w:t>
      </w:r>
      <w:r w:rsidR="00560921" w:rsidRPr="00584579">
        <w:t>t</w:t>
      </w:r>
      <w:r w:rsidR="00560921">
        <w:t>aff’s second data request, No. 5a (dated June 6, 2025):</w:t>
      </w:r>
      <w:r w:rsidR="00560921">
        <w:rPr>
          <w:rStyle w:val="FootnoteReference"/>
        </w:rPr>
        <w:footnoteReference w:id="26"/>
      </w:r>
      <w:r w:rsidR="00560921">
        <w:t xml:space="preserve"> “On page three of this document, the Utility provided a list of its requested pro forma projects. (a) Column 8 is labeled ‘Regulatory Mandate (M) or Enhancement (E).’ For each of the following projects labeled as ‘Regulatory Mandate,’ please provide the government agency that required the project, a brief explanation as to why it was required, and all documentation that supports this designation. (ii) Hydrants.</w:t>
      </w:r>
      <w:r w:rsidR="004954E8">
        <w:t>”</w:t>
      </w:r>
    </w:p>
    <w:p w14:paraId="722C2149" w14:textId="7A21953D" w:rsidR="0040243D" w:rsidRDefault="0040243D" w:rsidP="0040243D">
      <w:pPr>
        <w:pStyle w:val="BodyText"/>
        <w:ind w:left="720"/>
      </w:pPr>
      <w:r>
        <w:t xml:space="preserve">Utility’s response to </w:t>
      </w:r>
      <w:r w:rsidR="00A743D5">
        <w:t>staff’s s</w:t>
      </w:r>
      <w:r>
        <w:t xml:space="preserve">econd </w:t>
      </w:r>
      <w:r w:rsidR="00A743D5">
        <w:t>d</w:t>
      </w:r>
      <w:r>
        <w:t xml:space="preserve">ata </w:t>
      </w:r>
      <w:r w:rsidR="00A743D5">
        <w:t>r</w:t>
      </w:r>
      <w:r>
        <w:t>equest: Response to 5a. ii.) “The Polk County Fire Marshall's office requires fire hydrants to be flow tested annually to ensure residents have adequate fire protection. When flow tests on hydrants fail the Fire Marshall wants a timeline as to when the hydrant can be replaced. These outdated hydrants, well past their useful lives, frequently fail these tests by the Fire Marshall.”</w:t>
      </w:r>
      <w:r w:rsidR="00696FAC">
        <w:t xml:space="preserve"> Also as part of its response, the Utility provided a single bid to replace 15 fire hydrants for $266,000.</w:t>
      </w:r>
      <w:r w:rsidR="00696FAC">
        <w:rPr>
          <w:rStyle w:val="FootnoteReference"/>
        </w:rPr>
        <w:footnoteReference w:id="27"/>
      </w:r>
    </w:p>
    <w:p w14:paraId="2205D479" w14:textId="3EACFCCA" w:rsidR="0040243D" w:rsidRDefault="0040243D" w:rsidP="0040243D">
      <w:pPr>
        <w:pStyle w:val="BodyText"/>
        <w:numPr>
          <w:ilvl w:val="0"/>
          <w:numId w:val="12"/>
        </w:numPr>
      </w:pPr>
      <w:r>
        <w:t xml:space="preserve">Staff’s </w:t>
      </w:r>
      <w:r w:rsidR="00A743D5">
        <w:t>f</w:t>
      </w:r>
      <w:r>
        <w:t xml:space="preserve">ourth </w:t>
      </w:r>
      <w:r w:rsidR="00A743D5">
        <w:t>d</w:t>
      </w:r>
      <w:r>
        <w:t xml:space="preserve">ata </w:t>
      </w:r>
      <w:r w:rsidR="00A743D5">
        <w:t>r</w:t>
      </w:r>
      <w:r>
        <w:t>equest, No. 25 (</w:t>
      </w:r>
      <w:r w:rsidR="00A743D5">
        <w:t>dated July 23, 2025</w:t>
      </w:r>
      <w:r>
        <w:t>):</w:t>
      </w:r>
      <w:r>
        <w:rPr>
          <w:rStyle w:val="FootnoteReference"/>
        </w:rPr>
        <w:footnoteReference w:id="28"/>
      </w:r>
      <w:r>
        <w:t xml:space="preserve"> “Grenelefe is requesting to replace 15 of its fire hydrants, as these hydrants have failed inspections and are past their useful service lives. Provide copies of the inspection failure reports and any other pertinent documentation to justify the need for this request.”</w:t>
      </w:r>
    </w:p>
    <w:p w14:paraId="54B4EF9C" w14:textId="63F75EA4" w:rsidR="0040243D" w:rsidRDefault="0040243D" w:rsidP="0040243D">
      <w:pPr>
        <w:pStyle w:val="BodyText"/>
        <w:ind w:left="720"/>
      </w:pPr>
      <w:r>
        <w:t xml:space="preserve">Utility’s response to </w:t>
      </w:r>
      <w:r w:rsidR="00A743D5">
        <w:t>staff’s f</w:t>
      </w:r>
      <w:r>
        <w:t xml:space="preserve">ourth </w:t>
      </w:r>
      <w:r w:rsidR="00A743D5">
        <w:t>d</w:t>
      </w:r>
      <w:r>
        <w:t xml:space="preserve">ata </w:t>
      </w:r>
      <w:r w:rsidR="00A743D5">
        <w:t>r</w:t>
      </w:r>
      <w:r>
        <w:t>equest: “Replace 15 fire hydrants -The Flow tests performed on the aged fire hydrants reveal that a large number of them failed the flow tests and due to their age and functionality being diminished they require replacement due to failing the flow tests. The replacement plan was made due to the Ben Tech LLC Flow tests done on all the Fire Hydrants and reported to Polk County Fire Inspector. This report showed 15 failed the flow test and require replacement. The Utility is attempting to replace 3 per quarter, it could be faster if funds become available.”</w:t>
      </w:r>
    </w:p>
    <w:p w14:paraId="23F6B5A9" w14:textId="3135E3D9" w:rsidR="00696FAC" w:rsidRDefault="00696FAC" w:rsidP="00696FAC">
      <w:pPr>
        <w:pStyle w:val="BodyText"/>
        <w:numPr>
          <w:ilvl w:val="0"/>
          <w:numId w:val="12"/>
        </w:numPr>
      </w:pPr>
      <w:r w:rsidRPr="00696FAC">
        <w:t>Staff’s fifth data request did not contain any questions regarding fire hydrants. However, as part of its response to staff’s fifth data request, the Utility included a bid to replace 20 fire hydrants and a quarterly inspection program for $298,000.</w:t>
      </w:r>
      <w:r>
        <w:rPr>
          <w:rStyle w:val="FootnoteReference"/>
        </w:rPr>
        <w:footnoteReference w:id="29"/>
      </w:r>
    </w:p>
    <w:p w14:paraId="3C5922B7" w14:textId="5ECB1E61" w:rsidR="0040243D" w:rsidRDefault="006039EF" w:rsidP="00696FAC">
      <w:pPr>
        <w:pStyle w:val="BodyText"/>
        <w:numPr>
          <w:ilvl w:val="0"/>
          <w:numId w:val="12"/>
        </w:numPr>
      </w:pPr>
      <w:r w:rsidRPr="0078657F">
        <w:t>Staff emailed the Utility on October 10, 2025</w:t>
      </w:r>
      <w:r w:rsidRPr="00F06898">
        <w:t>,</w:t>
      </w:r>
      <w:r w:rsidRPr="0024518B">
        <w:t xml:space="preserve"> and again on December 17, 2025</w:t>
      </w:r>
      <w:r w:rsidRPr="002D34CF">
        <w:t xml:space="preserve">, (as well as a follow-up phone call on December 17, 2025), requesting copies of the inspection failure reports. </w:t>
      </w:r>
      <w:r w:rsidR="00696FAC" w:rsidRPr="00696FAC">
        <w:t xml:space="preserve">On December 17, 2025, the Utility responded via email that 15 fire hydrants needed to be replaced. More specifically, 13 fire hydrants are inoperable and have failed inspection and that 2 additional fire hydrants have caps that could not be removed during inspection and need to be addressed. </w:t>
      </w:r>
      <w:r w:rsidR="00696FAC">
        <w:t>The Utility did provide inspection report</w:t>
      </w:r>
      <w:r w:rsidRPr="002D34CF">
        <w:t xml:space="preserve"> copies on December 29, 2025; however, the </w:t>
      </w:r>
      <w:r w:rsidR="00696FAC">
        <w:t xml:space="preserve">partial </w:t>
      </w:r>
      <w:r w:rsidRPr="002D34CF">
        <w:t xml:space="preserve">information </w:t>
      </w:r>
      <w:r w:rsidR="00696FAC">
        <w:t xml:space="preserve">was </w:t>
      </w:r>
      <w:r w:rsidRPr="002D34CF">
        <w:t xml:space="preserve">provided </w:t>
      </w:r>
      <w:r>
        <w:t>late</w:t>
      </w:r>
      <w:r w:rsidRPr="00F02D13">
        <w:t>.</w:t>
      </w:r>
      <w:r w:rsidR="00696FAC">
        <w:t xml:space="preserve"> </w:t>
      </w:r>
      <w:r w:rsidR="00696FAC" w:rsidRPr="00696FAC">
        <w:t>The partial information consisted of 68 fire hydrant inspection reports; however, the Utility indicated it has a total of 75 fire hydrants in its 2024 Annual Report. Of the 68 fire hydrant inspection reports provided, 22 fire hydrants failed inspection. The Utility also indicated that it has already replaced 6 of the 15 fire hydrants.</w:t>
      </w:r>
    </w:p>
    <w:p w14:paraId="4295A7AA" w14:textId="6CA7DC3F" w:rsidR="0040243D" w:rsidRDefault="0040243D" w:rsidP="0040243D">
      <w:pPr>
        <w:pStyle w:val="BodyText"/>
      </w:pPr>
      <w:r>
        <w:t>To date</w:t>
      </w:r>
      <w:r w:rsidR="00A743D5">
        <w:t>,</w:t>
      </w:r>
      <w:r>
        <w:t xml:space="preserve"> the Utility has not provided the documentation to support </w:t>
      </w:r>
      <w:r w:rsidR="00814DDC">
        <w:t xml:space="preserve">all 15 </w:t>
      </w:r>
      <w:r>
        <w:t xml:space="preserve">fire hydrant replacements.  </w:t>
      </w:r>
      <w:r w:rsidR="00696FAC" w:rsidRPr="00696FAC">
        <w:t>While the Utility originally indicated that 15 fire hydrants needed replacement, it later changed its request to be 20 fire hydrants, and then provided documentation that showed 22 fire hydrants failed inspection. However, in its late response, the Utility also indicated it already replaced 6 fire hydrants. As a result, the total number of fire hydrants that still need to be replaced is unclear.</w:t>
      </w:r>
      <w:r w:rsidR="00696FAC">
        <w:t xml:space="preserve"> </w:t>
      </w:r>
      <w:r>
        <w:t>Therefore, staff recommends denying the Utility’s request for cost recovery of this project. This does not prevent the Utility from replacing the fire hydrants and the Utility may request cost recovery for this project in the future when it is able to provide supporting documentation.</w:t>
      </w:r>
    </w:p>
    <w:p w14:paraId="024DEECB" w14:textId="77777777" w:rsidR="0040243D" w:rsidRPr="002663C5" w:rsidRDefault="0040243D" w:rsidP="0040243D">
      <w:pPr>
        <w:ind w:left="720"/>
        <w:jc w:val="both"/>
        <w:outlineLvl w:val="3"/>
        <w:rPr>
          <w:rFonts w:ascii="Arial" w:hAnsi="Arial" w:cs="Arial"/>
          <w:b/>
          <w:bCs/>
          <w:i/>
          <w:iCs/>
          <w:szCs w:val="28"/>
        </w:rPr>
      </w:pPr>
      <w:r w:rsidRPr="002663C5">
        <w:rPr>
          <w:rFonts w:ascii="Arial" w:hAnsi="Arial" w:cs="Arial"/>
          <w:b/>
          <w:bCs/>
          <w:i/>
          <w:iCs/>
          <w:szCs w:val="28"/>
        </w:rPr>
        <w:t xml:space="preserve">Project No. 4 &amp; 5 </w:t>
      </w:r>
      <w:r w:rsidRPr="002663C5">
        <w:rPr>
          <w:rFonts w:ascii="Arial" w:hAnsi="Arial" w:cs="Arial"/>
          <w:b/>
          <w:bCs/>
          <w:i/>
          <w:iCs/>
          <w:szCs w:val="28"/>
        </w:rPr>
        <w:softHyphen/>
        <w:t>– Hydro Tanks #6 and #10</w:t>
      </w:r>
    </w:p>
    <w:p w14:paraId="02CE808C" w14:textId="77777777" w:rsidR="0040243D" w:rsidRDefault="0040243D" w:rsidP="0040243D">
      <w:pPr>
        <w:pStyle w:val="BodyText"/>
      </w:pPr>
      <w:r w:rsidRPr="002663C5">
        <w:rPr>
          <w:rFonts w:eastAsiaTheme="minorHAnsi" w:cstheme="minorBidi"/>
          <w:szCs w:val="22"/>
        </w:rPr>
        <w:t>Project Nos. 4 and 5</w:t>
      </w:r>
      <w:r>
        <w:t xml:space="preserve"> are related to Grenelefe’s hydro tanks. The DEP requires hydro tanks to be inspected every five years. In response to staff’s fifth data request, the inspection report for tank #10</w:t>
      </w:r>
      <w:r w:rsidRPr="00AF4BA8">
        <w:t>, dated March 27, 2025,</w:t>
      </w:r>
      <w:r>
        <w:t xml:space="preserve"> was provided. Tank #10 passed its inspection </w:t>
      </w:r>
      <w:r w:rsidRPr="00FC2176">
        <w:t>but need</w:t>
      </w:r>
      <w:r>
        <w:t>ed</w:t>
      </w:r>
      <w:r w:rsidRPr="00FC2176">
        <w:t xml:space="preserve"> minor repairs </w:t>
      </w:r>
      <w:r>
        <w:t>and to be repainted. Initially, the Utility stated that tank #6 failed its inspection and needed to be replaced.</w:t>
      </w:r>
      <w:r>
        <w:rPr>
          <w:rStyle w:val="FootnoteReference"/>
        </w:rPr>
        <w:footnoteReference w:id="30"/>
      </w:r>
      <w:r>
        <w:t xml:space="preserve"> However, staff found the inspection report for Tank #6 in Oculus, DEP’s electronic document management s</w:t>
      </w:r>
      <w:r w:rsidRPr="007F2886">
        <w:t>ystem</w:t>
      </w:r>
      <w:r>
        <w:t xml:space="preserve">, dated September 5, 2025, which indicated that Tank #6 passed its inspections, but also needed repairs and to be repainted. Three bids were provided that included both hydro tanks. </w:t>
      </w:r>
      <w:r w:rsidRPr="00801364">
        <w:t>The Utility has not yet started this project and therefore,</w:t>
      </w:r>
      <w:r>
        <w:t xml:space="preserve"> has </w:t>
      </w:r>
      <w:r w:rsidRPr="00801364">
        <w:t xml:space="preserve">not </w:t>
      </w:r>
      <w:r>
        <w:t xml:space="preserve">yet </w:t>
      </w:r>
      <w:r w:rsidRPr="00801364">
        <w:t xml:space="preserve">selected </w:t>
      </w:r>
      <w:r>
        <w:t xml:space="preserve">a vendor. Staff is recommending approval of the necessary repairs and repainting of tanks #6 and #10 due to the inspection results and the regulatory requirement from DEP. Further, </w:t>
      </w:r>
      <w:r w:rsidRPr="00801364">
        <w:t xml:space="preserve">staff recommends </w:t>
      </w:r>
      <w:r>
        <w:t>selecting the lowest bid of $66,786 for each hydro tank ($133,572 total). The estimated in-service date is October 31, 2026.</w:t>
      </w:r>
    </w:p>
    <w:p w14:paraId="47262113" w14:textId="77777777" w:rsidR="0040243D" w:rsidRPr="002663C5" w:rsidRDefault="0040243D" w:rsidP="0040243D">
      <w:pPr>
        <w:ind w:left="720"/>
        <w:jc w:val="both"/>
        <w:outlineLvl w:val="3"/>
        <w:rPr>
          <w:rFonts w:ascii="Arial" w:hAnsi="Arial" w:cs="Arial"/>
          <w:b/>
          <w:bCs/>
          <w:i/>
          <w:iCs/>
          <w:szCs w:val="28"/>
        </w:rPr>
      </w:pPr>
      <w:r w:rsidRPr="002663C5">
        <w:rPr>
          <w:rFonts w:ascii="Arial" w:hAnsi="Arial" w:cs="Arial"/>
          <w:b/>
          <w:bCs/>
          <w:i/>
          <w:iCs/>
          <w:szCs w:val="28"/>
        </w:rPr>
        <w:t>Project No. 6 &amp; 7 – Potable Wells #6 and #10</w:t>
      </w:r>
    </w:p>
    <w:p w14:paraId="1CCFB8CE" w14:textId="0E3C1E15" w:rsidR="0040243D" w:rsidRDefault="0040243D" w:rsidP="0040243D">
      <w:pPr>
        <w:pStyle w:val="BodyText"/>
      </w:pPr>
      <w:r w:rsidRPr="002663C5">
        <w:rPr>
          <w:rFonts w:eastAsiaTheme="minorHAnsi" w:cstheme="minorBidi"/>
          <w:szCs w:val="22"/>
        </w:rPr>
        <w:t>Project Nos. 6 and 7</w:t>
      </w:r>
      <w:r>
        <w:t xml:space="preserve"> are the refurbishment of potable wells #6 and #10. The Utility is requesting cost recovery for these refurbishments, which include the installation of new pumps, motors, and control panels. As part of this project, Grenelefe also proposed adding Supervisory Control and Data Acquisition (SCADA) monitoring systems to minimize water outages, as well as new output meters to accurately measure flows. </w:t>
      </w:r>
      <w:r w:rsidRPr="00631CC6">
        <w:t>Grenelefe dete</w:t>
      </w:r>
      <w:r>
        <w:t xml:space="preserve">rmined that both wells are </w:t>
      </w:r>
      <w:r w:rsidRPr="00631CC6">
        <w:t>past their useful service lives</w:t>
      </w:r>
      <w:r>
        <w:t>. As explained in Issue 1, there are several customer complaints and comments regarding service interruptions. The installation of SCADA at these wells can help reduce the duration of the interruptions. Three bids were provided for each well. T</w:t>
      </w:r>
      <w:r w:rsidRPr="00801364">
        <w:t>he Utility has not yet started this project and therefore,</w:t>
      </w:r>
      <w:r>
        <w:t xml:space="preserve"> has </w:t>
      </w:r>
      <w:r w:rsidRPr="00801364">
        <w:t xml:space="preserve">not </w:t>
      </w:r>
      <w:r>
        <w:t xml:space="preserve">yet </w:t>
      </w:r>
      <w:r w:rsidRPr="00801364">
        <w:t xml:space="preserve">selected </w:t>
      </w:r>
      <w:r>
        <w:t>a vendor. Staff agrees with the Utility that these projects should minimize water outages</w:t>
      </w:r>
      <w:r w:rsidR="004954E8">
        <w:t xml:space="preserve"> and</w:t>
      </w:r>
      <w:r>
        <w:t xml:space="preserve">, in turn, reduce the duration of interruptions. Therefore, these projects appear to be a reasonable </w:t>
      </w:r>
      <w:r w:rsidRPr="00662156">
        <w:t>request</w:t>
      </w:r>
      <w:r>
        <w:t xml:space="preserve"> from the Utility and staff recommends selecting the lowest bid of $121,000 for each well refurbishment and the addition of SCADA ($242,000 total). The estimated in-service date is October 31, 2026.</w:t>
      </w:r>
    </w:p>
    <w:p w14:paraId="67F1800A" w14:textId="77777777" w:rsidR="0040243D" w:rsidRDefault="0040243D" w:rsidP="0040243D">
      <w:pPr>
        <w:pStyle w:val="Second-LevelSubheading"/>
      </w:pPr>
      <w:r>
        <w:t>Project No. 8 – Irrigation/Non-potable Wells (Withdrawn)</w:t>
      </w:r>
    </w:p>
    <w:p w14:paraId="36C9EB3B" w14:textId="77777777" w:rsidR="0040243D" w:rsidRDefault="0040243D" w:rsidP="0040243D">
      <w:pPr>
        <w:pStyle w:val="BodyText"/>
      </w:pPr>
      <w:r>
        <w:t>Project No. 8 was the proposed upgrade of eight non-potable wells to potable wells. In its response to staff’s fourth data request, Grenelefe stated it was no longer pursuing this project.</w:t>
      </w:r>
      <w:r>
        <w:rPr>
          <w:rStyle w:val="FootnoteReference"/>
        </w:rPr>
        <w:footnoteReference w:id="31"/>
      </w:r>
    </w:p>
    <w:p w14:paraId="7B5209FA" w14:textId="77777777" w:rsidR="0040243D" w:rsidRPr="002663C5" w:rsidRDefault="0040243D" w:rsidP="0040243D">
      <w:pPr>
        <w:ind w:left="720"/>
        <w:jc w:val="both"/>
        <w:outlineLvl w:val="3"/>
        <w:rPr>
          <w:rFonts w:ascii="Arial" w:hAnsi="Arial" w:cs="Arial"/>
          <w:b/>
          <w:bCs/>
          <w:i/>
          <w:iCs/>
          <w:szCs w:val="28"/>
        </w:rPr>
      </w:pPr>
      <w:r w:rsidRPr="002663C5">
        <w:rPr>
          <w:rFonts w:ascii="Arial" w:hAnsi="Arial" w:cs="Arial"/>
          <w:b/>
          <w:bCs/>
          <w:i/>
          <w:iCs/>
          <w:szCs w:val="28"/>
        </w:rPr>
        <w:t>Project No. 9 – Valve Replacements</w:t>
      </w:r>
    </w:p>
    <w:p w14:paraId="1555A9F8" w14:textId="77777777" w:rsidR="0040243D" w:rsidRDefault="0040243D" w:rsidP="0040243D">
      <w:pPr>
        <w:pStyle w:val="BodyText"/>
      </w:pPr>
      <w:r w:rsidRPr="002663C5">
        <w:rPr>
          <w:rFonts w:eastAsiaTheme="minorHAnsi" w:cstheme="minorBidi"/>
          <w:szCs w:val="22"/>
        </w:rPr>
        <w:t>Project No. 9</w:t>
      </w:r>
      <w:r>
        <w:t xml:space="preserve"> is the replacement of 20 valves throughout Grenelefe’s water distribution system. The Utility stated that the DEP office that works with the Polk County Health Department had received multiple customer complaints for excessive issuances of BWNs. The Utility stated that they are unable to isolate sections of the water system</w:t>
      </w:r>
      <w:r w:rsidR="00336F6C">
        <w:t>,</w:t>
      </w:r>
      <w:r>
        <w:t xml:space="preserve"> when necessary</w:t>
      </w:r>
      <w:r w:rsidR="00336F6C">
        <w:t>,</w:t>
      </w:r>
      <w:r>
        <w:t xml:space="preserve"> due to most water distribution valves being inoperable. The Utility originally requested to replace 100 valves over ten years; but, the three bids provided only indicated 10 valves per bid. </w:t>
      </w:r>
    </w:p>
    <w:p w14:paraId="1266432C" w14:textId="21C0B750" w:rsidR="0040243D" w:rsidRDefault="0040243D" w:rsidP="0040243D">
      <w:pPr>
        <w:pStyle w:val="BodyText"/>
      </w:pPr>
      <w:r>
        <w:t xml:space="preserve">Staff agrees this project is needed so that service interruptions may be isolated and </w:t>
      </w:r>
      <w:r w:rsidR="004954E8">
        <w:t>thereby</w:t>
      </w:r>
      <w:r>
        <w:t xml:space="preserve"> lessen the number of customers that may be impacted by an outage. However, pursuant to Section 367.081(a)(2), F.S., there is a 24-month deadline from the end of the test year for completing pro forma projects, unless a longer period is approved by the Commission. Therefore, staff does not believe the Utility’s request to replace 100 valves over a </w:t>
      </w:r>
      <w:r w:rsidR="00327928">
        <w:t>ten-year</w:t>
      </w:r>
      <w:r>
        <w:t xml:space="preserve"> period is appropriate. Moreover, </w:t>
      </w:r>
      <w:r w:rsidRPr="00C23C30">
        <w:t xml:space="preserve">Grenelefe </w:t>
      </w:r>
      <w:r>
        <w:t>indicated</w:t>
      </w:r>
      <w:r w:rsidRPr="00C23C30">
        <w:t xml:space="preserve"> that it ha</w:t>
      </w:r>
      <w:r>
        <w:t>s</w:t>
      </w:r>
      <w:r w:rsidRPr="00C23C30">
        <w:t xml:space="preserve"> replaced </w:t>
      </w:r>
      <w:r>
        <w:t>only four</w:t>
      </w:r>
      <w:r w:rsidRPr="00C23C30">
        <w:t xml:space="preserve"> valves </w:t>
      </w:r>
      <w:r>
        <w:t>between November 1, 2024, and</w:t>
      </w:r>
      <w:r w:rsidRPr="00C23C30">
        <w:t xml:space="preserve"> October 31, 2025.</w:t>
      </w:r>
      <w:r>
        <w:rPr>
          <w:rStyle w:val="FootnoteReference"/>
        </w:rPr>
        <w:footnoteReference w:id="32"/>
      </w:r>
      <w:r>
        <w:t xml:space="preserve"> In its seventh data request, staff requested copies of the paid invoices for the four valves the Utility stated it replaced</w:t>
      </w:r>
      <w:r w:rsidR="00936BB9">
        <w:t>,</w:t>
      </w:r>
      <w:r>
        <w:t xml:space="preserve"> to which the Utility provided a signed service contract with U.S. Water Services for one valve dated October 11, 2022, and another invoice for three valves dated January 27, 2025.</w:t>
      </w:r>
      <w:r>
        <w:rPr>
          <w:rStyle w:val="FootnoteReference"/>
        </w:rPr>
        <w:footnoteReference w:id="33"/>
      </w:r>
      <w:r>
        <w:t xml:space="preserve"> </w:t>
      </w:r>
      <w:r w:rsidR="00814DDC">
        <w:t xml:space="preserve">However, staff did not rely on these invoices for its recommendation for the cost of the valves since the October 2022 invoice did not match the current estimates for the valves, and the three invoices from 2025 appear to only represent partial costs for materials. </w:t>
      </w:r>
      <w:r>
        <w:t xml:space="preserve">As such, staff recommends cost recovery for an additional 16 valves, for a total of 20 </w:t>
      </w:r>
      <w:r w:rsidR="00936BB9">
        <w:t>valves, which</w:t>
      </w:r>
      <w:r>
        <w:t xml:space="preserve"> will be replaced within the </w:t>
      </w:r>
      <w:r w:rsidR="00327928">
        <w:t>24 months</w:t>
      </w:r>
      <w:r>
        <w:t xml:space="preserve"> following the test year</w:t>
      </w:r>
      <w:r w:rsidR="00336F6C">
        <w:t>,</w:t>
      </w:r>
      <w:r>
        <w:t xml:space="preserve"> for a total cost of $363,200. This value is based upon the lowest bid received by the Utility for new 6 inch water valves. The estimated in-service date is October 31, 2026.</w:t>
      </w:r>
    </w:p>
    <w:p w14:paraId="782BABAC" w14:textId="77777777" w:rsidR="0040243D" w:rsidRPr="002663C5" w:rsidRDefault="0040243D" w:rsidP="0040243D">
      <w:pPr>
        <w:ind w:left="720"/>
        <w:jc w:val="both"/>
        <w:outlineLvl w:val="3"/>
        <w:rPr>
          <w:rFonts w:ascii="Arial" w:hAnsi="Arial" w:cs="Arial"/>
          <w:b/>
          <w:bCs/>
          <w:i/>
          <w:iCs/>
          <w:szCs w:val="28"/>
        </w:rPr>
      </w:pPr>
      <w:r w:rsidRPr="002663C5">
        <w:rPr>
          <w:rFonts w:ascii="Arial" w:hAnsi="Arial" w:cs="Arial"/>
          <w:b/>
          <w:bCs/>
          <w:i/>
          <w:iCs/>
          <w:szCs w:val="28"/>
        </w:rPr>
        <w:t>Project No. 10 – Wastewater Treatment Plant Modifications</w:t>
      </w:r>
    </w:p>
    <w:p w14:paraId="3E65EAA2" w14:textId="2CA25519" w:rsidR="0040243D" w:rsidRDefault="00936BB9" w:rsidP="0040243D">
      <w:pPr>
        <w:pStyle w:val="BodyText"/>
      </w:pPr>
      <w:r w:rsidRPr="002663C5">
        <w:rPr>
          <w:rFonts w:eastAsiaTheme="minorHAnsi" w:cstheme="minorBidi"/>
          <w:szCs w:val="22"/>
        </w:rPr>
        <w:t>Project No. 10</w:t>
      </w:r>
      <w:r w:rsidRPr="0089627B">
        <w:t xml:space="preserve"> </w:t>
      </w:r>
      <w:r>
        <w:t>is</w:t>
      </w:r>
      <w:r w:rsidRPr="0089627B">
        <w:t xml:space="preserve"> the proposed modification</w:t>
      </w:r>
      <w:r>
        <w:t>s</w:t>
      </w:r>
      <w:r w:rsidRPr="0089627B">
        <w:t xml:space="preserve"> </w:t>
      </w:r>
      <w:r>
        <w:t>t</w:t>
      </w:r>
      <w:r w:rsidRPr="0089627B">
        <w:t>o Grenelefe’s WWTP. In</w:t>
      </w:r>
      <w:r>
        <w:t xml:space="preserve"> response to</w:t>
      </w:r>
      <w:r w:rsidRPr="0089627B">
        <w:t xml:space="preserve"> staff’s first d</w:t>
      </w:r>
      <w:r>
        <w:t>ata request, Grenelefe provided</w:t>
      </w:r>
      <w:r w:rsidRPr="0089627B">
        <w:t xml:space="preserve"> its DEP permit as well as </w:t>
      </w:r>
      <w:r>
        <w:t xml:space="preserve">the </w:t>
      </w:r>
      <w:r w:rsidRPr="00F02D13">
        <w:t>AO,</w:t>
      </w:r>
      <w:r>
        <w:t xml:space="preserve"> which is discussed below</w:t>
      </w:r>
      <w:r w:rsidRPr="0089627B">
        <w:t xml:space="preserve">. Grenelefe falls within the boundaries of the Lake Okeechobee BMAP. </w:t>
      </w:r>
      <w:r>
        <w:t xml:space="preserve">Section 403.067, F.S., provides the foundational statutory framework for BMAPs. Additionally, </w:t>
      </w:r>
      <w:r w:rsidRPr="0089627B">
        <w:t>BMAP is</w:t>
      </w:r>
      <w:r>
        <w:t xml:space="preserve"> addressed by</w:t>
      </w:r>
      <w:r w:rsidRPr="0089627B">
        <w:t xml:space="preserve"> a regulatory framework</w:t>
      </w:r>
      <w:r>
        <w:t xml:space="preserve"> within the Florida Administrative Code, </w:t>
      </w:r>
      <w:r w:rsidRPr="0089627B">
        <w:t>developed by the DEP to manage and improve water quality in specific areas.</w:t>
      </w:r>
      <w:r w:rsidR="0040243D" w:rsidRPr="0089627B">
        <w:t xml:space="preserve"> The </w:t>
      </w:r>
      <w:r w:rsidR="0040243D">
        <w:t>AO</w:t>
      </w:r>
      <w:r w:rsidR="0040243D" w:rsidRPr="0089627B">
        <w:t xml:space="preserve"> requires Grenelefe’s WWTP to meet a 10 mg/1 total nitrogen limit and a 6 mg/1 total phosphorus limit</w:t>
      </w:r>
      <w:r w:rsidR="0040243D">
        <w:t>,</w:t>
      </w:r>
      <w:r w:rsidR="0040243D" w:rsidRPr="0089627B">
        <w:t xml:space="preserve"> which are based on the permitted capacity of the WWTP. </w:t>
      </w:r>
    </w:p>
    <w:p w14:paraId="66E71A26" w14:textId="77777777" w:rsidR="0040243D" w:rsidRDefault="0040243D" w:rsidP="0040243D">
      <w:pPr>
        <w:pStyle w:val="BodyText"/>
      </w:pPr>
      <w:r w:rsidRPr="0089627B">
        <w:t>The Utility is requesting cost recovery for two p</w:t>
      </w:r>
      <w:r>
        <w:t xml:space="preserve">hases. The first phase would be </w:t>
      </w:r>
      <w:r w:rsidRPr="0089627B">
        <w:t>to</w:t>
      </w:r>
      <w:r>
        <w:t xml:space="preserve"> update the existing tankage for flow equalization to occur as well as improvements to the plant’s headwork structures. T</w:t>
      </w:r>
      <w:r w:rsidRPr="0089627B">
        <w:t>he headwork structure</w:t>
      </w:r>
      <w:r>
        <w:t xml:space="preserve"> i</w:t>
      </w:r>
      <w:r w:rsidRPr="00B907A2">
        <w:t xml:space="preserve">mprovements would include clearing and emptying the existing tankage, cleaning tank interior walls, necessary external tank </w:t>
      </w:r>
      <w:r>
        <w:t>repair and recoating, n</w:t>
      </w:r>
      <w:r w:rsidRPr="00B907A2">
        <w:t xml:space="preserve">ew air supply and distribution, </w:t>
      </w:r>
      <w:r>
        <w:t xml:space="preserve">new </w:t>
      </w:r>
      <w:r w:rsidRPr="00B907A2">
        <w:t xml:space="preserve">surge pumps, </w:t>
      </w:r>
      <w:r>
        <w:t>new controls, and a new flow regulator box</w:t>
      </w:r>
      <w:r w:rsidRPr="0089627B">
        <w:t xml:space="preserve">. </w:t>
      </w:r>
      <w:r>
        <w:t xml:space="preserve">The first phase has an estimated cost of $1,840,281. </w:t>
      </w:r>
      <w:r w:rsidRPr="0089627B">
        <w:t>The second phase is to provide an effluent that meets the BMAP requirements</w:t>
      </w:r>
      <w:r>
        <w:t>,</w:t>
      </w:r>
      <w:r w:rsidRPr="0089627B">
        <w:t xml:space="preserve"> with a 0.495 MGD permitted</w:t>
      </w:r>
      <w:r w:rsidRPr="00AE22AB">
        <w:t xml:space="preserve"> </w:t>
      </w:r>
      <w:r w:rsidRPr="0089627B">
        <w:t>plant capacity</w:t>
      </w:r>
      <w:r>
        <w:t xml:space="preserve">. Grenelefe plans to accomplish this by constructing three sequencing batch reactor (SBR) chambers, installing SBR equipment, and converting the </w:t>
      </w:r>
      <w:r w:rsidRPr="00241B80">
        <w:t xml:space="preserve">existing </w:t>
      </w:r>
      <w:r>
        <w:t>f</w:t>
      </w:r>
      <w:r w:rsidRPr="00241B80">
        <w:t>ilter clearwell to a chlorine contact tank</w:t>
      </w:r>
      <w:r>
        <w:t>. The second phase has an estimated cost of $10,741,174. There are additional estimated costs of $877,737 for the construction of a rapid infiltration basin</w:t>
      </w:r>
      <w:r w:rsidR="00336F6C">
        <w:t>,</w:t>
      </w:r>
      <w:r>
        <w:t xml:space="preserve"> as well as $2,888,062 for bonds, contingencies, and engineering costs. The Utility’s total estimated cost to modify the WWTP is $16,374,254</w:t>
      </w:r>
      <w:r w:rsidR="00336F6C">
        <w:t>.</w:t>
      </w:r>
    </w:p>
    <w:p w14:paraId="4AE300B7" w14:textId="3E65F5BD" w:rsidR="0040243D" w:rsidRDefault="0040243D" w:rsidP="0040243D">
      <w:pPr>
        <w:pStyle w:val="BodyText"/>
      </w:pPr>
      <w:r>
        <w:t>In its SARC Application,</w:t>
      </w:r>
      <w:r w:rsidRPr="0089627B">
        <w:t xml:space="preserve"> </w:t>
      </w:r>
      <w:r>
        <w:t>t</w:t>
      </w:r>
      <w:r w:rsidRPr="0089627B">
        <w:t>he Utility stated that th</w:t>
      </w:r>
      <w:r>
        <w:t>is project’s</w:t>
      </w:r>
      <w:r w:rsidRPr="0089627B">
        <w:t xml:space="preserve"> </w:t>
      </w:r>
      <w:r>
        <w:t xml:space="preserve">proposed </w:t>
      </w:r>
      <w:r w:rsidRPr="0089627B">
        <w:t>modifications would allow the WWTP to meet the BMAP nutrient reduction requirement</w:t>
      </w:r>
      <w:r>
        <w:t>s</w:t>
      </w:r>
      <w:r w:rsidRPr="0089627B">
        <w:t>, as well as bring the permitted capacity of the plant up to at least 0.495 MGD of the 0.680 MGD design capacity.</w:t>
      </w:r>
      <w:r>
        <w:t xml:space="preserve"> In response to staff’s fourth data request, Grenelefe stated that the Utility owner requested the treatment plant be developed to meet these two objectives in order to comply with the DEP BMAP nutrient reduction requirements and to ensure plant capacity was available to meet the demand created by the expected new housing development, and other redevelopment in the area, over the next five years. In response to staff’s fifth data request, the Utility explained that Grenelefe is not being required directly by the DEP to increase the </w:t>
      </w:r>
      <w:r w:rsidR="00651BDD">
        <w:t xml:space="preserve">permitted </w:t>
      </w:r>
      <w:r w:rsidR="00A250B0">
        <w:t>capacity</w:t>
      </w:r>
      <w:r>
        <w:t xml:space="preserve"> of the wastewater treatment facilities.</w:t>
      </w:r>
      <w:r>
        <w:rPr>
          <w:rStyle w:val="FootnoteReference"/>
        </w:rPr>
        <w:footnoteReference w:id="34"/>
      </w:r>
      <w:r>
        <w:t xml:space="preserve"> </w:t>
      </w:r>
    </w:p>
    <w:p w14:paraId="019F4F51" w14:textId="77777777" w:rsidR="0040243D" w:rsidRDefault="0040243D" w:rsidP="0040243D">
      <w:pPr>
        <w:pStyle w:val="BodyText"/>
      </w:pPr>
      <w:r>
        <w:t>Staff requested additional bids in its first, second, and fourth data requests. The Utility provided one bid with three alternative cost options, which consisted of projects that differed slightly in nature and ranged from $9,345,039 to $13,908,210.</w:t>
      </w:r>
      <w:r w:rsidRPr="00B9244E">
        <w:t xml:space="preserve"> </w:t>
      </w:r>
      <w:r>
        <w:t>In a supplemental response to staff’s fifth data request,</w:t>
      </w:r>
      <w:r w:rsidRPr="00F93778">
        <w:t xml:space="preserve"> </w:t>
      </w:r>
      <w:r>
        <w:t>o</w:t>
      </w:r>
      <w:r w:rsidRPr="00F93778">
        <w:t>n November 12, 2025, the Utility provided staff</w:t>
      </w:r>
      <w:r>
        <w:t xml:space="preserve"> </w:t>
      </w:r>
      <w:r w:rsidRPr="00F93778">
        <w:t xml:space="preserve">with </w:t>
      </w:r>
      <w:r>
        <w:t xml:space="preserve">a </w:t>
      </w:r>
      <w:r w:rsidRPr="00F93778">
        <w:t>cost break down.</w:t>
      </w:r>
      <w:r>
        <w:t xml:space="preserve"> The cost breakdown provided a report that does not reflect finalized costs for this project and is marked as “Draft.” The Utility stated it was never completed because the management, in conjunction with the consulting engineer, decided to move directly to the SBR design with concrete tankage. No additional information was provided as to why the report was not finalized, and Grenelefe did not provide any additional bids for this project.</w:t>
      </w:r>
    </w:p>
    <w:p w14:paraId="57B279F1" w14:textId="3DDAE0D1" w:rsidR="0040243D" w:rsidRDefault="0040243D" w:rsidP="0040243D">
      <w:pPr>
        <w:pStyle w:val="BodyText"/>
      </w:pPr>
      <w:r>
        <w:t xml:space="preserve">In response to staff’s fourth data request, which requested additional details on this project, Grenelefe stated that staff should discuss this project with Grenelefe’s engineer. On October 9, 2025, staff held an informal meeting with Grenelefe’s engineer, at which time staff was informed that the expected completion date of the WWTP would be in 2027, as the Utility was just starting the bidding process. Additionally, in response to staff’s fifth data request, Grenelefe stated that funding could not be secured for this project until final rates and charges are in place. However, as discussed above, it is required by </w:t>
      </w:r>
      <w:r w:rsidR="00936BB9">
        <w:t>s</w:t>
      </w:r>
      <w:r>
        <w:t xml:space="preserve">tatute that all pro forma projects must be completed within 24 months of the end of the test year, unless the Commission approves a longer time period. </w:t>
      </w:r>
    </w:p>
    <w:p w14:paraId="369F3D91" w14:textId="77777777" w:rsidR="00936BB9" w:rsidRDefault="00936BB9" w:rsidP="00936BB9">
      <w:pPr>
        <w:pStyle w:val="BodyText"/>
      </w:pPr>
      <w:r>
        <w:t xml:space="preserve">Staff recognizes that the DEP has required the Utility to meet the BMAP guidelines and has established timeline requirements for compliance. Despite these requirements, Grenelefe is currently only in the initial bidding phase of this project. Accordingly, total project cost is still uncertain, and the Utility’s estimated completion date for the project is beyond the statutory 24-month timeframe. Based on these facts, staff is not recommending approval of this project for cost recovery at this time. Staff recognizes the DEP requirements set forth in the AO and notes that Grenelefe may file a request for cost recovery of this project </w:t>
      </w:r>
      <w:r w:rsidRPr="00E265AF">
        <w:t>after the DEP has approved its proposal</w:t>
      </w:r>
      <w:r>
        <w:t>,</w:t>
      </w:r>
      <w:r w:rsidRPr="0078657F">
        <w:t xml:space="preserve"> and </w:t>
      </w:r>
      <w:r>
        <w:t xml:space="preserve">total project cost and </w:t>
      </w:r>
      <w:r w:rsidRPr="0078657F">
        <w:t xml:space="preserve">the in-service date </w:t>
      </w:r>
      <w:r>
        <w:t>are</w:t>
      </w:r>
      <w:r w:rsidRPr="0078657F">
        <w:t xml:space="preserve"> established.</w:t>
      </w:r>
    </w:p>
    <w:p w14:paraId="26954F00" w14:textId="77777777" w:rsidR="0040243D" w:rsidRPr="00137A25" w:rsidRDefault="0040243D" w:rsidP="0040243D">
      <w:pPr>
        <w:ind w:left="720"/>
        <w:jc w:val="both"/>
        <w:outlineLvl w:val="3"/>
        <w:rPr>
          <w:rFonts w:ascii="Arial" w:hAnsi="Arial" w:cs="Arial"/>
          <w:b/>
          <w:bCs/>
          <w:i/>
          <w:iCs/>
          <w:szCs w:val="28"/>
        </w:rPr>
      </w:pPr>
      <w:r w:rsidRPr="00137A25">
        <w:rPr>
          <w:rFonts w:ascii="Arial" w:hAnsi="Arial" w:cs="Arial"/>
          <w:b/>
          <w:bCs/>
          <w:i/>
          <w:iCs/>
          <w:szCs w:val="28"/>
        </w:rPr>
        <w:t>Project Nos. 11, 12, 13, 14, &amp; 15 – Lift Stations Refurbishments</w:t>
      </w:r>
    </w:p>
    <w:p w14:paraId="49047636" w14:textId="54C4656D" w:rsidR="0040243D" w:rsidRDefault="0040243D" w:rsidP="0040243D">
      <w:pPr>
        <w:pStyle w:val="BodyText"/>
      </w:pPr>
      <w:r w:rsidRPr="00137A25">
        <w:rPr>
          <w:rFonts w:eastAsiaTheme="minorHAnsi" w:cstheme="minorBidi"/>
          <w:szCs w:val="22"/>
        </w:rPr>
        <w:t>Project Nos. 11 through 15</w:t>
      </w:r>
      <w:r w:rsidRPr="00137A25">
        <w:t xml:space="preserve"> are refurbishments for five lift stations. The Utility stated that all five of the lift stations have been neglected for years with old electrical panels that are improperly grounded. Grenelefe is requesting to refurbish the five lift stations with new panels, pumps, valves, check valves, and the installation of new wet well liners. While the Utility indicated it provided lift station reports to Commission staff, no additional documents were attached to that response or were otherwise provided.</w:t>
      </w:r>
      <w:r>
        <w:rPr>
          <w:rStyle w:val="FootnoteReference"/>
        </w:rPr>
        <w:footnoteReference w:id="35"/>
      </w:r>
      <w:r w:rsidRPr="00137A25">
        <w:t xml:space="preserve"> Grenelefe has provided service since 1977.</w:t>
      </w:r>
      <w:r w:rsidRPr="00137A25">
        <w:rPr>
          <w:rStyle w:val="FootnoteReference"/>
        </w:rPr>
        <w:footnoteReference w:id="36"/>
      </w:r>
      <w:r w:rsidRPr="00137A25">
        <w:t xml:space="preserve"> The Utility system is over 40 years old, but staff does not know the age of each of the lift stations requested. Staff believes these projects are needed and recommend</w:t>
      </w:r>
      <w:r>
        <w:t>s</w:t>
      </w:r>
      <w:r w:rsidRPr="00137A25">
        <w:t xml:space="preserve"> approval due to the Utility’s aging system. Four bids were provided for each lift station. The Utility has not yet started this project and therefore, has not yet selected a vendor. As such, staff recommends selecting the lowest bids which are: $197,433 for Lift Station #1; $195,000 for Lift Station #2; $166,992 for Lift Station #3; $188,500 for Lift Station #4; and, $171,525 for Lift Station #5. The estimated in-service date for the five lift stations </w:t>
      </w:r>
      <w:r w:rsidR="00521974">
        <w:t>is</w:t>
      </w:r>
      <w:r w:rsidR="00521974" w:rsidRPr="00137A25">
        <w:t xml:space="preserve"> </w:t>
      </w:r>
      <w:r w:rsidRPr="00137A25">
        <w:t>October 31, 2026.</w:t>
      </w:r>
    </w:p>
    <w:p w14:paraId="4B37CCD5" w14:textId="77777777" w:rsidR="0040243D" w:rsidRPr="00D6311F" w:rsidRDefault="0040243D" w:rsidP="0040243D">
      <w:pPr>
        <w:ind w:left="720"/>
        <w:jc w:val="both"/>
        <w:outlineLvl w:val="3"/>
        <w:rPr>
          <w:rFonts w:ascii="Arial" w:hAnsi="Arial" w:cs="Arial"/>
          <w:b/>
          <w:bCs/>
          <w:i/>
          <w:iCs/>
          <w:szCs w:val="28"/>
        </w:rPr>
      </w:pPr>
      <w:r w:rsidRPr="00D6311F">
        <w:rPr>
          <w:rFonts w:ascii="Arial" w:hAnsi="Arial" w:cs="Arial"/>
          <w:b/>
          <w:bCs/>
          <w:i/>
          <w:iCs/>
          <w:szCs w:val="28"/>
        </w:rPr>
        <w:t>Project No</w:t>
      </w:r>
      <w:r>
        <w:rPr>
          <w:rFonts w:ascii="Arial" w:hAnsi="Arial" w:cs="Arial"/>
          <w:b/>
          <w:bCs/>
          <w:i/>
          <w:iCs/>
          <w:szCs w:val="28"/>
        </w:rPr>
        <w:t>s</w:t>
      </w:r>
      <w:r w:rsidRPr="00D6311F">
        <w:rPr>
          <w:rFonts w:ascii="Arial" w:hAnsi="Arial" w:cs="Arial"/>
          <w:b/>
          <w:bCs/>
          <w:i/>
          <w:iCs/>
          <w:szCs w:val="28"/>
        </w:rPr>
        <w:t>. 16</w:t>
      </w:r>
      <w:r>
        <w:rPr>
          <w:rFonts w:ascii="Arial" w:hAnsi="Arial" w:cs="Arial"/>
          <w:b/>
          <w:bCs/>
          <w:i/>
          <w:iCs/>
          <w:szCs w:val="28"/>
        </w:rPr>
        <w:t>, 17, &amp; 18 – Utility Truck</w:t>
      </w:r>
      <w:r w:rsidR="00521974">
        <w:rPr>
          <w:rFonts w:ascii="Arial" w:hAnsi="Arial" w:cs="Arial"/>
          <w:b/>
          <w:bCs/>
          <w:i/>
          <w:iCs/>
          <w:szCs w:val="28"/>
        </w:rPr>
        <w:t>s</w:t>
      </w:r>
      <w:r>
        <w:rPr>
          <w:rFonts w:ascii="Arial" w:hAnsi="Arial" w:cs="Arial"/>
          <w:b/>
          <w:bCs/>
          <w:i/>
          <w:iCs/>
          <w:szCs w:val="28"/>
        </w:rPr>
        <w:t xml:space="preserve"> and Golf Cart</w:t>
      </w:r>
      <w:r w:rsidR="00521974">
        <w:rPr>
          <w:rFonts w:ascii="Arial" w:hAnsi="Arial" w:cs="Arial"/>
          <w:b/>
          <w:bCs/>
          <w:i/>
          <w:iCs/>
          <w:szCs w:val="28"/>
        </w:rPr>
        <w:t>s</w:t>
      </w:r>
    </w:p>
    <w:p w14:paraId="36B9F1B4" w14:textId="77777777" w:rsidR="0040243D" w:rsidRDefault="0040243D" w:rsidP="0040243D">
      <w:pPr>
        <w:pStyle w:val="BodyText"/>
      </w:pPr>
      <w:r w:rsidRPr="00D6311F">
        <w:rPr>
          <w:rFonts w:eastAsiaTheme="minorHAnsi" w:cstheme="minorBidi"/>
          <w:szCs w:val="22"/>
        </w:rPr>
        <w:t>P</w:t>
      </w:r>
      <w:r>
        <w:rPr>
          <w:rFonts w:eastAsiaTheme="minorHAnsi" w:cstheme="minorBidi"/>
          <w:szCs w:val="22"/>
        </w:rPr>
        <w:t xml:space="preserve">roject Nos. 16, </w:t>
      </w:r>
      <w:r w:rsidRPr="00D6311F">
        <w:rPr>
          <w:rFonts w:eastAsiaTheme="minorHAnsi" w:cstheme="minorBidi"/>
          <w:szCs w:val="22"/>
        </w:rPr>
        <w:t>17</w:t>
      </w:r>
      <w:r>
        <w:rPr>
          <w:rFonts w:eastAsiaTheme="minorHAnsi" w:cstheme="minorBidi"/>
          <w:szCs w:val="22"/>
        </w:rPr>
        <w:t>, and 18</w:t>
      </w:r>
      <w:r w:rsidRPr="00D6311F">
        <w:rPr>
          <w:rFonts w:eastAsiaTheme="minorHAnsi" w:cstheme="minorBidi"/>
          <w:szCs w:val="22"/>
        </w:rPr>
        <w:t xml:space="preserve"> are</w:t>
      </w:r>
      <w:r>
        <w:rPr>
          <w:rFonts w:eastAsiaTheme="minorHAnsi" w:cstheme="minorBidi"/>
          <w:szCs w:val="22"/>
        </w:rPr>
        <w:t xml:space="preserve"> the Utility’s request for</w:t>
      </w:r>
      <w:r w:rsidRPr="00D6311F">
        <w:rPr>
          <w:rFonts w:eastAsiaTheme="minorHAnsi" w:cstheme="minorBidi"/>
          <w:szCs w:val="22"/>
        </w:rPr>
        <w:t xml:space="preserve"> two new pickup trucks</w:t>
      </w:r>
      <w:r>
        <w:rPr>
          <w:rFonts w:eastAsiaTheme="minorHAnsi" w:cstheme="minorBidi"/>
          <w:szCs w:val="22"/>
        </w:rPr>
        <w:t xml:space="preserve"> and three golf carts</w:t>
      </w:r>
      <w:r>
        <w:t xml:space="preserve">. Grenelefe stated that the current Utility vehicles have outlived their useful service lives, with one being 21 years old and the other being 18 years old. Both were acquired from the previous Utility owner. For Project No. 16, Grenelefe is requesting a new </w:t>
      </w:r>
      <w:r w:rsidRPr="00997274">
        <w:t>Ford F-250</w:t>
      </w:r>
      <w:r>
        <w:t xml:space="preserve"> pickup truck, which the Utility says is needed to tow heavy equipment like mini excavators, backhoes, and tractors around the service territory. Project 17 is for a new Ford F-150 pickup truck, which the Utility says is needed to transport Utility personnel around the expansive service territory, along with the necessary tools to be able to do repairs in a timely manner. </w:t>
      </w:r>
      <w:r w:rsidRPr="00997274">
        <w:t>Project No. 18 is the Utility’s request to purchase three new golf carts. Grenelefe stated that the current golf carts are past their useful service lives and are no longer operable. The Utility stated that it can no longer depend on the current golf carts for customer service calls and meter reading</w:t>
      </w:r>
      <w:r w:rsidR="00521974">
        <w:t>s</w:t>
      </w:r>
      <w:r w:rsidRPr="00997274">
        <w:t>.</w:t>
      </w:r>
      <w:r>
        <w:t xml:space="preserve"> </w:t>
      </w:r>
    </w:p>
    <w:p w14:paraId="167A5691" w14:textId="0D73F2CC" w:rsidR="0040243D" w:rsidRDefault="0040243D" w:rsidP="00251943">
      <w:pPr>
        <w:pStyle w:val="BodyText"/>
        <w:spacing w:after="160"/>
      </w:pPr>
      <w:r>
        <w:t xml:space="preserve">Staff agrees that Grenelefe’s vehicles </w:t>
      </w:r>
      <w:r w:rsidRPr="00012F3C">
        <w:t>are past their useful li</w:t>
      </w:r>
      <w:r>
        <w:t>v</w:t>
      </w:r>
      <w:r w:rsidRPr="00012F3C">
        <w:t>e</w:t>
      </w:r>
      <w:r>
        <w:t>s</w:t>
      </w:r>
      <w:r w:rsidRPr="00012F3C">
        <w:t xml:space="preserve"> and need </w:t>
      </w:r>
      <w:r w:rsidR="00521974">
        <w:t>to be replaced</w:t>
      </w:r>
      <w:r>
        <w:t xml:space="preserve">. However, the Utility’s payroll only includes two employees, one being the owner of the Utility. All other operations for Grenelefe are contracted. Given this, the need for two trucks and three golf carts does not seem reasonable. </w:t>
      </w:r>
      <w:r w:rsidRPr="00012F3C">
        <w:t>Additionally, as the radio read meters are pl</w:t>
      </w:r>
      <w:r>
        <w:t xml:space="preserve">aced into service (Project Nos. 1 and 2), the need for </w:t>
      </w:r>
      <w:r w:rsidRPr="00012F3C">
        <w:t>golf carts is lessened</w:t>
      </w:r>
      <w:r>
        <w:t xml:space="preserve"> because meters will no longer be read manually. Therefore, staff is recommending approval of the Ford F-250 truck and one golf cart for the two payroll employees, which thereby eliminates project No. 17 (Ford F-150 Truck). The Utility provided two bids for the F-250 truck. Grenelefe stated that it did not provide a third bid, per Commission practice, because there is no point in giving the Commission another bid when the price, in all probability, will be at least as high as the two bids already provided.</w:t>
      </w:r>
      <w:r>
        <w:rPr>
          <w:rStyle w:val="FootnoteReference"/>
        </w:rPr>
        <w:footnoteReference w:id="37"/>
      </w:r>
      <w:r>
        <w:t xml:space="preserve"> Grenelefe provided three bids for the golf carts and staff recommends the lowest bid for both the F-250 pickup truck and the golf cart. The total cost for the F-250 truck is $52,239 and the total cost for the golf cart is $8,549. The costs of the truck and golf cart will be split evenly between the water and wastewater systems, with an estimated in-service date of June 30, 2026.</w:t>
      </w:r>
    </w:p>
    <w:p w14:paraId="6E57B9C9" w14:textId="77777777" w:rsidR="00251943" w:rsidRDefault="00251943" w:rsidP="00251943">
      <w:pPr>
        <w:pStyle w:val="Second-LevelSubheading"/>
      </w:pPr>
      <w:r>
        <w:t>Capped Retirement</w:t>
      </w:r>
    </w:p>
    <w:p w14:paraId="367F4E4E" w14:textId="77777777" w:rsidR="00251943" w:rsidRDefault="00251943" w:rsidP="008B149A">
      <w:pPr>
        <w:pStyle w:val="BodyText"/>
        <w:spacing w:after="160"/>
      </w:pPr>
      <w:r>
        <w:t>In general, it is Commission practice to use the 75 percent of pro forma addition methodology to estimate the retirement amount of assets being replaced when the original cost is unknown. In this case, for certain accounts, application of the 75 percent retirement methodology results in an overall negative plant balance. Therefore, staff has capped the retirement amounts at the average test year plant balance for respective accounts. This methodology has been utilized in Docket No. 20160101-WS and was approved by Order No. PSC-2017-0101-FOF.</w:t>
      </w:r>
      <w:r>
        <w:rPr>
          <w:rStyle w:val="FootnoteReference"/>
        </w:rPr>
        <w:footnoteReference w:id="38"/>
      </w:r>
      <w:r>
        <w:t xml:space="preserve"> In that order, the Commission found that: “the amount of retirement to plant in service and accumulated depreciation reflected in the adjusted test year shall be calculated based on either the 75 percent methodology . . . or on the actual balance in the impacted plant in service account . . . if that balance would be negative as a result of the 75 percent methodology.”</w:t>
      </w:r>
      <w:r>
        <w:rPr>
          <w:rStyle w:val="FootnoteReference"/>
        </w:rPr>
        <w:footnoteReference w:id="39"/>
      </w:r>
      <w:r>
        <w:t xml:space="preserve"> The capped pro forma plant project retirements are shown on Table 4-1.</w:t>
      </w:r>
    </w:p>
    <w:p w14:paraId="4CEBCA98" w14:textId="4BD7B7F4" w:rsidR="00251943" w:rsidRDefault="00251943" w:rsidP="005C7FFA">
      <w:pPr>
        <w:pStyle w:val="BodyText"/>
        <w:spacing w:after="120"/>
      </w:pPr>
      <w:r>
        <w:t xml:space="preserve">Due to the capped retirement, </w:t>
      </w:r>
      <w:r w:rsidR="00327928">
        <w:t>two</w:t>
      </w:r>
      <w:r>
        <w:t xml:space="preserve"> accounts have remaining undepreciated plant balances. Staff believes that these remaining balances should be recovered as amortization expense over a 10-year period. Although Rule 25-30.433(10), F.A.C., prescribes the formula for determining the appropriate amortization period for forced abandonment or the prudent retirement of plant assets prior to the end of their depreciable life, staff recommends an amortization period of 10 years. Staff notes an alternate amortization period is allowed by the aforementioned rule. Staff’s recommendation is intended to spread the recovery of these costs over a longer period in order to mitigate the immediate annual rate impacts. Staff identified </w:t>
      </w:r>
      <w:r w:rsidR="00327928">
        <w:t>two</w:t>
      </w:r>
      <w:r>
        <w:t xml:space="preserve"> accounts that have remaining undepreciated plant balances, as reflect</w:t>
      </w:r>
      <w:r w:rsidR="00521974">
        <w:t>ed</w:t>
      </w:r>
      <w:r>
        <w:t xml:space="preserve"> in Table 4-2 and Table 4-3 below.</w:t>
      </w:r>
    </w:p>
    <w:p w14:paraId="337348B5" w14:textId="77777777" w:rsidR="00681415" w:rsidRPr="002E4FA8" w:rsidRDefault="00681415" w:rsidP="005C7FFA">
      <w:pPr>
        <w:pStyle w:val="BodyText"/>
        <w:spacing w:after="120"/>
      </w:pPr>
    </w:p>
    <w:p w14:paraId="0CC81545" w14:textId="77777777" w:rsidR="00251943" w:rsidRPr="00D07C73" w:rsidRDefault="00251943" w:rsidP="00251943">
      <w:pPr>
        <w:jc w:val="center"/>
        <w:rPr>
          <w:rFonts w:ascii="Arial" w:hAnsi="Arial" w:cs="Arial"/>
          <w:b/>
        </w:rPr>
      </w:pPr>
      <w:r w:rsidRPr="00D07C73">
        <w:rPr>
          <w:rFonts w:ascii="Arial" w:hAnsi="Arial" w:cs="Arial"/>
          <w:b/>
        </w:rPr>
        <w:t>Table 4-2</w:t>
      </w:r>
    </w:p>
    <w:p w14:paraId="72E4A8B1" w14:textId="77777777" w:rsidR="00251943" w:rsidRPr="00D07C73" w:rsidRDefault="00251943" w:rsidP="00251943">
      <w:pPr>
        <w:jc w:val="center"/>
        <w:rPr>
          <w:rFonts w:ascii="Arial" w:hAnsi="Arial" w:cs="Arial"/>
          <w:b/>
        </w:rPr>
      </w:pPr>
      <w:r w:rsidRPr="00D07C73">
        <w:rPr>
          <w:rFonts w:ascii="Arial" w:hAnsi="Arial" w:cs="Arial"/>
          <w:b/>
        </w:rPr>
        <w:t>Water Capital Amortization</w:t>
      </w:r>
    </w:p>
    <w:tbl>
      <w:tblPr>
        <w:tblStyle w:val="TableGrid"/>
        <w:tblW w:w="0" w:type="auto"/>
        <w:tblLook w:val="04A0" w:firstRow="1" w:lastRow="0" w:firstColumn="1" w:lastColumn="0" w:noHBand="0" w:noVBand="1"/>
      </w:tblPr>
      <w:tblGrid>
        <w:gridCol w:w="1188"/>
        <w:gridCol w:w="2642"/>
        <w:gridCol w:w="1915"/>
        <w:gridCol w:w="2013"/>
        <w:gridCol w:w="1818"/>
      </w:tblGrid>
      <w:tr w:rsidR="00251943" w14:paraId="4DAB32F3" w14:textId="77777777" w:rsidTr="00251943">
        <w:tc>
          <w:tcPr>
            <w:tcW w:w="1188" w:type="dxa"/>
            <w:vAlign w:val="center"/>
          </w:tcPr>
          <w:p w14:paraId="49288A15" w14:textId="77777777" w:rsidR="00251943" w:rsidRDefault="00251943" w:rsidP="00251943">
            <w:pPr>
              <w:jc w:val="center"/>
            </w:pPr>
            <w:r>
              <w:t>Account</w:t>
            </w:r>
          </w:p>
        </w:tc>
        <w:tc>
          <w:tcPr>
            <w:tcW w:w="2642" w:type="dxa"/>
            <w:vAlign w:val="center"/>
          </w:tcPr>
          <w:p w14:paraId="3346242B" w14:textId="77777777" w:rsidR="00251943" w:rsidRDefault="00251943" w:rsidP="00251943">
            <w:pPr>
              <w:jc w:val="center"/>
            </w:pPr>
            <w:r>
              <w:t>Plant Balance</w:t>
            </w:r>
          </w:p>
        </w:tc>
        <w:tc>
          <w:tcPr>
            <w:tcW w:w="1915" w:type="dxa"/>
            <w:vAlign w:val="center"/>
          </w:tcPr>
          <w:p w14:paraId="24E6459D" w14:textId="77777777" w:rsidR="00251943" w:rsidRDefault="00251943" w:rsidP="00251943">
            <w:pPr>
              <w:jc w:val="center"/>
            </w:pPr>
            <w:r>
              <w:t>Accumulated Depreciation</w:t>
            </w:r>
          </w:p>
        </w:tc>
        <w:tc>
          <w:tcPr>
            <w:tcW w:w="2013" w:type="dxa"/>
            <w:vAlign w:val="center"/>
          </w:tcPr>
          <w:p w14:paraId="31095028" w14:textId="77777777" w:rsidR="00251943" w:rsidRDefault="00251943" w:rsidP="00251943">
            <w:pPr>
              <w:jc w:val="center"/>
            </w:pPr>
            <w:r>
              <w:t>Undepreciated Plant Balance</w:t>
            </w:r>
          </w:p>
        </w:tc>
        <w:tc>
          <w:tcPr>
            <w:tcW w:w="1818" w:type="dxa"/>
            <w:vAlign w:val="center"/>
          </w:tcPr>
          <w:p w14:paraId="4D54EA3E" w14:textId="77777777" w:rsidR="00251943" w:rsidRDefault="00251943" w:rsidP="00251943">
            <w:pPr>
              <w:jc w:val="center"/>
            </w:pPr>
            <w:r>
              <w:t>Amortization Expense</w:t>
            </w:r>
          </w:p>
        </w:tc>
      </w:tr>
      <w:tr w:rsidR="00251943" w14:paraId="20A4716E" w14:textId="77777777" w:rsidTr="00251943">
        <w:tc>
          <w:tcPr>
            <w:tcW w:w="1188" w:type="dxa"/>
          </w:tcPr>
          <w:p w14:paraId="3BCE79BB" w14:textId="77777777" w:rsidR="00251943" w:rsidRDefault="00251943" w:rsidP="00251943">
            <w:pPr>
              <w:jc w:val="both"/>
            </w:pPr>
            <w:r>
              <w:t>330</w:t>
            </w:r>
          </w:p>
        </w:tc>
        <w:tc>
          <w:tcPr>
            <w:tcW w:w="2642" w:type="dxa"/>
          </w:tcPr>
          <w:p w14:paraId="7B20D285" w14:textId="77777777" w:rsidR="00251943" w:rsidRDefault="00251943" w:rsidP="00251943">
            <w:pPr>
              <w:jc w:val="right"/>
            </w:pPr>
            <w:r>
              <w:t>$82,951</w:t>
            </w:r>
          </w:p>
        </w:tc>
        <w:tc>
          <w:tcPr>
            <w:tcW w:w="1915" w:type="dxa"/>
          </w:tcPr>
          <w:p w14:paraId="3539457B" w14:textId="77777777" w:rsidR="00251943" w:rsidRDefault="00251943" w:rsidP="00251943">
            <w:pPr>
              <w:jc w:val="right"/>
            </w:pPr>
            <w:r>
              <w:t>$76,515</w:t>
            </w:r>
          </w:p>
        </w:tc>
        <w:tc>
          <w:tcPr>
            <w:tcW w:w="2013" w:type="dxa"/>
          </w:tcPr>
          <w:p w14:paraId="712B619D" w14:textId="77777777" w:rsidR="00251943" w:rsidRDefault="00251943" w:rsidP="00251943">
            <w:pPr>
              <w:jc w:val="right"/>
            </w:pPr>
            <w:r>
              <w:t>$6,436</w:t>
            </w:r>
          </w:p>
        </w:tc>
        <w:tc>
          <w:tcPr>
            <w:tcW w:w="1818" w:type="dxa"/>
          </w:tcPr>
          <w:p w14:paraId="284CAD63" w14:textId="77777777" w:rsidR="00251943" w:rsidRDefault="00251943" w:rsidP="00251943">
            <w:pPr>
              <w:jc w:val="right"/>
            </w:pPr>
            <w:r>
              <w:t>$644</w:t>
            </w:r>
          </w:p>
        </w:tc>
      </w:tr>
      <w:tr w:rsidR="00251943" w14:paraId="44C7942C" w14:textId="77777777" w:rsidTr="00251943">
        <w:tc>
          <w:tcPr>
            <w:tcW w:w="1188" w:type="dxa"/>
          </w:tcPr>
          <w:p w14:paraId="5FA040DB" w14:textId="77777777" w:rsidR="00251943" w:rsidRDefault="00251943" w:rsidP="00251943">
            <w:pPr>
              <w:jc w:val="both"/>
            </w:pPr>
            <w:r>
              <w:t>Total</w:t>
            </w:r>
          </w:p>
        </w:tc>
        <w:tc>
          <w:tcPr>
            <w:tcW w:w="2642" w:type="dxa"/>
          </w:tcPr>
          <w:p w14:paraId="21E4FEBB" w14:textId="77777777" w:rsidR="00251943" w:rsidRPr="002E4FA8" w:rsidRDefault="00251943" w:rsidP="00251943">
            <w:pPr>
              <w:jc w:val="right"/>
              <w:rPr>
                <w:u w:val="double"/>
              </w:rPr>
            </w:pPr>
            <w:r w:rsidRPr="002E4FA8">
              <w:rPr>
                <w:u w:val="double"/>
              </w:rPr>
              <w:t>$</w:t>
            </w:r>
            <w:r>
              <w:rPr>
                <w:u w:val="double"/>
              </w:rPr>
              <w:t>82</w:t>
            </w:r>
            <w:r w:rsidRPr="002E4FA8">
              <w:rPr>
                <w:u w:val="double"/>
              </w:rPr>
              <w:t>,</w:t>
            </w:r>
            <w:r>
              <w:rPr>
                <w:u w:val="double"/>
              </w:rPr>
              <w:t>951</w:t>
            </w:r>
          </w:p>
        </w:tc>
        <w:tc>
          <w:tcPr>
            <w:tcW w:w="1915" w:type="dxa"/>
          </w:tcPr>
          <w:p w14:paraId="690D185C" w14:textId="77777777" w:rsidR="00251943" w:rsidRPr="002E4FA8" w:rsidRDefault="00251943" w:rsidP="00251943">
            <w:pPr>
              <w:jc w:val="right"/>
              <w:rPr>
                <w:u w:val="double"/>
              </w:rPr>
            </w:pPr>
            <w:r w:rsidRPr="002E4FA8">
              <w:rPr>
                <w:u w:val="double"/>
              </w:rPr>
              <w:t>$</w:t>
            </w:r>
            <w:r>
              <w:rPr>
                <w:u w:val="double"/>
              </w:rPr>
              <w:t>76</w:t>
            </w:r>
            <w:r w:rsidRPr="002E4FA8">
              <w:rPr>
                <w:u w:val="double"/>
              </w:rPr>
              <w:t>,</w:t>
            </w:r>
            <w:r>
              <w:rPr>
                <w:u w:val="double"/>
              </w:rPr>
              <w:t>515</w:t>
            </w:r>
          </w:p>
        </w:tc>
        <w:tc>
          <w:tcPr>
            <w:tcW w:w="2013" w:type="dxa"/>
          </w:tcPr>
          <w:p w14:paraId="366C65C0" w14:textId="77777777" w:rsidR="00251943" w:rsidRPr="002E4FA8" w:rsidRDefault="00251943" w:rsidP="00251943">
            <w:pPr>
              <w:jc w:val="right"/>
              <w:rPr>
                <w:u w:val="double"/>
              </w:rPr>
            </w:pPr>
            <w:r>
              <w:rPr>
                <w:u w:val="double"/>
              </w:rPr>
              <w:t>$6,436</w:t>
            </w:r>
          </w:p>
        </w:tc>
        <w:tc>
          <w:tcPr>
            <w:tcW w:w="1818" w:type="dxa"/>
          </w:tcPr>
          <w:p w14:paraId="778858E7" w14:textId="77777777" w:rsidR="00251943" w:rsidRPr="002E4FA8" w:rsidRDefault="00251943" w:rsidP="00251943">
            <w:pPr>
              <w:jc w:val="right"/>
              <w:rPr>
                <w:u w:val="double"/>
              </w:rPr>
            </w:pPr>
            <w:r>
              <w:rPr>
                <w:u w:val="double"/>
              </w:rPr>
              <w:t>$644</w:t>
            </w:r>
          </w:p>
        </w:tc>
      </w:tr>
    </w:tbl>
    <w:p w14:paraId="378C385F" w14:textId="31F4F08A" w:rsidR="00251943" w:rsidRDefault="00251943" w:rsidP="00251943">
      <w:pPr>
        <w:jc w:val="both"/>
      </w:pPr>
      <w:r>
        <w:t>Source: Staff calculations.</w:t>
      </w:r>
    </w:p>
    <w:p w14:paraId="1CBCACE3" w14:textId="2340D45A" w:rsidR="004F75CD" w:rsidRDefault="004F75CD" w:rsidP="00251943">
      <w:pPr>
        <w:jc w:val="both"/>
      </w:pPr>
    </w:p>
    <w:p w14:paraId="091F4243" w14:textId="3018E632" w:rsidR="004F75CD" w:rsidRDefault="004F75CD" w:rsidP="00251943">
      <w:pPr>
        <w:jc w:val="both"/>
      </w:pPr>
    </w:p>
    <w:p w14:paraId="636EA6D3" w14:textId="77777777" w:rsidR="00251943" w:rsidRPr="00D07C73" w:rsidRDefault="00251943" w:rsidP="00251943">
      <w:pPr>
        <w:jc w:val="center"/>
        <w:rPr>
          <w:rFonts w:ascii="Arial" w:hAnsi="Arial" w:cs="Arial"/>
          <w:b/>
        </w:rPr>
      </w:pPr>
      <w:r w:rsidRPr="00D07C73">
        <w:rPr>
          <w:rFonts w:ascii="Arial" w:hAnsi="Arial" w:cs="Arial"/>
          <w:b/>
        </w:rPr>
        <w:t>Table 4-3</w:t>
      </w:r>
    </w:p>
    <w:p w14:paraId="2702C79E" w14:textId="77777777" w:rsidR="00251943" w:rsidRPr="00D07C73" w:rsidRDefault="00251943" w:rsidP="00251943">
      <w:pPr>
        <w:jc w:val="center"/>
        <w:rPr>
          <w:rFonts w:ascii="Arial" w:hAnsi="Arial" w:cs="Arial"/>
          <w:b/>
        </w:rPr>
      </w:pPr>
      <w:r w:rsidRPr="00D07C73">
        <w:rPr>
          <w:rFonts w:ascii="Arial" w:hAnsi="Arial" w:cs="Arial"/>
          <w:b/>
        </w:rPr>
        <w:t>Wastewater Capital Amortization</w:t>
      </w:r>
    </w:p>
    <w:tbl>
      <w:tblPr>
        <w:tblStyle w:val="TableGrid"/>
        <w:tblW w:w="0" w:type="auto"/>
        <w:tblLook w:val="04A0" w:firstRow="1" w:lastRow="0" w:firstColumn="1" w:lastColumn="0" w:noHBand="0" w:noVBand="1"/>
      </w:tblPr>
      <w:tblGrid>
        <w:gridCol w:w="1188"/>
        <w:gridCol w:w="2642"/>
        <w:gridCol w:w="1915"/>
        <w:gridCol w:w="2013"/>
        <w:gridCol w:w="1818"/>
      </w:tblGrid>
      <w:tr w:rsidR="00251943" w14:paraId="7A11CC9B" w14:textId="77777777" w:rsidTr="00251943">
        <w:tc>
          <w:tcPr>
            <w:tcW w:w="1188" w:type="dxa"/>
            <w:vAlign w:val="center"/>
          </w:tcPr>
          <w:p w14:paraId="30B0BF82" w14:textId="77777777" w:rsidR="00251943" w:rsidRDefault="00251943" w:rsidP="00251943">
            <w:pPr>
              <w:jc w:val="center"/>
            </w:pPr>
            <w:r>
              <w:t>Account</w:t>
            </w:r>
          </w:p>
        </w:tc>
        <w:tc>
          <w:tcPr>
            <w:tcW w:w="2642" w:type="dxa"/>
            <w:vAlign w:val="center"/>
          </w:tcPr>
          <w:p w14:paraId="07AFA02B" w14:textId="77777777" w:rsidR="00251943" w:rsidRDefault="00251943" w:rsidP="00251943">
            <w:pPr>
              <w:jc w:val="center"/>
            </w:pPr>
            <w:r>
              <w:t>Plant Balance</w:t>
            </w:r>
          </w:p>
        </w:tc>
        <w:tc>
          <w:tcPr>
            <w:tcW w:w="1915" w:type="dxa"/>
            <w:vAlign w:val="center"/>
          </w:tcPr>
          <w:p w14:paraId="77A03F19" w14:textId="77777777" w:rsidR="00251943" w:rsidRDefault="00251943" w:rsidP="00251943">
            <w:pPr>
              <w:jc w:val="center"/>
            </w:pPr>
            <w:r>
              <w:t>Accumulated Depreciation</w:t>
            </w:r>
          </w:p>
        </w:tc>
        <w:tc>
          <w:tcPr>
            <w:tcW w:w="2013" w:type="dxa"/>
            <w:vAlign w:val="center"/>
          </w:tcPr>
          <w:p w14:paraId="59A1AC19" w14:textId="77777777" w:rsidR="00251943" w:rsidRDefault="00251943" w:rsidP="00251943">
            <w:pPr>
              <w:jc w:val="center"/>
            </w:pPr>
            <w:r>
              <w:t>Undepreciated Plant Balance</w:t>
            </w:r>
          </w:p>
        </w:tc>
        <w:tc>
          <w:tcPr>
            <w:tcW w:w="1818" w:type="dxa"/>
            <w:vAlign w:val="center"/>
          </w:tcPr>
          <w:p w14:paraId="2A542B67" w14:textId="77777777" w:rsidR="00251943" w:rsidRDefault="00251943" w:rsidP="00251943">
            <w:pPr>
              <w:jc w:val="center"/>
            </w:pPr>
            <w:r>
              <w:t>Amortization Expense</w:t>
            </w:r>
          </w:p>
        </w:tc>
      </w:tr>
      <w:tr w:rsidR="00251943" w14:paraId="044D14F1" w14:textId="77777777" w:rsidTr="00251943">
        <w:tc>
          <w:tcPr>
            <w:tcW w:w="1188" w:type="dxa"/>
          </w:tcPr>
          <w:p w14:paraId="17E34D5F" w14:textId="77777777" w:rsidR="00251943" w:rsidRDefault="00251943" w:rsidP="00251943">
            <w:pPr>
              <w:jc w:val="both"/>
            </w:pPr>
            <w:r>
              <w:t>371</w:t>
            </w:r>
          </w:p>
        </w:tc>
        <w:tc>
          <w:tcPr>
            <w:tcW w:w="2642" w:type="dxa"/>
          </w:tcPr>
          <w:p w14:paraId="061C011E" w14:textId="77777777" w:rsidR="00251943" w:rsidRDefault="00251943" w:rsidP="00251943">
            <w:pPr>
              <w:jc w:val="right"/>
            </w:pPr>
            <w:r>
              <w:t>$126,476</w:t>
            </w:r>
          </w:p>
        </w:tc>
        <w:tc>
          <w:tcPr>
            <w:tcW w:w="1915" w:type="dxa"/>
          </w:tcPr>
          <w:p w14:paraId="7B6399F0" w14:textId="77777777" w:rsidR="00251943" w:rsidRDefault="00251943" w:rsidP="00251943">
            <w:pPr>
              <w:jc w:val="right"/>
            </w:pPr>
            <w:r>
              <w:t>$49,289</w:t>
            </w:r>
          </w:p>
        </w:tc>
        <w:tc>
          <w:tcPr>
            <w:tcW w:w="2013" w:type="dxa"/>
          </w:tcPr>
          <w:p w14:paraId="37157550" w14:textId="77777777" w:rsidR="00251943" w:rsidRDefault="00251943" w:rsidP="00251943">
            <w:pPr>
              <w:jc w:val="right"/>
            </w:pPr>
            <w:r>
              <w:t>$80,115</w:t>
            </w:r>
          </w:p>
        </w:tc>
        <w:tc>
          <w:tcPr>
            <w:tcW w:w="1818" w:type="dxa"/>
          </w:tcPr>
          <w:p w14:paraId="4D4251E8" w14:textId="77777777" w:rsidR="00251943" w:rsidRDefault="00251943" w:rsidP="00251943">
            <w:pPr>
              <w:jc w:val="right"/>
            </w:pPr>
            <w:r>
              <w:t>$8,011</w:t>
            </w:r>
          </w:p>
        </w:tc>
      </w:tr>
      <w:tr w:rsidR="00251943" w14:paraId="1564EC45" w14:textId="77777777" w:rsidTr="00251943">
        <w:tc>
          <w:tcPr>
            <w:tcW w:w="1188" w:type="dxa"/>
          </w:tcPr>
          <w:p w14:paraId="1C2904FF" w14:textId="77777777" w:rsidR="00251943" w:rsidRDefault="00251943" w:rsidP="00251943">
            <w:pPr>
              <w:jc w:val="both"/>
            </w:pPr>
            <w:r>
              <w:t>Total</w:t>
            </w:r>
          </w:p>
        </w:tc>
        <w:tc>
          <w:tcPr>
            <w:tcW w:w="2642" w:type="dxa"/>
          </w:tcPr>
          <w:p w14:paraId="6CB15AE3" w14:textId="77777777" w:rsidR="00251943" w:rsidRPr="00825E22" w:rsidRDefault="00251943" w:rsidP="00251943">
            <w:pPr>
              <w:jc w:val="right"/>
              <w:rPr>
                <w:u w:val="double"/>
              </w:rPr>
            </w:pPr>
            <w:r w:rsidRPr="00825E22">
              <w:rPr>
                <w:u w:val="double"/>
              </w:rPr>
              <w:t>$126,476</w:t>
            </w:r>
          </w:p>
        </w:tc>
        <w:tc>
          <w:tcPr>
            <w:tcW w:w="1915" w:type="dxa"/>
          </w:tcPr>
          <w:p w14:paraId="6AF8B5C4" w14:textId="77777777" w:rsidR="00251943" w:rsidRPr="00825E22" w:rsidRDefault="00251943" w:rsidP="00251943">
            <w:pPr>
              <w:jc w:val="right"/>
              <w:rPr>
                <w:u w:val="double"/>
              </w:rPr>
            </w:pPr>
            <w:r w:rsidRPr="00825E22">
              <w:rPr>
                <w:u w:val="double"/>
              </w:rPr>
              <w:t>$49,289</w:t>
            </w:r>
          </w:p>
        </w:tc>
        <w:tc>
          <w:tcPr>
            <w:tcW w:w="2013" w:type="dxa"/>
          </w:tcPr>
          <w:p w14:paraId="6262116B" w14:textId="77777777" w:rsidR="00251943" w:rsidRPr="00825E22" w:rsidRDefault="00251943" w:rsidP="00251943">
            <w:pPr>
              <w:jc w:val="right"/>
              <w:rPr>
                <w:u w:val="double"/>
              </w:rPr>
            </w:pPr>
            <w:r>
              <w:rPr>
                <w:u w:val="double"/>
              </w:rPr>
              <w:t>$80,115</w:t>
            </w:r>
          </w:p>
        </w:tc>
        <w:tc>
          <w:tcPr>
            <w:tcW w:w="1818" w:type="dxa"/>
          </w:tcPr>
          <w:p w14:paraId="67432164" w14:textId="77777777" w:rsidR="00251943" w:rsidRPr="00825E22" w:rsidRDefault="00251943" w:rsidP="00251943">
            <w:pPr>
              <w:jc w:val="right"/>
              <w:rPr>
                <w:u w:val="double"/>
              </w:rPr>
            </w:pPr>
            <w:r w:rsidRPr="00825E22">
              <w:rPr>
                <w:u w:val="double"/>
              </w:rPr>
              <w:t>$8,011</w:t>
            </w:r>
          </w:p>
        </w:tc>
      </w:tr>
    </w:tbl>
    <w:p w14:paraId="6DA050BF" w14:textId="3A468E52" w:rsidR="004F75CD" w:rsidRPr="00825E22" w:rsidRDefault="00251943" w:rsidP="004F75CD">
      <w:pPr>
        <w:pStyle w:val="BodyText"/>
      </w:pPr>
      <w:r>
        <w:t>Source: Staff calculations.</w:t>
      </w:r>
      <w:r w:rsidR="004F75CD" w:rsidRPr="004F75CD">
        <w:t xml:space="preserve"> </w:t>
      </w:r>
    </w:p>
    <w:p w14:paraId="7C18CE02" w14:textId="5EA42147" w:rsidR="004F75CD" w:rsidRPr="00825E22" w:rsidRDefault="00251943" w:rsidP="004F75CD">
      <w:pPr>
        <w:pStyle w:val="BodyText"/>
      </w:pPr>
      <w:r>
        <w:t>As described above, staff increased UPIS for pro forma-related additions by $1,758,389 for water and $949,844 for wastewater. This amount is offset by retirements of $543,861 for water and $131,852 for wastewater. Further, staff recommends capital recovery of $6,436 for water and $80,115 for wastewater over a 10-year amortization period. The corresponding annual amortization expense is $644 for water and $8,011 for wastewater.</w:t>
      </w:r>
      <w:r w:rsidR="004F75CD" w:rsidRPr="004F75CD">
        <w:t xml:space="preserve"> </w:t>
      </w:r>
    </w:p>
    <w:p w14:paraId="676CE75D" w14:textId="04278B54" w:rsidR="00251943" w:rsidRDefault="00251943" w:rsidP="004F75CD">
      <w:pPr>
        <w:jc w:val="both"/>
        <w:rPr>
          <w:rFonts w:ascii="Arial" w:hAnsi="Arial" w:cs="Arial"/>
          <w:b/>
        </w:rPr>
      </w:pPr>
      <w:r>
        <w:rPr>
          <w:rFonts w:ascii="Arial" w:hAnsi="Arial" w:cs="Arial"/>
          <w:b/>
        </w:rPr>
        <w:t>Used and Useful</w:t>
      </w:r>
    </w:p>
    <w:p w14:paraId="57F4D66A" w14:textId="77777777" w:rsidR="00251943" w:rsidRDefault="00251943" w:rsidP="00251943">
      <w:r>
        <w:t>As discussed in Issue 2, the Utility’s system is considered 100 percent U&amp;U. Therefore, no U&amp;U adjustment is necessary.</w:t>
      </w:r>
    </w:p>
    <w:p w14:paraId="66D29578" w14:textId="77777777" w:rsidR="008B149A" w:rsidRPr="00D31EA6" w:rsidRDefault="008B149A" w:rsidP="00251943"/>
    <w:p w14:paraId="37BD0B30" w14:textId="77777777" w:rsidR="00251943" w:rsidRPr="00E710F2" w:rsidRDefault="00251943" w:rsidP="00251943">
      <w:pPr>
        <w:rPr>
          <w:rFonts w:ascii="Arial" w:hAnsi="Arial" w:cs="Arial"/>
          <w:b/>
        </w:rPr>
      </w:pPr>
      <w:r w:rsidRPr="00E710F2">
        <w:rPr>
          <w:rFonts w:ascii="Arial" w:hAnsi="Arial" w:cs="Arial"/>
          <w:b/>
        </w:rPr>
        <w:t>Land and Land Rights</w:t>
      </w:r>
    </w:p>
    <w:p w14:paraId="6A630E2C" w14:textId="77777777" w:rsidR="00251943" w:rsidRPr="00825E22" w:rsidRDefault="00251943" w:rsidP="008B149A">
      <w:pPr>
        <w:pStyle w:val="BodyText"/>
      </w:pPr>
      <w:r>
        <w:t>The Utility recorded a test year land and land rights balance of $7,000 for water and $49,400 for wastewater. Audit staff reduced this account by $4,000 for water to reflect amounts approved in the last Commission Order.</w:t>
      </w:r>
      <w:r>
        <w:rPr>
          <w:rStyle w:val="FootnoteReference"/>
        </w:rPr>
        <w:footnoteReference w:id="40"/>
      </w:r>
      <w:r>
        <w:t xml:space="preserve"> Therefore, staff recommends a land and land rights balance of $3,000 for water and $49,400 for wastewater.</w:t>
      </w:r>
      <w:r w:rsidR="008B149A" w:rsidRPr="008B149A">
        <w:t xml:space="preserve"> </w:t>
      </w:r>
    </w:p>
    <w:p w14:paraId="752390BD" w14:textId="77777777" w:rsidR="00251943" w:rsidRPr="00453B43" w:rsidRDefault="00251943" w:rsidP="00251943">
      <w:pPr>
        <w:rPr>
          <w:rFonts w:ascii="Arial" w:hAnsi="Arial" w:cs="Arial"/>
          <w:b/>
        </w:rPr>
      </w:pPr>
      <w:r w:rsidRPr="00453B43">
        <w:rPr>
          <w:rFonts w:ascii="Arial" w:hAnsi="Arial" w:cs="Arial"/>
          <w:b/>
        </w:rPr>
        <w:t>Accumulated Depreciation</w:t>
      </w:r>
    </w:p>
    <w:p w14:paraId="70748BEF" w14:textId="1F75CC07" w:rsidR="00633CC2" w:rsidRPr="00825E22" w:rsidRDefault="00251943" w:rsidP="00633CC2">
      <w:pPr>
        <w:pStyle w:val="BodyText"/>
      </w:pPr>
      <w:r>
        <w:t>The Utility recorded an accumulated depreciation balance of $2,926,284 for water and $3,149,184 for wastewater. Audit staff decreased these amounts by $127,254 for water and $382,576 for wastewater to reflect adjustments from a prior Commission Order, to reclassify amounts from WWTP, to reclassify from O&amp;M Expense, and to reflect additions and retirements not booked.</w:t>
      </w:r>
      <w:r>
        <w:rPr>
          <w:rStyle w:val="FootnoteReference"/>
        </w:rPr>
        <w:footnoteReference w:id="41"/>
      </w:r>
      <w:r>
        <w:t xml:space="preserve"> Staff decreased accumulated depreciation by $30,217 for water and $95,769 for wastewater to reflect averaging adjustments. Additionally, staff decreased accumulated depreciation by $485,718 for water and $84,158 for wastewater due to pro forma additions and retirements.</w:t>
      </w:r>
    </w:p>
    <w:p w14:paraId="4229319B" w14:textId="0E6AE1A6" w:rsidR="00633CC2" w:rsidRDefault="00251943" w:rsidP="00633CC2">
      <w:pPr>
        <w:pStyle w:val="BodyText"/>
      </w:pPr>
      <w:r>
        <w:t>Staff’s adjustments to accumulated depreciation result in a net decrease of $643,189 for water and a net decrease of $562,502 for wastewater. Therefore, staff recommends an accumulated depreciation balance of $2,283,095 for water and $2,586,682 for wastewater.</w:t>
      </w:r>
    </w:p>
    <w:p w14:paraId="4DA3DB15" w14:textId="77777777" w:rsidR="00936BB9" w:rsidRPr="00E710F2" w:rsidRDefault="00936BB9" w:rsidP="00936BB9">
      <w:pPr>
        <w:jc w:val="both"/>
        <w:rPr>
          <w:rFonts w:ascii="Arial" w:hAnsi="Arial" w:cs="Arial"/>
          <w:b/>
        </w:rPr>
      </w:pPr>
      <w:r w:rsidRPr="0078657F">
        <w:rPr>
          <w:rFonts w:ascii="Arial" w:hAnsi="Arial" w:cs="Arial"/>
          <w:b/>
        </w:rPr>
        <w:t>Contributions-</w:t>
      </w:r>
      <w:r w:rsidRPr="005676CF">
        <w:rPr>
          <w:rFonts w:ascii="Arial" w:hAnsi="Arial" w:cs="Arial"/>
          <w:b/>
        </w:rPr>
        <w:t>I</w:t>
      </w:r>
      <w:r w:rsidRPr="0078657F">
        <w:rPr>
          <w:rFonts w:ascii="Arial" w:hAnsi="Arial" w:cs="Arial"/>
          <w:b/>
        </w:rPr>
        <w:t>n-</w:t>
      </w:r>
      <w:r w:rsidRPr="005676CF">
        <w:rPr>
          <w:rFonts w:ascii="Arial" w:hAnsi="Arial" w:cs="Arial"/>
          <w:b/>
        </w:rPr>
        <w:t>A</w:t>
      </w:r>
      <w:r w:rsidRPr="0078657F">
        <w:rPr>
          <w:rFonts w:ascii="Arial" w:hAnsi="Arial" w:cs="Arial"/>
          <w:b/>
        </w:rPr>
        <w:t>id</w:t>
      </w:r>
      <w:r w:rsidRPr="005676CF">
        <w:rPr>
          <w:rFonts w:ascii="Arial" w:hAnsi="Arial" w:cs="Arial"/>
          <w:b/>
        </w:rPr>
        <w:t>-</w:t>
      </w:r>
      <w:r w:rsidRPr="0078657F">
        <w:rPr>
          <w:rFonts w:ascii="Arial" w:hAnsi="Arial" w:cs="Arial"/>
          <w:b/>
        </w:rPr>
        <w:t>of</w:t>
      </w:r>
      <w:r>
        <w:rPr>
          <w:rFonts w:ascii="Arial" w:hAnsi="Arial" w:cs="Arial"/>
          <w:b/>
        </w:rPr>
        <w:t>-</w:t>
      </w:r>
      <w:r w:rsidRPr="0078657F">
        <w:rPr>
          <w:rFonts w:ascii="Arial" w:hAnsi="Arial" w:cs="Arial"/>
          <w:b/>
        </w:rPr>
        <w:t>Construction</w:t>
      </w:r>
      <w:r>
        <w:rPr>
          <w:rFonts w:ascii="Arial" w:hAnsi="Arial" w:cs="Arial"/>
          <w:b/>
        </w:rPr>
        <w:t xml:space="preserve"> (CIAC)</w:t>
      </w:r>
    </w:p>
    <w:p w14:paraId="22188D92" w14:textId="77777777" w:rsidR="00936BB9" w:rsidRDefault="00936BB9" w:rsidP="00936BB9">
      <w:pPr>
        <w:pStyle w:val="BodyText"/>
      </w:pPr>
      <w:r>
        <w:t xml:space="preserve">The Utility recorded CIAC of $2,302,685 for water and $1,051,361 for wastewater. Staff made no adjustments and therefore recommends an average CIAC balance of </w:t>
      </w:r>
      <w:r w:rsidRPr="00F37C64">
        <w:t>$2,302,685 for water and $1,051,361 for wastewater</w:t>
      </w:r>
      <w:r>
        <w:t>.</w:t>
      </w:r>
      <w:r w:rsidRPr="008B149A">
        <w:t xml:space="preserve"> </w:t>
      </w:r>
    </w:p>
    <w:p w14:paraId="64857B4D" w14:textId="77777777" w:rsidR="00251943" w:rsidRPr="00E710F2" w:rsidRDefault="00251943" w:rsidP="00251943">
      <w:pPr>
        <w:rPr>
          <w:rFonts w:ascii="Arial" w:hAnsi="Arial" w:cs="Arial"/>
        </w:rPr>
      </w:pPr>
      <w:r w:rsidRPr="00E710F2">
        <w:rPr>
          <w:rFonts w:ascii="Arial" w:hAnsi="Arial" w:cs="Arial"/>
          <w:b/>
        </w:rPr>
        <w:t>Accumulated Amortization of CIAC</w:t>
      </w:r>
    </w:p>
    <w:p w14:paraId="6FD835CD" w14:textId="77777777" w:rsidR="008B149A" w:rsidRDefault="00251943" w:rsidP="008B149A">
      <w:pPr>
        <w:pStyle w:val="BodyText"/>
      </w:pPr>
      <w:r>
        <w:t>The Utility recorded accumulated amortization of CIAC of $2,191,692 for water and $872,227 for wastewater. Audit staff reduced these amounts by $115,270 for water and $90,250 for wastewater to reflect amortization based on depreciation rates of the related plant accounts. Additionally, staff further decreased these amounts by $21,092 for water and $5,968 for wastewater to</w:t>
      </w:r>
      <w:r w:rsidR="008B149A">
        <w:t xml:space="preserve"> reflect averaging adjustments.</w:t>
      </w:r>
    </w:p>
    <w:p w14:paraId="5494EAD7" w14:textId="77777777" w:rsidR="008B149A" w:rsidRDefault="00251943" w:rsidP="008B149A">
      <w:pPr>
        <w:pStyle w:val="BodyText"/>
      </w:pPr>
      <w:r>
        <w:t>Staff’s adjustments result in a net reduction to accumulated amortization of CIAC of $136,362 for water and $96,218 for wastewater. Therefore, staff recommends an average accumulated amortization of CIAC balance of $2,055,330 for water and $776,009 for wastewater.</w:t>
      </w:r>
      <w:r w:rsidR="008B149A" w:rsidRPr="008B149A">
        <w:t xml:space="preserve"> </w:t>
      </w:r>
    </w:p>
    <w:p w14:paraId="70020D33" w14:textId="77777777" w:rsidR="00251943" w:rsidRPr="00E710F2" w:rsidRDefault="00251943" w:rsidP="00251943">
      <w:pPr>
        <w:rPr>
          <w:rFonts w:ascii="Arial" w:hAnsi="Arial" w:cs="Arial"/>
          <w:b/>
        </w:rPr>
      </w:pPr>
      <w:r w:rsidRPr="00E710F2">
        <w:rPr>
          <w:rFonts w:ascii="Arial" w:hAnsi="Arial" w:cs="Arial"/>
          <w:b/>
        </w:rPr>
        <w:t>Working Capital Allowance</w:t>
      </w:r>
    </w:p>
    <w:p w14:paraId="19C1483A" w14:textId="77777777" w:rsidR="00251943" w:rsidRPr="00C736E0" w:rsidRDefault="00251943" w:rsidP="008B149A">
      <w:pPr>
        <w:pStyle w:val="BodyText"/>
      </w:pPr>
      <w:r>
        <w:t>Working capital is defined as the short-term investor-supplied funds that are necessary to meet operating expenses. Consistent with Rule 25-30.433(2), F.A.C., staff used the one-eighth O&amp;M expense (less rate case expense) formula for calculating the working capital allowance. As such, staff removed the rate case expense of $6,179 for water and $3,823 for wastewater. This resulted in an adjusted O&amp;M expense balance of $439,767 for water and $450,375 for wastewater. Applying the aforementioned formula, staff recommends a working capital allowance of $54,971 for water and $56,297 for wastewater.</w:t>
      </w:r>
    </w:p>
    <w:p w14:paraId="0661DB1A" w14:textId="77777777" w:rsidR="004F75CD" w:rsidRPr="00E710F2" w:rsidRDefault="004F75CD" w:rsidP="004F75CD">
      <w:pPr>
        <w:rPr>
          <w:rFonts w:ascii="Arial" w:hAnsi="Arial" w:cs="Arial"/>
          <w:b/>
        </w:rPr>
      </w:pPr>
      <w:r w:rsidRPr="00A34FF1">
        <w:rPr>
          <w:rFonts w:ascii="Arial" w:hAnsi="Arial" w:cs="Arial"/>
          <w:b/>
        </w:rPr>
        <w:t>Conclusion</w:t>
      </w:r>
    </w:p>
    <w:p w14:paraId="1E20B086" w14:textId="49BA2D1F" w:rsidR="004F75CD" w:rsidRDefault="004F75CD" w:rsidP="004F75CD">
      <w:pPr>
        <w:pStyle w:val="BodyText"/>
      </w:pPr>
      <w:r>
        <w:t>Based on the foregoing, staff recommends that the appropriate average test year rate base is $1,866,312 for water and $1,241,585 for wastewater. Rate base is shown on Schedule No. 1-A for water and Schedule No. 1-B for wastewater. The related adjustments are shown on Schedule No. 1-C.</w:t>
      </w:r>
      <w:r w:rsidRPr="00A34FF1">
        <w:t xml:space="preserve"> Further, staff recommends the Utility be required to submit a report no later than November 30, 2026, detailing the status and in-service date of each Commission-approved pro forma project.</w:t>
      </w:r>
    </w:p>
    <w:p w14:paraId="3BAA0CFA" w14:textId="28BDA49A" w:rsidR="004A380F" w:rsidRDefault="004A380F">
      <w:pPr>
        <w:pStyle w:val="IssueHeading"/>
        <w:rPr>
          <w:vanish/>
          <w:specVanish/>
        </w:rPr>
      </w:pPr>
      <w:r w:rsidRPr="004C3641">
        <w:rPr>
          <w:b w:val="0"/>
          <w:i w:val="0"/>
        </w:rPr>
        <w:br w:type="page"/>
      </w:r>
      <w:r w:rsidRPr="004C3641">
        <w:t xml:space="preserve">Issue </w:t>
      </w:r>
      <w:r w:rsidR="00C3694F">
        <w:fldChar w:fldCharType="begin"/>
      </w:r>
      <w:r w:rsidR="00C3694F">
        <w:instrText xml:space="preserve"> SEQ Issue \* MERGEFORMAT </w:instrText>
      </w:r>
      <w:r w:rsidR="00C3694F">
        <w:fldChar w:fldCharType="separate"/>
      </w:r>
      <w:r w:rsidR="00C3694F">
        <w:rPr>
          <w:noProof/>
        </w:rPr>
        <w:t>5</w:t>
      </w:r>
      <w:r w:rsidR="00C3694F">
        <w:rPr>
          <w:noProof/>
        </w:rPr>
        <w:fldChar w:fldCharType="end"/>
      </w:r>
      <w:r w:rsidRPr="004C3641">
        <w:t>:</w:t>
      </w:r>
      <w:r>
        <w:fldChar w:fldCharType="begin"/>
      </w:r>
      <w:r>
        <w:instrText xml:space="preserve"> TC "</w:instrText>
      </w:r>
      <w:bookmarkStart w:id="19" w:name="_Toc219970001"/>
      <w:r w:rsidR="00470C1A">
        <w:instrText xml:space="preserve">Issue </w:instrText>
      </w:r>
      <w:r w:rsidR="00470C1A">
        <w:fldChar w:fldCharType="begin"/>
      </w:r>
      <w:r w:rsidR="00470C1A">
        <w:instrText xml:space="preserve"> SEQ issue \c </w:instrText>
      </w:r>
      <w:r w:rsidR="00470C1A">
        <w:fldChar w:fldCharType="separate"/>
      </w:r>
      <w:r w:rsidR="00C3694F">
        <w:rPr>
          <w:noProof/>
        </w:rPr>
        <w:instrText>5</w:instrText>
      </w:r>
      <w:r w:rsidR="00470C1A">
        <w:fldChar w:fldCharType="end"/>
      </w:r>
      <w:r w:rsidR="00470C1A">
        <w:instrText xml:space="preserve"> – Rate of Return</w:instrText>
      </w:r>
      <w:bookmarkEnd w:id="19"/>
      <w:r>
        <w:instrText xml:space="preserve">" \l 1 </w:instrText>
      </w:r>
      <w:r>
        <w:fldChar w:fldCharType="end"/>
      </w:r>
      <w:r>
        <w:t> </w:t>
      </w:r>
    </w:p>
    <w:p w14:paraId="05C0B32F" w14:textId="5929B78A" w:rsidR="004A380F" w:rsidRDefault="004A380F">
      <w:pPr>
        <w:pStyle w:val="BodyText"/>
      </w:pPr>
      <w:r>
        <w:t> </w:t>
      </w:r>
      <w:r w:rsidR="00FC1629">
        <w:t>What is the appropriate return on equity and overall rate of return for Grenelefe</w:t>
      </w:r>
      <w:r>
        <w:t>?</w:t>
      </w:r>
    </w:p>
    <w:p w14:paraId="4CA6B5D1" w14:textId="77777777" w:rsidR="004A380F" w:rsidRPr="004C3641" w:rsidRDefault="004A380F">
      <w:pPr>
        <w:pStyle w:val="IssueSubsectionHeading"/>
        <w:rPr>
          <w:vanish/>
          <w:specVanish/>
        </w:rPr>
      </w:pPr>
      <w:r w:rsidRPr="004C3641">
        <w:t>Recommendation: </w:t>
      </w:r>
    </w:p>
    <w:p w14:paraId="3299DF0E" w14:textId="77777777" w:rsidR="004A380F" w:rsidRDefault="004A380F">
      <w:pPr>
        <w:pStyle w:val="BodyText"/>
      </w:pPr>
      <w:r>
        <w:t> </w:t>
      </w:r>
      <w:r w:rsidR="00FC1629">
        <w:t>The appropriate return on equity (ROE) is 10.51 percent with a range of 9.51 percent to 11.51 percent. The appropriate overall rate of return is 9.00 percent.</w:t>
      </w:r>
      <w:r>
        <w:t xml:space="preserve"> (Cohn)</w:t>
      </w:r>
    </w:p>
    <w:p w14:paraId="540EE48A" w14:textId="77777777" w:rsidR="004A380F" w:rsidRPr="004C3641" w:rsidRDefault="004A380F">
      <w:pPr>
        <w:pStyle w:val="IssueSubsectionHeading"/>
        <w:rPr>
          <w:vanish/>
          <w:specVanish/>
        </w:rPr>
      </w:pPr>
      <w:r w:rsidRPr="004C3641">
        <w:t>Staff Analysis: </w:t>
      </w:r>
    </w:p>
    <w:p w14:paraId="5A6274C6" w14:textId="77777777" w:rsidR="00FC1629" w:rsidRDefault="004A380F" w:rsidP="00FC1629">
      <w:pPr>
        <w:pStyle w:val="BodyText"/>
      </w:pPr>
      <w:r>
        <w:t> </w:t>
      </w:r>
      <w:r w:rsidR="00FC1629">
        <w:t>The Utility’s capital structure consists of long-term debt, common equity, and customer deposits. In response to a staff inquiry, the Utility provided information regarding the financing of its pro forma additions.</w:t>
      </w:r>
      <w:r w:rsidR="00FC1629">
        <w:rPr>
          <w:rStyle w:val="FootnoteReference"/>
        </w:rPr>
        <w:footnoteReference w:id="42"/>
      </w:r>
      <w:r w:rsidR="00FC1629">
        <w:t xml:space="preserve"> Grenelefe intends to finance approximately 75 percent of its capital additions through long-term debt and the other 25 percent through common equity. Although the Utility has yet to secure the long-term loan, it has been quoted an estimated interest rate range of 6.5 percent to 9.0 percent. Thus, staff has developed a hypothetical capital structure utilizing the information provided by the Utility. With respect to the pro forma additions, staff assumed a 7.75</w:t>
      </w:r>
      <w:r w:rsidR="00FC1629" w:rsidRPr="00D15E8E">
        <w:t xml:space="preserve"> percent cost rate for the Utility’s </w:t>
      </w:r>
      <w:r w:rsidR="00FC1629">
        <w:t xml:space="preserve">prospective </w:t>
      </w:r>
      <w:r w:rsidR="00FC1629" w:rsidRPr="00D15E8E">
        <w:t>long-term loan</w:t>
      </w:r>
      <w:r w:rsidR="00633CC2">
        <w:t>,</w:t>
      </w:r>
      <w:r w:rsidR="00FC1629">
        <w:t xml:space="preserve"> as it represents the midpoint of the estimated range</w:t>
      </w:r>
      <w:r w:rsidR="00FC1629" w:rsidRPr="00D15E8E">
        <w:t xml:space="preserve">. </w:t>
      </w:r>
      <w:r w:rsidR="00FC1629">
        <w:t>Since the time of the Staff Report, the Utility has not obtained actual loan information.</w:t>
      </w:r>
      <w:r w:rsidR="00FC1629">
        <w:rPr>
          <w:rStyle w:val="FootnoteReference"/>
        </w:rPr>
        <w:footnoteReference w:id="43"/>
      </w:r>
      <w:r w:rsidR="00FC1629">
        <w:t xml:space="preserve"> </w:t>
      </w:r>
      <w:r w:rsidR="00FC1629" w:rsidRPr="00D15E8E">
        <w:t>When coupled with the Utility’s pre-existing long-term debt</w:t>
      </w:r>
      <w:r w:rsidR="00FC1629">
        <w:t xml:space="preserve"> obligation</w:t>
      </w:r>
      <w:r w:rsidR="00FC1629" w:rsidRPr="00D15E8E">
        <w:t xml:space="preserve"> at a cost rate of 9.75 percent, staff calculated a weighted average cost of long-term debt of </w:t>
      </w:r>
      <w:r w:rsidR="00FC1629">
        <w:t>8.52</w:t>
      </w:r>
      <w:r w:rsidR="00FC1629" w:rsidRPr="00D15E8E">
        <w:t xml:space="preserve"> percent.</w:t>
      </w:r>
      <w:r w:rsidR="00FC1629">
        <w:t xml:space="preserve"> </w:t>
      </w:r>
    </w:p>
    <w:p w14:paraId="0E26A653" w14:textId="77777777" w:rsidR="00633CC2" w:rsidRDefault="00633CC2" w:rsidP="00633CC2">
      <w:pPr>
        <w:pStyle w:val="First-LevelSubheading"/>
      </w:pPr>
      <w:r>
        <w:t>Conclusion</w:t>
      </w:r>
    </w:p>
    <w:p w14:paraId="7BC7822F" w14:textId="77777777" w:rsidR="004A380F" w:rsidRDefault="00FC1629" w:rsidP="00FC1629">
      <w:pPr>
        <w:pStyle w:val="BodyText"/>
      </w:pPr>
      <w:r>
        <w:t>The Utility’s (hypothetical) capital structure has been reconciled with staff’s recommended rate base. The appropriate ROE is 10.51 percent based on the Commission-approved leverage formula currently in effect.</w:t>
      </w:r>
      <w:r>
        <w:rPr>
          <w:rStyle w:val="FootnoteReference"/>
        </w:rPr>
        <w:footnoteReference w:id="44"/>
      </w:r>
      <w:r>
        <w:t xml:space="preserve"> Staff recommends an ROE of 10.51 percent with a range of 9.51 percent to 11.51 percent, and an overall rate of return of 9.00 percent. The ROE and overall rate of return are shown on Schedule No. 2.</w:t>
      </w:r>
    </w:p>
    <w:p w14:paraId="2FDA4295" w14:textId="17A13070" w:rsidR="004A380F" w:rsidRDefault="004A380F">
      <w:pPr>
        <w:pStyle w:val="IssueHeading"/>
        <w:rPr>
          <w:vanish/>
          <w:specVanish/>
        </w:rPr>
      </w:pPr>
      <w:r w:rsidRPr="004C3641">
        <w:rPr>
          <w:b w:val="0"/>
          <w:i w:val="0"/>
        </w:rPr>
        <w:br w:type="page"/>
      </w:r>
      <w:r w:rsidRPr="004C3641">
        <w:t xml:space="preserve">Issue </w:t>
      </w:r>
      <w:r w:rsidR="00C3694F">
        <w:fldChar w:fldCharType="begin"/>
      </w:r>
      <w:r w:rsidR="00C3694F">
        <w:instrText xml:space="preserve"> SEQ Issue \*</w:instrText>
      </w:r>
      <w:r w:rsidR="00C3694F">
        <w:instrText xml:space="preserve"> MERGEFORMAT </w:instrText>
      </w:r>
      <w:r w:rsidR="00C3694F">
        <w:fldChar w:fldCharType="separate"/>
      </w:r>
      <w:r w:rsidR="00C3694F">
        <w:rPr>
          <w:noProof/>
        </w:rPr>
        <w:t>6</w:t>
      </w:r>
      <w:r w:rsidR="00C3694F">
        <w:rPr>
          <w:noProof/>
        </w:rPr>
        <w:fldChar w:fldCharType="end"/>
      </w:r>
      <w:r w:rsidRPr="004C3641">
        <w:t>:</w:t>
      </w:r>
      <w:r>
        <w:fldChar w:fldCharType="begin"/>
      </w:r>
      <w:r>
        <w:instrText xml:space="preserve"> TC "</w:instrText>
      </w:r>
      <w:bookmarkStart w:id="20" w:name="_Toc219970002"/>
      <w:r w:rsidR="00470C1A">
        <w:instrText xml:space="preserve">Issue </w:instrText>
      </w:r>
      <w:r w:rsidR="00470C1A">
        <w:fldChar w:fldCharType="begin"/>
      </w:r>
      <w:r w:rsidR="00470C1A">
        <w:instrText xml:space="preserve"> SEQ issue \c </w:instrText>
      </w:r>
      <w:r w:rsidR="00470C1A">
        <w:fldChar w:fldCharType="separate"/>
      </w:r>
      <w:r w:rsidR="00C3694F">
        <w:rPr>
          <w:noProof/>
        </w:rPr>
        <w:instrText>6</w:instrText>
      </w:r>
      <w:r w:rsidR="00470C1A">
        <w:fldChar w:fldCharType="end"/>
      </w:r>
      <w:r w:rsidR="00470C1A">
        <w:instrText xml:space="preserve"> – Test Year Revenues</w:instrText>
      </w:r>
      <w:bookmarkEnd w:id="20"/>
      <w:r>
        <w:instrText xml:space="preserve">" \l 1 </w:instrText>
      </w:r>
      <w:r>
        <w:fldChar w:fldCharType="end"/>
      </w:r>
      <w:r>
        <w:t> </w:t>
      </w:r>
    </w:p>
    <w:p w14:paraId="63390B32" w14:textId="77777777" w:rsidR="004A380F" w:rsidRDefault="004A380F">
      <w:pPr>
        <w:pStyle w:val="BodyText"/>
      </w:pPr>
      <w:r>
        <w:t> What are the appropriate test year revenues for Grenelefe’s water and wastewater system?</w:t>
      </w:r>
    </w:p>
    <w:p w14:paraId="1E6F586E" w14:textId="77777777" w:rsidR="004A380F" w:rsidRPr="004C3641" w:rsidRDefault="004A380F">
      <w:pPr>
        <w:pStyle w:val="IssueSubsectionHeading"/>
        <w:rPr>
          <w:vanish/>
          <w:specVanish/>
        </w:rPr>
      </w:pPr>
      <w:r w:rsidRPr="004C3641">
        <w:t>Recommendation: </w:t>
      </w:r>
    </w:p>
    <w:p w14:paraId="30A03094" w14:textId="77777777" w:rsidR="004A380F" w:rsidRDefault="004A380F">
      <w:pPr>
        <w:pStyle w:val="BodyText"/>
      </w:pPr>
      <w:r>
        <w:t> </w:t>
      </w:r>
      <w:r w:rsidR="000E4548">
        <w:rPr>
          <w:color w:val="000000"/>
        </w:rPr>
        <w:t xml:space="preserve">The appropriate test year operating revenues for </w:t>
      </w:r>
      <w:r w:rsidR="000E4548">
        <w:t>Grenelefe’s</w:t>
      </w:r>
      <w:r w:rsidR="000E4548">
        <w:rPr>
          <w:color w:val="000000"/>
        </w:rPr>
        <w:t xml:space="preserve"> are $291,545 for the water system and </w:t>
      </w:r>
      <w:r w:rsidR="000E4548" w:rsidRPr="0095481E">
        <w:rPr>
          <w:color w:val="000000"/>
        </w:rPr>
        <w:t>$</w:t>
      </w:r>
      <w:r w:rsidR="000E4548">
        <w:rPr>
          <w:color w:val="000000"/>
        </w:rPr>
        <w:t>254,027</w:t>
      </w:r>
      <w:r w:rsidR="000E4548" w:rsidRPr="00953071">
        <w:rPr>
          <w:color w:val="000000"/>
        </w:rPr>
        <w:t xml:space="preserve"> for the wastewater system</w:t>
      </w:r>
      <w:r w:rsidR="000E4548">
        <w:rPr>
          <w:color w:val="000000"/>
        </w:rPr>
        <w:t>.</w:t>
      </w:r>
      <w:r>
        <w:t xml:space="preserve"> (Sibley)</w:t>
      </w:r>
    </w:p>
    <w:p w14:paraId="0C747596" w14:textId="77777777" w:rsidR="004A380F" w:rsidRPr="004C3641" w:rsidRDefault="004A380F">
      <w:pPr>
        <w:pStyle w:val="IssueSubsectionHeading"/>
        <w:rPr>
          <w:vanish/>
          <w:specVanish/>
        </w:rPr>
      </w:pPr>
      <w:r w:rsidRPr="004C3641">
        <w:t>Staff Analysis: </w:t>
      </w:r>
    </w:p>
    <w:p w14:paraId="6ACFAA78" w14:textId="4A04FD6A" w:rsidR="00633CC2" w:rsidRDefault="004A380F" w:rsidP="00633CC2">
      <w:pPr>
        <w:pStyle w:val="BodyText"/>
      </w:pPr>
      <w:r>
        <w:t> </w:t>
      </w:r>
      <w:r w:rsidR="000E4548" w:rsidRPr="00603803">
        <w:rPr>
          <w:color w:val="000000"/>
        </w:rPr>
        <w:t xml:space="preserve">The </w:t>
      </w:r>
      <w:r w:rsidR="000E4548">
        <w:rPr>
          <w:color w:val="000000"/>
        </w:rPr>
        <w:t>Utility</w:t>
      </w:r>
      <w:r w:rsidR="000E4548" w:rsidRPr="00603803">
        <w:rPr>
          <w:color w:val="000000"/>
        </w:rPr>
        <w:t xml:space="preserve"> recorded test year operating revenues of </w:t>
      </w:r>
      <w:r w:rsidR="000E4548">
        <w:rPr>
          <w:color w:val="000000"/>
        </w:rPr>
        <w:t>$364,578</w:t>
      </w:r>
      <w:r w:rsidR="000E4548" w:rsidRPr="00603803">
        <w:rPr>
          <w:color w:val="000000"/>
        </w:rPr>
        <w:t xml:space="preserve"> for water and </w:t>
      </w:r>
      <w:r w:rsidR="000E4548">
        <w:rPr>
          <w:color w:val="000000"/>
        </w:rPr>
        <w:t>$</w:t>
      </w:r>
      <w:r w:rsidR="00A250B0">
        <w:rPr>
          <w:color w:val="000000"/>
        </w:rPr>
        <w:t>245,208</w:t>
      </w:r>
      <w:r w:rsidR="000E4548">
        <w:rPr>
          <w:color w:val="000000"/>
        </w:rPr>
        <w:t xml:space="preserve"> for wastewater.</w:t>
      </w:r>
      <w:r w:rsidR="000E4548" w:rsidRPr="00603803">
        <w:rPr>
          <w:color w:val="000000"/>
        </w:rPr>
        <w:t xml:space="preserve"> </w:t>
      </w:r>
      <w:r w:rsidR="000E4548">
        <w:rPr>
          <w:color w:val="000000"/>
        </w:rPr>
        <w:t>The water revenues included $331,092 of service revenues and $33,486 of miscellaneous revenues. The Utility did not include any miscellaneous revenues for the wastewater system.</w:t>
      </w:r>
    </w:p>
    <w:p w14:paraId="43FC525C" w14:textId="7FEBA6AE" w:rsidR="00A57101" w:rsidRPr="00F86E40" w:rsidRDefault="00A250B0" w:rsidP="00633CC2">
      <w:pPr>
        <w:pStyle w:val="BodyText"/>
        <w:rPr>
          <w:color w:val="000000"/>
        </w:rPr>
      </w:pPr>
      <w:r w:rsidRPr="00F86E40">
        <w:rPr>
          <w:color w:val="000000"/>
        </w:rPr>
        <w:t>During the test year, the Utility had several changes in its billing software, which resulted in inconsistent billing data. T</w:t>
      </w:r>
      <w:r w:rsidR="000E4548" w:rsidRPr="00F86E40">
        <w:rPr>
          <w:color w:val="000000"/>
        </w:rPr>
        <w:t>he Utility was unable to provide the billing data for the months of November and December 2023. Audit staff believed it was necessary to use the calendar year 2024 billing data to prepare the billing analysis. However, due to a change in the billing software, the billing data for the months of January</w:t>
      </w:r>
      <w:r w:rsidR="00A57101" w:rsidRPr="00F86E40">
        <w:rPr>
          <w:color w:val="000000"/>
        </w:rPr>
        <w:t xml:space="preserve"> 2024</w:t>
      </w:r>
      <w:r w:rsidR="000E4548" w:rsidRPr="00F86E40">
        <w:rPr>
          <w:color w:val="000000"/>
        </w:rPr>
        <w:t xml:space="preserve"> and February 2024 were combined into one billing register. Since the billing data was combined for two billing periods and a monthly average was used for the two months in audit staff’s billing analysis, staff believes it was appropriate to use January</w:t>
      </w:r>
      <w:r w:rsidR="00A6616B" w:rsidRPr="00F86E40">
        <w:rPr>
          <w:color w:val="000000"/>
        </w:rPr>
        <w:t xml:space="preserve"> </w:t>
      </w:r>
      <w:r w:rsidR="00A57101" w:rsidRPr="00F86E40">
        <w:rPr>
          <w:color w:val="000000"/>
        </w:rPr>
        <w:t>2025</w:t>
      </w:r>
      <w:r w:rsidR="000E4548" w:rsidRPr="00F86E40">
        <w:rPr>
          <w:color w:val="000000"/>
        </w:rPr>
        <w:t xml:space="preserve"> and February 2025 billing data to complete the billing analysis. </w:t>
      </w:r>
    </w:p>
    <w:p w14:paraId="589586F5" w14:textId="26B35189" w:rsidR="00A57101" w:rsidRDefault="00A57101" w:rsidP="00A57101">
      <w:pPr>
        <w:pStyle w:val="BodyText"/>
      </w:pPr>
      <w:r w:rsidRPr="00F86E40">
        <w:rPr>
          <w:color w:val="000000"/>
        </w:rPr>
        <w:t>Upon deciding to use the January 2025 and February 2025</w:t>
      </w:r>
      <w:r w:rsidR="00F86E40">
        <w:rPr>
          <w:color w:val="000000"/>
        </w:rPr>
        <w:t xml:space="preserve"> billing data</w:t>
      </w:r>
      <w:r w:rsidRPr="00F86E40">
        <w:rPr>
          <w:color w:val="000000"/>
        </w:rPr>
        <w:t>, staff discovered the Utility had another software change.  In addition, from prior dockets, staff was familiar with the customer classifications and meter sizes and noticed that some customers were misclassified. Recently, the Utility informed staff that there was another change to its billing software and a change from non-potable irrigation service to providing only potable irrigation service. In order to reflect the appropriate billing determinants, staff shared with the Utility the customer classifications and meter sizes from a prior docket to address the inconsistencies and adjusted the billing determinants. To determin</w:t>
      </w:r>
      <w:r w:rsidRPr="00F65917">
        <w:rPr>
          <w:color w:val="000000"/>
        </w:rPr>
        <w:t xml:space="preserve">e the appropriate service revenues, staff applied the </w:t>
      </w:r>
      <w:r>
        <w:rPr>
          <w:color w:val="000000"/>
        </w:rPr>
        <w:t>adjusted billing determinants to</w:t>
      </w:r>
      <w:r w:rsidRPr="00F65917">
        <w:rPr>
          <w:color w:val="000000"/>
        </w:rPr>
        <w:t xml:space="preserve"> the existing rates.</w:t>
      </w:r>
      <w:r w:rsidRPr="00953071">
        <w:rPr>
          <w:color w:val="000000"/>
        </w:rPr>
        <w:t xml:space="preserve"> As a result, staff determined that </w:t>
      </w:r>
      <w:r>
        <w:rPr>
          <w:color w:val="000000"/>
        </w:rPr>
        <w:t xml:space="preserve">service revenues for </w:t>
      </w:r>
      <w:r w:rsidRPr="00953071">
        <w:rPr>
          <w:color w:val="000000"/>
        </w:rPr>
        <w:t>water</w:t>
      </w:r>
      <w:r>
        <w:rPr>
          <w:color w:val="000000"/>
        </w:rPr>
        <w:t xml:space="preserve"> should be $258,059, which is a decrease of $73,033 ($331,092 - $258,059) and $254,027 for wastewater,</w:t>
      </w:r>
      <w:r w:rsidRPr="00953071">
        <w:rPr>
          <w:color w:val="000000"/>
        </w:rPr>
        <w:t xml:space="preserve"> which is an </w:t>
      </w:r>
      <w:r>
        <w:rPr>
          <w:color w:val="000000"/>
        </w:rPr>
        <w:t>increase</w:t>
      </w:r>
      <w:r w:rsidRPr="00953071">
        <w:rPr>
          <w:color w:val="000000"/>
        </w:rPr>
        <w:t xml:space="preserve"> of</w:t>
      </w:r>
      <w:r>
        <w:rPr>
          <w:color w:val="000000"/>
        </w:rPr>
        <w:t xml:space="preserve"> $8,819 ($254,027 - $245,208).</w:t>
      </w:r>
    </w:p>
    <w:p w14:paraId="1199344E" w14:textId="77777777" w:rsidR="004A380F" w:rsidRDefault="000E4548" w:rsidP="00633CC2">
      <w:pPr>
        <w:jc w:val="both"/>
      </w:pPr>
      <w:r>
        <w:rPr>
          <w:color w:val="000000"/>
        </w:rPr>
        <w:t>Based on the above, the appropriate test year operating revenues for</w:t>
      </w:r>
      <w:r w:rsidRPr="002F2FC3">
        <w:t xml:space="preserve"> </w:t>
      </w:r>
      <w:r>
        <w:t>Grenelefe</w:t>
      </w:r>
      <w:r>
        <w:rPr>
          <w:color w:val="000000"/>
        </w:rPr>
        <w:t xml:space="preserve"> are $291,545 ($258,059 + $33,486) for the water system and </w:t>
      </w:r>
      <w:r w:rsidRPr="0095481E">
        <w:rPr>
          <w:color w:val="000000"/>
        </w:rPr>
        <w:t>$</w:t>
      </w:r>
      <w:r>
        <w:rPr>
          <w:color w:val="000000"/>
        </w:rPr>
        <w:t>254,027</w:t>
      </w:r>
      <w:r w:rsidRPr="00953071">
        <w:rPr>
          <w:color w:val="000000"/>
        </w:rPr>
        <w:t xml:space="preserve"> for the wastewater system</w:t>
      </w:r>
      <w:r>
        <w:rPr>
          <w:color w:val="000000"/>
        </w:rPr>
        <w:t>.</w:t>
      </w:r>
    </w:p>
    <w:p w14:paraId="3D785A05" w14:textId="4938FCEF" w:rsidR="004A380F" w:rsidRDefault="004A380F">
      <w:pPr>
        <w:pStyle w:val="IssueHeading"/>
        <w:rPr>
          <w:vanish/>
          <w:specVanish/>
        </w:rPr>
      </w:pPr>
      <w:r w:rsidRPr="004C3641">
        <w:rPr>
          <w:b w:val="0"/>
          <w:i w:val="0"/>
        </w:rPr>
        <w:br w:type="page"/>
      </w:r>
      <w:r w:rsidRPr="004C3641">
        <w:t xml:space="preserve">Issue </w:t>
      </w:r>
      <w:r w:rsidR="00C3694F">
        <w:fldChar w:fldCharType="begin"/>
      </w:r>
      <w:r w:rsidR="00C3694F">
        <w:instrText xml:space="preserve"> SEQ Issue \* MERGEFORMAT </w:instrText>
      </w:r>
      <w:r w:rsidR="00C3694F">
        <w:fldChar w:fldCharType="separate"/>
      </w:r>
      <w:r w:rsidR="00C3694F">
        <w:rPr>
          <w:noProof/>
        </w:rPr>
        <w:t>7</w:t>
      </w:r>
      <w:r w:rsidR="00C3694F">
        <w:rPr>
          <w:noProof/>
        </w:rPr>
        <w:fldChar w:fldCharType="end"/>
      </w:r>
      <w:r w:rsidRPr="004C3641">
        <w:t>:</w:t>
      </w:r>
      <w:r>
        <w:fldChar w:fldCharType="begin"/>
      </w:r>
      <w:r>
        <w:instrText xml:space="preserve"> TC "</w:instrText>
      </w:r>
      <w:bookmarkStart w:id="21" w:name="_Toc219970003"/>
      <w:r w:rsidR="00470C1A">
        <w:instrText xml:space="preserve">Issue </w:instrText>
      </w:r>
      <w:r w:rsidR="00470C1A">
        <w:fldChar w:fldCharType="begin"/>
      </w:r>
      <w:r w:rsidR="00470C1A">
        <w:instrText xml:space="preserve"> SEQ issue \c </w:instrText>
      </w:r>
      <w:r w:rsidR="00470C1A">
        <w:fldChar w:fldCharType="separate"/>
      </w:r>
      <w:r w:rsidR="00C3694F">
        <w:rPr>
          <w:noProof/>
        </w:rPr>
        <w:instrText>7</w:instrText>
      </w:r>
      <w:r w:rsidR="00470C1A">
        <w:fldChar w:fldCharType="end"/>
      </w:r>
      <w:r w:rsidR="00470C1A">
        <w:instrText xml:space="preserve"> – Operating Expenses</w:instrText>
      </w:r>
      <w:bookmarkEnd w:id="21"/>
      <w:r>
        <w:instrText xml:space="preserve">" \l 1 </w:instrText>
      </w:r>
      <w:r>
        <w:fldChar w:fldCharType="end"/>
      </w:r>
      <w:r>
        <w:t> </w:t>
      </w:r>
    </w:p>
    <w:p w14:paraId="4D2248CF" w14:textId="77777777" w:rsidR="004A380F" w:rsidRDefault="004A380F">
      <w:pPr>
        <w:pStyle w:val="BodyText"/>
      </w:pPr>
      <w:r>
        <w:t> What is the appropri</w:t>
      </w:r>
      <w:r w:rsidR="00C400D4">
        <w:t>ate amount of operating expense</w:t>
      </w:r>
      <w:r>
        <w:t xml:space="preserve"> for Grenelefe?</w:t>
      </w:r>
    </w:p>
    <w:p w14:paraId="3750029E" w14:textId="77777777" w:rsidR="004A380F" w:rsidRPr="004C3641" w:rsidRDefault="004A380F">
      <w:pPr>
        <w:pStyle w:val="IssueSubsectionHeading"/>
        <w:rPr>
          <w:vanish/>
          <w:specVanish/>
        </w:rPr>
      </w:pPr>
      <w:r w:rsidRPr="004C3641">
        <w:t>Recommendation: </w:t>
      </w:r>
    </w:p>
    <w:p w14:paraId="138143F0" w14:textId="77777777" w:rsidR="004A380F" w:rsidRDefault="004A380F">
      <w:pPr>
        <w:pStyle w:val="BodyText"/>
      </w:pPr>
      <w:r>
        <w:t> </w:t>
      </w:r>
      <w:r w:rsidR="00C400D4">
        <w:t xml:space="preserve">The appropriate amount of operating expense for </w:t>
      </w:r>
      <w:r w:rsidR="00C400D4" w:rsidRPr="006A6DDF">
        <w:t xml:space="preserve">Grenelefe </w:t>
      </w:r>
      <w:r w:rsidR="00C400D4">
        <w:t>is $571,555 for water and $575,941 for wastewater.</w:t>
      </w:r>
      <w:r>
        <w:t xml:space="preserve"> (Cohn)</w:t>
      </w:r>
    </w:p>
    <w:p w14:paraId="61180E2D" w14:textId="77777777" w:rsidR="004A380F" w:rsidRPr="004C3641" w:rsidRDefault="004A380F">
      <w:pPr>
        <w:pStyle w:val="IssueSubsectionHeading"/>
        <w:rPr>
          <w:vanish/>
          <w:specVanish/>
        </w:rPr>
      </w:pPr>
      <w:r w:rsidRPr="004C3641">
        <w:t>Staff Analysis: </w:t>
      </w:r>
    </w:p>
    <w:p w14:paraId="72E4B2D4" w14:textId="307304C5" w:rsidR="005E370B" w:rsidRDefault="004A380F" w:rsidP="005E370B">
      <w:pPr>
        <w:pStyle w:val="BodyText"/>
      </w:pPr>
      <w:r>
        <w:t> </w:t>
      </w:r>
      <w:r w:rsidR="00C400D4">
        <w:t>The Utility recorded operating expense of $571,359 for water and $648,505 for wastewater. The test year operating expenses have been reviewed by staff, including invoices and other supporting documentation. Staff has made several adjustments to the Utility’s operating expenses as described below.</w:t>
      </w:r>
    </w:p>
    <w:p w14:paraId="4AAD7117" w14:textId="77777777" w:rsidR="00C400D4" w:rsidRPr="00E710F2" w:rsidRDefault="00C400D4" w:rsidP="005E370B">
      <w:pPr>
        <w:jc w:val="both"/>
        <w:rPr>
          <w:rFonts w:ascii="Arial" w:hAnsi="Arial" w:cs="Arial"/>
          <w:b/>
        </w:rPr>
      </w:pPr>
      <w:r w:rsidRPr="00E710F2">
        <w:rPr>
          <w:rFonts w:ascii="Arial" w:hAnsi="Arial" w:cs="Arial"/>
          <w:b/>
        </w:rPr>
        <w:t>Operation and Maintenance Expenses</w:t>
      </w:r>
    </w:p>
    <w:p w14:paraId="7AD865C7" w14:textId="77777777" w:rsidR="00C400D4" w:rsidRDefault="00C400D4" w:rsidP="00C400D4">
      <w:pPr>
        <w:rPr>
          <w:rFonts w:ascii="Arial" w:hAnsi="Arial" w:cs="Arial"/>
          <w:b/>
        </w:rPr>
      </w:pPr>
      <w:r>
        <w:tab/>
      </w:r>
      <w:r w:rsidRPr="00E710F2">
        <w:rPr>
          <w:rFonts w:ascii="Arial" w:hAnsi="Arial" w:cs="Arial"/>
          <w:b/>
        </w:rPr>
        <w:t>Salaries and Wages –</w:t>
      </w:r>
      <w:r>
        <w:rPr>
          <w:rFonts w:ascii="Arial" w:hAnsi="Arial" w:cs="Arial"/>
          <w:b/>
        </w:rPr>
        <w:t xml:space="preserve"> Employees (601/701)</w:t>
      </w:r>
    </w:p>
    <w:p w14:paraId="5AC58F1C" w14:textId="77777777" w:rsidR="008B149A" w:rsidRDefault="00C400D4" w:rsidP="008B149A">
      <w:pPr>
        <w:pStyle w:val="BodyText"/>
      </w:pPr>
      <w:r>
        <w:t>The Utility</w:t>
      </w:r>
      <w:r w:rsidRPr="00334E52">
        <w:t xml:space="preserve"> recorded</w:t>
      </w:r>
      <w:r>
        <w:t xml:space="preserve"> a salaries and wages – employees expense of $0 for both water and wastewater. Staff increased this figure by $59,001 for water and $36,099 for wastewater to account for the addition (transfer) of an “Accounting and Operations Manager” position that was previously subsumed in contractual services - accounting. As this position is being transferred to the Utility’s payroll, staff finds it reasonable to apply a standard 160-hour month for a full-time employee in determining the appropriate salary expense. Therefore, staff recommends a salaries and wages – employees expense of </w:t>
      </w:r>
      <w:r w:rsidRPr="00F200CC">
        <w:t>$59,001 for water and $36,099 for wastewater</w:t>
      </w:r>
      <w:r>
        <w:t>.</w:t>
      </w:r>
      <w:r w:rsidR="008B149A" w:rsidRPr="008B149A">
        <w:t xml:space="preserve"> </w:t>
      </w:r>
    </w:p>
    <w:p w14:paraId="680FFCE9" w14:textId="77777777" w:rsidR="00C400D4" w:rsidRPr="00E710F2" w:rsidRDefault="00C400D4" w:rsidP="00327928">
      <w:pPr>
        <w:ind w:firstLine="720"/>
        <w:jc w:val="both"/>
        <w:rPr>
          <w:rFonts w:ascii="Arial" w:hAnsi="Arial" w:cs="Arial"/>
          <w:b/>
        </w:rPr>
      </w:pPr>
      <w:r w:rsidRPr="00E710F2">
        <w:rPr>
          <w:rFonts w:ascii="Arial" w:hAnsi="Arial" w:cs="Arial"/>
          <w:b/>
        </w:rPr>
        <w:t>Salaries and Wages – Officers and Directors (603</w:t>
      </w:r>
      <w:r>
        <w:rPr>
          <w:rFonts w:ascii="Arial" w:hAnsi="Arial" w:cs="Arial"/>
          <w:b/>
        </w:rPr>
        <w:t>/703</w:t>
      </w:r>
      <w:r w:rsidRPr="00E710F2">
        <w:rPr>
          <w:rFonts w:ascii="Arial" w:hAnsi="Arial" w:cs="Arial"/>
          <w:b/>
        </w:rPr>
        <w:t>)</w:t>
      </w:r>
    </w:p>
    <w:p w14:paraId="48666B62" w14:textId="77777777" w:rsidR="005E370B" w:rsidRDefault="00C400D4" w:rsidP="005E370B">
      <w:pPr>
        <w:pStyle w:val="BodyText"/>
      </w:pPr>
      <w:r>
        <w:t>The Utility</w:t>
      </w:r>
      <w:r w:rsidRPr="00334E52">
        <w:t xml:space="preserve"> recorded </w:t>
      </w:r>
      <w:r>
        <w:t xml:space="preserve">a </w:t>
      </w:r>
      <w:r w:rsidRPr="00334E52">
        <w:t xml:space="preserve">salaries and wages – </w:t>
      </w:r>
      <w:r>
        <w:t>officers and directors</w:t>
      </w:r>
      <w:r w:rsidRPr="00334E52">
        <w:t xml:space="preserve"> expense</w:t>
      </w:r>
      <w:r>
        <w:t xml:space="preserve"> of $0 for both water and wastewater</w:t>
      </w:r>
      <w:r w:rsidRPr="00334E52">
        <w:t xml:space="preserve">. </w:t>
      </w:r>
      <w:r>
        <w:t xml:space="preserve">The Utility requested the addition of an Owner’s salary of $100,000. Staff reviewed the duties and responsibilities of the position and found they most closely align with the “Small General Manager” classification in the 2023 AWWA Compensation Survey, which reflects a midpoint salary of $104,456. Applying the Commission’s 2024 and 2025 Price Indices of 3.24 percent and 2.23 percent results in a compound indexed amount of $110,245. </w:t>
      </w:r>
    </w:p>
    <w:p w14:paraId="17159FB7" w14:textId="77777777" w:rsidR="00936BB9" w:rsidRDefault="00936BB9" w:rsidP="00936BB9">
      <w:pPr>
        <w:pStyle w:val="BodyText"/>
      </w:pPr>
      <w:r>
        <w:t>However, staff and OPC believe that the work hours reported by the Owner appear overstated and are unsupported.</w:t>
      </w:r>
      <w:r>
        <w:rPr>
          <w:rStyle w:val="FootnoteReference"/>
        </w:rPr>
        <w:footnoteReference w:id="45"/>
      </w:r>
      <w:r>
        <w:t xml:space="preserve"> In response to staff’s sixth data request, the Utility stated that maintaining a timesheet would not be an efficient use of the Owner’s time.</w:t>
      </w:r>
      <w:r>
        <w:rPr>
          <w:rStyle w:val="FootnoteReference"/>
        </w:rPr>
        <w:footnoteReference w:id="46"/>
      </w:r>
      <w:r>
        <w:t xml:space="preserve"> In addition, the Utility provided a summary of the various entities to which the Owner devotes time beyond the Utility, including: Ronin Assets, LLC; SJD Development, LLC; Smokey Grove Development; and Grenelefe Resort Development, LLC. Given this information and fair assumptions regarding time management, staff believes it reasonable to base the Owner’s salary on a 100-hour work month. Staff calculated a salary of $68,903 using the aforementioned compensation and duration assumptions.</w:t>
      </w:r>
      <w:r w:rsidRPr="00543CB3">
        <w:t xml:space="preserve"> </w:t>
      </w:r>
      <w:r>
        <w:t xml:space="preserve">Therefore, staff recommends a salaries and wages – officers and directors expense of </w:t>
      </w:r>
      <w:r w:rsidRPr="00F200CC">
        <w:t>$</w:t>
      </w:r>
      <w:r>
        <w:t>42,993</w:t>
      </w:r>
      <w:r w:rsidRPr="00F200CC">
        <w:t xml:space="preserve"> for water and $</w:t>
      </w:r>
      <w:r>
        <w:t>25,910</w:t>
      </w:r>
      <w:r w:rsidRPr="00F200CC">
        <w:t xml:space="preserve"> for wastewater</w:t>
      </w:r>
      <w:r>
        <w:t>.</w:t>
      </w:r>
      <w:r w:rsidRPr="008B149A">
        <w:t xml:space="preserve"> </w:t>
      </w:r>
    </w:p>
    <w:p w14:paraId="54D7C8FB" w14:textId="77777777" w:rsidR="00C400D4" w:rsidRPr="00E710F2" w:rsidRDefault="00C400D4" w:rsidP="00327928">
      <w:pPr>
        <w:ind w:firstLine="720"/>
        <w:jc w:val="both"/>
        <w:rPr>
          <w:rFonts w:ascii="Arial" w:hAnsi="Arial" w:cs="Arial"/>
          <w:b/>
        </w:rPr>
      </w:pPr>
      <w:r>
        <w:rPr>
          <w:rFonts w:ascii="Arial" w:hAnsi="Arial" w:cs="Arial"/>
          <w:b/>
        </w:rPr>
        <w:t>Sludge Removal</w:t>
      </w:r>
      <w:r w:rsidRPr="00E710F2">
        <w:rPr>
          <w:rFonts w:ascii="Arial" w:hAnsi="Arial" w:cs="Arial"/>
          <w:b/>
        </w:rPr>
        <w:t xml:space="preserve"> (</w:t>
      </w:r>
      <w:r>
        <w:rPr>
          <w:rFonts w:ascii="Arial" w:hAnsi="Arial" w:cs="Arial"/>
          <w:b/>
        </w:rPr>
        <w:t>711</w:t>
      </w:r>
      <w:r w:rsidRPr="00E710F2">
        <w:rPr>
          <w:rFonts w:ascii="Arial" w:hAnsi="Arial" w:cs="Arial"/>
          <w:b/>
        </w:rPr>
        <w:t>)</w:t>
      </w:r>
    </w:p>
    <w:p w14:paraId="754626D0" w14:textId="77777777" w:rsidR="008B149A" w:rsidRDefault="00C400D4" w:rsidP="008B149A">
      <w:pPr>
        <w:pStyle w:val="BodyText"/>
      </w:pPr>
      <w:r>
        <w:t>The Utility recorded sludge removal expenses of $85,930 for wastewater. Audit staff decreased the sludge removal expense by $25,330 to reflect actual invoices provided for the test year. Therefore, staff recommends a sludge removal expense of $60,600 for wastewater.</w:t>
      </w:r>
      <w:r w:rsidR="008B149A" w:rsidRPr="008B149A">
        <w:t xml:space="preserve"> </w:t>
      </w:r>
    </w:p>
    <w:p w14:paraId="3EDF5B5D" w14:textId="77777777" w:rsidR="00C400D4" w:rsidRPr="00E710F2" w:rsidRDefault="00C400D4" w:rsidP="00C400D4">
      <w:pPr>
        <w:ind w:firstLine="720"/>
        <w:rPr>
          <w:rFonts w:ascii="Arial" w:hAnsi="Arial" w:cs="Arial"/>
          <w:b/>
        </w:rPr>
      </w:pPr>
      <w:r w:rsidRPr="00E710F2">
        <w:rPr>
          <w:rFonts w:ascii="Arial" w:hAnsi="Arial" w:cs="Arial"/>
          <w:b/>
        </w:rPr>
        <w:t>Purchased Power (615</w:t>
      </w:r>
      <w:r>
        <w:rPr>
          <w:rFonts w:ascii="Arial" w:hAnsi="Arial" w:cs="Arial"/>
          <w:b/>
        </w:rPr>
        <w:t>/715</w:t>
      </w:r>
      <w:r w:rsidRPr="00E710F2">
        <w:rPr>
          <w:rFonts w:ascii="Arial" w:hAnsi="Arial" w:cs="Arial"/>
          <w:b/>
        </w:rPr>
        <w:t>)</w:t>
      </w:r>
    </w:p>
    <w:p w14:paraId="19C0DB8D" w14:textId="448EDD2D" w:rsidR="008B149A" w:rsidRDefault="00C400D4" w:rsidP="008B149A">
      <w:pPr>
        <w:pStyle w:val="BodyText"/>
      </w:pPr>
      <w:r>
        <w:t xml:space="preserve">The Utility recorded purchased power expenses of $45,852 for water and $54,758 for wastewater. Audit staff decreased the purchased power expense by $24,846 for water and increased the expense by $19,914 for wastewater. </w:t>
      </w:r>
      <w:r w:rsidR="00C60899">
        <w:t>S</w:t>
      </w:r>
      <w:r>
        <w:t xml:space="preserve">taff </w:t>
      </w:r>
      <w:r w:rsidR="00C60899">
        <w:t xml:space="preserve">further </w:t>
      </w:r>
      <w:r>
        <w:t>decreased purchased power by $29 for wastewater to accurately reflect invoices received for the test year. Additionally, staff decreased water by $11,322 to reflect the 53.90 percent EUW discussed in Issue 3. Staff’s adjustments to purchased power result in a total decrease of $36,168 to water and an increase of $19,885 to wastewater. Therefore, staff recommends a purchased power expense of $9,684 for water and $74,643 for wastewater.</w:t>
      </w:r>
      <w:r w:rsidR="008B149A" w:rsidRPr="008B149A">
        <w:t xml:space="preserve"> </w:t>
      </w:r>
    </w:p>
    <w:p w14:paraId="16B35EC2" w14:textId="77777777" w:rsidR="00C400D4" w:rsidRPr="00E710F2" w:rsidRDefault="00C400D4" w:rsidP="008B149A">
      <w:pPr>
        <w:jc w:val="both"/>
        <w:rPr>
          <w:rFonts w:ascii="Arial" w:hAnsi="Arial" w:cs="Arial"/>
          <w:b/>
        </w:rPr>
      </w:pPr>
      <w:r>
        <w:tab/>
      </w:r>
      <w:r w:rsidRPr="00E710F2">
        <w:rPr>
          <w:rFonts w:ascii="Arial" w:hAnsi="Arial" w:cs="Arial"/>
          <w:b/>
        </w:rPr>
        <w:t>Chemicals (618</w:t>
      </w:r>
      <w:r>
        <w:rPr>
          <w:rFonts w:ascii="Arial" w:hAnsi="Arial" w:cs="Arial"/>
          <w:b/>
        </w:rPr>
        <w:t>/718</w:t>
      </w:r>
      <w:r w:rsidRPr="00E710F2">
        <w:rPr>
          <w:rFonts w:ascii="Arial" w:hAnsi="Arial" w:cs="Arial"/>
          <w:b/>
        </w:rPr>
        <w:t>)</w:t>
      </w:r>
    </w:p>
    <w:p w14:paraId="7A46E43B" w14:textId="77777777" w:rsidR="008B149A" w:rsidRDefault="00C400D4" w:rsidP="008B149A">
      <w:pPr>
        <w:pStyle w:val="BodyText"/>
      </w:pPr>
      <w:r>
        <w:t>The Utility recorded chemicals expenses of $18,934 for water and $7,877 for wastewater. Audit staff decreased these amounts by $2,134 and $677 for water and wastewater, respectively, to reflect actual invoices provided for the test year. Additionally, staff decreased water by $10,205 to reflect the 53.90 percent EUW discussed in Issue 3. Therefore, staff recommends a chemicals expense of $6,595 for water and $7,200 for wastewater.</w:t>
      </w:r>
      <w:r w:rsidR="008B149A" w:rsidRPr="008B149A">
        <w:t xml:space="preserve"> </w:t>
      </w:r>
    </w:p>
    <w:p w14:paraId="0CAEAEA3" w14:textId="77777777" w:rsidR="00C400D4" w:rsidRDefault="008B149A" w:rsidP="008B149A">
      <w:pPr>
        <w:jc w:val="both"/>
        <w:rPr>
          <w:rFonts w:ascii="Arial" w:hAnsi="Arial" w:cs="Arial"/>
          <w:b/>
        </w:rPr>
      </w:pPr>
      <w:r>
        <w:tab/>
      </w:r>
      <w:r w:rsidR="00C400D4" w:rsidRPr="00350148">
        <w:rPr>
          <w:rFonts w:ascii="Arial" w:hAnsi="Arial" w:cs="Arial"/>
          <w:b/>
        </w:rPr>
        <w:t xml:space="preserve">Contractual Services </w:t>
      </w:r>
      <w:r w:rsidR="00C400D4">
        <w:rPr>
          <w:rFonts w:ascii="Arial" w:hAnsi="Arial" w:cs="Arial"/>
          <w:b/>
        </w:rPr>
        <w:t>–</w:t>
      </w:r>
      <w:r w:rsidR="00C400D4" w:rsidRPr="00350148">
        <w:rPr>
          <w:rFonts w:ascii="Arial" w:hAnsi="Arial" w:cs="Arial"/>
          <w:b/>
        </w:rPr>
        <w:t xml:space="preserve"> Professional</w:t>
      </w:r>
      <w:r w:rsidR="00C400D4">
        <w:rPr>
          <w:rFonts w:ascii="Arial" w:hAnsi="Arial" w:cs="Arial"/>
          <w:b/>
        </w:rPr>
        <w:t xml:space="preserve"> (731)</w:t>
      </w:r>
    </w:p>
    <w:p w14:paraId="246E58CA" w14:textId="77777777" w:rsidR="008B149A" w:rsidRDefault="00C400D4" w:rsidP="008B149A">
      <w:pPr>
        <w:pStyle w:val="BodyText"/>
      </w:pPr>
      <w:r>
        <w:t>The Utility recorded contractual services – professional expense</w:t>
      </w:r>
      <w:r w:rsidR="000B695F">
        <w:t>s</w:t>
      </w:r>
      <w:r>
        <w:t xml:space="preserve"> of $675 for wastewater. Audit staff reduced this amount by $675 due to the lack of supporting documentation. Therefore, staff recommends a contractual services – professional wastewater expense of $0.</w:t>
      </w:r>
    </w:p>
    <w:p w14:paraId="3851125A" w14:textId="77777777" w:rsidR="00C400D4" w:rsidRPr="00E710F2" w:rsidRDefault="008B149A" w:rsidP="008B149A">
      <w:pPr>
        <w:jc w:val="both"/>
        <w:rPr>
          <w:rFonts w:ascii="Arial" w:hAnsi="Arial" w:cs="Arial"/>
          <w:b/>
        </w:rPr>
      </w:pPr>
      <w:r>
        <w:tab/>
      </w:r>
      <w:r w:rsidR="00C400D4" w:rsidRPr="00E710F2">
        <w:rPr>
          <w:rFonts w:ascii="Arial" w:hAnsi="Arial" w:cs="Arial"/>
          <w:b/>
        </w:rPr>
        <w:t>Contractual Services – Accounting (632</w:t>
      </w:r>
      <w:r w:rsidR="00C400D4">
        <w:rPr>
          <w:rFonts w:ascii="Arial" w:hAnsi="Arial" w:cs="Arial"/>
          <w:b/>
        </w:rPr>
        <w:t>/732</w:t>
      </w:r>
      <w:r w:rsidR="00C400D4" w:rsidRPr="00E710F2">
        <w:rPr>
          <w:rFonts w:ascii="Arial" w:hAnsi="Arial" w:cs="Arial"/>
          <w:b/>
        </w:rPr>
        <w:t>)</w:t>
      </w:r>
    </w:p>
    <w:p w14:paraId="1939DFCA" w14:textId="77777777" w:rsidR="008B149A" w:rsidRDefault="00C400D4" w:rsidP="008B149A">
      <w:pPr>
        <w:pStyle w:val="BodyText"/>
      </w:pPr>
      <w:r>
        <w:t>The Utility recorded contractual services – accounting expense</w:t>
      </w:r>
      <w:r w:rsidR="000B695F">
        <w:t>s</w:t>
      </w:r>
      <w:r>
        <w:t xml:space="preserve"> of $41,750 for water and $41,750 for wastewater. Audit staff increased both of these expenses by $6,250 to reflect the correct invoiced contractual services amount. Additionally, staff decreased these accounts by $48,000 for water and $48,000 for wastewater to reflect the reclassification of the “Accounting and Operations Manager” expense from contractual services to salaries and wages - employees. Therefore, staff recommends contractual services – accounting expenses of $0 for water and $0 for wastewater.</w:t>
      </w:r>
      <w:r w:rsidR="008B149A" w:rsidRPr="008B149A">
        <w:t xml:space="preserve"> </w:t>
      </w:r>
    </w:p>
    <w:p w14:paraId="5C4AFABC" w14:textId="77777777" w:rsidR="00C400D4" w:rsidRPr="00E710F2" w:rsidRDefault="00C400D4" w:rsidP="008B149A">
      <w:pPr>
        <w:jc w:val="both"/>
        <w:rPr>
          <w:rFonts w:ascii="Arial" w:hAnsi="Arial" w:cs="Arial"/>
          <w:b/>
        </w:rPr>
      </w:pPr>
      <w:r>
        <w:tab/>
      </w:r>
      <w:r w:rsidRPr="00E710F2">
        <w:rPr>
          <w:rFonts w:ascii="Arial" w:hAnsi="Arial" w:cs="Arial"/>
          <w:b/>
        </w:rPr>
        <w:t>Contractual Services – Legal (633</w:t>
      </w:r>
      <w:r>
        <w:rPr>
          <w:rFonts w:ascii="Arial" w:hAnsi="Arial" w:cs="Arial"/>
          <w:b/>
        </w:rPr>
        <w:t>/733</w:t>
      </w:r>
      <w:r w:rsidRPr="00E710F2">
        <w:rPr>
          <w:rFonts w:ascii="Arial" w:hAnsi="Arial" w:cs="Arial"/>
          <w:b/>
        </w:rPr>
        <w:t>)</w:t>
      </w:r>
    </w:p>
    <w:p w14:paraId="4381DA89" w14:textId="77777777" w:rsidR="008B149A" w:rsidRDefault="00C400D4" w:rsidP="008B149A">
      <w:pPr>
        <w:pStyle w:val="BodyText"/>
      </w:pPr>
      <w:r>
        <w:t>The Utility recorded contractual services – legal expense</w:t>
      </w:r>
      <w:r w:rsidR="000B695F">
        <w:t>s</w:t>
      </w:r>
      <w:r>
        <w:t xml:space="preserve"> of $49,529 for water and $49,529 for wastewater. Audit staff reduced each account by $40,722 to reflect actual contractual amounts and to remove legal expenses from a past proceeding.</w:t>
      </w:r>
      <w:r>
        <w:rPr>
          <w:rStyle w:val="FootnoteReference"/>
        </w:rPr>
        <w:footnoteReference w:id="47"/>
      </w:r>
      <w:r>
        <w:t xml:space="preserve"> Additionally, staff removed $1,420 from water and $1,420 from wastewater to reflect the removal of out-of-test-year expenses. Staff’s adjustments result in a total decrease of $42,142 to both water and wastewater. Therefore, staff recommends contractual services – legal expenses of $7,387 for water and $7,387 for wastewater.</w:t>
      </w:r>
      <w:r w:rsidR="008B149A" w:rsidRPr="008B149A">
        <w:t xml:space="preserve"> </w:t>
      </w:r>
    </w:p>
    <w:p w14:paraId="6D4353DA" w14:textId="77777777" w:rsidR="00C400D4" w:rsidRPr="00E710F2" w:rsidRDefault="00C400D4" w:rsidP="008B149A">
      <w:pPr>
        <w:jc w:val="both"/>
        <w:rPr>
          <w:rFonts w:ascii="Arial" w:hAnsi="Arial" w:cs="Arial"/>
          <w:b/>
        </w:rPr>
      </w:pPr>
      <w:r>
        <w:tab/>
      </w:r>
      <w:r w:rsidRPr="00E710F2">
        <w:rPr>
          <w:rFonts w:ascii="Arial" w:hAnsi="Arial" w:cs="Arial"/>
          <w:b/>
        </w:rPr>
        <w:t>Contractual Services – Testing (635</w:t>
      </w:r>
      <w:r>
        <w:rPr>
          <w:rFonts w:ascii="Arial" w:hAnsi="Arial" w:cs="Arial"/>
          <w:b/>
        </w:rPr>
        <w:t>/735</w:t>
      </w:r>
      <w:r w:rsidRPr="00E710F2">
        <w:rPr>
          <w:rFonts w:ascii="Arial" w:hAnsi="Arial" w:cs="Arial"/>
          <w:b/>
        </w:rPr>
        <w:t>)</w:t>
      </w:r>
    </w:p>
    <w:p w14:paraId="4AF4D2C6" w14:textId="77777777" w:rsidR="008B149A" w:rsidRDefault="00C400D4" w:rsidP="008B149A">
      <w:pPr>
        <w:pStyle w:val="BodyText"/>
      </w:pPr>
      <w:r>
        <w:t>The Utility recorded contractual services – testing expense</w:t>
      </w:r>
      <w:r w:rsidR="000B695F">
        <w:t>s</w:t>
      </w:r>
      <w:r>
        <w:t xml:space="preserve"> of $17,747 for water and $33,793 for wastewater. Audit staff reduced the accounts by $7,092 for water and $26,689 for wastewater to reflect actual invoices recorded for the test year. Therefore, staff recommends a contractual services – testing expense of $10,655 for water and $7,104 for wastewater.</w:t>
      </w:r>
      <w:r w:rsidR="008B149A" w:rsidRPr="008B149A">
        <w:t xml:space="preserve"> </w:t>
      </w:r>
    </w:p>
    <w:p w14:paraId="2D46C415" w14:textId="77777777" w:rsidR="00C400D4" w:rsidRPr="00E710F2" w:rsidRDefault="00C400D4" w:rsidP="008B149A">
      <w:pPr>
        <w:jc w:val="both"/>
        <w:rPr>
          <w:rFonts w:ascii="Arial" w:hAnsi="Arial" w:cs="Arial"/>
          <w:b/>
        </w:rPr>
      </w:pPr>
      <w:r>
        <w:tab/>
      </w:r>
      <w:r w:rsidRPr="00E710F2">
        <w:rPr>
          <w:rFonts w:ascii="Arial" w:hAnsi="Arial" w:cs="Arial"/>
          <w:b/>
        </w:rPr>
        <w:t>Contractual Services – Other (636</w:t>
      </w:r>
      <w:r>
        <w:rPr>
          <w:rFonts w:ascii="Arial" w:hAnsi="Arial" w:cs="Arial"/>
          <w:b/>
        </w:rPr>
        <w:t>/736</w:t>
      </w:r>
      <w:r w:rsidRPr="00E710F2">
        <w:rPr>
          <w:rFonts w:ascii="Arial" w:hAnsi="Arial" w:cs="Arial"/>
          <w:b/>
        </w:rPr>
        <w:t>)</w:t>
      </w:r>
    </w:p>
    <w:p w14:paraId="0EDD1E6B" w14:textId="77777777" w:rsidR="008B149A" w:rsidRDefault="00C400D4" w:rsidP="008B149A">
      <w:pPr>
        <w:pStyle w:val="BodyText"/>
      </w:pPr>
      <w:r>
        <w:t>The Utility recorded contractual services – other expense</w:t>
      </w:r>
      <w:r w:rsidR="000B695F">
        <w:t>s</w:t>
      </w:r>
      <w:r>
        <w:t xml:space="preserve"> of $329,390 for water and $334,095 for wastewater. Audit staff reduced these amounts by $24,472 for water and $100,823 for wastewater to reflect actual invoices recorded for the test year. Additionally, staff removed $7,910 for water and $7,910 for wastewater to reflect the removal of out-of-test-year expenses. Staff’s adjustments result in a total decrease of $32,382 to water and $108,733 to wastewater. Therefore, staff recommends contractual services – other expense of $297,008 for water and $225,362 for wastewater.</w:t>
      </w:r>
      <w:r w:rsidR="008B149A" w:rsidRPr="008B149A">
        <w:t xml:space="preserve"> </w:t>
      </w:r>
    </w:p>
    <w:p w14:paraId="53E4989B" w14:textId="77777777" w:rsidR="00C400D4" w:rsidRDefault="008B149A" w:rsidP="008B149A">
      <w:pPr>
        <w:jc w:val="both"/>
        <w:rPr>
          <w:rFonts w:ascii="Arial" w:hAnsi="Arial" w:cs="Arial"/>
          <w:b/>
        </w:rPr>
      </w:pPr>
      <w:r>
        <w:tab/>
      </w:r>
      <w:r w:rsidR="00C400D4" w:rsidRPr="00E710F2">
        <w:rPr>
          <w:rFonts w:ascii="Arial" w:hAnsi="Arial" w:cs="Arial"/>
          <w:b/>
        </w:rPr>
        <w:t>Insurance Expense –</w:t>
      </w:r>
      <w:r w:rsidR="00C400D4">
        <w:rPr>
          <w:rFonts w:ascii="Arial" w:hAnsi="Arial" w:cs="Arial"/>
          <w:b/>
        </w:rPr>
        <w:t xml:space="preserve"> Vehicle (656/756)</w:t>
      </w:r>
    </w:p>
    <w:p w14:paraId="03BF52D2" w14:textId="0AFEB20B" w:rsidR="008B149A" w:rsidRDefault="00C400D4" w:rsidP="008B149A">
      <w:pPr>
        <w:pStyle w:val="BodyText"/>
      </w:pPr>
      <w:r>
        <w:t xml:space="preserve">The Utility recorded insurance expense – vehicle amounts of $2,153 for water and $2,154 for wastewater. Audit staff reclassified these amounts to insurance expense – general liability as it reflects property insurance for plant and not vehicles. Therefore, staff recommends an insurance expense – vehicle expense of </w:t>
      </w:r>
      <w:r w:rsidR="00A250B0">
        <w:t>$0 for water $0 for wastewater</w:t>
      </w:r>
      <w:r>
        <w:t>.</w:t>
      </w:r>
      <w:r w:rsidR="008B149A" w:rsidRPr="008B149A">
        <w:t xml:space="preserve"> </w:t>
      </w:r>
    </w:p>
    <w:p w14:paraId="5DD8F3F7" w14:textId="77777777" w:rsidR="00C400D4" w:rsidRPr="00E710F2" w:rsidRDefault="008B149A" w:rsidP="008B149A">
      <w:pPr>
        <w:jc w:val="both"/>
        <w:rPr>
          <w:rFonts w:ascii="Arial" w:hAnsi="Arial" w:cs="Arial"/>
          <w:b/>
        </w:rPr>
      </w:pPr>
      <w:r>
        <w:tab/>
      </w:r>
      <w:r w:rsidR="00C400D4" w:rsidRPr="00E710F2">
        <w:rPr>
          <w:rFonts w:ascii="Arial" w:hAnsi="Arial" w:cs="Arial"/>
          <w:b/>
        </w:rPr>
        <w:t>Insurance Expense – General Liability (657</w:t>
      </w:r>
      <w:r w:rsidR="00C400D4">
        <w:rPr>
          <w:rFonts w:ascii="Arial" w:hAnsi="Arial" w:cs="Arial"/>
          <w:b/>
        </w:rPr>
        <w:t>/757</w:t>
      </w:r>
      <w:r w:rsidR="00C400D4" w:rsidRPr="00E710F2">
        <w:rPr>
          <w:rFonts w:ascii="Arial" w:hAnsi="Arial" w:cs="Arial"/>
          <w:b/>
        </w:rPr>
        <w:t>)</w:t>
      </w:r>
    </w:p>
    <w:p w14:paraId="671434FA" w14:textId="77777777" w:rsidR="008B149A" w:rsidRDefault="00C400D4" w:rsidP="008B149A">
      <w:pPr>
        <w:pStyle w:val="BodyText"/>
      </w:pPr>
      <w:r>
        <w:t>The Utility recorded</w:t>
      </w:r>
      <w:r w:rsidR="000B695F">
        <w:t xml:space="preserve"> an</w:t>
      </w:r>
      <w:r>
        <w:t xml:space="preserve"> insurance expense – general liability of $1,375 for water $1,375 for wastewater. Audit Staff increased this figure by $2,153 for water and $2,154 for wastewater to reflect the reclassification of expenses from insurance expense – vehicle to insurance expense – general liability. Therefore, staff recommends a general liability insurance expense of $3,528 for water and $3,529 for wastewater.</w:t>
      </w:r>
      <w:r w:rsidR="008B149A" w:rsidRPr="008B149A">
        <w:t xml:space="preserve"> </w:t>
      </w:r>
    </w:p>
    <w:p w14:paraId="0D414A64" w14:textId="77777777" w:rsidR="00C400D4" w:rsidRPr="00E710F2" w:rsidRDefault="00C400D4" w:rsidP="008B149A">
      <w:pPr>
        <w:jc w:val="both"/>
        <w:rPr>
          <w:rFonts w:ascii="Arial" w:hAnsi="Arial" w:cs="Arial"/>
          <w:b/>
        </w:rPr>
      </w:pPr>
      <w:r>
        <w:tab/>
      </w:r>
      <w:r w:rsidRPr="00E710F2">
        <w:rPr>
          <w:rFonts w:ascii="Arial" w:hAnsi="Arial" w:cs="Arial"/>
          <w:b/>
        </w:rPr>
        <w:t>R</w:t>
      </w:r>
      <w:r>
        <w:rPr>
          <w:rFonts w:ascii="Arial" w:hAnsi="Arial" w:cs="Arial"/>
          <w:b/>
        </w:rPr>
        <w:t>ate Case</w:t>
      </w:r>
      <w:r w:rsidRPr="00E710F2">
        <w:rPr>
          <w:rFonts w:ascii="Arial" w:hAnsi="Arial" w:cs="Arial"/>
          <w:b/>
        </w:rPr>
        <w:t xml:space="preserve"> Expense (665</w:t>
      </w:r>
      <w:r>
        <w:rPr>
          <w:rFonts w:ascii="Arial" w:hAnsi="Arial" w:cs="Arial"/>
          <w:b/>
        </w:rPr>
        <w:t>/765</w:t>
      </w:r>
      <w:r w:rsidRPr="00E710F2">
        <w:rPr>
          <w:rFonts w:ascii="Arial" w:hAnsi="Arial" w:cs="Arial"/>
          <w:b/>
        </w:rPr>
        <w:t>)</w:t>
      </w:r>
    </w:p>
    <w:p w14:paraId="1CCFA390" w14:textId="77777777" w:rsidR="008B149A" w:rsidRDefault="00C400D4" w:rsidP="008B149A">
      <w:pPr>
        <w:pStyle w:val="BodyText"/>
      </w:pPr>
      <w:r w:rsidRPr="0013715D">
        <w:t xml:space="preserve">The Utility </w:t>
      </w:r>
      <w:r>
        <w:t xml:space="preserve">did not </w:t>
      </w:r>
      <w:r w:rsidRPr="0013715D">
        <w:t xml:space="preserve">record a rate case expense </w:t>
      </w:r>
      <w:r>
        <w:t>for water or wastewater.</w:t>
      </w:r>
      <w:r w:rsidRPr="0013715D">
        <w:t xml:space="preserve"> </w:t>
      </w:r>
      <w:r>
        <w:t>The U</w:t>
      </w:r>
      <w:r w:rsidRPr="0013715D">
        <w:t>tility is required by Rule 25-22.0407, F.A.C., to mail notices of the rate case overview, interim rates, final rates, and four-year rate reduction. Staff calculated noticing costs to be $</w:t>
      </w:r>
      <w:r>
        <w:t>6,203</w:t>
      </w:r>
      <w:r w:rsidRPr="0013715D">
        <w:t xml:space="preserve">. Staff calculated the distance from the Utility to Tallahassee as </w:t>
      </w:r>
      <w:r>
        <w:t>273 miles. Based on the 2025</w:t>
      </w:r>
      <w:r w:rsidRPr="0013715D">
        <w:t xml:space="preserve"> Internal Revenue Service business mileage rate of $0.70, staff calculated</w:t>
      </w:r>
      <w:r>
        <w:t xml:space="preserve"> a</w:t>
      </w:r>
      <w:r w:rsidRPr="0013715D">
        <w:t xml:space="preserve"> round</w:t>
      </w:r>
      <w:r>
        <w:t>-</w:t>
      </w:r>
      <w:r w:rsidRPr="0013715D">
        <w:t>trip travel and lodging expense to the Commission Conference of $5</w:t>
      </w:r>
      <w:r>
        <w:t>82</w:t>
      </w:r>
      <w:r w:rsidRPr="0013715D">
        <w:t>.</w:t>
      </w:r>
      <w:r>
        <w:rPr>
          <w:rStyle w:val="FootnoteReference"/>
        </w:rPr>
        <w:footnoteReference w:id="48"/>
      </w:r>
      <w:r w:rsidRPr="0013715D">
        <w:t xml:space="preserve"> Additionally, the Utility paid a filing fee of $1,000</w:t>
      </w:r>
      <w:r>
        <w:t xml:space="preserve"> for water $1,000 for wastewater</w:t>
      </w:r>
      <w:r w:rsidRPr="0013715D">
        <w:t>.</w:t>
      </w:r>
      <w:r w:rsidR="008B149A" w:rsidRPr="008B149A">
        <w:t xml:space="preserve"> </w:t>
      </w:r>
    </w:p>
    <w:p w14:paraId="64C29EDB" w14:textId="77777777" w:rsidR="005E370B" w:rsidRDefault="00C400D4" w:rsidP="005E370B">
      <w:pPr>
        <w:pStyle w:val="BodyText"/>
      </w:pPr>
      <w:r w:rsidRPr="00C24E03">
        <w:t>On December 15, 2025</w:t>
      </w:r>
      <w:r>
        <w:t>, the Utility submitted invoices for additional rate case expense including legal expenses and consulting fees.</w:t>
      </w:r>
      <w:r w:rsidRPr="00DC3A0A">
        <w:rPr>
          <w:rStyle w:val="FootnoteReference"/>
        </w:rPr>
        <w:footnoteReference w:id="49"/>
      </w:r>
      <w:r>
        <w:t xml:space="preserve"> The summary of actual expenses attached to the invoices reflect additional legal expense of $4,360, $10,840, and $12,720 for the months of September 2025, October 2025, and November 2025, respectively. The Utility also incurred consulting fees of $3,300 for the period of August 22, 2025 through November 30, 2025. The Utility further included </w:t>
      </w:r>
      <w:r w:rsidR="000B695F">
        <w:t xml:space="preserve">an </w:t>
      </w:r>
      <w:r>
        <w:t xml:space="preserve">estimated rate case expense of $24,500. Staff relied on costs that were supported by documentation at the time of review; therefore, staff did not include the estimated portion. As such, staff included $31,220 for legal and consulting fees as part of </w:t>
      </w:r>
      <w:r w:rsidR="000B695F">
        <w:t xml:space="preserve">the </w:t>
      </w:r>
      <w:r>
        <w:t>rate case expense. The non-filing portion of the rate case expense is $23,714 for water and $14,291 for wastewater.</w:t>
      </w:r>
      <w:r w:rsidR="005E370B" w:rsidRPr="005E370B">
        <w:t xml:space="preserve"> </w:t>
      </w:r>
    </w:p>
    <w:p w14:paraId="195525B5" w14:textId="77777777" w:rsidR="005E370B" w:rsidRDefault="00C400D4" w:rsidP="005E370B">
      <w:pPr>
        <w:pStyle w:val="BodyText"/>
      </w:pPr>
      <w:r w:rsidRPr="0013715D">
        <w:t>Staff recommends a total rate case expense, consisting of noticing costs, travel and lodging expenses, and filing fee of $</w:t>
      </w:r>
      <w:r>
        <w:t>24,714 for water and $15,291 for wastewater</w:t>
      </w:r>
      <w:r w:rsidRPr="0013715D">
        <w:t>, which amortized over four years is $</w:t>
      </w:r>
      <w:r>
        <w:t>6,163 for water and $3,813 for wastewater</w:t>
      </w:r>
      <w:r w:rsidRPr="0013715D">
        <w:t>. Therefore, staff recommends a total annual rate case expense of $</w:t>
      </w:r>
      <w:r>
        <w:t>6,163 for water and $3,813 for wastewater</w:t>
      </w:r>
      <w:r w:rsidRPr="0013715D">
        <w:t>.</w:t>
      </w:r>
      <w:r w:rsidR="008B149A" w:rsidRPr="008B149A">
        <w:t xml:space="preserve"> </w:t>
      </w:r>
    </w:p>
    <w:p w14:paraId="729444AD" w14:textId="77777777" w:rsidR="00C400D4" w:rsidRPr="00E710F2" w:rsidRDefault="00C400D4" w:rsidP="008B149A">
      <w:pPr>
        <w:jc w:val="both"/>
        <w:rPr>
          <w:rFonts w:ascii="Arial" w:hAnsi="Arial" w:cs="Arial"/>
          <w:b/>
        </w:rPr>
      </w:pPr>
      <w:r>
        <w:tab/>
      </w:r>
      <w:r w:rsidRPr="00E710F2">
        <w:rPr>
          <w:rFonts w:ascii="Arial" w:hAnsi="Arial" w:cs="Arial"/>
          <w:b/>
        </w:rPr>
        <w:t>Bad Debt Expense (670</w:t>
      </w:r>
      <w:r>
        <w:rPr>
          <w:rFonts w:ascii="Arial" w:hAnsi="Arial" w:cs="Arial"/>
          <w:b/>
        </w:rPr>
        <w:t>/770</w:t>
      </w:r>
      <w:r w:rsidRPr="00E710F2">
        <w:rPr>
          <w:rFonts w:ascii="Arial" w:hAnsi="Arial" w:cs="Arial"/>
          <w:b/>
        </w:rPr>
        <w:t>)</w:t>
      </w:r>
    </w:p>
    <w:p w14:paraId="3D1B9C54" w14:textId="4D1694DD" w:rsidR="008B149A" w:rsidRDefault="00C400D4" w:rsidP="008B149A">
      <w:pPr>
        <w:pStyle w:val="BodyText"/>
      </w:pPr>
      <w:r>
        <w:t xml:space="preserve">The Utility recorded $0 bad debt for both water and wastewater in the test year. In its three most recent Annual Reports (2022, 2023, </w:t>
      </w:r>
      <w:r w:rsidR="003D2A72">
        <w:t xml:space="preserve">and </w:t>
      </w:r>
      <w:r>
        <w:t>2024), the Utility reported bad debt expenses of $0 in all three years. However, in response to staff’s third data request, the Utility responded that it does in fact have accounts in delinquency.</w:t>
      </w:r>
      <w:r>
        <w:rPr>
          <w:rStyle w:val="FootnoteReference"/>
        </w:rPr>
        <w:footnoteReference w:id="50"/>
      </w:r>
      <w:r>
        <w:t xml:space="preserve"> Thus, staff believes it is appropriate to include a level of bad debt expense in its revenue requirements. It is Commission practice to use a percentage of total revenues to determine bad debt expense when a three-year average is not available or reliable.</w:t>
      </w:r>
      <w:r>
        <w:rPr>
          <w:rStyle w:val="FootnoteReference"/>
        </w:rPr>
        <w:footnoteReference w:id="51"/>
      </w:r>
      <w:r>
        <w:t xml:space="preserve"> As such, staff recommends </w:t>
      </w:r>
      <w:r w:rsidR="000B695F">
        <w:t xml:space="preserve">a </w:t>
      </w:r>
      <w:r>
        <w:t>bad debt expense of one percent of total revenues, or $2,915 for water and $2,540 for wastewater.</w:t>
      </w:r>
      <w:r w:rsidR="008B149A" w:rsidRPr="008B149A">
        <w:t xml:space="preserve"> </w:t>
      </w:r>
    </w:p>
    <w:p w14:paraId="6749298A" w14:textId="77777777" w:rsidR="00C400D4" w:rsidRDefault="008B149A" w:rsidP="008B149A">
      <w:pPr>
        <w:jc w:val="both"/>
        <w:rPr>
          <w:rFonts w:ascii="Arial" w:hAnsi="Arial" w:cs="Arial"/>
          <w:b/>
        </w:rPr>
      </w:pPr>
      <w:r>
        <w:tab/>
      </w:r>
      <w:r w:rsidR="00C400D4">
        <w:rPr>
          <w:rFonts w:ascii="Arial" w:hAnsi="Arial" w:cs="Arial"/>
          <w:b/>
        </w:rPr>
        <w:t>Miscellaneous Expense (675)</w:t>
      </w:r>
    </w:p>
    <w:p w14:paraId="7CCB89F7" w14:textId="478AD906" w:rsidR="008B149A" w:rsidRDefault="00C400D4" w:rsidP="008B149A">
      <w:pPr>
        <w:pStyle w:val="BodyText"/>
      </w:pPr>
      <w:r>
        <w:t>The Utility recorded miscellaneous expenses of $12,425 for water. Audit staff removed the $12,425 for water to reflect a lack of supporting documentation. Therefore, staff recommends a miscellaneous expense amount of $0 for water.</w:t>
      </w:r>
      <w:r w:rsidR="008B149A" w:rsidRPr="008B149A">
        <w:t xml:space="preserve"> </w:t>
      </w:r>
    </w:p>
    <w:p w14:paraId="2778CC15" w14:textId="77777777" w:rsidR="00C400D4" w:rsidRPr="00E710F2" w:rsidRDefault="008B149A" w:rsidP="008B149A">
      <w:pPr>
        <w:jc w:val="both"/>
        <w:rPr>
          <w:rFonts w:ascii="Arial" w:hAnsi="Arial" w:cs="Arial"/>
          <w:b/>
        </w:rPr>
      </w:pPr>
      <w:r>
        <w:tab/>
      </w:r>
      <w:r w:rsidR="00C400D4" w:rsidRPr="00E710F2">
        <w:rPr>
          <w:rFonts w:ascii="Arial" w:hAnsi="Arial" w:cs="Arial"/>
          <w:b/>
        </w:rPr>
        <w:t>Operation and Maintenance Expense Summary</w:t>
      </w:r>
    </w:p>
    <w:p w14:paraId="603A0523" w14:textId="77777777" w:rsidR="008B149A" w:rsidRDefault="00C400D4" w:rsidP="008B149A">
      <w:pPr>
        <w:pStyle w:val="BodyText"/>
      </w:pPr>
      <w:r>
        <w:t xml:space="preserve">The Utility recorded test year O&amp;M expenses of $519,155 for water and $611,936 for wastewater. Based on the above adjustments, staff recommends </w:t>
      </w:r>
      <w:r w:rsidR="000B695F">
        <w:t xml:space="preserve">the </w:t>
      </w:r>
      <w:r>
        <w:t xml:space="preserve">O&amp;M expense be reduced by $73,210 for water and $157,738 for wastewater. This results in a total O&amp;M expense of $445,945 for water and $454,198 for wastewater. Staff’s recommended adjustments to O&amp;M are shown on Schedule No. 3-D for water and Schedule 3-E for wastewater. </w:t>
      </w:r>
    </w:p>
    <w:p w14:paraId="2CE402CE" w14:textId="77777777" w:rsidR="00C400D4" w:rsidRPr="003D1655" w:rsidRDefault="008B149A" w:rsidP="008B149A">
      <w:pPr>
        <w:jc w:val="both"/>
        <w:rPr>
          <w:rFonts w:ascii="Arial" w:hAnsi="Arial" w:cs="Arial"/>
          <w:b/>
        </w:rPr>
      </w:pPr>
      <w:r>
        <w:tab/>
      </w:r>
      <w:r w:rsidR="00C400D4" w:rsidRPr="003D1655">
        <w:rPr>
          <w:rFonts w:ascii="Arial" w:hAnsi="Arial" w:cs="Arial"/>
          <w:b/>
        </w:rPr>
        <w:t>Depreciation Expense</w:t>
      </w:r>
    </w:p>
    <w:p w14:paraId="424C72AD" w14:textId="77777777" w:rsidR="008B149A" w:rsidRDefault="00C400D4" w:rsidP="008B149A">
      <w:pPr>
        <w:pStyle w:val="BodyText"/>
      </w:pPr>
      <w:r w:rsidRPr="003D1655">
        <w:t>The Utility recorded depreciation expense</w:t>
      </w:r>
      <w:r>
        <w:t>s</w:t>
      </w:r>
      <w:r w:rsidRPr="003D1655">
        <w:t xml:space="preserve"> of $77,773 for water and $43,871 for wastewater. Based on the depreciation rates prescribed in Rule 25-30.140, F.A.C., audit staff </w:t>
      </w:r>
      <w:r>
        <w:t>decreased</w:t>
      </w:r>
      <w:r w:rsidRPr="003D1655">
        <w:t xml:space="preserve"> </w:t>
      </w:r>
      <w:r>
        <w:t>these</w:t>
      </w:r>
      <w:r w:rsidRPr="003D1655">
        <w:t xml:space="preserve"> amount</w:t>
      </w:r>
      <w:r>
        <w:t>s</w:t>
      </w:r>
      <w:r w:rsidRPr="003D1655">
        <w:t xml:space="preserve"> by $</w:t>
      </w:r>
      <w:r>
        <w:t>21,007 for water and $8,378 for wastewater. Additionally</w:t>
      </w:r>
      <w:r w:rsidRPr="003D1655">
        <w:t>,</w:t>
      </w:r>
      <w:r>
        <w:t xml:space="preserve"> to account for pro forma additions, staff increased depreciation expenses by $58,143 for water and $47,694 for wastewater. This results in a net increase to </w:t>
      </w:r>
      <w:r w:rsidR="000B695F">
        <w:t xml:space="preserve">a </w:t>
      </w:r>
      <w:r>
        <w:t>depreciation expense of $37,136 for water and $39,316 for wastewater.</w:t>
      </w:r>
      <w:r w:rsidRPr="003D1655">
        <w:t xml:space="preserve"> </w:t>
      </w:r>
      <w:r>
        <w:t>T</w:t>
      </w:r>
      <w:r w:rsidRPr="003D1655">
        <w:t>herefore</w:t>
      </w:r>
      <w:r>
        <w:t>, staff</w:t>
      </w:r>
      <w:r w:rsidRPr="003D1655">
        <w:t xml:space="preserve"> recommends a depreciation expense of $</w:t>
      </w:r>
      <w:r>
        <w:t>114,909 for water and $83,187 for wastewater</w:t>
      </w:r>
      <w:r w:rsidRPr="003D1655">
        <w:t>.</w:t>
      </w:r>
      <w:r w:rsidR="008B149A" w:rsidRPr="008B149A">
        <w:t xml:space="preserve"> </w:t>
      </w:r>
    </w:p>
    <w:p w14:paraId="44974FB5" w14:textId="77777777" w:rsidR="00C400D4" w:rsidRPr="00E710F2" w:rsidRDefault="008B149A" w:rsidP="008B149A">
      <w:pPr>
        <w:jc w:val="both"/>
        <w:rPr>
          <w:rFonts w:ascii="Arial" w:hAnsi="Arial" w:cs="Arial"/>
          <w:b/>
        </w:rPr>
      </w:pPr>
      <w:r>
        <w:tab/>
      </w:r>
      <w:r w:rsidR="00C400D4" w:rsidRPr="00E710F2">
        <w:rPr>
          <w:rFonts w:ascii="Arial" w:hAnsi="Arial" w:cs="Arial"/>
          <w:b/>
        </w:rPr>
        <w:t>Amortization of CIAC</w:t>
      </w:r>
    </w:p>
    <w:p w14:paraId="7BD9A0FA" w14:textId="77777777" w:rsidR="008B149A" w:rsidRDefault="00C400D4" w:rsidP="008B149A">
      <w:pPr>
        <w:pStyle w:val="BodyText"/>
      </w:pPr>
      <w:r>
        <w:t>The Utility recorded CIAC amortization expense</w:t>
      </w:r>
      <w:r w:rsidR="00DD52D3">
        <w:t>s</w:t>
      </w:r>
      <w:r>
        <w:t xml:space="preserve"> of $45,823 for water and $22,184 for wastewater. Audit staff decreased the amounts by $3,639 for water and $10,248 for wastewater</w:t>
      </w:r>
      <w:r w:rsidRPr="00F14A64">
        <w:t xml:space="preserve"> </w:t>
      </w:r>
      <w:r>
        <w:t>to reflect amortization expense based on depreciation rates specific to the related plant accounts. Therefore, staff recommends CIAC amortization expense</w:t>
      </w:r>
      <w:r w:rsidR="00DD52D3">
        <w:t>s</w:t>
      </w:r>
      <w:r>
        <w:t xml:space="preserve"> of </w:t>
      </w:r>
      <w:r w:rsidRPr="003D1655">
        <w:t>$42,184 for water and $11,936 for wastewater</w:t>
      </w:r>
      <w:r>
        <w:t>.</w:t>
      </w:r>
      <w:r w:rsidR="008B149A" w:rsidRPr="008B149A">
        <w:t xml:space="preserve"> </w:t>
      </w:r>
    </w:p>
    <w:p w14:paraId="670188EF" w14:textId="77777777" w:rsidR="00C400D4" w:rsidRPr="00E710F2" w:rsidRDefault="008B149A" w:rsidP="008B149A">
      <w:pPr>
        <w:jc w:val="both"/>
        <w:rPr>
          <w:rFonts w:ascii="Arial" w:hAnsi="Arial" w:cs="Arial"/>
          <w:b/>
        </w:rPr>
      </w:pPr>
      <w:r>
        <w:tab/>
      </w:r>
      <w:r w:rsidR="00C400D4">
        <w:rPr>
          <w:rFonts w:ascii="Arial" w:hAnsi="Arial" w:cs="Arial"/>
          <w:b/>
        </w:rPr>
        <w:t xml:space="preserve">Capital </w:t>
      </w:r>
      <w:r w:rsidR="00C400D4" w:rsidRPr="00E710F2">
        <w:rPr>
          <w:rFonts w:ascii="Arial" w:hAnsi="Arial" w:cs="Arial"/>
          <w:b/>
        </w:rPr>
        <w:t>Amortization</w:t>
      </w:r>
    </w:p>
    <w:p w14:paraId="40EF2B3D" w14:textId="77777777" w:rsidR="00DD52D3" w:rsidRDefault="00C400D4" w:rsidP="00DD52D3">
      <w:pPr>
        <w:pStyle w:val="BodyText"/>
      </w:pPr>
      <w:r>
        <w:t>As discussed in Issue 4, staff recommends a capital recovery schedule of $6,436 for water and $80,115 for wastewater over a 10-year amortization period. The corresponding annual amortization expense is $644 for water and $8,011 for wastewater.</w:t>
      </w:r>
      <w:r w:rsidR="00DD52D3" w:rsidRPr="00DD52D3">
        <w:t xml:space="preserve"> </w:t>
      </w:r>
    </w:p>
    <w:p w14:paraId="325AAB03" w14:textId="34B4A4C1" w:rsidR="00DD52D3" w:rsidRDefault="00C400D4" w:rsidP="00DD52D3">
      <w:pPr>
        <w:pStyle w:val="BodyText"/>
      </w:pPr>
      <w:r>
        <w:t xml:space="preserve">Therefore, staff recommends </w:t>
      </w:r>
      <w:r w:rsidR="00DD52D3">
        <w:t xml:space="preserve">the </w:t>
      </w:r>
      <w:r>
        <w:t>total annual amortization expense, reflecting CIAC and capital amortization expense, is $41,540 for water and $3,925 for wastewater.</w:t>
      </w:r>
      <w:r w:rsidR="008B149A" w:rsidRPr="008B149A">
        <w:t xml:space="preserve"> </w:t>
      </w:r>
    </w:p>
    <w:p w14:paraId="5B5F627D" w14:textId="77777777" w:rsidR="00C400D4" w:rsidRDefault="008B149A" w:rsidP="008B149A">
      <w:pPr>
        <w:jc w:val="both"/>
        <w:rPr>
          <w:rFonts w:ascii="Arial" w:hAnsi="Arial" w:cs="Arial"/>
          <w:b/>
        </w:rPr>
      </w:pPr>
      <w:r>
        <w:tab/>
      </w:r>
      <w:r w:rsidR="00C400D4" w:rsidRPr="00E710F2">
        <w:rPr>
          <w:rFonts w:ascii="Arial" w:hAnsi="Arial" w:cs="Arial"/>
          <w:b/>
        </w:rPr>
        <w:t>Taxes Other Than Income (TOTI)</w:t>
      </w:r>
    </w:p>
    <w:p w14:paraId="75522B6D" w14:textId="11215755" w:rsidR="00DD52D3" w:rsidRDefault="00C400D4" w:rsidP="00DD52D3">
      <w:pPr>
        <w:pStyle w:val="BodyText"/>
      </w:pPr>
      <w:r>
        <w:t>The Utility recorded TOTI of $20,254 for water and $14,882 for wastewater which includes property taxes, payroll taxes, and regulatory assessment fees (RAFs). Audit staff decreased TOTI by $3,902 for water and by $3,580 for wastewater to reflect actual invoiced amounts for the test year. Staff increased TOTI by $15,119 for water and $10,071 for wastewater to reflect property taxes associated with pro forma plant additions. These amounts are net of property tax reductions associated with the pro forma plant retirements.</w:t>
      </w:r>
      <w:r w:rsidR="00DD52D3" w:rsidRPr="00DD52D3">
        <w:t xml:space="preserve"> </w:t>
      </w:r>
    </w:p>
    <w:p w14:paraId="6C58E284" w14:textId="77777777" w:rsidR="00DD52D3" w:rsidRDefault="00C400D4" w:rsidP="00DD52D3">
      <w:pPr>
        <w:pStyle w:val="BodyText"/>
      </w:pPr>
      <w:r>
        <w:t>Based on revenues discussed in Issue 6, TOTI should be increased by $616 for water and $1,595 for wastewater to reflect a RAF rate</w:t>
      </w:r>
      <w:r w:rsidRPr="0063294F">
        <w:t xml:space="preserve"> of 4.5 p</w:t>
      </w:r>
      <w:r>
        <w:t>ercent applied to the change in revenues.</w:t>
      </w:r>
      <w:r w:rsidR="00DD52D3" w:rsidRPr="00DD52D3">
        <w:t xml:space="preserve"> </w:t>
      </w:r>
    </w:p>
    <w:p w14:paraId="28F6CDC7" w14:textId="77777777" w:rsidR="00DD52D3" w:rsidRDefault="00C400D4" w:rsidP="00DD52D3">
      <w:pPr>
        <w:pStyle w:val="BodyText"/>
      </w:pPr>
      <w:r>
        <w:t>As discussed in Issue 9, staff recommends revenues be increased by $447,911 for water and $433,611 for wastewater to reflect the increased revenue required to cover expenses and allow an opportunity to earn the recommended rate of return. As a result, TOTI should be increased by $20,156 for water and $19,513 for wastewater to reflect a RAF rate of 4.5 percent of the change in revenues. Staff’s adjustments result in a total increase of $31,989 to water and $27,599 to wastewater. Therefore, staff recommends a TOTI of $52,242 for water and $42,481 for wastewater.</w:t>
      </w:r>
      <w:r w:rsidR="00DD52D3" w:rsidRPr="00DD52D3">
        <w:t xml:space="preserve"> </w:t>
      </w:r>
    </w:p>
    <w:p w14:paraId="1F410D75" w14:textId="745F51D3" w:rsidR="00C400D4" w:rsidRPr="00E710F2" w:rsidRDefault="00C400D4" w:rsidP="00DD52D3">
      <w:pPr>
        <w:jc w:val="both"/>
        <w:rPr>
          <w:rFonts w:ascii="Arial" w:hAnsi="Arial" w:cs="Arial"/>
          <w:b/>
        </w:rPr>
      </w:pPr>
      <w:r w:rsidRPr="00E710F2">
        <w:rPr>
          <w:rFonts w:ascii="Arial" w:hAnsi="Arial" w:cs="Arial"/>
          <w:b/>
        </w:rPr>
        <w:t>Total Operating Expenses Summary</w:t>
      </w:r>
    </w:p>
    <w:p w14:paraId="1DAE03E5" w14:textId="77777777" w:rsidR="004A380F" w:rsidRDefault="00C400D4" w:rsidP="00C400D4">
      <w:pPr>
        <w:pStyle w:val="BodyText"/>
      </w:pPr>
      <w:r>
        <w:t xml:space="preserve">The Utility recorded operating expenses of $571,359 for water and $648,505 for wastewater. </w:t>
      </w:r>
      <w:r w:rsidRPr="0057505B">
        <w:t>The application of staff’s recommended adjustments to the Utility’s operating expense</w:t>
      </w:r>
      <w:r>
        <w:t>s</w:t>
      </w:r>
      <w:r w:rsidRPr="0057505B">
        <w:t xml:space="preserve"> results in a total operating expense of $</w:t>
      </w:r>
      <w:r>
        <w:t>571,555 for water and $575,941 for wastewater.</w:t>
      </w:r>
      <w:r w:rsidRPr="0057505B">
        <w:t xml:space="preserve"> Operating expe</w:t>
      </w:r>
      <w:r>
        <w:t>nses are shown on Schedule No. 3</w:t>
      </w:r>
      <w:r w:rsidRPr="0057505B">
        <w:t>-A</w:t>
      </w:r>
      <w:r>
        <w:t xml:space="preserve"> for water and Schedule 3-B for wastewater</w:t>
      </w:r>
      <w:r w:rsidRPr="0057505B">
        <w:t>, and the related adjustmen</w:t>
      </w:r>
      <w:r>
        <w:t>ts are shown on Schedule No. 3-C.</w:t>
      </w:r>
    </w:p>
    <w:p w14:paraId="37D8191F" w14:textId="14A7D5A7" w:rsidR="004A380F" w:rsidRDefault="004A380F">
      <w:pPr>
        <w:pStyle w:val="IssueHeading"/>
        <w:rPr>
          <w:vanish/>
          <w:specVanish/>
        </w:rPr>
      </w:pPr>
      <w:r w:rsidRPr="004C3641">
        <w:rPr>
          <w:b w:val="0"/>
          <w:i w:val="0"/>
        </w:rPr>
        <w:br w:type="page"/>
      </w:r>
      <w:r w:rsidRPr="004C3641">
        <w:t xml:space="preserve">Issue </w:t>
      </w:r>
      <w:r w:rsidR="00C3694F">
        <w:fldChar w:fldCharType="begin"/>
      </w:r>
      <w:r w:rsidR="00C3694F">
        <w:instrText xml:space="preserve"> SEQ Issue \* MERGEFORMAT </w:instrText>
      </w:r>
      <w:r w:rsidR="00C3694F">
        <w:fldChar w:fldCharType="separate"/>
      </w:r>
      <w:r w:rsidR="00C3694F">
        <w:rPr>
          <w:noProof/>
        </w:rPr>
        <w:t>8</w:t>
      </w:r>
      <w:r w:rsidR="00C3694F">
        <w:rPr>
          <w:noProof/>
        </w:rPr>
        <w:fldChar w:fldCharType="end"/>
      </w:r>
      <w:r w:rsidRPr="004C3641">
        <w:t>:</w:t>
      </w:r>
      <w:r>
        <w:fldChar w:fldCharType="begin"/>
      </w:r>
      <w:r>
        <w:instrText xml:space="preserve"> TC "</w:instrText>
      </w:r>
      <w:bookmarkStart w:id="22" w:name="_Toc219970004"/>
      <w:r w:rsidR="00470C1A">
        <w:instrText xml:space="preserve">Issue </w:instrText>
      </w:r>
      <w:r w:rsidR="00470C1A">
        <w:fldChar w:fldCharType="begin"/>
      </w:r>
      <w:r w:rsidR="00470C1A">
        <w:instrText xml:space="preserve"> SEQ issue \c </w:instrText>
      </w:r>
      <w:r w:rsidR="00470C1A">
        <w:fldChar w:fldCharType="separate"/>
      </w:r>
      <w:r w:rsidR="00C3694F">
        <w:rPr>
          <w:noProof/>
        </w:rPr>
        <w:instrText>8</w:instrText>
      </w:r>
      <w:r w:rsidR="00470C1A">
        <w:fldChar w:fldCharType="end"/>
      </w:r>
      <w:r w:rsidR="00470C1A">
        <w:instrText xml:space="preserve"> – Operating Ratio Methodology</w:instrText>
      </w:r>
      <w:bookmarkEnd w:id="22"/>
      <w:r>
        <w:instrText xml:space="preserve">" \l 1 </w:instrText>
      </w:r>
      <w:r>
        <w:fldChar w:fldCharType="end"/>
      </w:r>
      <w:r>
        <w:t> </w:t>
      </w:r>
    </w:p>
    <w:p w14:paraId="78488530" w14:textId="77777777" w:rsidR="004A380F" w:rsidRDefault="004A380F">
      <w:pPr>
        <w:pStyle w:val="BodyText"/>
      </w:pPr>
      <w:r>
        <w:t> Does Grenelefe meet the criteria for application of the operating ratio methodology?</w:t>
      </w:r>
    </w:p>
    <w:p w14:paraId="112A74DB" w14:textId="77777777" w:rsidR="004A380F" w:rsidRPr="004C3641" w:rsidRDefault="004A380F">
      <w:pPr>
        <w:pStyle w:val="IssueSubsectionHeading"/>
        <w:rPr>
          <w:vanish/>
          <w:specVanish/>
        </w:rPr>
      </w:pPr>
      <w:r w:rsidRPr="004C3641">
        <w:t>Recommendation: </w:t>
      </w:r>
    </w:p>
    <w:p w14:paraId="24D1B71F" w14:textId="77777777" w:rsidR="004A380F" w:rsidRDefault="004A380F">
      <w:pPr>
        <w:pStyle w:val="BodyText"/>
      </w:pPr>
      <w:r>
        <w:t> </w:t>
      </w:r>
      <w:r w:rsidR="00C400D4">
        <w:t xml:space="preserve">No, </w:t>
      </w:r>
      <w:r w:rsidR="00C400D4" w:rsidRPr="00BD0C09">
        <w:t xml:space="preserve">Grenelefe </w:t>
      </w:r>
      <w:r w:rsidR="00C400D4">
        <w:t>does not meet the requirement for application of the operating ratio methodology for calculating the revenue requirement.</w:t>
      </w:r>
      <w:r>
        <w:t xml:space="preserve"> (Cohn)</w:t>
      </w:r>
    </w:p>
    <w:p w14:paraId="1C6AF7A1" w14:textId="77777777" w:rsidR="004A380F" w:rsidRPr="004C3641" w:rsidRDefault="004A380F">
      <w:pPr>
        <w:pStyle w:val="IssueSubsectionHeading"/>
        <w:rPr>
          <w:vanish/>
          <w:specVanish/>
        </w:rPr>
      </w:pPr>
      <w:r w:rsidRPr="004C3641">
        <w:t>Staff Analysis: </w:t>
      </w:r>
    </w:p>
    <w:p w14:paraId="4EAAAD62" w14:textId="16D6C914" w:rsidR="008B149A" w:rsidRDefault="004A380F" w:rsidP="008B149A">
      <w:pPr>
        <w:pStyle w:val="BodyText"/>
      </w:pPr>
      <w:r>
        <w:t> </w:t>
      </w:r>
      <w:r w:rsidR="00C400D4" w:rsidRPr="003A2EBA">
        <w:t>Rule 25-30</w:t>
      </w:r>
      <w:r w:rsidR="00C7427E">
        <w:t>.4575(2), F.A.C., provides that</w:t>
      </w:r>
      <w:r w:rsidR="00C400D4" w:rsidRPr="003A2EBA">
        <w:t xml:space="preserve"> in rate cases processed under Rule 25-30.455, F.A.C., the Commission will use the operating ratio methodology to establish the Utility’s revenue requirement when its rate base is not greater than 125 percent of O&amp;M expenses, less regulatory commission expense, and the use of the operating ratio methodology does not change the Utility’s qualification for a SARC.</w:t>
      </w:r>
      <w:r w:rsidR="008B149A" w:rsidRPr="008B149A">
        <w:t xml:space="preserve"> </w:t>
      </w:r>
    </w:p>
    <w:p w14:paraId="04CA76E6" w14:textId="77777777" w:rsidR="004A380F" w:rsidRDefault="00C400D4" w:rsidP="008B149A">
      <w:pPr>
        <w:jc w:val="both"/>
      </w:pPr>
      <w:r w:rsidRPr="003A2EBA">
        <w:t xml:space="preserve">With respect to </w:t>
      </w:r>
      <w:r>
        <w:t>Grenelefe</w:t>
      </w:r>
      <w:r w:rsidRPr="003A2EBA">
        <w:t>, staff has recommended a rate base of $</w:t>
      </w:r>
      <w:r>
        <w:t>1,866,312 for water and $1,241,585 for wastewater</w:t>
      </w:r>
      <w:r w:rsidRPr="003A2EBA">
        <w:t xml:space="preserve">. After removal of rate case expense, staff has calculated an </w:t>
      </w:r>
      <w:r>
        <w:t xml:space="preserve">adjusted </w:t>
      </w:r>
      <w:r w:rsidRPr="003A2EBA">
        <w:t>O&amp;M expense of $</w:t>
      </w:r>
      <w:r>
        <w:t>439,767 for water and $450,375 for wastewater</w:t>
      </w:r>
      <w:r w:rsidRPr="003A2EBA">
        <w:t>. Based on staff’s preliminary recommended amounts, the Utility’s rate base</w:t>
      </w:r>
      <w:r>
        <w:t>s</w:t>
      </w:r>
      <w:r w:rsidRPr="003A2EBA">
        <w:t xml:space="preserve"> </w:t>
      </w:r>
      <w:r>
        <w:t>are</w:t>
      </w:r>
      <w:r w:rsidRPr="003A2EBA">
        <w:t xml:space="preserve"> </w:t>
      </w:r>
      <w:r>
        <w:t>424.39</w:t>
      </w:r>
      <w:r w:rsidRPr="003A2EBA">
        <w:t xml:space="preserve"> percent</w:t>
      </w:r>
      <w:r>
        <w:t xml:space="preserve"> and 275.68 percent</w:t>
      </w:r>
      <w:r w:rsidRPr="003A2EBA">
        <w:t xml:space="preserve"> of its adjusted O&amp;M expense</w:t>
      </w:r>
      <w:r>
        <w:t xml:space="preserve"> for water and wastewater, respectively</w:t>
      </w:r>
      <w:r w:rsidRPr="003A2EBA">
        <w:t>. Based on this, the Utility does not qualify for application of the operating ratio methodology</w:t>
      </w:r>
      <w:r>
        <w:t>.</w:t>
      </w:r>
    </w:p>
    <w:p w14:paraId="6640176A" w14:textId="4FCA31F0" w:rsidR="004A380F" w:rsidRDefault="004A380F">
      <w:pPr>
        <w:pStyle w:val="IssueHeading"/>
        <w:rPr>
          <w:vanish/>
          <w:specVanish/>
        </w:rPr>
      </w:pPr>
      <w:r w:rsidRPr="004C3641">
        <w:rPr>
          <w:b w:val="0"/>
          <w:i w:val="0"/>
        </w:rPr>
        <w:br w:type="page"/>
      </w:r>
      <w:r w:rsidRPr="004C3641">
        <w:t xml:space="preserve">Issue </w:t>
      </w:r>
      <w:r w:rsidR="00C3694F">
        <w:fldChar w:fldCharType="begin"/>
      </w:r>
      <w:r w:rsidR="00C3694F">
        <w:instrText xml:space="preserve"> SEQ Issue \* MERGEFORMAT </w:instrText>
      </w:r>
      <w:r w:rsidR="00C3694F">
        <w:fldChar w:fldCharType="separate"/>
      </w:r>
      <w:r w:rsidR="00C3694F">
        <w:rPr>
          <w:noProof/>
        </w:rPr>
        <w:t>9</w:t>
      </w:r>
      <w:r w:rsidR="00C3694F">
        <w:rPr>
          <w:noProof/>
        </w:rPr>
        <w:fldChar w:fldCharType="end"/>
      </w:r>
      <w:r w:rsidRPr="004C3641">
        <w:t>:</w:t>
      </w:r>
      <w:r>
        <w:fldChar w:fldCharType="begin"/>
      </w:r>
      <w:r>
        <w:instrText xml:space="preserve"> TC "</w:instrText>
      </w:r>
      <w:bookmarkStart w:id="23" w:name="_Toc219970005"/>
      <w:r w:rsidR="00470C1A">
        <w:instrText xml:space="preserve">Issue </w:instrText>
      </w:r>
      <w:r w:rsidR="00470C1A">
        <w:fldChar w:fldCharType="begin"/>
      </w:r>
      <w:r w:rsidR="00470C1A">
        <w:instrText xml:space="preserve"> SEQ issue \c </w:instrText>
      </w:r>
      <w:r w:rsidR="00470C1A">
        <w:fldChar w:fldCharType="separate"/>
      </w:r>
      <w:r w:rsidR="00C3694F">
        <w:rPr>
          <w:noProof/>
        </w:rPr>
        <w:instrText>9</w:instrText>
      </w:r>
      <w:r w:rsidR="00470C1A">
        <w:fldChar w:fldCharType="end"/>
      </w:r>
      <w:r w:rsidR="00470C1A">
        <w:instrText xml:space="preserve"> – Revenue Requirement</w:instrText>
      </w:r>
      <w:bookmarkEnd w:id="23"/>
      <w:r>
        <w:instrText xml:space="preserve">" \l 1 </w:instrText>
      </w:r>
      <w:r>
        <w:fldChar w:fldCharType="end"/>
      </w:r>
      <w:r>
        <w:t> </w:t>
      </w:r>
    </w:p>
    <w:p w14:paraId="43CF30BF" w14:textId="77777777" w:rsidR="004A380F" w:rsidRDefault="004A380F">
      <w:pPr>
        <w:pStyle w:val="BodyText"/>
      </w:pPr>
      <w:r>
        <w:t> What is the appropriate revenue requirement for Grenelefe?</w:t>
      </w:r>
    </w:p>
    <w:p w14:paraId="7E8DF729" w14:textId="77777777" w:rsidR="004A380F" w:rsidRPr="004C3641" w:rsidRDefault="004A380F">
      <w:pPr>
        <w:pStyle w:val="IssueSubsectionHeading"/>
        <w:rPr>
          <w:vanish/>
          <w:specVanish/>
        </w:rPr>
      </w:pPr>
      <w:r w:rsidRPr="004C3641">
        <w:t>Recommendation: </w:t>
      </w:r>
    </w:p>
    <w:p w14:paraId="274FCFB0" w14:textId="77777777" w:rsidR="004A380F" w:rsidRDefault="004A380F">
      <w:pPr>
        <w:pStyle w:val="BodyText"/>
      </w:pPr>
      <w:r>
        <w:t> </w:t>
      </w:r>
      <w:r w:rsidR="00C400D4">
        <w:t>The appropriate revenue requirement is $739,456 for water and $687,638 for wastewater, resulting in an annual increase of $447,911 (153.63 percent) for water and $433,611 (170.69 percent) for wastewater.</w:t>
      </w:r>
      <w:r>
        <w:t xml:space="preserve"> (Cohn)</w:t>
      </w:r>
    </w:p>
    <w:p w14:paraId="3BDF6D14" w14:textId="77777777" w:rsidR="004A380F" w:rsidRPr="004C3641" w:rsidRDefault="004A380F">
      <w:pPr>
        <w:pStyle w:val="IssueSubsectionHeading"/>
        <w:rPr>
          <w:vanish/>
          <w:specVanish/>
        </w:rPr>
      </w:pPr>
      <w:r w:rsidRPr="004C3641">
        <w:t>Staff Analysis: </w:t>
      </w:r>
    </w:p>
    <w:p w14:paraId="05685F74" w14:textId="77777777" w:rsidR="00C400D4" w:rsidRDefault="004A380F" w:rsidP="00C400D4">
      <w:pPr>
        <w:jc w:val="both"/>
      </w:pPr>
      <w:r>
        <w:t> </w:t>
      </w:r>
      <w:r w:rsidR="00C400D4">
        <w:t xml:space="preserve">Grenelefe should be allowed </w:t>
      </w:r>
      <w:r w:rsidR="00C400D4" w:rsidRPr="00812C85">
        <w:t xml:space="preserve">an annual increase of </w:t>
      </w:r>
      <w:r w:rsidR="00C400D4">
        <w:t>$447,911 (153.63 percent)</w:t>
      </w:r>
      <w:r w:rsidR="00C400D4" w:rsidRPr="00812C85">
        <w:t xml:space="preserve"> for water and </w:t>
      </w:r>
      <w:r w:rsidR="00C400D4">
        <w:t>$433,611 (170.69 percent)</w:t>
      </w:r>
      <w:r w:rsidR="00C400D4" w:rsidRPr="00812C85">
        <w:t xml:space="preserve"> for wastewater</w:t>
      </w:r>
      <w:r w:rsidR="00C400D4">
        <w:t>. This should allow the Utility the opportunity to recover its expenses and earn a 9.00 percent return on its respective rate base. The calculations for revenue requirement are shown on Table 9-1 and Table 9-2.</w:t>
      </w:r>
      <w:r w:rsidR="00C400D4">
        <w:rPr>
          <w:rStyle w:val="FootnoteReference"/>
        </w:rPr>
        <w:footnoteReference w:id="52"/>
      </w:r>
    </w:p>
    <w:p w14:paraId="102287B0" w14:textId="77777777" w:rsidR="00C400D4" w:rsidRPr="00EB2B89" w:rsidRDefault="00C400D4" w:rsidP="00C400D4">
      <w:pPr>
        <w:keepNext/>
        <w:spacing w:before="480"/>
        <w:jc w:val="center"/>
        <w:rPr>
          <w:rFonts w:ascii="Arial" w:hAnsi="Arial"/>
          <w:b/>
        </w:rPr>
      </w:pPr>
      <w:r w:rsidRPr="00EB2B89">
        <w:rPr>
          <w:rFonts w:ascii="Arial" w:hAnsi="Arial"/>
          <w:b/>
        </w:rPr>
        <w:t xml:space="preserve">Table </w:t>
      </w:r>
      <w:r>
        <w:rPr>
          <w:rFonts w:ascii="Arial" w:hAnsi="Arial"/>
          <w:b/>
        </w:rPr>
        <w:t>9</w:t>
      </w:r>
      <w:r w:rsidRPr="00EB2B89">
        <w:rPr>
          <w:rFonts w:ascii="Arial" w:hAnsi="Arial"/>
          <w:b/>
        </w:rPr>
        <w:t>-1</w:t>
      </w:r>
    </w:p>
    <w:p w14:paraId="17BC144D" w14:textId="77777777" w:rsidR="00C400D4" w:rsidRPr="00EB2B89" w:rsidRDefault="00C400D4" w:rsidP="00C400D4">
      <w:pPr>
        <w:keepNext/>
        <w:jc w:val="center"/>
        <w:rPr>
          <w:rFonts w:ascii="Arial" w:hAnsi="Arial"/>
          <w:b/>
        </w:rPr>
      </w:pPr>
      <w:r>
        <w:rPr>
          <w:rFonts w:ascii="Arial" w:hAnsi="Arial"/>
          <w:b/>
        </w:rPr>
        <w:t xml:space="preserve">Water </w:t>
      </w:r>
      <w:r w:rsidRPr="00EB2B89">
        <w:rPr>
          <w:rFonts w:ascii="Arial" w:hAnsi="Arial"/>
          <w:b/>
        </w:rPr>
        <w:t>Revenue Requirement</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106"/>
        <w:gridCol w:w="1296"/>
      </w:tblGrid>
      <w:tr w:rsidR="00C400D4" w:rsidRPr="00EB2B89" w14:paraId="10BC584D" w14:textId="77777777" w:rsidTr="008B149A">
        <w:trPr>
          <w:jc w:val="center"/>
        </w:trPr>
        <w:tc>
          <w:tcPr>
            <w:tcW w:w="4106" w:type="dxa"/>
          </w:tcPr>
          <w:p w14:paraId="25638BA4" w14:textId="77777777" w:rsidR="00C400D4" w:rsidRPr="00EB2B89" w:rsidRDefault="00C400D4" w:rsidP="008B149A">
            <w:r>
              <w:t>Water Rate Base</w:t>
            </w:r>
          </w:p>
        </w:tc>
        <w:tc>
          <w:tcPr>
            <w:tcW w:w="0" w:type="auto"/>
          </w:tcPr>
          <w:p w14:paraId="76F0D8DC" w14:textId="77777777" w:rsidR="00C400D4" w:rsidRPr="00EB2B89" w:rsidRDefault="00C400D4" w:rsidP="008B149A">
            <w:pPr>
              <w:jc w:val="right"/>
            </w:pPr>
            <w:r>
              <w:t>$1,866,312</w:t>
            </w:r>
          </w:p>
        </w:tc>
      </w:tr>
      <w:tr w:rsidR="00C400D4" w:rsidRPr="00EB2B89" w14:paraId="214F35A3" w14:textId="77777777" w:rsidTr="008B149A">
        <w:trPr>
          <w:jc w:val="center"/>
        </w:trPr>
        <w:tc>
          <w:tcPr>
            <w:tcW w:w="4106" w:type="dxa"/>
          </w:tcPr>
          <w:p w14:paraId="24943680" w14:textId="77777777" w:rsidR="00C400D4" w:rsidRPr="00EB2B89" w:rsidRDefault="00C400D4" w:rsidP="008B149A">
            <w:r>
              <w:t>Rate of Return (%)</w:t>
            </w:r>
          </w:p>
        </w:tc>
        <w:tc>
          <w:tcPr>
            <w:tcW w:w="0" w:type="auto"/>
          </w:tcPr>
          <w:p w14:paraId="64FB8CA3" w14:textId="77777777" w:rsidR="00C400D4" w:rsidRPr="00EB2B89" w:rsidRDefault="00C400D4" w:rsidP="008B149A">
            <w:pPr>
              <w:jc w:val="right"/>
              <w:rPr>
                <w:u w:val="single"/>
              </w:rPr>
            </w:pPr>
            <w:r w:rsidRPr="00CA6CE1">
              <w:t xml:space="preserve">× </w:t>
            </w:r>
            <w:r>
              <w:rPr>
                <w:u w:val="single"/>
              </w:rPr>
              <w:t>9.00</w:t>
            </w:r>
            <w:r w:rsidRPr="00EB2B89">
              <w:rPr>
                <w:u w:val="single"/>
              </w:rPr>
              <w:t>%</w:t>
            </w:r>
          </w:p>
        </w:tc>
      </w:tr>
      <w:tr w:rsidR="00C400D4" w:rsidRPr="00EB2B89" w14:paraId="0E938D3D" w14:textId="77777777" w:rsidTr="008B149A">
        <w:trPr>
          <w:trHeight w:val="306"/>
          <w:jc w:val="center"/>
        </w:trPr>
        <w:tc>
          <w:tcPr>
            <w:tcW w:w="4106" w:type="dxa"/>
          </w:tcPr>
          <w:p w14:paraId="76C981AF" w14:textId="77777777" w:rsidR="00C400D4" w:rsidRPr="00EB2B89" w:rsidRDefault="00C400D4" w:rsidP="008B149A">
            <w:r>
              <w:t>Return On Rate Base ($)</w:t>
            </w:r>
          </w:p>
        </w:tc>
        <w:tc>
          <w:tcPr>
            <w:tcW w:w="0" w:type="auto"/>
          </w:tcPr>
          <w:p w14:paraId="2B80FDC1" w14:textId="77777777" w:rsidR="00C400D4" w:rsidRPr="00EB2B89" w:rsidRDefault="00C400D4" w:rsidP="008B149A">
            <w:pPr>
              <w:jc w:val="right"/>
              <w:rPr>
                <w:u w:val="double"/>
              </w:rPr>
            </w:pPr>
            <w:r>
              <w:rPr>
                <w:u w:val="double"/>
              </w:rPr>
              <w:t>$167,900</w:t>
            </w:r>
          </w:p>
        </w:tc>
      </w:tr>
      <w:tr w:rsidR="00C400D4" w:rsidRPr="00EB2B89" w14:paraId="56B54B1F" w14:textId="77777777" w:rsidTr="008B149A">
        <w:trPr>
          <w:jc w:val="center"/>
        </w:trPr>
        <w:tc>
          <w:tcPr>
            <w:tcW w:w="4106" w:type="dxa"/>
          </w:tcPr>
          <w:p w14:paraId="4D9E1282" w14:textId="77777777" w:rsidR="00C400D4" w:rsidRPr="00EB2B89" w:rsidRDefault="00C400D4" w:rsidP="008B149A">
            <w:r w:rsidRPr="00EB2B89">
              <w:t>Water O&amp;M Expense</w:t>
            </w:r>
          </w:p>
        </w:tc>
        <w:tc>
          <w:tcPr>
            <w:tcW w:w="0" w:type="auto"/>
          </w:tcPr>
          <w:p w14:paraId="4438EBA7" w14:textId="77777777" w:rsidR="00C400D4" w:rsidRPr="00EB2B89" w:rsidRDefault="00C400D4" w:rsidP="008B149A">
            <w:pPr>
              <w:jc w:val="right"/>
            </w:pPr>
            <w:r>
              <w:t>445,945</w:t>
            </w:r>
          </w:p>
        </w:tc>
      </w:tr>
      <w:tr w:rsidR="00C400D4" w:rsidRPr="00EB2B89" w14:paraId="10AF9892" w14:textId="77777777" w:rsidTr="008B149A">
        <w:trPr>
          <w:jc w:val="center"/>
        </w:trPr>
        <w:tc>
          <w:tcPr>
            <w:tcW w:w="4106" w:type="dxa"/>
          </w:tcPr>
          <w:p w14:paraId="040FBBDB" w14:textId="77777777" w:rsidR="00C400D4" w:rsidRPr="00EB2B89" w:rsidRDefault="00C400D4" w:rsidP="008B149A">
            <w:r w:rsidRPr="00EB2B89">
              <w:t>Depreciation Expense</w:t>
            </w:r>
          </w:p>
        </w:tc>
        <w:tc>
          <w:tcPr>
            <w:tcW w:w="0" w:type="auto"/>
          </w:tcPr>
          <w:p w14:paraId="6AA680FF" w14:textId="77777777" w:rsidR="00C400D4" w:rsidRPr="00EB2B89" w:rsidRDefault="00C400D4" w:rsidP="008B149A">
            <w:pPr>
              <w:jc w:val="right"/>
            </w:pPr>
            <w:r>
              <w:t>114,909</w:t>
            </w:r>
          </w:p>
        </w:tc>
      </w:tr>
      <w:tr w:rsidR="00C400D4" w:rsidRPr="00EB2B89" w14:paraId="033A33E3" w14:textId="77777777" w:rsidTr="008B149A">
        <w:trPr>
          <w:jc w:val="center"/>
        </w:trPr>
        <w:tc>
          <w:tcPr>
            <w:tcW w:w="4106" w:type="dxa"/>
          </w:tcPr>
          <w:p w14:paraId="3B7CDC07" w14:textId="77777777" w:rsidR="00C400D4" w:rsidRPr="00EB2B89" w:rsidRDefault="00C400D4" w:rsidP="008B149A">
            <w:r>
              <w:t>Amortization</w:t>
            </w:r>
          </w:p>
        </w:tc>
        <w:tc>
          <w:tcPr>
            <w:tcW w:w="0" w:type="auto"/>
          </w:tcPr>
          <w:p w14:paraId="4011BADB" w14:textId="77777777" w:rsidR="00C400D4" w:rsidRDefault="00C400D4" w:rsidP="008B149A">
            <w:pPr>
              <w:jc w:val="right"/>
            </w:pPr>
            <w:r>
              <w:t>(41,540)</w:t>
            </w:r>
          </w:p>
        </w:tc>
      </w:tr>
      <w:tr w:rsidR="00C400D4" w:rsidRPr="00EB2B89" w14:paraId="267E6BEC" w14:textId="77777777" w:rsidTr="008B149A">
        <w:trPr>
          <w:jc w:val="center"/>
        </w:trPr>
        <w:tc>
          <w:tcPr>
            <w:tcW w:w="4106" w:type="dxa"/>
          </w:tcPr>
          <w:p w14:paraId="6AE53426" w14:textId="77777777" w:rsidR="00C400D4" w:rsidRPr="00EB2B89" w:rsidRDefault="00C400D4" w:rsidP="008B149A">
            <w:r w:rsidRPr="00EB2B89">
              <w:t>Taxes Other Than Income</w:t>
            </w:r>
          </w:p>
        </w:tc>
        <w:tc>
          <w:tcPr>
            <w:tcW w:w="0" w:type="auto"/>
          </w:tcPr>
          <w:p w14:paraId="760E87D8" w14:textId="77777777" w:rsidR="00C400D4" w:rsidRPr="00EB2B89" w:rsidRDefault="00C400D4" w:rsidP="008B149A">
            <w:pPr>
              <w:jc w:val="right"/>
              <w:rPr>
                <w:u w:val="single"/>
              </w:rPr>
            </w:pPr>
            <w:r>
              <w:rPr>
                <w:u w:val="single"/>
              </w:rPr>
              <w:t>52,242</w:t>
            </w:r>
          </w:p>
        </w:tc>
      </w:tr>
      <w:tr w:rsidR="00C400D4" w:rsidRPr="00EB2B89" w14:paraId="532F7BEF" w14:textId="77777777" w:rsidTr="008B149A">
        <w:trPr>
          <w:jc w:val="center"/>
        </w:trPr>
        <w:tc>
          <w:tcPr>
            <w:tcW w:w="4106" w:type="dxa"/>
          </w:tcPr>
          <w:p w14:paraId="5AFEF95A" w14:textId="77777777" w:rsidR="00C400D4" w:rsidRPr="00EB2B89" w:rsidRDefault="00C400D4" w:rsidP="008B149A">
            <w:r w:rsidRPr="00EB2B89">
              <w:t>Revenue Requirement</w:t>
            </w:r>
          </w:p>
        </w:tc>
        <w:tc>
          <w:tcPr>
            <w:tcW w:w="0" w:type="auto"/>
          </w:tcPr>
          <w:p w14:paraId="02B0C984" w14:textId="77777777" w:rsidR="00C400D4" w:rsidRPr="00EB2B89" w:rsidRDefault="00C400D4" w:rsidP="008B149A">
            <w:pPr>
              <w:jc w:val="right"/>
              <w:rPr>
                <w:u w:val="double"/>
              </w:rPr>
            </w:pPr>
            <w:r w:rsidRPr="00EB2B89">
              <w:rPr>
                <w:u w:val="double"/>
              </w:rPr>
              <w:t>$</w:t>
            </w:r>
            <w:r>
              <w:rPr>
                <w:u w:val="double"/>
              </w:rPr>
              <w:t>739,456</w:t>
            </w:r>
          </w:p>
        </w:tc>
      </w:tr>
      <w:tr w:rsidR="00C400D4" w:rsidRPr="00EB2B89" w14:paraId="52AA59E1" w14:textId="77777777" w:rsidTr="008B149A">
        <w:trPr>
          <w:jc w:val="center"/>
        </w:trPr>
        <w:tc>
          <w:tcPr>
            <w:tcW w:w="4106" w:type="dxa"/>
          </w:tcPr>
          <w:p w14:paraId="5FB25565" w14:textId="77777777" w:rsidR="00C400D4" w:rsidRPr="00EB2B89" w:rsidRDefault="00C400D4" w:rsidP="008B149A">
            <w:r w:rsidRPr="00EB2B89">
              <w:t>Less Test Year Revenues</w:t>
            </w:r>
          </w:p>
        </w:tc>
        <w:tc>
          <w:tcPr>
            <w:tcW w:w="0" w:type="auto"/>
          </w:tcPr>
          <w:p w14:paraId="5782DECE" w14:textId="77777777" w:rsidR="00C400D4" w:rsidRPr="00EB2B89" w:rsidRDefault="00C400D4" w:rsidP="008B149A">
            <w:pPr>
              <w:jc w:val="right"/>
            </w:pPr>
            <w:r>
              <w:t>$291,545</w:t>
            </w:r>
          </w:p>
        </w:tc>
      </w:tr>
      <w:tr w:rsidR="00C400D4" w:rsidRPr="00EB2B89" w14:paraId="5EFB3013" w14:textId="77777777" w:rsidTr="008B149A">
        <w:trPr>
          <w:jc w:val="center"/>
        </w:trPr>
        <w:tc>
          <w:tcPr>
            <w:tcW w:w="4106" w:type="dxa"/>
          </w:tcPr>
          <w:p w14:paraId="6C46ECCB" w14:textId="77777777" w:rsidR="00C400D4" w:rsidRPr="00EB2B89" w:rsidRDefault="00C400D4" w:rsidP="008B149A">
            <w:r w:rsidRPr="00EB2B89">
              <w:t>Annual Increase</w:t>
            </w:r>
          </w:p>
        </w:tc>
        <w:tc>
          <w:tcPr>
            <w:tcW w:w="0" w:type="auto"/>
          </w:tcPr>
          <w:p w14:paraId="77F722B3" w14:textId="77777777" w:rsidR="00C400D4" w:rsidRPr="00EB2B89" w:rsidRDefault="00C400D4" w:rsidP="008B149A">
            <w:pPr>
              <w:jc w:val="right"/>
            </w:pPr>
            <w:r w:rsidRPr="00EB2B89">
              <w:t>$</w:t>
            </w:r>
            <w:r>
              <w:t>447,911</w:t>
            </w:r>
          </w:p>
        </w:tc>
      </w:tr>
      <w:tr w:rsidR="00C400D4" w:rsidRPr="00EB2B89" w14:paraId="63A68759" w14:textId="77777777" w:rsidTr="008B149A">
        <w:trPr>
          <w:jc w:val="center"/>
        </w:trPr>
        <w:tc>
          <w:tcPr>
            <w:tcW w:w="4106" w:type="dxa"/>
          </w:tcPr>
          <w:p w14:paraId="65703D44" w14:textId="77777777" w:rsidR="00C400D4" w:rsidRPr="00EB2B89" w:rsidRDefault="00C400D4" w:rsidP="008B149A">
            <w:r w:rsidRPr="00EB2B89">
              <w:t>Percent Increase</w:t>
            </w:r>
          </w:p>
        </w:tc>
        <w:tc>
          <w:tcPr>
            <w:tcW w:w="0" w:type="auto"/>
          </w:tcPr>
          <w:p w14:paraId="1DEB36EB" w14:textId="77777777" w:rsidR="00C400D4" w:rsidRPr="00EB2B89" w:rsidRDefault="00C400D4" w:rsidP="008B149A">
            <w:pPr>
              <w:jc w:val="right"/>
            </w:pPr>
            <w:r>
              <w:t>153.63</w:t>
            </w:r>
            <w:r w:rsidRPr="00EB2B89">
              <w:t>%</w:t>
            </w:r>
          </w:p>
        </w:tc>
      </w:tr>
    </w:tbl>
    <w:p w14:paraId="06A34118" w14:textId="77777777" w:rsidR="00C400D4" w:rsidRPr="00EB2B89" w:rsidRDefault="00C400D4" w:rsidP="00C400D4">
      <w:pPr>
        <w:spacing w:after="480"/>
        <w:ind w:left="1440" w:firstLine="720"/>
        <w:jc w:val="both"/>
      </w:pPr>
      <w:r w:rsidRPr="00EB2B89">
        <w:t>Source: Staff calculations.</w:t>
      </w:r>
    </w:p>
    <w:p w14:paraId="4004EE71" w14:textId="77777777" w:rsidR="00C400D4" w:rsidRPr="00EB2B89" w:rsidRDefault="00C400D4" w:rsidP="00C400D4">
      <w:pPr>
        <w:keepNext/>
        <w:spacing w:before="480"/>
        <w:jc w:val="center"/>
        <w:rPr>
          <w:rFonts w:ascii="Arial" w:hAnsi="Arial"/>
          <w:b/>
        </w:rPr>
      </w:pPr>
      <w:r w:rsidRPr="00EB2B89">
        <w:rPr>
          <w:rFonts w:ascii="Arial" w:hAnsi="Arial"/>
          <w:b/>
        </w:rPr>
        <w:t xml:space="preserve">Table </w:t>
      </w:r>
      <w:r>
        <w:rPr>
          <w:rFonts w:ascii="Arial" w:hAnsi="Arial"/>
          <w:b/>
        </w:rPr>
        <w:t>9</w:t>
      </w:r>
      <w:r w:rsidRPr="00EB2B89">
        <w:rPr>
          <w:rFonts w:ascii="Arial" w:hAnsi="Arial"/>
          <w:b/>
        </w:rPr>
        <w:t>-</w:t>
      </w:r>
      <w:r>
        <w:rPr>
          <w:rFonts w:ascii="Arial" w:hAnsi="Arial"/>
          <w:b/>
        </w:rPr>
        <w:t>2</w:t>
      </w:r>
    </w:p>
    <w:p w14:paraId="183C2BC9" w14:textId="77777777" w:rsidR="00C400D4" w:rsidRPr="00EB2B89" w:rsidRDefault="00C400D4" w:rsidP="00C400D4">
      <w:pPr>
        <w:keepNext/>
        <w:jc w:val="center"/>
        <w:rPr>
          <w:rFonts w:ascii="Arial" w:hAnsi="Arial"/>
          <w:b/>
        </w:rPr>
      </w:pPr>
      <w:r>
        <w:rPr>
          <w:rFonts w:ascii="Arial" w:hAnsi="Arial"/>
          <w:b/>
        </w:rPr>
        <w:t xml:space="preserve">Wastewater </w:t>
      </w:r>
      <w:r w:rsidRPr="00EB2B89">
        <w:rPr>
          <w:rFonts w:ascii="Arial" w:hAnsi="Arial"/>
          <w:b/>
        </w:rPr>
        <w:t>Revenue Requirement</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106"/>
        <w:gridCol w:w="1296"/>
      </w:tblGrid>
      <w:tr w:rsidR="00C400D4" w:rsidRPr="00EB2B89" w14:paraId="1D64B25A" w14:textId="77777777" w:rsidTr="008B149A">
        <w:trPr>
          <w:trHeight w:val="251"/>
          <w:jc w:val="center"/>
        </w:trPr>
        <w:tc>
          <w:tcPr>
            <w:tcW w:w="4106" w:type="dxa"/>
          </w:tcPr>
          <w:p w14:paraId="5768837A" w14:textId="77777777" w:rsidR="00C400D4" w:rsidRPr="00EB2B89" w:rsidRDefault="00C400D4" w:rsidP="008B149A">
            <w:r>
              <w:t>Wastewater Rate Base</w:t>
            </w:r>
          </w:p>
        </w:tc>
        <w:tc>
          <w:tcPr>
            <w:tcW w:w="0" w:type="auto"/>
          </w:tcPr>
          <w:p w14:paraId="5F88C7C5" w14:textId="77777777" w:rsidR="00C400D4" w:rsidRPr="00EB2B89" w:rsidRDefault="00C400D4" w:rsidP="008B149A">
            <w:pPr>
              <w:jc w:val="right"/>
            </w:pPr>
            <w:r>
              <w:t>$1,241,585</w:t>
            </w:r>
          </w:p>
        </w:tc>
      </w:tr>
      <w:tr w:rsidR="00C400D4" w:rsidRPr="00EB2B89" w14:paraId="3F970520" w14:textId="77777777" w:rsidTr="008B149A">
        <w:trPr>
          <w:trHeight w:val="279"/>
          <w:jc w:val="center"/>
        </w:trPr>
        <w:tc>
          <w:tcPr>
            <w:tcW w:w="4106" w:type="dxa"/>
          </w:tcPr>
          <w:p w14:paraId="3B1ADBBF" w14:textId="77777777" w:rsidR="00C400D4" w:rsidRPr="00EB2B89" w:rsidRDefault="00C400D4" w:rsidP="008B149A">
            <w:r>
              <w:t>Rate of Return (%)</w:t>
            </w:r>
          </w:p>
        </w:tc>
        <w:tc>
          <w:tcPr>
            <w:tcW w:w="0" w:type="auto"/>
          </w:tcPr>
          <w:p w14:paraId="106CF8F2" w14:textId="77777777" w:rsidR="00C400D4" w:rsidRPr="00EB2B89" w:rsidRDefault="00C400D4" w:rsidP="008B149A">
            <w:pPr>
              <w:jc w:val="right"/>
              <w:rPr>
                <w:u w:val="single"/>
              </w:rPr>
            </w:pPr>
            <w:r w:rsidRPr="00CA6CE1">
              <w:t xml:space="preserve">× </w:t>
            </w:r>
            <w:r>
              <w:rPr>
                <w:u w:val="single"/>
              </w:rPr>
              <w:t>9.00</w:t>
            </w:r>
            <w:r w:rsidRPr="00EB2B89">
              <w:rPr>
                <w:u w:val="single"/>
              </w:rPr>
              <w:t>%</w:t>
            </w:r>
          </w:p>
        </w:tc>
      </w:tr>
      <w:tr w:rsidR="00C400D4" w:rsidRPr="00EB2B89" w14:paraId="33BBBCC6" w14:textId="77777777" w:rsidTr="008B149A">
        <w:trPr>
          <w:trHeight w:val="234"/>
          <w:jc w:val="center"/>
        </w:trPr>
        <w:tc>
          <w:tcPr>
            <w:tcW w:w="4106" w:type="dxa"/>
          </w:tcPr>
          <w:p w14:paraId="1FAC72B8" w14:textId="77777777" w:rsidR="00C400D4" w:rsidRPr="00EB2B89" w:rsidRDefault="00C400D4" w:rsidP="008B149A">
            <w:r>
              <w:t>Return On Rate Base ($)</w:t>
            </w:r>
          </w:p>
        </w:tc>
        <w:tc>
          <w:tcPr>
            <w:tcW w:w="0" w:type="auto"/>
          </w:tcPr>
          <w:p w14:paraId="35B9CB5F" w14:textId="77777777" w:rsidR="00C400D4" w:rsidRPr="00EB2B89" w:rsidRDefault="00C400D4" w:rsidP="008B149A">
            <w:pPr>
              <w:jc w:val="right"/>
              <w:rPr>
                <w:u w:val="double"/>
              </w:rPr>
            </w:pPr>
            <w:r>
              <w:rPr>
                <w:u w:val="double"/>
              </w:rPr>
              <w:t>$111,698</w:t>
            </w:r>
          </w:p>
        </w:tc>
      </w:tr>
      <w:tr w:rsidR="00C400D4" w:rsidRPr="00EB2B89" w14:paraId="6EEDF3D9" w14:textId="77777777" w:rsidTr="008B149A">
        <w:trPr>
          <w:jc w:val="center"/>
        </w:trPr>
        <w:tc>
          <w:tcPr>
            <w:tcW w:w="4106" w:type="dxa"/>
          </w:tcPr>
          <w:p w14:paraId="4445D9C9" w14:textId="77777777" w:rsidR="00C400D4" w:rsidRPr="00EB2B89" w:rsidRDefault="00C400D4" w:rsidP="008B149A">
            <w:r>
              <w:t>Wastewater</w:t>
            </w:r>
            <w:r w:rsidRPr="00EB2B89">
              <w:t xml:space="preserve"> O&amp;M Expense</w:t>
            </w:r>
          </w:p>
        </w:tc>
        <w:tc>
          <w:tcPr>
            <w:tcW w:w="0" w:type="auto"/>
          </w:tcPr>
          <w:p w14:paraId="46C0D666" w14:textId="77777777" w:rsidR="00C400D4" w:rsidRPr="00EB2B89" w:rsidRDefault="00C400D4" w:rsidP="008B149A">
            <w:pPr>
              <w:jc w:val="right"/>
            </w:pPr>
            <w:r>
              <w:t>454,198</w:t>
            </w:r>
          </w:p>
        </w:tc>
      </w:tr>
      <w:tr w:rsidR="00C400D4" w:rsidRPr="00EB2B89" w14:paraId="51BFC48A" w14:textId="77777777" w:rsidTr="008B149A">
        <w:trPr>
          <w:jc w:val="center"/>
        </w:trPr>
        <w:tc>
          <w:tcPr>
            <w:tcW w:w="4106" w:type="dxa"/>
          </w:tcPr>
          <w:p w14:paraId="39B0C225" w14:textId="77777777" w:rsidR="00C400D4" w:rsidRDefault="00C400D4" w:rsidP="008B149A">
            <w:r w:rsidRPr="00EB2B89">
              <w:t>Depreciation Expense</w:t>
            </w:r>
          </w:p>
          <w:p w14:paraId="4D14D816" w14:textId="77777777" w:rsidR="00C400D4" w:rsidRPr="00EB2B89" w:rsidRDefault="00C400D4" w:rsidP="008B149A">
            <w:r>
              <w:t>Amortization</w:t>
            </w:r>
          </w:p>
        </w:tc>
        <w:tc>
          <w:tcPr>
            <w:tcW w:w="0" w:type="auto"/>
          </w:tcPr>
          <w:p w14:paraId="33B2AB3F" w14:textId="77777777" w:rsidR="00C400D4" w:rsidRDefault="00C400D4" w:rsidP="008B149A">
            <w:pPr>
              <w:jc w:val="right"/>
            </w:pPr>
            <w:r>
              <w:t>83,187</w:t>
            </w:r>
          </w:p>
          <w:p w14:paraId="68604EE6" w14:textId="77777777" w:rsidR="00C400D4" w:rsidRPr="00EB2B89" w:rsidRDefault="00C400D4" w:rsidP="008B149A">
            <w:pPr>
              <w:jc w:val="right"/>
            </w:pPr>
            <w:r>
              <w:t>(3,925)</w:t>
            </w:r>
          </w:p>
        </w:tc>
      </w:tr>
      <w:tr w:rsidR="00C400D4" w:rsidRPr="00EB2B89" w14:paraId="60E74772" w14:textId="77777777" w:rsidTr="008B149A">
        <w:trPr>
          <w:jc w:val="center"/>
        </w:trPr>
        <w:tc>
          <w:tcPr>
            <w:tcW w:w="4106" w:type="dxa"/>
          </w:tcPr>
          <w:p w14:paraId="44E3CD0E" w14:textId="77777777" w:rsidR="00C400D4" w:rsidRPr="00EB2B89" w:rsidRDefault="00C400D4" w:rsidP="008B149A">
            <w:r w:rsidRPr="00EB2B89">
              <w:t>Taxes Other Than Income</w:t>
            </w:r>
          </w:p>
        </w:tc>
        <w:tc>
          <w:tcPr>
            <w:tcW w:w="0" w:type="auto"/>
          </w:tcPr>
          <w:p w14:paraId="723E73A4" w14:textId="77777777" w:rsidR="00C400D4" w:rsidRPr="00EB2B89" w:rsidRDefault="00C400D4" w:rsidP="008B149A">
            <w:pPr>
              <w:jc w:val="right"/>
              <w:rPr>
                <w:u w:val="single"/>
              </w:rPr>
            </w:pPr>
            <w:r>
              <w:rPr>
                <w:u w:val="single"/>
              </w:rPr>
              <w:t>42,481</w:t>
            </w:r>
          </w:p>
        </w:tc>
      </w:tr>
      <w:tr w:rsidR="00C400D4" w:rsidRPr="00EB2B89" w14:paraId="47D3D715" w14:textId="77777777" w:rsidTr="008B149A">
        <w:trPr>
          <w:jc w:val="center"/>
        </w:trPr>
        <w:tc>
          <w:tcPr>
            <w:tcW w:w="4106" w:type="dxa"/>
          </w:tcPr>
          <w:p w14:paraId="23ACDDC5" w14:textId="77777777" w:rsidR="00C400D4" w:rsidRPr="00EB2B89" w:rsidRDefault="00C400D4" w:rsidP="008B149A">
            <w:r w:rsidRPr="00EB2B89">
              <w:t>Revenue Requirement</w:t>
            </w:r>
          </w:p>
        </w:tc>
        <w:tc>
          <w:tcPr>
            <w:tcW w:w="0" w:type="auto"/>
          </w:tcPr>
          <w:p w14:paraId="39C4A3FC" w14:textId="77777777" w:rsidR="00C400D4" w:rsidRPr="00920DC1" w:rsidRDefault="00C400D4" w:rsidP="008B149A">
            <w:pPr>
              <w:jc w:val="right"/>
              <w:rPr>
                <w:u w:val="double"/>
              </w:rPr>
            </w:pPr>
            <w:r w:rsidRPr="00920DC1">
              <w:rPr>
                <w:u w:val="double"/>
              </w:rPr>
              <w:t>$</w:t>
            </w:r>
            <w:r>
              <w:rPr>
                <w:u w:val="double"/>
              </w:rPr>
              <w:t>687,638</w:t>
            </w:r>
          </w:p>
        </w:tc>
      </w:tr>
      <w:tr w:rsidR="00C400D4" w:rsidRPr="00EB2B89" w14:paraId="639200D5" w14:textId="77777777" w:rsidTr="008B149A">
        <w:trPr>
          <w:jc w:val="center"/>
        </w:trPr>
        <w:tc>
          <w:tcPr>
            <w:tcW w:w="4106" w:type="dxa"/>
          </w:tcPr>
          <w:p w14:paraId="24EF26FC" w14:textId="77777777" w:rsidR="00C400D4" w:rsidRPr="00EB2B89" w:rsidRDefault="00C400D4" w:rsidP="008B149A">
            <w:r w:rsidRPr="00EB2B89">
              <w:t>Less Test Year Revenues</w:t>
            </w:r>
          </w:p>
        </w:tc>
        <w:tc>
          <w:tcPr>
            <w:tcW w:w="0" w:type="auto"/>
          </w:tcPr>
          <w:p w14:paraId="05B749AC" w14:textId="77777777" w:rsidR="00C400D4" w:rsidRPr="00EB2B89" w:rsidRDefault="00C400D4" w:rsidP="008B149A">
            <w:pPr>
              <w:jc w:val="right"/>
            </w:pPr>
            <w:r>
              <w:t>$254,027</w:t>
            </w:r>
          </w:p>
        </w:tc>
      </w:tr>
      <w:tr w:rsidR="00C400D4" w:rsidRPr="00EB2B89" w14:paraId="566D3B9F" w14:textId="77777777" w:rsidTr="008B149A">
        <w:trPr>
          <w:jc w:val="center"/>
        </w:trPr>
        <w:tc>
          <w:tcPr>
            <w:tcW w:w="4106" w:type="dxa"/>
          </w:tcPr>
          <w:p w14:paraId="7336D1CE" w14:textId="77777777" w:rsidR="00C400D4" w:rsidRPr="00EB2B89" w:rsidRDefault="00C400D4" w:rsidP="008B149A">
            <w:r w:rsidRPr="00EB2B89">
              <w:t>Annual Increase</w:t>
            </w:r>
          </w:p>
        </w:tc>
        <w:tc>
          <w:tcPr>
            <w:tcW w:w="0" w:type="auto"/>
          </w:tcPr>
          <w:p w14:paraId="191BB14B" w14:textId="77777777" w:rsidR="00C400D4" w:rsidRPr="00EB2B89" w:rsidRDefault="00C400D4" w:rsidP="008B149A">
            <w:pPr>
              <w:jc w:val="right"/>
            </w:pPr>
            <w:r w:rsidRPr="00EB2B89">
              <w:t>$</w:t>
            </w:r>
            <w:r>
              <w:t>433,611</w:t>
            </w:r>
          </w:p>
        </w:tc>
      </w:tr>
      <w:tr w:rsidR="00C400D4" w:rsidRPr="00EB2B89" w14:paraId="0DAA328A" w14:textId="77777777" w:rsidTr="008B149A">
        <w:trPr>
          <w:jc w:val="center"/>
        </w:trPr>
        <w:tc>
          <w:tcPr>
            <w:tcW w:w="4106" w:type="dxa"/>
          </w:tcPr>
          <w:p w14:paraId="37953780" w14:textId="77777777" w:rsidR="00C400D4" w:rsidRPr="00EB2B89" w:rsidRDefault="00C400D4" w:rsidP="008B149A">
            <w:r w:rsidRPr="00EB2B89">
              <w:t>Percent Increase</w:t>
            </w:r>
          </w:p>
        </w:tc>
        <w:tc>
          <w:tcPr>
            <w:tcW w:w="0" w:type="auto"/>
          </w:tcPr>
          <w:p w14:paraId="727F0330" w14:textId="77777777" w:rsidR="00C400D4" w:rsidRPr="00EB2B89" w:rsidRDefault="00C400D4" w:rsidP="008B149A">
            <w:pPr>
              <w:jc w:val="right"/>
            </w:pPr>
            <w:r>
              <w:t>170.69</w:t>
            </w:r>
            <w:r w:rsidRPr="00EB2B89">
              <w:t>%</w:t>
            </w:r>
          </w:p>
        </w:tc>
      </w:tr>
    </w:tbl>
    <w:p w14:paraId="55619366" w14:textId="77777777" w:rsidR="004A380F" w:rsidRDefault="00C400D4" w:rsidP="00C400D4">
      <w:pPr>
        <w:pStyle w:val="BodyText"/>
        <w:ind w:left="1440" w:firstLine="720"/>
      </w:pPr>
      <w:r w:rsidRPr="00EB2B89">
        <w:t>Source: Staff calculations</w:t>
      </w:r>
      <w:r>
        <w:t>.</w:t>
      </w:r>
    </w:p>
    <w:p w14:paraId="1B60A3E5" w14:textId="5DA24A33" w:rsidR="004A380F" w:rsidRDefault="004A380F">
      <w:pPr>
        <w:pStyle w:val="IssueHeading"/>
        <w:rPr>
          <w:vanish/>
          <w:specVanish/>
        </w:rPr>
      </w:pPr>
      <w:r w:rsidRPr="004C3641">
        <w:rPr>
          <w:b w:val="0"/>
          <w:i w:val="0"/>
        </w:rPr>
        <w:br w:type="page"/>
      </w:r>
      <w:r w:rsidRPr="004C3641">
        <w:t xml:space="preserve">Issue </w:t>
      </w:r>
      <w:r w:rsidR="00C3694F">
        <w:fldChar w:fldCharType="begin"/>
      </w:r>
      <w:r w:rsidR="00C3694F">
        <w:instrText xml:space="preserve"> SEQ Issue \* MERGEFORMAT </w:instrText>
      </w:r>
      <w:r w:rsidR="00C3694F">
        <w:fldChar w:fldCharType="separate"/>
      </w:r>
      <w:r w:rsidR="00C3694F">
        <w:rPr>
          <w:noProof/>
        </w:rPr>
        <w:t>10</w:t>
      </w:r>
      <w:r w:rsidR="00C3694F">
        <w:rPr>
          <w:noProof/>
        </w:rPr>
        <w:fldChar w:fldCharType="end"/>
      </w:r>
      <w:r w:rsidRPr="004C3641">
        <w:t>:</w:t>
      </w:r>
      <w:r>
        <w:fldChar w:fldCharType="begin"/>
      </w:r>
      <w:r>
        <w:instrText xml:space="preserve"> TC "</w:instrText>
      </w:r>
      <w:bookmarkStart w:id="24" w:name="_Toc219970006"/>
      <w:r w:rsidR="00470C1A">
        <w:instrText xml:space="preserve">Issue </w:instrText>
      </w:r>
      <w:r w:rsidR="00470C1A">
        <w:fldChar w:fldCharType="begin"/>
      </w:r>
      <w:r w:rsidR="00470C1A">
        <w:instrText xml:space="preserve"> SEQ issue \c </w:instrText>
      </w:r>
      <w:r w:rsidR="00470C1A">
        <w:fldChar w:fldCharType="separate"/>
      </w:r>
      <w:r w:rsidR="00C3694F">
        <w:rPr>
          <w:noProof/>
        </w:rPr>
        <w:instrText>10</w:instrText>
      </w:r>
      <w:r w:rsidR="00470C1A">
        <w:fldChar w:fldCharType="end"/>
      </w:r>
      <w:r w:rsidR="00470C1A">
        <w:instrText xml:space="preserve"> –Rate Structures</w:instrText>
      </w:r>
      <w:bookmarkEnd w:id="24"/>
      <w:r>
        <w:instrText xml:space="preserve">" \l 1 </w:instrText>
      </w:r>
      <w:r>
        <w:fldChar w:fldCharType="end"/>
      </w:r>
      <w:r>
        <w:t> </w:t>
      </w:r>
    </w:p>
    <w:p w14:paraId="657C5AFC" w14:textId="77777777" w:rsidR="004A380F" w:rsidRDefault="004A380F">
      <w:pPr>
        <w:pStyle w:val="BodyText"/>
      </w:pPr>
      <w:r>
        <w:t> </w:t>
      </w:r>
      <w:r w:rsidR="000E4548" w:rsidRPr="0031604F">
        <w:t xml:space="preserve">What are the appropriate rate structure and rates for </w:t>
      </w:r>
      <w:r w:rsidR="000E4548">
        <w:t>Grenelefe’s</w:t>
      </w:r>
      <w:r w:rsidR="000E4548" w:rsidRPr="0031604F">
        <w:t xml:space="preserve"> water and wastewater systems</w:t>
      </w:r>
      <w:r>
        <w:t>?</w:t>
      </w:r>
    </w:p>
    <w:p w14:paraId="6EBB6ABB" w14:textId="77777777" w:rsidR="004A380F" w:rsidRPr="004C3641" w:rsidRDefault="004A380F">
      <w:pPr>
        <w:pStyle w:val="IssueSubsectionHeading"/>
        <w:rPr>
          <w:vanish/>
          <w:specVanish/>
        </w:rPr>
      </w:pPr>
      <w:r w:rsidRPr="004C3641">
        <w:t>Recommendation: </w:t>
      </w:r>
    </w:p>
    <w:p w14:paraId="26FA8B6F" w14:textId="77777777" w:rsidR="004A380F" w:rsidRDefault="004A380F">
      <w:pPr>
        <w:pStyle w:val="BodyText"/>
      </w:pPr>
      <w:r>
        <w:t> </w:t>
      </w:r>
      <w:r w:rsidR="000E4548">
        <w:rPr>
          <w:color w:val="000000"/>
        </w:rPr>
        <w:t>The recommended rate structure and monthly water and wastewater rates are shown on Schedule Nos. 4-A and 4-B. The Utility should file revised tariff sheets and a proposed customer notice to reflect the Commission-approved rates. The approved rates should be effective for service rendered on or after the stamped approval date on the tariff sheets pursuant to Rule 25-30.475(1), F.A.C. In addition, the approved rates should not be implemented until staff has approved the proposed customer notice and the notice has been received by the customers. The Utility should provide proof of the date notice was given within 10 days of the date of the notice.</w:t>
      </w:r>
      <w:r>
        <w:t xml:space="preserve"> (Sibley)</w:t>
      </w:r>
    </w:p>
    <w:p w14:paraId="74C3F2C5" w14:textId="77777777" w:rsidR="004A380F" w:rsidRPr="004C3641" w:rsidRDefault="004A380F">
      <w:pPr>
        <w:pStyle w:val="IssueSubsectionHeading"/>
        <w:rPr>
          <w:vanish/>
          <w:specVanish/>
        </w:rPr>
      </w:pPr>
      <w:r w:rsidRPr="004C3641">
        <w:t>Staff Analysis: </w:t>
      </w:r>
    </w:p>
    <w:p w14:paraId="1C455A6B" w14:textId="77777777" w:rsidR="000E4548" w:rsidRDefault="004A380F" w:rsidP="000E4548">
      <w:pPr>
        <w:jc w:val="both"/>
      </w:pPr>
      <w:r>
        <w:t> </w:t>
      </w:r>
    </w:p>
    <w:p w14:paraId="2BAA6F3F" w14:textId="77777777" w:rsidR="000E4548" w:rsidRDefault="000E4548" w:rsidP="000E4548">
      <w:pPr>
        <w:jc w:val="both"/>
      </w:pPr>
    </w:p>
    <w:p w14:paraId="447A9C74" w14:textId="77777777" w:rsidR="000E4548" w:rsidRDefault="000E4548" w:rsidP="000E4548">
      <w:pPr>
        <w:jc w:val="both"/>
        <w:rPr>
          <w:rFonts w:ascii="Arial-BoldMT" w:hAnsi="Arial-BoldMT" w:cs="Arial-BoldMT"/>
          <w:b/>
          <w:bCs/>
        </w:rPr>
      </w:pPr>
      <w:r>
        <w:rPr>
          <w:rFonts w:ascii="Arial-BoldMT" w:hAnsi="Arial-BoldMT" w:cs="Arial-BoldMT"/>
          <w:b/>
          <w:bCs/>
        </w:rPr>
        <w:t>Water Rates</w:t>
      </w:r>
    </w:p>
    <w:p w14:paraId="2ED0DC71" w14:textId="14FE88C1" w:rsidR="000E4548" w:rsidRDefault="000E4548" w:rsidP="000E4548">
      <w:pPr>
        <w:jc w:val="both"/>
        <w:rPr>
          <w:color w:val="000000"/>
        </w:rPr>
      </w:pPr>
      <w:r>
        <w:rPr>
          <w:color w:val="000000"/>
        </w:rPr>
        <w:t>Grenelefe is located in Polk</w:t>
      </w:r>
      <w:r w:rsidRPr="005A59C2">
        <w:rPr>
          <w:color w:val="000000"/>
        </w:rPr>
        <w:t xml:space="preserve"> </w:t>
      </w:r>
      <w:r>
        <w:rPr>
          <w:color w:val="000000"/>
        </w:rPr>
        <w:t xml:space="preserve">County within the </w:t>
      </w:r>
      <w:r>
        <w:t>SWFWMD</w:t>
      </w:r>
      <w:r>
        <w:rPr>
          <w:color w:val="000000"/>
        </w:rPr>
        <w:t xml:space="preserve">. </w:t>
      </w:r>
      <w:r w:rsidRPr="00D71945">
        <w:rPr>
          <w:rFonts w:eastAsiaTheme="minorHAnsi" w:cstheme="minorBidi"/>
          <w:szCs w:val="22"/>
        </w:rPr>
        <w:t xml:space="preserve">The </w:t>
      </w:r>
      <w:r>
        <w:rPr>
          <w:rFonts w:eastAsiaTheme="minorHAnsi" w:cstheme="minorBidi"/>
          <w:szCs w:val="22"/>
        </w:rPr>
        <w:t>Utility</w:t>
      </w:r>
      <w:r w:rsidRPr="00D71945">
        <w:rPr>
          <w:rFonts w:eastAsiaTheme="minorHAnsi" w:cstheme="minorBidi"/>
          <w:szCs w:val="22"/>
        </w:rPr>
        <w:t xml:space="preserve"> provides water service to </w:t>
      </w:r>
      <w:r>
        <w:rPr>
          <w:rFonts w:eastAsiaTheme="minorHAnsi" w:cstheme="minorBidi"/>
          <w:szCs w:val="22"/>
        </w:rPr>
        <w:t>1,213</w:t>
      </w:r>
      <w:r w:rsidRPr="00D71945">
        <w:rPr>
          <w:rFonts w:eastAsiaTheme="minorHAnsi" w:cstheme="minorBidi"/>
          <w:szCs w:val="22"/>
        </w:rPr>
        <w:t xml:space="preserve"> residential customers</w:t>
      </w:r>
      <w:r w:rsidR="00DD52D3">
        <w:rPr>
          <w:rFonts w:eastAsiaTheme="minorHAnsi" w:cstheme="minorBidi"/>
          <w:szCs w:val="22"/>
        </w:rPr>
        <w:t>,</w:t>
      </w:r>
      <w:r w:rsidRPr="00D71945">
        <w:rPr>
          <w:rFonts w:eastAsiaTheme="minorHAnsi" w:cstheme="minorBidi"/>
          <w:szCs w:val="22"/>
        </w:rPr>
        <w:t xml:space="preserve"> with </w:t>
      </w:r>
      <w:r>
        <w:rPr>
          <w:rFonts w:eastAsiaTheme="minorHAnsi" w:cstheme="minorBidi"/>
          <w:szCs w:val="22"/>
        </w:rPr>
        <w:t>78</w:t>
      </w:r>
      <w:r w:rsidRPr="00D71945">
        <w:rPr>
          <w:rFonts w:eastAsiaTheme="minorHAnsi" w:cstheme="minorBidi"/>
          <w:szCs w:val="22"/>
        </w:rPr>
        <w:t xml:space="preserve"> of the customers having a separate meter for irrigation. There are </w:t>
      </w:r>
      <w:r>
        <w:rPr>
          <w:rFonts w:eastAsiaTheme="minorHAnsi" w:cstheme="minorBidi"/>
          <w:szCs w:val="22"/>
        </w:rPr>
        <w:t>also 192 general service customers, which includes 85 irrigation customers.</w:t>
      </w:r>
      <w:r w:rsidRPr="00D71945">
        <w:rPr>
          <w:rFonts w:eastAsiaTheme="minorHAnsi" w:cstheme="minorBidi"/>
          <w:szCs w:val="22"/>
        </w:rPr>
        <w:t xml:space="preserve"> According to the billing data, approximately </w:t>
      </w:r>
      <w:r>
        <w:rPr>
          <w:rFonts w:eastAsiaTheme="minorHAnsi" w:cstheme="minorBidi"/>
          <w:szCs w:val="22"/>
        </w:rPr>
        <w:t>14</w:t>
      </w:r>
      <w:r w:rsidRPr="00D71945">
        <w:rPr>
          <w:rFonts w:eastAsiaTheme="minorHAnsi" w:cstheme="minorBidi"/>
          <w:szCs w:val="22"/>
        </w:rPr>
        <w:t xml:space="preserve"> percent of the residential customer bills during the</w:t>
      </w:r>
      <w:r>
        <w:rPr>
          <w:rFonts w:eastAsiaTheme="minorHAnsi" w:cstheme="minorBidi"/>
          <w:szCs w:val="22"/>
        </w:rPr>
        <w:t xml:space="preserve"> test year had zero gallons, which signifies</w:t>
      </w:r>
      <w:r w:rsidRPr="00D71945">
        <w:rPr>
          <w:rFonts w:eastAsiaTheme="minorHAnsi" w:cstheme="minorBidi"/>
          <w:szCs w:val="22"/>
        </w:rPr>
        <w:t xml:space="preserve"> a </w:t>
      </w:r>
      <w:r>
        <w:rPr>
          <w:rFonts w:eastAsiaTheme="minorHAnsi" w:cstheme="minorBidi"/>
          <w:szCs w:val="22"/>
        </w:rPr>
        <w:t>non-</w:t>
      </w:r>
      <w:r w:rsidRPr="00D71945">
        <w:rPr>
          <w:rFonts w:eastAsiaTheme="minorHAnsi" w:cstheme="minorBidi"/>
          <w:szCs w:val="22"/>
        </w:rPr>
        <w:t xml:space="preserve">seasonal customer base. </w:t>
      </w:r>
      <w:r w:rsidR="00A250B0">
        <w:rPr>
          <w:rFonts w:eastAsiaTheme="minorHAnsi" w:cstheme="minorBidi"/>
          <w:szCs w:val="22"/>
        </w:rPr>
        <w:t xml:space="preserve">However, when seasonal customers are out of residence, they will continue to irrigate their lawns, which will distort the percentage of cumulative bills at the zero consumption level.  Staff believes that the cumulative bills at the 1,000 </w:t>
      </w:r>
      <w:r w:rsidR="00843F4E">
        <w:rPr>
          <w:rFonts w:eastAsiaTheme="minorHAnsi" w:cstheme="minorBidi"/>
          <w:szCs w:val="22"/>
        </w:rPr>
        <w:t xml:space="preserve">gallon </w:t>
      </w:r>
      <w:r w:rsidR="00A250B0">
        <w:rPr>
          <w:rFonts w:eastAsiaTheme="minorHAnsi" w:cstheme="minorBidi"/>
          <w:szCs w:val="22"/>
        </w:rPr>
        <w:t xml:space="preserve">consumption level, which represents approximately 37 percent of the residential customer bills, indicates a moderate seasonal customer base. </w:t>
      </w:r>
      <w:r w:rsidRPr="00D71945">
        <w:rPr>
          <w:rFonts w:eastAsiaTheme="minorHAnsi" w:cstheme="minorBidi"/>
          <w:szCs w:val="22"/>
        </w:rPr>
        <w:t xml:space="preserve">The average residential water demand is </w:t>
      </w:r>
      <w:r>
        <w:rPr>
          <w:rFonts w:eastAsiaTheme="minorHAnsi" w:cstheme="minorBidi"/>
          <w:szCs w:val="22"/>
        </w:rPr>
        <w:t>2,706</w:t>
      </w:r>
      <w:r w:rsidRPr="00D71945">
        <w:rPr>
          <w:rFonts w:eastAsiaTheme="minorHAnsi" w:cstheme="minorBidi"/>
          <w:szCs w:val="22"/>
        </w:rPr>
        <w:t xml:space="preserve"> gallons. </w:t>
      </w:r>
      <w:r>
        <w:rPr>
          <w:rFonts w:eastAsiaTheme="minorHAnsi" w:cstheme="minorBidi"/>
          <w:szCs w:val="22"/>
        </w:rPr>
        <w:t>The average water demand</w:t>
      </w:r>
      <w:r w:rsidR="00DD52D3">
        <w:rPr>
          <w:rFonts w:eastAsiaTheme="minorHAnsi" w:cstheme="minorBidi"/>
          <w:szCs w:val="22"/>
        </w:rPr>
        <w:t>,</w:t>
      </w:r>
      <w:r>
        <w:rPr>
          <w:rFonts w:eastAsiaTheme="minorHAnsi" w:cstheme="minorBidi"/>
          <w:szCs w:val="22"/>
        </w:rPr>
        <w:t xml:space="preserve"> excluding zero gallon bills</w:t>
      </w:r>
      <w:r w:rsidR="00DD52D3">
        <w:rPr>
          <w:rFonts w:eastAsiaTheme="minorHAnsi" w:cstheme="minorBidi"/>
          <w:szCs w:val="22"/>
        </w:rPr>
        <w:t>,</w:t>
      </w:r>
      <w:r>
        <w:rPr>
          <w:rFonts w:eastAsiaTheme="minorHAnsi" w:cstheme="minorBidi"/>
          <w:szCs w:val="22"/>
        </w:rPr>
        <w:t xml:space="preserve"> is 3,660 gallons per month. The Utility’s c</w:t>
      </w:r>
      <w:r>
        <w:rPr>
          <w:color w:val="000000"/>
        </w:rPr>
        <w:t xml:space="preserve">urrent rate structure for the water system consists of a base facility charge (BFC) and a four-tier inclining block rate, which includes separate gallonage charges for </w:t>
      </w:r>
      <w:r w:rsidR="00A250B0">
        <w:rPr>
          <w:color w:val="000000"/>
        </w:rPr>
        <w:t>non-</w:t>
      </w:r>
      <w:r>
        <w:rPr>
          <w:color w:val="000000"/>
        </w:rPr>
        <w:t>discretionary and discretionary usage for residential water customers. The rate blocks are: 1) 0-5,000 gallons; 2) 5,001-10,000 gallons; 3) 10,001-15,000 gallons; and 4) all usage in excess of 15,000 gallons. The general service rate structure consists of a monthly BFC and uniform gallonage charge.</w:t>
      </w:r>
    </w:p>
    <w:p w14:paraId="1DA5ADC6" w14:textId="77777777" w:rsidR="000E4548" w:rsidRDefault="000E4548" w:rsidP="000E4548">
      <w:pPr>
        <w:jc w:val="both"/>
        <w:rPr>
          <w:color w:val="000000"/>
        </w:rPr>
      </w:pPr>
    </w:p>
    <w:p w14:paraId="78084CC8" w14:textId="77777777" w:rsidR="000E4548" w:rsidRDefault="000E4548" w:rsidP="000E4548">
      <w:pPr>
        <w:jc w:val="both"/>
        <w:rPr>
          <w:color w:val="000000"/>
        </w:rPr>
      </w:pPr>
      <w:r>
        <w:rPr>
          <w:color w:val="000000"/>
        </w:rPr>
        <w:t>Staff performed an analysis of the Utility’s billing data in order to evaluate the appropriate rate structure for the residential water customers. The goal of the evaluation was to select the rate design parameters that: (1) produce the recommended revenue requirement; (2) equitably distribute cost recovery among the Utility’s customers; (3) establish the appropriate discretionary usage threshold for restricting repression; and (4) implement, where appropriate, water conserving rate structures consistent with Commission practice.</w:t>
      </w:r>
    </w:p>
    <w:p w14:paraId="71769C46" w14:textId="77777777" w:rsidR="000E4548" w:rsidRDefault="000E4548" w:rsidP="000E4548">
      <w:pPr>
        <w:jc w:val="both"/>
        <w:rPr>
          <w:color w:val="000000"/>
        </w:rPr>
      </w:pPr>
    </w:p>
    <w:p w14:paraId="793A8C99" w14:textId="32468503" w:rsidR="000E4548" w:rsidRDefault="00064261" w:rsidP="000E4548">
      <w:pPr>
        <w:jc w:val="both"/>
        <w:rPr>
          <w:color w:val="000000"/>
        </w:rPr>
      </w:pPr>
      <w:r w:rsidRPr="003F1BDA">
        <w:rPr>
          <w:color w:val="000000"/>
        </w:rPr>
        <w:t xml:space="preserve">As mentioned above, the </w:t>
      </w:r>
      <w:r>
        <w:rPr>
          <w:color w:val="000000"/>
        </w:rPr>
        <w:t xml:space="preserve">billing data indicates a moderate </w:t>
      </w:r>
      <w:r w:rsidRPr="00223371">
        <w:rPr>
          <w:color w:val="000000"/>
        </w:rPr>
        <w:t>seasonal</w:t>
      </w:r>
      <w:r w:rsidRPr="003F1BDA">
        <w:rPr>
          <w:color w:val="000000"/>
        </w:rPr>
        <w:t xml:space="preserve"> </w:t>
      </w:r>
      <w:r>
        <w:rPr>
          <w:color w:val="000000"/>
        </w:rPr>
        <w:t xml:space="preserve">customer base coupled </w:t>
      </w:r>
      <w:r w:rsidRPr="003F1BDA">
        <w:rPr>
          <w:color w:val="000000"/>
        </w:rPr>
        <w:t xml:space="preserve">with </w:t>
      </w:r>
      <w:r w:rsidRPr="00223371">
        <w:rPr>
          <w:color w:val="000000"/>
        </w:rPr>
        <w:t>low average consumption</w:t>
      </w:r>
      <w:r w:rsidRPr="003F1BDA">
        <w:rPr>
          <w:color w:val="000000"/>
        </w:rPr>
        <w:t xml:space="preserve">. </w:t>
      </w:r>
      <w:r w:rsidR="00843F4E" w:rsidRPr="00843F4E">
        <w:rPr>
          <w:color w:val="000000"/>
        </w:rPr>
        <w:t>The Utility’s current BFC allocation is 64 percent, which exceeds the Commission’s practice of recovering at least 50 percent of costs through the BFC for a seasonal customer base.</w:t>
      </w:r>
      <w:r w:rsidR="00843F4E">
        <w:rPr>
          <w:color w:val="000000"/>
        </w:rPr>
        <w:t xml:space="preserve"> </w:t>
      </w:r>
      <w:r>
        <w:rPr>
          <w:color w:val="000000"/>
        </w:rPr>
        <w:t>In this case, staff recommends that the BFC allocation be reduced from 64 percent to 55 percent, which will minimize the rate impact at non-discretionary levels of consumption. Staff’s recommended BFC allocation of 55 percent will also allow the Utility to maintain revenue stability and target customers that are using a higher levels of usage.</w:t>
      </w:r>
    </w:p>
    <w:p w14:paraId="5630BBB2" w14:textId="77777777" w:rsidR="000E4548" w:rsidRDefault="000E4548" w:rsidP="000E4548">
      <w:pPr>
        <w:jc w:val="both"/>
        <w:rPr>
          <w:color w:val="000000"/>
        </w:rPr>
      </w:pPr>
      <w:r w:rsidRPr="0093181D">
        <w:rPr>
          <w:color w:val="000000"/>
        </w:rPr>
        <w:t xml:space="preserve">The average people per household served by the water system is </w:t>
      </w:r>
      <w:r>
        <w:rPr>
          <w:color w:val="000000"/>
        </w:rPr>
        <w:t>2.35;</w:t>
      </w:r>
      <w:r>
        <w:rPr>
          <w:rStyle w:val="FootnoteReference"/>
          <w:color w:val="000000"/>
        </w:rPr>
        <w:footnoteReference w:id="53"/>
      </w:r>
      <w:r w:rsidRPr="0093181D">
        <w:rPr>
          <w:color w:val="000000"/>
        </w:rPr>
        <w:t xml:space="preserve"> therefore, based on the number of people per household, 50 gallons per day per person, and the number of days per month, the non-discretio</w:t>
      </w:r>
      <w:r>
        <w:rPr>
          <w:color w:val="000000"/>
        </w:rPr>
        <w:t xml:space="preserve">nary usage threshold should be </w:t>
      </w:r>
      <w:r w:rsidRPr="00223371">
        <w:rPr>
          <w:color w:val="000000"/>
        </w:rPr>
        <w:t>4,000</w:t>
      </w:r>
      <w:r w:rsidRPr="0093181D">
        <w:rPr>
          <w:color w:val="000000"/>
        </w:rPr>
        <w:t xml:space="preserve"> gallons per month.</w:t>
      </w:r>
      <w:r>
        <w:rPr>
          <w:rStyle w:val="FootnoteReference"/>
          <w:color w:val="000000"/>
        </w:rPr>
        <w:footnoteReference w:id="54"/>
      </w:r>
      <w:r>
        <w:rPr>
          <w:color w:val="000000"/>
        </w:rPr>
        <w:t xml:space="preserve"> Furthermore, staff evaluated whether the current rate structure is appropriate in this case. Based on staff’s evaluation, there is very little discretionary usage above 15,000 gallons; therefore, staff believes the current rate structure is aggressive and should be changed. Staff recommends a BFC and a three-tier inclining block rate structure, which includes separate gallonage charges for discretionary and non-discretionary usage for residential water customers. The rate blocks are: (</w:t>
      </w:r>
      <w:r>
        <w:rPr>
          <w:rFonts w:ascii="TimesNewRomanPSMT" w:hAnsi="TimesNewRomanPSMT" w:cs="TimesNewRomanPSMT"/>
        </w:rPr>
        <w:t>1) 0 – 4,000 gallons; 2) 4,000 – 10,000 gallons; 3) over 10,000 gallons per month</w:t>
      </w:r>
      <w:r>
        <w:rPr>
          <w:color w:val="000000"/>
        </w:rPr>
        <w:t xml:space="preserve">. General service </w:t>
      </w:r>
      <w:r w:rsidR="00B41962">
        <w:rPr>
          <w:color w:val="000000"/>
        </w:rPr>
        <w:t xml:space="preserve">customers </w:t>
      </w:r>
      <w:r>
        <w:rPr>
          <w:color w:val="000000"/>
        </w:rPr>
        <w:t>should be billed a BFC and a uniform gallonage charge.</w:t>
      </w:r>
    </w:p>
    <w:p w14:paraId="269D8E15" w14:textId="77777777" w:rsidR="000E4548" w:rsidRDefault="000E4548" w:rsidP="000E4548">
      <w:pPr>
        <w:jc w:val="both"/>
        <w:rPr>
          <w:color w:val="000000"/>
        </w:rPr>
      </w:pPr>
    </w:p>
    <w:p w14:paraId="05607D1F" w14:textId="1E23F597" w:rsidR="000E4548" w:rsidRDefault="00064261" w:rsidP="000E4548">
      <w:pPr>
        <w:jc w:val="both"/>
        <w:rPr>
          <w:color w:val="000000"/>
        </w:rPr>
      </w:pPr>
      <w:r>
        <w:rPr>
          <w:color w:val="000000"/>
        </w:rPr>
        <w:t>B</w:t>
      </w:r>
      <w:r w:rsidRPr="008040F2">
        <w:rPr>
          <w:color w:val="000000"/>
        </w:rPr>
        <w:t>ased on staff’s reco</w:t>
      </w:r>
      <w:r>
        <w:rPr>
          <w:color w:val="000000"/>
        </w:rPr>
        <w:t>mmended revenue increase of 173.6</w:t>
      </w:r>
      <w:r w:rsidRPr="008040F2">
        <w:rPr>
          <w:color w:val="000000"/>
        </w:rPr>
        <w:t xml:space="preserve"> percent, </w:t>
      </w:r>
      <w:r>
        <w:rPr>
          <w:color w:val="000000"/>
        </w:rPr>
        <w:t xml:space="preserve">which excludes miscellaneous revenues, </w:t>
      </w:r>
      <w:r w:rsidRPr="008040F2">
        <w:rPr>
          <w:color w:val="000000"/>
        </w:rPr>
        <w:t xml:space="preserve">the residential consumption can be expected to decline by </w:t>
      </w:r>
      <w:r>
        <w:rPr>
          <w:color w:val="000000"/>
        </w:rPr>
        <w:t>10,711,000</w:t>
      </w:r>
      <w:r w:rsidRPr="008040F2">
        <w:rPr>
          <w:color w:val="000000"/>
        </w:rPr>
        <w:t xml:space="preserve"> gallons</w:t>
      </w:r>
      <w:r>
        <w:rPr>
          <w:color w:val="000000"/>
        </w:rPr>
        <w:t>,</w:t>
      </w:r>
      <w:r w:rsidRPr="008040F2">
        <w:rPr>
          <w:color w:val="000000"/>
        </w:rPr>
        <w:t xml:space="preserve"> resulting in anticipated ave</w:t>
      </w:r>
      <w:r>
        <w:rPr>
          <w:color w:val="000000"/>
        </w:rPr>
        <w:t>rage residential demand of 1,979</w:t>
      </w:r>
      <w:r w:rsidRPr="008040F2">
        <w:rPr>
          <w:color w:val="000000"/>
        </w:rPr>
        <w:t xml:space="preserve"> gallons p</w:t>
      </w:r>
      <w:r>
        <w:rPr>
          <w:color w:val="000000"/>
        </w:rPr>
        <w:t>er month</w:t>
      </w:r>
      <w:r w:rsidR="000E4548">
        <w:rPr>
          <w:color w:val="000000"/>
        </w:rPr>
        <w:t>. Staff recommends a 26.9</w:t>
      </w:r>
      <w:r w:rsidR="000E4548" w:rsidRPr="008040F2">
        <w:rPr>
          <w:color w:val="000000"/>
        </w:rPr>
        <w:t xml:space="preserve"> percent reduction in test year residential gallons for rate setting purposes. As a result, the c</w:t>
      </w:r>
      <w:r w:rsidR="000E4548">
        <w:rPr>
          <w:color w:val="000000"/>
        </w:rPr>
        <w:t xml:space="preserve">orresponding reductions are $2,074 </w:t>
      </w:r>
      <w:r w:rsidR="000E4548" w:rsidRPr="008040F2">
        <w:rPr>
          <w:color w:val="000000"/>
        </w:rPr>
        <w:t>f</w:t>
      </w:r>
      <w:r w:rsidR="000E4548">
        <w:rPr>
          <w:color w:val="000000"/>
        </w:rPr>
        <w:t>or purchased power expense, $1,412 for chemical expense, and $164</w:t>
      </w:r>
      <w:r w:rsidR="000E4548" w:rsidRPr="008040F2">
        <w:rPr>
          <w:color w:val="000000"/>
        </w:rPr>
        <w:t xml:space="preserve"> for RAFs to reflect the anticipated repression, which results in a </w:t>
      </w:r>
      <w:r w:rsidR="00843F4E">
        <w:t>post-repression</w:t>
      </w:r>
      <w:r w:rsidR="000E4548" w:rsidRPr="008040F2">
        <w:rPr>
          <w:color w:val="000000"/>
        </w:rPr>
        <w:t xml:space="preserve"> revenue requirement of $</w:t>
      </w:r>
      <w:r w:rsidR="000E4548">
        <w:rPr>
          <w:color w:val="000000"/>
        </w:rPr>
        <w:t>702,320</w:t>
      </w:r>
      <w:r w:rsidR="000E4548" w:rsidRPr="008040F2">
        <w:rPr>
          <w:color w:val="000000"/>
        </w:rPr>
        <w:t>.</w:t>
      </w:r>
    </w:p>
    <w:p w14:paraId="61ACB84B" w14:textId="77777777" w:rsidR="000E4548" w:rsidRDefault="000E4548" w:rsidP="000E4548">
      <w:pPr>
        <w:jc w:val="both"/>
        <w:rPr>
          <w:rFonts w:ascii="Arial-BoldMT" w:hAnsi="Arial-BoldMT" w:cs="Arial-BoldMT"/>
          <w:b/>
          <w:bCs/>
        </w:rPr>
      </w:pPr>
    </w:p>
    <w:p w14:paraId="3A2711A1" w14:textId="77777777" w:rsidR="000E4548" w:rsidRDefault="000E4548" w:rsidP="000E4548">
      <w:pPr>
        <w:jc w:val="both"/>
        <w:rPr>
          <w:rFonts w:ascii="Arial-BoldMT" w:hAnsi="Arial-BoldMT" w:cs="Arial-BoldMT"/>
          <w:b/>
          <w:bCs/>
        </w:rPr>
      </w:pPr>
      <w:r>
        <w:rPr>
          <w:rFonts w:ascii="Arial-BoldMT" w:hAnsi="Arial-BoldMT" w:cs="Arial-BoldMT"/>
          <w:b/>
          <w:bCs/>
        </w:rPr>
        <w:t>Wastewater Rates</w:t>
      </w:r>
      <w:r w:rsidRPr="00760B03">
        <w:rPr>
          <w:rFonts w:ascii="Arial-BoldMT" w:hAnsi="Arial-BoldMT" w:cs="Arial-BoldMT"/>
          <w:b/>
          <w:bCs/>
        </w:rPr>
        <w:t xml:space="preserve"> </w:t>
      </w:r>
    </w:p>
    <w:p w14:paraId="07DC150C" w14:textId="77777777" w:rsidR="000E4548" w:rsidRDefault="000E4548" w:rsidP="000E4548">
      <w:pPr>
        <w:autoSpaceDE w:val="0"/>
        <w:autoSpaceDN w:val="0"/>
        <w:adjustRightInd w:val="0"/>
        <w:jc w:val="both"/>
        <w:rPr>
          <w:rFonts w:ascii="TimesNewRomanPSMT" w:hAnsi="TimesNewRomanPSMT" w:cs="TimesNewRomanPSMT"/>
        </w:rPr>
      </w:pPr>
      <w:r>
        <w:rPr>
          <w:rFonts w:ascii="TimesNewRomanPSMT" w:hAnsi="TimesNewRomanPSMT" w:cs="TimesNewRomanPSMT"/>
        </w:rPr>
        <w:t>The Utility provides wastewater service to approximately 1,213 residential customers and 107 general service customers. Currently, the wastewater rate structure for residential customers consists of a monthly uniform BFC for all meter sizes and gallonage charge with an 8,000 gallonage cap. The general service customers are billed a BFC by meter size and a gallonage charge that is 1.2 times higher than the residential gallonage charge.</w:t>
      </w:r>
    </w:p>
    <w:p w14:paraId="212032BF" w14:textId="77777777" w:rsidR="004F3034" w:rsidRDefault="004F3034" w:rsidP="000E4548">
      <w:pPr>
        <w:autoSpaceDE w:val="0"/>
        <w:autoSpaceDN w:val="0"/>
        <w:adjustRightInd w:val="0"/>
        <w:jc w:val="both"/>
        <w:rPr>
          <w:rFonts w:ascii="TimesNewRomanPSMT" w:hAnsi="TimesNewRomanPSMT" w:cs="TimesNewRomanPSMT"/>
        </w:rPr>
      </w:pPr>
    </w:p>
    <w:p w14:paraId="6B478481" w14:textId="77777777" w:rsidR="000E4548" w:rsidRDefault="000E4548" w:rsidP="000E4548">
      <w:pPr>
        <w:autoSpaceDE w:val="0"/>
        <w:autoSpaceDN w:val="0"/>
        <w:adjustRightInd w:val="0"/>
        <w:jc w:val="both"/>
        <w:rPr>
          <w:rFonts w:ascii="TimesNewRomanPSMT" w:hAnsi="TimesNewRomanPSMT" w:cs="TimesNewRomanPSMT"/>
        </w:rPr>
      </w:pPr>
      <w:r>
        <w:rPr>
          <w:rFonts w:ascii="TimesNewRomanPSMT" w:hAnsi="TimesNewRomanPSMT" w:cs="TimesNewRomanPSMT"/>
        </w:rPr>
        <w:t>Staff performed an analysis of the Utility’s billing data in order to evaluate various BFC cost recovery percentages and gallonage caps for the residential wastewater customers. The goal of the evaluation was to select the rate design parameters that: 1) produce the recommended revenue requirement; 2) equitably distribute cost recovery among the Utility’s customers; and 3) implement a gallonage cap that considers approximately the amount of water that may return to the wastewater system.</w:t>
      </w:r>
    </w:p>
    <w:p w14:paraId="31B32EC4" w14:textId="77777777" w:rsidR="000E4548" w:rsidRDefault="000E4548" w:rsidP="000E4548">
      <w:pPr>
        <w:autoSpaceDE w:val="0"/>
        <w:autoSpaceDN w:val="0"/>
        <w:adjustRightInd w:val="0"/>
        <w:jc w:val="both"/>
        <w:rPr>
          <w:rFonts w:ascii="TimesNewRomanPSMT" w:hAnsi="TimesNewRomanPSMT" w:cs="TimesNewRomanPSMT"/>
        </w:rPr>
      </w:pPr>
    </w:p>
    <w:p w14:paraId="4215F03E" w14:textId="558A78D2" w:rsidR="000E4548" w:rsidRDefault="000E4548" w:rsidP="000E4548">
      <w:pPr>
        <w:autoSpaceDE w:val="0"/>
        <w:autoSpaceDN w:val="0"/>
        <w:adjustRightInd w:val="0"/>
        <w:jc w:val="both"/>
      </w:pPr>
      <w:bookmarkStart w:id="25" w:name="Wastewater_Rates"/>
      <w:bookmarkEnd w:id="25"/>
      <w:r>
        <w:t xml:space="preserve">Currently, the Utility’s BFC allocation is 60 percent of the wastewater revenue. </w:t>
      </w:r>
      <w:r w:rsidRPr="003D4E69">
        <w:t xml:space="preserve">Consistent with Commission practice, staff allocated </w:t>
      </w:r>
      <w:r w:rsidRPr="00ED1A93">
        <w:t>60</w:t>
      </w:r>
      <w:r w:rsidRPr="003D4E69">
        <w:t xml:space="preserve"> percent of the wastewater revenue to the BFC due to the capital intensive nature of wastewater plants</w:t>
      </w:r>
      <w:r>
        <w:t xml:space="preserve"> coupled with a </w:t>
      </w:r>
      <w:r w:rsidR="00064261">
        <w:t xml:space="preserve">moderate </w:t>
      </w:r>
      <w:r>
        <w:t>seasonal customer base</w:t>
      </w:r>
      <w:r w:rsidRPr="003D4E69">
        <w:t xml:space="preserve">. The </w:t>
      </w:r>
      <w:r>
        <w:t>Utility</w:t>
      </w:r>
      <w:r w:rsidRPr="003D4E69">
        <w:t xml:space="preserve">’s current wastewater gallonage cap is set at 8,000 gallons per month. The wastewater gallonage cap recognizes that not all water used by the residential customers is returned to the wastewater system. It is Commission practice to set the wastewater cap at approximately 80 percent of residential water sold, which typically results in gallonage caps of 6,000, 8,000, or 10,000. Based on staff’s review of the billing analysis, </w:t>
      </w:r>
      <w:r>
        <w:t>82</w:t>
      </w:r>
      <w:r w:rsidRPr="003D4E69">
        <w:t xml:space="preserve"> percent of t</w:t>
      </w:r>
      <w:r>
        <w:t>he gallons are captured at the 6</w:t>
      </w:r>
      <w:r w:rsidRPr="003D4E69">
        <w:t>,000 gallon consumption level</w:t>
      </w:r>
      <w:r>
        <w:t xml:space="preserve">. Therefore, staff recommends that the wastewater gallonage cap be changed to 6,000 gallons. </w:t>
      </w:r>
      <w:r w:rsidRPr="003D4E69">
        <w:t>Staff also recommends that the general service gallonage charge continue to be 1.2 times greater than the residential gallonage charge, which is consistent with Commission practice.</w:t>
      </w:r>
    </w:p>
    <w:p w14:paraId="5EAE4899" w14:textId="77777777" w:rsidR="000E4548" w:rsidRDefault="000E4548" w:rsidP="000E4548">
      <w:pPr>
        <w:autoSpaceDE w:val="0"/>
        <w:autoSpaceDN w:val="0"/>
        <w:adjustRightInd w:val="0"/>
        <w:rPr>
          <w:rFonts w:ascii="TimesNewRomanPSMT" w:hAnsi="TimesNewRomanPSMT" w:cs="TimesNewRomanPSMT"/>
        </w:rPr>
      </w:pPr>
    </w:p>
    <w:p w14:paraId="0E50DF34" w14:textId="77777777" w:rsidR="00064261" w:rsidRPr="002F38C1" w:rsidRDefault="00064261" w:rsidP="00064261">
      <w:pPr>
        <w:autoSpaceDE w:val="0"/>
        <w:autoSpaceDN w:val="0"/>
        <w:adjustRightInd w:val="0"/>
        <w:jc w:val="both"/>
      </w:pPr>
      <w:r>
        <w:t>In addition, based on the expected reduction in water demand described above, staff recommends that a repression adjustment also be made for wastewater. Because wastewater rates are calculated based on customers’ water demand, if those customers’ water demand is expected to decline, then the billing determinants used to calculate wastewater rates should also be adjusted. Based on the billing analysis for the wastewater system, staff recommends that a repression adjustment of 680,794 gallons to reflect the anticipated reduction in water demand be used to calculate wastewater rates. Staff recommends a 2.25 percent reduction in total residential consumption and corresponding reductions of $ $1,366 for sludge removal, $1,682 for purchased power, $162 for chemicals and $144 for RAFs to reflect the anticipated repression, which results in a post repression revenue requirement of $684,283.</w:t>
      </w:r>
    </w:p>
    <w:p w14:paraId="02318210" w14:textId="77777777" w:rsidR="000E4548" w:rsidRPr="00892A51" w:rsidRDefault="000E4548" w:rsidP="000E4548">
      <w:pPr>
        <w:autoSpaceDE w:val="0"/>
        <w:autoSpaceDN w:val="0"/>
        <w:adjustRightInd w:val="0"/>
        <w:jc w:val="both"/>
      </w:pPr>
    </w:p>
    <w:p w14:paraId="40575995" w14:textId="77777777" w:rsidR="000E4548" w:rsidRDefault="000E4548" w:rsidP="000E4548">
      <w:pPr>
        <w:autoSpaceDE w:val="0"/>
        <w:autoSpaceDN w:val="0"/>
        <w:adjustRightInd w:val="0"/>
        <w:rPr>
          <w:color w:val="000000"/>
        </w:rPr>
      </w:pPr>
      <w:r>
        <w:rPr>
          <w:rFonts w:ascii="Arial-BoldMT" w:hAnsi="Arial-BoldMT" w:cs="Arial-BoldMT"/>
          <w:b/>
          <w:bCs/>
        </w:rPr>
        <w:t>Conclusion</w:t>
      </w:r>
    </w:p>
    <w:p w14:paraId="721484B1" w14:textId="77777777" w:rsidR="004A380F" w:rsidRDefault="000E4548" w:rsidP="000E4548">
      <w:pPr>
        <w:pStyle w:val="BodyText"/>
      </w:pPr>
      <w:r>
        <w:rPr>
          <w:color w:val="000000"/>
        </w:rPr>
        <w:t>The recommended rate structures and monthly water and wastewater rates are shown on Schedule Nos. 4-A and 4-B. The Utility should file revised tariff sheets and a proposed customer notice to reflect the Commission-approved rates. The approved rates should be effective for service rendered on or after the stamped approval date on the tariff sheets pursuant to Rule 25-30.475(1), F.A.C. In addition, the approved rates should not be implemented until staff has approved the proposed customer notice and the notice has been received by the customers. The Utility should provide proof of the date notice was given within 10 days of the date of the notice.</w:t>
      </w:r>
    </w:p>
    <w:p w14:paraId="183369CC" w14:textId="1ADF02D6" w:rsidR="004A380F" w:rsidRDefault="004A380F">
      <w:pPr>
        <w:pStyle w:val="IssueHeading"/>
        <w:rPr>
          <w:vanish/>
          <w:specVanish/>
        </w:rPr>
      </w:pPr>
      <w:r w:rsidRPr="004C3641">
        <w:rPr>
          <w:b w:val="0"/>
          <w:i w:val="0"/>
        </w:rPr>
        <w:br w:type="page"/>
      </w:r>
      <w:r w:rsidRPr="004C3641">
        <w:t xml:space="preserve">Issue </w:t>
      </w:r>
      <w:r w:rsidR="00C3694F">
        <w:fldChar w:fldCharType="begin"/>
      </w:r>
      <w:r w:rsidR="00C3694F">
        <w:instrText xml:space="preserve"> SEQ Issue \* MERGEFORMAT </w:instrText>
      </w:r>
      <w:r w:rsidR="00C3694F">
        <w:fldChar w:fldCharType="separate"/>
      </w:r>
      <w:r w:rsidR="00C3694F">
        <w:rPr>
          <w:noProof/>
        </w:rPr>
        <w:t>11</w:t>
      </w:r>
      <w:r w:rsidR="00C3694F">
        <w:rPr>
          <w:noProof/>
        </w:rPr>
        <w:fldChar w:fldCharType="end"/>
      </w:r>
      <w:r w:rsidRPr="004C3641">
        <w:t>:</w:t>
      </w:r>
      <w:r>
        <w:fldChar w:fldCharType="begin"/>
      </w:r>
      <w:r>
        <w:instrText xml:space="preserve"> TC "</w:instrText>
      </w:r>
      <w:bookmarkStart w:id="26" w:name="_Toc219970007"/>
      <w:r w:rsidR="00470C1A">
        <w:instrText xml:space="preserve">Issue </w:instrText>
      </w:r>
      <w:r w:rsidR="00470C1A">
        <w:fldChar w:fldCharType="begin"/>
      </w:r>
      <w:r w:rsidR="00470C1A">
        <w:instrText xml:space="preserve"> SEQ issue \c </w:instrText>
      </w:r>
      <w:r w:rsidR="00470C1A">
        <w:fldChar w:fldCharType="separate"/>
      </w:r>
      <w:r w:rsidR="00C3694F">
        <w:rPr>
          <w:noProof/>
        </w:rPr>
        <w:instrText>11</w:instrText>
      </w:r>
      <w:r w:rsidR="00470C1A">
        <w:fldChar w:fldCharType="end"/>
      </w:r>
      <w:r w:rsidR="00470C1A">
        <w:instrText xml:space="preserve"> – Customer Deposits</w:instrText>
      </w:r>
      <w:bookmarkEnd w:id="26"/>
      <w:r>
        <w:instrText xml:space="preserve">" \l 1 </w:instrText>
      </w:r>
      <w:r>
        <w:fldChar w:fldCharType="end"/>
      </w:r>
      <w:r>
        <w:t> </w:t>
      </w:r>
    </w:p>
    <w:p w14:paraId="076E7561" w14:textId="77777777" w:rsidR="004A380F" w:rsidRDefault="004A380F">
      <w:pPr>
        <w:pStyle w:val="BodyText"/>
      </w:pPr>
      <w:r>
        <w:t> What are the appropriate initial customer deposits for Grenelefe?</w:t>
      </w:r>
    </w:p>
    <w:p w14:paraId="3399BB8B" w14:textId="77777777" w:rsidR="004A380F" w:rsidRPr="004C3641" w:rsidRDefault="004A380F">
      <w:pPr>
        <w:pStyle w:val="IssueSubsectionHeading"/>
        <w:rPr>
          <w:vanish/>
          <w:specVanish/>
        </w:rPr>
      </w:pPr>
      <w:r w:rsidRPr="004C3641">
        <w:t>Recommendation: </w:t>
      </w:r>
    </w:p>
    <w:p w14:paraId="2BBC8AE8" w14:textId="63DB02C9" w:rsidR="004A380F" w:rsidRDefault="004A380F">
      <w:pPr>
        <w:pStyle w:val="BodyText"/>
      </w:pPr>
      <w:r>
        <w:t> </w:t>
      </w:r>
      <w:r w:rsidR="000E4548" w:rsidRPr="00B55F7D">
        <w:t>The appropriate initial</w:t>
      </w:r>
      <w:r w:rsidR="000E4548">
        <w:t xml:space="preserve"> customer deposits </w:t>
      </w:r>
      <w:r w:rsidR="000E4548" w:rsidRPr="00B55F7D">
        <w:t xml:space="preserve">for the </w:t>
      </w:r>
      <w:r w:rsidR="000E4548">
        <w:t xml:space="preserve">residential </w:t>
      </w:r>
      <w:r w:rsidR="000E4548" w:rsidRPr="00B55F7D">
        <w:t>5/8 inch x 3/4 inch meter size</w:t>
      </w:r>
      <w:r w:rsidR="000E4548">
        <w:t xml:space="preserve"> should be $72 and </w:t>
      </w:r>
      <w:r w:rsidR="00064261">
        <w:t>$89</w:t>
      </w:r>
      <w:r w:rsidR="000E4548">
        <w:t xml:space="preserve"> for water and wastewater</w:t>
      </w:r>
      <w:r w:rsidR="000E4548" w:rsidRPr="00B55F7D">
        <w:t>.</w:t>
      </w:r>
      <w:r w:rsidR="000E4548">
        <w:t xml:space="preserve"> Additionally, </w:t>
      </w:r>
      <w:r w:rsidR="00B41962">
        <w:t>n</w:t>
      </w:r>
      <w:r w:rsidR="000E4548">
        <w:t>on-potable water customer deposits should be removed.</w:t>
      </w:r>
      <w:r w:rsidR="000E4548" w:rsidRPr="00B55F7D">
        <w:t xml:space="preserve"> The initial customer deposit for all other residential meter sizes and all general service meter sizes should be two times the average estimated bill for water. The approved initial customer deposits should be effective for connections made on or after the stamped approval date on the tariff sheets pursuant to Rule 25-30.475, F.A.C. The </w:t>
      </w:r>
      <w:r w:rsidR="000E4548">
        <w:t>Utility</w:t>
      </w:r>
      <w:r w:rsidR="000E4548" w:rsidRPr="00B55F7D">
        <w:t xml:space="preserve"> should be required to collect the approved deposits until authorized to change them by the Commission in a subsequent proceeding</w:t>
      </w:r>
      <w:r w:rsidR="000E4548">
        <w:t>.</w:t>
      </w:r>
      <w:r>
        <w:t xml:space="preserve"> (Sibley)</w:t>
      </w:r>
    </w:p>
    <w:p w14:paraId="7B299DBA" w14:textId="77777777" w:rsidR="004A380F" w:rsidRPr="004C3641" w:rsidRDefault="004A380F">
      <w:pPr>
        <w:pStyle w:val="IssueSubsectionHeading"/>
        <w:rPr>
          <w:vanish/>
          <w:specVanish/>
        </w:rPr>
      </w:pPr>
      <w:r w:rsidRPr="004C3641">
        <w:t>Staff Analysis: </w:t>
      </w:r>
    </w:p>
    <w:p w14:paraId="0694D24C" w14:textId="328C15E9" w:rsidR="000E4548" w:rsidRDefault="004A380F" w:rsidP="000E4548">
      <w:pPr>
        <w:spacing w:after="240"/>
        <w:jc w:val="both"/>
      </w:pPr>
      <w:r>
        <w:t> </w:t>
      </w:r>
      <w:r w:rsidR="000E4548" w:rsidRPr="00B55F7D">
        <w:t xml:space="preserve">Rule 25-30.311, F.A.C., provides the criteria for collecting, administering, and refunding customer deposits. Customer deposits are designed to minimize the exposure of bad debt expense for the </w:t>
      </w:r>
      <w:r w:rsidR="000E4548">
        <w:t>Utility</w:t>
      </w:r>
      <w:r w:rsidR="000E4548" w:rsidRPr="00B55F7D">
        <w:t xml:space="preserve"> and, ultimately, the general body of ratepayers. An initial customer deposit ensures that the cost of providing service is recovered from the cost causer. Historically, the Commission has set initial customer deposits equal to two times the average estimated bill.</w:t>
      </w:r>
      <w:r w:rsidR="000E4548" w:rsidRPr="00B55F7D">
        <w:rPr>
          <w:vertAlign w:val="superscript"/>
        </w:rPr>
        <w:footnoteReference w:id="55"/>
      </w:r>
      <w:r w:rsidR="000E4548">
        <w:t xml:space="preserve"> </w:t>
      </w:r>
      <w:r w:rsidR="000E4548" w:rsidRPr="00B55F7D">
        <w:t xml:space="preserve">Currently, the </w:t>
      </w:r>
      <w:r w:rsidR="000E4548">
        <w:t>Utility</w:t>
      </w:r>
      <w:r w:rsidR="000E4548" w:rsidRPr="00B55F7D">
        <w:t xml:space="preserve"> has an initial customer deposit of $</w:t>
      </w:r>
      <w:r w:rsidR="000E4548">
        <w:t>19.80 and $25.56</w:t>
      </w:r>
      <w:r w:rsidR="000E4548" w:rsidRPr="00B55F7D">
        <w:t xml:space="preserve"> for </w:t>
      </w:r>
      <w:r w:rsidR="000E4548">
        <w:t>5/8 inch x 3/4 inch meters for potable water and wastewater, respectively. The Utility also has non-potable water customer deposits of $16.48 for 5/8 inch x 3/4 inch meters; $100.46 for the 1 inch meter; $110.38 for the 1.5 inch meter; $224.90 for 2 inch meter; and two times the average bill for all other general service meter sizes.</w:t>
      </w:r>
      <w:r w:rsidR="000E4548" w:rsidRPr="00B55F7D">
        <w:t xml:space="preserve"> However, </w:t>
      </w:r>
      <w:r w:rsidR="000E4548">
        <w:t>the Utility no longer charges these non-potable water customer deposits</w:t>
      </w:r>
      <w:r w:rsidR="00B41962">
        <w:t>,</w:t>
      </w:r>
      <w:r w:rsidR="000E4548">
        <w:t xml:space="preserve"> and thus staff recommends removal of these non</w:t>
      </w:r>
      <w:r w:rsidR="00B41962">
        <w:t>-</w:t>
      </w:r>
      <w:r w:rsidR="000E4548">
        <w:t xml:space="preserve">potable customer deposits from the Utility’s tariff. Furthermore, the current customer deposit </w:t>
      </w:r>
      <w:r w:rsidR="000E4548" w:rsidRPr="00B55F7D">
        <w:t>amount</w:t>
      </w:r>
      <w:r w:rsidR="000E4548">
        <w:t>s for residential do</w:t>
      </w:r>
      <w:r w:rsidR="000E4548" w:rsidRPr="00B55F7D">
        <w:t xml:space="preserve"> not cover two months’ average bills </w:t>
      </w:r>
      <w:r w:rsidR="000E4548">
        <w:t>using</w:t>
      </w:r>
      <w:r w:rsidR="000E4548" w:rsidRPr="00B55F7D">
        <w:t xml:space="preserve"> staff’s recommended rates. </w:t>
      </w:r>
      <w:r w:rsidR="00064261" w:rsidRPr="007C6743">
        <w:t xml:space="preserve">The </w:t>
      </w:r>
      <w:r w:rsidR="00064261">
        <w:t>Utility</w:t>
      </w:r>
      <w:r w:rsidR="00064261" w:rsidRPr="007C6743">
        <w:t>’s anticipated post-repression average mo</w:t>
      </w:r>
      <w:r w:rsidR="00064261">
        <w:t>nthly residential usage for water is 2,512</w:t>
      </w:r>
      <w:r w:rsidR="00064261" w:rsidRPr="007C6743">
        <w:t xml:space="preserve"> gallons per customer.</w:t>
      </w:r>
      <w:r w:rsidR="00064261">
        <w:t xml:space="preserve"> </w:t>
      </w:r>
      <w:r w:rsidR="00064261" w:rsidRPr="007C6743">
        <w:t xml:space="preserve">The </w:t>
      </w:r>
      <w:r w:rsidR="00064261">
        <w:t>Utility</w:t>
      </w:r>
      <w:r w:rsidR="00064261" w:rsidRPr="007C6743">
        <w:t>’s anticipated post-repression average mo</w:t>
      </w:r>
      <w:r w:rsidR="00064261">
        <w:t>nthly residential usage for wastewater is 2,075</w:t>
      </w:r>
      <w:r w:rsidR="00064261" w:rsidRPr="007C6743">
        <w:t xml:space="preserve"> gallons per customer.</w:t>
      </w:r>
      <w:r w:rsidR="00064261">
        <w:t xml:space="preserve"> T</w:t>
      </w:r>
      <w:r w:rsidR="00064261" w:rsidRPr="00B55F7D">
        <w:t>he</w:t>
      </w:r>
      <w:r w:rsidR="00064261">
        <w:t>refore, the</w:t>
      </w:r>
      <w:r w:rsidR="00064261" w:rsidRPr="00B55F7D">
        <w:t xml:space="preserve"> av</w:t>
      </w:r>
      <w:r w:rsidR="00064261">
        <w:t>erage residential monthly bill is $35.66 for water service and $44.55 for wastewater service</w:t>
      </w:r>
      <w:r w:rsidR="000E4548" w:rsidRPr="00B55F7D">
        <w:t>.</w:t>
      </w:r>
      <w:r w:rsidR="000E4548">
        <w:t xml:space="preserve"> </w:t>
      </w:r>
    </w:p>
    <w:p w14:paraId="16546C7A" w14:textId="77777777" w:rsidR="00B41962" w:rsidRDefault="00B41962" w:rsidP="00B41962">
      <w:pPr>
        <w:autoSpaceDE w:val="0"/>
        <w:autoSpaceDN w:val="0"/>
        <w:adjustRightInd w:val="0"/>
        <w:rPr>
          <w:color w:val="000000"/>
        </w:rPr>
      </w:pPr>
      <w:r>
        <w:rPr>
          <w:rFonts w:ascii="Arial-BoldMT" w:hAnsi="Arial-BoldMT" w:cs="Arial-BoldMT"/>
          <w:b/>
          <w:bCs/>
        </w:rPr>
        <w:t>Conclusion</w:t>
      </w:r>
    </w:p>
    <w:p w14:paraId="3FD24702" w14:textId="4B0724EB" w:rsidR="004A380F" w:rsidRDefault="000E4548" w:rsidP="000E4548">
      <w:pPr>
        <w:pStyle w:val="BodyText"/>
      </w:pPr>
      <w:r w:rsidRPr="00B55F7D">
        <w:t xml:space="preserve">Staff recommends that </w:t>
      </w:r>
      <w:r>
        <w:t>t</w:t>
      </w:r>
      <w:r w:rsidRPr="00B55F7D">
        <w:t>he appropriate initial</w:t>
      </w:r>
      <w:r>
        <w:t xml:space="preserve"> customer deposits </w:t>
      </w:r>
      <w:r w:rsidRPr="00B55F7D">
        <w:t xml:space="preserve">for the </w:t>
      </w:r>
      <w:r>
        <w:t xml:space="preserve">residential </w:t>
      </w:r>
      <w:r w:rsidRPr="00B55F7D">
        <w:t>5/8 inch x 3/4 inch meter size</w:t>
      </w:r>
      <w:r>
        <w:t xml:space="preserve"> should be $72 and $</w:t>
      </w:r>
      <w:r w:rsidR="00064261">
        <w:t>89</w:t>
      </w:r>
      <w:r>
        <w:t xml:space="preserve"> for water and wastewater</w:t>
      </w:r>
      <w:r w:rsidRPr="00B55F7D">
        <w:t>.</w:t>
      </w:r>
      <w:r>
        <w:t xml:space="preserve"> Staff recommends that the non-potable water customer deposits should be removed. </w:t>
      </w:r>
      <w:r w:rsidRPr="00B55F7D">
        <w:t xml:space="preserve">The initial customer deposit for all other residential meter sizes and all general service meter sizes should be two times the average estimated bill for water. The approved initial customer deposits should be effective for connections made on or after the stamped approval date on the tariff sheets pursuant to Rule 25-30.475, F.A.C. The </w:t>
      </w:r>
      <w:r>
        <w:t>Utility</w:t>
      </w:r>
      <w:r w:rsidRPr="00B55F7D">
        <w:t xml:space="preserve"> should be required to collect the approved deposits until authorized to change them by the Commission in a subsequent proceeding</w:t>
      </w:r>
      <w:r>
        <w:t>.</w:t>
      </w:r>
    </w:p>
    <w:p w14:paraId="00FAE488" w14:textId="7BF56D75" w:rsidR="00A77055" w:rsidRDefault="00A77055">
      <w:pPr>
        <w:pStyle w:val="IssueHeading"/>
        <w:rPr>
          <w:vanish/>
          <w:specVanish/>
        </w:rPr>
      </w:pPr>
      <w:r w:rsidRPr="004C3641">
        <w:rPr>
          <w:b w:val="0"/>
          <w:i w:val="0"/>
        </w:rPr>
        <w:br w:type="page"/>
      </w:r>
      <w:r w:rsidRPr="004C3641">
        <w:t xml:space="preserve">Issue </w:t>
      </w:r>
      <w:r w:rsidR="00C3694F">
        <w:fldChar w:fldCharType="begin"/>
      </w:r>
      <w:r w:rsidR="00C3694F">
        <w:instrText xml:space="preserve"> SEQ Issue \* MERGEFORMAT </w:instrText>
      </w:r>
      <w:r w:rsidR="00C3694F">
        <w:fldChar w:fldCharType="separate"/>
      </w:r>
      <w:r w:rsidR="00C3694F">
        <w:rPr>
          <w:noProof/>
        </w:rPr>
        <w:t>12</w:t>
      </w:r>
      <w:r w:rsidR="00C3694F">
        <w:rPr>
          <w:noProof/>
        </w:rPr>
        <w:fldChar w:fldCharType="end"/>
      </w:r>
      <w:r w:rsidRPr="004C3641">
        <w:t>:</w:t>
      </w:r>
      <w:r>
        <w:fldChar w:fldCharType="begin"/>
      </w:r>
      <w:r>
        <w:instrText xml:space="preserve"> TC "</w:instrText>
      </w:r>
      <w:bookmarkStart w:id="27" w:name="_Toc219970008"/>
      <w:r w:rsidR="00470C1A">
        <w:instrText xml:space="preserve">Issue </w:instrText>
      </w:r>
      <w:r w:rsidR="00470C1A">
        <w:fldChar w:fldCharType="begin"/>
      </w:r>
      <w:r w:rsidR="00470C1A">
        <w:instrText xml:space="preserve"> SEQ issue \c </w:instrText>
      </w:r>
      <w:r w:rsidR="00470C1A">
        <w:fldChar w:fldCharType="separate"/>
      </w:r>
      <w:r w:rsidR="00C3694F">
        <w:rPr>
          <w:noProof/>
        </w:rPr>
        <w:instrText>12</w:instrText>
      </w:r>
      <w:r w:rsidR="00470C1A">
        <w:fldChar w:fldCharType="end"/>
      </w:r>
      <w:r w:rsidR="00470C1A">
        <w:instrText xml:space="preserve"> – Service Availability Charges</w:instrText>
      </w:r>
      <w:bookmarkEnd w:id="27"/>
      <w:r>
        <w:instrText xml:space="preserve">" \l 1 </w:instrText>
      </w:r>
      <w:r>
        <w:fldChar w:fldCharType="end"/>
      </w:r>
      <w:r>
        <w:t> </w:t>
      </w:r>
    </w:p>
    <w:p w14:paraId="341DEFDA" w14:textId="77777777" w:rsidR="00A77055" w:rsidRDefault="00A77055">
      <w:pPr>
        <w:pStyle w:val="BodyText"/>
      </w:pPr>
      <w:r>
        <w:t> </w:t>
      </w:r>
      <w:r w:rsidR="000E4548" w:rsidRPr="0091347E">
        <w:t>Should Grenelefe's requested service availability charges be approved</w:t>
      </w:r>
      <w:r>
        <w:t>?</w:t>
      </w:r>
    </w:p>
    <w:p w14:paraId="7B874BBE" w14:textId="77777777" w:rsidR="00A77055" w:rsidRPr="004C3641" w:rsidRDefault="00A77055">
      <w:pPr>
        <w:pStyle w:val="IssueSubsectionHeading"/>
        <w:rPr>
          <w:vanish/>
          <w:specVanish/>
        </w:rPr>
      </w:pPr>
      <w:r w:rsidRPr="004C3641">
        <w:t>Recommendation: </w:t>
      </w:r>
    </w:p>
    <w:p w14:paraId="1071C3A8" w14:textId="574A361D" w:rsidR="00A77055" w:rsidRDefault="00A77055">
      <w:pPr>
        <w:pStyle w:val="BodyText"/>
      </w:pPr>
      <w:r>
        <w:t> </w:t>
      </w:r>
      <w:r w:rsidR="000E4548" w:rsidRPr="0091347E">
        <w:t>The</w:t>
      </w:r>
      <w:r w:rsidR="000E4548">
        <w:t xml:space="preserve"> </w:t>
      </w:r>
      <w:r w:rsidR="000E4548" w:rsidRPr="0091347E">
        <w:t xml:space="preserve">service availability charges requested by Grenelefe should not be approved. Staff recommends service availability charges should be set as a plant capacity charge of </w:t>
      </w:r>
      <w:r w:rsidR="000E4548">
        <w:t>$147</w:t>
      </w:r>
      <w:r w:rsidR="000E4548" w:rsidRPr="0091347E">
        <w:t xml:space="preserve"> for water and </w:t>
      </w:r>
      <w:r w:rsidR="000E4548">
        <w:t>$1,138</w:t>
      </w:r>
      <w:r w:rsidR="000E4548" w:rsidRPr="0091347E">
        <w:t xml:space="preserve"> for wastewater. The </w:t>
      </w:r>
      <w:r w:rsidR="000E4548">
        <w:t>U</w:t>
      </w:r>
      <w:r w:rsidR="000E4548" w:rsidRPr="0091347E">
        <w:t xml:space="preserve">tility should file a revised tariff sheet to reflect the Commission-approved charges. The approved charges shall be effective for connections made on or after the stamped approval date on the tariff sheet. </w:t>
      </w:r>
      <w:r w:rsidR="000E4548" w:rsidRPr="0091347E">
        <w:rPr>
          <w:color w:val="000000"/>
        </w:rPr>
        <w:t>In addition, the approved charges should not be implemented until staff has approved the proposed customer notice</w:t>
      </w:r>
      <w:r w:rsidR="000E4548" w:rsidRPr="0091347E">
        <w:t xml:space="preserve"> and the notice has been received by property owners who requested service beginning 12 months prior to the establishment of this docket. The </w:t>
      </w:r>
      <w:r w:rsidR="00B41962">
        <w:t>U</w:t>
      </w:r>
      <w:r w:rsidR="00B41962" w:rsidRPr="0091347E">
        <w:t xml:space="preserve">tility </w:t>
      </w:r>
      <w:r w:rsidR="000E4548" w:rsidRPr="0091347E">
        <w:t>shall provide proof of noticing within 10 days of rendering the approved notice</w:t>
      </w:r>
      <w:r w:rsidR="000E4548">
        <w:t>. (Hudson)</w:t>
      </w:r>
      <w:r>
        <w:t xml:space="preserve"> </w:t>
      </w:r>
    </w:p>
    <w:p w14:paraId="776BB70E" w14:textId="77777777" w:rsidR="00A77055" w:rsidRPr="004C3641" w:rsidRDefault="00A77055">
      <w:pPr>
        <w:pStyle w:val="IssueSubsectionHeading"/>
        <w:rPr>
          <w:vanish/>
          <w:specVanish/>
        </w:rPr>
      </w:pPr>
      <w:r w:rsidRPr="004C3641">
        <w:t>Staff Analysis: </w:t>
      </w:r>
    </w:p>
    <w:p w14:paraId="7A5A88AC" w14:textId="77777777" w:rsidR="000E4548" w:rsidRDefault="00A77055" w:rsidP="000E4548">
      <w:pPr>
        <w:spacing w:after="240"/>
        <w:jc w:val="both"/>
      </w:pPr>
      <w:r>
        <w:t> </w:t>
      </w:r>
      <w:r w:rsidR="000E4548" w:rsidRPr="0091347E">
        <w:t xml:space="preserve">Historically, the </w:t>
      </w:r>
      <w:r w:rsidR="000E4548">
        <w:t>U</w:t>
      </w:r>
      <w:r w:rsidR="000E4548" w:rsidRPr="0091347E">
        <w:t>tility’s water service availability charges consisted of a meter installation charge of $65 and a service line extension and tap-in charge at actual cost. As part of a certificate transfer docket, Grenelefe was approved for an increase in its meter installation charge to $600.</w:t>
      </w:r>
      <w:r w:rsidR="000E4548" w:rsidRPr="0091347E">
        <w:rPr>
          <w:vertAlign w:val="superscript"/>
        </w:rPr>
        <w:footnoteReference w:id="56"/>
      </w:r>
      <w:r w:rsidR="000E4548" w:rsidRPr="0091347E">
        <w:t xml:space="preserve"> There have been no approved service availability charges for the wastewater system.</w:t>
      </w:r>
      <w:r w:rsidR="000E4548">
        <w:t xml:space="preserve"> As mentioned in the case background, the Commission approved Grenelefe’s requested interim service availability charges of $2,402 for water and $7,434 for wastewater subject to refund. However, the Utility did not implement the charges.</w:t>
      </w:r>
    </w:p>
    <w:p w14:paraId="7E3A2099" w14:textId="53056219" w:rsidR="000E4548" w:rsidRDefault="00064261" w:rsidP="000E4548">
      <w:pPr>
        <w:spacing w:after="240"/>
        <w:jc w:val="both"/>
      </w:pPr>
      <w:r>
        <w:t>By letter, dated October 13, 2025, Grenelefe revised its requested service availability charges to $1,126 for water and $9,802 for wastewater.</w:t>
      </w:r>
      <w:r>
        <w:rPr>
          <w:rStyle w:val="FootnoteReference"/>
        </w:rPr>
        <w:footnoteReference w:id="57"/>
      </w:r>
      <w:r>
        <w:t xml:space="preserve"> </w:t>
      </w:r>
      <w:r w:rsidRPr="0091347E">
        <w:t>The</w:t>
      </w:r>
      <w:r w:rsidR="000E4548" w:rsidRPr="0091347E">
        <w:t xml:space="preserve"> </w:t>
      </w:r>
      <w:r w:rsidR="000E4548">
        <w:t>U</w:t>
      </w:r>
      <w:r w:rsidR="000E4548" w:rsidRPr="0091347E">
        <w:t xml:space="preserve">tility did not categorize its service availability charge request (i.e., main extension or plant capacity charge). A main extension charge is for the purpose of covering all or part of the </w:t>
      </w:r>
      <w:r w:rsidR="000E4548">
        <w:t>U</w:t>
      </w:r>
      <w:r w:rsidR="000E4548" w:rsidRPr="0091347E">
        <w:t xml:space="preserve">tility’s capital costs in extending its off-site water or wastewater facilities to provide service to a specified property, whereas a plant capacity charge is for the purpose of covering all or a part of a </w:t>
      </w:r>
      <w:r w:rsidR="000E4548">
        <w:t>U</w:t>
      </w:r>
      <w:r w:rsidR="000E4548" w:rsidRPr="0091347E">
        <w:t>tility’s capital costs in construction or expansion of treatment facilities.</w:t>
      </w:r>
    </w:p>
    <w:p w14:paraId="17018000" w14:textId="1A3F2C2E" w:rsidR="000E4548" w:rsidRDefault="000E4548" w:rsidP="000E4548">
      <w:pPr>
        <w:spacing w:after="240"/>
        <w:jc w:val="both"/>
      </w:pPr>
      <w:r w:rsidRPr="0091347E">
        <w:t xml:space="preserve">In a </w:t>
      </w:r>
      <w:r>
        <w:t xml:space="preserve">2003 </w:t>
      </w:r>
      <w:r w:rsidRPr="0091347E">
        <w:t xml:space="preserve">transfer of majority organizational control docket, the </w:t>
      </w:r>
      <w:r>
        <w:t>U</w:t>
      </w:r>
      <w:r w:rsidRPr="0091347E">
        <w:t>tility did not have adequate books and records to provide the CIAC balances. As result, in that docket, the Commission imputed, per Rule 25-30.570, F.A.C., the cost of Grenelefe’s water transmission and distribution lines and wastewater collection lines to reflect the appropriate CIAC.</w:t>
      </w:r>
      <w:r w:rsidRPr="0091347E">
        <w:rPr>
          <w:vertAlign w:val="superscript"/>
        </w:rPr>
        <w:footnoteReference w:id="58"/>
      </w:r>
      <w:r w:rsidRPr="0091347E">
        <w:t xml:space="preserve"> As a result, the </w:t>
      </w:r>
      <w:r>
        <w:t>U</w:t>
      </w:r>
      <w:r w:rsidRPr="0091347E">
        <w:t>tility is unable to receive a main extension charge. Further, Grenelefe did not propose any pro forma plant additions for lines in this SARC. Therefore, staff has conducted an evaluation of Grenelefe’s request to determine whether a plant capacity charge is appropriate.</w:t>
      </w:r>
    </w:p>
    <w:p w14:paraId="2F984190" w14:textId="77777777" w:rsidR="000E4548" w:rsidRDefault="000E4548" w:rsidP="000E4548">
      <w:pPr>
        <w:spacing w:after="240"/>
        <w:jc w:val="both"/>
      </w:pPr>
      <w:r w:rsidRPr="0091347E">
        <w:t>Rule 25-30.580,</w:t>
      </w:r>
      <w:r>
        <w:t xml:space="preserve"> </w:t>
      </w:r>
      <w:r w:rsidRPr="0091347E">
        <w:t xml:space="preserve">F.A.C., establishes guidelines for designing service availability charges. Pursuant to the Rule, the maximum amount of CIAC, net of amortization, should not exceed 75 percent of the total original cost, net of accumulated depreciation, of the utility’s facilities and plant when the facilities and plant are at their designed capacity. The minimum amount of CIAC should not be less than the percentage of such facilities and plant that is represented by the water transmission and distribution system and sewage collection systems. </w:t>
      </w:r>
    </w:p>
    <w:p w14:paraId="7F1808AD" w14:textId="77777777" w:rsidR="000E4548" w:rsidRPr="003F20F0" w:rsidRDefault="000E4548" w:rsidP="000E4548">
      <w:pPr>
        <w:jc w:val="both"/>
        <w:rPr>
          <w:rFonts w:ascii="Arial" w:hAnsi="Arial" w:cs="Arial"/>
          <w:b/>
        </w:rPr>
      </w:pPr>
      <w:r w:rsidRPr="003F20F0">
        <w:rPr>
          <w:rFonts w:ascii="Arial" w:hAnsi="Arial" w:cs="Arial"/>
          <w:b/>
        </w:rPr>
        <w:t>Design Capacity</w:t>
      </w:r>
    </w:p>
    <w:p w14:paraId="5811CD1B" w14:textId="75CB2C1D" w:rsidR="000E4548" w:rsidRDefault="003708C6" w:rsidP="000E4548">
      <w:pPr>
        <w:jc w:val="both"/>
      </w:pPr>
      <w:r>
        <w:t>Design capacity refers to the total capacity of the Utility’s facilities and plant. The cost recorded in the Utility’s books represents the total cost for construction of the facilities and plant and its total and full capacity</w:t>
      </w:r>
      <w:r w:rsidR="000E4548">
        <w:t>. In justifying its requested charges, the Utility has proposed using the permitted capacity of the facilities and plan</w:t>
      </w:r>
      <w:r w:rsidR="00843F4E">
        <w:t>t</w:t>
      </w:r>
      <w:r w:rsidR="000E4548">
        <w:t xml:space="preserve">, which is less than the total capacity for both water and wastewater. This is inconsistent with the Commission </w:t>
      </w:r>
      <w:r w:rsidR="00F30867">
        <w:t xml:space="preserve">Rule </w:t>
      </w:r>
      <w:r w:rsidR="000E4548">
        <w:t xml:space="preserve">and the matching principle. The permitted capacity does not align with the total cost of the facilities. Developing service availability charges based on the design capacity allows customers to pay an equitable share of the </w:t>
      </w:r>
      <w:r>
        <w:t xml:space="preserve">total </w:t>
      </w:r>
      <w:r w:rsidR="000E4548">
        <w:t xml:space="preserve">costs of the facilities and plant. </w:t>
      </w:r>
    </w:p>
    <w:p w14:paraId="3DF6732E" w14:textId="77777777" w:rsidR="000E4548" w:rsidRDefault="000E4548" w:rsidP="000E4548">
      <w:pPr>
        <w:jc w:val="both"/>
      </w:pPr>
    </w:p>
    <w:p w14:paraId="32AD748B" w14:textId="40A3D06D" w:rsidR="000E4548" w:rsidRDefault="000E4548" w:rsidP="000E4548">
      <w:pPr>
        <w:jc w:val="both"/>
      </w:pPr>
      <w:r w:rsidRPr="0091347E">
        <w:t xml:space="preserve">The water treatment facilities </w:t>
      </w:r>
      <w:r w:rsidR="00843F4E">
        <w:t>have</w:t>
      </w:r>
      <w:r w:rsidRPr="0091347E">
        <w:t xml:space="preserve"> a capacity of 4,320,000 gpd, which equates to a design capacity of 12,342 equivalent residential connections (ERCs) based on an ERC of 350 gpd. Grenelefe indicated that it anticipates growth of </w:t>
      </w:r>
      <w:r w:rsidR="003708C6">
        <w:t>200</w:t>
      </w:r>
      <w:r w:rsidRPr="0091347E">
        <w:t xml:space="preserve"> ERCs per year, which would </w:t>
      </w:r>
      <w:r w:rsidR="00843F4E">
        <w:t>result in</w:t>
      </w:r>
      <w:r w:rsidRPr="0091347E">
        <w:t xml:space="preserve"> the </w:t>
      </w:r>
      <w:r w:rsidR="003708C6">
        <w:t>U</w:t>
      </w:r>
      <w:r w:rsidRPr="0091347E">
        <w:t xml:space="preserve">tility reaching design capacity in approximately 55 years. Due to the length of time before the water system reaches design capacity, staff believes it is unrealistic to set the charges at complete design capacity. </w:t>
      </w:r>
    </w:p>
    <w:p w14:paraId="435CC140" w14:textId="77777777" w:rsidR="000E4548" w:rsidRDefault="000E4548" w:rsidP="000E4548">
      <w:pPr>
        <w:jc w:val="both"/>
      </w:pPr>
    </w:p>
    <w:p w14:paraId="586E9C66" w14:textId="20A8B63D" w:rsidR="000E4548" w:rsidRDefault="000E4548" w:rsidP="000E4548">
      <w:pPr>
        <w:jc w:val="both"/>
      </w:pPr>
      <w:r w:rsidRPr="00F86E40">
        <w:t>In a comparable situation, the Commission determined that a shortened period of 10 years was appropriate for calculating service availability charges.</w:t>
      </w:r>
      <w:r w:rsidRPr="00F86E40">
        <w:rPr>
          <w:vertAlign w:val="superscript"/>
        </w:rPr>
        <w:footnoteReference w:id="59"/>
      </w:r>
      <w:r w:rsidRPr="00F86E40">
        <w:t xml:space="preserve"> A 10-year shortened period would result in Grenelefe foreseeably connecting an additional 2,000 ERCs.</w:t>
      </w:r>
      <w:r w:rsidR="00A57101" w:rsidRPr="00F86E40">
        <w:t xml:space="preserve"> Based on the maximum average flow, the Utility is currently serving 1,408 ERCs (492,917/350).</w:t>
      </w:r>
      <w:r w:rsidRPr="00F86E40">
        <w:t xml:space="preserve"> As a result, staff recommends that the total ERCs for calculating the appropriate plant capacity charge be set at 3,408 (1,408 + 2,000). </w:t>
      </w:r>
      <w:r w:rsidR="00A57101" w:rsidRPr="00F86E40">
        <w:t xml:space="preserve">The adjusted ERCs will allow Grenelefe to achieve a reasonable contribution level. </w:t>
      </w:r>
      <w:r w:rsidRPr="00F86E40">
        <w:t xml:space="preserve">The wastewater treatment facilities </w:t>
      </w:r>
      <w:r w:rsidR="00843F4E" w:rsidRPr="00F86E40">
        <w:t>have</w:t>
      </w:r>
      <w:r w:rsidRPr="00F86E40">
        <w:t xml:space="preserve"> a capacity of 680,000 gpd, which equates to a design capacity of 2,428 ERCs based on an ERC of 280 gpd. Based on the </w:t>
      </w:r>
      <w:r w:rsidR="003708C6" w:rsidRPr="00F86E40">
        <w:t>U</w:t>
      </w:r>
      <w:r w:rsidRPr="00F86E40">
        <w:t xml:space="preserve">tility’s growth projections of </w:t>
      </w:r>
      <w:r w:rsidR="003708C6" w:rsidRPr="00F86E40">
        <w:t>200</w:t>
      </w:r>
      <w:r w:rsidRPr="00F86E40">
        <w:t xml:space="preserve"> ERCs per year, the wastewater system will reach design capacity in approximately 10 years.</w:t>
      </w:r>
      <w:r w:rsidRPr="0091347E">
        <w:t xml:space="preserve"> </w:t>
      </w:r>
    </w:p>
    <w:p w14:paraId="2672E154" w14:textId="77777777" w:rsidR="000E4548" w:rsidRDefault="000E4548" w:rsidP="000E4548">
      <w:pPr>
        <w:jc w:val="both"/>
      </w:pPr>
    </w:p>
    <w:p w14:paraId="203B190D" w14:textId="77777777" w:rsidR="000E4548" w:rsidRDefault="000E4548" w:rsidP="000E4548">
      <w:pPr>
        <w:jc w:val="both"/>
      </w:pPr>
      <w:r>
        <w:rPr>
          <w:rFonts w:ascii="Arial" w:hAnsi="Arial" w:cs="Arial"/>
          <w:b/>
        </w:rPr>
        <w:t>Minimum Contribution Level</w:t>
      </w:r>
    </w:p>
    <w:p w14:paraId="36223FF4" w14:textId="279F5E04" w:rsidR="000E4548" w:rsidRDefault="00843F4E" w:rsidP="00A6616B">
      <w:pPr>
        <w:spacing w:after="240"/>
        <w:jc w:val="both"/>
      </w:pPr>
      <w:r w:rsidRPr="00F86E40">
        <w:t>Pursuant to Rule 25-30.580, F.A.C., “[t]he minimum amount of [CIAC] should not be less than the percentage of such facilities and plant that is represented by the water transmission and distribution system and sewage collection systems.” For water, staff’s recommended utility plant in service plus land is $4,335,678 and the transmission and distribution mains</w:t>
      </w:r>
      <w:r w:rsidR="002A2212" w:rsidRPr="00F86E40">
        <w:t>, including services,</w:t>
      </w:r>
      <w:r w:rsidRPr="00F86E40">
        <w:t xml:space="preserve"> are $2,175,467, resulting in a minimum contribution level of 50</w:t>
      </w:r>
      <w:r w:rsidR="00A6616B" w:rsidRPr="00F86E40">
        <w:t>.18</w:t>
      </w:r>
      <w:r w:rsidRPr="00F86E40">
        <w:t xml:space="preserve"> percent ($2,175,467/$4,335,678). For wastewater, staff’s recommended utility plant in service plus land is $3,971,213 and the collection lines</w:t>
      </w:r>
      <w:r w:rsidR="002A2212" w:rsidRPr="00F86E40">
        <w:t>, including servi</w:t>
      </w:r>
      <w:r w:rsidR="00A6616B" w:rsidRPr="00F86E40">
        <w:t>c</w:t>
      </w:r>
      <w:r w:rsidR="002A2212" w:rsidRPr="00F86E40">
        <w:t>es,</w:t>
      </w:r>
      <w:r w:rsidRPr="00F86E40">
        <w:t xml:space="preserve"> are $899,422, resulting in a minimum contribution level of 22.65 percent ($899,422/$3,971,213). Based on staff’s recommended rate base Grenelefe’s contribution level is 12.</w:t>
      </w:r>
      <w:r w:rsidR="002A2212" w:rsidRPr="00F86E40">
        <w:t>07</w:t>
      </w:r>
      <w:r w:rsidRPr="00F86E40">
        <w:t xml:space="preserve"> percent for water and </w:t>
      </w:r>
      <w:r w:rsidR="002A2212" w:rsidRPr="00F86E40">
        <w:t>19.89</w:t>
      </w:r>
      <w:r w:rsidRPr="00F86E40">
        <w:t xml:space="preserve"> percent for wastewater. Both the water and wastewater systems are below the minimum guideline pursuant to the referenced Rule.</w:t>
      </w:r>
      <w:r w:rsidR="000E4548">
        <w:br w:type="page"/>
      </w:r>
    </w:p>
    <w:p w14:paraId="5AFC4F6D" w14:textId="77777777" w:rsidR="000E4548" w:rsidRDefault="000E4548" w:rsidP="00A6616B">
      <w:pPr>
        <w:rPr>
          <w:rFonts w:ascii="Arial" w:hAnsi="Arial" w:cs="Arial"/>
          <w:b/>
        </w:rPr>
      </w:pPr>
      <w:r w:rsidRPr="0091347E">
        <w:rPr>
          <w:rFonts w:ascii="Arial" w:hAnsi="Arial" w:cs="Arial"/>
          <w:b/>
        </w:rPr>
        <w:t>Plant Capacity Charge</w:t>
      </w:r>
    </w:p>
    <w:p w14:paraId="1C7FF5FF" w14:textId="77777777" w:rsidR="004F3034" w:rsidRDefault="004F3034" w:rsidP="000E4548">
      <w:pPr>
        <w:jc w:val="both"/>
        <w:rPr>
          <w:rFonts w:ascii="Arial" w:hAnsi="Arial" w:cs="Arial"/>
          <w:b/>
        </w:rPr>
      </w:pPr>
    </w:p>
    <w:p w14:paraId="740CF29A" w14:textId="77777777" w:rsidR="000E4548" w:rsidRPr="003F20F0" w:rsidRDefault="000E4548" w:rsidP="000E4548">
      <w:pPr>
        <w:ind w:firstLine="720"/>
        <w:jc w:val="both"/>
        <w:rPr>
          <w:rFonts w:ascii="Arial" w:hAnsi="Arial" w:cs="Arial"/>
          <w:b/>
          <w:i/>
        </w:rPr>
      </w:pPr>
      <w:r w:rsidRPr="003F20F0">
        <w:rPr>
          <w:rFonts w:ascii="Arial" w:hAnsi="Arial" w:cs="Arial"/>
          <w:b/>
          <w:i/>
        </w:rPr>
        <w:t>Water</w:t>
      </w:r>
    </w:p>
    <w:p w14:paraId="2FC3FC47" w14:textId="17392F7B" w:rsidR="000E4548" w:rsidRDefault="000E4548" w:rsidP="000E4548">
      <w:pPr>
        <w:jc w:val="both"/>
      </w:pPr>
      <w:r w:rsidRPr="0091347E">
        <w:t>In order to determine the plant capacity charge, staff calculated the average cost per ERC for the water treatment plant per Commission precedent.</w:t>
      </w:r>
      <w:r w:rsidRPr="0091347E">
        <w:rPr>
          <w:vertAlign w:val="superscript"/>
        </w:rPr>
        <w:footnoteReference w:id="60"/>
      </w:r>
      <w:r w:rsidRPr="0091347E">
        <w:t xml:space="preserve"> Staff believes that using the average costs per ERC will result in reasonable service availability charges. Staff calculated the total treatment plant cost of $</w:t>
      </w:r>
      <w:r>
        <w:t>502,413</w:t>
      </w:r>
      <w:r w:rsidRPr="0091347E">
        <w:t>. Staff then divided this amount by 3,408 (which represents total capacity, as discussed above, in ERCs of the treatment plant). This calculation results in an average plant capacity cost per ERC of approximately $</w:t>
      </w:r>
      <w:r>
        <w:t>147, as shown on Schedule No. 5</w:t>
      </w:r>
      <w:r w:rsidRPr="0091347E">
        <w:t>. The corresponding plant capacity charge for “all others-per gallon/day” would be $.</w:t>
      </w:r>
      <w:r>
        <w:t>42</w:t>
      </w:r>
      <w:r w:rsidRPr="0091347E">
        <w:t xml:space="preserve"> ($</w:t>
      </w:r>
      <w:r>
        <w:t>147</w:t>
      </w:r>
      <w:r w:rsidRPr="0091347E">
        <w:t>/350 gpd). Staff recommends a plant capacity charge of $</w:t>
      </w:r>
      <w:r>
        <w:t>147</w:t>
      </w:r>
      <w:r w:rsidRPr="0091347E">
        <w:t>. The plant capacity charge of $</w:t>
      </w:r>
      <w:r>
        <w:t>147</w:t>
      </w:r>
      <w:r w:rsidRPr="0091347E">
        <w:t xml:space="preserve">, along with its prior approved meter installation charge of $600, will allow Grenelefe to be at a </w:t>
      </w:r>
      <w:r w:rsidR="002A2212" w:rsidRPr="00F86E40">
        <w:t>46.41</w:t>
      </w:r>
      <w:r w:rsidRPr="00F86E40">
        <w:t xml:space="preserve"> pe</w:t>
      </w:r>
      <w:r w:rsidRPr="0091347E">
        <w:t xml:space="preserve">rcent </w:t>
      </w:r>
      <w:r w:rsidR="003708C6">
        <w:t>contribution level in 10 years.</w:t>
      </w:r>
      <w:r w:rsidR="00843F4E">
        <w:t xml:space="preserve"> Staff recognizes that the anticipated contribution level is less than the minimum guideline pursuant to the referenced Rule. However, the amount of the charge is limited to cost in the associated accounts for a plant capacity charge.</w:t>
      </w:r>
    </w:p>
    <w:p w14:paraId="0CB1ECDD" w14:textId="77777777" w:rsidR="000E4548" w:rsidRDefault="000E4548" w:rsidP="000E4548">
      <w:pPr>
        <w:jc w:val="both"/>
      </w:pPr>
    </w:p>
    <w:p w14:paraId="20D88F30" w14:textId="77777777" w:rsidR="000E4548" w:rsidRPr="003F20F0" w:rsidRDefault="000E4548" w:rsidP="000E4548">
      <w:pPr>
        <w:ind w:firstLine="720"/>
        <w:jc w:val="both"/>
        <w:rPr>
          <w:rFonts w:ascii="Arial" w:hAnsi="Arial" w:cs="Arial"/>
          <w:b/>
          <w:i/>
        </w:rPr>
      </w:pPr>
      <w:r>
        <w:rPr>
          <w:rFonts w:ascii="Arial" w:hAnsi="Arial" w:cs="Arial"/>
          <w:b/>
          <w:i/>
        </w:rPr>
        <w:t>Wastew</w:t>
      </w:r>
      <w:r w:rsidRPr="003F20F0">
        <w:rPr>
          <w:rFonts w:ascii="Arial" w:hAnsi="Arial" w:cs="Arial"/>
          <w:b/>
          <w:i/>
        </w:rPr>
        <w:t>ater</w:t>
      </w:r>
    </w:p>
    <w:p w14:paraId="2EF9E10E" w14:textId="57A468BE" w:rsidR="000E4548" w:rsidRPr="0091347E" w:rsidRDefault="003708C6" w:rsidP="000E4548">
      <w:pPr>
        <w:jc w:val="both"/>
      </w:pPr>
      <w:r>
        <w:t>T</w:t>
      </w:r>
      <w:r w:rsidRPr="0091347E">
        <w:t xml:space="preserve">he total treatment plant </w:t>
      </w:r>
      <w:r>
        <w:t>is $2,763,562</w:t>
      </w:r>
      <w:r w:rsidRPr="0091347E">
        <w:t xml:space="preserve">. Staff then divided this amount by </w:t>
      </w:r>
      <w:r>
        <w:t>2,428</w:t>
      </w:r>
      <w:r w:rsidRPr="0091347E">
        <w:t xml:space="preserve"> (which represents total capacity, as discussed </w:t>
      </w:r>
      <w:r>
        <w:t>previously</w:t>
      </w:r>
      <w:r w:rsidRPr="0091347E">
        <w:t xml:space="preserve">, in ERCs </w:t>
      </w:r>
      <w:r>
        <w:t>for</w:t>
      </w:r>
      <w:r w:rsidRPr="0091347E">
        <w:t xml:space="preserve"> the treatment plant)</w:t>
      </w:r>
      <w:r>
        <w:t xml:space="preserve">. </w:t>
      </w:r>
      <w:r w:rsidR="000E4548" w:rsidRPr="0091347E">
        <w:t>This calculation results in an average plant capacity cost per ERC of approximately $</w:t>
      </w:r>
      <w:r w:rsidR="000E4548">
        <w:t>1,138, as shown on Schedule No. 5</w:t>
      </w:r>
      <w:r w:rsidR="000E4548" w:rsidRPr="0091347E">
        <w:t xml:space="preserve">. </w:t>
      </w:r>
      <w:r w:rsidR="000E4548">
        <w:t>T</w:t>
      </w:r>
      <w:r w:rsidR="000E4548" w:rsidRPr="0091347E">
        <w:t xml:space="preserve">his charge would result in the wastewater system being over-contributed at build out. </w:t>
      </w:r>
      <w:r w:rsidR="000E4548" w:rsidRPr="00951654">
        <w:t>However, it is anticipated that the Utility will undertake plant upgrades over the next couple of years which would decrease the contribution level at build out.</w:t>
      </w:r>
      <w:r w:rsidR="000E4548">
        <w:t xml:space="preserve"> Therefore, staff believes $1,138 is an appropriate plant capacity charge at this time.</w:t>
      </w:r>
      <w:r w:rsidR="000E4548" w:rsidRPr="0091347E">
        <w:t xml:space="preserve"> The corresponding plant capacity charge for “all others-per gallon/day” would be $</w:t>
      </w:r>
      <w:r w:rsidR="000E4548">
        <w:t>4.06</w:t>
      </w:r>
      <w:r w:rsidR="000E4548" w:rsidRPr="0091347E">
        <w:t xml:space="preserve"> ($</w:t>
      </w:r>
      <w:r w:rsidR="000E4548">
        <w:t>1,138</w:t>
      </w:r>
      <w:r w:rsidR="000E4548" w:rsidRPr="0091347E">
        <w:t>/280 gpd).</w:t>
      </w:r>
    </w:p>
    <w:p w14:paraId="433BADE7" w14:textId="77777777" w:rsidR="000E4548" w:rsidRDefault="000E4548" w:rsidP="000E4548">
      <w:pPr>
        <w:jc w:val="both"/>
      </w:pPr>
    </w:p>
    <w:p w14:paraId="0F4D677F" w14:textId="5F38E097" w:rsidR="00AC6FF9" w:rsidRDefault="00AC6FF9" w:rsidP="00AC6FF9">
      <w:pPr>
        <w:jc w:val="both"/>
      </w:pPr>
      <w:r w:rsidRPr="00951654">
        <w:t xml:space="preserve">Staff’s </w:t>
      </w:r>
      <w:r>
        <w:t xml:space="preserve">recommended </w:t>
      </w:r>
      <w:r w:rsidRPr="00951654">
        <w:t xml:space="preserve">charges are significantly lower than the Utility’s requested service </w:t>
      </w:r>
      <w:r>
        <w:t xml:space="preserve">availability </w:t>
      </w:r>
      <w:r w:rsidRPr="00951654">
        <w:t xml:space="preserve">charges due to staff’s </w:t>
      </w:r>
      <w:r>
        <w:t xml:space="preserve">recommended </w:t>
      </w:r>
      <w:r w:rsidRPr="00951654">
        <w:t xml:space="preserve">denial of </w:t>
      </w:r>
      <w:r>
        <w:t xml:space="preserve">some of the requested </w:t>
      </w:r>
      <w:r w:rsidRPr="00951654">
        <w:t xml:space="preserve">pro forma plant additions and </w:t>
      </w:r>
      <w:r>
        <w:t xml:space="preserve">the </w:t>
      </w:r>
      <w:r w:rsidRPr="00951654">
        <w:t>differences in plant accounts and capacity</w:t>
      </w:r>
      <w:r>
        <w:t xml:space="preserve"> used to calculate the charges.  Specifically, for water, Grenelefe included plant account no. 334 – Meters and Meter Installations in its calculation, which is part </w:t>
      </w:r>
      <w:r w:rsidRPr="00F86E40">
        <w:t xml:space="preserve">of </w:t>
      </w:r>
      <w:r w:rsidR="002A2212" w:rsidRPr="00F86E40">
        <w:t>transmission and distribution plant</w:t>
      </w:r>
      <w:r w:rsidRPr="00F86E40">
        <w:t xml:space="preserve"> and</w:t>
      </w:r>
      <w:r>
        <w:t xml:space="preserve"> is not appropriate.  For meter replacements, the Commission has capitalized the cost and the Utility earns a return on its investment or the Commission has allowed the costs of a certain number meter replacements per year to be expensed.</w:t>
      </w:r>
      <w:r w:rsidR="00843F4E" w:rsidRPr="00843F4E">
        <w:rPr>
          <w:rStyle w:val="FootnoteReference"/>
        </w:rPr>
        <w:t xml:space="preserve"> </w:t>
      </w:r>
      <w:r w:rsidR="00843F4E">
        <w:rPr>
          <w:rStyle w:val="FootnoteReference"/>
        </w:rPr>
        <w:footnoteReference w:id="61"/>
      </w:r>
      <w:r>
        <w:t xml:space="preserve"> In this case, the cost to replace the meter have been capitalized. The cost of system-wide meter replacements is not recovered from new customers through a service availability charge. </w:t>
      </w:r>
    </w:p>
    <w:p w14:paraId="2788378C" w14:textId="77777777" w:rsidR="00AC6FF9" w:rsidRDefault="00AC6FF9" w:rsidP="00AC6FF9">
      <w:pPr>
        <w:jc w:val="both"/>
      </w:pPr>
    </w:p>
    <w:p w14:paraId="2FC7C97B" w14:textId="77777777" w:rsidR="00AC6FF9" w:rsidRDefault="00AC6FF9" w:rsidP="00AC6FF9">
      <w:pPr>
        <w:jc w:val="both"/>
      </w:pPr>
      <w:r>
        <w:t>The recommended plant capacity charges are only applicable to new customers. New customers will be required to pay the staff recommend plant capacity charges.  In addition, new customers are also responsible for connecting its service lateral to the water and wastewater system consistent with the Utility’s existing service availability policy.</w:t>
      </w:r>
    </w:p>
    <w:p w14:paraId="71F97BE8" w14:textId="44D9EA82" w:rsidR="000E4548" w:rsidRDefault="000E4548" w:rsidP="000E4548">
      <w:pPr>
        <w:jc w:val="both"/>
      </w:pPr>
    </w:p>
    <w:p w14:paraId="0B135DC2" w14:textId="77777777" w:rsidR="000E4548" w:rsidRDefault="000E4548" w:rsidP="000E4548">
      <w:pPr>
        <w:pStyle w:val="First-LevelSubheading"/>
      </w:pPr>
      <w:r>
        <w:t>Conclusion</w:t>
      </w:r>
    </w:p>
    <w:p w14:paraId="0E1FB0D1" w14:textId="27471882" w:rsidR="00A77055" w:rsidRDefault="000E4548" w:rsidP="000E4548">
      <w:pPr>
        <w:pStyle w:val="BodyText"/>
      </w:pPr>
      <w:r w:rsidRPr="0091347E">
        <w:t>Based on the above, the</w:t>
      </w:r>
      <w:r>
        <w:t xml:space="preserve"> </w:t>
      </w:r>
      <w:r w:rsidRPr="0091347E">
        <w:t xml:space="preserve">service availability charges requested by Grenelefe should not be approved. Staff recommends service availability charges should be set as a plant capacity charge of </w:t>
      </w:r>
      <w:r>
        <w:t>$147</w:t>
      </w:r>
      <w:r w:rsidRPr="0091347E">
        <w:t xml:space="preserve"> for water and </w:t>
      </w:r>
      <w:r>
        <w:t>$1,138</w:t>
      </w:r>
      <w:r w:rsidRPr="0091347E">
        <w:t xml:space="preserve"> for wastewater. The </w:t>
      </w:r>
      <w:r>
        <w:t>U</w:t>
      </w:r>
      <w:r w:rsidRPr="0091347E">
        <w:t xml:space="preserve">tility should file a revised tariff sheet to reflect the Commission-approved charges. The approved charges shall be effective for connections made on or after the stamped approval date on the tariff sheet. </w:t>
      </w:r>
      <w:r w:rsidRPr="0091347E">
        <w:rPr>
          <w:color w:val="000000"/>
        </w:rPr>
        <w:t>In addition, the approved charges should not be implemented until staff has approved the proposed customer notice</w:t>
      </w:r>
      <w:r w:rsidRPr="0091347E">
        <w:t xml:space="preserve"> and the notice has been received by property owners who requested service beginning 12 months prior to the establishment of this docket. The </w:t>
      </w:r>
      <w:r w:rsidR="00F30867">
        <w:t>U</w:t>
      </w:r>
      <w:r w:rsidR="00F30867" w:rsidRPr="0091347E">
        <w:t xml:space="preserve">tility </w:t>
      </w:r>
      <w:r w:rsidRPr="0091347E">
        <w:t>shall provide proof of noticing within 10 days of rendering the approved notice</w:t>
      </w:r>
      <w:r>
        <w:t>.</w:t>
      </w:r>
    </w:p>
    <w:p w14:paraId="70CEEC1C" w14:textId="7FB6F51B" w:rsidR="00A77055" w:rsidRDefault="00A77055">
      <w:pPr>
        <w:pStyle w:val="IssueHeading"/>
        <w:rPr>
          <w:vanish/>
          <w:specVanish/>
        </w:rPr>
      </w:pPr>
      <w:r w:rsidRPr="004C3641">
        <w:rPr>
          <w:b w:val="0"/>
          <w:i w:val="0"/>
        </w:rPr>
        <w:br w:type="page"/>
      </w:r>
      <w:r w:rsidRPr="004C3641">
        <w:t xml:space="preserve">Issue </w:t>
      </w:r>
      <w:r w:rsidR="00C3694F">
        <w:fldChar w:fldCharType="begin"/>
      </w:r>
      <w:r w:rsidR="00C3694F">
        <w:instrText xml:space="preserve"> SEQ Issue \* MERGEFORMAT </w:instrText>
      </w:r>
      <w:r w:rsidR="00C3694F">
        <w:fldChar w:fldCharType="separate"/>
      </w:r>
      <w:r w:rsidR="00C3694F">
        <w:rPr>
          <w:noProof/>
        </w:rPr>
        <w:t>13</w:t>
      </w:r>
      <w:r w:rsidR="00C3694F">
        <w:rPr>
          <w:noProof/>
        </w:rPr>
        <w:fldChar w:fldCharType="end"/>
      </w:r>
      <w:r w:rsidRPr="004C3641">
        <w:t>:</w:t>
      </w:r>
      <w:r>
        <w:fldChar w:fldCharType="begin"/>
      </w:r>
      <w:r>
        <w:instrText xml:space="preserve"> TC "</w:instrText>
      </w:r>
      <w:bookmarkStart w:id="28" w:name="_Toc219970009"/>
      <w:r w:rsidR="00CE76A5">
        <w:instrText xml:space="preserve">Issue </w:instrText>
      </w:r>
      <w:r w:rsidR="00CE76A5">
        <w:fldChar w:fldCharType="begin"/>
      </w:r>
      <w:r w:rsidR="00CE76A5">
        <w:instrText xml:space="preserve"> SEQ issue \c </w:instrText>
      </w:r>
      <w:r w:rsidR="00CE76A5">
        <w:fldChar w:fldCharType="separate"/>
      </w:r>
      <w:r w:rsidR="00C3694F">
        <w:rPr>
          <w:noProof/>
        </w:rPr>
        <w:instrText>13</w:instrText>
      </w:r>
      <w:r w:rsidR="00CE76A5">
        <w:fldChar w:fldCharType="end"/>
      </w:r>
      <w:r w:rsidR="00CE76A5">
        <w:instrText xml:space="preserve"> – Four-Year Rate Reduction</w:instrText>
      </w:r>
      <w:bookmarkEnd w:id="28"/>
      <w:r>
        <w:instrText xml:space="preserve">" \l 1 </w:instrText>
      </w:r>
      <w:r>
        <w:fldChar w:fldCharType="end"/>
      </w:r>
      <w:r>
        <w:t> </w:t>
      </w:r>
    </w:p>
    <w:p w14:paraId="4D44DDA1" w14:textId="77777777" w:rsidR="00A77055" w:rsidRDefault="00A77055">
      <w:pPr>
        <w:pStyle w:val="BodyText"/>
      </w:pPr>
      <w:r>
        <w:t> </w:t>
      </w:r>
      <w:r w:rsidR="00657ED3">
        <w:t>What is the appropriate amount by which rates should be reduced four years after the published effective date to reflect the removal of the amortized rate case expense</w:t>
      </w:r>
      <w:r>
        <w:t>?</w:t>
      </w:r>
    </w:p>
    <w:p w14:paraId="65F7377D" w14:textId="77777777" w:rsidR="00A77055" w:rsidRPr="004C3641" w:rsidRDefault="00A77055">
      <w:pPr>
        <w:pStyle w:val="IssueSubsectionHeading"/>
        <w:rPr>
          <w:vanish/>
          <w:specVanish/>
        </w:rPr>
      </w:pPr>
      <w:r w:rsidRPr="004C3641">
        <w:t>Recommendation: </w:t>
      </w:r>
    </w:p>
    <w:p w14:paraId="5818939F" w14:textId="77777777" w:rsidR="00A77055" w:rsidRDefault="00A77055">
      <w:pPr>
        <w:pStyle w:val="BodyText"/>
      </w:pPr>
      <w:r>
        <w:t> </w:t>
      </w:r>
      <w:r w:rsidR="00657ED3" w:rsidRPr="001334BE">
        <w:t>The rates should be reduced as shown on Schedule No</w:t>
      </w:r>
      <w:r w:rsidR="00657ED3">
        <w:t>s</w:t>
      </w:r>
      <w:r w:rsidR="00657ED3" w:rsidRPr="001334BE">
        <w:t>. 4</w:t>
      </w:r>
      <w:r w:rsidR="00657ED3">
        <w:t>-A and 4-B,</w:t>
      </w:r>
      <w:r w:rsidR="00657ED3" w:rsidRPr="001334BE">
        <w:t xml:space="preserve"> to remove rate case expense grossed-up for RAFs and amortized over a four-year period. Pursuant to Section 367.081(8), F.S., the decrease in rates should become effective immediately following the expiration of the rate case expense recovery period. </w:t>
      </w:r>
      <w:r w:rsidR="00657ED3">
        <w:t>Grenelefe</w:t>
      </w:r>
      <w:r w:rsidR="00657ED3" w:rsidRPr="001334BE">
        <w:t xml:space="preserve"> should be required to file revised tariffs and a proposed customer notice setting forth the lower rates and rationale no later than one month prior to the effective date of the new rates. If the Utility files revised tariffs reflecting this reduction in conjunction with a price index or pass-through rate adjustment, separate data should be filed for the price index and/or pass-through increase and the reduction in the rates due to the amortized rate case expense</w:t>
      </w:r>
      <w:r w:rsidR="00C9320B">
        <w:t>.</w:t>
      </w:r>
      <w:r w:rsidR="00657ED3">
        <w:t xml:space="preserve"> (Cohn)</w:t>
      </w:r>
      <w:r>
        <w:t xml:space="preserve"> </w:t>
      </w:r>
    </w:p>
    <w:p w14:paraId="41E4131A" w14:textId="77777777" w:rsidR="00A77055" w:rsidRPr="004C3641" w:rsidRDefault="00A77055">
      <w:pPr>
        <w:pStyle w:val="IssueSubsectionHeading"/>
        <w:rPr>
          <w:vanish/>
          <w:specVanish/>
        </w:rPr>
      </w:pPr>
      <w:r w:rsidRPr="004C3641">
        <w:t>Staff Analysis: </w:t>
      </w:r>
    </w:p>
    <w:p w14:paraId="65BDAC34" w14:textId="77777777" w:rsidR="00657ED3" w:rsidRDefault="00A77055" w:rsidP="00657ED3">
      <w:pPr>
        <w:jc w:val="both"/>
      </w:pPr>
      <w:r>
        <w:t> </w:t>
      </w:r>
      <w:r w:rsidR="00657ED3" w:rsidRPr="001334BE">
        <w:t>Section 367.081, F.S., requires that the rates be reduced immediately following the expiration of the 4-year period by the amount of the rate case expense previously included in rates. The reduction will reflect the removal of revenue associated with the amortization of rate case expense, the associated return in working capital, and the gross-up for RAFs. Thi</w:t>
      </w:r>
      <w:r w:rsidR="00657ED3">
        <w:t>s results in a reduction of $6,470 for water and $4,003 for wastewater</w:t>
      </w:r>
      <w:r w:rsidR="00657ED3" w:rsidRPr="001334BE">
        <w:t>.</w:t>
      </w:r>
    </w:p>
    <w:p w14:paraId="388425FA" w14:textId="77777777" w:rsidR="004F3034" w:rsidRDefault="004F3034" w:rsidP="00657ED3">
      <w:pPr>
        <w:jc w:val="both"/>
      </w:pPr>
    </w:p>
    <w:p w14:paraId="40B1AE8E" w14:textId="33344DCE" w:rsidR="00A77055" w:rsidRDefault="00657ED3" w:rsidP="00657ED3">
      <w:pPr>
        <w:pStyle w:val="BodyText"/>
      </w:pPr>
      <w:r>
        <w:t xml:space="preserve">Staff recommends </w:t>
      </w:r>
      <w:r w:rsidRPr="001334BE">
        <w:t>that the rates should be reduced</w:t>
      </w:r>
      <w:r w:rsidR="00C7427E">
        <w:t>,</w:t>
      </w:r>
      <w:r w:rsidRPr="001334BE">
        <w:t xml:space="preserve"> as shown on Schedule No</w:t>
      </w:r>
      <w:r>
        <w:t>s</w:t>
      </w:r>
      <w:r w:rsidRPr="001334BE">
        <w:t>. 4</w:t>
      </w:r>
      <w:r>
        <w:t>-A and 4-B</w:t>
      </w:r>
      <w:r w:rsidRPr="001334BE">
        <w:t xml:space="preserve">, to remove rate case expense grossed-up for RAFs and amortized over a four-year period. Pursuant to Section 367.081(8), F.S., the decrease in rates should become effective immediately following the expiration of the rate case expense recovery period. </w:t>
      </w:r>
      <w:r>
        <w:t>Grenelefe</w:t>
      </w:r>
      <w:r w:rsidRPr="001334BE">
        <w:t xml:space="preserve"> should be required to file revised tariffs and a proposed customer notice setting forth the lower rates and rationale no later than one month prior to the effective date of the new rates. If the Utility files revised tariffs reflecting this reduction in conjunction with a price index, or pass-through rate adjustment, separate data should be filed for the price index and/or pass-through increase and the reduction in the rates due to the amortized rate case expense</w:t>
      </w:r>
      <w:r>
        <w:t>.</w:t>
      </w:r>
    </w:p>
    <w:p w14:paraId="7B82430B" w14:textId="6213693D" w:rsidR="00A77055" w:rsidRDefault="00A77055">
      <w:pPr>
        <w:pStyle w:val="IssueHeading"/>
        <w:rPr>
          <w:vanish/>
          <w:specVanish/>
        </w:rPr>
      </w:pPr>
      <w:r w:rsidRPr="004C3641">
        <w:rPr>
          <w:b w:val="0"/>
          <w:i w:val="0"/>
        </w:rPr>
        <w:br w:type="page"/>
      </w:r>
      <w:r w:rsidRPr="004C3641">
        <w:t xml:space="preserve">Issue </w:t>
      </w:r>
      <w:r w:rsidR="00C3694F">
        <w:fldChar w:fldCharType="begin"/>
      </w:r>
      <w:r w:rsidR="00C3694F">
        <w:instrText xml:space="preserve"> SEQ Issue \* MERGEFORMAT </w:instrText>
      </w:r>
      <w:r w:rsidR="00C3694F">
        <w:fldChar w:fldCharType="separate"/>
      </w:r>
      <w:r w:rsidR="00C3694F">
        <w:rPr>
          <w:noProof/>
        </w:rPr>
        <w:t>14</w:t>
      </w:r>
      <w:r w:rsidR="00C3694F">
        <w:rPr>
          <w:noProof/>
        </w:rPr>
        <w:fldChar w:fldCharType="end"/>
      </w:r>
      <w:r w:rsidRPr="004C3641">
        <w:t>:</w:t>
      </w:r>
      <w:r>
        <w:fldChar w:fldCharType="begin"/>
      </w:r>
      <w:r>
        <w:instrText xml:space="preserve"> TC "</w:instrText>
      </w:r>
      <w:bookmarkStart w:id="29" w:name="_Toc219970010"/>
      <w:r w:rsidR="00CE76A5">
        <w:instrText xml:space="preserve">Issue </w:instrText>
      </w:r>
      <w:r w:rsidR="00CE76A5">
        <w:fldChar w:fldCharType="begin"/>
      </w:r>
      <w:r w:rsidR="00CE76A5">
        <w:instrText xml:space="preserve"> SEQ issue \c </w:instrText>
      </w:r>
      <w:r w:rsidR="00CE76A5">
        <w:fldChar w:fldCharType="separate"/>
      </w:r>
      <w:r w:rsidR="00C3694F">
        <w:rPr>
          <w:noProof/>
        </w:rPr>
        <w:instrText>14</w:instrText>
      </w:r>
      <w:r w:rsidR="00CE76A5">
        <w:fldChar w:fldCharType="end"/>
      </w:r>
      <w:r w:rsidR="00CE76A5">
        <w:instrText xml:space="preserve"> – Temporary Rates</w:instrText>
      </w:r>
      <w:bookmarkEnd w:id="29"/>
      <w:r>
        <w:instrText xml:space="preserve">" \l 1 </w:instrText>
      </w:r>
      <w:r>
        <w:fldChar w:fldCharType="end"/>
      </w:r>
      <w:r>
        <w:t> </w:t>
      </w:r>
    </w:p>
    <w:p w14:paraId="4F52E572" w14:textId="77777777" w:rsidR="00A77055" w:rsidRDefault="00A77055">
      <w:pPr>
        <w:pStyle w:val="BodyText"/>
      </w:pPr>
      <w:r>
        <w:t> Should the recommended rates be approved for Grenelefe on temporary basis, subject to refund with interest, in the event of a protest filed by a party other than the Utility?</w:t>
      </w:r>
    </w:p>
    <w:p w14:paraId="3A392859" w14:textId="77777777" w:rsidR="00A77055" w:rsidRPr="004C3641" w:rsidRDefault="00A77055">
      <w:pPr>
        <w:pStyle w:val="IssueSubsectionHeading"/>
        <w:rPr>
          <w:vanish/>
          <w:specVanish/>
        </w:rPr>
      </w:pPr>
      <w:r w:rsidRPr="004C3641">
        <w:t>Recommendation: </w:t>
      </w:r>
    </w:p>
    <w:p w14:paraId="65E0B53B" w14:textId="77777777" w:rsidR="006366FA" w:rsidRDefault="00A77055" w:rsidP="006366FA">
      <w:pPr>
        <w:pStyle w:val="BodyText"/>
      </w:pPr>
      <w:r>
        <w:t> </w:t>
      </w:r>
      <w:r w:rsidR="00657ED3" w:rsidRPr="001334BE">
        <w:t xml:space="preserve">Yes. Pursuant to Section 367.0814(7), F.S., the recommended rates should be approved for the Utility on a temporary basis, subject to refund with interest, in the event of a protest filed by a party other than the Utility. </w:t>
      </w:r>
      <w:r w:rsidR="00657ED3">
        <w:t>Grenelefe</w:t>
      </w:r>
      <w:r w:rsidR="00657ED3" w:rsidRPr="001334BE">
        <w:t xml:space="preserve"> should file revised tariff sheets and a proposed customer notice to reflect the Commission-approved rates. The approved rates should be effective for service rendered on or after the stamped approval date on the tariff sheet, pursuant to Rule 25-30.475(1), F.A.C. In addition, the temporary rates should not be implemented until staff has approved the proposed notice, and the notice has been received by the customers. Prior to implementation of any temporary rates, the Utility should provide appropriate security. </w:t>
      </w:r>
    </w:p>
    <w:p w14:paraId="20427AC5" w14:textId="77777777" w:rsidR="00A77055" w:rsidRDefault="00657ED3" w:rsidP="00657ED3">
      <w:pPr>
        <w:pStyle w:val="BodyText"/>
      </w:pPr>
      <w:r w:rsidRPr="001334BE">
        <w:t>If the recommended rates are approved on a temporary basis, the rates collected by the Utility should be subject to the refund provisions discussed below in the staff analysis. In addition, after the increased rates are in effect, pursuant to Rule 25-30.360(6), F.A.C., the Utility should file reports with the Commission’s Office of Commission Clerk no later than the 20th of each month indicating the monthly and total amount of money subject to refund at the end of the preceding month. The report filed should also indicate the status of the security being used to guarantee repayment of any potential refund</w:t>
      </w:r>
      <w:r>
        <w:t>.</w:t>
      </w:r>
      <w:r w:rsidR="00A77055">
        <w:t xml:space="preserve"> (Cohn)</w:t>
      </w:r>
    </w:p>
    <w:p w14:paraId="316CA69E" w14:textId="77777777" w:rsidR="00A77055" w:rsidRPr="004C3641" w:rsidRDefault="00A77055">
      <w:pPr>
        <w:pStyle w:val="IssueSubsectionHeading"/>
        <w:rPr>
          <w:vanish/>
          <w:specVanish/>
        </w:rPr>
      </w:pPr>
      <w:r w:rsidRPr="004C3641">
        <w:t>Staff Analysis: </w:t>
      </w:r>
    </w:p>
    <w:p w14:paraId="3040C714" w14:textId="77777777" w:rsidR="00657ED3" w:rsidRDefault="00A77055" w:rsidP="00657ED3">
      <w:pPr>
        <w:jc w:val="both"/>
        <w:rPr>
          <w:rFonts w:eastAsiaTheme="minorHAnsi" w:cstheme="minorBidi"/>
        </w:rPr>
      </w:pPr>
      <w:r>
        <w:t> </w:t>
      </w:r>
      <w:r w:rsidR="00657ED3" w:rsidRPr="00657ED3">
        <w:rPr>
          <w:rFonts w:eastAsiaTheme="minorHAnsi" w:cstheme="minorBidi"/>
        </w:rPr>
        <w:t>This recommendation proposes an increase in water rates. A timely protest might delay what may be a justified rate increase resulting in an unrecoverable loss of revenue to the Utility. Therefore, pursuant to Section 367.0814(7), F.S., in the event of a protest filed by a party other than the Utility, staff recommends that the recommended rates be approved as temporary rates. Grenelefe should file revised tariff sheets and a proposed customer notice to reflect the Commission-approved rates. The approved rates should be effective for service rendered on or after the stamped approval date on the tariff sheet, pursuant to Rule 25-30.475(1), F.A.C. In addition, the temporary rates should not be implemented until staff has approved the proposed notice, and the notice has been received by the customers. The recommended rates collected by the Utility should be subject to the refund provisions discussed below.</w:t>
      </w:r>
    </w:p>
    <w:p w14:paraId="40220F46" w14:textId="77777777" w:rsidR="004F3034" w:rsidRPr="00657ED3" w:rsidRDefault="004F3034" w:rsidP="00657ED3">
      <w:pPr>
        <w:jc w:val="both"/>
        <w:rPr>
          <w:rFonts w:eastAsiaTheme="minorHAnsi" w:cstheme="minorBidi"/>
        </w:rPr>
      </w:pPr>
    </w:p>
    <w:p w14:paraId="75B0D56E" w14:textId="77777777" w:rsidR="00657ED3" w:rsidRPr="00657ED3" w:rsidRDefault="00657ED3" w:rsidP="00657ED3">
      <w:pPr>
        <w:spacing w:after="200"/>
        <w:jc w:val="both"/>
        <w:rPr>
          <w:rFonts w:eastAsiaTheme="minorHAnsi" w:cstheme="minorBidi"/>
        </w:rPr>
      </w:pPr>
      <w:r w:rsidRPr="00657ED3">
        <w:rPr>
          <w:rFonts w:eastAsiaTheme="minorHAnsi" w:cstheme="minorBidi"/>
        </w:rPr>
        <w:t>The Utility should be authorized to collect the temporary rates upon staff’s approval of an appropriate security for the potential refund and the proposed customer notice. Security should be in the form of a bond or letter of credit in the amount of $306,331 for water and $296,552 for wastewater. Alternatively, the Utility could establish an escrow agreement with an independent financial institution.</w:t>
      </w:r>
    </w:p>
    <w:p w14:paraId="1BF8D779" w14:textId="77777777" w:rsidR="00657ED3" w:rsidRPr="00657ED3" w:rsidRDefault="00657ED3" w:rsidP="00657ED3">
      <w:pPr>
        <w:spacing w:after="200"/>
        <w:jc w:val="both"/>
        <w:rPr>
          <w:rFonts w:eastAsiaTheme="minorHAnsi" w:cstheme="minorBidi"/>
        </w:rPr>
      </w:pPr>
      <w:r w:rsidRPr="00657ED3">
        <w:rPr>
          <w:rFonts w:eastAsiaTheme="minorHAnsi" w:cstheme="minorBidi"/>
        </w:rPr>
        <w:t>If the Utility chooses a bond as security, the bond should contain wording to the effect that it will be terminated only under the following conditions:</w:t>
      </w:r>
    </w:p>
    <w:p w14:paraId="346EEFD6" w14:textId="77777777" w:rsidR="00657ED3" w:rsidRPr="00657ED3" w:rsidRDefault="00657ED3" w:rsidP="00657ED3">
      <w:pPr>
        <w:spacing w:after="200"/>
        <w:ind w:left="720"/>
        <w:jc w:val="both"/>
        <w:rPr>
          <w:rFonts w:eastAsiaTheme="minorHAnsi" w:cstheme="minorBidi"/>
        </w:rPr>
      </w:pPr>
      <w:r w:rsidRPr="00657ED3">
        <w:rPr>
          <w:rFonts w:eastAsiaTheme="minorHAnsi" w:cstheme="minorBidi"/>
        </w:rPr>
        <w:t>1) The Commission approves the rate increase; or,</w:t>
      </w:r>
    </w:p>
    <w:p w14:paraId="1EF3A508" w14:textId="77777777" w:rsidR="00657ED3" w:rsidRDefault="00657ED3" w:rsidP="00657ED3">
      <w:pPr>
        <w:spacing w:after="200"/>
        <w:ind w:left="720"/>
        <w:jc w:val="both"/>
        <w:rPr>
          <w:rFonts w:eastAsiaTheme="minorHAnsi" w:cstheme="minorBidi"/>
        </w:rPr>
      </w:pPr>
      <w:r w:rsidRPr="00657ED3">
        <w:rPr>
          <w:rFonts w:eastAsiaTheme="minorHAnsi" w:cstheme="minorBidi"/>
        </w:rPr>
        <w:t>2) If the Commission denies the increase, the Utility shall refund the amount collected that is attributable to the increase.</w:t>
      </w:r>
    </w:p>
    <w:p w14:paraId="040EF7E8" w14:textId="77777777" w:rsidR="00DC2BF9" w:rsidRPr="00657ED3" w:rsidRDefault="00DC2BF9" w:rsidP="00657ED3">
      <w:pPr>
        <w:spacing w:after="200"/>
        <w:ind w:left="720"/>
        <w:jc w:val="both"/>
        <w:rPr>
          <w:rFonts w:eastAsiaTheme="minorHAnsi" w:cstheme="minorBidi"/>
        </w:rPr>
      </w:pPr>
    </w:p>
    <w:p w14:paraId="4D492425" w14:textId="77777777" w:rsidR="00657ED3" w:rsidRPr="00657ED3" w:rsidRDefault="00657ED3" w:rsidP="00657ED3">
      <w:pPr>
        <w:spacing w:after="200"/>
        <w:jc w:val="both"/>
        <w:rPr>
          <w:rFonts w:eastAsiaTheme="minorHAnsi" w:cstheme="minorBidi"/>
        </w:rPr>
      </w:pPr>
      <w:r w:rsidRPr="00657ED3">
        <w:rPr>
          <w:rFonts w:eastAsiaTheme="minorHAnsi" w:cstheme="minorBidi"/>
        </w:rPr>
        <w:t>If the Utility chooses a letter of credit as a security, it should contain the following conditions:</w:t>
      </w:r>
    </w:p>
    <w:p w14:paraId="09FC875F" w14:textId="77777777" w:rsidR="00657ED3" w:rsidRPr="00657ED3" w:rsidRDefault="00657ED3" w:rsidP="00657ED3">
      <w:pPr>
        <w:spacing w:after="200"/>
        <w:ind w:left="720"/>
        <w:jc w:val="both"/>
        <w:rPr>
          <w:rFonts w:eastAsiaTheme="minorHAnsi" w:cstheme="minorBidi"/>
        </w:rPr>
      </w:pPr>
      <w:r w:rsidRPr="00657ED3">
        <w:rPr>
          <w:rFonts w:eastAsiaTheme="minorHAnsi" w:cstheme="minorBidi"/>
        </w:rPr>
        <w:t>1) The letter of credit is irrevocable for the period it is in effect, and,</w:t>
      </w:r>
    </w:p>
    <w:p w14:paraId="37E1F884" w14:textId="77777777" w:rsidR="00657ED3" w:rsidRPr="00657ED3" w:rsidRDefault="00657ED3" w:rsidP="00657ED3">
      <w:pPr>
        <w:spacing w:after="200"/>
        <w:ind w:left="720"/>
        <w:jc w:val="both"/>
        <w:rPr>
          <w:rFonts w:eastAsiaTheme="minorHAnsi" w:cstheme="minorBidi"/>
        </w:rPr>
      </w:pPr>
      <w:r w:rsidRPr="00657ED3">
        <w:rPr>
          <w:rFonts w:eastAsiaTheme="minorHAnsi" w:cstheme="minorBidi"/>
        </w:rPr>
        <w:t>2) The letter of credit will be in effect until a final Commission order is rendered, either approving or denying the rate increase.</w:t>
      </w:r>
    </w:p>
    <w:p w14:paraId="7307B1D9" w14:textId="77777777" w:rsidR="00657ED3" w:rsidRPr="00657ED3" w:rsidRDefault="00657ED3" w:rsidP="00657ED3">
      <w:pPr>
        <w:spacing w:after="200"/>
        <w:jc w:val="both"/>
        <w:rPr>
          <w:rFonts w:eastAsiaTheme="minorHAnsi" w:cstheme="minorBidi"/>
        </w:rPr>
      </w:pPr>
      <w:r w:rsidRPr="00657ED3">
        <w:rPr>
          <w:rFonts w:eastAsiaTheme="minorHAnsi" w:cstheme="minorBidi"/>
        </w:rPr>
        <w:t>If security is provided through an escrow agreement, the following conditions should be part of the agreement:</w:t>
      </w:r>
    </w:p>
    <w:p w14:paraId="093EC021" w14:textId="77777777" w:rsidR="00657ED3" w:rsidRPr="00657ED3" w:rsidRDefault="00657ED3" w:rsidP="00657ED3">
      <w:pPr>
        <w:spacing w:after="200"/>
        <w:ind w:left="720"/>
        <w:jc w:val="both"/>
        <w:rPr>
          <w:rFonts w:eastAsiaTheme="minorHAnsi" w:cstheme="minorBidi"/>
        </w:rPr>
      </w:pPr>
      <w:r w:rsidRPr="00657ED3">
        <w:rPr>
          <w:rFonts w:eastAsiaTheme="minorHAnsi" w:cstheme="minorBidi"/>
        </w:rPr>
        <w:t>1) The Commission Clerk, or his or her designee, must be a signatory to the escrow agreement; and,</w:t>
      </w:r>
    </w:p>
    <w:p w14:paraId="475D73DA" w14:textId="77777777" w:rsidR="00657ED3" w:rsidRPr="00657ED3" w:rsidRDefault="00657ED3" w:rsidP="00657ED3">
      <w:pPr>
        <w:spacing w:after="200"/>
        <w:ind w:left="720"/>
        <w:jc w:val="both"/>
        <w:rPr>
          <w:rFonts w:eastAsiaTheme="minorHAnsi" w:cstheme="minorBidi"/>
        </w:rPr>
      </w:pPr>
      <w:r w:rsidRPr="00657ED3">
        <w:rPr>
          <w:rFonts w:eastAsiaTheme="minorHAnsi" w:cstheme="minorBidi"/>
        </w:rPr>
        <w:t>2) No monies in the escrow account may be withdrawn by the Utility without the prior written authorization of the Commission Clerk, or his or her designee;</w:t>
      </w:r>
    </w:p>
    <w:p w14:paraId="67323F12" w14:textId="77777777" w:rsidR="00657ED3" w:rsidRPr="00657ED3" w:rsidRDefault="00657ED3" w:rsidP="00657ED3">
      <w:pPr>
        <w:spacing w:after="200"/>
        <w:ind w:left="720"/>
        <w:jc w:val="both"/>
        <w:rPr>
          <w:rFonts w:eastAsiaTheme="minorHAnsi" w:cstheme="minorBidi"/>
        </w:rPr>
      </w:pPr>
      <w:r w:rsidRPr="00657ED3">
        <w:rPr>
          <w:rFonts w:eastAsiaTheme="minorHAnsi" w:cstheme="minorBidi"/>
        </w:rPr>
        <w:t>3) The escrow account shall be an interest bearing account;</w:t>
      </w:r>
    </w:p>
    <w:p w14:paraId="0DAA7D51" w14:textId="77777777" w:rsidR="00657ED3" w:rsidRPr="00657ED3" w:rsidRDefault="00657ED3" w:rsidP="00657ED3">
      <w:pPr>
        <w:spacing w:after="200"/>
        <w:ind w:left="720"/>
        <w:jc w:val="both"/>
        <w:rPr>
          <w:rFonts w:eastAsiaTheme="minorHAnsi" w:cstheme="minorBidi"/>
        </w:rPr>
      </w:pPr>
      <w:r w:rsidRPr="00657ED3">
        <w:rPr>
          <w:rFonts w:eastAsiaTheme="minorHAnsi" w:cstheme="minorBidi"/>
        </w:rPr>
        <w:t>4) If a refund to the customers is required, all interest earned by the escrow account shall be distributed to the customers;</w:t>
      </w:r>
    </w:p>
    <w:p w14:paraId="609655DB" w14:textId="77777777" w:rsidR="00657ED3" w:rsidRPr="00657ED3" w:rsidRDefault="00657ED3" w:rsidP="00657ED3">
      <w:pPr>
        <w:spacing w:after="200"/>
        <w:ind w:left="720"/>
        <w:jc w:val="both"/>
        <w:rPr>
          <w:rFonts w:eastAsiaTheme="minorHAnsi" w:cstheme="minorBidi"/>
        </w:rPr>
      </w:pPr>
      <w:r w:rsidRPr="00657ED3">
        <w:rPr>
          <w:rFonts w:eastAsiaTheme="minorHAnsi" w:cstheme="minorBidi"/>
        </w:rPr>
        <w:t>5) If a refund to the customers is not required, the interest earned by the escrow account shall revert to the Utility;</w:t>
      </w:r>
    </w:p>
    <w:p w14:paraId="02688CB4" w14:textId="77777777" w:rsidR="00657ED3" w:rsidRPr="00657ED3" w:rsidRDefault="00657ED3" w:rsidP="00657ED3">
      <w:pPr>
        <w:spacing w:after="200"/>
        <w:ind w:left="720"/>
        <w:jc w:val="both"/>
        <w:rPr>
          <w:rFonts w:eastAsiaTheme="minorHAnsi" w:cstheme="minorBidi"/>
        </w:rPr>
      </w:pPr>
      <w:r w:rsidRPr="00657ED3">
        <w:rPr>
          <w:rFonts w:eastAsiaTheme="minorHAnsi" w:cstheme="minorBidi"/>
        </w:rPr>
        <w:t>6) All information on the escrow account shall be available from the holder of the escrow account to a Commission representative at all times;</w:t>
      </w:r>
    </w:p>
    <w:p w14:paraId="7FEA7635" w14:textId="77777777" w:rsidR="00657ED3" w:rsidRPr="00657ED3" w:rsidRDefault="00657ED3" w:rsidP="00657ED3">
      <w:pPr>
        <w:spacing w:after="200"/>
        <w:ind w:left="720"/>
        <w:jc w:val="both"/>
        <w:rPr>
          <w:rFonts w:eastAsiaTheme="minorHAnsi" w:cstheme="minorBidi"/>
        </w:rPr>
      </w:pPr>
      <w:r w:rsidRPr="00657ED3">
        <w:rPr>
          <w:rFonts w:eastAsiaTheme="minorHAnsi" w:cstheme="minorBidi"/>
        </w:rPr>
        <w:t>7) The amount of revenue subject to refund shall be deposited in the escrow account within seven days of receipt;</w:t>
      </w:r>
    </w:p>
    <w:p w14:paraId="60C5BE86" w14:textId="7F44B73E" w:rsidR="00657ED3" w:rsidRPr="00657ED3" w:rsidRDefault="00657ED3" w:rsidP="00657ED3">
      <w:pPr>
        <w:spacing w:after="200"/>
        <w:ind w:left="720"/>
        <w:jc w:val="both"/>
        <w:rPr>
          <w:rFonts w:eastAsiaTheme="minorHAnsi" w:cstheme="minorBidi"/>
        </w:rPr>
      </w:pPr>
      <w:r w:rsidRPr="00657ED3">
        <w:rPr>
          <w:rFonts w:eastAsiaTheme="minorHAnsi" w:cstheme="minorBidi"/>
        </w:rPr>
        <w:t>8) This escrow account is established by the direction of the Florida Public Service Commission for the purpose(s) set forth in its order requiring such</w:t>
      </w:r>
      <w:r w:rsidR="00C7427E">
        <w:rPr>
          <w:rFonts w:eastAsiaTheme="minorHAnsi" w:cstheme="minorBidi"/>
        </w:rPr>
        <w:t xml:space="preserve"> account. Pursuant to Consentino</w:t>
      </w:r>
      <w:r w:rsidRPr="00657ED3">
        <w:rPr>
          <w:rFonts w:eastAsiaTheme="minorHAnsi" w:cstheme="minorBidi"/>
        </w:rPr>
        <w:t xml:space="preserve"> v. Elson, 263 So. 2d 253 (Fla. 3d DCA 1972), escrow accounts are not subject to garnishments;</w:t>
      </w:r>
      <w:r w:rsidR="00C7427E">
        <w:rPr>
          <w:rFonts w:eastAsiaTheme="minorHAnsi" w:cstheme="minorBidi"/>
        </w:rPr>
        <w:t xml:space="preserve"> and,</w:t>
      </w:r>
    </w:p>
    <w:p w14:paraId="1D2B0169" w14:textId="77777777" w:rsidR="00657ED3" w:rsidRPr="00657ED3" w:rsidRDefault="00657ED3" w:rsidP="00657ED3">
      <w:pPr>
        <w:spacing w:after="200"/>
        <w:ind w:left="720"/>
        <w:jc w:val="both"/>
        <w:rPr>
          <w:rFonts w:eastAsiaTheme="minorHAnsi" w:cstheme="minorBidi"/>
        </w:rPr>
      </w:pPr>
      <w:r w:rsidRPr="00657ED3">
        <w:rPr>
          <w:rFonts w:eastAsiaTheme="minorHAnsi" w:cstheme="minorBidi"/>
        </w:rPr>
        <w:t>9) The account must specify by whom and on whose behalf such monies were paid.</w:t>
      </w:r>
    </w:p>
    <w:p w14:paraId="15E1CDBF" w14:textId="77777777" w:rsidR="00657ED3" w:rsidRPr="00657ED3" w:rsidRDefault="00657ED3" w:rsidP="00657ED3">
      <w:pPr>
        <w:spacing w:after="200"/>
        <w:jc w:val="both"/>
        <w:rPr>
          <w:rFonts w:eastAsiaTheme="minorHAnsi" w:cstheme="minorBidi"/>
        </w:rPr>
      </w:pPr>
      <w:r w:rsidRPr="00657ED3">
        <w:rPr>
          <w:rFonts w:eastAsiaTheme="minorHAnsi" w:cstheme="minorBidi"/>
        </w:rPr>
        <w:t>In no instance should the maintenance and administrative costs associated with the refund be borne by the customers. These costs are the responsibility of, and should be borne by, the Utility. Irrespective of the form of security chosen by the Utility, an account of all monies received as a result of the rate increase should be maintained by the Utility. If a refund is ultimately required, it should be paid with interest calculated pursuant to Rule 25-30.360(4), F.A.C.</w:t>
      </w:r>
    </w:p>
    <w:p w14:paraId="129EDF7F" w14:textId="77777777" w:rsidR="00A77055" w:rsidRDefault="00657ED3" w:rsidP="00657ED3">
      <w:pPr>
        <w:pStyle w:val="BodyText"/>
      </w:pPr>
      <w:r w:rsidRPr="00657ED3">
        <w:rPr>
          <w:rFonts w:eastAsiaTheme="minorHAnsi" w:cstheme="minorBidi"/>
        </w:rPr>
        <w:t>The Utility should maintain a record of the amount of the security, and the amount of revenues that are subject to refund. In addition, after the increased rates are in effect, pursuant to Rule 25-30.360(6), F.A.C., the Utility should file reports with the Commission’s Office of Commission Clerk no later than the 20th of each month indicating the monthly and total amount of money subject to refund at the end of the preceding month. The report filed should also indicate the status of the security being used to guarantee repayment of any potential refund</w:t>
      </w:r>
      <w:r>
        <w:rPr>
          <w:rFonts w:eastAsiaTheme="minorHAnsi" w:cstheme="minorBidi"/>
        </w:rPr>
        <w:t>.</w:t>
      </w:r>
    </w:p>
    <w:p w14:paraId="73F0CD12" w14:textId="5E431A5C" w:rsidR="00657ED3" w:rsidRDefault="00657ED3">
      <w:pPr>
        <w:pStyle w:val="IssueHeading"/>
        <w:rPr>
          <w:vanish/>
          <w:specVanish/>
        </w:rPr>
      </w:pPr>
      <w:r w:rsidRPr="004C3641">
        <w:rPr>
          <w:b w:val="0"/>
          <w:i w:val="0"/>
        </w:rPr>
        <w:br w:type="page"/>
      </w:r>
      <w:r w:rsidRPr="004C3641">
        <w:t xml:space="preserve">Issue </w:t>
      </w:r>
      <w:r w:rsidR="00C3694F">
        <w:fldChar w:fldCharType="begin"/>
      </w:r>
      <w:r w:rsidR="00C3694F">
        <w:instrText xml:space="preserve"> SEQ Issue \* MERGEFORMAT </w:instrText>
      </w:r>
      <w:r w:rsidR="00C3694F">
        <w:fldChar w:fldCharType="separate"/>
      </w:r>
      <w:r w:rsidR="00C3694F">
        <w:rPr>
          <w:noProof/>
        </w:rPr>
        <w:t>15</w:t>
      </w:r>
      <w:r w:rsidR="00C3694F">
        <w:rPr>
          <w:noProof/>
        </w:rPr>
        <w:fldChar w:fldCharType="end"/>
      </w:r>
      <w:r w:rsidRPr="004C3641">
        <w:t>:</w:t>
      </w:r>
      <w:r>
        <w:fldChar w:fldCharType="begin"/>
      </w:r>
      <w:r>
        <w:instrText xml:space="preserve"> TC "</w:instrText>
      </w:r>
      <w:r w:rsidR="00CE76A5" w:rsidRPr="00CE76A5">
        <w:instrText xml:space="preserve"> </w:instrText>
      </w:r>
      <w:bookmarkStart w:id="30" w:name="_Toc219970011"/>
      <w:r w:rsidR="00CE76A5">
        <w:instrText xml:space="preserve">Issue </w:instrText>
      </w:r>
      <w:r w:rsidR="00CE76A5">
        <w:fldChar w:fldCharType="begin"/>
      </w:r>
      <w:r w:rsidR="00CE76A5">
        <w:instrText xml:space="preserve"> SEQ issue \c </w:instrText>
      </w:r>
      <w:r w:rsidR="00CE76A5">
        <w:fldChar w:fldCharType="separate"/>
      </w:r>
      <w:r w:rsidR="00C3694F">
        <w:rPr>
          <w:noProof/>
        </w:rPr>
        <w:instrText>15</w:instrText>
      </w:r>
      <w:r w:rsidR="00CE76A5">
        <w:fldChar w:fldCharType="end"/>
      </w:r>
      <w:r w:rsidR="00CE76A5">
        <w:instrText xml:space="preserve"> – NARUC USOA Compliance</w:instrText>
      </w:r>
      <w:bookmarkEnd w:id="30"/>
      <w:r>
        <w:instrText xml:space="preserve">" \l 1 </w:instrText>
      </w:r>
      <w:r>
        <w:fldChar w:fldCharType="end"/>
      </w:r>
      <w:r>
        <w:t> </w:t>
      </w:r>
    </w:p>
    <w:p w14:paraId="77F825BE" w14:textId="77777777" w:rsidR="00657ED3" w:rsidRDefault="00657ED3">
      <w:pPr>
        <w:pStyle w:val="BodyText"/>
      </w:pPr>
      <w:r>
        <w:t> Should Grenelefe be required to notify the Commission within 90 days of an effective order finalizing this docket, that it has adjusted its books for all the applicable National Association of Regulatory Utility Commissioners’ Uniform System of Accounts (NARUC USOA) primary accounts?</w:t>
      </w:r>
    </w:p>
    <w:p w14:paraId="05CCF41F" w14:textId="77777777" w:rsidR="00657ED3" w:rsidRPr="004C3641" w:rsidRDefault="00657ED3">
      <w:pPr>
        <w:pStyle w:val="IssueSubsectionHeading"/>
        <w:rPr>
          <w:vanish/>
          <w:specVanish/>
        </w:rPr>
      </w:pPr>
      <w:r w:rsidRPr="004C3641">
        <w:t>Recommendation: </w:t>
      </w:r>
    </w:p>
    <w:p w14:paraId="22BDF3C0" w14:textId="77777777" w:rsidR="00657ED3" w:rsidRDefault="00657ED3">
      <w:pPr>
        <w:pStyle w:val="BodyText"/>
      </w:pPr>
      <w:r>
        <w:t> </w:t>
      </w:r>
      <w:r w:rsidRPr="007D3A17">
        <w:t xml:space="preserve">Yes. </w:t>
      </w:r>
      <w:r>
        <w:t>Grenelefe</w:t>
      </w:r>
      <w:r w:rsidRPr="007D3A17">
        <w:t xml:space="preserve"> should be required to notify the Commission, in writing, that it has adjusted its books in accordance with the Commission’s decision. The Utility should submit a letter within 90 days of the Commission’s final order in this docket, confirming that the adjustments to all applicable NARUC USOA primary accounts have been made to the Utility’s books and records. In the event the Utility needs additional time to complete the adjustments, a notice providing good cause should be filed not less than seven days prior to the deadline</w:t>
      </w:r>
      <w:r>
        <w:t xml:space="preserve"> requesting an extension</w:t>
      </w:r>
      <w:r w:rsidRPr="007D3A17">
        <w:t>. Upon providing a notice of good cause, staff should be given administrative authority to grant an extension of up to 60 days</w:t>
      </w:r>
      <w:r>
        <w:t>. (Cohn)</w:t>
      </w:r>
    </w:p>
    <w:p w14:paraId="6C3CBFD9" w14:textId="77777777" w:rsidR="00657ED3" w:rsidRPr="004C3641" w:rsidRDefault="00657ED3">
      <w:pPr>
        <w:pStyle w:val="IssueSubsectionHeading"/>
        <w:rPr>
          <w:vanish/>
          <w:specVanish/>
        </w:rPr>
      </w:pPr>
      <w:r w:rsidRPr="004C3641">
        <w:t>Staff Analysis: </w:t>
      </w:r>
    </w:p>
    <w:p w14:paraId="7198E363" w14:textId="77777777" w:rsidR="00657ED3" w:rsidRDefault="00657ED3">
      <w:pPr>
        <w:pStyle w:val="BodyText"/>
      </w:pPr>
      <w:r>
        <w:t xml:space="preserve"> Grenelefe </w:t>
      </w:r>
      <w:r w:rsidRPr="007D3A17">
        <w:t>should be required to notify the Commission, in writing, that it has adjusted its books in accordance with the Commission’s decision. The Utility should submit a letter within 90 days of the Commission’s final order in this docket, confirming that the adjustments to all applicable NARUC USOA primary accounts have been made to the Utility’s books and records. In the event the Utility needs additional time to complete the adjustments, a notice providing good cause should be filed not less than seven days prior to the deadline</w:t>
      </w:r>
      <w:r>
        <w:t xml:space="preserve"> requesting an extension</w:t>
      </w:r>
      <w:r w:rsidRPr="007D3A17">
        <w:t>. Upon providing a notice of good cause, staff should be given administrative authority to grant an extension of up to 60 days</w:t>
      </w:r>
      <w:r>
        <w:t>.</w:t>
      </w:r>
    </w:p>
    <w:p w14:paraId="11583B0A" w14:textId="5526BEA8" w:rsidR="00A77055" w:rsidRDefault="00A77055">
      <w:pPr>
        <w:pStyle w:val="IssueHeading"/>
        <w:rPr>
          <w:vanish/>
          <w:specVanish/>
        </w:rPr>
      </w:pPr>
      <w:r w:rsidRPr="004C3641">
        <w:rPr>
          <w:b w:val="0"/>
          <w:i w:val="0"/>
        </w:rPr>
        <w:br w:type="page"/>
      </w:r>
      <w:r w:rsidRPr="004C3641">
        <w:t xml:space="preserve">Issue </w:t>
      </w:r>
      <w:r w:rsidR="00C3694F">
        <w:fldChar w:fldCharType="begin"/>
      </w:r>
      <w:r w:rsidR="00C3694F">
        <w:instrText xml:space="preserve"> SEQ Issue \* MERGEFORMAT </w:instrText>
      </w:r>
      <w:r w:rsidR="00C3694F">
        <w:fldChar w:fldCharType="separate"/>
      </w:r>
      <w:r w:rsidR="00C3694F">
        <w:rPr>
          <w:noProof/>
        </w:rPr>
        <w:t>16</w:t>
      </w:r>
      <w:r w:rsidR="00C3694F">
        <w:rPr>
          <w:noProof/>
        </w:rPr>
        <w:fldChar w:fldCharType="end"/>
      </w:r>
      <w:r w:rsidRPr="004C3641">
        <w:t>:</w:t>
      </w:r>
      <w:r>
        <w:fldChar w:fldCharType="begin"/>
      </w:r>
      <w:r>
        <w:instrText xml:space="preserve"> TC "</w:instrText>
      </w:r>
      <w:bookmarkStart w:id="31" w:name="_Toc219970012"/>
      <w:r w:rsidR="00CE76A5">
        <w:instrText xml:space="preserve">Issue </w:instrText>
      </w:r>
      <w:r w:rsidR="00CE76A5">
        <w:fldChar w:fldCharType="begin"/>
      </w:r>
      <w:r w:rsidR="00CE76A5">
        <w:instrText xml:space="preserve"> SEQ issue \c </w:instrText>
      </w:r>
      <w:r w:rsidR="00CE76A5">
        <w:fldChar w:fldCharType="separate"/>
      </w:r>
      <w:r w:rsidR="00C3694F">
        <w:rPr>
          <w:noProof/>
        </w:rPr>
        <w:instrText>16</w:instrText>
      </w:r>
      <w:r w:rsidR="00CE76A5">
        <w:fldChar w:fldCharType="end"/>
      </w:r>
      <w:r w:rsidR="00CE76A5">
        <w:instrText xml:space="preserve"> – Close Docket</w:instrText>
      </w:r>
      <w:bookmarkEnd w:id="31"/>
      <w:r>
        <w:instrText xml:space="preserve">" \l 1 </w:instrText>
      </w:r>
      <w:r>
        <w:fldChar w:fldCharType="end"/>
      </w:r>
      <w:r>
        <w:t> </w:t>
      </w:r>
    </w:p>
    <w:p w14:paraId="00DD9BAB" w14:textId="77777777" w:rsidR="00A77055" w:rsidRDefault="00A77055">
      <w:pPr>
        <w:pStyle w:val="BodyText"/>
      </w:pPr>
      <w:r>
        <w:t> Should this docket be closed?</w:t>
      </w:r>
    </w:p>
    <w:p w14:paraId="50A9A8F7" w14:textId="77777777" w:rsidR="00A77055" w:rsidRPr="004C3641" w:rsidRDefault="00A77055">
      <w:pPr>
        <w:pStyle w:val="IssueSubsectionHeading"/>
        <w:rPr>
          <w:vanish/>
          <w:specVanish/>
        </w:rPr>
      </w:pPr>
      <w:r w:rsidRPr="004C3641">
        <w:t>Recommendation: </w:t>
      </w:r>
    </w:p>
    <w:p w14:paraId="17C3EE44" w14:textId="3AE29540" w:rsidR="00A77055" w:rsidRDefault="00A77055">
      <w:pPr>
        <w:pStyle w:val="BodyText"/>
      </w:pPr>
      <w:r>
        <w:t> </w:t>
      </w:r>
      <w:r w:rsidR="004F75CD" w:rsidRPr="002F7C6A">
        <w:t xml:space="preserve">No. If no person whose substantial interests are affected by the proposed agency action files a protest within 21 days of the issuance of the order, a consummating order should be issued. The docket should remain open for staff’s verification that the revised tariff sheets and customer notice have been filed by the Utility and approved by staff. In addition, this docket should remain open until </w:t>
      </w:r>
      <w:r w:rsidR="004F75CD">
        <w:t xml:space="preserve">(1) </w:t>
      </w:r>
      <w:r w:rsidR="004F75CD" w:rsidRPr="002F7C6A">
        <w:t xml:space="preserve">the report with the summary of the results of the customer meeting </w:t>
      </w:r>
      <w:r w:rsidR="004F75CD" w:rsidRPr="00D602B1">
        <w:t xml:space="preserve">and </w:t>
      </w:r>
      <w:r w:rsidR="004F75CD">
        <w:t xml:space="preserve">(2) </w:t>
      </w:r>
      <w:r w:rsidR="004F75CD" w:rsidRPr="00D602B1">
        <w:t>the report detailing</w:t>
      </w:r>
      <w:r w:rsidR="004F75CD">
        <w:t xml:space="preserve"> the status of</w:t>
      </w:r>
      <w:r w:rsidR="004F75CD" w:rsidRPr="00D602B1">
        <w:t xml:space="preserve"> each of the Commission approved pro-forma projects </w:t>
      </w:r>
      <w:r w:rsidR="004F75CD" w:rsidRPr="002F7C6A">
        <w:t>has been submitted by the Utility. Once these actions are complete, this docket should be closed administratively</w:t>
      </w:r>
      <w:r w:rsidR="004F75CD">
        <w:t>. (Imig</w:t>
      </w:r>
      <w:r w:rsidR="00C406B9">
        <w:t>)</w:t>
      </w:r>
      <w:r>
        <w:t xml:space="preserve"> </w:t>
      </w:r>
    </w:p>
    <w:p w14:paraId="5298602C" w14:textId="77777777" w:rsidR="00A77055" w:rsidRPr="004C3641" w:rsidRDefault="00A77055">
      <w:pPr>
        <w:pStyle w:val="IssueSubsectionHeading"/>
        <w:rPr>
          <w:vanish/>
          <w:specVanish/>
        </w:rPr>
      </w:pPr>
      <w:r w:rsidRPr="004C3641">
        <w:t>Staff Analysis: </w:t>
      </w:r>
    </w:p>
    <w:p w14:paraId="3AAE5E0A" w14:textId="1337C1E2" w:rsidR="00A77055" w:rsidRDefault="00A77055">
      <w:pPr>
        <w:pStyle w:val="BodyText"/>
      </w:pPr>
      <w:r>
        <w:t> </w:t>
      </w:r>
      <w:r w:rsidR="004F75CD" w:rsidRPr="002F7C6A">
        <w:t xml:space="preserve">If no person whose substantial interests are affected by the proposed agency action files a protest within 21 days of the issuance of the order, a consummating order should be issued. The docket should remain open for staff’s verification that the revised tariff sheets and customer notice have been filed by the Utility and approved by staff. In addition, this docket should remain open until </w:t>
      </w:r>
      <w:r w:rsidR="004F75CD">
        <w:t xml:space="preserve">(1) </w:t>
      </w:r>
      <w:r w:rsidR="004F75CD" w:rsidRPr="002F7C6A">
        <w:t>the report with the summary of the results of the customer meeting</w:t>
      </w:r>
      <w:r w:rsidR="004F75CD" w:rsidRPr="00D602B1">
        <w:t xml:space="preserve"> and (2) the report detailing </w:t>
      </w:r>
      <w:r w:rsidR="004F75CD">
        <w:t xml:space="preserve">the status of </w:t>
      </w:r>
      <w:r w:rsidR="004F75CD" w:rsidRPr="00D602B1">
        <w:t>each of the Commission approved pro-forma</w:t>
      </w:r>
      <w:r w:rsidR="004F75CD" w:rsidRPr="002F7C6A">
        <w:t xml:space="preserve"> </w:t>
      </w:r>
      <w:r w:rsidR="004F75CD">
        <w:t xml:space="preserve">projects </w:t>
      </w:r>
      <w:r w:rsidR="004F75CD" w:rsidRPr="002F7C6A">
        <w:t>has been submitted by the Utility. Once these actions are complete, this docket should be closed administratively</w:t>
      </w:r>
      <w:r w:rsidR="00C406B9">
        <w:t>.</w:t>
      </w:r>
    </w:p>
    <w:p w14:paraId="4E5A683E" w14:textId="77777777" w:rsidR="00E06484" w:rsidRDefault="00E06484" w:rsidP="00E275D8">
      <w:pPr>
        <w:pStyle w:val="BodyText"/>
      </w:pPr>
    </w:p>
    <w:p w14:paraId="7D5DFEB7" w14:textId="77777777" w:rsidR="008B149A" w:rsidRDefault="008B149A" w:rsidP="00E275D8">
      <w:pPr>
        <w:pStyle w:val="BodyText"/>
        <w:sectPr w:rsidR="008B149A" w:rsidSect="0068481F">
          <w:headerReference w:type="default" r:id="rId15"/>
          <w:headerReference w:type="first" r:id="rId16"/>
          <w:footerReference w:type="first" r:id="rId17"/>
          <w:pgSz w:w="12240" w:h="15840" w:code="1"/>
          <w:pgMar w:top="1584" w:right="1440" w:bottom="1440" w:left="1440" w:header="720" w:footer="720" w:gutter="0"/>
          <w:cols w:space="720"/>
          <w:formProt w:val="0"/>
          <w:docGrid w:linePitch="360"/>
        </w:sectPr>
      </w:pPr>
    </w:p>
    <w:p w14:paraId="1A01BDC6" w14:textId="61881875" w:rsidR="00224FF2" w:rsidRDefault="00CE76A5" w:rsidP="00E275D8">
      <w:pPr>
        <w:pStyle w:val="BodyText"/>
      </w:pPr>
      <w:r w:rsidRPr="004945BE">
        <w:rPr>
          <w:rFonts w:eastAsiaTheme="minorHAnsi" w:cstheme="minorBidi"/>
          <w:sz w:val="22"/>
          <w:szCs w:val="22"/>
        </w:rPr>
        <w:fldChar w:fldCharType="begin"/>
      </w:r>
      <w:r w:rsidRPr="004945BE">
        <w:rPr>
          <w:rFonts w:eastAsiaTheme="minorHAnsi" w:cstheme="minorBidi"/>
          <w:sz w:val="22"/>
          <w:szCs w:val="22"/>
        </w:rPr>
        <w:instrText xml:space="preserve"> TC "</w:instrText>
      </w:r>
      <w:r w:rsidRPr="004945BE">
        <w:rPr>
          <w:rFonts w:eastAsiaTheme="minorHAnsi" w:cstheme="minorBidi"/>
          <w:sz w:val="22"/>
          <w:szCs w:val="22"/>
        </w:rPr>
        <w:tab/>
      </w:r>
      <w:bookmarkStart w:id="32" w:name="_Toc219970013"/>
      <w:r w:rsidRPr="004945BE">
        <w:rPr>
          <w:rFonts w:eastAsiaTheme="minorHAnsi" w:cstheme="minorBidi"/>
          <w:sz w:val="22"/>
          <w:szCs w:val="22"/>
        </w:rPr>
        <w:instrText>Schedule No. 1-A Water Rate Base</w:instrText>
      </w:r>
      <w:bookmarkEnd w:id="32"/>
      <w:r w:rsidRPr="004945BE">
        <w:rPr>
          <w:rFonts w:eastAsiaTheme="minorHAnsi" w:cstheme="minorBidi"/>
          <w:sz w:val="22"/>
          <w:szCs w:val="22"/>
        </w:rPr>
        <w:instrText xml:space="preserve">" \l 1 </w:instrText>
      </w:r>
      <w:r w:rsidRPr="004945BE">
        <w:rPr>
          <w:rFonts w:eastAsiaTheme="minorHAnsi" w:cstheme="minorBidi"/>
          <w:sz w:val="22"/>
          <w:szCs w:val="22"/>
        </w:rPr>
        <w:fldChar w:fldCharType="end"/>
      </w:r>
      <w:r w:rsidR="00FD360C" w:rsidRPr="00384ABC">
        <w:rPr>
          <w:noProof/>
        </w:rPr>
        <w:drawing>
          <wp:anchor distT="0" distB="0" distL="114300" distR="114300" simplePos="0" relativeHeight="251655168" behindDoc="0" locked="0" layoutInCell="1" allowOverlap="1" wp14:anchorId="462C3079" wp14:editId="5D19ECD6">
            <wp:simplePos x="0" y="0"/>
            <wp:positionH relativeFrom="column">
              <wp:posOffset>-200025</wp:posOffset>
            </wp:positionH>
            <wp:positionV relativeFrom="paragraph">
              <wp:posOffset>260350</wp:posOffset>
            </wp:positionV>
            <wp:extent cx="6891020" cy="4555490"/>
            <wp:effectExtent l="0" t="0" r="5080" b="0"/>
            <wp:wrapThrough wrapText="bothSides">
              <wp:wrapPolygon edited="0">
                <wp:start x="0" y="0"/>
                <wp:lineTo x="0" y="21498"/>
                <wp:lineTo x="21556" y="21498"/>
                <wp:lineTo x="21556"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grayscl/>
                      <a:extLst>
                        <a:ext uri="{28A0092B-C50C-407E-A947-70E740481C1C}">
                          <a14:useLocalDpi xmlns:a14="http://schemas.microsoft.com/office/drawing/2010/main" val="0"/>
                        </a:ext>
                      </a:extLst>
                    </a:blip>
                    <a:srcRect/>
                    <a:stretch>
                      <a:fillRect/>
                    </a:stretch>
                  </pic:blipFill>
                  <pic:spPr bwMode="auto">
                    <a:xfrm>
                      <a:off x="0" y="0"/>
                      <a:ext cx="6891020" cy="45554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DA222E" w14:textId="0C016DE8" w:rsidR="00224FF2" w:rsidRDefault="00224FF2" w:rsidP="00E275D8">
      <w:pPr>
        <w:pStyle w:val="BodyText"/>
      </w:pPr>
    </w:p>
    <w:p w14:paraId="7E5E22F6" w14:textId="77777777" w:rsidR="00224FF2" w:rsidRDefault="00224FF2" w:rsidP="00E275D8">
      <w:pPr>
        <w:pStyle w:val="BodyText"/>
        <w:sectPr w:rsidR="00224FF2" w:rsidSect="0068481F">
          <w:headerReference w:type="default" r:id="rId19"/>
          <w:pgSz w:w="12240" w:h="15840" w:code="1"/>
          <w:pgMar w:top="1584" w:right="1440" w:bottom="1440" w:left="1440" w:header="720" w:footer="720" w:gutter="0"/>
          <w:cols w:space="720"/>
          <w:formProt w:val="0"/>
          <w:docGrid w:linePitch="360"/>
        </w:sectPr>
      </w:pPr>
    </w:p>
    <w:p w14:paraId="7C7038EA" w14:textId="19B7FB1A" w:rsidR="008B149A" w:rsidRDefault="00CE76A5" w:rsidP="00E275D8">
      <w:pPr>
        <w:pStyle w:val="BodyText"/>
      </w:pPr>
      <w:r w:rsidRPr="004945BE">
        <w:rPr>
          <w:rFonts w:eastAsiaTheme="minorHAnsi" w:cstheme="minorBidi"/>
          <w:sz w:val="22"/>
          <w:szCs w:val="22"/>
        </w:rPr>
        <w:fldChar w:fldCharType="begin"/>
      </w:r>
      <w:r w:rsidRPr="004945BE">
        <w:rPr>
          <w:rFonts w:eastAsiaTheme="minorHAnsi" w:cstheme="minorBidi"/>
          <w:sz w:val="22"/>
          <w:szCs w:val="22"/>
        </w:rPr>
        <w:instrText xml:space="preserve"> TC "</w:instrText>
      </w:r>
      <w:r w:rsidRPr="004945BE">
        <w:rPr>
          <w:rFonts w:eastAsiaTheme="minorHAnsi" w:cstheme="minorBidi"/>
          <w:sz w:val="22"/>
          <w:szCs w:val="22"/>
        </w:rPr>
        <w:tab/>
      </w:r>
      <w:bookmarkStart w:id="33" w:name="_Toc219970014"/>
      <w:r w:rsidRPr="004945BE">
        <w:rPr>
          <w:rFonts w:eastAsiaTheme="minorHAnsi" w:cstheme="minorBidi"/>
          <w:sz w:val="22"/>
          <w:szCs w:val="22"/>
        </w:rPr>
        <w:instrText>Schedule No. 1-</w:instrText>
      </w:r>
      <w:r>
        <w:rPr>
          <w:rFonts w:eastAsiaTheme="minorHAnsi" w:cstheme="minorBidi"/>
          <w:sz w:val="22"/>
          <w:szCs w:val="22"/>
        </w:rPr>
        <w:instrText>B</w:instrText>
      </w:r>
      <w:r w:rsidRPr="004945BE">
        <w:rPr>
          <w:rFonts w:eastAsiaTheme="minorHAnsi" w:cstheme="minorBidi"/>
          <w:sz w:val="22"/>
          <w:szCs w:val="22"/>
        </w:rPr>
        <w:instrText xml:space="preserve"> </w:instrText>
      </w:r>
      <w:r>
        <w:rPr>
          <w:rFonts w:eastAsiaTheme="minorHAnsi" w:cstheme="minorBidi"/>
          <w:sz w:val="22"/>
          <w:szCs w:val="22"/>
        </w:rPr>
        <w:instrText>Wastew</w:instrText>
      </w:r>
      <w:r w:rsidRPr="004945BE">
        <w:rPr>
          <w:rFonts w:eastAsiaTheme="minorHAnsi" w:cstheme="minorBidi"/>
          <w:sz w:val="22"/>
          <w:szCs w:val="22"/>
        </w:rPr>
        <w:instrText>ater Rate Base</w:instrText>
      </w:r>
      <w:bookmarkEnd w:id="33"/>
      <w:r w:rsidRPr="004945BE">
        <w:rPr>
          <w:rFonts w:eastAsiaTheme="minorHAnsi" w:cstheme="minorBidi"/>
          <w:sz w:val="22"/>
          <w:szCs w:val="22"/>
        </w:rPr>
        <w:instrText xml:space="preserve">" \l 1 </w:instrText>
      </w:r>
      <w:r w:rsidRPr="004945BE">
        <w:rPr>
          <w:rFonts w:eastAsiaTheme="minorHAnsi" w:cstheme="minorBidi"/>
          <w:sz w:val="22"/>
          <w:szCs w:val="22"/>
        </w:rPr>
        <w:fldChar w:fldCharType="end"/>
      </w:r>
      <w:r w:rsidR="00FD360C" w:rsidRPr="005168FB">
        <w:rPr>
          <w:noProof/>
        </w:rPr>
        <w:drawing>
          <wp:anchor distT="0" distB="0" distL="114300" distR="114300" simplePos="0" relativeHeight="251656192" behindDoc="0" locked="0" layoutInCell="1" allowOverlap="1" wp14:anchorId="652A1F2D" wp14:editId="02789003">
            <wp:simplePos x="0" y="0"/>
            <wp:positionH relativeFrom="column">
              <wp:posOffset>-419100</wp:posOffset>
            </wp:positionH>
            <wp:positionV relativeFrom="paragraph">
              <wp:posOffset>355600</wp:posOffset>
            </wp:positionV>
            <wp:extent cx="7060257" cy="4802588"/>
            <wp:effectExtent l="0" t="0" r="7620" b="0"/>
            <wp:wrapThrough wrapText="bothSides">
              <wp:wrapPolygon edited="0">
                <wp:start x="0" y="0"/>
                <wp:lineTo x="0" y="21506"/>
                <wp:lineTo x="21565" y="21506"/>
                <wp:lineTo x="21565"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grayscl/>
                      <a:extLst>
                        <a:ext uri="{28A0092B-C50C-407E-A947-70E740481C1C}">
                          <a14:useLocalDpi xmlns:a14="http://schemas.microsoft.com/office/drawing/2010/main" val="0"/>
                        </a:ext>
                      </a:extLst>
                    </a:blip>
                    <a:srcRect/>
                    <a:stretch>
                      <a:fillRect/>
                    </a:stretch>
                  </pic:blipFill>
                  <pic:spPr bwMode="auto">
                    <a:xfrm>
                      <a:off x="0" y="0"/>
                      <a:ext cx="7060257" cy="480258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391836" w14:textId="77777777" w:rsidR="00224FF2" w:rsidRDefault="00224FF2" w:rsidP="00E275D8">
      <w:pPr>
        <w:pStyle w:val="BodyText"/>
      </w:pPr>
    </w:p>
    <w:p w14:paraId="29627F0C" w14:textId="77777777" w:rsidR="00224FF2" w:rsidRDefault="00224FF2" w:rsidP="00E275D8">
      <w:pPr>
        <w:pStyle w:val="BodyText"/>
        <w:sectPr w:rsidR="00224FF2" w:rsidSect="0068481F">
          <w:headerReference w:type="default" r:id="rId21"/>
          <w:pgSz w:w="12240" w:h="15840" w:code="1"/>
          <w:pgMar w:top="1584" w:right="1440" w:bottom="1440" w:left="1440" w:header="720" w:footer="720" w:gutter="0"/>
          <w:cols w:space="720"/>
          <w:formProt w:val="0"/>
          <w:docGrid w:linePitch="360"/>
        </w:sectPr>
      </w:pPr>
    </w:p>
    <w:p w14:paraId="42B0C860" w14:textId="7767E363" w:rsidR="00224FF2" w:rsidRDefault="00CE76A5" w:rsidP="00E275D8">
      <w:pPr>
        <w:pStyle w:val="BodyText"/>
      </w:pPr>
      <w:r w:rsidRPr="00D00C64">
        <w:rPr>
          <w:sz w:val="22"/>
        </w:rPr>
        <w:fldChar w:fldCharType="begin"/>
      </w:r>
      <w:r w:rsidRPr="00D00C64">
        <w:rPr>
          <w:sz w:val="22"/>
        </w:rPr>
        <w:instrText xml:space="preserve"> TC "</w:instrText>
      </w:r>
      <w:r w:rsidRPr="00D00C64">
        <w:rPr>
          <w:sz w:val="22"/>
        </w:rPr>
        <w:tab/>
      </w:r>
      <w:bookmarkStart w:id="34" w:name="_Toc219970015"/>
      <w:r>
        <w:rPr>
          <w:sz w:val="22"/>
        </w:rPr>
        <w:instrText>Schedule No. 1-C Adjustments t</w:instrText>
      </w:r>
      <w:r w:rsidRPr="00D00C64">
        <w:rPr>
          <w:sz w:val="22"/>
        </w:rPr>
        <w:instrText>o Rate Base</w:instrText>
      </w:r>
      <w:bookmarkEnd w:id="34"/>
      <w:r w:rsidRPr="00D00C64">
        <w:rPr>
          <w:sz w:val="22"/>
        </w:rPr>
        <w:instrText xml:space="preserve">" \l 1 </w:instrText>
      </w:r>
      <w:r w:rsidRPr="00D00C64">
        <w:rPr>
          <w:sz w:val="22"/>
        </w:rPr>
        <w:fldChar w:fldCharType="end"/>
      </w:r>
    </w:p>
    <w:tbl>
      <w:tblPr>
        <w:tblW w:w="5311" w:type="pct"/>
        <w:tblInd w:w="-7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43"/>
        <w:gridCol w:w="4986"/>
        <w:gridCol w:w="2041"/>
        <w:gridCol w:w="273"/>
        <w:gridCol w:w="2158"/>
        <w:gridCol w:w="271"/>
      </w:tblGrid>
      <w:tr w:rsidR="00E370D0" w:rsidRPr="00B04A8F" w14:paraId="61A9DAA1" w14:textId="77777777" w:rsidTr="00E370D0">
        <w:trPr>
          <w:trHeight w:hRule="exact" w:val="388"/>
        </w:trPr>
        <w:tc>
          <w:tcPr>
            <w:tcW w:w="218" w:type="pct"/>
          </w:tcPr>
          <w:p w14:paraId="0DCF71FD" w14:textId="77777777" w:rsidR="00E370D0" w:rsidRPr="00B04A8F" w:rsidRDefault="00E370D0" w:rsidP="00E370D0">
            <w:pPr>
              <w:pStyle w:val="BodyText"/>
              <w:rPr>
                <w:sz w:val="22"/>
                <w:szCs w:val="22"/>
              </w:rPr>
            </w:pPr>
          </w:p>
        </w:tc>
        <w:tc>
          <w:tcPr>
            <w:tcW w:w="3454" w:type="pct"/>
            <w:gridSpan w:val="2"/>
          </w:tcPr>
          <w:p w14:paraId="6A54BD44" w14:textId="77777777" w:rsidR="00E370D0" w:rsidRPr="003A2A1C" w:rsidRDefault="00E370D0" w:rsidP="00E370D0">
            <w:pPr>
              <w:pStyle w:val="BodyText"/>
              <w:jc w:val="left"/>
              <w:rPr>
                <w:b/>
                <w:sz w:val="22"/>
                <w:szCs w:val="22"/>
              </w:rPr>
            </w:pPr>
            <w:r w:rsidRPr="003A2A1C">
              <w:rPr>
                <w:b/>
                <w:sz w:val="22"/>
              </w:rPr>
              <w:t>NC REAL ESTATE PROJECTS, LLC D/B/A GRENELEFE UTILITY</w:t>
            </w:r>
          </w:p>
        </w:tc>
        <w:tc>
          <w:tcPr>
            <w:tcW w:w="1195" w:type="pct"/>
            <w:gridSpan w:val="2"/>
          </w:tcPr>
          <w:p w14:paraId="4FEDC90C" w14:textId="77777777" w:rsidR="00E370D0" w:rsidRPr="00B04A8F" w:rsidRDefault="00E370D0" w:rsidP="00E370D0">
            <w:pPr>
              <w:pStyle w:val="BodyText"/>
              <w:jc w:val="right"/>
              <w:rPr>
                <w:b/>
                <w:sz w:val="22"/>
                <w:szCs w:val="22"/>
              </w:rPr>
            </w:pPr>
            <w:r w:rsidRPr="00B04A8F">
              <w:rPr>
                <w:b/>
                <w:sz w:val="22"/>
                <w:szCs w:val="22"/>
              </w:rPr>
              <w:t>SCHEDULE NO. 1-C</w:t>
            </w:r>
          </w:p>
        </w:tc>
        <w:tc>
          <w:tcPr>
            <w:tcW w:w="133" w:type="pct"/>
          </w:tcPr>
          <w:p w14:paraId="7046A80C" w14:textId="77777777" w:rsidR="00E370D0" w:rsidRPr="00B04A8F" w:rsidRDefault="00E370D0" w:rsidP="00E370D0">
            <w:pPr>
              <w:pStyle w:val="BodyText"/>
              <w:rPr>
                <w:sz w:val="22"/>
                <w:szCs w:val="22"/>
              </w:rPr>
            </w:pPr>
          </w:p>
        </w:tc>
      </w:tr>
      <w:tr w:rsidR="00E370D0" w:rsidRPr="00B04A8F" w14:paraId="71EAA9BC" w14:textId="77777777" w:rsidTr="00E370D0">
        <w:trPr>
          <w:trHeight w:hRule="exact" w:val="289"/>
        </w:trPr>
        <w:tc>
          <w:tcPr>
            <w:tcW w:w="218" w:type="pct"/>
            <w:tcBorders>
              <w:bottom w:val="nil"/>
            </w:tcBorders>
          </w:tcPr>
          <w:p w14:paraId="4C353F82" w14:textId="77777777" w:rsidR="00E370D0" w:rsidRPr="00B04A8F" w:rsidRDefault="00E370D0" w:rsidP="00E370D0">
            <w:pPr>
              <w:pStyle w:val="BodyText"/>
              <w:rPr>
                <w:sz w:val="22"/>
                <w:szCs w:val="22"/>
              </w:rPr>
            </w:pPr>
          </w:p>
        </w:tc>
        <w:tc>
          <w:tcPr>
            <w:tcW w:w="2451" w:type="pct"/>
            <w:tcBorders>
              <w:bottom w:val="nil"/>
            </w:tcBorders>
          </w:tcPr>
          <w:p w14:paraId="31D24315" w14:textId="77777777" w:rsidR="00E370D0" w:rsidRPr="00B04A8F" w:rsidRDefault="00E370D0" w:rsidP="00E370D0">
            <w:pPr>
              <w:pStyle w:val="BodyText"/>
              <w:rPr>
                <w:b/>
                <w:sz w:val="22"/>
                <w:szCs w:val="22"/>
              </w:rPr>
            </w:pPr>
            <w:r w:rsidRPr="00B04A8F">
              <w:rPr>
                <w:b/>
                <w:sz w:val="22"/>
                <w:szCs w:val="22"/>
              </w:rPr>
              <w:t xml:space="preserve">TEST YEAR ENDED </w:t>
            </w:r>
            <w:r>
              <w:rPr>
                <w:b/>
                <w:sz w:val="22"/>
                <w:szCs w:val="22"/>
              </w:rPr>
              <w:t>10</w:t>
            </w:r>
            <w:r w:rsidRPr="00B04A8F">
              <w:rPr>
                <w:b/>
                <w:sz w:val="22"/>
                <w:szCs w:val="22"/>
              </w:rPr>
              <w:t>/</w:t>
            </w:r>
            <w:r>
              <w:rPr>
                <w:b/>
                <w:sz w:val="22"/>
                <w:szCs w:val="22"/>
              </w:rPr>
              <w:t>31</w:t>
            </w:r>
            <w:r w:rsidRPr="00B04A8F">
              <w:rPr>
                <w:b/>
                <w:sz w:val="22"/>
                <w:szCs w:val="22"/>
              </w:rPr>
              <w:t>/20</w:t>
            </w:r>
            <w:r>
              <w:rPr>
                <w:b/>
                <w:sz w:val="22"/>
                <w:szCs w:val="22"/>
              </w:rPr>
              <w:t>24</w:t>
            </w:r>
          </w:p>
        </w:tc>
        <w:tc>
          <w:tcPr>
            <w:tcW w:w="2198" w:type="pct"/>
            <w:gridSpan w:val="3"/>
            <w:tcBorders>
              <w:bottom w:val="nil"/>
            </w:tcBorders>
          </w:tcPr>
          <w:p w14:paraId="6A6442D6" w14:textId="77777777" w:rsidR="00E370D0" w:rsidRPr="00B04A8F" w:rsidRDefault="00E370D0" w:rsidP="00E370D0">
            <w:pPr>
              <w:pStyle w:val="BodyText"/>
              <w:jc w:val="right"/>
              <w:rPr>
                <w:b/>
                <w:sz w:val="22"/>
                <w:szCs w:val="22"/>
              </w:rPr>
            </w:pPr>
            <w:r>
              <w:rPr>
                <w:b/>
                <w:sz w:val="22"/>
                <w:szCs w:val="22"/>
              </w:rPr>
              <w:t>DOCKET NO. 20250023-WS</w:t>
            </w:r>
          </w:p>
        </w:tc>
        <w:tc>
          <w:tcPr>
            <w:tcW w:w="133" w:type="pct"/>
            <w:tcBorders>
              <w:bottom w:val="nil"/>
            </w:tcBorders>
          </w:tcPr>
          <w:p w14:paraId="2364ED27" w14:textId="77777777" w:rsidR="00E370D0" w:rsidRPr="00B04A8F" w:rsidRDefault="00E370D0" w:rsidP="00E370D0">
            <w:pPr>
              <w:pStyle w:val="BodyText"/>
              <w:rPr>
                <w:sz w:val="22"/>
                <w:szCs w:val="22"/>
              </w:rPr>
            </w:pPr>
          </w:p>
        </w:tc>
      </w:tr>
      <w:tr w:rsidR="00E370D0" w:rsidRPr="00B04A8F" w14:paraId="3600E59A" w14:textId="77777777" w:rsidTr="00E370D0">
        <w:trPr>
          <w:trHeight w:hRule="exact" w:val="289"/>
        </w:trPr>
        <w:tc>
          <w:tcPr>
            <w:tcW w:w="218" w:type="pct"/>
            <w:tcBorders>
              <w:top w:val="nil"/>
              <w:bottom w:val="single" w:sz="4" w:space="0" w:color="auto"/>
            </w:tcBorders>
          </w:tcPr>
          <w:p w14:paraId="527E96D1" w14:textId="77777777" w:rsidR="00E370D0" w:rsidRPr="00B04A8F" w:rsidRDefault="00E370D0" w:rsidP="00E370D0">
            <w:pPr>
              <w:pStyle w:val="BodyText"/>
              <w:rPr>
                <w:sz w:val="22"/>
                <w:szCs w:val="22"/>
              </w:rPr>
            </w:pPr>
          </w:p>
        </w:tc>
        <w:tc>
          <w:tcPr>
            <w:tcW w:w="2451" w:type="pct"/>
            <w:tcBorders>
              <w:top w:val="nil"/>
              <w:bottom w:val="single" w:sz="4" w:space="0" w:color="auto"/>
            </w:tcBorders>
          </w:tcPr>
          <w:p w14:paraId="5D6CC423" w14:textId="77777777" w:rsidR="00E370D0" w:rsidRPr="00B04A8F" w:rsidRDefault="00E370D0" w:rsidP="00E370D0">
            <w:pPr>
              <w:pStyle w:val="BodyText"/>
              <w:rPr>
                <w:b/>
                <w:sz w:val="22"/>
                <w:szCs w:val="22"/>
              </w:rPr>
            </w:pPr>
            <w:r w:rsidRPr="00B04A8F">
              <w:rPr>
                <w:b/>
                <w:sz w:val="22"/>
                <w:szCs w:val="22"/>
              </w:rPr>
              <w:t>ADJUSTMENTS TO RATE BASE</w:t>
            </w:r>
          </w:p>
        </w:tc>
        <w:tc>
          <w:tcPr>
            <w:tcW w:w="1137" w:type="pct"/>
            <w:gridSpan w:val="2"/>
            <w:tcBorders>
              <w:top w:val="nil"/>
              <w:bottom w:val="single" w:sz="4" w:space="0" w:color="auto"/>
            </w:tcBorders>
          </w:tcPr>
          <w:p w14:paraId="30AD685B" w14:textId="77777777" w:rsidR="00E370D0" w:rsidRPr="00B04A8F" w:rsidRDefault="00E370D0" w:rsidP="00E370D0">
            <w:pPr>
              <w:pStyle w:val="BodyText"/>
              <w:rPr>
                <w:b/>
                <w:sz w:val="22"/>
                <w:szCs w:val="22"/>
              </w:rPr>
            </w:pPr>
          </w:p>
        </w:tc>
        <w:tc>
          <w:tcPr>
            <w:tcW w:w="1061" w:type="pct"/>
            <w:tcBorders>
              <w:top w:val="nil"/>
              <w:bottom w:val="single" w:sz="4" w:space="0" w:color="auto"/>
            </w:tcBorders>
          </w:tcPr>
          <w:p w14:paraId="07892548" w14:textId="77777777" w:rsidR="00E370D0" w:rsidRPr="00B04A8F" w:rsidRDefault="00E370D0" w:rsidP="00E370D0">
            <w:pPr>
              <w:pStyle w:val="BodyText"/>
              <w:rPr>
                <w:b/>
                <w:sz w:val="22"/>
                <w:szCs w:val="22"/>
              </w:rPr>
            </w:pPr>
          </w:p>
        </w:tc>
        <w:tc>
          <w:tcPr>
            <w:tcW w:w="133" w:type="pct"/>
            <w:tcBorders>
              <w:top w:val="nil"/>
              <w:bottom w:val="single" w:sz="4" w:space="0" w:color="auto"/>
            </w:tcBorders>
          </w:tcPr>
          <w:p w14:paraId="3367F3CE" w14:textId="77777777" w:rsidR="00E370D0" w:rsidRPr="00B04A8F" w:rsidRDefault="00E370D0" w:rsidP="00E370D0">
            <w:pPr>
              <w:pStyle w:val="BodyText"/>
              <w:rPr>
                <w:sz w:val="22"/>
                <w:szCs w:val="22"/>
              </w:rPr>
            </w:pPr>
          </w:p>
        </w:tc>
      </w:tr>
      <w:tr w:rsidR="00E370D0" w:rsidRPr="00B04A8F" w14:paraId="22545A64" w14:textId="77777777" w:rsidTr="00E370D0">
        <w:trPr>
          <w:trHeight w:hRule="exact" w:val="289"/>
        </w:trPr>
        <w:tc>
          <w:tcPr>
            <w:tcW w:w="218" w:type="pct"/>
            <w:tcBorders>
              <w:top w:val="single" w:sz="4" w:space="0" w:color="auto"/>
              <w:bottom w:val="nil"/>
            </w:tcBorders>
          </w:tcPr>
          <w:p w14:paraId="5B750E86" w14:textId="77777777" w:rsidR="00E370D0" w:rsidRPr="00B04A8F" w:rsidRDefault="00E370D0" w:rsidP="00E370D0">
            <w:pPr>
              <w:pStyle w:val="BodyText"/>
              <w:rPr>
                <w:sz w:val="22"/>
                <w:szCs w:val="22"/>
              </w:rPr>
            </w:pPr>
          </w:p>
        </w:tc>
        <w:tc>
          <w:tcPr>
            <w:tcW w:w="2451" w:type="pct"/>
            <w:tcBorders>
              <w:top w:val="single" w:sz="4" w:space="0" w:color="auto"/>
              <w:bottom w:val="nil"/>
            </w:tcBorders>
          </w:tcPr>
          <w:p w14:paraId="34BB12C2" w14:textId="77777777" w:rsidR="00E370D0" w:rsidRPr="00B04A8F" w:rsidRDefault="00E370D0" w:rsidP="00E370D0">
            <w:pPr>
              <w:pStyle w:val="BodyText"/>
              <w:rPr>
                <w:b/>
                <w:sz w:val="22"/>
                <w:szCs w:val="22"/>
              </w:rPr>
            </w:pPr>
          </w:p>
        </w:tc>
        <w:tc>
          <w:tcPr>
            <w:tcW w:w="1137" w:type="pct"/>
            <w:gridSpan w:val="2"/>
            <w:tcBorders>
              <w:top w:val="single" w:sz="4" w:space="0" w:color="auto"/>
              <w:bottom w:val="nil"/>
            </w:tcBorders>
          </w:tcPr>
          <w:p w14:paraId="07CB5B6C" w14:textId="77777777" w:rsidR="00E370D0" w:rsidRPr="00B04A8F" w:rsidRDefault="00E370D0" w:rsidP="00E370D0">
            <w:pPr>
              <w:pStyle w:val="BodyText"/>
              <w:jc w:val="center"/>
              <w:rPr>
                <w:b/>
                <w:sz w:val="22"/>
                <w:szCs w:val="22"/>
              </w:rPr>
            </w:pPr>
          </w:p>
        </w:tc>
        <w:tc>
          <w:tcPr>
            <w:tcW w:w="1061" w:type="pct"/>
            <w:tcBorders>
              <w:top w:val="single" w:sz="4" w:space="0" w:color="auto"/>
              <w:bottom w:val="nil"/>
            </w:tcBorders>
          </w:tcPr>
          <w:p w14:paraId="1F7EE187" w14:textId="77777777" w:rsidR="00E370D0" w:rsidRPr="00B04A8F" w:rsidRDefault="00E370D0" w:rsidP="00E370D0">
            <w:pPr>
              <w:pStyle w:val="BodyText"/>
              <w:jc w:val="center"/>
              <w:rPr>
                <w:b/>
                <w:sz w:val="22"/>
                <w:szCs w:val="22"/>
              </w:rPr>
            </w:pPr>
          </w:p>
        </w:tc>
        <w:tc>
          <w:tcPr>
            <w:tcW w:w="133" w:type="pct"/>
            <w:tcBorders>
              <w:top w:val="single" w:sz="4" w:space="0" w:color="auto"/>
              <w:bottom w:val="nil"/>
            </w:tcBorders>
          </w:tcPr>
          <w:p w14:paraId="619EC0B9" w14:textId="77777777" w:rsidR="00E370D0" w:rsidRPr="00B04A8F" w:rsidRDefault="00E370D0" w:rsidP="00E370D0">
            <w:pPr>
              <w:pStyle w:val="BodyText"/>
              <w:rPr>
                <w:sz w:val="22"/>
                <w:szCs w:val="22"/>
              </w:rPr>
            </w:pPr>
          </w:p>
        </w:tc>
      </w:tr>
      <w:tr w:rsidR="00E370D0" w:rsidRPr="00B04A8F" w14:paraId="39434756" w14:textId="77777777" w:rsidTr="00E370D0">
        <w:trPr>
          <w:trHeight w:hRule="exact" w:val="289"/>
        </w:trPr>
        <w:tc>
          <w:tcPr>
            <w:tcW w:w="218" w:type="pct"/>
          </w:tcPr>
          <w:p w14:paraId="191C785C" w14:textId="77777777" w:rsidR="00E370D0" w:rsidRPr="00B04A8F" w:rsidRDefault="00E370D0" w:rsidP="00E370D0">
            <w:pPr>
              <w:pStyle w:val="BodyText"/>
              <w:rPr>
                <w:sz w:val="22"/>
                <w:szCs w:val="22"/>
              </w:rPr>
            </w:pPr>
          </w:p>
        </w:tc>
        <w:tc>
          <w:tcPr>
            <w:tcW w:w="2451" w:type="pct"/>
          </w:tcPr>
          <w:p w14:paraId="74422694" w14:textId="77777777" w:rsidR="00E370D0" w:rsidRPr="00B04A8F" w:rsidRDefault="00E370D0" w:rsidP="00E370D0">
            <w:pPr>
              <w:pStyle w:val="BodyText"/>
              <w:rPr>
                <w:b/>
                <w:sz w:val="22"/>
                <w:szCs w:val="22"/>
                <w:u w:val="single"/>
              </w:rPr>
            </w:pPr>
          </w:p>
        </w:tc>
        <w:tc>
          <w:tcPr>
            <w:tcW w:w="1137" w:type="pct"/>
            <w:gridSpan w:val="2"/>
          </w:tcPr>
          <w:p w14:paraId="28CEEEB5" w14:textId="77777777" w:rsidR="00E370D0" w:rsidRPr="00B04A8F" w:rsidRDefault="00E370D0" w:rsidP="00E370D0">
            <w:pPr>
              <w:pStyle w:val="BodyText"/>
              <w:jc w:val="center"/>
              <w:rPr>
                <w:b/>
                <w:sz w:val="22"/>
                <w:szCs w:val="22"/>
                <w:u w:val="single"/>
              </w:rPr>
            </w:pPr>
            <w:r>
              <w:rPr>
                <w:b/>
                <w:sz w:val="22"/>
                <w:szCs w:val="22"/>
                <w:u w:val="single"/>
              </w:rPr>
              <w:t>WATER</w:t>
            </w:r>
          </w:p>
        </w:tc>
        <w:tc>
          <w:tcPr>
            <w:tcW w:w="1061" w:type="pct"/>
          </w:tcPr>
          <w:p w14:paraId="25A861CF" w14:textId="77777777" w:rsidR="00E370D0" w:rsidRPr="00B04A8F" w:rsidRDefault="00E370D0" w:rsidP="00E370D0">
            <w:pPr>
              <w:pStyle w:val="BodyText"/>
              <w:jc w:val="center"/>
              <w:rPr>
                <w:b/>
                <w:sz w:val="22"/>
                <w:szCs w:val="22"/>
                <w:u w:val="single"/>
              </w:rPr>
            </w:pPr>
            <w:r>
              <w:rPr>
                <w:b/>
                <w:sz w:val="22"/>
                <w:szCs w:val="22"/>
                <w:u w:val="single"/>
              </w:rPr>
              <w:t>WASTEWATER</w:t>
            </w:r>
          </w:p>
        </w:tc>
        <w:tc>
          <w:tcPr>
            <w:tcW w:w="133" w:type="pct"/>
          </w:tcPr>
          <w:p w14:paraId="47BD03B0" w14:textId="77777777" w:rsidR="00E370D0" w:rsidRPr="00B04A8F" w:rsidRDefault="00E370D0" w:rsidP="00E370D0">
            <w:pPr>
              <w:pStyle w:val="BodyText"/>
              <w:rPr>
                <w:sz w:val="22"/>
                <w:szCs w:val="22"/>
              </w:rPr>
            </w:pPr>
          </w:p>
        </w:tc>
      </w:tr>
      <w:tr w:rsidR="00E370D0" w:rsidRPr="00B04A8F" w14:paraId="6C340837" w14:textId="77777777" w:rsidTr="00E370D0">
        <w:trPr>
          <w:trHeight w:hRule="exact" w:val="289"/>
        </w:trPr>
        <w:tc>
          <w:tcPr>
            <w:tcW w:w="218" w:type="pct"/>
          </w:tcPr>
          <w:p w14:paraId="65148442" w14:textId="77777777" w:rsidR="00E370D0" w:rsidRPr="00B04A8F" w:rsidRDefault="00E370D0" w:rsidP="00E370D0">
            <w:pPr>
              <w:pStyle w:val="BodyText"/>
              <w:rPr>
                <w:sz w:val="22"/>
                <w:szCs w:val="22"/>
              </w:rPr>
            </w:pPr>
          </w:p>
        </w:tc>
        <w:tc>
          <w:tcPr>
            <w:tcW w:w="2451" w:type="pct"/>
          </w:tcPr>
          <w:p w14:paraId="5F22C5E5" w14:textId="77777777" w:rsidR="00E370D0" w:rsidRPr="00C91053" w:rsidRDefault="00E370D0" w:rsidP="00E370D0">
            <w:pPr>
              <w:pStyle w:val="BodyText"/>
              <w:rPr>
                <w:b/>
                <w:sz w:val="22"/>
                <w:szCs w:val="22"/>
                <w:u w:val="single"/>
              </w:rPr>
            </w:pPr>
            <w:r w:rsidRPr="00C91053">
              <w:rPr>
                <w:b/>
                <w:sz w:val="22"/>
                <w:szCs w:val="22"/>
                <w:u w:val="single"/>
              </w:rPr>
              <w:t>UTILITY PLANT IN SERVICE</w:t>
            </w:r>
          </w:p>
        </w:tc>
        <w:tc>
          <w:tcPr>
            <w:tcW w:w="1137" w:type="pct"/>
            <w:gridSpan w:val="2"/>
          </w:tcPr>
          <w:p w14:paraId="540ECDF0" w14:textId="77777777" w:rsidR="00E370D0" w:rsidRPr="00B04A8F" w:rsidRDefault="00E370D0" w:rsidP="00E370D0">
            <w:pPr>
              <w:pStyle w:val="BodyText"/>
              <w:jc w:val="right"/>
              <w:rPr>
                <w:sz w:val="22"/>
                <w:szCs w:val="22"/>
              </w:rPr>
            </w:pPr>
          </w:p>
        </w:tc>
        <w:tc>
          <w:tcPr>
            <w:tcW w:w="1061" w:type="pct"/>
          </w:tcPr>
          <w:p w14:paraId="56FF51AB" w14:textId="77777777" w:rsidR="00E370D0" w:rsidRPr="00B04A8F" w:rsidRDefault="00E370D0" w:rsidP="00E370D0">
            <w:pPr>
              <w:pStyle w:val="BodyText"/>
              <w:jc w:val="right"/>
              <w:rPr>
                <w:sz w:val="22"/>
                <w:szCs w:val="22"/>
              </w:rPr>
            </w:pPr>
          </w:p>
        </w:tc>
        <w:tc>
          <w:tcPr>
            <w:tcW w:w="133" w:type="pct"/>
          </w:tcPr>
          <w:p w14:paraId="1BECF307" w14:textId="77777777" w:rsidR="00E370D0" w:rsidRPr="00B04A8F" w:rsidRDefault="00E370D0" w:rsidP="00E370D0">
            <w:pPr>
              <w:pStyle w:val="BodyText"/>
              <w:rPr>
                <w:sz w:val="22"/>
                <w:szCs w:val="22"/>
              </w:rPr>
            </w:pPr>
          </w:p>
        </w:tc>
      </w:tr>
      <w:tr w:rsidR="00E370D0" w:rsidRPr="00B04A8F" w14:paraId="3F4F4CBA" w14:textId="77777777" w:rsidTr="00E370D0">
        <w:trPr>
          <w:trHeight w:hRule="exact" w:val="289"/>
        </w:trPr>
        <w:tc>
          <w:tcPr>
            <w:tcW w:w="218" w:type="pct"/>
          </w:tcPr>
          <w:p w14:paraId="232C1A6C" w14:textId="77777777" w:rsidR="00E370D0" w:rsidRPr="00B04A8F" w:rsidRDefault="00E370D0" w:rsidP="00E370D0">
            <w:pPr>
              <w:pStyle w:val="BodyText"/>
              <w:rPr>
                <w:sz w:val="22"/>
                <w:szCs w:val="22"/>
              </w:rPr>
            </w:pPr>
            <w:r w:rsidRPr="00B04A8F">
              <w:rPr>
                <w:sz w:val="22"/>
                <w:szCs w:val="22"/>
              </w:rPr>
              <w:t>1.</w:t>
            </w:r>
          </w:p>
        </w:tc>
        <w:tc>
          <w:tcPr>
            <w:tcW w:w="2451" w:type="pct"/>
          </w:tcPr>
          <w:p w14:paraId="6DFE5F33" w14:textId="77777777" w:rsidR="00E370D0" w:rsidRPr="00B04A8F" w:rsidRDefault="00E370D0" w:rsidP="00E370D0">
            <w:pPr>
              <w:pStyle w:val="BodyText"/>
              <w:rPr>
                <w:sz w:val="22"/>
                <w:szCs w:val="22"/>
              </w:rPr>
            </w:pPr>
            <w:r w:rsidRPr="00B04A8F">
              <w:rPr>
                <w:sz w:val="22"/>
                <w:szCs w:val="22"/>
              </w:rPr>
              <w:t>To reflect</w:t>
            </w:r>
            <w:r>
              <w:rPr>
                <w:sz w:val="22"/>
                <w:szCs w:val="22"/>
              </w:rPr>
              <w:t xml:space="preserve"> </w:t>
            </w:r>
            <w:r w:rsidRPr="00B04A8F">
              <w:rPr>
                <w:sz w:val="22"/>
                <w:szCs w:val="22"/>
              </w:rPr>
              <w:t>audit</w:t>
            </w:r>
            <w:r>
              <w:rPr>
                <w:sz w:val="22"/>
                <w:szCs w:val="22"/>
              </w:rPr>
              <w:t>ing</w:t>
            </w:r>
            <w:r w:rsidRPr="00B04A8F">
              <w:rPr>
                <w:sz w:val="22"/>
                <w:szCs w:val="22"/>
              </w:rPr>
              <w:t xml:space="preserve"> adjustment</w:t>
            </w:r>
            <w:r>
              <w:rPr>
                <w:sz w:val="22"/>
                <w:szCs w:val="22"/>
              </w:rPr>
              <w:t>s</w:t>
            </w:r>
            <w:r w:rsidRPr="00B04A8F">
              <w:rPr>
                <w:sz w:val="22"/>
                <w:szCs w:val="22"/>
              </w:rPr>
              <w:t>.</w:t>
            </w:r>
          </w:p>
        </w:tc>
        <w:tc>
          <w:tcPr>
            <w:tcW w:w="1137" w:type="pct"/>
            <w:gridSpan w:val="2"/>
          </w:tcPr>
          <w:p w14:paraId="529709AF" w14:textId="77777777" w:rsidR="00E370D0" w:rsidRPr="00B04A8F" w:rsidRDefault="00E370D0" w:rsidP="00E370D0">
            <w:pPr>
              <w:pStyle w:val="BodyText"/>
              <w:jc w:val="right"/>
              <w:rPr>
                <w:sz w:val="22"/>
                <w:szCs w:val="22"/>
              </w:rPr>
            </w:pPr>
            <w:r>
              <w:rPr>
                <w:sz w:val="22"/>
                <w:szCs w:val="22"/>
              </w:rPr>
              <w:t>(</w:t>
            </w:r>
            <w:r w:rsidRPr="00B04A8F">
              <w:rPr>
                <w:sz w:val="22"/>
                <w:szCs w:val="22"/>
              </w:rPr>
              <w:t>$</w:t>
            </w:r>
            <w:r>
              <w:rPr>
                <w:sz w:val="22"/>
                <w:szCs w:val="22"/>
              </w:rPr>
              <w:t>85,059)</w:t>
            </w:r>
          </w:p>
        </w:tc>
        <w:tc>
          <w:tcPr>
            <w:tcW w:w="1061" w:type="pct"/>
          </w:tcPr>
          <w:p w14:paraId="075B569E" w14:textId="77777777" w:rsidR="00E370D0" w:rsidRPr="00B04A8F" w:rsidRDefault="00E370D0" w:rsidP="00E370D0">
            <w:pPr>
              <w:pStyle w:val="BodyText"/>
              <w:jc w:val="right"/>
              <w:rPr>
                <w:sz w:val="22"/>
                <w:szCs w:val="22"/>
              </w:rPr>
            </w:pPr>
            <w:r>
              <w:rPr>
                <w:sz w:val="22"/>
                <w:szCs w:val="22"/>
              </w:rPr>
              <w:t>(</w:t>
            </w:r>
            <w:r w:rsidRPr="00B04A8F">
              <w:rPr>
                <w:sz w:val="22"/>
                <w:szCs w:val="22"/>
              </w:rPr>
              <w:t>$</w:t>
            </w:r>
            <w:r>
              <w:rPr>
                <w:sz w:val="22"/>
                <w:szCs w:val="22"/>
              </w:rPr>
              <w:t>187,115)</w:t>
            </w:r>
          </w:p>
        </w:tc>
        <w:tc>
          <w:tcPr>
            <w:tcW w:w="133" w:type="pct"/>
          </w:tcPr>
          <w:p w14:paraId="5616AF48" w14:textId="77777777" w:rsidR="00E370D0" w:rsidRPr="00B04A8F" w:rsidRDefault="00E370D0" w:rsidP="00E370D0">
            <w:pPr>
              <w:pStyle w:val="BodyText"/>
              <w:rPr>
                <w:sz w:val="22"/>
                <w:szCs w:val="22"/>
              </w:rPr>
            </w:pPr>
          </w:p>
        </w:tc>
      </w:tr>
      <w:tr w:rsidR="00E370D0" w:rsidRPr="00B04A8F" w14:paraId="47CAF7AB" w14:textId="77777777" w:rsidTr="00E370D0">
        <w:trPr>
          <w:trHeight w:hRule="exact" w:val="289"/>
        </w:trPr>
        <w:tc>
          <w:tcPr>
            <w:tcW w:w="218" w:type="pct"/>
          </w:tcPr>
          <w:p w14:paraId="603F40CD" w14:textId="77777777" w:rsidR="00E370D0" w:rsidRPr="00B04A8F" w:rsidRDefault="00E370D0" w:rsidP="00E370D0">
            <w:pPr>
              <w:pStyle w:val="BodyText"/>
              <w:rPr>
                <w:sz w:val="22"/>
                <w:szCs w:val="22"/>
              </w:rPr>
            </w:pPr>
            <w:r w:rsidRPr="00B04A8F">
              <w:rPr>
                <w:sz w:val="22"/>
                <w:szCs w:val="22"/>
              </w:rPr>
              <w:t>2.</w:t>
            </w:r>
          </w:p>
        </w:tc>
        <w:tc>
          <w:tcPr>
            <w:tcW w:w="2451" w:type="pct"/>
          </w:tcPr>
          <w:p w14:paraId="75A5F261" w14:textId="77777777" w:rsidR="00E370D0" w:rsidRPr="00B04A8F" w:rsidRDefault="00E370D0" w:rsidP="00E370D0">
            <w:pPr>
              <w:pStyle w:val="BodyText"/>
              <w:rPr>
                <w:sz w:val="22"/>
                <w:szCs w:val="22"/>
              </w:rPr>
            </w:pPr>
            <w:r w:rsidRPr="00B04A8F">
              <w:rPr>
                <w:sz w:val="22"/>
                <w:szCs w:val="22"/>
              </w:rPr>
              <w:t>To reflect averaging adjustment</w:t>
            </w:r>
            <w:r>
              <w:rPr>
                <w:sz w:val="22"/>
                <w:szCs w:val="22"/>
              </w:rPr>
              <w:t>s</w:t>
            </w:r>
            <w:r w:rsidRPr="00B04A8F">
              <w:rPr>
                <w:sz w:val="22"/>
                <w:szCs w:val="22"/>
              </w:rPr>
              <w:t>.</w:t>
            </w:r>
          </w:p>
        </w:tc>
        <w:tc>
          <w:tcPr>
            <w:tcW w:w="1137" w:type="pct"/>
            <w:gridSpan w:val="2"/>
          </w:tcPr>
          <w:p w14:paraId="7A506161" w14:textId="77777777" w:rsidR="00E370D0" w:rsidRPr="00AC1BC1" w:rsidRDefault="00E370D0" w:rsidP="00E370D0">
            <w:pPr>
              <w:pStyle w:val="BodyText"/>
              <w:jc w:val="right"/>
              <w:rPr>
                <w:sz w:val="22"/>
                <w:szCs w:val="22"/>
              </w:rPr>
            </w:pPr>
            <w:r>
              <w:rPr>
                <w:sz w:val="22"/>
                <w:szCs w:val="22"/>
              </w:rPr>
              <w:t>(9,386)</w:t>
            </w:r>
          </w:p>
        </w:tc>
        <w:tc>
          <w:tcPr>
            <w:tcW w:w="1061" w:type="pct"/>
          </w:tcPr>
          <w:p w14:paraId="78B4C709" w14:textId="77777777" w:rsidR="00E370D0" w:rsidRPr="00AC1BC1" w:rsidRDefault="00E370D0" w:rsidP="00E370D0">
            <w:pPr>
              <w:pStyle w:val="BodyText"/>
              <w:jc w:val="right"/>
              <w:rPr>
                <w:sz w:val="22"/>
                <w:szCs w:val="22"/>
              </w:rPr>
            </w:pPr>
            <w:r w:rsidRPr="00AC1BC1">
              <w:rPr>
                <w:sz w:val="22"/>
                <w:szCs w:val="22"/>
              </w:rPr>
              <w:t>0</w:t>
            </w:r>
          </w:p>
        </w:tc>
        <w:tc>
          <w:tcPr>
            <w:tcW w:w="133" w:type="pct"/>
          </w:tcPr>
          <w:p w14:paraId="4A44ADC3" w14:textId="77777777" w:rsidR="00E370D0" w:rsidRPr="00B04A8F" w:rsidRDefault="00E370D0" w:rsidP="00E370D0">
            <w:pPr>
              <w:pStyle w:val="BodyText"/>
              <w:rPr>
                <w:sz w:val="22"/>
                <w:szCs w:val="22"/>
              </w:rPr>
            </w:pPr>
          </w:p>
        </w:tc>
      </w:tr>
      <w:tr w:rsidR="00E370D0" w:rsidRPr="00B04A8F" w14:paraId="147F84F4" w14:textId="77777777" w:rsidTr="00E370D0">
        <w:trPr>
          <w:trHeight w:hRule="exact" w:val="289"/>
        </w:trPr>
        <w:tc>
          <w:tcPr>
            <w:tcW w:w="218" w:type="pct"/>
          </w:tcPr>
          <w:p w14:paraId="508C2F31" w14:textId="77777777" w:rsidR="00E370D0" w:rsidRPr="00B04A8F" w:rsidRDefault="00E370D0" w:rsidP="00E370D0">
            <w:pPr>
              <w:pStyle w:val="BodyText"/>
              <w:rPr>
                <w:sz w:val="22"/>
                <w:szCs w:val="22"/>
              </w:rPr>
            </w:pPr>
            <w:r>
              <w:rPr>
                <w:sz w:val="22"/>
                <w:szCs w:val="22"/>
              </w:rPr>
              <w:t>3.</w:t>
            </w:r>
          </w:p>
        </w:tc>
        <w:tc>
          <w:tcPr>
            <w:tcW w:w="2451" w:type="pct"/>
          </w:tcPr>
          <w:p w14:paraId="2CFB3D00" w14:textId="77777777" w:rsidR="00E370D0" w:rsidRPr="00B04A8F" w:rsidRDefault="00E370D0" w:rsidP="00E370D0">
            <w:pPr>
              <w:pStyle w:val="BodyText"/>
              <w:rPr>
                <w:sz w:val="22"/>
                <w:szCs w:val="22"/>
              </w:rPr>
            </w:pPr>
            <w:r>
              <w:rPr>
                <w:sz w:val="22"/>
                <w:szCs w:val="22"/>
              </w:rPr>
              <w:t>To reflect pro forma additions.</w:t>
            </w:r>
          </w:p>
        </w:tc>
        <w:tc>
          <w:tcPr>
            <w:tcW w:w="1137" w:type="pct"/>
            <w:gridSpan w:val="2"/>
          </w:tcPr>
          <w:p w14:paraId="3D5FE671" w14:textId="77777777" w:rsidR="00E370D0" w:rsidRPr="00EC727E" w:rsidRDefault="00E370D0" w:rsidP="00E370D0">
            <w:pPr>
              <w:pStyle w:val="BodyText"/>
              <w:jc w:val="right"/>
              <w:rPr>
                <w:sz w:val="22"/>
                <w:szCs w:val="22"/>
              </w:rPr>
            </w:pPr>
            <w:r>
              <w:rPr>
                <w:sz w:val="22"/>
                <w:szCs w:val="22"/>
              </w:rPr>
              <w:t>1,758,389</w:t>
            </w:r>
          </w:p>
        </w:tc>
        <w:tc>
          <w:tcPr>
            <w:tcW w:w="1061" w:type="pct"/>
          </w:tcPr>
          <w:p w14:paraId="231854CB" w14:textId="77777777" w:rsidR="00E370D0" w:rsidRPr="00EC727E" w:rsidRDefault="00E370D0" w:rsidP="00E370D0">
            <w:pPr>
              <w:pStyle w:val="BodyText"/>
              <w:jc w:val="right"/>
              <w:rPr>
                <w:sz w:val="22"/>
                <w:szCs w:val="22"/>
              </w:rPr>
            </w:pPr>
            <w:r>
              <w:rPr>
                <w:sz w:val="22"/>
                <w:szCs w:val="22"/>
              </w:rPr>
              <w:t>949,844</w:t>
            </w:r>
          </w:p>
        </w:tc>
        <w:tc>
          <w:tcPr>
            <w:tcW w:w="133" w:type="pct"/>
          </w:tcPr>
          <w:p w14:paraId="7779BE1E" w14:textId="77777777" w:rsidR="00E370D0" w:rsidRPr="00B04A8F" w:rsidRDefault="00E370D0" w:rsidP="00E370D0">
            <w:pPr>
              <w:pStyle w:val="BodyText"/>
              <w:rPr>
                <w:sz w:val="22"/>
                <w:szCs w:val="22"/>
              </w:rPr>
            </w:pPr>
          </w:p>
        </w:tc>
      </w:tr>
      <w:tr w:rsidR="00E370D0" w:rsidRPr="00B04A8F" w14:paraId="792AEA61" w14:textId="77777777" w:rsidTr="00E370D0">
        <w:trPr>
          <w:trHeight w:hRule="exact" w:val="289"/>
        </w:trPr>
        <w:tc>
          <w:tcPr>
            <w:tcW w:w="218" w:type="pct"/>
          </w:tcPr>
          <w:p w14:paraId="7B1C4873" w14:textId="77777777" w:rsidR="00E370D0" w:rsidRPr="00B04A8F" w:rsidRDefault="00E370D0" w:rsidP="00E370D0">
            <w:pPr>
              <w:pStyle w:val="BodyText"/>
              <w:rPr>
                <w:sz w:val="22"/>
                <w:szCs w:val="22"/>
              </w:rPr>
            </w:pPr>
            <w:r>
              <w:rPr>
                <w:sz w:val="22"/>
                <w:szCs w:val="22"/>
              </w:rPr>
              <w:t>4.</w:t>
            </w:r>
          </w:p>
        </w:tc>
        <w:tc>
          <w:tcPr>
            <w:tcW w:w="2451" w:type="pct"/>
          </w:tcPr>
          <w:p w14:paraId="07144C62" w14:textId="77777777" w:rsidR="00E370D0" w:rsidRPr="00B04A8F" w:rsidRDefault="00E370D0" w:rsidP="00E370D0">
            <w:pPr>
              <w:pStyle w:val="BodyText"/>
              <w:rPr>
                <w:sz w:val="22"/>
                <w:szCs w:val="22"/>
              </w:rPr>
            </w:pPr>
            <w:r>
              <w:rPr>
                <w:sz w:val="22"/>
                <w:szCs w:val="22"/>
              </w:rPr>
              <w:t>To reflect pro forma retirements.</w:t>
            </w:r>
          </w:p>
        </w:tc>
        <w:tc>
          <w:tcPr>
            <w:tcW w:w="1137" w:type="pct"/>
            <w:gridSpan w:val="2"/>
          </w:tcPr>
          <w:p w14:paraId="30C2EE98" w14:textId="77777777" w:rsidR="00E370D0" w:rsidRDefault="00E370D0" w:rsidP="00E370D0">
            <w:pPr>
              <w:pStyle w:val="BodyText"/>
              <w:jc w:val="right"/>
              <w:rPr>
                <w:sz w:val="22"/>
                <w:szCs w:val="22"/>
                <w:u w:val="single"/>
              </w:rPr>
            </w:pPr>
            <w:r>
              <w:rPr>
                <w:sz w:val="22"/>
                <w:szCs w:val="22"/>
                <w:u w:val="single"/>
              </w:rPr>
              <w:t>(543,861)</w:t>
            </w:r>
          </w:p>
        </w:tc>
        <w:tc>
          <w:tcPr>
            <w:tcW w:w="1061" w:type="pct"/>
          </w:tcPr>
          <w:p w14:paraId="41481064" w14:textId="77777777" w:rsidR="00E370D0" w:rsidRDefault="00E370D0" w:rsidP="00E370D0">
            <w:pPr>
              <w:pStyle w:val="BodyText"/>
              <w:jc w:val="right"/>
              <w:rPr>
                <w:sz w:val="22"/>
                <w:szCs w:val="22"/>
                <w:u w:val="single"/>
              </w:rPr>
            </w:pPr>
            <w:r>
              <w:rPr>
                <w:sz w:val="22"/>
                <w:szCs w:val="22"/>
                <w:u w:val="single"/>
              </w:rPr>
              <w:t>(131,852)</w:t>
            </w:r>
          </w:p>
        </w:tc>
        <w:tc>
          <w:tcPr>
            <w:tcW w:w="133" w:type="pct"/>
          </w:tcPr>
          <w:p w14:paraId="04A997A3" w14:textId="77777777" w:rsidR="00E370D0" w:rsidRPr="00B04A8F" w:rsidRDefault="00E370D0" w:rsidP="00E370D0">
            <w:pPr>
              <w:pStyle w:val="BodyText"/>
              <w:rPr>
                <w:sz w:val="22"/>
                <w:szCs w:val="22"/>
              </w:rPr>
            </w:pPr>
          </w:p>
        </w:tc>
      </w:tr>
      <w:tr w:rsidR="00E370D0" w:rsidRPr="00B04A8F" w14:paraId="24F49A51" w14:textId="77777777" w:rsidTr="00E370D0">
        <w:trPr>
          <w:trHeight w:hRule="exact" w:val="289"/>
        </w:trPr>
        <w:tc>
          <w:tcPr>
            <w:tcW w:w="218" w:type="pct"/>
          </w:tcPr>
          <w:p w14:paraId="7E6E84D8" w14:textId="77777777" w:rsidR="00E370D0" w:rsidRPr="00B04A8F" w:rsidRDefault="00E370D0" w:rsidP="00E370D0">
            <w:pPr>
              <w:pStyle w:val="BodyText"/>
              <w:rPr>
                <w:sz w:val="22"/>
                <w:szCs w:val="22"/>
              </w:rPr>
            </w:pPr>
          </w:p>
        </w:tc>
        <w:tc>
          <w:tcPr>
            <w:tcW w:w="2451" w:type="pct"/>
          </w:tcPr>
          <w:p w14:paraId="70EB4B2D" w14:textId="77777777" w:rsidR="00E370D0" w:rsidRPr="00B04A8F" w:rsidRDefault="00E370D0" w:rsidP="00E370D0">
            <w:pPr>
              <w:pStyle w:val="BodyText"/>
              <w:rPr>
                <w:sz w:val="22"/>
                <w:szCs w:val="22"/>
              </w:rPr>
            </w:pPr>
            <w:r>
              <w:rPr>
                <w:sz w:val="22"/>
                <w:szCs w:val="22"/>
              </w:rPr>
              <w:t xml:space="preserve"> </w:t>
            </w:r>
            <w:r w:rsidRPr="00B04A8F">
              <w:rPr>
                <w:sz w:val="22"/>
                <w:szCs w:val="22"/>
              </w:rPr>
              <w:t>Total</w:t>
            </w:r>
          </w:p>
        </w:tc>
        <w:tc>
          <w:tcPr>
            <w:tcW w:w="1137" w:type="pct"/>
            <w:gridSpan w:val="2"/>
          </w:tcPr>
          <w:p w14:paraId="0DAFEF2B" w14:textId="77777777" w:rsidR="00E370D0" w:rsidRPr="00B04A8F" w:rsidRDefault="00E370D0" w:rsidP="00E370D0">
            <w:pPr>
              <w:pStyle w:val="BodyText"/>
              <w:jc w:val="right"/>
              <w:rPr>
                <w:sz w:val="22"/>
                <w:szCs w:val="22"/>
                <w:u w:val="double"/>
              </w:rPr>
            </w:pPr>
            <w:r w:rsidRPr="00B04A8F">
              <w:rPr>
                <w:sz w:val="22"/>
                <w:szCs w:val="22"/>
                <w:u w:val="double"/>
              </w:rPr>
              <w:t>$</w:t>
            </w:r>
            <w:r>
              <w:rPr>
                <w:sz w:val="22"/>
                <w:szCs w:val="22"/>
                <w:u w:val="double"/>
              </w:rPr>
              <w:t>1,120,084</w:t>
            </w:r>
          </w:p>
        </w:tc>
        <w:tc>
          <w:tcPr>
            <w:tcW w:w="1061" w:type="pct"/>
          </w:tcPr>
          <w:p w14:paraId="3176F4CD" w14:textId="77777777" w:rsidR="00E370D0" w:rsidRPr="00B04A8F" w:rsidRDefault="00E370D0" w:rsidP="00E370D0">
            <w:pPr>
              <w:pStyle w:val="BodyText"/>
              <w:jc w:val="right"/>
              <w:rPr>
                <w:sz w:val="22"/>
                <w:szCs w:val="22"/>
                <w:u w:val="double"/>
              </w:rPr>
            </w:pPr>
            <w:r w:rsidRPr="00B04A8F">
              <w:rPr>
                <w:sz w:val="22"/>
                <w:szCs w:val="22"/>
                <w:u w:val="double"/>
              </w:rPr>
              <w:t>$</w:t>
            </w:r>
            <w:r>
              <w:rPr>
                <w:sz w:val="22"/>
                <w:szCs w:val="22"/>
                <w:u w:val="double"/>
              </w:rPr>
              <w:t>630,877</w:t>
            </w:r>
          </w:p>
        </w:tc>
        <w:tc>
          <w:tcPr>
            <w:tcW w:w="133" w:type="pct"/>
          </w:tcPr>
          <w:p w14:paraId="3B9A2E72" w14:textId="77777777" w:rsidR="00E370D0" w:rsidRPr="00B04A8F" w:rsidRDefault="00E370D0" w:rsidP="00E370D0">
            <w:pPr>
              <w:pStyle w:val="BodyText"/>
              <w:rPr>
                <w:sz w:val="22"/>
                <w:szCs w:val="22"/>
              </w:rPr>
            </w:pPr>
          </w:p>
        </w:tc>
      </w:tr>
      <w:tr w:rsidR="00E370D0" w:rsidRPr="00B04A8F" w14:paraId="02EB650C" w14:textId="77777777" w:rsidTr="00E370D0">
        <w:trPr>
          <w:trHeight w:hRule="exact" w:val="289"/>
        </w:trPr>
        <w:tc>
          <w:tcPr>
            <w:tcW w:w="218" w:type="pct"/>
          </w:tcPr>
          <w:p w14:paraId="56D0D32A" w14:textId="77777777" w:rsidR="00E370D0" w:rsidRPr="00B04A8F" w:rsidRDefault="00E370D0" w:rsidP="00E370D0">
            <w:pPr>
              <w:pStyle w:val="BodyText"/>
              <w:rPr>
                <w:sz w:val="22"/>
                <w:szCs w:val="22"/>
              </w:rPr>
            </w:pPr>
          </w:p>
        </w:tc>
        <w:tc>
          <w:tcPr>
            <w:tcW w:w="2451" w:type="pct"/>
          </w:tcPr>
          <w:p w14:paraId="2441E5E0" w14:textId="77777777" w:rsidR="00E370D0" w:rsidRPr="00B04A8F" w:rsidRDefault="00E370D0" w:rsidP="00E370D0">
            <w:pPr>
              <w:pStyle w:val="BodyText"/>
              <w:rPr>
                <w:sz w:val="22"/>
                <w:szCs w:val="22"/>
              </w:rPr>
            </w:pPr>
          </w:p>
        </w:tc>
        <w:tc>
          <w:tcPr>
            <w:tcW w:w="1137" w:type="pct"/>
            <w:gridSpan w:val="2"/>
          </w:tcPr>
          <w:p w14:paraId="0F1C8045" w14:textId="77777777" w:rsidR="00E370D0" w:rsidRDefault="00E370D0" w:rsidP="00E370D0">
            <w:pPr>
              <w:pStyle w:val="BodyText"/>
              <w:jc w:val="right"/>
              <w:rPr>
                <w:sz w:val="22"/>
                <w:szCs w:val="22"/>
              </w:rPr>
            </w:pPr>
          </w:p>
        </w:tc>
        <w:tc>
          <w:tcPr>
            <w:tcW w:w="1061" w:type="pct"/>
          </w:tcPr>
          <w:p w14:paraId="53718BE4" w14:textId="77777777" w:rsidR="00E370D0" w:rsidRDefault="00E370D0" w:rsidP="00E370D0">
            <w:pPr>
              <w:pStyle w:val="BodyText"/>
              <w:jc w:val="right"/>
              <w:rPr>
                <w:sz w:val="22"/>
                <w:szCs w:val="22"/>
              </w:rPr>
            </w:pPr>
          </w:p>
        </w:tc>
        <w:tc>
          <w:tcPr>
            <w:tcW w:w="133" w:type="pct"/>
          </w:tcPr>
          <w:p w14:paraId="461085D7" w14:textId="77777777" w:rsidR="00E370D0" w:rsidRPr="00B04A8F" w:rsidRDefault="00E370D0" w:rsidP="00E370D0">
            <w:pPr>
              <w:pStyle w:val="BodyText"/>
              <w:rPr>
                <w:sz w:val="22"/>
                <w:szCs w:val="22"/>
              </w:rPr>
            </w:pPr>
          </w:p>
        </w:tc>
      </w:tr>
      <w:tr w:rsidR="00E370D0" w:rsidRPr="00B04A8F" w14:paraId="5FB78487" w14:textId="77777777" w:rsidTr="00E370D0">
        <w:trPr>
          <w:trHeight w:hRule="exact" w:val="289"/>
        </w:trPr>
        <w:tc>
          <w:tcPr>
            <w:tcW w:w="218" w:type="pct"/>
          </w:tcPr>
          <w:p w14:paraId="1B902BF8" w14:textId="77777777" w:rsidR="00E370D0" w:rsidRPr="00B04A8F" w:rsidRDefault="00E370D0" w:rsidP="00E370D0">
            <w:pPr>
              <w:pStyle w:val="BodyText"/>
              <w:rPr>
                <w:sz w:val="22"/>
                <w:szCs w:val="22"/>
              </w:rPr>
            </w:pPr>
          </w:p>
        </w:tc>
        <w:tc>
          <w:tcPr>
            <w:tcW w:w="2451" w:type="pct"/>
          </w:tcPr>
          <w:p w14:paraId="04F37BD4" w14:textId="77777777" w:rsidR="00E370D0" w:rsidRPr="00B04A8F" w:rsidRDefault="00E370D0" w:rsidP="00E370D0">
            <w:pPr>
              <w:pStyle w:val="BodyText"/>
              <w:rPr>
                <w:b/>
                <w:sz w:val="22"/>
                <w:szCs w:val="22"/>
                <w:u w:val="single"/>
              </w:rPr>
            </w:pPr>
            <w:r w:rsidRPr="00B04A8F">
              <w:rPr>
                <w:b/>
                <w:sz w:val="22"/>
                <w:szCs w:val="22"/>
                <w:u w:val="single"/>
              </w:rPr>
              <w:t>LAND AND LAND RIGHTS</w:t>
            </w:r>
          </w:p>
        </w:tc>
        <w:tc>
          <w:tcPr>
            <w:tcW w:w="1137" w:type="pct"/>
            <w:gridSpan w:val="2"/>
          </w:tcPr>
          <w:p w14:paraId="0BE21703" w14:textId="77777777" w:rsidR="00E370D0" w:rsidRDefault="00E370D0" w:rsidP="00E370D0">
            <w:pPr>
              <w:pStyle w:val="BodyText"/>
              <w:jc w:val="right"/>
              <w:rPr>
                <w:sz w:val="22"/>
                <w:szCs w:val="22"/>
              </w:rPr>
            </w:pPr>
          </w:p>
        </w:tc>
        <w:tc>
          <w:tcPr>
            <w:tcW w:w="1061" w:type="pct"/>
          </w:tcPr>
          <w:p w14:paraId="7B997AE5" w14:textId="77777777" w:rsidR="00E370D0" w:rsidRDefault="00E370D0" w:rsidP="00E370D0">
            <w:pPr>
              <w:pStyle w:val="BodyText"/>
              <w:jc w:val="right"/>
              <w:rPr>
                <w:sz w:val="22"/>
                <w:szCs w:val="22"/>
              </w:rPr>
            </w:pPr>
          </w:p>
        </w:tc>
        <w:tc>
          <w:tcPr>
            <w:tcW w:w="133" w:type="pct"/>
          </w:tcPr>
          <w:p w14:paraId="4A0C94DB" w14:textId="77777777" w:rsidR="00E370D0" w:rsidRPr="00B04A8F" w:rsidRDefault="00E370D0" w:rsidP="00E370D0">
            <w:pPr>
              <w:pStyle w:val="BodyText"/>
              <w:rPr>
                <w:sz w:val="22"/>
                <w:szCs w:val="22"/>
              </w:rPr>
            </w:pPr>
          </w:p>
        </w:tc>
      </w:tr>
      <w:tr w:rsidR="00E370D0" w:rsidRPr="00B04A8F" w14:paraId="28A6488C" w14:textId="77777777" w:rsidTr="00E370D0">
        <w:trPr>
          <w:trHeight w:hRule="exact" w:val="289"/>
        </w:trPr>
        <w:tc>
          <w:tcPr>
            <w:tcW w:w="218" w:type="pct"/>
          </w:tcPr>
          <w:p w14:paraId="1E640942" w14:textId="77777777" w:rsidR="00E370D0" w:rsidRPr="00B04A8F" w:rsidRDefault="00E370D0" w:rsidP="00E370D0">
            <w:pPr>
              <w:pStyle w:val="BodyText"/>
              <w:rPr>
                <w:sz w:val="22"/>
                <w:szCs w:val="22"/>
              </w:rPr>
            </w:pPr>
          </w:p>
        </w:tc>
        <w:tc>
          <w:tcPr>
            <w:tcW w:w="2451" w:type="pct"/>
          </w:tcPr>
          <w:p w14:paraId="7EC3F720" w14:textId="77777777" w:rsidR="00E370D0" w:rsidRDefault="00E370D0" w:rsidP="00E370D0">
            <w:pPr>
              <w:pStyle w:val="BodyText"/>
              <w:rPr>
                <w:sz w:val="22"/>
                <w:szCs w:val="22"/>
              </w:rPr>
            </w:pPr>
            <w:r>
              <w:rPr>
                <w:sz w:val="22"/>
                <w:szCs w:val="22"/>
              </w:rPr>
              <w:t>To reflect the appropriate land balance.</w:t>
            </w:r>
          </w:p>
        </w:tc>
        <w:tc>
          <w:tcPr>
            <w:tcW w:w="1137" w:type="pct"/>
            <w:gridSpan w:val="2"/>
          </w:tcPr>
          <w:p w14:paraId="3EEC71C6" w14:textId="77777777" w:rsidR="00E370D0" w:rsidRPr="00B04A8F" w:rsidRDefault="00E370D0" w:rsidP="00E370D0">
            <w:pPr>
              <w:pStyle w:val="BodyText"/>
              <w:jc w:val="right"/>
              <w:rPr>
                <w:sz w:val="22"/>
                <w:szCs w:val="22"/>
                <w:u w:val="double"/>
              </w:rPr>
            </w:pPr>
            <w:r>
              <w:rPr>
                <w:sz w:val="22"/>
                <w:szCs w:val="22"/>
                <w:u w:val="double"/>
              </w:rPr>
              <w:t>(</w:t>
            </w:r>
            <w:r w:rsidRPr="00B04A8F">
              <w:rPr>
                <w:sz w:val="22"/>
                <w:szCs w:val="22"/>
                <w:u w:val="double"/>
              </w:rPr>
              <w:t>$</w:t>
            </w:r>
            <w:r>
              <w:rPr>
                <w:sz w:val="22"/>
                <w:szCs w:val="22"/>
                <w:u w:val="double"/>
              </w:rPr>
              <w:t>4,000)</w:t>
            </w:r>
          </w:p>
        </w:tc>
        <w:tc>
          <w:tcPr>
            <w:tcW w:w="1061" w:type="pct"/>
          </w:tcPr>
          <w:p w14:paraId="0FD5892E" w14:textId="77777777" w:rsidR="00E370D0" w:rsidRPr="00B04A8F" w:rsidRDefault="00E370D0" w:rsidP="00E370D0">
            <w:pPr>
              <w:pStyle w:val="BodyText"/>
              <w:jc w:val="right"/>
              <w:rPr>
                <w:sz w:val="22"/>
                <w:szCs w:val="22"/>
                <w:u w:val="double"/>
              </w:rPr>
            </w:pPr>
            <w:r w:rsidRPr="00B04A8F">
              <w:rPr>
                <w:sz w:val="22"/>
                <w:szCs w:val="22"/>
                <w:u w:val="double"/>
              </w:rPr>
              <w:t>$0</w:t>
            </w:r>
          </w:p>
        </w:tc>
        <w:tc>
          <w:tcPr>
            <w:tcW w:w="133" w:type="pct"/>
          </w:tcPr>
          <w:p w14:paraId="0DFC71CC" w14:textId="77777777" w:rsidR="00E370D0" w:rsidRPr="00B04A8F" w:rsidRDefault="00E370D0" w:rsidP="00E370D0">
            <w:pPr>
              <w:pStyle w:val="BodyText"/>
              <w:rPr>
                <w:sz w:val="22"/>
                <w:szCs w:val="22"/>
              </w:rPr>
            </w:pPr>
          </w:p>
        </w:tc>
      </w:tr>
      <w:tr w:rsidR="00E370D0" w:rsidRPr="00B04A8F" w14:paraId="4A3F4424" w14:textId="77777777" w:rsidTr="00E370D0">
        <w:trPr>
          <w:trHeight w:hRule="exact" w:val="289"/>
        </w:trPr>
        <w:tc>
          <w:tcPr>
            <w:tcW w:w="218" w:type="pct"/>
          </w:tcPr>
          <w:p w14:paraId="0E39E77F" w14:textId="77777777" w:rsidR="00E370D0" w:rsidRPr="00B04A8F" w:rsidRDefault="00E370D0" w:rsidP="00E370D0">
            <w:pPr>
              <w:pStyle w:val="BodyText"/>
              <w:rPr>
                <w:sz w:val="22"/>
                <w:szCs w:val="22"/>
              </w:rPr>
            </w:pPr>
          </w:p>
        </w:tc>
        <w:tc>
          <w:tcPr>
            <w:tcW w:w="2451" w:type="pct"/>
          </w:tcPr>
          <w:p w14:paraId="5E72B54C" w14:textId="77777777" w:rsidR="00E370D0" w:rsidRDefault="00E370D0" w:rsidP="00E370D0">
            <w:pPr>
              <w:pStyle w:val="BodyText"/>
              <w:rPr>
                <w:sz w:val="22"/>
                <w:szCs w:val="22"/>
              </w:rPr>
            </w:pPr>
          </w:p>
        </w:tc>
        <w:tc>
          <w:tcPr>
            <w:tcW w:w="1137" w:type="pct"/>
            <w:gridSpan w:val="2"/>
          </w:tcPr>
          <w:p w14:paraId="71A20D5B" w14:textId="77777777" w:rsidR="00E370D0" w:rsidRDefault="00E370D0" w:rsidP="00E370D0">
            <w:pPr>
              <w:pStyle w:val="BodyText"/>
              <w:jc w:val="right"/>
              <w:rPr>
                <w:sz w:val="22"/>
                <w:szCs w:val="22"/>
              </w:rPr>
            </w:pPr>
          </w:p>
        </w:tc>
        <w:tc>
          <w:tcPr>
            <w:tcW w:w="1061" w:type="pct"/>
          </w:tcPr>
          <w:p w14:paraId="70E759B6" w14:textId="77777777" w:rsidR="00E370D0" w:rsidRDefault="00E370D0" w:rsidP="00E370D0">
            <w:pPr>
              <w:pStyle w:val="BodyText"/>
              <w:jc w:val="right"/>
              <w:rPr>
                <w:sz w:val="22"/>
                <w:szCs w:val="22"/>
              </w:rPr>
            </w:pPr>
          </w:p>
        </w:tc>
        <w:tc>
          <w:tcPr>
            <w:tcW w:w="133" w:type="pct"/>
          </w:tcPr>
          <w:p w14:paraId="76698C7B" w14:textId="77777777" w:rsidR="00E370D0" w:rsidRPr="00B04A8F" w:rsidRDefault="00E370D0" w:rsidP="00E370D0">
            <w:pPr>
              <w:pStyle w:val="BodyText"/>
              <w:rPr>
                <w:sz w:val="22"/>
                <w:szCs w:val="22"/>
              </w:rPr>
            </w:pPr>
          </w:p>
        </w:tc>
      </w:tr>
      <w:tr w:rsidR="00E370D0" w:rsidRPr="00B04A8F" w14:paraId="27E37D7F" w14:textId="77777777" w:rsidTr="00E370D0">
        <w:trPr>
          <w:trHeight w:hRule="exact" w:val="289"/>
        </w:trPr>
        <w:tc>
          <w:tcPr>
            <w:tcW w:w="218" w:type="pct"/>
          </w:tcPr>
          <w:p w14:paraId="782603D9" w14:textId="77777777" w:rsidR="00E370D0" w:rsidRPr="00B04A8F" w:rsidRDefault="00E370D0" w:rsidP="00E370D0">
            <w:pPr>
              <w:pStyle w:val="BodyText"/>
              <w:rPr>
                <w:sz w:val="22"/>
                <w:szCs w:val="22"/>
              </w:rPr>
            </w:pPr>
          </w:p>
        </w:tc>
        <w:tc>
          <w:tcPr>
            <w:tcW w:w="2451" w:type="pct"/>
          </w:tcPr>
          <w:p w14:paraId="656E95D0" w14:textId="77777777" w:rsidR="00E370D0" w:rsidRPr="00B04A8F" w:rsidRDefault="00E370D0" w:rsidP="00E370D0">
            <w:pPr>
              <w:pStyle w:val="BodyText"/>
              <w:rPr>
                <w:b/>
                <w:sz w:val="22"/>
                <w:szCs w:val="22"/>
                <w:u w:val="single"/>
              </w:rPr>
            </w:pPr>
            <w:r w:rsidRPr="00B04A8F">
              <w:rPr>
                <w:b/>
                <w:sz w:val="22"/>
                <w:szCs w:val="22"/>
                <w:u w:val="single"/>
              </w:rPr>
              <w:t>ACCUMULATED DEPRECIATION</w:t>
            </w:r>
          </w:p>
        </w:tc>
        <w:tc>
          <w:tcPr>
            <w:tcW w:w="1137" w:type="pct"/>
            <w:gridSpan w:val="2"/>
          </w:tcPr>
          <w:p w14:paraId="5E7641AD" w14:textId="77777777" w:rsidR="00E370D0" w:rsidRDefault="00E370D0" w:rsidP="00E370D0">
            <w:pPr>
              <w:pStyle w:val="BodyText"/>
              <w:jc w:val="right"/>
              <w:rPr>
                <w:sz w:val="22"/>
                <w:szCs w:val="22"/>
              </w:rPr>
            </w:pPr>
          </w:p>
        </w:tc>
        <w:tc>
          <w:tcPr>
            <w:tcW w:w="1061" w:type="pct"/>
          </w:tcPr>
          <w:p w14:paraId="79C26003" w14:textId="77777777" w:rsidR="00E370D0" w:rsidRDefault="00E370D0" w:rsidP="00E370D0">
            <w:pPr>
              <w:pStyle w:val="BodyText"/>
              <w:jc w:val="right"/>
              <w:rPr>
                <w:sz w:val="22"/>
                <w:szCs w:val="22"/>
              </w:rPr>
            </w:pPr>
          </w:p>
        </w:tc>
        <w:tc>
          <w:tcPr>
            <w:tcW w:w="133" w:type="pct"/>
          </w:tcPr>
          <w:p w14:paraId="30EA4EF3" w14:textId="77777777" w:rsidR="00E370D0" w:rsidRPr="00B04A8F" w:rsidRDefault="00E370D0" w:rsidP="00E370D0">
            <w:pPr>
              <w:pStyle w:val="BodyText"/>
              <w:rPr>
                <w:sz w:val="22"/>
                <w:szCs w:val="22"/>
              </w:rPr>
            </w:pPr>
          </w:p>
        </w:tc>
      </w:tr>
      <w:tr w:rsidR="00E370D0" w:rsidRPr="00B04A8F" w14:paraId="4EE79A0C" w14:textId="77777777" w:rsidTr="00E370D0">
        <w:trPr>
          <w:trHeight w:hRule="exact" w:val="289"/>
        </w:trPr>
        <w:tc>
          <w:tcPr>
            <w:tcW w:w="218" w:type="pct"/>
          </w:tcPr>
          <w:p w14:paraId="5D5233F9" w14:textId="77777777" w:rsidR="00E370D0" w:rsidRPr="00B04A8F" w:rsidRDefault="00E370D0" w:rsidP="00E370D0">
            <w:pPr>
              <w:pStyle w:val="BodyText"/>
              <w:rPr>
                <w:sz w:val="22"/>
                <w:szCs w:val="22"/>
              </w:rPr>
            </w:pPr>
            <w:r>
              <w:rPr>
                <w:sz w:val="22"/>
                <w:szCs w:val="22"/>
              </w:rPr>
              <w:t>1.</w:t>
            </w:r>
          </w:p>
        </w:tc>
        <w:tc>
          <w:tcPr>
            <w:tcW w:w="2451" w:type="pct"/>
          </w:tcPr>
          <w:p w14:paraId="35A0B232" w14:textId="77777777" w:rsidR="00E370D0" w:rsidRDefault="00E370D0" w:rsidP="00E370D0">
            <w:pPr>
              <w:pStyle w:val="BodyText"/>
              <w:rPr>
                <w:sz w:val="22"/>
                <w:szCs w:val="22"/>
              </w:rPr>
            </w:pPr>
            <w:r>
              <w:rPr>
                <w:sz w:val="22"/>
                <w:szCs w:val="22"/>
              </w:rPr>
              <w:t>To reflect auditing adjustments.</w:t>
            </w:r>
          </w:p>
        </w:tc>
        <w:tc>
          <w:tcPr>
            <w:tcW w:w="1137" w:type="pct"/>
            <w:gridSpan w:val="2"/>
          </w:tcPr>
          <w:p w14:paraId="70E100BA" w14:textId="77777777" w:rsidR="00E370D0" w:rsidRDefault="00E370D0" w:rsidP="00E370D0">
            <w:pPr>
              <w:pStyle w:val="BodyText"/>
              <w:jc w:val="right"/>
              <w:rPr>
                <w:sz w:val="22"/>
                <w:szCs w:val="22"/>
              </w:rPr>
            </w:pPr>
            <w:r>
              <w:rPr>
                <w:sz w:val="22"/>
                <w:szCs w:val="22"/>
              </w:rPr>
              <w:t>$127,254</w:t>
            </w:r>
          </w:p>
        </w:tc>
        <w:tc>
          <w:tcPr>
            <w:tcW w:w="1061" w:type="pct"/>
          </w:tcPr>
          <w:p w14:paraId="02E5D43D" w14:textId="77777777" w:rsidR="00E370D0" w:rsidRDefault="00E370D0" w:rsidP="00E370D0">
            <w:pPr>
              <w:pStyle w:val="BodyText"/>
              <w:jc w:val="right"/>
              <w:rPr>
                <w:sz w:val="22"/>
                <w:szCs w:val="22"/>
              </w:rPr>
            </w:pPr>
            <w:r>
              <w:rPr>
                <w:sz w:val="22"/>
                <w:szCs w:val="22"/>
              </w:rPr>
              <w:t>$382,576</w:t>
            </w:r>
          </w:p>
        </w:tc>
        <w:tc>
          <w:tcPr>
            <w:tcW w:w="133" w:type="pct"/>
          </w:tcPr>
          <w:p w14:paraId="460BD498" w14:textId="77777777" w:rsidR="00E370D0" w:rsidRPr="00B04A8F" w:rsidRDefault="00E370D0" w:rsidP="00E370D0">
            <w:pPr>
              <w:pStyle w:val="BodyText"/>
              <w:rPr>
                <w:sz w:val="22"/>
                <w:szCs w:val="22"/>
              </w:rPr>
            </w:pPr>
          </w:p>
        </w:tc>
      </w:tr>
      <w:tr w:rsidR="00E370D0" w:rsidRPr="00B04A8F" w14:paraId="71141C3A" w14:textId="77777777" w:rsidTr="00E370D0">
        <w:trPr>
          <w:trHeight w:hRule="exact" w:val="289"/>
        </w:trPr>
        <w:tc>
          <w:tcPr>
            <w:tcW w:w="218" w:type="pct"/>
          </w:tcPr>
          <w:p w14:paraId="260D8C23" w14:textId="77777777" w:rsidR="00E370D0" w:rsidRDefault="00E370D0" w:rsidP="00E370D0">
            <w:pPr>
              <w:pStyle w:val="BodyText"/>
              <w:rPr>
                <w:sz w:val="22"/>
                <w:szCs w:val="22"/>
              </w:rPr>
            </w:pPr>
            <w:r>
              <w:rPr>
                <w:sz w:val="22"/>
                <w:szCs w:val="22"/>
              </w:rPr>
              <w:t>2.</w:t>
            </w:r>
          </w:p>
        </w:tc>
        <w:tc>
          <w:tcPr>
            <w:tcW w:w="2451" w:type="pct"/>
          </w:tcPr>
          <w:p w14:paraId="70C5E305" w14:textId="77777777" w:rsidR="00E370D0" w:rsidRDefault="00E370D0" w:rsidP="00E370D0">
            <w:pPr>
              <w:pStyle w:val="BodyText"/>
              <w:rPr>
                <w:sz w:val="22"/>
                <w:szCs w:val="22"/>
              </w:rPr>
            </w:pPr>
            <w:r>
              <w:rPr>
                <w:sz w:val="22"/>
                <w:szCs w:val="22"/>
              </w:rPr>
              <w:t>To reflect averaging adjustments.</w:t>
            </w:r>
          </w:p>
        </w:tc>
        <w:tc>
          <w:tcPr>
            <w:tcW w:w="1137" w:type="pct"/>
            <w:gridSpan w:val="2"/>
          </w:tcPr>
          <w:p w14:paraId="72A31B84" w14:textId="77777777" w:rsidR="00E370D0" w:rsidRPr="007A314A" w:rsidRDefault="00E370D0" w:rsidP="00E370D0">
            <w:pPr>
              <w:pStyle w:val="BodyText"/>
              <w:jc w:val="right"/>
              <w:rPr>
                <w:sz w:val="22"/>
                <w:szCs w:val="22"/>
              </w:rPr>
            </w:pPr>
            <w:r>
              <w:rPr>
                <w:sz w:val="22"/>
                <w:szCs w:val="22"/>
              </w:rPr>
              <w:t>30,217</w:t>
            </w:r>
          </w:p>
        </w:tc>
        <w:tc>
          <w:tcPr>
            <w:tcW w:w="1061" w:type="pct"/>
          </w:tcPr>
          <w:p w14:paraId="76639BF3" w14:textId="77777777" w:rsidR="00E370D0" w:rsidRPr="007A314A" w:rsidRDefault="00E370D0" w:rsidP="00E370D0">
            <w:pPr>
              <w:pStyle w:val="BodyText"/>
              <w:jc w:val="right"/>
              <w:rPr>
                <w:sz w:val="22"/>
                <w:szCs w:val="22"/>
              </w:rPr>
            </w:pPr>
            <w:r>
              <w:rPr>
                <w:sz w:val="22"/>
                <w:szCs w:val="22"/>
              </w:rPr>
              <w:t>95,769</w:t>
            </w:r>
          </w:p>
        </w:tc>
        <w:tc>
          <w:tcPr>
            <w:tcW w:w="133" w:type="pct"/>
          </w:tcPr>
          <w:p w14:paraId="6662A300" w14:textId="77777777" w:rsidR="00E370D0" w:rsidRPr="00B04A8F" w:rsidRDefault="00E370D0" w:rsidP="00E370D0">
            <w:pPr>
              <w:pStyle w:val="BodyText"/>
              <w:rPr>
                <w:sz w:val="22"/>
                <w:szCs w:val="22"/>
              </w:rPr>
            </w:pPr>
          </w:p>
        </w:tc>
      </w:tr>
      <w:tr w:rsidR="00E370D0" w:rsidRPr="00B04A8F" w14:paraId="39BE2375" w14:textId="77777777" w:rsidTr="00E370D0">
        <w:trPr>
          <w:trHeight w:hRule="exact" w:val="289"/>
        </w:trPr>
        <w:tc>
          <w:tcPr>
            <w:tcW w:w="218" w:type="pct"/>
          </w:tcPr>
          <w:p w14:paraId="2B8BC61F" w14:textId="77777777" w:rsidR="00E370D0" w:rsidRDefault="00E370D0" w:rsidP="00E370D0">
            <w:pPr>
              <w:pStyle w:val="BodyText"/>
              <w:rPr>
                <w:sz w:val="22"/>
                <w:szCs w:val="22"/>
              </w:rPr>
            </w:pPr>
            <w:r>
              <w:rPr>
                <w:sz w:val="22"/>
                <w:szCs w:val="22"/>
              </w:rPr>
              <w:t>3.</w:t>
            </w:r>
          </w:p>
        </w:tc>
        <w:tc>
          <w:tcPr>
            <w:tcW w:w="2451" w:type="pct"/>
          </w:tcPr>
          <w:p w14:paraId="2C3C6037" w14:textId="77777777" w:rsidR="00E370D0" w:rsidRDefault="00E370D0" w:rsidP="00E370D0">
            <w:pPr>
              <w:pStyle w:val="BodyText"/>
              <w:rPr>
                <w:sz w:val="22"/>
                <w:szCs w:val="22"/>
              </w:rPr>
            </w:pPr>
            <w:r>
              <w:rPr>
                <w:sz w:val="22"/>
                <w:szCs w:val="22"/>
              </w:rPr>
              <w:t>To reflect pro forma adjustments.</w:t>
            </w:r>
          </w:p>
        </w:tc>
        <w:tc>
          <w:tcPr>
            <w:tcW w:w="1137" w:type="pct"/>
            <w:gridSpan w:val="2"/>
          </w:tcPr>
          <w:p w14:paraId="2343E65D" w14:textId="77777777" w:rsidR="00E370D0" w:rsidRPr="00B04A8F" w:rsidRDefault="00E370D0" w:rsidP="00E370D0">
            <w:pPr>
              <w:pStyle w:val="BodyText"/>
              <w:jc w:val="right"/>
              <w:rPr>
                <w:sz w:val="22"/>
                <w:szCs w:val="22"/>
                <w:u w:val="single"/>
              </w:rPr>
            </w:pPr>
            <w:r>
              <w:rPr>
                <w:sz w:val="22"/>
                <w:szCs w:val="22"/>
                <w:u w:val="single"/>
              </w:rPr>
              <w:t>485,718</w:t>
            </w:r>
          </w:p>
        </w:tc>
        <w:tc>
          <w:tcPr>
            <w:tcW w:w="1061" w:type="pct"/>
          </w:tcPr>
          <w:p w14:paraId="7EE94317" w14:textId="77777777" w:rsidR="00E370D0" w:rsidRPr="00B04A8F" w:rsidRDefault="00E370D0" w:rsidP="00E370D0">
            <w:pPr>
              <w:pStyle w:val="BodyText"/>
              <w:jc w:val="right"/>
              <w:rPr>
                <w:sz w:val="22"/>
                <w:szCs w:val="22"/>
                <w:u w:val="single"/>
              </w:rPr>
            </w:pPr>
            <w:r>
              <w:rPr>
                <w:sz w:val="22"/>
                <w:szCs w:val="22"/>
                <w:u w:val="single"/>
              </w:rPr>
              <w:t>84,158</w:t>
            </w:r>
          </w:p>
        </w:tc>
        <w:tc>
          <w:tcPr>
            <w:tcW w:w="133" w:type="pct"/>
          </w:tcPr>
          <w:p w14:paraId="55BFCA3B" w14:textId="77777777" w:rsidR="00E370D0" w:rsidRPr="00B04A8F" w:rsidRDefault="00E370D0" w:rsidP="00E370D0">
            <w:pPr>
              <w:pStyle w:val="BodyText"/>
              <w:rPr>
                <w:sz w:val="22"/>
                <w:szCs w:val="22"/>
              </w:rPr>
            </w:pPr>
          </w:p>
        </w:tc>
      </w:tr>
      <w:tr w:rsidR="00E370D0" w:rsidRPr="00B04A8F" w14:paraId="371CAB90" w14:textId="77777777" w:rsidTr="00E370D0">
        <w:trPr>
          <w:trHeight w:hRule="exact" w:val="289"/>
        </w:trPr>
        <w:tc>
          <w:tcPr>
            <w:tcW w:w="218" w:type="pct"/>
          </w:tcPr>
          <w:p w14:paraId="4E631A2B" w14:textId="77777777" w:rsidR="00E370D0" w:rsidRDefault="00E370D0" w:rsidP="00E370D0">
            <w:pPr>
              <w:pStyle w:val="BodyText"/>
              <w:rPr>
                <w:sz w:val="22"/>
                <w:szCs w:val="22"/>
              </w:rPr>
            </w:pPr>
          </w:p>
        </w:tc>
        <w:tc>
          <w:tcPr>
            <w:tcW w:w="2451" w:type="pct"/>
          </w:tcPr>
          <w:p w14:paraId="4AEFB538" w14:textId="77777777" w:rsidR="00E370D0" w:rsidRDefault="00E370D0" w:rsidP="00E370D0">
            <w:pPr>
              <w:pStyle w:val="BodyText"/>
              <w:rPr>
                <w:sz w:val="22"/>
                <w:szCs w:val="22"/>
              </w:rPr>
            </w:pPr>
            <w:r>
              <w:rPr>
                <w:sz w:val="22"/>
                <w:szCs w:val="22"/>
              </w:rPr>
              <w:t xml:space="preserve"> Total</w:t>
            </w:r>
          </w:p>
          <w:p w14:paraId="6907F7C3" w14:textId="77777777" w:rsidR="00E370D0" w:rsidRDefault="00E370D0" w:rsidP="00E370D0">
            <w:pPr>
              <w:pStyle w:val="BodyText"/>
              <w:rPr>
                <w:sz w:val="22"/>
                <w:szCs w:val="22"/>
              </w:rPr>
            </w:pPr>
          </w:p>
          <w:p w14:paraId="71B8EC8C" w14:textId="77777777" w:rsidR="00E370D0" w:rsidRDefault="00E370D0" w:rsidP="00E370D0">
            <w:pPr>
              <w:pStyle w:val="BodyText"/>
              <w:rPr>
                <w:sz w:val="22"/>
                <w:szCs w:val="22"/>
              </w:rPr>
            </w:pPr>
          </w:p>
        </w:tc>
        <w:tc>
          <w:tcPr>
            <w:tcW w:w="1137" w:type="pct"/>
            <w:gridSpan w:val="2"/>
          </w:tcPr>
          <w:p w14:paraId="5E57A899" w14:textId="77777777" w:rsidR="00E370D0" w:rsidRPr="00B04A8F" w:rsidRDefault="00E370D0" w:rsidP="00E370D0">
            <w:pPr>
              <w:pStyle w:val="BodyText"/>
              <w:jc w:val="right"/>
              <w:rPr>
                <w:sz w:val="22"/>
                <w:szCs w:val="22"/>
                <w:u w:val="double"/>
              </w:rPr>
            </w:pPr>
            <w:r w:rsidRPr="00B04A8F">
              <w:rPr>
                <w:sz w:val="22"/>
                <w:szCs w:val="22"/>
                <w:u w:val="double"/>
              </w:rPr>
              <w:t>$</w:t>
            </w:r>
            <w:r>
              <w:rPr>
                <w:sz w:val="22"/>
                <w:szCs w:val="22"/>
                <w:u w:val="double"/>
              </w:rPr>
              <w:t>643,189</w:t>
            </w:r>
          </w:p>
        </w:tc>
        <w:tc>
          <w:tcPr>
            <w:tcW w:w="1061" w:type="pct"/>
          </w:tcPr>
          <w:p w14:paraId="63EBEB98" w14:textId="77777777" w:rsidR="00E370D0" w:rsidRPr="00B04A8F" w:rsidRDefault="00E370D0" w:rsidP="00E370D0">
            <w:pPr>
              <w:pStyle w:val="BodyText"/>
              <w:jc w:val="right"/>
              <w:rPr>
                <w:sz w:val="22"/>
                <w:szCs w:val="22"/>
                <w:u w:val="double"/>
              </w:rPr>
            </w:pPr>
            <w:r w:rsidRPr="00B04A8F">
              <w:rPr>
                <w:sz w:val="22"/>
                <w:szCs w:val="22"/>
                <w:u w:val="double"/>
              </w:rPr>
              <w:t>$</w:t>
            </w:r>
            <w:r>
              <w:rPr>
                <w:sz w:val="22"/>
                <w:szCs w:val="22"/>
                <w:u w:val="double"/>
              </w:rPr>
              <w:t>562,502</w:t>
            </w:r>
          </w:p>
        </w:tc>
        <w:tc>
          <w:tcPr>
            <w:tcW w:w="133" w:type="pct"/>
          </w:tcPr>
          <w:p w14:paraId="6CBA0347" w14:textId="77777777" w:rsidR="00E370D0" w:rsidRPr="00B04A8F" w:rsidRDefault="00E370D0" w:rsidP="00E370D0">
            <w:pPr>
              <w:pStyle w:val="BodyText"/>
              <w:rPr>
                <w:sz w:val="22"/>
                <w:szCs w:val="22"/>
              </w:rPr>
            </w:pPr>
          </w:p>
        </w:tc>
      </w:tr>
      <w:tr w:rsidR="00E370D0" w:rsidRPr="00B04A8F" w14:paraId="7DBF1E3C" w14:textId="77777777" w:rsidTr="00E370D0">
        <w:trPr>
          <w:trHeight w:hRule="exact" w:val="289"/>
        </w:trPr>
        <w:tc>
          <w:tcPr>
            <w:tcW w:w="218" w:type="pct"/>
          </w:tcPr>
          <w:p w14:paraId="61EE7506" w14:textId="77777777" w:rsidR="00E370D0" w:rsidRDefault="00E370D0" w:rsidP="00E370D0">
            <w:pPr>
              <w:pStyle w:val="BodyText"/>
              <w:rPr>
                <w:sz w:val="22"/>
                <w:szCs w:val="22"/>
              </w:rPr>
            </w:pPr>
          </w:p>
        </w:tc>
        <w:tc>
          <w:tcPr>
            <w:tcW w:w="2451" w:type="pct"/>
          </w:tcPr>
          <w:p w14:paraId="140C4C7C" w14:textId="77777777" w:rsidR="00E370D0" w:rsidRDefault="00E370D0" w:rsidP="00E370D0">
            <w:pPr>
              <w:pStyle w:val="BodyText"/>
              <w:rPr>
                <w:sz w:val="22"/>
                <w:szCs w:val="22"/>
              </w:rPr>
            </w:pPr>
          </w:p>
        </w:tc>
        <w:tc>
          <w:tcPr>
            <w:tcW w:w="1137" w:type="pct"/>
            <w:gridSpan w:val="2"/>
          </w:tcPr>
          <w:p w14:paraId="36DEFAB4" w14:textId="77777777" w:rsidR="00E370D0" w:rsidRPr="00B04A8F" w:rsidRDefault="00E370D0" w:rsidP="00E370D0">
            <w:pPr>
              <w:pStyle w:val="BodyText"/>
              <w:jc w:val="right"/>
              <w:rPr>
                <w:sz w:val="22"/>
                <w:szCs w:val="22"/>
                <w:u w:val="double"/>
              </w:rPr>
            </w:pPr>
          </w:p>
        </w:tc>
        <w:tc>
          <w:tcPr>
            <w:tcW w:w="1061" w:type="pct"/>
          </w:tcPr>
          <w:p w14:paraId="23449413" w14:textId="77777777" w:rsidR="00E370D0" w:rsidRPr="00B04A8F" w:rsidRDefault="00E370D0" w:rsidP="00E370D0">
            <w:pPr>
              <w:pStyle w:val="BodyText"/>
              <w:jc w:val="right"/>
              <w:rPr>
                <w:sz w:val="22"/>
                <w:szCs w:val="22"/>
                <w:u w:val="double"/>
              </w:rPr>
            </w:pPr>
          </w:p>
        </w:tc>
        <w:tc>
          <w:tcPr>
            <w:tcW w:w="133" w:type="pct"/>
          </w:tcPr>
          <w:p w14:paraId="18F157B9" w14:textId="77777777" w:rsidR="00E370D0" w:rsidRPr="00B04A8F" w:rsidRDefault="00E370D0" w:rsidP="00E370D0">
            <w:pPr>
              <w:pStyle w:val="BodyText"/>
              <w:rPr>
                <w:sz w:val="22"/>
                <w:szCs w:val="22"/>
              </w:rPr>
            </w:pPr>
          </w:p>
        </w:tc>
      </w:tr>
      <w:tr w:rsidR="00E370D0" w:rsidRPr="00B04A8F" w14:paraId="65591DE8" w14:textId="77777777" w:rsidTr="00E370D0">
        <w:trPr>
          <w:trHeight w:hRule="exact" w:val="289"/>
        </w:trPr>
        <w:tc>
          <w:tcPr>
            <w:tcW w:w="218" w:type="pct"/>
          </w:tcPr>
          <w:p w14:paraId="27F7CF52" w14:textId="77777777" w:rsidR="00E370D0" w:rsidRDefault="00E370D0" w:rsidP="00E370D0">
            <w:pPr>
              <w:pStyle w:val="BodyText"/>
              <w:rPr>
                <w:sz w:val="22"/>
                <w:szCs w:val="22"/>
              </w:rPr>
            </w:pPr>
          </w:p>
        </w:tc>
        <w:tc>
          <w:tcPr>
            <w:tcW w:w="2451" w:type="pct"/>
          </w:tcPr>
          <w:p w14:paraId="68D94970" w14:textId="77777777" w:rsidR="00E370D0" w:rsidRDefault="00E370D0" w:rsidP="00E370D0">
            <w:pPr>
              <w:pStyle w:val="BodyText"/>
              <w:rPr>
                <w:b/>
                <w:sz w:val="22"/>
                <w:szCs w:val="22"/>
                <w:u w:val="single"/>
              </w:rPr>
            </w:pPr>
            <w:r>
              <w:rPr>
                <w:b/>
                <w:sz w:val="22"/>
                <w:szCs w:val="22"/>
                <w:u w:val="single"/>
              </w:rPr>
              <w:t>ACCUMULATED AMORTIZATION OF CIAC</w:t>
            </w:r>
          </w:p>
          <w:p w14:paraId="72E346EB" w14:textId="77777777" w:rsidR="00E370D0" w:rsidRDefault="00E370D0" w:rsidP="00E370D0">
            <w:pPr>
              <w:pStyle w:val="BodyText"/>
              <w:rPr>
                <w:b/>
                <w:sz w:val="22"/>
                <w:szCs w:val="22"/>
                <w:u w:val="single"/>
              </w:rPr>
            </w:pPr>
          </w:p>
          <w:p w14:paraId="1424A188" w14:textId="77777777" w:rsidR="00E370D0" w:rsidRPr="007D38A3" w:rsidRDefault="00E370D0" w:rsidP="00E370D0">
            <w:pPr>
              <w:pStyle w:val="BodyText"/>
              <w:rPr>
                <w:b/>
                <w:sz w:val="22"/>
                <w:szCs w:val="22"/>
                <w:u w:val="single"/>
              </w:rPr>
            </w:pPr>
            <w:r>
              <w:rPr>
                <w:b/>
                <w:sz w:val="22"/>
                <w:szCs w:val="22"/>
                <w:u w:val="single"/>
              </w:rPr>
              <w:t>A</w:t>
            </w:r>
          </w:p>
          <w:p w14:paraId="5C559122" w14:textId="77777777" w:rsidR="00E370D0" w:rsidRDefault="00E370D0" w:rsidP="00E370D0">
            <w:pPr>
              <w:pStyle w:val="BodyText"/>
              <w:rPr>
                <w:sz w:val="22"/>
                <w:szCs w:val="22"/>
              </w:rPr>
            </w:pPr>
          </w:p>
          <w:p w14:paraId="59AD9E11" w14:textId="77777777" w:rsidR="00E370D0" w:rsidRDefault="00E370D0" w:rsidP="00E370D0">
            <w:pPr>
              <w:pStyle w:val="BodyText"/>
              <w:rPr>
                <w:sz w:val="22"/>
                <w:szCs w:val="22"/>
              </w:rPr>
            </w:pPr>
          </w:p>
        </w:tc>
        <w:tc>
          <w:tcPr>
            <w:tcW w:w="1137" w:type="pct"/>
            <w:gridSpan w:val="2"/>
          </w:tcPr>
          <w:p w14:paraId="7495CE69" w14:textId="77777777" w:rsidR="00E370D0" w:rsidRDefault="00E370D0" w:rsidP="00E370D0">
            <w:pPr>
              <w:pStyle w:val="BodyText"/>
              <w:jc w:val="right"/>
              <w:rPr>
                <w:sz w:val="22"/>
                <w:szCs w:val="22"/>
              </w:rPr>
            </w:pPr>
          </w:p>
        </w:tc>
        <w:tc>
          <w:tcPr>
            <w:tcW w:w="1061" w:type="pct"/>
          </w:tcPr>
          <w:p w14:paraId="321C82FD" w14:textId="77777777" w:rsidR="00E370D0" w:rsidRDefault="00E370D0" w:rsidP="00E370D0">
            <w:pPr>
              <w:pStyle w:val="BodyText"/>
              <w:jc w:val="right"/>
              <w:rPr>
                <w:sz w:val="22"/>
                <w:szCs w:val="22"/>
              </w:rPr>
            </w:pPr>
          </w:p>
        </w:tc>
        <w:tc>
          <w:tcPr>
            <w:tcW w:w="133" w:type="pct"/>
          </w:tcPr>
          <w:p w14:paraId="0AD9ECAB" w14:textId="77777777" w:rsidR="00E370D0" w:rsidRPr="00B04A8F" w:rsidRDefault="00E370D0" w:rsidP="00E370D0">
            <w:pPr>
              <w:pStyle w:val="BodyText"/>
              <w:rPr>
                <w:sz w:val="22"/>
                <w:szCs w:val="22"/>
              </w:rPr>
            </w:pPr>
          </w:p>
        </w:tc>
      </w:tr>
      <w:tr w:rsidR="00E370D0" w:rsidRPr="00B04A8F" w14:paraId="7440B044" w14:textId="77777777" w:rsidTr="00E370D0">
        <w:trPr>
          <w:trHeight w:hRule="exact" w:val="289"/>
        </w:trPr>
        <w:tc>
          <w:tcPr>
            <w:tcW w:w="218" w:type="pct"/>
          </w:tcPr>
          <w:p w14:paraId="26DD398E" w14:textId="77777777" w:rsidR="00E370D0" w:rsidRDefault="00E370D0" w:rsidP="00E370D0">
            <w:pPr>
              <w:pStyle w:val="BodyText"/>
              <w:rPr>
                <w:sz w:val="22"/>
                <w:szCs w:val="22"/>
              </w:rPr>
            </w:pPr>
            <w:r>
              <w:rPr>
                <w:sz w:val="22"/>
                <w:szCs w:val="22"/>
              </w:rPr>
              <w:t>1.</w:t>
            </w:r>
          </w:p>
        </w:tc>
        <w:tc>
          <w:tcPr>
            <w:tcW w:w="2451" w:type="pct"/>
          </w:tcPr>
          <w:p w14:paraId="0FF5C21F" w14:textId="77777777" w:rsidR="00E370D0" w:rsidRDefault="00E370D0" w:rsidP="00E370D0">
            <w:pPr>
              <w:pStyle w:val="BodyText"/>
              <w:rPr>
                <w:sz w:val="22"/>
                <w:szCs w:val="22"/>
              </w:rPr>
            </w:pPr>
            <w:r>
              <w:rPr>
                <w:sz w:val="22"/>
                <w:szCs w:val="22"/>
              </w:rPr>
              <w:t>To reflect auditing adjustments.</w:t>
            </w:r>
          </w:p>
          <w:p w14:paraId="6224E851" w14:textId="77777777" w:rsidR="00E370D0" w:rsidRPr="007D38A3" w:rsidRDefault="00E370D0" w:rsidP="00E370D0">
            <w:pPr>
              <w:pStyle w:val="BodyText"/>
              <w:rPr>
                <w:sz w:val="22"/>
                <w:szCs w:val="22"/>
              </w:rPr>
            </w:pPr>
          </w:p>
        </w:tc>
        <w:tc>
          <w:tcPr>
            <w:tcW w:w="1137" w:type="pct"/>
            <w:gridSpan w:val="2"/>
          </w:tcPr>
          <w:p w14:paraId="3CF14916" w14:textId="77777777" w:rsidR="00E370D0" w:rsidRDefault="00E370D0" w:rsidP="00E370D0">
            <w:pPr>
              <w:pStyle w:val="BodyText"/>
              <w:jc w:val="right"/>
              <w:rPr>
                <w:sz w:val="22"/>
                <w:szCs w:val="22"/>
              </w:rPr>
            </w:pPr>
            <w:r>
              <w:rPr>
                <w:sz w:val="22"/>
                <w:szCs w:val="22"/>
              </w:rPr>
              <w:t>($115,270)</w:t>
            </w:r>
          </w:p>
        </w:tc>
        <w:tc>
          <w:tcPr>
            <w:tcW w:w="1061" w:type="pct"/>
          </w:tcPr>
          <w:p w14:paraId="0F8DACC8" w14:textId="77777777" w:rsidR="00E370D0" w:rsidRDefault="00E370D0" w:rsidP="00E370D0">
            <w:pPr>
              <w:pStyle w:val="BodyText"/>
              <w:jc w:val="right"/>
              <w:rPr>
                <w:sz w:val="22"/>
                <w:szCs w:val="22"/>
              </w:rPr>
            </w:pPr>
            <w:r>
              <w:rPr>
                <w:sz w:val="22"/>
                <w:szCs w:val="22"/>
              </w:rPr>
              <w:t>($90,250)</w:t>
            </w:r>
          </w:p>
        </w:tc>
        <w:tc>
          <w:tcPr>
            <w:tcW w:w="133" w:type="pct"/>
          </w:tcPr>
          <w:p w14:paraId="492A3BB0" w14:textId="77777777" w:rsidR="00E370D0" w:rsidRPr="00B04A8F" w:rsidRDefault="00E370D0" w:rsidP="00E370D0">
            <w:pPr>
              <w:pStyle w:val="BodyText"/>
              <w:rPr>
                <w:sz w:val="22"/>
                <w:szCs w:val="22"/>
              </w:rPr>
            </w:pPr>
          </w:p>
        </w:tc>
      </w:tr>
      <w:tr w:rsidR="00E370D0" w:rsidRPr="00B04A8F" w14:paraId="77514210" w14:textId="77777777" w:rsidTr="00E370D0">
        <w:trPr>
          <w:trHeight w:hRule="exact" w:val="289"/>
        </w:trPr>
        <w:tc>
          <w:tcPr>
            <w:tcW w:w="218" w:type="pct"/>
          </w:tcPr>
          <w:p w14:paraId="70B71F08" w14:textId="77777777" w:rsidR="00E370D0" w:rsidRDefault="00E370D0" w:rsidP="00E370D0">
            <w:pPr>
              <w:pStyle w:val="BodyText"/>
              <w:rPr>
                <w:sz w:val="22"/>
                <w:szCs w:val="22"/>
              </w:rPr>
            </w:pPr>
            <w:r>
              <w:rPr>
                <w:sz w:val="22"/>
                <w:szCs w:val="22"/>
              </w:rPr>
              <w:t>2.</w:t>
            </w:r>
          </w:p>
        </w:tc>
        <w:tc>
          <w:tcPr>
            <w:tcW w:w="2451" w:type="pct"/>
          </w:tcPr>
          <w:p w14:paraId="3C2E5956" w14:textId="77777777" w:rsidR="00E370D0" w:rsidRDefault="00E370D0" w:rsidP="00E370D0">
            <w:pPr>
              <w:pStyle w:val="BodyText"/>
              <w:rPr>
                <w:sz w:val="22"/>
                <w:szCs w:val="22"/>
              </w:rPr>
            </w:pPr>
            <w:r>
              <w:rPr>
                <w:sz w:val="22"/>
                <w:szCs w:val="22"/>
              </w:rPr>
              <w:t>To reflect averaging adjustments.</w:t>
            </w:r>
          </w:p>
        </w:tc>
        <w:tc>
          <w:tcPr>
            <w:tcW w:w="1137" w:type="pct"/>
            <w:gridSpan w:val="2"/>
          </w:tcPr>
          <w:p w14:paraId="59261394" w14:textId="77777777" w:rsidR="00E370D0" w:rsidRPr="003D787C" w:rsidRDefault="00E370D0" w:rsidP="00E370D0">
            <w:pPr>
              <w:pStyle w:val="BodyText"/>
              <w:jc w:val="right"/>
              <w:rPr>
                <w:sz w:val="22"/>
                <w:szCs w:val="22"/>
                <w:u w:val="single"/>
              </w:rPr>
            </w:pPr>
            <w:r w:rsidRPr="003D787C">
              <w:rPr>
                <w:sz w:val="22"/>
                <w:szCs w:val="22"/>
                <w:u w:val="single"/>
              </w:rPr>
              <w:t>(21,092)</w:t>
            </w:r>
          </w:p>
        </w:tc>
        <w:tc>
          <w:tcPr>
            <w:tcW w:w="1061" w:type="pct"/>
          </w:tcPr>
          <w:p w14:paraId="24C9FEB7" w14:textId="77777777" w:rsidR="00E370D0" w:rsidRPr="003D787C" w:rsidRDefault="00E370D0" w:rsidP="00E370D0">
            <w:pPr>
              <w:pStyle w:val="BodyText"/>
              <w:jc w:val="right"/>
              <w:rPr>
                <w:sz w:val="22"/>
                <w:szCs w:val="22"/>
                <w:u w:val="single"/>
              </w:rPr>
            </w:pPr>
            <w:r w:rsidRPr="003D787C">
              <w:rPr>
                <w:sz w:val="22"/>
                <w:szCs w:val="22"/>
                <w:u w:val="single"/>
              </w:rPr>
              <w:t>(5,968)</w:t>
            </w:r>
          </w:p>
        </w:tc>
        <w:tc>
          <w:tcPr>
            <w:tcW w:w="133" w:type="pct"/>
          </w:tcPr>
          <w:p w14:paraId="743D862C" w14:textId="77777777" w:rsidR="00E370D0" w:rsidRPr="00B04A8F" w:rsidRDefault="00E370D0" w:rsidP="00E370D0">
            <w:pPr>
              <w:pStyle w:val="BodyText"/>
              <w:rPr>
                <w:sz w:val="22"/>
                <w:szCs w:val="22"/>
              </w:rPr>
            </w:pPr>
          </w:p>
        </w:tc>
      </w:tr>
      <w:tr w:rsidR="00E370D0" w:rsidRPr="00B04A8F" w14:paraId="27E571CF" w14:textId="77777777" w:rsidTr="00E370D0">
        <w:trPr>
          <w:trHeight w:hRule="exact" w:val="289"/>
        </w:trPr>
        <w:tc>
          <w:tcPr>
            <w:tcW w:w="218" w:type="pct"/>
          </w:tcPr>
          <w:p w14:paraId="0360583A" w14:textId="77777777" w:rsidR="00E370D0" w:rsidRDefault="00E370D0" w:rsidP="00E370D0">
            <w:pPr>
              <w:pStyle w:val="BodyText"/>
              <w:rPr>
                <w:sz w:val="22"/>
                <w:szCs w:val="22"/>
              </w:rPr>
            </w:pPr>
          </w:p>
        </w:tc>
        <w:tc>
          <w:tcPr>
            <w:tcW w:w="2451" w:type="pct"/>
          </w:tcPr>
          <w:p w14:paraId="222558A7" w14:textId="77777777" w:rsidR="00E370D0" w:rsidRDefault="00E370D0" w:rsidP="00E370D0">
            <w:pPr>
              <w:pStyle w:val="BodyText"/>
              <w:rPr>
                <w:sz w:val="22"/>
                <w:szCs w:val="22"/>
              </w:rPr>
            </w:pPr>
            <w:r>
              <w:rPr>
                <w:sz w:val="22"/>
                <w:szCs w:val="22"/>
              </w:rPr>
              <w:t>Total</w:t>
            </w:r>
          </w:p>
        </w:tc>
        <w:tc>
          <w:tcPr>
            <w:tcW w:w="1137" w:type="pct"/>
            <w:gridSpan w:val="2"/>
          </w:tcPr>
          <w:p w14:paraId="0DC6BF42" w14:textId="77777777" w:rsidR="00E370D0" w:rsidRPr="003D787C" w:rsidRDefault="00E370D0" w:rsidP="00E370D0">
            <w:pPr>
              <w:pStyle w:val="BodyText"/>
              <w:jc w:val="right"/>
              <w:rPr>
                <w:sz w:val="22"/>
                <w:szCs w:val="22"/>
                <w:u w:val="double"/>
              </w:rPr>
            </w:pPr>
            <w:r w:rsidRPr="003D787C">
              <w:rPr>
                <w:sz w:val="22"/>
                <w:szCs w:val="22"/>
                <w:u w:val="double"/>
              </w:rPr>
              <w:t>($136,362)</w:t>
            </w:r>
          </w:p>
        </w:tc>
        <w:tc>
          <w:tcPr>
            <w:tcW w:w="1061" w:type="pct"/>
          </w:tcPr>
          <w:p w14:paraId="1CA4107C" w14:textId="77777777" w:rsidR="00E370D0" w:rsidRPr="003D787C" w:rsidRDefault="00E370D0" w:rsidP="00E370D0">
            <w:pPr>
              <w:pStyle w:val="BodyText"/>
              <w:jc w:val="right"/>
              <w:rPr>
                <w:sz w:val="22"/>
                <w:szCs w:val="22"/>
                <w:u w:val="double"/>
              </w:rPr>
            </w:pPr>
            <w:r w:rsidRPr="003D787C">
              <w:rPr>
                <w:sz w:val="22"/>
                <w:szCs w:val="22"/>
                <w:u w:val="double"/>
              </w:rPr>
              <w:t>($96,218)</w:t>
            </w:r>
          </w:p>
        </w:tc>
        <w:tc>
          <w:tcPr>
            <w:tcW w:w="133" w:type="pct"/>
          </w:tcPr>
          <w:p w14:paraId="5D191FCA" w14:textId="77777777" w:rsidR="00E370D0" w:rsidRPr="00B04A8F" w:rsidRDefault="00E370D0" w:rsidP="00E370D0">
            <w:pPr>
              <w:pStyle w:val="BodyText"/>
              <w:rPr>
                <w:sz w:val="22"/>
                <w:szCs w:val="22"/>
              </w:rPr>
            </w:pPr>
          </w:p>
        </w:tc>
      </w:tr>
      <w:tr w:rsidR="00E370D0" w:rsidRPr="00B04A8F" w14:paraId="673A4C16" w14:textId="77777777" w:rsidTr="00E370D0">
        <w:trPr>
          <w:trHeight w:hRule="exact" w:val="289"/>
        </w:trPr>
        <w:tc>
          <w:tcPr>
            <w:tcW w:w="218" w:type="pct"/>
          </w:tcPr>
          <w:p w14:paraId="284BDB7B" w14:textId="77777777" w:rsidR="00E370D0" w:rsidRDefault="00E370D0" w:rsidP="00E370D0">
            <w:pPr>
              <w:pStyle w:val="BodyText"/>
              <w:rPr>
                <w:sz w:val="22"/>
                <w:szCs w:val="22"/>
              </w:rPr>
            </w:pPr>
          </w:p>
        </w:tc>
        <w:tc>
          <w:tcPr>
            <w:tcW w:w="2451" w:type="pct"/>
          </w:tcPr>
          <w:p w14:paraId="012FC9E4" w14:textId="77777777" w:rsidR="00E370D0" w:rsidRDefault="00E370D0" w:rsidP="00E370D0">
            <w:pPr>
              <w:pStyle w:val="BodyText"/>
              <w:rPr>
                <w:sz w:val="22"/>
                <w:szCs w:val="22"/>
              </w:rPr>
            </w:pPr>
          </w:p>
        </w:tc>
        <w:tc>
          <w:tcPr>
            <w:tcW w:w="1137" w:type="pct"/>
            <w:gridSpan w:val="2"/>
          </w:tcPr>
          <w:p w14:paraId="2160D8E4" w14:textId="77777777" w:rsidR="00E370D0" w:rsidRPr="003D787C" w:rsidRDefault="00E370D0" w:rsidP="00E370D0">
            <w:pPr>
              <w:pStyle w:val="BodyText"/>
              <w:jc w:val="right"/>
              <w:rPr>
                <w:sz w:val="22"/>
                <w:szCs w:val="22"/>
                <w:u w:val="double"/>
              </w:rPr>
            </w:pPr>
          </w:p>
        </w:tc>
        <w:tc>
          <w:tcPr>
            <w:tcW w:w="1061" w:type="pct"/>
          </w:tcPr>
          <w:p w14:paraId="1B6D6AFD" w14:textId="77777777" w:rsidR="00E370D0" w:rsidRPr="003D787C" w:rsidRDefault="00E370D0" w:rsidP="00E370D0">
            <w:pPr>
              <w:pStyle w:val="BodyText"/>
              <w:jc w:val="right"/>
              <w:rPr>
                <w:sz w:val="22"/>
                <w:szCs w:val="22"/>
                <w:u w:val="double"/>
              </w:rPr>
            </w:pPr>
          </w:p>
        </w:tc>
        <w:tc>
          <w:tcPr>
            <w:tcW w:w="133" w:type="pct"/>
          </w:tcPr>
          <w:p w14:paraId="4FAE27D1" w14:textId="77777777" w:rsidR="00E370D0" w:rsidRPr="00B04A8F" w:rsidRDefault="00E370D0" w:rsidP="00E370D0">
            <w:pPr>
              <w:pStyle w:val="BodyText"/>
              <w:rPr>
                <w:sz w:val="22"/>
                <w:szCs w:val="22"/>
              </w:rPr>
            </w:pPr>
          </w:p>
        </w:tc>
      </w:tr>
      <w:tr w:rsidR="00E370D0" w:rsidRPr="00B04A8F" w14:paraId="0BFEECD5" w14:textId="77777777" w:rsidTr="00E370D0">
        <w:trPr>
          <w:trHeight w:hRule="exact" w:val="289"/>
        </w:trPr>
        <w:tc>
          <w:tcPr>
            <w:tcW w:w="218" w:type="pct"/>
          </w:tcPr>
          <w:p w14:paraId="4285D157" w14:textId="77777777" w:rsidR="00E370D0" w:rsidRDefault="00E370D0" w:rsidP="00E370D0">
            <w:pPr>
              <w:pStyle w:val="BodyText"/>
              <w:rPr>
                <w:sz w:val="22"/>
                <w:szCs w:val="22"/>
              </w:rPr>
            </w:pPr>
          </w:p>
        </w:tc>
        <w:tc>
          <w:tcPr>
            <w:tcW w:w="2451" w:type="pct"/>
          </w:tcPr>
          <w:p w14:paraId="22BCDF48" w14:textId="77777777" w:rsidR="00E370D0" w:rsidRPr="006E1F94" w:rsidRDefault="00E370D0" w:rsidP="00E370D0">
            <w:pPr>
              <w:pStyle w:val="BodyText"/>
              <w:rPr>
                <w:b/>
                <w:sz w:val="22"/>
                <w:szCs w:val="22"/>
                <w:u w:val="single"/>
              </w:rPr>
            </w:pPr>
            <w:r w:rsidRPr="006E1F94">
              <w:rPr>
                <w:b/>
                <w:sz w:val="22"/>
                <w:szCs w:val="22"/>
                <w:u w:val="single"/>
              </w:rPr>
              <w:t>CAPITAL RECOVERY</w:t>
            </w:r>
          </w:p>
        </w:tc>
        <w:tc>
          <w:tcPr>
            <w:tcW w:w="1137" w:type="pct"/>
            <w:gridSpan w:val="2"/>
          </w:tcPr>
          <w:p w14:paraId="42CE9D7B" w14:textId="77777777" w:rsidR="00E370D0" w:rsidRPr="003D787C" w:rsidRDefault="00E370D0" w:rsidP="00E370D0">
            <w:pPr>
              <w:pStyle w:val="BodyText"/>
              <w:jc w:val="right"/>
              <w:rPr>
                <w:sz w:val="22"/>
                <w:szCs w:val="22"/>
                <w:u w:val="double"/>
              </w:rPr>
            </w:pPr>
          </w:p>
        </w:tc>
        <w:tc>
          <w:tcPr>
            <w:tcW w:w="1061" w:type="pct"/>
          </w:tcPr>
          <w:p w14:paraId="0B7C46BD" w14:textId="77777777" w:rsidR="00E370D0" w:rsidRPr="003D787C" w:rsidRDefault="00E370D0" w:rsidP="00E370D0">
            <w:pPr>
              <w:pStyle w:val="BodyText"/>
              <w:jc w:val="right"/>
              <w:rPr>
                <w:sz w:val="22"/>
                <w:szCs w:val="22"/>
                <w:u w:val="double"/>
              </w:rPr>
            </w:pPr>
          </w:p>
        </w:tc>
        <w:tc>
          <w:tcPr>
            <w:tcW w:w="133" w:type="pct"/>
          </w:tcPr>
          <w:p w14:paraId="39B265FA" w14:textId="77777777" w:rsidR="00E370D0" w:rsidRPr="00B04A8F" w:rsidRDefault="00E370D0" w:rsidP="00E370D0">
            <w:pPr>
              <w:pStyle w:val="BodyText"/>
              <w:rPr>
                <w:sz w:val="22"/>
                <w:szCs w:val="22"/>
              </w:rPr>
            </w:pPr>
          </w:p>
        </w:tc>
      </w:tr>
      <w:tr w:rsidR="00E370D0" w:rsidRPr="00B04A8F" w14:paraId="6957E24F" w14:textId="77777777" w:rsidTr="00E370D0">
        <w:trPr>
          <w:trHeight w:hRule="exact" w:val="289"/>
        </w:trPr>
        <w:tc>
          <w:tcPr>
            <w:tcW w:w="218" w:type="pct"/>
          </w:tcPr>
          <w:p w14:paraId="4DD06605" w14:textId="77777777" w:rsidR="00E370D0" w:rsidRDefault="00E370D0" w:rsidP="00E370D0">
            <w:pPr>
              <w:pStyle w:val="BodyText"/>
              <w:rPr>
                <w:sz w:val="22"/>
                <w:szCs w:val="22"/>
              </w:rPr>
            </w:pPr>
          </w:p>
        </w:tc>
        <w:tc>
          <w:tcPr>
            <w:tcW w:w="2451" w:type="pct"/>
          </w:tcPr>
          <w:p w14:paraId="4EE6A1F6" w14:textId="77777777" w:rsidR="00E370D0" w:rsidRDefault="00E370D0" w:rsidP="00E370D0">
            <w:pPr>
              <w:pStyle w:val="BodyText"/>
              <w:rPr>
                <w:sz w:val="22"/>
                <w:szCs w:val="22"/>
              </w:rPr>
            </w:pPr>
            <w:r>
              <w:rPr>
                <w:sz w:val="22"/>
                <w:szCs w:val="22"/>
              </w:rPr>
              <w:t>To reflect staff adjustments.</w:t>
            </w:r>
          </w:p>
        </w:tc>
        <w:tc>
          <w:tcPr>
            <w:tcW w:w="1137" w:type="pct"/>
            <w:gridSpan w:val="2"/>
          </w:tcPr>
          <w:p w14:paraId="00E03389" w14:textId="77777777" w:rsidR="00E370D0" w:rsidRPr="003D787C" w:rsidRDefault="00E370D0" w:rsidP="00E370D0">
            <w:pPr>
              <w:pStyle w:val="BodyText"/>
              <w:jc w:val="right"/>
              <w:rPr>
                <w:sz w:val="22"/>
                <w:szCs w:val="22"/>
                <w:u w:val="double"/>
              </w:rPr>
            </w:pPr>
            <w:r>
              <w:rPr>
                <w:sz w:val="22"/>
                <w:szCs w:val="22"/>
                <w:u w:val="double"/>
              </w:rPr>
              <w:t>$6,436</w:t>
            </w:r>
          </w:p>
        </w:tc>
        <w:tc>
          <w:tcPr>
            <w:tcW w:w="1061" w:type="pct"/>
          </w:tcPr>
          <w:p w14:paraId="3425C817" w14:textId="77777777" w:rsidR="00E370D0" w:rsidRPr="003D787C" w:rsidRDefault="00E370D0" w:rsidP="00E370D0">
            <w:pPr>
              <w:pStyle w:val="BodyText"/>
              <w:jc w:val="right"/>
              <w:rPr>
                <w:sz w:val="22"/>
                <w:szCs w:val="22"/>
                <w:u w:val="double"/>
              </w:rPr>
            </w:pPr>
            <w:r>
              <w:rPr>
                <w:sz w:val="22"/>
                <w:szCs w:val="22"/>
                <w:u w:val="double"/>
              </w:rPr>
              <w:t>$80,115</w:t>
            </w:r>
          </w:p>
        </w:tc>
        <w:tc>
          <w:tcPr>
            <w:tcW w:w="133" w:type="pct"/>
          </w:tcPr>
          <w:p w14:paraId="2879F279" w14:textId="77777777" w:rsidR="00E370D0" w:rsidRPr="00B04A8F" w:rsidRDefault="00E370D0" w:rsidP="00E370D0">
            <w:pPr>
              <w:pStyle w:val="BodyText"/>
              <w:rPr>
                <w:sz w:val="22"/>
                <w:szCs w:val="22"/>
              </w:rPr>
            </w:pPr>
          </w:p>
        </w:tc>
      </w:tr>
      <w:tr w:rsidR="00E370D0" w:rsidRPr="00B04A8F" w14:paraId="7B1D86B4" w14:textId="77777777" w:rsidTr="00E370D0">
        <w:trPr>
          <w:trHeight w:hRule="exact" w:val="289"/>
        </w:trPr>
        <w:tc>
          <w:tcPr>
            <w:tcW w:w="218" w:type="pct"/>
          </w:tcPr>
          <w:p w14:paraId="6B91EACB" w14:textId="77777777" w:rsidR="00E370D0" w:rsidRDefault="00E370D0" w:rsidP="00E370D0">
            <w:pPr>
              <w:pStyle w:val="BodyText"/>
              <w:rPr>
                <w:sz w:val="22"/>
                <w:szCs w:val="22"/>
              </w:rPr>
            </w:pPr>
          </w:p>
        </w:tc>
        <w:tc>
          <w:tcPr>
            <w:tcW w:w="2451" w:type="pct"/>
          </w:tcPr>
          <w:p w14:paraId="57E95A17" w14:textId="77777777" w:rsidR="00E370D0" w:rsidRDefault="00E370D0" w:rsidP="00E370D0">
            <w:pPr>
              <w:pStyle w:val="BodyText"/>
              <w:rPr>
                <w:sz w:val="22"/>
                <w:szCs w:val="22"/>
              </w:rPr>
            </w:pPr>
          </w:p>
        </w:tc>
        <w:tc>
          <w:tcPr>
            <w:tcW w:w="1137" w:type="pct"/>
            <w:gridSpan w:val="2"/>
          </w:tcPr>
          <w:p w14:paraId="2E32175F" w14:textId="77777777" w:rsidR="00E370D0" w:rsidRPr="003D787C" w:rsidRDefault="00E370D0" w:rsidP="00E370D0">
            <w:pPr>
              <w:pStyle w:val="BodyText"/>
              <w:jc w:val="right"/>
              <w:rPr>
                <w:sz w:val="22"/>
                <w:szCs w:val="22"/>
                <w:u w:val="double"/>
              </w:rPr>
            </w:pPr>
          </w:p>
        </w:tc>
        <w:tc>
          <w:tcPr>
            <w:tcW w:w="1061" w:type="pct"/>
          </w:tcPr>
          <w:p w14:paraId="52B76A62" w14:textId="77777777" w:rsidR="00E370D0" w:rsidRPr="003D787C" w:rsidRDefault="00E370D0" w:rsidP="00E370D0">
            <w:pPr>
              <w:pStyle w:val="BodyText"/>
              <w:jc w:val="right"/>
              <w:rPr>
                <w:sz w:val="22"/>
                <w:szCs w:val="22"/>
                <w:u w:val="double"/>
              </w:rPr>
            </w:pPr>
          </w:p>
        </w:tc>
        <w:tc>
          <w:tcPr>
            <w:tcW w:w="133" w:type="pct"/>
          </w:tcPr>
          <w:p w14:paraId="61790765" w14:textId="77777777" w:rsidR="00E370D0" w:rsidRPr="00B04A8F" w:rsidRDefault="00E370D0" w:rsidP="00E370D0">
            <w:pPr>
              <w:pStyle w:val="BodyText"/>
              <w:rPr>
                <w:sz w:val="22"/>
                <w:szCs w:val="22"/>
              </w:rPr>
            </w:pPr>
          </w:p>
        </w:tc>
      </w:tr>
      <w:tr w:rsidR="00E370D0" w:rsidRPr="00B04A8F" w14:paraId="2AE91851" w14:textId="77777777" w:rsidTr="00E370D0">
        <w:trPr>
          <w:trHeight w:hRule="exact" w:val="289"/>
        </w:trPr>
        <w:tc>
          <w:tcPr>
            <w:tcW w:w="218" w:type="pct"/>
          </w:tcPr>
          <w:p w14:paraId="36C59F80" w14:textId="77777777" w:rsidR="00E370D0" w:rsidRDefault="00E370D0" w:rsidP="00E370D0">
            <w:pPr>
              <w:pStyle w:val="BodyText"/>
              <w:rPr>
                <w:sz w:val="22"/>
                <w:szCs w:val="22"/>
              </w:rPr>
            </w:pPr>
          </w:p>
        </w:tc>
        <w:tc>
          <w:tcPr>
            <w:tcW w:w="2451" w:type="pct"/>
          </w:tcPr>
          <w:p w14:paraId="5684D1EF" w14:textId="77777777" w:rsidR="00E370D0" w:rsidRDefault="00E370D0" w:rsidP="00E370D0">
            <w:pPr>
              <w:pStyle w:val="BodyText"/>
              <w:rPr>
                <w:b/>
                <w:sz w:val="22"/>
                <w:szCs w:val="22"/>
                <w:u w:val="single"/>
              </w:rPr>
            </w:pPr>
            <w:r>
              <w:rPr>
                <w:b/>
                <w:sz w:val="22"/>
                <w:szCs w:val="22"/>
                <w:u w:val="single"/>
              </w:rPr>
              <w:t>ACCUMULATED CAPITAL RECOVERY</w:t>
            </w:r>
          </w:p>
          <w:p w14:paraId="40768EE6" w14:textId="77777777" w:rsidR="00E370D0" w:rsidRPr="00FC44CC" w:rsidRDefault="00E370D0" w:rsidP="00E370D0">
            <w:pPr>
              <w:pStyle w:val="BodyText"/>
              <w:rPr>
                <w:b/>
                <w:sz w:val="22"/>
                <w:szCs w:val="22"/>
                <w:u w:val="single"/>
              </w:rPr>
            </w:pPr>
          </w:p>
        </w:tc>
        <w:tc>
          <w:tcPr>
            <w:tcW w:w="1137" w:type="pct"/>
            <w:gridSpan w:val="2"/>
          </w:tcPr>
          <w:p w14:paraId="1F54D590" w14:textId="77777777" w:rsidR="00E370D0" w:rsidRPr="00FC44CC" w:rsidRDefault="00E370D0" w:rsidP="00E370D0">
            <w:pPr>
              <w:pStyle w:val="BodyText"/>
              <w:jc w:val="right"/>
              <w:rPr>
                <w:sz w:val="22"/>
                <w:szCs w:val="22"/>
                <w:u w:val="double"/>
              </w:rPr>
            </w:pPr>
          </w:p>
        </w:tc>
        <w:tc>
          <w:tcPr>
            <w:tcW w:w="1061" w:type="pct"/>
          </w:tcPr>
          <w:p w14:paraId="1491BE25" w14:textId="77777777" w:rsidR="00E370D0" w:rsidRPr="003D787C" w:rsidRDefault="00E370D0" w:rsidP="00E370D0">
            <w:pPr>
              <w:pStyle w:val="BodyText"/>
              <w:jc w:val="right"/>
              <w:rPr>
                <w:sz w:val="22"/>
                <w:szCs w:val="22"/>
                <w:u w:val="double"/>
              </w:rPr>
            </w:pPr>
          </w:p>
        </w:tc>
        <w:tc>
          <w:tcPr>
            <w:tcW w:w="133" w:type="pct"/>
          </w:tcPr>
          <w:p w14:paraId="36385A33" w14:textId="77777777" w:rsidR="00E370D0" w:rsidRPr="00B04A8F" w:rsidRDefault="00E370D0" w:rsidP="00E370D0">
            <w:pPr>
              <w:pStyle w:val="BodyText"/>
              <w:rPr>
                <w:sz w:val="22"/>
                <w:szCs w:val="22"/>
              </w:rPr>
            </w:pPr>
          </w:p>
        </w:tc>
      </w:tr>
      <w:tr w:rsidR="00E370D0" w:rsidRPr="00B04A8F" w14:paraId="07BBEF97" w14:textId="77777777" w:rsidTr="00E370D0">
        <w:trPr>
          <w:trHeight w:hRule="exact" w:val="289"/>
        </w:trPr>
        <w:tc>
          <w:tcPr>
            <w:tcW w:w="218" w:type="pct"/>
          </w:tcPr>
          <w:p w14:paraId="4B56A155" w14:textId="77777777" w:rsidR="00E370D0" w:rsidRDefault="00E370D0" w:rsidP="00E370D0">
            <w:pPr>
              <w:pStyle w:val="BodyText"/>
              <w:rPr>
                <w:sz w:val="22"/>
                <w:szCs w:val="22"/>
              </w:rPr>
            </w:pPr>
          </w:p>
        </w:tc>
        <w:tc>
          <w:tcPr>
            <w:tcW w:w="2451" w:type="pct"/>
          </w:tcPr>
          <w:p w14:paraId="557825C6" w14:textId="77777777" w:rsidR="00E370D0" w:rsidRDefault="00E370D0" w:rsidP="00E370D0">
            <w:pPr>
              <w:pStyle w:val="BodyText"/>
              <w:rPr>
                <w:sz w:val="22"/>
                <w:szCs w:val="22"/>
              </w:rPr>
            </w:pPr>
            <w:r>
              <w:rPr>
                <w:sz w:val="22"/>
                <w:szCs w:val="22"/>
              </w:rPr>
              <w:t>To reflect staff adjustments.</w:t>
            </w:r>
          </w:p>
        </w:tc>
        <w:tc>
          <w:tcPr>
            <w:tcW w:w="1137" w:type="pct"/>
            <w:gridSpan w:val="2"/>
          </w:tcPr>
          <w:p w14:paraId="7D4E0C58" w14:textId="77777777" w:rsidR="00E370D0" w:rsidRPr="00FC44CC" w:rsidRDefault="00E370D0" w:rsidP="00E370D0">
            <w:pPr>
              <w:pStyle w:val="BodyText"/>
              <w:jc w:val="right"/>
              <w:rPr>
                <w:sz w:val="22"/>
                <w:szCs w:val="22"/>
                <w:u w:val="double"/>
              </w:rPr>
            </w:pPr>
            <w:r>
              <w:rPr>
                <w:sz w:val="22"/>
                <w:szCs w:val="22"/>
                <w:u w:val="double"/>
              </w:rPr>
              <w:t>($322)</w:t>
            </w:r>
          </w:p>
        </w:tc>
        <w:tc>
          <w:tcPr>
            <w:tcW w:w="1061" w:type="pct"/>
          </w:tcPr>
          <w:p w14:paraId="363C8FFE" w14:textId="77777777" w:rsidR="00E370D0" w:rsidRPr="003D787C" w:rsidRDefault="00E370D0" w:rsidP="00E370D0">
            <w:pPr>
              <w:pStyle w:val="BodyText"/>
              <w:jc w:val="right"/>
              <w:rPr>
                <w:sz w:val="22"/>
                <w:szCs w:val="22"/>
                <w:u w:val="double"/>
              </w:rPr>
            </w:pPr>
            <w:r>
              <w:rPr>
                <w:sz w:val="22"/>
                <w:szCs w:val="22"/>
                <w:u w:val="double"/>
              </w:rPr>
              <w:t>($4,006)</w:t>
            </w:r>
          </w:p>
        </w:tc>
        <w:tc>
          <w:tcPr>
            <w:tcW w:w="133" w:type="pct"/>
          </w:tcPr>
          <w:p w14:paraId="4C6CDF36" w14:textId="77777777" w:rsidR="00E370D0" w:rsidRPr="00B04A8F" w:rsidRDefault="00E370D0" w:rsidP="00E370D0">
            <w:pPr>
              <w:pStyle w:val="BodyText"/>
              <w:rPr>
                <w:sz w:val="22"/>
                <w:szCs w:val="22"/>
              </w:rPr>
            </w:pPr>
          </w:p>
        </w:tc>
      </w:tr>
      <w:tr w:rsidR="00E370D0" w:rsidRPr="00B04A8F" w14:paraId="2056ED60" w14:textId="77777777" w:rsidTr="00E370D0">
        <w:trPr>
          <w:trHeight w:hRule="exact" w:val="289"/>
        </w:trPr>
        <w:tc>
          <w:tcPr>
            <w:tcW w:w="218" w:type="pct"/>
          </w:tcPr>
          <w:p w14:paraId="4FE32695" w14:textId="77777777" w:rsidR="00E370D0" w:rsidRDefault="00E370D0" w:rsidP="00E370D0">
            <w:pPr>
              <w:pStyle w:val="BodyText"/>
              <w:rPr>
                <w:sz w:val="22"/>
                <w:szCs w:val="22"/>
              </w:rPr>
            </w:pPr>
          </w:p>
        </w:tc>
        <w:tc>
          <w:tcPr>
            <w:tcW w:w="2451" w:type="pct"/>
          </w:tcPr>
          <w:p w14:paraId="584BFAD8" w14:textId="77777777" w:rsidR="00E370D0" w:rsidRPr="00B04A8F" w:rsidRDefault="00E370D0" w:rsidP="00E370D0">
            <w:pPr>
              <w:pStyle w:val="BodyText"/>
              <w:rPr>
                <w:b/>
                <w:sz w:val="22"/>
                <w:szCs w:val="22"/>
                <w:u w:val="single"/>
              </w:rPr>
            </w:pPr>
          </w:p>
        </w:tc>
        <w:tc>
          <w:tcPr>
            <w:tcW w:w="1137" w:type="pct"/>
            <w:gridSpan w:val="2"/>
          </w:tcPr>
          <w:p w14:paraId="75E30CB4" w14:textId="77777777" w:rsidR="00E370D0" w:rsidRDefault="00E370D0" w:rsidP="00E370D0">
            <w:pPr>
              <w:pStyle w:val="BodyText"/>
              <w:jc w:val="right"/>
              <w:rPr>
                <w:sz w:val="22"/>
                <w:szCs w:val="22"/>
              </w:rPr>
            </w:pPr>
          </w:p>
        </w:tc>
        <w:tc>
          <w:tcPr>
            <w:tcW w:w="1061" w:type="pct"/>
          </w:tcPr>
          <w:p w14:paraId="226B463C" w14:textId="77777777" w:rsidR="00E370D0" w:rsidRDefault="00E370D0" w:rsidP="00E370D0">
            <w:pPr>
              <w:pStyle w:val="BodyText"/>
              <w:jc w:val="right"/>
              <w:rPr>
                <w:sz w:val="22"/>
                <w:szCs w:val="22"/>
              </w:rPr>
            </w:pPr>
          </w:p>
        </w:tc>
        <w:tc>
          <w:tcPr>
            <w:tcW w:w="133" w:type="pct"/>
          </w:tcPr>
          <w:p w14:paraId="0872348E" w14:textId="77777777" w:rsidR="00E370D0" w:rsidRPr="00B04A8F" w:rsidRDefault="00E370D0" w:rsidP="00E370D0">
            <w:pPr>
              <w:pStyle w:val="BodyText"/>
              <w:rPr>
                <w:sz w:val="22"/>
                <w:szCs w:val="22"/>
              </w:rPr>
            </w:pPr>
          </w:p>
        </w:tc>
      </w:tr>
      <w:tr w:rsidR="00E370D0" w:rsidRPr="00B04A8F" w14:paraId="61572E4F" w14:textId="77777777" w:rsidTr="00E370D0">
        <w:trPr>
          <w:trHeight w:hRule="exact" w:val="289"/>
        </w:trPr>
        <w:tc>
          <w:tcPr>
            <w:tcW w:w="218" w:type="pct"/>
          </w:tcPr>
          <w:p w14:paraId="41DD41C9" w14:textId="77777777" w:rsidR="00E370D0" w:rsidRDefault="00E370D0" w:rsidP="00E370D0">
            <w:pPr>
              <w:pStyle w:val="BodyText"/>
              <w:rPr>
                <w:sz w:val="22"/>
                <w:szCs w:val="22"/>
              </w:rPr>
            </w:pPr>
          </w:p>
        </w:tc>
        <w:tc>
          <w:tcPr>
            <w:tcW w:w="2451" w:type="pct"/>
          </w:tcPr>
          <w:p w14:paraId="6031818D" w14:textId="77777777" w:rsidR="00E370D0" w:rsidRPr="00B04A8F" w:rsidRDefault="00E370D0" w:rsidP="00E370D0">
            <w:pPr>
              <w:pStyle w:val="BodyText"/>
              <w:rPr>
                <w:b/>
                <w:sz w:val="22"/>
                <w:szCs w:val="22"/>
                <w:u w:val="single"/>
              </w:rPr>
            </w:pPr>
            <w:r w:rsidRPr="00B04A8F">
              <w:rPr>
                <w:b/>
                <w:sz w:val="22"/>
                <w:szCs w:val="22"/>
                <w:u w:val="single"/>
              </w:rPr>
              <w:t>WORKING CAPITAL ALLOWANCE</w:t>
            </w:r>
          </w:p>
        </w:tc>
        <w:tc>
          <w:tcPr>
            <w:tcW w:w="1137" w:type="pct"/>
            <w:gridSpan w:val="2"/>
          </w:tcPr>
          <w:p w14:paraId="6643EDA4" w14:textId="77777777" w:rsidR="00E370D0" w:rsidRDefault="00E370D0" w:rsidP="00E370D0">
            <w:pPr>
              <w:pStyle w:val="BodyText"/>
              <w:jc w:val="right"/>
              <w:rPr>
                <w:sz w:val="22"/>
                <w:szCs w:val="22"/>
              </w:rPr>
            </w:pPr>
          </w:p>
        </w:tc>
        <w:tc>
          <w:tcPr>
            <w:tcW w:w="1061" w:type="pct"/>
          </w:tcPr>
          <w:p w14:paraId="57008A3D" w14:textId="77777777" w:rsidR="00E370D0" w:rsidRDefault="00E370D0" w:rsidP="00E370D0">
            <w:pPr>
              <w:pStyle w:val="BodyText"/>
              <w:jc w:val="right"/>
              <w:rPr>
                <w:sz w:val="22"/>
                <w:szCs w:val="22"/>
              </w:rPr>
            </w:pPr>
          </w:p>
        </w:tc>
        <w:tc>
          <w:tcPr>
            <w:tcW w:w="133" w:type="pct"/>
          </w:tcPr>
          <w:p w14:paraId="4AC421F2" w14:textId="77777777" w:rsidR="00E370D0" w:rsidRPr="00B04A8F" w:rsidRDefault="00E370D0" w:rsidP="00E370D0">
            <w:pPr>
              <w:pStyle w:val="BodyText"/>
              <w:rPr>
                <w:sz w:val="22"/>
                <w:szCs w:val="22"/>
              </w:rPr>
            </w:pPr>
          </w:p>
        </w:tc>
      </w:tr>
      <w:tr w:rsidR="00E370D0" w:rsidRPr="00B04A8F" w14:paraId="217E5D69" w14:textId="77777777" w:rsidTr="00E370D0">
        <w:trPr>
          <w:trHeight w:hRule="exact" w:val="289"/>
        </w:trPr>
        <w:tc>
          <w:tcPr>
            <w:tcW w:w="218" w:type="pct"/>
          </w:tcPr>
          <w:p w14:paraId="68986E07" w14:textId="77777777" w:rsidR="00E370D0" w:rsidRDefault="00E370D0" w:rsidP="00E370D0">
            <w:pPr>
              <w:pStyle w:val="BodyText"/>
              <w:rPr>
                <w:sz w:val="22"/>
                <w:szCs w:val="22"/>
              </w:rPr>
            </w:pPr>
          </w:p>
        </w:tc>
        <w:tc>
          <w:tcPr>
            <w:tcW w:w="2451" w:type="pct"/>
          </w:tcPr>
          <w:p w14:paraId="3AC200DF" w14:textId="77777777" w:rsidR="00E370D0" w:rsidRDefault="00E370D0" w:rsidP="00E370D0">
            <w:pPr>
              <w:pStyle w:val="BodyText"/>
              <w:rPr>
                <w:sz w:val="22"/>
                <w:szCs w:val="22"/>
              </w:rPr>
            </w:pPr>
            <w:r>
              <w:rPr>
                <w:sz w:val="22"/>
                <w:szCs w:val="22"/>
              </w:rPr>
              <w:t>To reflect 1/8 of test year O&amp;M expenses.</w:t>
            </w:r>
          </w:p>
        </w:tc>
        <w:tc>
          <w:tcPr>
            <w:tcW w:w="1137" w:type="pct"/>
            <w:gridSpan w:val="2"/>
          </w:tcPr>
          <w:p w14:paraId="3FA84E4B" w14:textId="77777777" w:rsidR="00E370D0" w:rsidRPr="00B04A8F" w:rsidRDefault="00E370D0" w:rsidP="00E370D0">
            <w:pPr>
              <w:pStyle w:val="BodyText"/>
              <w:jc w:val="right"/>
              <w:rPr>
                <w:sz w:val="22"/>
                <w:szCs w:val="22"/>
                <w:u w:val="double"/>
              </w:rPr>
            </w:pPr>
            <w:r w:rsidRPr="00B04A8F">
              <w:rPr>
                <w:sz w:val="22"/>
                <w:szCs w:val="22"/>
                <w:u w:val="double"/>
              </w:rPr>
              <w:t>$</w:t>
            </w:r>
            <w:r>
              <w:rPr>
                <w:sz w:val="22"/>
                <w:szCs w:val="22"/>
                <w:u w:val="double"/>
              </w:rPr>
              <w:t>54,971</w:t>
            </w:r>
          </w:p>
        </w:tc>
        <w:tc>
          <w:tcPr>
            <w:tcW w:w="1061" w:type="pct"/>
          </w:tcPr>
          <w:p w14:paraId="36D06093" w14:textId="77777777" w:rsidR="00E370D0" w:rsidRPr="00B04A8F" w:rsidRDefault="00E370D0" w:rsidP="00E370D0">
            <w:pPr>
              <w:pStyle w:val="BodyText"/>
              <w:jc w:val="right"/>
              <w:rPr>
                <w:sz w:val="22"/>
                <w:szCs w:val="22"/>
                <w:u w:val="double"/>
              </w:rPr>
            </w:pPr>
            <w:r w:rsidRPr="00B04A8F">
              <w:rPr>
                <w:sz w:val="22"/>
                <w:szCs w:val="22"/>
                <w:u w:val="double"/>
              </w:rPr>
              <w:t>$</w:t>
            </w:r>
            <w:r>
              <w:rPr>
                <w:sz w:val="22"/>
                <w:szCs w:val="22"/>
                <w:u w:val="double"/>
              </w:rPr>
              <w:t>56,297</w:t>
            </w:r>
          </w:p>
        </w:tc>
        <w:tc>
          <w:tcPr>
            <w:tcW w:w="133" w:type="pct"/>
          </w:tcPr>
          <w:p w14:paraId="7315AC42" w14:textId="77777777" w:rsidR="00E370D0" w:rsidRPr="00B04A8F" w:rsidRDefault="00E370D0" w:rsidP="00E370D0">
            <w:pPr>
              <w:pStyle w:val="BodyText"/>
              <w:rPr>
                <w:sz w:val="22"/>
                <w:szCs w:val="22"/>
              </w:rPr>
            </w:pPr>
          </w:p>
        </w:tc>
      </w:tr>
      <w:tr w:rsidR="00E370D0" w:rsidRPr="00B04A8F" w14:paraId="06028CD7" w14:textId="77777777" w:rsidTr="00E370D0">
        <w:trPr>
          <w:trHeight w:hRule="exact" w:val="289"/>
        </w:trPr>
        <w:tc>
          <w:tcPr>
            <w:tcW w:w="218" w:type="pct"/>
          </w:tcPr>
          <w:p w14:paraId="07D23B52" w14:textId="77777777" w:rsidR="00E370D0" w:rsidRDefault="00E370D0" w:rsidP="00E370D0">
            <w:pPr>
              <w:pStyle w:val="BodyText"/>
              <w:rPr>
                <w:sz w:val="22"/>
                <w:szCs w:val="22"/>
              </w:rPr>
            </w:pPr>
          </w:p>
        </w:tc>
        <w:tc>
          <w:tcPr>
            <w:tcW w:w="2451" w:type="pct"/>
          </w:tcPr>
          <w:p w14:paraId="273A78C8" w14:textId="77777777" w:rsidR="00E370D0" w:rsidRDefault="00E370D0" w:rsidP="00E370D0">
            <w:pPr>
              <w:pStyle w:val="BodyText"/>
              <w:rPr>
                <w:sz w:val="22"/>
                <w:szCs w:val="22"/>
              </w:rPr>
            </w:pPr>
          </w:p>
        </w:tc>
        <w:tc>
          <w:tcPr>
            <w:tcW w:w="1137" w:type="pct"/>
            <w:gridSpan w:val="2"/>
          </w:tcPr>
          <w:p w14:paraId="093848C8" w14:textId="77777777" w:rsidR="00E370D0" w:rsidRDefault="00E370D0" w:rsidP="00E370D0">
            <w:pPr>
              <w:pStyle w:val="BodyText"/>
              <w:rPr>
                <w:sz w:val="22"/>
                <w:szCs w:val="22"/>
              </w:rPr>
            </w:pPr>
          </w:p>
        </w:tc>
        <w:tc>
          <w:tcPr>
            <w:tcW w:w="1061" w:type="pct"/>
          </w:tcPr>
          <w:p w14:paraId="4F4CD601" w14:textId="77777777" w:rsidR="00E370D0" w:rsidRDefault="00E370D0" w:rsidP="00E370D0">
            <w:pPr>
              <w:pStyle w:val="BodyText"/>
              <w:rPr>
                <w:sz w:val="22"/>
                <w:szCs w:val="22"/>
              </w:rPr>
            </w:pPr>
          </w:p>
        </w:tc>
        <w:tc>
          <w:tcPr>
            <w:tcW w:w="133" w:type="pct"/>
          </w:tcPr>
          <w:p w14:paraId="51BACACA" w14:textId="77777777" w:rsidR="00E370D0" w:rsidRPr="00B04A8F" w:rsidRDefault="00E370D0" w:rsidP="00E370D0">
            <w:pPr>
              <w:pStyle w:val="BodyText"/>
              <w:rPr>
                <w:sz w:val="22"/>
                <w:szCs w:val="22"/>
              </w:rPr>
            </w:pPr>
          </w:p>
        </w:tc>
      </w:tr>
    </w:tbl>
    <w:p w14:paraId="396F8F4C" w14:textId="77777777" w:rsidR="00224FF2" w:rsidRDefault="00224FF2" w:rsidP="00E275D8">
      <w:pPr>
        <w:pStyle w:val="BodyText"/>
      </w:pPr>
    </w:p>
    <w:p w14:paraId="07D9243D" w14:textId="77777777" w:rsidR="00224FF2" w:rsidRDefault="00224FF2" w:rsidP="00E275D8">
      <w:pPr>
        <w:pStyle w:val="BodyText"/>
        <w:sectPr w:rsidR="00224FF2" w:rsidSect="0068481F">
          <w:headerReference w:type="default" r:id="rId22"/>
          <w:pgSz w:w="12240" w:h="15840" w:code="1"/>
          <w:pgMar w:top="1584" w:right="1440" w:bottom="1440" w:left="1440" w:header="720" w:footer="720" w:gutter="0"/>
          <w:cols w:space="720"/>
          <w:formProt w:val="0"/>
          <w:docGrid w:linePitch="360"/>
        </w:sectPr>
      </w:pPr>
    </w:p>
    <w:p w14:paraId="304FF288" w14:textId="4C39FDD2" w:rsidR="00224FF2" w:rsidRDefault="00CE76A5" w:rsidP="00E275D8">
      <w:pPr>
        <w:pStyle w:val="BodyText"/>
      </w:pPr>
      <w:r w:rsidRPr="00D00C64">
        <w:fldChar w:fldCharType="begin"/>
      </w:r>
      <w:r w:rsidRPr="00D00C64">
        <w:instrText xml:space="preserve"> TC "</w:instrText>
      </w:r>
      <w:r w:rsidRPr="00D00C64">
        <w:tab/>
      </w:r>
      <w:bookmarkStart w:id="35" w:name="_Toc219970016"/>
      <w:r w:rsidRPr="00D00C64">
        <w:instrText>Schedule No. 2 Schedule of Capital Structure</w:instrText>
      </w:r>
      <w:bookmarkEnd w:id="35"/>
      <w:r w:rsidRPr="00D00C64">
        <w:instrText xml:space="preserve">" \l 1 </w:instrText>
      </w:r>
      <w:r w:rsidRPr="00D00C64">
        <w:fldChar w:fldCharType="end"/>
      </w:r>
    </w:p>
    <w:tbl>
      <w:tblPr>
        <w:tblW w:w="5284" w:type="pct"/>
        <w:tblInd w:w="-43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50"/>
        <w:gridCol w:w="2160"/>
        <w:gridCol w:w="1270"/>
        <w:gridCol w:w="1303"/>
        <w:gridCol w:w="1352"/>
        <w:gridCol w:w="1383"/>
        <w:gridCol w:w="30"/>
        <w:gridCol w:w="1352"/>
        <w:gridCol w:w="1388"/>
        <w:gridCol w:w="964"/>
        <w:gridCol w:w="1520"/>
        <w:gridCol w:w="600"/>
      </w:tblGrid>
      <w:tr w:rsidR="00E370D0" w:rsidRPr="003A2A1C" w14:paraId="76EE3C42" w14:textId="77777777" w:rsidTr="00E370D0">
        <w:trPr>
          <w:trHeight w:hRule="exact" w:val="288"/>
        </w:trPr>
        <w:tc>
          <w:tcPr>
            <w:tcW w:w="163" w:type="pct"/>
          </w:tcPr>
          <w:p w14:paraId="66061317" w14:textId="77777777" w:rsidR="00E370D0" w:rsidRPr="003A2A1C" w:rsidRDefault="00E370D0" w:rsidP="00E370D0">
            <w:pPr>
              <w:pStyle w:val="BodyText"/>
              <w:rPr>
                <w:b/>
                <w:sz w:val="22"/>
                <w:szCs w:val="22"/>
              </w:rPr>
            </w:pPr>
          </w:p>
        </w:tc>
        <w:tc>
          <w:tcPr>
            <w:tcW w:w="2711" w:type="pct"/>
            <w:gridSpan w:val="5"/>
          </w:tcPr>
          <w:p w14:paraId="12174B1A" w14:textId="77777777" w:rsidR="00E370D0" w:rsidRPr="003A2A1C" w:rsidRDefault="00E370D0" w:rsidP="00E370D0">
            <w:pPr>
              <w:pStyle w:val="BodyText"/>
              <w:rPr>
                <w:b/>
                <w:sz w:val="22"/>
                <w:szCs w:val="22"/>
              </w:rPr>
            </w:pPr>
            <w:r w:rsidRPr="003A2A1C">
              <w:rPr>
                <w:b/>
                <w:sz w:val="22"/>
                <w:szCs w:val="22"/>
              </w:rPr>
              <w:t>NC REAL ESTATE PROJECTS, LLC D/B/A GRENELEFE UTILITY</w:t>
            </w:r>
          </w:p>
        </w:tc>
        <w:tc>
          <w:tcPr>
            <w:tcW w:w="1905" w:type="pct"/>
            <w:gridSpan w:val="5"/>
          </w:tcPr>
          <w:p w14:paraId="22A8CD95" w14:textId="77777777" w:rsidR="00E370D0" w:rsidRPr="003A2A1C" w:rsidRDefault="00E370D0" w:rsidP="00E370D0">
            <w:pPr>
              <w:pStyle w:val="BodyText"/>
              <w:jc w:val="right"/>
              <w:rPr>
                <w:b/>
                <w:sz w:val="22"/>
                <w:szCs w:val="22"/>
              </w:rPr>
            </w:pPr>
            <w:r w:rsidRPr="003A2A1C">
              <w:rPr>
                <w:b/>
                <w:sz w:val="22"/>
                <w:szCs w:val="22"/>
              </w:rPr>
              <w:t>SCHEDULE NO. 2</w:t>
            </w:r>
          </w:p>
        </w:tc>
        <w:tc>
          <w:tcPr>
            <w:tcW w:w="220" w:type="pct"/>
          </w:tcPr>
          <w:p w14:paraId="40E39C41" w14:textId="77777777" w:rsidR="00E370D0" w:rsidRPr="003A2A1C" w:rsidRDefault="00E370D0" w:rsidP="00E370D0">
            <w:pPr>
              <w:pStyle w:val="BodyText"/>
              <w:rPr>
                <w:b/>
                <w:sz w:val="22"/>
                <w:szCs w:val="22"/>
              </w:rPr>
            </w:pPr>
          </w:p>
        </w:tc>
      </w:tr>
      <w:tr w:rsidR="00E370D0" w:rsidRPr="003A2A1C" w14:paraId="1E9120C9" w14:textId="77777777" w:rsidTr="00E370D0">
        <w:trPr>
          <w:trHeight w:hRule="exact" w:val="288"/>
        </w:trPr>
        <w:tc>
          <w:tcPr>
            <w:tcW w:w="163" w:type="pct"/>
            <w:tcBorders>
              <w:top w:val="nil"/>
              <w:bottom w:val="nil"/>
            </w:tcBorders>
          </w:tcPr>
          <w:p w14:paraId="2C8A973B" w14:textId="77777777" w:rsidR="00E370D0" w:rsidRPr="003A2A1C" w:rsidRDefault="00E370D0" w:rsidP="00E370D0">
            <w:pPr>
              <w:pStyle w:val="BodyText"/>
              <w:rPr>
                <w:b/>
                <w:sz w:val="22"/>
                <w:szCs w:val="22"/>
              </w:rPr>
            </w:pPr>
          </w:p>
        </w:tc>
        <w:tc>
          <w:tcPr>
            <w:tcW w:w="2721" w:type="pct"/>
            <w:gridSpan w:val="6"/>
            <w:tcBorders>
              <w:top w:val="nil"/>
              <w:bottom w:val="nil"/>
            </w:tcBorders>
          </w:tcPr>
          <w:p w14:paraId="5BD87199" w14:textId="77777777" w:rsidR="00E370D0" w:rsidRPr="003A2A1C" w:rsidRDefault="00E370D0" w:rsidP="00E370D0">
            <w:pPr>
              <w:pStyle w:val="BodyText"/>
              <w:rPr>
                <w:b/>
                <w:sz w:val="22"/>
                <w:szCs w:val="22"/>
              </w:rPr>
            </w:pPr>
            <w:r w:rsidRPr="003A2A1C">
              <w:rPr>
                <w:b/>
                <w:sz w:val="22"/>
                <w:szCs w:val="22"/>
              </w:rPr>
              <w:t>TEST YEAR ENDED 10/31/2024</w:t>
            </w:r>
          </w:p>
        </w:tc>
        <w:tc>
          <w:tcPr>
            <w:tcW w:w="1896" w:type="pct"/>
            <w:gridSpan w:val="4"/>
            <w:tcBorders>
              <w:top w:val="nil"/>
              <w:bottom w:val="nil"/>
            </w:tcBorders>
          </w:tcPr>
          <w:p w14:paraId="198AD925" w14:textId="77777777" w:rsidR="00E370D0" w:rsidRPr="003A2A1C" w:rsidRDefault="00E370D0" w:rsidP="00E370D0">
            <w:pPr>
              <w:pStyle w:val="BodyText"/>
              <w:jc w:val="right"/>
              <w:rPr>
                <w:b/>
                <w:sz w:val="22"/>
                <w:szCs w:val="22"/>
              </w:rPr>
            </w:pPr>
            <w:r w:rsidRPr="003A2A1C">
              <w:rPr>
                <w:b/>
                <w:sz w:val="22"/>
                <w:szCs w:val="22"/>
              </w:rPr>
              <w:t>DOCKET NO. 20250023-WS</w:t>
            </w:r>
          </w:p>
        </w:tc>
        <w:tc>
          <w:tcPr>
            <w:tcW w:w="220" w:type="pct"/>
            <w:tcBorders>
              <w:top w:val="nil"/>
              <w:bottom w:val="nil"/>
            </w:tcBorders>
          </w:tcPr>
          <w:p w14:paraId="7EB91CC1" w14:textId="77777777" w:rsidR="00E370D0" w:rsidRPr="003A2A1C" w:rsidRDefault="00E370D0" w:rsidP="00E370D0">
            <w:pPr>
              <w:pStyle w:val="BodyText"/>
              <w:rPr>
                <w:b/>
                <w:sz w:val="22"/>
                <w:szCs w:val="22"/>
              </w:rPr>
            </w:pPr>
          </w:p>
        </w:tc>
      </w:tr>
      <w:tr w:rsidR="00E370D0" w:rsidRPr="003A2A1C" w14:paraId="17F9D686" w14:textId="77777777" w:rsidTr="00E370D0">
        <w:trPr>
          <w:trHeight w:hRule="exact" w:val="288"/>
        </w:trPr>
        <w:tc>
          <w:tcPr>
            <w:tcW w:w="163" w:type="pct"/>
            <w:tcBorders>
              <w:top w:val="nil"/>
              <w:bottom w:val="single" w:sz="4" w:space="0" w:color="auto"/>
            </w:tcBorders>
          </w:tcPr>
          <w:p w14:paraId="40A37E7C" w14:textId="77777777" w:rsidR="00E370D0" w:rsidRPr="003A2A1C" w:rsidRDefault="00E370D0" w:rsidP="00E370D0">
            <w:pPr>
              <w:pStyle w:val="BodyText"/>
              <w:rPr>
                <w:b/>
                <w:sz w:val="22"/>
                <w:szCs w:val="22"/>
              </w:rPr>
            </w:pPr>
          </w:p>
        </w:tc>
        <w:tc>
          <w:tcPr>
            <w:tcW w:w="2721" w:type="pct"/>
            <w:gridSpan w:val="6"/>
            <w:tcBorders>
              <w:top w:val="nil"/>
              <w:bottom w:val="single" w:sz="4" w:space="0" w:color="auto"/>
            </w:tcBorders>
          </w:tcPr>
          <w:p w14:paraId="5B382F1D" w14:textId="77777777" w:rsidR="00E370D0" w:rsidRPr="003A2A1C" w:rsidRDefault="00E370D0" w:rsidP="00E370D0">
            <w:pPr>
              <w:pStyle w:val="BodyText"/>
              <w:rPr>
                <w:b/>
                <w:sz w:val="22"/>
                <w:szCs w:val="22"/>
              </w:rPr>
            </w:pPr>
            <w:r w:rsidRPr="003A2A1C">
              <w:rPr>
                <w:b/>
                <w:sz w:val="22"/>
                <w:szCs w:val="22"/>
              </w:rPr>
              <w:t>SCHEDULE OF CAPITAL STRUCTURE</w:t>
            </w:r>
          </w:p>
        </w:tc>
        <w:tc>
          <w:tcPr>
            <w:tcW w:w="491" w:type="pct"/>
            <w:tcBorders>
              <w:top w:val="nil"/>
              <w:bottom w:val="single" w:sz="4" w:space="0" w:color="auto"/>
            </w:tcBorders>
          </w:tcPr>
          <w:p w14:paraId="15746419" w14:textId="77777777" w:rsidR="00E370D0" w:rsidRPr="003A2A1C" w:rsidRDefault="00E370D0" w:rsidP="00E370D0">
            <w:pPr>
              <w:pStyle w:val="BodyText"/>
              <w:rPr>
                <w:b/>
                <w:sz w:val="22"/>
                <w:szCs w:val="22"/>
              </w:rPr>
            </w:pPr>
          </w:p>
        </w:tc>
        <w:tc>
          <w:tcPr>
            <w:tcW w:w="504" w:type="pct"/>
            <w:tcBorders>
              <w:top w:val="nil"/>
              <w:bottom w:val="single" w:sz="4" w:space="0" w:color="auto"/>
            </w:tcBorders>
          </w:tcPr>
          <w:p w14:paraId="2D30D086" w14:textId="77777777" w:rsidR="00E370D0" w:rsidRPr="003A2A1C" w:rsidRDefault="00E370D0" w:rsidP="00E370D0">
            <w:pPr>
              <w:pStyle w:val="BodyText"/>
              <w:rPr>
                <w:b/>
                <w:sz w:val="22"/>
                <w:szCs w:val="22"/>
              </w:rPr>
            </w:pPr>
          </w:p>
        </w:tc>
        <w:tc>
          <w:tcPr>
            <w:tcW w:w="350" w:type="pct"/>
            <w:tcBorders>
              <w:top w:val="nil"/>
              <w:bottom w:val="single" w:sz="4" w:space="0" w:color="auto"/>
            </w:tcBorders>
          </w:tcPr>
          <w:p w14:paraId="44BC7C6C" w14:textId="77777777" w:rsidR="00E370D0" w:rsidRPr="003A2A1C" w:rsidRDefault="00E370D0" w:rsidP="00E370D0">
            <w:pPr>
              <w:pStyle w:val="BodyText"/>
              <w:rPr>
                <w:b/>
                <w:sz w:val="22"/>
                <w:szCs w:val="22"/>
              </w:rPr>
            </w:pPr>
          </w:p>
        </w:tc>
        <w:tc>
          <w:tcPr>
            <w:tcW w:w="552" w:type="pct"/>
            <w:tcBorders>
              <w:top w:val="nil"/>
              <w:bottom w:val="single" w:sz="4" w:space="0" w:color="auto"/>
            </w:tcBorders>
          </w:tcPr>
          <w:p w14:paraId="0DFE099D" w14:textId="77777777" w:rsidR="00E370D0" w:rsidRPr="003A2A1C" w:rsidRDefault="00E370D0" w:rsidP="00E370D0">
            <w:pPr>
              <w:pStyle w:val="BodyText"/>
              <w:rPr>
                <w:b/>
                <w:sz w:val="22"/>
                <w:szCs w:val="22"/>
              </w:rPr>
            </w:pPr>
          </w:p>
        </w:tc>
        <w:tc>
          <w:tcPr>
            <w:tcW w:w="220" w:type="pct"/>
            <w:tcBorders>
              <w:top w:val="nil"/>
              <w:bottom w:val="single" w:sz="4" w:space="0" w:color="auto"/>
            </w:tcBorders>
          </w:tcPr>
          <w:p w14:paraId="65C37F5C" w14:textId="77777777" w:rsidR="00E370D0" w:rsidRPr="003A2A1C" w:rsidRDefault="00E370D0" w:rsidP="00E370D0">
            <w:pPr>
              <w:pStyle w:val="BodyText"/>
              <w:rPr>
                <w:b/>
                <w:sz w:val="22"/>
                <w:szCs w:val="22"/>
              </w:rPr>
            </w:pPr>
          </w:p>
        </w:tc>
      </w:tr>
      <w:tr w:rsidR="00E370D0" w:rsidRPr="003A2A1C" w14:paraId="6D48A80E" w14:textId="77777777" w:rsidTr="00E370D0">
        <w:trPr>
          <w:trHeight w:hRule="exact" w:val="288"/>
        </w:trPr>
        <w:tc>
          <w:tcPr>
            <w:tcW w:w="163" w:type="pct"/>
            <w:tcBorders>
              <w:top w:val="single" w:sz="4" w:space="0" w:color="auto"/>
            </w:tcBorders>
          </w:tcPr>
          <w:p w14:paraId="66A78DF2" w14:textId="77777777" w:rsidR="00E370D0" w:rsidRPr="003A2A1C" w:rsidRDefault="00E370D0" w:rsidP="00E370D0">
            <w:pPr>
              <w:pStyle w:val="BodyText"/>
              <w:rPr>
                <w:b/>
                <w:sz w:val="22"/>
                <w:szCs w:val="22"/>
              </w:rPr>
            </w:pPr>
          </w:p>
        </w:tc>
        <w:tc>
          <w:tcPr>
            <w:tcW w:w="784" w:type="pct"/>
            <w:tcBorders>
              <w:top w:val="single" w:sz="4" w:space="0" w:color="auto"/>
            </w:tcBorders>
          </w:tcPr>
          <w:p w14:paraId="44FD70C1" w14:textId="77777777" w:rsidR="00E370D0" w:rsidRPr="003A2A1C" w:rsidRDefault="00E370D0" w:rsidP="00E370D0">
            <w:pPr>
              <w:pStyle w:val="BodyText"/>
              <w:rPr>
                <w:b/>
                <w:sz w:val="22"/>
                <w:szCs w:val="22"/>
              </w:rPr>
            </w:pPr>
          </w:p>
        </w:tc>
        <w:tc>
          <w:tcPr>
            <w:tcW w:w="461" w:type="pct"/>
            <w:tcBorders>
              <w:top w:val="single" w:sz="4" w:space="0" w:color="auto"/>
            </w:tcBorders>
          </w:tcPr>
          <w:p w14:paraId="49DB6EE9" w14:textId="77777777" w:rsidR="00E370D0" w:rsidRPr="003A2A1C" w:rsidRDefault="00E370D0" w:rsidP="00E370D0">
            <w:pPr>
              <w:pStyle w:val="BodyText"/>
              <w:rPr>
                <w:b/>
                <w:sz w:val="22"/>
                <w:szCs w:val="22"/>
              </w:rPr>
            </w:pPr>
          </w:p>
        </w:tc>
        <w:tc>
          <w:tcPr>
            <w:tcW w:w="473" w:type="pct"/>
            <w:tcBorders>
              <w:top w:val="single" w:sz="4" w:space="0" w:color="auto"/>
            </w:tcBorders>
          </w:tcPr>
          <w:p w14:paraId="023AAF79" w14:textId="77777777" w:rsidR="00E370D0" w:rsidRPr="003A2A1C" w:rsidRDefault="00E370D0" w:rsidP="00E370D0">
            <w:pPr>
              <w:pStyle w:val="BodyText"/>
              <w:rPr>
                <w:b/>
                <w:sz w:val="22"/>
                <w:szCs w:val="22"/>
              </w:rPr>
            </w:pPr>
          </w:p>
        </w:tc>
        <w:tc>
          <w:tcPr>
            <w:tcW w:w="491" w:type="pct"/>
            <w:tcBorders>
              <w:top w:val="single" w:sz="4" w:space="0" w:color="auto"/>
            </w:tcBorders>
          </w:tcPr>
          <w:p w14:paraId="206A6BBB" w14:textId="77777777" w:rsidR="00E370D0" w:rsidRPr="003A2A1C" w:rsidRDefault="00E370D0" w:rsidP="00E370D0">
            <w:pPr>
              <w:pStyle w:val="BodyText"/>
              <w:rPr>
                <w:b/>
                <w:sz w:val="22"/>
                <w:szCs w:val="22"/>
              </w:rPr>
            </w:pPr>
          </w:p>
        </w:tc>
        <w:tc>
          <w:tcPr>
            <w:tcW w:w="513" w:type="pct"/>
            <w:gridSpan w:val="2"/>
            <w:tcBorders>
              <w:top w:val="single" w:sz="4" w:space="0" w:color="auto"/>
            </w:tcBorders>
          </w:tcPr>
          <w:p w14:paraId="2DB3B64F" w14:textId="77777777" w:rsidR="00E370D0" w:rsidRPr="003A2A1C" w:rsidRDefault="00E370D0" w:rsidP="00E370D0">
            <w:pPr>
              <w:pStyle w:val="BodyText"/>
              <w:rPr>
                <w:b/>
                <w:sz w:val="22"/>
                <w:szCs w:val="22"/>
              </w:rPr>
            </w:pPr>
          </w:p>
        </w:tc>
        <w:tc>
          <w:tcPr>
            <w:tcW w:w="491" w:type="pct"/>
            <w:tcBorders>
              <w:top w:val="single" w:sz="4" w:space="0" w:color="auto"/>
            </w:tcBorders>
          </w:tcPr>
          <w:p w14:paraId="6265C937" w14:textId="77777777" w:rsidR="00E370D0" w:rsidRPr="003A2A1C" w:rsidRDefault="00E370D0" w:rsidP="00E370D0">
            <w:pPr>
              <w:pStyle w:val="BodyText"/>
              <w:rPr>
                <w:b/>
                <w:sz w:val="22"/>
                <w:szCs w:val="22"/>
              </w:rPr>
            </w:pPr>
          </w:p>
        </w:tc>
        <w:tc>
          <w:tcPr>
            <w:tcW w:w="504" w:type="pct"/>
            <w:tcBorders>
              <w:top w:val="single" w:sz="4" w:space="0" w:color="auto"/>
            </w:tcBorders>
          </w:tcPr>
          <w:p w14:paraId="75E53EFC" w14:textId="77777777" w:rsidR="00E370D0" w:rsidRPr="003A2A1C" w:rsidRDefault="00E370D0" w:rsidP="00E370D0">
            <w:pPr>
              <w:pStyle w:val="BodyText"/>
              <w:rPr>
                <w:b/>
                <w:sz w:val="22"/>
                <w:szCs w:val="22"/>
              </w:rPr>
            </w:pPr>
          </w:p>
        </w:tc>
        <w:tc>
          <w:tcPr>
            <w:tcW w:w="350" w:type="pct"/>
            <w:tcBorders>
              <w:top w:val="single" w:sz="4" w:space="0" w:color="auto"/>
            </w:tcBorders>
          </w:tcPr>
          <w:p w14:paraId="76AE3AFC" w14:textId="77777777" w:rsidR="00E370D0" w:rsidRPr="003A2A1C" w:rsidRDefault="00E370D0" w:rsidP="00E370D0">
            <w:pPr>
              <w:pStyle w:val="BodyText"/>
              <w:rPr>
                <w:b/>
                <w:sz w:val="22"/>
                <w:szCs w:val="22"/>
              </w:rPr>
            </w:pPr>
          </w:p>
        </w:tc>
        <w:tc>
          <w:tcPr>
            <w:tcW w:w="552" w:type="pct"/>
            <w:tcBorders>
              <w:top w:val="single" w:sz="4" w:space="0" w:color="auto"/>
            </w:tcBorders>
          </w:tcPr>
          <w:p w14:paraId="1519D60D" w14:textId="77777777" w:rsidR="00E370D0" w:rsidRPr="003A2A1C" w:rsidRDefault="00E370D0" w:rsidP="00E370D0">
            <w:pPr>
              <w:pStyle w:val="BodyText"/>
              <w:rPr>
                <w:b/>
                <w:sz w:val="22"/>
                <w:szCs w:val="22"/>
              </w:rPr>
            </w:pPr>
          </w:p>
        </w:tc>
        <w:tc>
          <w:tcPr>
            <w:tcW w:w="220" w:type="pct"/>
            <w:tcBorders>
              <w:top w:val="single" w:sz="4" w:space="0" w:color="auto"/>
            </w:tcBorders>
          </w:tcPr>
          <w:p w14:paraId="1B3577FB" w14:textId="77777777" w:rsidR="00E370D0" w:rsidRPr="003A2A1C" w:rsidRDefault="00E370D0" w:rsidP="00E370D0">
            <w:pPr>
              <w:pStyle w:val="BodyText"/>
              <w:rPr>
                <w:b/>
                <w:sz w:val="22"/>
                <w:szCs w:val="22"/>
              </w:rPr>
            </w:pPr>
          </w:p>
        </w:tc>
      </w:tr>
      <w:tr w:rsidR="00E370D0" w:rsidRPr="003A2A1C" w14:paraId="16446619" w14:textId="77777777" w:rsidTr="00E370D0">
        <w:trPr>
          <w:trHeight w:hRule="exact" w:val="288"/>
        </w:trPr>
        <w:tc>
          <w:tcPr>
            <w:tcW w:w="163" w:type="pct"/>
          </w:tcPr>
          <w:p w14:paraId="1764130E" w14:textId="77777777" w:rsidR="00E370D0" w:rsidRPr="003A2A1C" w:rsidRDefault="00E370D0" w:rsidP="00E370D0">
            <w:pPr>
              <w:pStyle w:val="BodyText"/>
              <w:jc w:val="center"/>
              <w:rPr>
                <w:b/>
                <w:sz w:val="22"/>
                <w:szCs w:val="22"/>
              </w:rPr>
            </w:pPr>
          </w:p>
        </w:tc>
        <w:tc>
          <w:tcPr>
            <w:tcW w:w="784" w:type="pct"/>
          </w:tcPr>
          <w:p w14:paraId="753BBE33" w14:textId="77777777" w:rsidR="00E370D0" w:rsidRPr="003A2A1C" w:rsidRDefault="00E370D0" w:rsidP="00E370D0">
            <w:pPr>
              <w:pStyle w:val="BodyText"/>
              <w:jc w:val="center"/>
              <w:rPr>
                <w:b/>
                <w:sz w:val="22"/>
                <w:szCs w:val="22"/>
              </w:rPr>
            </w:pPr>
          </w:p>
        </w:tc>
        <w:tc>
          <w:tcPr>
            <w:tcW w:w="461" w:type="pct"/>
          </w:tcPr>
          <w:p w14:paraId="0FFC9AA0" w14:textId="77777777" w:rsidR="00E370D0" w:rsidRPr="003A2A1C" w:rsidRDefault="00E370D0" w:rsidP="00E370D0">
            <w:pPr>
              <w:pStyle w:val="BodyText"/>
              <w:jc w:val="center"/>
              <w:rPr>
                <w:b/>
                <w:sz w:val="22"/>
                <w:szCs w:val="22"/>
              </w:rPr>
            </w:pPr>
          </w:p>
        </w:tc>
        <w:tc>
          <w:tcPr>
            <w:tcW w:w="473" w:type="pct"/>
          </w:tcPr>
          <w:p w14:paraId="68C49569" w14:textId="77777777" w:rsidR="00E370D0" w:rsidRPr="003A2A1C" w:rsidRDefault="00E370D0" w:rsidP="00E370D0">
            <w:pPr>
              <w:pStyle w:val="BodyText"/>
              <w:jc w:val="center"/>
              <w:rPr>
                <w:b/>
                <w:sz w:val="22"/>
                <w:szCs w:val="22"/>
              </w:rPr>
            </w:pPr>
            <w:r w:rsidRPr="003A2A1C">
              <w:rPr>
                <w:b/>
                <w:sz w:val="22"/>
                <w:szCs w:val="22"/>
              </w:rPr>
              <w:t>SPECIFIC</w:t>
            </w:r>
          </w:p>
        </w:tc>
        <w:tc>
          <w:tcPr>
            <w:tcW w:w="491" w:type="pct"/>
          </w:tcPr>
          <w:p w14:paraId="58A4BA34" w14:textId="77777777" w:rsidR="00E370D0" w:rsidRPr="003A2A1C" w:rsidRDefault="00E370D0" w:rsidP="00E370D0">
            <w:pPr>
              <w:pStyle w:val="BodyText"/>
              <w:jc w:val="center"/>
              <w:rPr>
                <w:b/>
                <w:sz w:val="22"/>
                <w:szCs w:val="22"/>
              </w:rPr>
            </w:pPr>
            <w:r w:rsidRPr="003A2A1C">
              <w:rPr>
                <w:b/>
                <w:sz w:val="22"/>
                <w:szCs w:val="22"/>
              </w:rPr>
              <w:t>BALANCE</w:t>
            </w:r>
          </w:p>
        </w:tc>
        <w:tc>
          <w:tcPr>
            <w:tcW w:w="513" w:type="pct"/>
            <w:gridSpan w:val="2"/>
          </w:tcPr>
          <w:p w14:paraId="42884DA8" w14:textId="77777777" w:rsidR="00E370D0" w:rsidRPr="003A2A1C" w:rsidRDefault="00E370D0" w:rsidP="00E370D0">
            <w:pPr>
              <w:pStyle w:val="BodyText"/>
              <w:jc w:val="center"/>
              <w:rPr>
                <w:b/>
                <w:sz w:val="22"/>
                <w:szCs w:val="22"/>
              </w:rPr>
            </w:pPr>
            <w:r w:rsidRPr="003A2A1C">
              <w:rPr>
                <w:b/>
                <w:sz w:val="22"/>
                <w:szCs w:val="22"/>
              </w:rPr>
              <w:t>PRO RATA</w:t>
            </w:r>
          </w:p>
        </w:tc>
        <w:tc>
          <w:tcPr>
            <w:tcW w:w="491" w:type="pct"/>
          </w:tcPr>
          <w:p w14:paraId="02180E09" w14:textId="77777777" w:rsidR="00E370D0" w:rsidRPr="003A2A1C" w:rsidRDefault="00E370D0" w:rsidP="00E370D0">
            <w:pPr>
              <w:pStyle w:val="BodyText"/>
              <w:jc w:val="center"/>
              <w:rPr>
                <w:b/>
                <w:sz w:val="22"/>
                <w:szCs w:val="22"/>
              </w:rPr>
            </w:pPr>
            <w:r w:rsidRPr="003A2A1C">
              <w:rPr>
                <w:b/>
                <w:sz w:val="22"/>
                <w:szCs w:val="22"/>
              </w:rPr>
              <w:t>BALANCE</w:t>
            </w:r>
          </w:p>
        </w:tc>
        <w:tc>
          <w:tcPr>
            <w:tcW w:w="504" w:type="pct"/>
          </w:tcPr>
          <w:p w14:paraId="6FDF273D" w14:textId="77777777" w:rsidR="00E370D0" w:rsidRPr="003A2A1C" w:rsidRDefault="00E370D0" w:rsidP="00E370D0">
            <w:pPr>
              <w:pStyle w:val="BodyText"/>
              <w:jc w:val="center"/>
              <w:rPr>
                <w:b/>
                <w:sz w:val="22"/>
                <w:szCs w:val="22"/>
              </w:rPr>
            </w:pPr>
            <w:r w:rsidRPr="003A2A1C">
              <w:rPr>
                <w:b/>
                <w:sz w:val="22"/>
                <w:szCs w:val="22"/>
              </w:rPr>
              <w:t>PERCENT</w:t>
            </w:r>
          </w:p>
        </w:tc>
        <w:tc>
          <w:tcPr>
            <w:tcW w:w="350" w:type="pct"/>
          </w:tcPr>
          <w:p w14:paraId="5EF1434D" w14:textId="77777777" w:rsidR="00E370D0" w:rsidRPr="003A2A1C" w:rsidRDefault="00E370D0" w:rsidP="00E370D0">
            <w:pPr>
              <w:pStyle w:val="BodyText"/>
              <w:jc w:val="center"/>
              <w:rPr>
                <w:b/>
                <w:sz w:val="22"/>
                <w:szCs w:val="22"/>
              </w:rPr>
            </w:pPr>
          </w:p>
        </w:tc>
        <w:tc>
          <w:tcPr>
            <w:tcW w:w="552" w:type="pct"/>
          </w:tcPr>
          <w:p w14:paraId="68AFC05B" w14:textId="77777777" w:rsidR="00E370D0" w:rsidRPr="003A2A1C" w:rsidRDefault="00E370D0" w:rsidP="00E370D0">
            <w:pPr>
              <w:pStyle w:val="BodyText"/>
              <w:jc w:val="center"/>
              <w:rPr>
                <w:b/>
                <w:sz w:val="22"/>
                <w:szCs w:val="22"/>
              </w:rPr>
            </w:pPr>
          </w:p>
        </w:tc>
        <w:tc>
          <w:tcPr>
            <w:tcW w:w="220" w:type="pct"/>
          </w:tcPr>
          <w:p w14:paraId="397345AA" w14:textId="77777777" w:rsidR="00E370D0" w:rsidRPr="003A2A1C" w:rsidRDefault="00E370D0" w:rsidP="00E370D0">
            <w:pPr>
              <w:pStyle w:val="BodyText"/>
              <w:jc w:val="center"/>
              <w:rPr>
                <w:b/>
                <w:sz w:val="22"/>
                <w:szCs w:val="22"/>
              </w:rPr>
            </w:pPr>
          </w:p>
        </w:tc>
      </w:tr>
      <w:tr w:rsidR="00E370D0" w:rsidRPr="003A2A1C" w14:paraId="65BF706F" w14:textId="77777777" w:rsidTr="00E370D0">
        <w:trPr>
          <w:trHeight w:hRule="exact" w:val="288"/>
        </w:trPr>
        <w:tc>
          <w:tcPr>
            <w:tcW w:w="163" w:type="pct"/>
            <w:tcBorders>
              <w:bottom w:val="nil"/>
            </w:tcBorders>
          </w:tcPr>
          <w:p w14:paraId="590D90AB" w14:textId="77777777" w:rsidR="00E370D0" w:rsidRPr="003A2A1C" w:rsidRDefault="00E370D0" w:rsidP="00E370D0">
            <w:pPr>
              <w:pStyle w:val="BodyText"/>
              <w:jc w:val="center"/>
              <w:rPr>
                <w:b/>
                <w:sz w:val="22"/>
                <w:szCs w:val="22"/>
              </w:rPr>
            </w:pPr>
          </w:p>
        </w:tc>
        <w:tc>
          <w:tcPr>
            <w:tcW w:w="784" w:type="pct"/>
            <w:tcBorders>
              <w:bottom w:val="nil"/>
            </w:tcBorders>
          </w:tcPr>
          <w:p w14:paraId="7873C3D0" w14:textId="77777777" w:rsidR="00E370D0" w:rsidRPr="003A2A1C" w:rsidRDefault="00E370D0" w:rsidP="00E370D0">
            <w:pPr>
              <w:pStyle w:val="BodyText"/>
              <w:jc w:val="center"/>
              <w:rPr>
                <w:b/>
                <w:sz w:val="22"/>
                <w:szCs w:val="22"/>
              </w:rPr>
            </w:pPr>
          </w:p>
        </w:tc>
        <w:tc>
          <w:tcPr>
            <w:tcW w:w="461" w:type="pct"/>
            <w:tcBorders>
              <w:bottom w:val="nil"/>
            </w:tcBorders>
          </w:tcPr>
          <w:p w14:paraId="0C2BFEA6" w14:textId="77777777" w:rsidR="00E370D0" w:rsidRPr="003A2A1C" w:rsidRDefault="00E370D0" w:rsidP="00E370D0">
            <w:pPr>
              <w:pStyle w:val="BodyText"/>
              <w:jc w:val="center"/>
              <w:rPr>
                <w:b/>
                <w:sz w:val="22"/>
                <w:szCs w:val="22"/>
              </w:rPr>
            </w:pPr>
            <w:r w:rsidRPr="003A2A1C">
              <w:rPr>
                <w:b/>
                <w:sz w:val="22"/>
                <w:szCs w:val="22"/>
              </w:rPr>
              <w:t>PER</w:t>
            </w:r>
          </w:p>
        </w:tc>
        <w:tc>
          <w:tcPr>
            <w:tcW w:w="473" w:type="pct"/>
            <w:tcBorders>
              <w:bottom w:val="nil"/>
            </w:tcBorders>
          </w:tcPr>
          <w:p w14:paraId="0ED4D1FE" w14:textId="77777777" w:rsidR="00E370D0" w:rsidRPr="003A2A1C" w:rsidRDefault="00E370D0" w:rsidP="00E370D0">
            <w:pPr>
              <w:pStyle w:val="BodyText"/>
              <w:jc w:val="center"/>
              <w:rPr>
                <w:b/>
                <w:sz w:val="22"/>
                <w:szCs w:val="22"/>
              </w:rPr>
            </w:pPr>
            <w:r w:rsidRPr="003A2A1C">
              <w:rPr>
                <w:b/>
                <w:sz w:val="22"/>
                <w:szCs w:val="22"/>
              </w:rPr>
              <w:t>ADJUST-</w:t>
            </w:r>
          </w:p>
        </w:tc>
        <w:tc>
          <w:tcPr>
            <w:tcW w:w="491" w:type="pct"/>
            <w:tcBorders>
              <w:bottom w:val="nil"/>
            </w:tcBorders>
          </w:tcPr>
          <w:p w14:paraId="1588ACC8" w14:textId="77777777" w:rsidR="00E370D0" w:rsidRPr="003A2A1C" w:rsidRDefault="00E370D0" w:rsidP="00E370D0">
            <w:pPr>
              <w:pStyle w:val="BodyText"/>
              <w:jc w:val="center"/>
              <w:rPr>
                <w:b/>
                <w:sz w:val="22"/>
                <w:szCs w:val="22"/>
              </w:rPr>
            </w:pPr>
            <w:r w:rsidRPr="003A2A1C">
              <w:rPr>
                <w:b/>
                <w:sz w:val="22"/>
                <w:szCs w:val="22"/>
              </w:rPr>
              <w:t>AFTER</w:t>
            </w:r>
          </w:p>
        </w:tc>
        <w:tc>
          <w:tcPr>
            <w:tcW w:w="513" w:type="pct"/>
            <w:gridSpan w:val="2"/>
            <w:tcBorders>
              <w:bottom w:val="nil"/>
            </w:tcBorders>
          </w:tcPr>
          <w:p w14:paraId="37592E47" w14:textId="77777777" w:rsidR="00E370D0" w:rsidRPr="003A2A1C" w:rsidRDefault="00E370D0" w:rsidP="00E370D0">
            <w:pPr>
              <w:pStyle w:val="BodyText"/>
              <w:jc w:val="center"/>
              <w:rPr>
                <w:b/>
                <w:sz w:val="22"/>
                <w:szCs w:val="22"/>
              </w:rPr>
            </w:pPr>
            <w:r w:rsidRPr="003A2A1C">
              <w:rPr>
                <w:b/>
                <w:sz w:val="22"/>
                <w:szCs w:val="22"/>
              </w:rPr>
              <w:t>ADJUST-</w:t>
            </w:r>
          </w:p>
        </w:tc>
        <w:tc>
          <w:tcPr>
            <w:tcW w:w="491" w:type="pct"/>
            <w:tcBorders>
              <w:bottom w:val="nil"/>
            </w:tcBorders>
          </w:tcPr>
          <w:p w14:paraId="7351276A" w14:textId="77777777" w:rsidR="00E370D0" w:rsidRPr="003A2A1C" w:rsidRDefault="00E370D0" w:rsidP="00E370D0">
            <w:pPr>
              <w:pStyle w:val="BodyText"/>
              <w:jc w:val="center"/>
              <w:rPr>
                <w:b/>
                <w:sz w:val="22"/>
                <w:szCs w:val="22"/>
              </w:rPr>
            </w:pPr>
            <w:r w:rsidRPr="003A2A1C">
              <w:rPr>
                <w:b/>
                <w:sz w:val="22"/>
                <w:szCs w:val="22"/>
              </w:rPr>
              <w:t>PER</w:t>
            </w:r>
          </w:p>
        </w:tc>
        <w:tc>
          <w:tcPr>
            <w:tcW w:w="504" w:type="pct"/>
            <w:tcBorders>
              <w:bottom w:val="nil"/>
            </w:tcBorders>
          </w:tcPr>
          <w:p w14:paraId="0B62149B" w14:textId="77777777" w:rsidR="00E370D0" w:rsidRPr="003A2A1C" w:rsidRDefault="00E370D0" w:rsidP="00E370D0">
            <w:pPr>
              <w:pStyle w:val="BodyText"/>
              <w:jc w:val="center"/>
              <w:rPr>
                <w:b/>
                <w:sz w:val="22"/>
                <w:szCs w:val="22"/>
              </w:rPr>
            </w:pPr>
            <w:r w:rsidRPr="003A2A1C">
              <w:rPr>
                <w:b/>
                <w:sz w:val="22"/>
                <w:szCs w:val="22"/>
              </w:rPr>
              <w:t>OF</w:t>
            </w:r>
          </w:p>
        </w:tc>
        <w:tc>
          <w:tcPr>
            <w:tcW w:w="350" w:type="pct"/>
            <w:tcBorders>
              <w:bottom w:val="nil"/>
            </w:tcBorders>
          </w:tcPr>
          <w:p w14:paraId="4CBD44F7" w14:textId="77777777" w:rsidR="00E370D0" w:rsidRPr="003A2A1C" w:rsidRDefault="00E370D0" w:rsidP="00E370D0">
            <w:pPr>
              <w:pStyle w:val="BodyText"/>
              <w:jc w:val="center"/>
              <w:rPr>
                <w:b/>
                <w:sz w:val="22"/>
                <w:szCs w:val="22"/>
              </w:rPr>
            </w:pPr>
          </w:p>
        </w:tc>
        <w:tc>
          <w:tcPr>
            <w:tcW w:w="552" w:type="pct"/>
            <w:tcBorders>
              <w:bottom w:val="nil"/>
            </w:tcBorders>
          </w:tcPr>
          <w:p w14:paraId="140B9C96" w14:textId="77777777" w:rsidR="00E370D0" w:rsidRPr="003A2A1C" w:rsidRDefault="00E370D0" w:rsidP="00E370D0">
            <w:pPr>
              <w:pStyle w:val="BodyText"/>
              <w:jc w:val="center"/>
              <w:rPr>
                <w:b/>
                <w:sz w:val="22"/>
                <w:szCs w:val="22"/>
              </w:rPr>
            </w:pPr>
            <w:r w:rsidRPr="003A2A1C">
              <w:rPr>
                <w:b/>
                <w:sz w:val="22"/>
                <w:szCs w:val="22"/>
              </w:rPr>
              <w:t>WEIGHTED</w:t>
            </w:r>
          </w:p>
        </w:tc>
        <w:tc>
          <w:tcPr>
            <w:tcW w:w="220" w:type="pct"/>
            <w:tcBorders>
              <w:bottom w:val="nil"/>
            </w:tcBorders>
          </w:tcPr>
          <w:p w14:paraId="1C82ECB4" w14:textId="77777777" w:rsidR="00E370D0" w:rsidRPr="003A2A1C" w:rsidRDefault="00E370D0" w:rsidP="00E370D0">
            <w:pPr>
              <w:pStyle w:val="BodyText"/>
              <w:jc w:val="center"/>
              <w:rPr>
                <w:b/>
                <w:sz w:val="22"/>
                <w:szCs w:val="22"/>
              </w:rPr>
            </w:pPr>
          </w:p>
        </w:tc>
      </w:tr>
      <w:tr w:rsidR="00E370D0" w:rsidRPr="003A2A1C" w14:paraId="43F045C2" w14:textId="77777777" w:rsidTr="00E370D0">
        <w:trPr>
          <w:trHeight w:hRule="exact" w:val="288"/>
        </w:trPr>
        <w:tc>
          <w:tcPr>
            <w:tcW w:w="163" w:type="pct"/>
            <w:tcBorders>
              <w:top w:val="nil"/>
              <w:bottom w:val="single" w:sz="4" w:space="0" w:color="auto"/>
            </w:tcBorders>
          </w:tcPr>
          <w:p w14:paraId="7C493141" w14:textId="77777777" w:rsidR="00E370D0" w:rsidRPr="003A2A1C" w:rsidRDefault="00E370D0" w:rsidP="00E370D0">
            <w:pPr>
              <w:pStyle w:val="BodyText"/>
              <w:jc w:val="center"/>
              <w:rPr>
                <w:b/>
                <w:sz w:val="22"/>
                <w:szCs w:val="22"/>
                <w:u w:val="single"/>
              </w:rPr>
            </w:pPr>
          </w:p>
        </w:tc>
        <w:tc>
          <w:tcPr>
            <w:tcW w:w="784" w:type="pct"/>
            <w:tcBorders>
              <w:top w:val="nil"/>
              <w:bottom w:val="single" w:sz="4" w:space="0" w:color="auto"/>
            </w:tcBorders>
          </w:tcPr>
          <w:p w14:paraId="1EF39023" w14:textId="77777777" w:rsidR="00E370D0" w:rsidRPr="003A2A1C" w:rsidRDefault="00E370D0" w:rsidP="00E370D0">
            <w:pPr>
              <w:pStyle w:val="BodyText"/>
              <w:jc w:val="center"/>
              <w:rPr>
                <w:b/>
                <w:sz w:val="22"/>
                <w:szCs w:val="22"/>
                <w:u w:val="single"/>
              </w:rPr>
            </w:pPr>
            <w:r w:rsidRPr="003A2A1C">
              <w:rPr>
                <w:b/>
                <w:sz w:val="22"/>
                <w:szCs w:val="22"/>
                <w:u w:val="single"/>
              </w:rPr>
              <w:t>CAPITAL COMPONENT</w:t>
            </w:r>
          </w:p>
        </w:tc>
        <w:tc>
          <w:tcPr>
            <w:tcW w:w="461" w:type="pct"/>
            <w:tcBorders>
              <w:top w:val="nil"/>
              <w:bottom w:val="single" w:sz="4" w:space="0" w:color="auto"/>
            </w:tcBorders>
          </w:tcPr>
          <w:p w14:paraId="00ED5C92" w14:textId="77777777" w:rsidR="00E370D0" w:rsidRPr="003A2A1C" w:rsidRDefault="00E370D0" w:rsidP="00E370D0">
            <w:pPr>
              <w:pStyle w:val="BodyText"/>
              <w:jc w:val="center"/>
              <w:rPr>
                <w:b/>
                <w:sz w:val="22"/>
                <w:szCs w:val="22"/>
                <w:u w:val="single"/>
              </w:rPr>
            </w:pPr>
            <w:r w:rsidRPr="003A2A1C">
              <w:rPr>
                <w:b/>
                <w:sz w:val="22"/>
                <w:szCs w:val="22"/>
                <w:u w:val="single"/>
              </w:rPr>
              <w:t>UTILITY</w:t>
            </w:r>
          </w:p>
        </w:tc>
        <w:tc>
          <w:tcPr>
            <w:tcW w:w="473" w:type="pct"/>
            <w:tcBorders>
              <w:top w:val="nil"/>
              <w:bottom w:val="single" w:sz="4" w:space="0" w:color="auto"/>
            </w:tcBorders>
          </w:tcPr>
          <w:p w14:paraId="2D04F5F4" w14:textId="77777777" w:rsidR="00E370D0" w:rsidRPr="003A2A1C" w:rsidRDefault="00E370D0" w:rsidP="00E370D0">
            <w:pPr>
              <w:pStyle w:val="BodyText"/>
              <w:jc w:val="center"/>
              <w:rPr>
                <w:b/>
                <w:sz w:val="22"/>
                <w:szCs w:val="22"/>
                <w:u w:val="single"/>
              </w:rPr>
            </w:pPr>
            <w:r w:rsidRPr="003A2A1C">
              <w:rPr>
                <w:b/>
                <w:sz w:val="22"/>
                <w:szCs w:val="22"/>
                <w:u w:val="single"/>
              </w:rPr>
              <w:t>MENTS</w:t>
            </w:r>
          </w:p>
        </w:tc>
        <w:tc>
          <w:tcPr>
            <w:tcW w:w="491" w:type="pct"/>
            <w:tcBorders>
              <w:top w:val="nil"/>
              <w:bottom w:val="single" w:sz="4" w:space="0" w:color="auto"/>
            </w:tcBorders>
          </w:tcPr>
          <w:p w14:paraId="325C4BDD" w14:textId="77777777" w:rsidR="00E370D0" w:rsidRPr="003A2A1C" w:rsidRDefault="00E370D0" w:rsidP="00E370D0">
            <w:pPr>
              <w:pStyle w:val="BodyText"/>
              <w:jc w:val="center"/>
              <w:rPr>
                <w:b/>
                <w:sz w:val="22"/>
                <w:szCs w:val="22"/>
                <w:u w:val="single"/>
              </w:rPr>
            </w:pPr>
            <w:r w:rsidRPr="003A2A1C">
              <w:rPr>
                <w:b/>
                <w:sz w:val="22"/>
                <w:szCs w:val="22"/>
                <w:u w:val="single"/>
              </w:rPr>
              <w:t>ADJUST</w:t>
            </w:r>
          </w:p>
        </w:tc>
        <w:tc>
          <w:tcPr>
            <w:tcW w:w="513" w:type="pct"/>
            <w:gridSpan w:val="2"/>
            <w:tcBorders>
              <w:top w:val="nil"/>
              <w:bottom w:val="single" w:sz="4" w:space="0" w:color="auto"/>
            </w:tcBorders>
          </w:tcPr>
          <w:p w14:paraId="19D7216F" w14:textId="77777777" w:rsidR="00E370D0" w:rsidRPr="003A2A1C" w:rsidRDefault="00E370D0" w:rsidP="00E370D0">
            <w:pPr>
              <w:pStyle w:val="BodyText"/>
              <w:jc w:val="center"/>
              <w:rPr>
                <w:b/>
                <w:sz w:val="22"/>
                <w:szCs w:val="22"/>
                <w:u w:val="single"/>
              </w:rPr>
            </w:pPr>
            <w:r w:rsidRPr="003A2A1C">
              <w:rPr>
                <w:b/>
                <w:sz w:val="22"/>
                <w:szCs w:val="22"/>
                <w:u w:val="single"/>
              </w:rPr>
              <w:t>MENTS</w:t>
            </w:r>
          </w:p>
        </w:tc>
        <w:tc>
          <w:tcPr>
            <w:tcW w:w="491" w:type="pct"/>
            <w:tcBorders>
              <w:top w:val="nil"/>
              <w:bottom w:val="single" w:sz="4" w:space="0" w:color="auto"/>
            </w:tcBorders>
          </w:tcPr>
          <w:p w14:paraId="6D2A6DBC" w14:textId="77777777" w:rsidR="00E370D0" w:rsidRPr="003A2A1C" w:rsidRDefault="00E370D0" w:rsidP="00E370D0">
            <w:pPr>
              <w:pStyle w:val="BodyText"/>
              <w:jc w:val="center"/>
              <w:rPr>
                <w:b/>
                <w:sz w:val="22"/>
                <w:szCs w:val="22"/>
                <w:u w:val="single"/>
              </w:rPr>
            </w:pPr>
            <w:r w:rsidRPr="003A2A1C">
              <w:rPr>
                <w:b/>
                <w:sz w:val="22"/>
                <w:szCs w:val="22"/>
                <w:u w:val="single"/>
              </w:rPr>
              <w:t>STAFF</w:t>
            </w:r>
          </w:p>
        </w:tc>
        <w:tc>
          <w:tcPr>
            <w:tcW w:w="504" w:type="pct"/>
            <w:tcBorders>
              <w:top w:val="nil"/>
              <w:bottom w:val="single" w:sz="4" w:space="0" w:color="auto"/>
            </w:tcBorders>
          </w:tcPr>
          <w:p w14:paraId="0FC0B5A8" w14:textId="77777777" w:rsidR="00E370D0" w:rsidRPr="003A2A1C" w:rsidRDefault="00E370D0" w:rsidP="00E370D0">
            <w:pPr>
              <w:pStyle w:val="BodyText"/>
              <w:jc w:val="center"/>
              <w:rPr>
                <w:b/>
                <w:sz w:val="22"/>
                <w:szCs w:val="22"/>
                <w:u w:val="single"/>
              </w:rPr>
            </w:pPr>
            <w:r w:rsidRPr="003A2A1C">
              <w:rPr>
                <w:b/>
                <w:sz w:val="22"/>
                <w:szCs w:val="22"/>
                <w:u w:val="single"/>
              </w:rPr>
              <w:t>TOTAL</w:t>
            </w:r>
          </w:p>
        </w:tc>
        <w:tc>
          <w:tcPr>
            <w:tcW w:w="350" w:type="pct"/>
            <w:tcBorders>
              <w:top w:val="nil"/>
              <w:bottom w:val="single" w:sz="4" w:space="0" w:color="auto"/>
            </w:tcBorders>
          </w:tcPr>
          <w:p w14:paraId="6F059C8F" w14:textId="77777777" w:rsidR="00E370D0" w:rsidRPr="003A2A1C" w:rsidRDefault="00E370D0" w:rsidP="00E370D0">
            <w:pPr>
              <w:pStyle w:val="BodyText"/>
              <w:jc w:val="center"/>
              <w:rPr>
                <w:b/>
                <w:sz w:val="22"/>
                <w:szCs w:val="22"/>
                <w:u w:val="single"/>
              </w:rPr>
            </w:pPr>
            <w:r w:rsidRPr="003A2A1C">
              <w:rPr>
                <w:b/>
                <w:sz w:val="22"/>
                <w:szCs w:val="22"/>
                <w:u w:val="single"/>
              </w:rPr>
              <w:t>COST</w:t>
            </w:r>
          </w:p>
        </w:tc>
        <w:tc>
          <w:tcPr>
            <w:tcW w:w="552" w:type="pct"/>
            <w:tcBorders>
              <w:top w:val="nil"/>
              <w:bottom w:val="single" w:sz="4" w:space="0" w:color="auto"/>
            </w:tcBorders>
          </w:tcPr>
          <w:p w14:paraId="4554126F" w14:textId="77777777" w:rsidR="00E370D0" w:rsidRPr="003A2A1C" w:rsidRDefault="00E370D0" w:rsidP="00E370D0">
            <w:pPr>
              <w:pStyle w:val="BodyText"/>
              <w:jc w:val="center"/>
              <w:rPr>
                <w:b/>
                <w:sz w:val="22"/>
                <w:szCs w:val="22"/>
                <w:u w:val="single"/>
              </w:rPr>
            </w:pPr>
            <w:r w:rsidRPr="003A2A1C">
              <w:rPr>
                <w:b/>
                <w:sz w:val="22"/>
                <w:szCs w:val="22"/>
                <w:u w:val="single"/>
              </w:rPr>
              <w:t>COST</w:t>
            </w:r>
          </w:p>
        </w:tc>
        <w:tc>
          <w:tcPr>
            <w:tcW w:w="220" w:type="pct"/>
            <w:tcBorders>
              <w:top w:val="nil"/>
              <w:bottom w:val="single" w:sz="4" w:space="0" w:color="auto"/>
            </w:tcBorders>
          </w:tcPr>
          <w:p w14:paraId="45540929" w14:textId="77777777" w:rsidR="00E370D0" w:rsidRPr="003A2A1C" w:rsidRDefault="00E370D0" w:rsidP="00E370D0">
            <w:pPr>
              <w:pStyle w:val="BodyText"/>
              <w:jc w:val="center"/>
              <w:rPr>
                <w:b/>
                <w:sz w:val="22"/>
                <w:szCs w:val="22"/>
                <w:u w:val="single"/>
              </w:rPr>
            </w:pPr>
          </w:p>
        </w:tc>
      </w:tr>
      <w:tr w:rsidR="00E370D0" w:rsidRPr="003A2A1C" w14:paraId="5CE30283" w14:textId="77777777" w:rsidTr="00E370D0">
        <w:trPr>
          <w:trHeight w:hRule="exact" w:val="288"/>
        </w:trPr>
        <w:tc>
          <w:tcPr>
            <w:tcW w:w="163" w:type="pct"/>
            <w:tcBorders>
              <w:top w:val="single" w:sz="4" w:space="0" w:color="auto"/>
            </w:tcBorders>
          </w:tcPr>
          <w:p w14:paraId="73B0F179" w14:textId="77777777" w:rsidR="00E370D0" w:rsidRPr="003A2A1C" w:rsidRDefault="00E370D0" w:rsidP="00E370D0">
            <w:pPr>
              <w:pStyle w:val="BodyText"/>
              <w:rPr>
                <w:b/>
                <w:i/>
                <w:sz w:val="22"/>
                <w:szCs w:val="22"/>
              </w:rPr>
            </w:pPr>
          </w:p>
        </w:tc>
        <w:tc>
          <w:tcPr>
            <w:tcW w:w="784" w:type="pct"/>
            <w:tcBorders>
              <w:top w:val="single" w:sz="4" w:space="0" w:color="auto"/>
            </w:tcBorders>
          </w:tcPr>
          <w:p w14:paraId="662CB287" w14:textId="77777777" w:rsidR="00E370D0" w:rsidRPr="003A2A1C" w:rsidRDefault="00E370D0" w:rsidP="00E370D0">
            <w:pPr>
              <w:pStyle w:val="BodyText"/>
              <w:rPr>
                <w:b/>
                <w:i/>
                <w:sz w:val="22"/>
                <w:szCs w:val="22"/>
              </w:rPr>
            </w:pPr>
          </w:p>
        </w:tc>
        <w:tc>
          <w:tcPr>
            <w:tcW w:w="461" w:type="pct"/>
            <w:tcBorders>
              <w:top w:val="single" w:sz="4" w:space="0" w:color="auto"/>
            </w:tcBorders>
          </w:tcPr>
          <w:p w14:paraId="5BC9E3BF" w14:textId="77777777" w:rsidR="00E370D0" w:rsidRPr="003A2A1C" w:rsidRDefault="00E370D0" w:rsidP="00E370D0">
            <w:pPr>
              <w:pStyle w:val="BodyText"/>
              <w:rPr>
                <w:b/>
                <w:i/>
                <w:sz w:val="22"/>
                <w:szCs w:val="22"/>
              </w:rPr>
            </w:pPr>
          </w:p>
        </w:tc>
        <w:tc>
          <w:tcPr>
            <w:tcW w:w="473" w:type="pct"/>
            <w:tcBorders>
              <w:top w:val="single" w:sz="4" w:space="0" w:color="auto"/>
            </w:tcBorders>
          </w:tcPr>
          <w:p w14:paraId="6B32F625" w14:textId="77777777" w:rsidR="00E370D0" w:rsidRPr="003A2A1C" w:rsidRDefault="00E370D0" w:rsidP="00E370D0">
            <w:pPr>
              <w:pStyle w:val="BodyText"/>
              <w:rPr>
                <w:b/>
                <w:i/>
                <w:sz w:val="22"/>
                <w:szCs w:val="22"/>
              </w:rPr>
            </w:pPr>
          </w:p>
        </w:tc>
        <w:tc>
          <w:tcPr>
            <w:tcW w:w="491" w:type="pct"/>
            <w:tcBorders>
              <w:top w:val="single" w:sz="4" w:space="0" w:color="auto"/>
            </w:tcBorders>
          </w:tcPr>
          <w:p w14:paraId="1D19C887" w14:textId="77777777" w:rsidR="00E370D0" w:rsidRPr="003A2A1C" w:rsidRDefault="00E370D0" w:rsidP="00E370D0">
            <w:pPr>
              <w:pStyle w:val="BodyText"/>
              <w:rPr>
                <w:b/>
                <w:i/>
                <w:sz w:val="22"/>
                <w:szCs w:val="22"/>
              </w:rPr>
            </w:pPr>
          </w:p>
        </w:tc>
        <w:tc>
          <w:tcPr>
            <w:tcW w:w="513" w:type="pct"/>
            <w:gridSpan w:val="2"/>
            <w:tcBorders>
              <w:top w:val="single" w:sz="4" w:space="0" w:color="auto"/>
            </w:tcBorders>
          </w:tcPr>
          <w:p w14:paraId="012EA9DB" w14:textId="77777777" w:rsidR="00E370D0" w:rsidRPr="003A2A1C" w:rsidRDefault="00E370D0" w:rsidP="00E370D0">
            <w:pPr>
              <w:pStyle w:val="BodyText"/>
              <w:rPr>
                <w:b/>
                <w:i/>
                <w:sz w:val="22"/>
                <w:szCs w:val="22"/>
              </w:rPr>
            </w:pPr>
          </w:p>
        </w:tc>
        <w:tc>
          <w:tcPr>
            <w:tcW w:w="491" w:type="pct"/>
            <w:tcBorders>
              <w:top w:val="single" w:sz="4" w:space="0" w:color="auto"/>
            </w:tcBorders>
          </w:tcPr>
          <w:p w14:paraId="7636DC9F" w14:textId="77777777" w:rsidR="00E370D0" w:rsidRPr="003A2A1C" w:rsidRDefault="00E370D0" w:rsidP="00E370D0">
            <w:pPr>
              <w:pStyle w:val="BodyText"/>
              <w:rPr>
                <w:b/>
                <w:i/>
                <w:sz w:val="22"/>
                <w:szCs w:val="22"/>
              </w:rPr>
            </w:pPr>
          </w:p>
        </w:tc>
        <w:tc>
          <w:tcPr>
            <w:tcW w:w="504" w:type="pct"/>
            <w:tcBorders>
              <w:top w:val="single" w:sz="4" w:space="0" w:color="auto"/>
            </w:tcBorders>
          </w:tcPr>
          <w:p w14:paraId="31BAA418" w14:textId="77777777" w:rsidR="00E370D0" w:rsidRPr="003A2A1C" w:rsidRDefault="00E370D0" w:rsidP="00E370D0">
            <w:pPr>
              <w:pStyle w:val="BodyText"/>
              <w:rPr>
                <w:b/>
                <w:i/>
                <w:sz w:val="22"/>
                <w:szCs w:val="22"/>
              </w:rPr>
            </w:pPr>
          </w:p>
        </w:tc>
        <w:tc>
          <w:tcPr>
            <w:tcW w:w="350" w:type="pct"/>
            <w:tcBorders>
              <w:top w:val="single" w:sz="4" w:space="0" w:color="auto"/>
            </w:tcBorders>
          </w:tcPr>
          <w:p w14:paraId="6035F420" w14:textId="77777777" w:rsidR="00E370D0" w:rsidRPr="003A2A1C" w:rsidRDefault="00E370D0" w:rsidP="00E370D0">
            <w:pPr>
              <w:pStyle w:val="BodyText"/>
              <w:rPr>
                <w:b/>
                <w:i/>
                <w:sz w:val="22"/>
                <w:szCs w:val="22"/>
              </w:rPr>
            </w:pPr>
          </w:p>
        </w:tc>
        <w:tc>
          <w:tcPr>
            <w:tcW w:w="552" w:type="pct"/>
            <w:tcBorders>
              <w:top w:val="single" w:sz="4" w:space="0" w:color="auto"/>
            </w:tcBorders>
          </w:tcPr>
          <w:p w14:paraId="10E34D70" w14:textId="77777777" w:rsidR="00E370D0" w:rsidRPr="003A2A1C" w:rsidRDefault="00E370D0" w:rsidP="00E370D0">
            <w:pPr>
              <w:pStyle w:val="BodyText"/>
              <w:rPr>
                <w:b/>
                <w:i/>
                <w:sz w:val="22"/>
                <w:szCs w:val="22"/>
              </w:rPr>
            </w:pPr>
          </w:p>
        </w:tc>
        <w:tc>
          <w:tcPr>
            <w:tcW w:w="220" w:type="pct"/>
            <w:tcBorders>
              <w:top w:val="single" w:sz="4" w:space="0" w:color="auto"/>
            </w:tcBorders>
          </w:tcPr>
          <w:p w14:paraId="7B1E850B" w14:textId="77777777" w:rsidR="00E370D0" w:rsidRPr="003A2A1C" w:rsidRDefault="00E370D0" w:rsidP="00E370D0">
            <w:pPr>
              <w:pStyle w:val="BodyText"/>
              <w:rPr>
                <w:b/>
                <w:i/>
                <w:sz w:val="22"/>
                <w:szCs w:val="22"/>
              </w:rPr>
            </w:pPr>
          </w:p>
        </w:tc>
      </w:tr>
      <w:tr w:rsidR="00E370D0" w:rsidRPr="003A2A1C" w14:paraId="7A9729EF" w14:textId="77777777" w:rsidTr="00E370D0">
        <w:trPr>
          <w:trHeight w:hRule="exact" w:val="288"/>
        </w:trPr>
        <w:tc>
          <w:tcPr>
            <w:tcW w:w="163" w:type="pct"/>
          </w:tcPr>
          <w:p w14:paraId="0BE43DD3" w14:textId="77777777" w:rsidR="00E370D0" w:rsidRPr="003A2A1C" w:rsidRDefault="00E370D0" w:rsidP="00E370D0">
            <w:pPr>
              <w:pStyle w:val="BodyText"/>
              <w:rPr>
                <w:sz w:val="22"/>
                <w:szCs w:val="22"/>
              </w:rPr>
            </w:pPr>
            <w:r w:rsidRPr="003A2A1C">
              <w:rPr>
                <w:sz w:val="22"/>
                <w:szCs w:val="22"/>
              </w:rPr>
              <w:t>1.</w:t>
            </w:r>
          </w:p>
        </w:tc>
        <w:tc>
          <w:tcPr>
            <w:tcW w:w="784" w:type="pct"/>
          </w:tcPr>
          <w:p w14:paraId="4E248026" w14:textId="77777777" w:rsidR="00E370D0" w:rsidRPr="003A2A1C" w:rsidRDefault="00E370D0" w:rsidP="00E370D0">
            <w:pPr>
              <w:pStyle w:val="BodyText"/>
              <w:rPr>
                <w:sz w:val="22"/>
                <w:szCs w:val="22"/>
              </w:rPr>
            </w:pPr>
            <w:r w:rsidRPr="003A2A1C">
              <w:rPr>
                <w:sz w:val="22"/>
                <w:szCs w:val="22"/>
              </w:rPr>
              <w:t>LONG-TERM DEBT</w:t>
            </w:r>
          </w:p>
        </w:tc>
        <w:tc>
          <w:tcPr>
            <w:tcW w:w="461" w:type="pct"/>
          </w:tcPr>
          <w:p w14:paraId="695509FE" w14:textId="77777777" w:rsidR="00E370D0" w:rsidRPr="003A2A1C" w:rsidRDefault="00E370D0" w:rsidP="00E370D0">
            <w:pPr>
              <w:pStyle w:val="BodyText"/>
              <w:jc w:val="right"/>
              <w:rPr>
                <w:sz w:val="22"/>
                <w:szCs w:val="22"/>
              </w:rPr>
            </w:pPr>
            <w:r w:rsidRPr="003A2A1C">
              <w:rPr>
                <w:sz w:val="22"/>
                <w:szCs w:val="22"/>
              </w:rPr>
              <w:t>$1,431,854</w:t>
            </w:r>
          </w:p>
        </w:tc>
        <w:tc>
          <w:tcPr>
            <w:tcW w:w="473" w:type="pct"/>
          </w:tcPr>
          <w:p w14:paraId="7E6D4D74" w14:textId="77777777" w:rsidR="00E370D0" w:rsidRPr="003A2A1C" w:rsidRDefault="00E370D0" w:rsidP="00E370D0">
            <w:pPr>
              <w:pStyle w:val="BodyText"/>
              <w:jc w:val="right"/>
              <w:rPr>
                <w:sz w:val="22"/>
                <w:szCs w:val="22"/>
              </w:rPr>
            </w:pPr>
            <w:r w:rsidRPr="003A2A1C">
              <w:rPr>
                <w:sz w:val="22"/>
                <w:szCs w:val="22"/>
              </w:rPr>
              <w:t>$2,305,092</w:t>
            </w:r>
          </w:p>
        </w:tc>
        <w:tc>
          <w:tcPr>
            <w:tcW w:w="491" w:type="pct"/>
          </w:tcPr>
          <w:p w14:paraId="424168D5" w14:textId="77777777" w:rsidR="00E370D0" w:rsidRPr="003A2A1C" w:rsidRDefault="00E370D0" w:rsidP="00E370D0">
            <w:pPr>
              <w:pStyle w:val="BodyText"/>
              <w:jc w:val="right"/>
              <w:rPr>
                <w:sz w:val="22"/>
                <w:szCs w:val="22"/>
              </w:rPr>
            </w:pPr>
            <w:r w:rsidRPr="003A2A1C">
              <w:rPr>
                <w:sz w:val="22"/>
                <w:szCs w:val="22"/>
              </w:rPr>
              <w:t>$3,736,946</w:t>
            </w:r>
          </w:p>
        </w:tc>
        <w:tc>
          <w:tcPr>
            <w:tcW w:w="513" w:type="pct"/>
            <w:gridSpan w:val="2"/>
          </w:tcPr>
          <w:p w14:paraId="625F796F" w14:textId="77777777" w:rsidR="00E370D0" w:rsidRPr="003A2A1C" w:rsidRDefault="00E370D0" w:rsidP="00E370D0">
            <w:pPr>
              <w:pStyle w:val="BodyText"/>
              <w:jc w:val="right"/>
              <w:rPr>
                <w:sz w:val="22"/>
                <w:szCs w:val="22"/>
              </w:rPr>
            </w:pPr>
            <w:r w:rsidRPr="003A2A1C">
              <w:rPr>
                <w:sz w:val="22"/>
                <w:szCs w:val="22"/>
              </w:rPr>
              <w:t>($1,107,043)</w:t>
            </w:r>
          </w:p>
        </w:tc>
        <w:tc>
          <w:tcPr>
            <w:tcW w:w="491" w:type="pct"/>
          </w:tcPr>
          <w:p w14:paraId="03C29129" w14:textId="77777777" w:rsidR="00E370D0" w:rsidRPr="003A2A1C" w:rsidRDefault="00E370D0" w:rsidP="00E370D0">
            <w:pPr>
              <w:pStyle w:val="BodyText"/>
              <w:jc w:val="right"/>
              <w:rPr>
                <w:sz w:val="22"/>
                <w:szCs w:val="22"/>
              </w:rPr>
            </w:pPr>
            <w:r w:rsidRPr="003A2A1C">
              <w:rPr>
                <w:sz w:val="22"/>
                <w:szCs w:val="22"/>
              </w:rPr>
              <w:t>$2,629,904</w:t>
            </w:r>
          </w:p>
        </w:tc>
        <w:tc>
          <w:tcPr>
            <w:tcW w:w="504" w:type="pct"/>
          </w:tcPr>
          <w:p w14:paraId="5A4792B5" w14:textId="77777777" w:rsidR="00E370D0" w:rsidRPr="003A2A1C" w:rsidRDefault="00E370D0" w:rsidP="00E370D0">
            <w:pPr>
              <w:pStyle w:val="BodyText"/>
              <w:jc w:val="right"/>
              <w:rPr>
                <w:sz w:val="22"/>
                <w:szCs w:val="22"/>
              </w:rPr>
            </w:pPr>
            <w:r w:rsidRPr="003A2A1C">
              <w:rPr>
                <w:sz w:val="22"/>
                <w:szCs w:val="22"/>
              </w:rPr>
              <w:t>74.94%</w:t>
            </w:r>
          </w:p>
        </w:tc>
        <w:tc>
          <w:tcPr>
            <w:tcW w:w="350" w:type="pct"/>
          </w:tcPr>
          <w:p w14:paraId="06D4082B" w14:textId="77777777" w:rsidR="00E370D0" w:rsidRPr="003A2A1C" w:rsidRDefault="00E370D0" w:rsidP="00E370D0">
            <w:pPr>
              <w:pStyle w:val="BodyText"/>
              <w:jc w:val="right"/>
              <w:rPr>
                <w:sz w:val="22"/>
                <w:szCs w:val="22"/>
              </w:rPr>
            </w:pPr>
            <w:r w:rsidRPr="003A2A1C">
              <w:rPr>
                <w:sz w:val="22"/>
                <w:szCs w:val="22"/>
              </w:rPr>
              <w:t>8.52%</w:t>
            </w:r>
          </w:p>
        </w:tc>
        <w:tc>
          <w:tcPr>
            <w:tcW w:w="552" w:type="pct"/>
          </w:tcPr>
          <w:p w14:paraId="0F4A0801" w14:textId="77777777" w:rsidR="00E370D0" w:rsidRPr="003A2A1C" w:rsidRDefault="00E370D0" w:rsidP="00E370D0">
            <w:pPr>
              <w:pStyle w:val="BodyText"/>
              <w:jc w:val="center"/>
              <w:rPr>
                <w:sz w:val="22"/>
                <w:szCs w:val="22"/>
              </w:rPr>
            </w:pPr>
            <w:r w:rsidRPr="003A2A1C">
              <w:rPr>
                <w:sz w:val="22"/>
                <w:szCs w:val="22"/>
              </w:rPr>
              <w:t>6.38%</w:t>
            </w:r>
          </w:p>
        </w:tc>
        <w:tc>
          <w:tcPr>
            <w:tcW w:w="220" w:type="pct"/>
          </w:tcPr>
          <w:p w14:paraId="2621D28D" w14:textId="77777777" w:rsidR="00E370D0" w:rsidRPr="003A2A1C" w:rsidRDefault="00E370D0" w:rsidP="00E370D0">
            <w:pPr>
              <w:pStyle w:val="BodyText"/>
              <w:jc w:val="center"/>
              <w:rPr>
                <w:sz w:val="22"/>
                <w:szCs w:val="22"/>
              </w:rPr>
            </w:pPr>
          </w:p>
        </w:tc>
      </w:tr>
      <w:tr w:rsidR="00E370D0" w:rsidRPr="003A2A1C" w14:paraId="53E43695" w14:textId="77777777" w:rsidTr="00E370D0">
        <w:trPr>
          <w:trHeight w:hRule="exact" w:val="288"/>
        </w:trPr>
        <w:tc>
          <w:tcPr>
            <w:tcW w:w="163" w:type="pct"/>
          </w:tcPr>
          <w:p w14:paraId="1430B74E" w14:textId="77777777" w:rsidR="00E370D0" w:rsidRPr="003A2A1C" w:rsidRDefault="00E370D0" w:rsidP="00E370D0">
            <w:pPr>
              <w:pStyle w:val="BodyText"/>
              <w:rPr>
                <w:sz w:val="22"/>
                <w:szCs w:val="22"/>
              </w:rPr>
            </w:pPr>
            <w:r w:rsidRPr="003A2A1C">
              <w:rPr>
                <w:sz w:val="22"/>
                <w:szCs w:val="22"/>
              </w:rPr>
              <w:t>2.</w:t>
            </w:r>
          </w:p>
        </w:tc>
        <w:tc>
          <w:tcPr>
            <w:tcW w:w="784" w:type="pct"/>
          </w:tcPr>
          <w:p w14:paraId="2BF4DA05" w14:textId="77777777" w:rsidR="00E370D0" w:rsidRPr="003A2A1C" w:rsidRDefault="00E370D0" w:rsidP="00E370D0">
            <w:pPr>
              <w:pStyle w:val="BodyText"/>
              <w:rPr>
                <w:sz w:val="22"/>
                <w:szCs w:val="22"/>
              </w:rPr>
            </w:pPr>
            <w:r w:rsidRPr="003A2A1C">
              <w:rPr>
                <w:sz w:val="22"/>
                <w:szCs w:val="22"/>
              </w:rPr>
              <w:t>COMMON EQUITY</w:t>
            </w:r>
          </w:p>
        </w:tc>
        <w:tc>
          <w:tcPr>
            <w:tcW w:w="461" w:type="pct"/>
          </w:tcPr>
          <w:p w14:paraId="6B5CAB82" w14:textId="77777777" w:rsidR="00E370D0" w:rsidRPr="003A2A1C" w:rsidRDefault="00E370D0" w:rsidP="00E370D0">
            <w:pPr>
              <w:pStyle w:val="BodyText"/>
              <w:jc w:val="right"/>
              <w:rPr>
                <w:sz w:val="22"/>
                <w:szCs w:val="22"/>
              </w:rPr>
            </w:pPr>
            <w:r w:rsidRPr="003A2A1C">
              <w:rPr>
                <w:sz w:val="22"/>
                <w:szCs w:val="22"/>
              </w:rPr>
              <w:t>469,312</w:t>
            </w:r>
          </w:p>
        </w:tc>
        <w:tc>
          <w:tcPr>
            <w:tcW w:w="473" w:type="pct"/>
          </w:tcPr>
          <w:p w14:paraId="5D2C952F" w14:textId="77777777" w:rsidR="00E370D0" w:rsidRPr="003A2A1C" w:rsidRDefault="00E370D0" w:rsidP="00E370D0">
            <w:pPr>
              <w:pStyle w:val="BodyText"/>
              <w:jc w:val="right"/>
              <w:rPr>
                <w:sz w:val="22"/>
                <w:szCs w:val="22"/>
              </w:rPr>
            </w:pPr>
            <w:r w:rsidRPr="003A2A1C">
              <w:rPr>
                <w:sz w:val="22"/>
                <w:szCs w:val="22"/>
              </w:rPr>
              <w:t>768,364</w:t>
            </w:r>
          </w:p>
        </w:tc>
        <w:tc>
          <w:tcPr>
            <w:tcW w:w="491" w:type="pct"/>
          </w:tcPr>
          <w:p w14:paraId="126408C3" w14:textId="77777777" w:rsidR="00E370D0" w:rsidRPr="003A2A1C" w:rsidRDefault="00E370D0" w:rsidP="00E370D0">
            <w:pPr>
              <w:pStyle w:val="BodyText"/>
              <w:jc w:val="right"/>
              <w:rPr>
                <w:sz w:val="22"/>
                <w:szCs w:val="22"/>
              </w:rPr>
            </w:pPr>
            <w:r w:rsidRPr="003A2A1C">
              <w:rPr>
                <w:sz w:val="22"/>
                <w:szCs w:val="22"/>
              </w:rPr>
              <w:t>1,237,676</w:t>
            </w:r>
          </w:p>
        </w:tc>
        <w:tc>
          <w:tcPr>
            <w:tcW w:w="513" w:type="pct"/>
            <w:gridSpan w:val="2"/>
          </w:tcPr>
          <w:p w14:paraId="22B0EEC4" w14:textId="77777777" w:rsidR="00E370D0" w:rsidRPr="003A2A1C" w:rsidRDefault="00E370D0" w:rsidP="00E370D0">
            <w:pPr>
              <w:pStyle w:val="BodyText"/>
              <w:jc w:val="right"/>
              <w:rPr>
                <w:sz w:val="22"/>
                <w:szCs w:val="22"/>
              </w:rPr>
            </w:pPr>
            <w:r w:rsidRPr="003A2A1C">
              <w:rPr>
                <w:sz w:val="22"/>
                <w:szCs w:val="22"/>
              </w:rPr>
              <w:t>(366,652)</w:t>
            </w:r>
          </w:p>
        </w:tc>
        <w:tc>
          <w:tcPr>
            <w:tcW w:w="491" w:type="pct"/>
          </w:tcPr>
          <w:p w14:paraId="78C4AB71" w14:textId="77777777" w:rsidR="00E370D0" w:rsidRPr="003A2A1C" w:rsidRDefault="00E370D0" w:rsidP="00E370D0">
            <w:pPr>
              <w:pStyle w:val="BodyText"/>
              <w:jc w:val="right"/>
              <w:rPr>
                <w:sz w:val="22"/>
                <w:szCs w:val="22"/>
              </w:rPr>
            </w:pPr>
            <w:r w:rsidRPr="003A2A1C">
              <w:rPr>
                <w:sz w:val="22"/>
                <w:szCs w:val="22"/>
              </w:rPr>
              <w:t>871,024</w:t>
            </w:r>
          </w:p>
        </w:tc>
        <w:tc>
          <w:tcPr>
            <w:tcW w:w="504" w:type="pct"/>
          </w:tcPr>
          <w:p w14:paraId="2BF210E1" w14:textId="77777777" w:rsidR="00E370D0" w:rsidRPr="003A2A1C" w:rsidRDefault="00E370D0" w:rsidP="00E370D0">
            <w:pPr>
              <w:pStyle w:val="BodyText"/>
              <w:jc w:val="right"/>
              <w:rPr>
                <w:sz w:val="22"/>
                <w:szCs w:val="22"/>
              </w:rPr>
            </w:pPr>
            <w:r w:rsidRPr="003A2A1C">
              <w:rPr>
                <w:sz w:val="22"/>
                <w:szCs w:val="22"/>
              </w:rPr>
              <w:t>24.82%</w:t>
            </w:r>
          </w:p>
        </w:tc>
        <w:tc>
          <w:tcPr>
            <w:tcW w:w="350" w:type="pct"/>
          </w:tcPr>
          <w:p w14:paraId="007E40EA" w14:textId="77777777" w:rsidR="00E370D0" w:rsidRPr="003A2A1C" w:rsidRDefault="00E370D0" w:rsidP="00E370D0">
            <w:pPr>
              <w:pStyle w:val="BodyText"/>
              <w:jc w:val="right"/>
              <w:rPr>
                <w:sz w:val="22"/>
                <w:szCs w:val="22"/>
              </w:rPr>
            </w:pPr>
            <w:r w:rsidRPr="003A2A1C">
              <w:rPr>
                <w:sz w:val="22"/>
                <w:szCs w:val="22"/>
              </w:rPr>
              <w:t>10.51%</w:t>
            </w:r>
          </w:p>
        </w:tc>
        <w:tc>
          <w:tcPr>
            <w:tcW w:w="552" w:type="pct"/>
          </w:tcPr>
          <w:p w14:paraId="068CF4D4" w14:textId="77777777" w:rsidR="00E370D0" w:rsidRPr="003A2A1C" w:rsidRDefault="00E370D0" w:rsidP="00E370D0">
            <w:pPr>
              <w:pStyle w:val="BodyText"/>
              <w:jc w:val="center"/>
              <w:rPr>
                <w:sz w:val="22"/>
                <w:szCs w:val="22"/>
              </w:rPr>
            </w:pPr>
            <w:r w:rsidRPr="003A2A1C">
              <w:rPr>
                <w:sz w:val="22"/>
                <w:szCs w:val="22"/>
              </w:rPr>
              <w:t>2.61%</w:t>
            </w:r>
          </w:p>
        </w:tc>
        <w:tc>
          <w:tcPr>
            <w:tcW w:w="220" w:type="pct"/>
          </w:tcPr>
          <w:p w14:paraId="689915BF" w14:textId="77777777" w:rsidR="00E370D0" w:rsidRPr="003A2A1C" w:rsidRDefault="00E370D0" w:rsidP="00E370D0">
            <w:pPr>
              <w:pStyle w:val="BodyText"/>
              <w:jc w:val="center"/>
              <w:rPr>
                <w:sz w:val="22"/>
                <w:szCs w:val="22"/>
              </w:rPr>
            </w:pPr>
          </w:p>
        </w:tc>
      </w:tr>
      <w:tr w:rsidR="00E370D0" w:rsidRPr="003A2A1C" w14:paraId="7A79AA2D" w14:textId="77777777" w:rsidTr="00E370D0">
        <w:trPr>
          <w:trHeight w:hRule="exact" w:val="288"/>
        </w:trPr>
        <w:tc>
          <w:tcPr>
            <w:tcW w:w="163" w:type="pct"/>
          </w:tcPr>
          <w:p w14:paraId="750EC5D2" w14:textId="77777777" w:rsidR="00E370D0" w:rsidRPr="003A2A1C" w:rsidRDefault="00E370D0" w:rsidP="00E370D0">
            <w:pPr>
              <w:pStyle w:val="BodyText"/>
              <w:rPr>
                <w:sz w:val="22"/>
                <w:szCs w:val="22"/>
              </w:rPr>
            </w:pPr>
            <w:r w:rsidRPr="003A2A1C">
              <w:rPr>
                <w:sz w:val="22"/>
                <w:szCs w:val="22"/>
              </w:rPr>
              <w:t>3.</w:t>
            </w:r>
          </w:p>
        </w:tc>
        <w:tc>
          <w:tcPr>
            <w:tcW w:w="784" w:type="pct"/>
          </w:tcPr>
          <w:p w14:paraId="52C8055F" w14:textId="77777777" w:rsidR="00E370D0" w:rsidRPr="003A2A1C" w:rsidRDefault="00E370D0" w:rsidP="00E370D0">
            <w:pPr>
              <w:pStyle w:val="BodyText"/>
              <w:rPr>
                <w:sz w:val="22"/>
                <w:szCs w:val="22"/>
              </w:rPr>
            </w:pPr>
            <w:r w:rsidRPr="003A2A1C">
              <w:rPr>
                <w:sz w:val="22"/>
                <w:szCs w:val="22"/>
              </w:rPr>
              <w:t>CUSTOMER DEPOSITS</w:t>
            </w:r>
          </w:p>
        </w:tc>
        <w:tc>
          <w:tcPr>
            <w:tcW w:w="461" w:type="pct"/>
          </w:tcPr>
          <w:p w14:paraId="5E82DF8F" w14:textId="77777777" w:rsidR="00E370D0" w:rsidRPr="003A2A1C" w:rsidRDefault="00E370D0" w:rsidP="00E370D0">
            <w:pPr>
              <w:pStyle w:val="BodyText"/>
              <w:jc w:val="right"/>
              <w:rPr>
                <w:sz w:val="22"/>
                <w:szCs w:val="22"/>
                <w:u w:val="single"/>
              </w:rPr>
            </w:pPr>
            <w:r w:rsidRPr="003A2A1C">
              <w:rPr>
                <w:sz w:val="22"/>
                <w:szCs w:val="22"/>
                <w:u w:val="single"/>
              </w:rPr>
              <w:t>11,804</w:t>
            </w:r>
          </w:p>
        </w:tc>
        <w:tc>
          <w:tcPr>
            <w:tcW w:w="473" w:type="pct"/>
          </w:tcPr>
          <w:p w14:paraId="5DC746D1" w14:textId="77777777" w:rsidR="00E370D0" w:rsidRPr="003A2A1C" w:rsidRDefault="00E370D0" w:rsidP="00E370D0">
            <w:pPr>
              <w:pStyle w:val="BodyText"/>
              <w:jc w:val="right"/>
              <w:rPr>
                <w:sz w:val="22"/>
                <w:szCs w:val="22"/>
                <w:u w:val="single"/>
              </w:rPr>
            </w:pPr>
            <w:r w:rsidRPr="003A2A1C">
              <w:rPr>
                <w:sz w:val="22"/>
                <w:szCs w:val="22"/>
                <w:u w:val="single"/>
              </w:rPr>
              <w:t>0</w:t>
            </w:r>
          </w:p>
        </w:tc>
        <w:tc>
          <w:tcPr>
            <w:tcW w:w="491" w:type="pct"/>
          </w:tcPr>
          <w:p w14:paraId="40F49FE9" w14:textId="77777777" w:rsidR="00E370D0" w:rsidRPr="003A2A1C" w:rsidRDefault="00E370D0" w:rsidP="00E370D0">
            <w:pPr>
              <w:pStyle w:val="BodyText"/>
              <w:jc w:val="right"/>
              <w:rPr>
                <w:sz w:val="22"/>
                <w:szCs w:val="22"/>
                <w:u w:val="single"/>
              </w:rPr>
            </w:pPr>
            <w:r w:rsidRPr="003A2A1C">
              <w:rPr>
                <w:sz w:val="22"/>
                <w:szCs w:val="22"/>
                <w:u w:val="single"/>
              </w:rPr>
              <w:t>11,804</w:t>
            </w:r>
          </w:p>
        </w:tc>
        <w:tc>
          <w:tcPr>
            <w:tcW w:w="513" w:type="pct"/>
            <w:gridSpan w:val="2"/>
          </w:tcPr>
          <w:p w14:paraId="03A77B46" w14:textId="77777777" w:rsidR="00E370D0" w:rsidRPr="003A2A1C" w:rsidRDefault="00E370D0" w:rsidP="00E370D0">
            <w:pPr>
              <w:pStyle w:val="BodyText"/>
              <w:jc w:val="right"/>
              <w:rPr>
                <w:sz w:val="22"/>
                <w:szCs w:val="22"/>
                <w:u w:val="single"/>
              </w:rPr>
            </w:pPr>
            <w:r w:rsidRPr="003A2A1C">
              <w:rPr>
                <w:sz w:val="22"/>
                <w:szCs w:val="22"/>
                <w:u w:val="single"/>
              </w:rPr>
              <w:t>(3,497)</w:t>
            </w:r>
          </w:p>
        </w:tc>
        <w:tc>
          <w:tcPr>
            <w:tcW w:w="491" w:type="pct"/>
          </w:tcPr>
          <w:p w14:paraId="4B30E6CC" w14:textId="77777777" w:rsidR="00E370D0" w:rsidRPr="003A2A1C" w:rsidRDefault="00E370D0" w:rsidP="00E370D0">
            <w:pPr>
              <w:pStyle w:val="BodyText"/>
              <w:jc w:val="right"/>
              <w:rPr>
                <w:sz w:val="22"/>
                <w:szCs w:val="22"/>
                <w:u w:val="single"/>
              </w:rPr>
            </w:pPr>
            <w:r w:rsidRPr="003A2A1C">
              <w:rPr>
                <w:sz w:val="22"/>
                <w:szCs w:val="22"/>
                <w:u w:val="single"/>
              </w:rPr>
              <w:t>8,307</w:t>
            </w:r>
          </w:p>
        </w:tc>
        <w:tc>
          <w:tcPr>
            <w:tcW w:w="504" w:type="pct"/>
          </w:tcPr>
          <w:p w14:paraId="2E130D0E" w14:textId="77777777" w:rsidR="00E370D0" w:rsidRPr="003A2A1C" w:rsidRDefault="00E370D0" w:rsidP="00E370D0">
            <w:pPr>
              <w:pStyle w:val="BodyText"/>
              <w:jc w:val="right"/>
              <w:rPr>
                <w:sz w:val="22"/>
                <w:szCs w:val="22"/>
                <w:u w:val="single"/>
              </w:rPr>
            </w:pPr>
            <w:r w:rsidRPr="003A2A1C">
              <w:rPr>
                <w:sz w:val="22"/>
                <w:szCs w:val="22"/>
                <w:u w:val="single"/>
              </w:rPr>
              <w:t>0.24%</w:t>
            </w:r>
          </w:p>
        </w:tc>
        <w:tc>
          <w:tcPr>
            <w:tcW w:w="350" w:type="pct"/>
          </w:tcPr>
          <w:p w14:paraId="2BE8AFF9" w14:textId="77777777" w:rsidR="00E370D0" w:rsidRPr="003A2A1C" w:rsidRDefault="00E370D0" w:rsidP="00E370D0">
            <w:pPr>
              <w:pStyle w:val="BodyText"/>
              <w:jc w:val="right"/>
              <w:rPr>
                <w:sz w:val="22"/>
                <w:szCs w:val="22"/>
              </w:rPr>
            </w:pPr>
            <w:r w:rsidRPr="003A2A1C">
              <w:rPr>
                <w:sz w:val="22"/>
                <w:szCs w:val="22"/>
              </w:rPr>
              <w:t>2.00%</w:t>
            </w:r>
          </w:p>
        </w:tc>
        <w:tc>
          <w:tcPr>
            <w:tcW w:w="552" w:type="pct"/>
          </w:tcPr>
          <w:p w14:paraId="18B3ADCA" w14:textId="77777777" w:rsidR="00E370D0" w:rsidRPr="003A2A1C" w:rsidRDefault="00E370D0" w:rsidP="00E370D0">
            <w:pPr>
              <w:pStyle w:val="BodyText"/>
              <w:jc w:val="center"/>
              <w:rPr>
                <w:sz w:val="22"/>
                <w:szCs w:val="22"/>
                <w:u w:val="single"/>
              </w:rPr>
            </w:pPr>
            <w:r w:rsidRPr="003A2A1C">
              <w:rPr>
                <w:sz w:val="22"/>
                <w:szCs w:val="22"/>
                <w:u w:val="single"/>
              </w:rPr>
              <w:t>0.00%</w:t>
            </w:r>
          </w:p>
        </w:tc>
        <w:tc>
          <w:tcPr>
            <w:tcW w:w="220" w:type="pct"/>
          </w:tcPr>
          <w:p w14:paraId="401ED90D" w14:textId="77777777" w:rsidR="00E370D0" w:rsidRPr="003A2A1C" w:rsidRDefault="00E370D0" w:rsidP="00E370D0">
            <w:pPr>
              <w:pStyle w:val="BodyText"/>
              <w:jc w:val="center"/>
              <w:rPr>
                <w:sz w:val="22"/>
                <w:szCs w:val="22"/>
              </w:rPr>
            </w:pPr>
          </w:p>
        </w:tc>
      </w:tr>
      <w:tr w:rsidR="00E370D0" w:rsidRPr="003A2A1C" w14:paraId="03279B70" w14:textId="77777777" w:rsidTr="00E370D0">
        <w:trPr>
          <w:trHeight w:hRule="exact" w:val="288"/>
        </w:trPr>
        <w:tc>
          <w:tcPr>
            <w:tcW w:w="163" w:type="pct"/>
          </w:tcPr>
          <w:p w14:paraId="2882741D" w14:textId="77777777" w:rsidR="00E370D0" w:rsidRPr="003A2A1C" w:rsidRDefault="00E370D0" w:rsidP="00E370D0">
            <w:pPr>
              <w:pStyle w:val="BodyText"/>
              <w:rPr>
                <w:sz w:val="22"/>
                <w:szCs w:val="22"/>
              </w:rPr>
            </w:pPr>
          </w:p>
        </w:tc>
        <w:tc>
          <w:tcPr>
            <w:tcW w:w="784" w:type="pct"/>
          </w:tcPr>
          <w:p w14:paraId="2FAD4870" w14:textId="77777777" w:rsidR="00E370D0" w:rsidRPr="003A2A1C" w:rsidRDefault="00E370D0" w:rsidP="00E370D0">
            <w:pPr>
              <w:pStyle w:val="BodyText"/>
              <w:rPr>
                <w:sz w:val="22"/>
                <w:szCs w:val="22"/>
              </w:rPr>
            </w:pPr>
            <w:r w:rsidRPr="003A2A1C">
              <w:rPr>
                <w:sz w:val="22"/>
                <w:szCs w:val="22"/>
              </w:rPr>
              <w:t xml:space="preserve"> TOTAL CAPITAL</w:t>
            </w:r>
          </w:p>
        </w:tc>
        <w:tc>
          <w:tcPr>
            <w:tcW w:w="461" w:type="pct"/>
          </w:tcPr>
          <w:p w14:paraId="25C0CA9A" w14:textId="77777777" w:rsidR="00E370D0" w:rsidRPr="003A2A1C" w:rsidRDefault="00E370D0" w:rsidP="00E370D0">
            <w:pPr>
              <w:pStyle w:val="BodyText"/>
              <w:jc w:val="right"/>
              <w:rPr>
                <w:sz w:val="22"/>
                <w:szCs w:val="22"/>
                <w:u w:val="double"/>
              </w:rPr>
            </w:pPr>
            <w:r w:rsidRPr="003A2A1C">
              <w:rPr>
                <w:sz w:val="22"/>
                <w:szCs w:val="22"/>
                <w:u w:val="double"/>
              </w:rPr>
              <w:t>$1,912,970</w:t>
            </w:r>
          </w:p>
        </w:tc>
        <w:tc>
          <w:tcPr>
            <w:tcW w:w="473" w:type="pct"/>
          </w:tcPr>
          <w:p w14:paraId="70294E95" w14:textId="77777777" w:rsidR="00E370D0" w:rsidRPr="003A2A1C" w:rsidRDefault="00E370D0" w:rsidP="00E370D0">
            <w:pPr>
              <w:pStyle w:val="BodyText"/>
              <w:jc w:val="right"/>
              <w:rPr>
                <w:sz w:val="22"/>
                <w:szCs w:val="22"/>
                <w:u w:val="double"/>
              </w:rPr>
            </w:pPr>
            <w:r w:rsidRPr="003A2A1C">
              <w:rPr>
                <w:sz w:val="22"/>
                <w:szCs w:val="22"/>
                <w:u w:val="double"/>
              </w:rPr>
              <w:t>$3,073,456</w:t>
            </w:r>
          </w:p>
        </w:tc>
        <w:tc>
          <w:tcPr>
            <w:tcW w:w="491" w:type="pct"/>
          </w:tcPr>
          <w:p w14:paraId="7BB8A5C2" w14:textId="77777777" w:rsidR="00E370D0" w:rsidRPr="003A2A1C" w:rsidRDefault="00E370D0" w:rsidP="00E370D0">
            <w:pPr>
              <w:pStyle w:val="BodyText"/>
              <w:jc w:val="right"/>
              <w:rPr>
                <w:sz w:val="22"/>
                <w:szCs w:val="22"/>
                <w:u w:val="double"/>
              </w:rPr>
            </w:pPr>
            <w:r w:rsidRPr="003A2A1C">
              <w:rPr>
                <w:sz w:val="22"/>
                <w:szCs w:val="22"/>
                <w:u w:val="double"/>
              </w:rPr>
              <w:t>$4,986,426</w:t>
            </w:r>
          </w:p>
        </w:tc>
        <w:tc>
          <w:tcPr>
            <w:tcW w:w="513" w:type="pct"/>
            <w:gridSpan w:val="2"/>
          </w:tcPr>
          <w:p w14:paraId="75BBF896" w14:textId="77777777" w:rsidR="00E370D0" w:rsidRPr="003A2A1C" w:rsidRDefault="00E370D0" w:rsidP="00E370D0">
            <w:pPr>
              <w:pStyle w:val="BodyText"/>
              <w:jc w:val="right"/>
              <w:rPr>
                <w:sz w:val="22"/>
                <w:szCs w:val="22"/>
                <w:u w:val="double"/>
              </w:rPr>
            </w:pPr>
            <w:r w:rsidRPr="003A2A1C">
              <w:rPr>
                <w:sz w:val="22"/>
                <w:szCs w:val="22"/>
                <w:u w:val="double"/>
              </w:rPr>
              <w:t>($1,878,529)</w:t>
            </w:r>
          </w:p>
        </w:tc>
        <w:tc>
          <w:tcPr>
            <w:tcW w:w="491" w:type="pct"/>
          </w:tcPr>
          <w:p w14:paraId="473C8F19" w14:textId="77777777" w:rsidR="00E370D0" w:rsidRPr="003A2A1C" w:rsidRDefault="00E370D0" w:rsidP="00E370D0">
            <w:pPr>
              <w:pStyle w:val="BodyText"/>
              <w:jc w:val="right"/>
              <w:rPr>
                <w:sz w:val="22"/>
                <w:szCs w:val="22"/>
                <w:u w:val="double"/>
              </w:rPr>
            </w:pPr>
            <w:r w:rsidRPr="003A2A1C">
              <w:rPr>
                <w:sz w:val="22"/>
                <w:szCs w:val="22"/>
                <w:u w:val="double"/>
              </w:rPr>
              <w:t>$3,107,897</w:t>
            </w:r>
          </w:p>
        </w:tc>
        <w:tc>
          <w:tcPr>
            <w:tcW w:w="504" w:type="pct"/>
          </w:tcPr>
          <w:p w14:paraId="794A8E9E" w14:textId="77777777" w:rsidR="00E370D0" w:rsidRPr="003A2A1C" w:rsidRDefault="00E370D0" w:rsidP="00E370D0">
            <w:pPr>
              <w:pStyle w:val="BodyText"/>
              <w:jc w:val="right"/>
              <w:rPr>
                <w:sz w:val="22"/>
                <w:szCs w:val="22"/>
                <w:u w:val="double"/>
              </w:rPr>
            </w:pPr>
            <w:r w:rsidRPr="003A2A1C">
              <w:rPr>
                <w:sz w:val="22"/>
                <w:szCs w:val="22"/>
                <w:u w:val="double"/>
              </w:rPr>
              <w:t>100.00%</w:t>
            </w:r>
          </w:p>
        </w:tc>
        <w:tc>
          <w:tcPr>
            <w:tcW w:w="350" w:type="pct"/>
          </w:tcPr>
          <w:p w14:paraId="3C4E29C0" w14:textId="77777777" w:rsidR="00E370D0" w:rsidRPr="003A2A1C" w:rsidRDefault="00E370D0" w:rsidP="00E370D0">
            <w:pPr>
              <w:pStyle w:val="BodyText"/>
              <w:jc w:val="right"/>
              <w:rPr>
                <w:sz w:val="22"/>
                <w:szCs w:val="22"/>
                <w:u w:val="double"/>
              </w:rPr>
            </w:pPr>
          </w:p>
        </w:tc>
        <w:tc>
          <w:tcPr>
            <w:tcW w:w="552" w:type="pct"/>
          </w:tcPr>
          <w:p w14:paraId="1DA48963" w14:textId="77777777" w:rsidR="00E370D0" w:rsidRPr="003A2A1C" w:rsidRDefault="00E370D0" w:rsidP="00E370D0">
            <w:pPr>
              <w:pStyle w:val="BodyText"/>
              <w:jc w:val="center"/>
              <w:rPr>
                <w:sz w:val="22"/>
                <w:szCs w:val="22"/>
                <w:u w:val="double"/>
              </w:rPr>
            </w:pPr>
            <w:r w:rsidRPr="003A2A1C">
              <w:rPr>
                <w:sz w:val="22"/>
                <w:szCs w:val="22"/>
                <w:u w:val="double"/>
              </w:rPr>
              <w:t>9.00%</w:t>
            </w:r>
          </w:p>
        </w:tc>
        <w:tc>
          <w:tcPr>
            <w:tcW w:w="220" w:type="pct"/>
          </w:tcPr>
          <w:p w14:paraId="4C375E40" w14:textId="77777777" w:rsidR="00E370D0" w:rsidRPr="003A2A1C" w:rsidRDefault="00E370D0" w:rsidP="00E370D0">
            <w:pPr>
              <w:pStyle w:val="BodyText"/>
              <w:jc w:val="center"/>
              <w:rPr>
                <w:sz w:val="22"/>
                <w:szCs w:val="22"/>
              </w:rPr>
            </w:pPr>
          </w:p>
        </w:tc>
      </w:tr>
      <w:tr w:rsidR="00E370D0" w:rsidRPr="003A2A1C" w14:paraId="78CD8A27" w14:textId="77777777" w:rsidTr="00E370D0">
        <w:trPr>
          <w:trHeight w:hRule="exact" w:val="288"/>
        </w:trPr>
        <w:tc>
          <w:tcPr>
            <w:tcW w:w="163" w:type="pct"/>
          </w:tcPr>
          <w:p w14:paraId="2182D787" w14:textId="77777777" w:rsidR="00E370D0" w:rsidRPr="003A2A1C" w:rsidRDefault="00E370D0" w:rsidP="00E370D0">
            <w:pPr>
              <w:pStyle w:val="BodyText"/>
              <w:rPr>
                <w:sz w:val="22"/>
                <w:szCs w:val="22"/>
              </w:rPr>
            </w:pPr>
          </w:p>
        </w:tc>
        <w:tc>
          <w:tcPr>
            <w:tcW w:w="784" w:type="pct"/>
          </w:tcPr>
          <w:p w14:paraId="33932698" w14:textId="77777777" w:rsidR="00E370D0" w:rsidRPr="003A2A1C" w:rsidRDefault="00E370D0" w:rsidP="00E370D0">
            <w:pPr>
              <w:pStyle w:val="BodyText"/>
              <w:rPr>
                <w:sz w:val="22"/>
                <w:szCs w:val="22"/>
              </w:rPr>
            </w:pPr>
          </w:p>
        </w:tc>
        <w:tc>
          <w:tcPr>
            <w:tcW w:w="461" w:type="pct"/>
          </w:tcPr>
          <w:p w14:paraId="2F3C69D0" w14:textId="77777777" w:rsidR="00E370D0" w:rsidRPr="003A2A1C" w:rsidRDefault="00E370D0" w:rsidP="00E370D0">
            <w:pPr>
              <w:pStyle w:val="BodyText"/>
              <w:rPr>
                <w:sz w:val="22"/>
                <w:szCs w:val="22"/>
              </w:rPr>
            </w:pPr>
          </w:p>
        </w:tc>
        <w:tc>
          <w:tcPr>
            <w:tcW w:w="473" w:type="pct"/>
          </w:tcPr>
          <w:p w14:paraId="3BB42D2D" w14:textId="77777777" w:rsidR="00E370D0" w:rsidRPr="003A2A1C" w:rsidRDefault="00E370D0" w:rsidP="00E370D0">
            <w:pPr>
              <w:pStyle w:val="BodyText"/>
              <w:rPr>
                <w:sz w:val="22"/>
                <w:szCs w:val="22"/>
              </w:rPr>
            </w:pPr>
          </w:p>
        </w:tc>
        <w:tc>
          <w:tcPr>
            <w:tcW w:w="491" w:type="pct"/>
          </w:tcPr>
          <w:p w14:paraId="0A35DE4F" w14:textId="77777777" w:rsidR="00E370D0" w:rsidRPr="003A2A1C" w:rsidRDefault="00E370D0" w:rsidP="00E370D0">
            <w:pPr>
              <w:pStyle w:val="BodyText"/>
              <w:rPr>
                <w:sz w:val="22"/>
                <w:szCs w:val="22"/>
              </w:rPr>
            </w:pPr>
          </w:p>
        </w:tc>
        <w:tc>
          <w:tcPr>
            <w:tcW w:w="513" w:type="pct"/>
            <w:gridSpan w:val="2"/>
          </w:tcPr>
          <w:p w14:paraId="4F9E30B3" w14:textId="77777777" w:rsidR="00E370D0" w:rsidRPr="003A2A1C" w:rsidRDefault="00E370D0" w:rsidP="00E370D0">
            <w:pPr>
              <w:pStyle w:val="BodyText"/>
              <w:rPr>
                <w:sz w:val="22"/>
                <w:szCs w:val="22"/>
              </w:rPr>
            </w:pPr>
          </w:p>
        </w:tc>
        <w:tc>
          <w:tcPr>
            <w:tcW w:w="491" w:type="pct"/>
          </w:tcPr>
          <w:p w14:paraId="02BF1F1E" w14:textId="77777777" w:rsidR="00E370D0" w:rsidRPr="003A2A1C" w:rsidRDefault="00E370D0" w:rsidP="00E370D0">
            <w:pPr>
              <w:pStyle w:val="BodyText"/>
              <w:rPr>
                <w:sz w:val="22"/>
                <w:szCs w:val="22"/>
              </w:rPr>
            </w:pPr>
          </w:p>
        </w:tc>
        <w:tc>
          <w:tcPr>
            <w:tcW w:w="504" w:type="pct"/>
          </w:tcPr>
          <w:p w14:paraId="79197E70" w14:textId="77777777" w:rsidR="00E370D0" w:rsidRPr="003A2A1C" w:rsidRDefault="00E370D0" w:rsidP="00E370D0">
            <w:pPr>
              <w:pStyle w:val="BodyText"/>
              <w:rPr>
                <w:sz w:val="22"/>
                <w:szCs w:val="22"/>
              </w:rPr>
            </w:pPr>
          </w:p>
        </w:tc>
        <w:tc>
          <w:tcPr>
            <w:tcW w:w="350" w:type="pct"/>
          </w:tcPr>
          <w:p w14:paraId="621485E6" w14:textId="77777777" w:rsidR="00E370D0" w:rsidRPr="003A2A1C" w:rsidRDefault="00E370D0" w:rsidP="00E370D0">
            <w:pPr>
              <w:pStyle w:val="BodyText"/>
              <w:rPr>
                <w:sz w:val="22"/>
                <w:szCs w:val="22"/>
              </w:rPr>
            </w:pPr>
          </w:p>
        </w:tc>
        <w:tc>
          <w:tcPr>
            <w:tcW w:w="552" w:type="pct"/>
          </w:tcPr>
          <w:p w14:paraId="4861B906" w14:textId="77777777" w:rsidR="00E370D0" w:rsidRPr="003A2A1C" w:rsidRDefault="00E370D0" w:rsidP="00E370D0">
            <w:pPr>
              <w:pStyle w:val="BodyText"/>
              <w:rPr>
                <w:sz w:val="22"/>
                <w:szCs w:val="22"/>
              </w:rPr>
            </w:pPr>
          </w:p>
        </w:tc>
        <w:tc>
          <w:tcPr>
            <w:tcW w:w="220" w:type="pct"/>
          </w:tcPr>
          <w:p w14:paraId="6803E74E" w14:textId="77777777" w:rsidR="00E370D0" w:rsidRPr="003A2A1C" w:rsidRDefault="00E370D0" w:rsidP="00E370D0">
            <w:pPr>
              <w:pStyle w:val="BodyText"/>
              <w:rPr>
                <w:sz w:val="22"/>
                <w:szCs w:val="22"/>
              </w:rPr>
            </w:pPr>
          </w:p>
        </w:tc>
      </w:tr>
      <w:tr w:rsidR="00E370D0" w:rsidRPr="003A2A1C" w14:paraId="0A0EE318" w14:textId="77777777" w:rsidTr="00E370D0">
        <w:trPr>
          <w:trHeight w:hRule="exact" w:val="288"/>
        </w:trPr>
        <w:tc>
          <w:tcPr>
            <w:tcW w:w="163" w:type="pct"/>
          </w:tcPr>
          <w:p w14:paraId="0039ECD0" w14:textId="77777777" w:rsidR="00E370D0" w:rsidRPr="003A2A1C" w:rsidRDefault="00E370D0" w:rsidP="00E370D0">
            <w:pPr>
              <w:pStyle w:val="BodyText"/>
              <w:rPr>
                <w:sz w:val="22"/>
                <w:szCs w:val="22"/>
              </w:rPr>
            </w:pPr>
          </w:p>
        </w:tc>
        <w:tc>
          <w:tcPr>
            <w:tcW w:w="784" w:type="pct"/>
          </w:tcPr>
          <w:p w14:paraId="493E97BE" w14:textId="77777777" w:rsidR="00E370D0" w:rsidRPr="003A2A1C" w:rsidRDefault="00E370D0" w:rsidP="00E370D0">
            <w:pPr>
              <w:pStyle w:val="BodyText"/>
              <w:rPr>
                <w:sz w:val="22"/>
                <w:szCs w:val="22"/>
              </w:rPr>
            </w:pPr>
          </w:p>
        </w:tc>
        <w:tc>
          <w:tcPr>
            <w:tcW w:w="461" w:type="pct"/>
          </w:tcPr>
          <w:p w14:paraId="01502600" w14:textId="77777777" w:rsidR="00E370D0" w:rsidRPr="003A2A1C" w:rsidRDefault="00E370D0" w:rsidP="00E370D0">
            <w:pPr>
              <w:pStyle w:val="BodyText"/>
              <w:rPr>
                <w:sz w:val="22"/>
                <w:szCs w:val="22"/>
              </w:rPr>
            </w:pPr>
          </w:p>
        </w:tc>
        <w:tc>
          <w:tcPr>
            <w:tcW w:w="473" w:type="pct"/>
          </w:tcPr>
          <w:p w14:paraId="7ACE84EB" w14:textId="77777777" w:rsidR="00E370D0" w:rsidRPr="003A2A1C" w:rsidRDefault="00E370D0" w:rsidP="00E370D0">
            <w:pPr>
              <w:pStyle w:val="BodyText"/>
              <w:rPr>
                <w:sz w:val="22"/>
                <w:szCs w:val="22"/>
              </w:rPr>
            </w:pPr>
          </w:p>
        </w:tc>
        <w:tc>
          <w:tcPr>
            <w:tcW w:w="491" w:type="pct"/>
          </w:tcPr>
          <w:p w14:paraId="5FCE310B" w14:textId="77777777" w:rsidR="00E370D0" w:rsidRPr="003A2A1C" w:rsidRDefault="00E370D0" w:rsidP="00E370D0">
            <w:pPr>
              <w:pStyle w:val="BodyText"/>
              <w:rPr>
                <w:sz w:val="22"/>
                <w:szCs w:val="22"/>
              </w:rPr>
            </w:pPr>
          </w:p>
        </w:tc>
        <w:tc>
          <w:tcPr>
            <w:tcW w:w="1507" w:type="pct"/>
            <w:gridSpan w:val="4"/>
          </w:tcPr>
          <w:p w14:paraId="043C5A2D" w14:textId="77777777" w:rsidR="00E370D0" w:rsidRPr="003A2A1C" w:rsidRDefault="00E370D0" w:rsidP="00E370D0">
            <w:pPr>
              <w:pStyle w:val="BodyText"/>
              <w:rPr>
                <w:b/>
                <w:sz w:val="22"/>
                <w:szCs w:val="22"/>
              </w:rPr>
            </w:pPr>
            <w:r w:rsidRPr="003A2A1C">
              <w:rPr>
                <w:b/>
                <w:sz w:val="22"/>
                <w:szCs w:val="22"/>
              </w:rPr>
              <w:t>RANGE OF REASONABLENESS</w:t>
            </w:r>
          </w:p>
        </w:tc>
        <w:tc>
          <w:tcPr>
            <w:tcW w:w="350" w:type="pct"/>
          </w:tcPr>
          <w:p w14:paraId="1A5C2866" w14:textId="77777777" w:rsidR="00E370D0" w:rsidRPr="003A2A1C" w:rsidRDefault="00E370D0" w:rsidP="00E370D0">
            <w:pPr>
              <w:pStyle w:val="BodyText"/>
              <w:jc w:val="center"/>
              <w:rPr>
                <w:b/>
                <w:sz w:val="22"/>
                <w:szCs w:val="22"/>
              </w:rPr>
            </w:pPr>
            <w:r w:rsidRPr="003A2A1C">
              <w:rPr>
                <w:b/>
                <w:sz w:val="22"/>
                <w:szCs w:val="22"/>
              </w:rPr>
              <w:t>LOW</w:t>
            </w:r>
          </w:p>
        </w:tc>
        <w:tc>
          <w:tcPr>
            <w:tcW w:w="552" w:type="pct"/>
          </w:tcPr>
          <w:p w14:paraId="5C867F6F" w14:textId="77777777" w:rsidR="00E370D0" w:rsidRPr="003A2A1C" w:rsidRDefault="00E370D0" w:rsidP="00E370D0">
            <w:pPr>
              <w:pStyle w:val="BodyText"/>
              <w:jc w:val="center"/>
              <w:rPr>
                <w:b/>
                <w:sz w:val="22"/>
                <w:szCs w:val="22"/>
              </w:rPr>
            </w:pPr>
            <w:r w:rsidRPr="003A2A1C">
              <w:rPr>
                <w:b/>
                <w:sz w:val="22"/>
                <w:szCs w:val="22"/>
              </w:rPr>
              <w:t>HIGH</w:t>
            </w:r>
          </w:p>
        </w:tc>
        <w:tc>
          <w:tcPr>
            <w:tcW w:w="220" w:type="pct"/>
          </w:tcPr>
          <w:p w14:paraId="2ED3AFE0" w14:textId="77777777" w:rsidR="00E370D0" w:rsidRPr="003A2A1C" w:rsidRDefault="00E370D0" w:rsidP="00E370D0">
            <w:pPr>
              <w:pStyle w:val="BodyText"/>
              <w:rPr>
                <w:sz w:val="22"/>
                <w:szCs w:val="22"/>
              </w:rPr>
            </w:pPr>
          </w:p>
        </w:tc>
      </w:tr>
      <w:tr w:rsidR="00E370D0" w:rsidRPr="003A2A1C" w14:paraId="56339518" w14:textId="77777777" w:rsidTr="00E370D0">
        <w:trPr>
          <w:trHeight w:hRule="exact" w:val="288"/>
        </w:trPr>
        <w:tc>
          <w:tcPr>
            <w:tcW w:w="163" w:type="pct"/>
            <w:tcBorders>
              <w:bottom w:val="nil"/>
            </w:tcBorders>
          </w:tcPr>
          <w:p w14:paraId="782AC477" w14:textId="77777777" w:rsidR="00E370D0" w:rsidRPr="003A2A1C" w:rsidRDefault="00E370D0" w:rsidP="00E370D0">
            <w:pPr>
              <w:pStyle w:val="BodyText"/>
              <w:rPr>
                <w:sz w:val="22"/>
                <w:szCs w:val="22"/>
              </w:rPr>
            </w:pPr>
          </w:p>
        </w:tc>
        <w:tc>
          <w:tcPr>
            <w:tcW w:w="784" w:type="pct"/>
            <w:tcBorders>
              <w:bottom w:val="nil"/>
            </w:tcBorders>
          </w:tcPr>
          <w:p w14:paraId="1BC004A4" w14:textId="77777777" w:rsidR="00E370D0" w:rsidRPr="003A2A1C" w:rsidRDefault="00E370D0" w:rsidP="00E370D0">
            <w:pPr>
              <w:pStyle w:val="BodyText"/>
              <w:rPr>
                <w:sz w:val="22"/>
                <w:szCs w:val="22"/>
              </w:rPr>
            </w:pPr>
          </w:p>
        </w:tc>
        <w:tc>
          <w:tcPr>
            <w:tcW w:w="461" w:type="pct"/>
            <w:tcBorders>
              <w:bottom w:val="nil"/>
            </w:tcBorders>
          </w:tcPr>
          <w:p w14:paraId="307EC159" w14:textId="77777777" w:rsidR="00E370D0" w:rsidRPr="003A2A1C" w:rsidRDefault="00E370D0" w:rsidP="00E370D0">
            <w:pPr>
              <w:pStyle w:val="BodyText"/>
              <w:rPr>
                <w:sz w:val="22"/>
                <w:szCs w:val="22"/>
              </w:rPr>
            </w:pPr>
          </w:p>
        </w:tc>
        <w:tc>
          <w:tcPr>
            <w:tcW w:w="473" w:type="pct"/>
            <w:tcBorders>
              <w:bottom w:val="nil"/>
            </w:tcBorders>
          </w:tcPr>
          <w:p w14:paraId="09CC4EE6" w14:textId="77777777" w:rsidR="00E370D0" w:rsidRPr="003A2A1C" w:rsidRDefault="00E370D0" w:rsidP="00E370D0">
            <w:pPr>
              <w:pStyle w:val="BodyText"/>
              <w:rPr>
                <w:sz w:val="22"/>
                <w:szCs w:val="22"/>
              </w:rPr>
            </w:pPr>
          </w:p>
        </w:tc>
        <w:tc>
          <w:tcPr>
            <w:tcW w:w="491" w:type="pct"/>
            <w:tcBorders>
              <w:bottom w:val="nil"/>
            </w:tcBorders>
          </w:tcPr>
          <w:p w14:paraId="7DFB7FAE" w14:textId="77777777" w:rsidR="00E370D0" w:rsidRPr="003A2A1C" w:rsidRDefault="00E370D0" w:rsidP="00E370D0">
            <w:pPr>
              <w:pStyle w:val="BodyText"/>
              <w:rPr>
                <w:sz w:val="22"/>
                <w:szCs w:val="22"/>
              </w:rPr>
            </w:pPr>
          </w:p>
        </w:tc>
        <w:tc>
          <w:tcPr>
            <w:tcW w:w="1507" w:type="pct"/>
            <w:gridSpan w:val="4"/>
            <w:tcBorders>
              <w:bottom w:val="nil"/>
            </w:tcBorders>
          </w:tcPr>
          <w:p w14:paraId="345E23E8" w14:textId="77777777" w:rsidR="00E370D0" w:rsidRPr="003A2A1C" w:rsidRDefault="00E370D0" w:rsidP="00E370D0">
            <w:pPr>
              <w:pStyle w:val="BodyText"/>
              <w:rPr>
                <w:sz w:val="22"/>
                <w:szCs w:val="22"/>
              </w:rPr>
            </w:pPr>
            <w:r w:rsidRPr="003A2A1C">
              <w:rPr>
                <w:sz w:val="22"/>
                <w:szCs w:val="22"/>
              </w:rPr>
              <w:t xml:space="preserve"> RETURN ON EQUITY </w:t>
            </w:r>
          </w:p>
        </w:tc>
        <w:tc>
          <w:tcPr>
            <w:tcW w:w="350" w:type="pct"/>
            <w:tcBorders>
              <w:bottom w:val="nil"/>
            </w:tcBorders>
          </w:tcPr>
          <w:p w14:paraId="1A945220" w14:textId="77777777" w:rsidR="00E370D0" w:rsidRPr="003A2A1C" w:rsidRDefault="00E370D0" w:rsidP="00E370D0">
            <w:pPr>
              <w:pStyle w:val="BodyText"/>
              <w:jc w:val="center"/>
              <w:rPr>
                <w:sz w:val="22"/>
                <w:szCs w:val="22"/>
              </w:rPr>
            </w:pPr>
            <w:r w:rsidRPr="003A2A1C">
              <w:rPr>
                <w:sz w:val="22"/>
                <w:szCs w:val="22"/>
              </w:rPr>
              <w:t>9.51%</w:t>
            </w:r>
          </w:p>
        </w:tc>
        <w:tc>
          <w:tcPr>
            <w:tcW w:w="552" w:type="pct"/>
            <w:tcBorders>
              <w:bottom w:val="nil"/>
            </w:tcBorders>
          </w:tcPr>
          <w:p w14:paraId="471F5D1B" w14:textId="77777777" w:rsidR="00E370D0" w:rsidRPr="003A2A1C" w:rsidRDefault="00E370D0" w:rsidP="00E370D0">
            <w:pPr>
              <w:pStyle w:val="BodyText"/>
              <w:jc w:val="center"/>
              <w:rPr>
                <w:sz w:val="22"/>
                <w:szCs w:val="22"/>
              </w:rPr>
            </w:pPr>
            <w:r w:rsidRPr="003A2A1C">
              <w:rPr>
                <w:sz w:val="22"/>
                <w:szCs w:val="22"/>
              </w:rPr>
              <w:t>11.51%</w:t>
            </w:r>
          </w:p>
        </w:tc>
        <w:tc>
          <w:tcPr>
            <w:tcW w:w="220" w:type="pct"/>
            <w:tcBorders>
              <w:bottom w:val="nil"/>
            </w:tcBorders>
          </w:tcPr>
          <w:p w14:paraId="1943B997" w14:textId="77777777" w:rsidR="00E370D0" w:rsidRPr="003A2A1C" w:rsidRDefault="00E370D0" w:rsidP="00E370D0">
            <w:pPr>
              <w:pStyle w:val="BodyText"/>
              <w:rPr>
                <w:sz w:val="22"/>
                <w:szCs w:val="22"/>
              </w:rPr>
            </w:pPr>
          </w:p>
        </w:tc>
      </w:tr>
      <w:tr w:rsidR="00E370D0" w:rsidRPr="003A2A1C" w14:paraId="7B17E3A9" w14:textId="77777777" w:rsidTr="00E370D0">
        <w:trPr>
          <w:trHeight w:hRule="exact" w:val="288"/>
        </w:trPr>
        <w:tc>
          <w:tcPr>
            <w:tcW w:w="163" w:type="pct"/>
            <w:tcBorders>
              <w:top w:val="nil"/>
              <w:bottom w:val="single" w:sz="4" w:space="0" w:color="auto"/>
            </w:tcBorders>
          </w:tcPr>
          <w:p w14:paraId="13EB9F40" w14:textId="77777777" w:rsidR="00E370D0" w:rsidRPr="003A2A1C" w:rsidRDefault="00E370D0" w:rsidP="00E370D0">
            <w:pPr>
              <w:pStyle w:val="BodyText"/>
              <w:rPr>
                <w:sz w:val="22"/>
                <w:szCs w:val="22"/>
              </w:rPr>
            </w:pPr>
          </w:p>
        </w:tc>
        <w:tc>
          <w:tcPr>
            <w:tcW w:w="784" w:type="pct"/>
            <w:tcBorders>
              <w:top w:val="nil"/>
              <w:bottom w:val="single" w:sz="4" w:space="0" w:color="auto"/>
            </w:tcBorders>
          </w:tcPr>
          <w:p w14:paraId="51491272" w14:textId="77777777" w:rsidR="00E370D0" w:rsidRPr="003A2A1C" w:rsidRDefault="00E370D0" w:rsidP="00E370D0">
            <w:pPr>
              <w:pStyle w:val="BodyText"/>
              <w:rPr>
                <w:sz w:val="22"/>
                <w:szCs w:val="22"/>
              </w:rPr>
            </w:pPr>
          </w:p>
        </w:tc>
        <w:tc>
          <w:tcPr>
            <w:tcW w:w="461" w:type="pct"/>
            <w:tcBorders>
              <w:top w:val="nil"/>
              <w:bottom w:val="single" w:sz="4" w:space="0" w:color="auto"/>
            </w:tcBorders>
          </w:tcPr>
          <w:p w14:paraId="7B558217" w14:textId="77777777" w:rsidR="00E370D0" w:rsidRPr="003A2A1C" w:rsidRDefault="00E370D0" w:rsidP="00E370D0">
            <w:pPr>
              <w:pStyle w:val="BodyText"/>
              <w:rPr>
                <w:sz w:val="22"/>
                <w:szCs w:val="22"/>
              </w:rPr>
            </w:pPr>
          </w:p>
        </w:tc>
        <w:tc>
          <w:tcPr>
            <w:tcW w:w="473" w:type="pct"/>
            <w:tcBorders>
              <w:top w:val="nil"/>
              <w:bottom w:val="single" w:sz="4" w:space="0" w:color="auto"/>
            </w:tcBorders>
          </w:tcPr>
          <w:p w14:paraId="1A6CB507" w14:textId="77777777" w:rsidR="00E370D0" w:rsidRPr="003A2A1C" w:rsidRDefault="00E370D0" w:rsidP="00E370D0">
            <w:pPr>
              <w:pStyle w:val="BodyText"/>
              <w:rPr>
                <w:sz w:val="22"/>
                <w:szCs w:val="22"/>
              </w:rPr>
            </w:pPr>
          </w:p>
        </w:tc>
        <w:tc>
          <w:tcPr>
            <w:tcW w:w="491" w:type="pct"/>
            <w:tcBorders>
              <w:top w:val="nil"/>
              <w:bottom w:val="single" w:sz="4" w:space="0" w:color="auto"/>
            </w:tcBorders>
          </w:tcPr>
          <w:p w14:paraId="57698D02" w14:textId="77777777" w:rsidR="00E370D0" w:rsidRPr="003A2A1C" w:rsidRDefault="00E370D0" w:rsidP="00E370D0">
            <w:pPr>
              <w:pStyle w:val="BodyText"/>
              <w:rPr>
                <w:sz w:val="22"/>
                <w:szCs w:val="22"/>
              </w:rPr>
            </w:pPr>
          </w:p>
        </w:tc>
        <w:tc>
          <w:tcPr>
            <w:tcW w:w="1507" w:type="pct"/>
            <w:gridSpan w:val="4"/>
            <w:tcBorders>
              <w:top w:val="nil"/>
              <w:bottom w:val="single" w:sz="4" w:space="0" w:color="auto"/>
            </w:tcBorders>
          </w:tcPr>
          <w:p w14:paraId="075359CD" w14:textId="77777777" w:rsidR="00E370D0" w:rsidRPr="003A2A1C" w:rsidRDefault="00E370D0" w:rsidP="00E370D0">
            <w:pPr>
              <w:pStyle w:val="BodyText"/>
              <w:rPr>
                <w:sz w:val="22"/>
                <w:szCs w:val="22"/>
              </w:rPr>
            </w:pPr>
            <w:r w:rsidRPr="003A2A1C">
              <w:rPr>
                <w:sz w:val="22"/>
                <w:szCs w:val="22"/>
              </w:rPr>
              <w:t xml:space="preserve"> OVERALL RATE OF RETURN</w:t>
            </w:r>
          </w:p>
        </w:tc>
        <w:tc>
          <w:tcPr>
            <w:tcW w:w="350" w:type="pct"/>
            <w:tcBorders>
              <w:top w:val="nil"/>
              <w:bottom w:val="single" w:sz="4" w:space="0" w:color="auto"/>
            </w:tcBorders>
          </w:tcPr>
          <w:p w14:paraId="23A8B94F" w14:textId="77777777" w:rsidR="00E370D0" w:rsidRPr="003A2A1C" w:rsidRDefault="00E370D0" w:rsidP="00E370D0">
            <w:pPr>
              <w:pStyle w:val="BodyText"/>
              <w:jc w:val="center"/>
              <w:rPr>
                <w:sz w:val="22"/>
                <w:szCs w:val="22"/>
              </w:rPr>
            </w:pPr>
            <w:r w:rsidRPr="003A2A1C">
              <w:rPr>
                <w:sz w:val="22"/>
                <w:szCs w:val="22"/>
              </w:rPr>
              <w:t>8.75%</w:t>
            </w:r>
          </w:p>
        </w:tc>
        <w:tc>
          <w:tcPr>
            <w:tcW w:w="552" w:type="pct"/>
            <w:tcBorders>
              <w:top w:val="nil"/>
              <w:bottom w:val="single" w:sz="4" w:space="0" w:color="auto"/>
            </w:tcBorders>
          </w:tcPr>
          <w:p w14:paraId="1AD9C925" w14:textId="77777777" w:rsidR="00E370D0" w:rsidRPr="003A2A1C" w:rsidRDefault="00E370D0" w:rsidP="00E370D0">
            <w:pPr>
              <w:pStyle w:val="BodyText"/>
              <w:jc w:val="center"/>
              <w:rPr>
                <w:sz w:val="22"/>
                <w:szCs w:val="22"/>
              </w:rPr>
            </w:pPr>
            <w:r w:rsidRPr="003A2A1C">
              <w:rPr>
                <w:sz w:val="22"/>
                <w:szCs w:val="22"/>
              </w:rPr>
              <w:t>9.24%</w:t>
            </w:r>
          </w:p>
        </w:tc>
        <w:tc>
          <w:tcPr>
            <w:tcW w:w="220" w:type="pct"/>
            <w:tcBorders>
              <w:top w:val="nil"/>
              <w:bottom w:val="single" w:sz="4" w:space="0" w:color="auto"/>
            </w:tcBorders>
          </w:tcPr>
          <w:p w14:paraId="300641D2" w14:textId="77777777" w:rsidR="00E370D0" w:rsidRPr="003A2A1C" w:rsidRDefault="00E370D0" w:rsidP="00E370D0">
            <w:pPr>
              <w:pStyle w:val="BodyText"/>
              <w:rPr>
                <w:sz w:val="22"/>
                <w:szCs w:val="22"/>
              </w:rPr>
            </w:pPr>
          </w:p>
        </w:tc>
      </w:tr>
    </w:tbl>
    <w:p w14:paraId="758C06FD" w14:textId="77777777" w:rsidR="00224FF2" w:rsidRDefault="00224FF2" w:rsidP="00E275D8">
      <w:pPr>
        <w:pStyle w:val="BodyText"/>
      </w:pPr>
    </w:p>
    <w:p w14:paraId="17F52168" w14:textId="77777777" w:rsidR="00224FF2" w:rsidRDefault="00224FF2" w:rsidP="00E275D8">
      <w:pPr>
        <w:pStyle w:val="BodyText"/>
        <w:sectPr w:rsidR="00224FF2" w:rsidSect="003A2A1C">
          <w:headerReference w:type="default" r:id="rId23"/>
          <w:pgSz w:w="15840" w:h="12240" w:orient="landscape" w:code="1"/>
          <w:pgMar w:top="1440" w:right="1584" w:bottom="1440" w:left="1440" w:header="720" w:footer="720" w:gutter="0"/>
          <w:cols w:space="720"/>
          <w:formProt w:val="0"/>
          <w:docGrid w:linePitch="360"/>
        </w:sectPr>
      </w:pPr>
    </w:p>
    <w:p w14:paraId="320F523F" w14:textId="6ADDAE5E" w:rsidR="00224FF2" w:rsidRDefault="00CE76A5" w:rsidP="00E275D8">
      <w:pPr>
        <w:pStyle w:val="BodyText"/>
      </w:pPr>
      <w:r w:rsidRPr="003F0D61">
        <w:rPr>
          <w:sz w:val="22"/>
        </w:rPr>
        <w:fldChar w:fldCharType="begin"/>
      </w:r>
      <w:r w:rsidRPr="003F0D61">
        <w:rPr>
          <w:sz w:val="22"/>
        </w:rPr>
        <w:instrText xml:space="preserve"> TC "</w:instrText>
      </w:r>
      <w:r w:rsidRPr="003F0D61">
        <w:rPr>
          <w:sz w:val="22"/>
        </w:rPr>
        <w:tab/>
      </w:r>
      <w:bookmarkStart w:id="36" w:name="_Toc219970017"/>
      <w:r w:rsidRPr="003F0D61">
        <w:rPr>
          <w:sz w:val="22"/>
        </w:rPr>
        <w:instrText>Schedule No. 3-A Water Operating Income</w:instrText>
      </w:r>
      <w:bookmarkEnd w:id="36"/>
      <w:r w:rsidRPr="003F0D61">
        <w:rPr>
          <w:sz w:val="22"/>
        </w:rPr>
        <w:instrText xml:space="preserve">" \l 1 </w:instrText>
      </w:r>
      <w:r w:rsidRPr="003F0D61">
        <w:rPr>
          <w:sz w:val="22"/>
        </w:rPr>
        <w:fldChar w:fldCharType="end"/>
      </w:r>
    </w:p>
    <w:p w14:paraId="10D30EF6" w14:textId="02D6D3FE" w:rsidR="00224FF2" w:rsidRDefault="00FD360C" w:rsidP="00E275D8">
      <w:pPr>
        <w:pStyle w:val="BodyText"/>
      </w:pPr>
      <w:r w:rsidRPr="004B78DE">
        <w:rPr>
          <w:noProof/>
        </w:rPr>
        <w:drawing>
          <wp:inline distT="0" distB="0" distL="0" distR="0" wp14:anchorId="068F5E17" wp14:editId="404A99D3">
            <wp:extent cx="5943600" cy="440075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grayscl/>
                      <a:extLst>
                        <a:ext uri="{28A0092B-C50C-407E-A947-70E740481C1C}">
                          <a14:useLocalDpi xmlns:a14="http://schemas.microsoft.com/office/drawing/2010/main" val="0"/>
                        </a:ext>
                      </a:extLst>
                    </a:blip>
                    <a:srcRect/>
                    <a:stretch>
                      <a:fillRect/>
                    </a:stretch>
                  </pic:blipFill>
                  <pic:spPr bwMode="auto">
                    <a:xfrm>
                      <a:off x="0" y="0"/>
                      <a:ext cx="5943600" cy="4400757"/>
                    </a:xfrm>
                    <a:prstGeom prst="rect">
                      <a:avLst/>
                    </a:prstGeom>
                    <a:noFill/>
                    <a:ln>
                      <a:noFill/>
                    </a:ln>
                  </pic:spPr>
                </pic:pic>
              </a:graphicData>
            </a:graphic>
          </wp:inline>
        </w:drawing>
      </w:r>
    </w:p>
    <w:p w14:paraId="4F754B55" w14:textId="2653DF7F" w:rsidR="00224FF2" w:rsidRDefault="00224FF2" w:rsidP="00E275D8">
      <w:pPr>
        <w:pStyle w:val="BodyText"/>
        <w:sectPr w:rsidR="00224FF2" w:rsidSect="0068481F">
          <w:headerReference w:type="default" r:id="rId25"/>
          <w:pgSz w:w="12240" w:h="15840" w:code="1"/>
          <w:pgMar w:top="1584" w:right="1440" w:bottom="1440" w:left="1440" w:header="720" w:footer="720" w:gutter="0"/>
          <w:cols w:space="720"/>
          <w:formProt w:val="0"/>
          <w:docGrid w:linePitch="360"/>
        </w:sectPr>
      </w:pPr>
    </w:p>
    <w:p w14:paraId="61D7D39E" w14:textId="6D283380" w:rsidR="00224FF2" w:rsidRDefault="00CE76A5" w:rsidP="00E275D8">
      <w:pPr>
        <w:pStyle w:val="BodyText"/>
      </w:pPr>
      <w:r w:rsidRPr="00EF0332">
        <w:rPr>
          <w:sz w:val="22"/>
        </w:rPr>
        <w:fldChar w:fldCharType="begin"/>
      </w:r>
      <w:r w:rsidRPr="00EF0332">
        <w:rPr>
          <w:sz w:val="22"/>
        </w:rPr>
        <w:instrText xml:space="preserve"> TC "</w:instrText>
      </w:r>
      <w:r w:rsidRPr="00EF0332">
        <w:rPr>
          <w:sz w:val="22"/>
        </w:rPr>
        <w:tab/>
      </w:r>
      <w:bookmarkStart w:id="37" w:name="_Toc219970018"/>
      <w:r w:rsidRPr="00EF0332">
        <w:rPr>
          <w:sz w:val="22"/>
        </w:rPr>
        <w:instrText>Schedule No. 3-B W</w:instrText>
      </w:r>
      <w:r>
        <w:rPr>
          <w:sz w:val="22"/>
        </w:rPr>
        <w:instrText>astew</w:instrText>
      </w:r>
      <w:r w:rsidRPr="00EF0332">
        <w:rPr>
          <w:sz w:val="22"/>
        </w:rPr>
        <w:instrText>ater Operating Income</w:instrText>
      </w:r>
      <w:bookmarkEnd w:id="37"/>
      <w:r w:rsidRPr="00EF0332">
        <w:rPr>
          <w:sz w:val="22"/>
        </w:rPr>
        <w:instrText xml:space="preserve">" \l 1 </w:instrText>
      </w:r>
      <w:r w:rsidRPr="00EF0332">
        <w:rPr>
          <w:sz w:val="22"/>
        </w:rPr>
        <w:fldChar w:fldCharType="end"/>
      </w:r>
    </w:p>
    <w:p w14:paraId="2FDE4923" w14:textId="30D12AEC" w:rsidR="00224FF2" w:rsidRDefault="003D2A72" w:rsidP="00E275D8">
      <w:pPr>
        <w:pStyle w:val="BodyText"/>
      </w:pPr>
      <w:r w:rsidRPr="004B78DE">
        <w:rPr>
          <w:noProof/>
        </w:rPr>
        <w:drawing>
          <wp:inline distT="0" distB="0" distL="0" distR="0" wp14:anchorId="6F070C09" wp14:editId="3F0054F6">
            <wp:extent cx="5943600" cy="429718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grayscl/>
                      <a:extLst>
                        <a:ext uri="{28A0092B-C50C-407E-A947-70E740481C1C}">
                          <a14:useLocalDpi xmlns:a14="http://schemas.microsoft.com/office/drawing/2010/main" val="0"/>
                        </a:ext>
                      </a:extLst>
                    </a:blip>
                    <a:srcRect/>
                    <a:stretch>
                      <a:fillRect/>
                    </a:stretch>
                  </pic:blipFill>
                  <pic:spPr bwMode="auto">
                    <a:xfrm>
                      <a:off x="0" y="0"/>
                      <a:ext cx="5943600" cy="4297185"/>
                    </a:xfrm>
                    <a:prstGeom prst="rect">
                      <a:avLst/>
                    </a:prstGeom>
                    <a:noFill/>
                    <a:ln>
                      <a:noFill/>
                    </a:ln>
                  </pic:spPr>
                </pic:pic>
              </a:graphicData>
            </a:graphic>
          </wp:inline>
        </w:drawing>
      </w:r>
    </w:p>
    <w:p w14:paraId="63687261" w14:textId="77777777" w:rsidR="003D2A72" w:rsidRDefault="003D2A72" w:rsidP="00E275D8">
      <w:pPr>
        <w:pStyle w:val="BodyText"/>
      </w:pPr>
    </w:p>
    <w:p w14:paraId="689AD649" w14:textId="77777777" w:rsidR="003D2A72" w:rsidRDefault="003D2A72" w:rsidP="00E275D8">
      <w:pPr>
        <w:pStyle w:val="BodyText"/>
      </w:pPr>
    </w:p>
    <w:p w14:paraId="7DA89D67" w14:textId="77777777" w:rsidR="00224FF2" w:rsidRDefault="00224FF2" w:rsidP="00E275D8">
      <w:pPr>
        <w:pStyle w:val="BodyText"/>
        <w:sectPr w:rsidR="00224FF2" w:rsidSect="0068481F">
          <w:headerReference w:type="default" r:id="rId27"/>
          <w:pgSz w:w="12240" w:h="15840" w:code="1"/>
          <w:pgMar w:top="1584" w:right="1440" w:bottom="1440" w:left="1440" w:header="720" w:footer="720" w:gutter="0"/>
          <w:cols w:space="720"/>
          <w:formProt w:val="0"/>
          <w:docGrid w:linePitch="360"/>
        </w:sectPr>
      </w:pPr>
    </w:p>
    <w:p w14:paraId="36246605" w14:textId="6DA75A24" w:rsidR="00CE76A5" w:rsidRPr="00EF0332" w:rsidRDefault="00CE76A5" w:rsidP="00CE76A5">
      <w:pPr>
        <w:pStyle w:val="Header"/>
      </w:pPr>
      <w:r w:rsidRPr="00EF0332">
        <w:rPr>
          <w:sz w:val="22"/>
        </w:rPr>
        <w:fldChar w:fldCharType="begin"/>
      </w:r>
      <w:r w:rsidRPr="00EF0332">
        <w:rPr>
          <w:sz w:val="22"/>
        </w:rPr>
        <w:instrText xml:space="preserve"> TC "</w:instrText>
      </w:r>
      <w:r w:rsidRPr="00EF0332">
        <w:rPr>
          <w:sz w:val="22"/>
        </w:rPr>
        <w:tab/>
      </w:r>
      <w:bookmarkStart w:id="38" w:name="_Toc219970019"/>
      <w:r>
        <w:rPr>
          <w:sz w:val="22"/>
        </w:rPr>
        <w:instrText>Schedule No. 3-C Adjustments t</w:instrText>
      </w:r>
      <w:r w:rsidRPr="00EF0332">
        <w:rPr>
          <w:sz w:val="22"/>
        </w:rPr>
        <w:instrText>o Operating Income</w:instrText>
      </w:r>
      <w:bookmarkEnd w:id="38"/>
      <w:r w:rsidRPr="00EF0332">
        <w:rPr>
          <w:sz w:val="22"/>
        </w:rPr>
        <w:instrText xml:space="preserve">" \l 1 </w:instrText>
      </w:r>
      <w:r w:rsidRPr="00EF0332">
        <w:rPr>
          <w:sz w:val="22"/>
        </w:rPr>
        <w:fldChar w:fldCharType="end"/>
      </w:r>
    </w:p>
    <w:p w14:paraId="48AB6284" w14:textId="77777777" w:rsidR="00224FF2" w:rsidRDefault="00224FF2" w:rsidP="00141D83">
      <w:pPr>
        <w:pStyle w:val="BodyText"/>
        <w:spacing w:after="0"/>
      </w:pPr>
    </w:p>
    <w:tbl>
      <w:tblPr>
        <w:tblW w:w="5414"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17"/>
        <w:gridCol w:w="5622"/>
        <w:gridCol w:w="64"/>
        <w:gridCol w:w="286"/>
        <w:gridCol w:w="1089"/>
        <w:gridCol w:w="630"/>
        <w:gridCol w:w="1891"/>
        <w:gridCol w:w="270"/>
      </w:tblGrid>
      <w:tr w:rsidR="00224FF2" w:rsidRPr="003A2A1C" w14:paraId="5A773596" w14:textId="77777777" w:rsidTr="003A2A1C">
        <w:trPr>
          <w:trHeight w:hRule="exact" w:val="288"/>
        </w:trPr>
        <w:tc>
          <w:tcPr>
            <w:tcW w:w="249" w:type="pct"/>
          </w:tcPr>
          <w:p w14:paraId="71EF4395" w14:textId="77777777" w:rsidR="00224FF2" w:rsidRPr="003A2A1C" w:rsidRDefault="00224FF2" w:rsidP="00224FF2">
            <w:pPr>
              <w:spacing w:after="240"/>
              <w:jc w:val="both"/>
              <w:rPr>
                <w:b/>
                <w:sz w:val="22"/>
                <w:szCs w:val="22"/>
              </w:rPr>
            </w:pPr>
          </w:p>
        </w:tc>
        <w:tc>
          <w:tcPr>
            <w:tcW w:w="3405" w:type="pct"/>
            <w:gridSpan w:val="4"/>
          </w:tcPr>
          <w:p w14:paraId="03009EF9" w14:textId="2A23E215" w:rsidR="00224FF2" w:rsidRPr="003A2A1C" w:rsidRDefault="003A2A1C" w:rsidP="00224FF2">
            <w:pPr>
              <w:spacing w:after="240"/>
              <w:jc w:val="both"/>
              <w:rPr>
                <w:b/>
                <w:sz w:val="22"/>
                <w:szCs w:val="22"/>
              </w:rPr>
            </w:pPr>
            <w:r w:rsidRPr="003A2A1C">
              <w:rPr>
                <w:b/>
                <w:sz w:val="22"/>
                <w:szCs w:val="22"/>
              </w:rPr>
              <w:t>NC REAL ESTATE PROJECTS, LLC D/B/A GRENELEFE UTILITY</w:t>
            </w:r>
          </w:p>
        </w:tc>
        <w:tc>
          <w:tcPr>
            <w:tcW w:w="1216" w:type="pct"/>
            <w:gridSpan w:val="2"/>
          </w:tcPr>
          <w:p w14:paraId="49DF630A" w14:textId="77777777" w:rsidR="00224FF2" w:rsidRPr="003A2A1C" w:rsidRDefault="00224FF2" w:rsidP="00224FF2">
            <w:pPr>
              <w:spacing w:after="240"/>
              <w:jc w:val="right"/>
              <w:rPr>
                <w:b/>
                <w:sz w:val="22"/>
                <w:szCs w:val="22"/>
              </w:rPr>
            </w:pPr>
            <w:r w:rsidRPr="003A2A1C">
              <w:rPr>
                <w:b/>
                <w:sz w:val="22"/>
                <w:szCs w:val="22"/>
              </w:rPr>
              <w:t>SCHEDULE NO. 3-C</w:t>
            </w:r>
          </w:p>
        </w:tc>
        <w:tc>
          <w:tcPr>
            <w:tcW w:w="130" w:type="pct"/>
          </w:tcPr>
          <w:p w14:paraId="19E75366" w14:textId="77777777" w:rsidR="00224FF2" w:rsidRPr="003A2A1C" w:rsidRDefault="00224FF2" w:rsidP="00224FF2">
            <w:pPr>
              <w:spacing w:after="240"/>
              <w:jc w:val="both"/>
              <w:rPr>
                <w:b/>
                <w:sz w:val="22"/>
                <w:szCs w:val="22"/>
              </w:rPr>
            </w:pPr>
          </w:p>
        </w:tc>
      </w:tr>
      <w:tr w:rsidR="00224FF2" w:rsidRPr="003A2A1C" w14:paraId="7274B65C" w14:textId="77777777" w:rsidTr="003A2A1C">
        <w:trPr>
          <w:trHeight w:hRule="exact" w:val="288"/>
        </w:trPr>
        <w:tc>
          <w:tcPr>
            <w:tcW w:w="249" w:type="pct"/>
            <w:tcBorders>
              <w:bottom w:val="nil"/>
            </w:tcBorders>
          </w:tcPr>
          <w:p w14:paraId="2A4FAAEA" w14:textId="77777777" w:rsidR="00224FF2" w:rsidRPr="003A2A1C" w:rsidRDefault="00224FF2" w:rsidP="00224FF2">
            <w:pPr>
              <w:spacing w:after="240"/>
              <w:jc w:val="both"/>
              <w:rPr>
                <w:b/>
                <w:sz w:val="22"/>
                <w:szCs w:val="22"/>
              </w:rPr>
            </w:pPr>
          </w:p>
        </w:tc>
        <w:tc>
          <w:tcPr>
            <w:tcW w:w="2880" w:type="pct"/>
            <w:gridSpan w:val="3"/>
            <w:tcBorders>
              <w:bottom w:val="nil"/>
            </w:tcBorders>
          </w:tcPr>
          <w:p w14:paraId="4D5C8A4E" w14:textId="77777777" w:rsidR="00224FF2" w:rsidRPr="003A2A1C" w:rsidRDefault="00224FF2" w:rsidP="00224FF2">
            <w:pPr>
              <w:spacing w:after="240"/>
              <w:jc w:val="both"/>
              <w:rPr>
                <w:b/>
                <w:sz w:val="22"/>
                <w:szCs w:val="22"/>
              </w:rPr>
            </w:pPr>
            <w:r w:rsidRPr="003A2A1C">
              <w:rPr>
                <w:b/>
                <w:sz w:val="22"/>
                <w:szCs w:val="22"/>
              </w:rPr>
              <w:t>TEST YEAR ENDED 10/31/2024</w:t>
            </w:r>
          </w:p>
        </w:tc>
        <w:tc>
          <w:tcPr>
            <w:tcW w:w="1741" w:type="pct"/>
            <w:gridSpan w:val="3"/>
            <w:tcBorders>
              <w:bottom w:val="nil"/>
            </w:tcBorders>
          </w:tcPr>
          <w:p w14:paraId="7232AE1F" w14:textId="77777777" w:rsidR="00224FF2" w:rsidRPr="003A2A1C" w:rsidRDefault="00224FF2" w:rsidP="00224FF2">
            <w:pPr>
              <w:spacing w:after="240"/>
              <w:jc w:val="right"/>
              <w:rPr>
                <w:b/>
                <w:sz w:val="22"/>
                <w:szCs w:val="22"/>
              </w:rPr>
            </w:pPr>
            <w:r w:rsidRPr="003A2A1C">
              <w:rPr>
                <w:b/>
                <w:sz w:val="22"/>
                <w:szCs w:val="22"/>
              </w:rPr>
              <w:t>DOCKET NO. 20250023-WS</w:t>
            </w:r>
          </w:p>
        </w:tc>
        <w:tc>
          <w:tcPr>
            <w:tcW w:w="130" w:type="pct"/>
            <w:tcBorders>
              <w:bottom w:val="nil"/>
            </w:tcBorders>
          </w:tcPr>
          <w:p w14:paraId="1D4EC8A9" w14:textId="77777777" w:rsidR="00224FF2" w:rsidRPr="003A2A1C" w:rsidRDefault="00224FF2" w:rsidP="00224FF2">
            <w:pPr>
              <w:spacing w:after="240"/>
              <w:jc w:val="both"/>
              <w:rPr>
                <w:b/>
                <w:sz w:val="22"/>
                <w:szCs w:val="22"/>
              </w:rPr>
            </w:pPr>
          </w:p>
        </w:tc>
      </w:tr>
      <w:tr w:rsidR="00224FF2" w:rsidRPr="003A2A1C" w14:paraId="505CD8CD" w14:textId="77777777" w:rsidTr="003A2A1C">
        <w:trPr>
          <w:trHeight w:hRule="exact" w:val="288"/>
        </w:trPr>
        <w:tc>
          <w:tcPr>
            <w:tcW w:w="249" w:type="pct"/>
            <w:tcBorders>
              <w:top w:val="nil"/>
              <w:bottom w:val="single" w:sz="4" w:space="0" w:color="auto"/>
            </w:tcBorders>
          </w:tcPr>
          <w:p w14:paraId="0284E5C1" w14:textId="77777777" w:rsidR="00224FF2" w:rsidRPr="003A2A1C" w:rsidRDefault="00224FF2" w:rsidP="00224FF2">
            <w:pPr>
              <w:spacing w:after="240"/>
              <w:jc w:val="both"/>
              <w:rPr>
                <w:b/>
                <w:sz w:val="22"/>
                <w:szCs w:val="22"/>
              </w:rPr>
            </w:pPr>
          </w:p>
        </w:tc>
        <w:tc>
          <w:tcPr>
            <w:tcW w:w="2880" w:type="pct"/>
            <w:gridSpan w:val="3"/>
            <w:tcBorders>
              <w:top w:val="nil"/>
              <w:bottom w:val="single" w:sz="4" w:space="0" w:color="auto"/>
            </w:tcBorders>
          </w:tcPr>
          <w:p w14:paraId="3F6EDA2E" w14:textId="77777777" w:rsidR="00224FF2" w:rsidRPr="003A2A1C" w:rsidRDefault="00224FF2" w:rsidP="00224FF2">
            <w:pPr>
              <w:spacing w:after="240"/>
              <w:jc w:val="both"/>
              <w:rPr>
                <w:b/>
                <w:sz w:val="22"/>
                <w:szCs w:val="22"/>
              </w:rPr>
            </w:pPr>
            <w:r w:rsidRPr="003A2A1C">
              <w:rPr>
                <w:b/>
                <w:sz w:val="22"/>
                <w:szCs w:val="22"/>
              </w:rPr>
              <w:t>ADJUSTMENTS TO OPERATING INCOME</w:t>
            </w:r>
          </w:p>
        </w:tc>
        <w:tc>
          <w:tcPr>
            <w:tcW w:w="1741" w:type="pct"/>
            <w:gridSpan w:val="3"/>
            <w:tcBorders>
              <w:top w:val="nil"/>
              <w:bottom w:val="single" w:sz="4" w:space="0" w:color="auto"/>
            </w:tcBorders>
          </w:tcPr>
          <w:p w14:paraId="1AB4F1FB" w14:textId="77777777" w:rsidR="00224FF2" w:rsidRPr="003A2A1C" w:rsidRDefault="00224FF2" w:rsidP="00224FF2">
            <w:pPr>
              <w:spacing w:after="240"/>
              <w:jc w:val="right"/>
              <w:rPr>
                <w:b/>
                <w:sz w:val="22"/>
                <w:szCs w:val="22"/>
              </w:rPr>
            </w:pPr>
          </w:p>
        </w:tc>
        <w:tc>
          <w:tcPr>
            <w:tcW w:w="130" w:type="pct"/>
            <w:tcBorders>
              <w:top w:val="nil"/>
              <w:bottom w:val="single" w:sz="4" w:space="0" w:color="auto"/>
            </w:tcBorders>
          </w:tcPr>
          <w:p w14:paraId="2AB3D771" w14:textId="77777777" w:rsidR="00224FF2" w:rsidRPr="003A2A1C" w:rsidRDefault="00224FF2" w:rsidP="00224FF2">
            <w:pPr>
              <w:spacing w:after="240"/>
              <w:jc w:val="both"/>
              <w:rPr>
                <w:b/>
                <w:sz w:val="22"/>
                <w:szCs w:val="22"/>
              </w:rPr>
            </w:pPr>
          </w:p>
        </w:tc>
      </w:tr>
      <w:tr w:rsidR="00224FF2" w:rsidRPr="003A2A1C" w14:paraId="2CD2427E" w14:textId="77777777" w:rsidTr="003A2A1C">
        <w:trPr>
          <w:trHeight w:hRule="exact" w:val="288"/>
        </w:trPr>
        <w:tc>
          <w:tcPr>
            <w:tcW w:w="249" w:type="pct"/>
            <w:tcBorders>
              <w:top w:val="single" w:sz="4" w:space="0" w:color="auto"/>
            </w:tcBorders>
          </w:tcPr>
          <w:p w14:paraId="14F606A5" w14:textId="77777777" w:rsidR="00224FF2" w:rsidRPr="003A2A1C" w:rsidRDefault="00224FF2" w:rsidP="00224FF2">
            <w:pPr>
              <w:spacing w:after="240"/>
              <w:jc w:val="both"/>
              <w:rPr>
                <w:b/>
                <w:sz w:val="22"/>
                <w:szCs w:val="22"/>
              </w:rPr>
            </w:pPr>
          </w:p>
        </w:tc>
        <w:tc>
          <w:tcPr>
            <w:tcW w:w="2711" w:type="pct"/>
            <w:tcBorders>
              <w:top w:val="single" w:sz="4" w:space="0" w:color="auto"/>
            </w:tcBorders>
          </w:tcPr>
          <w:p w14:paraId="3D699712" w14:textId="77777777" w:rsidR="00224FF2" w:rsidRPr="003A2A1C" w:rsidRDefault="00224FF2" w:rsidP="00224FF2">
            <w:pPr>
              <w:spacing w:after="240"/>
              <w:jc w:val="both"/>
              <w:rPr>
                <w:b/>
                <w:sz w:val="22"/>
                <w:szCs w:val="22"/>
              </w:rPr>
            </w:pPr>
          </w:p>
        </w:tc>
        <w:tc>
          <w:tcPr>
            <w:tcW w:w="169" w:type="pct"/>
            <w:gridSpan w:val="2"/>
            <w:tcBorders>
              <w:top w:val="single" w:sz="4" w:space="0" w:color="auto"/>
            </w:tcBorders>
          </w:tcPr>
          <w:p w14:paraId="16D5710C" w14:textId="77777777" w:rsidR="00224FF2" w:rsidRPr="003A2A1C" w:rsidRDefault="00224FF2" w:rsidP="00224FF2">
            <w:pPr>
              <w:spacing w:after="240"/>
              <w:jc w:val="both"/>
              <w:rPr>
                <w:b/>
                <w:sz w:val="22"/>
                <w:szCs w:val="22"/>
              </w:rPr>
            </w:pPr>
          </w:p>
        </w:tc>
        <w:tc>
          <w:tcPr>
            <w:tcW w:w="829" w:type="pct"/>
            <w:gridSpan w:val="2"/>
            <w:tcBorders>
              <w:top w:val="single" w:sz="4" w:space="0" w:color="auto"/>
            </w:tcBorders>
          </w:tcPr>
          <w:p w14:paraId="155E953B" w14:textId="77777777" w:rsidR="00224FF2" w:rsidRPr="003A2A1C" w:rsidRDefault="00224FF2" w:rsidP="00224FF2">
            <w:pPr>
              <w:spacing w:after="240"/>
              <w:jc w:val="both"/>
              <w:rPr>
                <w:b/>
                <w:sz w:val="22"/>
                <w:szCs w:val="22"/>
              </w:rPr>
            </w:pPr>
          </w:p>
        </w:tc>
        <w:tc>
          <w:tcPr>
            <w:tcW w:w="912" w:type="pct"/>
            <w:tcBorders>
              <w:top w:val="single" w:sz="4" w:space="0" w:color="auto"/>
            </w:tcBorders>
          </w:tcPr>
          <w:p w14:paraId="688FB0ED" w14:textId="77777777" w:rsidR="00224FF2" w:rsidRPr="003A2A1C" w:rsidRDefault="00224FF2" w:rsidP="00224FF2">
            <w:pPr>
              <w:spacing w:after="240"/>
              <w:jc w:val="both"/>
              <w:rPr>
                <w:b/>
                <w:sz w:val="22"/>
                <w:szCs w:val="22"/>
              </w:rPr>
            </w:pPr>
          </w:p>
        </w:tc>
        <w:tc>
          <w:tcPr>
            <w:tcW w:w="130" w:type="pct"/>
            <w:tcBorders>
              <w:top w:val="single" w:sz="4" w:space="0" w:color="auto"/>
            </w:tcBorders>
          </w:tcPr>
          <w:p w14:paraId="6B8372A6" w14:textId="77777777" w:rsidR="00224FF2" w:rsidRPr="003A2A1C" w:rsidRDefault="00224FF2" w:rsidP="00224FF2">
            <w:pPr>
              <w:spacing w:after="240"/>
              <w:jc w:val="both"/>
              <w:rPr>
                <w:b/>
                <w:sz w:val="22"/>
                <w:szCs w:val="22"/>
              </w:rPr>
            </w:pPr>
          </w:p>
        </w:tc>
      </w:tr>
      <w:tr w:rsidR="00224FF2" w:rsidRPr="003A2A1C" w14:paraId="1FA1214D" w14:textId="77777777" w:rsidTr="003A2A1C">
        <w:trPr>
          <w:trHeight w:hRule="exact" w:val="288"/>
        </w:trPr>
        <w:tc>
          <w:tcPr>
            <w:tcW w:w="249" w:type="pct"/>
          </w:tcPr>
          <w:p w14:paraId="194D9CBD" w14:textId="77777777" w:rsidR="00224FF2" w:rsidRPr="003A2A1C" w:rsidRDefault="00224FF2" w:rsidP="00224FF2">
            <w:pPr>
              <w:spacing w:after="240"/>
              <w:jc w:val="both"/>
              <w:rPr>
                <w:b/>
                <w:sz w:val="22"/>
                <w:szCs w:val="22"/>
              </w:rPr>
            </w:pPr>
          </w:p>
        </w:tc>
        <w:tc>
          <w:tcPr>
            <w:tcW w:w="2711" w:type="pct"/>
          </w:tcPr>
          <w:p w14:paraId="5182C4A4" w14:textId="77777777" w:rsidR="00224FF2" w:rsidRPr="003A2A1C" w:rsidRDefault="00224FF2" w:rsidP="00224FF2">
            <w:pPr>
              <w:spacing w:after="240"/>
              <w:jc w:val="both"/>
              <w:rPr>
                <w:b/>
                <w:sz w:val="22"/>
                <w:szCs w:val="22"/>
              </w:rPr>
            </w:pPr>
          </w:p>
        </w:tc>
        <w:tc>
          <w:tcPr>
            <w:tcW w:w="169" w:type="pct"/>
            <w:gridSpan w:val="2"/>
          </w:tcPr>
          <w:p w14:paraId="20BEBA72" w14:textId="77777777" w:rsidR="00224FF2" w:rsidRPr="003A2A1C" w:rsidRDefault="00224FF2" w:rsidP="00224FF2">
            <w:pPr>
              <w:spacing w:after="240"/>
              <w:jc w:val="both"/>
              <w:rPr>
                <w:b/>
                <w:sz w:val="22"/>
                <w:szCs w:val="22"/>
              </w:rPr>
            </w:pPr>
          </w:p>
        </w:tc>
        <w:tc>
          <w:tcPr>
            <w:tcW w:w="829" w:type="pct"/>
            <w:gridSpan w:val="2"/>
          </w:tcPr>
          <w:p w14:paraId="50036C59" w14:textId="77777777" w:rsidR="00224FF2" w:rsidRPr="003A2A1C" w:rsidRDefault="00224FF2" w:rsidP="00224FF2">
            <w:pPr>
              <w:spacing w:after="240"/>
              <w:jc w:val="center"/>
              <w:rPr>
                <w:b/>
                <w:sz w:val="22"/>
                <w:szCs w:val="22"/>
                <w:u w:val="single"/>
              </w:rPr>
            </w:pPr>
            <w:r w:rsidRPr="003A2A1C">
              <w:rPr>
                <w:b/>
                <w:sz w:val="22"/>
                <w:szCs w:val="22"/>
                <w:u w:val="single"/>
              </w:rPr>
              <w:t>WATER</w:t>
            </w:r>
          </w:p>
        </w:tc>
        <w:tc>
          <w:tcPr>
            <w:tcW w:w="912" w:type="pct"/>
          </w:tcPr>
          <w:p w14:paraId="2E60705E" w14:textId="77777777" w:rsidR="00224FF2" w:rsidRPr="003A2A1C" w:rsidRDefault="00224FF2" w:rsidP="00224FF2">
            <w:pPr>
              <w:spacing w:after="240"/>
              <w:jc w:val="center"/>
              <w:rPr>
                <w:b/>
                <w:sz w:val="22"/>
                <w:szCs w:val="22"/>
                <w:u w:val="single"/>
              </w:rPr>
            </w:pPr>
            <w:r w:rsidRPr="003A2A1C">
              <w:rPr>
                <w:b/>
                <w:sz w:val="22"/>
                <w:szCs w:val="22"/>
                <w:u w:val="single"/>
              </w:rPr>
              <w:t>WASTEWATER</w:t>
            </w:r>
          </w:p>
        </w:tc>
        <w:tc>
          <w:tcPr>
            <w:tcW w:w="130" w:type="pct"/>
          </w:tcPr>
          <w:p w14:paraId="44C39E6A" w14:textId="77777777" w:rsidR="00224FF2" w:rsidRPr="003A2A1C" w:rsidRDefault="00224FF2" w:rsidP="00224FF2">
            <w:pPr>
              <w:spacing w:after="240"/>
              <w:jc w:val="both"/>
              <w:rPr>
                <w:b/>
                <w:sz w:val="22"/>
                <w:szCs w:val="22"/>
              </w:rPr>
            </w:pPr>
          </w:p>
        </w:tc>
      </w:tr>
      <w:tr w:rsidR="00224FF2" w:rsidRPr="003A2A1C" w14:paraId="04FEA144" w14:textId="77777777" w:rsidTr="003A2A1C">
        <w:trPr>
          <w:trHeight w:hRule="exact" w:val="288"/>
        </w:trPr>
        <w:tc>
          <w:tcPr>
            <w:tcW w:w="249" w:type="pct"/>
          </w:tcPr>
          <w:p w14:paraId="038743D2" w14:textId="77777777" w:rsidR="00224FF2" w:rsidRPr="003A2A1C" w:rsidRDefault="00224FF2" w:rsidP="00224FF2">
            <w:pPr>
              <w:spacing w:after="240"/>
              <w:jc w:val="both"/>
              <w:rPr>
                <w:b/>
                <w:sz w:val="22"/>
                <w:szCs w:val="22"/>
              </w:rPr>
            </w:pPr>
          </w:p>
        </w:tc>
        <w:tc>
          <w:tcPr>
            <w:tcW w:w="2711" w:type="pct"/>
          </w:tcPr>
          <w:p w14:paraId="77416F48" w14:textId="77777777" w:rsidR="00224FF2" w:rsidRPr="003A2A1C" w:rsidRDefault="00224FF2" w:rsidP="00224FF2">
            <w:pPr>
              <w:spacing w:after="240"/>
              <w:jc w:val="both"/>
              <w:rPr>
                <w:b/>
                <w:sz w:val="22"/>
                <w:szCs w:val="22"/>
              </w:rPr>
            </w:pPr>
            <w:r w:rsidRPr="003A2A1C">
              <w:rPr>
                <w:b/>
                <w:sz w:val="22"/>
                <w:szCs w:val="22"/>
              </w:rPr>
              <w:t>OPERATING REVENUES</w:t>
            </w:r>
          </w:p>
        </w:tc>
        <w:tc>
          <w:tcPr>
            <w:tcW w:w="169" w:type="pct"/>
            <w:gridSpan w:val="2"/>
          </w:tcPr>
          <w:p w14:paraId="24570C80" w14:textId="77777777" w:rsidR="00224FF2" w:rsidRPr="003A2A1C" w:rsidRDefault="00224FF2" w:rsidP="00224FF2">
            <w:pPr>
              <w:spacing w:after="240"/>
              <w:jc w:val="both"/>
              <w:rPr>
                <w:b/>
                <w:sz w:val="22"/>
                <w:szCs w:val="22"/>
              </w:rPr>
            </w:pPr>
          </w:p>
        </w:tc>
        <w:tc>
          <w:tcPr>
            <w:tcW w:w="829" w:type="pct"/>
            <w:gridSpan w:val="2"/>
          </w:tcPr>
          <w:p w14:paraId="3A876158" w14:textId="77777777" w:rsidR="00224FF2" w:rsidRPr="003A2A1C" w:rsidRDefault="00224FF2" w:rsidP="00224FF2">
            <w:pPr>
              <w:spacing w:after="240"/>
              <w:jc w:val="both"/>
              <w:rPr>
                <w:b/>
                <w:sz w:val="22"/>
                <w:szCs w:val="22"/>
              </w:rPr>
            </w:pPr>
          </w:p>
        </w:tc>
        <w:tc>
          <w:tcPr>
            <w:tcW w:w="912" w:type="pct"/>
          </w:tcPr>
          <w:p w14:paraId="76AE3473" w14:textId="77777777" w:rsidR="00224FF2" w:rsidRPr="003A2A1C" w:rsidRDefault="00224FF2" w:rsidP="00224FF2">
            <w:pPr>
              <w:spacing w:after="240"/>
              <w:jc w:val="both"/>
              <w:rPr>
                <w:b/>
                <w:sz w:val="22"/>
                <w:szCs w:val="22"/>
              </w:rPr>
            </w:pPr>
          </w:p>
        </w:tc>
        <w:tc>
          <w:tcPr>
            <w:tcW w:w="130" w:type="pct"/>
          </w:tcPr>
          <w:p w14:paraId="141F048F" w14:textId="77777777" w:rsidR="00224FF2" w:rsidRPr="003A2A1C" w:rsidRDefault="00224FF2" w:rsidP="00224FF2">
            <w:pPr>
              <w:spacing w:after="240"/>
              <w:jc w:val="both"/>
              <w:rPr>
                <w:b/>
                <w:sz w:val="22"/>
                <w:szCs w:val="22"/>
              </w:rPr>
            </w:pPr>
          </w:p>
        </w:tc>
      </w:tr>
      <w:tr w:rsidR="00224FF2" w:rsidRPr="003A2A1C" w14:paraId="521BCC32" w14:textId="77777777" w:rsidTr="003A2A1C">
        <w:trPr>
          <w:trHeight w:hRule="exact" w:val="288"/>
        </w:trPr>
        <w:tc>
          <w:tcPr>
            <w:tcW w:w="249" w:type="pct"/>
          </w:tcPr>
          <w:p w14:paraId="377D73D6" w14:textId="77777777" w:rsidR="00224FF2" w:rsidRPr="003A2A1C" w:rsidRDefault="00224FF2" w:rsidP="00224FF2">
            <w:pPr>
              <w:spacing w:after="240"/>
              <w:jc w:val="both"/>
              <w:rPr>
                <w:sz w:val="22"/>
                <w:szCs w:val="22"/>
              </w:rPr>
            </w:pPr>
            <w:r w:rsidRPr="003A2A1C">
              <w:rPr>
                <w:sz w:val="22"/>
                <w:szCs w:val="22"/>
              </w:rPr>
              <w:t>1.</w:t>
            </w:r>
          </w:p>
        </w:tc>
        <w:tc>
          <w:tcPr>
            <w:tcW w:w="2711" w:type="pct"/>
          </w:tcPr>
          <w:p w14:paraId="62D1B32E" w14:textId="77777777" w:rsidR="00224FF2" w:rsidRPr="003A2A1C" w:rsidRDefault="00224FF2" w:rsidP="00224FF2">
            <w:pPr>
              <w:spacing w:after="240"/>
              <w:jc w:val="both"/>
              <w:rPr>
                <w:sz w:val="22"/>
                <w:szCs w:val="22"/>
              </w:rPr>
            </w:pPr>
            <w:r w:rsidRPr="003A2A1C">
              <w:rPr>
                <w:sz w:val="22"/>
                <w:szCs w:val="22"/>
              </w:rPr>
              <w:t>To reflect audit adjustments to service revenues.</w:t>
            </w:r>
          </w:p>
        </w:tc>
        <w:tc>
          <w:tcPr>
            <w:tcW w:w="169" w:type="pct"/>
            <w:gridSpan w:val="2"/>
          </w:tcPr>
          <w:p w14:paraId="21D3CEC5" w14:textId="77777777" w:rsidR="00224FF2" w:rsidRPr="003A2A1C" w:rsidRDefault="00224FF2" w:rsidP="00224FF2">
            <w:pPr>
              <w:spacing w:after="240"/>
              <w:jc w:val="both"/>
              <w:rPr>
                <w:sz w:val="22"/>
                <w:szCs w:val="22"/>
              </w:rPr>
            </w:pPr>
          </w:p>
        </w:tc>
        <w:tc>
          <w:tcPr>
            <w:tcW w:w="829" w:type="pct"/>
            <w:gridSpan w:val="2"/>
          </w:tcPr>
          <w:p w14:paraId="55B013FD" w14:textId="77777777" w:rsidR="00224FF2" w:rsidRPr="003A2A1C" w:rsidRDefault="00224FF2" w:rsidP="00224FF2">
            <w:pPr>
              <w:spacing w:after="240"/>
              <w:jc w:val="right"/>
              <w:rPr>
                <w:sz w:val="22"/>
                <w:szCs w:val="22"/>
              </w:rPr>
            </w:pPr>
            <w:r w:rsidRPr="003A2A1C">
              <w:rPr>
                <w:sz w:val="22"/>
                <w:szCs w:val="22"/>
              </w:rPr>
              <w:t>($120,203)</w:t>
            </w:r>
          </w:p>
        </w:tc>
        <w:tc>
          <w:tcPr>
            <w:tcW w:w="912" w:type="pct"/>
          </w:tcPr>
          <w:p w14:paraId="5EFBA222" w14:textId="77777777" w:rsidR="00224FF2" w:rsidRPr="003A2A1C" w:rsidRDefault="00224FF2" w:rsidP="00224FF2">
            <w:pPr>
              <w:spacing w:after="240"/>
              <w:jc w:val="right"/>
              <w:rPr>
                <w:sz w:val="22"/>
                <w:szCs w:val="22"/>
              </w:rPr>
            </w:pPr>
            <w:r w:rsidRPr="003A2A1C">
              <w:rPr>
                <w:sz w:val="22"/>
                <w:szCs w:val="22"/>
              </w:rPr>
              <w:t>($26,632)</w:t>
            </w:r>
          </w:p>
        </w:tc>
        <w:tc>
          <w:tcPr>
            <w:tcW w:w="130" w:type="pct"/>
          </w:tcPr>
          <w:p w14:paraId="7687C84B" w14:textId="77777777" w:rsidR="00224FF2" w:rsidRPr="003A2A1C" w:rsidRDefault="00224FF2" w:rsidP="00224FF2">
            <w:pPr>
              <w:spacing w:after="240"/>
              <w:jc w:val="both"/>
              <w:rPr>
                <w:sz w:val="22"/>
                <w:szCs w:val="22"/>
              </w:rPr>
            </w:pPr>
          </w:p>
        </w:tc>
      </w:tr>
      <w:tr w:rsidR="00224FF2" w:rsidRPr="003A2A1C" w14:paraId="7D0F5A0F" w14:textId="77777777" w:rsidTr="003A2A1C">
        <w:trPr>
          <w:trHeight w:hRule="exact" w:val="288"/>
        </w:trPr>
        <w:tc>
          <w:tcPr>
            <w:tcW w:w="249" w:type="pct"/>
          </w:tcPr>
          <w:p w14:paraId="0F758A2F" w14:textId="77777777" w:rsidR="00224FF2" w:rsidRPr="003A2A1C" w:rsidRDefault="00224FF2" w:rsidP="00224FF2">
            <w:pPr>
              <w:spacing w:after="240"/>
              <w:jc w:val="both"/>
              <w:rPr>
                <w:sz w:val="22"/>
                <w:szCs w:val="22"/>
              </w:rPr>
            </w:pPr>
            <w:r w:rsidRPr="003A2A1C">
              <w:rPr>
                <w:sz w:val="22"/>
                <w:szCs w:val="22"/>
              </w:rPr>
              <w:t>2.</w:t>
            </w:r>
          </w:p>
        </w:tc>
        <w:tc>
          <w:tcPr>
            <w:tcW w:w="2711" w:type="pct"/>
          </w:tcPr>
          <w:p w14:paraId="2B42F5C2" w14:textId="77777777" w:rsidR="00224FF2" w:rsidRPr="003A2A1C" w:rsidRDefault="00224FF2" w:rsidP="00224FF2">
            <w:pPr>
              <w:spacing w:after="240"/>
              <w:jc w:val="both"/>
              <w:rPr>
                <w:sz w:val="22"/>
                <w:szCs w:val="22"/>
              </w:rPr>
            </w:pPr>
            <w:r w:rsidRPr="003A2A1C">
              <w:rPr>
                <w:sz w:val="22"/>
                <w:szCs w:val="22"/>
              </w:rPr>
              <w:t>To reflect audit adjustment to misc. revenues.</w:t>
            </w:r>
          </w:p>
        </w:tc>
        <w:tc>
          <w:tcPr>
            <w:tcW w:w="169" w:type="pct"/>
            <w:gridSpan w:val="2"/>
          </w:tcPr>
          <w:p w14:paraId="42DACE4C" w14:textId="77777777" w:rsidR="00224FF2" w:rsidRPr="003A2A1C" w:rsidRDefault="00224FF2" w:rsidP="00224FF2">
            <w:pPr>
              <w:spacing w:after="240"/>
              <w:jc w:val="both"/>
              <w:rPr>
                <w:sz w:val="22"/>
                <w:szCs w:val="22"/>
              </w:rPr>
            </w:pPr>
          </w:p>
        </w:tc>
        <w:tc>
          <w:tcPr>
            <w:tcW w:w="829" w:type="pct"/>
            <w:gridSpan w:val="2"/>
          </w:tcPr>
          <w:p w14:paraId="5F2903A3" w14:textId="77777777" w:rsidR="00224FF2" w:rsidRPr="003A2A1C" w:rsidRDefault="00224FF2" w:rsidP="00224FF2">
            <w:pPr>
              <w:spacing w:after="240"/>
              <w:jc w:val="right"/>
              <w:rPr>
                <w:sz w:val="22"/>
                <w:szCs w:val="22"/>
              </w:rPr>
            </w:pPr>
            <w:r w:rsidRPr="003A2A1C">
              <w:rPr>
                <w:sz w:val="22"/>
                <w:szCs w:val="22"/>
              </w:rPr>
              <w:t>33,486</w:t>
            </w:r>
          </w:p>
        </w:tc>
        <w:tc>
          <w:tcPr>
            <w:tcW w:w="912" w:type="pct"/>
          </w:tcPr>
          <w:p w14:paraId="437D6FBD" w14:textId="77777777" w:rsidR="00224FF2" w:rsidRPr="003A2A1C" w:rsidRDefault="00224FF2" w:rsidP="00224FF2">
            <w:pPr>
              <w:spacing w:after="240"/>
              <w:jc w:val="right"/>
              <w:rPr>
                <w:sz w:val="22"/>
                <w:szCs w:val="22"/>
              </w:rPr>
            </w:pPr>
            <w:r w:rsidRPr="003A2A1C">
              <w:rPr>
                <w:sz w:val="22"/>
                <w:szCs w:val="22"/>
              </w:rPr>
              <w:t>0</w:t>
            </w:r>
          </w:p>
        </w:tc>
        <w:tc>
          <w:tcPr>
            <w:tcW w:w="130" w:type="pct"/>
          </w:tcPr>
          <w:p w14:paraId="3E34723D" w14:textId="77777777" w:rsidR="00224FF2" w:rsidRPr="003A2A1C" w:rsidRDefault="00224FF2" w:rsidP="00224FF2">
            <w:pPr>
              <w:spacing w:after="240"/>
              <w:jc w:val="both"/>
              <w:rPr>
                <w:sz w:val="22"/>
                <w:szCs w:val="22"/>
              </w:rPr>
            </w:pPr>
          </w:p>
        </w:tc>
      </w:tr>
      <w:tr w:rsidR="00224FF2" w:rsidRPr="003A2A1C" w14:paraId="53E811B5" w14:textId="77777777" w:rsidTr="003A2A1C">
        <w:trPr>
          <w:trHeight w:hRule="exact" w:val="288"/>
        </w:trPr>
        <w:tc>
          <w:tcPr>
            <w:tcW w:w="249" w:type="pct"/>
          </w:tcPr>
          <w:p w14:paraId="50FEF1BA" w14:textId="77777777" w:rsidR="00224FF2" w:rsidRPr="003A2A1C" w:rsidRDefault="00224FF2" w:rsidP="00224FF2">
            <w:pPr>
              <w:spacing w:after="240"/>
              <w:jc w:val="both"/>
              <w:rPr>
                <w:sz w:val="22"/>
                <w:szCs w:val="22"/>
              </w:rPr>
            </w:pPr>
            <w:r w:rsidRPr="003A2A1C">
              <w:rPr>
                <w:sz w:val="22"/>
                <w:szCs w:val="22"/>
              </w:rPr>
              <w:t>3.</w:t>
            </w:r>
          </w:p>
        </w:tc>
        <w:tc>
          <w:tcPr>
            <w:tcW w:w="2711" w:type="pct"/>
          </w:tcPr>
          <w:p w14:paraId="5F8C4535" w14:textId="77777777" w:rsidR="00224FF2" w:rsidRPr="003A2A1C" w:rsidRDefault="00224FF2" w:rsidP="00224FF2">
            <w:pPr>
              <w:spacing w:after="240"/>
              <w:jc w:val="both"/>
              <w:rPr>
                <w:sz w:val="22"/>
                <w:szCs w:val="22"/>
              </w:rPr>
            </w:pPr>
            <w:r w:rsidRPr="003A2A1C">
              <w:rPr>
                <w:sz w:val="22"/>
                <w:szCs w:val="22"/>
              </w:rPr>
              <w:t>To reflect appropriate test year service revenues.</w:t>
            </w:r>
          </w:p>
        </w:tc>
        <w:tc>
          <w:tcPr>
            <w:tcW w:w="169" w:type="pct"/>
            <w:gridSpan w:val="2"/>
          </w:tcPr>
          <w:p w14:paraId="2347FDE3" w14:textId="77777777" w:rsidR="00224FF2" w:rsidRPr="003A2A1C" w:rsidRDefault="00224FF2" w:rsidP="00224FF2">
            <w:pPr>
              <w:spacing w:after="240"/>
              <w:jc w:val="both"/>
              <w:rPr>
                <w:sz w:val="22"/>
                <w:szCs w:val="22"/>
              </w:rPr>
            </w:pPr>
          </w:p>
        </w:tc>
        <w:tc>
          <w:tcPr>
            <w:tcW w:w="829" w:type="pct"/>
            <w:gridSpan w:val="2"/>
          </w:tcPr>
          <w:p w14:paraId="1BE3BC11" w14:textId="77777777" w:rsidR="00224FF2" w:rsidRPr="003A2A1C" w:rsidRDefault="00224FF2" w:rsidP="00224FF2">
            <w:pPr>
              <w:spacing w:after="240"/>
              <w:jc w:val="right"/>
              <w:rPr>
                <w:sz w:val="22"/>
                <w:szCs w:val="22"/>
                <w:u w:val="single"/>
              </w:rPr>
            </w:pPr>
            <w:r w:rsidRPr="003A2A1C">
              <w:rPr>
                <w:sz w:val="22"/>
                <w:szCs w:val="22"/>
                <w:u w:val="single"/>
              </w:rPr>
              <w:t xml:space="preserve"> 13,684</w:t>
            </w:r>
          </w:p>
        </w:tc>
        <w:tc>
          <w:tcPr>
            <w:tcW w:w="912" w:type="pct"/>
          </w:tcPr>
          <w:p w14:paraId="0AB2A069" w14:textId="77777777" w:rsidR="00224FF2" w:rsidRPr="003A2A1C" w:rsidRDefault="00224FF2" w:rsidP="00224FF2">
            <w:pPr>
              <w:spacing w:after="240"/>
              <w:jc w:val="right"/>
              <w:rPr>
                <w:sz w:val="22"/>
                <w:szCs w:val="22"/>
                <w:u w:val="single"/>
              </w:rPr>
            </w:pPr>
            <w:r w:rsidRPr="003A2A1C">
              <w:rPr>
                <w:sz w:val="22"/>
                <w:szCs w:val="22"/>
                <w:u w:val="single"/>
              </w:rPr>
              <w:t>35,451</w:t>
            </w:r>
          </w:p>
        </w:tc>
        <w:tc>
          <w:tcPr>
            <w:tcW w:w="130" w:type="pct"/>
          </w:tcPr>
          <w:p w14:paraId="01C09385" w14:textId="77777777" w:rsidR="00224FF2" w:rsidRPr="003A2A1C" w:rsidRDefault="00224FF2" w:rsidP="00224FF2">
            <w:pPr>
              <w:spacing w:after="240"/>
              <w:jc w:val="both"/>
              <w:rPr>
                <w:sz w:val="22"/>
                <w:szCs w:val="22"/>
              </w:rPr>
            </w:pPr>
          </w:p>
        </w:tc>
      </w:tr>
      <w:tr w:rsidR="00224FF2" w:rsidRPr="003A2A1C" w14:paraId="761B292F" w14:textId="77777777" w:rsidTr="003A2A1C">
        <w:trPr>
          <w:trHeight w:hRule="exact" w:val="288"/>
        </w:trPr>
        <w:tc>
          <w:tcPr>
            <w:tcW w:w="249" w:type="pct"/>
          </w:tcPr>
          <w:p w14:paraId="08FC3609" w14:textId="77777777" w:rsidR="00224FF2" w:rsidRPr="003A2A1C" w:rsidRDefault="00224FF2" w:rsidP="00224FF2">
            <w:pPr>
              <w:spacing w:after="240"/>
              <w:jc w:val="both"/>
              <w:rPr>
                <w:sz w:val="22"/>
                <w:szCs w:val="22"/>
              </w:rPr>
            </w:pPr>
          </w:p>
        </w:tc>
        <w:tc>
          <w:tcPr>
            <w:tcW w:w="2711" w:type="pct"/>
          </w:tcPr>
          <w:p w14:paraId="4EB1A340" w14:textId="77777777" w:rsidR="00224FF2" w:rsidRPr="003A2A1C" w:rsidRDefault="00224FF2" w:rsidP="00224FF2">
            <w:pPr>
              <w:spacing w:after="240"/>
              <w:jc w:val="both"/>
              <w:rPr>
                <w:sz w:val="22"/>
                <w:szCs w:val="22"/>
              </w:rPr>
            </w:pPr>
            <w:r w:rsidRPr="003A2A1C">
              <w:rPr>
                <w:sz w:val="22"/>
                <w:szCs w:val="22"/>
              </w:rPr>
              <w:t xml:space="preserve"> Total</w:t>
            </w:r>
          </w:p>
        </w:tc>
        <w:tc>
          <w:tcPr>
            <w:tcW w:w="169" w:type="pct"/>
            <w:gridSpan w:val="2"/>
          </w:tcPr>
          <w:p w14:paraId="0FD0BFFF" w14:textId="77777777" w:rsidR="00224FF2" w:rsidRPr="003A2A1C" w:rsidRDefault="00224FF2" w:rsidP="00224FF2">
            <w:pPr>
              <w:spacing w:after="240"/>
              <w:jc w:val="both"/>
              <w:rPr>
                <w:sz w:val="22"/>
                <w:szCs w:val="22"/>
              </w:rPr>
            </w:pPr>
          </w:p>
        </w:tc>
        <w:tc>
          <w:tcPr>
            <w:tcW w:w="829" w:type="pct"/>
            <w:gridSpan w:val="2"/>
          </w:tcPr>
          <w:p w14:paraId="566242C5" w14:textId="77777777" w:rsidR="00224FF2" w:rsidRPr="003A2A1C" w:rsidRDefault="00224FF2" w:rsidP="00224FF2">
            <w:pPr>
              <w:spacing w:after="240"/>
              <w:jc w:val="right"/>
              <w:rPr>
                <w:sz w:val="22"/>
                <w:szCs w:val="22"/>
                <w:u w:val="double"/>
              </w:rPr>
            </w:pPr>
            <w:r w:rsidRPr="003A2A1C">
              <w:rPr>
                <w:sz w:val="22"/>
                <w:szCs w:val="22"/>
                <w:u w:val="double"/>
              </w:rPr>
              <w:t>($73,033)</w:t>
            </w:r>
          </w:p>
        </w:tc>
        <w:tc>
          <w:tcPr>
            <w:tcW w:w="912" w:type="pct"/>
          </w:tcPr>
          <w:p w14:paraId="12A8750F" w14:textId="77777777" w:rsidR="00224FF2" w:rsidRPr="003A2A1C" w:rsidRDefault="00224FF2" w:rsidP="00224FF2">
            <w:pPr>
              <w:spacing w:after="240"/>
              <w:jc w:val="right"/>
              <w:rPr>
                <w:sz w:val="22"/>
                <w:szCs w:val="22"/>
                <w:u w:val="double"/>
              </w:rPr>
            </w:pPr>
            <w:r w:rsidRPr="003A2A1C">
              <w:rPr>
                <w:sz w:val="22"/>
                <w:szCs w:val="22"/>
                <w:u w:val="double"/>
              </w:rPr>
              <w:t>$8,819</w:t>
            </w:r>
          </w:p>
        </w:tc>
        <w:tc>
          <w:tcPr>
            <w:tcW w:w="130" w:type="pct"/>
          </w:tcPr>
          <w:p w14:paraId="639F6CBB" w14:textId="77777777" w:rsidR="00224FF2" w:rsidRPr="003A2A1C" w:rsidRDefault="00224FF2" w:rsidP="00224FF2">
            <w:pPr>
              <w:spacing w:after="240"/>
              <w:jc w:val="both"/>
              <w:rPr>
                <w:sz w:val="22"/>
                <w:szCs w:val="22"/>
              </w:rPr>
            </w:pPr>
          </w:p>
        </w:tc>
      </w:tr>
      <w:tr w:rsidR="00224FF2" w:rsidRPr="003A2A1C" w14:paraId="451D7A88" w14:textId="77777777" w:rsidTr="003A2A1C">
        <w:trPr>
          <w:trHeight w:hRule="exact" w:val="288"/>
        </w:trPr>
        <w:tc>
          <w:tcPr>
            <w:tcW w:w="249" w:type="pct"/>
          </w:tcPr>
          <w:p w14:paraId="0B07D575" w14:textId="77777777" w:rsidR="00224FF2" w:rsidRPr="003A2A1C" w:rsidRDefault="00224FF2" w:rsidP="00224FF2">
            <w:pPr>
              <w:spacing w:after="240"/>
              <w:jc w:val="both"/>
              <w:rPr>
                <w:sz w:val="22"/>
                <w:szCs w:val="22"/>
              </w:rPr>
            </w:pPr>
          </w:p>
        </w:tc>
        <w:tc>
          <w:tcPr>
            <w:tcW w:w="2711" w:type="pct"/>
          </w:tcPr>
          <w:p w14:paraId="469493D7" w14:textId="77777777" w:rsidR="00224FF2" w:rsidRPr="003A2A1C" w:rsidRDefault="00224FF2" w:rsidP="00224FF2">
            <w:pPr>
              <w:spacing w:after="240"/>
              <w:jc w:val="both"/>
              <w:rPr>
                <w:sz w:val="22"/>
                <w:szCs w:val="22"/>
              </w:rPr>
            </w:pPr>
          </w:p>
        </w:tc>
        <w:tc>
          <w:tcPr>
            <w:tcW w:w="169" w:type="pct"/>
            <w:gridSpan w:val="2"/>
          </w:tcPr>
          <w:p w14:paraId="4CF86AA2" w14:textId="77777777" w:rsidR="00224FF2" w:rsidRPr="003A2A1C" w:rsidRDefault="00224FF2" w:rsidP="00224FF2">
            <w:pPr>
              <w:spacing w:after="240"/>
              <w:jc w:val="both"/>
              <w:rPr>
                <w:sz w:val="22"/>
                <w:szCs w:val="22"/>
              </w:rPr>
            </w:pPr>
          </w:p>
        </w:tc>
        <w:tc>
          <w:tcPr>
            <w:tcW w:w="829" w:type="pct"/>
            <w:gridSpan w:val="2"/>
          </w:tcPr>
          <w:p w14:paraId="711FA649" w14:textId="77777777" w:rsidR="00224FF2" w:rsidRPr="003A2A1C" w:rsidRDefault="00224FF2" w:rsidP="00224FF2">
            <w:pPr>
              <w:spacing w:after="240"/>
              <w:jc w:val="right"/>
              <w:rPr>
                <w:sz w:val="22"/>
                <w:szCs w:val="22"/>
                <w:u w:val="double"/>
              </w:rPr>
            </w:pPr>
          </w:p>
        </w:tc>
        <w:tc>
          <w:tcPr>
            <w:tcW w:w="912" w:type="pct"/>
          </w:tcPr>
          <w:p w14:paraId="663B2BC3" w14:textId="77777777" w:rsidR="00224FF2" w:rsidRPr="003A2A1C" w:rsidRDefault="00224FF2" w:rsidP="00224FF2">
            <w:pPr>
              <w:spacing w:after="240"/>
              <w:jc w:val="right"/>
              <w:rPr>
                <w:sz w:val="22"/>
                <w:szCs w:val="22"/>
                <w:u w:val="double"/>
              </w:rPr>
            </w:pPr>
          </w:p>
        </w:tc>
        <w:tc>
          <w:tcPr>
            <w:tcW w:w="130" w:type="pct"/>
          </w:tcPr>
          <w:p w14:paraId="070AD1C1" w14:textId="77777777" w:rsidR="00224FF2" w:rsidRPr="003A2A1C" w:rsidRDefault="00224FF2" w:rsidP="00224FF2">
            <w:pPr>
              <w:spacing w:after="240"/>
              <w:jc w:val="both"/>
              <w:rPr>
                <w:sz w:val="22"/>
                <w:szCs w:val="22"/>
              </w:rPr>
            </w:pPr>
          </w:p>
        </w:tc>
      </w:tr>
      <w:tr w:rsidR="00224FF2" w:rsidRPr="003A2A1C" w14:paraId="77C9D486" w14:textId="77777777" w:rsidTr="003A2A1C">
        <w:trPr>
          <w:trHeight w:hRule="exact" w:val="288"/>
        </w:trPr>
        <w:tc>
          <w:tcPr>
            <w:tcW w:w="249" w:type="pct"/>
          </w:tcPr>
          <w:p w14:paraId="16F28DB3" w14:textId="77777777" w:rsidR="00224FF2" w:rsidRPr="003A2A1C" w:rsidRDefault="00224FF2" w:rsidP="00224FF2">
            <w:pPr>
              <w:spacing w:after="240"/>
              <w:jc w:val="both"/>
              <w:rPr>
                <w:sz w:val="22"/>
                <w:szCs w:val="22"/>
              </w:rPr>
            </w:pPr>
          </w:p>
        </w:tc>
        <w:tc>
          <w:tcPr>
            <w:tcW w:w="2711" w:type="pct"/>
          </w:tcPr>
          <w:p w14:paraId="7232BAC8" w14:textId="77777777" w:rsidR="00224FF2" w:rsidRPr="003A2A1C" w:rsidRDefault="00224FF2" w:rsidP="00141D83">
            <w:pPr>
              <w:spacing w:after="240"/>
              <w:rPr>
                <w:b/>
                <w:sz w:val="22"/>
                <w:szCs w:val="22"/>
              </w:rPr>
            </w:pPr>
            <w:r w:rsidRPr="003A2A1C">
              <w:rPr>
                <w:b/>
                <w:sz w:val="22"/>
                <w:szCs w:val="22"/>
              </w:rPr>
              <w:t>OPERATION AND MAINTENANCE EXPENSE</w:t>
            </w:r>
          </w:p>
        </w:tc>
        <w:tc>
          <w:tcPr>
            <w:tcW w:w="169" w:type="pct"/>
            <w:gridSpan w:val="2"/>
          </w:tcPr>
          <w:p w14:paraId="1F3471AF" w14:textId="77777777" w:rsidR="00224FF2" w:rsidRPr="003A2A1C" w:rsidRDefault="00224FF2" w:rsidP="00224FF2">
            <w:pPr>
              <w:spacing w:after="240"/>
              <w:jc w:val="both"/>
              <w:rPr>
                <w:sz w:val="22"/>
                <w:szCs w:val="22"/>
              </w:rPr>
            </w:pPr>
          </w:p>
        </w:tc>
        <w:tc>
          <w:tcPr>
            <w:tcW w:w="829" w:type="pct"/>
            <w:gridSpan w:val="2"/>
          </w:tcPr>
          <w:p w14:paraId="39FA171F" w14:textId="77777777" w:rsidR="00224FF2" w:rsidRPr="003A2A1C" w:rsidRDefault="00224FF2" w:rsidP="00224FF2">
            <w:pPr>
              <w:spacing w:after="240"/>
              <w:jc w:val="right"/>
              <w:rPr>
                <w:sz w:val="22"/>
                <w:szCs w:val="22"/>
                <w:u w:val="double"/>
              </w:rPr>
            </w:pPr>
          </w:p>
        </w:tc>
        <w:tc>
          <w:tcPr>
            <w:tcW w:w="912" w:type="pct"/>
          </w:tcPr>
          <w:p w14:paraId="4A55E437" w14:textId="77777777" w:rsidR="00224FF2" w:rsidRPr="003A2A1C" w:rsidRDefault="00224FF2" w:rsidP="00224FF2">
            <w:pPr>
              <w:spacing w:after="240"/>
              <w:jc w:val="right"/>
              <w:rPr>
                <w:sz w:val="22"/>
                <w:szCs w:val="22"/>
                <w:u w:val="double"/>
              </w:rPr>
            </w:pPr>
          </w:p>
        </w:tc>
        <w:tc>
          <w:tcPr>
            <w:tcW w:w="130" w:type="pct"/>
          </w:tcPr>
          <w:p w14:paraId="5C20F7A8" w14:textId="77777777" w:rsidR="00224FF2" w:rsidRPr="003A2A1C" w:rsidRDefault="00224FF2" w:rsidP="00224FF2">
            <w:pPr>
              <w:spacing w:after="240"/>
              <w:jc w:val="both"/>
              <w:rPr>
                <w:sz w:val="22"/>
                <w:szCs w:val="22"/>
              </w:rPr>
            </w:pPr>
          </w:p>
        </w:tc>
      </w:tr>
      <w:tr w:rsidR="00224FF2" w:rsidRPr="003A2A1C" w14:paraId="61765A75" w14:textId="77777777" w:rsidTr="003A2A1C">
        <w:trPr>
          <w:trHeight w:hRule="exact" w:val="288"/>
        </w:trPr>
        <w:tc>
          <w:tcPr>
            <w:tcW w:w="249" w:type="pct"/>
          </w:tcPr>
          <w:p w14:paraId="14EB197C" w14:textId="77777777" w:rsidR="00224FF2" w:rsidRPr="003A2A1C" w:rsidRDefault="00224FF2" w:rsidP="00224FF2">
            <w:pPr>
              <w:spacing w:after="240"/>
              <w:jc w:val="both"/>
              <w:rPr>
                <w:sz w:val="22"/>
                <w:szCs w:val="22"/>
              </w:rPr>
            </w:pPr>
            <w:r w:rsidRPr="003A2A1C">
              <w:rPr>
                <w:sz w:val="22"/>
                <w:szCs w:val="22"/>
              </w:rPr>
              <w:t>1.</w:t>
            </w:r>
          </w:p>
        </w:tc>
        <w:tc>
          <w:tcPr>
            <w:tcW w:w="2711" w:type="pct"/>
          </w:tcPr>
          <w:p w14:paraId="1A3D66D1" w14:textId="77777777" w:rsidR="00224FF2" w:rsidRPr="003A2A1C" w:rsidRDefault="00224FF2" w:rsidP="00224FF2">
            <w:pPr>
              <w:spacing w:after="240"/>
              <w:jc w:val="both"/>
              <w:rPr>
                <w:sz w:val="22"/>
                <w:szCs w:val="22"/>
              </w:rPr>
            </w:pPr>
            <w:r w:rsidRPr="003A2A1C">
              <w:rPr>
                <w:sz w:val="22"/>
                <w:szCs w:val="22"/>
              </w:rPr>
              <w:t>Salaries and Wages – Employees (601/701)</w:t>
            </w:r>
          </w:p>
        </w:tc>
        <w:tc>
          <w:tcPr>
            <w:tcW w:w="169" w:type="pct"/>
            <w:gridSpan w:val="2"/>
          </w:tcPr>
          <w:p w14:paraId="409E1F51" w14:textId="77777777" w:rsidR="00224FF2" w:rsidRPr="003A2A1C" w:rsidRDefault="00224FF2" w:rsidP="00224FF2">
            <w:pPr>
              <w:spacing w:after="240"/>
              <w:jc w:val="both"/>
              <w:rPr>
                <w:sz w:val="22"/>
                <w:szCs w:val="22"/>
              </w:rPr>
            </w:pPr>
          </w:p>
        </w:tc>
        <w:tc>
          <w:tcPr>
            <w:tcW w:w="829" w:type="pct"/>
            <w:gridSpan w:val="2"/>
          </w:tcPr>
          <w:p w14:paraId="0D243388" w14:textId="77777777" w:rsidR="00224FF2" w:rsidRPr="003A2A1C" w:rsidRDefault="00224FF2" w:rsidP="00224FF2">
            <w:pPr>
              <w:spacing w:after="240"/>
              <w:jc w:val="right"/>
              <w:rPr>
                <w:sz w:val="22"/>
                <w:szCs w:val="22"/>
                <w:u w:val="double"/>
              </w:rPr>
            </w:pPr>
          </w:p>
        </w:tc>
        <w:tc>
          <w:tcPr>
            <w:tcW w:w="912" w:type="pct"/>
          </w:tcPr>
          <w:p w14:paraId="40D9985C" w14:textId="77777777" w:rsidR="00224FF2" w:rsidRPr="003A2A1C" w:rsidRDefault="00224FF2" w:rsidP="00224FF2">
            <w:pPr>
              <w:spacing w:after="240"/>
              <w:jc w:val="right"/>
              <w:rPr>
                <w:sz w:val="22"/>
                <w:szCs w:val="22"/>
                <w:u w:val="double"/>
              </w:rPr>
            </w:pPr>
          </w:p>
        </w:tc>
        <w:tc>
          <w:tcPr>
            <w:tcW w:w="130" w:type="pct"/>
          </w:tcPr>
          <w:p w14:paraId="76B6E4D9" w14:textId="77777777" w:rsidR="00224FF2" w:rsidRPr="003A2A1C" w:rsidRDefault="00224FF2" w:rsidP="00224FF2">
            <w:pPr>
              <w:spacing w:after="240"/>
              <w:jc w:val="both"/>
              <w:rPr>
                <w:sz w:val="22"/>
                <w:szCs w:val="22"/>
              </w:rPr>
            </w:pPr>
          </w:p>
        </w:tc>
      </w:tr>
      <w:tr w:rsidR="00224FF2" w:rsidRPr="003A2A1C" w14:paraId="5BF297FE" w14:textId="77777777" w:rsidTr="003A2A1C">
        <w:trPr>
          <w:trHeight w:hRule="exact" w:val="288"/>
        </w:trPr>
        <w:tc>
          <w:tcPr>
            <w:tcW w:w="249" w:type="pct"/>
          </w:tcPr>
          <w:p w14:paraId="14791DA3" w14:textId="77777777" w:rsidR="00224FF2" w:rsidRPr="003A2A1C" w:rsidRDefault="00224FF2" w:rsidP="00224FF2">
            <w:pPr>
              <w:spacing w:after="240"/>
              <w:jc w:val="both"/>
              <w:rPr>
                <w:sz w:val="22"/>
                <w:szCs w:val="22"/>
              </w:rPr>
            </w:pPr>
          </w:p>
        </w:tc>
        <w:tc>
          <w:tcPr>
            <w:tcW w:w="2711" w:type="pct"/>
          </w:tcPr>
          <w:p w14:paraId="0572B59C" w14:textId="77777777" w:rsidR="00224FF2" w:rsidRPr="003A2A1C" w:rsidRDefault="00224FF2" w:rsidP="00224FF2">
            <w:pPr>
              <w:spacing w:after="240"/>
              <w:jc w:val="both"/>
              <w:rPr>
                <w:sz w:val="22"/>
                <w:szCs w:val="22"/>
              </w:rPr>
            </w:pPr>
            <w:r w:rsidRPr="003A2A1C">
              <w:rPr>
                <w:sz w:val="22"/>
                <w:szCs w:val="22"/>
              </w:rPr>
              <w:t>To reflect appropriate common cost allocations.</w:t>
            </w:r>
          </w:p>
        </w:tc>
        <w:tc>
          <w:tcPr>
            <w:tcW w:w="169" w:type="pct"/>
            <w:gridSpan w:val="2"/>
          </w:tcPr>
          <w:p w14:paraId="1CADC86A" w14:textId="77777777" w:rsidR="00224FF2" w:rsidRPr="003A2A1C" w:rsidRDefault="00224FF2" w:rsidP="00224FF2">
            <w:pPr>
              <w:spacing w:after="240"/>
              <w:jc w:val="both"/>
              <w:rPr>
                <w:sz w:val="22"/>
                <w:szCs w:val="22"/>
              </w:rPr>
            </w:pPr>
          </w:p>
        </w:tc>
        <w:tc>
          <w:tcPr>
            <w:tcW w:w="829" w:type="pct"/>
            <w:gridSpan w:val="2"/>
          </w:tcPr>
          <w:p w14:paraId="51EE3A76" w14:textId="77777777" w:rsidR="00224FF2" w:rsidRPr="003A2A1C" w:rsidRDefault="00224FF2" w:rsidP="00224FF2">
            <w:pPr>
              <w:spacing w:after="240"/>
              <w:jc w:val="right"/>
              <w:rPr>
                <w:sz w:val="22"/>
                <w:szCs w:val="22"/>
                <w:u w:val="double"/>
              </w:rPr>
            </w:pPr>
            <w:r w:rsidRPr="003A2A1C">
              <w:rPr>
                <w:sz w:val="22"/>
                <w:szCs w:val="22"/>
                <w:u w:val="double"/>
              </w:rPr>
              <w:t>$59,001</w:t>
            </w:r>
          </w:p>
        </w:tc>
        <w:tc>
          <w:tcPr>
            <w:tcW w:w="912" w:type="pct"/>
          </w:tcPr>
          <w:p w14:paraId="3B45A44C" w14:textId="77777777" w:rsidR="00224FF2" w:rsidRPr="003A2A1C" w:rsidRDefault="00224FF2" w:rsidP="00224FF2">
            <w:pPr>
              <w:spacing w:after="240"/>
              <w:jc w:val="right"/>
              <w:rPr>
                <w:sz w:val="22"/>
                <w:szCs w:val="22"/>
                <w:u w:val="double"/>
              </w:rPr>
            </w:pPr>
            <w:r w:rsidRPr="003A2A1C">
              <w:rPr>
                <w:sz w:val="22"/>
                <w:szCs w:val="22"/>
                <w:u w:val="double"/>
              </w:rPr>
              <w:t>$36,099</w:t>
            </w:r>
          </w:p>
        </w:tc>
        <w:tc>
          <w:tcPr>
            <w:tcW w:w="130" w:type="pct"/>
          </w:tcPr>
          <w:p w14:paraId="79BCD2DE" w14:textId="77777777" w:rsidR="00224FF2" w:rsidRPr="003A2A1C" w:rsidRDefault="00224FF2" w:rsidP="00224FF2">
            <w:pPr>
              <w:spacing w:after="240"/>
              <w:jc w:val="both"/>
              <w:rPr>
                <w:sz w:val="22"/>
                <w:szCs w:val="22"/>
              </w:rPr>
            </w:pPr>
          </w:p>
        </w:tc>
      </w:tr>
      <w:tr w:rsidR="00224FF2" w:rsidRPr="003A2A1C" w14:paraId="59C4A443" w14:textId="77777777" w:rsidTr="003A2A1C">
        <w:trPr>
          <w:trHeight w:hRule="exact" w:val="288"/>
        </w:trPr>
        <w:tc>
          <w:tcPr>
            <w:tcW w:w="249" w:type="pct"/>
          </w:tcPr>
          <w:p w14:paraId="04BDC32B" w14:textId="77777777" w:rsidR="00224FF2" w:rsidRPr="003A2A1C" w:rsidRDefault="00224FF2" w:rsidP="00224FF2">
            <w:pPr>
              <w:spacing w:after="240"/>
              <w:jc w:val="both"/>
              <w:rPr>
                <w:sz w:val="22"/>
                <w:szCs w:val="22"/>
              </w:rPr>
            </w:pPr>
          </w:p>
        </w:tc>
        <w:tc>
          <w:tcPr>
            <w:tcW w:w="2711" w:type="pct"/>
          </w:tcPr>
          <w:p w14:paraId="7EF4FE91" w14:textId="77777777" w:rsidR="00224FF2" w:rsidRPr="003A2A1C" w:rsidRDefault="00224FF2" w:rsidP="00224FF2">
            <w:pPr>
              <w:spacing w:after="240"/>
              <w:jc w:val="both"/>
              <w:rPr>
                <w:sz w:val="22"/>
                <w:szCs w:val="22"/>
              </w:rPr>
            </w:pPr>
          </w:p>
        </w:tc>
        <w:tc>
          <w:tcPr>
            <w:tcW w:w="169" w:type="pct"/>
            <w:gridSpan w:val="2"/>
          </w:tcPr>
          <w:p w14:paraId="17D6F87D" w14:textId="77777777" w:rsidR="00224FF2" w:rsidRPr="003A2A1C" w:rsidRDefault="00224FF2" w:rsidP="00224FF2">
            <w:pPr>
              <w:spacing w:after="240"/>
              <w:jc w:val="both"/>
              <w:rPr>
                <w:sz w:val="22"/>
                <w:szCs w:val="22"/>
              </w:rPr>
            </w:pPr>
          </w:p>
        </w:tc>
        <w:tc>
          <w:tcPr>
            <w:tcW w:w="829" w:type="pct"/>
            <w:gridSpan w:val="2"/>
          </w:tcPr>
          <w:p w14:paraId="2D0797F9" w14:textId="77777777" w:rsidR="00224FF2" w:rsidRPr="003A2A1C" w:rsidRDefault="00224FF2" w:rsidP="00224FF2">
            <w:pPr>
              <w:spacing w:after="240"/>
              <w:jc w:val="right"/>
              <w:rPr>
                <w:sz w:val="22"/>
                <w:szCs w:val="22"/>
                <w:u w:val="double"/>
              </w:rPr>
            </w:pPr>
          </w:p>
        </w:tc>
        <w:tc>
          <w:tcPr>
            <w:tcW w:w="912" w:type="pct"/>
          </w:tcPr>
          <w:p w14:paraId="175DE6A7" w14:textId="77777777" w:rsidR="00224FF2" w:rsidRPr="003A2A1C" w:rsidRDefault="00224FF2" w:rsidP="00224FF2">
            <w:pPr>
              <w:spacing w:after="240"/>
              <w:jc w:val="right"/>
              <w:rPr>
                <w:sz w:val="22"/>
                <w:szCs w:val="22"/>
                <w:u w:val="double"/>
              </w:rPr>
            </w:pPr>
          </w:p>
        </w:tc>
        <w:tc>
          <w:tcPr>
            <w:tcW w:w="130" w:type="pct"/>
          </w:tcPr>
          <w:p w14:paraId="08665B2E" w14:textId="77777777" w:rsidR="00224FF2" w:rsidRPr="003A2A1C" w:rsidRDefault="00224FF2" w:rsidP="00224FF2">
            <w:pPr>
              <w:spacing w:after="240"/>
              <w:jc w:val="both"/>
              <w:rPr>
                <w:sz w:val="22"/>
                <w:szCs w:val="22"/>
              </w:rPr>
            </w:pPr>
          </w:p>
        </w:tc>
      </w:tr>
      <w:tr w:rsidR="00224FF2" w:rsidRPr="003A2A1C" w14:paraId="3F465C58" w14:textId="77777777" w:rsidTr="003A2A1C">
        <w:trPr>
          <w:trHeight w:hRule="exact" w:val="288"/>
        </w:trPr>
        <w:tc>
          <w:tcPr>
            <w:tcW w:w="249" w:type="pct"/>
          </w:tcPr>
          <w:p w14:paraId="67DE9327" w14:textId="77777777" w:rsidR="00224FF2" w:rsidRPr="003A2A1C" w:rsidRDefault="00224FF2" w:rsidP="00224FF2">
            <w:pPr>
              <w:spacing w:after="240"/>
              <w:jc w:val="both"/>
              <w:rPr>
                <w:sz w:val="22"/>
                <w:szCs w:val="22"/>
              </w:rPr>
            </w:pPr>
            <w:r w:rsidRPr="003A2A1C">
              <w:rPr>
                <w:sz w:val="22"/>
                <w:szCs w:val="22"/>
              </w:rPr>
              <w:t>2.</w:t>
            </w:r>
          </w:p>
        </w:tc>
        <w:tc>
          <w:tcPr>
            <w:tcW w:w="2711" w:type="pct"/>
          </w:tcPr>
          <w:p w14:paraId="60C01FD3" w14:textId="77777777" w:rsidR="00224FF2" w:rsidRPr="003A2A1C" w:rsidRDefault="00224FF2" w:rsidP="00224FF2">
            <w:pPr>
              <w:spacing w:after="240"/>
              <w:jc w:val="both"/>
              <w:rPr>
                <w:sz w:val="22"/>
                <w:szCs w:val="22"/>
              </w:rPr>
            </w:pPr>
            <w:r w:rsidRPr="003A2A1C">
              <w:rPr>
                <w:sz w:val="22"/>
                <w:szCs w:val="22"/>
              </w:rPr>
              <w:t>Salaries and Wages – Officers and Directors (603/703)</w:t>
            </w:r>
          </w:p>
        </w:tc>
        <w:tc>
          <w:tcPr>
            <w:tcW w:w="169" w:type="pct"/>
            <w:gridSpan w:val="2"/>
          </w:tcPr>
          <w:p w14:paraId="4591C7A1" w14:textId="77777777" w:rsidR="00224FF2" w:rsidRPr="003A2A1C" w:rsidRDefault="00224FF2" w:rsidP="00224FF2">
            <w:pPr>
              <w:spacing w:after="240"/>
              <w:jc w:val="both"/>
              <w:rPr>
                <w:sz w:val="22"/>
                <w:szCs w:val="22"/>
              </w:rPr>
            </w:pPr>
          </w:p>
        </w:tc>
        <w:tc>
          <w:tcPr>
            <w:tcW w:w="829" w:type="pct"/>
            <w:gridSpan w:val="2"/>
          </w:tcPr>
          <w:p w14:paraId="04A44D80" w14:textId="77777777" w:rsidR="00224FF2" w:rsidRPr="003A2A1C" w:rsidRDefault="00224FF2" w:rsidP="00224FF2">
            <w:pPr>
              <w:spacing w:after="240"/>
              <w:jc w:val="right"/>
              <w:rPr>
                <w:sz w:val="22"/>
                <w:szCs w:val="22"/>
                <w:u w:val="double"/>
              </w:rPr>
            </w:pPr>
          </w:p>
        </w:tc>
        <w:tc>
          <w:tcPr>
            <w:tcW w:w="912" w:type="pct"/>
          </w:tcPr>
          <w:p w14:paraId="2E3DCB18" w14:textId="77777777" w:rsidR="00224FF2" w:rsidRPr="003A2A1C" w:rsidRDefault="00224FF2" w:rsidP="00224FF2">
            <w:pPr>
              <w:spacing w:after="240"/>
              <w:jc w:val="right"/>
              <w:rPr>
                <w:sz w:val="22"/>
                <w:szCs w:val="22"/>
                <w:u w:val="double"/>
              </w:rPr>
            </w:pPr>
          </w:p>
        </w:tc>
        <w:tc>
          <w:tcPr>
            <w:tcW w:w="130" w:type="pct"/>
          </w:tcPr>
          <w:p w14:paraId="13A515EA" w14:textId="77777777" w:rsidR="00224FF2" w:rsidRPr="003A2A1C" w:rsidRDefault="00224FF2" w:rsidP="00224FF2">
            <w:pPr>
              <w:spacing w:after="240"/>
              <w:jc w:val="both"/>
              <w:rPr>
                <w:sz w:val="22"/>
                <w:szCs w:val="22"/>
              </w:rPr>
            </w:pPr>
          </w:p>
        </w:tc>
      </w:tr>
      <w:tr w:rsidR="00224FF2" w:rsidRPr="003A2A1C" w14:paraId="06D5D15B" w14:textId="77777777" w:rsidTr="003A2A1C">
        <w:trPr>
          <w:trHeight w:hRule="exact" w:val="288"/>
        </w:trPr>
        <w:tc>
          <w:tcPr>
            <w:tcW w:w="249" w:type="pct"/>
          </w:tcPr>
          <w:p w14:paraId="09516780" w14:textId="77777777" w:rsidR="00224FF2" w:rsidRPr="003A2A1C" w:rsidRDefault="00224FF2" w:rsidP="00224FF2">
            <w:pPr>
              <w:spacing w:after="240"/>
              <w:jc w:val="both"/>
              <w:rPr>
                <w:sz w:val="22"/>
                <w:szCs w:val="22"/>
              </w:rPr>
            </w:pPr>
          </w:p>
        </w:tc>
        <w:tc>
          <w:tcPr>
            <w:tcW w:w="2711" w:type="pct"/>
          </w:tcPr>
          <w:p w14:paraId="12FC5093" w14:textId="77777777" w:rsidR="00224FF2" w:rsidRPr="003A2A1C" w:rsidRDefault="00224FF2" w:rsidP="00224FF2">
            <w:pPr>
              <w:spacing w:after="240"/>
              <w:jc w:val="both"/>
              <w:rPr>
                <w:sz w:val="22"/>
                <w:szCs w:val="22"/>
              </w:rPr>
            </w:pPr>
            <w:r w:rsidRPr="003A2A1C">
              <w:rPr>
                <w:sz w:val="22"/>
                <w:szCs w:val="22"/>
              </w:rPr>
              <w:t>a. To reflect appropriate common cost allocations.</w:t>
            </w:r>
          </w:p>
        </w:tc>
        <w:tc>
          <w:tcPr>
            <w:tcW w:w="169" w:type="pct"/>
            <w:gridSpan w:val="2"/>
          </w:tcPr>
          <w:p w14:paraId="74ABDE48" w14:textId="77777777" w:rsidR="00224FF2" w:rsidRPr="003A2A1C" w:rsidRDefault="00224FF2" w:rsidP="00224FF2">
            <w:pPr>
              <w:spacing w:after="240"/>
              <w:jc w:val="both"/>
              <w:rPr>
                <w:sz w:val="22"/>
                <w:szCs w:val="22"/>
              </w:rPr>
            </w:pPr>
          </w:p>
        </w:tc>
        <w:tc>
          <w:tcPr>
            <w:tcW w:w="829" w:type="pct"/>
            <w:gridSpan w:val="2"/>
          </w:tcPr>
          <w:p w14:paraId="007B69EB" w14:textId="77777777" w:rsidR="00224FF2" w:rsidRPr="003A2A1C" w:rsidRDefault="00224FF2" w:rsidP="00224FF2">
            <w:pPr>
              <w:spacing w:after="240"/>
              <w:jc w:val="right"/>
              <w:rPr>
                <w:sz w:val="22"/>
                <w:szCs w:val="22"/>
                <w:u w:val="double"/>
              </w:rPr>
            </w:pPr>
            <w:r w:rsidRPr="003A2A1C">
              <w:rPr>
                <w:sz w:val="22"/>
                <w:szCs w:val="22"/>
                <w:u w:val="double"/>
              </w:rPr>
              <w:t>$42,993</w:t>
            </w:r>
          </w:p>
        </w:tc>
        <w:tc>
          <w:tcPr>
            <w:tcW w:w="912" w:type="pct"/>
          </w:tcPr>
          <w:p w14:paraId="199B164B" w14:textId="77777777" w:rsidR="00224FF2" w:rsidRPr="003A2A1C" w:rsidRDefault="00224FF2" w:rsidP="00224FF2">
            <w:pPr>
              <w:spacing w:after="240"/>
              <w:jc w:val="right"/>
              <w:rPr>
                <w:sz w:val="22"/>
                <w:szCs w:val="22"/>
                <w:u w:val="double"/>
              </w:rPr>
            </w:pPr>
            <w:r w:rsidRPr="003A2A1C">
              <w:rPr>
                <w:sz w:val="22"/>
                <w:szCs w:val="22"/>
                <w:u w:val="double"/>
              </w:rPr>
              <w:t>$25,910</w:t>
            </w:r>
          </w:p>
        </w:tc>
        <w:tc>
          <w:tcPr>
            <w:tcW w:w="130" w:type="pct"/>
          </w:tcPr>
          <w:p w14:paraId="6DB2FE61" w14:textId="77777777" w:rsidR="00224FF2" w:rsidRPr="003A2A1C" w:rsidRDefault="00224FF2" w:rsidP="00224FF2">
            <w:pPr>
              <w:spacing w:after="240"/>
              <w:jc w:val="both"/>
              <w:rPr>
                <w:sz w:val="22"/>
                <w:szCs w:val="22"/>
              </w:rPr>
            </w:pPr>
          </w:p>
        </w:tc>
      </w:tr>
      <w:tr w:rsidR="00224FF2" w:rsidRPr="003A2A1C" w14:paraId="2C1F62BF" w14:textId="77777777" w:rsidTr="003A2A1C">
        <w:trPr>
          <w:trHeight w:hRule="exact" w:val="288"/>
        </w:trPr>
        <w:tc>
          <w:tcPr>
            <w:tcW w:w="249" w:type="pct"/>
          </w:tcPr>
          <w:p w14:paraId="53CD4089" w14:textId="77777777" w:rsidR="00224FF2" w:rsidRPr="003A2A1C" w:rsidRDefault="00224FF2" w:rsidP="00224FF2">
            <w:pPr>
              <w:spacing w:after="240"/>
              <w:jc w:val="both"/>
              <w:rPr>
                <w:sz w:val="22"/>
                <w:szCs w:val="22"/>
              </w:rPr>
            </w:pPr>
          </w:p>
        </w:tc>
        <w:tc>
          <w:tcPr>
            <w:tcW w:w="2711" w:type="pct"/>
          </w:tcPr>
          <w:p w14:paraId="0431B59E" w14:textId="77777777" w:rsidR="00224FF2" w:rsidRPr="003A2A1C" w:rsidRDefault="00224FF2" w:rsidP="00224FF2">
            <w:pPr>
              <w:spacing w:after="240"/>
              <w:jc w:val="both"/>
              <w:rPr>
                <w:sz w:val="22"/>
                <w:szCs w:val="22"/>
              </w:rPr>
            </w:pPr>
          </w:p>
        </w:tc>
        <w:tc>
          <w:tcPr>
            <w:tcW w:w="169" w:type="pct"/>
            <w:gridSpan w:val="2"/>
          </w:tcPr>
          <w:p w14:paraId="02112CD1" w14:textId="77777777" w:rsidR="00224FF2" w:rsidRPr="003A2A1C" w:rsidRDefault="00224FF2" w:rsidP="00224FF2">
            <w:pPr>
              <w:spacing w:after="240"/>
              <w:jc w:val="both"/>
              <w:rPr>
                <w:sz w:val="22"/>
                <w:szCs w:val="22"/>
              </w:rPr>
            </w:pPr>
          </w:p>
        </w:tc>
        <w:tc>
          <w:tcPr>
            <w:tcW w:w="829" w:type="pct"/>
            <w:gridSpan w:val="2"/>
          </w:tcPr>
          <w:p w14:paraId="67F10D2A" w14:textId="77777777" w:rsidR="00224FF2" w:rsidRPr="003A2A1C" w:rsidRDefault="00224FF2" w:rsidP="00224FF2">
            <w:pPr>
              <w:spacing w:after="240"/>
              <w:jc w:val="right"/>
              <w:rPr>
                <w:sz w:val="22"/>
                <w:szCs w:val="22"/>
                <w:u w:val="double"/>
              </w:rPr>
            </w:pPr>
          </w:p>
        </w:tc>
        <w:tc>
          <w:tcPr>
            <w:tcW w:w="912" w:type="pct"/>
          </w:tcPr>
          <w:p w14:paraId="2592E9CA" w14:textId="77777777" w:rsidR="00224FF2" w:rsidRPr="003A2A1C" w:rsidRDefault="00224FF2" w:rsidP="00224FF2">
            <w:pPr>
              <w:spacing w:after="240"/>
              <w:jc w:val="right"/>
              <w:rPr>
                <w:sz w:val="22"/>
                <w:szCs w:val="22"/>
                <w:u w:val="double"/>
              </w:rPr>
            </w:pPr>
          </w:p>
        </w:tc>
        <w:tc>
          <w:tcPr>
            <w:tcW w:w="130" w:type="pct"/>
          </w:tcPr>
          <w:p w14:paraId="101FB996" w14:textId="77777777" w:rsidR="00224FF2" w:rsidRPr="003A2A1C" w:rsidRDefault="00224FF2" w:rsidP="00224FF2">
            <w:pPr>
              <w:spacing w:after="240"/>
              <w:jc w:val="both"/>
              <w:rPr>
                <w:sz w:val="22"/>
                <w:szCs w:val="22"/>
              </w:rPr>
            </w:pPr>
          </w:p>
        </w:tc>
      </w:tr>
      <w:tr w:rsidR="00224FF2" w:rsidRPr="003A2A1C" w14:paraId="7ADECCFA" w14:textId="77777777" w:rsidTr="003A2A1C">
        <w:trPr>
          <w:trHeight w:hRule="exact" w:val="288"/>
        </w:trPr>
        <w:tc>
          <w:tcPr>
            <w:tcW w:w="249" w:type="pct"/>
          </w:tcPr>
          <w:p w14:paraId="4B1BF627" w14:textId="77777777" w:rsidR="00224FF2" w:rsidRPr="003A2A1C" w:rsidRDefault="00224FF2" w:rsidP="00224FF2">
            <w:pPr>
              <w:spacing w:after="240"/>
              <w:jc w:val="both"/>
              <w:rPr>
                <w:sz w:val="22"/>
                <w:szCs w:val="22"/>
              </w:rPr>
            </w:pPr>
            <w:r w:rsidRPr="003A2A1C">
              <w:rPr>
                <w:sz w:val="22"/>
                <w:szCs w:val="22"/>
              </w:rPr>
              <w:t>3.</w:t>
            </w:r>
          </w:p>
        </w:tc>
        <w:tc>
          <w:tcPr>
            <w:tcW w:w="2711" w:type="pct"/>
          </w:tcPr>
          <w:p w14:paraId="0ABF1BED" w14:textId="77777777" w:rsidR="00224FF2" w:rsidRPr="003A2A1C" w:rsidRDefault="00224FF2" w:rsidP="00224FF2">
            <w:pPr>
              <w:spacing w:after="240"/>
              <w:jc w:val="both"/>
              <w:rPr>
                <w:sz w:val="22"/>
                <w:szCs w:val="22"/>
              </w:rPr>
            </w:pPr>
            <w:r w:rsidRPr="003A2A1C">
              <w:rPr>
                <w:sz w:val="22"/>
                <w:szCs w:val="22"/>
              </w:rPr>
              <w:t>Sludge Removal (711)</w:t>
            </w:r>
          </w:p>
        </w:tc>
        <w:tc>
          <w:tcPr>
            <w:tcW w:w="169" w:type="pct"/>
            <w:gridSpan w:val="2"/>
          </w:tcPr>
          <w:p w14:paraId="609EF9D5" w14:textId="77777777" w:rsidR="00224FF2" w:rsidRPr="003A2A1C" w:rsidRDefault="00224FF2" w:rsidP="00224FF2">
            <w:pPr>
              <w:spacing w:after="240"/>
              <w:jc w:val="both"/>
              <w:rPr>
                <w:sz w:val="22"/>
                <w:szCs w:val="22"/>
              </w:rPr>
            </w:pPr>
          </w:p>
        </w:tc>
        <w:tc>
          <w:tcPr>
            <w:tcW w:w="829" w:type="pct"/>
            <w:gridSpan w:val="2"/>
          </w:tcPr>
          <w:p w14:paraId="4DE35D0F" w14:textId="77777777" w:rsidR="00224FF2" w:rsidRPr="003A2A1C" w:rsidRDefault="00224FF2" w:rsidP="00224FF2">
            <w:pPr>
              <w:spacing w:after="240"/>
              <w:jc w:val="right"/>
              <w:rPr>
                <w:sz w:val="22"/>
                <w:szCs w:val="22"/>
                <w:u w:val="double"/>
              </w:rPr>
            </w:pPr>
          </w:p>
        </w:tc>
        <w:tc>
          <w:tcPr>
            <w:tcW w:w="912" w:type="pct"/>
          </w:tcPr>
          <w:p w14:paraId="2675EBE2" w14:textId="77777777" w:rsidR="00224FF2" w:rsidRPr="003A2A1C" w:rsidRDefault="00224FF2" w:rsidP="00224FF2">
            <w:pPr>
              <w:spacing w:after="240"/>
              <w:jc w:val="right"/>
              <w:rPr>
                <w:sz w:val="22"/>
                <w:szCs w:val="22"/>
                <w:u w:val="double"/>
              </w:rPr>
            </w:pPr>
          </w:p>
        </w:tc>
        <w:tc>
          <w:tcPr>
            <w:tcW w:w="130" w:type="pct"/>
          </w:tcPr>
          <w:p w14:paraId="14E6F201" w14:textId="77777777" w:rsidR="00224FF2" w:rsidRPr="003A2A1C" w:rsidRDefault="00224FF2" w:rsidP="00224FF2">
            <w:pPr>
              <w:spacing w:after="240"/>
              <w:jc w:val="both"/>
              <w:rPr>
                <w:sz w:val="22"/>
                <w:szCs w:val="22"/>
              </w:rPr>
            </w:pPr>
          </w:p>
        </w:tc>
      </w:tr>
      <w:tr w:rsidR="00224FF2" w:rsidRPr="003A2A1C" w14:paraId="4C9DFFA9" w14:textId="77777777" w:rsidTr="003A2A1C">
        <w:trPr>
          <w:trHeight w:hRule="exact" w:val="288"/>
        </w:trPr>
        <w:tc>
          <w:tcPr>
            <w:tcW w:w="249" w:type="pct"/>
          </w:tcPr>
          <w:p w14:paraId="506A9100" w14:textId="77777777" w:rsidR="00224FF2" w:rsidRPr="003A2A1C" w:rsidRDefault="00224FF2" w:rsidP="00224FF2">
            <w:pPr>
              <w:spacing w:after="240"/>
              <w:jc w:val="both"/>
              <w:rPr>
                <w:sz w:val="22"/>
                <w:szCs w:val="22"/>
              </w:rPr>
            </w:pPr>
          </w:p>
        </w:tc>
        <w:tc>
          <w:tcPr>
            <w:tcW w:w="2711" w:type="pct"/>
          </w:tcPr>
          <w:p w14:paraId="23498258" w14:textId="77777777" w:rsidR="00224FF2" w:rsidRPr="003A2A1C" w:rsidRDefault="00224FF2" w:rsidP="00224FF2">
            <w:pPr>
              <w:spacing w:after="240"/>
              <w:jc w:val="both"/>
              <w:rPr>
                <w:sz w:val="22"/>
                <w:szCs w:val="22"/>
              </w:rPr>
            </w:pPr>
            <w:r w:rsidRPr="003A2A1C">
              <w:rPr>
                <w:sz w:val="22"/>
                <w:szCs w:val="22"/>
              </w:rPr>
              <w:t>To reflect an auditing adjustment.</w:t>
            </w:r>
          </w:p>
        </w:tc>
        <w:tc>
          <w:tcPr>
            <w:tcW w:w="169" w:type="pct"/>
            <w:gridSpan w:val="2"/>
          </w:tcPr>
          <w:p w14:paraId="561A3F89" w14:textId="77777777" w:rsidR="00224FF2" w:rsidRPr="003A2A1C" w:rsidRDefault="00224FF2" w:rsidP="00224FF2">
            <w:pPr>
              <w:spacing w:after="240"/>
              <w:jc w:val="both"/>
              <w:rPr>
                <w:sz w:val="22"/>
                <w:szCs w:val="22"/>
              </w:rPr>
            </w:pPr>
          </w:p>
        </w:tc>
        <w:tc>
          <w:tcPr>
            <w:tcW w:w="829" w:type="pct"/>
            <w:gridSpan w:val="2"/>
          </w:tcPr>
          <w:p w14:paraId="4804553E" w14:textId="77777777" w:rsidR="00224FF2" w:rsidRPr="003A2A1C" w:rsidRDefault="00224FF2" w:rsidP="00224FF2">
            <w:pPr>
              <w:spacing w:after="240"/>
              <w:jc w:val="right"/>
              <w:rPr>
                <w:sz w:val="22"/>
                <w:szCs w:val="22"/>
                <w:u w:val="double"/>
              </w:rPr>
            </w:pPr>
          </w:p>
        </w:tc>
        <w:tc>
          <w:tcPr>
            <w:tcW w:w="912" w:type="pct"/>
          </w:tcPr>
          <w:p w14:paraId="694709A2" w14:textId="77777777" w:rsidR="00224FF2" w:rsidRPr="003A2A1C" w:rsidRDefault="00224FF2" w:rsidP="00224FF2">
            <w:pPr>
              <w:spacing w:after="240"/>
              <w:jc w:val="right"/>
              <w:rPr>
                <w:sz w:val="22"/>
                <w:szCs w:val="22"/>
                <w:u w:val="double"/>
              </w:rPr>
            </w:pPr>
            <w:r w:rsidRPr="003A2A1C">
              <w:rPr>
                <w:sz w:val="22"/>
                <w:szCs w:val="22"/>
                <w:u w:val="double"/>
              </w:rPr>
              <w:t>($25,330)</w:t>
            </w:r>
          </w:p>
        </w:tc>
        <w:tc>
          <w:tcPr>
            <w:tcW w:w="130" w:type="pct"/>
          </w:tcPr>
          <w:p w14:paraId="65496B15" w14:textId="77777777" w:rsidR="00224FF2" w:rsidRPr="003A2A1C" w:rsidRDefault="00224FF2" w:rsidP="00224FF2">
            <w:pPr>
              <w:spacing w:after="240"/>
              <w:jc w:val="both"/>
              <w:rPr>
                <w:sz w:val="22"/>
                <w:szCs w:val="22"/>
              </w:rPr>
            </w:pPr>
          </w:p>
        </w:tc>
      </w:tr>
      <w:tr w:rsidR="00224FF2" w:rsidRPr="003A2A1C" w14:paraId="32AD920E" w14:textId="77777777" w:rsidTr="003A2A1C">
        <w:trPr>
          <w:trHeight w:hRule="exact" w:val="288"/>
        </w:trPr>
        <w:tc>
          <w:tcPr>
            <w:tcW w:w="249" w:type="pct"/>
          </w:tcPr>
          <w:p w14:paraId="6465D9F9" w14:textId="77777777" w:rsidR="00224FF2" w:rsidRPr="003A2A1C" w:rsidRDefault="00224FF2" w:rsidP="00224FF2">
            <w:pPr>
              <w:spacing w:after="240"/>
              <w:jc w:val="both"/>
              <w:rPr>
                <w:sz w:val="22"/>
                <w:szCs w:val="22"/>
              </w:rPr>
            </w:pPr>
          </w:p>
        </w:tc>
        <w:tc>
          <w:tcPr>
            <w:tcW w:w="2711" w:type="pct"/>
          </w:tcPr>
          <w:p w14:paraId="32680EA8" w14:textId="77777777" w:rsidR="00224FF2" w:rsidRPr="003A2A1C" w:rsidRDefault="00224FF2" w:rsidP="00224FF2">
            <w:pPr>
              <w:spacing w:after="240"/>
              <w:jc w:val="both"/>
              <w:rPr>
                <w:sz w:val="22"/>
                <w:szCs w:val="22"/>
              </w:rPr>
            </w:pPr>
          </w:p>
        </w:tc>
        <w:tc>
          <w:tcPr>
            <w:tcW w:w="169" w:type="pct"/>
            <w:gridSpan w:val="2"/>
          </w:tcPr>
          <w:p w14:paraId="5D071DC5" w14:textId="77777777" w:rsidR="00224FF2" w:rsidRPr="003A2A1C" w:rsidRDefault="00224FF2" w:rsidP="00224FF2">
            <w:pPr>
              <w:spacing w:after="240"/>
              <w:jc w:val="both"/>
              <w:rPr>
                <w:sz w:val="22"/>
                <w:szCs w:val="22"/>
              </w:rPr>
            </w:pPr>
          </w:p>
        </w:tc>
        <w:tc>
          <w:tcPr>
            <w:tcW w:w="829" w:type="pct"/>
            <w:gridSpan w:val="2"/>
          </w:tcPr>
          <w:p w14:paraId="750DE721" w14:textId="77777777" w:rsidR="00224FF2" w:rsidRPr="003A2A1C" w:rsidRDefault="00224FF2" w:rsidP="00224FF2">
            <w:pPr>
              <w:spacing w:after="240"/>
              <w:jc w:val="right"/>
              <w:rPr>
                <w:sz w:val="22"/>
                <w:szCs w:val="22"/>
                <w:u w:val="double"/>
              </w:rPr>
            </w:pPr>
          </w:p>
        </w:tc>
        <w:tc>
          <w:tcPr>
            <w:tcW w:w="912" w:type="pct"/>
          </w:tcPr>
          <w:p w14:paraId="3168D1A7" w14:textId="77777777" w:rsidR="00224FF2" w:rsidRPr="003A2A1C" w:rsidRDefault="00224FF2" w:rsidP="00224FF2">
            <w:pPr>
              <w:spacing w:after="240"/>
              <w:jc w:val="right"/>
              <w:rPr>
                <w:sz w:val="22"/>
                <w:szCs w:val="22"/>
                <w:u w:val="double"/>
              </w:rPr>
            </w:pPr>
          </w:p>
        </w:tc>
        <w:tc>
          <w:tcPr>
            <w:tcW w:w="130" w:type="pct"/>
          </w:tcPr>
          <w:p w14:paraId="1D3FC677" w14:textId="77777777" w:rsidR="00224FF2" w:rsidRPr="003A2A1C" w:rsidRDefault="00224FF2" w:rsidP="00224FF2">
            <w:pPr>
              <w:spacing w:after="240"/>
              <w:jc w:val="both"/>
              <w:rPr>
                <w:sz w:val="22"/>
                <w:szCs w:val="22"/>
              </w:rPr>
            </w:pPr>
          </w:p>
        </w:tc>
      </w:tr>
      <w:tr w:rsidR="00224FF2" w:rsidRPr="003A2A1C" w14:paraId="66A6522F" w14:textId="77777777" w:rsidTr="003A2A1C">
        <w:trPr>
          <w:trHeight w:hRule="exact" w:val="288"/>
        </w:trPr>
        <w:tc>
          <w:tcPr>
            <w:tcW w:w="249" w:type="pct"/>
          </w:tcPr>
          <w:p w14:paraId="47C90039" w14:textId="77777777" w:rsidR="00224FF2" w:rsidRPr="003A2A1C" w:rsidRDefault="00224FF2" w:rsidP="00224FF2">
            <w:pPr>
              <w:spacing w:after="240"/>
              <w:jc w:val="both"/>
              <w:rPr>
                <w:sz w:val="22"/>
                <w:szCs w:val="22"/>
              </w:rPr>
            </w:pPr>
            <w:r w:rsidRPr="003A2A1C">
              <w:rPr>
                <w:sz w:val="22"/>
                <w:szCs w:val="22"/>
              </w:rPr>
              <w:t>4.</w:t>
            </w:r>
          </w:p>
        </w:tc>
        <w:tc>
          <w:tcPr>
            <w:tcW w:w="2711" w:type="pct"/>
          </w:tcPr>
          <w:p w14:paraId="051A5C15" w14:textId="77777777" w:rsidR="00224FF2" w:rsidRPr="003A2A1C" w:rsidRDefault="00224FF2" w:rsidP="00224FF2">
            <w:pPr>
              <w:spacing w:after="240"/>
              <w:jc w:val="both"/>
              <w:rPr>
                <w:sz w:val="22"/>
                <w:szCs w:val="22"/>
              </w:rPr>
            </w:pPr>
            <w:r w:rsidRPr="003A2A1C">
              <w:rPr>
                <w:sz w:val="22"/>
                <w:szCs w:val="22"/>
              </w:rPr>
              <w:t>Purchased Power (615/715)</w:t>
            </w:r>
          </w:p>
        </w:tc>
        <w:tc>
          <w:tcPr>
            <w:tcW w:w="169" w:type="pct"/>
            <w:gridSpan w:val="2"/>
          </w:tcPr>
          <w:p w14:paraId="5F4B4F25" w14:textId="77777777" w:rsidR="00224FF2" w:rsidRPr="003A2A1C" w:rsidRDefault="00224FF2" w:rsidP="00224FF2">
            <w:pPr>
              <w:spacing w:after="240"/>
              <w:jc w:val="both"/>
              <w:rPr>
                <w:sz w:val="22"/>
                <w:szCs w:val="22"/>
              </w:rPr>
            </w:pPr>
          </w:p>
        </w:tc>
        <w:tc>
          <w:tcPr>
            <w:tcW w:w="829" w:type="pct"/>
            <w:gridSpan w:val="2"/>
          </w:tcPr>
          <w:p w14:paraId="67281D26" w14:textId="77777777" w:rsidR="00224FF2" w:rsidRPr="003A2A1C" w:rsidRDefault="00224FF2" w:rsidP="00224FF2">
            <w:pPr>
              <w:spacing w:after="240"/>
              <w:jc w:val="right"/>
              <w:rPr>
                <w:sz w:val="22"/>
                <w:szCs w:val="22"/>
              </w:rPr>
            </w:pPr>
          </w:p>
        </w:tc>
        <w:tc>
          <w:tcPr>
            <w:tcW w:w="912" w:type="pct"/>
          </w:tcPr>
          <w:p w14:paraId="08F32B6D" w14:textId="77777777" w:rsidR="00224FF2" w:rsidRPr="003A2A1C" w:rsidRDefault="00224FF2" w:rsidP="00224FF2">
            <w:pPr>
              <w:spacing w:after="240"/>
              <w:jc w:val="right"/>
              <w:rPr>
                <w:sz w:val="22"/>
                <w:szCs w:val="22"/>
              </w:rPr>
            </w:pPr>
          </w:p>
        </w:tc>
        <w:tc>
          <w:tcPr>
            <w:tcW w:w="130" w:type="pct"/>
          </w:tcPr>
          <w:p w14:paraId="73D5A84C" w14:textId="77777777" w:rsidR="00224FF2" w:rsidRPr="003A2A1C" w:rsidRDefault="00224FF2" w:rsidP="00224FF2">
            <w:pPr>
              <w:spacing w:after="240"/>
              <w:jc w:val="both"/>
              <w:rPr>
                <w:sz w:val="22"/>
                <w:szCs w:val="22"/>
              </w:rPr>
            </w:pPr>
          </w:p>
        </w:tc>
      </w:tr>
      <w:tr w:rsidR="00224FF2" w:rsidRPr="003A2A1C" w14:paraId="7E958BE2" w14:textId="77777777" w:rsidTr="003A2A1C">
        <w:trPr>
          <w:trHeight w:hRule="exact" w:val="288"/>
        </w:trPr>
        <w:tc>
          <w:tcPr>
            <w:tcW w:w="249" w:type="pct"/>
          </w:tcPr>
          <w:p w14:paraId="15ABC88B" w14:textId="77777777" w:rsidR="00224FF2" w:rsidRPr="003A2A1C" w:rsidRDefault="00224FF2" w:rsidP="00224FF2">
            <w:pPr>
              <w:spacing w:after="240"/>
              <w:jc w:val="both"/>
              <w:rPr>
                <w:sz w:val="22"/>
                <w:szCs w:val="22"/>
              </w:rPr>
            </w:pPr>
          </w:p>
        </w:tc>
        <w:tc>
          <w:tcPr>
            <w:tcW w:w="2711" w:type="pct"/>
          </w:tcPr>
          <w:p w14:paraId="7A392C72" w14:textId="77777777" w:rsidR="00224FF2" w:rsidRPr="003A2A1C" w:rsidRDefault="00224FF2" w:rsidP="00224FF2">
            <w:pPr>
              <w:spacing w:after="240"/>
              <w:jc w:val="both"/>
              <w:rPr>
                <w:sz w:val="22"/>
                <w:szCs w:val="22"/>
              </w:rPr>
            </w:pPr>
            <w:r w:rsidRPr="003A2A1C">
              <w:rPr>
                <w:sz w:val="22"/>
                <w:szCs w:val="22"/>
              </w:rPr>
              <w:t>a. To reflect auditing adjustments.</w:t>
            </w:r>
          </w:p>
        </w:tc>
        <w:tc>
          <w:tcPr>
            <w:tcW w:w="169" w:type="pct"/>
            <w:gridSpan w:val="2"/>
          </w:tcPr>
          <w:p w14:paraId="7E6B1B34" w14:textId="77777777" w:rsidR="00224FF2" w:rsidRPr="003A2A1C" w:rsidRDefault="00224FF2" w:rsidP="00224FF2">
            <w:pPr>
              <w:spacing w:after="240"/>
              <w:jc w:val="both"/>
              <w:rPr>
                <w:sz w:val="22"/>
                <w:szCs w:val="22"/>
              </w:rPr>
            </w:pPr>
          </w:p>
        </w:tc>
        <w:tc>
          <w:tcPr>
            <w:tcW w:w="829" w:type="pct"/>
            <w:gridSpan w:val="2"/>
          </w:tcPr>
          <w:p w14:paraId="6DFF9B97" w14:textId="77777777" w:rsidR="00224FF2" w:rsidRPr="003A2A1C" w:rsidRDefault="00224FF2" w:rsidP="00224FF2">
            <w:pPr>
              <w:spacing w:after="240"/>
              <w:jc w:val="right"/>
              <w:rPr>
                <w:sz w:val="22"/>
                <w:szCs w:val="22"/>
              </w:rPr>
            </w:pPr>
            <w:r w:rsidRPr="003A2A1C">
              <w:rPr>
                <w:sz w:val="22"/>
                <w:szCs w:val="22"/>
              </w:rPr>
              <w:t>($24,846)</w:t>
            </w:r>
          </w:p>
        </w:tc>
        <w:tc>
          <w:tcPr>
            <w:tcW w:w="912" w:type="pct"/>
          </w:tcPr>
          <w:p w14:paraId="0200D9E2" w14:textId="77777777" w:rsidR="00224FF2" w:rsidRPr="003A2A1C" w:rsidRDefault="00224FF2" w:rsidP="00224FF2">
            <w:pPr>
              <w:spacing w:after="240"/>
              <w:jc w:val="right"/>
              <w:rPr>
                <w:sz w:val="22"/>
                <w:szCs w:val="22"/>
              </w:rPr>
            </w:pPr>
            <w:r w:rsidRPr="003A2A1C">
              <w:rPr>
                <w:sz w:val="22"/>
                <w:szCs w:val="22"/>
              </w:rPr>
              <w:t>$19,914</w:t>
            </w:r>
          </w:p>
        </w:tc>
        <w:tc>
          <w:tcPr>
            <w:tcW w:w="130" w:type="pct"/>
          </w:tcPr>
          <w:p w14:paraId="75B36779" w14:textId="77777777" w:rsidR="00224FF2" w:rsidRPr="003A2A1C" w:rsidRDefault="00224FF2" w:rsidP="00224FF2">
            <w:pPr>
              <w:spacing w:after="240"/>
              <w:jc w:val="both"/>
              <w:rPr>
                <w:sz w:val="22"/>
                <w:szCs w:val="22"/>
              </w:rPr>
            </w:pPr>
          </w:p>
        </w:tc>
      </w:tr>
      <w:tr w:rsidR="00224FF2" w:rsidRPr="003A2A1C" w14:paraId="69975F8E" w14:textId="77777777" w:rsidTr="003A2A1C">
        <w:trPr>
          <w:trHeight w:hRule="exact" w:val="288"/>
        </w:trPr>
        <w:tc>
          <w:tcPr>
            <w:tcW w:w="249" w:type="pct"/>
          </w:tcPr>
          <w:p w14:paraId="4A2468D8" w14:textId="77777777" w:rsidR="00224FF2" w:rsidRPr="003A2A1C" w:rsidRDefault="00224FF2" w:rsidP="00224FF2">
            <w:pPr>
              <w:spacing w:after="240"/>
              <w:jc w:val="both"/>
              <w:rPr>
                <w:sz w:val="22"/>
                <w:szCs w:val="22"/>
              </w:rPr>
            </w:pPr>
          </w:p>
        </w:tc>
        <w:tc>
          <w:tcPr>
            <w:tcW w:w="2711" w:type="pct"/>
          </w:tcPr>
          <w:p w14:paraId="71D6F72A" w14:textId="77777777" w:rsidR="00224FF2" w:rsidRPr="003A2A1C" w:rsidRDefault="00224FF2" w:rsidP="00224FF2">
            <w:pPr>
              <w:spacing w:after="240"/>
              <w:jc w:val="both"/>
              <w:rPr>
                <w:sz w:val="22"/>
                <w:szCs w:val="22"/>
              </w:rPr>
            </w:pPr>
            <w:r w:rsidRPr="003A2A1C">
              <w:rPr>
                <w:sz w:val="22"/>
                <w:szCs w:val="22"/>
              </w:rPr>
              <w:t>b. To reflect actual invoices received.</w:t>
            </w:r>
          </w:p>
        </w:tc>
        <w:tc>
          <w:tcPr>
            <w:tcW w:w="169" w:type="pct"/>
            <w:gridSpan w:val="2"/>
          </w:tcPr>
          <w:p w14:paraId="5ED4F826" w14:textId="77777777" w:rsidR="00224FF2" w:rsidRPr="003A2A1C" w:rsidRDefault="00224FF2" w:rsidP="00224FF2">
            <w:pPr>
              <w:spacing w:after="240"/>
              <w:jc w:val="both"/>
              <w:rPr>
                <w:sz w:val="22"/>
                <w:szCs w:val="22"/>
              </w:rPr>
            </w:pPr>
          </w:p>
        </w:tc>
        <w:tc>
          <w:tcPr>
            <w:tcW w:w="829" w:type="pct"/>
            <w:gridSpan w:val="2"/>
          </w:tcPr>
          <w:p w14:paraId="2B40A73E" w14:textId="77777777" w:rsidR="00224FF2" w:rsidRPr="003A2A1C" w:rsidRDefault="00224FF2" w:rsidP="00224FF2">
            <w:pPr>
              <w:spacing w:after="240"/>
              <w:jc w:val="right"/>
              <w:rPr>
                <w:sz w:val="22"/>
                <w:szCs w:val="22"/>
              </w:rPr>
            </w:pPr>
            <w:r w:rsidRPr="003A2A1C">
              <w:rPr>
                <w:sz w:val="22"/>
                <w:szCs w:val="22"/>
              </w:rPr>
              <w:t>0</w:t>
            </w:r>
          </w:p>
        </w:tc>
        <w:tc>
          <w:tcPr>
            <w:tcW w:w="912" w:type="pct"/>
          </w:tcPr>
          <w:p w14:paraId="6A5CBC67" w14:textId="77777777" w:rsidR="00224FF2" w:rsidRPr="003A2A1C" w:rsidRDefault="00224FF2" w:rsidP="00224FF2">
            <w:pPr>
              <w:spacing w:after="240"/>
              <w:jc w:val="right"/>
              <w:rPr>
                <w:sz w:val="22"/>
                <w:szCs w:val="22"/>
              </w:rPr>
            </w:pPr>
            <w:r w:rsidRPr="003A2A1C">
              <w:rPr>
                <w:sz w:val="22"/>
                <w:szCs w:val="22"/>
              </w:rPr>
              <w:t>(29)</w:t>
            </w:r>
          </w:p>
        </w:tc>
        <w:tc>
          <w:tcPr>
            <w:tcW w:w="130" w:type="pct"/>
          </w:tcPr>
          <w:p w14:paraId="02B4B52E" w14:textId="77777777" w:rsidR="00224FF2" w:rsidRPr="003A2A1C" w:rsidRDefault="00224FF2" w:rsidP="00224FF2">
            <w:pPr>
              <w:spacing w:after="240"/>
              <w:jc w:val="both"/>
              <w:rPr>
                <w:sz w:val="22"/>
                <w:szCs w:val="22"/>
              </w:rPr>
            </w:pPr>
          </w:p>
        </w:tc>
      </w:tr>
      <w:tr w:rsidR="00224FF2" w:rsidRPr="003A2A1C" w14:paraId="48CA44D3" w14:textId="77777777" w:rsidTr="003A2A1C">
        <w:trPr>
          <w:trHeight w:hRule="exact" w:val="288"/>
        </w:trPr>
        <w:tc>
          <w:tcPr>
            <w:tcW w:w="249" w:type="pct"/>
          </w:tcPr>
          <w:p w14:paraId="6F39AD1E" w14:textId="77777777" w:rsidR="00224FF2" w:rsidRPr="003A2A1C" w:rsidRDefault="00224FF2" w:rsidP="00224FF2">
            <w:pPr>
              <w:spacing w:after="240"/>
              <w:jc w:val="both"/>
              <w:rPr>
                <w:sz w:val="22"/>
                <w:szCs w:val="22"/>
              </w:rPr>
            </w:pPr>
          </w:p>
        </w:tc>
        <w:tc>
          <w:tcPr>
            <w:tcW w:w="2711" w:type="pct"/>
          </w:tcPr>
          <w:p w14:paraId="12B34346" w14:textId="77777777" w:rsidR="00224FF2" w:rsidRPr="003A2A1C" w:rsidRDefault="00224FF2" w:rsidP="00224FF2">
            <w:pPr>
              <w:spacing w:after="240"/>
              <w:jc w:val="both"/>
              <w:rPr>
                <w:sz w:val="22"/>
                <w:szCs w:val="22"/>
              </w:rPr>
            </w:pPr>
            <w:r w:rsidRPr="003A2A1C">
              <w:rPr>
                <w:sz w:val="22"/>
                <w:szCs w:val="22"/>
              </w:rPr>
              <w:t>c. To reflect staff’s EUW adjustment.</w:t>
            </w:r>
          </w:p>
        </w:tc>
        <w:tc>
          <w:tcPr>
            <w:tcW w:w="169" w:type="pct"/>
            <w:gridSpan w:val="2"/>
          </w:tcPr>
          <w:p w14:paraId="02289326" w14:textId="77777777" w:rsidR="00224FF2" w:rsidRPr="003A2A1C" w:rsidRDefault="00224FF2" w:rsidP="00224FF2">
            <w:pPr>
              <w:spacing w:after="240"/>
              <w:jc w:val="both"/>
              <w:rPr>
                <w:sz w:val="22"/>
                <w:szCs w:val="22"/>
              </w:rPr>
            </w:pPr>
          </w:p>
        </w:tc>
        <w:tc>
          <w:tcPr>
            <w:tcW w:w="829" w:type="pct"/>
            <w:gridSpan w:val="2"/>
          </w:tcPr>
          <w:p w14:paraId="69A1CD8D" w14:textId="77777777" w:rsidR="00224FF2" w:rsidRPr="003A2A1C" w:rsidRDefault="00224FF2" w:rsidP="00224FF2">
            <w:pPr>
              <w:spacing w:after="240"/>
              <w:jc w:val="right"/>
              <w:rPr>
                <w:sz w:val="22"/>
                <w:szCs w:val="22"/>
                <w:u w:val="single"/>
              </w:rPr>
            </w:pPr>
            <w:r w:rsidRPr="003A2A1C">
              <w:rPr>
                <w:sz w:val="22"/>
                <w:szCs w:val="22"/>
                <w:u w:val="single"/>
              </w:rPr>
              <w:t>(11,322)</w:t>
            </w:r>
          </w:p>
        </w:tc>
        <w:tc>
          <w:tcPr>
            <w:tcW w:w="912" w:type="pct"/>
          </w:tcPr>
          <w:p w14:paraId="7F5795A1" w14:textId="77777777" w:rsidR="00224FF2" w:rsidRPr="003A2A1C" w:rsidRDefault="00224FF2" w:rsidP="00224FF2">
            <w:pPr>
              <w:spacing w:after="240"/>
              <w:jc w:val="right"/>
              <w:rPr>
                <w:sz w:val="22"/>
                <w:szCs w:val="22"/>
                <w:u w:val="single"/>
              </w:rPr>
            </w:pPr>
            <w:r w:rsidRPr="003A2A1C">
              <w:rPr>
                <w:sz w:val="22"/>
                <w:szCs w:val="22"/>
                <w:u w:val="single"/>
              </w:rPr>
              <w:t>0</w:t>
            </w:r>
          </w:p>
        </w:tc>
        <w:tc>
          <w:tcPr>
            <w:tcW w:w="130" w:type="pct"/>
          </w:tcPr>
          <w:p w14:paraId="5E14388C" w14:textId="77777777" w:rsidR="00224FF2" w:rsidRPr="003A2A1C" w:rsidRDefault="00224FF2" w:rsidP="00224FF2">
            <w:pPr>
              <w:spacing w:after="240"/>
              <w:jc w:val="both"/>
              <w:rPr>
                <w:sz w:val="22"/>
                <w:szCs w:val="22"/>
              </w:rPr>
            </w:pPr>
          </w:p>
        </w:tc>
      </w:tr>
      <w:tr w:rsidR="00224FF2" w:rsidRPr="003A2A1C" w14:paraId="24889655" w14:textId="77777777" w:rsidTr="003A2A1C">
        <w:trPr>
          <w:trHeight w:hRule="exact" w:val="288"/>
        </w:trPr>
        <w:tc>
          <w:tcPr>
            <w:tcW w:w="249" w:type="pct"/>
          </w:tcPr>
          <w:p w14:paraId="12BF370F" w14:textId="77777777" w:rsidR="00224FF2" w:rsidRPr="003A2A1C" w:rsidRDefault="00224FF2" w:rsidP="00224FF2">
            <w:pPr>
              <w:spacing w:after="240"/>
              <w:jc w:val="both"/>
              <w:rPr>
                <w:sz w:val="22"/>
                <w:szCs w:val="22"/>
              </w:rPr>
            </w:pPr>
          </w:p>
        </w:tc>
        <w:tc>
          <w:tcPr>
            <w:tcW w:w="2711" w:type="pct"/>
          </w:tcPr>
          <w:p w14:paraId="4CAFFD36" w14:textId="77777777" w:rsidR="00224FF2" w:rsidRPr="003A2A1C" w:rsidRDefault="00224FF2" w:rsidP="00224FF2">
            <w:pPr>
              <w:spacing w:after="240"/>
              <w:jc w:val="both"/>
              <w:rPr>
                <w:sz w:val="22"/>
                <w:szCs w:val="22"/>
              </w:rPr>
            </w:pPr>
            <w:r w:rsidRPr="003A2A1C">
              <w:rPr>
                <w:sz w:val="22"/>
                <w:szCs w:val="22"/>
              </w:rPr>
              <w:t xml:space="preserve">Subtotal </w:t>
            </w:r>
          </w:p>
        </w:tc>
        <w:tc>
          <w:tcPr>
            <w:tcW w:w="169" w:type="pct"/>
            <w:gridSpan w:val="2"/>
          </w:tcPr>
          <w:p w14:paraId="1691D464" w14:textId="77777777" w:rsidR="00224FF2" w:rsidRPr="003A2A1C" w:rsidRDefault="00224FF2" w:rsidP="00224FF2">
            <w:pPr>
              <w:spacing w:after="240"/>
              <w:jc w:val="both"/>
              <w:rPr>
                <w:sz w:val="22"/>
                <w:szCs w:val="22"/>
              </w:rPr>
            </w:pPr>
          </w:p>
        </w:tc>
        <w:tc>
          <w:tcPr>
            <w:tcW w:w="829" w:type="pct"/>
            <w:gridSpan w:val="2"/>
          </w:tcPr>
          <w:p w14:paraId="738DB6A6" w14:textId="77777777" w:rsidR="00224FF2" w:rsidRPr="003A2A1C" w:rsidRDefault="00224FF2" w:rsidP="00224FF2">
            <w:pPr>
              <w:spacing w:after="240"/>
              <w:jc w:val="right"/>
              <w:rPr>
                <w:sz w:val="22"/>
                <w:szCs w:val="22"/>
                <w:u w:val="double"/>
              </w:rPr>
            </w:pPr>
            <w:r w:rsidRPr="003A2A1C">
              <w:rPr>
                <w:sz w:val="22"/>
                <w:szCs w:val="22"/>
                <w:u w:val="double"/>
              </w:rPr>
              <w:t>($36,168)</w:t>
            </w:r>
          </w:p>
        </w:tc>
        <w:tc>
          <w:tcPr>
            <w:tcW w:w="912" w:type="pct"/>
          </w:tcPr>
          <w:p w14:paraId="1EA4F299" w14:textId="77777777" w:rsidR="00224FF2" w:rsidRPr="003A2A1C" w:rsidRDefault="00224FF2" w:rsidP="00224FF2">
            <w:pPr>
              <w:spacing w:after="240"/>
              <w:jc w:val="right"/>
              <w:rPr>
                <w:sz w:val="22"/>
                <w:szCs w:val="22"/>
                <w:u w:val="double"/>
              </w:rPr>
            </w:pPr>
            <w:r w:rsidRPr="003A2A1C">
              <w:rPr>
                <w:sz w:val="22"/>
                <w:szCs w:val="22"/>
                <w:u w:val="double"/>
              </w:rPr>
              <w:t>$19,885</w:t>
            </w:r>
          </w:p>
        </w:tc>
        <w:tc>
          <w:tcPr>
            <w:tcW w:w="130" w:type="pct"/>
          </w:tcPr>
          <w:p w14:paraId="38FB8776" w14:textId="77777777" w:rsidR="00224FF2" w:rsidRPr="003A2A1C" w:rsidRDefault="00224FF2" w:rsidP="00224FF2">
            <w:pPr>
              <w:spacing w:after="240"/>
              <w:jc w:val="both"/>
              <w:rPr>
                <w:sz w:val="22"/>
                <w:szCs w:val="22"/>
              </w:rPr>
            </w:pPr>
          </w:p>
        </w:tc>
      </w:tr>
      <w:tr w:rsidR="00224FF2" w:rsidRPr="003A2A1C" w14:paraId="75EA9E57" w14:textId="77777777" w:rsidTr="003A2A1C">
        <w:trPr>
          <w:trHeight w:hRule="exact" w:val="288"/>
        </w:trPr>
        <w:tc>
          <w:tcPr>
            <w:tcW w:w="249" w:type="pct"/>
          </w:tcPr>
          <w:p w14:paraId="26FBF3E7" w14:textId="77777777" w:rsidR="00224FF2" w:rsidRPr="003A2A1C" w:rsidRDefault="00224FF2" w:rsidP="00224FF2">
            <w:pPr>
              <w:spacing w:after="240"/>
              <w:jc w:val="both"/>
              <w:rPr>
                <w:sz w:val="22"/>
                <w:szCs w:val="22"/>
              </w:rPr>
            </w:pPr>
          </w:p>
        </w:tc>
        <w:tc>
          <w:tcPr>
            <w:tcW w:w="2711" w:type="pct"/>
          </w:tcPr>
          <w:p w14:paraId="2AC8A129" w14:textId="77777777" w:rsidR="00224FF2" w:rsidRPr="003A2A1C" w:rsidRDefault="00224FF2" w:rsidP="00224FF2">
            <w:pPr>
              <w:spacing w:after="240"/>
              <w:jc w:val="both"/>
              <w:rPr>
                <w:sz w:val="22"/>
                <w:szCs w:val="22"/>
              </w:rPr>
            </w:pPr>
          </w:p>
        </w:tc>
        <w:tc>
          <w:tcPr>
            <w:tcW w:w="169" w:type="pct"/>
            <w:gridSpan w:val="2"/>
          </w:tcPr>
          <w:p w14:paraId="6DDB7D3B" w14:textId="77777777" w:rsidR="00224FF2" w:rsidRPr="003A2A1C" w:rsidRDefault="00224FF2" w:rsidP="00224FF2">
            <w:pPr>
              <w:spacing w:after="240"/>
              <w:jc w:val="both"/>
              <w:rPr>
                <w:sz w:val="22"/>
                <w:szCs w:val="22"/>
              </w:rPr>
            </w:pPr>
          </w:p>
        </w:tc>
        <w:tc>
          <w:tcPr>
            <w:tcW w:w="829" w:type="pct"/>
            <w:gridSpan w:val="2"/>
          </w:tcPr>
          <w:p w14:paraId="18602A63" w14:textId="77777777" w:rsidR="00224FF2" w:rsidRPr="003A2A1C" w:rsidRDefault="00224FF2" w:rsidP="00224FF2">
            <w:pPr>
              <w:spacing w:after="240"/>
              <w:jc w:val="right"/>
              <w:rPr>
                <w:sz w:val="22"/>
                <w:szCs w:val="22"/>
                <w:u w:val="double"/>
              </w:rPr>
            </w:pPr>
          </w:p>
        </w:tc>
        <w:tc>
          <w:tcPr>
            <w:tcW w:w="912" w:type="pct"/>
          </w:tcPr>
          <w:p w14:paraId="3C46C572" w14:textId="77777777" w:rsidR="00224FF2" w:rsidRPr="003A2A1C" w:rsidRDefault="00224FF2" w:rsidP="00224FF2">
            <w:pPr>
              <w:spacing w:after="240"/>
              <w:jc w:val="right"/>
              <w:rPr>
                <w:sz w:val="22"/>
                <w:szCs w:val="22"/>
                <w:u w:val="double"/>
              </w:rPr>
            </w:pPr>
          </w:p>
        </w:tc>
        <w:tc>
          <w:tcPr>
            <w:tcW w:w="130" w:type="pct"/>
          </w:tcPr>
          <w:p w14:paraId="02118A13" w14:textId="77777777" w:rsidR="00224FF2" w:rsidRPr="003A2A1C" w:rsidRDefault="00224FF2" w:rsidP="00224FF2">
            <w:pPr>
              <w:spacing w:after="240"/>
              <w:jc w:val="both"/>
              <w:rPr>
                <w:sz w:val="22"/>
                <w:szCs w:val="22"/>
              </w:rPr>
            </w:pPr>
          </w:p>
        </w:tc>
      </w:tr>
      <w:tr w:rsidR="00224FF2" w:rsidRPr="003A2A1C" w14:paraId="0E06FC7D" w14:textId="77777777" w:rsidTr="003A2A1C">
        <w:trPr>
          <w:trHeight w:hRule="exact" w:val="288"/>
        </w:trPr>
        <w:tc>
          <w:tcPr>
            <w:tcW w:w="249" w:type="pct"/>
          </w:tcPr>
          <w:p w14:paraId="44C96C97" w14:textId="77777777" w:rsidR="00224FF2" w:rsidRPr="003A2A1C" w:rsidRDefault="00224FF2" w:rsidP="00224FF2">
            <w:pPr>
              <w:spacing w:after="240"/>
              <w:jc w:val="both"/>
              <w:rPr>
                <w:sz w:val="22"/>
                <w:szCs w:val="22"/>
              </w:rPr>
            </w:pPr>
            <w:r w:rsidRPr="003A2A1C">
              <w:rPr>
                <w:sz w:val="22"/>
                <w:szCs w:val="22"/>
              </w:rPr>
              <w:t>5.</w:t>
            </w:r>
          </w:p>
        </w:tc>
        <w:tc>
          <w:tcPr>
            <w:tcW w:w="2711" w:type="pct"/>
          </w:tcPr>
          <w:p w14:paraId="7E57A682" w14:textId="77777777" w:rsidR="00224FF2" w:rsidRPr="003A2A1C" w:rsidRDefault="00224FF2" w:rsidP="00224FF2">
            <w:pPr>
              <w:spacing w:after="240"/>
              <w:jc w:val="both"/>
              <w:rPr>
                <w:sz w:val="22"/>
                <w:szCs w:val="22"/>
              </w:rPr>
            </w:pPr>
            <w:r w:rsidRPr="003A2A1C">
              <w:rPr>
                <w:sz w:val="22"/>
                <w:szCs w:val="22"/>
              </w:rPr>
              <w:t>Chemicals Expense (618/718)</w:t>
            </w:r>
          </w:p>
        </w:tc>
        <w:tc>
          <w:tcPr>
            <w:tcW w:w="169" w:type="pct"/>
            <w:gridSpan w:val="2"/>
          </w:tcPr>
          <w:p w14:paraId="039BB846" w14:textId="77777777" w:rsidR="00224FF2" w:rsidRPr="003A2A1C" w:rsidRDefault="00224FF2" w:rsidP="00224FF2">
            <w:pPr>
              <w:spacing w:after="240"/>
              <w:jc w:val="both"/>
              <w:rPr>
                <w:sz w:val="22"/>
                <w:szCs w:val="22"/>
              </w:rPr>
            </w:pPr>
          </w:p>
        </w:tc>
        <w:tc>
          <w:tcPr>
            <w:tcW w:w="829" w:type="pct"/>
            <w:gridSpan w:val="2"/>
          </w:tcPr>
          <w:p w14:paraId="07F91067" w14:textId="77777777" w:rsidR="00224FF2" w:rsidRPr="003A2A1C" w:rsidRDefault="00224FF2" w:rsidP="00224FF2">
            <w:pPr>
              <w:spacing w:after="240"/>
              <w:jc w:val="right"/>
              <w:rPr>
                <w:sz w:val="22"/>
                <w:szCs w:val="22"/>
                <w:u w:val="double"/>
              </w:rPr>
            </w:pPr>
          </w:p>
        </w:tc>
        <w:tc>
          <w:tcPr>
            <w:tcW w:w="912" w:type="pct"/>
          </w:tcPr>
          <w:p w14:paraId="78F6F104" w14:textId="77777777" w:rsidR="00224FF2" w:rsidRPr="003A2A1C" w:rsidRDefault="00224FF2" w:rsidP="00224FF2">
            <w:pPr>
              <w:spacing w:after="240"/>
              <w:jc w:val="right"/>
              <w:rPr>
                <w:sz w:val="22"/>
                <w:szCs w:val="22"/>
                <w:u w:val="double"/>
              </w:rPr>
            </w:pPr>
          </w:p>
        </w:tc>
        <w:tc>
          <w:tcPr>
            <w:tcW w:w="130" w:type="pct"/>
          </w:tcPr>
          <w:p w14:paraId="34893019" w14:textId="77777777" w:rsidR="00224FF2" w:rsidRPr="003A2A1C" w:rsidRDefault="00224FF2" w:rsidP="00224FF2">
            <w:pPr>
              <w:spacing w:after="240"/>
              <w:jc w:val="both"/>
              <w:rPr>
                <w:sz w:val="22"/>
                <w:szCs w:val="22"/>
              </w:rPr>
            </w:pPr>
          </w:p>
        </w:tc>
      </w:tr>
      <w:tr w:rsidR="00224FF2" w:rsidRPr="003A2A1C" w14:paraId="421A9B88" w14:textId="77777777" w:rsidTr="003A2A1C">
        <w:trPr>
          <w:trHeight w:hRule="exact" w:val="288"/>
        </w:trPr>
        <w:tc>
          <w:tcPr>
            <w:tcW w:w="249" w:type="pct"/>
          </w:tcPr>
          <w:p w14:paraId="3D10ECE0" w14:textId="77777777" w:rsidR="00224FF2" w:rsidRPr="003A2A1C" w:rsidRDefault="00224FF2" w:rsidP="00224FF2">
            <w:pPr>
              <w:spacing w:after="240"/>
              <w:jc w:val="both"/>
              <w:rPr>
                <w:sz w:val="22"/>
                <w:szCs w:val="22"/>
              </w:rPr>
            </w:pPr>
          </w:p>
        </w:tc>
        <w:tc>
          <w:tcPr>
            <w:tcW w:w="2711" w:type="pct"/>
          </w:tcPr>
          <w:p w14:paraId="4D5C2052" w14:textId="77777777" w:rsidR="00224FF2" w:rsidRPr="003A2A1C" w:rsidRDefault="00224FF2" w:rsidP="00224FF2">
            <w:pPr>
              <w:spacing w:after="240"/>
              <w:jc w:val="both"/>
              <w:rPr>
                <w:sz w:val="22"/>
                <w:szCs w:val="22"/>
              </w:rPr>
            </w:pPr>
            <w:r w:rsidRPr="003A2A1C">
              <w:rPr>
                <w:sz w:val="22"/>
                <w:szCs w:val="22"/>
              </w:rPr>
              <w:t>a. To reflect auditing adjustments.</w:t>
            </w:r>
          </w:p>
        </w:tc>
        <w:tc>
          <w:tcPr>
            <w:tcW w:w="169" w:type="pct"/>
            <w:gridSpan w:val="2"/>
          </w:tcPr>
          <w:p w14:paraId="6250C68C" w14:textId="77777777" w:rsidR="00224FF2" w:rsidRPr="003A2A1C" w:rsidRDefault="00224FF2" w:rsidP="00224FF2">
            <w:pPr>
              <w:spacing w:after="240"/>
              <w:jc w:val="both"/>
              <w:rPr>
                <w:sz w:val="22"/>
                <w:szCs w:val="22"/>
              </w:rPr>
            </w:pPr>
          </w:p>
        </w:tc>
        <w:tc>
          <w:tcPr>
            <w:tcW w:w="829" w:type="pct"/>
            <w:gridSpan w:val="2"/>
          </w:tcPr>
          <w:p w14:paraId="4FDDE41E" w14:textId="77777777" w:rsidR="00224FF2" w:rsidRPr="003A2A1C" w:rsidRDefault="00224FF2" w:rsidP="00224FF2">
            <w:pPr>
              <w:spacing w:after="240"/>
              <w:jc w:val="right"/>
              <w:rPr>
                <w:sz w:val="22"/>
                <w:szCs w:val="22"/>
              </w:rPr>
            </w:pPr>
            <w:r w:rsidRPr="003A2A1C">
              <w:rPr>
                <w:sz w:val="22"/>
                <w:szCs w:val="22"/>
              </w:rPr>
              <w:t>($2,134)</w:t>
            </w:r>
          </w:p>
        </w:tc>
        <w:tc>
          <w:tcPr>
            <w:tcW w:w="912" w:type="pct"/>
          </w:tcPr>
          <w:p w14:paraId="0E852506" w14:textId="77777777" w:rsidR="00224FF2" w:rsidRPr="003A2A1C" w:rsidRDefault="00224FF2" w:rsidP="00224FF2">
            <w:pPr>
              <w:spacing w:after="240"/>
              <w:jc w:val="right"/>
              <w:rPr>
                <w:sz w:val="22"/>
                <w:szCs w:val="22"/>
              </w:rPr>
            </w:pPr>
            <w:r w:rsidRPr="003A2A1C">
              <w:rPr>
                <w:sz w:val="22"/>
                <w:szCs w:val="22"/>
              </w:rPr>
              <w:t>($677)</w:t>
            </w:r>
          </w:p>
        </w:tc>
        <w:tc>
          <w:tcPr>
            <w:tcW w:w="130" w:type="pct"/>
          </w:tcPr>
          <w:p w14:paraId="24EA0DA8" w14:textId="77777777" w:rsidR="00224FF2" w:rsidRPr="003A2A1C" w:rsidRDefault="00224FF2" w:rsidP="00224FF2">
            <w:pPr>
              <w:spacing w:after="240"/>
              <w:jc w:val="both"/>
              <w:rPr>
                <w:sz w:val="22"/>
                <w:szCs w:val="22"/>
              </w:rPr>
            </w:pPr>
          </w:p>
        </w:tc>
      </w:tr>
      <w:tr w:rsidR="00224FF2" w:rsidRPr="003A2A1C" w14:paraId="79251FFE" w14:textId="77777777" w:rsidTr="003A2A1C">
        <w:trPr>
          <w:trHeight w:hRule="exact" w:val="288"/>
        </w:trPr>
        <w:tc>
          <w:tcPr>
            <w:tcW w:w="249" w:type="pct"/>
          </w:tcPr>
          <w:p w14:paraId="11CD7E69" w14:textId="77777777" w:rsidR="00224FF2" w:rsidRPr="003A2A1C" w:rsidRDefault="00224FF2" w:rsidP="00224FF2">
            <w:pPr>
              <w:spacing w:after="240"/>
              <w:jc w:val="both"/>
              <w:rPr>
                <w:sz w:val="22"/>
                <w:szCs w:val="22"/>
              </w:rPr>
            </w:pPr>
          </w:p>
        </w:tc>
        <w:tc>
          <w:tcPr>
            <w:tcW w:w="2711" w:type="pct"/>
          </w:tcPr>
          <w:p w14:paraId="137738FF" w14:textId="77777777" w:rsidR="00224FF2" w:rsidRPr="003A2A1C" w:rsidRDefault="00224FF2" w:rsidP="00224FF2">
            <w:pPr>
              <w:spacing w:after="240"/>
              <w:jc w:val="both"/>
              <w:rPr>
                <w:sz w:val="22"/>
                <w:szCs w:val="22"/>
              </w:rPr>
            </w:pPr>
            <w:r w:rsidRPr="003A2A1C">
              <w:rPr>
                <w:sz w:val="22"/>
                <w:szCs w:val="22"/>
              </w:rPr>
              <w:t>b. To reflect staff’s EUW adjustment.</w:t>
            </w:r>
          </w:p>
        </w:tc>
        <w:tc>
          <w:tcPr>
            <w:tcW w:w="169" w:type="pct"/>
            <w:gridSpan w:val="2"/>
          </w:tcPr>
          <w:p w14:paraId="5FD2409D" w14:textId="77777777" w:rsidR="00224FF2" w:rsidRPr="003A2A1C" w:rsidRDefault="00224FF2" w:rsidP="00224FF2">
            <w:pPr>
              <w:spacing w:after="240"/>
              <w:jc w:val="both"/>
              <w:rPr>
                <w:sz w:val="22"/>
                <w:szCs w:val="22"/>
              </w:rPr>
            </w:pPr>
          </w:p>
        </w:tc>
        <w:tc>
          <w:tcPr>
            <w:tcW w:w="829" w:type="pct"/>
            <w:gridSpan w:val="2"/>
          </w:tcPr>
          <w:p w14:paraId="2005A6CC" w14:textId="77777777" w:rsidR="00224FF2" w:rsidRPr="003A2A1C" w:rsidRDefault="00224FF2" w:rsidP="00224FF2">
            <w:pPr>
              <w:spacing w:after="240"/>
              <w:jc w:val="right"/>
              <w:rPr>
                <w:sz w:val="22"/>
                <w:szCs w:val="22"/>
                <w:u w:val="single"/>
              </w:rPr>
            </w:pPr>
            <w:r w:rsidRPr="003A2A1C">
              <w:rPr>
                <w:sz w:val="22"/>
                <w:szCs w:val="22"/>
                <w:u w:val="single"/>
              </w:rPr>
              <w:t>(10,205)</w:t>
            </w:r>
          </w:p>
        </w:tc>
        <w:tc>
          <w:tcPr>
            <w:tcW w:w="912" w:type="pct"/>
          </w:tcPr>
          <w:p w14:paraId="13DC98D5" w14:textId="77777777" w:rsidR="00224FF2" w:rsidRPr="003A2A1C" w:rsidRDefault="00224FF2" w:rsidP="00224FF2">
            <w:pPr>
              <w:spacing w:after="240"/>
              <w:jc w:val="right"/>
              <w:rPr>
                <w:sz w:val="22"/>
                <w:szCs w:val="22"/>
                <w:u w:val="single"/>
              </w:rPr>
            </w:pPr>
            <w:r w:rsidRPr="003A2A1C">
              <w:rPr>
                <w:sz w:val="22"/>
                <w:szCs w:val="22"/>
                <w:u w:val="single"/>
              </w:rPr>
              <w:t>0</w:t>
            </w:r>
          </w:p>
        </w:tc>
        <w:tc>
          <w:tcPr>
            <w:tcW w:w="130" w:type="pct"/>
          </w:tcPr>
          <w:p w14:paraId="10DFEA1D" w14:textId="77777777" w:rsidR="00224FF2" w:rsidRPr="003A2A1C" w:rsidRDefault="00224FF2" w:rsidP="00224FF2">
            <w:pPr>
              <w:spacing w:after="240"/>
              <w:jc w:val="both"/>
              <w:rPr>
                <w:sz w:val="22"/>
                <w:szCs w:val="22"/>
              </w:rPr>
            </w:pPr>
          </w:p>
        </w:tc>
      </w:tr>
      <w:tr w:rsidR="00224FF2" w:rsidRPr="003A2A1C" w14:paraId="13924DE7" w14:textId="77777777" w:rsidTr="003A2A1C">
        <w:trPr>
          <w:trHeight w:hRule="exact" w:val="288"/>
        </w:trPr>
        <w:tc>
          <w:tcPr>
            <w:tcW w:w="249" w:type="pct"/>
          </w:tcPr>
          <w:p w14:paraId="20493BBA" w14:textId="77777777" w:rsidR="00224FF2" w:rsidRPr="003A2A1C" w:rsidRDefault="00224FF2" w:rsidP="00224FF2">
            <w:pPr>
              <w:spacing w:after="240"/>
              <w:jc w:val="both"/>
              <w:rPr>
                <w:sz w:val="22"/>
                <w:szCs w:val="22"/>
              </w:rPr>
            </w:pPr>
          </w:p>
        </w:tc>
        <w:tc>
          <w:tcPr>
            <w:tcW w:w="2711" w:type="pct"/>
          </w:tcPr>
          <w:p w14:paraId="34850A24" w14:textId="77777777" w:rsidR="00224FF2" w:rsidRPr="003A2A1C" w:rsidRDefault="00224FF2" w:rsidP="00224FF2">
            <w:pPr>
              <w:spacing w:after="240"/>
              <w:jc w:val="both"/>
              <w:rPr>
                <w:sz w:val="22"/>
                <w:szCs w:val="22"/>
              </w:rPr>
            </w:pPr>
          </w:p>
        </w:tc>
        <w:tc>
          <w:tcPr>
            <w:tcW w:w="169" w:type="pct"/>
            <w:gridSpan w:val="2"/>
          </w:tcPr>
          <w:p w14:paraId="6EE2CA10" w14:textId="77777777" w:rsidR="00224FF2" w:rsidRPr="003A2A1C" w:rsidRDefault="00224FF2" w:rsidP="00224FF2">
            <w:pPr>
              <w:spacing w:after="240"/>
              <w:jc w:val="both"/>
              <w:rPr>
                <w:sz w:val="22"/>
                <w:szCs w:val="22"/>
              </w:rPr>
            </w:pPr>
          </w:p>
        </w:tc>
        <w:tc>
          <w:tcPr>
            <w:tcW w:w="829" w:type="pct"/>
            <w:gridSpan w:val="2"/>
          </w:tcPr>
          <w:p w14:paraId="0D6EB07E" w14:textId="77777777" w:rsidR="00224FF2" w:rsidRPr="003A2A1C" w:rsidRDefault="00224FF2" w:rsidP="00224FF2">
            <w:pPr>
              <w:spacing w:after="240"/>
              <w:jc w:val="right"/>
              <w:rPr>
                <w:sz w:val="22"/>
                <w:szCs w:val="22"/>
                <w:u w:val="double"/>
              </w:rPr>
            </w:pPr>
            <w:r w:rsidRPr="003A2A1C">
              <w:rPr>
                <w:sz w:val="22"/>
                <w:szCs w:val="22"/>
                <w:u w:val="double"/>
              </w:rPr>
              <w:t>($12,339)</w:t>
            </w:r>
          </w:p>
        </w:tc>
        <w:tc>
          <w:tcPr>
            <w:tcW w:w="912" w:type="pct"/>
          </w:tcPr>
          <w:p w14:paraId="6A757BCE" w14:textId="77777777" w:rsidR="00224FF2" w:rsidRPr="003A2A1C" w:rsidRDefault="00224FF2" w:rsidP="00224FF2">
            <w:pPr>
              <w:spacing w:after="240"/>
              <w:jc w:val="right"/>
              <w:rPr>
                <w:sz w:val="22"/>
                <w:szCs w:val="22"/>
                <w:u w:val="double"/>
              </w:rPr>
            </w:pPr>
            <w:r w:rsidRPr="003A2A1C">
              <w:rPr>
                <w:sz w:val="22"/>
                <w:szCs w:val="22"/>
                <w:u w:val="double"/>
              </w:rPr>
              <w:t>($677)</w:t>
            </w:r>
          </w:p>
        </w:tc>
        <w:tc>
          <w:tcPr>
            <w:tcW w:w="130" w:type="pct"/>
          </w:tcPr>
          <w:p w14:paraId="381B8A38" w14:textId="77777777" w:rsidR="00224FF2" w:rsidRPr="003A2A1C" w:rsidRDefault="00224FF2" w:rsidP="00224FF2">
            <w:pPr>
              <w:spacing w:after="240"/>
              <w:jc w:val="both"/>
              <w:rPr>
                <w:sz w:val="22"/>
                <w:szCs w:val="22"/>
              </w:rPr>
            </w:pPr>
          </w:p>
        </w:tc>
      </w:tr>
      <w:tr w:rsidR="00224FF2" w:rsidRPr="003A2A1C" w14:paraId="3AD09865" w14:textId="77777777" w:rsidTr="003A2A1C">
        <w:trPr>
          <w:trHeight w:hRule="exact" w:val="288"/>
        </w:trPr>
        <w:tc>
          <w:tcPr>
            <w:tcW w:w="249" w:type="pct"/>
          </w:tcPr>
          <w:p w14:paraId="6EC35C4D" w14:textId="77777777" w:rsidR="00224FF2" w:rsidRPr="003A2A1C" w:rsidRDefault="00224FF2" w:rsidP="00224FF2">
            <w:pPr>
              <w:spacing w:after="240"/>
              <w:jc w:val="both"/>
              <w:rPr>
                <w:sz w:val="22"/>
                <w:szCs w:val="22"/>
              </w:rPr>
            </w:pPr>
          </w:p>
        </w:tc>
        <w:tc>
          <w:tcPr>
            <w:tcW w:w="2711" w:type="pct"/>
          </w:tcPr>
          <w:p w14:paraId="57B8D774" w14:textId="77777777" w:rsidR="00224FF2" w:rsidRPr="003A2A1C" w:rsidRDefault="00224FF2" w:rsidP="00224FF2">
            <w:pPr>
              <w:spacing w:after="240"/>
              <w:jc w:val="both"/>
              <w:rPr>
                <w:sz w:val="22"/>
                <w:szCs w:val="22"/>
              </w:rPr>
            </w:pPr>
          </w:p>
        </w:tc>
        <w:tc>
          <w:tcPr>
            <w:tcW w:w="169" w:type="pct"/>
            <w:gridSpan w:val="2"/>
          </w:tcPr>
          <w:p w14:paraId="692E631E" w14:textId="77777777" w:rsidR="00224FF2" w:rsidRPr="003A2A1C" w:rsidRDefault="00224FF2" w:rsidP="00224FF2">
            <w:pPr>
              <w:spacing w:after="240"/>
              <w:jc w:val="both"/>
              <w:rPr>
                <w:sz w:val="22"/>
                <w:szCs w:val="22"/>
              </w:rPr>
            </w:pPr>
          </w:p>
        </w:tc>
        <w:tc>
          <w:tcPr>
            <w:tcW w:w="829" w:type="pct"/>
            <w:gridSpan w:val="2"/>
          </w:tcPr>
          <w:p w14:paraId="339D57E8" w14:textId="77777777" w:rsidR="00224FF2" w:rsidRPr="003A2A1C" w:rsidRDefault="00224FF2" w:rsidP="00224FF2">
            <w:pPr>
              <w:spacing w:after="240"/>
              <w:jc w:val="right"/>
              <w:rPr>
                <w:sz w:val="22"/>
                <w:szCs w:val="22"/>
                <w:u w:val="double"/>
              </w:rPr>
            </w:pPr>
          </w:p>
        </w:tc>
        <w:tc>
          <w:tcPr>
            <w:tcW w:w="912" w:type="pct"/>
          </w:tcPr>
          <w:p w14:paraId="3642293D" w14:textId="77777777" w:rsidR="00224FF2" w:rsidRPr="003A2A1C" w:rsidRDefault="00224FF2" w:rsidP="00224FF2">
            <w:pPr>
              <w:spacing w:after="240"/>
              <w:jc w:val="right"/>
              <w:rPr>
                <w:sz w:val="22"/>
                <w:szCs w:val="22"/>
                <w:u w:val="double"/>
              </w:rPr>
            </w:pPr>
          </w:p>
        </w:tc>
        <w:tc>
          <w:tcPr>
            <w:tcW w:w="130" w:type="pct"/>
          </w:tcPr>
          <w:p w14:paraId="2334C75A" w14:textId="77777777" w:rsidR="00224FF2" w:rsidRPr="003A2A1C" w:rsidRDefault="00224FF2" w:rsidP="00224FF2">
            <w:pPr>
              <w:spacing w:after="240"/>
              <w:jc w:val="both"/>
              <w:rPr>
                <w:sz w:val="22"/>
                <w:szCs w:val="22"/>
              </w:rPr>
            </w:pPr>
          </w:p>
        </w:tc>
      </w:tr>
      <w:tr w:rsidR="00224FF2" w:rsidRPr="003A2A1C" w14:paraId="621BF72D" w14:textId="77777777" w:rsidTr="003A2A1C">
        <w:trPr>
          <w:trHeight w:hRule="exact" w:val="288"/>
        </w:trPr>
        <w:tc>
          <w:tcPr>
            <w:tcW w:w="249" w:type="pct"/>
          </w:tcPr>
          <w:p w14:paraId="6F732637" w14:textId="77777777" w:rsidR="00224FF2" w:rsidRPr="003A2A1C" w:rsidRDefault="00224FF2" w:rsidP="00224FF2">
            <w:pPr>
              <w:spacing w:after="240"/>
              <w:jc w:val="both"/>
              <w:rPr>
                <w:sz w:val="22"/>
                <w:szCs w:val="22"/>
              </w:rPr>
            </w:pPr>
            <w:r w:rsidRPr="003A2A1C">
              <w:rPr>
                <w:sz w:val="22"/>
                <w:szCs w:val="22"/>
              </w:rPr>
              <w:t>6.</w:t>
            </w:r>
          </w:p>
        </w:tc>
        <w:tc>
          <w:tcPr>
            <w:tcW w:w="2711" w:type="pct"/>
          </w:tcPr>
          <w:p w14:paraId="2F8E0FC8" w14:textId="77777777" w:rsidR="00224FF2" w:rsidRPr="003A2A1C" w:rsidRDefault="00224FF2" w:rsidP="00224FF2">
            <w:pPr>
              <w:spacing w:after="240"/>
              <w:jc w:val="both"/>
              <w:rPr>
                <w:sz w:val="22"/>
                <w:szCs w:val="22"/>
              </w:rPr>
            </w:pPr>
            <w:r w:rsidRPr="003A2A1C">
              <w:rPr>
                <w:sz w:val="22"/>
                <w:szCs w:val="22"/>
              </w:rPr>
              <w:t>Contractual Services – Professional (631/731)</w:t>
            </w:r>
          </w:p>
        </w:tc>
        <w:tc>
          <w:tcPr>
            <w:tcW w:w="169" w:type="pct"/>
            <w:gridSpan w:val="2"/>
          </w:tcPr>
          <w:p w14:paraId="7800329C" w14:textId="77777777" w:rsidR="00224FF2" w:rsidRPr="003A2A1C" w:rsidRDefault="00224FF2" w:rsidP="00224FF2">
            <w:pPr>
              <w:spacing w:after="240"/>
              <w:jc w:val="both"/>
              <w:rPr>
                <w:sz w:val="22"/>
                <w:szCs w:val="22"/>
              </w:rPr>
            </w:pPr>
          </w:p>
        </w:tc>
        <w:tc>
          <w:tcPr>
            <w:tcW w:w="829" w:type="pct"/>
            <w:gridSpan w:val="2"/>
          </w:tcPr>
          <w:p w14:paraId="3AA28B66" w14:textId="77777777" w:rsidR="00224FF2" w:rsidRPr="003A2A1C" w:rsidRDefault="00224FF2" w:rsidP="00224FF2">
            <w:pPr>
              <w:spacing w:after="240"/>
              <w:jc w:val="right"/>
              <w:rPr>
                <w:sz w:val="22"/>
                <w:szCs w:val="22"/>
              </w:rPr>
            </w:pPr>
          </w:p>
        </w:tc>
        <w:tc>
          <w:tcPr>
            <w:tcW w:w="912" w:type="pct"/>
          </w:tcPr>
          <w:p w14:paraId="08CAA44C" w14:textId="77777777" w:rsidR="00224FF2" w:rsidRPr="003A2A1C" w:rsidRDefault="00224FF2" w:rsidP="00224FF2">
            <w:pPr>
              <w:spacing w:after="240"/>
              <w:jc w:val="right"/>
              <w:rPr>
                <w:sz w:val="22"/>
                <w:szCs w:val="22"/>
              </w:rPr>
            </w:pPr>
          </w:p>
        </w:tc>
        <w:tc>
          <w:tcPr>
            <w:tcW w:w="130" w:type="pct"/>
          </w:tcPr>
          <w:p w14:paraId="610D9BB9" w14:textId="77777777" w:rsidR="00224FF2" w:rsidRPr="003A2A1C" w:rsidRDefault="00224FF2" w:rsidP="00224FF2">
            <w:pPr>
              <w:spacing w:after="240"/>
              <w:jc w:val="both"/>
              <w:rPr>
                <w:sz w:val="22"/>
                <w:szCs w:val="22"/>
              </w:rPr>
            </w:pPr>
          </w:p>
        </w:tc>
      </w:tr>
      <w:tr w:rsidR="00224FF2" w:rsidRPr="003A2A1C" w14:paraId="223FE8B5" w14:textId="77777777" w:rsidTr="003A2A1C">
        <w:trPr>
          <w:trHeight w:hRule="exact" w:val="288"/>
        </w:trPr>
        <w:tc>
          <w:tcPr>
            <w:tcW w:w="249" w:type="pct"/>
          </w:tcPr>
          <w:p w14:paraId="65E6538F" w14:textId="77777777" w:rsidR="00224FF2" w:rsidRPr="003A2A1C" w:rsidRDefault="00224FF2" w:rsidP="00224FF2">
            <w:pPr>
              <w:spacing w:after="240"/>
              <w:jc w:val="both"/>
              <w:rPr>
                <w:sz w:val="22"/>
                <w:szCs w:val="22"/>
              </w:rPr>
            </w:pPr>
          </w:p>
        </w:tc>
        <w:tc>
          <w:tcPr>
            <w:tcW w:w="2711" w:type="pct"/>
          </w:tcPr>
          <w:p w14:paraId="50208976" w14:textId="77777777" w:rsidR="00224FF2" w:rsidRPr="003A2A1C" w:rsidRDefault="00224FF2" w:rsidP="00224FF2">
            <w:pPr>
              <w:spacing w:after="240"/>
              <w:jc w:val="both"/>
              <w:rPr>
                <w:sz w:val="22"/>
                <w:szCs w:val="22"/>
              </w:rPr>
            </w:pPr>
            <w:r w:rsidRPr="003A2A1C">
              <w:rPr>
                <w:sz w:val="22"/>
                <w:szCs w:val="22"/>
              </w:rPr>
              <w:t>a. To reflect auditing adjustments.</w:t>
            </w:r>
          </w:p>
        </w:tc>
        <w:tc>
          <w:tcPr>
            <w:tcW w:w="169" w:type="pct"/>
            <w:gridSpan w:val="2"/>
          </w:tcPr>
          <w:p w14:paraId="0B465F05" w14:textId="77777777" w:rsidR="00224FF2" w:rsidRPr="003A2A1C" w:rsidRDefault="00224FF2" w:rsidP="00224FF2">
            <w:pPr>
              <w:spacing w:after="240"/>
              <w:jc w:val="both"/>
              <w:rPr>
                <w:sz w:val="22"/>
                <w:szCs w:val="22"/>
              </w:rPr>
            </w:pPr>
          </w:p>
        </w:tc>
        <w:tc>
          <w:tcPr>
            <w:tcW w:w="829" w:type="pct"/>
            <w:gridSpan w:val="2"/>
          </w:tcPr>
          <w:p w14:paraId="25B7EC8E" w14:textId="77777777" w:rsidR="00224FF2" w:rsidRPr="003A2A1C" w:rsidRDefault="00224FF2" w:rsidP="00224FF2">
            <w:pPr>
              <w:spacing w:after="240"/>
              <w:jc w:val="right"/>
              <w:rPr>
                <w:sz w:val="22"/>
                <w:szCs w:val="22"/>
                <w:u w:val="double"/>
              </w:rPr>
            </w:pPr>
            <w:r w:rsidRPr="003A2A1C">
              <w:rPr>
                <w:sz w:val="22"/>
                <w:szCs w:val="22"/>
                <w:u w:val="double"/>
              </w:rPr>
              <w:t>$0</w:t>
            </w:r>
          </w:p>
        </w:tc>
        <w:tc>
          <w:tcPr>
            <w:tcW w:w="912" w:type="pct"/>
          </w:tcPr>
          <w:p w14:paraId="1BFABDBC" w14:textId="77777777" w:rsidR="00224FF2" w:rsidRPr="003A2A1C" w:rsidRDefault="00224FF2" w:rsidP="00224FF2">
            <w:pPr>
              <w:spacing w:after="240"/>
              <w:jc w:val="right"/>
              <w:rPr>
                <w:sz w:val="22"/>
                <w:szCs w:val="22"/>
                <w:u w:val="double"/>
              </w:rPr>
            </w:pPr>
            <w:r w:rsidRPr="003A2A1C">
              <w:rPr>
                <w:sz w:val="22"/>
                <w:szCs w:val="22"/>
                <w:u w:val="double"/>
              </w:rPr>
              <w:t>($675)</w:t>
            </w:r>
          </w:p>
        </w:tc>
        <w:tc>
          <w:tcPr>
            <w:tcW w:w="130" w:type="pct"/>
          </w:tcPr>
          <w:p w14:paraId="7D4D86F9" w14:textId="77777777" w:rsidR="00224FF2" w:rsidRPr="003A2A1C" w:rsidRDefault="00224FF2" w:rsidP="00224FF2">
            <w:pPr>
              <w:spacing w:after="240"/>
              <w:jc w:val="both"/>
              <w:rPr>
                <w:sz w:val="22"/>
                <w:szCs w:val="22"/>
              </w:rPr>
            </w:pPr>
          </w:p>
        </w:tc>
      </w:tr>
      <w:tr w:rsidR="00224FF2" w:rsidRPr="003A2A1C" w14:paraId="5B7ECE1B" w14:textId="77777777" w:rsidTr="003A2A1C">
        <w:trPr>
          <w:trHeight w:hRule="exact" w:val="288"/>
        </w:trPr>
        <w:tc>
          <w:tcPr>
            <w:tcW w:w="249" w:type="pct"/>
          </w:tcPr>
          <w:p w14:paraId="08CF311D" w14:textId="77777777" w:rsidR="00224FF2" w:rsidRPr="003A2A1C" w:rsidRDefault="00224FF2" w:rsidP="00224FF2">
            <w:pPr>
              <w:spacing w:after="240"/>
              <w:jc w:val="both"/>
              <w:rPr>
                <w:sz w:val="22"/>
                <w:szCs w:val="22"/>
              </w:rPr>
            </w:pPr>
          </w:p>
        </w:tc>
        <w:tc>
          <w:tcPr>
            <w:tcW w:w="2711" w:type="pct"/>
          </w:tcPr>
          <w:p w14:paraId="0F9BD258" w14:textId="77777777" w:rsidR="00224FF2" w:rsidRPr="003A2A1C" w:rsidRDefault="00224FF2" w:rsidP="00224FF2">
            <w:pPr>
              <w:spacing w:after="240"/>
              <w:jc w:val="both"/>
              <w:rPr>
                <w:sz w:val="22"/>
                <w:szCs w:val="22"/>
              </w:rPr>
            </w:pPr>
          </w:p>
        </w:tc>
        <w:tc>
          <w:tcPr>
            <w:tcW w:w="169" w:type="pct"/>
            <w:gridSpan w:val="2"/>
          </w:tcPr>
          <w:p w14:paraId="67E14545" w14:textId="77777777" w:rsidR="00224FF2" w:rsidRPr="003A2A1C" w:rsidRDefault="00224FF2" w:rsidP="00224FF2">
            <w:pPr>
              <w:spacing w:after="240"/>
              <w:jc w:val="both"/>
              <w:rPr>
                <w:sz w:val="22"/>
                <w:szCs w:val="22"/>
              </w:rPr>
            </w:pPr>
          </w:p>
        </w:tc>
        <w:tc>
          <w:tcPr>
            <w:tcW w:w="829" w:type="pct"/>
            <w:gridSpan w:val="2"/>
          </w:tcPr>
          <w:p w14:paraId="482B56F6" w14:textId="77777777" w:rsidR="00224FF2" w:rsidRPr="003A2A1C" w:rsidRDefault="00224FF2" w:rsidP="00224FF2">
            <w:pPr>
              <w:spacing w:after="240"/>
              <w:jc w:val="right"/>
              <w:rPr>
                <w:sz w:val="22"/>
                <w:szCs w:val="22"/>
              </w:rPr>
            </w:pPr>
          </w:p>
        </w:tc>
        <w:tc>
          <w:tcPr>
            <w:tcW w:w="912" w:type="pct"/>
          </w:tcPr>
          <w:p w14:paraId="41B3EE9D" w14:textId="77777777" w:rsidR="00224FF2" w:rsidRPr="003A2A1C" w:rsidRDefault="00224FF2" w:rsidP="00224FF2">
            <w:pPr>
              <w:spacing w:after="240"/>
              <w:jc w:val="right"/>
              <w:rPr>
                <w:sz w:val="22"/>
                <w:szCs w:val="22"/>
              </w:rPr>
            </w:pPr>
          </w:p>
        </w:tc>
        <w:tc>
          <w:tcPr>
            <w:tcW w:w="130" w:type="pct"/>
          </w:tcPr>
          <w:p w14:paraId="2ED5CF4F" w14:textId="77777777" w:rsidR="00224FF2" w:rsidRPr="003A2A1C" w:rsidRDefault="00224FF2" w:rsidP="00224FF2">
            <w:pPr>
              <w:spacing w:after="240"/>
              <w:jc w:val="both"/>
              <w:rPr>
                <w:sz w:val="22"/>
                <w:szCs w:val="22"/>
              </w:rPr>
            </w:pPr>
          </w:p>
        </w:tc>
      </w:tr>
      <w:tr w:rsidR="00224FF2" w:rsidRPr="003A2A1C" w14:paraId="070D3DB9" w14:textId="77777777" w:rsidTr="003A2A1C">
        <w:trPr>
          <w:trHeight w:hRule="exact" w:val="288"/>
        </w:trPr>
        <w:tc>
          <w:tcPr>
            <w:tcW w:w="249" w:type="pct"/>
          </w:tcPr>
          <w:p w14:paraId="2AB5DBCB" w14:textId="77777777" w:rsidR="00224FF2" w:rsidRPr="003A2A1C" w:rsidRDefault="00224FF2" w:rsidP="00224FF2">
            <w:pPr>
              <w:spacing w:after="240"/>
              <w:jc w:val="both"/>
              <w:rPr>
                <w:sz w:val="22"/>
                <w:szCs w:val="22"/>
              </w:rPr>
            </w:pPr>
            <w:r w:rsidRPr="003A2A1C">
              <w:rPr>
                <w:sz w:val="22"/>
                <w:szCs w:val="22"/>
              </w:rPr>
              <w:t>7.</w:t>
            </w:r>
          </w:p>
        </w:tc>
        <w:tc>
          <w:tcPr>
            <w:tcW w:w="2711" w:type="pct"/>
          </w:tcPr>
          <w:p w14:paraId="1DBDC980" w14:textId="77777777" w:rsidR="00224FF2" w:rsidRPr="003A2A1C" w:rsidRDefault="00224FF2" w:rsidP="00224FF2">
            <w:pPr>
              <w:spacing w:after="240"/>
              <w:jc w:val="both"/>
              <w:rPr>
                <w:sz w:val="22"/>
                <w:szCs w:val="22"/>
              </w:rPr>
            </w:pPr>
            <w:r w:rsidRPr="003A2A1C">
              <w:rPr>
                <w:sz w:val="22"/>
                <w:szCs w:val="22"/>
              </w:rPr>
              <w:t>Contractual Services – Accounting (632/732)</w:t>
            </w:r>
            <w:r w:rsidRPr="003A2A1C">
              <w:rPr>
                <w:sz w:val="22"/>
                <w:szCs w:val="22"/>
                <w:vertAlign w:val="superscript"/>
              </w:rPr>
              <w:footnoteReference w:id="62"/>
            </w:r>
          </w:p>
        </w:tc>
        <w:tc>
          <w:tcPr>
            <w:tcW w:w="169" w:type="pct"/>
            <w:gridSpan w:val="2"/>
          </w:tcPr>
          <w:p w14:paraId="14E7E34F" w14:textId="77777777" w:rsidR="00224FF2" w:rsidRPr="003A2A1C" w:rsidRDefault="00224FF2" w:rsidP="00224FF2">
            <w:pPr>
              <w:spacing w:after="240"/>
              <w:jc w:val="both"/>
              <w:rPr>
                <w:sz w:val="22"/>
                <w:szCs w:val="22"/>
              </w:rPr>
            </w:pPr>
          </w:p>
        </w:tc>
        <w:tc>
          <w:tcPr>
            <w:tcW w:w="829" w:type="pct"/>
            <w:gridSpan w:val="2"/>
          </w:tcPr>
          <w:p w14:paraId="1F07FCD5" w14:textId="77777777" w:rsidR="00224FF2" w:rsidRPr="003A2A1C" w:rsidRDefault="00224FF2" w:rsidP="00224FF2">
            <w:pPr>
              <w:spacing w:after="240"/>
              <w:jc w:val="right"/>
              <w:rPr>
                <w:sz w:val="22"/>
                <w:szCs w:val="22"/>
              </w:rPr>
            </w:pPr>
          </w:p>
        </w:tc>
        <w:tc>
          <w:tcPr>
            <w:tcW w:w="912" w:type="pct"/>
          </w:tcPr>
          <w:p w14:paraId="107B3486" w14:textId="77777777" w:rsidR="00224FF2" w:rsidRPr="003A2A1C" w:rsidRDefault="00224FF2" w:rsidP="00224FF2">
            <w:pPr>
              <w:spacing w:after="240"/>
              <w:jc w:val="right"/>
              <w:rPr>
                <w:sz w:val="22"/>
                <w:szCs w:val="22"/>
              </w:rPr>
            </w:pPr>
          </w:p>
        </w:tc>
        <w:tc>
          <w:tcPr>
            <w:tcW w:w="130" w:type="pct"/>
          </w:tcPr>
          <w:p w14:paraId="619AB48C" w14:textId="77777777" w:rsidR="00224FF2" w:rsidRPr="003A2A1C" w:rsidRDefault="00224FF2" w:rsidP="00224FF2">
            <w:pPr>
              <w:spacing w:after="240"/>
              <w:jc w:val="both"/>
              <w:rPr>
                <w:sz w:val="22"/>
                <w:szCs w:val="22"/>
              </w:rPr>
            </w:pPr>
          </w:p>
        </w:tc>
      </w:tr>
      <w:tr w:rsidR="00224FF2" w:rsidRPr="003A2A1C" w14:paraId="2C1F52F0" w14:textId="77777777" w:rsidTr="003A2A1C">
        <w:trPr>
          <w:trHeight w:hRule="exact" w:val="288"/>
        </w:trPr>
        <w:tc>
          <w:tcPr>
            <w:tcW w:w="249" w:type="pct"/>
          </w:tcPr>
          <w:p w14:paraId="22059409" w14:textId="77777777" w:rsidR="00224FF2" w:rsidRPr="003A2A1C" w:rsidRDefault="00224FF2" w:rsidP="00224FF2">
            <w:pPr>
              <w:spacing w:after="240"/>
              <w:jc w:val="both"/>
              <w:rPr>
                <w:sz w:val="22"/>
                <w:szCs w:val="22"/>
              </w:rPr>
            </w:pPr>
          </w:p>
        </w:tc>
        <w:tc>
          <w:tcPr>
            <w:tcW w:w="2711" w:type="pct"/>
          </w:tcPr>
          <w:p w14:paraId="4B0CEF17" w14:textId="77777777" w:rsidR="00224FF2" w:rsidRPr="003A2A1C" w:rsidRDefault="00224FF2" w:rsidP="00224FF2">
            <w:pPr>
              <w:spacing w:after="240"/>
              <w:jc w:val="both"/>
              <w:rPr>
                <w:sz w:val="22"/>
                <w:szCs w:val="22"/>
              </w:rPr>
            </w:pPr>
            <w:r w:rsidRPr="003A2A1C">
              <w:rPr>
                <w:sz w:val="22"/>
                <w:szCs w:val="22"/>
              </w:rPr>
              <w:t>a. To reflect auditing adjustments.</w:t>
            </w:r>
          </w:p>
        </w:tc>
        <w:tc>
          <w:tcPr>
            <w:tcW w:w="169" w:type="pct"/>
            <w:gridSpan w:val="2"/>
          </w:tcPr>
          <w:p w14:paraId="4A3D2CAE" w14:textId="77777777" w:rsidR="00224FF2" w:rsidRPr="003A2A1C" w:rsidRDefault="00224FF2" w:rsidP="00224FF2">
            <w:pPr>
              <w:spacing w:after="240"/>
              <w:jc w:val="both"/>
              <w:rPr>
                <w:sz w:val="22"/>
                <w:szCs w:val="22"/>
              </w:rPr>
            </w:pPr>
          </w:p>
        </w:tc>
        <w:tc>
          <w:tcPr>
            <w:tcW w:w="829" w:type="pct"/>
            <w:gridSpan w:val="2"/>
          </w:tcPr>
          <w:p w14:paraId="27E7FB8F" w14:textId="77777777" w:rsidR="00224FF2" w:rsidRPr="003A2A1C" w:rsidRDefault="00224FF2" w:rsidP="00224FF2">
            <w:pPr>
              <w:spacing w:after="240"/>
              <w:jc w:val="right"/>
              <w:rPr>
                <w:sz w:val="22"/>
                <w:szCs w:val="22"/>
              </w:rPr>
            </w:pPr>
            <w:r w:rsidRPr="003A2A1C">
              <w:rPr>
                <w:sz w:val="22"/>
                <w:szCs w:val="22"/>
              </w:rPr>
              <w:t>$6,250</w:t>
            </w:r>
          </w:p>
        </w:tc>
        <w:tc>
          <w:tcPr>
            <w:tcW w:w="912" w:type="pct"/>
          </w:tcPr>
          <w:p w14:paraId="09AA6974" w14:textId="77777777" w:rsidR="00224FF2" w:rsidRPr="003A2A1C" w:rsidRDefault="00224FF2" w:rsidP="00224FF2">
            <w:pPr>
              <w:spacing w:after="240"/>
              <w:jc w:val="right"/>
              <w:rPr>
                <w:sz w:val="22"/>
                <w:szCs w:val="22"/>
              </w:rPr>
            </w:pPr>
            <w:r w:rsidRPr="003A2A1C">
              <w:rPr>
                <w:sz w:val="22"/>
                <w:szCs w:val="22"/>
              </w:rPr>
              <w:t>$6,250</w:t>
            </w:r>
          </w:p>
        </w:tc>
        <w:tc>
          <w:tcPr>
            <w:tcW w:w="130" w:type="pct"/>
          </w:tcPr>
          <w:p w14:paraId="699C4C13" w14:textId="77777777" w:rsidR="00224FF2" w:rsidRPr="003A2A1C" w:rsidRDefault="00224FF2" w:rsidP="00224FF2">
            <w:pPr>
              <w:spacing w:after="240"/>
              <w:jc w:val="both"/>
              <w:rPr>
                <w:sz w:val="22"/>
                <w:szCs w:val="22"/>
              </w:rPr>
            </w:pPr>
          </w:p>
        </w:tc>
      </w:tr>
      <w:tr w:rsidR="00224FF2" w:rsidRPr="003A2A1C" w14:paraId="5A3C18AF" w14:textId="77777777" w:rsidTr="003A2A1C">
        <w:trPr>
          <w:trHeight w:hRule="exact" w:val="288"/>
        </w:trPr>
        <w:tc>
          <w:tcPr>
            <w:tcW w:w="249" w:type="pct"/>
          </w:tcPr>
          <w:p w14:paraId="48BD9974" w14:textId="77777777" w:rsidR="00224FF2" w:rsidRPr="003A2A1C" w:rsidRDefault="00224FF2" w:rsidP="00224FF2">
            <w:pPr>
              <w:spacing w:after="240"/>
              <w:jc w:val="both"/>
              <w:rPr>
                <w:sz w:val="22"/>
                <w:szCs w:val="22"/>
              </w:rPr>
            </w:pPr>
          </w:p>
        </w:tc>
        <w:tc>
          <w:tcPr>
            <w:tcW w:w="2711" w:type="pct"/>
          </w:tcPr>
          <w:p w14:paraId="2CB4CFEF" w14:textId="77777777" w:rsidR="00224FF2" w:rsidRPr="003A2A1C" w:rsidRDefault="00224FF2" w:rsidP="00224FF2">
            <w:pPr>
              <w:spacing w:after="240"/>
              <w:jc w:val="both"/>
              <w:rPr>
                <w:sz w:val="22"/>
                <w:szCs w:val="22"/>
              </w:rPr>
            </w:pPr>
            <w:r w:rsidRPr="003A2A1C">
              <w:rPr>
                <w:sz w:val="22"/>
                <w:szCs w:val="22"/>
              </w:rPr>
              <w:t>b. To reflect salary transfers.</w:t>
            </w:r>
          </w:p>
        </w:tc>
        <w:tc>
          <w:tcPr>
            <w:tcW w:w="169" w:type="pct"/>
            <w:gridSpan w:val="2"/>
          </w:tcPr>
          <w:p w14:paraId="2F99C0AB" w14:textId="77777777" w:rsidR="00224FF2" w:rsidRPr="003A2A1C" w:rsidRDefault="00224FF2" w:rsidP="00224FF2">
            <w:pPr>
              <w:spacing w:after="240"/>
              <w:jc w:val="both"/>
              <w:rPr>
                <w:sz w:val="22"/>
                <w:szCs w:val="22"/>
              </w:rPr>
            </w:pPr>
          </w:p>
        </w:tc>
        <w:tc>
          <w:tcPr>
            <w:tcW w:w="829" w:type="pct"/>
            <w:gridSpan w:val="2"/>
          </w:tcPr>
          <w:p w14:paraId="3881267B" w14:textId="77777777" w:rsidR="00224FF2" w:rsidRPr="003A2A1C" w:rsidRDefault="00224FF2" w:rsidP="00224FF2">
            <w:pPr>
              <w:spacing w:after="240"/>
              <w:jc w:val="right"/>
              <w:rPr>
                <w:sz w:val="22"/>
                <w:szCs w:val="22"/>
                <w:u w:val="single"/>
              </w:rPr>
            </w:pPr>
            <w:r w:rsidRPr="003A2A1C">
              <w:rPr>
                <w:sz w:val="22"/>
                <w:szCs w:val="22"/>
                <w:u w:val="single"/>
              </w:rPr>
              <w:t>(48,000)</w:t>
            </w:r>
          </w:p>
        </w:tc>
        <w:tc>
          <w:tcPr>
            <w:tcW w:w="912" w:type="pct"/>
          </w:tcPr>
          <w:p w14:paraId="4DAE05AA" w14:textId="77777777" w:rsidR="00224FF2" w:rsidRPr="003A2A1C" w:rsidRDefault="00224FF2" w:rsidP="00224FF2">
            <w:pPr>
              <w:spacing w:after="240"/>
              <w:jc w:val="right"/>
              <w:rPr>
                <w:sz w:val="22"/>
                <w:szCs w:val="22"/>
                <w:u w:val="single"/>
              </w:rPr>
            </w:pPr>
            <w:r w:rsidRPr="003A2A1C">
              <w:rPr>
                <w:sz w:val="22"/>
                <w:szCs w:val="22"/>
                <w:u w:val="single"/>
              </w:rPr>
              <w:t>(48,000)</w:t>
            </w:r>
          </w:p>
        </w:tc>
        <w:tc>
          <w:tcPr>
            <w:tcW w:w="130" w:type="pct"/>
          </w:tcPr>
          <w:p w14:paraId="281C2174" w14:textId="77777777" w:rsidR="00224FF2" w:rsidRPr="003A2A1C" w:rsidRDefault="00224FF2" w:rsidP="00224FF2">
            <w:pPr>
              <w:spacing w:after="240"/>
              <w:jc w:val="both"/>
              <w:rPr>
                <w:sz w:val="22"/>
                <w:szCs w:val="22"/>
              </w:rPr>
            </w:pPr>
          </w:p>
        </w:tc>
      </w:tr>
      <w:tr w:rsidR="00224FF2" w:rsidRPr="003A2A1C" w14:paraId="27924425" w14:textId="77777777" w:rsidTr="003A2A1C">
        <w:trPr>
          <w:trHeight w:hRule="exact" w:val="288"/>
        </w:trPr>
        <w:tc>
          <w:tcPr>
            <w:tcW w:w="249" w:type="pct"/>
          </w:tcPr>
          <w:p w14:paraId="4E8BDE98" w14:textId="77777777" w:rsidR="00224FF2" w:rsidRPr="003A2A1C" w:rsidRDefault="00224FF2" w:rsidP="00224FF2">
            <w:pPr>
              <w:spacing w:after="240"/>
              <w:jc w:val="both"/>
              <w:rPr>
                <w:sz w:val="22"/>
                <w:szCs w:val="22"/>
              </w:rPr>
            </w:pPr>
          </w:p>
        </w:tc>
        <w:tc>
          <w:tcPr>
            <w:tcW w:w="2711" w:type="pct"/>
          </w:tcPr>
          <w:p w14:paraId="66E75212" w14:textId="77777777" w:rsidR="00224FF2" w:rsidRPr="003A2A1C" w:rsidRDefault="00224FF2" w:rsidP="00224FF2">
            <w:pPr>
              <w:spacing w:after="240"/>
              <w:jc w:val="both"/>
              <w:rPr>
                <w:sz w:val="22"/>
                <w:szCs w:val="22"/>
              </w:rPr>
            </w:pPr>
            <w:r w:rsidRPr="003A2A1C">
              <w:rPr>
                <w:sz w:val="22"/>
                <w:szCs w:val="22"/>
              </w:rPr>
              <w:t xml:space="preserve"> Subtotal</w:t>
            </w:r>
          </w:p>
        </w:tc>
        <w:tc>
          <w:tcPr>
            <w:tcW w:w="169" w:type="pct"/>
            <w:gridSpan w:val="2"/>
          </w:tcPr>
          <w:p w14:paraId="5344691C" w14:textId="77777777" w:rsidR="00224FF2" w:rsidRPr="003A2A1C" w:rsidRDefault="00224FF2" w:rsidP="00224FF2">
            <w:pPr>
              <w:spacing w:after="240"/>
              <w:jc w:val="both"/>
              <w:rPr>
                <w:sz w:val="22"/>
                <w:szCs w:val="22"/>
              </w:rPr>
            </w:pPr>
          </w:p>
        </w:tc>
        <w:tc>
          <w:tcPr>
            <w:tcW w:w="829" w:type="pct"/>
            <w:gridSpan w:val="2"/>
          </w:tcPr>
          <w:p w14:paraId="02813895" w14:textId="77777777" w:rsidR="00224FF2" w:rsidRPr="003A2A1C" w:rsidRDefault="00224FF2" w:rsidP="00224FF2">
            <w:pPr>
              <w:spacing w:after="240"/>
              <w:jc w:val="right"/>
              <w:rPr>
                <w:sz w:val="22"/>
                <w:szCs w:val="22"/>
                <w:u w:val="double"/>
              </w:rPr>
            </w:pPr>
            <w:r w:rsidRPr="003A2A1C">
              <w:rPr>
                <w:sz w:val="22"/>
                <w:szCs w:val="22"/>
                <w:u w:val="double"/>
              </w:rPr>
              <w:t>($41,750)</w:t>
            </w:r>
          </w:p>
        </w:tc>
        <w:tc>
          <w:tcPr>
            <w:tcW w:w="912" w:type="pct"/>
          </w:tcPr>
          <w:p w14:paraId="326464B3" w14:textId="77777777" w:rsidR="00224FF2" w:rsidRPr="003A2A1C" w:rsidRDefault="00224FF2" w:rsidP="00224FF2">
            <w:pPr>
              <w:spacing w:after="240"/>
              <w:jc w:val="right"/>
              <w:rPr>
                <w:sz w:val="22"/>
                <w:szCs w:val="22"/>
                <w:u w:val="double"/>
              </w:rPr>
            </w:pPr>
            <w:r w:rsidRPr="003A2A1C">
              <w:rPr>
                <w:sz w:val="22"/>
                <w:szCs w:val="22"/>
                <w:u w:val="double"/>
              </w:rPr>
              <w:t>($41,750)</w:t>
            </w:r>
          </w:p>
        </w:tc>
        <w:tc>
          <w:tcPr>
            <w:tcW w:w="130" w:type="pct"/>
          </w:tcPr>
          <w:p w14:paraId="50780630" w14:textId="77777777" w:rsidR="00224FF2" w:rsidRPr="003A2A1C" w:rsidRDefault="00224FF2" w:rsidP="00224FF2">
            <w:pPr>
              <w:spacing w:after="240"/>
              <w:jc w:val="both"/>
              <w:rPr>
                <w:sz w:val="22"/>
                <w:szCs w:val="22"/>
              </w:rPr>
            </w:pPr>
          </w:p>
        </w:tc>
      </w:tr>
      <w:tr w:rsidR="00224FF2" w:rsidRPr="003A2A1C" w14:paraId="42490B48" w14:textId="77777777" w:rsidTr="003A2A1C">
        <w:trPr>
          <w:trHeight w:hRule="exact" w:val="288"/>
        </w:trPr>
        <w:tc>
          <w:tcPr>
            <w:tcW w:w="249" w:type="pct"/>
          </w:tcPr>
          <w:p w14:paraId="314CF7B7" w14:textId="77777777" w:rsidR="00224FF2" w:rsidRPr="003A2A1C" w:rsidRDefault="00224FF2" w:rsidP="00224FF2">
            <w:pPr>
              <w:spacing w:after="240"/>
              <w:jc w:val="both"/>
              <w:rPr>
                <w:sz w:val="22"/>
                <w:szCs w:val="22"/>
              </w:rPr>
            </w:pPr>
          </w:p>
        </w:tc>
        <w:tc>
          <w:tcPr>
            <w:tcW w:w="2711" w:type="pct"/>
          </w:tcPr>
          <w:p w14:paraId="70C7EAC3" w14:textId="77777777" w:rsidR="00224FF2" w:rsidRPr="003A2A1C" w:rsidRDefault="00224FF2" w:rsidP="00224FF2">
            <w:pPr>
              <w:spacing w:after="240"/>
              <w:jc w:val="both"/>
              <w:rPr>
                <w:sz w:val="22"/>
                <w:szCs w:val="22"/>
              </w:rPr>
            </w:pPr>
          </w:p>
        </w:tc>
        <w:tc>
          <w:tcPr>
            <w:tcW w:w="169" w:type="pct"/>
            <w:gridSpan w:val="2"/>
          </w:tcPr>
          <w:p w14:paraId="40863F63" w14:textId="77777777" w:rsidR="00224FF2" w:rsidRPr="003A2A1C" w:rsidRDefault="00224FF2" w:rsidP="00224FF2">
            <w:pPr>
              <w:spacing w:after="240"/>
              <w:jc w:val="both"/>
              <w:rPr>
                <w:sz w:val="22"/>
                <w:szCs w:val="22"/>
              </w:rPr>
            </w:pPr>
          </w:p>
        </w:tc>
        <w:tc>
          <w:tcPr>
            <w:tcW w:w="829" w:type="pct"/>
            <w:gridSpan w:val="2"/>
          </w:tcPr>
          <w:p w14:paraId="793A9F3D" w14:textId="77777777" w:rsidR="00224FF2" w:rsidRPr="003A2A1C" w:rsidRDefault="00224FF2" w:rsidP="00224FF2">
            <w:pPr>
              <w:spacing w:after="240"/>
              <w:jc w:val="right"/>
              <w:rPr>
                <w:sz w:val="22"/>
                <w:szCs w:val="22"/>
                <w:u w:val="double"/>
              </w:rPr>
            </w:pPr>
          </w:p>
        </w:tc>
        <w:tc>
          <w:tcPr>
            <w:tcW w:w="912" w:type="pct"/>
          </w:tcPr>
          <w:p w14:paraId="58FBE50A" w14:textId="77777777" w:rsidR="00224FF2" w:rsidRPr="003A2A1C" w:rsidRDefault="00224FF2" w:rsidP="00224FF2">
            <w:pPr>
              <w:spacing w:after="240"/>
              <w:jc w:val="right"/>
              <w:rPr>
                <w:sz w:val="22"/>
                <w:szCs w:val="22"/>
                <w:u w:val="double"/>
              </w:rPr>
            </w:pPr>
          </w:p>
        </w:tc>
        <w:tc>
          <w:tcPr>
            <w:tcW w:w="130" w:type="pct"/>
          </w:tcPr>
          <w:p w14:paraId="528E9077" w14:textId="77777777" w:rsidR="00224FF2" w:rsidRPr="003A2A1C" w:rsidRDefault="00224FF2" w:rsidP="00224FF2">
            <w:pPr>
              <w:spacing w:after="240"/>
              <w:jc w:val="both"/>
              <w:rPr>
                <w:sz w:val="22"/>
                <w:szCs w:val="22"/>
              </w:rPr>
            </w:pPr>
          </w:p>
        </w:tc>
      </w:tr>
      <w:tr w:rsidR="00224FF2" w:rsidRPr="003A2A1C" w14:paraId="06A1A239" w14:textId="77777777" w:rsidTr="003A2A1C">
        <w:trPr>
          <w:trHeight w:hRule="exact" w:val="288"/>
        </w:trPr>
        <w:tc>
          <w:tcPr>
            <w:tcW w:w="249" w:type="pct"/>
          </w:tcPr>
          <w:p w14:paraId="0742B222" w14:textId="77777777" w:rsidR="00224FF2" w:rsidRPr="003A2A1C" w:rsidRDefault="00224FF2" w:rsidP="00224FF2">
            <w:pPr>
              <w:spacing w:after="240"/>
              <w:jc w:val="both"/>
              <w:rPr>
                <w:sz w:val="22"/>
                <w:szCs w:val="22"/>
              </w:rPr>
            </w:pPr>
            <w:r w:rsidRPr="003A2A1C">
              <w:rPr>
                <w:sz w:val="22"/>
                <w:szCs w:val="22"/>
              </w:rPr>
              <w:t>8.</w:t>
            </w:r>
          </w:p>
        </w:tc>
        <w:tc>
          <w:tcPr>
            <w:tcW w:w="2711" w:type="pct"/>
          </w:tcPr>
          <w:p w14:paraId="24B88830" w14:textId="77777777" w:rsidR="00224FF2" w:rsidRPr="003A2A1C" w:rsidRDefault="00224FF2" w:rsidP="00224FF2">
            <w:pPr>
              <w:spacing w:after="240"/>
              <w:jc w:val="both"/>
              <w:rPr>
                <w:sz w:val="22"/>
                <w:szCs w:val="22"/>
              </w:rPr>
            </w:pPr>
            <w:r w:rsidRPr="003A2A1C">
              <w:rPr>
                <w:sz w:val="22"/>
                <w:szCs w:val="22"/>
              </w:rPr>
              <w:t>Contractual Services – Legal (633/733)</w:t>
            </w:r>
          </w:p>
        </w:tc>
        <w:tc>
          <w:tcPr>
            <w:tcW w:w="169" w:type="pct"/>
            <w:gridSpan w:val="2"/>
          </w:tcPr>
          <w:p w14:paraId="564D5800" w14:textId="77777777" w:rsidR="00224FF2" w:rsidRPr="003A2A1C" w:rsidRDefault="00224FF2" w:rsidP="00224FF2">
            <w:pPr>
              <w:spacing w:after="240"/>
              <w:jc w:val="both"/>
              <w:rPr>
                <w:sz w:val="22"/>
                <w:szCs w:val="22"/>
              </w:rPr>
            </w:pPr>
          </w:p>
        </w:tc>
        <w:tc>
          <w:tcPr>
            <w:tcW w:w="829" w:type="pct"/>
            <w:gridSpan w:val="2"/>
          </w:tcPr>
          <w:p w14:paraId="7035EB89" w14:textId="77777777" w:rsidR="00224FF2" w:rsidRPr="003A2A1C" w:rsidRDefault="00224FF2" w:rsidP="00224FF2">
            <w:pPr>
              <w:spacing w:after="240"/>
              <w:jc w:val="right"/>
              <w:rPr>
                <w:sz w:val="22"/>
                <w:szCs w:val="22"/>
                <w:u w:val="double"/>
              </w:rPr>
            </w:pPr>
          </w:p>
        </w:tc>
        <w:tc>
          <w:tcPr>
            <w:tcW w:w="912" w:type="pct"/>
          </w:tcPr>
          <w:p w14:paraId="5F99EA6B" w14:textId="77777777" w:rsidR="00224FF2" w:rsidRPr="003A2A1C" w:rsidRDefault="00224FF2" w:rsidP="00224FF2">
            <w:pPr>
              <w:spacing w:after="240"/>
              <w:jc w:val="right"/>
              <w:rPr>
                <w:sz w:val="22"/>
                <w:szCs w:val="22"/>
                <w:u w:val="double"/>
              </w:rPr>
            </w:pPr>
          </w:p>
        </w:tc>
        <w:tc>
          <w:tcPr>
            <w:tcW w:w="130" w:type="pct"/>
          </w:tcPr>
          <w:p w14:paraId="2EC2EA42" w14:textId="77777777" w:rsidR="00224FF2" w:rsidRPr="003A2A1C" w:rsidRDefault="00224FF2" w:rsidP="00224FF2">
            <w:pPr>
              <w:spacing w:after="240"/>
              <w:jc w:val="both"/>
              <w:rPr>
                <w:sz w:val="22"/>
                <w:szCs w:val="22"/>
              </w:rPr>
            </w:pPr>
          </w:p>
        </w:tc>
      </w:tr>
      <w:tr w:rsidR="00224FF2" w:rsidRPr="003A2A1C" w14:paraId="01AA3455" w14:textId="77777777" w:rsidTr="003A2A1C">
        <w:trPr>
          <w:trHeight w:hRule="exact" w:val="288"/>
        </w:trPr>
        <w:tc>
          <w:tcPr>
            <w:tcW w:w="249" w:type="pct"/>
          </w:tcPr>
          <w:p w14:paraId="01D919AF" w14:textId="77777777" w:rsidR="00224FF2" w:rsidRPr="003A2A1C" w:rsidRDefault="00224FF2" w:rsidP="00224FF2">
            <w:pPr>
              <w:spacing w:after="240"/>
              <w:jc w:val="both"/>
              <w:rPr>
                <w:sz w:val="22"/>
                <w:szCs w:val="22"/>
              </w:rPr>
            </w:pPr>
          </w:p>
        </w:tc>
        <w:tc>
          <w:tcPr>
            <w:tcW w:w="2711" w:type="pct"/>
          </w:tcPr>
          <w:p w14:paraId="00BB122A" w14:textId="77777777" w:rsidR="00224FF2" w:rsidRPr="003A2A1C" w:rsidRDefault="00224FF2" w:rsidP="00224FF2">
            <w:pPr>
              <w:spacing w:after="240"/>
              <w:jc w:val="both"/>
              <w:rPr>
                <w:sz w:val="22"/>
                <w:szCs w:val="22"/>
              </w:rPr>
            </w:pPr>
            <w:r w:rsidRPr="003A2A1C">
              <w:rPr>
                <w:sz w:val="22"/>
                <w:szCs w:val="22"/>
              </w:rPr>
              <w:t>a. To reflect auditing adjustments.</w:t>
            </w:r>
          </w:p>
          <w:p w14:paraId="23B48298" w14:textId="77777777" w:rsidR="00224FF2" w:rsidRPr="003A2A1C" w:rsidRDefault="00224FF2" w:rsidP="00224FF2">
            <w:pPr>
              <w:spacing w:after="240"/>
              <w:jc w:val="both"/>
              <w:rPr>
                <w:sz w:val="22"/>
                <w:szCs w:val="22"/>
              </w:rPr>
            </w:pPr>
            <w:r w:rsidRPr="003A2A1C">
              <w:rPr>
                <w:sz w:val="22"/>
                <w:szCs w:val="22"/>
              </w:rPr>
              <w:t xml:space="preserve"> legal expenses from a past proceeding</w:t>
            </w:r>
          </w:p>
        </w:tc>
        <w:tc>
          <w:tcPr>
            <w:tcW w:w="169" w:type="pct"/>
            <w:gridSpan w:val="2"/>
          </w:tcPr>
          <w:p w14:paraId="5F02C792" w14:textId="77777777" w:rsidR="00224FF2" w:rsidRPr="003A2A1C" w:rsidRDefault="00224FF2" w:rsidP="00224FF2">
            <w:pPr>
              <w:spacing w:after="240"/>
              <w:jc w:val="both"/>
              <w:rPr>
                <w:sz w:val="22"/>
                <w:szCs w:val="22"/>
              </w:rPr>
            </w:pPr>
          </w:p>
        </w:tc>
        <w:tc>
          <w:tcPr>
            <w:tcW w:w="829" w:type="pct"/>
            <w:gridSpan w:val="2"/>
          </w:tcPr>
          <w:p w14:paraId="08AF083E" w14:textId="77777777" w:rsidR="00224FF2" w:rsidRPr="003A2A1C" w:rsidRDefault="00224FF2" w:rsidP="00224FF2">
            <w:pPr>
              <w:spacing w:after="240"/>
              <w:jc w:val="right"/>
              <w:rPr>
                <w:sz w:val="22"/>
                <w:szCs w:val="22"/>
              </w:rPr>
            </w:pPr>
            <w:r w:rsidRPr="003A2A1C">
              <w:rPr>
                <w:sz w:val="22"/>
                <w:szCs w:val="22"/>
              </w:rPr>
              <w:t>($40,722)</w:t>
            </w:r>
          </w:p>
        </w:tc>
        <w:tc>
          <w:tcPr>
            <w:tcW w:w="912" w:type="pct"/>
          </w:tcPr>
          <w:p w14:paraId="3DDBE660" w14:textId="77777777" w:rsidR="00224FF2" w:rsidRPr="003A2A1C" w:rsidRDefault="00224FF2" w:rsidP="00224FF2">
            <w:pPr>
              <w:spacing w:after="240"/>
              <w:jc w:val="right"/>
              <w:rPr>
                <w:sz w:val="22"/>
                <w:szCs w:val="22"/>
              </w:rPr>
            </w:pPr>
            <w:r w:rsidRPr="003A2A1C">
              <w:rPr>
                <w:sz w:val="22"/>
                <w:szCs w:val="22"/>
              </w:rPr>
              <w:t>($40,722)</w:t>
            </w:r>
          </w:p>
        </w:tc>
        <w:tc>
          <w:tcPr>
            <w:tcW w:w="130" w:type="pct"/>
          </w:tcPr>
          <w:p w14:paraId="3821BF07" w14:textId="77777777" w:rsidR="00224FF2" w:rsidRPr="003A2A1C" w:rsidRDefault="00224FF2" w:rsidP="00224FF2">
            <w:pPr>
              <w:spacing w:after="240"/>
              <w:jc w:val="both"/>
              <w:rPr>
                <w:sz w:val="22"/>
                <w:szCs w:val="22"/>
              </w:rPr>
            </w:pPr>
          </w:p>
        </w:tc>
      </w:tr>
      <w:tr w:rsidR="00224FF2" w:rsidRPr="003A2A1C" w14:paraId="08668016" w14:textId="77777777" w:rsidTr="003A2A1C">
        <w:trPr>
          <w:trHeight w:hRule="exact" w:val="288"/>
        </w:trPr>
        <w:tc>
          <w:tcPr>
            <w:tcW w:w="249" w:type="pct"/>
          </w:tcPr>
          <w:p w14:paraId="79A64A9C" w14:textId="77777777" w:rsidR="00224FF2" w:rsidRPr="003A2A1C" w:rsidRDefault="00224FF2" w:rsidP="00224FF2">
            <w:pPr>
              <w:spacing w:after="240"/>
              <w:jc w:val="both"/>
              <w:rPr>
                <w:sz w:val="22"/>
                <w:szCs w:val="22"/>
              </w:rPr>
            </w:pPr>
          </w:p>
        </w:tc>
        <w:tc>
          <w:tcPr>
            <w:tcW w:w="2711" w:type="pct"/>
          </w:tcPr>
          <w:p w14:paraId="7B89498A" w14:textId="77777777" w:rsidR="00224FF2" w:rsidRPr="003A2A1C" w:rsidRDefault="00224FF2" w:rsidP="00224FF2">
            <w:pPr>
              <w:spacing w:after="240"/>
              <w:jc w:val="both"/>
              <w:rPr>
                <w:sz w:val="22"/>
                <w:szCs w:val="22"/>
              </w:rPr>
            </w:pPr>
            <w:r w:rsidRPr="003A2A1C">
              <w:rPr>
                <w:sz w:val="22"/>
                <w:szCs w:val="22"/>
              </w:rPr>
              <w:t>b. To remove out of test year expenses.</w:t>
            </w:r>
          </w:p>
        </w:tc>
        <w:tc>
          <w:tcPr>
            <w:tcW w:w="169" w:type="pct"/>
            <w:gridSpan w:val="2"/>
          </w:tcPr>
          <w:p w14:paraId="5CD73D13" w14:textId="77777777" w:rsidR="00224FF2" w:rsidRPr="003A2A1C" w:rsidRDefault="00224FF2" w:rsidP="00224FF2">
            <w:pPr>
              <w:spacing w:after="240"/>
              <w:jc w:val="both"/>
              <w:rPr>
                <w:sz w:val="22"/>
                <w:szCs w:val="22"/>
              </w:rPr>
            </w:pPr>
          </w:p>
        </w:tc>
        <w:tc>
          <w:tcPr>
            <w:tcW w:w="829" w:type="pct"/>
            <w:gridSpan w:val="2"/>
          </w:tcPr>
          <w:p w14:paraId="484EEB2D" w14:textId="77777777" w:rsidR="00224FF2" w:rsidRPr="003A2A1C" w:rsidRDefault="00224FF2" w:rsidP="00224FF2">
            <w:pPr>
              <w:spacing w:after="240"/>
              <w:jc w:val="right"/>
              <w:rPr>
                <w:sz w:val="22"/>
                <w:szCs w:val="22"/>
                <w:u w:val="single"/>
              </w:rPr>
            </w:pPr>
            <w:r w:rsidRPr="003A2A1C">
              <w:rPr>
                <w:sz w:val="22"/>
                <w:szCs w:val="22"/>
                <w:u w:val="single"/>
              </w:rPr>
              <w:t>(1,420)</w:t>
            </w:r>
          </w:p>
        </w:tc>
        <w:tc>
          <w:tcPr>
            <w:tcW w:w="912" w:type="pct"/>
          </w:tcPr>
          <w:p w14:paraId="16A0FF0F" w14:textId="77777777" w:rsidR="00224FF2" w:rsidRPr="003A2A1C" w:rsidRDefault="00224FF2" w:rsidP="00224FF2">
            <w:pPr>
              <w:spacing w:after="240"/>
              <w:jc w:val="right"/>
              <w:rPr>
                <w:sz w:val="22"/>
                <w:szCs w:val="22"/>
                <w:u w:val="single"/>
              </w:rPr>
            </w:pPr>
            <w:r w:rsidRPr="003A2A1C">
              <w:rPr>
                <w:sz w:val="22"/>
                <w:szCs w:val="22"/>
                <w:u w:val="single"/>
              </w:rPr>
              <w:t>(1,420)</w:t>
            </w:r>
          </w:p>
        </w:tc>
        <w:tc>
          <w:tcPr>
            <w:tcW w:w="130" w:type="pct"/>
          </w:tcPr>
          <w:p w14:paraId="39659088" w14:textId="77777777" w:rsidR="00224FF2" w:rsidRPr="003A2A1C" w:rsidRDefault="00224FF2" w:rsidP="00224FF2">
            <w:pPr>
              <w:spacing w:after="240"/>
              <w:jc w:val="both"/>
              <w:rPr>
                <w:sz w:val="22"/>
                <w:szCs w:val="22"/>
              </w:rPr>
            </w:pPr>
          </w:p>
        </w:tc>
      </w:tr>
      <w:tr w:rsidR="00224FF2" w:rsidRPr="003A2A1C" w14:paraId="35B26508" w14:textId="77777777" w:rsidTr="003A2A1C">
        <w:trPr>
          <w:trHeight w:hRule="exact" w:val="288"/>
        </w:trPr>
        <w:tc>
          <w:tcPr>
            <w:tcW w:w="249" w:type="pct"/>
          </w:tcPr>
          <w:p w14:paraId="5F4C74D4" w14:textId="77777777" w:rsidR="00224FF2" w:rsidRPr="003A2A1C" w:rsidRDefault="00224FF2" w:rsidP="00224FF2">
            <w:pPr>
              <w:spacing w:after="240"/>
              <w:jc w:val="both"/>
              <w:rPr>
                <w:sz w:val="22"/>
                <w:szCs w:val="22"/>
              </w:rPr>
            </w:pPr>
          </w:p>
        </w:tc>
        <w:tc>
          <w:tcPr>
            <w:tcW w:w="2711" w:type="pct"/>
          </w:tcPr>
          <w:p w14:paraId="132AC2A2" w14:textId="77777777" w:rsidR="00224FF2" w:rsidRPr="003A2A1C" w:rsidRDefault="00224FF2" w:rsidP="00224FF2">
            <w:pPr>
              <w:spacing w:after="240"/>
              <w:jc w:val="both"/>
              <w:rPr>
                <w:sz w:val="22"/>
                <w:szCs w:val="22"/>
              </w:rPr>
            </w:pPr>
            <w:r w:rsidRPr="003A2A1C">
              <w:rPr>
                <w:sz w:val="22"/>
                <w:szCs w:val="22"/>
              </w:rPr>
              <w:t xml:space="preserve">    Subtotal</w:t>
            </w:r>
          </w:p>
        </w:tc>
        <w:tc>
          <w:tcPr>
            <w:tcW w:w="169" w:type="pct"/>
            <w:gridSpan w:val="2"/>
          </w:tcPr>
          <w:p w14:paraId="6A797D9E" w14:textId="77777777" w:rsidR="00224FF2" w:rsidRPr="003A2A1C" w:rsidRDefault="00224FF2" w:rsidP="00224FF2">
            <w:pPr>
              <w:spacing w:after="240"/>
              <w:jc w:val="both"/>
              <w:rPr>
                <w:sz w:val="22"/>
                <w:szCs w:val="22"/>
              </w:rPr>
            </w:pPr>
          </w:p>
        </w:tc>
        <w:tc>
          <w:tcPr>
            <w:tcW w:w="829" w:type="pct"/>
            <w:gridSpan w:val="2"/>
          </w:tcPr>
          <w:p w14:paraId="51D4FC26" w14:textId="77777777" w:rsidR="00224FF2" w:rsidRPr="003A2A1C" w:rsidRDefault="00224FF2" w:rsidP="00224FF2">
            <w:pPr>
              <w:spacing w:after="240"/>
              <w:jc w:val="right"/>
              <w:rPr>
                <w:sz w:val="22"/>
                <w:szCs w:val="22"/>
                <w:u w:val="double"/>
              </w:rPr>
            </w:pPr>
            <w:r w:rsidRPr="003A2A1C">
              <w:rPr>
                <w:sz w:val="22"/>
                <w:szCs w:val="22"/>
                <w:u w:val="double"/>
              </w:rPr>
              <w:t>($42,142)</w:t>
            </w:r>
          </w:p>
        </w:tc>
        <w:tc>
          <w:tcPr>
            <w:tcW w:w="912" w:type="pct"/>
          </w:tcPr>
          <w:p w14:paraId="72DA3144" w14:textId="77777777" w:rsidR="00224FF2" w:rsidRPr="003A2A1C" w:rsidRDefault="00224FF2" w:rsidP="00224FF2">
            <w:pPr>
              <w:spacing w:after="240"/>
              <w:jc w:val="right"/>
              <w:rPr>
                <w:sz w:val="22"/>
                <w:szCs w:val="22"/>
                <w:u w:val="single"/>
              </w:rPr>
            </w:pPr>
            <w:r w:rsidRPr="003A2A1C">
              <w:rPr>
                <w:sz w:val="22"/>
                <w:szCs w:val="22"/>
                <w:u w:val="double"/>
              </w:rPr>
              <w:t>($42,142)</w:t>
            </w:r>
          </w:p>
        </w:tc>
        <w:tc>
          <w:tcPr>
            <w:tcW w:w="130" w:type="pct"/>
          </w:tcPr>
          <w:p w14:paraId="37A0FA62" w14:textId="77777777" w:rsidR="00224FF2" w:rsidRPr="003A2A1C" w:rsidRDefault="00224FF2" w:rsidP="00224FF2">
            <w:pPr>
              <w:spacing w:after="240"/>
              <w:jc w:val="both"/>
              <w:rPr>
                <w:sz w:val="22"/>
                <w:szCs w:val="22"/>
              </w:rPr>
            </w:pPr>
          </w:p>
        </w:tc>
      </w:tr>
      <w:tr w:rsidR="00224FF2" w:rsidRPr="003A2A1C" w14:paraId="252002D6" w14:textId="77777777" w:rsidTr="005C7FFA">
        <w:trPr>
          <w:trHeight w:hRule="exact" w:val="90"/>
        </w:trPr>
        <w:tc>
          <w:tcPr>
            <w:tcW w:w="249" w:type="pct"/>
          </w:tcPr>
          <w:p w14:paraId="17DABF2C" w14:textId="77777777" w:rsidR="00224FF2" w:rsidRPr="003A2A1C" w:rsidRDefault="00224FF2" w:rsidP="00224FF2">
            <w:pPr>
              <w:spacing w:after="240"/>
              <w:jc w:val="both"/>
              <w:rPr>
                <w:sz w:val="22"/>
                <w:szCs w:val="22"/>
              </w:rPr>
            </w:pPr>
          </w:p>
        </w:tc>
        <w:tc>
          <w:tcPr>
            <w:tcW w:w="2711" w:type="pct"/>
          </w:tcPr>
          <w:p w14:paraId="3DE4B79A" w14:textId="77777777" w:rsidR="00224FF2" w:rsidRPr="003A2A1C" w:rsidRDefault="00224FF2" w:rsidP="00224FF2">
            <w:pPr>
              <w:spacing w:after="240"/>
              <w:jc w:val="both"/>
              <w:rPr>
                <w:sz w:val="22"/>
                <w:szCs w:val="22"/>
              </w:rPr>
            </w:pPr>
          </w:p>
        </w:tc>
        <w:tc>
          <w:tcPr>
            <w:tcW w:w="169" w:type="pct"/>
            <w:gridSpan w:val="2"/>
          </w:tcPr>
          <w:p w14:paraId="0A6466C4" w14:textId="77777777" w:rsidR="00224FF2" w:rsidRPr="003A2A1C" w:rsidRDefault="00224FF2" w:rsidP="00224FF2">
            <w:pPr>
              <w:spacing w:after="240"/>
              <w:jc w:val="both"/>
              <w:rPr>
                <w:sz w:val="22"/>
                <w:szCs w:val="22"/>
              </w:rPr>
            </w:pPr>
          </w:p>
        </w:tc>
        <w:tc>
          <w:tcPr>
            <w:tcW w:w="829" w:type="pct"/>
            <w:gridSpan w:val="2"/>
          </w:tcPr>
          <w:p w14:paraId="48C71C2F" w14:textId="77777777" w:rsidR="00224FF2" w:rsidRPr="003A2A1C" w:rsidRDefault="00224FF2" w:rsidP="00224FF2">
            <w:pPr>
              <w:spacing w:after="240"/>
              <w:jc w:val="right"/>
              <w:rPr>
                <w:sz w:val="22"/>
                <w:szCs w:val="22"/>
                <w:u w:val="double"/>
              </w:rPr>
            </w:pPr>
          </w:p>
        </w:tc>
        <w:tc>
          <w:tcPr>
            <w:tcW w:w="912" w:type="pct"/>
          </w:tcPr>
          <w:p w14:paraId="19910CA5" w14:textId="77777777" w:rsidR="00224FF2" w:rsidRPr="003A2A1C" w:rsidRDefault="00224FF2" w:rsidP="00224FF2">
            <w:pPr>
              <w:spacing w:after="240"/>
              <w:jc w:val="right"/>
              <w:rPr>
                <w:sz w:val="22"/>
                <w:szCs w:val="22"/>
                <w:u w:val="double"/>
              </w:rPr>
            </w:pPr>
          </w:p>
        </w:tc>
        <w:tc>
          <w:tcPr>
            <w:tcW w:w="130" w:type="pct"/>
          </w:tcPr>
          <w:p w14:paraId="6C9EDA0D" w14:textId="77777777" w:rsidR="00224FF2" w:rsidRPr="003A2A1C" w:rsidRDefault="00224FF2" w:rsidP="00224FF2">
            <w:pPr>
              <w:spacing w:after="240"/>
              <w:jc w:val="both"/>
              <w:rPr>
                <w:sz w:val="22"/>
                <w:szCs w:val="22"/>
              </w:rPr>
            </w:pPr>
          </w:p>
        </w:tc>
      </w:tr>
      <w:tr w:rsidR="00224FF2" w:rsidRPr="003A2A1C" w14:paraId="539BFFFC" w14:textId="77777777" w:rsidTr="003A2A1C">
        <w:trPr>
          <w:trHeight w:hRule="exact" w:val="288"/>
        </w:trPr>
        <w:tc>
          <w:tcPr>
            <w:tcW w:w="249" w:type="pct"/>
          </w:tcPr>
          <w:p w14:paraId="5819849D" w14:textId="77777777" w:rsidR="00224FF2" w:rsidRPr="003A2A1C" w:rsidRDefault="00224FF2" w:rsidP="00224FF2">
            <w:pPr>
              <w:spacing w:after="240"/>
              <w:jc w:val="both"/>
              <w:rPr>
                <w:sz w:val="22"/>
                <w:szCs w:val="22"/>
              </w:rPr>
            </w:pPr>
            <w:r w:rsidRPr="003A2A1C">
              <w:rPr>
                <w:sz w:val="22"/>
                <w:szCs w:val="22"/>
              </w:rPr>
              <w:t>9.</w:t>
            </w:r>
          </w:p>
        </w:tc>
        <w:tc>
          <w:tcPr>
            <w:tcW w:w="2711" w:type="pct"/>
          </w:tcPr>
          <w:p w14:paraId="66014FB4" w14:textId="77777777" w:rsidR="00224FF2" w:rsidRPr="003A2A1C" w:rsidRDefault="00224FF2" w:rsidP="00224FF2">
            <w:pPr>
              <w:spacing w:after="240"/>
              <w:jc w:val="both"/>
              <w:rPr>
                <w:sz w:val="22"/>
                <w:szCs w:val="22"/>
              </w:rPr>
            </w:pPr>
            <w:r w:rsidRPr="003A2A1C">
              <w:rPr>
                <w:sz w:val="22"/>
                <w:szCs w:val="22"/>
              </w:rPr>
              <w:t>Contractual Services – Testing (635/735)</w:t>
            </w:r>
          </w:p>
        </w:tc>
        <w:tc>
          <w:tcPr>
            <w:tcW w:w="169" w:type="pct"/>
            <w:gridSpan w:val="2"/>
          </w:tcPr>
          <w:p w14:paraId="5B5B8FF8" w14:textId="77777777" w:rsidR="00224FF2" w:rsidRPr="003A2A1C" w:rsidRDefault="00224FF2" w:rsidP="00224FF2">
            <w:pPr>
              <w:spacing w:after="240"/>
              <w:jc w:val="both"/>
              <w:rPr>
                <w:sz w:val="22"/>
                <w:szCs w:val="22"/>
                <w:highlight w:val="cyan"/>
              </w:rPr>
            </w:pPr>
          </w:p>
        </w:tc>
        <w:tc>
          <w:tcPr>
            <w:tcW w:w="829" w:type="pct"/>
            <w:gridSpan w:val="2"/>
          </w:tcPr>
          <w:p w14:paraId="62AF064B" w14:textId="77777777" w:rsidR="00224FF2" w:rsidRPr="003A2A1C" w:rsidRDefault="00224FF2" w:rsidP="00224FF2">
            <w:pPr>
              <w:spacing w:after="240"/>
              <w:jc w:val="both"/>
              <w:rPr>
                <w:sz w:val="22"/>
                <w:szCs w:val="22"/>
                <w:highlight w:val="cyan"/>
              </w:rPr>
            </w:pPr>
          </w:p>
        </w:tc>
        <w:tc>
          <w:tcPr>
            <w:tcW w:w="912" w:type="pct"/>
          </w:tcPr>
          <w:p w14:paraId="6F9145FB" w14:textId="77777777" w:rsidR="00224FF2" w:rsidRPr="003A2A1C" w:rsidRDefault="00224FF2" w:rsidP="00224FF2">
            <w:pPr>
              <w:spacing w:after="240"/>
              <w:jc w:val="both"/>
              <w:rPr>
                <w:sz w:val="22"/>
                <w:szCs w:val="22"/>
              </w:rPr>
            </w:pPr>
          </w:p>
        </w:tc>
        <w:tc>
          <w:tcPr>
            <w:tcW w:w="130" w:type="pct"/>
          </w:tcPr>
          <w:p w14:paraId="3336AD1D" w14:textId="77777777" w:rsidR="00224FF2" w:rsidRPr="003A2A1C" w:rsidRDefault="00224FF2" w:rsidP="00224FF2">
            <w:pPr>
              <w:spacing w:after="240"/>
              <w:jc w:val="both"/>
              <w:rPr>
                <w:sz w:val="22"/>
                <w:szCs w:val="22"/>
              </w:rPr>
            </w:pPr>
          </w:p>
        </w:tc>
      </w:tr>
      <w:tr w:rsidR="00224FF2" w:rsidRPr="003A2A1C" w14:paraId="5BF1100B" w14:textId="77777777" w:rsidTr="003A2A1C">
        <w:trPr>
          <w:trHeight w:hRule="exact" w:val="288"/>
        </w:trPr>
        <w:tc>
          <w:tcPr>
            <w:tcW w:w="249" w:type="pct"/>
          </w:tcPr>
          <w:p w14:paraId="22B84735" w14:textId="77777777" w:rsidR="00224FF2" w:rsidRPr="003A2A1C" w:rsidRDefault="00224FF2" w:rsidP="00224FF2">
            <w:pPr>
              <w:spacing w:after="240"/>
              <w:jc w:val="both"/>
              <w:rPr>
                <w:sz w:val="22"/>
                <w:szCs w:val="22"/>
              </w:rPr>
            </w:pPr>
          </w:p>
        </w:tc>
        <w:tc>
          <w:tcPr>
            <w:tcW w:w="2711" w:type="pct"/>
          </w:tcPr>
          <w:p w14:paraId="12907BDF" w14:textId="77777777" w:rsidR="00224FF2" w:rsidRPr="003A2A1C" w:rsidRDefault="00224FF2" w:rsidP="00224FF2">
            <w:pPr>
              <w:spacing w:after="240"/>
              <w:jc w:val="both"/>
              <w:rPr>
                <w:sz w:val="22"/>
                <w:szCs w:val="22"/>
              </w:rPr>
            </w:pPr>
            <w:r w:rsidRPr="003A2A1C">
              <w:rPr>
                <w:sz w:val="22"/>
                <w:szCs w:val="22"/>
              </w:rPr>
              <w:t>To reflect appropriate common cost allocations.</w:t>
            </w:r>
          </w:p>
        </w:tc>
        <w:tc>
          <w:tcPr>
            <w:tcW w:w="169" w:type="pct"/>
            <w:gridSpan w:val="2"/>
          </w:tcPr>
          <w:p w14:paraId="4BECD5A7" w14:textId="77777777" w:rsidR="00224FF2" w:rsidRPr="003A2A1C" w:rsidRDefault="00224FF2" w:rsidP="00224FF2">
            <w:pPr>
              <w:spacing w:after="240"/>
              <w:jc w:val="both"/>
              <w:rPr>
                <w:sz w:val="22"/>
                <w:szCs w:val="22"/>
              </w:rPr>
            </w:pPr>
          </w:p>
        </w:tc>
        <w:tc>
          <w:tcPr>
            <w:tcW w:w="829" w:type="pct"/>
            <w:gridSpan w:val="2"/>
          </w:tcPr>
          <w:p w14:paraId="57CD57FC" w14:textId="77777777" w:rsidR="00224FF2" w:rsidRPr="003A2A1C" w:rsidRDefault="00224FF2" w:rsidP="00224FF2">
            <w:pPr>
              <w:spacing w:after="240"/>
              <w:jc w:val="right"/>
              <w:rPr>
                <w:sz w:val="22"/>
                <w:szCs w:val="22"/>
                <w:u w:val="double"/>
              </w:rPr>
            </w:pPr>
            <w:r w:rsidRPr="003A2A1C">
              <w:rPr>
                <w:sz w:val="22"/>
                <w:szCs w:val="22"/>
                <w:u w:val="double"/>
              </w:rPr>
              <w:t>($7,092)</w:t>
            </w:r>
          </w:p>
        </w:tc>
        <w:tc>
          <w:tcPr>
            <w:tcW w:w="912" w:type="pct"/>
          </w:tcPr>
          <w:p w14:paraId="7BB54319" w14:textId="77777777" w:rsidR="00224FF2" w:rsidRPr="003A2A1C" w:rsidRDefault="00224FF2" w:rsidP="00224FF2">
            <w:pPr>
              <w:spacing w:after="240"/>
              <w:jc w:val="right"/>
              <w:rPr>
                <w:sz w:val="22"/>
                <w:szCs w:val="22"/>
                <w:u w:val="double"/>
              </w:rPr>
            </w:pPr>
            <w:r w:rsidRPr="003A2A1C">
              <w:rPr>
                <w:sz w:val="22"/>
                <w:szCs w:val="22"/>
                <w:u w:val="double"/>
              </w:rPr>
              <w:t>($26,689)</w:t>
            </w:r>
          </w:p>
        </w:tc>
        <w:tc>
          <w:tcPr>
            <w:tcW w:w="130" w:type="pct"/>
          </w:tcPr>
          <w:p w14:paraId="73DC0D24" w14:textId="77777777" w:rsidR="00224FF2" w:rsidRPr="003A2A1C" w:rsidRDefault="00224FF2" w:rsidP="00224FF2">
            <w:pPr>
              <w:spacing w:after="240"/>
              <w:jc w:val="both"/>
              <w:rPr>
                <w:sz w:val="22"/>
                <w:szCs w:val="22"/>
              </w:rPr>
            </w:pPr>
          </w:p>
        </w:tc>
      </w:tr>
      <w:tr w:rsidR="00224FF2" w:rsidRPr="003A2A1C" w14:paraId="3E8529F3" w14:textId="77777777" w:rsidTr="003A2A1C">
        <w:trPr>
          <w:trHeight w:hRule="exact" w:val="135"/>
        </w:trPr>
        <w:tc>
          <w:tcPr>
            <w:tcW w:w="249" w:type="pct"/>
          </w:tcPr>
          <w:p w14:paraId="4A015A7A" w14:textId="77777777" w:rsidR="00224FF2" w:rsidRPr="003A2A1C" w:rsidRDefault="00224FF2" w:rsidP="00224FF2">
            <w:pPr>
              <w:spacing w:after="240"/>
              <w:jc w:val="both"/>
              <w:rPr>
                <w:sz w:val="22"/>
                <w:szCs w:val="22"/>
              </w:rPr>
            </w:pPr>
          </w:p>
        </w:tc>
        <w:tc>
          <w:tcPr>
            <w:tcW w:w="2711" w:type="pct"/>
          </w:tcPr>
          <w:p w14:paraId="30F8C40D" w14:textId="77777777" w:rsidR="00224FF2" w:rsidRPr="003A2A1C" w:rsidRDefault="00224FF2" w:rsidP="00224FF2">
            <w:pPr>
              <w:spacing w:after="240"/>
              <w:jc w:val="both"/>
              <w:rPr>
                <w:sz w:val="22"/>
                <w:szCs w:val="22"/>
              </w:rPr>
            </w:pPr>
          </w:p>
        </w:tc>
        <w:tc>
          <w:tcPr>
            <w:tcW w:w="169" w:type="pct"/>
            <w:gridSpan w:val="2"/>
          </w:tcPr>
          <w:p w14:paraId="5285F65F" w14:textId="77777777" w:rsidR="00224FF2" w:rsidRPr="003A2A1C" w:rsidRDefault="00224FF2" w:rsidP="00224FF2">
            <w:pPr>
              <w:spacing w:after="240"/>
              <w:jc w:val="both"/>
              <w:rPr>
                <w:sz w:val="22"/>
                <w:szCs w:val="22"/>
              </w:rPr>
            </w:pPr>
          </w:p>
        </w:tc>
        <w:tc>
          <w:tcPr>
            <w:tcW w:w="829" w:type="pct"/>
            <w:gridSpan w:val="2"/>
          </w:tcPr>
          <w:p w14:paraId="78497792" w14:textId="77777777" w:rsidR="00224FF2" w:rsidRPr="003A2A1C" w:rsidRDefault="00224FF2" w:rsidP="00224FF2">
            <w:pPr>
              <w:spacing w:after="240"/>
              <w:jc w:val="right"/>
              <w:rPr>
                <w:sz w:val="22"/>
                <w:szCs w:val="22"/>
                <w:u w:val="double"/>
              </w:rPr>
            </w:pPr>
          </w:p>
        </w:tc>
        <w:tc>
          <w:tcPr>
            <w:tcW w:w="912" w:type="pct"/>
          </w:tcPr>
          <w:p w14:paraId="357D0CCF" w14:textId="77777777" w:rsidR="00224FF2" w:rsidRPr="003A2A1C" w:rsidRDefault="00224FF2" w:rsidP="00224FF2">
            <w:pPr>
              <w:spacing w:after="240"/>
              <w:jc w:val="right"/>
              <w:rPr>
                <w:sz w:val="22"/>
                <w:szCs w:val="22"/>
                <w:u w:val="double"/>
              </w:rPr>
            </w:pPr>
          </w:p>
        </w:tc>
        <w:tc>
          <w:tcPr>
            <w:tcW w:w="130" w:type="pct"/>
          </w:tcPr>
          <w:p w14:paraId="196122EA" w14:textId="77777777" w:rsidR="00224FF2" w:rsidRPr="003A2A1C" w:rsidRDefault="00224FF2" w:rsidP="00224FF2">
            <w:pPr>
              <w:spacing w:after="240"/>
              <w:jc w:val="both"/>
              <w:rPr>
                <w:sz w:val="22"/>
                <w:szCs w:val="22"/>
              </w:rPr>
            </w:pPr>
          </w:p>
        </w:tc>
      </w:tr>
      <w:tr w:rsidR="00224FF2" w:rsidRPr="003A2A1C" w14:paraId="05A24AF7" w14:textId="77777777" w:rsidTr="003A2A1C">
        <w:trPr>
          <w:trHeight w:hRule="exact" w:val="288"/>
        </w:trPr>
        <w:tc>
          <w:tcPr>
            <w:tcW w:w="249" w:type="pct"/>
          </w:tcPr>
          <w:p w14:paraId="15A718EF" w14:textId="77777777" w:rsidR="00224FF2" w:rsidRPr="003A2A1C" w:rsidRDefault="00224FF2" w:rsidP="00224FF2">
            <w:pPr>
              <w:spacing w:after="240"/>
              <w:jc w:val="both"/>
              <w:rPr>
                <w:sz w:val="22"/>
                <w:szCs w:val="22"/>
              </w:rPr>
            </w:pPr>
            <w:r w:rsidRPr="003A2A1C">
              <w:rPr>
                <w:sz w:val="22"/>
                <w:szCs w:val="22"/>
              </w:rPr>
              <w:t>10.</w:t>
            </w:r>
          </w:p>
        </w:tc>
        <w:tc>
          <w:tcPr>
            <w:tcW w:w="2711" w:type="pct"/>
          </w:tcPr>
          <w:p w14:paraId="46745181" w14:textId="77777777" w:rsidR="00224FF2" w:rsidRPr="003A2A1C" w:rsidRDefault="00224FF2" w:rsidP="00224FF2">
            <w:pPr>
              <w:spacing w:after="240"/>
              <w:jc w:val="both"/>
              <w:rPr>
                <w:sz w:val="22"/>
                <w:szCs w:val="22"/>
              </w:rPr>
            </w:pPr>
            <w:r w:rsidRPr="003A2A1C">
              <w:rPr>
                <w:sz w:val="22"/>
                <w:szCs w:val="22"/>
              </w:rPr>
              <w:t>Contractual Services – Other (636/736)</w:t>
            </w:r>
          </w:p>
        </w:tc>
        <w:tc>
          <w:tcPr>
            <w:tcW w:w="169" w:type="pct"/>
            <w:gridSpan w:val="2"/>
          </w:tcPr>
          <w:p w14:paraId="7767A30B" w14:textId="77777777" w:rsidR="00224FF2" w:rsidRPr="003A2A1C" w:rsidRDefault="00224FF2" w:rsidP="00224FF2">
            <w:pPr>
              <w:spacing w:after="240"/>
              <w:jc w:val="both"/>
              <w:rPr>
                <w:sz w:val="22"/>
                <w:szCs w:val="22"/>
              </w:rPr>
            </w:pPr>
          </w:p>
        </w:tc>
        <w:tc>
          <w:tcPr>
            <w:tcW w:w="829" w:type="pct"/>
            <w:gridSpan w:val="2"/>
          </w:tcPr>
          <w:p w14:paraId="5DE6CD63" w14:textId="77777777" w:rsidR="00224FF2" w:rsidRPr="003A2A1C" w:rsidRDefault="00224FF2" w:rsidP="00224FF2">
            <w:pPr>
              <w:spacing w:after="240"/>
              <w:jc w:val="right"/>
              <w:rPr>
                <w:sz w:val="22"/>
                <w:szCs w:val="22"/>
                <w:u w:val="double"/>
              </w:rPr>
            </w:pPr>
          </w:p>
        </w:tc>
        <w:tc>
          <w:tcPr>
            <w:tcW w:w="912" w:type="pct"/>
          </w:tcPr>
          <w:p w14:paraId="7A623A7C" w14:textId="77777777" w:rsidR="00224FF2" w:rsidRPr="003A2A1C" w:rsidRDefault="00224FF2" w:rsidP="00224FF2">
            <w:pPr>
              <w:spacing w:after="240"/>
              <w:jc w:val="right"/>
              <w:rPr>
                <w:sz w:val="22"/>
                <w:szCs w:val="22"/>
                <w:u w:val="double"/>
              </w:rPr>
            </w:pPr>
          </w:p>
        </w:tc>
        <w:tc>
          <w:tcPr>
            <w:tcW w:w="130" w:type="pct"/>
          </w:tcPr>
          <w:p w14:paraId="256A99FD" w14:textId="77777777" w:rsidR="00224FF2" w:rsidRPr="003A2A1C" w:rsidRDefault="00224FF2" w:rsidP="00224FF2">
            <w:pPr>
              <w:spacing w:after="240"/>
              <w:jc w:val="both"/>
              <w:rPr>
                <w:sz w:val="22"/>
                <w:szCs w:val="22"/>
              </w:rPr>
            </w:pPr>
          </w:p>
        </w:tc>
      </w:tr>
      <w:tr w:rsidR="00224FF2" w:rsidRPr="003A2A1C" w14:paraId="16606B4F" w14:textId="77777777" w:rsidTr="003A2A1C">
        <w:trPr>
          <w:trHeight w:hRule="exact" w:val="288"/>
        </w:trPr>
        <w:tc>
          <w:tcPr>
            <w:tcW w:w="249" w:type="pct"/>
          </w:tcPr>
          <w:p w14:paraId="3E22A738" w14:textId="77777777" w:rsidR="00224FF2" w:rsidRPr="003A2A1C" w:rsidRDefault="00224FF2" w:rsidP="00224FF2">
            <w:pPr>
              <w:spacing w:after="240"/>
              <w:jc w:val="both"/>
              <w:rPr>
                <w:sz w:val="22"/>
                <w:szCs w:val="22"/>
              </w:rPr>
            </w:pPr>
          </w:p>
        </w:tc>
        <w:tc>
          <w:tcPr>
            <w:tcW w:w="2711" w:type="pct"/>
          </w:tcPr>
          <w:p w14:paraId="5275DFBE" w14:textId="77777777" w:rsidR="00224FF2" w:rsidRPr="003A2A1C" w:rsidRDefault="00224FF2" w:rsidP="00224FF2">
            <w:pPr>
              <w:spacing w:after="240"/>
              <w:jc w:val="both"/>
              <w:rPr>
                <w:sz w:val="22"/>
                <w:szCs w:val="22"/>
              </w:rPr>
            </w:pPr>
            <w:r w:rsidRPr="003A2A1C">
              <w:rPr>
                <w:sz w:val="22"/>
                <w:szCs w:val="22"/>
              </w:rPr>
              <w:t>a. To reflect auditing adjustments.</w:t>
            </w:r>
          </w:p>
        </w:tc>
        <w:tc>
          <w:tcPr>
            <w:tcW w:w="169" w:type="pct"/>
            <w:gridSpan w:val="2"/>
          </w:tcPr>
          <w:p w14:paraId="0F15520B" w14:textId="77777777" w:rsidR="00224FF2" w:rsidRPr="003A2A1C" w:rsidRDefault="00224FF2" w:rsidP="00224FF2">
            <w:pPr>
              <w:spacing w:after="240"/>
              <w:jc w:val="both"/>
              <w:rPr>
                <w:sz w:val="22"/>
                <w:szCs w:val="22"/>
              </w:rPr>
            </w:pPr>
          </w:p>
        </w:tc>
        <w:tc>
          <w:tcPr>
            <w:tcW w:w="829" w:type="pct"/>
            <w:gridSpan w:val="2"/>
          </w:tcPr>
          <w:p w14:paraId="3FF9378E" w14:textId="77777777" w:rsidR="00224FF2" w:rsidRPr="003A2A1C" w:rsidRDefault="00224FF2" w:rsidP="00224FF2">
            <w:pPr>
              <w:spacing w:after="240"/>
              <w:jc w:val="right"/>
              <w:rPr>
                <w:sz w:val="22"/>
                <w:szCs w:val="22"/>
              </w:rPr>
            </w:pPr>
            <w:r w:rsidRPr="003A2A1C">
              <w:rPr>
                <w:sz w:val="22"/>
                <w:szCs w:val="22"/>
              </w:rPr>
              <w:t>($24,472)</w:t>
            </w:r>
          </w:p>
        </w:tc>
        <w:tc>
          <w:tcPr>
            <w:tcW w:w="912" w:type="pct"/>
          </w:tcPr>
          <w:p w14:paraId="56D507F8" w14:textId="77777777" w:rsidR="00224FF2" w:rsidRPr="003A2A1C" w:rsidRDefault="00224FF2" w:rsidP="00224FF2">
            <w:pPr>
              <w:spacing w:after="240"/>
              <w:jc w:val="right"/>
              <w:rPr>
                <w:sz w:val="22"/>
                <w:szCs w:val="22"/>
              </w:rPr>
            </w:pPr>
            <w:r w:rsidRPr="003A2A1C">
              <w:rPr>
                <w:sz w:val="22"/>
                <w:szCs w:val="22"/>
              </w:rPr>
              <w:t>($100,823)</w:t>
            </w:r>
          </w:p>
        </w:tc>
        <w:tc>
          <w:tcPr>
            <w:tcW w:w="130" w:type="pct"/>
          </w:tcPr>
          <w:p w14:paraId="459F9693" w14:textId="77777777" w:rsidR="00224FF2" w:rsidRPr="003A2A1C" w:rsidRDefault="00224FF2" w:rsidP="00224FF2">
            <w:pPr>
              <w:spacing w:after="240"/>
              <w:jc w:val="both"/>
              <w:rPr>
                <w:sz w:val="22"/>
                <w:szCs w:val="22"/>
              </w:rPr>
            </w:pPr>
          </w:p>
        </w:tc>
      </w:tr>
      <w:tr w:rsidR="00224FF2" w:rsidRPr="003A2A1C" w14:paraId="2F17E01D" w14:textId="77777777" w:rsidTr="003A2A1C">
        <w:trPr>
          <w:trHeight w:hRule="exact" w:val="288"/>
        </w:trPr>
        <w:tc>
          <w:tcPr>
            <w:tcW w:w="249" w:type="pct"/>
          </w:tcPr>
          <w:p w14:paraId="0C016A61" w14:textId="77777777" w:rsidR="00224FF2" w:rsidRPr="003A2A1C" w:rsidRDefault="00224FF2" w:rsidP="00224FF2">
            <w:pPr>
              <w:spacing w:after="240"/>
              <w:jc w:val="both"/>
              <w:rPr>
                <w:sz w:val="22"/>
                <w:szCs w:val="22"/>
              </w:rPr>
            </w:pPr>
          </w:p>
        </w:tc>
        <w:tc>
          <w:tcPr>
            <w:tcW w:w="2711" w:type="pct"/>
          </w:tcPr>
          <w:p w14:paraId="2D5AB2F4" w14:textId="77777777" w:rsidR="00224FF2" w:rsidRPr="003A2A1C" w:rsidRDefault="00224FF2" w:rsidP="00224FF2">
            <w:pPr>
              <w:spacing w:after="240"/>
              <w:jc w:val="both"/>
              <w:rPr>
                <w:sz w:val="22"/>
                <w:szCs w:val="22"/>
              </w:rPr>
            </w:pPr>
            <w:r w:rsidRPr="003A2A1C">
              <w:rPr>
                <w:sz w:val="22"/>
                <w:szCs w:val="22"/>
              </w:rPr>
              <w:t>b. To remove expenses outside the test year.</w:t>
            </w:r>
          </w:p>
        </w:tc>
        <w:tc>
          <w:tcPr>
            <w:tcW w:w="169" w:type="pct"/>
            <w:gridSpan w:val="2"/>
          </w:tcPr>
          <w:p w14:paraId="0B8FF876" w14:textId="77777777" w:rsidR="00224FF2" w:rsidRPr="003A2A1C" w:rsidRDefault="00224FF2" w:rsidP="00224FF2">
            <w:pPr>
              <w:spacing w:after="240"/>
              <w:jc w:val="both"/>
              <w:rPr>
                <w:sz w:val="22"/>
                <w:szCs w:val="22"/>
              </w:rPr>
            </w:pPr>
          </w:p>
        </w:tc>
        <w:tc>
          <w:tcPr>
            <w:tcW w:w="829" w:type="pct"/>
            <w:gridSpan w:val="2"/>
          </w:tcPr>
          <w:p w14:paraId="2D3B74BA" w14:textId="77777777" w:rsidR="00224FF2" w:rsidRPr="003A2A1C" w:rsidRDefault="00224FF2" w:rsidP="00224FF2">
            <w:pPr>
              <w:spacing w:after="240"/>
              <w:jc w:val="right"/>
              <w:rPr>
                <w:sz w:val="22"/>
                <w:szCs w:val="22"/>
                <w:u w:val="single"/>
              </w:rPr>
            </w:pPr>
            <w:r w:rsidRPr="003A2A1C">
              <w:rPr>
                <w:sz w:val="22"/>
                <w:szCs w:val="22"/>
                <w:u w:val="single"/>
              </w:rPr>
              <w:t>(7,910)</w:t>
            </w:r>
          </w:p>
        </w:tc>
        <w:tc>
          <w:tcPr>
            <w:tcW w:w="912" w:type="pct"/>
          </w:tcPr>
          <w:p w14:paraId="5CF9BD57" w14:textId="77777777" w:rsidR="00224FF2" w:rsidRPr="003A2A1C" w:rsidRDefault="00224FF2" w:rsidP="00224FF2">
            <w:pPr>
              <w:spacing w:after="240"/>
              <w:jc w:val="right"/>
              <w:rPr>
                <w:sz w:val="22"/>
                <w:szCs w:val="22"/>
                <w:u w:val="single"/>
              </w:rPr>
            </w:pPr>
            <w:r w:rsidRPr="003A2A1C">
              <w:rPr>
                <w:sz w:val="22"/>
                <w:szCs w:val="22"/>
                <w:u w:val="single"/>
              </w:rPr>
              <w:t>(7,910)</w:t>
            </w:r>
          </w:p>
        </w:tc>
        <w:tc>
          <w:tcPr>
            <w:tcW w:w="130" w:type="pct"/>
          </w:tcPr>
          <w:p w14:paraId="73E18E2A" w14:textId="77777777" w:rsidR="00224FF2" w:rsidRPr="003A2A1C" w:rsidRDefault="00224FF2" w:rsidP="00224FF2">
            <w:pPr>
              <w:spacing w:after="240"/>
              <w:jc w:val="both"/>
              <w:rPr>
                <w:sz w:val="22"/>
                <w:szCs w:val="22"/>
              </w:rPr>
            </w:pPr>
          </w:p>
        </w:tc>
      </w:tr>
      <w:tr w:rsidR="00224FF2" w:rsidRPr="003A2A1C" w14:paraId="47008168" w14:textId="77777777" w:rsidTr="003A2A1C">
        <w:trPr>
          <w:trHeight w:hRule="exact" w:val="288"/>
        </w:trPr>
        <w:tc>
          <w:tcPr>
            <w:tcW w:w="249" w:type="pct"/>
          </w:tcPr>
          <w:p w14:paraId="41FD7FF1" w14:textId="77777777" w:rsidR="00224FF2" w:rsidRPr="003A2A1C" w:rsidRDefault="00224FF2" w:rsidP="00224FF2">
            <w:pPr>
              <w:spacing w:after="240"/>
              <w:jc w:val="both"/>
              <w:rPr>
                <w:sz w:val="22"/>
                <w:szCs w:val="22"/>
              </w:rPr>
            </w:pPr>
          </w:p>
        </w:tc>
        <w:tc>
          <w:tcPr>
            <w:tcW w:w="2711" w:type="pct"/>
          </w:tcPr>
          <w:p w14:paraId="35221E5D" w14:textId="77777777" w:rsidR="00224FF2" w:rsidRPr="003A2A1C" w:rsidRDefault="00224FF2" w:rsidP="00224FF2">
            <w:pPr>
              <w:spacing w:after="240"/>
              <w:jc w:val="both"/>
              <w:rPr>
                <w:sz w:val="22"/>
                <w:szCs w:val="22"/>
              </w:rPr>
            </w:pPr>
            <w:r w:rsidRPr="003A2A1C">
              <w:rPr>
                <w:sz w:val="22"/>
                <w:szCs w:val="22"/>
              </w:rPr>
              <w:t>Subtotal</w:t>
            </w:r>
          </w:p>
        </w:tc>
        <w:tc>
          <w:tcPr>
            <w:tcW w:w="169" w:type="pct"/>
            <w:gridSpan w:val="2"/>
          </w:tcPr>
          <w:p w14:paraId="78F39924" w14:textId="77777777" w:rsidR="00224FF2" w:rsidRPr="003A2A1C" w:rsidRDefault="00224FF2" w:rsidP="00224FF2">
            <w:pPr>
              <w:spacing w:after="240"/>
              <w:jc w:val="both"/>
              <w:rPr>
                <w:sz w:val="22"/>
                <w:szCs w:val="22"/>
              </w:rPr>
            </w:pPr>
          </w:p>
        </w:tc>
        <w:tc>
          <w:tcPr>
            <w:tcW w:w="829" w:type="pct"/>
            <w:gridSpan w:val="2"/>
          </w:tcPr>
          <w:p w14:paraId="34470598" w14:textId="77777777" w:rsidR="00224FF2" w:rsidRPr="003A2A1C" w:rsidRDefault="00224FF2" w:rsidP="00224FF2">
            <w:pPr>
              <w:spacing w:after="240"/>
              <w:jc w:val="right"/>
              <w:rPr>
                <w:sz w:val="22"/>
                <w:szCs w:val="22"/>
                <w:u w:val="double"/>
              </w:rPr>
            </w:pPr>
            <w:r w:rsidRPr="003A2A1C">
              <w:rPr>
                <w:sz w:val="22"/>
                <w:szCs w:val="22"/>
                <w:u w:val="double"/>
              </w:rPr>
              <w:t>($32,382)</w:t>
            </w:r>
          </w:p>
        </w:tc>
        <w:tc>
          <w:tcPr>
            <w:tcW w:w="912" w:type="pct"/>
          </w:tcPr>
          <w:p w14:paraId="23AE7A74" w14:textId="77777777" w:rsidR="00224FF2" w:rsidRPr="003A2A1C" w:rsidRDefault="00224FF2" w:rsidP="00224FF2">
            <w:pPr>
              <w:spacing w:after="240"/>
              <w:jc w:val="right"/>
              <w:rPr>
                <w:sz w:val="22"/>
                <w:szCs w:val="22"/>
                <w:u w:val="double"/>
              </w:rPr>
            </w:pPr>
            <w:r w:rsidRPr="003A2A1C">
              <w:rPr>
                <w:sz w:val="22"/>
                <w:szCs w:val="22"/>
                <w:u w:val="double"/>
              </w:rPr>
              <w:t>($108,733)</w:t>
            </w:r>
          </w:p>
        </w:tc>
        <w:tc>
          <w:tcPr>
            <w:tcW w:w="130" w:type="pct"/>
          </w:tcPr>
          <w:p w14:paraId="779C6CA2" w14:textId="77777777" w:rsidR="00224FF2" w:rsidRPr="003A2A1C" w:rsidRDefault="00224FF2" w:rsidP="00224FF2">
            <w:pPr>
              <w:spacing w:after="240"/>
              <w:jc w:val="both"/>
              <w:rPr>
                <w:sz w:val="22"/>
                <w:szCs w:val="22"/>
              </w:rPr>
            </w:pPr>
          </w:p>
        </w:tc>
      </w:tr>
      <w:tr w:rsidR="00224FF2" w:rsidRPr="003A2A1C" w14:paraId="7EB7D70D" w14:textId="77777777" w:rsidTr="005C7FFA">
        <w:trPr>
          <w:trHeight w:hRule="exact" w:val="90"/>
        </w:trPr>
        <w:tc>
          <w:tcPr>
            <w:tcW w:w="249" w:type="pct"/>
          </w:tcPr>
          <w:p w14:paraId="797144AD" w14:textId="77777777" w:rsidR="00224FF2" w:rsidRPr="003A2A1C" w:rsidRDefault="00224FF2" w:rsidP="00224FF2">
            <w:pPr>
              <w:spacing w:after="240"/>
              <w:jc w:val="both"/>
              <w:rPr>
                <w:sz w:val="22"/>
                <w:szCs w:val="22"/>
              </w:rPr>
            </w:pPr>
          </w:p>
        </w:tc>
        <w:tc>
          <w:tcPr>
            <w:tcW w:w="2711" w:type="pct"/>
          </w:tcPr>
          <w:p w14:paraId="09648F25" w14:textId="77777777" w:rsidR="00224FF2" w:rsidRPr="003A2A1C" w:rsidRDefault="00224FF2" w:rsidP="00224FF2">
            <w:pPr>
              <w:spacing w:after="240"/>
              <w:jc w:val="both"/>
              <w:rPr>
                <w:sz w:val="22"/>
                <w:szCs w:val="22"/>
              </w:rPr>
            </w:pPr>
          </w:p>
        </w:tc>
        <w:tc>
          <w:tcPr>
            <w:tcW w:w="169" w:type="pct"/>
            <w:gridSpan w:val="2"/>
          </w:tcPr>
          <w:p w14:paraId="71D4404D" w14:textId="77777777" w:rsidR="00224FF2" w:rsidRPr="003A2A1C" w:rsidRDefault="00224FF2" w:rsidP="00224FF2">
            <w:pPr>
              <w:spacing w:after="240"/>
              <w:jc w:val="both"/>
              <w:rPr>
                <w:sz w:val="22"/>
                <w:szCs w:val="22"/>
              </w:rPr>
            </w:pPr>
          </w:p>
        </w:tc>
        <w:tc>
          <w:tcPr>
            <w:tcW w:w="829" w:type="pct"/>
            <w:gridSpan w:val="2"/>
          </w:tcPr>
          <w:p w14:paraId="76B3BD36" w14:textId="77777777" w:rsidR="00224FF2" w:rsidRPr="003A2A1C" w:rsidRDefault="00224FF2" w:rsidP="00224FF2">
            <w:pPr>
              <w:spacing w:after="240"/>
              <w:jc w:val="right"/>
              <w:rPr>
                <w:sz w:val="22"/>
                <w:szCs w:val="22"/>
                <w:u w:val="double"/>
              </w:rPr>
            </w:pPr>
          </w:p>
        </w:tc>
        <w:tc>
          <w:tcPr>
            <w:tcW w:w="912" w:type="pct"/>
          </w:tcPr>
          <w:p w14:paraId="686EA88A" w14:textId="77777777" w:rsidR="00224FF2" w:rsidRPr="003A2A1C" w:rsidRDefault="00224FF2" w:rsidP="00224FF2">
            <w:pPr>
              <w:spacing w:after="240"/>
              <w:jc w:val="right"/>
              <w:rPr>
                <w:sz w:val="22"/>
                <w:szCs w:val="22"/>
                <w:u w:val="double"/>
              </w:rPr>
            </w:pPr>
          </w:p>
        </w:tc>
        <w:tc>
          <w:tcPr>
            <w:tcW w:w="130" w:type="pct"/>
          </w:tcPr>
          <w:p w14:paraId="7844B3EF" w14:textId="77777777" w:rsidR="00224FF2" w:rsidRPr="003A2A1C" w:rsidRDefault="00224FF2" w:rsidP="00224FF2">
            <w:pPr>
              <w:spacing w:after="240"/>
              <w:jc w:val="both"/>
              <w:rPr>
                <w:sz w:val="22"/>
                <w:szCs w:val="22"/>
              </w:rPr>
            </w:pPr>
          </w:p>
        </w:tc>
      </w:tr>
      <w:tr w:rsidR="00224FF2" w:rsidRPr="003A2A1C" w14:paraId="1293E191" w14:textId="77777777" w:rsidTr="003A2A1C">
        <w:trPr>
          <w:trHeight w:hRule="exact" w:val="288"/>
        </w:trPr>
        <w:tc>
          <w:tcPr>
            <w:tcW w:w="249" w:type="pct"/>
          </w:tcPr>
          <w:p w14:paraId="6DC1F80B" w14:textId="77777777" w:rsidR="00224FF2" w:rsidRPr="003A2A1C" w:rsidRDefault="00224FF2" w:rsidP="00224FF2">
            <w:pPr>
              <w:spacing w:after="240"/>
              <w:jc w:val="both"/>
              <w:rPr>
                <w:sz w:val="22"/>
                <w:szCs w:val="22"/>
              </w:rPr>
            </w:pPr>
            <w:r w:rsidRPr="003A2A1C">
              <w:rPr>
                <w:sz w:val="22"/>
                <w:szCs w:val="22"/>
              </w:rPr>
              <w:t>11.</w:t>
            </w:r>
          </w:p>
        </w:tc>
        <w:tc>
          <w:tcPr>
            <w:tcW w:w="2711" w:type="pct"/>
          </w:tcPr>
          <w:p w14:paraId="4555B49C" w14:textId="77777777" w:rsidR="00224FF2" w:rsidRPr="003A2A1C" w:rsidRDefault="00224FF2" w:rsidP="00224FF2">
            <w:pPr>
              <w:spacing w:after="240"/>
              <w:jc w:val="both"/>
              <w:rPr>
                <w:sz w:val="22"/>
                <w:szCs w:val="22"/>
              </w:rPr>
            </w:pPr>
            <w:r w:rsidRPr="003A2A1C">
              <w:rPr>
                <w:sz w:val="22"/>
                <w:szCs w:val="22"/>
              </w:rPr>
              <w:t>Insurance Expense – Vehicle (656/756)</w:t>
            </w:r>
          </w:p>
        </w:tc>
        <w:tc>
          <w:tcPr>
            <w:tcW w:w="169" w:type="pct"/>
            <w:gridSpan w:val="2"/>
          </w:tcPr>
          <w:p w14:paraId="03FE8CD5" w14:textId="77777777" w:rsidR="00224FF2" w:rsidRPr="003A2A1C" w:rsidRDefault="00224FF2" w:rsidP="00224FF2">
            <w:pPr>
              <w:spacing w:after="240"/>
              <w:jc w:val="both"/>
              <w:rPr>
                <w:sz w:val="22"/>
                <w:szCs w:val="22"/>
              </w:rPr>
            </w:pPr>
          </w:p>
        </w:tc>
        <w:tc>
          <w:tcPr>
            <w:tcW w:w="829" w:type="pct"/>
            <w:gridSpan w:val="2"/>
          </w:tcPr>
          <w:p w14:paraId="576D77C8" w14:textId="77777777" w:rsidR="00224FF2" w:rsidRPr="003A2A1C" w:rsidRDefault="00224FF2" w:rsidP="00224FF2">
            <w:pPr>
              <w:spacing w:after="240"/>
              <w:jc w:val="right"/>
              <w:rPr>
                <w:sz w:val="22"/>
                <w:szCs w:val="22"/>
                <w:u w:val="double"/>
              </w:rPr>
            </w:pPr>
          </w:p>
        </w:tc>
        <w:tc>
          <w:tcPr>
            <w:tcW w:w="912" w:type="pct"/>
          </w:tcPr>
          <w:p w14:paraId="1D991A89" w14:textId="77777777" w:rsidR="00224FF2" w:rsidRPr="003A2A1C" w:rsidRDefault="00224FF2" w:rsidP="00224FF2">
            <w:pPr>
              <w:spacing w:after="240"/>
              <w:jc w:val="right"/>
              <w:rPr>
                <w:sz w:val="22"/>
                <w:szCs w:val="22"/>
                <w:u w:val="double"/>
              </w:rPr>
            </w:pPr>
          </w:p>
        </w:tc>
        <w:tc>
          <w:tcPr>
            <w:tcW w:w="130" w:type="pct"/>
          </w:tcPr>
          <w:p w14:paraId="159BBC4F" w14:textId="77777777" w:rsidR="00224FF2" w:rsidRPr="003A2A1C" w:rsidRDefault="00224FF2" w:rsidP="00224FF2">
            <w:pPr>
              <w:spacing w:after="240"/>
              <w:jc w:val="both"/>
              <w:rPr>
                <w:sz w:val="22"/>
                <w:szCs w:val="22"/>
              </w:rPr>
            </w:pPr>
          </w:p>
        </w:tc>
      </w:tr>
      <w:tr w:rsidR="00224FF2" w:rsidRPr="003A2A1C" w14:paraId="5BF74E68" w14:textId="77777777" w:rsidTr="003A2A1C">
        <w:trPr>
          <w:trHeight w:hRule="exact" w:val="288"/>
        </w:trPr>
        <w:tc>
          <w:tcPr>
            <w:tcW w:w="249" w:type="pct"/>
          </w:tcPr>
          <w:p w14:paraId="4E413A5D" w14:textId="77777777" w:rsidR="00224FF2" w:rsidRPr="003A2A1C" w:rsidRDefault="00224FF2" w:rsidP="00224FF2">
            <w:pPr>
              <w:spacing w:after="240"/>
              <w:jc w:val="both"/>
              <w:rPr>
                <w:sz w:val="22"/>
                <w:szCs w:val="22"/>
              </w:rPr>
            </w:pPr>
          </w:p>
        </w:tc>
        <w:tc>
          <w:tcPr>
            <w:tcW w:w="2711" w:type="pct"/>
          </w:tcPr>
          <w:p w14:paraId="3768CE96" w14:textId="77777777" w:rsidR="00224FF2" w:rsidRPr="003A2A1C" w:rsidRDefault="00224FF2" w:rsidP="00224FF2">
            <w:pPr>
              <w:spacing w:after="240"/>
              <w:jc w:val="both"/>
              <w:rPr>
                <w:sz w:val="22"/>
                <w:szCs w:val="22"/>
              </w:rPr>
            </w:pPr>
            <w:r w:rsidRPr="003A2A1C">
              <w:rPr>
                <w:sz w:val="22"/>
                <w:szCs w:val="22"/>
              </w:rPr>
              <w:t>To reflect auditing adjustments.</w:t>
            </w:r>
          </w:p>
        </w:tc>
        <w:tc>
          <w:tcPr>
            <w:tcW w:w="169" w:type="pct"/>
            <w:gridSpan w:val="2"/>
          </w:tcPr>
          <w:p w14:paraId="4ACA314D" w14:textId="77777777" w:rsidR="00224FF2" w:rsidRPr="003A2A1C" w:rsidRDefault="00224FF2" w:rsidP="00224FF2">
            <w:pPr>
              <w:spacing w:after="240"/>
              <w:jc w:val="both"/>
              <w:rPr>
                <w:sz w:val="22"/>
                <w:szCs w:val="22"/>
              </w:rPr>
            </w:pPr>
          </w:p>
        </w:tc>
        <w:tc>
          <w:tcPr>
            <w:tcW w:w="829" w:type="pct"/>
            <w:gridSpan w:val="2"/>
          </w:tcPr>
          <w:p w14:paraId="49D22486" w14:textId="77777777" w:rsidR="00224FF2" w:rsidRPr="003A2A1C" w:rsidRDefault="00224FF2" w:rsidP="00224FF2">
            <w:pPr>
              <w:spacing w:after="240"/>
              <w:jc w:val="right"/>
              <w:rPr>
                <w:sz w:val="22"/>
                <w:szCs w:val="22"/>
                <w:u w:val="double"/>
              </w:rPr>
            </w:pPr>
            <w:r w:rsidRPr="003A2A1C">
              <w:rPr>
                <w:sz w:val="22"/>
                <w:szCs w:val="22"/>
                <w:u w:val="double"/>
              </w:rPr>
              <w:t>($2,153)</w:t>
            </w:r>
          </w:p>
        </w:tc>
        <w:tc>
          <w:tcPr>
            <w:tcW w:w="912" w:type="pct"/>
          </w:tcPr>
          <w:p w14:paraId="1DD00272" w14:textId="77777777" w:rsidR="00224FF2" w:rsidRPr="003A2A1C" w:rsidRDefault="00224FF2" w:rsidP="00224FF2">
            <w:pPr>
              <w:spacing w:after="240"/>
              <w:jc w:val="right"/>
              <w:rPr>
                <w:sz w:val="22"/>
                <w:szCs w:val="22"/>
                <w:u w:val="double"/>
              </w:rPr>
            </w:pPr>
            <w:r w:rsidRPr="003A2A1C">
              <w:rPr>
                <w:sz w:val="22"/>
                <w:szCs w:val="22"/>
                <w:u w:val="double"/>
              </w:rPr>
              <w:t>($2,154)</w:t>
            </w:r>
          </w:p>
        </w:tc>
        <w:tc>
          <w:tcPr>
            <w:tcW w:w="130" w:type="pct"/>
          </w:tcPr>
          <w:p w14:paraId="4FFA9A1E" w14:textId="77777777" w:rsidR="00224FF2" w:rsidRPr="003A2A1C" w:rsidRDefault="00224FF2" w:rsidP="00224FF2">
            <w:pPr>
              <w:spacing w:after="240"/>
              <w:jc w:val="both"/>
              <w:rPr>
                <w:sz w:val="22"/>
                <w:szCs w:val="22"/>
              </w:rPr>
            </w:pPr>
          </w:p>
        </w:tc>
      </w:tr>
      <w:tr w:rsidR="00224FF2" w:rsidRPr="003A2A1C" w14:paraId="36C9BB25" w14:textId="77777777" w:rsidTr="005C7FFA">
        <w:trPr>
          <w:trHeight w:hRule="exact" w:val="126"/>
        </w:trPr>
        <w:tc>
          <w:tcPr>
            <w:tcW w:w="249" w:type="pct"/>
          </w:tcPr>
          <w:p w14:paraId="3987DFFF" w14:textId="77777777" w:rsidR="00224FF2" w:rsidRPr="003A2A1C" w:rsidRDefault="00224FF2" w:rsidP="00224FF2">
            <w:pPr>
              <w:spacing w:after="240"/>
              <w:jc w:val="both"/>
              <w:rPr>
                <w:sz w:val="22"/>
                <w:szCs w:val="22"/>
              </w:rPr>
            </w:pPr>
          </w:p>
        </w:tc>
        <w:tc>
          <w:tcPr>
            <w:tcW w:w="2711" w:type="pct"/>
          </w:tcPr>
          <w:p w14:paraId="2CA908EA" w14:textId="77777777" w:rsidR="00224FF2" w:rsidRPr="003A2A1C" w:rsidRDefault="00224FF2" w:rsidP="00224FF2">
            <w:pPr>
              <w:spacing w:after="240"/>
              <w:jc w:val="both"/>
              <w:rPr>
                <w:sz w:val="22"/>
                <w:szCs w:val="22"/>
              </w:rPr>
            </w:pPr>
          </w:p>
        </w:tc>
        <w:tc>
          <w:tcPr>
            <w:tcW w:w="169" w:type="pct"/>
            <w:gridSpan w:val="2"/>
          </w:tcPr>
          <w:p w14:paraId="6BC7B33A" w14:textId="77777777" w:rsidR="00224FF2" w:rsidRPr="003A2A1C" w:rsidRDefault="00224FF2" w:rsidP="00224FF2">
            <w:pPr>
              <w:spacing w:after="240"/>
              <w:jc w:val="both"/>
              <w:rPr>
                <w:sz w:val="22"/>
                <w:szCs w:val="22"/>
              </w:rPr>
            </w:pPr>
          </w:p>
        </w:tc>
        <w:tc>
          <w:tcPr>
            <w:tcW w:w="829" w:type="pct"/>
            <w:gridSpan w:val="2"/>
          </w:tcPr>
          <w:p w14:paraId="67339714" w14:textId="77777777" w:rsidR="00224FF2" w:rsidRPr="003A2A1C" w:rsidRDefault="00224FF2" w:rsidP="00224FF2">
            <w:pPr>
              <w:spacing w:after="240"/>
              <w:jc w:val="right"/>
              <w:rPr>
                <w:sz w:val="22"/>
                <w:szCs w:val="22"/>
                <w:u w:val="double"/>
              </w:rPr>
            </w:pPr>
          </w:p>
        </w:tc>
        <w:tc>
          <w:tcPr>
            <w:tcW w:w="912" w:type="pct"/>
          </w:tcPr>
          <w:p w14:paraId="4137C065" w14:textId="77777777" w:rsidR="00224FF2" w:rsidRPr="003A2A1C" w:rsidRDefault="00224FF2" w:rsidP="00224FF2">
            <w:pPr>
              <w:spacing w:after="240"/>
              <w:jc w:val="right"/>
              <w:rPr>
                <w:sz w:val="22"/>
                <w:szCs w:val="22"/>
                <w:u w:val="double"/>
              </w:rPr>
            </w:pPr>
          </w:p>
        </w:tc>
        <w:tc>
          <w:tcPr>
            <w:tcW w:w="130" w:type="pct"/>
          </w:tcPr>
          <w:p w14:paraId="12DCAC46" w14:textId="77777777" w:rsidR="00224FF2" w:rsidRPr="003A2A1C" w:rsidRDefault="00224FF2" w:rsidP="00224FF2">
            <w:pPr>
              <w:spacing w:after="240"/>
              <w:jc w:val="both"/>
              <w:rPr>
                <w:sz w:val="22"/>
                <w:szCs w:val="22"/>
              </w:rPr>
            </w:pPr>
          </w:p>
        </w:tc>
      </w:tr>
      <w:tr w:rsidR="00224FF2" w:rsidRPr="003A2A1C" w14:paraId="6D1A2331" w14:textId="77777777" w:rsidTr="003A2A1C">
        <w:trPr>
          <w:trHeight w:hRule="exact" w:val="288"/>
        </w:trPr>
        <w:tc>
          <w:tcPr>
            <w:tcW w:w="249" w:type="pct"/>
          </w:tcPr>
          <w:p w14:paraId="741D3961" w14:textId="77777777" w:rsidR="00224FF2" w:rsidRPr="003A2A1C" w:rsidRDefault="00224FF2" w:rsidP="00224FF2">
            <w:pPr>
              <w:spacing w:after="240"/>
              <w:jc w:val="both"/>
              <w:rPr>
                <w:sz w:val="22"/>
                <w:szCs w:val="22"/>
              </w:rPr>
            </w:pPr>
            <w:r w:rsidRPr="003A2A1C">
              <w:rPr>
                <w:sz w:val="22"/>
                <w:szCs w:val="22"/>
              </w:rPr>
              <w:t>12.</w:t>
            </w:r>
          </w:p>
        </w:tc>
        <w:tc>
          <w:tcPr>
            <w:tcW w:w="2711" w:type="pct"/>
          </w:tcPr>
          <w:p w14:paraId="202F2E42" w14:textId="77777777" w:rsidR="00224FF2" w:rsidRPr="003A2A1C" w:rsidRDefault="00224FF2" w:rsidP="00224FF2">
            <w:pPr>
              <w:spacing w:after="240"/>
              <w:jc w:val="both"/>
              <w:rPr>
                <w:sz w:val="22"/>
                <w:szCs w:val="22"/>
              </w:rPr>
            </w:pPr>
            <w:r w:rsidRPr="003A2A1C">
              <w:rPr>
                <w:sz w:val="22"/>
                <w:szCs w:val="22"/>
              </w:rPr>
              <w:t>Insurance Expense – General Liability (657/757)</w:t>
            </w:r>
          </w:p>
        </w:tc>
        <w:tc>
          <w:tcPr>
            <w:tcW w:w="169" w:type="pct"/>
            <w:gridSpan w:val="2"/>
          </w:tcPr>
          <w:p w14:paraId="4D0E62BB" w14:textId="77777777" w:rsidR="00224FF2" w:rsidRPr="003A2A1C" w:rsidRDefault="00224FF2" w:rsidP="00224FF2">
            <w:pPr>
              <w:spacing w:after="240"/>
              <w:jc w:val="both"/>
              <w:rPr>
                <w:sz w:val="22"/>
                <w:szCs w:val="22"/>
              </w:rPr>
            </w:pPr>
          </w:p>
        </w:tc>
        <w:tc>
          <w:tcPr>
            <w:tcW w:w="829" w:type="pct"/>
            <w:gridSpan w:val="2"/>
          </w:tcPr>
          <w:p w14:paraId="3BEE8816" w14:textId="77777777" w:rsidR="00224FF2" w:rsidRPr="003A2A1C" w:rsidRDefault="00224FF2" w:rsidP="00224FF2">
            <w:pPr>
              <w:spacing w:after="240"/>
              <w:jc w:val="right"/>
              <w:rPr>
                <w:sz w:val="22"/>
                <w:szCs w:val="22"/>
                <w:u w:val="double"/>
              </w:rPr>
            </w:pPr>
          </w:p>
        </w:tc>
        <w:tc>
          <w:tcPr>
            <w:tcW w:w="912" w:type="pct"/>
          </w:tcPr>
          <w:p w14:paraId="48E779E6" w14:textId="77777777" w:rsidR="00224FF2" w:rsidRPr="003A2A1C" w:rsidRDefault="00224FF2" w:rsidP="00224FF2">
            <w:pPr>
              <w:spacing w:after="240"/>
              <w:jc w:val="right"/>
              <w:rPr>
                <w:sz w:val="22"/>
                <w:szCs w:val="22"/>
                <w:u w:val="double"/>
              </w:rPr>
            </w:pPr>
          </w:p>
        </w:tc>
        <w:tc>
          <w:tcPr>
            <w:tcW w:w="130" w:type="pct"/>
          </w:tcPr>
          <w:p w14:paraId="733C5873" w14:textId="77777777" w:rsidR="00224FF2" w:rsidRPr="003A2A1C" w:rsidRDefault="00224FF2" w:rsidP="00224FF2">
            <w:pPr>
              <w:spacing w:after="240"/>
              <w:jc w:val="both"/>
              <w:rPr>
                <w:sz w:val="22"/>
                <w:szCs w:val="22"/>
              </w:rPr>
            </w:pPr>
          </w:p>
        </w:tc>
      </w:tr>
      <w:tr w:rsidR="00224FF2" w:rsidRPr="003A2A1C" w14:paraId="29649A48" w14:textId="77777777" w:rsidTr="003A2A1C">
        <w:trPr>
          <w:trHeight w:hRule="exact" w:val="288"/>
        </w:trPr>
        <w:tc>
          <w:tcPr>
            <w:tcW w:w="249" w:type="pct"/>
          </w:tcPr>
          <w:p w14:paraId="1EC512E7" w14:textId="77777777" w:rsidR="00224FF2" w:rsidRPr="003A2A1C" w:rsidRDefault="00224FF2" w:rsidP="00224FF2">
            <w:pPr>
              <w:spacing w:after="240"/>
              <w:jc w:val="both"/>
              <w:rPr>
                <w:sz w:val="22"/>
                <w:szCs w:val="22"/>
              </w:rPr>
            </w:pPr>
          </w:p>
        </w:tc>
        <w:tc>
          <w:tcPr>
            <w:tcW w:w="2711" w:type="pct"/>
          </w:tcPr>
          <w:p w14:paraId="0972E464" w14:textId="77777777" w:rsidR="00224FF2" w:rsidRPr="003A2A1C" w:rsidRDefault="00224FF2" w:rsidP="00224FF2">
            <w:pPr>
              <w:spacing w:after="240"/>
              <w:jc w:val="both"/>
              <w:rPr>
                <w:sz w:val="22"/>
                <w:szCs w:val="22"/>
              </w:rPr>
            </w:pPr>
            <w:r w:rsidRPr="003A2A1C">
              <w:rPr>
                <w:sz w:val="22"/>
                <w:szCs w:val="22"/>
              </w:rPr>
              <w:t>To reflect auditing adjustments.</w:t>
            </w:r>
          </w:p>
        </w:tc>
        <w:tc>
          <w:tcPr>
            <w:tcW w:w="169" w:type="pct"/>
            <w:gridSpan w:val="2"/>
          </w:tcPr>
          <w:p w14:paraId="17B073D9" w14:textId="77777777" w:rsidR="00224FF2" w:rsidRPr="003A2A1C" w:rsidRDefault="00224FF2" w:rsidP="00224FF2">
            <w:pPr>
              <w:spacing w:after="240"/>
              <w:jc w:val="both"/>
              <w:rPr>
                <w:sz w:val="22"/>
                <w:szCs w:val="22"/>
              </w:rPr>
            </w:pPr>
          </w:p>
        </w:tc>
        <w:tc>
          <w:tcPr>
            <w:tcW w:w="829" w:type="pct"/>
            <w:gridSpan w:val="2"/>
          </w:tcPr>
          <w:p w14:paraId="6759030D" w14:textId="77777777" w:rsidR="00224FF2" w:rsidRPr="003A2A1C" w:rsidRDefault="00224FF2" w:rsidP="00224FF2">
            <w:pPr>
              <w:spacing w:after="240"/>
              <w:jc w:val="right"/>
              <w:rPr>
                <w:sz w:val="22"/>
                <w:szCs w:val="22"/>
                <w:u w:val="double"/>
              </w:rPr>
            </w:pPr>
            <w:r w:rsidRPr="003A2A1C">
              <w:rPr>
                <w:sz w:val="22"/>
                <w:szCs w:val="22"/>
                <w:u w:val="double"/>
              </w:rPr>
              <w:t>$2,153</w:t>
            </w:r>
          </w:p>
        </w:tc>
        <w:tc>
          <w:tcPr>
            <w:tcW w:w="912" w:type="pct"/>
          </w:tcPr>
          <w:p w14:paraId="5CD704E7" w14:textId="77777777" w:rsidR="00224FF2" w:rsidRPr="003A2A1C" w:rsidRDefault="00224FF2" w:rsidP="00224FF2">
            <w:pPr>
              <w:spacing w:after="240"/>
              <w:jc w:val="right"/>
              <w:rPr>
                <w:sz w:val="22"/>
                <w:szCs w:val="22"/>
                <w:u w:val="double"/>
              </w:rPr>
            </w:pPr>
            <w:r w:rsidRPr="003A2A1C">
              <w:rPr>
                <w:sz w:val="22"/>
                <w:szCs w:val="22"/>
                <w:u w:val="double"/>
              </w:rPr>
              <w:t>$2,154</w:t>
            </w:r>
          </w:p>
        </w:tc>
        <w:tc>
          <w:tcPr>
            <w:tcW w:w="130" w:type="pct"/>
          </w:tcPr>
          <w:p w14:paraId="3FE4036F" w14:textId="77777777" w:rsidR="00224FF2" w:rsidRPr="003A2A1C" w:rsidRDefault="00224FF2" w:rsidP="00224FF2">
            <w:pPr>
              <w:spacing w:after="240"/>
              <w:jc w:val="both"/>
              <w:rPr>
                <w:sz w:val="22"/>
                <w:szCs w:val="22"/>
              </w:rPr>
            </w:pPr>
          </w:p>
        </w:tc>
      </w:tr>
      <w:tr w:rsidR="00224FF2" w:rsidRPr="003A2A1C" w14:paraId="726B618B" w14:textId="77777777" w:rsidTr="005C7FFA">
        <w:trPr>
          <w:trHeight w:hRule="exact" w:val="180"/>
        </w:trPr>
        <w:tc>
          <w:tcPr>
            <w:tcW w:w="249" w:type="pct"/>
          </w:tcPr>
          <w:p w14:paraId="137F97A6" w14:textId="77777777" w:rsidR="00224FF2" w:rsidRPr="003A2A1C" w:rsidRDefault="00224FF2" w:rsidP="00224FF2">
            <w:pPr>
              <w:spacing w:after="240"/>
              <w:jc w:val="both"/>
              <w:rPr>
                <w:sz w:val="22"/>
                <w:szCs w:val="22"/>
              </w:rPr>
            </w:pPr>
          </w:p>
        </w:tc>
        <w:tc>
          <w:tcPr>
            <w:tcW w:w="2711" w:type="pct"/>
          </w:tcPr>
          <w:p w14:paraId="20E96677" w14:textId="77777777" w:rsidR="00224FF2" w:rsidRPr="003A2A1C" w:rsidRDefault="00224FF2" w:rsidP="00224FF2">
            <w:pPr>
              <w:spacing w:after="240"/>
              <w:jc w:val="both"/>
              <w:rPr>
                <w:sz w:val="22"/>
                <w:szCs w:val="22"/>
              </w:rPr>
            </w:pPr>
          </w:p>
        </w:tc>
        <w:tc>
          <w:tcPr>
            <w:tcW w:w="169" w:type="pct"/>
            <w:gridSpan w:val="2"/>
          </w:tcPr>
          <w:p w14:paraId="350CAEAF" w14:textId="77777777" w:rsidR="00224FF2" w:rsidRPr="003A2A1C" w:rsidRDefault="00224FF2" w:rsidP="00224FF2">
            <w:pPr>
              <w:spacing w:after="240"/>
              <w:jc w:val="both"/>
              <w:rPr>
                <w:sz w:val="22"/>
                <w:szCs w:val="22"/>
              </w:rPr>
            </w:pPr>
          </w:p>
        </w:tc>
        <w:tc>
          <w:tcPr>
            <w:tcW w:w="829" w:type="pct"/>
            <w:gridSpan w:val="2"/>
          </w:tcPr>
          <w:p w14:paraId="4296460B" w14:textId="77777777" w:rsidR="00224FF2" w:rsidRPr="003A2A1C" w:rsidRDefault="00224FF2" w:rsidP="00224FF2">
            <w:pPr>
              <w:spacing w:after="240"/>
              <w:jc w:val="right"/>
              <w:rPr>
                <w:sz w:val="22"/>
                <w:szCs w:val="22"/>
                <w:u w:val="double"/>
              </w:rPr>
            </w:pPr>
          </w:p>
        </w:tc>
        <w:tc>
          <w:tcPr>
            <w:tcW w:w="912" w:type="pct"/>
          </w:tcPr>
          <w:p w14:paraId="1A09DF01" w14:textId="77777777" w:rsidR="00224FF2" w:rsidRPr="003A2A1C" w:rsidRDefault="00224FF2" w:rsidP="00224FF2">
            <w:pPr>
              <w:spacing w:after="240"/>
              <w:jc w:val="right"/>
              <w:rPr>
                <w:sz w:val="22"/>
                <w:szCs w:val="22"/>
                <w:u w:val="double"/>
              </w:rPr>
            </w:pPr>
          </w:p>
        </w:tc>
        <w:tc>
          <w:tcPr>
            <w:tcW w:w="130" w:type="pct"/>
          </w:tcPr>
          <w:p w14:paraId="07BCD606" w14:textId="77777777" w:rsidR="00224FF2" w:rsidRPr="003A2A1C" w:rsidRDefault="00224FF2" w:rsidP="00224FF2">
            <w:pPr>
              <w:spacing w:after="240"/>
              <w:jc w:val="both"/>
              <w:rPr>
                <w:sz w:val="22"/>
                <w:szCs w:val="22"/>
              </w:rPr>
            </w:pPr>
          </w:p>
        </w:tc>
      </w:tr>
      <w:tr w:rsidR="00224FF2" w:rsidRPr="003A2A1C" w14:paraId="5A50AE8F" w14:textId="77777777" w:rsidTr="003A2A1C">
        <w:trPr>
          <w:trHeight w:hRule="exact" w:val="288"/>
        </w:trPr>
        <w:tc>
          <w:tcPr>
            <w:tcW w:w="249" w:type="pct"/>
          </w:tcPr>
          <w:p w14:paraId="1C8A08A2" w14:textId="77777777" w:rsidR="00224FF2" w:rsidRPr="003A2A1C" w:rsidRDefault="00224FF2" w:rsidP="00224FF2">
            <w:pPr>
              <w:spacing w:after="240"/>
              <w:jc w:val="both"/>
              <w:rPr>
                <w:sz w:val="22"/>
                <w:szCs w:val="22"/>
              </w:rPr>
            </w:pPr>
            <w:r w:rsidRPr="003A2A1C">
              <w:rPr>
                <w:sz w:val="22"/>
                <w:szCs w:val="22"/>
              </w:rPr>
              <w:t>13.</w:t>
            </w:r>
          </w:p>
        </w:tc>
        <w:tc>
          <w:tcPr>
            <w:tcW w:w="2880" w:type="pct"/>
            <w:gridSpan w:val="3"/>
          </w:tcPr>
          <w:p w14:paraId="767A017F" w14:textId="77777777" w:rsidR="00224FF2" w:rsidRPr="003A2A1C" w:rsidRDefault="00224FF2" w:rsidP="00224FF2">
            <w:pPr>
              <w:spacing w:after="240"/>
              <w:jc w:val="both"/>
              <w:rPr>
                <w:sz w:val="22"/>
                <w:szCs w:val="22"/>
              </w:rPr>
            </w:pPr>
            <w:r w:rsidRPr="003A2A1C">
              <w:rPr>
                <w:sz w:val="22"/>
                <w:szCs w:val="22"/>
              </w:rPr>
              <w:t>Rate Case Expense (665/765)</w:t>
            </w:r>
          </w:p>
        </w:tc>
        <w:tc>
          <w:tcPr>
            <w:tcW w:w="829" w:type="pct"/>
            <w:gridSpan w:val="2"/>
          </w:tcPr>
          <w:p w14:paraId="41984C63" w14:textId="77777777" w:rsidR="00224FF2" w:rsidRPr="003A2A1C" w:rsidRDefault="00224FF2" w:rsidP="00224FF2">
            <w:pPr>
              <w:spacing w:after="240"/>
              <w:jc w:val="right"/>
              <w:rPr>
                <w:sz w:val="22"/>
                <w:szCs w:val="22"/>
                <w:u w:val="double"/>
              </w:rPr>
            </w:pPr>
          </w:p>
        </w:tc>
        <w:tc>
          <w:tcPr>
            <w:tcW w:w="912" w:type="pct"/>
          </w:tcPr>
          <w:p w14:paraId="0AB7577F" w14:textId="77777777" w:rsidR="00224FF2" w:rsidRPr="003A2A1C" w:rsidRDefault="00224FF2" w:rsidP="00224FF2">
            <w:pPr>
              <w:spacing w:after="240"/>
              <w:jc w:val="right"/>
              <w:rPr>
                <w:sz w:val="22"/>
                <w:szCs w:val="22"/>
                <w:u w:val="double"/>
              </w:rPr>
            </w:pPr>
          </w:p>
        </w:tc>
        <w:tc>
          <w:tcPr>
            <w:tcW w:w="130" w:type="pct"/>
          </w:tcPr>
          <w:p w14:paraId="36A45B55" w14:textId="77777777" w:rsidR="00224FF2" w:rsidRPr="003A2A1C" w:rsidRDefault="00224FF2" w:rsidP="00224FF2">
            <w:pPr>
              <w:spacing w:after="240"/>
              <w:jc w:val="both"/>
              <w:rPr>
                <w:sz w:val="22"/>
                <w:szCs w:val="22"/>
              </w:rPr>
            </w:pPr>
          </w:p>
        </w:tc>
      </w:tr>
      <w:tr w:rsidR="00224FF2" w:rsidRPr="003A2A1C" w14:paraId="12EB4281" w14:textId="77777777" w:rsidTr="003A2A1C">
        <w:trPr>
          <w:trHeight w:hRule="exact" w:val="288"/>
        </w:trPr>
        <w:tc>
          <w:tcPr>
            <w:tcW w:w="249" w:type="pct"/>
          </w:tcPr>
          <w:p w14:paraId="64458641" w14:textId="77777777" w:rsidR="00224FF2" w:rsidRPr="003A2A1C" w:rsidRDefault="00224FF2" w:rsidP="00224FF2">
            <w:pPr>
              <w:spacing w:after="240"/>
              <w:jc w:val="both"/>
              <w:rPr>
                <w:sz w:val="22"/>
                <w:szCs w:val="22"/>
              </w:rPr>
            </w:pPr>
          </w:p>
        </w:tc>
        <w:tc>
          <w:tcPr>
            <w:tcW w:w="2711" w:type="pct"/>
          </w:tcPr>
          <w:p w14:paraId="5A3C5171" w14:textId="77777777" w:rsidR="00224FF2" w:rsidRPr="003A2A1C" w:rsidRDefault="00224FF2" w:rsidP="00224FF2">
            <w:pPr>
              <w:spacing w:after="240"/>
              <w:jc w:val="both"/>
              <w:rPr>
                <w:sz w:val="22"/>
                <w:szCs w:val="22"/>
              </w:rPr>
            </w:pPr>
            <w:r w:rsidRPr="003A2A1C">
              <w:rPr>
                <w:sz w:val="22"/>
                <w:szCs w:val="22"/>
              </w:rPr>
              <w:t>To reflect 1/4 of rate case expense.</w:t>
            </w:r>
          </w:p>
        </w:tc>
        <w:tc>
          <w:tcPr>
            <w:tcW w:w="169" w:type="pct"/>
            <w:gridSpan w:val="2"/>
          </w:tcPr>
          <w:p w14:paraId="570D301F" w14:textId="77777777" w:rsidR="00224FF2" w:rsidRPr="003A2A1C" w:rsidRDefault="00224FF2" w:rsidP="00224FF2">
            <w:pPr>
              <w:spacing w:after="240"/>
              <w:jc w:val="both"/>
              <w:rPr>
                <w:sz w:val="22"/>
                <w:szCs w:val="22"/>
              </w:rPr>
            </w:pPr>
          </w:p>
        </w:tc>
        <w:tc>
          <w:tcPr>
            <w:tcW w:w="829" w:type="pct"/>
            <w:gridSpan w:val="2"/>
          </w:tcPr>
          <w:p w14:paraId="2FFBE776" w14:textId="77777777" w:rsidR="00224FF2" w:rsidRPr="003A2A1C" w:rsidRDefault="00224FF2" w:rsidP="00224FF2">
            <w:pPr>
              <w:spacing w:after="240"/>
              <w:jc w:val="right"/>
              <w:rPr>
                <w:sz w:val="22"/>
                <w:szCs w:val="22"/>
                <w:u w:val="double"/>
              </w:rPr>
            </w:pPr>
            <w:r w:rsidRPr="003A2A1C">
              <w:rPr>
                <w:sz w:val="22"/>
                <w:szCs w:val="22"/>
                <w:u w:val="double"/>
              </w:rPr>
              <w:t>$6,163</w:t>
            </w:r>
          </w:p>
        </w:tc>
        <w:tc>
          <w:tcPr>
            <w:tcW w:w="912" w:type="pct"/>
          </w:tcPr>
          <w:p w14:paraId="6DEB574E" w14:textId="77777777" w:rsidR="00224FF2" w:rsidRPr="003A2A1C" w:rsidRDefault="00224FF2" w:rsidP="00224FF2">
            <w:pPr>
              <w:spacing w:after="240"/>
              <w:jc w:val="right"/>
              <w:rPr>
                <w:sz w:val="22"/>
                <w:szCs w:val="22"/>
                <w:u w:val="double"/>
              </w:rPr>
            </w:pPr>
            <w:r w:rsidRPr="003A2A1C">
              <w:rPr>
                <w:sz w:val="22"/>
                <w:szCs w:val="22"/>
                <w:u w:val="double"/>
              </w:rPr>
              <w:t>$3,813</w:t>
            </w:r>
          </w:p>
        </w:tc>
        <w:tc>
          <w:tcPr>
            <w:tcW w:w="130" w:type="pct"/>
          </w:tcPr>
          <w:p w14:paraId="78814970" w14:textId="77777777" w:rsidR="00224FF2" w:rsidRPr="003A2A1C" w:rsidRDefault="00224FF2" w:rsidP="00224FF2">
            <w:pPr>
              <w:spacing w:after="240"/>
              <w:jc w:val="both"/>
              <w:rPr>
                <w:sz w:val="22"/>
                <w:szCs w:val="22"/>
              </w:rPr>
            </w:pPr>
          </w:p>
        </w:tc>
      </w:tr>
      <w:tr w:rsidR="00224FF2" w:rsidRPr="003A2A1C" w14:paraId="18DC6BF6" w14:textId="77777777" w:rsidTr="005C7FFA">
        <w:trPr>
          <w:trHeight w:hRule="exact" w:val="153"/>
        </w:trPr>
        <w:tc>
          <w:tcPr>
            <w:tcW w:w="249" w:type="pct"/>
          </w:tcPr>
          <w:p w14:paraId="6663093B" w14:textId="77777777" w:rsidR="00224FF2" w:rsidRPr="003A2A1C" w:rsidRDefault="00224FF2" w:rsidP="00224FF2">
            <w:pPr>
              <w:spacing w:after="240"/>
              <w:jc w:val="both"/>
              <w:rPr>
                <w:sz w:val="22"/>
                <w:szCs w:val="22"/>
              </w:rPr>
            </w:pPr>
          </w:p>
        </w:tc>
        <w:tc>
          <w:tcPr>
            <w:tcW w:w="2711" w:type="pct"/>
          </w:tcPr>
          <w:p w14:paraId="00660962" w14:textId="77777777" w:rsidR="00224FF2" w:rsidRPr="003A2A1C" w:rsidRDefault="00224FF2" w:rsidP="00224FF2">
            <w:pPr>
              <w:spacing w:after="240"/>
              <w:jc w:val="both"/>
              <w:rPr>
                <w:sz w:val="22"/>
                <w:szCs w:val="22"/>
              </w:rPr>
            </w:pPr>
          </w:p>
        </w:tc>
        <w:tc>
          <w:tcPr>
            <w:tcW w:w="169" w:type="pct"/>
            <w:gridSpan w:val="2"/>
          </w:tcPr>
          <w:p w14:paraId="6582AC1F" w14:textId="77777777" w:rsidR="00224FF2" w:rsidRPr="003A2A1C" w:rsidRDefault="00224FF2" w:rsidP="00224FF2">
            <w:pPr>
              <w:spacing w:after="240"/>
              <w:jc w:val="both"/>
              <w:rPr>
                <w:sz w:val="22"/>
                <w:szCs w:val="22"/>
              </w:rPr>
            </w:pPr>
          </w:p>
        </w:tc>
        <w:tc>
          <w:tcPr>
            <w:tcW w:w="829" w:type="pct"/>
            <w:gridSpan w:val="2"/>
          </w:tcPr>
          <w:p w14:paraId="611211F4" w14:textId="77777777" w:rsidR="00224FF2" w:rsidRPr="003A2A1C" w:rsidRDefault="00224FF2" w:rsidP="00224FF2">
            <w:pPr>
              <w:spacing w:after="240"/>
              <w:jc w:val="right"/>
              <w:rPr>
                <w:sz w:val="22"/>
                <w:szCs w:val="22"/>
                <w:u w:val="double"/>
              </w:rPr>
            </w:pPr>
          </w:p>
        </w:tc>
        <w:tc>
          <w:tcPr>
            <w:tcW w:w="912" w:type="pct"/>
          </w:tcPr>
          <w:p w14:paraId="0D47AD10" w14:textId="77777777" w:rsidR="00224FF2" w:rsidRPr="003A2A1C" w:rsidRDefault="00224FF2" w:rsidP="00224FF2">
            <w:pPr>
              <w:spacing w:after="240"/>
              <w:jc w:val="right"/>
              <w:rPr>
                <w:sz w:val="22"/>
                <w:szCs w:val="22"/>
                <w:u w:val="double"/>
              </w:rPr>
            </w:pPr>
          </w:p>
        </w:tc>
        <w:tc>
          <w:tcPr>
            <w:tcW w:w="130" w:type="pct"/>
          </w:tcPr>
          <w:p w14:paraId="11C6F61D" w14:textId="77777777" w:rsidR="00224FF2" w:rsidRPr="003A2A1C" w:rsidRDefault="00224FF2" w:rsidP="00224FF2">
            <w:pPr>
              <w:spacing w:after="240"/>
              <w:jc w:val="both"/>
              <w:rPr>
                <w:sz w:val="22"/>
                <w:szCs w:val="22"/>
              </w:rPr>
            </w:pPr>
          </w:p>
        </w:tc>
      </w:tr>
      <w:tr w:rsidR="00224FF2" w:rsidRPr="003A2A1C" w14:paraId="0B6BFD10" w14:textId="77777777" w:rsidTr="003A2A1C">
        <w:trPr>
          <w:trHeight w:hRule="exact" w:val="288"/>
        </w:trPr>
        <w:tc>
          <w:tcPr>
            <w:tcW w:w="249" w:type="pct"/>
          </w:tcPr>
          <w:p w14:paraId="5B268366" w14:textId="77777777" w:rsidR="00224FF2" w:rsidRPr="003A2A1C" w:rsidRDefault="00224FF2" w:rsidP="00224FF2">
            <w:pPr>
              <w:spacing w:after="240"/>
              <w:jc w:val="both"/>
              <w:rPr>
                <w:sz w:val="22"/>
                <w:szCs w:val="22"/>
              </w:rPr>
            </w:pPr>
            <w:r w:rsidRPr="003A2A1C">
              <w:rPr>
                <w:sz w:val="22"/>
                <w:szCs w:val="22"/>
              </w:rPr>
              <w:t>14.</w:t>
            </w:r>
          </w:p>
        </w:tc>
        <w:tc>
          <w:tcPr>
            <w:tcW w:w="2711" w:type="pct"/>
          </w:tcPr>
          <w:p w14:paraId="6F8BC162" w14:textId="77777777" w:rsidR="00224FF2" w:rsidRPr="003A2A1C" w:rsidRDefault="00224FF2" w:rsidP="00224FF2">
            <w:pPr>
              <w:spacing w:after="240"/>
              <w:jc w:val="both"/>
              <w:rPr>
                <w:sz w:val="22"/>
                <w:szCs w:val="22"/>
              </w:rPr>
            </w:pPr>
            <w:r w:rsidRPr="003A2A1C">
              <w:rPr>
                <w:sz w:val="22"/>
                <w:szCs w:val="22"/>
              </w:rPr>
              <w:t>Bad Debt Expense (670/770)</w:t>
            </w:r>
          </w:p>
        </w:tc>
        <w:tc>
          <w:tcPr>
            <w:tcW w:w="169" w:type="pct"/>
            <w:gridSpan w:val="2"/>
          </w:tcPr>
          <w:p w14:paraId="5F86CAEE" w14:textId="77777777" w:rsidR="00224FF2" w:rsidRPr="003A2A1C" w:rsidRDefault="00224FF2" w:rsidP="00224FF2">
            <w:pPr>
              <w:spacing w:after="240"/>
              <w:jc w:val="both"/>
              <w:rPr>
                <w:sz w:val="22"/>
                <w:szCs w:val="22"/>
              </w:rPr>
            </w:pPr>
          </w:p>
        </w:tc>
        <w:tc>
          <w:tcPr>
            <w:tcW w:w="829" w:type="pct"/>
            <w:gridSpan w:val="2"/>
          </w:tcPr>
          <w:p w14:paraId="5123EFE4" w14:textId="77777777" w:rsidR="00224FF2" w:rsidRPr="003A2A1C" w:rsidRDefault="00224FF2" w:rsidP="00224FF2">
            <w:pPr>
              <w:spacing w:after="240"/>
              <w:jc w:val="right"/>
              <w:rPr>
                <w:sz w:val="22"/>
                <w:szCs w:val="22"/>
                <w:u w:val="double"/>
              </w:rPr>
            </w:pPr>
          </w:p>
        </w:tc>
        <w:tc>
          <w:tcPr>
            <w:tcW w:w="912" w:type="pct"/>
          </w:tcPr>
          <w:p w14:paraId="6AB6D917" w14:textId="77777777" w:rsidR="00224FF2" w:rsidRPr="003A2A1C" w:rsidRDefault="00224FF2" w:rsidP="00224FF2">
            <w:pPr>
              <w:spacing w:after="240"/>
              <w:jc w:val="right"/>
              <w:rPr>
                <w:sz w:val="22"/>
                <w:szCs w:val="22"/>
                <w:u w:val="double"/>
              </w:rPr>
            </w:pPr>
          </w:p>
        </w:tc>
        <w:tc>
          <w:tcPr>
            <w:tcW w:w="130" w:type="pct"/>
          </w:tcPr>
          <w:p w14:paraId="03B32A57" w14:textId="77777777" w:rsidR="00224FF2" w:rsidRPr="003A2A1C" w:rsidRDefault="00224FF2" w:rsidP="00224FF2">
            <w:pPr>
              <w:spacing w:after="240"/>
              <w:jc w:val="both"/>
              <w:rPr>
                <w:sz w:val="22"/>
                <w:szCs w:val="22"/>
              </w:rPr>
            </w:pPr>
          </w:p>
        </w:tc>
      </w:tr>
      <w:tr w:rsidR="00224FF2" w:rsidRPr="003A2A1C" w14:paraId="1A5C5835" w14:textId="77777777" w:rsidTr="003A2A1C">
        <w:trPr>
          <w:trHeight w:hRule="exact" w:val="288"/>
        </w:trPr>
        <w:tc>
          <w:tcPr>
            <w:tcW w:w="249" w:type="pct"/>
          </w:tcPr>
          <w:p w14:paraId="48D7FDCB" w14:textId="77777777" w:rsidR="00224FF2" w:rsidRPr="003A2A1C" w:rsidRDefault="00224FF2" w:rsidP="00224FF2">
            <w:pPr>
              <w:spacing w:after="240"/>
              <w:jc w:val="both"/>
              <w:rPr>
                <w:sz w:val="22"/>
                <w:szCs w:val="22"/>
              </w:rPr>
            </w:pPr>
          </w:p>
        </w:tc>
        <w:tc>
          <w:tcPr>
            <w:tcW w:w="2711" w:type="pct"/>
          </w:tcPr>
          <w:p w14:paraId="21302A51" w14:textId="77777777" w:rsidR="00224FF2" w:rsidRPr="003A2A1C" w:rsidRDefault="00224FF2" w:rsidP="00224FF2">
            <w:pPr>
              <w:spacing w:after="240"/>
              <w:jc w:val="both"/>
              <w:rPr>
                <w:sz w:val="22"/>
                <w:szCs w:val="22"/>
              </w:rPr>
            </w:pPr>
            <w:r w:rsidRPr="003A2A1C">
              <w:rPr>
                <w:sz w:val="22"/>
                <w:szCs w:val="22"/>
              </w:rPr>
              <w:t>To reflect 2.0 percent of test year revenues.</w:t>
            </w:r>
          </w:p>
        </w:tc>
        <w:tc>
          <w:tcPr>
            <w:tcW w:w="169" w:type="pct"/>
            <w:gridSpan w:val="2"/>
          </w:tcPr>
          <w:p w14:paraId="4FD42989" w14:textId="77777777" w:rsidR="00224FF2" w:rsidRPr="003A2A1C" w:rsidRDefault="00224FF2" w:rsidP="00224FF2">
            <w:pPr>
              <w:spacing w:after="240"/>
              <w:jc w:val="both"/>
              <w:rPr>
                <w:sz w:val="22"/>
                <w:szCs w:val="22"/>
              </w:rPr>
            </w:pPr>
          </w:p>
        </w:tc>
        <w:tc>
          <w:tcPr>
            <w:tcW w:w="829" w:type="pct"/>
            <w:gridSpan w:val="2"/>
          </w:tcPr>
          <w:p w14:paraId="194A4AE2" w14:textId="77777777" w:rsidR="00224FF2" w:rsidRPr="003A2A1C" w:rsidRDefault="00224FF2" w:rsidP="00224FF2">
            <w:pPr>
              <w:spacing w:after="240"/>
              <w:jc w:val="right"/>
              <w:rPr>
                <w:sz w:val="22"/>
                <w:szCs w:val="22"/>
                <w:u w:val="double"/>
              </w:rPr>
            </w:pPr>
            <w:r w:rsidRPr="003A2A1C">
              <w:rPr>
                <w:sz w:val="22"/>
                <w:szCs w:val="22"/>
                <w:u w:val="double"/>
              </w:rPr>
              <w:t>$2,915</w:t>
            </w:r>
          </w:p>
        </w:tc>
        <w:tc>
          <w:tcPr>
            <w:tcW w:w="912" w:type="pct"/>
          </w:tcPr>
          <w:p w14:paraId="522778F9" w14:textId="77777777" w:rsidR="00224FF2" w:rsidRPr="003A2A1C" w:rsidRDefault="00224FF2" w:rsidP="00224FF2">
            <w:pPr>
              <w:spacing w:after="240"/>
              <w:jc w:val="right"/>
              <w:rPr>
                <w:sz w:val="22"/>
                <w:szCs w:val="22"/>
                <w:u w:val="double"/>
              </w:rPr>
            </w:pPr>
            <w:r w:rsidRPr="003A2A1C">
              <w:rPr>
                <w:sz w:val="22"/>
                <w:szCs w:val="22"/>
                <w:u w:val="double"/>
              </w:rPr>
              <w:t>$2,540</w:t>
            </w:r>
          </w:p>
        </w:tc>
        <w:tc>
          <w:tcPr>
            <w:tcW w:w="130" w:type="pct"/>
          </w:tcPr>
          <w:p w14:paraId="4F58BD20" w14:textId="77777777" w:rsidR="00224FF2" w:rsidRPr="003A2A1C" w:rsidRDefault="00224FF2" w:rsidP="00224FF2">
            <w:pPr>
              <w:spacing w:after="240"/>
              <w:jc w:val="both"/>
              <w:rPr>
                <w:sz w:val="22"/>
                <w:szCs w:val="22"/>
              </w:rPr>
            </w:pPr>
          </w:p>
        </w:tc>
      </w:tr>
      <w:tr w:rsidR="00224FF2" w:rsidRPr="003A2A1C" w14:paraId="682F262B" w14:textId="77777777" w:rsidTr="005C7FFA">
        <w:trPr>
          <w:trHeight w:hRule="exact" w:val="144"/>
        </w:trPr>
        <w:tc>
          <w:tcPr>
            <w:tcW w:w="249" w:type="pct"/>
          </w:tcPr>
          <w:p w14:paraId="63B0AC17" w14:textId="77777777" w:rsidR="00224FF2" w:rsidRPr="003A2A1C" w:rsidRDefault="00224FF2" w:rsidP="00224FF2">
            <w:pPr>
              <w:spacing w:after="240"/>
              <w:jc w:val="both"/>
              <w:rPr>
                <w:sz w:val="22"/>
                <w:szCs w:val="22"/>
              </w:rPr>
            </w:pPr>
          </w:p>
        </w:tc>
        <w:tc>
          <w:tcPr>
            <w:tcW w:w="2711" w:type="pct"/>
          </w:tcPr>
          <w:p w14:paraId="0BC6C919" w14:textId="77777777" w:rsidR="00224FF2" w:rsidRPr="003A2A1C" w:rsidRDefault="00224FF2" w:rsidP="00224FF2">
            <w:pPr>
              <w:spacing w:after="240"/>
              <w:jc w:val="both"/>
              <w:rPr>
                <w:sz w:val="22"/>
                <w:szCs w:val="22"/>
              </w:rPr>
            </w:pPr>
          </w:p>
        </w:tc>
        <w:tc>
          <w:tcPr>
            <w:tcW w:w="169" w:type="pct"/>
            <w:gridSpan w:val="2"/>
          </w:tcPr>
          <w:p w14:paraId="641D7648" w14:textId="77777777" w:rsidR="00224FF2" w:rsidRPr="003A2A1C" w:rsidRDefault="00224FF2" w:rsidP="00224FF2">
            <w:pPr>
              <w:spacing w:after="240"/>
              <w:jc w:val="both"/>
              <w:rPr>
                <w:sz w:val="22"/>
                <w:szCs w:val="22"/>
              </w:rPr>
            </w:pPr>
          </w:p>
        </w:tc>
        <w:tc>
          <w:tcPr>
            <w:tcW w:w="829" w:type="pct"/>
            <w:gridSpan w:val="2"/>
          </w:tcPr>
          <w:p w14:paraId="594F9CD2" w14:textId="77777777" w:rsidR="00224FF2" w:rsidRPr="003A2A1C" w:rsidRDefault="00224FF2" w:rsidP="00224FF2">
            <w:pPr>
              <w:spacing w:after="240"/>
              <w:jc w:val="right"/>
              <w:rPr>
                <w:sz w:val="22"/>
                <w:szCs w:val="22"/>
                <w:u w:val="double"/>
              </w:rPr>
            </w:pPr>
          </w:p>
        </w:tc>
        <w:tc>
          <w:tcPr>
            <w:tcW w:w="912" w:type="pct"/>
          </w:tcPr>
          <w:p w14:paraId="5E3FF702" w14:textId="77777777" w:rsidR="00224FF2" w:rsidRPr="003A2A1C" w:rsidRDefault="00224FF2" w:rsidP="00224FF2">
            <w:pPr>
              <w:spacing w:after="240"/>
              <w:jc w:val="right"/>
              <w:rPr>
                <w:sz w:val="22"/>
                <w:szCs w:val="22"/>
                <w:u w:val="double"/>
              </w:rPr>
            </w:pPr>
          </w:p>
        </w:tc>
        <w:tc>
          <w:tcPr>
            <w:tcW w:w="130" w:type="pct"/>
          </w:tcPr>
          <w:p w14:paraId="56F3F5F2" w14:textId="77777777" w:rsidR="00224FF2" w:rsidRPr="003A2A1C" w:rsidRDefault="00224FF2" w:rsidP="00224FF2">
            <w:pPr>
              <w:spacing w:after="240"/>
              <w:jc w:val="both"/>
              <w:rPr>
                <w:sz w:val="22"/>
                <w:szCs w:val="22"/>
              </w:rPr>
            </w:pPr>
          </w:p>
        </w:tc>
      </w:tr>
      <w:tr w:rsidR="00224FF2" w:rsidRPr="003A2A1C" w14:paraId="40DB21A0" w14:textId="77777777" w:rsidTr="003A2A1C">
        <w:trPr>
          <w:trHeight w:hRule="exact" w:val="288"/>
        </w:trPr>
        <w:tc>
          <w:tcPr>
            <w:tcW w:w="249" w:type="pct"/>
          </w:tcPr>
          <w:p w14:paraId="73D836FB" w14:textId="77777777" w:rsidR="00224FF2" w:rsidRPr="003A2A1C" w:rsidRDefault="00224FF2" w:rsidP="00224FF2">
            <w:pPr>
              <w:spacing w:after="240"/>
              <w:jc w:val="both"/>
              <w:rPr>
                <w:sz w:val="22"/>
                <w:szCs w:val="22"/>
              </w:rPr>
            </w:pPr>
            <w:r w:rsidRPr="003A2A1C">
              <w:rPr>
                <w:sz w:val="22"/>
                <w:szCs w:val="22"/>
              </w:rPr>
              <w:t>15.</w:t>
            </w:r>
          </w:p>
        </w:tc>
        <w:tc>
          <w:tcPr>
            <w:tcW w:w="2711" w:type="pct"/>
          </w:tcPr>
          <w:p w14:paraId="48C22296" w14:textId="77777777" w:rsidR="00224FF2" w:rsidRPr="003A2A1C" w:rsidRDefault="00224FF2" w:rsidP="00224FF2">
            <w:pPr>
              <w:spacing w:after="240"/>
              <w:jc w:val="both"/>
              <w:rPr>
                <w:sz w:val="22"/>
                <w:szCs w:val="22"/>
              </w:rPr>
            </w:pPr>
            <w:r w:rsidRPr="003A2A1C">
              <w:rPr>
                <w:sz w:val="22"/>
                <w:szCs w:val="22"/>
              </w:rPr>
              <w:t>Miscellaneous Expense (675)</w:t>
            </w:r>
          </w:p>
        </w:tc>
        <w:tc>
          <w:tcPr>
            <w:tcW w:w="169" w:type="pct"/>
            <w:gridSpan w:val="2"/>
          </w:tcPr>
          <w:p w14:paraId="5AB5A171" w14:textId="77777777" w:rsidR="00224FF2" w:rsidRPr="003A2A1C" w:rsidRDefault="00224FF2" w:rsidP="00224FF2">
            <w:pPr>
              <w:spacing w:after="240"/>
              <w:jc w:val="both"/>
              <w:rPr>
                <w:sz w:val="22"/>
                <w:szCs w:val="22"/>
              </w:rPr>
            </w:pPr>
          </w:p>
        </w:tc>
        <w:tc>
          <w:tcPr>
            <w:tcW w:w="829" w:type="pct"/>
            <w:gridSpan w:val="2"/>
          </w:tcPr>
          <w:p w14:paraId="04FF5ACC" w14:textId="77777777" w:rsidR="00224FF2" w:rsidRPr="003A2A1C" w:rsidRDefault="00224FF2" w:rsidP="00224FF2">
            <w:pPr>
              <w:spacing w:after="240"/>
              <w:jc w:val="right"/>
              <w:rPr>
                <w:sz w:val="22"/>
                <w:szCs w:val="22"/>
                <w:u w:val="double"/>
              </w:rPr>
            </w:pPr>
          </w:p>
        </w:tc>
        <w:tc>
          <w:tcPr>
            <w:tcW w:w="912" w:type="pct"/>
          </w:tcPr>
          <w:p w14:paraId="534B096B" w14:textId="77777777" w:rsidR="00224FF2" w:rsidRPr="003A2A1C" w:rsidRDefault="00224FF2" w:rsidP="00224FF2">
            <w:pPr>
              <w:spacing w:after="240"/>
              <w:jc w:val="right"/>
              <w:rPr>
                <w:sz w:val="22"/>
                <w:szCs w:val="22"/>
                <w:u w:val="double"/>
              </w:rPr>
            </w:pPr>
          </w:p>
        </w:tc>
        <w:tc>
          <w:tcPr>
            <w:tcW w:w="130" w:type="pct"/>
          </w:tcPr>
          <w:p w14:paraId="00B52863" w14:textId="77777777" w:rsidR="00224FF2" w:rsidRPr="003A2A1C" w:rsidRDefault="00224FF2" w:rsidP="00224FF2">
            <w:pPr>
              <w:spacing w:after="240"/>
              <w:jc w:val="both"/>
              <w:rPr>
                <w:sz w:val="22"/>
                <w:szCs w:val="22"/>
              </w:rPr>
            </w:pPr>
          </w:p>
        </w:tc>
      </w:tr>
      <w:tr w:rsidR="00224FF2" w:rsidRPr="003A2A1C" w14:paraId="32225EC1" w14:textId="77777777" w:rsidTr="003A2A1C">
        <w:trPr>
          <w:trHeight w:hRule="exact" w:val="288"/>
        </w:trPr>
        <w:tc>
          <w:tcPr>
            <w:tcW w:w="249" w:type="pct"/>
          </w:tcPr>
          <w:p w14:paraId="31A5D1CA" w14:textId="77777777" w:rsidR="00224FF2" w:rsidRPr="003A2A1C" w:rsidRDefault="00224FF2" w:rsidP="00224FF2">
            <w:pPr>
              <w:spacing w:after="240"/>
              <w:jc w:val="both"/>
              <w:rPr>
                <w:sz w:val="22"/>
                <w:szCs w:val="22"/>
              </w:rPr>
            </w:pPr>
          </w:p>
        </w:tc>
        <w:tc>
          <w:tcPr>
            <w:tcW w:w="2711" w:type="pct"/>
          </w:tcPr>
          <w:p w14:paraId="416E0F72" w14:textId="77777777" w:rsidR="00224FF2" w:rsidRPr="003A2A1C" w:rsidRDefault="00224FF2" w:rsidP="00224FF2">
            <w:pPr>
              <w:spacing w:after="240"/>
              <w:jc w:val="both"/>
              <w:rPr>
                <w:sz w:val="22"/>
                <w:szCs w:val="22"/>
              </w:rPr>
            </w:pPr>
            <w:r w:rsidRPr="003A2A1C">
              <w:rPr>
                <w:sz w:val="22"/>
                <w:szCs w:val="22"/>
              </w:rPr>
              <w:t>To reflect an auditing adjustment.</w:t>
            </w:r>
          </w:p>
        </w:tc>
        <w:tc>
          <w:tcPr>
            <w:tcW w:w="169" w:type="pct"/>
            <w:gridSpan w:val="2"/>
          </w:tcPr>
          <w:p w14:paraId="365352D2" w14:textId="77777777" w:rsidR="00224FF2" w:rsidRPr="003A2A1C" w:rsidRDefault="00224FF2" w:rsidP="00224FF2">
            <w:pPr>
              <w:spacing w:after="240"/>
              <w:jc w:val="both"/>
              <w:rPr>
                <w:sz w:val="22"/>
                <w:szCs w:val="22"/>
              </w:rPr>
            </w:pPr>
          </w:p>
        </w:tc>
        <w:tc>
          <w:tcPr>
            <w:tcW w:w="829" w:type="pct"/>
            <w:gridSpan w:val="2"/>
          </w:tcPr>
          <w:p w14:paraId="359D03ED" w14:textId="77777777" w:rsidR="00224FF2" w:rsidRPr="003A2A1C" w:rsidRDefault="00224FF2" w:rsidP="00224FF2">
            <w:pPr>
              <w:spacing w:after="240"/>
              <w:jc w:val="right"/>
              <w:rPr>
                <w:sz w:val="22"/>
                <w:szCs w:val="22"/>
                <w:u w:val="double"/>
              </w:rPr>
            </w:pPr>
            <w:r w:rsidRPr="003A2A1C">
              <w:rPr>
                <w:sz w:val="22"/>
                <w:szCs w:val="22"/>
                <w:u w:val="double"/>
              </w:rPr>
              <w:t>($12,425)</w:t>
            </w:r>
          </w:p>
        </w:tc>
        <w:tc>
          <w:tcPr>
            <w:tcW w:w="912" w:type="pct"/>
          </w:tcPr>
          <w:p w14:paraId="63AC796E" w14:textId="77777777" w:rsidR="00224FF2" w:rsidRPr="003A2A1C" w:rsidRDefault="00224FF2" w:rsidP="00224FF2">
            <w:pPr>
              <w:spacing w:after="240"/>
              <w:jc w:val="right"/>
              <w:rPr>
                <w:sz w:val="22"/>
                <w:szCs w:val="22"/>
                <w:u w:val="double"/>
              </w:rPr>
            </w:pPr>
          </w:p>
        </w:tc>
        <w:tc>
          <w:tcPr>
            <w:tcW w:w="130" w:type="pct"/>
          </w:tcPr>
          <w:p w14:paraId="6ABB6519" w14:textId="77777777" w:rsidR="00224FF2" w:rsidRPr="003A2A1C" w:rsidRDefault="00224FF2" w:rsidP="00224FF2">
            <w:pPr>
              <w:spacing w:after="240"/>
              <w:jc w:val="both"/>
              <w:rPr>
                <w:sz w:val="22"/>
                <w:szCs w:val="22"/>
              </w:rPr>
            </w:pPr>
          </w:p>
        </w:tc>
      </w:tr>
      <w:tr w:rsidR="00224FF2" w:rsidRPr="003A2A1C" w14:paraId="5736B1C1" w14:textId="77777777" w:rsidTr="003A2A1C">
        <w:trPr>
          <w:trHeight w:hRule="exact" w:val="144"/>
        </w:trPr>
        <w:tc>
          <w:tcPr>
            <w:tcW w:w="249" w:type="pct"/>
          </w:tcPr>
          <w:p w14:paraId="6B99D074" w14:textId="77777777" w:rsidR="00224FF2" w:rsidRPr="003A2A1C" w:rsidRDefault="00224FF2" w:rsidP="00224FF2">
            <w:pPr>
              <w:spacing w:after="240"/>
              <w:jc w:val="both"/>
              <w:rPr>
                <w:sz w:val="22"/>
                <w:szCs w:val="22"/>
              </w:rPr>
            </w:pPr>
          </w:p>
        </w:tc>
        <w:tc>
          <w:tcPr>
            <w:tcW w:w="2711" w:type="pct"/>
          </w:tcPr>
          <w:p w14:paraId="06DED0C7" w14:textId="77777777" w:rsidR="00224FF2" w:rsidRPr="003A2A1C" w:rsidRDefault="00224FF2" w:rsidP="00224FF2">
            <w:pPr>
              <w:spacing w:after="240"/>
              <w:jc w:val="both"/>
              <w:rPr>
                <w:sz w:val="22"/>
                <w:szCs w:val="22"/>
              </w:rPr>
            </w:pPr>
          </w:p>
        </w:tc>
        <w:tc>
          <w:tcPr>
            <w:tcW w:w="169" w:type="pct"/>
            <w:gridSpan w:val="2"/>
          </w:tcPr>
          <w:p w14:paraId="2CFC25A8" w14:textId="77777777" w:rsidR="00224FF2" w:rsidRPr="003A2A1C" w:rsidRDefault="00224FF2" w:rsidP="00224FF2">
            <w:pPr>
              <w:spacing w:after="240"/>
              <w:jc w:val="both"/>
              <w:rPr>
                <w:sz w:val="22"/>
                <w:szCs w:val="22"/>
              </w:rPr>
            </w:pPr>
          </w:p>
        </w:tc>
        <w:tc>
          <w:tcPr>
            <w:tcW w:w="829" w:type="pct"/>
            <w:gridSpan w:val="2"/>
          </w:tcPr>
          <w:p w14:paraId="603D5CD2" w14:textId="77777777" w:rsidR="00224FF2" w:rsidRPr="003A2A1C" w:rsidRDefault="00224FF2" w:rsidP="00224FF2">
            <w:pPr>
              <w:spacing w:after="240"/>
              <w:jc w:val="right"/>
              <w:rPr>
                <w:sz w:val="22"/>
                <w:szCs w:val="22"/>
              </w:rPr>
            </w:pPr>
          </w:p>
        </w:tc>
        <w:tc>
          <w:tcPr>
            <w:tcW w:w="912" w:type="pct"/>
          </w:tcPr>
          <w:p w14:paraId="2D1EC65F" w14:textId="77777777" w:rsidR="00224FF2" w:rsidRPr="003A2A1C" w:rsidRDefault="00224FF2" w:rsidP="00224FF2">
            <w:pPr>
              <w:spacing w:after="240"/>
              <w:jc w:val="right"/>
              <w:rPr>
                <w:sz w:val="22"/>
                <w:szCs w:val="22"/>
              </w:rPr>
            </w:pPr>
          </w:p>
        </w:tc>
        <w:tc>
          <w:tcPr>
            <w:tcW w:w="130" w:type="pct"/>
          </w:tcPr>
          <w:p w14:paraId="10ACFB70" w14:textId="77777777" w:rsidR="00224FF2" w:rsidRPr="003A2A1C" w:rsidRDefault="00224FF2" w:rsidP="00224FF2">
            <w:pPr>
              <w:spacing w:after="240"/>
              <w:jc w:val="both"/>
              <w:rPr>
                <w:sz w:val="22"/>
                <w:szCs w:val="22"/>
              </w:rPr>
            </w:pPr>
          </w:p>
        </w:tc>
      </w:tr>
      <w:tr w:rsidR="00224FF2" w:rsidRPr="003A2A1C" w14:paraId="4F32CCCF" w14:textId="77777777" w:rsidTr="003A2A1C">
        <w:trPr>
          <w:trHeight w:hRule="exact" w:val="288"/>
        </w:trPr>
        <w:tc>
          <w:tcPr>
            <w:tcW w:w="249" w:type="pct"/>
          </w:tcPr>
          <w:p w14:paraId="684E308C" w14:textId="77777777" w:rsidR="00224FF2" w:rsidRPr="003A2A1C" w:rsidRDefault="00224FF2" w:rsidP="00224FF2">
            <w:pPr>
              <w:spacing w:after="240"/>
              <w:jc w:val="both"/>
              <w:rPr>
                <w:sz w:val="22"/>
                <w:szCs w:val="22"/>
              </w:rPr>
            </w:pPr>
          </w:p>
        </w:tc>
        <w:tc>
          <w:tcPr>
            <w:tcW w:w="2880" w:type="pct"/>
            <w:gridSpan w:val="3"/>
          </w:tcPr>
          <w:p w14:paraId="1AA9593B" w14:textId="77777777" w:rsidR="00224FF2" w:rsidRPr="003A2A1C" w:rsidRDefault="00224FF2" w:rsidP="00224FF2">
            <w:pPr>
              <w:spacing w:after="240"/>
              <w:jc w:val="both"/>
              <w:rPr>
                <w:b/>
                <w:sz w:val="22"/>
                <w:szCs w:val="22"/>
              </w:rPr>
            </w:pPr>
            <w:r w:rsidRPr="003A2A1C">
              <w:rPr>
                <w:b/>
                <w:sz w:val="22"/>
                <w:szCs w:val="22"/>
              </w:rPr>
              <w:t>TOTAL OPERATION AND MAINTENANCE ADJ.</w:t>
            </w:r>
          </w:p>
        </w:tc>
        <w:tc>
          <w:tcPr>
            <w:tcW w:w="829" w:type="pct"/>
            <w:gridSpan w:val="2"/>
          </w:tcPr>
          <w:p w14:paraId="6DD0F543" w14:textId="77777777" w:rsidR="00224FF2" w:rsidRPr="003A2A1C" w:rsidRDefault="00224FF2" w:rsidP="00224FF2">
            <w:pPr>
              <w:spacing w:after="240"/>
              <w:jc w:val="right"/>
              <w:rPr>
                <w:sz w:val="22"/>
                <w:szCs w:val="22"/>
                <w:u w:val="double"/>
              </w:rPr>
            </w:pPr>
            <w:r w:rsidRPr="003A2A1C">
              <w:rPr>
                <w:sz w:val="22"/>
                <w:szCs w:val="22"/>
                <w:u w:val="double"/>
              </w:rPr>
              <w:t>($73,210)</w:t>
            </w:r>
          </w:p>
        </w:tc>
        <w:tc>
          <w:tcPr>
            <w:tcW w:w="912" w:type="pct"/>
          </w:tcPr>
          <w:p w14:paraId="045DFA76" w14:textId="77777777" w:rsidR="00224FF2" w:rsidRPr="003A2A1C" w:rsidRDefault="00224FF2" w:rsidP="00224FF2">
            <w:pPr>
              <w:spacing w:after="240"/>
              <w:jc w:val="right"/>
              <w:rPr>
                <w:sz w:val="22"/>
                <w:szCs w:val="22"/>
                <w:u w:val="double"/>
              </w:rPr>
            </w:pPr>
            <w:r w:rsidRPr="003A2A1C">
              <w:rPr>
                <w:sz w:val="22"/>
                <w:szCs w:val="22"/>
                <w:u w:val="double"/>
              </w:rPr>
              <w:t>($157,738)</w:t>
            </w:r>
          </w:p>
        </w:tc>
        <w:tc>
          <w:tcPr>
            <w:tcW w:w="130" w:type="pct"/>
          </w:tcPr>
          <w:p w14:paraId="245E42BB" w14:textId="77777777" w:rsidR="00224FF2" w:rsidRPr="003A2A1C" w:rsidRDefault="00224FF2" w:rsidP="00224FF2">
            <w:pPr>
              <w:spacing w:after="240"/>
              <w:jc w:val="both"/>
              <w:rPr>
                <w:sz w:val="22"/>
                <w:szCs w:val="22"/>
              </w:rPr>
            </w:pPr>
          </w:p>
        </w:tc>
      </w:tr>
      <w:tr w:rsidR="00224FF2" w:rsidRPr="003A2A1C" w14:paraId="779351EF" w14:textId="77777777" w:rsidTr="003A2A1C">
        <w:trPr>
          <w:trHeight w:hRule="exact" w:val="162"/>
        </w:trPr>
        <w:tc>
          <w:tcPr>
            <w:tcW w:w="249" w:type="pct"/>
          </w:tcPr>
          <w:p w14:paraId="6AE808F9" w14:textId="77777777" w:rsidR="00224FF2" w:rsidRPr="003A2A1C" w:rsidRDefault="00224FF2" w:rsidP="00224FF2">
            <w:pPr>
              <w:spacing w:after="240"/>
              <w:jc w:val="both"/>
              <w:rPr>
                <w:sz w:val="22"/>
                <w:szCs w:val="22"/>
              </w:rPr>
            </w:pPr>
          </w:p>
        </w:tc>
        <w:tc>
          <w:tcPr>
            <w:tcW w:w="2880" w:type="pct"/>
            <w:gridSpan w:val="3"/>
          </w:tcPr>
          <w:p w14:paraId="62AD2840" w14:textId="77777777" w:rsidR="00224FF2" w:rsidRPr="003A2A1C" w:rsidRDefault="00224FF2" w:rsidP="00224FF2">
            <w:pPr>
              <w:spacing w:after="240"/>
              <w:jc w:val="both"/>
              <w:rPr>
                <w:sz w:val="22"/>
                <w:szCs w:val="22"/>
              </w:rPr>
            </w:pPr>
          </w:p>
        </w:tc>
        <w:tc>
          <w:tcPr>
            <w:tcW w:w="829" w:type="pct"/>
            <w:gridSpan w:val="2"/>
          </w:tcPr>
          <w:p w14:paraId="27EDF964" w14:textId="77777777" w:rsidR="00224FF2" w:rsidRPr="003A2A1C" w:rsidRDefault="00224FF2" w:rsidP="00224FF2">
            <w:pPr>
              <w:spacing w:after="240"/>
              <w:jc w:val="right"/>
              <w:rPr>
                <w:sz w:val="22"/>
                <w:szCs w:val="22"/>
              </w:rPr>
            </w:pPr>
          </w:p>
        </w:tc>
        <w:tc>
          <w:tcPr>
            <w:tcW w:w="912" w:type="pct"/>
          </w:tcPr>
          <w:p w14:paraId="6F853882" w14:textId="77777777" w:rsidR="00224FF2" w:rsidRPr="003A2A1C" w:rsidRDefault="00224FF2" w:rsidP="00224FF2">
            <w:pPr>
              <w:spacing w:after="240"/>
              <w:jc w:val="right"/>
              <w:rPr>
                <w:sz w:val="22"/>
                <w:szCs w:val="22"/>
              </w:rPr>
            </w:pPr>
          </w:p>
        </w:tc>
        <w:tc>
          <w:tcPr>
            <w:tcW w:w="130" w:type="pct"/>
          </w:tcPr>
          <w:p w14:paraId="64D5C27E" w14:textId="77777777" w:rsidR="00224FF2" w:rsidRPr="003A2A1C" w:rsidRDefault="00224FF2" w:rsidP="00224FF2">
            <w:pPr>
              <w:spacing w:after="240"/>
              <w:jc w:val="both"/>
              <w:rPr>
                <w:sz w:val="22"/>
                <w:szCs w:val="22"/>
              </w:rPr>
            </w:pPr>
          </w:p>
        </w:tc>
      </w:tr>
      <w:tr w:rsidR="00224FF2" w:rsidRPr="003A2A1C" w14:paraId="27F78EF7" w14:textId="77777777" w:rsidTr="003A2A1C">
        <w:trPr>
          <w:trHeight w:hRule="exact" w:val="288"/>
        </w:trPr>
        <w:tc>
          <w:tcPr>
            <w:tcW w:w="249" w:type="pct"/>
          </w:tcPr>
          <w:p w14:paraId="69BB28D2" w14:textId="77777777" w:rsidR="00224FF2" w:rsidRPr="003A2A1C" w:rsidRDefault="00224FF2" w:rsidP="00224FF2">
            <w:pPr>
              <w:spacing w:after="240"/>
              <w:jc w:val="both"/>
              <w:rPr>
                <w:sz w:val="22"/>
                <w:szCs w:val="22"/>
              </w:rPr>
            </w:pPr>
          </w:p>
        </w:tc>
        <w:tc>
          <w:tcPr>
            <w:tcW w:w="2880" w:type="pct"/>
            <w:gridSpan w:val="3"/>
          </w:tcPr>
          <w:p w14:paraId="4C19E8D0" w14:textId="77777777" w:rsidR="00224FF2" w:rsidRPr="003A2A1C" w:rsidRDefault="00224FF2" w:rsidP="00224FF2">
            <w:pPr>
              <w:spacing w:after="240"/>
              <w:jc w:val="both"/>
              <w:rPr>
                <w:b/>
                <w:sz w:val="22"/>
                <w:szCs w:val="22"/>
              </w:rPr>
            </w:pPr>
            <w:r w:rsidRPr="003A2A1C">
              <w:rPr>
                <w:b/>
                <w:sz w:val="22"/>
                <w:szCs w:val="22"/>
              </w:rPr>
              <w:t>DEPRECIATION EXPENSE</w:t>
            </w:r>
          </w:p>
        </w:tc>
        <w:tc>
          <w:tcPr>
            <w:tcW w:w="829" w:type="pct"/>
            <w:gridSpan w:val="2"/>
          </w:tcPr>
          <w:p w14:paraId="19055C51" w14:textId="77777777" w:rsidR="00224FF2" w:rsidRPr="003A2A1C" w:rsidRDefault="00224FF2" w:rsidP="00224FF2">
            <w:pPr>
              <w:spacing w:after="240"/>
              <w:jc w:val="right"/>
              <w:rPr>
                <w:sz w:val="22"/>
                <w:szCs w:val="22"/>
              </w:rPr>
            </w:pPr>
          </w:p>
        </w:tc>
        <w:tc>
          <w:tcPr>
            <w:tcW w:w="912" w:type="pct"/>
          </w:tcPr>
          <w:p w14:paraId="7DB3405A" w14:textId="77777777" w:rsidR="00224FF2" w:rsidRPr="003A2A1C" w:rsidRDefault="00224FF2" w:rsidP="00224FF2">
            <w:pPr>
              <w:spacing w:after="240"/>
              <w:jc w:val="right"/>
              <w:rPr>
                <w:sz w:val="22"/>
                <w:szCs w:val="22"/>
              </w:rPr>
            </w:pPr>
          </w:p>
        </w:tc>
        <w:tc>
          <w:tcPr>
            <w:tcW w:w="130" w:type="pct"/>
          </w:tcPr>
          <w:p w14:paraId="60B8ADFC" w14:textId="77777777" w:rsidR="00224FF2" w:rsidRPr="003A2A1C" w:rsidRDefault="00224FF2" w:rsidP="00224FF2">
            <w:pPr>
              <w:spacing w:after="240"/>
              <w:jc w:val="both"/>
              <w:rPr>
                <w:sz w:val="22"/>
                <w:szCs w:val="22"/>
              </w:rPr>
            </w:pPr>
          </w:p>
        </w:tc>
      </w:tr>
      <w:tr w:rsidR="00224FF2" w:rsidRPr="003A2A1C" w14:paraId="3B333A93" w14:textId="77777777" w:rsidTr="003A2A1C">
        <w:trPr>
          <w:trHeight w:hRule="exact" w:val="288"/>
        </w:trPr>
        <w:tc>
          <w:tcPr>
            <w:tcW w:w="249" w:type="pct"/>
          </w:tcPr>
          <w:p w14:paraId="5F345B37" w14:textId="77777777" w:rsidR="00224FF2" w:rsidRPr="003A2A1C" w:rsidRDefault="00224FF2" w:rsidP="00224FF2">
            <w:pPr>
              <w:spacing w:after="240"/>
              <w:jc w:val="both"/>
              <w:rPr>
                <w:sz w:val="22"/>
                <w:szCs w:val="22"/>
              </w:rPr>
            </w:pPr>
            <w:r w:rsidRPr="003A2A1C">
              <w:rPr>
                <w:sz w:val="22"/>
                <w:szCs w:val="22"/>
              </w:rPr>
              <w:t>1.</w:t>
            </w:r>
          </w:p>
        </w:tc>
        <w:tc>
          <w:tcPr>
            <w:tcW w:w="2880" w:type="pct"/>
            <w:gridSpan w:val="3"/>
          </w:tcPr>
          <w:p w14:paraId="769C43BD" w14:textId="77777777" w:rsidR="00224FF2" w:rsidRPr="003A2A1C" w:rsidRDefault="00224FF2" w:rsidP="00224FF2">
            <w:pPr>
              <w:spacing w:after="240"/>
              <w:jc w:val="both"/>
              <w:rPr>
                <w:sz w:val="22"/>
                <w:szCs w:val="22"/>
              </w:rPr>
            </w:pPr>
            <w:r w:rsidRPr="003A2A1C">
              <w:rPr>
                <w:sz w:val="22"/>
                <w:szCs w:val="22"/>
              </w:rPr>
              <w:t>To reflect appropriate depreciation expenses.</w:t>
            </w:r>
          </w:p>
        </w:tc>
        <w:tc>
          <w:tcPr>
            <w:tcW w:w="829" w:type="pct"/>
            <w:gridSpan w:val="2"/>
          </w:tcPr>
          <w:p w14:paraId="63DFA60A" w14:textId="77777777" w:rsidR="00224FF2" w:rsidRPr="003A2A1C" w:rsidRDefault="00224FF2" w:rsidP="00224FF2">
            <w:pPr>
              <w:spacing w:after="240"/>
              <w:jc w:val="right"/>
              <w:rPr>
                <w:sz w:val="22"/>
                <w:szCs w:val="22"/>
              </w:rPr>
            </w:pPr>
            <w:r w:rsidRPr="003A2A1C">
              <w:rPr>
                <w:sz w:val="22"/>
                <w:szCs w:val="22"/>
              </w:rPr>
              <w:t>($21,007)</w:t>
            </w:r>
          </w:p>
        </w:tc>
        <w:tc>
          <w:tcPr>
            <w:tcW w:w="912" w:type="pct"/>
          </w:tcPr>
          <w:p w14:paraId="15F1BB8E" w14:textId="77777777" w:rsidR="00224FF2" w:rsidRPr="003A2A1C" w:rsidRDefault="00224FF2" w:rsidP="00224FF2">
            <w:pPr>
              <w:spacing w:after="240"/>
              <w:jc w:val="right"/>
              <w:rPr>
                <w:sz w:val="22"/>
                <w:szCs w:val="22"/>
              </w:rPr>
            </w:pPr>
            <w:r w:rsidRPr="003A2A1C">
              <w:rPr>
                <w:sz w:val="22"/>
                <w:szCs w:val="22"/>
              </w:rPr>
              <w:t>($8,378)</w:t>
            </w:r>
          </w:p>
        </w:tc>
        <w:tc>
          <w:tcPr>
            <w:tcW w:w="130" w:type="pct"/>
          </w:tcPr>
          <w:p w14:paraId="75B4FBF7" w14:textId="77777777" w:rsidR="00224FF2" w:rsidRPr="003A2A1C" w:rsidRDefault="00224FF2" w:rsidP="00224FF2">
            <w:pPr>
              <w:spacing w:after="240"/>
              <w:jc w:val="both"/>
              <w:rPr>
                <w:sz w:val="22"/>
                <w:szCs w:val="22"/>
              </w:rPr>
            </w:pPr>
          </w:p>
        </w:tc>
      </w:tr>
      <w:tr w:rsidR="00224FF2" w:rsidRPr="003A2A1C" w14:paraId="4A10C410" w14:textId="77777777" w:rsidTr="003A2A1C">
        <w:trPr>
          <w:trHeight w:hRule="exact" w:val="288"/>
        </w:trPr>
        <w:tc>
          <w:tcPr>
            <w:tcW w:w="249" w:type="pct"/>
          </w:tcPr>
          <w:p w14:paraId="375AFF61" w14:textId="77777777" w:rsidR="00224FF2" w:rsidRPr="003A2A1C" w:rsidRDefault="00224FF2" w:rsidP="00224FF2">
            <w:pPr>
              <w:spacing w:after="240"/>
              <w:jc w:val="both"/>
              <w:rPr>
                <w:sz w:val="22"/>
                <w:szCs w:val="22"/>
              </w:rPr>
            </w:pPr>
            <w:r w:rsidRPr="003A2A1C">
              <w:rPr>
                <w:sz w:val="22"/>
                <w:szCs w:val="22"/>
              </w:rPr>
              <w:t>2.</w:t>
            </w:r>
          </w:p>
        </w:tc>
        <w:tc>
          <w:tcPr>
            <w:tcW w:w="2880" w:type="pct"/>
            <w:gridSpan w:val="3"/>
          </w:tcPr>
          <w:p w14:paraId="39040E3F" w14:textId="77777777" w:rsidR="00224FF2" w:rsidRPr="003A2A1C" w:rsidRDefault="00224FF2" w:rsidP="00224FF2">
            <w:pPr>
              <w:spacing w:after="240"/>
              <w:jc w:val="both"/>
              <w:rPr>
                <w:sz w:val="22"/>
                <w:szCs w:val="22"/>
              </w:rPr>
            </w:pPr>
            <w:r w:rsidRPr="003A2A1C">
              <w:rPr>
                <w:sz w:val="22"/>
                <w:szCs w:val="22"/>
              </w:rPr>
              <w:t>To reflect pro forma additions.</w:t>
            </w:r>
          </w:p>
        </w:tc>
        <w:tc>
          <w:tcPr>
            <w:tcW w:w="829" w:type="pct"/>
            <w:gridSpan w:val="2"/>
          </w:tcPr>
          <w:p w14:paraId="6BA350D7" w14:textId="77777777" w:rsidR="00224FF2" w:rsidRPr="003A2A1C" w:rsidRDefault="00224FF2" w:rsidP="00224FF2">
            <w:pPr>
              <w:spacing w:after="240"/>
              <w:jc w:val="right"/>
              <w:rPr>
                <w:sz w:val="22"/>
                <w:szCs w:val="22"/>
                <w:u w:val="single"/>
              </w:rPr>
            </w:pPr>
            <w:r w:rsidRPr="003A2A1C">
              <w:rPr>
                <w:sz w:val="22"/>
                <w:szCs w:val="22"/>
                <w:u w:val="single"/>
              </w:rPr>
              <w:t>58,143</w:t>
            </w:r>
          </w:p>
        </w:tc>
        <w:tc>
          <w:tcPr>
            <w:tcW w:w="912" w:type="pct"/>
          </w:tcPr>
          <w:p w14:paraId="73612CA8" w14:textId="77777777" w:rsidR="00224FF2" w:rsidRPr="003A2A1C" w:rsidRDefault="00224FF2" w:rsidP="00224FF2">
            <w:pPr>
              <w:spacing w:after="240"/>
              <w:jc w:val="right"/>
              <w:rPr>
                <w:sz w:val="22"/>
                <w:szCs w:val="22"/>
                <w:u w:val="single"/>
              </w:rPr>
            </w:pPr>
            <w:r w:rsidRPr="003A2A1C">
              <w:rPr>
                <w:sz w:val="22"/>
                <w:szCs w:val="22"/>
                <w:u w:val="single"/>
              </w:rPr>
              <w:t>47,694</w:t>
            </w:r>
          </w:p>
        </w:tc>
        <w:tc>
          <w:tcPr>
            <w:tcW w:w="130" w:type="pct"/>
          </w:tcPr>
          <w:p w14:paraId="71FB203D" w14:textId="77777777" w:rsidR="00224FF2" w:rsidRPr="003A2A1C" w:rsidRDefault="00224FF2" w:rsidP="00224FF2">
            <w:pPr>
              <w:spacing w:after="240"/>
              <w:jc w:val="both"/>
              <w:rPr>
                <w:sz w:val="22"/>
                <w:szCs w:val="22"/>
              </w:rPr>
            </w:pPr>
          </w:p>
        </w:tc>
      </w:tr>
      <w:tr w:rsidR="00224FF2" w:rsidRPr="003A2A1C" w14:paraId="267EBC63" w14:textId="77777777" w:rsidTr="003A2A1C">
        <w:trPr>
          <w:trHeight w:hRule="exact" w:val="288"/>
        </w:trPr>
        <w:tc>
          <w:tcPr>
            <w:tcW w:w="249" w:type="pct"/>
          </w:tcPr>
          <w:p w14:paraId="003E760E" w14:textId="77777777" w:rsidR="00224FF2" w:rsidRPr="003A2A1C" w:rsidRDefault="00224FF2" w:rsidP="00224FF2">
            <w:pPr>
              <w:spacing w:after="240"/>
              <w:jc w:val="both"/>
              <w:rPr>
                <w:sz w:val="22"/>
                <w:szCs w:val="22"/>
              </w:rPr>
            </w:pPr>
          </w:p>
        </w:tc>
        <w:tc>
          <w:tcPr>
            <w:tcW w:w="2880" w:type="pct"/>
            <w:gridSpan w:val="3"/>
          </w:tcPr>
          <w:p w14:paraId="77439B33" w14:textId="77777777" w:rsidR="00224FF2" w:rsidRPr="003A2A1C" w:rsidRDefault="00224FF2" w:rsidP="00224FF2">
            <w:pPr>
              <w:spacing w:after="240"/>
              <w:jc w:val="both"/>
              <w:rPr>
                <w:sz w:val="22"/>
                <w:szCs w:val="22"/>
              </w:rPr>
            </w:pPr>
            <w:r w:rsidRPr="003A2A1C">
              <w:rPr>
                <w:sz w:val="22"/>
                <w:szCs w:val="22"/>
              </w:rPr>
              <w:t>Subtotal</w:t>
            </w:r>
          </w:p>
        </w:tc>
        <w:tc>
          <w:tcPr>
            <w:tcW w:w="829" w:type="pct"/>
            <w:gridSpan w:val="2"/>
          </w:tcPr>
          <w:p w14:paraId="77A5E27F" w14:textId="77777777" w:rsidR="00224FF2" w:rsidRPr="003A2A1C" w:rsidRDefault="00224FF2" w:rsidP="00224FF2">
            <w:pPr>
              <w:spacing w:after="240"/>
              <w:jc w:val="right"/>
              <w:rPr>
                <w:sz w:val="22"/>
                <w:szCs w:val="22"/>
                <w:u w:val="double"/>
              </w:rPr>
            </w:pPr>
            <w:r w:rsidRPr="003A2A1C">
              <w:rPr>
                <w:sz w:val="22"/>
                <w:szCs w:val="22"/>
                <w:u w:val="double"/>
              </w:rPr>
              <w:t>$37,136</w:t>
            </w:r>
          </w:p>
        </w:tc>
        <w:tc>
          <w:tcPr>
            <w:tcW w:w="912" w:type="pct"/>
          </w:tcPr>
          <w:p w14:paraId="31EF0AD0" w14:textId="77777777" w:rsidR="00224FF2" w:rsidRPr="003A2A1C" w:rsidRDefault="00224FF2" w:rsidP="00224FF2">
            <w:pPr>
              <w:spacing w:after="240"/>
              <w:jc w:val="right"/>
              <w:rPr>
                <w:sz w:val="22"/>
                <w:szCs w:val="22"/>
                <w:u w:val="double"/>
              </w:rPr>
            </w:pPr>
            <w:r w:rsidRPr="003A2A1C">
              <w:rPr>
                <w:sz w:val="22"/>
                <w:szCs w:val="22"/>
                <w:u w:val="double"/>
              </w:rPr>
              <w:t>$39,316</w:t>
            </w:r>
          </w:p>
        </w:tc>
        <w:tc>
          <w:tcPr>
            <w:tcW w:w="130" w:type="pct"/>
          </w:tcPr>
          <w:p w14:paraId="3A7E9DF6" w14:textId="77777777" w:rsidR="00224FF2" w:rsidRPr="003A2A1C" w:rsidRDefault="00224FF2" w:rsidP="00224FF2">
            <w:pPr>
              <w:spacing w:after="240"/>
              <w:jc w:val="both"/>
              <w:rPr>
                <w:sz w:val="22"/>
                <w:szCs w:val="22"/>
              </w:rPr>
            </w:pPr>
          </w:p>
        </w:tc>
      </w:tr>
      <w:tr w:rsidR="00224FF2" w:rsidRPr="003A2A1C" w14:paraId="7CC5958A" w14:textId="77777777" w:rsidTr="003A2A1C">
        <w:trPr>
          <w:trHeight w:hRule="exact" w:val="162"/>
        </w:trPr>
        <w:tc>
          <w:tcPr>
            <w:tcW w:w="249" w:type="pct"/>
          </w:tcPr>
          <w:p w14:paraId="670DE985" w14:textId="77777777" w:rsidR="00224FF2" w:rsidRPr="003A2A1C" w:rsidRDefault="00224FF2" w:rsidP="00224FF2">
            <w:pPr>
              <w:spacing w:after="240"/>
              <w:jc w:val="both"/>
              <w:rPr>
                <w:sz w:val="22"/>
                <w:szCs w:val="22"/>
              </w:rPr>
            </w:pPr>
          </w:p>
        </w:tc>
        <w:tc>
          <w:tcPr>
            <w:tcW w:w="2880" w:type="pct"/>
            <w:gridSpan w:val="3"/>
          </w:tcPr>
          <w:p w14:paraId="1BC47F11" w14:textId="77777777" w:rsidR="00224FF2" w:rsidRPr="003A2A1C" w:rsidRDefault="00224FF2" w:rsidP="00224FF2">
            <w:pPr>
              <w:spacing w:after="240"/>
              <w:jc w:val="both"/>
              <w:rPr>
                <w:sz w:val="22"/>
                <w:szCs w:val="22"/>
              </w:rPr>
            </w:pPr>
          </w:p>
        </w:tc>
        <w:tc>
          <w:tcPr>
            <w:tcW w:w="829" w:type="pct"/>
            <w:gridSpan w:val="2"/>
          </w:tcPr>
          <w:p w14:paraId="5C4B6A4B" w14:textId="77777777" w:rsidR="00224FF2" w:rsidRPr="003A2A1C" w:rsidRDefault="00224FF2" w:rsidP="00224FF2">
            <w:pPr>
              <w:spacing w:after="240"/>
              <w:jc w:val="right"/>
              <w:rPr>
                <w:sz w:val="22"/>
                <w:szCs w:val="22"/>
              </w:rPr>
            </w:pPr>
          </w:p>
        </w:tc>
        <w:tc>
          <w:tcPr>
            <w:tcW w:w="912" w:type="pct"/>
          </w:tcPr>
          <w:p w14:paraId="5439A526" w14:textId="77777777" w:rsidR="00224FF2" w:rsidRPr="003A2A1C" w:rsidRDefault="00224FF2" w:rsidP="00224FF2">
            <w:pPr>
              <w:spacing w:after="240"/>
              <w:jc w:val="right"/>
              <w:rPr>
                <w:sz w:val="22"/>
                <w:szCs w:val="22"/>
              </w:rPr>
            </w:pPr>
          </w:p>
        </w:tc>
        <w:tc>
          <w:tcPr>
            <w:tcW w:w="130" w:type="pct"/>
          </w:tcPr>
          <w:p w14:paraId="42817DD8" w14:textId="77777777" w:rsidR="00224FF2" w:rsidRPr="003A2A1C" w:rsidRDefault="00224FF2" w:rsidP="00224FF2">
            <w:pPr>
              <w:spacing w:after="240"/>
              <w:jc w:val="both"/>
              <w:rPr>
                <w:sz w:val="22"/>
                <w:szCs w:val="22"/>
              </w:rPr>
            </w:pPr>
          </w:p>
        </w:tc>
      </w:tr>
      <w:tr w:rsidR="00224FF2" w:rsidRPr="003A2A1C" w14:paraId="3B21F815" w14:textId="77777777" w:rsidTr="003A2A1C">
        <w:trPr>
          <w:trHeight w:hRule="exact" w:val="288"/>
        </w:trPr>
        <w:tc>
          <w:tcPr>
            <w:tcW w:w="249" w:type="pct"/>
          </w:tcPr>
          <w:p w14:paraId="4306D9AD" w14:textId="77777777" w:rsidR="00224FF2" w:rsidRPr="003A2A1C" w:rsidRDefault="00224FF2" w:rsidP="00224FF2">
            <w:pPr>
              <w:spacing w:after="240"/>
              <w:jc w:val="both"/>
              <w:rPr>
                <w:sz w:val="22"/>
                <w:szCs w:val="22"/>
              </w:rPr>
            </w:pPr>
          </w:p>
        </w:tc>
        <w:tc>
          <w:tcPr>
            <w:tcW w:w="2880" w:type="pct"/>
            <w:gridSpan w:val="3"/>
          </w:tcPr>
          <w:p w14:paraId="78D99624" w14:textId="77777777" w:rsidR="00224FF2" w:rsidRPr="003A2A1C" w:rsidRDefault="00224FF2" w:rsidP="00224FF2">
            <w:pPr>
              <w:spacing w:after="240"/>
              <w:jc w:val="both"/>
              <w:rPr>
                <w:b/>
                <w:sz w:val="22"/>
                <w:szCs w:val="22"/>
              </w:rPr>
            </w:pPr>
            <w:r w:rsidRPr="003A2A1C">
              <w:rPr>
                <w:b/>
                <w:sz w:val="22"/>
                <w:szCs w:val="22"/>
              </w:rPr>
              <w:t xml:space="preserve">AMORTIZATION EXPENSE </w:t>
            </w:r>
          </w:p>
        </w:tc>
        <w:tc>
          <w:tcPr>
            <w:tcW w:w="829" w:type="pct"/>
            <w:gridSpan w:val="2"/>
          </w:tcPr>
          <w:p w14:paraId="4E61CA2E" w14:textId="77777777" w:rsidR="00224FF2" w:rsidRPr="003A2A1C" w:rsidRDefault="00224FF2" w:rsidP="00224FF2">
            <w:pPr>
              <w:spacing w:after="240"/>
              <w:jc w:val="right"/>
              <w:rPr>
                <w:sz w:val="22"/>
                <w:szCs w:val="22"/>
              </w:rPr>
            </w:pPr>
          </w:p>
        </w:tc>
        <w:tc>
          <w:tcPr>
            <w:tcW w:w="912" w:type="pct"/>
          </w:tcPr>
          <w:p w14:paraId="18961E28" w14:textId="77777777" w:rsidR="00224FF2" w:rsidRPr="003A2A1C" w:rsidRDefault="00224FF2" w:rsidP="00224FF2">
            <w:pPr>
              <w:spacing w:after="240"/>
              <w:jc w:val="right"/>
              <w:rPr>
                <w:sz w:val="22"/>
                <w:szCs w:val="22"/>
              </w:rPr>
            </w:pPr>
          </w:p>
        </w:tc>
        <w:tc>
          <w:tcPr>
            <w:tcW w:w="130" w:type="pct"/>
          </w:tcPr>
          <w:p w14:paraId="520F9708" w14:textId="77777777" w:rsidR="00224FF2" w:rsidRPr="003A2A1C" w:rsidRDefault="00224FF2" w:rsidP="00224FF2">
            <w:pPr>
              <w:spacing w:after="240"/>
              <w:jc w:val="both"/>
              <w:rPr>
                <w:sz w:val="22"/>
                <w:szCs w:val="22"/>
              </w:rPr>
            </w:pPr>
          </w:p>
        </w:tc>
      </w:tr>
      <w:tr w:rsidR="00224FF2" w:rsidRPr="003A2A1C" w14:paraId="0C156250" w14:textId="77777777" w:rsidTr="003A2A1C">
        <w:trPr>
          <w:trHeight w:hRule="exact" w:val="288"/>
        </w:trPr>
        <w:tc>
          <w:tcPr>
            <w:tcW w:w="249" w:type="pct"/>
          </w:tcPr>
          <w:p w14:paraId="2136FFDE" w14:textId="77777777" w:rsidR="00224FF2" w:rsidRPr="003A2A1C" w:rsidRDefault="00224FF2" w:rsidP="00224FF2">
            <w:pPr>
              <w:spacing w:after="240"/>
              <w:jc w:val="both"/>
              <w:rPr>
                <w:sz w:val="22"/>
                <w:szCs w:val="22"/>
              </w:rPr>
            </w:pPr>
            <w:r w:rsidRPr="003A2A1C">
              <w:rPr>
                <w:sz w:val="22"/>
                <w:szCs w:val="22"/>
              </w:rPr>
              <w:t>1.</w:t>
            </w:r>
          </w:p>
        </w:tc>
        <w:tc>
          <w:tcPr>
            <w:tcW w:w="2880" w:type="pct"/>
            <w:gridSpan w:val="3"/>
          </w:tcPr>
          <w:p w14:paraId="5602B101" w14:textId="77777777" w:rsidR="00224FF2" w:rsidRPr="003A2A1C" w:rsidRDefault="00224FF2" w:rsidP="00224FF2">
            <w:pPr>
              <w:spacing w:after="240"/>
              <w:jc w:val="both"/>
              <w:rPr>
                <w:sz w:val="22"/>
                <w:szCs w:val="22"/>
              </w:rPr>
            </w:pPr>
            <w:r w:rsidRPr="003A2A1C">
              <w:rPr>
                <w:sz w:val="22"/>
                <w:szCs w:val="22"/>
              </w:rPr>
              <w:t>To reflect adjustments to CIAC amortization expense.</w:t>
            </w:r>
          </w:p>
          <w:p w14:paraId="404D4689" w14:textId="77777777" w:rsidR="00224FF2" w:rsidRPr="003A2A1C" w:rsidRDefault="00224FF2" w:rsidP="00224FF2">
            <w:pPr>
              <w:spacing w:after="240"/>
              <w:jc w:val="both"/>
              <w:rPr>
                <w:sz w:val="22"/>
                <w:szCs w:val="22"/>
              </w:rPr>
            </w:pPr>
          </w:p>
        </w:tc>
        <w:tc>
          <w:tcPr>
            <w:tcW w:w="829" w:type="pct"/>
            <w:gridSpan w:val="2"/>
          </w:tcPr>
          <w:p w14:paraId="6F97C112" w14:textId="77777777" w:rsidR="00224FF2" w:rsidRPr="003A2A1C" w:rsidRDefault="00224FF2" w:rsidP="00224FF2">
            <w:pPr>
              <w:spacing w:after="240"/>
              <w:jc w:val="right"/>
              <w:rPr>
                <w:sz w:val="22"/>
                <w:szCs w:val="22"/>
              </w:rPr>
            </w:pPr>
            <w:r w:rsidRPr="003A2A1C">
              <w:rPr>
                <w:sz w:val="22"/>
                <w:szCs w:val="22"/>
              </w:rPr>
              <w:t>$3,639</w:t>
            </w:r>
          </w:p>
        </w:tc>
        <w:tc>
          <w:tcPr>
            <w:tcW w:w="912" w:type="pct"/>
          </w:tcPr>
          <w:p w14:paraId="2BD6BE6F" w14:textId="77777777" w:rsidR="00224FF2" w:rsidRPr="003A2A1C" w:rsidRDefault="00224FF2" w:rsidP="00224FF2">
            <w:pPr>
              <w:spacing w:after="240"/>
              <w:jc w:val="right"/>
              <w:rPr>
                <w:sz w:val="22"/>
                <w:szCs w:val="22"/>
              </w:rPr>
            </w:pPr>
            <w:r w:rsidRPr="003A2A1C">
              <w:rPr>
                <w:sz w:val="22"/>
                <w:szCs w:val="22"/>
              </w:rPr>
              <w:t>$10,248</w:t>
            </w:r>
          </w:p>
        </w:tc>
        <w:tc>
          <w:tcPr>
            <w:tcW w:w="130" w:type="pct"/>
          </w:tcPr>
          <w:p w14:paraId="68547B91" w14:textId="77777777" w:rsidR="00224FF2" w:rsidRPr="003A2A1C" w:rsidRDefault="00224FF2" w:rsidP="00224FF2">
            <w:pPr>
              <w:spacing w:after="240"/>
              <w:jc w:val="both"/>
              <w:rPr>
                <w:sz w:val="22"/>
                <w:szCs w:val="22"/>
              </w:rPr>
            </w:pPr>
          </w:p>
        </w:tc>
      </w:tr>
      <w:tr w:rsidR="00224FF2" w:rsidRPr="003A2A1C" w14:paraId="7EA65F9D" w14:textId="77777777" w:rsidTr="003A2A1C">
        <w:trPr>
          <w:trHeight w:hRule="exact" w:val="288"/>
        </w:trPr>
        <w:tc>
          <w:tcPr>
            <w:tcW w:w="249" w:type="pct"/>
          </w:tcPr>
          <w:p w14:paraId="2B695B79" w14:textId="77777777" w:rsidR="00224FF2" w:rsidRPr="003A2A1C" w:rsidRDefault="00224FF2" w:rsidP="00224FF2">
            <w:pPr>
              <w:spacing w:after="240"/>
              <w:jc w:val="both"/>
              <w:rPr>
                <w:sz w:val="22"/>
                <w:szCs w:val="22"/>
              </w:rPr>
            </w:pPr>
            <w:r w:rsidRPr="003A2A1C">
              <w:rPr>
                <w:sz w:val="22"/>
                <w:szCs w:val="22"/>
              </w:rPr>
              <w:t>2.</w:t>
            </w:r>
          </w:p>
        </w:tc>
        <w:tc>
          <w:tcPr>
            <w:tcW w:w="2880" w:type="pct"/>
            <w:gridSpan w:val="3"/>
          </w:tcPr>
          <w:p w14:paraId="03E70495" w14:textId="77777777" w:rsidR="00224FF2" w:rsidRPr="003A2A1C" w:rsidRDefault="00224FF2" w:rsidP="00224FF2">
            <w:pPr>
              <w:spacing w:after="240"/>
              <w:jc w:val="both"/>
              <w:rPr>
                <w:sz w:val="22"/>
                <w:szCs w:val="22"/>
              </w:rPr>
            </w:pPr>
            <w:r w:rsidRPr="003A2A1C">
              <w:rPr>
                <w:sz w:val="22"/>
                <w:szCs w:val="22"/>
              </w:rPr>
              <w:t>To reflect capital amortization.</w:t>
            </w:r>
          </w:p>
        </w:tc>
        <w:tc>
          <w:tcPr>
            <w:tcW w:w="829" w:type="pct"/>
            <w:gridSpan w:val="2"/>
          </w:tcPr>
          <w:p w14:paraId="50A77084" w14:textId="77777777" w:rsidR="00224FF2" w:rsidRPr="003A2A1C" w:rsidRDefault="00224FF2" w:rsidP="00224FF2">
            <w:pPr>
              <w:spacing w:after="240"/>
              <w:jc w:val="right"/>
              <w:rPr>
                <w:sz w:val="22"/>
                <w:szCs w:val="22"/>
                <w:u w:val="single"/>
              </w:rPr>
            </w:pPr>
            <w:r w:rsidRPr="003A2A1C">
              <w:rPr>
                <w:sz w:val="22"/>
                <w:szCs w:val="22"/>
                <w:u w:val="single"/>
              </w:rPr>
              <w:t>644</w:t>
            </w:r>
          </w:p>
        </w:tc>
        <w:tc>
          <w:tcPr>
            <w:tcW w:w="912" w:type="pct"/>
          </w:tcPr>
          <w:p w14:paraId="42944E1F" w14:textId="77777777" w:rsidR="00224FF2" w:rsidRPr="003A2A1C" w:rsidRDefault="00224FF2" w:rsidP="00224FF2">
            <w:pPr>
              <w:spacing w:after="240"/>
              <w:jc w:val="right"/>
              <w:rPr>
                <w:sz w:val="22"/>
                <w:szCs w:val="22"/>
                <w:u w:val="single"/>
              </w:rPr>
            </w:pPr>
            <w:r w:rsidRPr="003A2A1C">
              <w:rPr>
                <w:sz w:val="22"/>
                <w:szCs w:val="22"/>
                <w:u w:val="single"/>
              </w:rPr>
              <w:t>8,011</w:t>
            </w:r>
          </w:p>
        </w:tc>
        <w:tc>
          <w:tcPr>
            <w:tcW w:w="130" w:type="pct"/>
          </w:tcPr>
          <w:p w14:paraId="4E85D0C1" w14:textId="77777777" w:rsidR="00224FF2" w:rsidRPr="003A2A1C" w:rsidRDefault="00224FF2" w:rsidP="00224FF2">
            <w:pPr>
              <w:spacing w:after="240"/>
              <w:jc w:val="both"/>
              <w:rPr>
                <w:sz w:val="22"/>
                <w:szCs w:val="22"/>
              </w:rPr>
            </w:pPr>
          </w:p>
        </w:tc>
      </w:tr>
      <w:tr w:rsidR="00224FF2" w:rsidRPr="003A2A1C" w14:paraId="53C1585E" w14:textId="77777777" w:rsidTr="003A2A1C">
        <w:trPr>
          <w:trHeight w:hRule="exact" w:val="288"/>
        </w:trPr>
        <w:tc>
          <w:tcPr>
            <w:tcW w:w="249" w:type="pct"/>
          </w:tcPr>
          <w:p w14:paraId="4FAF12A1" w14:textId="77777777" w:rsidR="00224FF2" w:rsidRPr="003A2A1C" w:rsidRDefault="00224FF2" w:rsidP="00224FF2">
            <w:pPr>
              <w:spacing w:after="240"/>
              <w:jc w:val="both"/>
              <w:rPr>
                <w:sz w:val="22"/>
                <w:szCs w:val="22"/>
              </w:rPr>
            </w:pPr>
          </w:p>
        </w:tc>
        <w:tc>
          <w:tcPr>
            <w:tcW w:w="2880" w:type="pct"/>
            <w:gridSpan w:val="3"/>
          </w:tcPr>
          <w:p w14:paraId="0A6A896D" w14:textId="77777777" w:rsidR="00224FF2" w:rsidRPr="003A2A1C" w:rsidRDefault="00224FF2" w:rsidP="00224FF2">
            <w:pPr>
              <w:spacing w:after="240"/>
              <w:jc w:val="both"/>
              <w:rPr>
                <w:sz w:val="22"/>
                <w:szCs w:val="22"/>
              </w:rPr>
            </w:pPr>
            <w:r w:rsidRPr="003A2A1C">
              <w:rPr>
                <w:sz w:val="22"/>
                <w:szCs w:val="22"/>
              </w:rPr>
              <w:t>Subtotal</w:t>
            </w:r>
          </w:p>
        </w:tc>
        <w:tc>
          <w:tcPr>
            <w:tcW w:w="829" w:type="pct"/>
            <w:gridSpan w:val="2"/>
          </w:tcPr>
          <w:p w14:paraId="3426D365" w14:textId="77777777" w:rsidR="00224FF2" w:rsidRPr="003A2A1C" w:rsidRDefault="00224FF2" w:rsidP="00224FF2">
            <w:pPr>
              <w:spacing w:after="240"/>
              <w:jc w:val="right"/>
              <w:rPr>
                <w:sz w:val="22"/>
                <w:szCs w:val="22"/>
                <w:u w:val="double"/>
              </w:rPr>
            </w:pPr>
            <w:r w:rsidRPr="003A2A1C">
              <w:rPr>
                <w:sz w:val="22"/>
                <w:szCs w:val="22"/>
                <w:u w:val="double"/>
              </w:rPr>
              <w:t>$4,283</w:t>
            </w:r>
          </w:p>
        </w:tc>
        <w:tc>
          <w:tcPr>
            <w:tcW w:w="912" w:type="pct"/>
          </w:tcPr>
          <w:p w14:paraId="50889764" w14:textId="77777777" w:rsidR="00224FF2" w:rsidRPr="003A2A1C" w:rsidRDefault="00224FF2" w:rsidP="00224FF2">
            <w:pPr>
              <w:spacing w:after="240"/>
              <w:jc w:val="right"/>
              <w:rPr>
                <w:sz w:val="22"/>
                <w:szCs w:val="22"/>
                <w:u w:val="double"/>
              </w:rPr>
            </w:pPr>
            <w:r w:rsidRPr="003A2A1C">
              <w:rPr>
                <w:sz w:val="22"/>
                <w:szCs w:val="22"/>
                <w:u w:val="double"/>
              </w:rPr>
              <w:t>$18,259</w:t>
            </w:r>
          </w:p>
        </w:tc>
        <w:tc>
          <w:tcPr>
            <w:tcW w:w="130" w:type="pct"/>
          </w:tcPr>
          <w:p w14:paraId="2324BF08" w14:textId="77777777" w:rsidR="00224FF2" w:rsidRPr="003A2A1C" w:rsidRDefault="00224FF2" w:rsidP="00224FF2">
            <w:pPr>
              <w:spacing w:after="240"/>
              <w:jc w:val="both"/>
              <w:rPr>
                <w:sz w:val="22"/>
                <w:szCs w:val="22"/>
              </w:rPr>
            </w:pPr>
          </w:p>
        </w:tc>
      </w:tr>
      <w:tr w:rsidR="00224FF2" w:rsidRPr="003A2A1C" w14:paraId="4572F1B5" w14:textId="77777777" w:rsidTr="003A2A1C">
        <w:trPr>
          <w:trHeight w:hRule="exact" w:val="162"/>
        </w:trPr>
        <w:tc>
          <w:tcPr>
            <w:tcW w:w="249" w:type="pct"/>
          </w:tcPr>
          <w:p w14:paraId="3B67EC69" w14:textId="77777777" w:rsidR="00224FF2" w:rsidRPr="003A2A1C" w:rsidRDefault="00224FF2" w:rsidP="00224FF2">
            <w:pPr>
              <w:spacing w:after="240"/>
              <w:jc w:val="both"/>
              <w:rPr>
                <w:sz w:val="22"/>
                <w:szCs w:val="22"/>
              </w:rPr>
            </w:pPr>
          </w:p>
        </w:tc>
        <w:tc>
          <w:tcPr>
            <w:tcW w:w="2880" w:type="pct"/>
            <w:gridSpan w:val="3"/>
          </w:tcPr>
          <w:p w14:paraId="1CE53EF4" w14:textId="77777777" w:rsidR="00224FF2" w:rsidRPr="003A2A1C" w:rsidRDefault="00224FF2" w:rsidP="00224FF2">
            <w:pPr>
              <w:spacing w:after="240"/>
              <w:jc w:val="both"/>
              <w:rPr>
                <w:sz w:val="22"/>
                <w:szCs w:val="22"/>
              </w:rPr>
            </w:pPr>
          </w:p>
        </w:tc>
        <w:tc>
          <w:tcPr>
            <w:tcW w:w="829" w:type="pct"/>
            <w:gridSpan w:val="2"/>
          </w:tcPr>
          <w:p w14:paraId="21ACE312" w14:textId="77777777" w:rsidR="00224FF2" w:rsidRPr="003A2A1C" w:rsidRDefault="00224FF2" w:rsidP="00224FF2">
            <w:pPr>
              <w:spacing w:after="240"/>
              <w:jc w:val="right"/>
              <w:rPr>
                <w:sz w:val="22"/>
                <w:szCs w:val="22"/>
              </w:rPr>
            </w:pPr>
          </w:p>
        </w:tc>
        <w:tc>
          <w:tcPr>
            <w:tcW w:w="912" w:type="pct"/>
          </w:tcPr>
          <w:p w14:paraId="008FE782" w14:textId="77777777" w:rsidR="00224FF2" w:rsidRPr="003A2A1C" w:rsidRDefault="00224FF2" w:rsidP="00224FF2">
            <w:pPr>
              <w:spacing w:after="240"/>
              <w:jc w:val="right"/>
              <w:rPr>
                <w:sz w:val="22"/>
                <w:szCs w:val="22"/>
              </w:rPr>
            </w:pPr>
          </w:p>
        </w:tc>
        <w:tc>
          <w:tcPr>
            <w:tcW w:w="130" w:type="pct"/>
          </w:tcPr>
          <w:p w14:paraId="2BB12205" w14:textId="77777777" w:rsidR="00224FF2" w:rsidRPr="003A2A1C" w:rsidRDefault="00224FF2" w:rsidP="00224FF2">
            <w:pPr>
              <w:spacing w:after="240"/>
              <w:jc w:val="both"/>
              <w:rPr>
                <w:sz w:val="22"/>
                <w:szCs w:val="22"/>
              </w:rPr>
            </w:pPr>
          </w:p>
        </w:tc>
      </w:tr>
      <w:tr w:rsidR="00224FF2" w:rsidRPr="003A2A1C" w14:paraId="3632822A" w14:textId="77777777" w:rsidTr="003A2A1C">
        <w:trPr>
          <w:trHeight w:hRule="exact" w:val="288"/>
        </w:trPr>
        <w:tc>
          <w:tcPr>
            <w:tcW w:w="249" w:type="pct"/>
          </w:tcPr>
          <w:p w14:paraId="65AF9491" w14:textId="77777777" w:rsidR="00224FF2" w:rsidRPr="003A2A1C" w:rsidRDefault="00224FF2" w:rsidP="00224FF2">
            <w:pPr>
              <w:spacing w:after="240"/>
              <w:jc w:val="both"/>
              <w:rPr>
                <w:sz w:val="22"/>
                <w:szCs w:val="22"/>
              </w:rPr>
            </w:pPr>
          </w:p>
        </w:tc>
        <w:tc>
          <w:tcPr>
            <w:tcW w:w="2880" w:type="pct"/>
            <w:gridSpan w:val="3"/>
          </w:tcPr>
          <w:p w14:paraId="1BE35EBD" w14:textId="77777777" w:rsidR="00224FF2" w:rsidRPr="003A2A1C" w:rsidRDefault="00224FF2" w:rsidP="00224FF2">
            <w:pPr>
              <w:spacing w:after="240"/>
              <w:jc w:val="both"/>
              <w:rPr>
                <w:b/>
                <w:sz w:val="22"/>
                <w:szCs w:val="22"/>
              </w:rPr>
            </w:pPr>
            <w:r w:rsidRPr="003A2A1C">
              <w:rPr>
                <w:b/>
                <w:sz w:val="22"/>
                <w:szCs w:val="22"/>
              </w:rPr>
              <w:t>TAXES OTHER THAN INCOME</w:t>
            </w:r>
          </w:p>
        </w:tc>
        <w:tc>
          <w:tcPr>
            <w:tcW w:w="829" w:type="pct"/>
            <w:gridSpan w:val="2"/>
          </w:tcPr>
          <w:p w14:paraId="7CB626E3" w14:textId="77777777" w:rsidR="00224FF2" w:rsidRPr="003A2A1C" w:rsidRDefault="00224FF2" w:rsidP="00224FF2">
            <w:pPr>
              <w:spacing w:after="240"/>
              <w:jc w:val="right"/>
              <w:rPr>
                <w:sz w:val="22"/>
                <w:szCs w:val="22"/>
              </w:rPr>
            </w:pPr>
          </w:p>
        </w:tc>
        <w:tc>
          <w:tcPr>
            <w:tcW w:w="912" w:type="pct"/>
          </w:tcPr>
          <w:p w14:paraId="72FED570" w14:textId="77777777" w:rsidR="00224FF2" w:rsidRPr="003A2A1C" w:rsidRDefault="00224FF2" w:rsidP="00224FF2">
            <w:pPr>
              <w:spacing w:after="240"/>
              <w:jc w:val="right"/>
              <w:rPr>
                <w:sz w:val="22"/>
                <w:szCs w:val="22"/>
              </w:rPr>
            </w:pPr>
          </w:p>
        </w:tc>
        <w:tc>
          <w:tcPr>
            <w:tcW w:w="130" w:type="pct"/>
          </w:tcPr>
          <w:p w14:paraId="354F1702" w14:textId="77777777" w:rsidR="00224FF2" w:rsidRPr="003A2A1C" w:rsidRDefault="00224FF2" w:rsidP="00224FF2">
            <w:pPr>
              <w:spacing w:after="240"/>
              <w:jc w:val="both"/>
              <w:rPr>
                <w:sz w:val="22"/>
                <w:szCs w:val="22"/>
              </w:rPr>
            </w:pPr>
          </w:p>
        </w:tc>
      </w:tr>
      <w:tr w:rsidR="00224FF2" w:rsidRPr="003A2A1C" w14:paraId="350280CB" w14:textId="77777777" w:rsidTr="003A2A1C">
        <w:trPr>
          <w:trHeight w:hRule="exact" w:val="288"/>
        </w:trPr>
        <w:tc>
          <w:tcPr>
            <w:tcW w:w="249" w:type="pct"/>
          </w:tcPr>
          <w:p w14:paraId="4AB86850" w14:textId="77777777" w:rsidR="00224FF2" w:rsidRPr="003A2A1C" w:rsidRDefault="00224FF2" w:rsidP="00224FF2">
            <w:pPr>
              <w:spacing w:after="240"/>
              <w:jc w:val="both"/>
              <w:rPr>
                <w:sz w:val="22"/>
                <w:szCs w:val="22"/>
              </w:rPr>
            </w:pPr>
            <w:r w:rsidRPr="003A2A1C">
              <w:rPr>
                <w:sz w:val="22"/>
                <w:szCs w:val="22"/>
              </w:rPr>
              <w:t>1.</w:t>
            </w:r>
          </w:p>
        </w:tc>
        <w:tc>
          <w:tcPr>
            <w:tcW w:w="2880" w:type="pct"/>
            <w:gridSpan w:val="3"/>
          </w:tcPr>
          <w:p w14:paraId="1F86A3D9" w14:textId="77777777" w:rsidR="00224FF2" w:rsidRPr="003A2A1C" w:rsidRDefault="00224FF2" w:rsidP="00224FF2">
            <w:pPr>
              <w:spacing w:after="240"/>
              <w:jc w:val="both"/>
              <w:rPr>
                <w:sz w:val="22"/>
                <w:szCs w:val="22"/>
              </w:rPr>
            </w:pPr>
            <w:r w:rsidRPr="003A2A1C">
              <w:rPr>
                <w:sz w:val="22"/>
                <w:szCs w:val="22"/>
              </w:rPr>
              <w:t>To reflect auditing adjustments.</w:t>
            </w:r>
          </w:p>
        </w:tc>
        <w:tc>
          <w:tcPr>
            <w:tcW w:w="829" w:type="pct"/>
            <w:gridSpan w:val="2"/>
          </w:tcPr>
          <w:p w14:paraId="0B488D0F" w14:textId="77777777" w:rsidR="00224FF2" w:rsidRPr="003A2A1C" w:rsidRDefault="00224FF2" w:rsidP="00224FF2">
            <w:pPr>
              <w:spacing w:after="240"/>
              <w:jc w:val="right"/>
              <w:rPr>
                <w:sz w:val="22"/>
                <w:szCs w:val="22"/>
              </w:rPr>
            </w:pPr>
            <w:r w:rsidRPr="003A2A1C">
              <w:rPr>
                <w:sz w:val="22"/>
                <w:szCs w:val="22"/>
              </w:rPr>
              <w:t>($3,902)</w:t>
            </w:r>
          </w:p>
        </w:tc>
        <w:tc>
          <w:tcPr>
            <w:tcW w:w="912" w:type="pct"/>
          </w:tcPr>
          <w:p w14:paraId="79582807" w14:textId="77777777" w:rsidR="00224FF2" w:rsidRPr="003A2A1C" w:rsidRDefault="00224FF2" w:rsidP="00224FF2">
            <w:pPr>
              <w:spacing w:after="240"/>
              <w:jc w:val="right"/>
              <w:rPr>
                <w:sz w:val="22"/>
                <w:szCs w:val="22"/>
              </w:rPr>
            </w:pPr>
            <w:r w:rsidRPr="003A2A1C">
              <w:rPr>
                <w:sz w:val="22"/>
                <w:szCs w:val="22"/>
              </w:rPr>
              <w:t>($3,580)</w:t>
            </w:r>
          </w:p>
        </w:tc>
        <w:tc>
          <w:tcPr>
            <w:tcW w:w="130" w:type="pct"/>
          </w:tcPr>
          <w:p w14:paraId="46047B7F" w14:textId="77777777" w:rsidR="00224FF2" w:rsidRPr="003A2A1C" w:rsidRDefault="00224FF2" w:rsidP="00224FF2">
            <w:pPr>
              <w:spacing w:after="240"/>
              <w:jc w:val="both"/>
              <w:rPr>
                <w:sz w:val="22"/>
                <w:szCs w:val="22"/>
              </w:rPr>
            </w:pPr>
          </w:p>
        </w:tc>
      </w:tr>
      <w:tr w:rsidR="00224FF2" w:rsidRPr="003A2A1C" w14:paraId="1F3E2F4D" w14:textId="77777777" w:rsidTr="003A2A1C">
        <w:trPr>
          <w:trHeight w:hRule="exact" w:val="288"/>
        </w:trPr>
        <w:tc>
          <w:tcPr>
            <w:tcW w:w="249" w:type="pct"/>
          </w:tcPr>
          <w:p w14:paraId="3C13B46D" w14:textId="77777777" w:rsidR="00224FF2" w:rsidRPr="003A2A1C" w:rsidRDefault="00224FF2" w:rsidP="00224FF2">
            <w:pPr>
              <w:spacing w:after="240"/>
              <w:jc w:val="both"/>
              <w:rPr>
                <w:sz w:val="22"/>
                <w:szCs w:val="22"/>
              </w:rPr>
            </w:pPr>
            <w:r w:rsidRPr="003A2A1C">
              <w:rPr>
                <w:sz w:val="22"/>
                <w:szCs w:val="22"/>
              </w:rPr>
              <w:t>2.</w:t>
            </w:r>
          </w:p>
        </w:tc>
        <w:tc>
          <w:tcPr>
            <w:tcW w:w="2742" w:type="pct"/>
            <w:gridSpan w:val="2"/>
          </w:tcPr>
          <w:p w14:paraId="5AFD9AC7" w14:textId="77777777" w:rsidR="00224FF2" w:rsidRPr="003A2A1C" w:rsidRDefault="00224FF2" w:rsidP="00224FF2">
            <w:pPr>
              <w:spacing w:after="240"/>
              <w:jc w:val="both"/>
              <w:rPr>
                <w:sz w:val="22"/>
                <w:szCs w:val="22"/>
              </w:rPr>
            </w:pPr>
            <w:r w:rsidRPr="003A2A1C">
              <w:rPr>
                <w:sz w:val="22"/>
                <w:szCs w:val="22"/>
              </w:rPr>
              <w:t>To reflect appropriate test year RAFs.</w:t>
            </w:r>
          </w:p>
        </w:tc>
        <w:tc>
          <w:tcPr>
            <w:tcW w:w="967" w:type="pct"/>
            <w:gridSpan w:val="3"/>
          </w:tcPr>
          <w:p w14:paraId="4E27B4AF" w14:textId="77777777" w:rsidR="00224FF2" w:rsidRPr="003A2A1C" w:rsidRDefault="00224FF2" w:rsidP="00224FF2">
            <w:pPr>
              <w:spacing w:after="240"/>
              <w:jc w:val="right"/>
              <w:rPr>
                <w:sz w:val="22"/>
                <w:szCs w:val="22"/>
              </w:rPr>
            </w:pPr>
            <w:r w:rsidRPr="003A2A1C">
              <w:rPr>
                <w:sz w:val="22"/>
                <w:szCs w:val="22"/>
              </w:rPr>
              <w:t>616</w:t>
            </w:r>
          </w:p>
        </w:tc>
        <w:tc>
          <w:tcPr>
            <w:tcW w:w="912" w:type="pct"/>
          </w:tcPr>
          <w:p w14:paraId="644B8918" w14:textId="77777777" w:rsidR="00224FF2" w:rsidRPr="003A2A1C" w:rsidRDefault="00224FF2" w:rsidP="00224FF2">
            <w:pPr>
              <w:spacing w:after="240"/>
              <w:jc w:val="right"/>
              <w:rPr>
                <w:sz w:val="22"/>
                <w:szCs w:val="22"/>
              </w:rPr>
            </w:pPr>
            <w:r w:rsidRPr="003A2A1C">
              <w:rPr>
                <w:sz w:val="22"/>
                <w:szCs w:val="22"/>
              </w:rPr>
              <w:t>1,595</w:t>
            </w:r>
          </w:p>
        </w:tc>
        <w:tc>
          <w:tcPr>
            <w:tcW w:w="130" w:type="pct"/>
          </w:tcPr>
          <w:p w14:paraId="40D750A9" w14:textId="77777777" w:rsidR="00224FF2" w:rsidRPr="003A2A1C" w:rsidRDefault="00224FF2" w:rsidP="00224FF2">
            <w:pPr>
              <w:spacing w:after="240"/>
              <w:jc w:val="both"/>
              <w:rPr>
                <w:sz w:val="22"/>
                <w:szCs w:val="22"/>
              </w:rPr>
            </w:pPr>
          </w:p>
        </w:tc>
      </w:tr>
      <w:tr w:rsidR="00224FF2" w:rsidRPr="003A2A1C" w14:paraId="7DC3063E" w14:textId="77777777" w:rsidTr="003A2A1C">
        <w:trPr>
          <w:trHeight w:hRule="exact" w:val="288"/>
        </w:trPr>
        <w:tc>
          <w:tcPr>
            <w:tcW w:w="249" w:type="pct"/>
          </w:tcPr>
          <w:p w14:paraId="2FA95086" w14:textId="77777777" w:rsidR="00224FF2" w:rsidRPr="003A2A1C" w:rsidRDefault="00224FF2" w:rsidP="00224FF2">
            <w:pPr>
              <w:spacing w:after="240"/>
              <w:jc w:val="both"/>
              <w:rPr>
                <w:sz w:val="22"/>
                <w:szCs w:val="22"/>
              </w:rPr>
            </w:pPr>
            <w:r w:rsidRPr="003A2A1C">
              <w:rPr>
                <w:sz w:val="22"/>
                <w:szCs w:val="22"/>
              </w:rPr>
              <w:t>3.</w:t>
            </w:r>
          </w:p>
        </w:tc>
        <w:tc>
          <w:tcPr>
            <w:tcW w:w="2742" w:type="pct"/>
            <w:gridSpan w:val="2"/>
          </w:tcPr>
          <w:p w14:paraId="0D82FD53" w14:textId="77777777" w:rsidR="00224FF2" w:rsidRPr="003A2A1C" w:rsidRDefault="00224FF2" w:rsidP="00224FF2">
            <w:pPr>
              <w:spacing w:after="240"/>
              <w:jc w:val="both"/>
              <w:rPr>
                <w:sz w:val="22"/>
                <w:szCs w:val="22"/>
              </w:rPr>
            </w:pPr>
            <w:r w:rsidRPr="003A2A1C">
              <w:rPr>
                <w:sz w:val="22"/>
                <w:szCs w:val="22"/>
              </w:rPr>
              <w:t>To reflect appropriate RAFs on revenue requirement increase.</w:t>
            </w:r>
          </w:p>
        </w:tc>
        <w:tc>
          <w:tcPr>
            <w:tcW w:w="967" w:type="pct"/>
            <w:gridSpan w:val="3"/>
          </w:tcPr>
          <w:p w14:paraId="753D080E" w14:textId="77777777" w:rsidR="00224FF2" w:rsidRPr="003A2A1C" w:rsidRDefault="00224FF2" w:rsidP="00224FF2">
            <w:pPr>
              <w:spacing w:after="240"/>
              <w:jc w:val="right"/>
              <w:rPr>
                <w:sz w:val="22"/>
                <w:szCs w:val="22"/>
              </w:rPr>
            </w:pPr>
            <w:r w:rsidRPr="003A2A1C">
              <w:rPr>
                <w:sz w:val="22"/>
                <w:szCs w:val="22"/>
              </w:rPr>
              <w:t>20,156</w:t>
            </w:r>
          </w:p>
        </w:tc>
        <w:tc>
          <w:tcPr>
            <w:tcW w:w="912" w:type="pct"/>
          </w:tcPr>
          <w:p w14:paraId="416AF60D" w14:textId="77777777" w:rsidR="00224FF2" w:rsidRPr="003A2A1C" w:rsidRDefault="00224FF2" w:rsidP="00224FF2">
            <w:pPr>
              <w:spacing w:after="240"/>
              <w:jc w:val="right"/>
              <w:rPr>
                <w:sz w:val="22"/>
                <w:szCs w:val="22"/>
              </w:rPr>
            </w:pPr>
            <w:r w:rsidRPr="003A2A1C">
              <w:rPr>
                <w:sz w:val="22"/>
                <w:szCs w:val="22"/>
              </w:rPr>
              <w:t>19,513</w:t>
            </w:r>
          </w:p>
        </w:tc>
        <w:tc>
          <w:tcPr>
            <w:tcW w:w="130" w:type="pct"/>
          </w:tcPr>
          <w:p w14:paraId="3F6E1907" w14:textId="77777777" w:rsidR="00224FF2" w:rsidRPr="003A2A1C" w:rsidRDefault="00224FF2" w:rsidP="00224FF2">
            <w:pPr>
              <w:spacing w:after="240"/>
              <w:jc w:val="both"/>
              <w:rPr>
                <w:sz w:val="22"/>
                <w:szCs w:val="22"/>
              </w:rPr>
            </w:pPr>
          </w:p>
        </w:tc>
      </w:tr>
      <w:tr w:rsidR="00224FF2" w:rsidRPr="003A2A1C" w14:paraId="2BF5B65D" w14:textId="77777777" w:rsidTr="003A2A1C">
        <w:trPr>
          <w:trHeight w:hRule="exact" w:val="288"/>
        </w:trPr>
        <w:tc>
          <w:tcPr>
            <w:tcW w:w="249" w:type="pct"/>
          </w:tcPr>
          <w:p w14:paraId="3DD37D86" w14:textId="77777777" w:rsidR="00224FF2" w:rsidRPr="003A2A1C" w:rsidRDefault="00224FF2" w:rsidP="00224FF2">
            <w:pPr>
              <w:spacing w:after="240"/>
              <w:jc w:val="both"/>
              <w:rPr>
                <w:sz w:val="22"/>
                <w:szCs w:val="22"/>
              </w:rPr>
            </w:pPr>
            <w:r w:rsidRPr="003A2A1C">
              <w:rPr>
                <w:sz w:val="22"/>
                <w:szCs w:val="22"/>
              </w:rPr>
              <w:t>4.</w:t>
            </w:r>
          </w:p>
        </w:tc>
        <w:tc>
          <w:tcPr>
            <w:tcW w:w="2880" w:type="pct"/>
            <w:gridSpan w:val="3"/>
          </w:tcPr>
          <w:p w14:paraId="7583410A" w14:textId="77777777" w:rsidR="00224FF2" w:rsidRPr="003A2A1C" w:rsidRDefault="00224FF2" w:rsidP="00224FF2">
            <w:pPr>
              <w:spacing w:after="240"/>
              <w:jc w:val="both"/>
              <w:rPr>
                <w:sz w:val="22"/>
                <w:szCs w:val="22"/>
              </w:rPr>
            </w:pPr>
            <w:r w:rsidRPr="003A2A1C">
              <w:rPr>
                <w:sz w:val="22"/>
                <w:szCs w:val="22"/>
              </w:rPr>
              <w:t xml:space="preserve">To reflect property taxes associated with pro forma additions. </w:t>
            </w:r>
          </w:p>
        </w:tc>
        <w:tc>
          <w:tcPr>
            <w:tcW w:w="829" w:type="pct"/>
            <w:gridSpan w:val="2"/>
          </w:tcPr>
          <w:p w14:paraId="476301C9" w14:textId="77777777" w:rsidR="00224FF2" w:rsidRPr="003A2A1C" w:rsidRDefault="00224FF2" w:rsidP="00224FF2">
            <w:pPr>
              <w:spacing w:after="240"/>
              <w:jc w:val="right"/>
              <w:rPr>
                <w:sz w:val="22"/>
                <w:szCs w:val="22"/>
                <w:u w:val="single"/>
              </w:rPr>
            </w:pPr>
            <w:r w:rsidRPr="003A2A1C">
              <w:rPr>
                <w:sz w:val="22"/>
                <w:szCs w:val="22"/>
                <w:u w:val="single"/>
              </w:rPr>
              <w:t>15,119</w:t>
            </w:r>
          </w:p>
        </w:tc>
        <w:tc>
          <w:tcPr>
            <w:tcW w:w="912" w:type="pct"/>
          </w:tcPr>
          <w:p w14:paraId="3C485E40" w14:textId="77777777" w:rsidR="00224FF2" w:rsidRPr="003A2A1C" w:rsidRDefault="00224FF2" w:rsidP="00224FF2">
            <w:pPr>
              <w:spacing w:after="240"/>
              <w:jc w:val="right"/>
              <w:rPr>
                <w:sz w:val="22"/>
                <w:szCs w:val="22"/>
                <w:u w:val="single"/>
              </w:rPr>
            </w:pPr>
            <w:r w:rsidRPr="003A2A1C">
              <w:rPr>
                <w:sz w:val="22"/>
                <w:szCs w:val="22"/>
                <w:u w:val="single"/>
              </w:rPr>
              <w:t>10,071</w:t>
            </w:r>
          </w:p>
        </w:tc>
        <w:tc>
          <w:tcPr>
            <w:tcW w:w="130" w:type="pct"/>
          </w:tcPr>
          <w:p w14:paraId="3F549C1C" w14:textId="77777777" w:rsidR="00224FF2" w:rsidRPr="003A2A1C" w:rsidRDefault="00224FF2" w:rsidP="00224FF2">
            <w:pPr>
              <w:spacing w:after="240"/>
              <w:jc w:val="both"/>
              <w:rPr>
                <w:sz w:val="22"/>
                <w:szCs w:val="22"/>
              </w:rPr>
            </w:pPr>
          </w:p>
        </w:tc>
      </w:tr>
      <w:tr w:rsidR="00224FF2" w:rsidRPr="003A2A1C" w14:paraId="061AED25" w14:textId="77777777" w:rsidTr="003A2A1C">
        <w:trPr>
          <w:trHeight w:hRule="exact" w:val="288"/>
        </w:trPr>
        <w:tc>
          <w:tcPr>
            <w:tcW w:w="249" w:type="pct"/>
          </w:tcPr>
          <w:p w14:paraId="0C61DF9C" w14:textId="77777777" w:rsidR="00224FF2" w:rsidRPr="003A2A1C" w:rsidRDefault="00224FF2" w:rsidP="00224FF2">
            <w:pPr>
              <w:spacing w:after="240"/>
              <w:jc w:val="both"/>
              <w:rPr>
                <w:sz w:val="22"/>
                <w:szCs w:val="22"/>
              </w:rPr>
            </w:pPr>
          </w:p>
        </w:tc>
        <w:tc>
          <w:tcPr>
            <w:tcW w:w="2880" w:type="pct"/>
            <w:gridSpan w:val="3"/>
          </w:tcPr>
          <w:p w14:paraId="21CC24A3" w14:textId="77777777" w:rsidR="00224FF2" w:rsidRPr="003A2A1C" w:rsidRDefault="00224FF2" w:rsidP="00224FF2">
            <w:pPr>
              <w:spacing w:after="240"/>
              <w:jc w:val="both"/>
              <w:rPr>
                <w:sz w:val="22"/>
                <w:szCs w:val="22"/>
              </w:rPr>
            </w:pPr>
            <w:r w:rsidRPr="003A2A1C">
              <w:rPr>
                <w:sz w:val="22"/>
                <w:szCs w:val="22"/>
              </w:rPr>
              <w:t>Subtotal</w:t>
            </w:r>
          </w:p>
        </w:tc>
        <w:tc>
          <w:tcPr>
            <w:tcW w:w="829" w:type="pct"/>
            <w:gridSpan w:val="2"/>
          </w:tcPr>
          <w:p w14:paraId="2FA64733" w14:textId="77777777" w:rsidR="00224FF2" w:rsidRPr="003A2A1C" w:rsidRDefault="00224FF2" w:rsidP="00224FF2">
            <w:pPr>
              <w:spacing w:after="240"/>
              <w:jc w:val="right"/>
              <w:rPr>
                <w:sz w:val="22"/>
                <w:szCs w:val="22"/>
                <w:u w:val="double"/>
              </w:rPr>
            </w:pPr>
            <w:r w:rsidRPr="003A2A1C">
              <w:rPr>
                <w:sz w:val="22"/>
                <w:szCs w:val="22"/>
                <w:u w:val="double"/>
              </w:rPr>
              <w:t>$31,989</w:t>
            </w:r>
          </w:p>
        </w:tc>
        <w:tc>
          <w:tcPr>
            <w:tcW w:w="912" w:type="pct"/>
          </w:tcPr>
          <w:p w14:paraId="19063C08" w14:textId="77777777" w:rsidR="00224FF2" w:rsidRPr="003A2A1C" w:rsidRDefault="00224FF2" w:rsidP="00224FF2">
            <w:pPr>
              <w:spacing w:after="240"/>
              <w:jc w:val="right"/>
              <w:rPr>
                <w:sz w:val="22"/>
                <w:szCs w:val="22"/>
                <w:u w:val="double"/>
              </w:rPr>
            </w:pPr>
            <w:r w:rsidRPr="003A2A1C">
              <w:rPr>
                <w:sz w:val="22"/>
                <w:szCs w:val="22"/>
                <w:u w:val="double"/>
              </w:rPr>
              <w:t>$27,599</w:t>
            </w:r>
          </w:p>
        </w:tc>
        <w:tc>
          <w:tcPr>
            <w:tcW w:w="130" w:type="pct"/>
          </w:tcPr>
          <w:p w14:paraId="1F39C3D8" w14:textId="77777777" w:rsidR="00224FF2" w:rsidRPr="003A2A1C" w:rsidRDefault="00224FF2" w:rsidP="00224FF2">
            <w:pPr>
              <w:spacing w:after="240"/>
              <w:jc w:val="both"/>
              <w:rPr>
                <w:sz w:val="22"/>
                <w:szCs w:val="22"/>
              </w:rPr>
            </w:pPr>
          </w:p>
        </w:tc>
      </w:tr>
      <w:tr w:rsidR="00224FF2" w:rsidRPr="003A2A1C" w14:paraId="6BFC7087" w14:textId="77777777" w:rsidTr="003A2A1C">
        <w:trPr>
          <w:trHeight w:hRule="exact" w:val="171"/>
        </w:trPr>
        <w:tc>
          <w:tcPr>
            <w:tcW w:w="249" w:type="pct"/>
          </w:tcPr>
          <w:p w14:paraId="52085658" w14:textId="77777777" w:rsidR="00224FF2" w:rsidRPr="003A2A1C" w:rsidRDefault="00224FF2" w:rsidP="00224FF2">
            <w:pPr>
              <w:spacing w:after="240"/>
              <w:jc w:val="both"/>
              <w:rPr>
                <w:sz w:val="22"/>
                <w:szCs w:val="22"/>
              </w:rPr>
            </w:pPr>
          </w:p>
        </w:tc>
        <w:tc>
          <w:tcPr>
            <w:tcW w:w="2880" w:type="pct"/>
            <w:gridSpan w:val="3"/>
          </w:tcPr>
          <w:p w14:paraId="24E546C3" w14:textId="77777777" w:rsidR="00224FF2" w:rsidRPr="003A2A1C" w:rsidRDefault="00224FF2" w:rsidP="00224FF2">
            <w:pPr>
              <w:spacing w:after="240"/>
              <w:jc w:val="both"/>
              <w:rPr>
                <w:sz w:val="22"/>
                <w:szCs w:val="22"/>
              </w:rPr>
            </w:pPr>
          </w:p>
        </w:tc>
        <w:tc>
          <w:tcPr>
            <w:tcW w:w="829" w:type="pct"/>
            <w:gridSpan w:val="2"/>
          </w:tcPr>
          <w:p w14:paraId="0AD863AF" w14:textId="77777777" w:rsidR="00224FF2" w:rsidRPr="003A2A1C" w:rsidRDefault="00224FF2" w:rsidP="00224FF2">
            <w:pPr>
              <w:spacing w:after="240"/>
              <w:jc w:val="right"/>
              <w:rPr>
                <w:sz w:val="22"/>
                <w:szCs w:val="22"/>
              </w:rPr>
            </w:pPr>
          </w:p>
        </w:tc>
        <w:tc>
          <w:tcPr>
            <w:tcW w:w="912" w:type="pct"/>
          </w:tcPr>
          <w:p w14:paraId="2A74F6EF" w14:textId="77777777" w:rsidR="00224FF2" w:rsidRPr="003A2A1C" w:rsidRDefault="00224FF2" w:rsidP="00224FF2">
            <w:pPr>
              <w:spacing w:after="240"/>
              <w:jc w:val="right"/>
              <w:rPr>
                <w:sz w:val="22"/>
                <w:szCs w:val="22"/>
              </w:rPr>
            </w:pPr>
          </w:p>
        </w:tc>
        <w:tc>
          <w:tcPr>
            <w:tcW w:w="130" w:type="pct"/>
          </w:tcPr>
          <w:p w14:paraId="6431F7CD" w14:textId="77777777" w:rsidR="00224FF2" w:rsidRPr="003A2A1C" w:rsidRDefault="00224FF2" w:rsidP="00224FF2">
            <w:pPr>
              <w:spacing w:after="240"/>
              <w:jc w:val="both"/>
              <w:rPr>
                <w:sz w:val="22"/>
                <w:szCs w:val="22"/>
              </w:rPr>
            </w:pPr>
          </w:p>
        </w:tc>
      </w:tr>
      <w:tr w:rsidR="00224FF2" w:rsidRPr="003A2A1C" w14:paraId="18F05DA8" w14:textId="77777777" w:rsidTr="003A2A1C">
        <w:trPr>
          <w:trHeight w:hRule="exact" w:val="288"/>
        </w:trPr>
        <w:tc>
          <w:tcPr>
            <w:tcW w:w="249" w:type="pct"/>
          </w:tcPr>
          <w:p w14:paraId="4E75CAF3" w14:textId="77777777" w:rsidR="00224FF2" w:rsidRPr="003A2A1C" w:rsidRDefault="00224FF2" w:rsidP="00224FF2">
            <w:pPr>
              <w:spacing w:after="240"/>
              <w:jc w:val="both"/>
              <w:rPr>
                <w:sz w:val="22"/>
                <w:szCs w:val="22"/>
              </w:rPr>
            </w:pPr>
          </w:p>
        </w:tc>
        <w:tc>
          <w:tcPr>
            <w:tcW w:w="2880" w:type="pct"/>
            <w:gridSpan w:val="3"/>
          </w:tcPr>
          <w:p w14:paraId="17F7B94D" w14:textId="77777777" w:rsidR="00224FF2" w:rsidRPr="003A2A1C" w:rsidRDefault="00224FF2" w:rsidP="00141D83">
            <w:pPr>
              <w:spacing w:after="240"/>
              <w:rPr>
                <w:b/>
                <w:sz w:val="22"/>
                <w:szCs w:val="22"/>
              </w:rPr>
            </w:pPr>
            <w:r w:rsidRPr="003A2A1C">
              <w:rPr>
                <w:b/>
                <w:sz w:val="22"/>
                <w:szCs w:val="22"/>
              </w:rPr>
              <w:t>TOTAL OPERATING EXPENSE ADJUSTMENTS</w:t>
            </w:r>
          </w:p>
        </w:tc>
        <w:tc>
          <w:tcPr>
            <w:tcW w:w="829" w:type="pct"/>
            <w:gridSpan w:val="2"/>
          </w:tcPr>
          <w:p w14:paraId="158C7D77" w14:textId="77777777" w:rsidR="00224FF2" w:rsidRPr="003A2A1C" w:rsidRDefault="00224FF2" w:rsidP="00224FF2">
            <w:pPr>
              <w:spacing w:after="240"/>
              <w:jc w:val="right"/>
              <w:rPr>
                <w:sz w:val="22"/>
                <w:szCs w:val="22"/>
                <w:u w:val="double"/>
              </w:rPr>
            </w:pPr>
            <w:r w:rsidRPr="003A2A1C">
              <w:rPr>
                <w:sz w:val="22"/>
                <w:szCs w:val="22"/>
                <w:u w:val="double"/>
              </w:rPr>
              <w:t>$196</w:t>
            </w:r>
          </w:p>
        </w:tc>
        <w:tc>
          <w:tcPr>
            <w:tcW w:w="912" w:type="pct"/>
          </w:tcPr>
          <w:p w14:paraId="49B60470" w14:textId="77777777" w:rsidR="00224FF2" w:rsidRPr="003A2A1C" w:rsidRDefault="00224FF2" w:rsidP="00224FF2">
            <w:pPr>
              <w:spacing w:after="240"/>
              <w:jc w:val="right"/>
              <w:rPr>
                <w:sz w:val="22"/>
                <w:szCs w:val="22"/>
                <w:u w:val="double"/>
              </w:rPr>
            </w:pPr>
            <w:r w:rsidRPr="003A2A1C">
              <w:rPr>
                <w:sz w:val="22"/>
                <w:szCs w:val="22"/>
                <w:u w:val="double"/>
              </w:rPr>
              <w:t>($72,565)</w:t>
            </w:r>
          </w:p>
        </w:tc>
        <w:tc>
          <w:tcPr>
            <w:tcW w:w="130" w:type="pct"/>
          </w:tcPr>
          <w:p w14:paraId="66D51E18" w14:textId="77777777" w:rsidR="00224FF2" w:rsidRPr="003A2A1C" w:rsidRDefault="00224FF2" w:rsidP="00224FF2">
            <w:pPr>
              <w:spacing w:after="240"/>
              <w:jc w:val="both"/>
              <w:rPr>
                <w:sz w:val="22"/>
                <w:szCs w:val="22"/>
              </w:rPr>
            </w:pPr>
          </w:p>
        </w:tc>
      </w:tr>
    </w:tbl>
    <w:p w14:paraId="5845AED3" w14:textId="77777777" w:rsidR="00224FF2" w:rsidRDefault="00224FF2" w:rsidP="00E275D8">
      <w:pPr>
        <w:pStyle w:val="BodyText"/>
      </w:pPr>
    </w:p>
    <w:p w14:paraId="0450C8B8" w14:textId="77777777" w:rsidR="00224FF2" w:rsidRDefault="00224FF2" w:rsidP="00E275D8">
      <w:pPr>
        <w:pStyle w:val="BodyText"/>
        <w:sectPr w:rsidR="00224FF2" w:rsidSect="0068481F">
          <w:headerReference w:type="default" r:id="rId28"/>
          <w:pgSz w:w="12240" w:h="15840" w:code="1"/>
          <w:pgMar w:top="1584" w:right="1440" w:bottom="1440" w:left="1440" w:header="720" w:footer="720" w:gutter="0"/>
          <w:cols w:space="720"/>
          <w:formProt w:val="0"/>
          <w:docGrid w:linePitch="360"/>
        </w:sectPr>
      </w:pPr>
    </w:p>
    <w:p w14:paraId="51EFF91C" w14:textId="31A806D2" w:rsidR="00224FF2" w:rsidRDefault="00CE76A5" w:rsidP="00E275D8">
      <w:pPr>
        <w:pStyle w:val="BodyText"/>
      </w:pPr>
      <w:r w:rsidRPr="00EF0332">
        <w:rPr>
          <w:sz w:val="22"/>
        </w:rPr>
        <w:fldChar w:fldCharType="begin"/>
      </w:r>
      <w:r w:rsidRPr="00EF0332">
        <w:rPr>
          <w:sz w:val="22"/>
        </w:rPr>
        <w:instrText xml:space="preserve"> TC "</w:instrText>
      </w:r>
      <w:r w:rsidRPr="00EF0332">
        <w:rPr>
          <w:sz w:val="22"/>
        </w:rPr>
        <w:tab/>
      </w:r>
      <w:bookmarkStart w:id="39" w:name="_Toc219970020"/>
      <w:r w:rsidRPr="00EF0332">
        <w:rPr>
          <w:sz w:val="22"/>
        </w:rPr>
        <w:instrText>Schedule No. 3-D Water O&amp;M</w:instrText>
      </w:r>
      <w:bookmarkEnd w:id="39"/>
      <w:r w:rsidRPr="00EF0332">
        <w:rPr>
          <w:sz w:val="22"/>
        </w:rPr>
        <w:instrText xml:space="preserve">" \l 1 </w:instrText>
      </w:r>
      <w:r w:rsidRPr="00EF0332">
        <w:rPr>
          <w:sz w:val="22"/>
        </w:rPr>
        <w:fldChar w:fldCharType="end"/>
      </w:r>
      <w:r w:rsidR="003D2A72" w:rsidRPr="00C10954">
        <w:rPr>
          <w:noProof/>
        </w:rPr>
        <w:drawing>
          <wp:anchor distT="0" distB="0" distL="114300" distR="114300" simplePos="0" relativeHeight="251659264" behindDoc="0" locked="0" layoutInCell="1" allowOverlap="1" wp14:anchorId="011083AD" wp14:editId="792A415B">
            <wp:simplePos x="0" y="0"/>
            <wp:positionH relativeFrom="column">
              <wp:posOffset>-250166</wp:posOffset>
            </wp:positionH>
            <wp:positionV relativeFrom="paragraph">
              <wp:posOffset>327025</wp:posOffset>
            </wp:positionV>
            <wp:extent cx="6837680" cy="4961255"/>
            <wp:effectExtent l="0" t="0" r="1270" b="0"/>
            <wp:wrapThrough wrapText="bothSides">
              <wp:wrapPolygon edited="0">
                <wp:start x="0" y="0"/>
                <wp:lineTo x="0" y="21481"/>
                <wp:lineTo x="21544" y="21481"/>
                <wp:lineTo x="21544"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grayscl/>
                      <a:extLst>
                        <a:ext uri="{28A0092B-C50C-407E-A947-70E740481C1C}">
                          <a14:useLocalDpi xmlns:a14="http://schemas.microsoft.com/office/drawing/2010/main" val="0"/>
                        </a:ext>
                      </a:extLst>
                    </a:blip>
                    <a:srcRect/>
                    <a:stretch>
                      <a:fillRect/>
                    </a:stretch>
                  </pic:blipFill>
                  <pic:spPr bwMode="auto">
                    <a:xfrm>
                      <a:off x="0" y="0"/>
                      <a:ext cx="6837680" cy="49612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347D56" w14:textId="77777777" w:rsidR="00224FF2" w:rsidRDefault="00224FF2" w:rsidP="00E275D8">
      <w:pPr>
        <w:pStyle w:val="BodyText"/>
      </w:pPr>
    </w:p>
    <w:p w14:paraId="3EB94819" w14:textId="77777777" w:rsidR="00224FF2" w:rsidRDefault="00224FF2" w:rsidP="00E275D8">
      <w:pPr>
        <w:pStyle w:val="BodyText"/>
        <w:sectPr w:rsidR="00224FF2" w:rsidSect="0068481F">
          <w:headerReference w:type="default" r:id="rId30"/>
          <w:pgSz w:w="12240" w:h="15840" w:code="1"/>
          <w:pgMar w:top="1584" w:right="1440" w:bottom="1440" w:left="1440" w:header="720" w:footer="720" w:gutter="0"/>
          <w:cols w:space="720"/>
          <w:formProt w:val="0"/>
          <w:docGrid w:linePitch="360"/>
        </w:sectPr>
      </w:pPr>
    </w:p>
    <w:p w14:paraId="247F9E10" w14:textId="23011960" w:rsidR="00224FF2" w:rsidRDefault="00CE76A5" w:rsidP="00E275D8">
      <w:pPr>
        <w:pStyle w:val="BodyText"/>
      </w:pPr>
      <w:r w:rsidRPr="00EF0332">
        <w:rPr>
          <w:sz w:val="22"/>
        </w:rPr>
        <w:fldChar w:fldCharType="begin"/>
      </w:r>
      <w:r w:rsidRPr="00EF0332">
        <w:rPr>
          <w:sz w:val="22"/>
        </w:rPr>
        <w:instrText xml:space="preserve"> TC "</w:instrText>
      </w:r>
      <w:r w:rsidRPr="00EF0332">
        <w:rPr>
          <w:sz w:val="22"/>
        </w:rPr>
        <w:tab/>
      </w:r>
      <w:bookmarkStart w:id="40" w:name="_Toc219970021"/>
      <w:r w:rsidRPr="00EF0332">
        <w:rPr>
          <w:sz w:val="22"/>
        </w:rPr>
        <w:instrText>Schedule No. 3-</w:instrText>
      </w:r>
      <w:r>
        <w:rPr>
          <w:sz w:val="22"/>
        </w:rPr>
        <w:instrText>E</w:instrText>
      </w:r>
      <w:r w:rsidRPr="00EF0332">
        <w:rPr>
          <w:sz w:val="22"/>
        </w:rPr>
        <w:instrText xml:space="preserve"> W</w:instrText>
      </w:r>
      <w:r>
        <w:rPr>
          <w:sz w:val="22"/>
        </w:rPr>
        <w:instrText>astew</w:instrText>
      </w:r>
      <w:r w:rsidRPr="00EF0332">
        <w:rPr>
          <w:sz w:val="22"/>
        </w:rPr>
        <w:instrText>ater O&amp;M</w:instrText>
      </w:r>
      <w:bookmarkEnd w:id="40"/>
      <w:r w:rsidRPr="00EF0332">
        <w:rPr>
          <w:sz w:val="22"/>
        </w:rPr>
        <w:instrText xml:space="preserve">" \l 1 </w:instrText>
      </w:r>
      <w:r w:rsidRPr="00EF0332">
        <w:rPr>
          <w:sz w:val="22"/>
        </w:rPr>
        <w:fldChar w:fldCharType="end"/>
      </w:r>
      <w:r w:rsidR="006A7336" w:rsidRPr="00C10954">
        <w:rPr>
          <w:noProof/>
        </w:rPr>
        <w:drawing>
          <wp:anchor distT="0" distB="0" distL="114300" distR="114300" simplePos="0" relativeHeight="251661312" behindDoc="0" locked="0" layoutInCell="1" allowOverlap="1" wp14:anchorId="383EA1F2" wp14:editId="0783659A">
            <wp:simplePos x="0" y="0"/>
            <wp:positionH relativeFrom="column">
              <wp:posOffset>-318937</wp:posOffset>
            </wp:positionH>
            <wp:positionV relativeFrom="paragraph">
              <wp:posOffset>327025</wp:posOffset>
            </wp:positionV>
            <wp:extent cx="6748780" cy="5136515"/>
            <wp:effectExtent l="0" t="0" r="0" b="6985"/>
            <wp:wrapThrough wrapText="bothSides">
              <wp:wrapPolygon edited="0">
                <wp:start x="0" y="0"/>
                <wp:lineTo x="0" y="21549"/>
                <wp:lineTo x="21523" y="21549"/>
                <wp:lineTo x="2152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grayscl/>
                      <a:extLst>
                        <a:ext uri="{28A0092B-C50C-407E-A947-70E740481C1C}">
                          <a14:useLocalDpi xmlns:a14="http://schemas.microsoft.com/office/drawing/2010/main" val="0"/>
                        </a:ext>
                      </a:extLst>
                    </a:blip>
                    <a:srcRect/>
                    <a:stretch>
                      <a:fillRect/>
                    </a:stretch>
                  </pic:blipFill>
                  <pic:spPr bwMode="auto">
                    <a:xfrm>
                      <a:off x="0" y="0"/>
                      <a:ext cx="6748780" cy="51365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DFA247" w14:textId="77777777" w:rsidR="00224FF2" w:rsidRDefault="00224FF2" w:rsidP="00E275D8">
      <w:pPr>
        <w:pStyle w:val="BodyText"/>
      </w:pPr>
    </w:p>
    <w:p w14:paraId="74616F28" w14:textId="77777777" w:rsidR="00224FF2" w:rsidRDefault="00224FF2" w:rsidP="00E275D8">
      <w:pPr>
        <w:pStyle w:val="BodyText"/>
        <w:sectPr w:rsidR="00224FF2" w:rsidSect="0068481F">
          <w:headerReference w:type="default" r:id="rId32"/>
          <w:pgSz w:w="12240" w:h="15840" w:code="1"/>
          <w:pgMar w:top="1584" w:right="1440" w:bottom="1440" w:left="1440" w:header="720" w:footer="720" w:gutter="0"/>
          <w:cols w:space="720"/>
          <w:formProt w:val="0"/>
          <w:docGrid w:linePitch="360"/>
        </w:sectPr>
      </w:pPr>
    </w:p>
    <w:p w14:paraId="3083704C" w14:textId="77777777" w:rsidR="00CE76A5" w:rsidRPr="000B64A8" w:rsidRDefault="00CE76A5" w:rsidP="00CE76A5">
      <w:r>
        <w:fldChar w:fldCharType="begin"/>
      </w:r>
      <w:r>
        <w:instrText xml:space="preserve"> TC "</w:instrText>
      </w:r>
      <w:bookmarkStart w:id="41" w:name="_Toc206150064"/>
      <w:bookmarkStart w:id="42" w:name="_Toc219970022"/>
      <w:r>
        <w:instrText>Schedule No. 4-A – Monthly Water Rates</w:instrText>
      </w:r>
      <w:bookmarkEnd w:id="41"/>
      <w:bookmarkEnd w:id="42"/>
      <w:r>
        <w:instrText xml:space="preserve">" \l 1 </w:instrText>
      </w:r>
      <w:r>
        <w:fldChar w:fldCharType="end"/>
      </w:r>
    </w:p>
    <w:p w14:paraId="58F24AEA" w14:textId="7573D134" w:rsidR="00224FF2" w:rsidRDefault="00224FF2" w:rsidP="00141D83">
      <w:pPr>
        <w:pStyle w:val="BodyText"/>
        <w:spacing w:after="0"/>
      </w:pPr>
    </w:p>
    <w:tbl>
      <w:tblPr>
        <w:tblpPr w:leftFromText="180" w:rightFromText="180" w:vertAnchor="text" w:horzAnchor="margin" w:tblpXSpec="center" w:tblpY="47"/>
        <w:tblW w:w="14488" w:type="dxa"/>
        <w:tblLook w:val="04A0" w:firstRow="1" w:lastRow="0" w:firstColumn="1" w:lastColumn="0" w:noHBand="0" w:noVBand="1"/>
      </w:tblPr>
      <w:tblGrid>
        <w:gridCol w:w="293"/>
        <w:gridCol w:w="5184"/>
        <w:gridCol w:w="728"/>
        <w:gridCol w:w="957"/>
        <w:gridCol w:w="728"/>
        <w:gridCol w:w="988"/>
        <w:gridCol w:w="2668"/>
        <w:gridCol w:w="302"/>
        <w:gridCol w:w="2384"/>
        <w:gridCol w:w="256"/>
      </w:tblGrid>
      <w:tr w:rsidR="00F42888" w:rsidRPr="003A2A1C" w14:paraId="17145872" w14:textId="77777777" w:rsidTr="00F42888">
        <w:trPr>
          <w:trHeight w:val="241"/>
        </w:trPr>
        <w:tc>
          <w:tcPr>
            <w:tcW w:w="293" w:type="dxa"/>
            <w:tcBorders>
              <w:top w:val="nil"/>
              <w:left w:val="nil"/>
              <w:bottom w:val="nil"/>
              <w:right w:val="nil"/>
            </w:tcBorders>
            <w:shd w:val="clear" w:color="auto" w:fill="auto"/>
            <w:noWrap/>
            <w:vAlign w:val="bottom"/>
            <w:hideMark/>
          </w:tcPr>
          <w:p w14:paraId="079F8CDE" w14:textId="77777777" w:rsidR="00F42888" w:rsidRPr="003A2A1C" w:rsidRDefault="00F42888" w:rsidP="00F42888">
            <w:pPr>
              <w:rPr>
                <w:sz w:val="22"/>
                <w:szCs w:val="22"/>
              </w:rPr>
            </w:pPr>
          </w:p>
        </w:tc>
        <w:tc>
          <w:tcPr>
            <w:tcW w:w="7597" w:type="dxa"/>
            <w:gridSpan w:val="4"/>
            <w:tcBorders>
              <w:top w:val="single" w:sz="8" w:space="0" w:color="000000"/>
              <w:left w:val="single" w:sz="8" w:space="0" w:color="000000"/>
              <w:bottom w:val="nil"/>
              <w:right w:val="nil"/>
            </w:tcBorders>
            <w:shd w:val="clear" w:color="auto" w:fill="auto"/>
            <w:noWrap/>
            <w:vAlign w:val="center"/>
            <w:hideMark/>
          </w:tcPr>
          <w:p w14:paraId="0EEBCB19" w14:textId="77777777" w:rsidR="00F42888" w:rsidRPr="003A2A1C" w:rsidRDefault="00F42888" w:rsidP="00F42888">
            <w:pPr>
              <w:rPr>
                <w:b/>
                <w:bCs/>
                <w:color w:val="000000"/>
                <w:sz w:val="22"/>
                <w:szCs w:val="22"/>
              </w:rPr>
            </w:pPr>
            <w:r w:rsidRPr="003A2A1C">
              <w:rPr>
                <w:b/>
                <w:bCs/>
                <w:color w:val="000000"/>
                <w:sz w:val="22"/>
                <w:szCs w:val="22"/>
              </w:rPr>
              <w:t>NC REAL ESTATE PROJECTS, LLC D/B/A GRENELEFE UTILITY</w:t>
            </w:r>
          </w:p>
        </w:tc>
        <w:tc>
          <w:tcPr>
            <w:tcW w:w="988" w:type="dxa"/>
            <w:tcBorders>
              <w:top w:val="single" w:sz="8" w:space="0" w:color="000000"/>
              <w:left w:val="nil"/>
              <w:bottom w:val="nil"/>
              <w:right w:val="nil"/>
            </w:tcBorders>
            <w:shd w:val="clear" w:color="auto" w:fill="auto"/>
            <w:noWrap/>
            <w:vAlign w:val="center"/>
            <w:hideMark/>
          </w:tcPr>
          <w:p w14:paraId="06DB40E2" w14:textId="77777777" w:rsidR="00F42888" w:rsidRPr="003A2A1C" w:rsidRDefault="00F42888" w:rsidP="00F42888">
            <w:pPr>
              <w:rPr>
                <w:b/>
                <w:bCs/>
                <w:color w:val="000000"/>
                <w:sz w:val="22"/>
                <w:szCs w:val="22"/>
              </w:rPr>
            </w:pPr>
            <w:r w:rsidRPr="003A2A1C">
              <w:rPr>
                <w:b/>
                <w:bCs/>
                <w:color w:val="000000"/>
                <w:sz w:val="22"/>
                <w:szCs w:val="22"/>
              </w:rPr>
              <w:t> </w:t>
            </w:r>
          </w:p>
        </w:tc>
        <w:tc>
          <w:tcPr>
            <w:tcW w:w="2668" w:type="dxa"/>
            <w:tcBorders>
              <w:top w:val="single" w:sz="8" w:space="0" w:color="000000"/>
              <w:left w:val="nil"/>
              <w:bottom w:val="nil"/>
              <w:right w:val="nil"/>
            </w:tcBorders>
            <w:shd w:val="clear" w:color="auto" w:fill="auto"/>
            <w:noWrap/>
            <w:vAlign w:val="center"/>
            <w:hideMark/>
          </w:tcPr>
          <w:p w14:paraId="2454E22D" w14:textId="77777777" w:rsidR="00F42888" w:rsidRPr="003A2A1C" w:rsidRDefault="00F42888" w:rsidP="00F42888">
            <w:pPr>
              <w:rPr>
                <w:b/>
                <w:bCs/>
                <w:color w:val="000000"/>
                <w:sz w:val="22"/>
                <w:szCs w:val="22"/>
              </w:rPr>
            </w:pPr>
            <w:r w:rsidRPr="003A2A1C">
              <w:rPr>
                <w:b/>
                <w:bCs/>
                <w:color w:val="000000"/>
                <w:sz w:val="22"/>
                <w:szCs w:val="22"/>
              </w:rPr>
              <w:t> </w:t>
            </w:r>
          </w:p>
        </w:tc>
        <w:tc>
          <w:tcPr>
            <w:tcW w:w="2686" w:type="dxa"/>
            <w:gridSpan w:val="2"/>
            <w:tcBorders>
              <w:top w:val="single" w:sz="8" w:space="0" w:color="000000"/>
              <w:left w:val="nil"/>
              <w:bottom w:val="nil"/>
              <w:right w:val="single" w:sz="8" w:space="0" w:color="000000"/>
            </w:tcBorders>
            <w:shd w:val="clear" w:color="auto" w:fill="auto"/>
            <w:noWrap/>
            <w:vAlign w:val="center"/>
            <w:hideMark/>
          </w:tcPr>
          <w:p w14:paraId="67759FCA" w14:textId="77777777" w:rsidR="00F42888" w:rsidRPr="003A2A1C" w:rsidRDefault="00F42888" w:rsidP="00F42888">
            <w:pPr>
              <w:jc w:val="right"/>
              <w:rPr>
                <w:b/>
                <w:bCs/>
                <w:color w:val="000000"/>
                <w:sz w:val="22"/>
                <w:szCs w:val="22"/>
              </w:rPr>
            </w:pPr>
            <w:r w:rsidRPr="003A2A1C">
              <w:rPr>
                <w:b/>
                <w:bCs/>
                <w:color w:val="000000"/>
                <w:sz w:val="22"/>
                <w:szCs w:val="22"/>
              </w:rPr>
              <w:t>SCHEDULE NO. 4-A</w:t>
            </w:r>
          </w:p>
        </w:tc>
        <w:tc>
          <w:tcPr>
            <w:tcW w:w="256" w:type="dxa"/>
            <w:tcBorders>
              <w:top w:val="nil"/>
              <w:left w:val="nil"/>
              <w:bottom w:val="nil"/>
              <w:right w:val="nil"/>
            </w:tcBorders>
            <w:shd w:val="clear" w:color="auto" w:fill="auto"/>
            <w:noWrap/>
            <w:vAlign w:val="bottom"/>
            <w:hideMark/>
          </w:tcPr>
          <w:p w14:paraId="267FFCDC" w14:textId="77777777" w:rsidR="00F42888" w:rsidRPr="003A2A1C" w:rsidRDefault="00F42888" w:rsidP="00F42888">
            <w:pPr>
              <w:jc w:val="right"/>
              <w:rPr>
                <w:b/>
                <w:bCs/>
                <w:color w:val="000000"/>
                <w:sz w:val="22"/>
                <w:szCs w:val="22"/>
              </w:rPr>
            </w:pPr>
          </w:p>
        </w:tc>
      </w:tr>
      <w:tr w:rsidR="00F42888" w:rsidRPr="003A2A1C" w14:paraId="4736441C" w14:textId="77777777" w:rsidTr="00F42888">
        <w:trPr>
          <w:trHeight w:val="241"/>
        </w:trPr>
        <w:tc>
          <w:tcPr>
            <w:tcW w:w="293" w:type="dxa"/>
            <w:tcBorders>
              <w:top w:val="nil"/>
              <w:left w:val="nil"/>
              <w:bottom w:val="nil"/>
              <w:right w:val="nil"/>
            </w:tcBorders>
            <w:shd w:val="clear" w:color="auto" w:fill="auto"/>
            <w:noWrap/>
            <w:vAlign w:val="bottom"/>
            <w:hideMark/>
          </w:tcPr>
          <w:p w14:paraId="0291BCB3" w14:textId="77777777" w:rsidR="00F42888" w:rsidRPr="003A2A1C" w:rsidRDefault="00F42888" w:rsidP="00F42888">
            <w:pPr>
              <w:rPr>
                <w:sz w:val="22"/>
                <w:szCs w:val="22"/>
              </w:rPr>
            </w:pPr>
          </w:p>
        </w:tc>
        <w:tc>
          <w:tcPr>
            <w:tcW w:w="5184" w:type="dxa"/>
            <w:tcBorders>
              <w:top w:val="nil"/>
              <w:left w:val="single" w:sz="8" w:space="0" w:color="000000"/>
              <w:bottom w:val="nil"/>
              <w:right w:val="nil"/>
            </w:tcBorders>
            <w:shd w:val="clear" w:color="auto" w:fill="auto"/>
            <w:noWrap/>
            <w:vAlign w:val="center"/>
            <w:hideMark/>
          </w:tcPr>
          <w:p w14:paraId="2C00C3BE" w14:textId="2A36A82A" w:rsidR="00F42888" w:rsidRPr="003A2A1C" w:rsidRDefault="00F42888" w:rsidP="00F86E40">
            <w:pPr>
              <w:rPr>
                <w:b/>
                <w:bCs/>
                <w:color w:val="000000"/>
                <w:sz w:val="22"/>
                <w:szCs w:val="22"/>
              </w:rPr>
            </w:pPr>
            <w:r w:rsidRPr="003A2A1C">
              <w:rPr>
                <w:b/>
                <w:bCs/>
                <w:color w:val="000000"/>
                <w:sz w:val="22"/>
                <w:szCs w:val="22"/>
              </w:rPr>
              <w:t xml:space="preserve">TEST YEAR ENDED </w:t>
            </w:r>
            <w:r w:rsidR="00F86E40">
              <w:rPr>
                <w:b/>
                <w:bCs/>
                <w:color w:val="000000"/>
                <w:sz w:val="22"/>
                <w:szCs w:val="22"/>
              </w:rPr>
              <w:t>10/31/24</w:t>
            </w:r>
          </w:p>
        </w:tc>
        <w:tc>
          <w:tcPr>
            <w:tcW w:w="1685" w:type="dxa"/>
            <w:gridSpan w:val="2"/>
            <w:tcBorders>
              <w:top w:val="nil"/>
              <w:left w:val="nil"/>
              <w:bottom w:val="nil"/>
              <w:right w:val="nil"/>
            </w:tcBorders>
            <w:shd w:val="clear" w:color="auto" w:fill="auto"/>
            <w:noWrap/>
            <w:vAlign w:val="bottom"/>
            <w:hideMark/>
          </w:tcPr>
          <w:p w14:paraId="34622A04" w14:textId="77777777" w:rsidR="00F42888" w:rsidRPr="003A2A1C" w:rsidRDefault="00F42888" w:rsidP="00F42888">
            <w:pPr>
              <w:rPr>
                <w:b/>
                <w:bCs/>
                <w:color w:val="000000"/>
                <w:sz w:val="22"/>
                <w:szCs w:val="22"/>
              </w:rPr>
            </w:pPr>
          </w:p>
        </w:tc>
        <w:tc>
          <w:tcPr>
            <w:tcW w:w="1716" w:type="dxa"/>
            <w:gridSpan w:val="2"/>
            <w:tcBorders>
              <w:top w:val="nil"/>
              <w:left w:val="nil"/>
              <w:bottom w:val="nil"/>
              <w:right w:val="nil"/>
            </w:tcBorders>
            <w:shd w:val="clear" w:color="auto" w:fill="auto"/>
            <w:noWrap/>
            <w:vAlign w:val="bottom"/>
            <w:hideMark/>
          </w:tcPr>
          <w:p w14:paraId="34F2ABB4" w14:textId="77777777" w:rsidR="00F42888" w:rsidRPr="003A2A1C" w:rsidRDefault="00F42888" w:rsidP="00F42888">
            <w:pPr>
              <w:rPr>
                <w:sz w:val="22"/>
                <w:szCs w:val="22"/>
              </w:rPr>
            </w:pPr>
          </w:p>
        </w:tc>
        <w:tc>
          <w:tcPr>
            <w:tcW w:w="5354" w:type="dxa"/>
            <w:gridSpan w:val="3"/>
            <w:tcBorders>
              <w:top w:val="nil"/>
              <w:left w:val="nil"/>
              <w:bottom w:val="nil"/>
              <w:right w:val="single" w:sz="8" w:space="0" w:color="000000"/>
            </w:tcBorders>
            <w:shd w:val="clear" w:color="auto" w:fill="auto"/>
            <w:noWrap/>
            <w:vAlign w:val="center"/>
            <w:hideMark/>
          </w:tcPr>
          <w:p w14:paraId="5CB1E078" w14:textId="77777777" w:rsidR="00F42888" w:rsidRPr="003A2A1C" w:rsidRDefault="00F42888" w:rsidP="00F42888">
            <w:pPr>
              <w:jc w:val="right"/>
              <w:rPr>
                <w:b/>
                <w:bCs/>
                <w:color w:val="000000"/>
                <w:sz w:val="22"/>
                <w:szCs w:val="22"/>
              </w:rPr>
            </w:pPr>
            <w:r w:rsidRPr="003A2A1C">
              <w:rPr>
                <w:b/>
                <w:bCs/>
                <w:color w:val="000000"/>
                <w:sz w:val="22"/>
                <w:szCs w:val="22"/>
              </w:rPr>
              <w:t>DOCKET NO. 20250023-WS</w:t>
            </w:r>
          </w:p>
        </w:tc>
        <w:tc>
          <w:tcPr>
            <w:tcW w:w="256" w:type="dxa"/>
            <w:tcBorders>
              <w:top w:val="nil"/>
              <w:left w:val="nil"/>
              <w:bottom w:val="nil"/>
              <w:right w:val="nil"/>
            </w:tcBorders>
            <w:shd w:val="clear" w:color="auto" w:fill="auto"/>
            <w:noWrap/>
            <w:vAlign w:val="bottom"/>
            <w:hideMark/>
          </w:tcPr>
          <w:p w14:paraId="2EFD51C2" w14:textId="77777777" w:rsidR="00F42888" w:rsidRPr="003A2A1C" w:rsidRDefault="00F42888" w:rsidP="00F42888">
            <w:pPr>
              <w:jc w:val="right"/>
              <w:rPr>
                <w:b/>
                <w:bCs/>
                <w:color w:val="000000"/>
                <w:sz w:val="22"/>
                <w:szCs w:val="22"/>
              </w:rPr>
            </w:pPr>
          </w:p>
        </w:tc>
      </w:tr>
      <w:tr w:rsidR="00F42888" w:rsidRPr="003A2A1C" w14:paraId="0011FF53" w14:textId="77777777" w:rsidTr="00F42888">
        <w:trPr>
          <w:trHeight w:val="297"/>
        </w:trPr>
        <w:tc>
          <w:tcPr>
            <w:tcW w:w="293" w:type="dxa"/>
            <w:tcBorders>
              <w:top w:val="nil"/>
              <w:left w:val="nil"/>
              <w:bottom w:val="nil"/>
              <w:right w:val="nil"/>
            </w:tcBorders>
            <w:shd w:val="clear" w:color="auto" w:fill="auto"/>
            <w:noWrap/>
            <w:vAlign w:val="bottom"/>
            <w:hideMark/>
          </w:tcPr>
          <w:p w14:paraId="07DFCEB3" w14:textId="77777777" w:rsidR="00F42888" w:rsidRPr="003A2A1C" w:rsidRDefault="00F42888" w:rsidP="00F42888">
            <w:pPr>
              <w:rPr>
                <w:sz w:val="22"/>
                <w:szCs w:val="22"/>
              </w:rPr>
            </w:pPr>
          </w:p>
        </w:tc>
        <w:tc>
          <w:tcPr>
            <w:tcW w:w="5184" w:type="dxa"/>
            <w:tcBorders>
              <w:top w:val="nil"/>
              <w:left w:val="single" w:sz="8" w:space="0" w:color="000000"/>
              <w:bottom w:val="single" w:sz="8" w:space="0" w:color="000000"/>
              <w:right w:val="nil"/>
            </w:tcBorders>
            <w:shd w:val="clear" w:color="auto" w:fill="auto"/>
            <w:noWrap/>
            <w:vAlign w:val="center"/>
            <w:hideMark/>
          </w:tcPr>
          <w:p w14:paraId="30096B6A" w14:textId="77777777" w:rsidR="00F42888" w:rsidRPr="003A2A1C" w:rsidRDefault="00F42888" w:rsidP="00F42888">
            <w:pPr>
              <w:rPr>
                <w:b/>
                <w:bCs/>
                <w:color w:val="000000"/>
                <w:sz w:val="22"/>
                <w:szCs w:val="22"/>
              </w:rPr>
            </w:pPr>
            <w:r w:rsidRPr="003A2A1C">
              <w:rPr>
                <w:b/>
                <w:bCs/>
                <w:color w:val="000000"/>
                <w:sz w:val="22"/>
                <w:szCs w:val="22"/>
              </w:rPr>
              <w:t>MONTHLY WATER RATES</w:t>
            </w:r>
          </w:p>
        </w:tc>
        <w:tc>
          <w:tcPr>
            <w:tcW w:w="1685" w:type="dxa"/>
            <w:gridSpan w:val="2"/>
            <w:tcBorders>
              <w:top w:val="nil"/>
              <w:left w:val="nil"/>
              <w:bottom w:val="single" w:sz="8" w:space="0" w:color="000000"/>
              <w:right w:val="nil"/>
            </w:tcBorders>
            <w:shd w:val="clear" w:color="auto" w:fill="auto"/>
            <w:noWrap/>
            <w:vAlign w:val="bottom"/>
            <w:hideMark/>
          </w:tcPr>
          <w:p w14:paraId="746A98CC" w14:textId="77777777" w:rsidR="00F42888" w:rsidRPr="003A2A1C" w:rsidRDefault="00F42888" w:rsidP="00F42888">
            <w:pPr>
              <w:rPr>
                <w:sz w:val="22"/>
                <w:szCs w:val="22"/>
              </w:rPr>
            </w:pPr>
            <w:r w:rsidRPr="003A2A1C">
              <w:rPr>
                <w:sz w:val="22"/>
                <w:szCs w:val="22"/>
              </w:rPr>
              <w:t> </w:t>
            </w:r>
          </w:p>
        </w:tc>
        <w:tc>
          <w:tcPr>
            <w:tcW w:w="1716" w:type="dxa"/>
            <w:gridSpan w:val="2"/>
            <w:tcBorders>
              <w:top w:val="nil"/>
              <w:left w:val="nil"/>
              <w:bottom w:val="single" w:sz="8" w:space="0" w:color="000000"/>
              <w:right w:val="nil"/>
            </w:tcBorders>
            <w:shd w:val="clear" w:color="auto" w:fill="auto"/>
            <w:noWrap/>
            <w:vAlign w:val="bottom"/>
            <w:hideMark/>
          </w:tcPr>
          <w:p w14:paraId="3874BB67" w14:textId="77777777" w:rsidR="00F42888" w:rsidRPr="003A2A1C" w:rsidRDefault="00F42888" w:rsidP="00F42888">
            <w:pPr>
              <w:rPr>
                <w:sz w:val="22"/>
                <w:szCs w:val="22"/>
              </w:rPr>
            </w:pPr>
            <w:r w:rsidRPr="003A2A1C">
              <w:rPr>
                <w:sz w:val="22"/>
                <w:szCs w:val="22"/>
              </w:rPr>
              <w:t> </w:t>
            </w:r>
          </w:p>
        </w:tc>
        <w:tc>
          <w:tcPr>
            <w:tcW w:w="2970" w:type="dxa"/>
            <w:gridSpan w:val="2"/>
            <w:tcBorders>
              <w:top w:val="nil"/>
              <w:left w:val="nil"/>
              <w:bottom w:val="single" w:sz="8" w:space="0" w:color="000000"/>
              <w:right w:val="nil"/>
            </w:tcBorders>
            <w:shd w:val="clear" w:color="auto" w:fill="auto"/>
            <w:noWrap/>
            <w:vAlign w:val="bottom"/>
            <w:hideMark/>
          </w:tcPr>
          <w:p w14:paraId="71462A78" w14:textId="77777777" w:rsidR="00F42888" w:rsidRPr="003A2A1C" w:rsidRDefault="00F42888" w:rsidP="00F42888">
            <w:pPr>
              <w:rPr>
                <w:sz w:val="22"/>
                <w:szCs w:val="22"/>
              </w:rPr>
            </w:pPr>
            <w:r w:rsidRPr="003A2A1C">
              <w:rPr>
                <w:sz w:val="22"/>
                <w:szCs w:val="22"/>
              </w:rPr>
              <w:t> </w:t>
            </w:r>
          </w:p>
        </w:tc>
        <w:tc>
          <w:tcPr>
            <w:tcW w:w="2384" w:type="dxa"/>
            <w:tcBorders>
              <w:top w:val="nil"/>
              <w:left w:val="nil"/>
              <w:bottom w:val="single" w:sz="8" w:space="0" w:color="000000"/>
              <w:right w:val="single" w:sz="8" w:space="0" w:color="000000"/>
            </w:tcBorders>
            <w:shd w:val="clear" w:color="auto" w:fill="auto"/>
            <w:noWrap/>
            <w:vAlign w:val="center"/>
            <w:hideMark/>
          </w:tcPr>
          <w:p w14:paraId="2BD82572" w14:textId="77777777" w:rsidR="00F42888" w:rsidRPr="003A2A1C" w:rsidRDefault="00F42888" w:rsidP="00F42888">
            <w:pPr>
              <w:rPr>
                <w:b/>
                <w:bCs/>
                <w:sz w:val="22"/>
                <w:szCs w:val="22"/>
              </w:rPr>
            </w:pPr>
            <w:r w:rsidRPr="003A2A1C">
              <w:rPr>
                <w:b/>
                <w:bCs/>
                <w:sz w:val="22"/>
                <w:szCs w:val="22"/>
              </w:rPr>
              <w:t> </w:t>
            </w:r>
          </w:p>
        </w:tc>
        <w:tc>
          <w:tcPr>
            <w:tcW w:w="256" w:type="dxa"/>
            <w:tcBorders>
              <w:top w:val="nil"/>
              <w:left w:val="nil"/>
              <w:bottom w:val="nil"/>
              <w:right w:val="nil"/>
            </w:tcBorders>
            <w:shd w:val="clear" w:color="auto" w:fill="auto"/>
            <w:noWrap/>
            <w:vAlign w:val="bottom"/>
            <w:hideMark/>
          </w:tcPr>
          <w:p w14:paraId="1E2156F7" w14:textId="77777777" w:rsidR="00F42888" w:rsidRPr="003A2A1C" w:rsidRDefault="00F42888" w:rsidP="00F42888">
            <w:pPr>
              <w:rPr>
                <w:b/>
                <w:bCs/>
                <w:sz w:val="22"/>
                <w:szCs w:val="22"/>
              </w:rPr>
            </w:pPr>
          </w:p>
        </w:tc>
      </w:tr>
      <w:tr w:rsidR="00F42888" w:rsidRPr="003A2A1C" w14:paraId="1C587270" w14:textId="77777777" w:rsidTr="00F42888">
        <w:trPr>
          <w:trHeight w:val="283"/>
        </w:trPr>
        <w:tc>
          <w:tcPr>
            <w:tcW w:w="293" w:type="dxa"/>
            <w:tcBorders>
              <w:top w:val="nil"/>
              <w:left w:val="nil"/>
              <w:bottom w:val="nil"/>
              <w:right w:val="nil"/>
            </w:tcBorders>
            <w:shd w:val="clear" w:color="auto" w:fill="auto"/>
            <w:noWrap/>
            <w:vAlign w:val="bottom"/>
            <w:hideMark/>
          </w:tcPr>
          <w:p w14:paraId="4D7CD277" w14:textId="77777777" w:rsidR="00F42888" w:rsidRPr="003A2A1C" w:rsidRDefault="00F42888" w:rsidP="00F42888">
            <w:pPr>
              <w:rPr>
                <w:sz w:val="22"/>
                <w:szCs w:val="22"/>
              </w:rPr>
            </w:pPr>
          </w:p>
        </w:tc>
        <w:tc>
          <w:tcPr>
            <w:tcW w:w="5184" w:type="dxa"/>
            <w:tcBorders>
              <w:top w:val="nil"/>
              <w:left w:val="single" w:sz="8" w:space="0" w:color="000000"/>
              <w:bottom w:val="nil"/>
              <w:right w:val="nil"/>
            </w:tcBorders>
            <w:shd w:val="clear" w:color="000000" w:fill="D9D9D9"/>
            <w:noWrap/>
            <w:vAlign w:val="center"/>
            <w:hideMark/>
          </w:tcPr>
          <w:p w14:paraId="48A30BBA" w14:textId="77777777" w:rsidR="00F42888" w:rsidRPr="003A2A1C" w:rsidRDefault="00F42888" w:rsidP="00F42888">
            <w:pPr>
              <w:rPr>
                <w:b/>
                <w:bCs/>
                <w:sz w:val="22"/>
                <w:szCs w:val="22"/>
              </w:rPr>
            </w:pPr>
            <w:r w:rsidRPr="003A2A1C">
              <w:rPr>
                <w:b/>
                <w:bCs/>
                <w:sz w:val="22"/>
                <w:szCs w:val="22"/>
              </w:rPr>
              <w:t> </w:t>
            </w:r>
          </w:p>
        </w:tc>
        <w:tc>
          <w:tcPr>
            <w:tcW w:w="1685" w:type="dxa"/>
            <w:gridSpan w:val="2"/>
            <w:tcBorders>
              <w:top w:val="nil"/>
              <w:left w:val="nil"/>
              <w:bottom w:val="nil"/>
              <w:right w:val="nil"/>
            </w:tcBorders>
            <w:shd w:val="clear" w:color="000000" w:fill="D9D9D9"/>
            <w:noWrap/>
            <w:vAlign w:val="center"/>
            <w:hideMark/>
          </w:tcPr>
          <w:p w14:paraId="3205C6A6" w14:textId="77777777" w:rsidR="00F42888" w:rsidRPr="003A2A1C" w:rsidRDefault="00F42888" w:rsidP="00F42888">
            <w:pPr>
              <w:jc w:val="center"/>
              <w:rPr>
                <w:b/>
                <w:bCs/>
                <w:color w:val="000000"/>
                <w:sz w:val="22"/>
                <w:szCs w:val="22"/>
              </w:rPr>
            </w:pPr>
            <w:r w:rsidRPr="003A2A1C">
              <w:rPr>
                <w:b/>
                <w:bCs/>
                <w:color w:val="000000"/>
                <w:sz w:val="22"/>
                <w:szCs w:val="22"/>
              </w:rPr>
              <w:t>UTILITY</w:t>
            </w:r>
          </w:p>
        </w:tc>
        <w:tc>
          <w:tcPr>
            <w:tcW w:w="1716" w:type="dxa"/>
            <w:gridSpan w:val="2"/>
            <w:tcBorders>
              <w:top w:val="nil"/>
              <w:left w:val="nil"/>
              <w:bottom w:val="nil"/>
              <w:right w:val="nil"/>
            </w:tcBorders>
            <w:shd w:val="clear" w:color="000000" w:fill="D9D9D9"/>
            <w:noWrap/>
            <w:vAlign w:val="center"/>
            <w:hideMark/>
          </w:tcPr>
          <w:p w14:paraId="22A28D3F" w14:textId="77777777" w:rsidR="00F42888" w:rsidRPr="003A2A1C" w:rsidRDefault="00F42888" w:rsidP="00F42888">
            <w:pPr>
              <w:jc w:val="center"/>
              <w:rPr>
                <w:b/>
                <w:bCs/>
                <w:color w:val="000000"/>
                <w:sz w:val="22"/>
                <w:szCs w:val="22"/>
              </w:rPr>
            </w:pPr>
            <w:r w:rsidRPr="003A2A1C">
              <w:rPr>
                <w:b/>
                <w:bCs/>
                <w:color w:val="000000"/>
                <w:sz w:val="22"/>
                <w:szCs w:val="22"/>
              </w:rPr>
              <w:t>UTILITY</w:t>
            </w:r>
          </w:p>
        </w:tc>
        <w:tc>
          <w:tcPr>
            <w:tcW w:w="2970" w:type="dxa"/>
            <w:gridSpan w:val="2"/>
            <w:tcBorders>
              <w:top w:val="nil"/>
              <w:left w:val="nil"/>
              <w:bottom w:val="nil"/>
              <w:right w:val="nil"/>
            </w:tcBorders>
            <w:shd w:val="clear" w:color="000000" w:fill="D9D9D9"/>
            <w:noWrap/>
            <w:vAlign w:val="center"/>
            <w:hideMark/>
          </w:tcPr>
          <w:p w14:paraId="5111738A" w14:textId="77777777" w:rsidR="00F42888" w:rsidRPr="003A2A1C" w:rsidRDefault="00F42888" w:rsidP="00F42888">
            <w:pPr>
              <w:jc w:val="center"/>
              <w:rPr>
                <w:b/>
                <w:bCs/>
                <w:color w:val="000000"/>
                <w:sz w:val="22"/>
                <w:szCs w:val="22"/>
              </w:rPr>
            </w:pPr>
            <w:r w:rsidRPr="003A2A1C">
              <w:rPr>
                <w:b/>
                <w:bCs/>
                <w:color w:val="000000"/>
                <w:sz w:val="22"/>
                <w:szCs w:val="22"/>
              </w:rPr>
              <w:t>STAFF</w:t>
            </w:r>
          </w:p>
        </w:tc>
        <w:tc>
          <w:tcPr>
            <w:tcW w:w="2384" w:type="dxa"/>
            <w:tcBorders>
              <w:top w:val="nil"/>
              <w:left w:val="nil"/>
              <w:bottom w:val="nil"/>
              <w:right w:val="single" w:sz="8" w:space="0" w:color="000000"/>
            </w:tcBorders>
            <w:shd w:val="clear" w:color="000000" w:fill="D9D9D9"/>
            <w:noWrap/>
            <w:vAlign w:val="center"/>
            <w:hideMark/>
          </w:tcPr>
          <w:p w14:paraId="258A642E" w14:textId="77777777" w:rsidR="00F42888" w:rsidRPr="003A2A1C" w:rsidRDefault="00F42888" w:rsidP="00F42888">
            <w:pPr>
              <w:jc w:val="center"/>
              <w:rPr>
                <w:b/>
                <w:bCs/>
                <w:color w:val="000000"/>
                <w:sz w:val="22"/>
                <w:szCs w:val="22"/>
              </w:rPr>
            </w:pPr>
            <w:r w:rsidRPr="003A2A1C">
              <w:rPr>
                <w:b/>
                <w:bCs/>
                <w:color w:val="000000"/>
                <w:sz w:val="22"/>
                <w:szCs w:val="22"/>
              </w:rPr>
              <w:t>4 YEAR</w:t>
            </w:r>
          </w:p>
        </w:tc>
        <w:tc>
          <w:tcPr>
            <w:tcW w:w="256" w:type="dxa"/>
            <w:tcBorders>
              <w:top w:val="nil"/>
              <w:left w:val="nil"/>
              <w:bottom w:val="nil"/>
              <w:right w:val="nil"/>
            </w:tcBorders>
            <w:shd w:val="clear" w:color="auto" w:fill="auto"/>
            <w:noWrap/>
            <w:vAlign w:val="bottom"/>
            <w:hideMark/>
          </w:tcPr>
          <w:p w14:paraId="4931F388" w14:textId="77777777" w:rsidR="00F42888" w:rsidRPr="003A2A1C" w:rsidRDefault="00F42888" w:rsidP="00F42888">
            <w:pPr>
              <w:jc w:val="center"/>
              <w:rPr>
                <w:b/>
                <w:bCs/>
                <w:color w:val="000000"/>
                <w:sz w:val="22"/>
                <w:szCs w:val="22"/>
              </w:rPr>
            </w:pPr>
          </w:p>
        </w:tc>
      </w:tr>
      <w:tr w:rsidR="00F42888" w:rsidRPr="003A2A1C" w14:paraId="4A9325F1" w14:textId="77777777" w:rsidTr="00F42888">
        <w:trPr>
          <w:trHeight w:val="283"/>
        </w:trPr>
        <w:tc>
          <w:tcPr>
            <w:tcW w:w="293" w:type="dxa"/>
            <w:tcBorders>
              <w:top w:val="nil"/>
              <w:left w:val="nil"/>
              <w:bottom w:val="nil"/>
              <w:right w:val="nil"/>
            </w:tcBorders>
            <w:shd w:val="clear" w:color="auto" w:fill="auto"/>
            <w:noWrap/>
            <w:vAlign w:val="bottom"/>
            <w:hideMark/>
          </w:tcPr>
          <w:p w14:paraId="082AF7DA" w14:textId="77777777" w:rsidR="00F42888" w:rsidRPr="003A2A1C" w:rsidRDefault="00F42888" w:rsidP="00F42888">
            <w:pPr>
              <w:rPr>
                <w:sz w:val="22"/>
                <w:szCs w:val="22"/>
              </w:rPr>
            </w:pPr>
          </w:p>
        </w:tc>
        <w:tc>
          <w:tcPr>
            <w:tcW w:w="5184" w:type="dxa"/>
            <w:tcBorders>
              <w:top w:val="nil"/>
              <w:left w:val="single" w:sz="8" w:space="0" w:color="000000"/>
              <w:bottom w:val="nil"/>
              <w:right w:val="nil"/>
            </w:tcBorders>
            <w:shd w:val="clear" w:color="000000" w:fill="D9D9D9"/>
            <w:noWrap/>
            <w:vAlign w:val="bottom"/>
            <w:hideMark/>
          </w:tcPr>
          <w:p w14:paraId="73730C68" w14:textId="77777777" w:rsidR="00F42888" w:rsidRPr="003A2A1C" w:rsidRDefault="00F42888" w:rsidP="00F42888">
            <w:pPr>
              <w:rPr>
                <w:sz w:val="22"/>
                <w:szCs w:val="22"/>
              </w:rPr>
            </w:pPr>
            <w:r w:rsidRPr="003A2A1C">
              <w:rPr>
                <w:sz w:val="22"/>
                <w:szCs w:val="22"/>
              </w:rPr>
              <w:t> </w:t>
            </w:r>
          </w:p>
        </w:tc>
        <w:tc>
          <w:tcPr>
            <w:tcW w:w="1685" w:type="dxa"/>
            <w:gridSpan w:val="2"/>
            <w:tcBorders>
              <w:top w:val="nil"/>
              <w:left w:val="nil"/>
              <w:bottom w:val="nil"/>
              <w:right w:val="nil"/>
            </w:tcBorders>
            <w:shd w:val="clear" w:color="000000" w:fill="D9D9D9"/>
            <w:noWrap/>
            <w:vAlign w:val="center"/>
            <w:hideMark/>
          </w:tcPr>
          <w:p w14:paraId="1FAFE40D" w14:textId="77777777" w:rsidR="00F42888" w:rsidRPr="003A2A1C" w:rsidRDefault="00F42888" w:rsidP="00F42888">
            <w:pPr>
              <w:jc w:val="center"/>
              <w:rPr>
                <w:b/>
                <w:bCs/>
                <w:color w:val="000000"/>
                <w:sz w:val="22"/>
                <w:szCs w:val="22"/>
              </w:rPr>
            </w:pPr>
            <w:r w:rsidRPr="003A2A1C">
              <w:rPr>
                <w:b/>
                <w:bCs/>
                <w:color w:val="000000"/>
                <w:sz w:val="22"/>
                <w:szCs w:val="22"/>
              </w:rPr>
              <w:t>CURRENT</w:t>
            </w:r>
          </w:p>
        </w:tc>
        <w:tc>
          <w:tcPr>
            <w:tcW w:w="1716" w:type="dxa"/>
            <w:gridSpan w:val="2"/>
            <w:tcBorders>
              <w:top w:val="nil"/>
              <w:left w:val="nil"/>
              <w:right w:val="nil"/>
            </w:tcBorders>
            <w:shd w:val="clear" w:color="000000" w:fill="D9D9D9"/>
            <w:noWrap/>
            <w:vAlign w:val="center"/>
            <w:hideMark/>
          </w:tcPr>
          <w:p w14:paraId="39CC7A59" w14:textId="77777777" w:rsidR="00F42888" w:rsidRPr="003A2A1C" w:rsidRDefault="00F42888" w:rsidP="00F42888">
            <w:pPr>
              <w:jc w:val="center"/>
              <w:rPr>
                <w:b/>
                <w:bCs/>
                <w:color w:val="000000"/>
                <w:sz w:val="22"/>
                <w:szCs w:val="22"/>
              </w:rPr>
            </w:pPr>
            <w:r w:rsidRPr="003A2A1C">
              <w:rPr>
                <w:b/>
                <w:bCs/>
                <w:color w:val="000000"/>
                <w:sz w:val="22"/>
                <w:szCs w:val="22"/>
              </w:rPr>
              <w:t>INTERIM</w:t>
            </w:r>
          </w:p>
        </w:tc>
        <w:tc>
          <w:tcPr>
            <w:tcW w:w="2970" w:type="dxa"/>
            <w:gridSpan w:val="2"/>
            <w:tcBorders>
              <w:top w:val="nil"/>
              <w:left w:val="nil"/>
              <w:bottom w:val="nil"/>
              <w:right w:val="nil"/>
            </w:tcBorders>
            <w:shd w:val="clear" w:color="000000" w:fill="D9D9D9"/>
            <w:noWrap/>
            <w:vAlign w:val="center"/>
            <w:hideMark/>
          </w:tcPr>
          <w:p w14:paraId="747E87F0" w14:textId="77777777" w:rsidR="00F42888" w:rsidRPr="003A2A1C" w:rsidRDefault="00F42888" w:rsidP="00F42888">
            <w:pPr>
              <w:jc w:val="center"/>
              <w:rPr>
                <w:b/>
                <w:bCs/>
                <w:color w:val="000000"/>
                <w:sz w:val="22"/>
                <w:szCs w:val="22"/>
              </w:rPr>
            </w:pPr>
            <w:r w:rsidRPr="003A2A1C">
              <w:rPr>
                <w:b/>
                <w:bCs/>
                <w:color w:val="000000"/>
                <w:sz w:val="22"/>
                <w:szCs w:val="22"/>
              </w:rPr>
              <w:t>RECOMMENDED</w:t>
            </w:r>
          </w:p>
        </w:tc>
        <w:tc>
          <w:tcPr>
            <w:tcW w:w="2384" w:type="dxa"/>
            <w:tcBorders>
              <w:top w:val="nil"/>
              <w:left w:val="nil"/>
              <w:bottom w:val="nil"/>
              <w:right w:val="single" w:sz="8" w:space="0" w:color="000000"/>
            </w:tcBorders>
            <w:shd w:val="clear" w:color="000000" w:fill="D9D9D9"/>
            <w:noWrap/>
            <w:vAlign w:val="center"/>
            <w:hideMark/>
          </w:tcPr>
          <w:p w14:paraId="3531F9B3" w14:textId="77777777" w:rsidR="00F42888" w:rsidRPr="003A2A1C" w:rsidRDefault="00F42888" w:rsidP="00F42888">
            <w:pPr>
              <w:jc w:val="center"/>
              <w:rPr>
                <w:b/>
                <w:bCs/>
                <w:color w:val="000000"/>
                <w:sz w:val="22"/>
                <w:szCs w:val="22"/>
              </w:rPr>
            </w:pPr>
            <w:r w:rsidRPr="003A2A1C">
              <w:rPr>
                <w:b/>
                <w:bCs/>
                <w:color w:val="000000"/>
                <w:sz w:val="22"/>
                <w:szCs w:val="22"/>
              </w:rPr>
              <w:t>RATE</w:t>
            </w:r>
          </w:p>
        </w:tc>
        <w:tc>
          <w:tcPr>
            <w:tcW w:w="256" w:type="dxa"/>
            <w:tcBorders>
              <w:top w:val="nil"/>
              <w:left w:val="nil"/>
              <w:bottom w:val="nil"/>
              <w:right w:val="nil"/>
            </w:tcBorders>
            <w:shd w:val="clear" w:color="auto" w:fill="auto"/>
            <w:noWrap/>
            <w:vAlign w:val="bottom"/>
            <w:hideMark/>
          </w:tcPr>
          <w:p w14:paraId="59451713" w14:textId="77777777" w:rsidR="00F42888" w:rsidRPr="003A2A1C" w:rsidRDefault="00F42888" w:rsidP="00F42888">
            <w:pPr>
              <w:jc w:val="center"/>
              <w:rPr>
                <w:b/>
                <w:bCs/>
                <w:color w:val="000000"/>
                <w:sz w:val="22"/>
                <w:szCs w:val="22"/>
              </w:rPr>
            </w:pPr>
          </w:p>
        </w:tc>
      </w:tr>
      <w:tr w:rsidR="00F42888" w:rsidRPr="003A2A1C" w14:paraId="5CA91381" w14:textId="77777777" w:rsidTr="00F42888">
        <w:trPr>
          <w:trHeight w:val="297"/>
        </w:trPr>
        <w:tc>
          <w:tcPr>
            <w:tcW w:w="293" w:type="dxa"/>
            <w:tcBorders>
              <w:top w:val="nil"/>
              <w:left w:val="nil"/>
              <w:bottom w:val="nil"/>
              <w:right w:val="nil"/>
            </w:tcBorders>
            <w:shd w:val="clear" w:color="auto" w:fill="auto"/>
            <w:noWrap/>
            <w:vAlign w:val="bottom"/>
            <w:hideMark/>
          </w:tcPr>
          <w:p w14:paraId="0A2379ED" w14:textId="77777777" w:rsidR="00F42888" w:rsidRPr="003A2A1C" w:rsidRDefault="00F42888" w:rsidP="00F42888">
            <w:pPr>
              <w:rPr>
                <w:sz w:val="22"/>
                <w:szCs w:val="22"/>
              </w:rPr>
            </w:pPr>
          </w:p>
        </w:tc>
        <w:tc>
          <w:tcPr>
            <w:tcW w:w="5184" w:type="dxa"/>
            <w:tcBorders>
              <w:top w:val="nil"/>
              <w:left w:val="single" w:sz="8" w:space="0" w:color="000000"/>
              <w:bottom w:val="single" w:sz="8" w:space="0" w:color="000000"/>
              <w:right w:val="nil"/>
            </w:tcBorders>
            <w:shd w:val="clear" w:color="000000" w:fill="D9D9D9"/>
            <w:noWrap/>
            <w:vAlign w:val="bottom"/>
            <w:hideMark/>
          </w:tcPr>
          <w:p w14:paraId="0E0937BE" w14:textId="77777777" w:rsidR="00F42888" w:rsidRPr="003A2A1C" w:rsidRDefault="00F42888" w:rsidP="00F42888">
            <w:pPr>
              <w:rPr>
                <w:sz w:val="22"/>
                <w:szCs w:val="22"/>
              </w:rPr>
            </w:pPr>
            <w:r w:rsidRPr="003A2A1C">
              <w:rPr>
                <w:sz w:val="22"/>
                <w:szCs w:val="22"/>
              </w:rPr>
              <w:t> </w:t>
            </w:r>
          </w:p>
        </w:tc>
        <w:tc>
          <w:tcPr>
            <w:tcW w:w="1685" w:type="dxa"/>
            <w:gridSpan w:val="2"/>
            <w:tcBorders>
              <w:top w:val="nil"/>
              <w:left w:val="nil"/>
              <w:bottom w:val="single" w:sz="8" w:space="0" w:color="000000"/>
              <w:right w:val="nil"/>
            </w:tcBorders>
            <w:shd w:val="clear" w:color="000000" w:fill="D9D9D9"/>
            <w:noWrap/>
            <w:vAlign w:val="center"/>
            <w:hideMark/>
          </w:tcPr>
          <w:p w14:paraId="12AC21CF" w14:textId="77777777" w:rsidR="00F42888" w:rsidRPr="003A2A1C" w:rsidRDefault="00F42888" w:rsidP="00F42888">
            <w:pPr>
              <w:jc w:val="center"/>
              <w:rPr>
                <w:b/>
                <w:bCs/>
                <w:color w:val="000000"/>
                <w:sz w:val="22"/>
                <w:szCs w:val="22"/>
              </w:rPr>
            </w:pPr>
            <w:r w:rsidRPr="003A2A1C">
              <w:rPr>
                <w:b/>
                <w:bCs/>
                <w:color w:val="000000"/>
                <w:sz w:val="22"/>
                <w:szCs w:val="22"/>
              </w:rPr>
              <w:t xml:space="preserve">RATES </w:t>
            </w:r>
          </w:p>
        </w:tc>
        <w:tc>
          <w:tcPr>
            <w:tcW w:w="1716" w:type="dxa"/>
            <w:gridSpan w:val="2"/>
            <w:tcBorders>
              <w:top w:val="nil"/>
              <w:left w:val="nil"/>
              <w:bottom w:val="single" w:sz="4" w:space="0" w:color="auto"/>
              <w:right w:val="nil"/>
            </w:tcBorders>
            <w:shd w:val="clear" w:color="000000" w:fill="D9D9D9"/>
            <w:noWrap/>
            <w:vAlign w:val="center"/>
            <w:hideMark/>
          </w:tcPr>
          <w:p w14:paraId="7099B4FF" w14:textId="77777777" w:rsidR="00F42888" w:rsidRPr="003A2A1C" w:rsidRDefault="00F42888" w:rsidP="00F42888">
            <w:pPr>
              <w:jc w:val="center"/>
              <w:rPr>
                <w:b/>
                <w:bCs/>
                <w:color w:val="000000"/>
                <w:sz w:val="22"/>
                <w:szCs w:val="22"/>
              </w:rPr>
            </w:pPr>
            <w:r w:rsidRPr="003A2A1C">
              <w:rPr>
                <w:b/>
                <w:bCs/>
                <w:color w:val="000000"/>
                <w:sz w:val="22"/>
                <w:szCs w:val="22"/>
              </w:rPr>
              <w:t>RATES</w:t>
            </w:r>
          </w:p>
        </w:tc>
        <w:tc>
          <w:tcPr>
            <w:tcW w:w="2970" w:type="dxa"/>
            <w:gridSpan w:val="2"/>
            <w:tcBorders>
              <w:top w:val="nil"/>
              <w:left w:val="nil"/>
              <w:bottom w:val="single" w:sz="8" w:space="0" w:color="000000"/>
              <w:right w:val="nil"/>
            </w:tcBorders>
            <w:shd w:val="clear" w:color="000000" w:fill="D9D9D9"/>
            <w:noWrap/>
            <w:vAlign w:val="center"/>
            <w:hideMark/>
          </w:tcPr>
          <w:p w14:paraId="53C1A0AF" w14:textId="77777777" w:rsidR="00F42888" w:rsidRPr="003A2A1C" w:rsidRDefault="00F42888" w:rsidP="00F42888">
            <w:pPr>
              <w:jc w:val="center"/>
              <w:rPr>
                <w:b/>
                <w:bCs/>
                <w:color w:val="000000"/>
                <w:sz w:val="22"/>
                <w:szCs w:val="22"/>
              </w:rPr>
            </w:pPr>
            <w:r w:rsidRPr="003A2A1C">
              <w:rPr>
                <w:b/>
                <w:bCs/>
                <w:color w:val="000000"/>
                <w:sz w:val="22"/>
                <w:szCs w:val="22"/>
              </w:rPr>
              <w:t>RATES</w:t>
            </w:r>
          </w:p>
        </w:tc>
        <w:tc>
          <w:tcPr>
            <w:tcW w:w="2384" w:type="dxa"/>
            <w:tcBorders>
              <w:top w:val="nil"/>
              <w:left w:val="nil"/>
              <w:bottom w:val="single" w:sz="8" w:space="0" w:color="000000"/>
              <w:right w:val="single" w:sz="8" w:space="0" w:color="000000"/>
            </w:tcBorders>
            <w:shd w:val="clear" w:color="000000" w:fill="D9D9D9"/>
            <w:noWrap/>
            <w:vAlign w:val="center"/>
            <w:hideMark/>
          </w:tcPr>
          <w:p w14:paraId="463E31C4" w14:textId="77777777" w:rsidR="00F42888" w:rsidRPr="003A2A1C" w:rsidRDefault="00F42888" w:rsidP="00F42888">
            <w:pPr>
              <w:jc w:val="center"/>
              <w:rPr>
                <w:b/>
                <w:bCs/>
                <w:color w:val="000000"/>
                <w:sz w:val="22"/>
                <w:szCs w:val="22"/>
              </w:rPr>
            </w:pPr>
            <w:r w:rsidRPr="003A2A1C">
              <w:rPr>
                <w:b/>
                <w:bCs/>
                <w:color w:val="000000"/>
                <w:sz w:val="22"/>
                <w:szCs w:val="22"/>
              </w:rPr>
              <w:t>REDUCTION</w:t>
            </w:r>
          </w:p>
        </w:tc>
        <w:tc>
          <w:tcPr>
            <w:tcW w:w="256" w:type="dxa"/>
            <w:tcBorders>
              <w:top w:val="nil"/>
              <w:left w:val="nil"/>
              <w:bottom w:val="nil"/>
              <w:right w:val="nil"/>
            </w:tcBorders>
            <w:shd w:val="clear" w:color="auto" w:fill="auto"/>
            <w:noWrap/>
            <w:vAlign w:val="bottom"/>
            <w:hideMark/>
          </w:tcPr>
          <w:p w14:paraId="5B07FE06" w14:textId="77777777" w:rsidR="00F42888" w:rsidRPr="003A2A1C" w:rsidRDefault="00F42888" w:rsidP="00F42888">
            <w:pPr>
              <w:jc w:val="center"/>
              <w:rPr>
                <w:b/>
                <w:bCs/>
                <w:color w:val="000000"/>
                <w:sz w:val="22"/>
                <w:szCs w:val="22"/>
              </w:rPr>
            </w:pPr>
          </w:p>
        </w:tc>
      </w:tr>
      <w:tr w:rsidR="00F42888" w:rsidRPr="003A2A1C" w14:paraId="1EB6801D" w14:textId="77777777" w:rsidTr="00F42888">
        <w:trPr>
          <w:trHeight w:val="283"/>
        </w:trPr>
        <w:tc>
          <w:tcPr>
            <w:tcW w:w="293" w:type="dxa"/>
            <w:tcBorders>
              <w:top w:val="nil"/>
              <w:left w:val="nil"/>
              <w:bottom w:val="nil"/>
              <w:right w:val="nil"/>
            </w:tcBorders>
            <w:shd w:val="clear" w:color="auto" w:fill="auto"/>
            <w:noWrap/>
            <w:vAlign w:val="bottom"/>
            <w:hideMark/>
          </w:tcPr>
          <w:p w14:paraId="5D5E2835" w14:textId="77777777" w:rsidR="00F42888" w:rsidRPr="003A2A1C" w:rsidRDefault="00F42888" w:rsidP="00F42888">
            <w:pPr>
              <w:rPr>
                <w:sz w:val="22"/>
                <w:szCs w:val="22"/>
              </w:rPr>
            </w:pPr>
          </w:p>
        </w:tc>
        <w:tc>
          <w:tcPr>
            <w:tcW w:w="5184" w:type="dxa"/>
            <w:tcBorders>
              <w:top w:val="nil"/>
              <w:left w:val="single" w:sz="8" w:space="0" w:color="000000"/>
              <w:bottom w:val="nil"/>
              <w:right w:val="nil"/>
            </w:tcBorders>
            <w:shd w:val="clear" w:color="auto" w:fill="auto"/>
            <w:noWrap/>
            <w:vAlign w:val="center"/>
            <w:hideMark/>
          </w:tcPr>
          <w:p w14:paraId="00396C20" w14:textId="77777777" w:rsidR="00F42888" w:rsidRPr="003A2A1C" w:rsidRDefault="00F42888" w:rsidP="00F42888">
            <w:pPr>
              <w:rPr>
                <w:b/>
                <w:bCs/>
                <w:sz w:val="22"/>
                <w:szCs w:val="22"/>
                <w:u w:val="single"/>
              </w:rPr>
            </w:pPr>
            <w:r w:rsidRPr="003A2A1C">
              <w:rPr>
                <w:sz w:val="22"/>
                <w:szCs w:val="22"/>
              </w:rPr>
              <w:t>Base Facility Charge by Meter Size</w:t>
            </w:r>
          </w:p>
        </w:tc>
        <w:tc>
          <w:tcPr>
            <w:tcW w:w="1685" w:type="dxa"/>
            <w:gridSpan w:val="2"/>
            <w:tcBorders>
              <w:top w:val="nil"/>
              <w:left w:val="nil"/>
              <w:bottom w:val="nil"/>
              <w:right w:val="nil"/>
            </w:tcBorders>
            <w:shd w:val="clear" w:color="auto" w:fill="auto"/>
            <w:noWrap/>
            <w:vAlign w:val="bottom"/>
            <w:hideMark/>
          </w:tcPr>
          <w:p w14:paraId="35F5A632" w14:textId="77777777" w:rsidR="00F42888" w:rsidRPr="003A2A1C" w:rsidRDefault="00F42888" w:rsidP="00F42888">
            <w:pPr>
              <w:rPr>
                <w:b/>
                <w:bCs/>
                <w:sz w:val="22"/>
                <w:szCs w:val="22"/>
                <w:u w:val="single"/>
              </w:rPr>
            </w:pPr>
          </w:p>
        </w:tc>
        <w:tc>
          <w:tcPr>
            <w:tcW w:w="1716" w:type="dxa"/>
            <w:gridSpan w:val="2"/>
            <w:tcBorders>
              <w:top w:val="single" w:sz="4" w:space="0" w:color="auto"/>
              <w:left w:val="nil"/>
              <w:bottom w:val="nil"/>
              <w:right w:val="nil"/>
            </w:tcBorders>
            <w:shd w:val="clear" w:color="auto" w:fill="auto"/>
            <w:noWrap/>
            <w:vAlign w:val="bottom"/>
            <w:hideMark/>
          </w:tcPr>
          <w:p w14:paraId="2BF5AA34" w14:textId="77777777" w:rsidR="00F42888" w:rsidRPr="003A2A1C" w:rsidRDefault="00F42888" w:rsidP="00F42888">
            <w:pPr>
              <w:rPr>
                <w:sz w:val="22"/>
                <w:szCs w:val="22"/>
              </w:rPr>
            </w:pPr>
          </w:p>
        </w:tc>
        <w:tc>
          <w:tcPr>
            <w:tcW w:w="2970" w:type="dxa"/>
            <w:gridSpan w:val="2"/>
            <w:tcBorders>
              <w:top w:val="nil"/>
              <w:left w:val="nil"/>
              <w:bottom w:val="nil"/>
              <w:right w:val="nil"/>
            </w:tcBorders>
            <w:shd w:val="clear" w:color="auto" w:fill="auto"/>
            <w:noWrap/>
            <w:vAlign w:val="bottom"/>
            <w:hideMark/>
          </w:tcPr>
          <w:p w14:paraId="0A8F4D2F" w14:textId="77777777" w:rsidR="00F42888" w:rsidRPr="003A2A1C" w:rsidRDefault="00F42888" w:rsidP="00F42888">
            <w:pPr>
              <w:rPr>
                <w:sz w:val="22"/>
                <w:szCs w:val="22"/>
              </w:rPr>
            </w:pPr>
          </w:p>
        </w:tc>
        <w:tc>
          <w:tcPr>
            <w:tcW w:w="2384" w:type="dxa"/>
            <w:tcBorders>
              <w:top w:val="nil"/>
              <w:left w:val="nil"/>
              <w:bottom w:val="nil"/>
              <w:right w:val="single" w:sz="8" w:space="0" w:color="000000"/>
            </w:tcBorders>
            <w:shd w:val="clear" w:color="auto" w:fill="auto"/>
            <w:noWrap/>
            <w:vAlign w:val="center"/>
            <w:hideMark/>
          </w:tcPr>
          <w:p w14:paraId="3690B1B5" w14:textId="77777777" w:rsidR="00F42888" w:rsidRPr="003A2A1C" w:rsidRDefault="00F42888" w:rsidP="00F42888">
            <w:pPr>
              <w:rPr>
                <w:color w:val="000000"/>
                <w:sz w:val="22"/>
                <w:szCs w:val="22"/>
              </w:rPr>
            </w:pPr>
            <w:r w:rsidRPr="003A2A1C">
              <w:rPr>
                <w:color w:val="000000"/>
                <w:sz w:val="22"/>
                <w:szCs w:val="22"/>
              </w:rPr>
              <w:t> </w:t>
            </w:r>
          </w:p>
        </w:tc>
        <w:tc>
          <w:tcPr>
            <w:tcW w:w="256" w:type="dxa"/>
            <w:tcBorders>
              <w:top w:val="nil"/>
              <w:left w:val="nil"/>
              <w:bottom w:val="nil"/>
              <w:right w:val="nil"/>
            </w:tcBorders>
            <w:shd w:val="clear" w:color="auto" w:fill="auto"/>
            <w:noWrap/>
            <w:vAlign w:val="bottom"/>
            <w:hideMark/>
          </w:tcPr>
          <w:p w14:paraId="67FE37FB" w14:textId="77777777" w:rsidR="00F42888" w:rsidRPr="003A2A1C" w:rsidRDefault="00F42888" w:rsidP="00F42888">
            <w:pPr>
              <w:rPr>
                <w:color w:val="000000"/>
                <w:sz w:val="22"/>
                <w:szCs w:val="22"/>
              </w:rPr>
            </w:pPr>
          </w:p>
        </w:tc>
      </w:tr>
      <w:tr w:rsidR="00F42888" w:rsidRPr="003A2A1C" w14:paraId="714F2C0F" w14:textId="77777777" w:rsidTr="00F42888">
        <w:trPr>
          <w:trHeight w:val="283"/>
        </w:trPr>
        <w:tc>
          <w:tcPr>
            <w:tcW w:w="293" w:type="dxa"/>
            <w:tcBorders>
              <w:top w:val="nil"/>
              <w:left w:val="nil"/>
              <w:bottom w:val="nil"/>
              <w:right w:val="nil"/>
            </w:tcBorders>
            <w:shd w:val="clear" w:color="auto" w:fill="auto"/>
            <w:noWrap/>
            <w:vAlign w:val="bottom"/>
            <w:hideMark/>
          </w:tcPr>
          <w:p w14:paraId="5A5D8989" w14:textId="77777777" w:rsidR="00F42888" w:rsidRPr="003A2A1C" w:rsidRDefault="00F42888" w:rsidP="00F42888">
            <w:pPr>
              <w:rPr>
                <w:sz w:val="22"/>
                <w:szCs w:val="22"/>
              </w:rPr>
            </w:pPr>
          </w:p>
        </w:tc>
        <w:tc>
          <w:tcPr>
            <w:tcW w:w="5184" w:type="dxa"/>
            <w:tcBorders>
              <w:top w:val="nil"/>
              <w:left w:val="single" w:sz="8" w:space="0" w:color="000000"/>
              <w:bottom w:val="nil"/>
              <w:right w:val="nil"/>
            </w:tcBorders>
            <w:shd w:val="clear" w:color="auto" w:fill="auto"/>
            <w:noWrap/>
            <w:vAlign w:val="center"/>
            <w:hideMark/>
          </w:tcPr>
          <w:p w14:paraId="51724507" w14:textId="77777777" w:rsidR="00F42888" w:rsidRPr="003A2A1C" w:rsidRDefault="00F42888" w:rsidP="00F42888">
            <w:pPr>
              <w:rPr>
                <w:sz w:val="22"/>
                <w:szCs w:val="22"/>
              </w:rPr>
            </w:pPr>
            <w:r w:rsidRPr="003A2A1C">
              <w:rPr>
                <w:color w:val="000000"/>
                <w:sz w:val="22"/>
                <w:szCs w:val="22"/>
              </w:rPr>
              <w:t>5/8" x 3/4"</w:t>
            </w:r>
          </w:p>
        </w:tc>
        <w:tc>
          <w:tcPr>
            <w:tcW w:w="1685" w:type="dxa"/>
            <w:gridSpan w:val="2"/>
            <w:tcBorders>
              <w:top w:val="nil"/>
              <w:left w:val="nil"/>
              <w:bottom w:val="nil"/>
              <w:right w:val="nil"/>
            </w:tcBorders>
            <w:shd w:val="clear" w:color="auto" w:fill="auto"/>
            <w:noWrap/>
            <w:vAlign w:val="center"/>
            <w:hideMark/>
          </w:tcPr>
          <w:p w14:paraId="27CF0BD7" w14:textId="77777777" w:rsidR="00F42888" w:rsidRPr="003A2A1C" w:rsidRDefault="00F42888" w:rsidP="00F42888">
            <w:pPr>
              <w:jc w:val="right"/>
              <w:rPr>
                <w:color w:val="000000"/>
                <w:sz w:val="22"/>
                <w:szCs w:val="22"/>
              </w:rPr>
            </w:pPr>
            <w:r w:rsidRPr="003A2A1C">
              <w:rPr>
                <w:color w:val="000000"/>
                <w:sz w:val="22"/>
                <w:szCs w:val="22"/>
              </w:rPr>
              <w:t xml:space="preserve">$6.81 </w:t>
            </w:r>
          </w:p>
        </w:tc>
        <w:tc>
          <w:tcPr>
            <w:tcW w:w="1716" w:type="dxa"/>
            <w:gridSpan w:val="2"/>
            <w:tcBorders>
              <w:top w:val="nil"/>
              <w:left w:val="nil"/>
              <w:bottom w:val="nil"/>
              <w:right w:val="nil"/>
            </w:tcBorders>
            <w:shd w:val="clear" w:color="auto" w:fill="auto"/>
            <w:noWrap/>
            <w:vAlign w:val="center"/>
            <w:hideMark/>
          </w:tcPr>
          <w:p w14:paraId="4D05F8F8" w14:textId="77777777" w:rsidR="00F42888" w:rsidRPr="003A2A1C" w:rsidRDefault="00F42888" w:rsidP="00F42888">
            <w:pPr>
              <w:jc w:val="right"/>
              <w:rPr>
                <w:color w:val="000000"/>
                <w:sz w:val="22"/>
                <w:szCs w:val="22"/>
              </w:rPr>
            </w:pPr>
            <w:r w:rsidRPr="003A2A1C">
              <w:rPr>
                <w:color w:val="000000"/>
                <w:sz w:val="22"/>
                <w:szCs w:val="22"/>
              </w:rPr>
              <w:t xml:space="preserve">$8.04 </w:t>
            </w:r>
          </w:p>
        </w:tc>
        <w:tc>
          <w:tcPr>
            <w:tcW w:w="2970" w:type="dxa"/>
            <w:gridSpan w:val="2"/>
            <w:tcBorders>
              <w:top w:val="nil"/>
              <w:left w:val="nil"/>
              <w:bottom w:val="nil"/>
              <w:right w:val="nil"/>
            </w:tcBorders>
            <w:shd w:val="clear" w:color="auto" w:fill="auto"/>
            <w:noWrap/>
            <w:vAlign w:val="center"/>
            <w:hideMark/>
          </w:tcPr>
          <w:p w14:paraId="792D0EF8" w14:textId="77777777" w:rsidR="00F42888" w:rsidRPr="003A2A1C" w:rsidRDefault="00F42888" w:rsidP="00F42888">
            <w:pPr>
              <w:jc w:val="right"/>
              <w:rPr>
                <w:color w:val="000000"/>
                <w:sz w:val="22"/>
                <w:szCs w:val="22"/>
              </w:rPr>
            </w:pPr>
            <w:r w:rsidRPr="003A2A1C">
              <w:rPr>
                <w:color w:val="000000"/>
                <w:sz w:val="22"/>
                <w:szCs w:val="22"/>
              </w:rPr>
              <w:t xml:space="preserve">$15.87 </w:t>
            </w:r>
          </w:p>
        </w:tc>
        <w:tc>
          <w:tcPr>
            <w:tcW w:w="2384" w:type="dxa"/>
            <w:tcBorders>
              <w:top w:val="nil"/>
              <w:left w:val="nil"/>
              <w:bottom w:val="nil"/>
              <w:right w:val="single" w:sz="8" w:space="0" w:color="000000"/>
            </w:tcBorders>
            <w:shd w:val="clear" w:color="auto" w:fill="auto"/>
            <w:noWrap/>
            <w:vAlign w:val="center"/>
            <w:hideMark/>
          </w:tcPr>
          <w:p w14:paraId="50A427DE" w14:textId="77777777" w:rsidR="00F42888" w:rsidRPr="003A2A1C" w:rsidRDefault="00F42888" w:rsidP="00F42888">
            <w:pPr>
              <w:jc w:val="right"/>
              <w:rPr>
                <w:color w:val="000000"/>
                <w:sz w:val="22"/>
                <w:szCs w:val="22"/>
              </w:rPr>
            </w:pPr>
            <w:r w:rsidRPr="003A2A1C">
              <w:rPr>
                <w:color w:val="000000"/>
                <w:sz w:val="22"/>
                <w:szCs w:val="22"/>
              </w:rPr>
              <w:t xml:space="preserve">$0.15 </w:t>
            </w:r>
          </w:p>
        </w:tc>
        <w:tc>
          <w:tcPr>
            <w:tcW w:w="256" w:type="dxa"/>
            <w:tcBorders>
              <w:top w:val="nil"/>
              <w:left w:val="nil"/>
              <w:bottom w:val="nil"/>
              <w:right w:val="nil"/>
            </w:tcBorders>
            <w:shd w:val="clear" w:color="auto" w:fill="auto"/>
            <w:noWrap/>
            <w:vAlign w:val="bottom"/>
            <w:hideMark/>
          </w:tcPr>
          <w:p w14:paraId="449A5F84" w14:textId="77777777" w:rsidR="00F42888" w:rsidRPr="003A2A1C" w:rsidRDefault="00F42888" w:rsidP="00F42888">
            <w:pPr>
              <w:rPr>
                <w:color w:val="000000"/>
                <w:sz w:val="22"/>
                <w:szCs w:val="22"/>
              </w:rPr>
            </w:pPr>
          </w:p>
        </w:tc>
      </w:tr>
      <w:tr w:rsidR="00F42888" w:rsidRPr="003A2A1C" w14:paraId="0C8B6B9F" w14:textId="77777777" w:rsidTr="00F42888">
        <w:trPr>
          <w:trHeight w:val="283"/>
        </w:trPr>
        <w:tc>
          <w:tcPr>
            <w:tcW w:w="293" w:type="dxa"/>
            <w:tcBorders>
              <w:top w:val="nil"/>
              <w:left w:val="nil"/>
              <w:bottom w:val="nil"/>
              <w:right w:val="nil"/>
            </w:tcBorders>
            <w:shd w:val="clear" w:color="auto" w:fill="auto"/>
            <w:noWrap/>
            <w:vAlign w:val="bottom"/>
            <w:hideMark/>
          </w:tcPr>
          <w:p w14:paraId="055A24E1" w14:textId="77777777" w:rsidR="00F42888" w:rsidRPr="003A2A1C" w:rsidRDefault="00F42888" w:rsidP="00F42888">
            <w:pPr>
              <w:rPr>
                <w:sz w:val="22"/>
                <w:szCs w:val="22"/>
              </w:rPr>
            </w:pPr>
          </w:p>
        </w:tc>
        <w:tc>
          <w:tcPr>
            <w:tcW w:w="5184" w:type="dxa"/>
            <w:tcBorders>
              <w:top w:val="nil"/>
              <w:left w:val="single" w:sz="8" w:space="0" w:color="000000"/>
              <w:bottom w:val="nil"/>
              <w:right w:val="nil"/>
            </w:tcBorders>
            <w:shd w:val="clear" w:color="auto" w:fill="auto"/>
            <w:noWrap/>
            <w:vAlign w:val="center"/>
            <w:hideMark/>
          </w:tcPr>
          <w:p w14:paraId="6E456EBA" w14:textId="77777777" w:rsidR="00F42888" w:rsidRPr="003A2A1C" w:rsidRDefault="00F42888" w:rsidP="00F42888">
            <w:pPr>
              <w:rPr>
                <w:color w:val="000000"/>
                <w:sz w:val="22"/>
                <w:szCs w:val="22"/>
              </w:rPr>
            </w:pPr>
            <w:r w:rsidRPr="003A2A1C">
              <w:rPr>
                <w:color w:val="000000"/>
                <w:sz w:val="22"/>
                <w:szCs w:val="22"/>
              </w:rPr>
              <w:t>3/4"</w:t>
            </w:r>
          </w:p>
        </w:tc>
        <w:tc>
          <w:tcPr>
            <w:tcW w:w="1685" w:type="dxa"/>
            <w:gridSpan w:val="2"/>
            <w:tcBorders>
              <w:top w:val="nil"/>
              <w:left w:val="nil"/>
              <w:bottom w:val="nil"/>
              <w:right w:val="nil"/>
            </w:tcBorders>
            <w:shd w:val="clear" w:color="auto" w:fill="auto"/>
            <w:noWrap/>
            <w:vAlign w:val="center"/>
            <w:hideMark/>
          </w:tcPr>
          <w:p w14:paraId="78B5CF1A" w14:textId="77777777" w:rsidR="00F42888" w:rsidRPr="003A2A1C" w:rsidRDefault="00F42888" w:rsidP="00F42888">
            <w:pPr>
              <w:jc w:val="right"/>
              <w:rPr>
                <w:color w:val="000000"/>
                <w:sz w:val="22"/>
                <w:szCs w:val="22"/>
              </w:rPr>
            </w:pPr>
            <w:r w:rsidRPr="003A2A1C">
              <w:rPr>
                <w:color w:val="000000"/>
                <w:sz w:val="22"/>
                <w:szCs w:val="22"/>
              </w:rPr>
              <w:t xml:space="preserve">$10.22 </w:t>
            </w:r>
          </w:p>
        </w:tc>
        <w:tc>
          <w:tcPr>
            <w:tcW w:w="1716" w:type="dxa"/>
            <w:gridSpan w:val="2"/>
            <w:tcBorders>
              <w:top w:val="nil"/>
              <w:left w:val="nil"/>
              <w:bottom w:val="nil"/>
              <w:right w:val="nil"/>
            </w:tcBorders>
            <w:shd w:val="clear" w:color="auto" w:fill="auto"/>
            <w:noWrap/>
            <w:vAlign w:val="center"/>
            <w:hideMark/>
          </w:tcPr>
          <w:p w14:paraId="71D70A42" w14:textId="77777777" w:rsidR="00F42888" w:rsidRPr="003A2A1C" w:rsidRDefault="00F42888" w:rsidP="00F42888">
            <w:pPr>
              <w:jc w:val="right"/>
              <w:rPr>
                <w:color w:val="000000"/>
                <w:sz w:val="22"/>
                <w:szCs w:val="22"/>
              </w:rPr>
            </w:pPr>
            <w:r w:rsidRPr="003A2A1C">
              <w:rPr>
                <w:color w:val="000000"/>
                <w:sz w:val="22"/>
                <w:szCs w:val="22"/>
              </w:rPr>
              <w:t xml:space="preserve">$12.06 </w:t>
            </w:r>
          </w:p>
        </w:tc>
        <w:tc>
          <w:tcPr>
            <w:tcW w:w="2970" w:type="dxa"/>
            <w:gridSpan w:val="2"/>
            <w:tcBorders>
              <w:top w:val="nil"/>
              <w:left w:val="nil"/>
              <w:bottom w:val="nil"/>
              <w:right w:val="nil"/>
            </w:tcBorders>
            <w:shd w:val="clear" w:color="auto" w:fill="auto"/>
            <w:noWrap/>
            <w:vAlign w:val="center"/>
            <w:hideMark/>
          </w:tcPr>
          <w:p w14:paraId="61B182E1" w14:textId="77777777" w:rsidR="00F42888" w:rsidRPr="003A2A1C" w:rsidRDefault="00F42888" w:rsidP="00F42888">
            <w:pPr>
              <w:jc w:val="right"/>
              <w:rPr>
                <w:color w:val="000000"/>
                <w:sz w:val="22"/>
                <w:szCs w:val="22"/>
              </w:rPr>
            </w:pPr>
            <w:r w:rsidRPr="003A2A1C">
              <w:rPr>
                <w:color w:val="000000"/>
                <w:sz w:val="22"/>
                <w:szCs w:val="22"/>
              </w:rPr>
              <w:t xml:space="preserve">$23.81 </w:t>
            </w:r>
          </w:p>
        </w:tc>
        <w:tc>
          <w:tcPr>
            <w:tcW w:w="2384" w:type="dxa"/>
            <w:tcBorders>
              <w:top w:val="nil"/>
              <w:left w:val="nil"/>
              <w:bottom w:val="nil"/>
              <w:right w:val="single" w:sz="8" w:space="0" w:color="000000"/>
            </w:tcBorders>
            <w:shd w:val="clear" w:color="auto" w:fill="auto"/>
            <w:noWrap/>
            <w:vAlign w:val="center"/>
            <w:hideMark/>
          </w:tcPr>
          <w:p w14:paraId="71F6EA25" w14:textId="77777777" w:rsidR="00F42888" w:rsidRPr="003A2A1C" w:rsidRDefault="00F42888" w:rsidP="00F42888">
            <w:pPr>
              <w:jc w:val="right"/>
              <w:rPr>
                <w:color w:val="000000"/>
                <w:sz w:val="22"/>
                <w:szCs w:val="22"/>
              </w:rPr>
            </w:pPr>
            <w:r w:rsidRPr="003A2A1C">
              <w:rPr>
                <w:color w:val="000000"/>
                <w:sz w:val="22"/>
                <w:szCs w:val="22"/>
              </w:rPr>
              <w:t xml:space="preserve">$0.22 </w:t>
            </w:r>
          </w:p>
        </w:tc>
        <w:tc>
          <w:tcPr>
            <w:tcW w:w="256" w:type="dxa"/>
            <w:tcBorders>
              <w:top w:val="nil"/>
              <w:left w:val="nil"/>
              <w:bottom w:val="nil"/>
              <w:right w:val="nil"/>
            </w:tcBorders>
            <w:shd w:val="clear" w:color="auto" w:fill="auto"/>
            <w:noWrap/>
            <w:vAlign w:val="bottom"/>
            <w:hideMark/>
          </w:tcPr>
          <w:p w14:paraId="288189AD" w14:textId="77777777" w:rsidR="00F42888" w:rsidRPr="003A2A1C" w:rsidRDefault="00F42888" w:rsidP="00F42888">
            <w:pPr>
              <w:jc w:val="right"/>
              <w:rPr>
                <w:color w:val="000000"/>
                <w:sz w:val="22"/>
                <w:szCs w:val="22"/>
              </w:rPr>
            </w:pPr>
          </w:p>
        </w:tc>
      </w:tr>
      <w:tr w:rsidR="00F42888" w:rsidRPr="003A2A1C" w14:paraId="311263C7" w14:textId="77777777" w:rsidTr="00F42888">
        <w:trPr>
          <w:trHeight w:val="283"/>
        </w:trPr>
        <w:tc>
          <w:tcPr>
            <w:tcW w:w="293" w:type="dxa"/>
            <w:tcBorders>
              <w:top w:val="nil"/>
              <w:left w:val="nil"/>
              <w:bottom w:val="nil"/>
              <w:right w:val="nil"/>
            </w:tcBorders>
            <w:shd w:val="clear" w:color="auto" w:fill="auto"/>
            <w:noWrap/>
            <w:vAlign w:val="bottom"/>
            <w:hideMark/>
          </w:tcPr>
          <w:p w14:paraId="5BAC67F6" w14:textId="77777777" w:rsidR="00F42888" w:rsidRPr="003A2A1C" w:rsidRDefault="00F42888" w:rsidP="00F42888">
            <w:pPr>
              <w:rPr>
                <w:sz w:val="22"/>
                <w:szCs w:val="22"/>
              </w:rPr>
            </w:pPr>
          </w:p>
        </w:tc>
        <w:tc>
          <w:tcPr>
            <w:tcW w:w="5184" w:type="dxa"/>
            <w:tcBorders>
              <w:top w:val="nil"/>
              <w:left w:val="single" w:sz="8" w:space="0" w:color="000000"/>
              <w:bottom w:val="nil"/>
              <w:right w:val="nil"/>
            </w:tcBorders>
            <w:shd w:val="clear" w:color="auto" w:fill="auto"/>
            <w:noWrap/>
            <w:vAlign w:val="center"/>
            <w:hideMark/>
          </w:tcPr>
          <w:p w14:paraId="001D20DD" w14:textId="77777777" w:rsidR="00F42888" w:rsidRPr="003A2A1C" w:rsidRDefault="00F42888" w:rsidP="00F42888">
            <w:pPr>
              <w:rPr>
                <w:color w:val="000000"/>
                <w:sz w:val="22"/>
                <w:szCs w:val="22"/>
              </w:rPr>
            </w:pPr>
            <w:r w:rsidRPr="003A2A1C">
              <w:rPr>
                <w:color w:val="000000"/>
                <w:sz w:val="22"/>
                <w:szCs w:val="22"/>
              </w:rPr>
              <w:t>1"</w:t>
            </w:r>
          </w:p>
        </w:tc>
        <w:tc>
          <w:tcPr>
            <w:tcW w:w="1685" w:type="dxa"/>
            <w:gridSpan w:val="2"/>
            <w:tcBorders>
              <w:top w:val="nil"/>
              <w:left w:val="nil"/>
              <w:bottom w:val="nil"/>
              <w:right w:val="nil"/>
            </w:tcBorders>
            <w:shd w:val="clear" w:color="auto" w:fill="auto"/>
            <w:noWrap/>
            <w:vAlign w:val="center"/>
            <w:hideMark/>
          </w:tcPr>
          <w:p w14:paraId="78825F40" w14:textId="77777777" w:rsidR="00F42888" w:rsidRPr="003A2A1C" w:rsidRDefault="00F42888" w:rsidP="00F42888">
            <w:pPr>
              <w:jc w:val="right"/>
              <w:rPr>
                <w:color w:val="000000"/>
                <w:sz w:val="22"/>
                <w:szCs w:val="22"/>
              </w:rPr>
            </w:pPr>
            <w:r w:rsidRPr="003A2A1C">
              <w:rPr>
                <w:color w:val="000000"/>
                <w:sz w:val="22"/>
                <w:szCs w:val="22"/>
              </w:rPr>
              <w:t xml:space="preserve">$17.03 </w:t>
            </w:r>
          </w:p>
        </w:tc>
        <w:tc>
          <w:tcPr>
            <w:tcW w:w="1716" w:type="dxa"/>
            <w:gridSpan w:val="2"/>
            <w:tcBorders>
              <w:top w:val="nil"/>
              <w:left w:val="nil"/>
              <w:bottom w:val="nil"/>
              <w:right w:val="nil"/>
            </w:tcBorders>
            <w:shd w:val="clear" w:color="auto" w:fill="auto"/>
            <w:noWrap/>
            <w:vAlign w:val="center"/>
            <w:hideMark/>
          </w:tcPr>
          <w:p w14:paraId="3C8D1775" w14:textId="77777777" w:rsidR="00F42888" w:rsidRPr="003A2A1C" w:rsidRDefault="00F42888" w:rsidP="00F42888">
            <w:pPr>
              <w:jc w:val="right"/>
              <w:rPr>
                <w:color w:val="000000"/>
                <w:sz w:val="22"/>
                <w:szCs w:val="22"/>
              </w:rPr>
            </w:pPr>
            <w:r w:rsidRPr="003A2A1C">
              <w:rPr>
                <w:color w:val="000000"/>
                <w:sz w:val="22"/>
                <w:szCs w:val="22"/>
              </w:rPr>
              <w:t xml:space="preserve">$20.10 </w:t>
            </w:r>
          </w:p>
        </w:tc>
        <w:tc>
          <w:tcPr>
            <w:tcW w:w="2970" w:type="dxa"/>
            <w:gridSpan w:val="2"/>
            <w:tcBorders>
              <w:top w:val="nil"/>
              <w:left w:val="nil"/>
              <w:bottom w:val="nil"/>
              <w:right w:val="nil"/>
            </w:tcBorders>
            <w:shd w:val="clear" w:color="auto" w:fill="auto"/>
            <w:noWrap/>
            <w:vAlign w:val="center"/>
            <w:hideMark/>
          </w:tcPr>
          <w:p w14:paraId="0BC9B973" w14:textId="77777777" w:rsidR="00F42888" w:rsidRPr="003A2A1C" w:rsidRDefault="00F42888" w:rsidP="00F42888">
            <w:pPr>
              <w:jc w:val="right"/>
              <w:rPr>
                <w:color w:val="000000"/>
                <w:sz w:val="22"/>
                <w:szCs w:val="22"/>
              </w:rPr>
            </w:pPr>
            <w:r w:rsidRPr="003A2A1C">
              <w:rPr>
                <w:color w:val="000000"/>
                <w:sz w:val="22"/>
                <w:szCs w:val="22"/>
              </w:rPr>
              <w:t xml:space="preserve">$39.68 </w:t>
            </w:r>
          </w:p>
        </w:tc>
        <w:tc>
          <w:tcPr>
            <w:tcW w:w="2384" w:type="dxa"/>
            <w:tcBorders>
              <w:top w:val="nil"/>
              <w:left w:val="nil"/>
              <w:bottom w:val="nil"/>
              <w:right w:val="single" w:sz="8" w:space="0" w:color="000000"/>
            </w:tcBorders>
            <w:shd w:val="clear" w:color="auto" w:fill="auto"/>
            <w:noWrap/>
            <w:vAlign w:val="center"/>
            <w:hideMark/>
          </w:tcPr>
          <w:p w14:paraId="54DC315D" w14:textId="77777777" w:rsidR="00F42888" w:rsidRPr="003A2A1C" w:rsidRDefault="00F42888" w:rsidP="00F42888">
            <w:pPr>
              <w:jc w:val="right"/>
              <w:rPr>
                <w:color w:val="000000"/>
                <w:sz w:val="22"/>
                <w:szCs w:val="22"/>
              </w:rPr>
            </w:pPr>
            <w:r w:rsidRPr="003A2A1C">
              <w:rPr>
                <w:color w:val="000000"/>
                <w:sz w:val="22"/>
                <w:szCs w:val="22"/>
              </w:rPr>
              <w:t xml:space="preserve">$0.37 </w:t>
            </w:r>
          </w:p>
        </w:tc>
        <w:tc>
          <w:tcPr>
            <w:tcW w:w="256" w:type="dxa"/>
            <w:tcBorders>
              <w:top w:val="nil"/>
              <w:left w:val="nil"/>
              <w:bottom w:val="nil"/>
              <w:right w:val="nil"/>
            </w:tcBorders>
            <w:shd w:val="clear" w:color="auto" w:fill="auto"/>
            <w:noWrap/>
            <w:vAlign w:val="bottom"/>
            <w:hideMark/>
          </w:tcPr>
          <w:p w14:paraId="1E5EACA8" w14:textId="77777777" w:rsidR="00F42888" w:rsidRPr="003A2A1C" w:rsidRDefault="00F42888" w:rsidP="00F42888">
            <w:pPr>
              <w:jc w:val="right"/>
              <w:rPr>
                <w:color w:val="000000"/>
                <w:sz w:val="22"/>
                <w:szCs w:val="22"/>
              </w:rPr>
            </w:pPr>
          </w:p>
        </w:tc>
      </w:tr>
      <w:tr w:rsidR="00F42888" w:rsidRPr="003A2A1C" w14:paraId="6B09B492" w14:textId="77777777" w:rsidTr="00F42888">
        <w:trPr>
          <w:trHeight w:val="283"/>
        </w:trPr>
        <w:tc>
          <w:tcPr>
            <w:tcW w:w="293" w:type="dxa"/>
            <w:tcBorders>
              <w:top w:val="nil"/>
              <w:left w:val="nil"/>
              <w:bottom w:val="nil"/>
              <w:right w:val="nil"/>
            </w:tcBorders>
            <w:shd w:val="clear" w:color="auto" w:fill="auto"/>
            <w:noWrap/>
            <w:vAlign w:val="bottom"/>
            <w:hideMark/>
          </w:tcPr>
          <w:p w14:paraId="298A8C5B" w14:textId="77777777" w:rsidR="00F42888" w:rsidRPr="003A2A1C" w:rsidRDefault="00F42888" w:rsidP="00F42888">
            <w:pPr>
              <w:rPr>
                <w:sz w:val="22"/>
                <w:szCs w:val="22"/>
              </w:rPr>
            </w:pPr>
          </w:p>
        </w:tc>
        <w:tc>
          <w:tcPr>
            <w:tcW w:w="5184" w:type="dxa"/>
            <w:tcBorders>
              <w:top w:val="nil"/>
              <w:left w:val="single" w:sz="8" w:space="0" w:color="000000"/>
              <w:bottom w:val="nil"/>
              <w:right w:val="nil"/>
            </w:tcBorders>
            <w:shd w:val="clear" w:color="auto" w:fill="auto"/>
            <w:noWrap/>
            <w:vAlign w:val="center"/>
            <w:hideMark/>
          </w:tcPr>
          <w:p w14:paraId="43374857" w14:textId="77777777" w:rsidR="00F42888" w:rsidRPr="003A2A1C" w:rsidRDefault="00F42888" w:rsidP="00F42888">
            <w:pPr>
              <w:rPr>
                <w:color w:val="000000"/>
                <w:sz w:val="22"/>
                <w:szCs w:val="22"/>
              </w:rPr>
            </w:pPr>
            <w:r w:rsidRPr="003A2A1C">
              <w:rPr>
                <w:color w:val="000000"/>
                <w:sz w:val="22"/>
                <w:szCs w:val="22"/>
              </w:rPr>
              <w:t>1-1/2"</w:t>
            </w:r>
          </w:p>
        </w:tc>
        <w:tc>
          <w:tcPr>
            <w:tcW w:w="1685" w:type="dxa"/>
            <w:gridSpan w:val="2"/>
            <w:tcBorders>
              <w:top w:val="nil"/>
              <w:left w:val="nil"/>
              <w:bottom w:val="nil"/>
              <w:right w:val="nil"/>
            </w:tcBorders>
            <w:shd w:val="clear" w:color="auto" w:fill="auto"/>
            <w:noWrap/>
            <w:vAlign w:val="center"/>
            <w:hideMark/>
          </w:tcPr>
          <w:p w14:paraId="3ADEFDCF" w14:textId="77777777" w:rsidR="00F42888" w:rsidRPr="003A2A1C" w:rsidRDefault="00F42888" w:rsidP="00F42888">
            <w:pPr>
              <w:jc w:val="right"/>
              <w:rPr>
                <w:color w:val="000000"/>
                <w:sz w:val="22"/>
                <w:szCs w:val="22"/>
              </w:rPr>
            </w:pPr>
            <w:r w:rsidRPr="003A2A1C">
              <w:rPr>
                <w:color w:val="000000"/>
                <w:sz w:val="22"/>
                <w:szCs w:val="22"/>
              </w:rPr>
              <w:t xml:space="preserve">$34.05 </w:t>
            </w:r>
          </w:p>
        </w:tc>
        <w:tc>
          <w:tcPr>
            <w:tcW w:w="1716" w:type="dxa"/>
            <w:gridSpan w:val="2"/>
            <w:tcBorders>
              <w:top w:val="nil"/>
              <w:left w:val="nil"/>
              <w:bottom w:val="nil"/>
              <w:right w:val="nil"/>
            </w:tcBorders>
            <w:shd w:val="clear" w:color="auto" w:fill="auto"/>
            <w:noWrap/>
            <w:vAlign w:val="center"/>
            <w:hideMark/>
          </w:tcPr>
          <w:p w14:paraId="17BBBDA0" w14:textId="77777777" w:rsidR="00F42888" w:rsidRPr="003A2A1C" w:rsidRDefault="00F42888" w:rsidP="00F42888">
            <w:pPr>
              <w:jc w:val="right"/>
              <w:rPr>
                <w:color w:val="000000"/>
                <w:sz w:val="22"/>
                <w:szCs w:val="22"/>
              </w:rPr>
            </w:pPr>
            <w:r w:rsidRPr="003A2A1C">
              <w:rPr>
                <w:color w:val="000000"/>
                <w:sz w:val="22"/>
                <w:szCs w:val="22"/>
              </w:rPr>
              <w:t xml:space="preserve">$40.20 </w:t>
            </w:r>
          </w:p>
        </w:tc>
        <w:tc>
          <w:tcPr>
            <w:tcW w:w="2970" w:type="dxa"/>
            <w:gridSpan w:val="2"/>
            <w:tcBorders>
              <w:top w:val="nil"/>
              <w:left w:val="nil"/>
              <w:bottom w:val="nil"/>
              <w:right w:val="nil"/>
            </w:tcBorders>
            <w:shd w:val="clear" w:color="auto" w:fill="auto"/>
            <w:noWrap/>
            <w:vAlign w:val="center"/>
            <w:hideMark/>
          </w:tcPr>
          <w:p w14:paraId="18666B49" w14:textId="77777777" w:rsidR="00F42888" w:rsidRPr="003A2A1C" w:rsidRDefault="00F42888" w:rsidP="00F42888">
            <w:pPr>
              <w:jc w:val="right"/>
              <w:rPr>
                <w:color w:val="000000"/>
                <w:sz w:val="22"/>
                <w:szCs w:val="22"/>
              </w:rPr>
            </w:pPr>
            <w:r w:rsidRPr="003A2A1C">
              <w:rPr>
                <w:color w:val="000000"/>
                <w:sz w:val="22"/>
                <w:szCs w:val="22"/>
              </w:rPr>
              <w:t xml:space="preserve">$79.35 </w:t>
            </w:r>
          </w:p>
        </w:tc>
        <w:tc>
          <w:tcPr>
            <w:tcW w:w="2384" w:type="dxa"/>
            <w:tcBorders>
              <w:top w:val="nil"/>
              <w:left w:val="nil"/>
              <w:bottom w:val="nil"/>
              <w:right w:val="single" w:sz="8" w:space="0" w:color="000000"/>
            </w:tcBorders>
            <w:shd w:val="clear" w:color="auto" w:fill="auto"/>
            <w:noWrap/>
            <w:vAlign w:val="center"/>
            <w:hideMark/>
          </w:tcPr>
          <w:p w14:paraId="2C2E7FED" w14:textId="77777777" w:rsidR="00F42888" w:rsidRPr="003A2A1C" w:rsidRDefault="00F42888" w:rsidP="00F42888">
            <w:pPr>
              <w:jc w:val="right"/>
              <w:rPr>
                <w:color w:val="000000"/>
                <w:sz w:val="22"/>
                <w:szCs w:val="22"/>
              </w:rPr>
            </w:pPr>
            <w:r w:rsidRPr="003A2A1C">
              <w:rPr>
                <w:color w:val="000000"/>
                <w:sz w:val="22"/>
                <w:szCs w:val="22"/>
              </w:rPr>
              <w:t xml:space="preserve">$0.73 </w:t>
            </w:r>
          </w:p>
        </w:tc>
        <w:tc>
          <w:tcPr>
            <w:tcW w:w="256" w:type="dxa"/>
            <w:tcBorders>
              <w:top w:val="nil"/>
              <w:left w:val="nil"/>
              <w:bottom w:val="nil"/>
              <w:right w:val="nil"/>
            </w:tcBorders>
            <w:shd w:val="clear" w:color="auto" w:fill="auto"/>
            <w:noWrap/>
            <w:vAlign w:val="bottom"/>
            <w:hideMark/>
          </w:tcPr>
          <w:p w14:paraId="0EEE679D" w14:textId="77777777" w:rsidR="00F42888" w:rsidRPr="003A2A1C" w:rsidRDefault="00F42888" w:rsidP="00F42888">
            <w:pPr>
              <w:jc w:val="right"/>
              <w:rPr>
                <w:color w:val="000000"/>
                <w:sz w:val="22"/>
                <w:szCs w:val="22"/>
              </w:rPr>
            </w:pPr>
          </w:p>
        </w:tc>
      </w:tr>
      <w:tr w:rsidR="00F42888" w:rsidRPr="003A2A1C" w14:paraId="2EB8D43D" w14:textId="77777777" w:rsidTr="00F42888">
        <w:trPr>
          <w:trHeight w:val="241"/>
        </w:trPr>
        <w:tc>
          <w:tcPr>
            <w:tcW w:w="293" w:type="dxa"/>
            <w:tcBorders>
              <w:top w:val="nil"/>
              <w:left w:val="nil"/>
              <w:bottom w:val="nil"/>
              <w:right w:val="nil"/>
            </w:tcBorders>
            <w:shd w:val="clear" w:color="auto" w:fill="auto"/>
            <w:noWrap/>
            <w:vAlign w:val="bottom"/>
            <w:hideMark/>
          </w:tcPr>
          <w:p w14:paraId="6E612A44" w14:textId="77777777" w:rsidR="00F42888" w:rsidRPr="003A2A1C" w:rsidRDefault="00F42888" w:rsidP="00F42888">
            <w:pPr>
              <w:rPr>
                <w:sz w:val="22"/>
                <w:szCs w:val="22"/>
              </w:rPr>
            </w:pPr>
          </w:p>
        </w:tc>
        <w:tc>
          <w:tcPr>
            <w:tcW w:w="5184" w:type="dxa"/>
            <w:tcBorders>
              <w:top w:val="nil"/>
              <w:left w:val="single" w:sz="8" w:space="0" w:color="000000"/>
              <w:bottom w:val="nil"/>
              <w:right w:val="nil"/>
            </w:tcBorders>
            <w:shd w:val="clear" w:color="auto" w:fill="auto"/>
            <w:noWrap/>
            <w:vAlign w:val="center"/>
            <w:hideMark/>
          </w:tcPr>
          <w:p w14:paraId="209F5BD4" w14:textId="77777777" w:rsidR="00F42888" w:rsidRPr="003A2A1C" w:rsidRDefault="00F42888" w:rsidP="00F42888">
            <w:pPr>
              <w:rPr>
                <w:color w:val="000000"/>
                <w:sz w:val="22"/>
                <w:szCs w:val="22"/>
              </w:rPr>
            </w:pPr>
            <w:r w:rsidRPr="003A2A1C">
              <w:rPr>
                <w:color w:val="000000"/>
                <w:sz w:val="22"/>
                <w:szCs w:val="22"/>
              </w:rPr>
              <w:t>2"</w:t>
            </w:r>
          </w:p>
        </w:tc>
        <w:tc>
          <w:tcPr>
            <w:tcW w:w="1685" w:type="dxa"/>
            <w:gridSpan w:val="2"/>
            <w:tcBorders>
              <w:top w:val="nil"/>
              <w:left w:val="nil"/>
              <w:bottom w:val="nil"/>
              <w:right w:val="nil"/>
            </w:tcBorders>
            <w:shd w:val="clear" w:color="auto" w:fill="auto"/>
            <w:noWrap/>
            <w:vAlign w:val="center"/>
            <w:hideMark/>
          </w:tcPr>
          <w:p w14:paraId="1C92A7DD" w14:textId="77777777" w:rsidR="00F42888" w:rsidRPr="003A2A1C" w:rsidRDefault="00F42888" w:rsidP="00F42888">
            <w:pPr>
              <w:jc w:val="right"/>
              <w:rPr>
                <w:color w:val="000000"/>
                <w:sz w:val="22"/>
                <w:szCs w:val="22"/>
              </w:rPr>
            </w:pPr>
            <w:r w:rsidRPr="003A2A1C">
              <w:rPr>
                <w:color w:val="000000"/>
                <w:sz w:val="22"/>
                <w:szCs w:val="22"/>
              </w:rPr>
              <w:t xml:space="preserve">$54.48 </w:t>
            </w:r>
          </w:p>
        </w:tc>
        <w:tc>
          <w:tcPr>
            <w:tcW w:w="1716" w:type="dxa"/>
            <w:gridSpan w:val="2"/>
            <w:tcBorders>
              <w:top w:val="nil"/>
              <w:left w:val="nil"/>
              <w:bottom w:val="nil"/>
              <w:right w:val="nil"/>
            </w:tcBorders>
            <w:shd w:val="clear" w:color="auto" w:fill="auto"/>
            <w:noWrap/>
            <w:vAlign w:val="center"/>
            <w:hideMark/>
          </w:tcPr>
          <w:p w14:paraId="413E8694" w14:textId="77777777" w:rsidR="00F42888" w:rsidRPr="003A2A1C" w:rsidRDefault="00F42888" w:rsidP="00F42888">
            <w:pPr>
              <w:jc w:val="right"/>
              <w:rPr>
                <w:color w:val="000000"/>
                <w:sz w:val="22"/>
                <w:szCs w:val="22"/>
              </w:rPr>
            </w:pPr>
            <w:r w:rsidRPr="003A2A1C">
              <w:rPr>
                <w:color w:val="000000"/>
                <w:sz w:val="22"/>
                <w:szCs w:val="22"/>
              </w:rPr>
              <w:t xml:space="preserve">$64.32 </w:t>
            </w:r>
          </w:p>
        </w:tc>
        <w:tc>
          <w:tcPr>
            <w:tcW w:w="2970" w:type="dxa"/>
            <w:gridSpan w:val="2"/>
            <w:tcBorders>
              <w:top w:val="nil"/>
              <w:left w:val="nil"/>
              <w:bottom w:val="nil"/>
              <w:right w:val="nil"/>
            </w:tcBorders>
            <w:shd w:val="clear" w:color="auto" w:fill="auto"/>
            <w:noWrap/>
            <w:vAlign w:val="center"/>
            <w:hideMark/>
          </w:tcPr>
          <w:p w14:paraId="16BDA593" w14:textId="77777777" w:rsidR="00F42888" w:rsidRPr="003A2A1C" w:rsidRDefault="00F42888" w:rsidP="00F42888">
            <w:pPr>
              <w:jc w:val="right"/>
              <w:rPr>
                <w:color w:val="000000"/>
                <w:sz w:val="22"/>
                <w:szCs w:val="22"/>
              </w:rPr>
            </w:pPr>
            <w:r w:rsidRPr="003A2A1C">
              <w:rPr>
                <w:color w:val="000000"/>
                <w:sz w:val="22"/>
                <w:szCs w:val="22"/>
              </w:rPr>
              <w:t xml:space="preserve">$126.96 </w:t>
            </w:r>
          </w:p>
        </w:tc>
        <w:tc>
          <w:tcPr>
            <w:tcW w:w="2384" w:type="dxa"/>
            <w:tcBorders>
              <w:top w:val="nil"/>
              <w:left w:val="nil"/>
              <w:bottom w:val="nil"/>
              <w:right w:val="single" w:sz="8" w:space="0" w:color="000000"/>
            </w:tcBorders>
            <w:shd w:val="clear" w:color="auto" w:fill="auto"/>
            <w:noWrap/>
            <w:vAlign w:val="center"/>
            <w:hideMark/>
          </w:tcPr>
          <w:p w14:paraId="0485A8A9" w14:textId="77777777" w:rsidR="00F42888" w:rsidRPr="003A2A1C" w:rsidRDefault="00F42888" w:rsidP="00F42888">
            <w:pPr>
              <w:jc w:val="right"/>
              <w:rPr>
                <w:color w:val="000000"/>
                <w:sz w:val="22"/>
                <w:szCs w:val="22"/>
              </w:rPr>
            </w:pPr>
            <w:r w:rsidRPr="003A2A1C">
              <w:rPr>
                <w:color w:val="000000"/>
                <w:sz w:val="22"/>
                <w:szCs w:val="22"/>
              </w:rPr>
              <w:t xml:space="preserve">$1.17 </w:t>
            </w:r>
          </w:p>
        </w:tc>
        <w:tc>
          <w:tcPr>
            <w:tcW w:w="256" w:type="dxa"/>
            <w:tcBorders>
              <w:top w:val="nil"/>
              <w:left w:val="nil"/>
              <w:bottom w:val="nil"/>
              <w:right w:val="nil"/>
            </w:tcBorders>
            <w:shd w:val="clear" w:color="auto" w:fill="auto"/>
            <w:noWrap/>
            <w:vAlign w:val="bottom"/>
            <w:hideMark/>
          </w:tcPr>
          <w:p w14:paraId="16A40DF9" w14:textId="77777777" w:rsidR="00F42888" w:rsidRPr="003A2A1C" w:rsidRDefault="00F42888" w:rsidP="00F42888">
            <w:pPr>
              <w:jc w:val="right"/>
              <w:rPr>
                <w:color w:val="000000"/>
                <w:sz w:val="22"/>
                <w:szCs w:val="22"/>
              </w:rPr>
            </w:pPr>
          </w:p>
        </w:tc>
      </w:tr>
      <w:tr w:rsidR="00F42888" w:rsidRPr="003A2A1C" w14:paraId="6467F4A2" w14:textId="77777777" w:rsidTr="00F42888">
        <w:trPr>
          <w:trHeight w:val="241"/>
        </w:trPr>
        <w:tc>
          <w:tcPr>
            <w:tcW w:w="293" w:type="dxa"/>
            <w:tcBorders>
              <w:top w:val="nil"/>
              <w:left w:val="nil"/>
              <w:bottom w:val="nil"/>
              <w:right w:val="nil"/>
            </w:tcBorders>
            <w:shd w:val="clear" w:color="auto" w:fill="auto"/>
            <w:noWrap/>
            <w:vAlign w:val="bottom"/>
            <w:hideMark/>
          </w:tcPr>
          <w:p w14:paraId="03B2E648" w14:textId="77777777" w:rsidR="00F42888" w:rsidRPr="003A2A1C" w:rsidRDefault="00F42888" w:rsidP="00F42888">
            <w:pPr>
              <w:rPr>
                <w:sz w:val="22"/>
                <w:szCs w:val="22"/>
              </w:rPr>
            </w:pPr>
          </w:p>
        </w:tc>
        <w:tc>
          <w:tcPr>
            <w:tcW w:w="5184" w:type="dxa"/>
            <w:tcBorders>
              <w:top w:val="nil"/>
              <w:left w:val="single" w:sz="8" w:space="0" w:color="000000"/>
              <w:bottom w:val="nil"/>
              <w:right w:val="nil"/>
            </w:tcBorders>
            <w:shd w:val="clear" w:color="auto" w:fill="auto"/>
            <w:noWrap/>
            <w:vAlign w:val="center"/>
            <w:hideMark/>
          </w:tcPr>
          <w:p w14:paraId="0138FB87" w14:textId="77777777" w:rsidR="00F42888" w:rsidRPr="003A2A1C" w:rsidRDefault="00F42888" w:rsidP="00F42888">
            <w:pPr>
              <w:rPr>
                <w:color w:val="000000"/>
                <w:sz w:val="22"/>
                <w:szCs w:val="22"/>
              </w:rPr>
            </w:pPr>
            <w:r w:rsidRPr="003A2A1C">
              <w:rPr>
                <w:color w:val="000000"/>
                <w:sz w:val="22"/>
                <w:szCs w:val="22"/>
              </w:rPr>
              <w:t>3"</w:t>
            </w:r>
          </w:p>
        </w:tc>
        <w:tc>
          <w:tcPr>
            <w:tcW w:w="1685" w:type="dxa"/>
            <w:gridSpan w:val="2"/>
            <w:tcBorders>
              <w:top w:val="nil"/>
              <w:left w:val="nil"/>
              <w:bottom w:val="nil"/>
              <w:right w:val="nil"/>
            </w:tcBorders>
            <w:shd w:val="clear" w:color="auto" w:fill="auto"/>
            <w:noWrap/>
            <w:vAlign w:val="center"/>
            <w:hideMark/>
          </w:tcPr>
          <w:p w14:paraId="02161355" w14:textId="77777777" w:rsidR="00F42888" w:rsidRPr="003A2A1C" w:rsidRDefault="00F42888" w:rsidP="00F42888">
            <w:pPr>
              <w:jc w:val="right"/>
              <w:rPr>
                <w:color w:val="000000"/>
                <w:sz w:val="22"/>
                <w:szCs w:val="22"/>
              </w:rPr>
            </w:pPr>
            <w:r w:rsidRPr="003A2A1C">
              <w:rPr>
                <w:color w:val="000000"/>
                <w:sz w:val="22"/>
                <w:szCs w:val="22"/>
              </w:rPr>
              <w:t xml:space="preserve">$108.96 </w:t>
            </w:r>
          </w:p>
        </w:tc>
        <w:tc>
          <w:tcPr>
            <w:tcW w:w="1716" w:type="dxa"/>
            <w:gridSpan w:val="2"/>
            <w:tcBorders>
              <w:top w:val="nil"/>
              <w:left w:val="nil"/>
              <w:bottom w:val="nil"/>
              <w:right w:val="nil"/>
            </w:tcBorders>
            <w:shd w:val="clear" w:color="auto" w:fill="auto"/>
            <w:noWrap/>
            <w:vAlign w:val="center"/>
            <w:hideMark/>
          </w:tcPr>
          <w:p w14:paraId="23F05A94" w14:textId="77777777" w:rsidR="00F42888" w:rsidRPr="003A2A1C" w:rsidRDefault="00F42888" w:rsidP="00F42888">
            <w:pPr>
              <w:jc w:val="right"/>
              <w:rPr>
                <w:color w:val="000000"/>
                <w:sz w:val="22"/>
                <w:szCs w:val="22"/>
              </w:rPr>
            </w:pPr>
            <w:r w:rsidRPr="003A2A1C">
              <w:rPr>
                <w:color w:val="000000"/>
                <w:sz w:val="22"/>
                <w:szCs w:val="22"/>
              </w:rPr>
              <w:t xml:space="preserve">$128.64 </w:t>
            </w:r>
          </w:p>
        </w:tc>
        <w:tc>
          <w:tcPr>
            <w:tcW w:w="2970" w:type="dxa"/>
            <w:gridSpan w:val="2"/>
            <w:tcBorders>
              <w:top w:val="nil"/>
              <w:left w:val="nil"/>
              <w:bottom w:val="nil"/>
              <w:right w:val="nil"/>
            </w:tcBorders>
            <w:shd w:val="clear" w:color="auto" w:fill="auto"/>
            <w:noWrap/>
            <w:vAlign w:val="center"/>
            <w:hideMark/>
          </w:tcPr>
          <w:p w14:paraId="56CFB5AB" w14:textId="77777777" w:rsidR="00F42888" w:rsidRPr="003A2A1C" w:rsidRDefault="00F42888" w:rsidP="00F42888">
            <w:pPr>
              <w:jc w:val="right"/>
              <w:rPr>
                <w:color w:val="000000"/>
                <w:sz w:val="22"/>
                <w:szCs w:val="22"/>
              </w:rPr>
            </w:pPr>
            <w:r w:rsidRPr="003A2A1C">
              <w:rPr>
                <w:color w:val="000000"/>
                <w:sz w:val="22"/>
                <w:szCs w:val="22"/>
              </w:rPr>
              <w:t xml:space="preserve">$253.92 </w:t>
            </w:r>
          </w:p>
        </w:tc>
        <w:tc>
          <w:tcPr>
            <w:tcW w:w="2384" w:type="dxa"/>
            <w:tcBorders>
              <w:top w:val="nil"/>
              <w:left w:val="nil"/>
              <w:bottom w:val="nil"/>
              <w:right w:val="single" w:sz="8" w:space="0" w:color="000000"/>
            </w:tcBorders>
            <w:shd w:val="clear" w:color="auto" w:fill="auto"/>
            <w:noWrap/>
            <w:vAlign w:val="center"/>
            <w:hideMark/>
          </w:tcPr>
          <w:p w14:paraId="797940C4" w14:textId="77777777" w:rsidR="00F42888" w:rsidRPr="003A2A1C" w:rsidRDefault="00F42888" w:rsidP="00F42888">
            <w:pPr>
              <w:jc w:val="right"/>
              <w:rPr>
                <w:color w:val="000000"/>
                <w:sz w:val="22"/>
                <w:szCs w:val="22"/>
              </w:rPr>
            </w:pPr>
            <w:r w:rsidRPr="003A2A1C">
              <w:rPr>
                <w:color w:val="000000"/>
                <w:sz w:val="22"/>
                <w:szCs w:val="22"/>
              </w:rPr>
              <w:t xml:space="preserve">$2.34 </w:t>
            </w:r>
          </w:p>
        </w:tc>
        <w:tc>
          <w:tcPr>
            <w:tcW w:w="256" w:type="dxa"/>
            <w:tcBorders>
              <w:top w:val="nil"/>
              <w:left w:val="nil"/>
              <w:bottom w:val="nil"/>
              <w:right w:val="nil"/>
            </w:tcBorders>
            <w:shd w:val="clear" w:color="auto" w:fill="auto"/>
            <w:noWrap/>
            <w:vAlign w:val="bottom"/>
            <w:hideMark/>
          </w:tcPr>
          <w:p w14:paraId="3BB6870E" w14:textId="77777777" w:rsidR="00F42888" w:rsidRPr="003A2A1C" w:rsidRDefault="00F42888" w:rsidP="00F42888">
            <w:pPr>
              <w:jc w:val="right"/>
              <w:rPr>
                <w:color w:val="000000"/>
                <w:sz w:val="22"/>
                <w:szCs w:val="22"/>
              </w:rPr>
            </w:pPr>
          </w:p>
        </w:tc>
      </w:tr>
      <w:tr w:rsidR="00F42888" w:rsidRPr="003A2A1C" w14:paraId="71F965D3" w14:textId="77777777" w:rsidTr="00F42888">
        <w:trPr>
          <w:trHeight w:val="241"/>
        </w:trPr>
        <w:tc>
          <w:tcPr>
            <w:tcW w:w="293" w:type="dxa"/>
            <w:tcBorders>
              <w:top w:val="nil"/>
              <w:left w:val="nil"/>
              <w:bottom w:val="nil"/>
              <w:right w:val="nil"/>
            </w:tcBorders>
            <w:shd w:val="clear" w:color="auto" w:fill="auto"/>
            <w:noWrap/>
            <w:vAlign w:val="bottom"/>
            <w:hideMark/>
          </w:tcPr>
          <w:p w14:paraId="0320CECF" w14:textId="77777777" w:rsidR="00F42888" w:rsidRPr="003A2A1C" w:rsidRDefault="00F42888" w:rsidP="00F42888">
            <w:pPr>
              <w:rPr>
                <w:sz w:val="22"/>
                <w:szCs w:val="22"/>
              </w:rPr>
            </w:pPr>
          </w:p>
        </w:tc>
        <w:tc>
          <w:tcPr>
            <w:tcW w:w="5184" w:type="dxa"/>
            <w:tcBorders>
              <w:top w:val="nil"/>
              <w:left w:val="single" w:sz="8" w:space="0" w:color="000000"/>
              <w:bottom w:val="nil"/>
              <w:right w:val="nil"/>
            </w:tcBorders>
            <w:shd w:val="clear" w:color="auto" w:fill="auto"/>
            <w:noWrap/>
            <w:vAlign w:val="center"/>
            <w:hideMark/>
          </w:tcPr>
          <w:p w14:paraId="1CAA9A84" w14:textId="77777777" w:rsidR="00F42888" w:rsidRPr="003A2A1C" w:rsidRDefault="00F42888" w:rsidP="00F42888">
            <w:pPr>
              <w:rPr>
                <w:color w:val="000000"/>
                <w:sz w:val="22"/>
                <w:szCs w:val="22"/>
              </w:rPr>
            </w:pPr>
            <w:r w:rsidRPr="003A2A1C">
              <w:rPr>
                <w:color w:val="000000"/>
                <w:sz w:val="22"/>
                <w:szCs w:val="22"/>
              </w:rPr>
              <w:t>4"</w:t>
            </w:r>
          </w:p>
        </w:tc>
        <w:tc>
          <w:tcPr>
            <w:tcW w:w="1685" w:type="dxa"/>
            <w:gridSpan w:val="2"/>
            <w:tcBorders>
              <w:top w:val="nil"/>
              <w:left w:val="nil"/>
              <w:bottom w:val="nil"/>
              <w:right w:val="nil"/>
            </w:tcBorders>
            <w:shd w:val="clear" w:color="auto" w:fill="auto"/>
            <w:noWrap/>
            <w:vAlign w:val="center"/>
            <w:hideMark/>
          </w:tcPr>
          <w:p w14:paraId="57F68016" w14:textId="77777777" w:rsidR="00F42888" w:rsidRPr="003A2A1C" w:rsidRDefault="00F42888" w:rsidP="00F42888">
            <w:pPr>
              <w:jc w:val="right"/>
              <w:rPr>
                <w:color w:val="000000"/>
                <w:sz w:val="22"/>
                <w:szCs w:val="22"/>
              </w:rPr>
            </w:pPr>
            <w:r w:rsidRPr="003A2A1C">
              <w:rPr>
                <w:color w:val="000000"/>
                <w:sz w:val="22"/>
                <w:szCs w:val="22"/>
              </w:rPr>
              <w:t xml:space="preserve">$170.25 </w:t>
            </w:r>
          </w:p>
        </w:tc>
        <w:tc>
          <w:tcPr>
            <w:tcW w:w="1716" w:type="dxa"/>
            <w:gridSpan w:val="2"/>
            <w:tcBorders>
              <w:top w:val="nil"/>
              <w:left w:val="nil"/>
              <w:bottom w:val="nil"/>
              <w:right w:val="nil"/>
            </w:tcBorders>
            <w:shd w:val="clear" w:color="auto" w:fill="auto"/>
            <w:noWrap/>
            <w:vAlign w:val="center"/>
            <w:hideMark/>
          </w:tcPr>
          <w:p w14:paraId="269CBD6F" w14:textId="77777777" w:rsidR="00F42888" w:rsidRPr="003A2A1C" w:rsidRDefault="00F42888" w:rsidP="00F42888">
            <w:pPr>
              <w:jc w:val="right"/>
              <w:rPr>
                <w:color w:val="000000"/>
                <w:sz w:val="22"/>
                <w:szCs w:val="22"/>
              </w:rPr>
            </w:pPr>
            <w:r w:rsidRPr="003A2A1C">
              <w:rPr>
                <w:color w:val="000000"/>
                <w:sz w:val="22"/>
                <w:szCs w:val="22"/>
              </w:rPr>
              <w:t xml:space="preserve">$201.00 </w:t>
            </w:r>
          </w:p>
        </w:tc>
        <w:tc>
          <w:tcPr>
            <w:tcW w:w="2970" w:type="dxa"/>
            <w:gridSpan w:val="2"/>
            <w:tcBorders>
              <w:top w:val="nil"/>
              <w:left w:val="nil"/>
              <w:bottom w:val="nil"/>
              <w:right w:val="nil"/>
            </w:tcBorders>
            <w:shd w:val="clear" w:color="auto" w:fill="auto"/>
            <w:noWrap/>
            <w:vAlign w:val="center"/>
            <w:hideMark/>
          </w:tcPr>
          <w:p w14:paraId="661C2550" w14:textId="77777777" w:rsidR="00F42888" w:rsidRPr="003A2A1C" w:rsidRDefault="00F42888" w:rsidP="00F42888">
            <w:pPr>
              <w:jc w:val="right"/>
              <w:rPr>
                <w:color w:val="000000"/>
                <w:sz w:val="22"/>
                <w:szCs w:val="22"/>
              </w:rPr>
            </w:pPr>
            <w:r w:rsidRPr="003A2A1C">
              <w:rPr>
                <w:color w:val="000000"/>
                <w:sz w:val="22"/>
                <w:szCs w:val="22"/>
              </w:rPr>
              <w:t xml:space="preserve">$396.75 </w:t>
            </w:r>
          </w:p>
        </w:tc>
        <w:tc>
          <w:tcPr>
            <w:tcW w:w="2384" w:type="dxa"/>
            <w:tcBorders>
              <w:top w:val="nil"/>
              <w:left w:val="nil"/>
              <w:bottom w:val="nil"/>
              <w:right w:val="single" w:sz="8" w:space="0" w:color="000000"/>
            </w:tcBorders>
            <w:shd w:val="clear" w:color="auto" w:fill="auto"/>
            <w:noWrap/>
            <w:vAlign w:val="center"/>
            <w:hideMark/>
          </w:tcPr>
          <w:p w14:paraId="60D04DAB" w14:textId="77777777" w:rsidR="00F42888" w:rsidRPr="003A2A1C" w:rsidRDefault="00F42888" w:rsidP="00F42888">
            <w:pPr>
              <w:jc w:val="right"/>
              <w:rPr>
                <w:color w:val="000000"/>
                <w:sz w:val="22"/>
                <w:szCs w:val="22"/>
              </w:rPr>
            </w:pPr>
            <w:r w:rsidRPr="003A2A1C">
              <w:rPr>
                <w:color w:val="000000"/>
                <w:sz w:val="22"/>
                <w:szCs w:val="22"/>
              </w:rPr>
              <w:t xml:space="preserve">$3.65 </w:t>
            </w:r>
          </w:p>
        </w:tc>
        <w:tc>
          <w:tcPr>
            <w:tcW w:w="256" w:type="dxa"/>
            <w:tcBorders>
              <w:top w:val="nil"/>
              <w:left w:val="nil"/>
              <w:bottom w:val="nil"/>
              <w:right w:val="nil"/>
            </w:tcBorders>
            <w:shd w:val="clear" w:color="auto" w:fill="auto"/>
            <w:noWrap/>
            <w:vAlign w:val="bottom"/>
            <w:hideMark/>
          </w:tcPr>
          <w:p w14:paraId="324090A2" w14:textId="77777777" w:rsidR="00F42888" w:rsidRPr="003A2A1C" w:rsidRDefault="00F42888" w:rsidP="00F42888">
            <w:pPr>
              <w:jc w:val="right"/>
              <w:rPr>
                <w:color w:val="000000"/>
                <w:sz w:val="22"/>
                <w:szCs w:val="22"/>
              </w:rPr>
            </w:pPr>
          </w:p>
        </w:tc>
      </w:tr>
      <w:tr w:rsidR="00F42888" w:rsidRPr="003A2A1C" w14:paraId="5DFF9335" w14:textId="77777777" w:rsidTr="00F42888">
        <w:trPr>
          <w:trHeight w:val="241"/>
        </w:trPr>
        <w:tc>
          <w:tcPr>
            <w:tcW w:w="293" w:type="dxa"/>
            <w:tcBorders>
              <w:top w:val="nil"/>
              <w:left w:val="nil"/>
              <w:bottom w:val="nil"/>
              <w:right w:val="nil"/>
            </w:tcBorders>
            <w:shd w:val="clear" w:color="auto" w:fill="auto"/>
            <w:noWrap/>
            <w:vAlign w:val="bottom"/>
            <w:hideMark/>
          </w:tcPr>
          <w:p w14:paraId="07C43ABB" w14:textId="77777777" w:rsidR="00F42888" w:rsidRPr="003A2A1C" w:rsidRDefault="00F42888" w:rsidP="00F42888">
            <w:pPr>
              <w:rPr>
                <w:sz w:val="22"/>
                <w:szCs w:val="22"/>
              </w:rPr>
            </w:pPr>
          </w:p>
        </w:tc>
        <w:tc>
          <w:tcPr>
            <w:tcW w:w="5184" w:type="dxa"/>
            <w:tcBorders>
              <w:top w:val="nil"/>
              <w:left w:val="single" w:sz="8" w:space="0" w:color="000000"/>
              <w:bottom w:val="nil"/>
              <w:right w:val="nil"/>
            </w:tcBorders>
            <w:shd w:val="clear" w:color="auto" w:fill="auto"/>
            <w:noWrap/>
            <w:vAlign w:val="center"/>
            <w:hideMark/>
          </w:tcPr>
          <w:p w14:paraId="0E0DBAC7" w14:textId="77777777" w:rsidR="00F42888" w:rsidRPr="003A2A1C" w:rsidRDefault="00F42888" w:rsidP="00F42888">
            <w:pPr>
              <w:rPr>
                <w:color w:val="000000"/>
                <w:sz w:val="22"/>
                <w:szCs w:val="22"/>
              </w:rPr>
            </w:pPr>
            <w:r w:rsidRPr="003A2A1C">
              <w:rPr>
                <w:color w:val="000000"/>
                <w:sz w:val="22"/>
                <w:szCs w:val="22"/>
              </w:rPr>
              <w:t>6"</w:t>
            </w:r>
          </w:p>
        </w:tc>
        <w:tc>
          <w:tcPr>
            <w:tcW w:w="1685" w:type="dxa"/>
            <w:gridSpan w:val="2"/>
            <w:tcBorders>
              <w:top w:val="nil"/>
              <w:left w:val="nil"/>
              <w:bottom w:val="nil"/>
              <w:right w:val="nil"/>
            </w:tcBorders>
            <w:shd w:val="clear" w:color="auto" w:fill="auto"/>
            <w:noWrap/>
            <w:vAlign w:val="center"/>
            <w:hideMark/>
          </w:tcPr>
          <w:p w14:paraId="3FC32987" w14:textId="77777777" w:rsidR="00F42888" w:rsidRPr="003A2A1C" w:rsidRDefault="00F42888" w:rsidP="00F42888">
            <w:pPr>
              <w:jc w:val="right"/>
              <w:rPr>
                <w:color w:val="000000"/>
                <w:sz w:val="22"/>
                <w:szCs w:val="22"/>
              </w:rPr>
            </w:pPr>
            <w:r w:rsidRPr="003A2A1C">
              <w:rPr>
                <w:color w:val="000000"/>
                <w:sz w:val="22"/>
                <w:szCs w:val="22"/>
              </w:rPr>
              <w:t xml:space="preserve">$340.50 </w:t>
            </w:r>
          </w:p>
        </w:tc>
        <w:tc>
          <w:tcPr>
            <w:tcW w:w="1716" w:type="dxa"/>
            <w:gridSpan w:val="2"/>
            <w:tcBorders>
              <w:top w:val="nil"/>
              <w:left w:val="nil"/>
              <w:bottom w:val="nil"/>
              <w:right w:val="nil"/>
            </w:tcBorders>
            <w:shd w:val="clear" w:color="auto" w:fill="auto"/>
            <w:noWrap/>
            <w:vAlign w:val="center"/>
            <w:hideMark/>
          </w:tcPr>
          <w:p w14:paraId="3D1CF397" w14:textId="77777777" w:rsidR="00F42888" w:rsidRPr="003A2A1C" w:rsidRDefault="00F42888" w:rsidP="00F42888">
            <w:pPr>
              <w:jc w:val="right"/>
              <w:rPr>
                <w:color w:val="000000"/>
                <w:sz w:val="22"/>
                <w:szCs w:val="22"/>
              </w:rPr>
            </w:pPr>
            <w:r w:rsidRPr="003A2A1C">
              <w:rPr>
                <w:color w:val="000000"/>
                <w:sz w:val="22"/>
                <w:szCs w:val="22"/>
              </w:rPr>
              <w:t xml:space="preserve">$402.00 </w:t>
            </w:r>
          </w:p>
        </w:tc>
        <w:tc>
          <w:tcPr>
            <w:tcW w:w="2970" w:type="dxa"/>
            <w:gridSpan w:val="2"/>
            <w:tcBorders>
              <w:top w:val="nil"/>
              <w:left w:val="nil"/>
              <w:bottom w:val="nil"/>
              <w:right w:val="nil"/>
            </w:tcBorders>
            <w:shd w:val="clear" w:color="auto" w:fill="auto"/>
            <w:noWrap/>
            <w:vAlign w:val="center"/>
            <w:hideMark/>
          </w:tcPr>
          <w:p w14:paraId="1AB9AFA4" w14:textId="77777777" w:rsidR="00F42888" w:rsidRPr="003A2A1C" w:rsidRDefault="00F42888" w:rsidP="00F42888">
            <w:pPr>
              <w:jc w:val="right"/>
              <w:rPr>
                <w:color w:val="000000"/>
                <w:sz w:val="22"/>
                <w:szCs w:val="22"/>
              </w:rPr>
            </w:pPr>
            <w:r w:rsidRPr="003A2A1C">
              <w:rPr>
                <w:color w:val="000000"/>
                <w:sz w:val="22"/>
                <w:szCs w:val="22"/>
              </w:rPr>
              <w:t xml:space="preserve">$793.50 </w:t>
            </w:r>
          </w:p>
        </w:tc>
        <w:tc>
          <w:tcPr>
            <w:tcW w:w="2384" w:type="dxa"/>
            <w:tcBorders>
              <w:top w:val="nil"/>
              <w:left w:val="nil"/>
              <w:bottom w:val="nil"/>
              <w:right w:val="single" w:sz="8" w:space="0" w:color="000000"/>
            </w:tcBorders>
            <w:shd w:val="clear" w:color="auto" w:fill="auto"/>
            <w:noWrap/>
            <w:vAlign w:val="center"/>
            <w:hideMark/>
          </w:tcPr>
          <w:p w14:paraId="6093DA80" w14:textId="77777777" w:rsidR="00F42888" w:rsidRPr="003A2A1C" w:rsidRDefault="00F42888" w:rsidP="00F42888">
            <w:pPr>
              <w:jc w:val="right"/>
              <w:rPr>
                <w:color w:val="000000"/>
                <w:sz w:val="22"/>
                <w:szCs w:val="22"/>
              </w:rPr>
            </w:pPr>
            <w:r w:rsidRPr="003A2A1C">
              <w:rPr>
                <w:color w:val="000000"/>
                <w:sz w:val="22"/>
                <w:szCs w:val="22"/>
              </w:rPr>
              <w:t xml:space="preserve">$7.30 </w:t>
            </w:r>
          </w:p>
        </w:tc>
        <w:tc>
          <w:tcPr>
            <w:tcW w:w="256" w:type="dxa"/>
            <w:tcBorders>
              <w:top w:val="nil"/>
              <w:left w:val="nil"/>
              <w:bottom w:val="nil"/>
              <w:right w:val="nil"/>
            </w:tcBorders>
            <w:shd w:val="clear" w:color="auto" w:fill="auto"/>
            <w:noWrap/>
            <w:vAlign w:val="bottom"/>
            <w:hideMark/>
          </w:tcPr>
          <w:p w14:paraId="23325BFC" w14:textId="77777777" w:rsidR="00F42888" w:rsidRPr="003A2A1C" w:rsidRDefault="00F42888" w:rsidP="00F42888">
            <w:pPr>
              <w:jc w:val="right"/>
              <w:rPr>
                <w:color w:val="000000"/>
                <w:sz w:val="22"/>
                <w:szCs w:val="22"/>
              </w:rPr>
            </w:pPr>
          </w:p>
        </w:tc>
      </w:tr>
      <w:tr w:rsidR="00F42888" w:rsidRPr="003A2A1C" w14:paraId="36C9FA90" w14:textId="77777777" w:rsidTr="00F42888">
        <w:trPr>
          <w:trHeight w:val="117"/>
        </w:trPr>
        <w:tc>
          <w:tcPr>
            <w:tcW w:w="293" w:type="dxa"/>
            <w:tcBorders>
              <w:top w:val="nil"/>
              <w:left w:val="nil"/>
              <w:bottom w:val="nil"/>
              <w:right w:val="nil"/>
            </w:tcBorders>
            <w:shd w:val="clear" w:color="auto" w:fill="auto"/>
            <w:noWrap/>
            <w:vAlign w:val="bottom"/>
            <w:hideMark/>
          </w:tcPr>
          <w:p w14:paraId="30BF4F17" w14:textId="77777777" w:rsidR="00F42888" w:rsidRPr="003A2A1C" w:rsidRDefault="00F42888" w:rsidP="00F42888">
            <w:pPr>
              <w:rPr>
                <w:sz w:val="22"/>
                <w:szCs w:val="22"/>
              </w:rPr>
            </w:pPr>
          </w:p>
        </w:tc>
        <w:tc>
          <w:tcPr>
            <w:tcW w:w="5184" w:type="dxa"/>
            <w:tcBorders>
              <w:top w:val="nil"/>
              <w:left w:val="single" w:sz="8" w:space="0" w:color="000000"/>
              <w:bottom w:val="nil"/>
              <w:right w:val="nil"/>
            </w:tcBorders>
            <w:shd w:val="clear" w:color="auto" w:fill="auto"/>
            <w:noWrap/>
            <w:vAlign w:val="bottom"/>
            <w:hideMark/>
          </w:tcPr>
          <w:p w14:paraId="364A0258" w14:textId="77777777" w:rsidR="00F42888" w:rsidRPr="003A2A1C" w:rsidRDefault="00F42888" w:rsidP="00F42888">
            <w:pPr>
              <w:rPr>
                <w:color w:val="000000"/>
                <w:sz w:val="22"/>
                <w:szCs w:val="22"/>
              </w:rPr>
            </w:pPr>
            <w:r w:rsidRPr="003A2A1C">
              <w:rPr>
                <w:sz w:val="22"/>
                <w:szCs w:val="22"/>
              </w:rPr>
              <w:t> </w:t>
            </w:r>
          </w:p>
        </w:tc>
        <w:tc>
          <w:tcPr>
            <w:tcW w:w="1685" w:type="dxa"/>
            <w:gridSpan w:val="2"/>
            <w:tcBorders>
              <w:top w:val="nil"/>
              <w:left w:val="nil"/>
              <w:bottom w:val="nil"/>
              <w:right w:val="nil"/>
            </w:tcBorders>
            <w:shd w:val="clear" w:color="auto" w:fill="auto"/>
            <w:noWrap/>
            <w:vAlign w:val="bottom"/>
            <w:hideMark/>
          </w:tcPr>
          <w:p w14:paraId="5048AD67" w14:textId="77777777" w:rsidR="00F42888" w:rsidRPr="003A2A1C" w:rsidRDefault="00F42888" w:rsidP="00F42888">
            <w:pPr>
              <w:jc w:val="right"/>
              <w:rPr>
                <w:color w:val="000000"/>
                <w:sz w:val="22"/>
                <w:szCs w:val="22"/>
              </w:rPr>
            </w:pPr>
          </w:p>
        </w:tc>
        <w:tc>
          <w:tcPr>
            <w:tcW w:w="1716" w:type="dxa"/>
            <w:gridSpan w:val="2"/>
            <w:tcBorders>
              <w:top w:val="nil"/>
              <w:left w:val="nil"/>
              <w:bottom w:val="nil"/>
              <w:right w:val="nil"/>
            </w:tcBorders>
            <w:shd w:val="clear" w:color="auto" w:fill="auto"/>
            <w:noWrap/>
            <w:vAlign w:val="bottom"/>
            <w:hideMark/>
          </w:tcPr>
          <w:p w14:paraId="0F31348B" w14:textId="77777777" w:rsidR="00F42888" w:rsidRPr="003A2A1C" w:rsidRDefault="00F42888" w:rsidP="00F42888">
            <w:pPr>
              <w:jc w:val="right"/>
              <w:rPr>
                <w:color w:val="000000"/>
                <w:sz w:val="22"/>
                <w:szCs w:val="22"/>
              </w:rPr>
            </w:pPr>
          </w:p>
        </w:tc>
        <w:tc>
          <w:tcPr>
            <w:tcW w:w="2970" w:type="dxa"/>
            <w:gridSpan w:val="2"/>
            <w:tcBorders>
              <w:top w:val="nil"/>
              <w:left w:val="nil"/>
              <w:bottom w:val="nil"/>
              <w:right w:val="nil"/>
            </w:tcBorders>
            <w:shd w:val="clear" w:color="auto" w:fill="auto"/>
            <w:noWrap/>
            <w:vAlign w:val="bottom"/>
            <w:hideMark/>
          </w:tcPr>
          <w:p w14:paraId="6DB97017" w14:textId="77777777" w:rsidR="00F42888" w:rsidRPr="003A2A1C" w:rsidRDefault="00F42888" w:rsidP="00F42888">
            <w:pPr>
              <w:jc w:val="right"/>
              <w:rPr>
                <w:color w:val="000000"/>
                <w:sz w:val="22"/>
                <w:szCs w:val="22"/>
              </w:rPr>
            </w:pPr>
          </w:p>
        </w:tc>
        <w:tc>
          <w:tcPr>
            <w:tcW w:w="2384" w:type="dxa"/>
            <w:tcBorders>
              <w:top w:val="nil"/>
              <w:left w:val="nil"/>
              <w:bottom w:val="nil"/>
              <w:right w:val="single" w:sz="8" w:space="0" w:color="000000"/>
            </w:tcBorders>
            <w:shd w:val="clear" w:color="auto" w:fill="auto"/>
            <w:noWrap/>
            <w:vAlign w:val="center"/>
            <w:hideMark/>
          </w:tcPr>
          <w:p w14:paraId="7E0E1A03" w14:textId="77777777" w:rsidR="00F42888" w:rsidRPr="003A2A1C" w:rsidRDefault="00F42888" w:rsidP="00F42888">
            <w:pPr>
              <w:jc w:val="right"/>
              <w:rPr>
                <w:color w:val="000000"/>
                <w:sz w:val="22"/>
                <w:szCs w:val="22"/>
              </w:rPr>
            </w:pPr>
            <w:r w:rsidRPr="003A2A1C">
              <w:rPr>
                <w:color w:val="000000"/>
                <w:sz w:val="22"/>
                <w:szCs w:val="22"/>
              </w:rPr>
              <w:t> </w:t>
            </w:r>
          </w:p>
        </w:tc>
        <w:tc>
          <w:tcPr>
            <w:tcW w:w="256" w:type="dxa"/>
            <w:tcBorders>
              <w:top w:val="nil"/>
              <w:left w:val="nil"/>
              <w:bottom w:val="nil"/>
              <w:right w:val="nil"/>
            </w:tcBorders>
            <w:shd w:val="clear" w:color="auto" w:fill="auto"/>
            <w:noWrap/>
            <w:vAlign w:val="bottom"/>
            <w:hideMark/>
          </w:tcPr>
          <w:p w14:paraId="7E08E870" w14:textId="77777777" w:rsidR="00F42888" w:rsidRPr="003A2A1C" w:rsidRDefault="00F42888" w:rsidP="00F42888">
            <w:pPr>
              <w:jc w:val="right"/>
              <w:rPr>
                <w:color w:val="000000"/>
                <w:sz w:val="22"/>
                <w:szCs w:val="22"/>
              </w:rPr>
            </w:pPr>
          </w:p>
        </w:tc>
      </w:tr>
      <w:tr w:rsidR="00F42888" w:rsidRPr="003A2A1C" w14:paraId="52289164" w14:textId="77777777" w:rsidTr="00F42888">
        <w:trPr>
          <w:trHeight w:val="241"/>
        </w:trPr>
        <w:tc>
          <w:tcPr>
            <w:tcW w:w="293" w:type="dxa"/>
            <w:tcBorders>
              <w:top w:val="nil"/>
              <w:left w:val="nil"/>
              <w:bottom w:val="nil"/>
              <w:right w:val="nil"/>
            </w:tcBorders>
            <w:shd w:val="clear" w:color="auto" w:fill="auto"/>
            <w:noWrap/>
            <w:vAlign w:val="bottom"/>
            <w:hideMark/>
          </w:tcPr>
          <w:p w14:paraId="7D9E331C" w14:textId="77777777" w:rsidR="00F42888" w:rsidRPr="003A2A1C" w:rsidRDefault="00F42888" w:rsidP="00F42888">
            <w:pPr>
              <w:rPr>
                <w:sz w:val="22"/>
                <w:szCs w:val="22"/>
              </w:rPr>
            </w:pPr>
          </w:p>
        </w:tc>
        <w:tc>
          <w:tcPr>
            <w:tcW w:w="5184" w:type="dxa"/>
            <w:tcBorders>
              <w:top w:val="nil"/>
              <w:left w:val="single" w:sz="8" w:space="0" w:color="000000"/>
              <w:bottom w:val="nil"/>
              <w:right w:val="nil"/>
            </w:tcBorders>
            <w:shd w:val="clear" w:color="auto" w:fill="auto"/>
            <w:noWrap/>
            <w:vAlign w:val="center"/>
            <w:hideMark/>
          </w:tcPr>
          <w:p w14:paraId="391BC058" w14:textId="77777777" w:rsidR="00F42888" w:rsidRPr="003A2A1C" w:rsidRDefault="00F42888" w:rsidP="00F42888">
            <w:pPr>
              <w:rPr>
                <w:sz w:val="22"/>
                <w:szCs w:val="22"/>
              </w:rPr>
            </w:pPr>
            <w:r w:rsidRPr="003A2A1C">
              <w:rPr>
                <w:color w:val="000000"/>
                <w:sz w:val="22"/>
                <w:szCs w:val="22"/>
              </w:rPr>
              <w:t>Charge per 1,000 gallons - Residential</w:t>
            </w:r>
          </w:p>
        </w:tc>
        <w:tc>
          <w:tcPr>
            <w:tcW w:w="1685" w:type="dxa"/>
            <w:gridSpan w:val="2"/>
            <w:tcBorders>
              <w:top w:val="nil"/>
              <w:left w:val="nil"/>
              <w:bottom w:val="nil"/>
              <w:right w:val="nil"/>
            </w:tcBorders>
            <w:shd w:val="clear" w:color="auto" w:fill="auto"/>
            <w:noWrap/>
            <w:vAlign w:val="bottom"/>
            <w:hideMark/>
          </w:tcPr>
          <w:p w14:paraId="78AEBD84" w14:textId="77777777" w:rsidR="00F42888" w:rsidRPr="003A2A1C" w:rsidRDefault="00F42888" w:rsidP="00F42888">
            <w:pPr>
              <w:rPr>
                <w:sz w:val="22"/>
                <w:szCs w:val="22"/>
              </w:rPr>
            </w:pPr>
          </w:p>
        </w:tc>
        <w:tc>
          <w:tcPr>
            <w:tcW w:w="1716" w:type="dxa"/>
            <w:gridSpan w:val="2"/>
            <w:tcBorders>
              <w:top w:val="nil"/>
              <w:left w:val="nil"/>
              <w:bottom w:val="nil"/>
              <w:right w:val="nil"/>
            </w:tcBorders>
            <w:shd w:val="clear" w:color="auto" w:fill="auto"/>
            <w:noWrap/>
            <w:vAlign w:val="bottom"/>
            <w:hideMark/>
          </w:tcPr>
          <w:p w14:paraId="62A97114" w14:textId="77777777" w:rsidR="00F42888" w:rsidRPr="003A2A1C" w:rsidRDefault="00F42888" w:rsidP="00F42888">
            <w:pPr>
              <w:rPr>
                <w:sz w:val="22"/>
                <w:szCs w:val="22"/>
              </w:rPr>
            </w:pPr>
          </w:p>
        </w:tc>
        <w:tc>
          <w:tcPr>
            <w:tcW w:w="2970" w:type="dxa"/>
            <w:gridSpan w:val="2"/>
            <w:tcBorders>
              <w:top w:val="nil"/>
              <w:left w:val="nil"/>
              <w:bottom w:val="nil"/>
              <w:right w:val="nil"/>
            </w:tcBorders>
            <w:shd w:val="clear" w:color="auto" w:fill="auto"/>
            <w:noWrap/>
            <w:vAlign w:val="bottom"/>
            <w:hideMark/>
          </w:tcPr>
          <w:p w14:paraId="1963FD7C" w14:textId="77777777" w:rsidR="00F42888" w:rsidRPr="003A2A1C" w:rsidRDefault="00F42888" w:rsidP="00F42888">
            <w:pPr>
              <w:rPr>
                <w:sz w:val="22"/>
                <w:szCs w:val="22"/>
              </w:rPr>
            </w:pPr>
          </w:p>
        </w:tc>
        <w:tc>
          <w:tcPr>
            <w:tcW w:w="2384" w:type="dxa"/>
            <w:tcBorders>
              <w:top w:val="nil"/>
              <w:left w:val="nil"/>
              <w:bottom w:val="nil"/>
              <w:right w:val="single" w:sz="8" w:space="0" w:color="000000"/>
            </w:tcBorders>
            <w:shd w:val="clear" w:color="auto" w:fill="auto"/>
            <w:noWrap/>
            <w:vAlign w:val="center"/>
            <w:hideMark/>
          </w:tcPr>
          <w:p w14:paraId="2C004322" w14:textId="77777777" w:rsidR="00F42888" w:rsidRPr="003A2A1C" w:rsidRDefault="00F42888" w:rsidP="00F42888">
            <w:pPr>
              <w:jc w:val="right"/>
              <w:rPr>
                <w:color w:val="000000"/>
                <w:sz w:val="22"/>
                <w:szCs w:val="22"/>
              </w:rPr>
            </w:pPr>
            <w:r w:rsidRPr="003A2A1C">
              <w:rPr>
                <w:color w:val="000000"/>
                <w:sz w:val="22"/>
                <w:szCs w:val="22"/>
              </w:rPr>
              <w:t> </w:t>
            </w:r>
          </w:p>
        </w:tc>
        <w:tc>
          <w:tcPr>
            <w:tcW w:w="256" w:type="dxa"/>
            <w:tcBorders>
              <w:top w:val="nil"/>
              <w:left w:val="nil"/>
              <w:bottom w:val="nil"/>
              <w:right w:val="nil"/>
            </w:tcBorders>
            <w:shd w:val="clear" w:color="auto" w:fill="auto"/>
            <w:noWrap/>
            <w:vAlign w:val="bottom"/>
            <w:hideMark/>
          </w:tcPr>
          <w:p w14:paraId="211C34F6" w14:textId="77777777" w:rsidR="00F42888" w:rsidRPr="003A2A1C" w:rsidRDefault="00F42888" w:rsidP="00F42888">
            <w:pPr>
              <w:jc w:val="right"/>
              <w:rPr>
                <w:color w:val="000000"/>
                <w:sz w:val="22"/>
                <w:szCs w:val="22"/>
              </w:rPr>
            </w:pPr>
          </w:p>
        </w:tc>
      </w:tr>
      <w:tr w:rsidR="00F42888" w:rsidRPr="003A2A1C" w14:paraId="56391E0E" w14:textId="77777777" w:rsidTr="00F42888">
        <w:trPr>
          <w:trHeight w:val="241"/>
        </w:trPr>
        <w:tc>
          <w:tcPr>
            <w:tcW w:w="293" w:type="dxa"/>
            <w:tcBorders>
              <w:top w:val="nil"/>
              <w:left w:val="nil"/>
              <w:bottom w:val="nil"/>
              <w:right w:val="nil"/>
            </w:tcBorders>
            <w:shd w:val="clear" w:color="auto" w:fill="auto"/>
            <w:noWrap/>
            <w:vAlign w:val="bottom"/>
            <w:hideMark/>
          </w:tcPr>
          <w:p w14:paraId="795E82DD" w14:textId="77777777" w:rsidR="00F42888" w:rsidRPr="003A2A1C" w:rsidRDefault="00F42888" w:rsidP="00F42888">
            <w:pPr>
              <w:rPr>
                <w:sz w:val="22"/>
                <w:szCs w:val="22"/>
              </w:rPr>
            </w:pPr>
          </w:p>
        </w:tc>
        <w:tc>
          <w:tcPr>
            <w:tcW w:w="5184" w:type="dxa"/>
            <w:tcBorders>
              <w:top w:val="nil"/>
              <w:left w:val="single" w:sz="8" w:space="0" w:color="000000"/>
              <w:bottom w:val="nil"/>
              <w:right w:val="nil"/>
            </w:tcBorders>
            <w:shd w:val="clear" w:color="auto" w:fill="auto"/>
            <w:noWrap/>
            <w:vAlign w:val="center"/>
            <w:hideMark/>
          </w:tcPr>
          <w:p w14:paraId="39CF5AD0" w14:textId="77777777" w:rsidR="00F42888" w:rsidRPr="003A2A1C" w:rsidRDefault="00F42888" w:rsidP="00F42888">
            <w:pPr>
              <w:rPr>
                <w:color w:val="000000"/>
                <w:sz w:val="22"/>
                <w:szCs w:val="22"/>
              </w:rPr>
            </w:pPr>
            <w:r w:rsidRPr="003A2A1C">
              <w:rPr>
                <w:color w:val="000000"/>
                <w:sz w:val="22"/>
                <w:szCs w:val="22"/>
              </w:rPr>
              <w:t>0 - 5,000 gallons</w:t>
            </w:r>
          </w:p>
        </w:tc>
        <w:tc>
          <w:tcPr>
            <w:tcW w:w="1685" w:type="dxa"/>
            <w:gridSpan w:val="2"/>
            <w:tcBorders>
              <w:top w:val="nil"/>
              <w:left w:val="nil"/>
              <w:bottom w:val="nil"/>
              <w:right w:val="nil"/>
            </w:tcBorders>
            <w:shd w:val="clear" w:color="auto" w:fill="auto"/>
            <w:noWrap/>
            <w:vAlign w:val="center"/>
            <w:hideMark/>
          </w:tcPr>
          <w:p w14:paraId="62DBA139" w14:textId="77777777" w:rsidR="00F42888" w:rsidRPr="003A2A1C" w:rsidRDefault="00F42888" w:rsidP="00F42888">
            <w:pPr>
              <w:jc w:val="right"/>
              <w:rPr>
                <w:color w:val="000000"/>
                <w:sz w:val="22"/>
                <w:szCs w:val="22"/>
              </w:rPr>
            </w:pPr>
            <w:r w:rsidRPr="003A2A1C">
              <w:rPr>
                <w:color w:val="000000"/>
                <w:sz w:val="22"/>
                <w:szCs w:val="22"/>
              </w:rPr>
              <w:t xml:space="preserve">$1.50 </w:t>
            </w:r>
          </w:p>
        </w:tc>
        <w:tc>
          <w:tcPr>
            <w:tcW w:w="1716" w:type="dxa"/>
            <w:gridSpan w:val="2"/>
            <w:tcBorders>
              <w:top w:val="nil"/>
              <w:left w:val="nil"/>
              <w:bottom w:val="nil"/>
              <w:right w:val="nil"/>
            </w:tcBorders>
            <w:shd w:val="clear" w:color="auto" w:fill="auto"/>
            <w:noWrap/>
            <w:vAlign w:val="center"/>
            <w:hideMark/>
          </w:tcPr>
          <w:p w14:paraId="1EC4E25F" w14:textId="77777777" w:rsidR="00F42888" w:rsidRPr="003A2A1C" w:rsidRDefault="00F42888" w:rsidP="00F42888">
            <w:pPr>
              <w:jc w:val="right"/>
              <w:rPr>
                <w:color w:val="000000"/>
                <w:sz w:val="22"/>
                <w:szCs w:val="22"/>
              </w:rPr>
            </w:pPr>
            <w:r w:rsidRPr="003A2A1C">
              <w:rPr>
                <w:color w:val="000000"/>
                <w:sz w:val="22"/>
                <w:szCs w:val="22"/>
              </w:rPr>
              <w:t xml:space="preserve">$1.77 </w:t>
            </w:r>
          </w:p>
        </w:tc>
        <w:tc>
          <w:tcPr>
            <w:tcW w:w="2970" w:type="dxa"/>
            <w:gridSpan w:val="2"/>
            <w:tcBorders>
              <w:top w:val="nil"/>
              <w:left w:val="nil"/>
              <w:bottom w:val="nil"/>
              <w:right w:val="nil"/>
            </w:tcBorders>
            <w:shd w:val="clear" w:color="auto" w:fill="auto"/>
            <w:noWrap/>
            <w:vAlign w:val="center"/>
            <w:hideMark/>
          </w:tcPr>
          <w:p w14:paraId="022D281D" w14:textId="77777777" w:rsidR="00F42888" w:rsidRPr="003A2A1C" w:rsidRDefault="00F42888" w:rsidP="00F42888">
            <w:pPr>
              <w:jc w:val="right"/>
              <w:rPr>
                <w:color w:val="000000"/>
                <w:sz w:val="22"/>
                <w:szCs w:val="22"/>
              </w:rPr>
            </w:pPr>
            <w:r w:rsidRPr="003A2A1C">
              <w:rPr>
                <w:color w:val="000000"/>
                <w:sz w:val="22"/>
                <w:szCs w:val="22"/>
              </w:rPr>
              <w:t>N/A</w:t>
            </w:r>
          </w:p>
        </w:tc>
        <w:tc>
          <w:tcPr>
            <w:tcW w:w="2384" w:type="dxa"/>
            <w:tcBorders>
              <w:top w:val="nil"/>
              <w:left w:val="nil"/>
              <w:bottom w:val="nil"/>
              <w:right w:val="single" w:sz="8" w:space="0" w:color="000000"/>
            </w:tcBorders>
            <w:shd w:val="clear" w:color="auto" w:fill="auto"/>
            <w:noWrap/>
            <w:vAlign w:val="center"/>
            <w:hideMark/>
          </w:tcPr>
          <w:p w14:paraId="19688C98" w14:textId="77777777" w:rsidR="00F42888" w:rsidRPr="003A2A1C" w:rsidRDefault="00F42888" w:rsidP="00F42888">
            <w:pPr>
              <w:jc w:val="right"/>
              <w:rPr>
                <w:color w:val="000000"/>
                <w:sz w:val="22"/>
                <w:szCs w:val="22"/>
              </w:rPr>
            </w:pPr>
            <w:r w:rsidRPr="003A2A1C">
              <w:rPr>
                <w:color w:val="000000"/>
                <w:sz w:val="22"/>
                <w:szCs w:val="22"/>
              </w:rPr>
              <w:t>N/A</w:t>
            </w:r>
          </w:p>
        </w:tc>
        <w:tc>
          <w:tcPr>
            <w:tcW w:w="256" w:type="dxa"/>
            <w:tcBorders>
              <w:top w:val="nil"/>
              <w:left w:val="nil"/>
              <w:bottom w:val="nil"/>
              <w:right w:val="nil"/>
            </w:tcBorders>
            <w:shd w:val="clear" w:color="auto" w:fill="auto"/>
            <w:noWrap/>
            <w:vAlign w:val="bottom"/>
            <w:hideMark/>
          </w:tcPr>
          <w:p w14:paraId="5AE67591" w14:textId="77777777" w:rsidR="00F42888" w:rsidRPr="003A2A1C" w:rsidRDefault="00F42888" w:rsidP="00F42888">
            <w:pPr>
              <w:jc w:val="right"/>
              <w:rPr>
                <w:color w:val="000000"/>
                <w:sz w:val="22"/>
                <w:szCs w:val="22"/>
              </w:rPr>
            </w:pPr>
          </w:p>
        </w:tc>
      </w:tr>
      <w:tr w:rsidR="00F42888" w:rsidRPr="003A2A1C" w14:paraId="60D1BD91" w14:textId="77777777" w:rsidTr="00F42888">
        <w:trPr>
          <w:trHeight w:val="241"/>
        </w:trPr>
        <w:tc>
          <w:tcPr>
            <w:tcW w:w="293" w:type="dxa"/>
            <w:tcBorders>
              <w:top w:val="nil"/>
              <w:left w:val="nil"/>
              <w:bottom w:val="nil"/>
              <w:right w:val="nil"/>
            </w:tcBorders>
            <w:shd w:val="clear" w:color="auto" w:fill="auto"/>
            <w:noWrap/>
            <w:vAlign w:val="bottom"/>
            <w:hideMark/>
          </w:tcPr>
          <w:p w14:paraId="6842EBE1" w14:textId="77777777" w:rsidR="00F42888" w:rsidRPr="003A2A1C" w:rsidRDefault="00F42888" w:rsidP="00F42888">
            <w:pPr>
              <w:rPr>
                <w:sz w:val="22"/>
                <w:szCs w:val="22"/>
              </w:rPr>
            </w:pPr>
          </w:p>
        </w:tc>
        <w:tc>
          <w:tcPr>
            <w:tcW w:w="5184" w:type="dxa"/>
            <w:tcBorders>
              <w:top w:val="nil"/>
              <w:left w:val="single" w:sz="8" w:space="0" w:color="000000"/>
              <w:bottom w:val="nil"/>
              <w:right w:val="nil"/>
            </w:tcBorders>
            <w:shd w:val="clear" w:color="auto" w:fill="auto"/>
            <w:noWrap/>
            <w:vAlign w:val="center"/>
            <w:hideMark/>
          </w:tcPr>
          <w:p w14:paraId="6A600D0C" w14:textId="77777777" w:rsidR="00F42888" w:rsidRPr="003A2A1C" w:rsidRDefault="00F42888" w:rsidP="00F42888">
            <w:pPr>
              <w:rPr>
                <w:color w:val="000000"/>
                <w:sz w:val="22"/>
                <w:szCs w:val="22"/>
              </w:rPr>
            </w:pPr>
            <w:r w:rsidRPr="003A2A1C">
              <w:rPr>
                <w:color w:val="000000"/>
                <w:sz w:val="22"/>
                <w:szCs w:val="22"/>
              </w:rPr>
              <w:t>5,001 - 10,000 gallons</w:t>
            </w:r>
          </w:p>
        </w:tc>
        <w:tc>
          <w:tcPr>
            <w:tcW w:w="1685" w:type="dxa"/>
            <w:gridSpan w:val="2"/>
            <w:tcBorders>
              <w:top w:val="nil"/>
              <w:left w:val="nil"/>
              <w:bottom w:val="nil"/>
              <w:right w:val="nil"/>
            </w:tcBorders>
            <w:shd w:val="clear" w:color="auto" w:fill="auto"/>
            <w:noWrap/>
            <w:vAlign w:val="center"/>
            <w:hideMark/>
          </w:tcPr>
          <w:p w14:paraId="01E17E4C" w14:textId="77777777" w:rsidR="00F42888" w:rsidRPr="003A2A1C" w:rsidRDefault="00F42888" w:rsidP="00F42888">
            <w:pPr>
              <w:jc w:val="right"/>
              <w:rPr>
                <w:color w:val="000000"/>
                <w:sz w:val="22"/>
                <w:szCs w:val="22"/>
              </w:rPr>
            </w:pPr>
            <w:r w:rsidRPr="003A2A1C">
              <w:rPr>
                <w:color w:val="000000"/>
                <w:sz w:val="22"/>
                <w:szCs w:val="22"/>
              </w:rPr>
              <w:t xml:space="preserve">$1.89 </w:t>
            </w:r>
          </w:p>
        </w:tc>
        <w:tc>
          <w:tcPr>
            <w:tcW w:w="1716" w:type="dxa"/>
            <w:gridSpan w:val="2"/>
            <w:tcBorders>
              <w:top w:val="nil"/>
              <w:left w:val="nil"/>
              <w:bottom w:val="nil"/>
              <w:right w:val="nil"/>
            </w:tcBorders>
            <w:shd w:val="clear" w:color="auto" w:fill="auto"/>
            <w:noWrap/>
            <w:vAlign w:val="center"/>
            <w:hideMark/>
          </w:tcPr>
          <w:p w14:paraId="42B6E387" w14:textId="77777777" w:rsidR="00F42888" w:rsidRPr="003A2A1C" w:rsidRDefault="00F42888" w:rsidP="00F42888">
            <w:pPr>
              <w:jc w:val="right"/>
              <w:rPr>
                <w:color w:val="000000"/>
                <w:sz w:val="22"/>
                <w:szCs w:val="22"/>
              </w:rPr>
            </w:pPr>
            <w:r w:rsidRPr="003A2A1C">
              <w:rPr>
                <w:color w:val="000000"/>
                <w:sz w:val="22"/>
                <w:szCs w:val="22"/>
              </w:rPr>
              <w:t xml:space="preserve">$2.23 </w:t>
            </w:r>
          </w:p>
        </w:tc>
        <w:tc>
          <w:tcPr>
            <w:tcW w:w="2970" w:type="dxa"/>
            <w:gridSpan w:val="2"/>
            <w:tcBorders>
              <w:top w:val="nil"/>
              <w:left w:val="nil"/>
              <w:bottom w:val="nil"/>
              <w:right w:val="nil"/>
            </w:tcBorders>
            <w:shd w:val="clear" w:color="auto" w:fill="auto"/>
            <w:noWrap/>
            <w:vAlign w:val="center"/>
            <w:hideMark/>
          </w:tcPr>
          <w:p w14:paraId="7D439B8A" w14:textId="77777777" w:rsidR="00F42888" w:rsidRPr="003A2A1C" w:rsidRDefault="00F42888" w:rsidP="00F42888">
            <w:pPr>
              <w:jc w:val="right"/>
              <w:rPr>
                <w:color w:val="000000"/>
                <w:sz w:val="22"/>
                <w:szCs w:val="22"/>
              </w:rPr>
            </w:pPr>
            <w:r w:rsidRPr="003A2A1C">
              <w:rPr>
                <w:color w:val="000000"/>
                <w:sz w:val="22"/>
                <w:szCs w:val="22"/>
              </w:rPr>
              <w:t>N/A</w:t>
            </w:r>
          </w:p>
        </w:tc>
        <w:tc>
          <w:tcPr>
            <w:tcW w:w="2384" w:type="dxa"/>
            <w:tcBorders>
              <w:top w:val="nil"/>
              <w:left w:val="nil"/>
              <w:bottom w:val="nil"/>
              <w:right w:val="single" w:sz="8" w:space="0" w:color="000000"/>
            </w:tcBorders>
            <w:shd w:val="clear" w:color="auto" w:fill="auto"/>
            <w:noWrap/>
            <w:vAlign w:val="center"/>
            <w:hideMark/>
          </w:tcPr>
          <w:p w14:paraId="25B30AC0" w14:textId="77777777" w:rsidR="00F42888" w:rsidRPr="003A2A1C" w:rsidRDefault="00F42888" w:rsidP="00F42888">
            <w:pPr>
              <w:jc w:val="right"/>
              <w:rPr>
                <w:color w:val="000000"/>
                <w:sz w:val="22"/>
                <w:szCs w:val="22"/>
              </w:rPr>
            </w:pPr>
            <w:r w:rsidRPr="003A2A1C">
              <w:rPr>
                <w:color w:val="000000"/>
                <w:sz w:val="22"/>
                <w:szCs w:val="22"/>
              </w:rPr>
              <w:t>N/A</w:t>
            </w:r>
          </w:p>
        </w:tc>
        <w:tc>
          <w:tcPr>
            <w:tcW w:w="256" w:type="dxa"/>
            <w:tcBorders>
              <w:top w:val="nil"/>
              <w:left w:val="nil"/>
              <w:bottom w:val="nil"/>
              <w:right w:val="nil"/>
            </w:tcBorders>
            <w:shd w:val="clear" w:color="auto" w:fill="auto"/>
            <w:noWrap/>
            <w:vAlign w:val="bottom"/>
            <w:hideMark/>
          </w:tcPr>
          <w:p w14:paraId="60B026EA" w14:textId="77777777" w:rsidR="00F42888" w:rsidRPr="003A2A1C" w:rsidRDefault="00F42888" w:rsidP="00F42888">
            <w:pPr>
              <w:jc w:val="right"/>
              <w:rPr>
                <w:color w:val="000000"/>
                <w:sz w:val="22"/>
                <w:szCs w:val="22"/>
              </w:rPr>
            </w:pPr>
          </w:p>
        </w:tc>
      </w:tr>
      <w:tr w:rsidR="00F42888" w:rsidRPr="003A2A1C" w14:paraId="55D58187" w14:textId="77777777" w:rsidTr="00F42888">
        <w:trPr>
          <w:trHeight w:val="241"/>
        </w:trPr>
        <w:tc>
          <w:tcPr>
            <w:tcW w:w="293" w:type="dxa"/>
            <w:tcBorders>
              <w:top w:val="nil"/>
              <w:left w:val="nil"/>
              <w:bottom w:val="nil"/>
              <w:right w:val="nil"/>
            </w:tcBorders>
            <w:shd w:val="clear" w:color="auto" w:fill="auto"/>
            <w:noWrap/>
            <w:vAlign w:val="bottom"/>
            <w:hideMark/>
          </w:tcPr>
          <w:p w14:paraId="6962465B" w14:textId="77777777" w:rsidR="00F42888" w:rsidRPr="003A2A1C" w:rsidRDefault="00F42888" w:rsidP="00F42888">
            <w:pPr>
              <w:rPr>
                <w:sz w:val="22"/>
                <w:szCs w:val="22"/>
              </w:rPr>
            </w:pPr>
          </w:p>
        </w:tc>
        <w:tc>
          <w:tcPr>
            <w:tcW w:w="5184" w:type="dxa"/>
            <w:tcBorders>
              <w:top w:val="nil"/>
              <w:left w:val="single" w:sz="8" w:space="0" w:color="000000"/>
              <w:bottom w:val="nil"/>
              <w:right w:val="nil"/>
            </w:tcBorders>
            <w:shd w:val="clear" w:color="auto" w:fill="auto"/>
            <w:noWrap/>
            <w:vAlign w:val="center"/>
            <w:hideMark/>
          </w:tcPr>
          <w:p w14:paraId="7A31F35C" w14:textId="77777777" w:rsidR="00F42888" w:rsidRPr="003A2A1C" w:rsidRDefault="00F42888" w:rsidP="00F42888">
            <w:pPr>
              <w:rPr>
                <w:color w:val="000000"/>
                <w:sz w:val="22"/>
                <w:szCs w:val="22"/>
              </w:rPr>
            </w:pPr>
            <w:r w:rsidRPr="003A2A1C">
              <w:rPr>
                <w:color w:val="000000"/>
                <w:sz w:val="22"/>
                <w:szCs w:val="22"/>
              </w:rPr>
              <w:t>10,001 - 15,000 gallons</w:t>
            </w:r>
          </w:p>
        </w:tc>
        <w:tc>
          <w:tcPr>
            <w:tcW w:w="1685" w:type="dxa"/>
            <w:gridSpan w:val="2"/>
            <w:tcBorders>
              <w:top w:val="nil"/>
              <w:left w:val="nil"/>
              <w:bottom w:val="nil"/>
              <w:right w:val="nil"/>
            </w:tcBorders>
            <w:shd w:val="clear" w:color="auto" w:fill="auto"/>
            <w:noWrap/>
            <w:vAlign w:val="center"/>
            <w:hideMark/>
          </w:tcPr>
          <w:p w14:paraId="69521C9C" w14:textId="77777777" w:rsidR="00F42888" w:rsidRPr="003A2A1C" w:rsidRDefault="00F42888" w:rsidP="00F42888">
            <w:pPr>
              <w:jc w:val="right"/>
              <w:rPr>
                <w:color w:val="000000"/>
                <w:sz w:val="22"/>
                <w:szCs w:val="22"/>
              </w:rPr>
            </w:pPr>
            <w:r w:rsidRPr="003A2A1C">
              <w:rPr>
                <w:color w:val="000000"/>
                <w:sz w:val="22"/>
                <w:szCs w:val="22"/>
              </w:rPr>
              <w:t xml:space="preserve">$2.82 </w:t>
            </w:r>
          </w:p>
        </w:tc>
        <w:tc>
          <w:tcPr>
            <w:tcW w:w="1716" w:type="dxa"/>
            <w:gridSpan w:val="2"/>
            <w:tcBorders>
              <w:top w:val="nil"/>
              <w:left w:val="nil"/>
              <w:bottom w:val="nil"/>
              <w:right w:val="nil"/>
            </w:tcBorders>
            <w:shd w:val="clear" w:color="auto" w:fill="auto"/>
            <w:noWrap/>
            <w:vAlign w:val="center"/>
            <w:hideMark/>
          </w:tcPr>
          <w:p w14:paraId="0E20872F" w14:textId="77777777" w:rsidR="00F42888" w:rsidRPr="003A2A1C" w:rsidRDefault="00F42888" w:rsidP="00F42888">
            <w:pPr>
              <w:jc w:val="right"/>
              <w:rPr>
                <w:color w:val="000000"/>
                <w:sz w:val="22"/>
                <w:szCs w:val="22"/>
              </w:rPr>
            </w:pPr>
            <w:r w:rsidRPr="003A2A1C">
              <w:rPr>
                <w:color w:val="000000"/>
                <w:sz w:val="22"/>
                <w:szCs w:val="22"/>
              </w:rPr>
              <w:t xml:space="preserve">$3.33 </w:t>
            </w:r>
          </w:p>
        </w:tc>
        <w:tc>
          <w:tcPr>
            <w:tcW w:w="2970" w:type="dxa"/>
            <w:gridSpan w:val="2"/>
            <w:tcBorders>
              <w:top w:val="nil"/>
              <w:left w:val="nil"/>
              <w:bottom w:val="nil"/>
              <w:right w:val="nil"/>
            </w:tcBorders>
            <w:shd w:val="clear" w:color="auto" w:fill="auto"/>
            <w:noWrap/>
            <w:vAlign w:val="center"/>
            <w:hideMark/>
          </w:tcPr>
          <w:p w14:paraId="10EEC8E1" w14:textId="77777777" w:rsidR="00F42888" w:rsidRPr="003A2A1C" w:rsidRDefault="00F42888" w:rsidP="00F42888">
            <w:pPr>
              <w:jc w:val="right"/>
              <w:rPr>
                <w:color w:val="000000"/>
                <w:sz w:val="22"/>
                <w:szCs w:val="22"/>
              </w:rPr>
            </w:pPr>
            <w:r w:rsidRPr="003A2A1C">
              <w:rPr>
                <w:color w:val="000000"/>
                <w:sz w:val="22"/>
                <w:szCs w:val="22"/>
              </w:rPr>
              <w:t>N/A</w:t>
            </w:r>
          </w:p>
        </w:tc>
        <w:tc>
          <w:tcPr>
            <w:tcW w:w="2384" w:type="dxa"/>
            <w:tcBorders>
              <w:top w:val="nil"/>
              <w:left w:val="nil"/>
              <w:bottom w:val="nil"/>
              <w:right w:val="single" w:sz="8" w:space="0" w:color="000000"/>
            </w:tcBorders>
            <w:shd w:val="clear" w:color="auto" w:fill="auto"/>
            <w:noWrap/>
            <w:vAlign w:val="center"/>
            <w:hideMark/>
          </w:tcPr>
          <w:p w14:paraId="339D190F" w14:textId="77777777" w:rsidR="00F42888" w:rsidRPr="003A2A1C" w:rsidRDefault="00F42888" w:rsidP="00F42888">
            <w:pPr>
              <w:jc w:val="right"/>
              <w:rPr>
                <w:color w:val="000000"/>
                <w:sz w:val="22"/>
                <w:szCs w:val="22"/>
              </w:rPr>
            </w:pPr>
            <w:r w:rsidRPr="003A2A1C">
              <w:rPr>
                <w:color w:val="000000"/>
                <w:sz w:val="22"/>
                <w:szCs w:val="22"/>
              </w:rPr>
              <w:t>N/A</w:t>
            </w:r>
          </w:p>
        </w:tc>
        <w:tc>
          <w:tcPr>
            <w:tcW w:w="256" w:type="dxa"/>
            <w:tcBorders>
              <w:top w:val="nil"/>
              <w:left w:val="nil"/>
              <w:bottom w:val="nil"/>
              <w:right w:val="nil"/>
            </w:tcBorders>
            <w:shd w:val="clear" w:color="auto" w:fill="auto"/>
            <w:noWrap/>
            <w:vAlign w:val="bottom"/>
            <w:hideMark/>
          </w:tcPr>
          <w:p w14:paraId="2CD72C91" w14:textId="77777777" w:rsidR="00F42888" w:rsidRPr="003A2A1C" w:rsidRDefault="00F42888" w:rsidP="00F42888">
            <w:pPr>
              <w:jc w:val="right"/>
              <w:rPr>
                <w:color w:val="000000"/>
                <w:sz w:val="22"/>
                <w:szCs w:val="22"/>
              </w:rPr>
            </w:pPr>
          </w:p>
        </w:tc>
      </w:tr>
      <w:tr w:rsidR="00F42888" w:rsidRPr="003A2A1C" w14:paraId="1500C2C9" w14:textId="77777777" w:rsidTr="00F42888">
        <w:trPr>
          <w:trHeight w:val="241"/>
        </w:trPr>
        <w:tc>
          <w:tcPr>
            <w:tcW w:w="293" w:type="dxa"/>
            <w:tcBorders>
              <w:top w:val="nil"/>
              <w:left w:val="nil"/>
              <w:bottom w:val="nil"/>
              <w:right w:val="nil"/>
            </w:tcBorders>
            <w:shd w:val="clear" w:color="auto" w:fill="auto"/>
            <w:noWrap/>
            <w:vAlign w:val="bottom"/>
            <w:hideMark/>
          </w:tcPr>
          <w:p w14:paraId="7AD7037D" w14:textId="77777777" w:rsidR="00F42888" w:rsidRPr="003A2A1C" w:rsidRDefault="00F42888" w:rsidP="00F42888">
            <w:pPr>
              <w:rPr>
                <w:sz w:val="22"/>
                <w:szCs w:val="22"/>
              </w:rPr>
            </w:pPr>
          </w:p>
        </w:tc>
        <w:tc>
          <w:tcPr>
            <w:tcW w:w="5184" w:type="dxa"/>
            <w:tcBorders>
              <w:top w:val="nil"/>
              <w:left w:val="single" w:sz="8" w:space="0" w:color="000000"/>
              <w:bottom w:val="nil"/>
              <w:right w:val="nil"/>
            </w:tcBorders>
            <w:shd w:val="clear" w:color="auto" w:fill="auto"/>
            <w:noWrap/>
            <w:vAlign w:val="center"/>
            <w:hideMark/>
          </w:tcPr>
          <w:p w14:paraId="25ADBE62" w14:textId="77777777" w:rsidR="00F42888" w:rsidRPr="003A2A1C" w:rsidRDefault="00F42888" w:rsidP="00F42888">
            <w:pPr>
              <w:rPr>
                <w:color w:val="000000"/>
                <w:sz w:val="22"/>
                <w:szCs w:val="22"/>
              </w:rPr>
            </w:pPr>
            <w:r w:rsidRPr="003A2A1C">
              <w:rPr>
                <w:color w:val="000000"/>
                <w:sz w:val="22"/>
                <w:szCs w:val="22"/>
              </w:rPr>
              <w:t>Over 15,000 gallons</w:t>
            </w:r>
          </w:p>
        </w:tc>
        <w:tc>
          <w:tcPr>
            <w:tcW w:w="1685" w:type="dxa"/>
            <w:gridSpan w:val="2"/>
            <w:tcBorders>
              <w:top w:val="nil"/>
              <w:left w:val="nil"/>
              <w:bottom w:val="nil"/>
              <w:right w:val="nil"/>
            </w:tcBorders>
            <w:shd w:val="clear" w:color="auto" w:fill="auto"/>
            <w:noWrap/>
            <w:vAlign w:val="center"/>
            <w:hideMark/>
          </w:tcPr>
          <w:p w14:paraId="156D85B4" w14:textId="77777777" w:rsidR="00F42888" w:rsidRPr="003A2A1C" w:rsidRDefault="00F42888" w:rsidP="00F42888">
            <w:pPr>
              <w:jc w:val="right"/>
              <w:rPr>
                <w:color w:val="000000"/>
                <w:sz w:val="22"/>
                <w:szCs w:val="22"/>
              </w:rPr>
            </w:pPr>
            <w:r w:rsidRPr="003A2A1C">
              <w:rPr>
                <w:color w:val="000000"/>
                <w:sz w:val="22"/>
                <w:szCs w:val="22"/>
              </w:rPr>
              <w:t xml:space="preserve">$3.75 </w:t>
            </w:r>
          </w:p>
        </w:tc>
        <w:tc>
          <w:tcPr>
            <w:tcW w:w="1716" w:type="dxa"/>
            <w:gridSpan w:val="2"/>
            <w:tcBorders>
              <w:top w:val="nil"/>
              <w:left w:val="nil"/>
              <w:bottom w:val="nil"/>
              <w:right w:val="nil"/>
            </w:tcBorders>
            <w:shd w:val="clear" w:color="auto" w:fill="auto"/>
            <w:noWrap/>
            <w:vAlign w:val="center"/>
            <w:hideMark/>
          </w:tcPr>
          <w:p w14:paraId="25AF0489" w14:textId="77777777" w:rsidR="00F42888" w:rsidRPr="003A2A1C" w:rsidRDefault="00F42888" w:rsidP="00F42888">
            <w:pPr>
              <w:jc w:val="right"/>
              <w:rPr>
                <w:color w:val="000000"/>
                <w:sz w:val="22"/>
                <w:szCs w:val="22"/>
              </w:rPr>
            </w:pPr>
            <w:r w:rsidRPr="003A2A1C">
              <w:rPr>
                <w:color w:val="000000"/>
                <w:sz w:val="22"/>
                <w:szCs w:val="22"/>
              </w:rPr>
              <w:t xml:space="preserve">$4.43 </w:t>
            </w:r>
          </w:p>
        </w:tc>
        <w:tc>
          <w:tcPr>
            <w:tcW w:w="2970" w:type="dxa"/>
            <w:gridSpan w:val="2"/>
            <w:tcBorders>
              <w:top w:val="nil"/>
              <w:left w:val="nil"/>
              <w:bottom w:val="nil"/>
              <w:right w:val="nil"/>
            </w:tcBorders>
            <w:shd w:val="clear" w:color="auto" w:fill="auto"/>
            <w:noWrap/>
            <w:vAlign w:val="center"/>
            <w:hideMark/>
          </w:tcPr>
          <w:p w14:paraId="464DD3CF" w14:textId="77777777" w:rsidR="00F42888" w:rsidRPr="003A2A1C" w:rsidRDefault="00F42888" w:rsidP="00F42888">
            <w:pPr>
              <w:jc w:val="right"/>
              <w:rPr>
                <w:color w:val="000000"/>
                <w:sz w:val="22"/>
                <w:szCs w:val="22"/>
              </w:rPr>
            </w:pPr>
            <w:r w:rsidRPr="003A2A1C">
              <w:rPr>
                <w:color w:val="000000"/>
                <w:sz w:val="22"/>
                <w:szCs w:val="22"/>
              </w:rPr>
              <w:t>N/A</w:t>
            </w:r>
          </w:p>
        </w:tc>
        <w:tc>
          <w:tcPr>
            <w:tcW w:w="2384" w:type="dxa"/>
            <w:tcBorders>
              <w:top w:val="nil"/>
              <w:left w:val="nil"/>
              <w:bottom w:val="nil"/>
              <w:right w:val="single" w:sz="8" w:space="0" w:color="000000"/>
            </w:tcBorders>
            <w:shd w:val="clear" w:color="auto" w:fill="auto"/>
            <w:noWrap/>
            <w:vAlign w:val="center"/>
            <w:hideMark/>
          </w:tcPr>
          <w:p w14:paraId="32C39673" w14:textId="77777777" w:rsidR="00F42888" w:rsidRPr="003A2A1C" w:rsidRDefault="00F42888" w:rsidP="00F42888">
            <w:pPr>
              <w:jc w:val="right"/>
              <w:rPr>
                <w:color w:val="000000"/>
                <w:sz w:val="22"/>
                <w:szCs w:val="22"/>
              </w:rPr>
            </w:pPr>
            <w:r w:rsidRPr="003A2A1C">
              <w:rPr>
                <w:color w:val="000000"/>
                <w:sz w:val="22"/>
                <w:szCs w:val="22"/>
              </w:rPr>
              <w:t>N/A</w:t>
            </w:r>
          </w:p>
        </w:tc>
        <w:tc>
          <w:tcPr>
            <w:tcW w:w="256" w:type="dxa"/>
            <w:tcBorders>
              <w:top w:val="nil"/>
              <w:left w:val="nil"/>
              <w:bottom w:val="nil"/>
              <w:right w:val="nil"/>
            </w:tcBorders>
            <w:shd w:val="clear" w:color="auto" w:fill="auto"/>
            <w:noWrap/>
            <w:vAlign w:val="bottom"/>
            <w:hideMark/>
          </w:tcPr>
          <w:p w14:paraId="146F82FC" w14:textId="77777777" w:rsidR="00F42888" w:rsidRPr="003A2A1C" w:rsidRDefault="00F42888" w:rsidP="00F42888">
            <w:pPr>
              <w:jc w:val="right"/>
              <w:rPr>
                <w:color w:val="000000"/>
                <w:sz w:val="22"/>
                <w:szCs w:val="22"/>
              </w:rPr>
            </w:pPr>
          </w:p>
        </w:tc>
      </w:tr>
      <w:tr w:rsidR="00F42888" w:rsidRPr="003A2A1C" w14:paraId="0BEDE75D" w14:textId="77777777" w:rsidTr="00F42888">
        <w:trPr>
          <w:trHeight w:val="135"/>
        </w:trPr>
        <w:tc>
          <w:tcPr>
            <w:tcW w:w="293" w:type="dxa"/>
            <w:tcBorders>
              <w:top w:val="nil"/>
              <w:left w:val="nil"/>
              <w:bottom w:val="nil"/>
              <w:right w:val="nil"/>
            </w:tcBorders>
            <w:shd w:val="clear" w:color="auto" w:fill="auto"/>
            <w:noWrap/>
            <w:vAlign w:val="bottom"/>
            <w:hideMark/>
          </w:tcPr>
          <w:p w14:paraId="593D4633" w14:textId="77777777" w:rsidR="00F42888" w:rsidRPr="003A2A1C" w:rsidRDefault="00F42888" w:rsidP="00F42888">
            <w:pPr>
              <w:rPr>
                <w:sz w:val="22"/>
                <w:szCs w:val="22"/>
              </w:rPr>
            </w:pPr>
          </w:p>
        </w:tc>
        <w:tc>
          <w:tcPr>
            <w:tcW w:w="5184" w:type="dxa"/>
            <w:tcBorders>
              <w:top w:val="nil"/>
              <w:left w:val="single" w:sz="8" w:space="0" w:color="000000"/>
              <w:bottom w:val="nil"/>
              <w:right w:val="nil"/>
            </w:tcBorders>
            <w:shd w:val="clear" w:color="auto" w:fill="auto"/>
            <w:noWrap/>
            <w:vAlign w:val="center"/>
            <w:hideMark/>
          </w:tcPr>
          <w:p w14:paraId="1EBB00AD" w14:textId="77777777" w:rsidR="00F42888" w:rsidRPr="003A2A1C" w:rsidRDefault="00F42888" w:rsidP="00F42888">
            <w:pPr>
              <w:rPr>
                <w:color w:val="000000"/>
                <w:sz w:val="22"/>
                <w:szCs w:val="22"/>
              </w:rPr>
            </w:pPr>
            <w:r w:rsidRPr="003A2A1C">
              <w:rPr>
                <w:color w:val="000000"/>
                <w:sz w:val="22"/>
                <w:szCs w:val="22"/>
              </w:rPr>
              <w:t> </w:t>
            </w:r>
          </w:p>
        </w:tc>
        <w:tc>
          <w:tcPr>
            <w:tcW w:w="1685" w:type="dxa"/>
            <w:gridSpan w:val="2"/>
            <w:tcBorders>
              <w:top w:val="nil"/>
              <w:left w:val="nil"/>
              <w:bottom w:val="nil"/>
              <w:right w:val="nil"/>
            </w:tcBorders>
            <w:shd w:val="clear" w:color="auto" w:fill="auto"/>
            <w:noWrap/>
            <w:vAlign w:val="bottom"/>
            <w:hideMark/>
          </w:tcPr>
          <w:p w14:paraId="0715A0C7" w14:textId="77777777" w:rsidR="00F42888" w:rsidRPr="003A2A1C" w:rsidRDefault="00F42888" w:rsidP="00F42888">
            <w:pPr>
              <w:jc w:val="right"/>
              <w:rPr>
                <w:color w:val="000000"/>
                <w:sz w:val="22"/>
                <w:szCs w:val="22"/>
              </w:rPr>
            </w:pPr>
          </w:p>
        </w:tc>
        <w:tc>
          <w:tcPr>
            <w:tcW w:w="1716" w:type="dxa"/>
            <w:gridSpan w:val="2"/>
            <w:tcBorders>
              <w:top w:val="nil"/>
              <w:left w:val="nil"/>
              <w:bottom w:val="nil"/>
              <w:right w:val="nil"/>
            </w:tcBorders>
            <w:shd w:val="clear" w:color="auto" w:fill="auto"/>
            <w:noWrap/>
            <w:vAlign w:val="bottom"/>
            <w:hideMark/>
          </w:tcPr>
          <w:p w14:paraId="63C5A10C" w14:textId="77777777" w:rsidR="00F42888" w:rsidRPr="003A2A1C" w:rsidRDefault="00F42888" w:rsidP="00F42888">
            <w:pPr>
              <w:jc w:val="right"/>
              <w:rPr>
                <w:color w:val="000000"/>
                <w:sz w:val="22"/>
                <w:szCs w:val="22"/>
              </w:rPr>
            </w:pPr>
          </w:p>
        </w:tc>
        <w:tc>
          <w:tcPr>
            <w:tcW w:w="2970" w:type="dxa"/>
            <w:gridSpan w:val="2"/>
            <w:tcBorders>
              <w:top w:val="nil"/>
              <w:left w:val="nil"/>
              <w:bottom w:val="nil"/>
              <w:right w:val="nil"/>
            </w:tcBorders>
            <w:shd w:val="clear" w:color="auto" w:fill="auto"/>
            <w:noWrap/>
            <w:vAlign w:val="center"/>
            <w:hideMark/>
          </w:tcPr>
          <w:p w14:paraId="2FC03063" w14:textId="77777777" w:rsidR="00F42888" w:rsidRPr="003A2A1C" w:rsidRDefault="00F42888" w:rsidP="00F42888">
            <w:pPr>
              <w:jc w:val="right"/>
              <w:rPr>
                <w:color w:val="000000"/>
                <w:sz w:val="22"/>
                <w:szCs w:val="22"/>
              </w:rPr>
            </w:pPr>
          </w:p>
        </w:tc>
        <w:tc>
          <w:tcPr>
            <w:tcW w:w="2384" w:type="dxa"/>
            <w:tcBorders>
              <w:top w:val="nil"/>
              <w:left w:val="nil"/>
              <w:bottom w:val="nil"/>
              <w:right w:val="single" w:sz="8" w:space="0" w:color="000000"/>
            </w:tcBorders>
            <w:shd w:val="clear" w:color="auto" w:fill="auto"/>
            <w:noWrap/>
            <w:vAlign w:val="center"/>
            <w:hideMark/>
          </w:tcPr>
          <w:p w14:paraId="7B0D166F" w14:textId="77777777" w:rsidR="00F42888" w:rsidRPr="003A2A1C" w:rsidRDefault="00F42888" w:rsidP="00F42888">
            <w:pPr>
              <w:jc w:val="right"/>
              <w:rPr>
                <w:color w:val="000000"/>
                <w:sz w:val="22"/>
                <w:szCs w:val="22"/>
              </w:rPr>
            </w:pPr>
            <w:r w:rsidRPr="003A2A1C">
              <w:rPr>
                <w:color w:val="000000"/>
                <w:sz w:val="22"/>
                <w:szCs w:val="22"/>
              </w:rPr>
              <w:t> </w:t>
            </w:r>
          </w:p>
        </w:tc>
        <w:tc>
          <w:tcPr>
            <w:tcW w:w="256" w:type="dxa"/>
            <w:tcBorders>
              <w:top w:val="nil"/>
              <w:left w:val="nil"/>
              <w:bottom w:val="nil"/>
              <w:right w:val="nil"/>
            </w:tcBorders>
            <w:shd w:val="clear" w:color="auto" w:fill="auto"/>
            <w:noWrap/>
            <w:vAlign w:val="bottom"/>
            <w:hideMark/>
          </w:tcPr>
          <w:p w14:paraId="4022A3AD" w14:textId="77777777" w:rsidR="00F42888" w:rsidRPr="003A2A1C" w:rsidRDefault="00F42888" w:rsidP="00F42888">
            <w:pPr>
              <w:jc w:val="right"/>
              <w:rPr>
                <w:color w:val="000000"/>
                <w:sz w:val="22"/>
                <w:szCs w:val="22"/>
              </w:rPr>
            </w:pPr>
          </w:p>
        </w:tc>
      </w:tr>
      <w:tr w:rsidR="00F42888" w:rsidRPr="003A2A1C" w14:paraId="392C0386" w14:textId="77777777" w:rsidTr="00F42888">
        <w:trPr>
          <w:trHeight w:val="241"/>
        </w:trPr>
        <w:tc>
          <w:tcPr>
            <w:tcW w:w="293" w:type="dxa"/>
            <w:tcBorders>
              <w:top w:val="nil"/>
              <w:left w:val="nil"/>
              <w:bottom w:val="nil"/>
              <w:right w:val="nil"/>
            </w:tcBorders>
            <w:shd w:val="clear" w:color="auto" w:fill="auto"/>
            <w:noWrap/>
            <w:vAlign w:val="bottom"/>
            <w:hideMark/>
          </w:tcPr>
          <w:p w14:paraId="40D18126" w14:textId="77777777" w:rsidR="00F42888" w:rsidRPr="003A2A1C" w:rsidRDefault="00F42888" w:rsidP="00F42888">
            <w:pPr>
              <w:rPr>
                <w:sz w:val="22"/>
                <w:szCs w:val="22"/>
              </w:rPr>
            </w:pPr>
          </w:p>
        </w:tc>
        <w:tc>
          <w:tcPr>
            <w:tcW w:w="5184" w:type="dxa"/>
            <w:tcBorders>
              <w:top w:val="nil"/>
              <w:left w:val="single" w:sz="8" w:space="0" w:color="000000"/>
              <w:bottom w:val="nil"/>
              <w:right w:val="nil"/>
            </w:tcBorders>
            <w:shd w:val="clear" w:color="auto" w:fill="auto"/>
            <w:noWrap/>
            <w:vAlign w:val="center"/>
            <w:hideMark/>
          </w:tcPr>
          <w:p w14:paraId="405468A5" w14:textId="77777777" w:rsidR="00F42888" w:rsidRPr="003A2A1C" w:rsidRDefault="00F42888" w:rsidP="00F42888">
            <w:pPr>
              <w:rPr>
                <w:color w:val="000000"/>
                <w:sz w:val="22"/>
                <w:szCs w:val="22"/>
              </w:rPr>
            </w:pPr>
            <w:r w:rsidRPr="003A2A1C">
              <w:rPr>
                <w:color w:val="000000"/>
                <w:sz w:val="22"/>
                <w:szCs w:val="22"/>
              </w:rPr>
              <w:t>0 - 4,000 gallons</w:t>
            </w:r>
          </w:p>
        </w:tc>
        <w:tc>
          <w:tcPr>
            <w:tcW w:w="1685" w:type="dxa"/>
            <w:gridSpan w:val="2"/>
            <w:tcBorders>
              <w:top w:val="nil"/>
              <w:left w:val="nil"/>
              <w:bottom w:val="nil"/>
              <w:right w:val="nil"/>
            </w:tcBorders>
            <w:shd w:val="clear" w:color="auto" w:fill="auto"/>
            <w:noWrap/>
            <w:vAlign w:val="center"/>
            <w:hideMark/>
          </w:tcPr>
          <w:p w14:paraId="013F539E" w14:textId="77777777" w:rsidR="00F42888" w:rsidRPr="003A2A1C" w:rsidRDefault="00F42888" w:rsidP="00F42888">
            <w:pPr>
              <w:jc w:val="right"/>
              <w:rPr>
                <w:color w:val="000000"/>
                <w:sz w:val="22"/>
                <w:szCs w:val="22"/>
              </w:rPr>
            </w:pPr>
            <w:r w:rsidRPr="003A2A1C">
              <w:rPr>
                <w:color w:val="000000"/>
                <w:sz w:val="22"/>
                <w:szCs w:val="22"/>
              </w:rPr>
              <w:t>N/A</w:t>
            </w:r>
          </w:p>
        </w:tc>
        <w:tc>
          <w:tcPr>
            <w:tcW w:w="1716" w:type="dxa"/>
            <w:gridSpan w:val="2"/>
            <w:tcBorders>
              <w:top w:val="nil"/>
              <w:left w:val="nil"/>
              <w:bottom w:val="nil"/>
              <w:right w:val="nil"/>
            </w:tcBorders>
            <w:shd w:val="clear" w:color="auto" w:fill="auto"/>
            <w:noWrap/>
            <w:vAlign w:val="center"/>
            <w:hideMark/>
          </w:tcPr>
          <w:p w14:paraId="7577876C" w14:textId="77777777" w:rsidR="00F42888" w:rsidRPr="003A2A1C" w:rsidRDefault="00F42888" w:rsidP="00F42888">
            <w:pPr>
              <w:jc w:val="right"/>
              <w:rPr>
                <w:color w:val="000000"/>
                <w:sz w:val="22"/>
                <w:szCs w:val="22"/>
              </w:rPr>
            </w:pPr>
            <w:r w:rsidRPr="003A2A1C">
              <w:rPr>
                <w:color w:val="000000"/>
                <w:sz w:val="22"/>
                <w:szCs w:val="22"/>
              </w:rPr>
              <w:t>N/A</w:t>
            </w:r>
          </w:p>
        </w:tc>
        <w:tc>
          <w:tcPr>
            <w:tcW w:w="2970" w:type="dxa"/>
            <w:gridSpan w:val="2"/>
            <w:tcBorders>
              <w:top w:val="nil"/>
              <w:left w:val="nil"/>
              <w:bottom w:val="nil"/>
              <w:right w:val="nil"/>
            </w:tcBorders>
            <w:shd w:val="clear" w:color="auto" w:fill="auto"/>
            <w:noWrap/>
            <w:vAlign w:val="center"/>
            <w:hideMark/>
          </w:tcPr>
          <w:p w14:paraId="05932ED4" w14:textId="77777777" w:rsidR="00F42888" w:rsidRPr="003A2A1C" w:rsidRDefault="00F42888" w:rsidP="00F42888">
            <w:pPr>
              <w:jc w:val="right"/>
              <w:rPr>
                <w:color w:val="000000"/>
                <w:sz w:val="22"/>
                <w:szCs w:val="22"/>
              </w:rPr>
            </w:pPr>
            <w:r w:rsidRPr="003A2A1C">
              <w:rPr>
                <w:color w:val="000000"/>
                <w:sz w:val="22"/>
                <w:szCs w:val="22"/>
              </w:rPr>
              <w:t xml:space="preserve">$7.88 </w:t>
            </w:r>
          </w:p>
        </w:tc>
        <w:tc>
          <w:tcPr>
            <w:tcW w:w="2384" w:type="dxa"/>
            <w:tcBorders>
              <w:top w:val="nil"/>
              <w:left w:val="nil"/>
              <w:bottom w:val="nil"/>
              <w:right w:val="single" w:sz="8" w:space="0" w:color="000000"/>
            </w:tcBorders>
            <w:shd w:val="clear" w:color="auto" w:fill="auto"/>
            <w:noWrap/>
            <w:vAlign w:val="center"/>
            <w:hideMark/>
          </w:tcPr>
          <w:p w14:paraId="7A782BF1" w14:textId="77777777" w:rsidR="00F42888" w:rsidRPr="003A2A1C" w:rsidRDefault="00F42888" w:rsidP="00F42888">
            <w:pPr>
              <w:jc w:val="right"/>
              <w:rPr>
                <w:color w:val="000000"/>
                <w:sz w:val="22"/>
                <w:szCs w:val="22"/>
              </w:rPr>
            </w:pPr>
            <w:r w:rsidRPr="003A2A1C">
              <w:rPr>
                <w:color w:val="000000"/>
                <w:sz w:val="22"/>
                <w:szCs w:val="22"/>
              </w:rPr>
              <w:t xml:space="preserve">$0.07 </w:t>
            </w:r>
          </w:p>
        </w:tc>
        <w:tc>
          <w:tcPr>
            <w:tcW w:w="256" w:type="dxa"/>
            <w:tcBorders>
              <w:top w:val="nil"/>
              <w:left w:val="nil"/>
              <w:bottom w:val="nil"/>
              <w:right w:val="nil"/>
            </w:tcBorders>
            <w:shd w:val="clear" w:color="auto" w:fill="auto"/>
            <w:noWrap/>
            <w:vAlign w:val="bottom"/>
            <w:hideMark/>
          </w:tcPr>
          <w:p w14:paraId="6F3AADD7" w14:textId="77777777" w:rsidR="00F42888" w:rsidRPr="003A2A1C" w:rsidRDefault="00F42888" w:rsidP="00F42888">
            <w:pPr>
              <w:jc w:val="right"/>
              <w:rPr>
                <w:color w:val="000000"/>
                <w:sz w:val="22"/>
                <w:szCs w:val="22"/>
              </w:rPr>
            </w:pPr>
          </w:p>
        </w:tc>
      </w:tr>
      <w:tr w:rsidR="00F42888" w:rsidRPr="003A2A1C" w14:paraId="777C348D" w14:textId="77777777" w:rsidTr="00F42888">
        <w:trPr>
          <w:trHeight w:val="241"/>
        </w:trPr>
        <w:tc>
          <w:tcPr>
            <w:tcW w:w="293" w:type="dxa"/>
            <w:tcBorders>
              <w:top w:val="nil"/>
              <w:left w:val="nil"/>
              <w:bottom w:val="nil"/>
              <w:right w:val="nil"/>
            </w:tcBorders>
            <w:shd w:val="clear" w:color="auto" w:fill="auto"/>
            <w:noWrap/>
            <w:vAlign w:val="bottom"/>
            <w:hideMark/>
          </w:tcPr>
          <w:p w14:paraId="688FED3D" w14:textId="77777777" w:rsidR="00F42888" w:rsidRPr="003A2A1C" w:rsidRDefault="00F42888" w:rsidP="00F42888">
            <w:pPr>
              <w:rPr>
                <w:sz w:val="22"/>
                <w:szCs w:val="22"/>
              </w:rPr>
            </w:pPr>
          </w:p>
        </w:tc>
        <w:tc>
          <w:tcPr>
            <w:tcW w:w="5184" w:type="dxa"/>
            <w:tcBorders>
              <w:top w:val="nil"/>
              <w:left w:val="single" w:sz="8" w:space="0" w:color="000000"/>
              <w:bottom w:val="nil"/>
              <w:right w:val="nil"/>
            </w:tcBorders>
            <w:shd w:val="clear" w:color="auto" w:fill="auto"/>
            <w:noWrap/>
            <w:vAlign w:val="center"/>
            <w:hideMark/>
          </w:tcPr>
          <w:p w14:paraId="748D3AE3" w14:textId="77777777" w:rsidR="00F42888" w:rsidRPr="003A2A1C" w:rsidRDefault="00F42888" w:rsidP="00F42888">
            <w:pPr>
              <w:rPr>
                <w:color w:val="000000"/>
                <w:sz w:val="22"/>
                <w:szCs w:val="22"/>
              </w:rPr>
            </w:pPr>
            <w:r w:rsidRPr="003A2A1C">
              <w:rPr>
                <w:color w:val="000000"/>
                <w:sz w:val="22"/>
                <w:szCs w:val="22"/>
              </w:rPr>
              <w:t>4,001 - 10,000 gallons</w:t>
            </w:r>
          </w:p>
        </w:tc>
        <w:tc>
          <w:tcPr>
            <w:tcW w:w="1685" w:type="dxa"/>
            <w:gridSpan w:val="2"/>
            <w:tcBorders>
              <w:top w:val="nil"/>
              <w:left w:val="nil"/>
              <w:bottom w:val="nil"/>
              <w:right w:val="nil"/>
            </w:tcBorders>
            <w:shd w:val="clear" w:color="auto" w:fill="auto"/>
            <w:noWrap/>
            <w:vAlign w:val="center"/>
            <w:hideMark/>
          </w:tcPr>
          <w:p w14:paraId="69190EB9" w14:textId="77777777" w:rsidR="00F42888" w:rsidRPr="003A2A1C" w:rsidRDefault="00F42888" w:rsidP="00F42888">
            <w:pPr>
              <w:jc w:val="right"/>
              <w:rPr>
                <w:color w:val="000000"/>
                <w:sz w:val="22"/>
                <w:szCs w:val="22"/>
              </w:rPr>
            </w:pPr>
            <w:r w:rsidRPr="003A2A1C">
              <w:rPr>
                <w:color w:val="000000"/>
                <w:sz w:val="22"/>
                <w:szCs w:val="22"/>
              </w:rPr>
              <w:t>N/A</w:t>
            </w:r>
          </w:p>
        </w:tc>
        <w:tc>
          <w:tcPr>
            <w:tcW w:w="1716" w:type="dxa"/>
            <w:gridSpan w:val="2"/>
            <w:tcBorders>
              <w:top w:val="nil"/>
              <w:left w:val="nil"/>
              <w:bottom w:val="nil"/>
              <w:right w:val="nil"/>
            </w:tcBorders>
            <w:shd w:val="clear" w:color="auto" w:fill="auto"/>
            <w:noWrap/>
            <w:vAlign w:val="center"/>
            <w:hideMark/>
          </w:tcPr>
          <w:p w14:paraId="0156BD95" w14:textId="77777777" w:rsidR="00F42888" w:rsidRPr="003A2A1C" w:rsidRDefault="00F42888" w:rsidP="00F42888">
            <w:pPr>
              <w:jc w:val="right"/>
              <w:rPr>
                <w:color w:val="000000"/>
                <w:sz w:val="22"/>
                <w:szCs w:val="22"/>
              </w:rPr>
            </w:pPr>
            <w:r w:rsidRPr="003A2A1C">
              <w:rPr>
                <w:color w:val="000000"/>
                <w:sz w:val="22"/>
                <w:szCs w:val="22"/>
              </w:rPr>
              <w:t>N/A</w:t>
            </w:r>
          </w:p>
        </w:tc>
        <w:tc>
          <w:tcPr>
            <w:tcW w:w="2970" w:type="dxa"/>
            <w:gridSpan w:val="2"/>
            <w:tcBorders>
              <w:top w:val="nil"/>
              <w:left w:val="nil"/>
              <w:bottom w:val="nil"/>
              <w:right w:val="nil"/>
            </w:tcBorders>
            <w:shd w:val="clear" w:color="auto" w:fill="auto"/>
            <w:noWrap/>
            <w:vAlign w:val="center"/>
            <w:hideMark/>
          </w:tcPr>
          <w:p w14:paraId="77B39F98" w14:textId="77777777" w:rsidR="00F42888" w:rsidRPr="003A2A1C" w:rsidRDefault="00F42888" w:rsidP="00F42888">
            <w:pPr>
              <w:jc w:val="right"/>
              <w:rPr>
                <w:color w:val="000000"/>
                <w:sz w:val="22"/>
                <w:szCs w:val="22"/>
              </w:rPr>
            </w:pPr>
            <w:r w:rsidRPr="003A2A1C">
              <w:rPr>
                <w:color w:val="000000"/>
                <w:sz w:val="22"/>
                <w:szCs w:val="22"/>
              </w:rPr>
              <w:t xml:space="preserve">$9.85 </w:t>
            </w:r>
          </w:p>
        </w:tc>
        <w:tc>
          <w:tcPr>
            <w:tcW w:w="2384" w:type="dxa"/>
            <w:tcBorders>
              <w:top w:val="nil"/>
              <w:left w:val="nil"/>
              <w:bottom w:val="nil"/>
              <w:right w:val="single" w:sz="8" w:space="0" w:color="000000"/>
            </w:tcBorders>
            <w:shd w:val="clear" w:color="auto" w:fill="auto"/>
            <w:noWrap/>
            <w:vAlign w:val="center"/>
            <w:hideMark/>
          </w:tcPr>
          <w:p w14:paraId="40FE7957" w14:textId="77777777" w:rsidR="00F42888" w:rsidRPr="003A2A1C" w:rsidRDefault="00F42888" w:rsidP="00F42888">
            <w:pPr>
              <w:jc w:val="right"/>
              <w:rPr>
                <w:color w:val="000000"/>
                <w:sz w:val="22"/>
                <w:szCs w:val="22"/>
              </w:rPr>
            </w:pPr>
            <w:r w:rsidRPr="003A2A1C">
              <w:rPr>
                <w:color w:val="000000"/>
                <w:sz w:val="22"/>
                <w:szCs w:val="22"/>
              </w:rPr>
              <w:t xml:space="preserve">$0.09 </w:t>
            </w:r>
          </w:p>
        </w:tc>
        <w:tc>
          <w:tcPr>
            <w:tcW w:w="256" w:type="dxa"/>
            <w:tcBorders>
              <w:top w:val="nil"/>
              <w:left w:val="nil"/>
              <w:bottom w:val="nil"/>
              <w:right w:val="nil"/>
            </w:tcBorders>
            <w:shd w:val="clear" w:color="auto" w:fill="auto"/>
            <w:noWrap/>
            <w:vAlign w:val="bottom"/>
            <w:hideMark/>
          </w:tcPr>
          <w:p w14:paraId="7D81CC01" w14:textId="77777777" w:rsidR="00F42888" w:rsidRPr="003A2A1C" w:rsidRDefault="00F42888" w:rsidP="00F42888">
            <w:pPr>
              <w:jc w:val="right"/>
              <w:rPr>
                <w:color w:val="000000"/>
                <w:sz w:val="22"/>
                <w:szCs w:val="22"/>
              </w:rPr>
            </w:pPr>
          </w:p>
        </w:tc>
      </w:tr>
      <w:tr w:rsidR="00F42888" w:rsidRPr="003A2A1C" w14:paraId="3978F562" w14:textId="77777777" w:rsidTr="00F42888">
        <w:trPr>
          <w:trHeight w:val="241"/>
        </w:trPr>
        <w:tc>
          <w:tcPr>
            <w:tcW w:w="293" w:type="dxa"/>
            <w:tcBorders>
              <w:top w:val="nil"/>
              <w:left w:val="nil"/>
              <w:bottom w:val="nil"/>
              <w:right w:val="nil"/>
            </w:tcBorders>
            <w:shd w:val="clear" w:color="auto" w:fill="auto"/>
            <w:noWrap/>
            <w:vAlign w:val="bottom"/>
            <w:hideMark/>
          </w:tcPr>
          <w:p w14:paraId="72F8FE87" w14:textId="77777777" w:rsidR="00F42888" w:rsidRPr="003A2A1C" w:rsidRDefault="00F42888" w:rsidP="00F42888">
            <w:pPr>
              <w:rPr>
                <w:sz w:val="22"/>
                <w:szCs w:val="22"/>
              </w:rPr>
            </w:pPr>
          </w:p>
        </w:tc>
        <w:tc>
          <w:tcPr>
            <w:tcW w:w="5184" w:type="dxa"/>
            <w:tcBorders>
              <w:top w:val="nil"/>
              <w:left w:val="single" w:sz="8" w:space="0" w:color="000000"/>
              <w:bottom w:val="nil"/>
              <w:right w:val="nil"/>
            </w:tcBorders>
            <w:shd w:val="clear" w:color="auto" w:fill="auto"/>
            <w:noWrap/>
            <w:vAlign w:val="center"/>
            <w:hideMark/>
          </w:tcPr>
          <w:p w14:paraId="5549843E" w14:textId="77777777" w:rsidR="00F42888" w:rsidRPr="003A2A1C" w:rsidRDefault="00F42888" w:rsidP="00F42888">
            <w:pPr>
              <w:rPr>
                <w:color w:val="000000"/>
                <w:sz w:val="22"/>
                <w:szCs w:val="22"/>
              </w:rPr>
            </w:pPr>
            <w:r w:rsidRPr="003A2A1C">
              <w:rPr>
                <w:color w:val="000000"/>
                <w:sz w:val="22"/>
                <w:szCs w:val="22"/>
              </w:rPr>
              <w:t>Over 10,000 gallons</w:t>
            </w:r>
          </w:p>
        </w:tc>
        <w:tc>
          <w:tcPr>
            <w:tcW w:w="1685" w:type="dxa"/>
            <w:gridSpan w:val="2"/>
            <w:tcBorders>
              <w:top w:val="nil"/>
              <w:left w:val="nil"/>
              <w:bottom w:val="nil"/>
              <w:right w:val="nil"/>
            </w:tcBorders>
            <w:shd w:val="clear" w:color="auto" w:fill="auto"/>
            <w:noWrap/>
            <w:vAlign w:val="center"/>
            <w:hideMark/>
          </w:tcPr>
          <w:p w14:paraId="00631A77" w14:textId="77777777" w:rsidR="00F42888" w:rsidRPr="003A2A1C" w:rsidRDefault="00F42888" w:rsidP="00F42888">
            <w:pPr>
              <w:jc w:val="right"/>
              <w:rPr>
                <w:color w:val="000000"/>
                <w:sz w:val="22"/>
                <w:szCs w:val="22"/>
              </w:rPr>
            </w:pPr>
            <w:r w:rsidRPr="003A2A1C">
              <w:rPr>
                <w:color w:val="000000"/>
                <w:sz w:val="22"/>
                <w:szCs w:val="22"/>
              </w:rPr>
              <w:t>N/A</w:t>
            </w:r>
          </w:p>
        </w:tc>
        <w:tc>
          <w:tcPr>
            <w:tcW w:w="1716" w:type="dxa"/>
            <w:gridSpan w:val="2"/>
            <w:tcBorders>
              <w:top w:val="nil"/>
              <w:left w:val="nil"/>
              <w:bottom w:val="nil"/>
              <w:right w:val="nil"/>
            </w:tcBorders>
            <w:shd w:val="clear" w:color="auto" w:fill="auto"/>
            <w:noWrap/>
            <w:vAlign w:val="center"/>
            <w:hideMark/>
          </w:tcPr>
          <w:p w14:paraId="74FAF5D5" w14:textId="77777777" w:rsidR="00F42888" w:rsidRPr="003A2A1C" w:rsidRDefault="00F42888" w:rsidP="00F42888">
            <w:pPr>
              <w:jc w:val="right"/>
              <w:rPr>
                <w:color w:val="000000"/>
                <w:sz w:val="22"/>
                <w:szCs w:val="22"/>
              </w:rPr>
            </w:pPr>
            <w:r w:rsidRPr="003A2A1C">
              <w:rPr>
                <w:color w:val="000000"/>
                <w:sz w:val="22"/>
                <w:szCs w:val="22"/>
              </w:rPr>
              <w:t>N/A</w:t>
            </w:r>
          </w:p>
        </w:tc>
        <w:tc>
          <w:tcPr>
            <w:tcW w:w="2970" w:type="dxa"/>
            <w:gridSpan w:val="2"/>
            <w:tcBorders>
              <w:top w:val="nil"/>
              <w:left w:val="nil"/>
              <w:bottom w:val="nil"/>
              <w:right w:val="nil"/>
            </w:tcBorders>
            <w:shd w:val="clear" w:color="auto" w:fill="auto"/>
            <w:noWrap/>
            <w:vAlign w:val="center"/>
            <w:hideMark/>
          </w:tcPr>
          <w:p w14:paraId="5AB5EBD5" w14:textId="77777777" w:rsidR="00F42888" w:rsidRPr="003A2A1C" w:rsidRDefault="00F42888" w:rsidP="00F42888">
            <w:pPr>
              <w:jc w:val="right"/>
              <w:rPr>
                <w:color w:val="000000"/>
                <w:sz w:val="22"/>
                <w:szCs w:val="22"/>
              </w:rPr>
            </w:pPr>
            <w:r w:rsidRPr="003A2A1C">
              <w:rPr>
                <w:color w:val="000000"/>
                <w:sz w:val="22"/>
                <w:szCs w:val="22"/>
              </w:rPr>
              <w:t xml:space="preserve">$11.82 </w:t>
            </w:r>
          </w:p>
        </w:tc>
        <w:tc>
          <w:tcPr>
            <w:tcW w:w="2384" w:type="dxa"/>
            <w:tcBorders>
              <w:top w:val="nil"/>
              <w:left w:val="nil"/>
              <w:bottom w:val="nil"/>
              <w:right w:val="single" w:sz="8" w:space="0" w:color="000000"/>
            </w:tcBorders>
            <w:shd w:val="clear" w:color="auto" w:fill="auto"/>
            <w:noWrap/>
            <w:vAlign w:val="center"/>
            <w:hideMark/>
          </w:tcPr>
          <w:p w14:paraId="1025318F" w14:textId="77777777" w:rsidR="00F42888" w:rsidRPr="003A2A1C" w:rsidRDefault="00F42888" w:rsidP="00F42888">
            <w:pPr>
              <w:jc w:val="right"/>
              <w:rPr>
                <w:color w:val="000000"/>
                <w:sz w:val="22"/>
                <w:szCs w:val="22"/>
              </w:rPr>
            </w:pPr>
            <w:r w:rsidRPr="003A2A1C">
              <w:rPr>
                <w:color w:val="000000"/>
                <w:sz w:val="22"/>
                <w:szCs w:val="22"/>
              </w:rPr>
              <w:t xml:space="preserve">$0.11 </w:t>
            </w:r>
          </w:p>
        </w:tc>
        <w:tc>
          <w:tcPr>
            <w:tcW w:w="256" w:type="dxa"/>
            <w:tcBorders>
              <w:top w:val="nil"/>
              <w:left w:val="nil"/>
              <w:bottom w:val="nil"/>
              <w:right w:val="nil"/>
            </w:tcBorders>
            <w:shd w:val="clear" w:color="auto" w:fill="auto"/>
            <w:noWrap/>
            <w:vAlign w:val="bottom"/>
            <w:hideMark/>
          </w:tcPr>
          <w:p w14:paraId="7DEAF2FE" w14:textId="77777777" w:rsidR="00F42888" w:rsidRPr="003A2A1C" w:rsidRDefault="00F42888" w:rsidP="00F42888">
            <w:pPr>
              <w:jc w:val="right"/>
              <w:rPr>
                <w:color w:val="000000"/>
                <w:sz w:val="22"/>
                <w:szCs w:val="22"/>
              </w:rPr>
            </w:pPr>
          </w:p>
        </w:tc>
      </w:tr>
      <w:tr w:rsidR="00F42888" w:rsidRPr="003A2A1C" w14:paraId="5256CD86" w14:textId="77777777" w:rsidTr="00F42888">
        <w:trPr>
          <w:trHeight w:val="153"/>
        </w:trPr>
        <w:tc>
          <w:tcPr>
            <w:tcW w:w="293" w:type="dxa"/>
            <w:tcBorders>
              <w:top w:val="nil"/>
              <w:left w:val="nil"/>
              <w:bottom w:val="nil"/>
              <w:right w:val="nil"/>
            </w:tcBorders>
            <w:shd w:val="clear" w:color="auto" w:fill="auto"/>
            <w:noWrap/>
            <w:vAlign w:val="bottom"/>
            <w:hideMark/>
          </w:tcPr>
          <w:p w14:paraId="706A74DC" w14:textId="77777777" w:rsidR="00F42888" w:rsidRPr="003A2A1C" w:rsidRDefault="00F42888" w:rsidP="00F42888">
            <w:pPr>
              <w:rPr>
                <w:sz w:val="22"/>
                <w:szCs w:val="22"/>
              </w:rPr>
            </w:pPr>
          </w:p>
        </w:tc>
        <w:tc>
          <w:tcPr>
            <w:tcW w:w="5184" w:type="dxa"/>
            <w:tcBorders>
              <w:top w:val="nil"/>
              <w:left w:val="single" w:sz="8" w:space="0" w:color="000000"/>
              <w:bottom w:val="nil"/>
              <w:right w:val="nil"/>
            </w:tcBorders>
            <w:shd w:val="clear" w:color="auto" w:fill="auto"/>
            <w:noWrap/>
            <w:vAlign w:val="center"/>
            <w:hideMark/>
          </w:tcPr>
          <w:p w14:paraId="3F1207F8" w14:textId="77777777" w:rsidR="00F42888" w:rsidRPr="003A2A1C" w:rsidRDefault="00F42888" w:rsidP="00F42888">
            <w:pPr>
              <w:rPr>
                <w:color w:val="000000"/>
                <w:sz w:val="22"/>
                <w:szCs w:val="22"/>
              </w:rPr>
            </w:pPr>
            <w:r w:rsidRPr="003A2A1C">
              <w:rPr>
                <w:color w:val="000000"/>
                <w:sz w:val="22"/>
                <w:szCs w:val="22"/>
              </w:rPr>
              <w:t> </w:t>
            </w:r>
          </w:p>
        </w:tc>
        <w:tc>
          <w:tcPr>
            <w:tcW w:w="1685" w:type="dxa"/>
            <w:gridSpan w:val="2"/>
            <w:tcBorders>
              <w:top w:val="nil"/>
              <w:left w:val="nil"/>
              <w:bottom w:val="nil"/>
              <w:right w:val="nil"/>
            </w:tcBorders>
            <w:shd w:val="clear" w:color="auto" w:fill="auto"/>
            <w:noWrap/>
            <w:vAlign w:val="bottom"/>
            <w:hideMark/>
          </w:tcPr>
          <w:p w14:paraId="31C88C3D" w14:textId="77777777" w:rsidR="00F42888" w:rsidRPr="003A2A1C" w:rsidRDefault="00F42888" w:rsidP="00F42888">
            <w:pPr>
              <w:jc w:val="right"/>
              <w:rPr>
                <w:color w:val="000000"/>
                <w:sz w:val="22"/>
                <w:szCs w:val="22"/>
              </w:rPr>
            </w:pPr>
          </w:p>
        </w:tc>
        <w:tc>
          <w:tcPr>
            <w:tcW w:w="1716" w:type="dxa"/>
            <w:gridSpan w:val="2"/>
            <w:tcBorders>
              <w:top w:val="nil"/>
              <w:left w:val="nil"/>
              <w:bottom w:val="nil"/>
              <w:right w:val="nil"/>
            </w:tcBorders>
            <w:shd w:val="clear" w:color="auto" w:fill="auto"/>
            <w:noWrap/>
            <w:vAlign w:val="bottom"/>
            <w:hideMark/>
          </w:tcPr>
          <w:p w14:paraId="75B8BD26" w14:textId="77777777" w:rsidR="00F42888" w:rsidRPr="003A2A1C" w:rsidRDefault="00F42888" w:rsidP="00F42888">
            <w:pPr>
              <w:jc w:val="right"/>
              <w:rPr>
                <w:color w:val="000000"/>
                <w:sz w:val="22"/>
                <w:szCs w:val="22"/>
              </w:rPr>
            </w:pPr>
          </w:p>
        </w:tc>
        <w:tc>
          <w:tcPr>
            <w:tcW w:w="2970" w:type="dxa"/>
            <w:gridSpan w:val="2"/>
            <w:tcBorders>
              <w:top w:val="nil"/>
              <w:left w:val="nil"/>
              <w:bottom w:val="nil"/>
              <w:right w:val="nil"/>
            </w:tcBorders>
            <w:shd w:val="clear" w:color="auto" w:fill="auto"/>
            <w:noWrap/>
            <w:vAlign w:val="center"/>
            <w:hideMark/>
          </w:tcPr>
          <w:p w14:paraId="4B3D5576" w14:textId="77777777" w:rsidR="00F42888" w:rsidRPr="003A2A1C" w:rsidRDefault="00F42888" w:rsidP="00F42888">
            <w:pPr>
              <w:jc w:val="right"/>
              <w:rPr>
                <w:color w:val="000000"/>
                <w:sz w:val="22"/>
                <w:szCs w:val="22"/>
              </w:rPr>
            </w:pPr>
          </w:p>
        </w:tc>
        <w:tc>
          <w:tcPr>
            <w:tcW w:w="2384" w:type="dxa"/>
            <w:tcBorders>
              <w:top w:val="nil"/>
              <w:left w:val="nil"/>
              <w:bottom w:val="nil"/>
              <w:right w:val="single" w:sz="8" w:space="0" w:color="000000"/>
            </w:tcBorders>
            <w:shd w:val="clear" w:color="auto" w:fill="auto"/>
            <w:noWrap/>
            <w:vAlign w:val="center"/>
            <w:hideMark/>
          </w:tcPr>
          <w:p w14:paraId="0B04770C" w14:textId="77777777" w:rsidR="00F42888" w:rsidRPr="003A2A1C" w:rsidRDefault="00F42888" w:rsidP="00F42888">
            <w:pPr>
              <w:jc w:val="right"/>
              <w:rPr>
                <w:color w:val="000000"/>
                <w:sz w:val="22"/>
                <w:szCs w:val="22"/>
              </w:rPr>
            </w:pPr>
            <w:r w:rsidRPr="003A2A1C">
              <w:rPr>
                <w:color w:val="000000"/>
                <w:sz w:val="22"/>
                <w:szCs w:val="22"/>
              </w:rPr>
              <w:t> </w:t>
            </w:r>
          </w:p>
        </w:tc>
        <w:tc>
          <w:tcPr>
            <w:tcW w:w="256" w:type="dxa"/>
            <w:tcBorders>
              <w:top w:val="nil"/>
              <w:left w:val="nil"/>
              <w:bottom w:val="nil"/>
              <w:right w:val="nil"/>
            </w:tcBorders>
            <w:shd w:val="clear" w:color="auto" w:fill="auto"/>
            <w:noWrap/>
            <w:vAlign w:val="bottom"/>
            <w:hideMark/>
          </w:tcPr>
          <w:p w14:paraId="4557BF68" w14:textId="77777777" w:rsidR="00F42888" w:rsidRPr="003A2A1C" w:rsidRDefault="00F42888" w:rsidP="00F42888">
            <w:pPr>
              <w:jc w:val="right"/>
              <w:rPr>
                <w:color w:val="000000"/>
                <w:sz w:val="22"/>
                <w:szCs w:val="22"/>
              </w:rPr>
            </w:pPr>
          </w:p>
        </w:tc>
      </w:tr>
      <w:tr w:rsidR="00F42888" w:rsidRPr="003A2A1C" w14:paraId="7D41A85E" w14:textId="77777777" w:rsidTr="00F42888">
        <w:trPr>
          <w:trHeight w:val="241"/>
        </w:trPr>
        <w:tc>
          <w:tcPr>
            <w:tcW w:w="293" w:type="dxa"/>
            <w:tcBorders>
              <w:top w:val="nil"/>
              <w:left w:val="nil"/>
              <w:bottom w:val="nil"/>
              <w:right w:val="nil"/>
            </w:tcBorders>
            <w:shd w:val="clear" w:color="auto" w:fill="auto"/>
            <w:noWrap/>
            <w:vAlign w:val="bottom"/>
            <w:hideMark/>
          </w:tcPr>
          <w:p w14:paraId="6717783A" w14:textId="77777777" w:rsidR="00F42888" w:rsidRPr="003A2A1C" w:rsidRDefault="00F42888" w:rsidP="00F42888">
            <w:pPr>
              <w:rPr>
                <w:sz w:val="22"/>
                <w:szCs w:val="22"/>
              </w:rPr>
            </w:pPr>
          </w:p>
        </w:tc>
        <w:tc>
          <w:tcPr>
            <w:tcW w:w="5184" w:type="dxa"/>
            <w:tcBorders>
              <w:top w:val="nil"/>
              <w:left w:val="single" w:sz="8" w:space="0" w:color="000000"/>
              <w:bottom w:val="nil"/>
              <w:right w:val="nil"/>
            </w:tcBorders>
            <w:shd w:val="clear" w:color="auto" w:fill="auto"/>
            <w:noWrap/>
            <w:vAlign w:val="center"/>
            <w:hideMark/>
          </w:tcPr>
          <w:p w14:paraId="0A6C2E27" w14:textId="77777777" w:rsidR="00F42888" w:rsidRPr="003A2A1C" w:rsidRDefault="00F42888" w:rsidP="00F42888">
            <w:pPr>
              <w:rPr>
                <w:color w:val="000000"/>
                <w:sz w:val="22"/>
                <w:szCs w:val="22"/>
              </w:rPr>
            </w:pPr>
            <w:r w:rsidRPr="003A2A1C">
              <w:rPr>
                <w:color w:val="000000"/>
                <w:sz w:val="22"/>
                <w:szCs w:val="22"/>
              </w:rPr>
              <w:t>Charge per 1,000 gallons - General Service</w:t>
            </w:r>
          </w:p>
        </w:tc>
        <w:tc>
          <w:tcPr>
            <w:tcW w:w="1685" w:type="dxa"/>
            <w:gridSpan w:val="2"/>
            <w:tcBorders>
              <w:top w:val="nil"/>
              <w:left w:val="nil"/>
              <w:bottom w:val="nil"/>
              <w:right w:val="nil"/>
            </w:tcBorders>
            <w:shd w:val="clear" w:color="auto" w:fill="auto"/>
            <w:noWrap/>
            <w:vAlign w:val="center"/>
            <w:hideMark/>
          </w:tcPr>
          <w:p w14:paraId="733342EA" w14:textId="77777777" w:rsidR="00F42888" w:rsidRPr="003A2A1C" w:rsidRDefault="00F42888" w:rsidP="00F42888">
            <w:pPr>
              <w:jc w:val="right"/>
              <w:rPr>
                <w:color w:val="000000"/>
                <w:sz w:val="22"/>
                <w:szCs w:val="22"/>
              </w:rPr>
            </w:pPr>
            <w:r w:rsidRPr="003A2A1C">
              <w:rPr>
                <w:color w:val="000000"/>
                <w:sz w:val="22"/>
                <w:szCs w:val="22"/>
              </w:rPr>
              <w:t xml:space="preserve">$2.09 </w:t>
            </w:r>
          </w:p>
        </w:tc>
        <w:tc>
          <w:tcPr>
            <w:tcW w:w="1716" w:type="dxa"/>
            <w:gridSpan w:val="2"/>
            <w:tcBorders>
              <w:top w:val="nil"/>
              <w:left w:val="nil"/>
              <w:bottom w:val="nil"/>
              <w:right w:val="nil"/>
            </w:tcBorders>
            <w:shd w:val="clear" w:color="auto" w:fill="auto"/>
            <w:noWrap/>
            <w:vAlign w:val="center"/>
            <w:hideMark/>
          </w:tcPr>
          <w:p w14:paraId="109B066B" w14:textId="77777777" w:rsidR="00F42888" w:rsidRPr="003A2A1C" w:rsidRDefault="00F42888" w:rsidP="00F42888">
            <w:pPr>
              <w:jc w:val="right"/>
              <w:rPr>
                <w:color w:val="000000"/>
                <w:sz w:val="22"/>
                <w:szCs w:val="22"/>
              </w:rPr>
            </w:pPr>
            <w:r w:rsidRPr="003A2A1C">
              <w:rPr>
                <w:color w:val="000000"/>
                <w:sz w:val="22"/>
                <w:szCs w:val="22"/>
              </w:rPr>
              <w:t xml:space="preserve">$2.47 </w:t>
            </w:r>
          </w:p>
        </w:tc>
        <w:tc>
          <w:tcPr>
            <w:tcW w:w="2970" w:type="dxa"/>
            <w:gridSpan w:val="2"/>
            <w:tcBorders>
              <w:top w:val="nil"/>
              <w:left w:val="nil"/>
              <w:bottom w:val="nil"/>
              <w:right w:val="nil"/>
            </w:tcBorders>
            <w:shd w:val="clear" w:color="auto" w:fill="auto"/>
            <w:noWrap/>
            <w:vAlign w:val="center"/>
            <w:hideMark/>
          </w:tcPr>
          <w:p w14:paraId="2651F0A5" w14:textId="77777777" w:rsidR="00F42888" w:rsidRPr="003A2A1C" w:rsidRDefault="00F42888" w:rsidP="00F42888">
            <w:pPr>
              <w:jc w:val="right"/>
              <w:rPr>
                <w:color w:val="000000"/>
                <w:sz w:val="22"/>
                <w:szCs w:val="22"/>
              </w:rPr>
            </w:pPr>
            <w:r w:rsidRPr="003A2A1C">
              <w:rPr>
                <w:color w:val="000000"/>
                <w:sz w:val="22"/>
                <w:szCs w:val="22"/>
              </w:rPr>
              <w:t xml:space="preserve">$8.04 </w:t>
            </w:r>
          </w:p>
        </w:tc>
        <w:tc>
          <w:tcPr>
            <w:tcW w:w="2384" w:type="dxa"/>
            <w:tcBorders>
              <w:top w:val="nil"/>
              <w:left w:val="nil"/>
              <w:bottom w:val="nil"/>
              <w:right w:val="single" w:sz="8" w:space="0" w:color="000000"/>
            </w:tcBorders>
            <w:shd w:val="clear" w:color="auto" w:fill="auto"/>
            <w:noWrap/>
            <w:vAlign w:val="center"/>
            <w:hideMark/>
          </w:tcPr>
          <w:p w14:paraId="30899F24" w14:textId="77777777" w:rsidR="00F42888" w:rsidRPr="003A2A1C" w:rsidRDefault="00F42888" w:rsidP="00F42888">
            <w:pPr>
              <w:jc w:val="right"/>
              <w:rPr>
                <w:color w:val="000000"/>
                <w:sz w:val="22"/>
                <w:szCs w:val="22"/>
              </w:rPr>
            </w:pPr>
            <w:r w:rsidRPr="003A2A1C">
              <w:rPr>
                <w:color w:val="000000"/>
                <w:sz w:val="22"/>
                <w:szCs w:val="22"/>
              </w:rPr>
              <w:t xml:space="preserve">$0.07 </w:t>
            </w:r>
          </w:p>
        </w:tc>
        <w:tc>
          <w:tcPr>
            <w:tcW w:w="256" w:type="dxa"/>
            <w:tcBorders>
              <w:top w:val="nil"/>
              <w:left w:val="nil"/>
              <w:bottom w:val="nil"/>
              <w:right w:val="nil"/>
            </w:tcBorders>
            <w:shd w:val="clear" w:color="auto" w:fill="auto"/>
            <w:noWrap/>
            <w:vAlign w:val="bottom"/>
            <w:hideMark/>
          </w:tcPr>
          <w:p w14:paraId="2AAB0092" w14:textId="77777777" w:rsidR="00F42888" w:rsidRPr="003A2A1C" w:rsidRDefault="00F42888" w:rsidP="00F42888">
            <w:pPr>
              <w:jc w:val="right"/>
              <w:rPr>
                <w:color w:val="000000"/>
                <w:sz w:val="22"/>
                <w:szCs w:val="22"/>
              </w:rPr>
            </w:pPr>
          </w:p>
        </w:tc>
      </w:tr>
      <w:tr w:rsidR="00F42888" w:rsidRPr="003A2A1C" w14:paraId="5ABB2C2B" w14:textId="77777777" w:rsidTr="00F42888">
        <w:trPr>
          <w:trHeight w:val="189"/>
        </w:trPr>
        <w:tc>
          <w:tcPr>
            <w:tcW w:w="293" w:type="dxa"/>
            <w:tcBorders>
              <w:top w:val="nil"/>
              <w:left w:val="nil"/>
              <w:bottom w:val="nil"/>
              <w:right w:val="nil"/>
            </w:tcBorders>
            <w:shd w:val="clear" w:color="auto" w:fill="auto"/>
            <w:noWrap/>
            <w:vAlign w:val="bottom"/>
            <w:hideMark/>
          </w:tcPr>
          <w:p w14:paraId="5AE51B5A" w14:textId="77777777" w:rsidR="00F42888" w:rsidRPr="003A2A1C" w:rsidRDefault="00F42888" w:rsidP="00F42888">
            <w:pPr>
              <w:rPr>
                <w:sz w:val="22"/>
                <w:szCs w:val="22"/>
              </w:rPr>
            </w:pPr>
          </w:p>
        </w:tc>
        <w:tc>
          <w:tcPr>
            <w:tcW w:w="5184" w:type="dxa"/>
            <w:tcBorders>
              <w:top w:val="nil"/>
              <w:left w:val="single" w:sz="8" w:space="0" w:color="000000"/>
              <w:bottom w:val="nil"/>
              <w:right w:val="nil"/>
            </w:tcBorders>
            <w:shd w:val="clear" w:color="auto" w:fill="auto"/>
            <w:noWrap/>
            <w:vAlign w:val="bottom"/>
            <w:hideMark/>
          </w:tcPr>
          <w:p w14:paraId="2257399E" w14:textId="77777777" w:rsidR="00F42888" w:rsidRPr="003A2A1C" w:rsidRDefault="00F42888" w:rsidP="00F42888">
            <w:pPr>
              <w:rPr>
                <w:color w:val="000000"/>
                <w:sz w:val="22"/>
                <w:szCs w:val="22"/>
              </w:rPr>
            </w:pPr>
            <w:r w:rsidRPr="003A2A1C">
              <w:rPr>
                <w:sz w:val="22"/>
                <w:szCs w:val="22"/>
              </w:rPr>
              <w:t> </w:t>
            </w:r>
          </w:p>
        </w:tc>
        <w:tc>
          <w:tcPr>
            <w:tcW w:w="1685" w:type="dxa"/>
            <w:gridSpan w:val="2"/>
            <w:tcBorders>
              <w:top w:val="nil"/>
              <w:left w:val="nil"/>
              <w:bottom w:val="nil"/>
              <w:right w:val="nil"/>
            </w:tcBorders>
            <w:shd w:val="clear" w:color="auto" w:fill="auto"/>
            <w:noWrap/>
            <w:vAlign w:val="bottom"/>
            <w:hideMark/>
          </w:tcPr>
          <w:p w14:paraId="074A27C9" w14:textId="77777777" w:rsidR="00F42888" w:rsidRPr="003A2A1C" w:rsidRDefault="00F42888" w:rsidP="00F42888">
            <w:pPr>
              <w:rPr>
                <w:color w:val="000000"/>
                <w:sz w:val="22"/>
                <w:szCs w:val="22"/>
              </w:rPr>
            </w:pPr>
          </w:p>
        </w:tc>
        <w:tc>
          <w:tcPr>
            <w:tcW w:w="1716" w:type="dxa"/>
            <w:gridSpan w:val="2"/>
            <w:tcBorders>
              <w:top w:val="nil"/>
              <w:left w:val="nil"/>
              <w:bottom w:val="nil"/>
              <w:right w:val="nil"/>
            </w:tcBorders>
            <w:shd w:val="clear" w:color="auto" w:fill="auto"/>
            <w:noWrap/>
            <w:vAlign w:val="bottom"/>
            <w:hideMark/>
          </w:tcPr>
          <w:p w14:paraId="42E50523" w14:textId="77777777" w:rsidR="00F42888" w:rsidRPr="003A2A1C" w:rsidRDefault="00F42888" w:rsidP="00F42888">
            <w:pPr>
              <w:rPr>
                <w:sz w:val="22"/>
                <w:szCs w:val="22"/>
              </w:rPr>
            </w:pPr>
          </w:p>
        </w:tc>
        <w:tc>
          <w:tcPr>
            <w:tcW w:w="2970" w:type="dxa"/>
            <w:gridSpan w:val="2"/>
            <w:tcBorders>
              <w:top w:val="nil"/>
              <w:left w:val="nil"/>
              <w:bottom w:val="nil"/>
              <w:right w:val="nil"/>
            </w:tcBorders>
            <w:shd w:val="clear" w:color="auto" w:fill="auto"/>
            <w:noWrap/>
            <w:vAlign w:val="bottom"/>
            <w:hideMark/>
          </w:tcPr>
          <w:p w14:paraId="6702F59E" w14:textId="77777777" w:rsidR="00F42888" w:rsidRPr="003A2A1C" w:rsidRDefault="00F42888" w:rsidP="00F42888">
            <w:pPr>
              <w:rPr>
                <w:sz w:val="22"/>
                <w:szCs w:val="22"/>
              </w:rPr>
            </w:pPr>
          </w:p>
        </w:tc>
        <w:tc>
          <w:tcPr>
            <w:tcW w:w="2384" w:type="dxa"/>
            <w:tcBorders>
              <w:top w:val="nil"/>
              <w:left w:val="nil"/>
              <w:bottom w:val="nil"/>
              <w:right w:val="single" w:sz="8" w:space="0" w:color="000000"/>
            </w:tcBorders>
            <w:shd w:val="clear" w:color="auto" w:fill="auto"/>
            <w:noWrap/>
            <w:vAlign w:val="center"/>
            <w:hideMark/>
          </w:tcPr>
          <w:p w14:paraId="7795896F" w14:textId="77777777" w:rsidR="00F42888" w:rsidRPr="003A2A1C" w:rsidRDefault="00F42888" w:rsidP="00F42888">
            <w:pPr>
              <w:jc w:val="right"/>
              <w:rPr>
                <w:color w:val="000000"/>
                <w:sz w:val="22"/>
                <w:szCs w:val="22"/>
              </w:rPr>
            </w:pPr>
            <w:r w:rsidRPr="003A2A1C">
              <w:rPr>
                <w:color w:val="000000"/>
                <w:sz w:val="22"/>
                <w:szCs w:val="22"/>
              </w:rPr>
              <w:t> </w:t>
            </w:r>
          </w:p>
        </w:tc>
        <w:tc>
          <w:tcPr>
            <w:tcW w:w="256" w:type="dxa"/>
            <w:tcBorders>
              <w:top w:val="nil"/>
              <w:left w:val="nil"/>
              <w:bottom w:val="nil"/>
              <w:right w:val="nil"/>
            </w:tcBorders>
            <w:shd w:val="clear" w:color="auto" w:fill="auto"/>
            <w:noWrap/>
            <w:vAlign w:val="bottom"/>
            <w:hideMark/>
          </w:tcPr>
          <w:p w14:paraId="3EC65BC3" w14:textId="77777777" w:rsidR="00F42888" w:rsidRPr="003A2A1C" w:rsidRDefault="00F42888" w:rsidP="00F42888">
            <w:pPr>
              <w:jc w:val="right"/>
              <w:rPr>
                <w:color w:val="000000"/>
                <w:sz w:val="22"/>
                <w:szCs w:val="22"/>
              </w:rPr>
            </w:pPr>
          </w:p>
        </w:tc>
      </w:tr>
      <w:tr w:rsidR="00F42888" w:rsidRPr="003A2A1C" w14:paraId="59012233" w14:textId="77777777" w:rsidTr="00F42888">
        <w:trPr>
          <w:trHeight w:val="241"/>
        </w:trPr>
        <w:tc>
          <w:tcPr>
            <w:tcW w:w="293" w:type="dxa"/>
            <w:tcBorders>
              <w:top w:val="nil"/>
              <w:left w:val="nil"/>
              <w:bottom w:val="nil"/>
              <w:right w:val="nil"/>
            </w:tcBorders>
            <w:shd w:val="clear" w:color="auto" w:fill="auto"/>
            <w:noWrap/>
            <w:vAlign w:val="bottom"/>
            <w:hideMark/>
          </w:tcPr>
          <w:p w14:paraId="599A4FC7" w14:textId="77777777" w:rsidR="00F42888" w:rsidRPr="003A2A1C" w:rsidRDefault="00F42888" w:rsidP="00F42888">
            <w:pPr>
              <w:rPr>
                <w:sz w:val="22"/>
                <w:szCs w:val="22"/>
              </w:rPr>
            </w:pPr>
          </w:p>
        </w:tc>
        <w:tc>
          <w:tcPr>
            <w:tcW w:w="5912" w:type="dxa"/>
            <w:gridSpan w:val="2"/>
            <w:tcBorders>
              <w:top w:val="nil"/>
              <w:left w:val="single" w:sz="8" w:space="0" w:color="000000"/>
              <w:bottom w:val="nil"/>
              <w:right w:val="nil"/>
            </w:tcBorders>
            <w:shd w:val="clear" w:color="auto" w:fill="auto"/>
            <w:noWrap/>
            <w:vAlign w:val="center"/>
            <w:hideMark/>
          </w:tcPr>
          <w:p w14:paraId="0FF35D30" w14:textId="77777777" w:rsidR="00F42888" w:rsidRPr="003A2A1C" w:rsidRDefault="00F42888" w:rsidP="00F42888">
            <w:pPr>
              <w:rPr>
                <w:color w:val="000000"/>
                <w:sz w:val="22"/>
                <w:szCs w:val="22"/>
              </w:rPr>
            </w:pPr>
            <w:r w:rsidRPr="003A2A1C">
              <w:rPr>
                <w:b/>
                <w:bCs/>
                <w:color w:val="000000"/>
                <w:sz w:val="22"/>
                <w:szCs w:val="22"/>
                <w:u w:val="single"/>
              </w:rPr>
              <w:t>Typical Residential 5/8" x 3/4" Meter Bill Comparison</w:t>
            </w:r>
          </w:p>
        </w:tc>
        <w:tc>
          <w:tcPr>
            <w:tcW w:w="957" w:type="dxa"/>
            <w:tcBorders>
              <w:top w:val="nil"/>
              <w:left w:val="nil"/>
              <w:bottom w:val="nil"/>
              <w:right w:val="nil"/>
            </w:tcBorders>
            <w:shd w:val="clear" w:color="auto" w:fill="auto"/>
            <w:noWrap/>
            <w:vAlign w:val="bottom"/>
            <w:hideMark/>
          </w:tcPr>
          <w:p w14:paraId="064AB064" w14:textId="77777777" w:rsidR="00F42888" w:rsidRPr="003A2A1C" w:rsidRDefault="00F42888" w:rsidP="00F42888">
            <w:pPr>
              <w:jc w:val="right"/>
              <w:rPr>
                <w:color w:val="000000"/>
                <w:sz w:val="22"/>
                <w:szCs w:val="22"/>
              </w:rPr>
            </w:pPr>
          </w:p>
        </w:tc>
        <w:tc>
          <w:tcPr>
            <w:tcW w:w="1716" w:type="dxa"/>
            <w:gridSpan w:val="2"/>
            <w:tcBorders>
              <w:top w:val="nil"/>
              <w:left w:val="nil"/>
              <w:bottom w:val="nil"/>
              <w:right w:val="nil"/>
            </w:tcBorders>
            <w:shd w:val="clear" w:color="auto" w:fill="auto"/>
            <w:noWrap/>
            <w:vAlign w:val="bottom"/>
            <w:hideMark/>
          </w:tcPr>
          <w:p w14:paraId="7A5D9769" w14:textId="77777777" w:rsidR="00F42888" w:rsidRPr="003A2A1C" w:rsidRDefault="00F42888" w:rsidP="00F42888">
            <w:pPr>
              <w:jc w:val="right"/>
              <w:rPr>
                <w:color w:val="000000"/>
                <w:sz w:val="22"/>
                <w:szCs w:val="22"/>
              </w:rPr>
            </w:pPr>
          </w:p>
        </w:tc>
        <w:tc>
          <w:tcPr>
            <w:tcW w:w="2970" w:type="dxa"/>
            <w:gridSpan w:val="2"/>
            <w:tcBorders>
              <w:top w:val="nil"/>
              <w:left w:val="nil"/>
              <w:bottom w:val="nil"/>
              <w:right w:val="nil"/>
            </w:tcBorders>
            <w:shd w:val="clear" w:color="auto" w:fill="auto"/>
            <w:noWrap/>
            <w:vAlign w:val="bottom"/>
            <w:hideMark/>
          </w:tcPr>
          <w:p w14:paraId="738681FD" w14:textId="77777777" w:rsidR="00F42888" w:rsidRPr="003A2A1C" w:rsidRDefault="00F42888" w:rsidP="00F42888">
            <w:pPr>
              <w:jc w:val="right"/>
              <w:rPr>
                <w:color w:val="000000"/>
                <w:sz w:val="22"/>
                <w:szCs w:val="22"/>
              </w:rPr>
            </w:pPr>
          </w:p>
        </w:tc>
        <w:tc>
          <w:tcPr>
            <w:tcW w:w="2384" w:type="dxa"/>
            <w:tcBorders>
              <w:top w:val="nil"/>
              <w:left w:val="nil"/>
              <w:bottom w:val="nil"/>
              <w:right w:val="single" w:sz="8" w:space="0" w:color="000000"/>
            </w:tcBorders>
            <w:shd w:val="clear" w:color="auto" w:fill="auto"/>
            <w:noWrap/>
            <w:vAlign w:val="center"/>
            <w:hideMark/>
          </w:tcPr>
          <w:p w14:paraId="0A35C804" w14:textId="77777777" w:rsidR="00F42888" w:rsidRPr="003A2A1C" w:rsidRDefault="00F42888" w:rsidP="00F42888">
            <w:pPr>
              <w:jc w:val="right"/>
              <w:rPr>
                <w:color w:val="000000"/>
                <w:sz w:val="22"/>
                <w:szCs w:val="22"/>
              </w:rPr>
            </w:pPr>
            <w:r w:rsidRPr="003A2A1C">
              <w:rPr>
                <w:color w:val="000000"/>
                <w:sz w:val="22"/>
                <w:szCs w:val="22"/>
              </w:rPr>
              <w:t> </w:t>
            </w:r>
          </w:p>
        </w:tc>
        <w:tc>
          <w:tcPr>
            <w:tcW w:w="256" w:type="dxa"/>
            <w:tcBorders>
              <w:top w:val="nil"/>
              <w:left w:val="nil"/>
              <w:bottom w:val="nil"/>
              <w:right w:val="nil"/>
            </w:tcBorders>
            <w:shd w:val="clear" w:color="auto" w:fill="auto"/>
            <w:noWrap/>
            <w:vAlign w:val="bottom"/>
            <w:hideMark/>
          </w:tcPr>
          <w:p w14:paraId="4C46F3BB" w14:textId="77777777" w:rsidR="00F42888" w:rsidRPr="003A2A1C" w:rsidRDefault="00F42888" w:rsidP="00F42888">
            <w:pPr>
              <w:jc w:val="right"/>
              <w:rPr>
                <w:color w:val="000000"/>
                <w:sz w:val="22"/>
                <w:szCs w:val="22"/>
              </w:rPr>
            </w:pPr>
          </w:p>
        </w:tc>
      </w:tr>
      <w:tr w:rsidR="00F42888" w:rsidRPr="003A2A1C" w14:paraId="7C105F72" w14:textId="77777777" w:rsidTr="00F42888">
        <w:trPr>
          <w:trHeight w:val="241"/>
        </w:trPr>
        <w:tc>
          <w:tcPr>
            <w:tcW w:w="293" w:type="dxa"/>
            <w:tcBorders>
              <w:top w:val="nil"/>
              <w:left w:val="nil"/>
              <w:bottom w:val="nil"/>
              <w:right w:val="nil"/>
            </w:tcBorders>
            <w:shd w:val="clear" w:color="auto" w:fill="auto"/>
            <w:noWrap/>
            <w:vAlign w:val="bottom"/>
            <w:hideMark/>
          </w:tcPr>
          <w:p w14:paraId="1B89F37E" w14:textId="77777777" w:rsidR="00F42888" w:rsidRPr="003A2A1C" w:rsidRDefault="00F42888" w:rsidP="00F42888">
            <w:pPr>
              <w:rPr>
                <w:sz w:val="22"/>
                <w:szCs w:val="22"/>
              </w:rPr>
            </w:pPr>
          </w:p>
        </w:tc>
        <w:tc>
          <w:tcPr>
            <w:tcW w:w="5184" w:type="dxa"/>
            <w:tcBorders>
              <w:top w:val="nil"/>
              <w:left w:val="single" w:sz="8" w:space="0" w:color="000000"/>
              <w:bottom w:val="nil"/>
              <w:right w:val="nil"/>
            </w:tcBorders>
            <w:shd w:val="clear" w:color="auto" w:fill="auto"/>
            <w:noWrap/>
            <w:vAlign w:val="center"/>
            <w:hideMark/>
          </w:tcPr>
          <w:p w14:paraId="164EF102" w14:textId="77777777" w:rsidR="00F42888" w:rsidRPr="003A2A1C" w:rsidRDefault="00F42888" w:rsidP="00F42888">
            <w:pPr>
              <w:rPr>
                <w:sz w:val="22"/>
                <w:szCs w:val="22"/>
              </w:rPr>
            </w:pPr>
            <w:r w:rsidRPr="003A2A1C">
              <w:rPr>
                <w:color w:val="000000"/>
                <w:sz w:val="22"/>
                <w:szCs w:val="22"/>
              </w:rPr>
              <w:t>5,000 Gallons</w:t>
            </w:r>
          </w:p>
        </w:tc>
        <w:tc>
          <w:tcPr>
            <w:tcW w:w="1685" w:type="dxa"/>
            <w:gridSpan w:val="2"/>
            <w:tcBorders>
              <w:top w:val="nil"/>
              <w:left w:val="nil"/>
              <w:bottom w:val="nil"/>
              <w:right w:val="nil"/>
            </w:tcBorders>
            <w:shd w:val="clear" w:color="auto" w:fill="auto"/>
            <w:noWrap/>
            <w:vAlign w:val="center"/>
            <w:hideMark/>
          </w:tcPr>
          <w:p w14:paraId="6D809119" w14:textId="77777777" w:rsidR="00F42888" w:rsidRPr="003A2A1C" w:rsidRDefault="00F42888" w:rsidP="00F42888">
            <w:pPr>
              <w:jc w:val="right"/>
              <w:rPr>
                <w:color w:val="000000"/>
                <w:sz w:val="22"/>
                <w:szCs w:val="22"/>
              </w:rPr>
            </w:pPr>
            <w:r w:rsidRPr="003A2A1C">
              <w:rPr>
                <w:color w:val="000000"/>
                <w:sz w:val="22"/>
                <w:szCs w:val="22"/>
              </w:rPr>
              <w:t xml:space="preserve">$14.31 </w:t>
            </w:r>
          </w:p>
        </w:tc>
        <w:tc>
          <w:tcPr>
            <w:tcW w:w="1716" w:type="dxa"/>
            <w:gridSpan w:val="2"/>
            <w:tcBorders>
              <w:top w:val="nil"/>
              <w:left w:val="nil"/>
              <w:bottom w:val="nil"/>
              <w:right w:val="nil"/>
            </w:tcBorders>
            <w:shd w:val="clear" w:color="auto" w:fill="auto"/>
            <w:noWrap/>
            <w:vAlign w:val="center"/>
            <w:hideMark/>
          </w:tcPr>
          <w:p w14:paraId="784B4ED6" w14:textId="77777777" w:rsidR="00F42888" w:rsidRPr="003A2A1C" w:rsidRDefault="00F42888" w:rsidP="00F42888">
            <w:pPr>
              <w:jc w:val="right"/>
              <w:rPr>
                <w:color w:val="000000"/>
                <w:sz w:val="22"/>
                <w:szCs w:val="22"/>
              </w:rPr>
            </w:pPr>
            <w:r w:rsidRPr="003A2A1C">
              <w:rPr>
                <w:color w:val="000000"/>
                <w:sz w:val="22"/>
                <w:szCs w:val="22"/>
              </w:rPr>
              <w:t xml:space="preserve">$16.89 </w:t>
            </w:r>
          </w:p>
        </w:tc>
        <w:tc>
          <w:tcPr>
            <w:tcW w:w="2970" w:type="dxa"/>
            <w:gridSpan w:val="2"/>
            <w:tcBorders>
              <w:top w:val="nil"/>
              <w:left w:val="nil"/>
              <w:bottom w:val="nil"/>
              <w:right w:val="nil"/>
            </w:tcBorders>
            <w:shd w:val="clear" w:color="auto" w:fill="auto"/>
            <w:noWrap/>
            <w:vAlign w:val="center"/>
            <w:hideMark/>
          </w:tcPr>
          <w:p w14:paraId="7C1C512A" w14:textId="77777777" w:rsidR="00F42888" w:rsidRPr="003A2A1C" w:rsidRDefault="00F42888" w:rsidP="00F42888">
            <w:pPr>
              <w:jc w:val="right"/>
              <w:rPr>
                <w:color w:val="000000"/>
                <w:sz w:val="22"/>
                <w:szCs w:val="22"/>
              </w:rPr>
            </w:pPr>
            <w:r w:rsidRPr="003A2A1C">
              <w:rPr>
                <w:color w:val="000000"/>
                <w:sz w:val="22"/>
                <w:szCs w:val="22"/>
              </w:rPr>
              <w:t xml:space="preserve">$57.24 </w:t>
            </w:r>
          </w:p>
        </w:tc>
        <w:tc>
          <w:tcPr>
            <w:tcW w:w="2384" w:type="dxa"/>
            <w:tcBorders>
              <w:top w:val="nil"/>
              <w:left w:val="nil"/>
              <w:bottom w:val="nil"/>
              <w:right w:val="single" w:sz="8" w:space="0" w:color="000000"/>
            </w:tcBorders>
            <w:shd w:val="clear" w:color="auto" w:fill="auto"/>
            <w:noWrap/>
            <w:vAlign w:val="center"/>
            <w:hideMark/>
          </w:tcPr>
          <w:p w14:paraId="6562A7F9" w14:textId="77777777" w:rsidR="00F42888" w:rsidRPr="003A2A1C" w:rsidRDefault="00F42888" w:rsidP="00F42888">
            <w:pPr>
              <w:jc w:val="right"/>
              <w:rPr>
                <w:color w:val="000000"/>
                <w:sz w:val="22"/>
                <w:szCs w:val="22"/>
              </w:rPr>
            </w:pPr>
            <w:r w:rsidRPr="003A2A1C">
              <w:rPr>
                <w:color w:val="000000"/>
                <w:sz w:val="22"/>
                <w:szCs w:val="22"/>
              </w:rPr>
              <w:t> </w:t>
            </w:r>
          </w:p>
        </w:tc>
        <w:tc>
          <w:tcPr>
            <w:tcW w:w="256" w:type="dxa"/>
            <w:tcBorders>
              <w:top w:val="nil"/>
              <w:left w:val="nil"/>
              <w:bottom w:val="nil"/>
              <w:right w:val="nil"/>
            </w:tcBorders>
            <w:shd w:val="clear" w:color="auto" w:fill="auto"/>
            <w:noWrap/>
            <w:vAlign w:val="bottom"/>
            <w:hideMark/>
          </w:tcPr>
          <w:p w14:paraId="14D2F512" w14:textId="77777777" w:rsidR="00F42888" w:rsidRPr="003A2A1C" w:rsidRDefault="00F42888" w:rsidP="00F42888">
            <w:pPr>
              <w:jc w:val="right"/>
              <w:rPr>
                <w:color w:val="000000"/>
                <w:sz w:val="22"/>
                <w:szCs w:val="22"/>
              </w:rPr>
            </w:pPr>
          </w:p>
        </w:tc>
      </w:tr>
      <w:tr w:rsidR="00F42888" w:rsidRPr="003A2A1C" w14:paraId="76190483" w14:textId="77777777" w:rsidTr="00F42888">
        <w:trPr>
          <w:trHeight w:val="241"/>
        </w:trPr>
        <w:tc>
          <w:tcPr>
            <w:tcW w:w="293" w:type="dxa"/>
            <w:tcBorders>
              <w:top w:val="nil"/>
              <w:left w:val="nil"/>
              <w:right w:val="nil"/>
            </w:tcBorders>
            <w:shd w:val="clear" w:color="auto" w:fill="auto"/>
            <w:noWrap/>
            <w:vAlign w:val="bottom"/>
            <w:hideMark/>
          </w:tcPr>
          <w:p w14:paraId="1B2A8331" w14:textId="77777777" w:rsidR="00F42888" w:rsidRPr="003A2A1C" w:rsidRDefault="00F42888" w:rsidP="00F42888">
            <w:pPr>
              <w:rPr>
                <w:sz w:val="22"/>
                <w:szCs w:val="22"/>
              </w:rPr>
            </w:pPr>
          </w:p>
        </w:tc>
        <w:tc>
          <w:tcPr>
            <w:tcW w:w="5184" w:type="dxa"/>
            <w:tcBorders>
              <w:top w:val="nil"/>
              <w:left w:val="single" w:sz="8" w:space="0" w:color="000000"/>
              <w:right w:val="nil"/>
            </w:tcBorders>
            <w:shd w:val="clear" w:color="auto" w:fill="auto"/>
            <w:noWrap/>
            <w:vAlign w:val="center"/>
            <w:hideMark/>
          </w:tcPr>
          <w:p w14:paraId="48F79C22" w14:textId="77777777" w:rsidR="00F42888" w:rsidRPr="003A2A1C" w:rsidRDefault="00F42888" w:rsidP="00F42888">
            <w:pPr>
              <w:rPr>
                <w:b/>
                <w:bCs/>
                <w:color w:val="000000"/>
                <w:sz w:val="22"/>
                <w:szCs w:val="22"/>
                <w:u w:val="single"/>
              </w:rPr>
            </w:pPr>
            <w:r w:rsidRPr="003A2A1C">
              <w:rPr>
                <w:color w:val="000000"/>
                <w:sz w:val="22"/>
                <w:szCs w:val="22"/>
              </w:rPr>
              <w:t>10,000 Gallons</w:t>
            </w:r>
          </w:p>
        </w:tc>
        <w:tc>
          <w:tcPr>
            <w:tcW w:w="1685" w:type="dxa"/>
            <w:gridSpan w:val="2"/>
            <w:tcBorders>
              <w:top w:val="nil"/>
              <w:left w:val="nil"/>
              <w:right w:val="nil"/>
            </w:tcBorders>
            <w:shd w:val="clear" w:color="auto" w:fill="auto"/>
            <w:noWrap/>
            <w:vAlign w:val="center"/>
            <w:hideMark/>
          </w:tcPr>
          <w:p w14:paraId="5E2D9A11" w14:textId="77777777" w:rsidR="00F42888" w:rsidRPr="003A2A1C" w:rsidRDefault="00F42888" w:rsidP="00F42888">
            <w:pPr>
              <w:jc w:val="right"/>
              <w:rPr>
                <w:color w:val="000000"/>
                <w:sz w:val="22"/>
                <w:szCs w:val="22"/>
              </w:rPr>
            </w:pPr>
            <w:r w:rsidRPr="003A2A1C">
              <w:rPr>
                <w:color w:val="000000"/>
                <w:sz w:val="22"/>
                <w:szCs w:val="22"/>
              </w:rPr>
              <w:t xml:space="preserve">$23.76 </w:t>
            </w:r>
          </w:p>
        </w:tc>
        <w:tc>
          <w:tcPr>
            <w:tcW w:w="1716" w:type="dxa"/>
            <w:gridSpan w:val="2"/>
            <w:tcBorders>
              <w:top w:val="nil"/>
              <w:left w:val="nil"/>
              <w:right w:val="nil"/>
            </w:tcBorders>
            <w:shd w:val="clear" w:color="auto" w:fill="auto"/>
            <w:noWrap/>
            <w:vAlign w:val="center"/>
            <w:hideMark/>
          </w:tcPr>
          <w:p w14:paraId="167C7697" w14:textId="77777777" w:rsidR="00F42888" w:rsidRPr="003A2A1C" w:rsidRDefault="00F42888" w:rsidP="00F42888">
            <w:pPr>
              <w:jc w:val="right"/>
              <w:rPr>
                <w:color w:val="000000"/>
                <w:sz w:val="22"/>
                <w:szCs w:val="22"/>
              </w:rPr>
            </w:pPr>
            <w:r w:rsidRPr="003A2A1C">
              <w:rPr>
                <w:color w:val="000000"/>
                <w:sz w:val="22"/>
                <w:szCs w:val="22"/>
              </w:rPr>
              <w:t xml:space="preserve">$28.04 </w:t>
            </w:r>
          </w:p>
        </w:tc>
        <w:tc>
          <w:tcPr>
            <w:tcW w:w="2970" w:type="dxa"/>
            <w:gridSpan w:val="2"/>
            <w:tcBorders>
              <w:top w:val="nil"/>
              <w:left w:val="nil"/>
              <w:right w:val="nil"/>
            </w:tcBorders>
            <w:shd w:val="clear" w:color="auto" w:fill="auto"/>
            <w:noWrap/>
            <w:vAlign w:val="center"/>
            <w:hideMark/>
          </w:tcPr>
          <w:p w14:paraId="3FDE2E5C" w14:textId="77777777" w:rsidR="00F42888" w:rsidRPr="003A2A1C" w:rsidRDefault="00F42888" w:rsidP="00F42888">
            <w:pPr>
              <w:jc w:val="right"/>
              <w:rPr>
                <w:color w:val="000000"/>
                <w:sz w:val="22"/>
                <w:szCs w:val="22"/>
              </w:rPr>
            </w:pPr>
            <w:r w:rsidRPr="003A2A1C">
              <w:rPr>
                <w:color w:val="000000"/>
                <w:sz w:val="22"/>
                <w:szCs w:val="22"/>
              </w:rPr>
              <w:t xml:space="preserve">$106.49 </w:t>
            </w:r>
          </w:p>
        </w:tc>
        <w:tc>
          <w:tcPr>
            <w:tcW w:w="2384" w:type="dxa"/>
            <w:tcBorders>
              <w:top w:val="nil"/>
              <w:left w:val="nil"/>
              <w:right w:val="single" w:sz="8" w:space="0" w:color="000000"/>
            </w:tcBorders>
            <w:shd w:val="clear" w:color="auto" w:fill="auto"/>
            <w:noWrap/>
            <w:vAlign w:val="center"/>
            <w:hideMark/>
          </w:tcPr>
          <w:p w14:paraId="49A55F68" w14:textId="77777777" w:rsidR="00F42888" w:rsidRPr="003A2A1C" w:rsidRDefault="00F42888" w:rsidP="00F42888">
            <w:pPr>
              <w:jc w:val="right"/>
              <w:rPr>
                <w:color w:val="000000"/>
                <w:sz w:val="22"/>
                <w:szCs w:val="22"/>
              </w:rPr>
            </w:pPr>
            <w:r w:rsidRPr="003A2A1C">
              <w:rPr>
                <w:color w:val="000000"/>
                <w:sz w:val="22"/>
                <w:szCs w:val="22"/>
              </w:rPr>
              <w:t> </w:t>
            </w:r>
          </w:p>
        </w:tc>
        <w:tc>
          <w:tcPr>
            <w:tcW w:w="256" w:type="dxa"/>
            <w:tcBorders>
              <w:top w:val="nil"/>
              <w:left w:val="nil"/>
              <w:bottom w:val="nil"/>
              <w:right w:val="nil"/>
            </w:tcBorders>
            <w:shd w:val="clear" w:color="auto" w:fill="auto"/>
            <w:noWrap/>
            <w:vAlign w:val="bottom"/>
            <w:hideMark/>
          </w:tcPr>
          <w:p w14:paraId="6849E668" w14:textId="77777777" w:rsidR="00F42888" w:rsidRPr="003A2A1C" w:rsidRDefault="00F42888" w:rsidP="00F42888">
            <w:pPr>
              <w:jc w:val="right"/>
              <w:rPr>
                <w:color w:val="000000"/>
                <w:sz w:val="22"/>
                <w:szCs w:val="22"/>
              </w:rPr>
            </w:pPr>
          </w:p>
        </w:tc>
      </w:tr>
      <w:tr w:rsidR="00F42888" w:rsidRPr="003A2A1C" w14:paraId="7BD531DD" w14:textId="77777777" w:rsidTr="00F42888">
        <w:trPr>
          <w:trHeight w:val="241"/>
        </w:trPr>
        <w:tc>
          <w:tcPr>
            <w:tcW w:w="293" w:type="dxa"/>
            <w:tcBorders>
              <w:top w:val="nil"/>
              <w:left w:val="nil"/>
              <w:right w:val="nil"/>
            </w:tcBorders>
            <w:shd w:val="clear" w:color="auto" w:fill="auto"/>
            <w:noWrap/>
            <w:vAlign w:val="bottom"/>
            <w:hideMark/>
          </w:tcPr>
          <w:p w14:paraId="38CF0289" w14:textId="77777777" w:rsidR="00F42888" w:rsidRPr="003A2A1C" w:rsidRDefault="00F42888" w:rsidP="00F42888">
            <w:pPr>
              <w:rPr>
                <w:sz w:val="22"/>
                <w:szCs w:val="22"/>
              </w:rPr>
            </w:pPr>
          </w:p>
        </w:tc>
        <w:tc>
          <w:tcPr>
            <w:tcW w:w="5184" w:type="dxa"/>
            <w:tcBorders>
              <w:top w:val="nil"/>
              <w:left w:val="single" w:sz="8" w:space="0" w:color="000000"/>
              <w:bottom w:val="single" w:sz="4" w:space="0" w:color="auto"/>
              <w:right w:val="nil"/>
            </w:tcBorders>
            <w:shd w:val="clear" w:color="auto" w:fill="auto"/>
            <w:noWrap/>
            <w:vAlign w:val="center"/>
            <w:hideMark/>
          </w:tcPr>
          <w:p w14:paraId="78A11FCD" w14:textId="77777777" w:rsidR="00F42888" w:rsidRPr="003A2A1C" w:rsidRDefault="00F42888" w:rsidP="00F42888">
            <w:pPr>
              <w:rPr>
                <w:color w:val="000000"/>
                <w:sz w:val="22"/>
                <w:szCs w:val="22"/>
              </w:rPr>
            </w:pPr>
            <w:r w:rsidRPr="003A2A1C">
              <w:rPr>
                <w:color w:val="000000"/>
                <w:sz w:val="22"/>
                <w:szCs w:val="22"/>
              </w:rPr>
              <w:t>15,000 Gallons</w:t>
            </w:r>
          </w:p>
        </w:tc>
        <w:tc>
          <w:tcPr>
            <w:tcW w:w="1685" w:type="dxa"/>
            <w:gridSpan w:val="2"/>
            <w:tcBorders>
              <w:top w:val="nil"/>
              <w:left w:val="nil"/>
              <w:bottom w:val="single" w:sz="4" w:space="0" w:color="auto"/>
              <w:right w:val="nil"/>
            </w:tcBorders>
            <w:shd w:val="clear" w:color="auto" w:fill="auto"/>
            <w:noWrap/>
            <w:vAlign w:val="center"/>
            <w:hideMark/>
          </w:tcPr>
          <w:p w14:paraId="584DFA1A" w14:textId="77777777" w:rsidR="00F42888" w:rsidRPr="003A2A1C" w:rsidRDefault="00F42888" w:rsidP="00F42888">
            <w:pPr>
              <w:jc w:val="right"/>
              <w:rPr>
                <w:color w:val="000000"/>
                <w:sz w:val="22"/>
                <w:szCs w:val="22"/>
              </w:rPr>
            </w:pPr>
            <w:r w:rsidRPr="003A2A1C">
              <w:rPr>
                <w:color w:val="000000"/>
                <w:sz w:val="22"/>
                <w:szCs w:val="22"/>
              </w:rPr>
              <w:t xml:space="preserve">$37.86 </w:t>
            </w:r>
          </w:p>
        </w:tc>
        <w:tc>
          <w:tcPr>
            <w:tcW w:w="1716" w:type="dxa"/>
            <w:gridSpan w:val="2"/>
            <w:tcBorders>
              <w:top w:val="nil"/>
              <w:left w:val="nil"/>
              <w:bottom w:val="single" w:sz="4" w:space="0" w:color="auto"/>
              <w:right w:val="nil"/>
            </w:tcBorders>
            <w:shd w:val="clear" w:color="auto" w:fill="auto"/>
            <w:noWrap/>
            <w:vAlign w:val="center"/>
            <w:hideMark/>
          </w:tcPr>
          <w:p w14:paraId="42809063" w14:textId="77777777" w:rsidR="00F42888" w:rsidRPr="003A2A1C" w:rsidRDefault="00F42888" w:rsidP="00F42888">
            <w:pPr>
              <w:jc w:val="right"/>
              <w:rPr>
                <w:color w:val="000000"/>
                <w:sz w:val="22"/>
                <w:szCs w:val="22"/>
              </w:rPr>
            </w:pPr>
            <w:r w:rsidRPr="003A2A1C">
              <w:rPr>
                <w:color w:val="000000"/>
                <w:sz w:val="22"/>
                <w:szCs w:val="22"/>
              </w:rPr>
              <w:t xml:space="preserve">$44.69 </w:t>
            </w:r>
          </w:p>
        </w:tc>
        <w:tc>
          <w:tcPr>
            <w:tcW w:w="2970" w:type="dxa"/>
            <w:gridSpan w:val="2"/>
            <w:tcBorders>
              <w:top w:val="nil"/>
              <w:left w:val="nil"/>
              <w:bottom w:val="single" w:sz="4" w:space="0" w:color="auto"/>
              <w:right w:val="nil"/>
            </w:tcBorders>
            <w:shd w:val="clear" w:color="auto" w:fill="auto"/>
            <w:noWrap/>
            <w:vAlign w:val="center"/>
            <w:hideMark/>
          </w:tcPr>
          <w:p w14:paraId="592FF0BE" w14:textId="77777777" w:rsidR="00F42888" w:rsidRPr="003A2A1C" w:rsidRDefault="00F42888" w:rsidP="00F42888">
            <w:pPr>
              <w:jc w:val="right"/>
              <w:rPr>
                <w:color w:val="000000"/>
                <w:sz w:val="22"/>
                <w:szCs w:val="22"/>
              </w:rPr>
            </w:pPr>
            <w:r w:rsidRPr="003A2A1C">
              <w:rPr>
                <w:color w:val="000000"/>
                <w:sz w:val="22"/>
                <w:szCs w:val="22"/>
              </w:rPr>
              <w:t xml:space="preserve">$165.59 </w:t>
            </w:r>
          </w:p>
        </w:tc>
        <w:tc>
          <w:tcPr>
            <w:tcW w:w="2384" w:type="dxa"/>
            <w:tcBorders>
              <w:top w:val="nil"/>
              <w:left w:val="nil"/>
              <w:bottom w:val="single" w:sz="4" w:space="0" w:color="auto"/>
              <w:right w:val="single" w:sz="8" w:space="0" w:color="000000"/>
            </w:tcBorders>
            <w:shd w:val="clear" w:color="auto" w:fill="auto"/>
            <w:noWrap/>
            <w:vAlign w:val="center"/>
            <w:hideMark/>
          </w:tcPr>
          <w:p w14:paraId="1F338D81" w14:textId="77777777" w:rsidR="00F42888" w:rsidRPr="003A2A1C" w:rsidRDefault="00F42888" w:rsidP="00F42888">
            <w:pPr>
              <w:jc w:val="right"/>
              <w:rPr>
                <w:color w:val="000000"/>
                <w:sz w:val="22"/>
                <w:szCs w:val="22"/>
              </w:rPr>
            </w:pPr>
            <w:r w:rsidRPr="003A2A1C">
              <w:rPr>
                <w:color w:val="000000"/>
                <w:sz w:val="22"/>
                <w:szCs w:val="22"/>
              </w:rPr>
              <w:t> </w:t>
            </w:r>
          </w:p>
        </w:tc>
        <w:tc>
          <w:tcPr>
            <w:tcW w:w="256" w:type="dxa"/>
            <w:tcBorders>
              <w:top w:val="nil"/>
              <w:left w:val="nil"/>
              <w:bottom w:val="nil"/>
              <w:right w:val="nil"/>
            </w:tcBorders>
            <w:shd w:val="clear" w:color="auto" w:fill="auto"/>
            <w:noWrap/>
            <w:vAlign w:val="bottom"/>
            <w:hideMark/>
          </w:tcPr>
          <w:p w14:paraId="17C85798" w14:textId="77777777" w:rsidR="00F42888" w:rsidRPr="003A2A1C" w:rsidRDefault="00F42888" w:rsidP="00F42888">
            <w:pPr>
              <w:jc w:val="right"/>
              <w:rPr>
                <w:color w:val="000000"/>
                <w:sz w:val="22"/>
                <w:szCs w:val="22"/>
              </w:rPr>
            </w:pPr>
          </w:p>
        </w:tc>
      </w:tr>
    </w:tbl>
    <w:p w14:paraId="05516DF0" w14:textId="77777777" w:rsidR="00F42888" w:rsidRDefault="00F42888" w:rsidP="00141D83">
      <w:pPr>
        <w:pStyle w:val="BodyText"/>
        <w:spacing w:after="0"/>
      </w:pPr>
    </w:p>
    <w:p w14:paraId="750FE646" w14:textId="77777777" w:rsidR="00224FF2" w:rsidRDefault="00224FF2" w:rsidP="00E275D8">
      <w:pPr>
        <w:pStyle w:val="BodyText"/>
        <w:sectPr w:rsidR="00224FF2" w:rsidSect="00224FF2">
          <w:headerReference w:type="default" r:id="rId33"/>
          <w:pgSz w:w="15840" w:h="12240" w:orient="landscape" w:code="1"/>
          <w:pgMar w:top="1440" w:right="1584" w:bottom="1440" w:left="1440" w:header="720" w:footer="720" w:gutter="0"/>
          <w:cols w:space="720"/>
          <w:formProt w:val="0"/>
          <w:docGrid w:linePitch="360"/>
        </w:sectPr>
      </w:pPr>
    </w:p>
    <w:p w14:paraId="67F5B4FB" w14:textId="4B3B036C" w:rsidR="00CE76A5" w:rsidRDefault="00CE76A5" w:rsidP="00F42888">
      <w:pPr>
        <w:pStyle w:val="BodyText"/>
        <w:spacing w:after="0"/>
      </w:pPr>
      <w:r>
        <w:fldChar w:fldCharType="begin"/>
      </w:r>
      <w:r>
        <w:instrText xml:space="preserve"> TC "</w:instrText>
      </w:r>
      <w:bookmarkStart w:id="43" w:name="_Toc219970023"/>
      <w:r>
        <w:instrText>Schedule No. 4-B – Monthly Wastewater Rates</w:instrText>
      </w:r>
      <w:bookmarkEnd w:id="43"/>
      <w:r>
        <w:instrText xml:space="preserve">" \l 1 </w:instrText>
      </w:r>
      <w:r>
        <w:fldChar w:fldCharType="end"/>
      </w:r>
    </w:p>
    <w:tbl>
      <w:tblPr>
        <w:tblpPr w:leftFromText="180" w:rightFromText="180" w:vertAnchor="text" w:horzAnchor="margin" w:tblpY="93"/>
        <w:tblW w:w="12918" w:type="dxa"/>
        <w:tblLook w:val="04A0" w:firstRow="1" w:lastRow="0" w:firstColumn="1" w:lastColumn="0" w:noHBand="0" w:noVBand="1"/>
      </w:tblPr>
      <w:tblGrid>
        <w:gridCol w:w="289"/>
        <w:gridCol w:w="5085"/>
        <w:gridCol w:w="740"/>
        <w:gridCol w:w="925"/>
        <w:gridCol w:w="1669"/>
        <w:gridCol w:w="2266"/>
        <w:gridCol w:w="1708"/>
        <w:gridCol w:w="236"/>
      </w:tblGrid>
      <w:tr w:rsidR="00F42888" w:rsidRPr="003A2A1C" w14:paraId="11C4FF7D" w14:textId="77777777" w:rsidTr="00F42888">
        <w:trPr>
          <w:trHeight w:val="243"/>
        </w:trPr>
        <w:tc>
          <w:tcPr>
            <w:tcW w:w="289" w:type="dxa"/>
            <w:tcBorders>
              <w:top w:val="nil"/>
              <w:left w:val="nil"/>
              <w:bottom w:val="nil"/>
              <w:right w:val="nil"/>
            </w:tcBorders>
            <w:shd w:val="clear" w:color="auto" w:fill="auto"/>
            <w:noWrap/>
            <w:vAlign w:val="bottom"/>
            <w:hideMark/>
          </w:tcPr>
          <w:p w14:paraId="5C836F2E" w14:textId="77777777" w:rsidR="00F42888" w:rsidRPr="003A2A1C" w:rsidRDefault="00F42888" w:rsidP="00F42888">
            <w:pPr>
              <w:rPr>
                <w:sz w:val="22"/>
                <w:szCs w:val="22"/>
              </w:rPr>
            </w:pPr>
          </w:p>
        </w:tc>
        <w:tc>
          <w:tcPr>
            <w:tcW w:w="8419" w:type="dxa"/>
            <w:gridSpan w:val="4"/>
            <w:tcBorders>
              <w:top w:val="single" w:sz="8" w:space="0" w:color="000000"/>
              <w:left w:val="single" w:sz="8" w:space="0" w:color="000000"/>
              <w:bottom w:val="nil"/>
              <w:right w:val="nil"/>
            </w:tcBorders>
            <w:shd w:val="clear" w:color="auto" w:fill="auto"/>
            <w:noWrap/>
            <w:vAlign w:val="center"/>
            <w:hideMark/>
          </w:tcPr>
          <w:p w14:paraId="394D2ABA" w14:textId="77777777" w:rsidR="00F42888" w:rsidRPr="003A2A1C" w:rsidRDefault="00F42888" w:rsidP="00F42888">
            <w:pPr>
              <w:rPr>
                <w:b/>
                <w:bCs/>
                <w:color w:val="000000"/>
                <w:sz w:val="22"/>
                <w:szCs w:val="22"/>
              </w:rPr>
            </w:pPr>
            <w:r w:rsidRPr="003A2A1C">
              <w:rPr>
                <w:b/>
                <w:bCs/>
                <w:color w:val="000000"/>
                <w:sz w:val="22"/>
                <w:szCs w:val="22"/>
              </w:rPr>
              <w:t>NC REAL ESTATE PROJECTS, LLC D/B/A GRENELEFE UTILITY</w:t>
            </w:r>
          </w:p>
        </w:tc>
        <w:tc>
          <w:tcPr>
            <w:tcW w:w="3974" w:type="dxa"/>
            <w:gridSpan w:val="2"/>
            <w:tcBorders>
              <w:top w:val="single" w:sz="8" w:space="0" w:color="000000"/>
              <w:left w:val="nil"/>
              <w:bottom w:val="nil"/>
              <w:right w:val="single" w:sz="8" w:space="0" w:color="000000"/>
            </w:tcBorders>
            <w:shd w:val="clear" w:color="auto" w:fill="auto"/>
            <w:noWrap/>
            <w:vAlign w:val="center"/>
            <w:hideMark/>
          </w:tcPr>
          <w:p w14:paraId="606CF470" w14:textId="77777777" w:rsidR="00F42888" w:rsidRPr="003A2A1C" w:rsidRDefault="00F42888" w:rsidP="00F42888">
            <w:pPr>
              <w:jc w:val="right"/>
              <w:rPr>
                <w:b/>
                <w:bCs/>
                <w:color w:val="000000"/>
                <w:sz w:val="22"/>
                <w:szCs w:val="22"/>
              </w:rPr>
            </w:pPr>
            <w:r w:rsidRPr="003A2A1C">
              <w:rPr>
                <w:b/>
                <w:bCs/>
                <w:color w:val="000000"/>
                <w:sz w:val="22"/>
                <w:szCs w:val="22"/>
              </w:rPr>
              <w:t>SCHEDULE NO. 4-B</w:t>
            </w:r>
          </w:p>
        </w:tc>
        <w:tc>
          <w:tcPr>
            <w:tcW w:w="236" w:type="dxa"/>
            <w:tcBorders>
              <w:top w:val="nil"/>
              <w:left w:val="nil"/>
              <w:bottom w:val="nil"/>
              <w:right w:val="nil"/>
            </w:tcBorders>
            <w:shd w:val="clear" w:color="auto" w:fill="auto"/>
            <w:noWrap/>
            <w:vAlign w:val="bottom"/>
            <w:hideMark/>
          </w:tcPr>
          <w:p w14:paraId="4EEA68D8" w14:textId="77777777" w:rsidR="00F42888" w:rsidRPr="003A2A1C" w:rsidRDefault="00F42888" w:rsidP="00F42888">
            <w:pPr>
              <w:jc w:val="right"/>
              <w:rPr>
                <w:b/>
                <w:bCs/>
                <w:color w:val="000000"/>
                <w:sz w:val="22"/>
                <w:szCs w:val="22"/>
              </w:rPr>
            </w:pPr>
          </w:p>
        </w:tc>
      </w:tr>
      <w:tr w:rsidR="00F42888" w:rsidRPr="003A2A1C" w14:paraId="2F0526BC" w14:textId="77777777" w:rsidTr="00F42888">
        <w:trPr>
          <w:trHeight w:val="243"/>
        </w:trPr>
        <w:tc>
          <w:tcPr>
            <w:tcW w:w="289" w:type="dxa"/>
            <w:tcBorders>
              <w:top w:val="nil"/>
              <w:left w:val="nil"/>
              <w:bottom w:val="nil"/>
              <w:right w:val="nil"/>
            </w:tcBorders>
            <w:shd w:val="clear" w:color="auto" w:fill="auto"/>
            <w:noWrap/>
            <w:vAlign w:val="bottom"/>
            <w:hideMark/>
          </w:tcPr>
          <w:p w14:paraId="4D8A09CB" w14:textId="77777777" w:rsidR="00F42888" w:rsidRPr="003A2A1C" w:rsidRDefault="00F42888" w:rsidP="00F42888">
            <w:pPr>
              <w:rPr>
                <w:sz w:val="22"/>
                <w:szCs w:val="22"/>
              </w:rPr>
            </w:pPr>
          </w:p>
        </w:tc>
        <w:tc>
          <w:tcPr>
            <w:tcW w:w="5085" w:type="dxa"/>
            <w:tcBorders>
              <w:top w:val="nil"/>
              <w:left w:val="single" w:sz="8" w:space="0" w:color="000000"/>
              <w:bottom w:val="nil"/>
              <w:right w:val="nil"/>
            </w:tcBorders>
            <w:shd w:val="clear" w:color="auto" w:fill="auto"/>
            <w:noWrap/>
            <w:vAlign w:val="center"/>
            <w:hideMark/>
          </w:tcPr>
          <w:p w14:paraId="43A6911B" w14:textId="45A31455" w:rsidR="00F42888" w:rsidRPr="003A2A1C" w:rsidRDefault="00F42888" w:rsidP="00F86E40">
            <w:pPr>
              <w:rPr>
                <w:b/>
                <w:bCs/>
                <w:color w:val="000000"/>
                <w:sz w:val="22"/>
                <w:szCs w:val="22"/>
              </w:rPr>
            </w:pPr>
            <w:r w:rsidRPr="003A2A1C">
              <w:rPr>
                <w:b/>
                <w:bCs/>
                <w:color w:val="000000"/>
                <w:sz w:val="22"/>
                <w:szCs w:val="22"/>
              </w:rPr>
              <w:t xml:space="preserve">TEST YEAR ENDED </w:t>
            </w:r>
            <w:r w:rsidR="00F86E40">
              <w:rPr>
                <w:b/>
                <w:bCs/>
                <w:color w:val="000000"/>
                <w:sz w:val="22"/>
                <w:szCs w:val="22"/>
              </w:rPr>
              <w:t>10/31/24</w:t>
            </w:r>
          </w:p>
        </w:tc>
        <w:tc>
          <w:tcPr>
            <w:tcW w:w="1665" w:type="dxa"/>
            <w:gridSpan w:val="2"/>
            <w:tcBorders>
              <w:top w:val="nil"/>
              <w:left w:val="nil"/>
              <w:bottom w:val="nil"/>
              <w:right w:val="nil"/>
            </w:tcBorders>
            <w:shd w:val="clear" w:color="auto" w:fill="auto"/>
            <w:noWrap/>
            <w:vAlign w:val="bottom"/>
            <w:hideMark/>
          </w:tcPr>
          <w:p w14:paraId="681982E9" w14:textId="77777777" w:rsidR="00F42888" w:rsidRPr="003A2A1C" w:rsidRDefault="00F42888" w:rsidP="00F42888">
            <w:pPr>
              <w:rPr>
                <w:b/>
                <w:bCs/>
                <w:color w:val="000000"/>
                <w:sz w:val="22"/>
                <w:szCs w:val="22"/>
              </w:rPr>
            </w:pPr>
          </w:p>
        </w:tc>
        <w:tc>
          <w:tcPr>
            <w:tcW w:w="1669" w:type="dxa"/>
            <w:tcBorders>
              <w:top w:val="nil"/>
              <w:left w:val="nil"/>
              <w:bottom w:val="nil"/>
              <w:right w:val="nil"/>
            </w:tcBorders>
            <w:shd w:val="clear" w:color="auto" w:fill="auto"/>
            <w:noWrap/>
            <w:vAlign w:val="bottom"/>
            <w:hideMark/>
          </w:tcPr>
          <w:p w14:paraId="35C01723" w14:textId="77777777" w:rsidR="00F42888" w:rsidRPr="003A2A1C" w:rsidRDefault="00F42888" w:rsidP="00F42888">
            <w:pPr>
              <w:rPr>
                <w:sz w:val="22"/>
                <w:szCs w:val="22"/>
              </w:rPr>
            </w:pPr>
          </w:p>
        </w:tc>
        <w:tc>
          <w:tcPr>
            <w:tcW w:w="3974" w:type="dxa"/>
            <w:gridSpan w:val="2"/>
            <w:tcBorders>
              <w:top w:val="nil"/>
              <w:left w:val="nil"/>
              <w:bottom w:val="nil"/>
              <w:right w:val="single" w:sz="8" w:space="0" w:color="000000"/>
            </w:tcBorders>
            <w:shd w:val="clear" w:color="auto" w:fill="auto"/>
            <w:noWrap/>
            <w:vAlign w:val="center"/>
            <w:hideMark/>
          </w:tcPr>
          <w:p w14:paraId="2544622C" w14:textId="77777777" w:rsidR="00F42888" w:rsidRPr="003A2A1C" w:rsidRDefault="00F42888" w:rsidP="00F42888">
            <w:pPr>
              <w:jc w:val="right"/>
              <w:rPr>
                <w:b/>
                <w:bCs/>
                <w:color w:val="000000"/>
                <w:sz w:val="22"/>
                <w:szCs w:val="22"/>
              </w:rPr>
            </w:pPr>
            <w:r w:rsidRPr="003A2A1C">
              <w:rPr>
                <w:b/>
                <w:bCs/>
                <w:color w:val="000000"/>
                <w:sz w:val="22"/>
                <w:szCs w:val="22"/>
              </w:rPr>
              <w:t>DOCKET NO. 20250023-WS</w:t>
            </w:r>
          </w:p>
        </w:tc>
        <w:tc>
          <w:tcPr>
            <w:tcW w:w="236" w:type="dxa"/>
            <w:tcBorders>
              <w:top w:val="nil"/>
              <w:left w:val="nil"/>
              <w:bottom w:val="nil"/>
              <w:right w:val="nil"/>
            </w:tcBorders>
            <w:shd w:val="clear" w:color="auto" w:fill="auto"/>
            <w:noWrap/>
            <w:vAlign w:val="bottom"/>
            <w:hideMark/>
          </w:tcPr>
          <w:p w14:paraId="4B76FE43" w14:textId="77777777" w:rsidR="00F42888" w:rsidRPr="003A2A1C" w:rsidRDefault="00F42888" w:rsidP="00F42888">
            <w:pPr>
              <w:jc w:val="right"/>
              <w:rPr>
                <w:b/>
                <w:bCs/>
                <w:color w:val="000000"/>
                <w:sz w:val="22"/>
                <w:szCs w:val="22"/>
              </w:rPr>
            </w:pPr>
          </w:p>
        </w:tc>
      </w:tr>
      <w:tr w:rsidR="00F42888" w:rsidRPr="003A2A1C" w14:paraId="7F9413A2" w14:textId="77777777" w:rsidTr="00F42888">
        <w:trPr>
          <w:trHeight w:val="256"/>
        </w:trPr>
        <w:tc>
          <w:tcPr>
            <w:tcW w:w="289" w:type="dxa"/>
            <w:tcBorders>
              <w:top w:val="nil"/>
              <w:left w:val="nil"/>
              <w:bottom w:val="nil"/>
              <w:right w:val="nil"/>
            </w:tcBorders>
            <w:shd w:val="clear" w:color="auto" w:fill="auto"/>
            <w:noWrap/>
            <w:vAlign w:val="bottom"/>
            <w:hideMark/>
          </w:tcPr>
          <w:p w14:paraId="73ABBE54" w14:textId="77777777" w:rsidR="00F42888" w:rsidRPr="003A2A1C" w:rsidRDefault="00F42888" w:rsidP="00F42888">
            <w:pPr>
              <w:rPr>
                <w:sz w:val="22"/>
                <w:szCs w:val="22"/>
              </w:rPr>
            </w:pPr>
          </w:p>
        </w:tc>
        <w:tc>
          <w:tcPr>
            <w:tcW w:w="5085" w:type="dxa"/>
            <w:tcBorders>
              <w:top w:val="nil"/>
              <w:left w:val="single" w:sz="8" w:space="0" w:color="000000"/>
              <w:bottom w:val="single" w:sz="8" w:space="0" w:color="000000"/>
              <w:right w:val="nil"/>
            </w:tcBorders>
            <w:shd w:val="clear" w:color="auto" w:fill="auto"/>
            <w:noWrap/>
            <w:vAlign w:val="center"/>
            <w:hideMark/>
          </w:tcPr>
          <w:p w14:paraId="1EB19A06" w14:textId="77777777" w:rsidR="00F42888" w:rsidRPr="003A2A1C" w:rsidRDefault="00F42888" w:rsidP="00F42888">
            <w:pPr>
              <w:rPr>
                <w:b/>
                <w:bCs/>
                <w:color w:val="000000"/>
                <w:sz w:val="22"/>
                <w:szCs w:val="22"/>
              </w:rPr>
            </w:pPr>
            <w:r w:rsidRPr="003A2A1C">
              <w:rPr>
                <w:b/>
                <w:bCs/>
                <w:color w:val="000000"/>
                <w:sz w:val="22"/>
                <w:szCs w:val="22"/>
              </w:rPr>
              <w:t>MONTHLY WASTEWATER RATES</w:t>
            </w:r>
          </w:p>
        </w:tc>
        <w:tc>
          <w:tcPr>
            <w:tcW w:w="1665" w:type="dxa"/>
            <w:gridSpan w:val="2"/>
            <w:tcBorders>
              <w:top w:val="nil"/>
              <w:left w:val="nil"/>
              <w:bottom w:val="single" w:sz="8" w:space="0" w:color="000000"/>
              <w:right w:val="nil"/>
            </w:tcBorders>
            <w:shd w:val="clear" w:color="auto" w:fill="auto"/>
            <w:noWrap/>
            <w:vAlign w:val="bottom"/>
            <w:hideMark/>
          </w:tcPr>
          <w:p w14:paraId="1E6E9540" w14:textId="77777777" w:rsidR="00F42888" w:rsidRPr="003A2A1C" w:rsidRDefault="00F42888" w:rsidP="00F42888">
            <w:pPr>
              <w:rPr>
                <w:sz w:val="22"/>
                <w:szCs w:val="22"/>
              </w:rPr>
            </w:pPr>
            <w:r w:rsidRPr="003A2A1C">
              <w:rPr>
                <w:sz w:val="22"/>
                <w:szCs w:val="22"/>
              </w:rPr>
              <w:t> </w:t>
            </w:r>
          </w:p>
        </w:tc>
        <w:tc>
          <w:tcPr>
            <w:tcW w:w="1669" w:type="dxa"/>
            <w:tcBorders>
              <w:top w:val="nil"/>
              <w:left w:val="nil"/>
              <w:bottom w:val="single" w:sz="8" w:space="0" w:color="000000"/>
              <w:right w:val="nil"/>
            </w:tcBorders>
            <w:shd w:val="clear" w:color="auto" w:fill="auto"/>
            <w:noWrap/>
            <w:vAlign w:val="bottom"/>
            <w:hideMark/>
          </w:tcPr>
          <w:p w14:paraId="13606D27" w14:textId="77777777" w:rsidR="00F42888" w:rsidRPr="003A2A1C" w:rsidRDefault="00F42888" w:rsidP="00F42888">
            <w:pPr>
              <w:rPr>
                <w:sz w:val="22"/>
                <w:szCs w:val="22"/>
              </w:rPr>
            </w:pPr>
            <w:r w:rsidRPr="003A2A1C">
              <w:rPr>
                <w:sz w:val="22"/>
                <w:szCs w:val="22"/>
              </w:rPr>
              <w:t> </w:t>
            </w:r>
          </w:p>
        </w:tc>
        <w:tc>
          <w:tcPr>
            <w:tcW w:w="2266" w:type="dxa"/>
            <w:tcBorders>
              <w:top w:val="nil"/>
              <w:left w:val="nil"/>
              <w:bottom w:val="single" w:sz="8" w:space="0" w:color="000000"/>
              <w:right w:val="nil"/>
            </w:tcBorders>
            <w:shd w:val="clear" w:color="auto" w:fill="auto"/>
            <w:noWrap/>
            <w:vAlign w:val="bottom"/>
            <w:hideMark/>
          </w:tcPr>
          <w:p w14:paraId="75482DC8" w14:textId="77777777" w:rsidR="00F42888" w:rsidRPr="003A2A1C" w:rsidRDefault="00F42888" w:rsidP="00F42888">
            <w:pPr>
              <w:rPr>
                <w:sz w:val="22"/>
                <w:szCs w:val="22"/>
              </w:rPr>
            </w:pPr>
            <w:r w:rsidRPr="003A2A1C">
              <w:rPr>
                <w:sz w:val="22"/>
                <w:szCs w:val="22"/>
              </w:rPr>
              <w:t> </w:t>
            </w:r>
          </w:p>
        </w:tc>
        <w:tc>
          <w:tcPr>
            <w:tcW w:w="1708" w:type="dxa"/>
            <w:tcBorders>
              <w:top w:val="nil"/>
              <w:left w:val="nil"/>
              <w:bottom w:val="single" w:sz="8" w:space="0" w:color="000000"/>
              <w:right w:val="single" w:sz="8" w:space="0" w:color="000000"/>
            </w:tcBorders>
            <w:shd w:val="clear" w:color="auto" w:fill="auto"/>
            <w:noWrap/>
            <w:vAlign w:val="center"/>
            <w:hideMark/>
          </w:tcPr>
          <w:p w14:paraId="6D114FD5" w14:textId="77777777" w:rsidR="00F42888" w:rsidRPr="003A2A1C" w:rsidRDefault="00F42888" w:rsidP="00F42888">
            <w:pPr>
              <w:rPr>
                <w:b/>
                <w:bCs/>
                <w:sz w:val="22"/>
                <w:szCs w:val="22"/>
              </w:rPr>
            </w:pPr>
            <w:r w:rsidRPr="003A2A1C">
              <w:rPr>
                <w:b/>
                <w:bCs/>
                <w:sz w:val="22"/>
                <w:szCs w:val="22"/>
              </w:rPr>
              <w:t> </w:t>
            </w:r>
          </w:p>
        </w:tc>
        <w:tc>
          <w:tcPr>
            <w:tcW w:w="236" w:type="dxa"/>
            <w:tcBorders>
              <w:top w:val="nil"/>
              <w:left w:val="nil"/>
              <w:bottom w:val="nil"/>
              <w:right w:val="nil"/>
            </w:tcBorders>
            <w:shd w:val="clear" w:color="auto" w:fill="auto"/>
            <w:noWrap/>
            <w:vAlign w:val="bottom"/>
            <w:hideMark/>
          </w:tcPr>
          <w:p w14:paraId="4C309A16" w14:textId="77777777" w:rsidR="00F42888" w:rsidRPr="003A2A1C" w:rsidRDefault="00F42888" w:rsidP="00F42888">
            <w:pPr>
              <w:rPr>
                <w:b/>
                <w:bCs/>
                <w:sz w:val="22"/>
                <w:szCs w:val="22"/>
              </w:rPr>
            </w:pPr>
          </w:p>
        </w:tc>
      </w:tr>
      <w:tr w:rsidR="00F42888" w:rsidRPr="003A2A1C" w14:paraId="232C9853" w14:textId="77777777" w:rsidTr="00F42888">
        <w:trPr>
          <w:trHeight w:val="243"/>
        </w:trPr>
        <w:tc>
          <w:tcPr>
            <w:tcW w:w="289" w:type="dxa"/>
            <w:tcBorders>
              <w:top w:val="nil"/>
              <w:left w:val="nil"/>
              <w:bottom w:val="nil"/>
              <w:right w:val="nil"/>
            </w:tcBorders>
            <w:shd w:val="clear" w:color="auto" w:fill="auto"/>
            <w:noWrap/>
            <w:vAlign w:val="bottom"/>
            <w:hideMark/>
          </w:tcPr>
          <w:p w14:paraId="6EC21F4A" w14:textId="77777777" w:rsidR="00F42888" w:rsidRPr="003A2A1C" w:rsidRDefault="00F42888" w:rsidP="00F42888">
            <w:pPr>
              <w:rPr>
                <w:sz w:val="22"/>
                <w:szCs w:val="22"/>
              </w:rPr>
            </w:pPr>
          </w:p>
        </w:tc>
        <w:tc>
          <w:tcPr>
            <w:tcW w:w="5085" w:type="dxa"/>
            <w:tcBorders>
              <w:top w:val="nil"/>
              <w:left w:val="single" w:sz="8" w:space="0" w:color="000000"/>
              <w:bottom w:val="nil"/>
              <w:right w:val="nil"/>
            </w:tcBorders>
            <w:shd w:val="clear" w:color="000000" w:fill="D9D9D9"/>
            <w:noWrap/>
            <w:vAlign w:val="center"/>
            <w:hideMark/>
          </w:tcPr>
          <w:p w14:paraId="28375A63" w14:textId="77777777" w:rsidR="00F42888" w:rsidRPr="003A2A1C" w:rsidRDefault="00F42888" w:rsidP="00F42888">
            <w:pPr>
              <w:rPr>
                <w:b/>
                <w:bCs/>
                <w:sz w:val="22"/>
                <w:szCs w:val="22"/>
              </w:rPr>
            </w:pPr>
            <w:r w:rsidRPr="003A2A1C">
              <w:rPr>
                <w:b/>
                <w:bCs/>
                <w:sz w:val="22"/>
                <w:szCs w:val="22"/>
              </w:rPr>
              <w:t> </w:t>
            </w:r>
          </w:p>
        </w:tc>
        <w:tc>
          <w:tcPr>
            <w:tcW w:w="1665" w:type="dxa"/>
            <w:gridSpan w:val="2"/>
            <w:tcBorders>
              <w:top w:val="nil"/>
              <w:left w:val="nil"/>
              <w:bottom w:val="nil"/>
              <w:right w:val="nil"/>
            </w:tcBorders>
            <w:shd w:val="clear" w:color="000000" w:fill="D9D9D9"/>
            <w:noWrap/>
            <w:vAlign w:val="center"/>
            <w:hideMark/>
          </w:tcPr>
          <w:p w14:paraId="6E934F38" w14:textId="77777777" w:rsidR="00F42888" w:rsidRPr="003A2A1C" w:rsidRDefault="00F42888" w:rsidP="00F42888">
            <w:pPr>
              <w:jc w:val="center"/>
              <w:rPr>
                <w:b/>
                <w:bCs/>
                <w:color w:val="000000"/>
                <w:sz w:val="22"/>
                <w:szCs w:val="22"/>
              </w:rPr>
            </w:pPr>
            <w:r w:rsidRPr="003A2A1C">
              <w:rPr>
                <w:b/>
                <w:bCs/>
                <w:color w:val="000000"/>
                <w:sz w:val="22"/>
                <w:szCs w:val="22"/>
              </w:rPr>
              <w:t>UTILITY</w:t>
            </w:r>
          </w:p>
        </w:tc>
        <w:tc>
          <w:tcPr>
            <w:tcW w:w="1669" w:type="dxa"/>
            <w:tcBorders>
              <w:top w:val="nil"/>
              <w:left w:val="nil"/>
              <w:bottom w:val="nil"/>
              <w:right w:val="nil"/>
            </w:tcBorders>
            <w:shd w:val="clear" w:color="000000" w:fill="D9D9D9"/>
            <w:noWrap/>
            <w:vAlign w:val="center"/>
            <w:hideMark/>
          </w:tcPr>
          <w:p w14:paraId="24530D95" w14:textId="77777777" w:rsidR="00F42888" w:rsidRPr="003A2A1C" w:rsidRDefault="00F42888" w:rsidP="00F42888">
            <w:pPr>
              <w:jc w:val="center"/>
              <w:rPr>
                <w:b/>
                <w:bCs/>
                <w:color w:val="000000"/>
                <w:sz w:val="22"/>
                <w:szCs w:val="22"/>
              </w:rPr>
            </w:pPr>
            <w:r w:rsidRPr="003A2A1C">
              <w:rPr>
                <w:b/>
                <w:bCs/>
                <w:color w:val="000000"/>
                <w:sz w:val="22"/>
                <w:szCs w:val="22"/>
              </w:rPr>
              <w:t>UTILITY</w:t>
            </w:r>
          </w:p>
        </w:tc>
        <w:tc>
          <w:tcPr>
            <w:tcW w:w="2266" w:type="dxa"/>
            <w:tcBorders>
              <w:top w:val="nil"/>
              <w:left w:val="nil"/>
              <w:bottom w:val="nil"/>
              <w:right w:val="nil"/>
            </w:tcBorders>
            <w:shd w:val="clear" w:color="000000" w:fill="D9D9D9"/>
            <w:noWrap/>
            <w:vAlign w:val="center"/>
            <w:hideMark/>
          </w:tcPr>
          <w:p w14:paraId="213CD8E2" w14:textId="77777777" w:rsidR="00F42888" w:rsidRPr="003A2A1C" w:rsidRDefault="00F42888" w:rsidP="00F42888">
            <w:pPr>
              <w:jc w:val="center"/>
              <w:rPr>
                <w:b/>
                <w:bCs/>
                <w:color w:val="000000"/>
                <w:sz w:val="22"/>
                <w:szCs w:val="22"/>
              </w:rPr>
            </w:pPr>
            <w:r w:rsidRPr="003A2A1C">
              <w:rPr>
                <w:b/>
                <w:bCs/>
                <w:color w:val="000000"/>
                <w:sz w:val="22"/>
                <w:szCs w:val="22"/>
              </w:rPr>
              <w:t>STAFF</w:t>
            </w:r>
          </w:p>
        </w:tc>
        <w:tc>
          <w:tcPr>
            <w:tcW w:w="1708" w:type="dxa"/>
            <w:tcBorders>
              <w:top w:val="nil"/>
              <w:left w:val="nil"/>
              <w:bottom w:val="nil"/>
              <w:right w:val="single" w:sz="8" w:space="0" w:color="000000"/>
            </w:tcBorders>
            <w:shd w:val="clear" w:color="000000" w:fill="D9D9D9"/>
            <w:noWrap/>
            <w:vAlign w:val="center"/>
            <w:hideMark/>
          </w:tcPr>
          <w:p w14:paraId="36592214" w14:textId="77777777" w:rsidR="00F42888" w:rsidRPr="003A2A1C" w:rsidRDefault="00F42888" w:rsidP="00F42888">
            <w:pPr>
              <w:jc w:val="center"/>
              <w:rPr>
                <w:b/>
                <w:bCs/>
                <w:color w:val="000000"/>
                <w:sz w:val="22"/>
                <w:szCs w:val="22"/>
              </w:rPr>
            </w:pPr>
            <w:r w:rsidRPr="003A2A1C">
              <w:rPr>
                <w:b/>
                <w:bCs/>
                <w:color w:val="000000"/>
                <w:sz w:val="22"/>
                <w:szCs w:val="22"/>
              </w:rPr>
              <w:t>4 YEAR</w:t>
            </w:r>
          </w:p>
        </w:tc>
        <w:tc>
          <w:tcPr>
            <w:tcW w:w="236" w:type="dxa"/>
            <w:tcBorders>
              <w:top w:val="nil"/>
              <w:left w:val="nil"/>
              <w:bottom w:val="nil"/>
              <w:right w:val="nil"/>
            </w:tcBorders>
            <w:shd w:val="clear" w:color="auto" w:fill="auto"/>
            <w:noWrap/>
            <w:vAlign w:val="bottom"/>
            <w:hideMark/>
          </w:tcPr>
          <w:p w14:paraId="147D3A27" w14:textId="77777777" w:rsidR="00F42888" w:rsidRPr="003A2A1C" w:rsidRDefault="00F42888" w:rsidP="00F42888">
            <w:pPr>
              <w:jc w:val="center"/>
              <w:rPr>
                <w:b/>
                <w:bCs/>
                <w:color w:val="000000"/>
                <w:sz w:val="22"/>
                <w:szCs w:val="22"/>
              </w:rPr>
            </w:pPr>
          </w:p>
        </w:tc>
      </w:tr>
      <w:tr w:rsidR="00F42888" w:rsidRPr="003A2A1C" w14:paraId="58912786" w14:textId="77777777" w:rsidTr="00F42888">
        <w:trPr>
          <w:trHeight w:val="243"/>
        </w:trPr>
        <w:tc>
          <w:tcPr>
            <w:tcW w:w="289" w:type="dxa"/>
            <w:tcBorders>
              <w:top w:val="nil"/>
              <w:left w:val="nil"/>
              <w:bottom w:val="nil"/>
              <w:right w:val="nil"/>
            </w:tcBorders>
            <w:shd w:val="clear" w:color="auto" w:fill="auto"/>
            <w:noWrap/>
            <w:vAlign w:val="bottom"/>
            <w:hideMark/>
          </w:tcPr>
          <w:p w14:paraId="00DC7DCD" w14:textId="77777777" w:rsidR="00F42888" w:rsidRPr="003A2A1C" w:rsidRDefault="00F42888" w:rsidP="00F42888">
            <w:pPr>
              <w:rPr>
                <w:sz w:val="22"/>
                <w:szCs w:val="22"/>
              </w:rPr>
            </w:pPr>
          </w:p>
        </w:tc>
        <w:tc>
          <w:tcPr>
            <w:tcW w:w="5085" w:type="dxa"/>
            <w:tcBorders>
              <w:top w:val="nil"/>
              <w:left w:val="single" w:sz="8" w:space="0" w:color="000000"/>
              <w:bottom w:val="nil"/>
              <w:right w:val="nil"/>
            </w:tcBorders>
            <w:shd w:val="clear" w:color="000000" w:fill="D9D9D9"/>
            <w:noWrap/>
            <w:vAlign w:val="bottom"/>
            <w:hideMark/>
          </w:tcPr>
          <w:p w14:paraId="25D2C630" w14:textId="77777777" w:rsidR="00F42888" w:rsidRPr="003A2A1C" w:rsidRDefault="00F42888" w:rsidP="00F42888">
            <w:pPr>
              <w:rPr>
                <w:sz w:val="22"/>
                <w:szCs w:val="22"/>
              </w:rPr>
            </w:pPr>
            <w:r w:rsidRPr="003A2A1C">
              <w:rPr>
                <w:sz w:val="22"/>
                <w:szCs w:val="22"/>
              </w:rPr>
              <w:t> </w:t>
            </w:r>
          </w:p>
        </w:tc>
        <w:tc>
          <w:tcPr>
            <w:tcW w:w="1665" w:type="dxa"/>
            <w:gridSpan w:val="2"/>
            <w:tcBorders>
              <w:top w:val="nil"/>
              <w:left w:val="nil"/>
              <w:bottom w:val="nil"/>
              <w:right w:val="nil"/>
            </w:tcBorders>
            <w:shd w:val="clear" w:color="000000" w:fill="D9D9D9"/>
            <w:noWrap/>
            <w:vAlign w:val="center"/>
            <w:hideMark/>
          </w:tcPr>
          <w:p w14:paraId="2209F96E" w14:textId="77777777" w:rsidR="00F42888" w:rsidRPr="003A2A1C" w:rsidRDefault="00F42888" w:rsidP="00F42888">
            <w:pPr>
              <w:jc w:val="center"/>
              <w:rPr>
                <w:b/>
                <w:bCs/>
                <w:color w:val="000000"/>
                <w:sz w:val="22"/>
                <w:szCs w:val="22"/>
              </w:rPr>
            </w:pPr>
            <w:r w:rsidRPr="003A2A1C">
              <w:rPr>
                <w:b/>
                <w:bCs/>
                <w:color w:val="000000"/>
                <w:sz w:val="22"/>
                <w:szCs w:val="22"/>
              </w:rPr>
              <w:t>CURRENT</w:t>
            </w:r>
          </w:p>
        </w:tc>
        <w:tc>
          <w:tcPr>
            <w:tcW w:w="1669" w:type="dxa"/>
            <w:tcBorders>
              <w:top w:val="nil"/>
              <w:left w:val="nil"/>
              <w:bottom w:val="nil"/>
              <w:right w:val="nil"/>
            </w:tcBorders>
            <w:shd w:val="clear" w:color="000000" w:fill="D9D9D9"/>
            <w:noWrap/>
            <w:vAlign w:val="center"/>
            <w:hideMark/>
          </w:tcPr>
          <w:p w14:paraId="73B2B5B4" w14:textId="77777777" w:rsidR="00F42888" w:rsidRPr="003A2A1C" w:rsidRDefault="00F42888" w:rsidP="00F42888">
            <w:pPr>
              <w:jc w:val="center"/>
              <w:rPr>
                <w:b/>
                <w:bCs/>
                <w:color w:val="000000"/>
                <w:sz w:val="22"/>
                <w:szCs w:val="22"/>
              </w:rPr>
            </w:pPr>
            <w:r w:rsidRPr="003A2A1C">
              <w:rPr>
                <w:b/>
                <w:bCs/>
                <w:color w:val="000000"/>
                <w:sz w:val="22"/>
                <w:szCs w:val="22"/>
              </w:rPr>
              <w:t>INTERIM</w:t>
            </w:r>
          </w:p>
        </w:tc>
        <w:tc>
          <w:tcPr>
            <w:tcW w:w="2266" w:type="dxa"/>
            <w:tcBorders>
              <w:top w:val="nil"/>
              <w:left w:val="nil"/>
              <w:bottom w:val="nil"/>
              <w:right w:val="nil"/>
            </w:tcBorders>
            <w:shd w:val="clear" w:color="000000" w:fill="D9D9D9"/>
            <w:noWrap/>
            <w:vAlign w:val="center"/>
            <w:hideMark/>
          </w:tcPr>
          <w:p w14:paraId="29F1C08D" w14:textId="77777777" w:rsidR="00F42888" w:rsidRPr="003A2A1C" w:rsidRDefault="00F42888" w:rsidP="00F42888">
            <w:pPr>
              <w:jc w:val="center"/>
              <w:rPr>
                <w:b/>
                <w:bCs/>
                <w:color w:val="000000"/>
                <w:sz w:val="22"/>
                <w:szCs w:val="22"/>
              </w:rPr>
            </w:pPr>
            <w:r w:rsidRPr="003A2A1C">
              <w:rPr>
                <w:b/>
                <w:bCs/>
                <w:color w:val="000000"/>
                <w:sz w:val="22"/>
                <w:szCs w:val="22"/>
              </w:rPr>
              <w:t>RECOMMENDED</w:t>
            </w:r>
          </w:p>
        </w:tc>
        <w:tc>
          <w:tcPr>
            <w:tcW w:w="1708" w:type="dxa"/>
            <w:tcBorders>
              <w:top w:val="nil"/>
              <w:left w:val="nil"/>
              <w:bottom w:val="nil"/>
              <w:right w:val="single" w:sz="8" w:space="0" w:color="000000"/>
            </w:tcBorders>
            <w:shd w:val="clear" w:color="000000" w:fill="D9D9D9"/>
            <w:noWrap/>
            <w:vAlign w:val="center"/>
            <w:hideMark/>
          </w:tcPr>
          <w:p w14:paraId="3A74B0B9" w14:textId="77777777" w:rsidR="00F42888" w:rsidRPr="003A2A1C" w:rsidRDefault="00F42888" w:rsidP="00F42888">
            <w:pPr>
              <w:jc w:val="center"/>
              <w:rPr>
                <w:b/>
                <w:bCs/>
                <w:color w:val="000000"/>
                <w:sz w:val="22"/>
                <w:szCs w:val="22"/>
              </w:rPr>
            </w:pPr>
            <w:r w:rsidRPr="003A2A1C">
              <w:rPr>
                <w:b/>
                <w:bCs/>
                <w:color w:val="000000"/>
                <w:sz w:val="22"/>
                <w:szCs w:val="22"/>
              </w:rPr>
              <w:t>RATE</w:t>
            </w:r>
          </w:p>
        </w:tc>
        <w:tc>
          <w:tcPr>
            <w:tcW w:w="236" w:type="dxa"/>
            <w:tcBorders>
              <w:top w:val="nil"/>
              <w:left w:val="nil"/>
              <w:bottom w:val="nil"/>
              <w:right w:val="nil"/>
            </w:tcBorders>
            <w:shd w:val="clear" w:color="auto" w:fill="auto"/>
            <w:noWrap/>
            <w:vAlign w:val="bottom"/>
            <w:hideMark/>
          </w:tcPr>
          <w:p w14:paraId="29AC7855" w14:textId="77777777" w:rsidR="00F42888" w:rsidRPr="003A2A1C" w:rsidRDefault="00F42888" w:rsidP="00F42888">
            <w:pPr>
              <w:jc w:val="center"/>
              <w:rPr>
                <w:b/>
                <w:bCs/>
                <w:color w:val="000000"/>
                <w:sz w:val="22"/>
                <w:szCs w:val="22"/>
              </w:rPr>
            </w:pPr>
          </w:p>
        </w:tc>
      </w:tr>
      <w:tr w:rsidR="00F42888" w:rsidRPr="003A2A1C" w14:paraId="03E6398E" w14:textId="77777777" w:rsidTr="00F42888">
        <w:trPr>
          <w:trHeight w:val="299"/>
        </w:trPr>
        <w:tc>
          <w:tcPr>
            <w:tcW w:w="289" w:type="dxa"/>
            <w:tcBorders>
              <w:top w:val="nil"/>
              <w:left w:val="nil"/>
              <w:bottom w:val="nil"/>
              <w:right w:val="nil"/>
            </w:tcBorders>
            <w:shd w:val="clear" w:color="auto" w:fill="auto"/>
            <w:noWrap/>
            <w:vAlign w:val="bottom"/>
            <w:hideMark/>
          </w:tcPr>
          <w:p w14:paraId="53A626EE" w14:textId="77777777" w:rsidR="00F42888" w:rsidRPr="003A2A1C" w:rsidRDefault="00F42888" w:rsidP="00F42888">
            <w:pPr>
              <w:rPr>
                <w:sz w:val="22"/>
                <w:szCs w:val="22"/>
              </w:rPr>
            </w:pPr>
          </w:p>
        </w:tc>
        <w:tc>
          <w:tcPr>
            <w:tcW w:w="5085" w:type="dxa"/>
            <w:tcBorders>
              <w:top w:val="nil"/>
              <w:left w:val="single" w:sz="8" w:space="0" w:color="000000"/>
              <w:bottom w:val="nil"/>
              <w:right w:val="nil"/>
            </w:tcBorders>
            <w:shd w:val="clear" w:color="000000" w:fill="D9D9D9"/>
            <w:noWrap/>
            <w:vAlign w:val="bottom"/>
            <w:hideMark/>
          </w:tcPr>
          <w:p w14:paraId="28305DD7" w14:textId="77777777" w:rsidR="00F42888" w:rsidRPr="003A2A1C" w:rsidRDefault="00F42888" w:rsidP="00F42888">
            <w:pPr>
              <w:rPr>
                <w:sz w:val="22"/>
                <w:szCs w:val="22"/>
              </w:rPr>
            </w:pPr>
            <w:r w:rsidRPr="003A2A1C">
              <w:rPr>
                <w:sz w:val="22"/>
                <w:szCs w:val="22"/>
              </w:rPr>
              <w:t> </w:t>
            </w:r>
          </w:p>
        </w:tc>
        <w:tc>
          <w:tcPr>
            <w:tcW w:w="1665" w:type="dxa"/>
            <w:gridSpan w:val="2"/>
            <w:tcBorders>
              <w:top w:val="nil"/>
              <w:left w:val="nil"/>
              <w:bottom w:val="nil"/>
              <w:right w:val="nil"/>
            </w:tcBorders>
            <w:shd w:val="clear" w:color="000000" w:fill="D9D9D9"/>
            <w:noWrap/>
            <w:vAlign w:val="center"/>
            <w:hideMark/>
          </w:tcPr>
          <w:p w14:paraId="628CD1BA" w14:textId="77777777" w:rsidR="00F42888" w:rsidRPr="003A2A1C" w:rsidRDefault="00F42888" w:rsidP="00F42888">
            <w:pPr>
              <w:jc w:val="center"/>
              <w:rPr>
                <w:b/>
                <w:bCs/>
                <w:color w:val="000000"/>
                <w:sz w:val="22"/>
                <w:szCs w:val="22"/>
              </w:rPr>
            </w:pPr>
            <w:r w:rsidRPr="003A2A1C">
              <w:rPr>
                <w:b/>
                <w:bCs/>
                <w:color w:val="000000"/>
                <w:sz w:val="22"/>
                <w:szCs w:val="22"/>
              </w:rPr>
              <w:t xml:space="preserve">RATES </w:t>
            </w:r>
          </w:p>
        </w:tc>
        <w:tc>
          <w:tcPr>
            <w:tcW w:w="1669" w:type="dxa"/>
            <w:tcBorders>
              <w:top w:val="nil"/>
              <w:left w:val="nil"/>
              <w:bottom w:val="nil"/>
              <w:right w:val="nil"/>
            </w:tcBorders>
            <w:shd w:val="clear" w:color="000000" w:fill="D9D9D9"/>
            <w:noWrap/>
            <w:vAlign w:val="center"/>
            <w:hideMark/>
          </w:tcPr>
          <w:p w14:paraId="4F56B77E" w14:textId="77777777" w:rsidR="00F42888" w:rsidRPr="003A2A1C" w:rsidRDefault="00F42888" w:rsidP="00F42888">
            <w:pPr>
              <w:jc w:val="center"/>
              <w:rPr>
                <w:b/>
                <w:bCs/>
                <w:color w:val="000000"/>
                <w:sz w:val="22"/>
                <w:szCs w:val="22"/>
              </w:rPr>
            </w:pPr>
            <w:r w:rsidRPr="003A2A1C">
              <w:rPr>
                <w:b/>
                <w:bCs/>
                <w:color w:val="000000"/>
                <w:sz w:val="22"/>
                <w:szCs w:val="22"/>
              </w:rPr>
              <w:t>RATES</w:t>
            </w:r>
          </w:p>
        </w:tc>
        <w:tc>
          <w:tcPr>
            <w:tcW w:w="2266" w:type="dxa"/>
            <w:tcBorders>
              <w:top w:val="nil"/>
              <w:left w:val="nil"/>
              <w:bottom w:val="nil"/>
              <w:right w:val="nil"/>
            </w:tcBorders>
            <w:shd w:val="clear" w:color="000000" w:fill="D9D9D9"/>
            <w:noWrap/>
            <w:vAlign w:val="center"/>
            <w:hideMark/>
          </w:tcPr>
          <w:p w14:paraId="4CCA3E54" w14:textId="77777777" w:rsidR="00F42888" w:rsidRPr="003A2A1C" w:rsidRDefault="00F42888" w:rsidP="00F42888">
            <w:pPr>
              <w:jc w:val="center"/>
              <w:rPr>
                <w:b/>
                <w:bCs/>
                <w:color w:val="000000"/>
                <w:sz w:val="22"/>
                <w:szCs w:val="22"/>
              </w:rPr>
            </w:pPr>
            <w:r w:rsidRPr="003A2A1C">
              <w:rPr>
                <w:b/>
                <w:bCs/>
                <w:color w:val="000000"/>
                <w:sz w:val="22"/>
                <w:szCs w:val="22"/>
              </w:rPr>
              <w:t>RATES</w:t>
            </w:r>
          </w:p>
        </w:tc>
        <w:tc>
          <w:tcPr>
            <w:tcW w:w="1708" w:type="dxa"/>
            <w:tcBorders>
              <w:top w:val="nil"/>
              <w:left w:val="nil"/>
              <w:bottom w:val="nil"/>
              <w:right w:val="single" w:sz="8" w:space="0" w:color="000000"/>
            </w:tcBorders>
            <w:shd w:val="clear" w:color="000000" w:fill="D9D9D9"/>
            <w:noWrap/>
            <w:vAlign w:val="center"/>
            <w:hideMark/>
          </w:tcPr>
          <w:p w14:paraId="05C60964" w14:textId="77777777" w:rsidR="00F42888" w:rsidRPr="003A2A1C" w:rsidRDefault="00F42888" w:rsidP="00F42888">
            <w:pPr>
              <w:jc w:val="center"/>
              <w:rPr>
                <w:b/>
                <w:bCs/>
                <w:color w:val="000000"/>
                <w:sz w:val="22"/>
                <w:szCs w:val="22"/>
              </w:rPr>
            </w:pPr>
            <w:r w:rsidRPr="003A2A1C">
              <w:rPr>
                <w:b/>
                <w:bCs/>
                <w:color w:val="000000"/>
                <w:sz w:val="22"/>
                <w:szCs w:val="22"/>
              </w:rPr>
              <w:t>REDUCTION</w:t>
            </w:r>
          </w:p>
        </w:tc>
        <w:tc>
          <w:tcPr>
            <w:tcW w:w="236" w:type="dxa"/>
            <w:tcBorders>
              <w:top w:val="nil"/>
              <w:left w:val="nil"/>
              <w:bottom w:val="nil"/>
              <w:right w:val="nil"/>
            </w:tcBorders>
            <w:shd w:val="clear" w:color="auto" w:fill="auto"/>
            <w:noWrap/>
            <w:vAlign w:val="bottom"/>
            <w:hideMark/>
          </w:tcPr>
          <w:p w14:paraId="1962F1E2" w14:textId="77777777" w:rsidR="00F42888" w:rsidRPr="003A2A1C" w:rsidRDefault="00F42888" w:rsidP="00F42888">
            <w:pPr>
              <w:jc w:val="center"/>
              <w:rPr>
                <w:b/>
                <w:bCs/>
                <w:color w:val="000000"/>
                <w:sz w:val="22"/>
                <w:szCs w:val="22"/>
              </w:rPr>
            </w:pPr>
          </w:p>
        </w:tc>
      </w:tr>
      <w:tr w:rsidR="00F42888" w:rsidRPr="003A2A1C" w14:paraId="5EF456FF" w14:textId="77777777" w:rsidTr="00F42888">
        <w:trPr>
          <w:trHeight w:val="286"/>
        </w:trPr>
        <w:tc>
          <w:tcPr>
            <w:tcW w:w="289" w:type="dxa"/>
            <w:tcBorders>
              <w:top w:val="nil"/>
              <w:left w:val="nil"/>
              <w:bottom w:val="nil"/>
              <w:right w:val="nil"/>
            </w:tcBorders>
            <w:shd w:val="clear" w:color="auto" w:fill="auto"/>
            <w:noWrap/>
            <w:vAlign w:val="bottom"/>
            <w:hideMark/>
          </w:tcPr>
          <w:p w14:paraId="323AB6E2" w14:textId="77777777" w:rsidR="00F42888" w:rsidRPr="003A2A1C" w:rsidRDefault="00F42888" w:rsidP="00F42888">
            <w:pPr>
              <w:rPr>
                <w:sz w:val="22"/>
                <w:szCs w:val="22"/>
              </w:rPr>
            </w:pPr>
          </w:p>
        </w:tc>
        <w:tc>
          <w:tcPr>
            <w:tcW w:w="5085" w:type="dxa"/>
            <w:tcBorders>
              <w:top w:val="single" w:sz="8" w:space="0" w:color="auto"/>
              <w:left w:val="single" w:sz="8" w:space="0" w:color="auto"/>
              <w:bottom w:val="nil"/>
              <w:right w:val="nil"/>
            </w:tcBorders>
            <w:shd w:val="clear" w:color="auto" w:fill="auto"/>
            <w:noWrap/>
            <w:vAlign w:val="center"/>
            <w:hideMark/>
          </w:tcPr>
          <w:p w14:paraId="1186BBB8" w14:textId="77777777" w:rsidR="00F42888" w:rsidRPr="003A2A1C" w:rsidRDefault="00F42888" w:rsidP="00F42888">
            <w:pPr>
              <w:rPr>
                <w:b/>
                <w:bCs/>
                <w:sz w:val="22"/>
                <w:szCs w:val="22"/>
                <w:u w:val="single"/>
              </w:rPr>
            </w:pPr>
            <w:r w:rsidRPr="003A2A1C">
              <w:rPr>
                <w:b/>
                <w:bCs/>
                <w:sz w:val="22"/>
                <w:szCs w:val="22"/>
                <w:u w:val="single"/>
              </w:rPr>
              <w:t>Residential Service</w:t>
            </w:r>
          </w:p>
        </w:tc>
        <w:tc>
          <w:tcPr>
            <w:tcW w:w="1665" w:type="dxa"/>
            <w:gridSpan w:val="2"/>
            <w:tcBorders>
              <w:top w:val="single" w:sz="8" w:space="0" w:color="auto"/>
              <w:left w:val="nil"/>
              <w:bottom w:val="nil"/>
              <w:right w:val="nil"/>
            </w:tcBorders>
            <w:shd w:val="clear" w:color="auto" w:fill="auto"/>
            <w:noWrap/>
            <w:vAlign w:val="bottom"/>
            <w:hideMark/>
          </w:tcPr>
          <w:p w14:paraId="78DC3D7C" w14:textId="77777777" w:rsidR="00F42888" w:rsidRPr="003A2A1C" w:rsidRDefault="00F42888" w:rsidP="00F42888">
            <w:pPr>
              <w:rPr>
                <w:sz w:val="22"/>
                <w:szCs w:val="22"/>
              </w:rPr>
            </w:pPr>
            <w:r w:rsidRPr="003A2A1C">
              <w:rPr>
                <w:sz w:val="22"/>
                <w:szCs w:val="22"/>
              </w:rPr>
              <w:t> </w:t>
            </w:r>
          </w:p>
        </w:tc>
        <w:tc>
          <w:tcPr>
            <w:tcW w:w="1669" w:type="dxa"/>
            <w:tcBorders>
              <w:top w:val="single" w:sz="8" w:space="0" w:color="auto"/>
              <w:left w:val="nil"/>
              <w:bottom w:val="nil"/>
              <w:right w:val="nil"/>
            </w:tcBorders>
            <w:shd w:val="clear" w:color="auto" w:fill="auto"/>
            <w:noWrap/>
            <w:vAlign w:val="bottom"/>
            <w:hideMark/>
          </w:tcPr>
          <w:p w14:paraId="342FAE5E" w14:textId="77777777" w:rsidR="00F42888" w:rsidRPr="003A2A1C" w:rsidRDefault="00F42888" w:rsidP="00F42888">
            <w:pPr>
              <w:rPr>
                <w:sz w:val="22"/>
                <w:szCs w:val="22"/>
              </w:rPr>
            </w:pPr>
            <w:r w:rsidRPr="003A2A1C">
              <w:rPr>
                <w:sz w:val="22"/>
                <w:szCs w:val="22"/>
              </w:rPr>
              <w:t> </w:t>
            </w:r>
          </w:p>
        </w:tc>
        <w:tc>
          <w:tcPr>
            <w:tcW w:w="2266" w:type="dxa"/>
            <w:tcBorders>
              <w:top w:val="single" w:sz="8" w:space="0" w:color="auto"/>
              <w:left w:val="nil"/>
              <w:bottom w:val="nil"/>
              <w:right w:val="nil"/>
            </w:tcBorders>
            <w:shd w:val="clear" w:color="auto" w:fill="auto"/>
            <w:noWrap/>
            <w:vAlign w:val="bottom"/>
            <w:hideMark/>
          </w:tcPr>
          <w:p w14:paraId="24410A6A" w14:textId="77777777" w:rsidR="00F42888" w:rsidRPr="003A2A1C" w:rsidRDefault="00F42888" w:rsidP="00F42888">
            <w:pPr>
              <w:rPr>
                <w:sz w:val="22"/>
                <w:szCs w:val="22"/>
              </w:rPr>
            </w:pPr>
            <w:r w:rsidRPr="003A2A1C">
              <w:rPr>
                <w:sz w:val="22"/>
                <w:szCs w:val="22"/>
              </w:rPr>
              <w:t> </w:t>
            </w:r>
          </w:p>
        </w:tc>
        <w:tc>
          <w:tcPr>
            <w:tcW w:w="1708" w:type="dxa"/>
            <w:tcBorders>
              <w:top w:val="single" w:sz="8" w:space="0" w:color="auto"/>
              <w:left w:val="nil"/>
              <w:bottom w:val="nil"/>
              <w:right w:val="single" w:sz="8" w:space="0" w:color="auto"/>
            </w:tcBorders>
            <w:shd w:val="clear" w:color="auto" w:fill="auto"/>
            <w:noWrap/>
            <w:vAlign w:val="bottom"/>
            <w:hideMark/>
          </w:tcPr>
          <w:p w14:paraId="6E395C2C" w14:textId="77777777" w:rsidR="00F42888" w:rsidRPr="003A2A1C" w:rsidRDefault="00F42888" w:rsidP="00F42888">
            <w:pPr>
              <w:rPr>
                <w:sz w:val="22"/>
                <w:szCs w:val="22"/>
              </w:rPr>
            </w:pPr>
            <w:r w:rsidRPr="003A2A1C">
              <w:rPr>
                <w:sz w:val="22"/>
                <w:szCs w:val="22"/>
              </w:rPr>
              <w:t> </w:t>
            </w:r>
          </w:p>
        </w:tc>
        <w:tc>
          <w:tcPr>
            <w:tcW w:w="236" w:type="dxa"/>
            <w:tcBorders>
              <w:top w:val="nil"/>
              <w:left w:val="nil"/>
              <w:bottom w:val="nil"/>
              <w:right w:val="nil"/>
            </w:tcBorders>
            <w:shd w:val="clear" w:color="auto" w:fill="auto"/>
            <w:noWrap/>
            <w:vAlign w:val="bottom"/>
            <w:hideMark/>
          </w:tcPr>
          <w:p w14:paraId="2991F1C2" w14:textId="77777777" w:rsidR="00F42888" w:rsidRPr="003A2A1C" w:rsidRDefault="00F42888" w:rsidP="00F42888">
            <w:pPr>
              <w:rPr>
                <w:sz w:val="22"/>
                <w:szCs w:val="22"/>
              </w:rPr>
            </w:pPr>
          </w:p>
        </w:tc>
      </w:tr>
      <w:tr w:rsidR="00F42888" w:rsidRPr="003A2A1C" w14:paraId="521D491C" w14:textId="77777777" w:rsidTr="00F42888">
        <w:trPr>
          <w:trHeight w:val="286"/>
        </w:trPr>
        <w:tc>
          <w:tcPr>
            <w:tcW w:w="289" w:type="dxa"/>
            <w:tcBorders>
              <w:top w:val="nil"/>
              <w:left w:val="nil"/>
              <w:bottom w:val="nil"/>
              <w:right w:val="nil"/>
            </w:tcBorders>
            <w:shd w:val="clear" w:color="auto" w:fill="auto"/>
            <w:noWrap/>
            <w:vAlign w:val="bottom"/>
            <w:hideMark/>
          </w:tcPr>
          <w:p w14:paraId="5EBA6554" w14:textId="77777777" w:rsidR="00F42888" w:rsidRPr="003A2A1C" w:rsidRDefault="00F42888" w:rsidP="00F42888">
            <w:pPr>
              <w:rPr>
                <w:sz w:val="22"/>
                <w:szCs w:val="22"/>
              </w:rPr>
            </w:pPr>
          </w:p>
        </w:tc>
        <w:tc>
          <w:tcPr>
            <w:tcW w:w="5085" w:type="dxa"/>
            <w:tcBorders>
              <w:top w:val="nil"/>
              <w:left w:val="single" w:sz="8" w:space="0" w:color="auto"/>
              <w:bottom w:val="nil"/>
              <w:right w:val="nil"/>
            </w:tcBorders>
            <w:shd w:val="clear" w:color="auto" w:fill="auto"/>
            <w:noWrap/>
            <w:vAlign w:val="center"/>
            <w:hideMark/>
          </w:tcPr>
          <w:p w14:paraId="2FCE288D" w14:textId="77777777" w:rsidR="00F42888" w:rsidRPr="003A2A1C" w:rsidRDefault="00F42888" w:rsidP="00F42888">
            <w:pPr>
              <w:rPr>
                <w:sz w:val="22"/>
                <w:szCs w:val="22"/>
              </w:rPr>
            </w:pPr>
            <w:r w:rsidRPr="003A2A1C">
              <w:rPr>
                <w:sz w:val="22"/>
                <w:szCs w:val="22"/>
              </w:rPr>
              <w:t>All Meter Sizes</w:t>
            </w:r>
          </w:p>
        </w:tc>
        <w:tc>
          <w:tcPr>
            <w:tcW w:w="1665" w:type="dxa"/>
            <w:gridSpan w:val="2"/>
            <w:tcBorders>
              <w:top w:val="nil"/>
              <w:left w:val="nil"/>
              <w:bottom w:val="nil"/>
              <w:right w:val="nil"/>
            </w:tcBorders>
            <w:shd w:val="clear" w:color="auto" w:fill="auto"/>
            <w:noWrap/>
            <w:vAlign w:val="center"/>
            <w:hideMark/>
          </w:tcPr>
          <w:p w14:paraId="12F66551" w14:textId="77777777" w:rsidR="00F42888" w:rsidRPr="003A2A1C" w:rsidRDefault="00F42888" w:rsidP="00F42888">
            <w:pPr>
              <w:jc w:val="right"/>
              <w:rPr>
                <w:color w:val="000000"/>
                <w:sz w:val="22"/>
                <w:szCs w:val="22"/>
              </w:rPr>
            </w:pPr>
            <w:r w:rsidRPr="003A2A1C">
              <w:rPr>
                <w:color w:val="000000"/>
                <w:sz w:val="22"/>
                <w:szCs w:val="22"/>
              </w:rPr>
              <w:t xml:space="preserve">$9.98 </w:t>
            </w:r>
          </w:p>
        </w:tc>
        <w:tc>
          <w:tcPr>
            <w:tcW w:w="1669" w:type="dxa"/>
            <w:tcBorders>
              <w:top w:val="nil"/>
              <w:left w:val="nil"/>
              <w:bottom w:val="nil"/>
              <w:right w:val="nil"/>
            </w:tcBorders>
            <w:shd w:val="clear" w:color="auto" w:fill="auto"/>
            <w:noWrap/>
            <w:vAlign w:val="center"/>
            <w:hideMark/>
          </w:tcPr>
          <w:p w14:paraId="1199A1D4" w14:textId="77777777" w:rsidR="00F42888" w:rsidRPr="003A2A1C" w:rsidRDefault="00F42888" w:rsidP="00F42888">
            <w:pPr>
              <w:jc w:val="right"/>
              <w:rPr>
                <w:color w:val="000000"/>
                <w:sz w:val="22"/>
                <w:szCs w:val="22"/>
              </w:rPr>
            </w:pPr>
            <w:r w:rsidRPr="003A2A1C">
              <w:rPr>
                <w:color w:val="000000"/>
                <w:sz w:val="22"/>
                <w:szCs w:val="22"/>
              </w:rPr>
              <w:t xml:space="preserve">$25.12 </w:t>
            </w:r>
          </w:p>
        </w:tc>
        <w:tc>
          <w:tcPr>
            <w:tcW w:w="2266" w:type="dxa"/>
            <w:tcBorders>
              <w:top w:val="nil"/>
              <w:left w:val="nil"/>
              <w:bottom w:val="nil"/>
              <w:right w:val="nil"/>
            </w:tcBorders>
            <w:shd w:val="clear" w:color="auto" w:fill="auto"/>
            <w:noWrap/>
            <w:vAlign w:val="center"/>
            <w:hideMark/>
          </w:tcPr>
          <w:p w14:paraId="4DE20DD8" w14:textId="77777777" w:rsidR="00F42888" w:rsidRPr="003A2A1C" w:rsidRDefault="00F42888" w:rsidP="00F42888">
            <w:pPr>
              <w:jc w:val="right"/>
              <w:rPr>
                <w:color w:val="000000"/>
                <w:sz w:val="22"/>
                <w:szCs w:val="22"/>
              </w:rPr>
            </w:pPr>
            <w:r w:rsidRPr="003A2A1C">
              <w:rPr>
                <w:color w:val="000000"/>
                <w:sz w:val="22"/>
                <w:szCs w:val="22"/>
              </w:rPr>
              <w:t>N/A</w:t>
            </w:r>
          </w:p>
        </w:tc>
        <w:tc>
          <w:tcPr>
            <w:tcW w:w="1708" w:type="dxa"/>
            <w:tcBorders>
              <w:top w:val="nil"/>
              <w:left w:val="nil"/>
              <w:bottom w:val="nil"/>
              <w:right w:val="single" w:sz="8" w:space="0" w:color="auto"/>
            </w:tcBorders>
            <w:shd w:val="clear" w:color="auto" w:fill="auto"/>
            <w:noWrap/>
            <w:vAlign w:val="center"/>
            <w:hideMark/>
          </w:tcPr>
          <w:p w14:paraId="7439EA69" w14:textId="77777777" w:rsidR="00F42888" w:rsidRPr="003A2A1C" w:rsidRDefault="00F42888" w:rsidP="00F42888">
            <w:pPr>
              <w:jc w:val="right"/>
              <w:rPr>
                <w:color w:val="000000"/>
                <w:sz w:val="22"/>
                <w:szCs w:val="22"/>
              </w:rPr>
            </w:pPr>
            <w:r w:rsidRPr="003A2A1C">
              <w:rPr>
                <w:color w:val="000000"/>
                <w:sz w:val="22"/>
                <w:szCs w:val="22"/>
              </w:rPr>
              <w:t> </w:t>
            </w:r>
          </w:p>
        </w:tc>
        <w:tc>
          <w:tcPr>
            <w:tcW w:w="236" w:type="dxa"/>
            <w:tcBorders>
              <w:top w:val="nil"/>
              <w:left w:val="nil"/>
              <w:bottom w:val="nil"/>
              <w:right w:val="nil"/>
            </w:tcBorders>
            <w:shd w:val="clear" w:color="auto" w:fill="auto"/>
            <w:noWrap/>
            <w:vAlign w:val="bottom"/>
            <w:hideMark/>
          </w:tcPr>
          <w:p w14:paraId="6CE2C144" w14:textId="77777777" w:rsidR="00F42888" w:rsidRPr="003A2A1C" w:rsidRDefault="00F42888" w:rsidP="00F42888">
            <w:pPr>
              <w:jc w:val="right"/>
              <w:rPr>
                <w:color w:val="000000"/>
                <w:sz w:val="22"/>
                <w:szCs w:val="22"/>
              </w:rPr>
            </w:pPr>
          </w:p>
        </w:tc>
      </w:tr>
      <w:tr w:rsidR="00F42888" w:rsidRPr="003A2A1C" w14:paraId="2DB2BD32" w14:textId="77777777" w:rsidTr="00F42888">
        <w:trPr>
          <w:trHeight w:val="162"/>
        </w:trPr>
        <w:tc>
          <w:tcPr>
            <w:tcW w:w="289" w:type="dxa"/>
            <w:tcBorders>
              <w:top w:val="nil"/>
              <w:left w:val="nil"/>
              <w:bottom w:val="nil"/>
              <w:right w:val="nil"/>
            </w:tcBorders>
            <w:shd w:val="clear" w:color="auto" w:fill="auto"/>
            <w:noWrap/>
            <w:vAlign w:val="bottom"/>
            <w:hideMark/>
          </w:tcPr>
          <w:p w14:paraId="488A974E" w14:textId="77777777" w:rsidR="00F42888" w:rsidRPr="00F42888" w:rsidRDefault="00F42888" w:rsidP="00F42888">
            <w:pPr>
              <w:rPr>
                <w:sz w:val="14"/>
                <w:szCs w:val="22"/>
              </w:rPr>
            </w:pPr>
          </w:p>
        </w:tc>
        <w:tc>
          <w:tcPr>
            <w:tcW w:w="5085" w:type="dxa"/>
            <w:tcBorders>
              <w:top w:val="nil"/>
              <w:left w:val="single" w:sz="8" w:space="0" w:color="auto"/>
              <w:bottom w:val="nil"/>
              <w:right w:val="nil"/>
            </w:tcBorders>
            <w:shd w:val="clear" w:color="auto" w:fill="auto"/>
            <w:noWrap/>
            <w:vAlign w:val="center"/>
            <w:hideMark/>
          </w:tcPr>
          <w:p w14:paraId="07DB66E7" w14:textId="77777777" w:rsidR="00F42888" w:rsidRPr="00F42888" w:rsidRDefault="00F42888" w:rsidP="00F42888">
            <w:pPr>
              <w:rPr>
                <w:sz w:val="14"/>
                <w:szCs w:val="22"/>
              </w:rPr>
            </w:pPr>
            <w:r w:rsidRPr="00F42888">
              <w:rPr>
                <w:sz w:val="14"/>
                <w:szCs w:val="22"/>
              </w:rPr>
              <w:t> </w:t>
            </w:r>
          </w:p>
        </w:tc>
        <w:tc>
          <w:tcPr>
            <w:tcW w:w="1665" w:type="dxa"/>
            <w:gridSpan w:val="2"/>
            <w:tcBorders>
              <w:top w:val="nil"/>
              <w:left w:val="nil"/>
              <w:bottom w:val="nil"/>
              <w:right w:val="nil"/>
            </w:tcBorders>
            <w:shd w:val="clear" w:color="auto" w:fill="auto"/>
            <w:noWrap/>
            <w:vAlign w:val="center"/>
            <w:hideMark/>
          </w:tcPr>
          <w:p w14:paraId="07075E0C" w14:textId="77777777" w:rsidR="00F42888" w:rsidRPr="00F42888" w:rsidRDefault="00F42888" w:rsidP="00F42888">
            <w:pPr>
              <w:rPr>
                <w:sz w:val="14"/>
                <w:szCs w:val="22"/>
              </w:rPr>
            </w:pPr>
          </w:p>
        </w:tc>
        <w:tc>
          <w:tcPr>
            <w:tcW w:w="1669" w:type="dxa"/>
            <w:tcBorders>
              <w:top w:val="nil"/>
              <w:left w:val="nil"/>
              <w:bottom w:val="nil"/>
              <w:right w:val="nil"/>
            </w:tcBorders>
            <w:shd w:val="clear" w:color="auto" w:fill="auto"/>
            <w:noWrap/>
            <w:vAlign w:val="center"/>
            <w:hideMark/>
          </w:tcPr>
          <w:p w14:paraId="40AFB9B1" w14:textId="77777777" w:rsidR="00F42888" w:rsidRPr="00F42888" w:rsidRDefault="00F42888" w:rsidP="00F42888">
            <w:pPr>
              <w:jc w:val="right"/>
              <w:rPr>
                <w:sz w:val="14"/>
                <w:szCs w:val="22"/>
              </w:rPr>
            </w:pPr>
          </w:p>
        </w:tc>
        <w:tc>
          <w:tcPr>
            <w:tcW w:w="2266" w:type="dxa"/>
            <w:tcBorders>
              <w:top w:val="nil"/>
              <w:left w:val="nil"/>
              <w:bottom w:val="nil"/>
              <w:right w:val="nil"/>
            </w:tcBorders>
            <w:shd w:val="clear" w:color="auto" w:fill="auto"/>
            <w:noWrap/>
            <w:vAlign w:val="center"/>
            <w:hideMark/>
          </w:tcPr>
          <w:p w14:paraId="30739225" w14:textId="77777777" w:rsidR="00F42888" w:rsidRPr="00F42888" w:rsidRDefault="00F42888" w:rsidP="00F42888">
            <w:pPr>
              <w:jc w:val="right"/>
              <w:rPr>
                <w:sz w:val="14"/>
                <w:szCs w:val="22"/>
              </w:rPr>
            </w:pPr>
          </w:p>
        </w:tc>
        <w:tc>
          <w:tcPr>
            <w:tcW w:w="1708" w:type="dxa"/>
            <w:tcBorders>
              <w:top w:val="nil"/>
              <w:left w:val="nil"/>
              <w:bottom w:val="nil"/>
              <w:right w:val="single" w:sz="8" w:space="0" w:color="auto"/>
            </w:tcBorders>
            <w:shd w:val="clear" w:color="auto" w:fill="auto"/>
            <w:noWrap/>
            <w:vAlign w:val="center"/>
            <w:hideMark/>
          </w:tcPr>
          <w:p w14:paraId="5CBA5CEC" w14:textId="77777777" w:rsidR="00F42888" w:rsidRPr="00F42888" w:rsidRDefault="00F42888" w:rsidP="00F42888">
            <w:pPr>
              <w:jc w:val="right"/>
              <w:rPr>
                <w:color w:val="000000"/>
                <w:sz w:val="14"/>
                <w:szCs w:val="22"/>
              </w:rPr>
            </w:pPr>
            <w:r w:rsidRPr="00F42888">
              <w:rPr>
                <w:color w:val="000000"/>
                <w:sz w:val="14"/>
                <w:szCs w:val="22"/>
              </w:rPr>
              <w:t> </w:t>
            </w:r>
          </w:p>
        </w:tc>
        <w:tc>
          <w:tcPr>
            <w:tcW w:w="236" w:type="dxa"/>
            <w:tcBorders>
              <w:top w:val="nil"/>
              <w:left w:val="nil"/>
              <w:bottom w:val="nil"/>
              <w:right w:val="nil"/>
            </w:tcBorders>
            <w:shd w:val="clear" w:color="auto" w:fill="auto"/>
            <w:noWrap/>
            <w:vAlign w:val="bottom"/>
            <w:hideMark/>
          </w:tcPr>
          <w:p w14:paraId="748BAE83" w14:textId="77777777" w:rsidR="00F42888" w:rsidRPr="00F42888" w:rsidRDefault="00F42888" w:rsidP="00F42888">
            <w:pPr>
              <w:jc w:val="right"/>
              <w:rPr>
                <w:color w:val="000000"/>
                <w:sz w:val="14"/>
                <w:szCs w:val="22"/>
              </w:rPr>
            </w:pPr>
          </w:p>
        </w:tc>
      </w:tr>
      <w:tr w:rsidR="00F42888" w:rsidRPr="003A2A1C" w14:paraId="635818DC" w14:textId="77777777" w:rsidTr="00F42888">
        <w:trPr>
          <w:trHeight w:val="286"/>
        </w:trPr>
        <w:tc>
          <w:tcPr>
            <w:tcW w:w="289" w:type="dxa"/>
            <w:tcBorders>
              <w:top w:val="nil"/>
              <w:left w:val="nil"/>
              <w:bottom w:val="nil"/>
              <w:right w:val="nil"/>
            </w:tcBorders>
            <w:shd w:val="clear" w:color="auto" w:fill="auto"/>
            <w:noWrap/>
            <w:vAlign w:val="bottom"/>
            <w:hideMark/>
          </w:tcPr>
          <w:p w14:paraId="3D10E654" w14:textId="77777777" w:rsidR="00F42888" w:rsidRPr="003A2A1C" w:rsidRDefault="00F42888" w:rsidP="00F42888">
            <w:pPr>
              <w:rPr>
                <w:sz w:val="22"/>
                <w:szCs w:val="22"/>
              </w:rPr>
            </w:pPr>
          </w:p>
        </w:tc>
        <w:tc>
          <w:tcPr>
            <w:tcW w:w="5085" w:type="dxa"/>
            <w:tcBorders>
              <w:top w:val="nil"/>
              <w:left w:val="single" w:sz="8" w:space="0" w:color="auto"/>
              <w:bottom w:val="nil"/>
              <w:right w:val="nil"/>
            </w:tcBorders>
            <w:shd w:val="clear" w:color="auto" w:fill="auto"/>
            <w:noWrap/>
            <w:vAlign w:val="center"/>
            <w:hideMark/>
          </w:tcPr>
          <w:p w14:paraId="4C610313" w14:textId="77777777" w:rsidR="00F42888" w:rsidRPr="003A2A1C" w:rsidRDefault="00F42888" w:rsidP="00F42888">
            <w:pPr>
              <w:rPr>
                <w:sz w:val="22"/>
                <w:szCs w:val="22"/>
              </w:rPr>
            </w:pPr>
            <w:r w:rsidRPr="003A2A1C">
              <w:rPr>
                <w:sz w:val="22"/>
                <w:szCs w:val="22"/>
              </w:rPr>
              <w:t>Charge per 1,000 gallons</w:t>
            </w:r>
          </w:p>
        </w:tc>
        <w:tc>
          <w:tcPr>
            <w:tcW w:w="1665" w:type="dxa"/>
            <w:gridSpan w:val="2"/>
            <w:tcBorders>
              <w:top w:val="nil"/>
              <w:left w:val="nil"/>
              <w:bottom w:val="nil"/>
              <w:right w:val="nil"/>
            </w:tcBorders>
            <w:shd w:val="clear" w:color="auto" w:fill="auto"/>
            <w:noWrap/>
            <w:vAlign w:val="center"/>
            <w:hideMark/>
          </w:tcPr>
          <w:p w14:paraId="40BFD295" w14:textId="77777777" w:rsidR="00F42888" w:rsidRPr="003A2A1C" w:rsidRDefault="00F42888" w:rsidP="00F42888">
            <w:pPr>
              <w:jc w:val="right"/>
              <w:rPr>
                <w:color w:val="000000"/>
                <w:sz w:val="22"/>
                <w:szCs w:val="22"/>
              </w:rPr>
            </w:pPr>
            <w:r w:rsidRPr="003A2A1C">
              <w:rPr>
                <w:color w:val="000000"/>
                <w:sz w:val="22"/>
                <w:szCs w:val="22"/>
              </w:rPr>
              <w:t xml:space="preserve">$2.93 </w:t>
            </w:r>
          </w:p>
        </w:tc>
        <w:tc>
          <w:tcPr>
            <w:tcW w:w="1669" w:type="dxa"/>
            <w:tcBorders>
              <w:top w:val="nil"/>
              <w:left w:val="nil"/>
              <w:bottom w:val="nil"/>
              <w:right w:val="nil"/>
            </w:tcBorders>
            <w:shd w:val="clear" w:color="auto" w:fill="auto"/>
            <w:noWrap/>
            <w:vAlign w:val="center"/>
            <w:hideMark/>
          </w:tcPr>
          <w:p w14:paraId="19FE8070" w14:textId="77777777" w:rsidR="00F42888" w:rsidRPr="003A2A1C" w:rsidRDefault="00F42888" w:rsidP="00F42888">
            <w:pPr>
              <w:jc w:val="right"/>
              <w:rPr>
                <w:color w:val="000000"/>
                <w:sz w:val="22"/>
                <w:szCs w:val="22"/>
              </w:rPr>
            </w:pPr>
            <w:r w:rsidRPr="003A2A1C">
              <w:rPr>
                <w:color w:val="000000"/>
                <w:sz w:val="22"/>
                <w:szCs w:val="22"/>
              </w:rPr>
              <w:t xml:space="preserve">$7.38 </w:t>
            </w:r>
          </w:p>
        </w:tc>
        <w:tc>
          <w:tcPr>
            <w:tcW w:w="2266" w:type="dxa"/>
            <w:tcBorders>
              <w:top w:val="nil"/>
              <w:left w:val="nil"/>
              <w:bottom w:val="nil"/>
              <w:right w:val="nil"/>
            </w:tcBorders>
            <w:shd w:val="clear" w:color="auto" w:fill="auto"/>
            <w:noWrap/>
            <w:vAlign w:val="center"/>
            <w:hideMark/>
          </w:tcPr>
          <w:p w14:paraId="53920827" w14:textId="77777777" w:rsidR="00F42888" w:rsidRPr="003A2A1C" w:rsidRDefault="00F42888" w:rsidP="00F42888">
            <w:pPr>
              <w:jc w:val="right"/>
              <w:rPr>
                <w:color w:val="000000"/>
                <w:sz w:val="22"/>
                <w:szCs w:val="22"/>
              </w:rPr>
            </w:pPr>
            <w:r w:rsidRPr="003A2A1C">
              <w:rPr>
                <w:color w:val="000000"/>
                <w:sz w:val="22"/>
                <w:szCs w:val="22"/>
              </w:rPr>
              <w:t>N/A</w:t>
            </w:r>
          </w:p>
        </w:tc>
        <w:tc>
          <w:tcPr>
            <w:tcW w:w="1708" w:type="dxa"/>
            <w:tcBorders>
              <w:top w:val="nil"/>
              <w:left w:val="nil"/>
              <w:bottom w:val="nil"/>
              <w:right w:val="single" w:sz="8" w:space="0" w:color="auto"/>
            </w:tcBorders>
            <w:shd w:val="clear" w:color="auto" w:fill="auto"/>
            <w:noWrap/>
            <w:vAlign w:val="center"/>
            <w:hideMark/>
          </w:tcPr>
          <w:p w14:paraId="244F943D" w14:textId="77777777" w:rsidR="00F42888" w:rsidRPr="003A2A1C" w:rsidRDefault="00F42888" w:rsidP="00F42888">
            <w:pPr>
              <w:jc w:val="right"/>
              <w:rPr>
                <w:color w:val="000000"/>
                <w:sz w:val="22"/>
                <w:szCs w:val="22"/>
              </w:rPr>
            </w:pPr>
            <w:r w:rsidRPr="003A2A1C">
              <w:rPr>
                <w:color w:val="000000"/>
                <w:sz w:val="22"/>
                <w:szCs w:val="22"/>
              </w:rPr>
              <w:t> </w:t>
            </w:r>
          </w:p>
        </w:tc>
        <w:tc>
          <w:tcPr>
            <w:tcW w:w="236" w:type="dxa"/>
            <w:tcBorders>
              <w:top w:val="nil"/>
              <w:left w:val="nil"/>
              <w:bottom w:val="nil"/>
              <w:right w:val="nil"/>
            </w:tcBorders>
            <w:shd w:val="clear" w:color="auto" w:fill="auto"/>
            <w:noWrap/>
            <w:vAlign w:val="bottom"/>
            <w:hideMark/>
          </w:tcPr>
          <w:p w14:paraId="1BF6BA5C" w14:textId="77777777" w:rsidR="00F42888" w:rsidRPr="003A2A1C" w:rsidRDefault="00F42888" w:rsidP="00F42888">
            <w:pPr>
              <w:jc w:val="right"/>
              <w:rPr>
                <w:color w:val="000000"/>
                <w:sz w:val="22"/>
                <w:szCs w:val="22"/>
              </w:rPr>
            </w:pPr>
          </w:p>
        </w:tc>
      </w:tr>
      <w:tr w:rsidR="00F42888" w:rsidRPr="003A2A1C" w14:paraId="537E0013" w14:textId="77777777" w:rsidTr="00F42888">
        <w:trPr>
          <w:trHeight w:val="286"/>
        </w:trPr>
        <w:tc>
          <w:tcPr>
            <w:tcW w:w="289" w:type="dxa"/>
            <w:tcBorders>
              <w:top w:val="nil"/>
              <w:left w:val="nil"/>
              <w:bottom w:val="nil"/>
              <w:right w:val="nil"/>
            </w:tcBorders>
            <w:shd w:val="clear" w:color="auto" w:fill="auto"/>
            <w:noWrap/>
            <w:vAlign w:val="bottom"/>
            <w:hideMark/>
          </w:tcPr>
          <w:p w14:paraId="45BEAE07" w14:textId="77777777" w:rsidR="00F42888" w:rsidRPr="003A2A1C" w:rsidRDefault="00F42888" w:rsidP="00F42888">
            <w:pPr>
              <w:rPr>
                <w:sz w:val="22"/>
                <w:szCs w:val="22"/>
              </w:rPr>
            </w:pPr>
          </w:p>
        </w:tc>
        <w:tc>
          <w:tcPr>
            <w:tcW w:w="5085" w:type="dxa"/>
            <w:tcBorders>
              <w:top w:val="nil"/>
              <w:left w:val="single" w:sz="8" w:space="0" w:color="auto"/>
              <w:bottom w:val="nil"/>
              <w:right w:val="nil"/>
            </w:tcBorders>
            <w:shd w:val="clear" w:color="auto" w:fill="auto"/>
            <w:noWrap/>
            <w:vAlign w:val="center"/>
            <w:hideMark/>
          </w:tcPr>
          <w:p w14:paraId="3F2710EB" w14:textId="77777777" w:rsidR="00F42888" w:rsidRPr="003A2A1C" w:rsidRDefault="00F42888" w:rsidP="00F42888">
            <w:pPr>
              <w:rPr>
                <w:sz w:val="22"/>
                <w:szCs w:val="22"/>
              </w:rPr>
            </w:pPr>
            <w:r w:rsidRPr="003A2A1C">
              <w:rPr>
                <w:sz w:val="22"/>
                <w:szCs w:val="22"/>
              </w:rPr>
              <w:t>(8,000 gallon cap)</w:t>
            </w:r>
          </w:p>
        </w:tc>
        <w:tc>
          <w:tcPr>
            <w:tcW w:w="1665" w:type="dxa"/>
            <w:gridSpan w:val="2"/>
            <w:tcBorders>
              <w:top w:val="nil"/>
              <w:left w:val="nil"/>
              <w:bottom w:val="nil"/>
              <w:right w:val="nil"/>
            </w:tcBorders>
            <w:shd w:val="clear" w:color="auto" w:fill="auto"/>
            <w:noWrap/>
            <w:vAlign w:val="center"/>
            <w:hideMark/>
          </w:tcPr>
          <w:p w14:paraId="58C0E10F" w14:textId="77777777" w:rsidR="00F42888" w:rsidRPr="003A2A1C" w:rsidRDefault="00F42888" w:rsidP="00F42888">
            <w:pPr>
              <w:rPr>
                <w:sz w:val="22"/>
                <w:szCs w:val="22"/>
              </w:rPr>
            </w:pPr>
          </w:p>
        </w:tc>
        <w:tc>
          <w:tcPr>
            <w:tcW w:w="1669" w:type="dxa"/>
            <w:tcBorders>
              <w:top w:val="nil"/>
              <w:left w:val="nil"/>
              <w:bottom w:val="nil"/>
              <w:right w:val="nil"/>
            </w:tcBorders>
            <w:shd w:val="clear" w:color="auto" w:fill="auto"/>
            <w:noWrap/>
            <w:vAlign w:val="center"/>
            <w:hideMark/>
          </w:tcPr>
          <w:p w14:paraId="7A86E68B" w14:textId="77777777" w:rsidR="00F42888" w:rsidRPr="003A2A1C" w:rsidRDefault="00F42888" w:rsidP="00F42888">
            <w:pPr>
              <w:jc w:val="right"/>
              <w:rPr>
                <w:sz w:val="22"/>
                <w:szCs w:val="22"/>
              </w:rPr>
            </w:pPr>
          </w:p>
        </w:tc>
        <w:tc>
          <w:tcPr>
            <w:tcW w:w="2266" w:type="dxa"/>
            <w:tcBorders>
              <w:top w:val="nil"/>
              <w:left w:val="nil"/>
              <w:bottom w:val="nil"/>
              <w:right w:val="nil"/>
            </w:tcBorders>
            <w:shd w:val="clear" w:color="auto" w:fill="auto"/>
            <w:noWrap/>
            <w:vAlign w:val="center"/>
            <w:hideMark/>
          </w:tcPr>
          <w:p w14:paraId="24476A7E" w14:textId="77777777" w:rsidR="00F42888" w:rsidRPr="003A2A1C" w:rsidRDefault="00F42888" w:rsidP="00F42888">
            <w:pPr>
              <w:jc w:val="right"/>
              <w:rPr>
                <w:sz w:val="22"/>
                <w:szCs w:val="22"/>
              </w:rPr>
            </w:pPr>
          </w:p>
        </w:tc>
        <w:tc>
          <w:tcPr>
            <w:tcW w:w="1708" w:type="dxa"/>
            <w:tcBorders>
              <w:top w:val="nil"/>
              <w:left w:val="nil"/>
              <w:bottom w:val="nil"/>
              <w:right w:val="single" w:sz="8" w:space="0" w:color="auto"/>
            </w:tcBorders>
            <w:shd w:val="clear" w:color="auto" w:fill="auto"/>
            <w:noWrap/>
            <w:vAlign w:val="center"/>
            <w:hideMark/>
          </w:tcPr>
          <w:p w14:paraId="62CD3153" w14:textId="77777777" w:rsidR="00F42888" w:rsidRPr="003A2A1C" w:rsidRDefault="00F42888" w:rsidP="00F42888">
            <w:pPr>
              <w:jc w:val="right"/>
              <w:rPr>
                <w:color w:val="000000"/>
                <w:sz w:val="22"/>
                <w:szCs w:val="22"/>
              </w:rPr>
            </w:pPr>
            <w:r w:rsidRPr="003A2A1C">
              <w:rPr>
                <w:color w:val="000000"/>
                <w:sz w:val="22"/>
                <w:szCs w:val="22"/>
              </w:rPr>
              <w:t> </w:t>
            </w:r>
          </w:p>
        </w:tc>
        <w:tc>
          <w:tcPr>
            <w:tcW w:w="236" w:type="dxa"/>
            <w:tcBorders>
              <w:top w:val="nil"/>
              <w:left w:val="nil"/>
              <w:bottom w:val="nil"/>
              <w:right w:val="nil"/>
            </w:tcBorders>
            <w:shd w:val="clear" w:color="auto" w:fill="auto"/>
            <w:noWrap/>
            <w:vAlign w:val="bottom"/>
            <w:hideMark/>
          </w:tcPr>
          <w:p w14:paraId="74EA16EA" w14:textId="77777777" w:rsidR="00F42888" w:rsidRPr="003A2A1C" w:rsidRDefault="00F42888" w:rsidP="00F42888">
            <w:pPr>
              <w:jc w:val="right"/>
              <w:rPr>
                <w:color w:val="000000"/>
                <w:sz w:val="22"/>
                <w:szCs w:val="22"/>
              </w:rPr>
            </w:pPr>
          </w:p>
        </w:tc>
      </w:tr>
      <w:tr w:rsidR="00F42888" w:rsidRPr="003A2A1C" w14:paraId="32B03F26" w14:textId="77777777" w:rsidTr="00F42888">
        <w:trPr>
          <w:trHeight w:val="108"/>
        </w:trPr>
        <w:tc>
          <w:tcPr>
            <w:tcW w:w="289" w:type="dxa"/>
            <w:tcBorders>
              <w:top w:val="nil"/>
              <w:left w:val="nil"/>
              <w:bottom w:val="nil"/>
              <w:right w:val="nil"/>
            </w:tcBorders>
            <w:shd w:val="clear" w:color="auto" w:fill="auto"/>
            <w:noWrap/>
            <w:vAlign w:val="bottom"/>
            <w:hideMark/>
          </w:tcPr>
          <w:p w14:paraId="23D5B67D" w14:textId="77777777" w:rsidR="00F42888" w:rsidRPr="00F42888" w:rsidRDefault="00F42888" w:rsidP="00F42888">
            <w:pPr>
              <w:rPr>
                <w:sz w:val="14"/>
                <w:szCs w:val="22"/>
              </w:rPr>
            </w:pPr>
          </w:p>
        </w:tc>
        <w:tc>
          <w:tcPr>
            <w:tcW w:w="5085" w:type="dxa"/>
            <w:tcBorders>
              <w:top w:val="nil"/>
              <w:left w:val="single" w:sz="8" w:space="0" w:color="auto"/>
              <w:bottom w:val="nil"/>
              <w:right w:val="nil"/>
            </w:tcBorders>
            <w:shd w:val="clear" w:color="auto" w:fill="auto"/>
            <w:noWrap/>
            <w:vAlign w:val="center"/>
            <w:hideMark/>
          </w:tcPr>
          <w:p w14:paraId="58C6AE3A" w14:textId="77777777" w:rsidR="00F42888" w:rsidRPr="00F42888" w:rsidRDefault="00F42888" w:rsidP="00F42888">
            <w:pPr>
              <w:rPr>
                <w:sz w:val="14"/>
                <w:szCs w:val="22"/>
              </w:rPr>
            </w:pPr>
            <w:r w:rsidRPr="00F42888">
              <w:rPr>
                <w:sz w:val="14"/>
                <w:szCs w:val="22"/>
              </w:rPr>
              <w:t> </w:t>
            </w:r>
          </w:p>
        </w:tc>
        <w:tc>
          <w:tcPr>
            <w:tcW w:w="1665" w:type="dxa"/>
            <w:gridSpan w:val="2"/>
            <w:tcBorders>
              <w:top w:val="nil"/>
              <w:left w:val="nil"/>
              <w:bottom w:val="nil"/>
              <w:right w:val="nil"/>
            </w:tcBorders>
            <w:shd w:val="clear" w:color="auto" w:fill="auto"/>
            <w:noWrap/>
            <w:vAlign w:val="center"/>
            <w:hideMark/>
          </w:tcPr>
          <w:p w14:paraId="5916D896" w14:textId="77777777" w:rsidR="00F42888" w:rsidRPr="00F42888" w:rsidRDefault="00F42888" w:rsidP="00F42888">
            <w:pPr>
              <w:rPr>
                <w:sz w:val="14"/>
                <w:szCs w:val="22"/>
              </w:rPr>
            </w:pPr>
          </w:p>
        </w:tc>
        <w:tc>
          <w:tcPr>
            <w:tcW w:w="1669" w:type="dxa"/>
            <w:tcBorders>
              <w:top w:val="nil"/>
              <w:left w:val="nil"/>
              <w:bottom w:val="nil"/>
              <w:right w:val="nil"/>
            </w:tcBorders>
            <w:shd w:val="clear" w:color="auto" w:fill="auto"/>
            <w:noWrap/>
            <w:vAlign w:val="center"/>
            <w:hideMark/>
          </w:tcPr>
          <w:p w14:paraId="5C7FD373" w14:textId="77777777" w:rsidR="00F42888" w:rsidRPr="00F42888" w:rsidRDefault="00F42888" w:rsidP="00F42888">
            <w:pPr>
              <w:jc w:val="right"/>
              <w:rPr>
                <w:sz w:val="14"/>
                <w:szCs w:val="22"/>
              </w:rPr>
            </w:pPr>
          </w:p>
        </w:tc>
        <w:tc>
          <w:tcPr>
            <w:tcW w:w="2266" w:type="dxa"/>
            <w:tcBorders>
              <w:top w:val="nil"/>
              <w:left w:val="nil"/>
              <w:bottom w:val="nil"/>
              <w:right w:val="nil"/>
            </w:tcBorders>
            <w:shd w:val="clear" w:color="auto" w:fill="auto"/>
            <w:noWrap/>
            <w:vAlign w:val="center"/>
            <w:hideMark/>
          </w:tcPr>
          <w:p w14:paraId="2EDFBE44" w14:textId="77777777" w:rsidR="00F42888" w:rsidRPr="00F42888" w:rsidRDefault="00F42888" w:rsidP="00F42888">
            <w:pPr>
              <w:jc w:val="right"/>
              <w:rPr>
                <w:sz w:val="14"/>
                <w:szCs w:val="22"/>
              </w:rPr>
            </w:pPr>
          </w:p>
        </w:tc>
        <w:tc>
          <w:tcPr>
            <w:tcW w:w="1708" w:type="dxa"/>
            <w:tcBorders>
              <w:top w:val="nil"/>
              <w:left w:val="nil"/>
              <w:bottom w:val="nil"/>
              <w:right w:val="single" w:sz="8" w:space="0" w:color="auto"/>
            </w:tcBorders>
            <w:shd w:val="clear" w:color="auto" w:fill="auto"/>
            <w:noWrap/>
            <w:vAlign w:val="center"/>
            <w:hideMark/>
          </w:tcPr>
          <w:p w14:paraId="58930839" w14:textId="77777777" w:rsidR="00F42888" w:rsidRPr="00F42888" w:rsidRDefault="00F42888" w:rsidP="00F42888">
            <w:pPr>
              <w:jc w:val="right"/>
              <w:rPr>
                <w:color w:val="000000"/>
                <w:sz w:val="14"/>
                <w:szCs w:val="22"/>
              </w:rPr>
            </w:pPr>
            <w:r w:rsidRPr="00F42888">
              <w:rPr>
                <w:color w:val="000000"/>
                <w:sz w:val="14"/>
                <w:szCs w:val="22"/>
              </w:rPr>
              <w:t> </w:t>
            </w:r>
          </w:p>
        </w:tc>
        <w:tc>
          <w:tcPr>
            <w:tcW w:w="236" w:type="dxa"/>
            <w:tcBorders>
              <w:top w:val="nil"/>
              <w:left w:val="nil"/>
              <w:bottom w:val="nil"/>
              <w:right w:val="nil"/>
            </w:tcBorders>
            <w:shd w:val="clear" w:color="auto" w:fill="auto"/>
            <w:noWrap/>
            <w:vAlign w:val="bottom"/>
            <w:hideMark/>
          </w:tcPr>
          <w:p w14:paraId="1BAF6487" w14:textId="77777777" w:rsidR="00F42888" w:rsidRPr="00F42888" w:rsidRDefault="00F42888" w:rsidP="00F42888">
            <w:pPr>
              <w:jc w:val="right"/>
              <w:rPr>
                <w:color w:val="000000"/>
                <w:sz w:val="14"/>
                <w:szCs w:val="22"/>
              </w:rPr>
            </w:pPr>
          </w:p>
        </w:tc>
      </w:tr>
      <w:tr w:rsidR="00F42888" w:rsidRPr="003A2A1C" w14:paraId="38614979" w14:textId="77777777" w:rsidTr="00F42888">
        <w:trPr>
          <w:trHeight w:val="286"/>
        </w:trPr>
        <w:tc>
          <w:tcPr>
            <w:tcW w:w="289" w:type="dxa"/>
            <w:tcBorders>
              <w:top w:val="nil"/>
              <w:left w:val="nil"/>
              <w:bottom w:val="nil"/>
              <w:right w:val="nil"/>
            </w:tcBorders>
            <w:shd w:val="clear" w:color="auto" w:fill="auto"/>
            <w:noWrap/>
            <w:vAlign w:val="bottom"/>
            <w:hideMark/>
          </w:tcPr>
          <w:p w14:paraId="2E735FCF" w14:textId="77777777" w:rsidR="00F42888" w:rsidRPr="003A2A1C" w:rsidRDefault="00F42888" w:rsidP="00F42888">
            <w:pPr>
              <w:rPr>
                <w:sz w:val="22"/>
                <w:szCs w:val="22"/>
              </w:rPr>
            </w:pPr>
          </w:p>
        </w:tc>
        <w:tc>
          <w:tcPr>
            <w:tcW w:w="5085" w:type="dxa"/>
            <w:tcBorders>
              <w:top w:val="nil"/>
              <w:left w:val="single" w:sz="8" w:space="0" w:color="auto"/>
              <w:bottom w:val="nil"/>
              <w:right w:val="nil"/>
            </w:tcBorders>
            <w:shd w:val="clear" w:color="auto" w:fill="auto"/>
            <w:noWrap/>
            <w:vAlign w:val="center"/>
            <w:hideMark/>
          </w:tcPr>
          <w:p w14:paraId="1B2F5B39" w14:textId="77777777" w:rsidR="00F42888" w:rsidRPr="003A2A1C" w:rsidRDefault="00F42888" w:rsidP="00F42888">
            <w:pPr>
              <w:rPr>
                <w:sz w:val="22"/>
                <w:szCs w:val="22"/>
              </w:rPr>
            </w:pPr>
            <w:r w:rsidRPr="003A2A1C">
              <w:rPr>
                <w:sz w:val="22"/>
                <w:szCs w:val="22"/>
              </w:rPr>
              <w:t>All Meter Sizes</w:t>
            </w:r>
          </w:p>
        </w:tc>
        <w:tc>
          <w:tcPr>
            <w:tcW w:w="1665" w:type="dxa"/>
            <w:gridSpan w:val="2"/>
            <w:tcBorders>
              <w:top w:val="nil"/>
              <w:left w:val="nil"/>
              <w:bottom w:val="nil"/>
              <w:right w:val="nil"/>
            </w:tcBorders>
            <w:shd w:val="clear" w:color="auto" w:fill="auto"/>
            <w:noWrap/>
            <w:vAlign w:val="center"/>
            <w:hideMark/>
          </w:tcPr>
          <w:p w14:paraId="02CB5714" w14:textId="77777777" w:rsidR="00F42888" w:rsidRPr="003A2A1C" w:rsidRDefault="00F42888" w:rsidP="00F42888">
            <w:pPr>
              <w:jc w:val="right"/>
              <w:rPr>
                <w:color w:val="000000"/>
                <w:sz w:val="22"/>
                <w:szCs w:val="22"/>
              </w:rPr>
            </w:pPr>
            <w:r w:rsidRPr="003A2A1C">
              <w:rPr>
                <w:color w:val="000000"/>
                <w:sz w:val="22"/>
                <w:szCs w:val="22"/>
              </w:rPr>
              <w:t>N/A</w:t>
            </w:r>
          </w:p>
        </w:tc>
        <w:tc>
          <w:tcPr>
            <w:tcW w:w="1669" w:type="dxa"/>
            <w:tcBorders>
              <w:top w:val="nil"/>
              <w:left w:val="nil"/>
              <w:bottom w:val="nil"/>
              <w:right w:val="nil"/>
            </w:tcBorders>
            <w:shd w:val="clear" w:color="auto" w:fill="auto"/>
            <w:noWrap/>
            <w:vAlign w:val="center"/>
            <w:hideMark/>
          </w:tcPr>
          <w:p w14:paraId="4DD844AD" w14:textId="77777777" w:rsidR="00F42888" w:rsidRPr="003A2A1C" w:rsidRDefault="00F42888" w:rsidP="00F42888">
            <w:pPr>
              <w:jc w:val="right"/>
              <w:rPr>
                <w:color w:val="000000"/>
                <w:sz w:val="22"/>
                <w:szCs w:val="22"/>
              </w:rPr>
            </w:pPr>
            <w:r w:rsidRPr="003A2A1C">
              <w:rPr>
                <w:color w:val="000000"/>
                <w:sz w:val="22"/>
                <w:szCs w:val="22"/>
              </w:rPr>
              <w:t>N/A</w:t>
            </w:r>
          </w:p>
        </w:tc>
        <w:tc>
          <w:tcPr>
            <w:tcW w:w="2266" w:type="dxa"/>
            <w:tcBorders>
              <w:top w:val="nil"/>
              <w:left w:val="nil"/>
              <w:bottom w:val="nil"/>
              <w:right w:val="nil"/>
            </w:tcBorders>
            <w:shd w:val="clear" w:color="auto" w:fill="auto"/>
            <w:noWrap/>
            <w:vAlign w:val="center"/>
            <w:hideMark/>
          </w:tcPr>
          <w:p w14:paraId="7CCF7358" w14:textId="77777777" w:rsidR="00F42888" w:rsidRPr="003A2A1C" w:rsidRDefault="00F42888" w:rsidP="00F42888">
            <w:pPr>
              <w:jc w:val="right"/>
              <w:rPr>
                <w:color w:val="000000"/>
                <w:sz w:val="22"/>
                <w:szCs w:val="22"/>
              </w:rPr>
            </w:pPr>
            <w:r w:rsidRPr="003A2A1C">
              <w:rPr>
                <w:color w:val="000000"/>
                <w:sz w:val="22"/>
                <w:szCs w:val="22"/>
              </w:rPr>
              <w:t xml:space="preserve">$26.99 </w:t>
            </w:r>
          </w:p>
        </w:tc>
        <w:tc>
          <w:tcPr>
            <w:tcW w:w="1708" w:type="dxa"/>
            <w:tcBorders>
              <w:top w:val="nil"/>
              <w:left w:val="nil"/>
              <w:bottom w:val="nil"/>
              <w:right w:val="single" w:sz="8" w:space="0" w:color="auto"/>
            </w:tcBorders>
            <w:shd w:val="clear" w:color="auto" w:fill="auto"/>
            <w:noWrap/>
            <w:vAlign w:val="center"/>
            <w:hideMark/>
          </w:tcPr>
          <w:p w14:paraId="3D88E749" w14:textId="77777777" w:rsidR="00F42888" w:rsidRPr="003A2A1C" w:rsidRDefault="00F42888" w:rsidP="00F42888">
            <w:pPr>
              <w:jc w:val="right"/>
              <w:rPr>
                <w:color w:val="000000"/>
                <w:sz w:val="22"/>
                <w:szCs w:val="22"/>
              </w:rPr>
            </w:pPr>
            <w:r w:rsidRPr="003A2A1C">
              <w:rPr>
                <w:color w:val="000000"/>
                <w:sz w:val="22"/>
                <w:szCs w:val="22"/>
              </w:rPr>
              <w:t xml:space="preserve">$0.16 </w:t>
            </w:r>
          </w:p>
        </w:tc>
        <w:tc>
          <w:tcPr>
            <w:tcW w:w="236" w:type="dxa"/>
            <w:tcBorders>
              <w:top w:val="nil"/>
              <w:left w:val="nil"/>
              <w:bottom w:val="nil"/>
              <w:right w:val="nil"/>
            </w:tcBorders>
            <w:shd w:val="clear" w:color="auto" w:fill="auto"/>
            <w:noWrap/>
            <w:vAlign w:val="bottom"/>
            <w:hideMark/>
          </w:tcPr>
          <w:p w14:paraId="481DC026" w14:textId="77777777" w:rsidR="00F42888" w:rsidRPr="003A2A1C" w:rsidRDefault="00F42888" w:rsidP="00F42888">
            <w:pPr>
              <w:jc w:val="right"/>
              <w:rPr>
                <w:color w:val="000000"/>
                <w:sz w:val="22"/>
                <w:szCs w:val="22"/>
              </w:rPr>
            </w:pPr>
          </w:p>
        </w:tc>
      </w:tr>
      <w:tr w:rsidR="00F42888" w:rsidRPr="003A2A1C" w14:paraId="7FE5870E" w14:textId="77777777" w:rsidTr="00F42888">
        <w:trPr>
          <w:trHeight w:val="153"/>
        </w:trPr>
        <w:tc>
          <w:tcPr>
            <w:tcW w:w="289" w:type="dxa"/>
            <w:tcBorders>
              <w:top w:val="nil"/>
              <w:left w:val="nil"/>
              <w:bottom w:val="nil"/>
              <w:right w:val="nil"/>
            </w:tcBorders>
            <w:shd w:val="clear" w:color="auto" w:fill="auto"/>
            <w:noWrap/>
            <w:vAlign w:val="bottom"/>
            <w:hideMark/>
          </w:tcPr>
          <w:p w14:paraId="074C6E5E" w14:textId="77777777" w:rsidR="00F42888" w:rsidRPr="00F42888" w:rsidRDefault="00F42888" w:rsidP="00F42888">
            <w:pPr>
              <w:rPr>
                <w:sz w:val="16"/>
                <w:szCs w:val="22"/>
              </w:rPr>
            </w:pPr>
          </w:p>
        </w:tc>
        <w:tc>
          <w:tcPr>
            <w:tcW w:w="5085" w:type="dxa"/>
            <w:tcBorders>
              <w:top w:val="nil"/>
              <w:left w:val="single" w:sz="8" w:space="0" w:color="auto"/>
              <w:bottom w:val="nil"/>
              <w:right w:val="nil"/>
            </w:tcBorders>
            <w:shd w:val="clear" w:color="auto" w:fill="auto"/>
            <w:noWrap/>
            <w:vAlign w:val="center"/>
            <w:hideMark/>
          </w:tcPr>
          <w:p w14:paraId="1A32C399" w14:textId="77777777" w:rsidR="00F42888" w:rsidRPr="00F42888" w:rsidRDefault="00F42888" w:rsidP="00F42888">
            <w:pPr>
              <w:rPr>
                <w:sz w:val="16"/>
                <w:szCs w:val="22"/>
              </w:rPr>
            </w:pPr>
            <w:r w:rsidRPr="00F42888">
              <w:rPr>
                <w:sz w:val="16"/>
                <w:szCs w:val="22"/>
              </w:rPr>
              <w:t> </w:t>
            </w:r>
          </w:p>
        </w:tc>
        <w:tc>
          <w:tcPr>
            <w:tcW w:w="1665" w:type="dxa"/>
            <w:gridSpan w:val="2"/>
            <w:tcBorders>
              <w:top w:val="nil"/>
              <w:left w:val="nil"/>
              <w:bottom w:val="nil"/>
              <w:right w:val="nil"/>
            </w:tcBorders>
            <w:shd w:val="clear" w:color="auto" w:fill="auto"/>
            <w:noWrap/>
            <w:vAlign w:val="center"/>
            <w:hideMark/>
          </w:tcPr>
          <w:p w14:paraId="288687F2" w14:textId="77777777" w:rsidR="00F42888" w:rsidRPr="00F42888" w:rsidRDefault="00F42888" w:rsidP="00F42888">
            <w:pPr>
              <w:rPr>
                <w:sz w:val="16"/>
                <w:szCs w:val="22"/>
              </w:rPr>
            </w:pPr>
          </w:p>
        </w:tc>
        <w:tc>
          <w:tcPr>
            <w:tcW w:w="1669" w:type="dxa"/>
            <w:tcBorders>
              <w:top w:val="nil"/>
              <w:left w:val="nil"/>
              <w:bottom w:val="nil"/>
              <w:right w:val="nil"/>
            </w:tcBorders>
            <w:shd w:val="clear" w:color="auto" w:fill="auto"/>
            <w:noWrap/>
            <w:vAlign w:val="center"/>
            <w:hideMark/>
          </w:tcPr>
          <w:p w14:paraId="4C1A0DB4" w14:textId="77777777" w:rsidR="00F42888" w:rsidRPr="00F42888" w:rsidRDefault="00F42888" w:rsidP="00F42888">
            <w:pPr>
              <w:jc w:val="right"/>
              <w:rPr>
                <w:sz w:val="16"/>
                <w:szCs w:val="22"/>
              </w:rPr>
            </w:pPr>
          </w:p>
        </w:tc>
        <w:tc>
          <w:tcPr>
            <w:tcW w:w="2266" w:type="dxa"/>
            <w:tcBorders>
              <w:top w:val="nil"/>
              <w:left w:val="nil"/>
              <w:bottom w:val="nil"/>
              <w:right w:val="nil"/>
            </w:tcBorders>
            <w:shd w:val="clear" w:color="auto" w:fill="auto"/>
            <w:noWrap/>
            <w:vAlign w:val="center"/>
            <w:hideMark/>
          </w:tcPr>
          <w:p w14:paraId="1E8C9479" w14:textId="77777777" w:rsidR="00F42888" w:rsidRPr="00F42888" w:rsidRDefault="00F42888" w:rsidP="00F42888">
            <w:pPr>
              <w:jc w:val="right"/>
              <w:rPr>
                <w:sz w:val="16"/>
                <w:szCs w:val="22"/>
              </w:rPr>
            </w:pPr>
          </w:p>
        </w:tc>
        <w:tc>
          <w:tcPr>
            <w:tcW w:w="1708" w:type="dxa"/>
            <w:tcBorders>
              <w:top w:val="nil"/>
              <w:left w:val="nil"/>
              <w:bottom w:val="nil"/>
              <w:right w:val="single" w:sz="8" w:space="0" w:color="auto"/>
            </w:tcBorders>
            <w:shd w:val="clear" w:color="auto" w:fill="auto"/>
            <w:noWrap/>
            <w:vAlign w:val="center"/>
            <w:hideMark/>
          </w:tcPr>
          <w:p w14:paraId="1228B6E2" w14:textId="77777777" w:rsidR="00F42888" w:rsidRPr="00F42888" w:rsidRDefault="00F42888" w:rsidP="00F42888">
            <w:pPr>
              <w:jc w:val="right"/>
              <w:rPr>
                <w:color w:val="000000"/>
                <w:sz w:val="16"/>
                <w:szCs w:val="22"/>
              </w:rPr>
            </w:pPr>
            <w:r w:rsidRPr="00F42888">
              <w:rPr>
                <w:color w:val="000000"/>
                <w:sz w:val="16"/>
                <w:szCs w:val="22"/>
              </w:rPr>
              <w:t> </w:t>
            </w:r>
          </w:p>
        </w:tc>
        <w:tc>
          <w:tcPr>
            <w:tcW w:w="236" w:type="dxa"/>
            <w:tcBorders>
              <w:top w:val="nil"/>
              <w:left w:val="nil"/>
              <w:bottom w:val="nil"/>
              <w:right w:val="nil"/>
            </w:tcBorders>
            <w:shd w:val="clear" w:color="auto" w:fill="auto"/>
            <w:noWrap/>
            <w:vAlign w:val="bottom"/>
            <w:hideMark/>
          </w:tcPr>
          <w:p w14:paraId="3EFCB62C" w14:textId="77777777" w:rsidR="00F42888" w:rsidRPr="00F42888" w:rsidRDefault="00F42888" w:rsidP="00F42888">
            <w:pPr>
              <w:jc w:val="right"/>
              <w:rPr>
                <w:color w:val="000000"/>
                <w:sz w:val="16"/>
                <w:szCs w:val="22"/>
              </w:rPr>
            </w:pPr>
          </w:p>
        </w:tc>
      </w:tr>
      <w:tr w:rsidR="00F42888" w:rsidRPr="003A2A1C" w14:paraId="514BCDB6" w14:textId="77777777" w:rsidTr="00F42888">
        <w:trPr>
          <w:trHeight w:val="286"/>
        </w:trPr>
        <w:tc>
          <w:tcPr>
            <w:tcW w:w="289" w:type="dxa"/>
            <w:tcBorders>
              <w:top w:val="nil"/>
              <w:left w:val="nil"/>
              <w:bottom w:val="nil"/>
              <w:right w:val="nil"/>
            </w:tcBorders>
            <w:shd w:val="clear" w:color="auto" w:fill="auto"/>
            <w:noWrap/>
            <w:vAlign w:val="bottom"/>
            <w:hideMark/>
          </w:tcPr>
          <w:p w14:paraId="237B1275" w14:textId="77777777" w:rsidR="00F42888" w:rsidRPr="003A2A1C" w:rsidRDefault="00F42888" w:rsidP="00F42888">
            <w:pPr>
              <w:rPr>
                <w:sz w:val="22"/>
                <w:szCs w:val="22"/>
              </w:rPr>
            </w:pPr>
          </w:p>
        </w:tc>
        <w:tc>
          <w:tcPr>
            <w:tcW w:w="5085" w:type="dxa"/>
            <w:tcBorders>
              <w:top w:val="nil"/>
              <w:left w:val="single" w:sz="8" w:space="0" w:color="auto"/>
              <w:bottom w:val="nil"/>
              <w:right w:val="nil"/>
            </w:tcBorders>
            <w:shd w:val="clear" w:color="auto" w:fill="auto"/>
            <w:noWrap/>
            <w:vAlign w:val="center"/>
            <w:hideMark/>
          </w:tcPr>
          <w:p w14:paraId="437FDB69" w14:textId="77777777" w:rsidR="00F42888" w:rsidRPr="003A2A1C" w:rsidRDefault="00F42888" w:rsidP="00F42888">
            <w:pPr>
              <w:rPr>
                <w:sz w:val="22"/>
                <w:szCs w:val="22"/>
              </w:rPr>
            </w:pPr>
            <w:r w:rsidRPr="003A2A1C">
              <w:rPr>
                <w:sz w:val="22"/>
                <w:szCs w:val="22"/>
              </w:rPr>
              <w:t>Charge per 1,000 gallons</w:t>
            </w:r>
          </w:p>
        </w:tc>
        <w:tc>
          <w:tcPr>
            <w:tcW w:w="1665" w:type="dxa"/>
            <w:gridSpan w:val="2"/>
            <w:tcBorders>
              <w:top w:val="nil"/>
              <w:left w:val="nil"/>
              <w:bottom w:val="nil"/>
              <w:right w:val="nil"/>
            </w:tcBorders>
            <w:shd w:val="clear" w:color="auto" w:fill="auto"/>
            <w:noWrap/>
            <w:vAlign w:val="center"/>
            <w:hideMark/>
          </w:tcPr>
          <w:p w14:paraId="1B111ADF" w14:textId="77777777" w:rsidR="00F42888" w:rsidRPr="003A2A1C" w:rsidRDefault="00F42888" w:rsidP="00F42888">
            <w:pPr>
              <w:jc w:val="right"/>
              <w:rPr>
                <w:color w:val="000000"/>
                <w:sz w:val="22"/>
                <w:szCs w:val="22"/>
              </w:rPr>
            </w:pPr>
            <w:r w:rsidRPr="003A2A1C">
              <w:rPr>
                <w:color w:val="000000"/>
                <w:sz w:val="22"/>
                <w:szCs w:val="22"/>
              </w:rPr>
              <w:t>N/A</w:t>
            </w:r>
          </w:p>
        </w:tc>
        <w:tc>
          <w:tcPr>
            <w:tcW w:w="1669" w:type="dxa"/>
            <w:tcBorders>
              <w:top w:val="nil"/>
              <w:left w:val="nil"/>
              <w:bottom w:val="nil"/>
              <w:right w:val="nil"/>
            </w:tcBorders>
            <w:shd w:val="clear" w:color="auto" w:fill="auto"/>
            <w:noWrap/>
            <w:vAlign w:val="center"/>
            <w:hideMark/>
          </w:tcPr>
          <w:p w14:paraId="7A409AAD" w14:textId="77777777" w:rsidR="00F42888" w:rsidRPr="003A2A1C" w:rsidRDefault="00F42888" w:rsidP="00F42888">
            <w:pPr>
              <w:jc w:val="right"/>
              <w:rPr>
                <w:color w:val="000000"/>
                <w:sz w:val="22"/>
                <w:szCs w:val="22"/>
              </w:rPr>
            </w:pPr>
            <w:r w:rsidRPr="003A2A1C">
              <w:rPr>
                <w:color w:val="000000"/>
                <w:sz w:val="22"/>
                <w:szCs w:val="22"/>
              </w:rPr>
              <w:t>N/A</w:t>
            </w:r>
          </w:p>
        </w:tc>
        <w:tc>
          <w:tcPr>
            <w:tcW w:w="2266" w:type="dxa"/>
            <w:tcBorders>
              <w:top w:val="nil"/>
              <w:left w:val="nil"/>
              <w:bottom w:val="nil"/>
              <w:right w:val="nil"/>
            </w:tcBorders>
            <w:shd w:val="clear" w:color="auto" w:fill="auto"/>
            <w:noWrap/>
            <w:vAlign w:val="center"/>
            <w:hideMark/>
          </w:tcPr>
          <w:p w14:paraId="1B7ACB7F" w14:textId="77777777" w:rsidR="00F42888" w:rsidRPr="003A2A1C" w:rsidRDefault="00F42888" w:rsidP="00F42888">
            <w:pPr>
              <w:jc w:val="right"/>
              <w:rPr>
                <w:color w:val="000000"/>
                <w:sz w:val="22"/>
                <w:szCs w:val="22"/>
              </w:rPr>
            </w:pPr>
            <w:r w:rsidRPr="003A2A1C">
              <w:rPr>
                <w:color w:val="000000"/>
                <w:sz w:val="22"/>
                <w:szCs w:val="22"/>
              </w:rPr>
              <w:t>$</w:t>
            </w:r>
            <w:r>
              <w:rPr>
                <w:color w:val="000000"/>
                <w:sz w:val="22"/>
                <w:szCs w:val="22"/>
              </w:rPr>
              <w:t>8.46</w:t>
            </w:r>
            <w:r w:rsidRPr="003A2A1C">
              <w:rPr>
                <w:color w:val="000000"/>
                <w:sz w:val="22"/>
                <w:szCs w:val="22"/>
              </w:rPr>
              <w:t xml:space="preserve"> </w:t>
            </w:r>
          </w:p>
        </w:tc>
        <w:tc>
          <w:tcPr>
            <w:tcW w:w="1708" w:type="dxa"/>
            <w:tcBorders>
              <w:top w:val="nil"/>
              <w:left w:val="nil"/>
              <w:bottom w:val="nil"/>
              <w:right w:val="single" w:sz="8" w:space="0" w:color="auto"/>
            </w:tcBorders>
            <w:shd w:val="clear" w:color="auto" w:fill="auto"/>
            <w:noWrap/>
            <w:vAlign w:val="center"/>
            <w:hideMark/>
          </w:tcPr>
          <w:p w14:paraId="50DD894C" w14:textId="77777777" w:rsidR="00F42888" w:rsidRPr="003A2A1C" w:rsidRDefault="00F42888" w:rsidP="00F42888">
            <w:pPr>
              <w:jc w:val="right"/>
              <w:rPr>
                <w:color w:val="000000"/>
                <w:sz w:val="22"/>
                <w:szCs w:val="22"/>
              </w:rPr>
            </w:pPr>
            <w:r w:rsidRPr="003A2A1C">
              <w:rPr>
                <w:color w:val="000000"/>
                <w:sz w:val="22"/>
                <w:szCs w:val="22"/>
              </w:rPr>
              <w:t xml:space="preserve">$0.05 </w:t>
            </w:r>
          </w:p>
        </w:tc>
        <w:tc>
          <w:tcPr>
            <w:tcW w:w="236" w:type="dxa"/>
            <w:tcBorders>
              <w:top w:val="nil"/>
              <w:left w:val="nil"/>
              <w:bottom w:val="nil"/>
              <w:right w:val="nil"/>
            </w:tcBorders>
            <w:shd w:val="clear" w:color="auto" w:fill="auto"/>
            <w:noWrap/>
            <w:vAlign w:val="bottom"/>
            <w:hideMark/>
          </w:tcPr>
          <w:p w14:paraId="5DE9115C" w14:textId="77777777" w:rsidR="00F42888" w:rsidRPr="003A2A1C" w:rsidRDefault="00F42888" w:rsidP="00F42888">
            <w:pPr>
              <w:jc w:val="right"/>
              <w:rPr>
                <w:color w:val="000000"/>
                <w:sz w:val="22"/>
                <w:szCs w:val="22"/>
              </w:rPr>
            </w:pPr>
          </w:p>
        </w:tc>
      </w:tr>
      <w:tr w:rsidR="00F42888" w:rsidRPr="003A2A1C" w14:paraId="0CD6BDF2" w14:textId="77777777" w:rsidTr="00F42888">
        <w:trPr>
          <w:trHeight w:val="286"/>
        </w:trPr>
        <w:tc>
          <w:tcPr>
            <w:tcW w:w="289" w:type="dxa"/>
            <w:tcBorders>
              <w:top w:val="nil"/>
              <w:left w:val="nil"/>
              <w:bottom w:val="nil"/>
              <w:right w:val="nil"/>
            </w:tcBorders>
            <w:shd w:val="clear" w:color="auto" w:fill="auto"/>
            <w:noWrap/>
            <w:vAlign w:val="bottom"/>
            <w:hideMark/>
          </w:tcPr>
          <w:p w14:paraId="641FB068" w14:textId="77777777" w:rsidR="00F42888" w:rsidRPr="003A2A1C" w:rsidRDefault="00F42888" w:rsidP="00F42888">
            <w:pPr>
              <w:rPr>
                <w:sz w:val="22"/>
                <w:szCs w:val="22"/>
              </w:rPr>
            </w:pPr>
          </w:p>
        </w:tc>
        <w:tc>
          <w:tcPr>
            <w:tcW w:w="5085" w:type="dxa"/>
            <w:tcBorders>
              <w:top w:val="nil"/>
              <w:left w:val="single" w:sz="8" w:space="0" w:color="auto"/>
              <w:bottom w:val="nil"/>
              <w:right w:val="nil"/>
            </w:tcBorders>
            <w:shd w:val="clear" w:color="auto" w:fill="auto"/>
            <w:noWrap/>
            <w:vAlign w:val="center"/>
            <w:hideMark/>
          </w:tcPr>
          <w:p w14:paraId="2EBF7833" w14:textId="77777777" w:rsidR="00F42888" w:rsidRPr="003A2A1C" w:rsidRDefault="00F42888" w:rsidP="00F42888">
            <w:pPr>
              <w:rPr>
                <w:sz w:val="22"/>
                <w:szCs w:val="22"/>
              </w:rPr>
            </w:pPr>
            <w:r w:rsidRPr="003A2A1C">
              <w:rPr>
                <w:sz w:val="22"/>
                <w:szCs w:val="22"/>
              </w:rPr>
              <w:t>(6,000 gallon cap)</w:t>
            </w:r>
          </w:p>
        </w:tc>
        <w:tc>
          <w:tcPr>
            <w:tcW w:w="1665" w:type="dxa"/>
            <w:gridSpan w:val="2"/>
            <w:tcBorders>
              <w:top w:val="nil"/>
              <w:left w:val="nil"/>
              <w:bottom w:val="nil"/>
              <w:right w:val="nil"/>
            </w:tcBorders>
            <w:shd w:val="clear" w:color="auto" w:fill="auto"/>
            <w:noWrap/>
            <w:vAlign w:val="center"/>
            <w:hideMark/>
          </w:tcPr>
          <w:p w14:paraId="0272FE05" w14:textId="77777777" w:rsidR="00F42888" w:rsidRPr="003A2A1C" w:rsidRDefault="00F42888" w:rsidP="00F42888">
            <w:pPr>
              <w:rPr>
                <w:sz w:val="22"/>
                <w:szCs w:val="22"/>
              </w:rPr>
            </w:pPr>
          </w:p>
        </w:tc>
        <w:tc>
          <w:tcPr>
            <w:tcW w:w="1669" w:type="dxa"/>
            <w:tcBorders>
              <w:top w:val="nil"/>
              <w:left w:val="nil"/>
              <w:bottom w:val="nil"/>
              <w:right w:val="nil"/>
            </w:tcBorders>
            <w:shd w:val="clear" w:color="auto" w:fill="auto"/>
            <w:noWrap/>
            <w:vAlign w:val="center"/>
            <w:hideMark/>
          </w:tcPr>
          <w:p w14:paraId="1087AFDB" w14:textId="77777777" w:rsidR="00F42888" w:rsidRPr="003A2A1C" w:rsidRDefault="00F42888" w:rsidP="00F42888">
            <w:pPr>
              <w:jc w:val="right"/>
              <w:rPr>
                <w:sz w:val="22"/>
                <w:szCs w:val="22"/>
              </w:rPr>
            </w:pPr>
          </w:p>
        </w:tc>
        <w:tc>
          <w:tcPr>
            <w:tcW w:w="2266" w:type="dxa"/>
            <w:tcBorders>
              <w:top w:val="nil"/>
              <w:left w:val="nil"/>
              <w:bottom w:val="nil"/>
              <w:right w:val="nil"/>
            </w:tcBorders>
            <w:shd w:val="clear" w:color="auto" w:fill="auto"/>
            <w:noWrap/>
            <w:vAlign w:val="center"/>
            <w:hideMark/>
          </w:tcPr>
          <w:p w14:paraId="40721437" w14:textId="77777777" w:rsidR="00F42888" w:rsidRPr="003A2A1C" w:rsidRDefault="00F42888" w:rsidP="00F42888">
            <w:pPr>
              <w:jc w:val="right"/>
              <w:rPr>
                <w:sz w:val="22"/>
                <w:szCs w:val="22"/>
              </w:rPr>
            </w:pPr>
          </w:p>
        </w:tc>
        <w:tc>
          <w:tcPr>
            <w:tcW w:w="1708" w:type="dxa"/>
            <w:tcBorders>
              <w:top w:val="nil"/>
              <w:left w:val="nil"/>
              <w:bottom w:val="nil"/>
              <w:right w:val="single" w:sz="8" w:space="0" w:color="auto"/>
            </w:tcBorders>
            <w:shd w:val="clear" w:color="auto" w:fill="auto"/>
            <w:noWrap/>
            <w:vAlign w:val="center"/>
            <w:hideMark/>
          </w:tcPr>
          <w:p w14:paraId="737E608A" w14:textId="77777777" w:rsidR="00F42888" w:rsidRPr="003A2A1C" w:rsidRDefault="00F42888" w:rsidP="00F42888">
            <w:pPr>
              <w:jc w:val="right"/>
              <w:rPr>
                <w:color w:val="000000"/>
                <w:sz w:val="22"/>
                <w:szCs w:val="22"/>
              </w:rPr>
            </w:pPr>
            <w:r w:rsidRPr="003A2A1C">
              <w:rPr>
                <w:color w:val="000000"/>
                <w:sz w:val="22"/>
                <w:szCs w:val="22"/>
              </w:rPr>
              <w:t> </w:t>
            </w:r>
          </w:p>
        </w:tc>
        <w:tc>
          <w:tcPr>
            <w:tcW w:w="236" w:type="dxa"/>
            <w:tcBorders>
              <w:top w:val="nil"/>
              <w:left w:val="nil"/>
              <w:bottom w:val="nil"/>
              <w:right w:val="nil"/>
            </w:tcBorders>
            <w:shd w:val="clear" w:color="auto" w:fill="auto"/>
            <w:noWrap/>
            <w:vAlign w:val="bottom"/>
            <w:hideMark/>
          </w:tcPr>
          <w:p w14:paraId="524A70D0" w14:textId="77777777" w:rsidR="00F42888" w:rsidRPr="003A2A1C" w:rsidRDefault="00F42888" w:rsidP="00F42888">
            <w:pPr>
              <w:jc w:val="right"/>
              <w:rPr>
                <w:color w:val="000000"/>
                <w:sz w:val="22"/>
                <w:szCs w:val="22"/>
              </w:rPr>
            </w:pPr>
          </w:p>
        </w:tc>
      </w:tr>
      <w:tr w:rsidR="00F42888" w:rsidRPr="003A2A1C" w14:paraId="0D4F1729" w14:textId="77777777" w:rsidTr="00F42888">
        <w:trPr>
          <w:trHeight w:val="81"/>
        </w:trPr>
        <w:tc>
          <w:tcPr>
            <w:tcW w:w="289" w:type="dxa"/>
            <w:tcBorders>
              <w:top w:val="nil"/>
              <w:left w:val="nil"/>
              <w:bottom w:val="nil"/>
              <w:right w:val="nil"/>
            </w:tcBorders>
            <w:shd w:val="clear" w:color="auto" w:fill="auto"/>
            <w:noWrap/>
            <w:vAlign w:val="bottom"/>
            <w:hideMark/>
          </w:tcPr>
          <w:p w14:paraId="2541B359" w14:textId="77777777" w:rsidR="00F42888" w:rsidRPr="00F42888" w:rsidRDefault="00F42888" w:rsidP="00F42888">
            <w:pPr>
              <w:rPr>
                <w:sz w:val="16"/>
                <w:szCs w:val="22"/>
              </w:rPr>
            </w:pPr>
          </w:p>
        </w:tc>
        <w:tc>
          <w:tcPr>
            <w:tcW w:w="5085" w:type="dxa"/>
            <w:tcBorders>
              <w:top w:val="nil"/>
              <w:left w:val="single" w:sz="8" w:space="0" w:color="auto"/>
              <w:bottom w:val="nil"/>
              <w:right w:val="nil"/>
            </w:tcBorders>
            <w:shd w:val="clear" w:color="auto" w:fill="auto"/>
            <w:noWrap/>
            <w:vAlign w:val="center"/>
            <w:hideMark/>
          </w:tcPr>
          <w:p w14:paraId="648A2D47" w14:textId="77777777" w:rsidR="00F42888" w:rsidRPr="00F42888" w:rsidRDefault="00F42888" w:rsidP="00F42888">
            <w:pPr>
              <w:rPr>
                <w:sz w:val="16"/>
                <w:szCs w:val="22"/>
              </w:rPr>
            </w:pPr>
            <w:r w:rsidRPr="00F42888">
              <w:rPr>
                <w:sz w:val="16"/>
                <w:szCs w:val="22"/>
              </w:rPr>
              <w:t> </w:t>
            </w:r>
          </w:p>
        </w:tc>
        <w:tc>
          <w:tcPr>
            <w:tcW w:w="1665" w:type="dxa"/>
            <w:gridSpan w:val="2"/>
            <w:tcBorders>
              <w:top w:val="nil"/>
              <w:left w:val="nil"/>
              <w:bottom w:val="nil"/>
              <w:right w:val="nil"/>
            </w:tcBorders>
            <w:shd w:val="clear" w:color="auto" w:fill="auto"/>
            <w:noWrap/>
            <w:vAlign w:val="center"/>
            <w:hideMark/>
          </w:tcPr>
          <w:p w14:paraId="23F7F5BB" w14:textId="77777777" w:rsidR="00F42888" w:rsidRPr="00F42888" w:rsidRDefault="00F42888" w:rsidP="00F42888">
            <w:pPr>
              <w:rPr>
                <w:sz w:val="16"/>
                <w:szCs w:val="22"/>
              </w:rPr>
            </w:pPr>
          </w:p>
        </w:tc>
        <w:tc>
          <w:tcPr>
            <w:tcW w:w="1669" w:type="dxa"/>
            <w:tcBorders>
              <w:top w:val="nil"/>
              <w:left w:val="nil"/>
              <w:bottom w:val="nil"/>
              <w:right w:val="nil"/>
            </w:tcBorders>
            <w:shd w:val="clear" w:color="auto" w:fill="auto"/>
            <w:noWrap/>
            <w:vAlign w:val="center"/>
            <w:hideMark/>
          </w:tcPr>
          <w:p w14:paraId="7A9AC0DA" w14:textId="77777777" w:rsidR="00F42888" w:rsidRPr="00F42888" w:rsidRDefault="00F42888" w:rsidP="00F42888">
            <w:pPr>
              <w:jc w:val="right"/>
              <w:rPr>
                <w:sz w:val="16"/>
                <w:szCs w:val="22"/>
              </w:rPr>
            </w:pPr>
          </w:p>
        </w:tc>
        <w:tc>
          <w:tcPr>
            <w:tcW w:w="2266" w:type="dxa"/>
            <w:tcBorders>
              <w:top w:val="nil"/>
              <w:left w:val="nil"/>
              <w:bottom w:val="nil"/>
              <w:right w:val="nil"/>
            </w:tcBorders>
            <w:shd w:val="clear" w:color="auto" w:fill="auto"/>
            <w:noWrap/>
            <w:vAlign w:val="center"/>
            <w:hideMark/>
          </w:tcPr>
          <w:p w14:paraId="1DE554B2" w14:textId="77777777" w:rsidR="00F42888" w:rsidRPr="00F42888" w:rsidRDefault="00F42888" w:rsidP="00F42888">
            <w:pPr>
              <w:jc w:val="right"/>
              <w:rPr>
                <w:sz w:val="16"/>
                <w:szCs w:val="22"/>
              </w:rPr>
            </w:pPr>
          </w:p>
        </w:tc>
        <w:tc>
          <w:tcPr>
            <w:tcW w:w="1708" w:type="dxa"/>
            <w:tcBorders>
              <w:top w:val="nil"/>
              <w:left w:val="nil"/>
              <w:bottom w:val="nil"/>
              <w:right w:val="single" w:sz="8" w:space="0" w:color="auto"/>
            </w:tcBorders>
            <w:shd w:val="clear" w:color="auto" w:fill="auto"/>
            <w:noWrap/>
            <w:vAlign w:val="center"/>
            <w:hideMark/>
          </w:tcPr>
          <w:p w14:paraId="01EF00EB" w14:textId="77777777" w:rsidR="00F42888" w:rsidRPr="00F42888" w:rsidRDefault="00F42888" w:rsidP="00F42888">
            <w:pPr>
              <w:jc w:val="right"/>
              <w:rPr>
                <w:color w:val="000000"/>
                <w:sz w:val="16"/>
                <w:szCs w:val="22"/>
              </w:rPr>
            </w:pPr>
            <w:r w:rsidRPr="00F42888">
              <w:rPr>
                <w:color w:val="000000"/>
                <w:sz w:val="16"/>
                <w:szCs w:val="22"/>
              </w:rPr>
              <w:t> </w:t>
            </w:r>
          </w:p>
        </w:tc>
        <w:tc>
          <w:tcPr>
            <w:tcW w:w="236" w:type="dxa"/>
            <w:tcBorders>
              <w:top w:val="nil"/>
              <w:left w:val="nil"/>
              <w:bottom w:val="nil"/>
              <w:right w:val="nil"/>
            </w:tcBorders>
            <w:shd w:val="clear" w:color="auto" w:fill="auto"/>
            <w:noWrap/>
            <w:vAlign w:val="bottom"/>
            <w:hideMark/>
          </w:tcPr>
          <w:p w14:paraId="4902D917" w14:textId="77777777" w:rsidR="00F42888" w:rsidRPr="00F42888" w:rsidRDefault="00F42888" w:rsidP="00F42888">
            <w:pPr>
              <w:jc w:val="right"/>
              <w:rPr>
                <w:color w:val="000000"/>
                <w:sz w:val="16"/>
                <w:szCs w:val="22"/>
              </w:rPr>
            </w:pPr>
          </w:p>
        </w:tc>
      </w:tr>
      <w:tr w:rsidR="00F42888" w:rsidRPr="003A2A1C" w14:paraId="6C5EEB5A" w14:textId="77777777" w:rsidTr="00F42888">
        <w:trPr>
          <w:trHeight w:val="286"/>
        </w:trPr>
        <w:tc>
          <w:tcPr>
            <w:tcW w:w="289" w:type="dxa"/>
            <w:tcBorders>
              <w:top w:val="nil"/>
              <w:left w:val="nil"/>
              <w:bottom w:val="nil"/>
              <w:right w:val="nil"/>
            </w:tcBorders>
            <w:shd w:val="clear" w:color="auto" w:fill="auto"/>
            <w:noWrap/>
            <w:vAlign w:val="bottom"/>
            <w:hideMark/>
          </w:tcPr>
          <w:p w14:paraId="2E38352C" w14:textId="77777777" w:rsidR="00F42888" w:rsidRPr="003A2A1C" w:rsidRDefault="00F42888" w:rsidP="00F42888">
            <w:pPr>
              <w:rPr>
                <w:sz w:val="22"/>
                <w:szCs w:val="22"/>
              </w:rPr>
            </w:pPr>
          </w:p>
        </w:tc>
        <w:tc>
          <w:tcPr>
            <w:tcW w:w="5085" w:type="dxa"/>
            <w:tcBorders>
              <w:top w:val="nil"/>
              <w:left w:val="single" w:sz="8" w:space="0" w:color="auto"/>
              <w:bottom w:val="nil"/>
              <w:right w:val="nil"/>
            </w:tcBorders>
            <w:shd w:val="clear" w:color="auto" w:fill="auto"/>
            <w:noWrap/>
            <w:vAlign w:val="center"/>
            <w:hideMark/>
          </w:tcPr>
          <w:p w14:paraId="3D5C9215" w14:textId="77777777" w:rsidR="00F42888" w:rsidRPr="003A2A1C" w:rsidRDefault="00F42888" w:rsidP="00F42888">
            <w:pPr>
              <w:rPr>
                <w:b/>
                <w:bCs/>
                <w:sz w:val="22"/>
                <w:szCs w:val="22"/>
                <w:u w:val="single"/>
              </w:rPr>
            </w:pPr>
            <w:r w:rsidRPr="003A2A1C">
              <w:rPr>
                <w:b/>
                <w:bCs/>
                <w:sz w:val="22"/>
                <w:szCs w:val="22"/>
                <w:u w:val="single"/>
              </w:rPr>
              <w:t>General Service</w:t>
            </w:r>
          </w:p>
        </w:tc>
        <w:tc>
          <w:tcPr>
            <w:tcW w:w="1665" w:type="dxa"/>
            <w:gridSpan w:val="2"/>
            <w:tcBorders>
              <w:top w:val="nil"/>
              <w:left w:val="nil"/>
              <w:bottom w:val="nil"/>
              <w:right w:val="nil"/>
            </w:tcBorders>
            <w:shd w:val="clear" w:color="auto" w:fill="auto"/>
            <w:noWrap/>
            <w:vAlign w:val="bottom"/>
            <w:hideMark/>
          </w:tcPr>
          <w:p w14:paraId="235CF2D7" w14:textId="77777777" w:rsidR="00F42888" w:rsidRPr="003A2A1C" w:rsidRDefault="00F42888" w:rsidP="00F42888">
            <w:pPr>
              <w:rPr>
                <w:b/>
                <w:bCs/>
                <w:sz w:val="22"/>
                <w:szCs w:val="22"/>
                <w:u w:val="single"/>
              </w:rPr>
            </w:pPr>
          </w:p>
        </w:tc>
        <w:tc>
          <w:tcPr>
            <w:tcW w:w="1669" w:type="dxa"/>
            <w:tcBorders>
              <w:top w:val="nil"/>
              <w:left w:val="nil"/>
              <w:bottom w:val="nil"/>
              <w:right w:val="nil"/>
            </w:tcBorders>
            <w:shd w:val="clear" w:color="auto" w:fill="auto"/>
            <w:noWrap/>
            <w:vAlign w:val="bottom"/>
            <w:hideMark/>
          </w:tcPr>
          <w:p w14:paraId="3FDCF953" w14:textId="77777777" w:rsidR="00F42888" w:rsidRPr="003A2A1C" w:rsidRDefault="00F42888" w:rsidP="00F42888">
            <w:pPr>
              <w:rPr>
                <w:sz w:val="22"/>
                <w:szCs w:val="22"/>
              </w:rPr>
            </w:pPr>
          </w:p>
        </w:tc>
        <w:tc>
          <w:tcPr>
            <w:tcW w:w="2266" w:type="dxa"/>
            <w:tcBorders>
              <w:top w:val="nil"/>
              <w:left w:val="nil"/>
              <w:bottom w:val="nil"/>
              <w:right w:val="nil"/>
            </w:tcBorders>
            <w:shd w:val="clear" w:color="auto" w:fill="auto"/>
            <w:noWrap/>
            <w:vAlign w:val="bottom"/>
            <w:hideMark/>
          </w:tcPr>
          <w:p w14:paraId="1B55A91D" w14:textId="77777777" w:rsidR="00F42888" w:rsidRPr="003A2A1C" w:rsidRDefault="00F42888" w:rsidP="00F42888">
            <w:pPr>
              <w:rPr>
                <w:sz w:val="22"/>
                <w:szCs w:val="22"/>
              </w:rPr>
            </w:pPr>
          </w:p>
        </w:tc>
        <w:tc>
          <w:tcPr>
            <w:tcW w:w="1708" w:type="dxa"/>
            <w:tcBorders>
              <w:top w:val="nil"/>
              <w:left w:val="nil"/>
              <w:bottom w:val="nil"/>
              <w:right w:val="single" w:sz="8" w:space="0" w:color="auto"/>
            </w:tcBorders>
            <w:shd w:val="clear" w:color="auto" w:fill="auto"/>
            <w:noWrap/>
            <w:vAlign w:val="center"/>
            <w:hideMark/>
          </w:tcPr>
          <w:p w14:paraId="40458DB5" w14:textId="77777777" w:rsidR="00F42888" w:rsidRPr="003A2A1C" w:rsidRDefault="00F42888" w:rsidP="00F42888">
            <w:pPr>
              <w:jc w:val="right"/>
              <w:rPr>
                <w:color w:val="000000"/>
                <w:sz w:val="22"/>
                <w:szCs w:val="22"/>
              </w:rPr>
            </w:pPr>
            <w:r w:rsidRPr="003A2A1C">
              <w:rPr>
                <w:color w:val="000000"/>
                <w:sz w:val="22"/>
                <w:szCs w:val="22"/>
              </w:rPr>
              <w:t> </w:t>
            </w:r>
          </w:p>
        </w:tc>
        <w:tc>
          <w:tcPr>
            <w:tcW w:w="236" w:type="dxa"/>
            <w:tcBorders>
              <w:top w:val="nil"/>
              <w:left w:val="nil"/>
              <w:bottom w:val="nil"/>
              <w:right w:val="nil"/>
            </w:tcBorders>
            <w:shd w:val="clear" w:color="auto" w:fill="auto"/>
            <w:noWrap/>
            <w:vAlign w:val="bottom"/>
            <w:hideMark/>
          </w:tcPr>
          <w:p w14:paraId="475A403B" w14:textId="77777777" w:rsidR="00F42888" w:rsidRPr="003A2A1C" w:rsidRDefault="00F42888" w:rsidP="00F42888">
            <w:pPr>
              <w:jc w:val="right"/>
              <w:rPr>
                <w:color w:val="000000"/>
                <w:sz w:val="22"/>
                <w:szCs w:val="22"/>
              </w:rPr>
            </w:pPr>
          </w:p>
        </w:tc>
      </w:tr>
      <w:tr w:rsidR="00F42888" w:rsidRPr="003A2A1C" w14:paraId="03136794" w14:textId="77777777" w:rsidTr="00F42888">
        <w:trPr>
          <w:trHeight w:val="286"/>
        </w:trPr>
        <w:tc>
          <w:tcPr>
            <w:tcW w:w="289" w:type="dxa"/>
            <w:tcBorders>
              <w:top w:val="nil"/>
              <w:left w:val="nil"/>
              <w:bottom w:val="nil"/>
              <w:right w:val="nil"/>
            </w:tcBorders>
            <w:shd w:val="clear" w:color="auto" w:fill="auto"/>
            <w:noWrap/>
            <w:vAlign w:val="bottom"/>
            <w:hideMark/>
          </w:tcPr>
          <w:p w14:paraId="1077C652" w14:textId="77777777" w:rsidR="00F42888" w:rsidRPr="003A2A1C" w:rsidRDefault="00F42888" w:rsidP="00F42888">
            <w:pPr>
              <w:rPr>
                <w:sz w:val="22"/>
                <w:szCs w:val="22"/>
              </w:rPr>
            </w:pPr>
          </w:p>
        </w:tc>
        <w:tc>
          <w:tcPr>
            <w:tcW w:w="5085" w:type="dxa"/>
            <w:tcBorders>
              <w:top w:val="nil"/>
              <w:left w:val="single" w:sz="8" w:space="0" w:color="auto"/>
              <w:bottom w:val="nil"/>
              <w:right w:val="nil"/>
            </w:tcBorders>
            <w:shd w:val="clear" w:color="auto" w:fill="auto"/>
            <w:noWrap/>
            <w:vAlign w:val="center"/>
            <w:hideMark/>
          </w:tcPr>
          <w:p w14:paraId="5DFFFD8C" w14:textId="77777777" w:rsidR="00F42888" w:rsidRPr="003A2A1C" w:rsidRDefault="00F42888" w:rsidP="00F42888">
            <w:pPr>
              <w:rPr>
                <w:sz w:val="22"/>
                <w:szCs w:val="22"/>
              </w:rPr>
            </w:pPr>
            <w:r w:rsidRPr="003A2A1C">
              <w:rPr>
                <w:sz w:val="22"/>
                <w:szCs w:val="22"/>
              </w:rPr>
              <w:t>Base Facility Charge by Meter Size</w:t>
            </w:r>
          </w:p>
        </w:tc>
        <w:tc>
          <w:tcPr>
            <w:tcW w:w="1665" w:type="dxa"/>
            <w:gridSpan w:val="2"/>
            <w:tcBorders>
              <w:top w:val="nil"/>
              <w:left w:val="nil"/>
              <w:bottom w:val="nil"/>
              <w:right w:val="nil"/>
            </w:tcBorders>
            <w:shd w:val="clear" w:color="auto" w:fill="auto"/>
            <w:noWrap/>
            <w:vAlign w:val="bottom"/>
            <w:hideMark/>
          </w:tcPr>
          <w:p w14:paraId="40AEC1D2" w14:textId="77777777" w:rsidR="00F42888" w:rsidRPr="003A2A1C" w:rsidRDefault="00F42888" w:rsidP="00F42888">
            <w:pPr>
              <w:rPr>
                <w:sz w:val="22"/>
                <w:szCs w:val="22"/>
              </w:rPr>
            </w:pPr>
          </w:p>
        </w:tc>
        <w:tc>
          <w:tcPr>
            <w:tcW w:w="1669" w:type="dxa"/>
            <w:tcBorders>
              <w:top w:val="nil"/>
              <w:left w:val="nil"/>
              <w:bottom w:val="nil"/>
              <w:right w:val="nil"/>
            </w:tcBorders>
            <w:shd w:val="clear" w:color="auto" w:fill="auto"/>
            <w:noWrap/>
            <w:vAlign w:val="bottom"/>
            <w:hideMark/>
          </w:tcPr>
          <w:p w14:paraId="0B4E6697" w14:textId="77777777" w:rsidR="00F42888" w:rsidRPr="003A2A1C" w:rsidRDefault="00F42888" w:rsidP="00F42888">
            <w:pPr>
              <w:rPr>
                <w:sz w:val="22"/>
                <w:szCs w:val="22"/>
              </w:rPr>
            </w:pPr>
          </w:p>
        </w:tc>
        <w:tc>
          <w:tcPr>
            <w:tcW w:w="2266" w:type="dxa"/>
            <w:tcBorders>
              <w:top w:val="nil"/>
              <w:left w:val="nil"/>
              <w:bottom w:val="nil"/>
              <w:right w:val="nil"/>
            </w:tcBorders>
            <w:shd w:val="clear" w:color="auto" w:fill="auto"/>
            <w:noWrap/>
            <w:vAlign w:val="bottom"/>
            <w:hideMark/>
          </w:tcPr>
          <w:p w14:paraId="59C26567" w14:textId="77777777" w:rsidR="00F42888" w:rsidRPr="003A2A1C" w:rsidRDefault="00F42888" w:rsidP="00F42888">
            <w:pPr>
              <w:rPr>
                <w:sz w:val="22"/>
                <w:szCs w:val="22"/>
              </w:rPr>
            </w:pPr>
          </w:p>
        </w:tc>
        <w:tc>
          <w:tcPr>
            <w:tcW w:w="1708" w:type="dxa"/>
            <w:tcBorders>
              <w:top w:val="nil"/>
              <w:left w:val="nil"/>
              <w:bottom w:val="nil"/>
              <w:right w:val="single" w:sz="8" w:space="0" w:color="auto"/>
            </w:tcBorders>
            <w:shd w:val="clear" w:color="auto" w:fill="auto"/>
            <w:noWrap/>
            <w:vAlign w:val="center"/>
            <w:hideMark/>
          </w:tcPr>
          <w:p w14:paraId="11B90340" w14:textId="77777777" w:rsidR="00F42888" w:rsidRPr="003A2A1C" w:rsidRDefault="00F42888" w:rsidP="00F42888">
            <w:pPr>
              <w:jc w:val="right"/>
              <w:rPr>
                <w:color w:val="000000"/>
                <w:sz w:val="22"/>
                <w:szCs w:val="22"/>
              </w:rPr>
            </w:pPr>
            <w:r w:rsidRPr="003A2A1C">
              <w:rPr>
                <w:color w:val="000000"/>
                <w:sz w:val="22"/>
                <w:szCs w:val="22"/>
              </w:rPr>
              <w:t> </w:t>
            </w:r>
          </w:p>
        </w:tc>
        <w:tc>
          <w:tcPr>
            <w:tcW w:w="236" w:type="dxa"/>
            <w:tcBorders>
              <w:top w:val="nil"/>
              <w:left w:val="nil"/>
              <w:bottom w:val="nil"/>
              <w:right w:val="nil"/>
            </w:tcBorders>
            <w:shd w:val="clear" w:color="auto" w:fill="auto"/>
            <w:noWrap/>
            <w:vAlign w:val="bottom"/>
            <w:hideMark/>
          </w:tcPr>
          <w:p w14:paraId="01BE7822" w14:textId="77777777" w:rsidR="00F42888" w:rsidRPr="003A2A1C" w:rsidRDefault="00F42888" w:rsidP="00F42888">
            <w:pPr>
              <w:jc w:val="right"/>
              <w:rPr>
                <w:color w:val="000000"/>
                <w:sz w:val="22"/>
                <w:szCs w:val="22"/>
              </w:rPr>
            </w:pPr>
          </w:p>
        </w:tc>
      </w:tr>
      <w:tr w:rsidR="00F42888" w:rsidRPr="003A2A1C" w14:paraId="64ABF098" w14:textId="77777777" w:rsidTr="00F42888">
        <w:trPr>
          <w:trHeight w:val="286"/>
        </w:trPr>
        <w:tc>
          <w:tcPr>
            <w:tcW w:w="289" w:type="dxa"/>
            <w:tcBorders>
              <w:top w:val="nil"/>
              <w:left w:val="nil"/>
              <w:bottom w:val="nil"/>
              <w:right w:val="nil"/>
            </w:tcBorders>
            <w:shd w:val="clear" w:color="auto" w:fill="auto"/>
            <w:noWrap/>
            <w:vAlign w:val="bottom"/>
            <w:hideMark/>
          </w:tcPr>
          <w:p w14:paraId="1A79473A" w14:textId="77777777" w:rsidR="00F42888" w:rsidRPr="003A2A1C" w:rsidRDefault="00F42888" w:rsidP="00F42888">
            <w:pPr>
              <w:rPr>
                <w:sz w:val="22"/>
                <w:szCs w:val="22"/>
              </w:rPr>
            </w:pPr>
          </w:p>
        </w:tc>
        <w:tc>
          <w:tcPr>
            <w:tcW w:w="5085" w:type="dxa"/>
            <w:tcBorders>
              <w:top w:val="nil"/>
              <w:left w:val="single" w:sz="8" w:space="0" w:color="000000"/>
              <w:bottom w:val="nil"/>
              <w:right w:val="nil"/>
            </w:tcBorders>
            <w:shd w:val="clear" w:color="auto" w:fill="auto"/>
            <w:noWrap/>
            <w:vAlign w:val="center"/>
            <w:hideMark/>
          </w:tcPr>
          <w:p w14:paraId="39AE37DC" w14:textId="77777777" w:rsidR="00F42888" w:rsidRPr="003A2A1C" w:rsidRDefault="00F42888" w:rsidP="00F42888">
            <w:pPr>
              <w:rPr>
                <w:color w:val="000000"/>
                <w:sz w:val="22"/>
                <w:szCs w:val="22"/>
              </w:rPr>
            </w:pPr>
            <w:r w:rsidRPr="003A2A1C">
              <w:rPr>
                <w:color w:val="000000"/>
                <w:sz w:val="22"/>
                <w:szCs w:val="22"/>
              </w:rPr>
              <w:t>5/8" x 3/4"</w:t>
            </w:r>
          </w:p>
        </w:tc>
        <w:tc>
          <w:tcPr>
            <w:tcW w:w="1665" w:type="dxa"/>
            <w:gridSpan w:val="2"/>
            <w:tcBorders>
              <w:top w:val="nil"/>
              <w:left w:val="nil"/>
              <w:bottom w:val="nil"/>
              <w:right w:val="nil"/>
            </w:tcBorders>
            <w:shd w:val="clear" w:color="auto" w:fill="auto"/>
            <w:noWrap/>
            <w:vAlign w:val="center"/>
            <w:hideMark/>
          </w:tcPr>
          <w:p w14:paraId="6BA1C330" w14:textId="77777777" w:rsidR="00F42888" w:rsidRPr="003A2A1C" w:rsidRDefault="00F42888" w:rsidP="00F42888">
            <w:pPr>
              <w:jc w:val="right"/>
              <w:rPr>
                <w:color w:val="000000"/>
                <w:sz w:val="22"/>
                <w:szCs w:val="22"/>
              </w:rPr>
            </w:pPr>
            <w:r w:rsidRPr="003A2A1C">
              <w:rPr>
                <w:color w:val="000000"/>
                <w:sz w:val="22"/>
                <w:szCs w:val="22"/>
              </w:rPr>
              <w:t xml:space="preserve">$9.98 </w:t>
            </w:r>
          </w:p>
        </w:tc>
        <w:tc>
          <w:tcPr>
            <w:tcW w:w="1669" w:type="dxa"/>
            <w:tcBorders>
              <w:top w:val="nil"/>
              <w:left w:val="nil"/>
              <w:bottom w:val="nil"/>
              <w:right w:val="nil"/>
            </w:tcBorders>
            <w:shd w:val="clear" w:color="auto" w:fill="auto"/>
            <w:noWrap/>
            <w:vAlign w:val="center"/>
            <w:hideMark/>
          </w:tcPr>
          <w:p w14:paraId="37C9EF04" w14:textId="77777777" w:rsidR="00F42888" w:rsidRPr="003A2A1C" w:rsidRDefault="00F42888" w:rsidP="00F42888">
            <w:pPr>
              <w:jc w:val="right"/>
              <w:rPr>
                <w:color w:val="000000"/>
                <w:sz w:val="22"/>
                <w:szCs w:val="22"/>
              </w:rPr>
            </w:pPr>
            <w:r w:rsidRPr="003A2A1C">
              <w:rPr>
                <w:color w:val="000000"/>
                <w:sz w:val="22"/>
                <w:szCs w:val="22"/>
              </w:rPr>
              <w:t xml:space="preserve">$25.12 </w:t>
            </w:r>
          </w:p>
        </w:tc>
        <w:tc>
          <w:tcPr>
            <w:tcW w:w="2266" w:type="dxa"/>
            <w:tcBorders>
              <w:top w:val="nil"/>
              <w:left w:val="nil"/>
              <w:bottom w:val="nil"/>
              <w:right w:val="nil"/>
            </w:tcBorders>
            <w:shd w:val="clear" w:color="auto" w:fill="auto"/>
            <w:noWrap/>
            <w:vAlign w:val="center"/>
            <w:hideMark/>
          </w:tcPr>
          <w:p w14:paraId="58E3398E" w14:textId="77777777" w:rsidR="00F42888" w:rsidRPr="003A2A1C" w:rsidRDefault="00F42888" w:rsidP="00F42888">
            <w:pPr>
              <w:jc w:val="right"/>
              <w:rPr>
                <w:color w:val="000000"/>
                <w:sz w:val="22"/>
                <w:szCs w:val="22"/>
              </w:rPr>
            </w:pPr>
            <w:r w:rsidRPr="003A2A1C">
              <w:rPr>
                <w:color w:val="000000"/>
                <w:sz w:val="22"/>
                <w:szCs w:val="22"/>
              </w:rPr>
              <w:t xml:space="preserve">$26.99 </w:t>
            </w:r>
          </w:p>
        </w:tc>
        <w:tc>
          <w:tcPr>
            <w:tcW w:w="1708" w:type="dxa"/>
            <w:tcBorders>
              <w:top w:val="nil"/>
              <w:left w:val="nil"/>
              <w:bottom w:val="nil"/>
              <w:right w:val="single" w:sz="8" w:space="0" w:color="auto"/>
            </w:tcBorders>
            <w:shd w:val="clear" w:color="auto" w:fill="auto"/>
            <w:noWrap/>
            <w:vAlign w:val="center"/>
            <w:hideMark/>
          </w:tcPr>
          <w:p w14:paraId="2023D2E8" w14:textId="77777777" w:rsidR="00F42888" w:rsidRPr="003A2A1C" w:rsidRDefault="00F42888" w:rsidP="00F42888">
            <w:pPr>
              <w:jc w:val="right"/>
              <w:rPr>
                <w:color w:val="000000"/>
                <w:sz w:val="22"/>
                <w:szCs w:val="22"/>
              </w:rPr>
            </w:pPr>
            <w:r w:rsidRPr="003A2A1C">
              <w:rPr>
                <w:color w:val="000000"/>
                <w:sz w:val="22"/>
                <w:szCs w:val="22"/>
              </w:rPr>
              <w:t xml:space="preserve">$0.16 </w:t>
            </w:r>
          </w:p>
        </w:tc>
        <w:tc>
          <w:tcPr>
            <w:tcW w:w="236" w:type="dxa"/>
            <w:tcBorders>
              <w:top w:val="nil"/>
              <w:left w:val="nil"/>
              <w:bottom w:val="nil"/>
              <w:right w:val="nil"/>
            </w:tcBorders>
            <w:shd w:val="clear" w:color="auto" w:fill="auto"/>
            <w:noWrap/>
            <w:vAlign w:val="bottom"/>
            <w:hideMark/>
          </w:tcPr>
          <w:p w14:paraId="195ECB5A" w14:textId="77777777" w:rsidR="00F42888" w:rsidRPr="003A2A1C" w:rsidRDefault="00F42888" w:rsidP="00F42888">
            <w:pPr>
              <w:jc w:val="right"/>
              <w:rPr>
                <w:color w:val="000000"/>
                <w:sz w:val="22"/>
                <w:szCs w:val="22"/>
              </w:rPr>
            </w:pPr>
          </w:p>
        </w:tc>
      </w:tr>
      <w:tr w:rsidR="00F42888" w:rsidRPr="003A2A1C" w14:paraId="192A5D42" w14:textId="77777777" w:rsidTr="00F42888">
        <w:trPr>
          <w:trHeight w:val="243"/>
        </w:trPr>
        <w:tc>
          <w:tcPr>
            <w:tcW w:w="289" w:type="dxa"/>
            <w:tcBorders>
              <w:top w:val="nil"/>
              <w:left w:val="nil"/>
              <w:bottom w:val="nil"/>
              <w:right w:val="nil"/>
            </w:tcBorders>
            <w:shd w:val="clear" w:color="auto" w:fill="auto"/>
            <w:noWrap/>
            <w:vAlign w:val="bottom"/>
            <w:hideMark/>
          </w:tcPr>
          <w:p w14:paraId="3339DA33" w14:textId="77777777" w:rsidR="00F42888" w:rsidRPr="003A2A1C" w:rsidRDefault="00F42888" w:rsidP="00F42888">
            <w:pPr>
              <w:rPr>
                <w:sz w:val="22"/>
                <w:szCs w:val="22"/>
              </w:rPr>
            </w:pPr>
          </w:p>
        </w:tc>
        <w:tc>
          <w:tcPr>
            <w:tcW w:w="5085" w:type="dxa"/>
            <w:tcBorders>
              <w:top w:val="nil"/>
              <w:left w:val="single" w:sz="8" w:space="0" w:color="auto"/>
              <w:bottom w:val="nil"/>
              <w:right w:val="nil"/>
            </w:tcBorders>
            <w:shd w:val="clear" w:color="auto" w:fill="auto"/>
            <w:noWrap/>
            <w:vAlign w:val="center"/>
            <w:hideMark/>
          </w:tcPr>
          <w:p w14:paraId="4D74AE58" w14:textId="77777777" w:rsidR="00F42888" w:rsidRPr="003A2A1C" w:rsidRDefault="00F42888" w:rsidP="00F42888">
            <w:pPr>
              <w:rPr>
                <w:color w:val="000000"/>
                <w:sz w:val="22"/>
                <w:szCs w:val="22"/>
              </w:rPr>
            </w:pPr>
            <w:r w:rsidRPr="003A2A1C">
              <w:rPr>
                <w:color w:val="000000"/>
                <w:sz w:val="22"/>
                <w:szCs w:val="22"/>
              </w:rPr>
              <w:t>3/4"</w:t>
            </w:r>
          </w:p>
        </w:tc>
        <w:tc>
          <w:tcPr>
            <w:tcW w:w="1665" w:type="dxa"/>
            <w:gridSpan w:val="2"/>
            <w:tcBorders>
              <w:top w:val="nil"/>
              <w:left w:val="nil"/>
              <w:bottom w:val="nil"/>
              <w:right w:val="nil"/>
            </w:tcBorders>
            <w:shd w:val="clear" w:color="auto" w:fill="auto"/>
            <w:noWrap/>
            <w:vAlign w:val="center"/>
            <w:hideMark/>
          </w:tcPr>
          <w:p w14:paraId="10513B51" w14:textId="77777777" w:rsidR="00F42888" w:rsidRPr="003A2A1C" w:rsidRDefault="00F42888" w:rsidP="00F42888">
            <w:pPr>
              <w:jc w:val="right"/>
              <w:rPr>
                <w:color w:val="000000"/>
                <w:sz w:val="22"/>
                <w:szCs w:val="22"/>
              </w:rPr>
            </w:pPr>
            <w:r w:rsidRPr="003A2A1C">
              <w:rPr>
                <w:color w:val="000000"/>
                <w:sz w:val="22"/>
                <w:szCs w:val="22"/>
              </w:rPr>
              <w:t xml:space="preserve">$14.97 </w:t>
            </w:r>
          </w:p>
        </w:tc>
        <w:tc>
          <w:tcPr>
            <w:tcW w:w="1669" w:type="dxa"/>
            <w:tcBorders>
              <w:top w:val="nil"/>
              <w:left w:val="nil"/>
              <w:bottom w:val="nil"/>
              <w:right w:val="nil"/>
            </w:tcBorders>
            <w:shd w:val="clear" w:color="auto" w:fill="auto"/>
            <w:noWrap/>
            <w:vAlign w:val="center"/>
            <w:hideMark/>
          </w:tcPr>
          <w:p w14:paraId="175D41A2" w14:textId="77777777" w:rsidR="00F42888" w:rsidRPr="003A2A1C" w:rsidRDefault="00F42888" w:rsidP="00F42888">
            <w:pPr>
              <w:jc w:val="right"/>
              <w:rPr>
                <w:color w:val="000000"/>
                <w:sz w:val="22"/>
                <w:szCs w:val="22"/>
              </w:rPr>
            </w:pPr>
            <w:r w:rsidRPr="003A2A1C">
              <w:rPr>
                <w:color w:val="000000"/>
                <w:sz w:val="22"/>
                <w:szCs w:val="22"/>
              </w:rPr>
              <w:t xml:space="preserve">$37.68 </w:t>
            </w:r>
          </w:p>
        </w:tc>
        <w:tc>
          <w:tcPr>
            <w:tcW w:w="2266" w:type="dxa"/>
            <w:tcBorders>
              <w:top w:val="nil"/>
              <w:left w:val="nil"/>
              <w:bottom w:val="nil"/>
              <w:right w:val="nil"/>
            </w:tcBorders>
            <w:shd w:val="clear" w:color="auto" w:fill="auto"/>
            <w:noWrap/>
            <w:vAlign w:val="center"/>
            <w:hideMark/>
          </w:tcPr>
          <w:p w14:paraId="6FABA7F5" w14:textId="77777777" w:rsidR="00F42888" w:rsidRPr="003A2A1C" w:rsidRDefault="00F42888" w:rsidP="00F42888">
            <w:pPr>
              <w:jc w:val="right"/>
              <w:rPr>
                <w:color w:val="000000"/>
                <w:sz w:val="22"/>
                <w:szCs w:val="22"/>
              </w:rPr>
            </w:pPr>
            <w:r w:rsidRPr="003A2A1C">
              <w:rPr>
                <w:color w:val="000000"/>
                <w:sz w:val="22"/>
                <w:szCs w:val="22"/>
              </w:rPr>
              <w:t xml:space="preserve">$40.49 </w:t>
            </w:r>
          </w:p>
        </w:tc>
        <w:tc>
          <w:tcPr>
            <w:tcW w:w="1708" w:type="dxa"/>
            <w:tcBorders>
              <w:top w:val="nil"/>
              <w:left w:val="nil"/>
              <w:bottom w:val="nil"/>
              <w:right w:val="single" w:sz="8" w:space="0" w:color="auto"/>
            </w:tcBorders>
            <w:shd w:val="clear" w:color="auto" w:fill="auto"/>
            <w:noWrap/>
            <w:vAlign w:val="center"/>
            <w:hideMark/>
          </w:tcPr>
          <w:p w14:paraId="2757667B" w14:textId="77777777" w:rsidR="00F42888" w:rsidRPr="003A2A1C" w:rsidRDefault="00F42888" w:rsidP="00F42888">
            <w:pPr>
              <w:jc w:val="right"/>
              <w:rPr>
                <w:color w:val="000000"/>
                <w:sz w:val="22"/>
                <w:szCs w:val="22"/>
              </w:rPr>
            </w:pPr>
            <w:r w:rsidRPr="003A2A1C">
              <w:rPr>
                <w:color w:val="000000"/>
                <w:sz w:val="22"/>
                <w:szCs w:val="22"/>
              </w:rPr>
              <w:t xml:space="preserve">$0.23 </w:t>
            </w:r>
          </w:p>
        </w:tc>
        <w:tc>
          <w:tcPr>
            <w:tcW w:w="236" w:type="dxa"/>
            <w:tcBorders>
              <w:top w:val="nil"/>
              <w:left w:val="nil"/>
              <w:bottom w:val="nil"/>
              <w:right w:val="nil"/>
            </w:tcBorders>
            <w:shd w:val="clear" w:color="auto" w:fill="auto"/>
            <w:noWrap/>
            <w:vAlign w:val="bottom"/>
            <w:hideMark/>
          </w:tcPr>
          <w:p w14:paraId="5F03358D" w14:textId="77777777" w:rsidR="00F42888" w:rsidRPr="003A2A1C" w:rsidRDefault="00F42888" w:rsidP="00F42888">
            <w:pPr>
              <w:jc w:val="right"/>
              <w:rPr>
                <w:color w:val="000000"/>
                <w:sz w:val="22"/>
                <w:szCs w:val="22"/>
              </w:rPr>
            </w:pPr>
          </w:p>
        </w:tc>
      </w:tr>
      <w:tr w:rsidR="00F42888" w:rsidRPr="003A2A1C" w14:paraId="5E99B2EC" w14:textId="77777777" w:rsidTr="00F42888">
        <w:trPr>
          <w:trHeight w:val="243"/>
        </w:trPr>
        <w:tc>
          <w:tcPr>
            <w:tcW w:w="289" w:type="dxa"/>
            <w:tcBorders>
              <w:top w:val="nil"/>
              <w:left w:val="nil"/>
              <w:bottom w:val="nil"/>
              <w:right w:val="nil"/>
            </w:tcBorders>
            <w:shd w:val="clear" w:color="auto" w:fill="auto"/>
            <w:noWrap/>
            <w:vAlign w:val="bottom"/>
            <w:hideMark/>
          </w:tcPr>
          <w:p w14:paraId="09486A32" w14:textId="77777777" w:rsidR="00F42888" w:rsidRPr="003A2A1C" w:rsidRDefault="00F42888" w:rsidP="00F42888">
            <w:pPr>
              <w:rPr>
                <w:sz w:val="22"/>
                <w:szCs w:val="22"/>
              </w:rPr>
            </w:pPr>
          </w:p>
        </w:tc>
        <w:tc>
          <w:tcPr>
            <w:tcW w:w="5085" w:type="dxa"/>
            <w:tcBorders>
              <w:top w:val="nil"/>
              <w:left w:val="single" w:sz="8" w:space="0" w:color="auto"/>
              <w:bottom w:val="nil"/>
              <w:right w:val="nil"/>
            </w:tcBorders>
            <w:shd w:val="clear" w:color="auto" w:fill="auto"/>
            <w:noWrap/>
            <w:vAlign w:val="center"/>
            <w:hideMark/>
          </w:tcPr>
          <w:p w14:paraId="3A1EC300" w14:textId="77777777" w:rsidR="00F42888" w:rsidRPr="003A2A1C" w:rsidRDefault="00F42888" w:rsidP="00F42888">
            <w:pPr>
              <w:rPr>
                <w:color w:val="000000"/>
                <w:sz w:val="22"/>
                <w:szCs w:val="22"/>
              </w:rPr>
            </w:pPr>
            <w:r w:rsidRPr="003A2A1C">
              <w:rPr>
                <w:color w:val="000000"/>
                <w:sz w:val="22"/>
                <w:szCs w:val="22"/>
              </w:rPr>
              <w:t>1"</w:t>
            </w:r>
          </w:p>
        </w:tc>
        <w:tc>
          <w:tcPr>
            <w:tcW w:w="1665" w:type="dxa"/>
            <w:gridSpan w:val="2"/>
            <w:tcBorders>
              <w:top w:val="nil"/>
              <w:left w:val="nil"/>
              <w:bottom w:val="nil"/>
              <w:right w:val="nil"/>
            </w:tcBorders>
            <w:shd w:val="clear" w:color="auto" w:fill="auto"/>
            <w:noWrap/>
            <w:vAlign w:val="center"/>
            <w:hideMark/>
          </w:tcPr>
          <w:p w14:paraId="492BB1BD" w14:textId="77777777" w:rsidR="00F42888" w:rsidRPr="003A2A1C" w:rsidRDefault="00F42888" w:rsidP="00F42888">
            <w:pPr>
              <w:jc w:val="right"/>
              <w:rPr>
                <w:color w:val="000000"/>
                <w:sz w:val="22"/>
                <w:szCs w:val="22"/>
              </w:rPr>
            </w:pPr>
            <w:r w:rsidRPr="003A2A1C">
              <w:rPr>
                <w:color w:val="000000"/>
                <w:sz w:val="22"/>
                <w:szCs w:val="22"/>
              </w:rPr>
              <w:t xml:space="preserve">$24.95 </w:t>
            </w:r>
          </w:p>
        </w:tc>
        <w:tc>
          <w:tcPr>
            <w:tcW w:w="1669" w:type="dxa"/>
            <w:tcBorders>
              <w:top w:val="nil"/>
              <w:left w:val="nil"/>
              <w:bottom w:val="nil"/>
              <w:right w:val="nil"/>
            </w:tcBorders>
            <w:shd w:val="clear" w:color="auto" w:fill="auto"/>
            <w:noWrap/>
            <w:vAlign w:val="center"/>
            <w:hideMark/>
          </w:tcPr>
          <w:p w14:paraId="2C4E783A" w14:textId="77777777" w:rsidR="00F42888" w:rsidRPr="003A2A1C" w:rsidRDefault="00F42888" w:rsidP="00F42888">
            <w:pPr>
              <w:jc w:val="right"/>
              <w:rPr>
                <w:color w:val="000000"/>
                <w:sz w:val="22"/>
                <w:szCs w:val="22"/>
              </w:rPr>
            </w:pPr>
            <w:r w:rsidRPr="003A2A1C">
              <w:rPr>
                <w:color w:val="000000"/>
                <w:sz w:val="22"/>
                <w:szCs w:val="22"/>
              </w:rPr>
              <w:t xml:space="preserve">$62.80 </w:t>
            </w:r>
          </w:p>
        </w:tc>
        <w:tc>
          <w:tcPr>
            <w:tcW w:w="2266" w:type="dxa"/>
            <w:tcBorders>
              <w:top w:val="nil"/>
              <w:left w:val="nil"/>
              <w:bottom w:val="nil"/>
              <w:right w:val="nil"/>
            </w:tcBorders>
            <w:shd w:val="clear" w:color="auto" w:fill="auto"/>
            <w:noWrap/>
            <w:vAlign w:val="center"/>
            <w:hideMark/>
          </w:tcPr>
          <w:p w14:paraId="5967175F" w14:textId="77777777" w:rsidR="00F42888" w:rsidRPr="003A2A1C" w:rsidRDefault="00F42888" w:rsidP="00F42888">
            <w:pPr>
              <w:jc w:val="right"/>
              <w:rPr>
                <w:color w:val="000000"/>
                <w:sz w:val="22"/>
                <w:szCs w:val="22"/>
              </w:rPr>
            </w:pPr>
            <w:r w:rsidRPr="003A2A1C">
              <w:rPr>
                <w:color w:val="000000"/>
                <w:sz w:val="22"/>
                <w:szCs w:val="22"/>
              </w:rPr>
              <w:t xml:space="preserve">$67.48 </w:t>
            </w:r>
          </w:p>
        </w:tc>
        <w:tc>
          <w:tcPr>
            <w:tcW w:w="1708" w:type="dxa"/>
            <w:tcBorders>
              <w:top w:val="nil"/>
              <w:left w:val="nil"/>
              <w:bottom w:val="nil"/>
              <w:right w:val="single" w:sz="8" w:space="0" w:color="auto"/>
            </w:tcBorders>
            <w:shd w:val="clear" w:color="auto" w:fill="auto"/>
            <w:noWrap/>
            <w:vAlign w:val="center"/>
            <w:hideMark/>
          </w:tcPr>
          <w:p w14:paraId="62F86A3B" w14:textId="77777777" w:rsidR="00F42888" w:rsidRPr="003A2A1C" w:rsidRDefault="00F42888" w:rsidP="00F42888">
            <w:pPr>
              <w:jc w:val="right"/>
              <w:rPr>
                <w:color w:val="000000"/>
                <w:sz w:val="22"/>
                <w:szCs w:val="22"/>
              </w:rPr>
            </w:pPr>
            <w:r w:rsidRPr="003A2A1C">
              <w:rPr>
                <w:color w:val="000000"/>
                <w:sz w:val="22"/>
                <w:szCs w:val="22"/>
              </w:rPr>
              <w:t xml:space="preserve">$0.39 </w:t>
            </w:r>
          </w:p>
        </w:tc>
        <w:tc>
          <w:tcPr>
            <w:tcW w:w="236" w:type="dxa"/>
            <w:tcBorders>
              <w:top w:val="nil"/>
              <w:left w:val="nil"/>
              <w:bottom w:val="nil"/>
              <w:right w:val="nil"/>
            </w:tcBorders>
            <w:shd w:val="clear" w:color="auto" w:fill="auto"/>
            <w:noWrap/>
            <w:vAlign w:val="bottom"/>
            <w:hideMark/>
          </w:tcPr>
          <w:p w14:paraId="6F1047A7" w14:textId="77777777" w:rsidR="00F42888" w:rsidRPr="003A2A1C" w:rsidRDefault="00F42888" w:rsidP="00F42888">
            <w:pPr>
              <w:jc w:val="right"/>
              <w:rPr>
                <w:color w:val="000000"/>
                <w:sz w:val="22"/>
                <w:szCs w:val="22"/>
              </w:rPr>
            </w:pPr>
          </w:p>
        </w:tc>
      </w:tr>
      <w:tr w:rsidR="00F42888" w:rsidRPr="003A2A1C" w14:paraId="75A948C0" w14:textId="77777777" w:rsidTr="00F42888">
        <w:trPr>
          <w:trHeight w:val="243"/>
        </w:trPr>
        <w:tc>
          <w:tcPr>
            <w:tcW w:w="289" w:type="dxa"/>
            <w:tcBorders>
              <w:top w:val="nil"/>
              <w:left w:val="nil"/>
              <w:bottom w:val="nil"/>
              <w:right w:val="nil"/>
            </w:tcBorders>
            <w:shd w:val="clear" w:color="auto" w:fill="auto"/>
            <w:noWrap/>
            <w:vAlign w:val="bottom"/>
            <w:hideMark/>
          </w:tcPr>
          <w:p w14:paraId="4971FF3F" w14:textId="77777777" w:rsidR="00F42888" w:rsidRPr="003A2A1C" w:rsidRDefault="00F42888" w:rsidP="00F42888">
            <w:pPr>
              <w:rPr>
                <w:sz w:val="22"/>
                <w:szCs w:val="22"/>
              </w:rPr>
            </w:pPr>
          </w:p>
        </w:tc>
        <w:tc>
          <w:tcPr>
            <w:tcW w:w="5085" w:type="dxa"/>
            <w:tcBorders>
              <w:top w:val="nil"/>
              <w:left w:val="single" w:sz="8" w:space="0" w:color="auto"/>
              <w:bottom w:val="nil"/>
              <w:right w:val="nil"/>
            </w:tcBorders>
            <w:shd w:val="clear" w:color="auto" w:fill="auto"/>
            <w:noWrap/>
            <w:vAlign w:val="center"/>
            <w:hideMark/>
          </w:tcPr>
          <w:p w14:paraId="3559E2DD" w14:textId="77777777" w:rsidR="00F42888" w:rsidRPr="003A2A1C" w:rsidRDefault="00F42888" w:rsidP="00F42888">
            <w:pPr>
              <w:rPr>
                <w:color w:val="000000"/>
                <w:sz w:val="22"/>
                <w:szCs w:val="22"/>
              </w:rPr>
            </w:pPr>
            <w:r w:rsidRPr="003A2A1C">
              <w:rPr>
                <w:color w:val="000000"/>
                <w:sz w:val="22"/>
                <w:szCs w:val="22"/>
              </w:rPr>
              <w:t>1-1/2"</w:t>
            </w:r>
          </w:p>
        </w:tc>
        <w:tc>
          <w:tcPr>
            <w:tcW w:w="1665" w:type="dxa"/>
            <w:gridSpan w:val="2"/>
            <w:tcBorders>
              <w:top w:val="nil"/>
              <w:left w:val="nil"/>
              <w:bottom w:val="nil"/>
              <w:right w:val="nil"/>
            </w:tcBorders>
            <w:shd w:val="clear" w:color="auto" w:fill="auto"/>
            <w:noWrap/>
            <w:vAlign w:val="center"/>
            <w:hideMark/>
          </w:tcPr>
          <w:p w14:paraId="5460FCFE" w14:textId="77777777" w:rsidR="00F42888" w:rsidRPr="003A2A1C" w:rsidRDefault="00F42888" w:rsidP="00F42888">
            <w:pPr>
              <w:jc w:val="right"/>
              <w:rPr>
                <w:color w:val="000000"/>
                <w:sz w:val="22"/>
                <w:szCs w:val="22"/>
              </w:rPr>
            </w:pPr>
            <w:r w:rsidRPr="003A2A1C">
              <w:rPr>
                <w:color w:val="000000"/>
                <w:sz w:val="22"/>
                <w:szCs w:val="22"/>
              </w:rPr>
              <w:t xml:space="preserve">$49.90 </w:t>
            </w:r>
          </w:p>
        </w:tc>
        <w:tc>
          <w:tcPr>
            <w:tcW w:w="1669" w:type="dxa"/>
            <w:tcBorders>
              <w:top w:val="nil"/>
              <w:left w:val="nil"/>
              <w:bottom w:val="nil"/>
              <w:right w:val="nil"/>
            </w:tcBorders>
            <w:shd w:val="clear" w:color="auto" w:fill="auto"/>
            <w:noWrap/>
            <w:vAlign w:val="center"/>
            <w:hideMark/>
          </w:tcPr>
          <w:p w14:paraId="27D68BC5" w14:textId="77777777" w:rsidR="00F42888" w:rsidRPr="003A2A1C" w:rsidRDefault="00F42888" w:rsidP="00F42888">
            <w:pPr>
              <w:jc w:val="right"/>
              <w:rPr>
                <w:color w:val="000000"/>
                <w:sz w:val="22"/>
                <w:szCs w:val="22"/>
              </w:rPr>
            </w:pPr>
            <w:r w:rsidRPr="003A2A1C">
              <w:rPr>
                <w:color w:val="000000"/>
                <w:sz w:val="22"/>
                <w:szCs w:val="22"/>
              </w:rPr>
              <w:t xml:space="preserve">$125.60 </w:t>
            </w:r>
          </w:p>
        </w:tc>
        <w:tc>
          <w:tcPr>
            <w:tcW w:w="2266" w:type="dxa"/>
            <w:tcBorders>
              <w:top w:val="nil"/>
              <w:left w:val="nil"/>
              <w:bottom w:val="nil"/>
              <w:right w:val="nil"/>
            </w:tcBorders>
            <w:shd w:val="clear" w:color="auto" w:fill="auto"/>
            <w:noWrap/>
            <w:vAlign w:val="center"/>
            <w:hideMark/>
          </w:tcPr>
          <w:p w14:paraId="6CBCC2D4" w14:textId="77777777" w:rsidR="00F42888" w:rsidRPr="003A2A1C" w:rsidRDefault="00F42888" w:rsidP="00F42888">
            <w:pPr>
              <w:jc w:val="right"/>
              <w:rPr>
                <w:color w:val="000000"/>
                <w:sz w:val="22"/>
                <w:szCs w:val="22"/>
              </w:rPr>
            </w:pPr>
            <w:r w:rsidRPr="003A2A1C">
              <w:rPr>
                <w:color w:val="000000"/>
                <w:sz w:val="22"/>
                <w:szCs w:val="22"/>
              </w:rPr>
              <w:t xml:space="preserve">$134.95 </w:t>
            </w:r>
          </w:p>
        </w:tc>
        <w:tc>
          <w:tcPr>
            <w:tcW w:w="1708" w:type="dxa"/>
            <w:tcBorders>
              <w:top w:val="nil"/>
              <w:left w:val="nil"/>
              <w:bottom w:val="nil"/>
              <w:right w:val="single" w:sz="8" w:space="0" w:color="auto"/>
            </w:tcBorders>
            <w:shd w:val="clear" w:color="auto" w:fill="auto"/>
            <w:noWrap/>
            <w:vAlign w:val="center"/>
            <w:hideMark/>
          </w:tcPr>
          <w:p w14:paraId="208B3D0C" w14:textId="77777777" w:rsidR="00F42888" w:rsidRPr="003A2A1C" w:rsidRDefault="00F42888" w:rsidP="00F42888">
            <w:pPr>
              <w:jc w:val="right"/>
              <w:rPr>
                <w:color w:val="000000"/>
                <w:sz w:val="22"/>
                <w:szCs w:val="22"/>
              </w:rPr>
            </w:pPr>
            <w:r w:rsidRPr="003A2A1C">
              <w:rPr>
                <w:color w:val="000000"/>
                <w:sz w:val="22"/>
                <w:szCs w:val="22"/>
              </w:rPr>
              <w:t xml:space="preserve">$0.78 </w:t>
            </w:r>
          </w:p>
        </w:tc>
        <w:tc>
          <w:tcPr>
            <w:tcW w:w="236" w:type="dxa"/>
            <w:tcBorders>
              <w:top w:val="nil"/>
              <w:left w:val="nil"/>
              <w:bottom w:val="nil"/>
              <w:right w:val="nil"/>
            </w:tcBorders>
            <w:shd w:val="clear" w:color="auto" w:fill="auto"/>
            <w:noWrap/>
            <w:vAlign w:val="bottom"/>
            <w:hideMark/>
          </w:tcPr>
          <w:p w14:paraId="18B1BCEB" w14:textId="77777777" w:rsidR="00F42888" w:rsidRPr="003A2A1C" w:rsidRDefault="00F42888" w:rsidP="00F42888">
            <w:pPr>
              <w:jc w:val="right"/>
              <w:rPr>
                <w:color w:val="000000"/>
                <w:sz w:val="22"/>
                <w:szCs w:val="22"/>
              </w:rPr>
            </w:pPr>
          </w:p>
        </w:tc>
      </w:tr>
      <w:tr w:rsidR="00F42888" w:rsidRPr="003A2A1C" w14:paraId="11D93FD0" w14:textId="77777777" w:rsidTr="00F42888">
        <w:trPr>
          <w:trHeight w:val="243"/>
        </w:trPr>
        <w:tc>
          <w:tcPr>
            <w:tcW w:w="289" w:type="dxa"/>
            <w:tcBorders>
              <w:top w:val="nil"/>
              <w:left w:val="nil"/>
              <w:bottom w:val="nil"/>
              <w:right w:val="nil"/>
            </w:tcBorders>
            <w:shd w:val="clear" w:color="auto" w:fill="auto"/>
            <w:noWrap/>
            <w:vAlign w:val="bottom"/>
            <w:hideMark/>
          </w:tcPr>
          <w:p w14:paraId="7A58F597" w14:textId="77777777" w:rsidR="00F42888" w:rsidRPr="003A2A1C" w:rsidRDefault="00F42888" w:rsidP="00F42888">
            <w:pPr>
              <w:rPr>
                <w:sz w:val="22"/>
                <w:szCs w:val="22"/>
              </w:rPr>
            </w:pPr>
          </w:p>
        </w:tc>
        <w:tc>
          <w:tcPr>
            <w:tcW w:w="5085" w:type="dxa"/>
            <w:tcBorders>
              <w:top w:val="nil"/>
              <w:left w:val="single" w:sz="8" w:space="0" w:color="auto"/>
              <w:bottom w:val="nil"/>
              <w:right w:val="nil"/>
            </w:tcBorders>
            <w:shd w:val="clear" w:color="auto" w:fill="auto"/>
            <w:noWrap/>
            <w:vAlign w:val="center"/>
            <w:hideMark/>
          </w:tcPr>
          <w:p w14:paraId="41D2AE32" w14:textId="77777777" w:rsidR="00F42888" w:rsidRPr="003A2A1C" w:rsidRDefault="00F42888" w:rsidP="00F42888">
            <w:pPr>
              <w:rPr>
                <w:color w:val="000000"/>
                <w:sz w:val="22"/>
                <w:szCs w:val="22"/>
              </w:rPr>
            </w:pPr>
            <w:r w:rsidRPr="003A2A1C">
              <w:rPr>
                <w:color w:val="000000"/>
                <w:sz w:val="22"/>
                <w:szCs w:val="22"/>
              </w:rPr>
              <w:t>2"</w:t>
            </w:r>
          </w:p>
        </w:tc>
        <w:tc>
          <w:tcPr>
            <w:tcW w:w="1665" w:type="dxa"/>
            <w:gridSpan w:val="2"/>
            <w:tcBorders>
              <w:top w:val="nil"/>
              <w:left w:val="nil"/>
              <w:bottom w:val="nil"/>
              <w:right w:val="nil"/>
            </w:tcBorders>
            <w:shd w:val="clear" w:color="auto" w:fill="auto"/>
            <w:noWrap/>
            <w:vAlign w:val="center"/>
            <w:hideMark/>
          </w:tcPr>
          <w:p w14:paraId="4A71963F" w14:textId="77777777" w:rsidR="00F42888" w:rsidRPr="003A2A1C" w:rsidRDefault="00F42888" w:rsidP="00F42888">
            <w:pPr>
              <w:jc w:val="right"/>
              <w:rPr>
                <w:color w:val="000000"/>
                <w:sz w:val="22"/>
                <w:szCs w:val="22"/>
              </w:rPr>
            </w:pPr>
            <w:r w:rsidRPr="003A2A1C">
              <w:rPr>
                <w:color w:val="000000"/>
                <w:sz w:val="22"/>
                <w:szCs w:val="22"/>
              </w:rPr>
              <w:t xml:space="preserve">$79.84 </w:t>
            </w:r>
          </w:p>
        </w:tc>
        <w:tc>
          <w:tcPr>
            <w:tcW w:w="1669" w:type="dxa"/>
            <w:tcBorders>
              <w:top w:val="nil"/>
              <w:left w:val="nil"/>
              <w:bottom w:val="nil"/>
              <w:right w:val="nil"/>
            </w:tcBorders>
            <w:shd w:val="clear" w:color="auto" w:fill="auto"/>
            <w:noWrap/>
            <w:vAlign w:val="center"/>
            <w:hideMark/>
          </w:tcPr>
          <w:p w14:paraId="029DBFD0" w14:textId="77777777" w:rsidR="00F42888" w:rsidRPr="003A2A1C" w:rsidRDefault="00F42888" w:rsidP="00F42888">
            <w:pPr>
              <w:jc w:val="right"/>
              <w:rPr>
                <w:color w:val="000000"/>
                <w:sz w:val="22"/>
                <w:szCs w:val="22"/>
              </w:rPr>
            </w:pPr>
            <w:r w:rsidRPr="003A2A1C">
              <w:rPr>
                <w:color w:val="000000"/>
                <w:sz w:val="22"/>
                <w:szCs w:val="22"/>
              </w:rPr>
              <w:t xml:space="preserve">$200.96 </w:t>
            </w:r>
          </w:p>
        </w:tc>
        <w:tc>
          <w:tcPr>
            <w:tcW w:w="2266" w:type="dxa"/>
            <w:tcBorders>
              <w:top w:val="nil"/>
              <w:left w:val="nil"/>
              <w:bottom w:val="nil"/>
              <w:right w:val="nil"/>
            </w:tcBorders>
            <w:shd w:val="clear" w:color="auto" w:fill="auto"/>
            <w:noWrap/>
            <w:vAlign w:val="center"/>
            <w:hideMark/>
          </w:tcPr>
          <w:p w14:paraId="78D448A1" w14:textId="77777777" w:rsidR="00F42888" w:rsidRPr="003A2A1C" w:rsidRDefault="00F42888" w:rsidP="00F42888">
            <w:pPr>
              <w:jc w:val="right"/>
              <w:rPr>
                <w:color w:val="000000"/>
                <w:sz w:val="22"/>
                <w:szCs w:val="22"/>
              </w:rPr>
            </w:pPr>
            <w:r w:rsidRPr="003A2A1C">
              <w:rPr>
                <w:color w:val="000000"/>
                <w:sz w:val="22"/>
                <w:szCs w:val="22"/>
              </w:rPr>
              <w:t xml:space="preserve">$215.92 </w:t>
            </w:r>
          </w:p>
        </w:tc>
        <w:tc>
          <w:tcPr>
            <w:tcW w:w="1708" w:type="dxa"/>
            <w:tcBorders>
              <w:top w:val="nil"/>
              <w:left w:val="nil"/>
              <w:bottom w:val="nil"/>
              <w:right w:val="single" w:sz="8" w:space="0" w:color="auto"/>
            </w:tcBorders>
            <w:shd w:val="clear" w:color="auto" w:fill="auto"/>
            <w:noWrap/>
            <w:vAlign w:val="center"/>
            <w:hideMark/>
          </w:tcPr>
          <w:p w14:paraId="02F33FEE" w14:textId="77777777" w:rsidR="00F42888" w:rsidRPr="003A2A1C" w:rsidRDefault="00F42888" w:rsidP="00F42888">
            <w:pPr>
              <w:jc w:val="right"/>
              <w:rPr>
                <w:color w:val="000000"/>
                <w:sz w:val="22"/>
                <w:szCs w:val="22"/>
              </w:rPr>
            </w:pPr>
            <w:r w:rsidRPr="003A2A1C">
              <w:rPr>
                <w:color w:val="000000"/>
                <w:sz w:val="22"/>
                <w:szCs w:val="22"/>
              </w:rPr>
              <w:t xml:space="preserve">$1.25 </w:t>
            </w:r>
          </w:p>
        </w:tc>
        <w:tc>
          <w:tcPr>
            <w:tcW w:w="236" w:type="dxa"/>
            <w:tcBorders>
              <w:top w:val="nil"/>
              <w:left w:val="nil"/>
              <w:bottom w:val="nil"/>
              <w:right w:val="nil"/>
            </w:tcBorders>
            <w:shd w:val="clear" w:color="auto" w:fill="auto"/>
            <w:noWrap/>
            <w:vAlign w:val="bottom"/>
            <w:hideMark/>
          </w:tcPr>
          <w:p w14:paraId="48E8462E" w14:textId="77777777" w:rsidR="00F42888" w:rsidRPr="003A2A1C" w:rsidRDefault="00F42888" w:rsidP="00F42888">
            <w:pPr>
              <w:jc w:val="right"/>
              <w:rPr>
                <w:color w:val="000000"/>
                <w:sz w:val="22"/>
                <w:szCs w:val="22"/>
              </w:rPr>
            </w:pPr>
          </w:p>
        </w:tc>
      </w:tr>
      <w:tr w:rsidR="00F42888" w:rsidRPr="003A2A1C" w14:paraId="6E4AD288" w14:textId="77777777" w:rsidTr="00F42888">
        <w:trPr>
          <w:trHeight w:val="243"/>
        </w:trPr>
        <w:tc>
          <w:tcPr>
            <w:tcW w:w="289" w:type="dxa"/>
            <w:tcBorders>
              <w:top w:val="nil"/>
              <w:left w:val="nil"/>
              <w:bottom w:val="nil"/>
              <w:right w:val="nil"/>
            </w:tcBorders>
            <w:shd w:val="clear" w:color="auto" w:fill="auto"/>
            <w:noWrap/>
            <w:vAlign w:val="bottom"/>
            <w:hideMark/>
          </w:tcPr>
          <w:p w14:paraId="5671C4A9" w14:textId="77777777" w:rsidR="00F42888" w:rsidRPr="003A2A1C" w:rsidRDefault="00F42888" w:rsidP="00F42888">
            <w:pPr>
              <w:rPr>
                <w:sz w:val="22"/>
                <w:szCs w:val="22"/>
              </w:rPr>
            </w:pPr>
          </w:p>
        </w:tc>
        <w:tc>
          <w:tcPr>
            <w:tcW w:w="5085" w:type="dxa"/>
            <w:tcBorders>
              <w:top w:val="nil"/>
              <w:left w:val="single" w:sz="8" w:space="0" w:color="auto"/>
              <w:bottom w:val="nil"/>
              <w:right w:val="nil"/>
            </w:tcBorders>
            <w:shd w:val="clear" w:color="auto" w:fill="auto"/>
            <w:noWrap/>
            <w:vAlign w:val="center"/>
            <w:hideMark/>
          </w:tcPr>
          <w:p w14:paraId="659266C7" w14:textId="77777777" w:rsidR="00F42888" w:rsidRPr="003A2A1C" w:rsidRDefault="00F42888" w:rsidP="00F42888">
            <w:pPr>
              <w:rPr>
                <w:color w:val="000000"/>
                <w:sz w:val="22"/>
                <w:szCs w:val="22"/>
              </w:rPr>
            </w:pPr>
            <w:r w:rsidRPr="003A2A1C">
              <w:rPr>
                <w:color w:val="000000"/>
                <w:sz w:val="22"/>
                <w:szCs w:val="22"/>
              </w:rPr>
              <w:t>3"</w:t>
            </w:r>
          </w:p>
        </w:tc>
        <w:tc>
          <w:tcPr>
            <w:tcW w:w="1665" w:type="dxa"/>
            <w:gridSpan w:val="2"/>
            <w:tcBorders>
              <w:top w:val="nil"/>
              <w:left w:val="nil"/>
              <w:bottom w:val="nil"/>
              <w:right w:val="nil"/>
            </w:tcBorders>
            <w:shd w:val="clear" w:color="auto" w:fill="auto"/>
            <w:noWrap/>
            <w:vAlign w:val="center"/>
            <w:hideMark/>
          </w:tcPr>
          <w:p w14:paraId="3C7DC2E6" w14:textId="77777777" w:rsidR="00F42888" w:rsidRPr="003A2A1C" w:rsidRDefault="00F42888" w:rsidP="00F42888">
            <w:pPr>
              <w:jc w:val="right"/>
              <w:rPr>
                <w:color w:val="000000"/>
                <w:sz w:val="22"/>
                <w:szCs w:val="22"/>
              </w:rPr>
            </w:pPr>
            <w:r w:rsidRPr="003A2A1C">
              <w:rPr>
                <w:color w:val="000000"/>
                <w:sz w:val="22"/>
                <w:szCs w:val="22"/>
              </w:rPr>
              <w:t xml:space="preserve">$159.68 </w:t>
            </w:r>
          </w:p>
        </w:tc>
        <w:tc>
          <w:tcPr>
            <w:tcW w:w="1669" w:type="dxa"/>
            <w:tcBorders>
              <w:top w:val="nil"/>
              <w:left w:val="nil"/>
              <w:bottom w:val="nil"/>
              <w:right w:val="nil"/>
            </w:tcBorders>
            <w:shd w:val="clear" w:color="auto" w:fill="auto"/>
            <w:noWrap/>
            <w:vAlign w:val="center"/>
            <w:hideMark/>
          </w:tcPr>
          <w:p w14:paraId="3FAACCE5" w14:textId="77777777" w:rsidR="00F42888" w:rsidRPr="003A2A1C" w:rsidRDefault="00F42888" w:rsidP="00F42888">
            <w:pPr>
              <w:jc w:val="right"/>
              <w:rPr>
                <w:color w:val="000000"/>
                <w:sz w:val="22"/>
                <w:szCs w:val="22"/>
              </w:rPr>
            </w:pPr>
            <w:r w:rsidRPr="003A2A1C">
              <w:rPr>
                <w:color w:val="000000"/>
                <w:sz w:val="22"/>
                <w:szCs w:val="22"/>
              </w:rPr>
              <w:t xml:space="preserve">$401.92 </w:t>
            </w:r>
          </w:p>
        </w:tc>
        <w:tc>
          <w:tcPr>
            <w:tcW w:w="2266" w:type="dxa"/>
            <w:tcBorders>
              <w:top w:val="nil"/>
              <w:left w:val="nil"/>
              <w:bottom w:val="nil"/>
              <w:right w:val="nil"/>
            </w:tcBorders>
            <w:shd w:val="clear" w:color="auto" w:fill="auto"/>
            <w:noWrap/>
            <w:vAlign w:val="center"/>
            <w:hideMark/>
          </w:tcPr>
          <w:p w14:paraId="168330C8" w14:textId="77777777" w:rsidR="00F42888" w:rsidRPr="003A2A1C" w:rsidRDefault="00F42888" w:rsidP="00F42888">
            <w:pPr>
              <w:jc w:val="right"/>
              <w:rPr>
                <w:color w:val="000000"/>
                <w:sz w:val="22"/>
                <w:szCs w:val="22"/>
              </w:rPr>
            </w:pPr>
            <w:r w:rsidRPr="003A2A1C">
              <w:rPr>
                <w:color w:val="000000"/>
                <w:sz w:val="22"/>
                <w:szCs w:val="22"/>
              </w:rPr>
              <w:t xml:space="preserve">$431.84 </w:t>
            </w:r>
          </w:p>
        </w:tc>
        <w:tc>
          <w:tcPr>
            <w:tcW w:w="1708" w:type="dxa"/>
            <w:tcBorders>
              <w:top w:val="nil"/>
              <w:left w:val="nil"/>
              <w:bottom w:val="nil"/>
              <w:right w:val="single" w:sz="8" w:space="0" w:color="auto"/>
            </w:tcBorders>
            <w:shd w:val="clear" w:color="auto" w:fill="auto"/>
            <w:noWrap/>
            <w:vAlign w:val="center"/>
            <w:hideMark/>
          </w:tcPr>
          <w:p w14:paraId="41F315FD" w14:textId="77777777" w:rsidR="00F42888" w:rsidRPr="003A2A1C" w:rsidRDefault="00F42888" w:rsidP="00F42888">
            <w:pPr>
              <w:jc w:val="right"/>
              <w:rPr>
                <w:color w:val="000000"/>
                <w:sz w:val="22"/>
                <w:szCs w:val="22"/>
              </w:rPr>
            </w:pPr>
            <w:r w:rsidRPr="003A2A1C">
              <w:rPr>
                <w:color w:val="000000"/>
                <w:sz w:val="22"/>
                <w:szCs w:val="22"/>
              </w:rPr>
              <w:t xml:space="preserve">$2.50 </w:t>
            </w:r>
          </w:p>
        </w:tc>
        <w:tc>
          <w:tcPr>
            <w:tcW w:w="236" w:type="dxa"/>
            <w:tcBorders>
              <w:top w:val="nil"/>
              <w:left w:val="nil"/>
              <w:bottom w:val="nil"/>
              <w:right w:val="nil"/>
            </w:tcBorders>
            <w:shd w:val="clear" w:color="auto" w:fill="auto"/>
            <w:noWrap/>
            <w:vAlign w:val="bottom"/>
            <w:hideMark/>
          </w:tcPr>
          <w:p w14:paraId="259F60A1" w14:textId="77777777" w:rsidR="00F42888" w:rsidRPr="003A2A1C" w:rsidRDefault="00F42888" w:rsidP="00F42888">
            <w:pPr>
              <w:jc w:val="right"/>
              <w:rPr>
                <w:color w:val="000000"/>
                <w:sz w:val="22"/>
                <w:szCs w:val="22"/>
              </w:rPr>
            </w:pPr>
          </w:p>
        </w:tc>
      </w:tr>
      <w:tr w:rsidR="00F42888" w:rsidRPr="003A2A1C" w14:paraId="2436C754" w14:textId="77777777" w:rsidTr="00F42888">
        <w:trPr>
          <w:trHeight w:val="243"/>
        </w:trPr>
        <w:tc>
          <w:tcPr>
            <w:tcW w:w="289" w:type="dxa"/>
            <w:tcBorders>
              <w:top w:val="nil"/>
              <w:left w:val="nil"/>
              <w:bottom w:val="nil"/>
              <w:right w:val="nil"/>
            </w:tcBorders>
            <w:shd w:val="clear" w:color="auto" w:fill="auto"/>
            <w:noWrap/>
            <w:vAlign w:val="bottom"/>
            <w:hideMark/>
          </w:tcPr>
          <w:p w14:paraId="477BA7A3" w14:textId="77777777" w:rsidR="00F42888" w:rsidRPr="003A2A1C" w:rsidRDefault="00F42888" w:rsidP="00F42888">
            <w:pPr>
              <w:rPr>
                <w:sz w:val="22"/>
                <w:szCs w:val="22"/>
              </w:rPr>
            </w:pPr>
          </w:p>
        </w:tc>
        <w:tc>
          <w:tcPr>
            <w:tcW w:w="5085" w:type="dxa"/>
            <w:tcBorders>
              <w:top w:val="nil"/>
              <w:left w:val="single" w:sz="8" w:space="0" w:color="auto"/>
              <w:bottom w:val="nil"/>
              <w:right w:val="nil"/>
            </w:tcBorders>
            <w:shd w:val="clear" w:color="auto" w:fill="auto"/>
            <w:noWrap/>
            <w:vAlign w:val="center"/>
            <w:hideMark/>
          </w:tcPr>
          <w:p w14:paraId="6DDAF858" w14:textId="77777777" w:rsidR="00F42888" w:rsidRPr="003A2A1C" w:rsidRDefault="00F42888" w:rsidP="00F42888">
            <w:pPr>
              <w:rPr>
                <w:color w:val="000000"/>
                <w:sz w:val="22"/>
                <w:szCs w:val="22"/>
              </w:rPr>
            </w:pPr>
            <w:r w:rsidRPr="003A2A1C">
              <w:rPr>
                <w:color w:val="000000"/>
                <w:sz w:val="22"/>
                <w:szCs w:val="22"/>
              </w:rPr>
              <w:t>4"</w:t>
            </w:r>
          </w:p>
        </w:tc>
        <w:tc>
          <w:tcPr>
            <w:tcW w:w="1665" w:type="dxa"/>
            <w:gridSpan w:val="2"/>
            <w:tcBorders>
              <w:top w:val="nil"/>
              <w:left w:val="nil"/>
              <w:bottom w:val="nil"/>
              <w:right w:val="nil"/>
            </w:tcBorders>
            <w:shd w:val="clear" w:color="auto" w:fill="auto"/>
            <w:noWrap/>
            <w:vAlign w:val="center"/>
            <w:hideMark/>
          </w:tcPr>
          <w:p w14:paraId="047649E6" w14:textId="77777777" w:rsidR="00F42888" w:rsidRPr="003A2A1C" w:rsidRDefault="00F42888" w:rsidP="00F42888">
            <w:pPr>
              <w:jc w:val="right"/>
              <w:rPr>
                <w:color w:val="000000"/>
                <w:sz w:val="22"/>
                <w:szCs w:val="22"/>
              </w:rPr>
            </w:pPr>
            <w:r w:rsidRPr="003A2A1C">
              <w:rPr>
                <w:color w:val="000000"/>
                <w:sz w:val="22"/>
                <w:szCs w:val="22"/>
              </w:rPr>
              <w:t xml:space="preserve">$249.50 </w:t>
            </w:r>
          </w:p>
        </w:tc>
        <w:tc>
          <w:tcPr>
            <w:tcW w:w="1669" w:type="dxa"/>
            <w:tcBorders>
              <w:top w:val="nil"/>
              <w:left w:val="nil"/>
              <w:bottom w:val="nil"/>
              <w:right w:val="nil"/>
            </w:tcBorders>
            <w:shd w:val="clear" w:color="auto" w:fill="auto"/>
            <w:noWrap/>
            <w:vAlign w:val="center"/>
            <w:hideMark/>
          </w:tcPr>
          <w:p w14:paraId="48FDAED5" w14:textId="77777777" w:rsidR="00F42888" w:rsidRPr="003A2A1C" w:rsidRDefault="00F42888" w:rsidP="00F42888">
            <w:pPr>
              <w:jc w:val="right"/>
              <w:rPr>
                <w:color w:val="000000"/>
                <w:sz w:val="22"/>
                <w:szCs w:val="22"/>
              </w:rPr>
            </w:pPr>
            <w:r w:rsidRPr="003A2A1C">
              <w:rPr>
                <w:color w:val="000000"/>
                <w:sz w:val="22"/>
                <w:szCs w:val="22"/>
              </w:rPr>
              <w:t xml:space="preserve">$628.00 </w:t>
            </w:r>
          </w:p>
        </w:tc>
        <w:tc>
          <w:tcPr>
            <w:tcW w:w="2266" w:type="dxa"/>
            <w:tcBorders>
              <w:top w:val="nil"/>
              <w:left w:val="nil"/>
              <w:bottom w:val="nil"/>
              <w:right w:val="nil"/>
            </w:tcBorders>
            <w:shd w:val="clear" w:color="auto" w:fill="auto"/>
            <w:noWrap/>
            <w:vAlign w:val="center"/>
            <w:hideMark/>
          </w:tcPr>
          <w:p w14:paraId="4728F6A6" w14:textId="77777777" w:rsidR="00F42888" w:rsidRPr="003A2A1C" w:rsidRDefault="00F42888" w:rsidP="00F42888">
            <w:pPr>
              <w:jc w:val="right"/>
              <w:rPr>
                <w:color w:val="000000"/>
                <w:sz w:val="22"/>
                <w:szCs w:val="22"/>
              </w:rPr>
            </w:pPr>
            <w:r w:rsidRPr="003A2A1C">
              <w:rPr>
                <w:color w:val="000000"/>
                <w:sz w:val="22"/>
                <w:szCs w:val="22"/>
              </w:rPr>
              <w:t xml:space="preserve">$674.75 </w:t>
            </w:r>
          </w:p>
        </w:tc>
        <w:tc>
          <w:tcPr>
            <w:tcW w:w="1708" w:type="dxa"/>
            <w:tcBorders>
              <w:top w:val="nil"/>
              <w:left w:val="nil"/>
              <w:bottom w:val="nil"/>
              <w:right w:val="single" w:sz="8" w:space="0" w:color="auto"/>
            </w:tcBorders>
            <w:shd w:val="clear" w:color="auto" w:fill="auto"/>
            <w:noWrap/>
            <w:vAlign w:val="center"/>
            <w:hideMark/>
          </w:tcPr>
          <w:p w14:paraId="098B0CE8" w14:textId="77777777" w:rsidR="00F42888" w:rsidRPr="003A2A1C" w:rsidRDefault="00F42888" w:rsidP="00F42888">
            <w:pPr>
              <w:jc w:val="right"/>
              <w:rPr>
                <w:color w:val="000000"/>
                <w:sz w:val="22"/>
                <w:szCs w:val="22"/>
              </w:rPr>
            </w:pPr>
            <w:r w:rsidRPr="003A2A1C">
              <w:rPr>
                <w:color w:val="000000"/>
                <w:sz w:val="22"/>
                <w:szCs w:val="22"/>
              </w:rPr>
              <w:t xml:space="preserve">$3.91 </w:t>
            </w:r>
          </w:p>
        </w:tc>
        <w:tc>
          <w:tcPr>
            <w:tcW w:w="236" w:type="dxa"/>
            <w:tcBorders>
              <w:top w:val="nil"/>
              <w:left w:val="nil"/>
              <w:bottom w:val="nil"/>
              <w:right w:val="nil"/>
            </w:tcBorders>
            <w:shd w:val="clear" w:color="auto" w:fill="auto"/>
            <w:noWrap/>
            <w:vAlign w:val="bottom"/>
            <w:hideMark/>
          </w:tcPr>
          <w:p w14:paraId="367AE883" w14:textId="77777777" w:rsidR="00F42888" w:rsidRPr="003A2A1C" w:rsidRDefault="00F42888" w:rsidP="00F42888">
            <w:pPr>
              <w:jc w:val="right"/>
              <w:rPr>
                <w:color w:val="000000"/>
                <w:sz w:val="22"/>
                <w:szCs w:val="22"/>
              </w:rPr>
            </w:pPr>
          </w:p>
        </w:tc>
      </w:tr>
      <w:tr w:rsidR="00F42888" w:rsidRPr="003A2A1C" w14:paraId="1F7D2A18" w14:textId="77777777" w:rsidTr="00F42888">
        <w:trPr>
          <w:trHeight w:val="243"/>
        </w:trPr>
        <w:tc>
          <w:tcPr>
            <w:tcW w:w="289" w:type="dxa"/>
            <w:tcBorders>
              <w:top w:val="nil"/>
              <w:left w:val="nil"/>
              <w:bottom w:val="nil"/>
              <w:right w:val="nil"/>
            </w:tcBorders>
            <w:shd w:val="clear" w:color="auto" w:fill="auto"/>
            <w:noWrap/>
            <w:vAlign w:val="bottom"/>
            <w:hideMark/>
          </w:tcPr>
          <w:p w14:paraId="64899DE8" w14:textId="77777777" w:rsidR="00F42888" w:rsidRPr="003A2A1C" w:rsidRDefault="00F42888" w:rsidP="00F42888">
            <w:pPr>
              <w:rPr>
                <w:sz w:val="22"/>
                <w:szCs w:val="22"/>
              </w:rPr>
            </w:pPr>
          </w:p>
        </w:tc>
        <w:tc>
          <w:tcPr>
            <w:tcW w:w="5085" w:type="dxa"/>
            <w:tcBorders>
              <w:top w:val="nil"/>
              <w:left w:val="single" w:sz="8" w:space="0" w:color="auto"/>
              <w:bottom w:val="nil"/>
              <w:right w:val="nil"/>
            </w:tcBorders>
            <w:shd w:val="clear" w:color="auto" w:fill="auto"/>
            <w:noWrap/>
            <w:vAlign w:val="center"/>
            <w:hideMark/>
          </w:tcPr>
          <w:p w14:paraId="0E7BB68F" w14:textId="77777777" w:rsidR="00F42888" w:rsidRPr="003A2A1C" w:rsidRDefault="00F42888" w:rsidP="00F42888">
            <w:pPr>
              <w:rPr>
                <w:color w:val="000000"/>
                <w:sz w:val="22"/>
                <w:szCs w:val="22"/>
              </w:rPr>
            </w:pPr>
            <w:r w:rsidRPr="003A2A1C">
              <w:rPr>
                <w:color w:val="000000"/>
                <w:sz w:val="22"/>
                <w:szCs w:val="22"/>
              </w:rPr>
              <w:t>6"</w:t>
            </w:r>
          </w:p>
        </w:tc>
        <w:tc>
          <w:tcPr>
            <w:tcW w:w="1665" w:type="dxa"/>
            <w:gridSpan w:val="2"/>
            <w:tcBorders>
              <w:top w:val="nil"/>
              <w:left w:val="nil"/>
              <w:bottom w:val="nil"/>
              <w:right w:val="nil"/>
            </w:tcBorders>
            <w:shd w:val="clear" w:color="auto" w:fill="auto"/>
            <w:noWrap/>
            <w:vAlign w:val="center"/>
            <w:hideMark/>
          </w:tcPr>
          <w:p w14:paraId="3B17474B" w14:textId="77777777" w:rsidR="00F42888" w:rsidRPr="003A2A1C" w:rsidRDefault="00F42888" w:rsidP="00F42888">
            <w:pPr>
              <w:jc w:val="right"/>
              <w:rPr>
                <w:color w:val="000000"/>
                <w:sz w:val="22"/>
                <w:szCs w:val="22"/>
              </w:rPr>
            </w:pPr>
            <w:r w:rsidRPr="003A2A1C">
              <w:rPr>
                <w:color w:val="000000"/>
                <w:sz w:val="22"/>
                <w:szCs w:val="22"/>
              </w:rPr>
              <w:t xml:space="preserve">$499.00 </w:t>
            </w:r>
          </w:p>
        </w:tc>
        <w:tc>
          <w:tcPr>
            <w:tcW w:w="1669" w:type="dxa"/>
            <w:tcBorders>
              <w:top w:val="nil"/>
              <w:left w:val="nil"/>
              <w:bottom w:val="nil"/>
              <w:right w:val="nil"/>
            </w:tcBorders>
            <w:shd w:val="clear" w:color="auto" w:fill="auto"/>
            <w:noWrap/>
            <w:vAlign w:val="center"/>
            <w:hideMark/>
          </w:tcPr>
          <w:p w14:paraId="0716DCB2" w14:textId="77777777" w:rsidR="00F42888" w:rsidRPr="003A2A1C" w:rsidRDefault="00F42888" w:rsidP="00F42888">
            <w:pPr>
              <w:jc w:val="right"/>
              <w:rPr>
                <w:color w:val="000000"/>
                <w:sz w:val="22"/>
                <w:szCs w:val="22"/>
              </w:rPr>
            </w:pPr>
            <w:r w:rsidRPr="003A2A1C">
              <w:rPr>
                <w:color w:val="000000"/>
                <w:sz w:val="22"/>
                <w:szCs w:val="22"/>
              </w:rPr>
              <w:t xml:space="preserve">$1,256.00 </w:t>
            </w:r>
          </w:p>
        </w:tc>
        <w:tc>
          <w:tcPr>
            <w:tcW w:w="2266" w:type="dxa"/>
            <w:tcBorders>
              <w:top w:val="nil"/>
              <w:left w:val="nil"/>
              <w:bottom w:val="nil"/>
              <w:right w:val="nil"/>
            </w:tcBorders>
            <w:shd w:val="clear" w:color="auto" w:fill="auto"/>
            <w:noWrap/>
            <w:vAlign w:val="center"/>
            <w:hideMark/>
          </w:tcPr>
          <w:p w14:paraId="131D40FB" w14:textId="77777777" w:rsidR="00F42888" w:rsidRPr="003A2A1C" w:rsidRDefault="00F42888" w:rsidP="00F42888">
            <w:pPr>
              <w:jc w:val="right"/>
              <w:rPr>
                <w:color w:val="000000"/>
                <w:sz w:val="22"/>
                <w:szCs w:val="22"/>
              </w:rPr>
            </w:pPr>
            <w:r w:rsidRPr="003A2A1C">
              <w:rPr>
                <w:color w:val="000000"/>
                <w:sz w:val="22"/>
                <w:szCs w:val="22"/>
              </w:rPr>
              <w:t xml:space="preserve">$1,349.50 </w:t>
            </w:r>
          </w:p>
        </w:tc>
        <w:tc>
          <w:tcPr>
            <w:tcW w:w="1708" w:type="dxa"/>
            <w:tcBorders>
              <w:top w:val="nil"/>
              <w:left w:val="nil"/>
              <w:bottom w:val="nil"/>
              <w:right w:val="single" w:sz="8" w:space="0" w:color="auto"/>
            </w:tcBorders>
            <w:shd w:val="clear" w:color="auto" w:fill="auto"/>
            <w:noWrap/>
            <w:vAlign w:val="center"/>
            <w:hideMark/>
          </w:tcPr>
          <w:p w14:paraId="64528605" w14:textId="77777777" w:rsidR="00F42888" w:rsidRPr="003A2A1C" w:rsidRDefault="00F42888" w:rsidP="00F42888">
            <w:pPr>
              <w:jc w:val="right"/>
              <w:rPr>
                <w:color w:val="000000"/>
                <w:sz w:val="22"/>
                <w:szCs w:val="22"/>
              </w:rPr>
            </w:pPr>
            <w:r w:rsidRPr="003A2A1C">
              <w:rPr>
                <w:color w:val="000000"/>
                <w:sz w:val="22"/>
                <w:szCs w:val="22"/>
              </w:rPr>
              <w:t xml:space="preserve">$7.83 </w:t>
            </w:r>
          </w:p>
        </w:tc>
        <w:tc>
          <w:tcPr>
            <w:tcW w:w="236" w:type="dxa"/>
            <w:tcBorders>
              <w:top w:val="nil"/>
              <w:left w:val="nil"/>
              <w:bottom w:val="nil"/>
              <w:right w:val="nil"/>
            </w:tcBorders>
            <w:shd w:val="clear" w:color="auto" w:fill="auto"/>
            <w:noWrap/>
            <w:vAlign w:val="bottom"/>
            <w:hideMark/>
          </w:tcPr>
          <w:p w14:paraId="4CEC476E" w14:textId="77777777" w:rsidR="00F42888" w:rsidRPr="003A2A1C" w:rsidRDefault="00F42888" w:rsidP="00F42888">
            <w:pPr>
              <w:jc w:val="right"/>
              <w:rPr>
                <w:color w:val="000000"/>
                <w:sz w:val="22"/>
                <w:szCs w:val="22"/>
              </w:rPr>
            </w:pPr>
          </w:p>
        </w:tc>
      </w:tr>
      <w:tr w:rsidR="00F42888" w:rsidRPr="003A2A1C" w14:paraId="59F9FC8F" w14:textId="77777777" w:rsidTr="00F42888">
        <w:trPr>
          <w:trHeight w:val="144"/>
        </w:trPr>
        <w:tc>
          <w:tcPr>
            <w:tcW w:w="289" w:type="dxa"/>
            <w:tcBorders>
              <w:top w:val="nil"/>
              <w:left w:val="nil"/>
              <w:bottom w:val="nil"/>
              <w:right w:val="nil"/>
            </w:tcBorders>
            <w:shd w:val="clear" w:color="auto" w:fill="auto"/>
            <w:noWrap/>
            <w:vAlign w:val="bottom"/>
            <w:hideMark/>
          </w:tcPr>
          <w:p w14:paraId="1FC49A1C" w14:textId="77777777" w:rsidR="00F42888" w:rsidRPr="00F42888" w:rsidRDefault="00F42888" w:rsidP="00F42888">
            <w:pPr>
              <w:rPr>
                <w:sz w:val="16"/>
                <w:szCs w:val="22"/>
              </w:rPr>
            </w:pPr>
          </w:p>
        </w:tc>
        <w:tc>
          <w:tcPr>
            <w:tcW w:w="5085" w:type="dxa"/>
            <w:tcBorders>
              <w:top w:val="nil"/>
              <w:left w:val="single" w:sz="8" w:space="0" w:color="auto"/>
              <w:bottom w:val="nil"/>
              <w:right w:val="nil"/>
            </w:tcBorders>
            <w:shd w:val="clear" w:color="auto" w:fill="auto"/>
            <w:noWrap/>
            <w:vAlign w:val="center"/>
            <w:hideMark/>
          </w:tcPr>
          <w:p w14:paraId="5458F146" w14:textId="77777777" w:rsidR="00F42888" w:rsidRPr="00F42888" w:rsidRDefault="00F42888" w:rsidP="00F42888">
            <w:pPr>
              <w:rPr>
                <w:sz w:val="16"/>
                <w:szCs w:val="22"/>
              </w:rPr>
            </w:pPr>
            <w:r w:rsidRPr="00F42888">
              <w:rPr>
                <w:sz w:val="16"/>
                <w:szCs w:val="22"/>
              </w:rPr>
              <w:t> </w:t>
            </w:r>
          </w:p>
        </w:tc>
        <w:tc>
          <w:tcPr>
            <w:tcW w:w="1665" w:type="dxa"/>
            <w:gridSpan w:val="2"/>
            <w:tcBorders>
              <w:top w:val="nil"/>
              <w:left w:val="nil"/>
              <w:bottom w:val="nil"/>
              <w:right w:val="nil"/>
            </w:tcBorders>
            <w:shd w:val="clear" w:color="auto" w:fill="auto"/>
            <w:noWrap/>
            <w:vAlign w:val="center"/>
            <w:hideMark/>
          </w:tcPr>
          <w:p w14:paraId="732CE0BF" w14:textId="77777777" w:rsidR="00F42888" w:rsidRPr="00F42888" w:rsidRDefault="00F42888" w:rsidP="00F42888">
            <w:pPr>
              <w:rPr>
                <w:sz w:val="16"/>
                <w:szCs w:val="22"/>
              </w:rPr>
            </w:pPr>
          </w:p>
        </w:tc>
        <w:tc>
          <w:tcPr>
            <w:tcW w:w="1669" w:type="dxa"/>
            <w:tcBorders>
              <w:top w:val="nil"/>
              <w:left w:val="nil"/>
              <w:bottom w:val="nil"/>
              <w:right w:val="nil"/>
            </w:tcBorders>
            <w:shd w:val="clear" w:color="auto" w:fill="auto"/>
            <w:noWrap/>
            <w:vAlign w:val="center"/>
            <w:hideMark/>
          </w:tcPr>
          <w:p w14:paraId="1BB6E2D2" w14:textId="77777777" w:rsidR="00F42888" w:rsidRPr="00F42888" w:rsidRDefault="00F42888" w:rsidP="00F42888">
            <w:pPr>
              <w:jc w:val="right"/>
              <w:rPr>
                <w:sz w:val="16"/>
                <w:szCs w:val="22"/>
              </w:rPr>
            </w:pPr>
          </w:p>
        </w:tc>
        <w:tc>
          <w:tcPr>
            <w:tcW w:w="2266" w:type="dxa"/>
            <w:tcBorders>
              <w:top w:val="nil"/>
              <w:left w:val="nil"/>
              <w:bottom w:val="nil"/>
              <w:right w:val="nil"/>
            </w:tcBorders>
            <w:shd w:val="clear" w:color="auto" w:fill="auto"/>
            <w:noWrap/>
            <w:vAlign w:val="center"/>
            <w:hideMark/>
          </w:tcPr>
          <w:p w14:paraId="52284743" w14:textId="77777777" w:rsidR="00F42888" w:rsidRPr="00F42888" w:rsidRDefault="00F42888" w:rsidP="00F42888">
            <w:pPr>
              <w:jc w:val="right"/>
              <w:rPr>
                <w:sz w:val="16"/>
                <w:szCs w:val="22"/>
              </w:rPr>
            </w:pPr>
          </w:p>
        </w:tc>
        <w:tc>
          <w:tcPr>
            <w:tcW w:w="1708" w:type="dxa"/>
            <w:tcBorders>
              <w:top w:val="nil"/>
              <w:left w:val="nil"/>
              <w:bottom w:val="nil"/>
              <w:right w:val="single" w:sz="8" w:space="0" w:color="auto"/>
            </w:tcBorders>
            <w:shd w:val="clear" w:color="auto" w:fill="auto"/>
            <w:noWrap/>
            <w:vAlign w:val="center"/>
            <w:hideMark/>
          </w:tcPr>
          <w:p w14:paraId="6E42BF49" w14:textId="77777777" w:rsidR="00F42888" w:rsidRPr="00F42888" w:rsidRDefault="00F42888" w:rsidP="00F42888">
            <w:pPr>
              <w:jc w:val="right"/>
              <w:rPr>
                <w:color w:val="000000"/>
                <w:sz w:val="16"/>
                <w:szCs w:val="22"/>
              </w:rPr>
            </w:pPr>
            <w:r w:rsidRPr="00F42888">
              <w:rPr>
                <w:color w:val="000000"/>
                <w:sz w:val="16"/>
                <w:szCs w:val="22"/>
              </w:rPr>
              <w:t> </w:t>
            </w:r>
          </w:p>
        </w:tc>
        <w:tc>
          <w:tcPr>
            <w:tcW w:w="236" w:type="dxa"/>
            <w:tcBorders>
              <w:top w:val="nil"/>
              <w:left w:val="nil"/>
              <w:bottom w:val="nil"/>
              <w:right w:val="nil"/>
            </w:tcBorders>
            <w:shd w:val="clear" w:color="auto" w:fill="auto"/>
            <w:noWrap/>
            <w:vAlign w:val="bottom"/>
            <w:hideMark/>
          </w:tcPr>
          <w:p w14:paraId="11B14D95" w14:textId="77777777" w:rsidR="00F42888" w:rsidRPr="00F42888" w:rsidRDefault="00F42888" w:rsidP="00F42888">
            <w:pPr>
              <w:jc w:val="right"/>
              <w:rPr>
                <w:color w:val="000000"/>
                <w:sz w:val="16"/>
                <w:szCs w:val="22"/>
              </w:rPr>
            </w:pPr>
          </w:p>
        </w:tc>
      </w:tr>
      <w:tr w:rsidR="00F42888" w:rsidRPr="003A2A1C" w14:paraId="4F5EC519" w14:textId="77777777" w:rsidTr="00F42888">
        <w:trPr>
          <w:trHeight w:val="243"/>
        </w:trPr>
        <w:tc>
          <w:tcPr>
            <w:tcW w:w="289" w:type="dxa"/>
            <w:tcBorders>
              <w:top w:val="nil"/>
              <w:left w:val="nil"/>
              <w:bottom w:val="nil"/>
              <w:right w:val="nil"/>
            </w:tcBorders>
            <w:shd w:val="clear" w:color="auto" w:fill="auto"/>
            <w:noWrap/>
            <w:vAlign w:val="bottom"/>
            <w:hideMark/>
          </w:tcPr>
          <w:p w14:paraId="665AD2F6" w14:textId="77777777" w:rsidR="00F42888" w:rsidRPr="003A2A1C" w:rsidRDefault="00F42888" w:rsidP="00F42888">
            <w:pPr>
              <w:rPr>
                <w:sz w:val="22"/>
                <w:szCs w:val="22"/>
              </w:rPr>
            </w:pPr>
          </w:p>
        </w:tc>
        <w:tc>
          <w:tcPr>
            <w:tcW w:w="5085" w:type="dxa"/>
            <w:tcBorders>
              <w:top w:val="nil"/>
              <w:left w:val="single" w:sz="8" w:space="0" w:color="auto"/>
              <w:bottom w:val="nil"/>
              <w:right w:val="nil"/>
            </w:tcBorders>
            <w:shd w:val="clear" w:color="auto" w:fill="auto"/>
            <w:noWrap/>
            <w:vAlign w:val="center"/>
            <w:hideMark/>
          </w:tcPr>
          <w:p w14:paraId="455C1F7A" w14:textId="77777777" w:rsidR="00F42888" w:rsidRPr="003A2A1C" w:rsidRDefault="00F42888" w:rsidP="00F42888">
            <w:pPr>
              <w:rPr>
                <w:color w:val="000000"/>
                <w:sz w:val="22"/>
                <w:szCs w:val="22"/>
              </w:rPr>
            </w:pPr>
            <w:r w:rsidRPr="003A2A1C">
              <w:rPr>
                <w:color w:val="000000"/>
                <w:sz w:val="22"/>
                <w:szCs w:val="22"/>
              </w:rPr>
              <w:t>Charge per 1,000 gallons - General Service</w:t>
            </w:r>
          </w:p>
        </w:tc>
        <w:tc>
          <w:tcPr>
            <w:tcW w:w="1665" w:type="dxa"/>
            <w:gridSpan w:val="2"/>
            <w:tcBorders>
              <w:top w:val="nil"/>
              <w:left w:val="nil"/>
              <w:bottom w:val="nil"/>
              <w:right w:val="nil"/>
            </w:tcBorders>
            <w:shd w:val="clear" w:color="auto" w:fill="auto"/>
            <w:noWrap/>
            <w:vAlign w:val="center"/>
            <w:hideMark/>
          </w:tcPr>
          <w:p w14:paraId="7A306BAD" w14:textId="77777777" w:rsidR="00F42888" w:rsidRPr="003A2A1C" w:rsidRDefault="00F42888" w:rsidP="00F42888">
            <w:pPr>
              <w:jc w:val="right"/>
              <w:rPr>
                <w:color w:val="000000"/>
                <w:sz w:val="22"/>
                <w:szCs w:val="22"/>
              </w:rPr>
            </w:pPr>
            <w:r w:rsidRPr="003A2A1C">
              <w:rPr>
                <w:color w:val="000000"/>
                <w:sz w:val="22"/>
                <w:szCs w:val="22"/>
              </w:rPr>
              <w:t xml:space="preserve">$3.52 </w:t>
            </w:r>
          </w:p>
        </w:tc>
        <w:tc>
          <w:tcPr>
            <w:tcW w:w="1669" w:type="dxa"/>
            <w:tcBorders>
              <w:top w:val="nil"/>
              <w:left w:val="nil"/>
              <w:bottom w:val="nil"/>
              <w:right w:val="nil"/>
            </w:tcBorders>
            <w:shd w:val="clear" w:color="auto" w:fill="auto"/>
            <w:noWrap/>
            <w:vAlign w:val="center"/>
            <w:hideMark/>
          </w:tcPr>
          <w:p w14:paraId="2E9FBC51" w14:textId="77777777" w:rsidR="00F42888" w:rsidRPr="003A2A1C" w:rsidRDefault="00F42888" w:rsidP="00F42888">
            <w:pPr>
              <w:jc w:val="right"/>
              <w:rPr>
                <w:color w:val="000000"/>
                <w:sz w:val="22"/>
                <w:szCs w:val="22"/>
              </w:rPr>
            </w:pPr>
            <w:r w:rsidRPr="003A2A1C">
              <w:rPr>
                <w:color w:val="000000"/>
                <w:sz w:val="22"/>
                <w:szCs w:val="22"/>
              </w:rPr>
              <w:t xml:space="preserve">$8.86 </w:t>
            </w:r>
          </w:p>
        </w:tc>
        <w:tc>
          <w:tcPr>
            <w:tcW w:w="2266" w:type="dxa"/>
            <w:tcBorders>
              <w:top w:val="nil"/>
              <w:left w:val="nil"/>
              <w:bottom w:val="nil"/>
              <w:right w:val="nil"/>
            </w:tcBorders>
            <w:shd w:val="clear" w:color="auto" w:fill="auto"/>
            <w:noWrap/>
            <w:vAlign w:val="center"/>
            <w:hideMark/>
          </w:tcPr>
          <w:p w14:paraId="41083BA1" w14:textId="77777777" w:rsidR="00F42888" w:rsidRPr="003A2A1C" w:rsidRDefault="00F42888" w:rsidP="00F42888">
            <w:pPr>
              <w:jc w:val="right"/>
              <w:rPr>
                <w:color w:val="000000"/>
                <w:sz w:val="22"/>
                <w:szCs w:val="22"/>
              </w:rPr>
            </w:pPr>
            <w:r w:rsidRPr="003A2A1C">
              <w:rPr>
                <w:color w:val="000000"/>
                <w:sz w:val="22"/>
                <w:szCs w:val="22"/>
              </w:rPr>
              <w:t>$</w:t>
            </w:r>
            <w:r>
              <w:rPr>
                <w:color w:val="000000"/>
                <w:sz w:val="22"/>
                <w:szCs w:val="22"/>
              </w:rPr>
              <w:t>10.16</w:t>
            </w:r>
            <w:r w:rsidRPr="003A2A1C">
              <w:rPr>
                <w:color w:val="000000"/>
                <w:sz w:val="22"/>
                <w:szCs w:val="22"/>
              </w:rPr>
              <w:t xml:space="preserve"> </w:t>
            </w:r>
          </w:p>
        </w:tc>
        <w:tc>
          <w:tcPr>
            <w:tcW w:w="1708" w:type="dxa"/>
            <w:tcBorders>
              <w:top w:val="nil"/>
              <w:left w:val="nil"/>
              <w:bottom w:val="nil"/>
              <w:right w:val="single" w:sz="8" w:space="0" w:color="auto"/>
            </w:tcBorders>
            <w:shd w:val="clear" w:color="auto" w:fill="auto"/>
            <w:noWrap/>
            <w:vAlign w:val="center"/>
            <w:hideMark/>
          </w:tcPr>
          <w:p w14:paraId="73E45EE9" w14:textId="77777777" w:rsidR="00F42888" w:rsidRPr="003A2A1C" w:rsidRDefault="00F42888" w:rsidP="00F42888">
            <w:pPr>
              <w:jc w:val="right"/>
              <w:rPr>
                <w:color w:val="000000"/>
                <w:sz w:val="22"/>
                <w:szCs w:val="22"/>
              </w:rPr>
            </w:pPr>
            <w:r w:rsidRPr="003A2A1C">
              <w:rPr>
                <w:color w:val="000000"/>
                <w:sz w:val="22"/>
                <w:szCs w:val="22"/>
              </w:rPr>
              <w:t xml:space="preserve">$0.06 </w:t>
            </w:r>
          </w:p>
        </w:tc>
        <w:tc>
          <w:tcPr>
            <w:tcW w:w="236" w:type="dxa"/>
            <w:tcBorders>
              <w:top w:val="nil"/>
              <w:left w:val="nil"/>
              <w:bottom w:val="nil"/>
              <w:right w:val="nil"/>
            </w:tcBorders>
            <w:shd w:val="clear" w:color="auto" w:fill="auto"/>
            <w:noWrap/>
            <w:vAlign w:val="bottom"/>
            <w:hideMark/>
          </w:tcPr>
          <w:p w14:paraId="1B19FF2B" w14:textId="77777777" w:rsidR="00F42888" w:rsidRPr="003A2A1C" w:rsidRDefault="00F42888" w:rsidP="00F42888">
            <w:pPr>
              <w:jc w:val="right"/>
              <w:rPr>
                <w:color w:val="000000"/>
                <w:sz w:val="22"/>
                <w:szCs w:val="22"/>
              </w:rPr>
            </w:pPr>
          </w:p>
        </w:tc>
      </w:tr>
      <w:tr w:rsidR="00F42888" w:rsidRPr="003A2A1C" w14:paraId="7BD187DE" w14:textId="77777777" w:rsidTr="00F42888">
        <w:trPr>
          <w:trHeight w:val="144"/>
        </w:trPr>
        <w:tc>
          <w:tcPr>
            <w:tcW w:w="289" w:type="dxa"/>
            <w:tcBorders>
              <w:top w:val="nil"/>
              <w:left w:val="nil"/>
              <w:bottom w:val="nil"/>
              <w:right w:val="nil"/>
            </w:tcBorders>
            <w:shd w:val="clear" w:color="auto" w:fill="auto"/>
            <w:noWrap/>
            <w:vAlign w:val="bottom"/>
            <w:hideMark/>
          </w:tcPr>
          <w:p w14:paraId="01BC3DEE" w14:textId="77777777" w:rsidR="00F42888" w:rsidRPr="00F42888" w:rsidRDefault="00F42888" w:rsidP="00F42888">
            <w:pPr>
              <w:rPr>
                <w:sz w:val="16"/>
                <w:szCs w:val="22"/>
              </w:rPr>
            </w:pPr>
          </w:p>
        </w:tc>
        <w:tc>
          <w:tcPr>
            <w:tcW w:w="5085" w:type="dxa"/>
            <w:tcBorders>
              <w:top w:val="nil"/>
              <w:left w:val="single" w:sz="8" w:space="0" w:color="auto"/>
              <w:bottom w:val="nil"/>
              <w:right w:val="nil"/>
            </w:tcBorders>
            <w:shd w:val="clear" w:color="auto" w:fill="auto"/>
            <w:noWrap/>
            <w:vAlign w:val="center"/>
            <w:hideMark/>
          </w:tcPr>
          <w:p w14:paraId="2DA091E1" w14:textId="77777777" w:rsidR="00F42888" w:rsidRPr="00F42888" w:rsidRDefault="00F42888" w:rsidP="00F42888">
            <w:pPr>
              <w:rPr>
                <w:sz w:val="16"/>
                <w:szCs w:val="22"/>
              </w:rPr>
            </w:pPr>
            <w:r w:rsidRPr="00F42888">
              <w:rPr>
                <w:sz w:val="16"/>
                <w:szCs w:val="22"/>
              </w:rPr>
              <w:t> </w:t>
            </w:r>
          </w:p>
        </w:tc>
        <w:tc>
          <w:tcPr>
            <w:tcW w:w="1665" w:type="dxa"/>
            <w:gridSpan w:val="2"/>
            <w:tcBorders>
              <w:top w:val="nil"/>
              <w:left w:val="nil"/>
              <w:bottom w:val="nil"/>
              <w:right w:val="nil"/>
            </w:tcBorders>
            <w:shd w:val="clear" w:color="auto" w:fill="auto"/>
            <w:noWrap/>
            <w:vAlign w:val="center"/>
            <w:hideMark/>
          </w:tcPr>
          <w:p w14:paraId="040923FC" w14:textId="77777777" w:rsidR="00F42888" w:rsidRPr="00F42888" w:rsidRDefault="00F42888" w:rsidP="00F42888">
            <w:pPr>
              <w:rPr>
                <w:sz w:val="16"/>
                <w:szCs w:val="22"/>
              </w:rPr>
            </w:pPr>
          </w:p>
        </w:tc>
        <w:tc>
          <w:tcPr>
            <w:tcW w:w="1669" w:type="dxa"/>
            <w:tcBorders>
              <w:top w:val="nil"/>
              <w:left w:val="nil"/>
              <w:bottom w:val="nil"/>
              <w:right w:val="nil"/>
            </w:tcBorders>
            <w:shd w:val="clear" w:color="auto" w:fill="auto"/>
            <w:noWrap/>
            <w:vAlign w:val="center"/>
            <w:hideMark/>
          </w:tcPr>
          <w:p w14:paraId="6DB62A59" w14:textId="77777777" w:rsidR="00F42888" w:rsidRPr="00F42888" w:rsidRDefault="00F42888" w:rsidP="00F42888">
            <w:pPr>
              <w:jc w:val="right"/>
              <w:rPr>
                <w:sz w:val="16"/>
                <w:szCs w:val="22"/>
              </w:rPr>
            </w:pPr>
          </w:p>
        </w:tc>
        <w:tc>
          <w:tcPr>
            <w:tcW w:w="2266" w:type="dxa"/>
            <w:tcBorders>
              <w:top w:val="nil"/>
              <w:left w:val="nil"/>
              <w:bottom w:val="nil"/>
              <w:right w:val="nil"/>
            </w:tcBorders>
            <w:shd w:val="clear" w:color="auto" w:fill="auto"/>
            <w:noWrap/>
            <w:vAlign w:val="center"/>
            <w:hideMark/>
          </w:tcPr>
          <w:p w14:paraId="00839431" w14:textId="77777777" w:rsidR="00F42888" w:rsidRPr="00F42888" w:rsidRDefault="00F42888" w:rsidP="00F42888">
            <w:pPr>
              <w:jc w:val="right"/>
              <w:rPr>
                <w:sz w:val="16"/>
                <w:szCs w:val="22"/>
              </w:rPr>
            </w:pPr>
          </w:p>
        </w:tc>
        <w:tc>
          <w:tcPr>
            <w:tcW w:w="1708" w:type="dxa"/>
            <w:tcBorders>
              <w:top w:val="nil"/>
              <w:left w:val="nil"/>
              <w:bottom w:val="nil"/>
              <w:right w:val="single" w:sz="8" w:space="0" w:color="auto"/>
            </w:tcBorders>
            <w:shd w:val="clear" w:color="auto" w:fill="auto"/>
            <w:noWrap/>
            <w:vAlign w:val="center"/>
            <w:hideMark/>
          </w:tcPr>
          <w:p w14:paraId="52D8D904" w14:textId="77777777" w:rsidR="00F42888" w:rsidRPr="00F42888" w:rsidRDefault="00F42888" w:rsidP="00F42888">
            <w:pPr>
              <w:jc w:val="right"/>
              <w:rPr>
                <w:color w:val="000000"/>
                <w:sz w:val="16"/>
                <w:szCs w:val="22"/>
              </w:rPr>
            </w:pPr>
            <w:r w:rsidRPr="00F42888">
              <w:rPr>
                <w:color w:val="000000"/>
                <w:sz w:val="16"/>
                <w:szCs w:val="22"/>
              </w:rPr>
              <w:t> </w:t>
            </w:r>
          </w:p>
        </w:tc>
        <w:tc>
          <w:tcPr>
            <w:tcW w:w="236" w:type="dxa"/>
            <w:tcBorders>
              <w:top w:val="nil"/>
              <w:left w:val="nil"/>
              <w:bottom w:val="nil"/>
              <w:right w:val="nil"/>
            </w:tcBorders>
            <w:shd w:val="clear" w:color="auto" w:fill="auto"/>
            <w:noWrap/>
            <w:vAlign w:val="bottom"/>
            <w:hideMark/>
          </w:tcPr>
          <w:p w14:paraId="640A57A7" w14:textId="77777777" w:rsidR="00F42888" w:rsidRPr="00F42888" w:rsidRDefault="00F42888" w:rsidP="00F42888">
            <w:pPr>
              <w:jc w:val="right"/>
              <w:rPr>
                <w:color w:val="000000"/>
                <w:sz w:val="16"/>
                <w:szCs w:val="22"/>
              </w:rPr>
            </w:pPr>
          </w:p>
        </w:tc>
      </w:tr>
      <w:tr w:rsidR="00F42888" w:rsidRPr="003A2A1C" w14:paraId="7AB9BCBB" w14:textId="77777777" w:rsidTr="00F42888">
        <w:trPr>
          <w:trHeight w:val="243"/>
        </w:trPr>
        <w:tc>
          <w:tcPr>
            <w:tcW w:w="289" w:type="dxa"/>
            <w:tcBorders>
              <w:top w:val="nil"/>
              <w:left w:val="nil"/>
              <w:bottom w:val="nil"/>
              <w:right w:val="nil"/>
            </w:tcBorders>
            <w:shd w:val="clear" w:color="auto" w:fill="auto"/>
            <w:noWrap/>
            <w:vAlign w:val="bottom"/>
            <w:hideMark/>
          </w:tcPr>
          <w:p w14:paraId="30564690" w14:textId="77777777" w:rsidR="00F42888" w:rsidRPr="003A2A1C" w:rsidRDefault="00F42888" w:rsidP="00F42888">
            <w:pPr>
              <w:rPr>
                <w:sz w:val="22"/>
                <w:szCs w:val="22"/>
              </w:rPr>
            </w:pPr>
          </w:p>
        </w:tc>
        <w:tc>
          <w:tcPr>
            <w:tcW w:w="5825" w:type="dxa"/>
            <w:gridSpan w:val="2"/>
            <w:tcBorders>
              <w:top w:val="nil"/>
              <w:left w:val="single" w:sz="8" w:space="0" w:color="auto"/>
              <w:bottom w:val="nil"/>
              <w:right w:val="nil"/>
            </w:tcBorders>
            <w:shd w:val="clear" w:color="auto" w:fill="auto"/>
            <w:noWrap/>
            <w:vAlign w:val="center"/>
            <w:hideMark/>
          </w:tcPr>
          <w:p w14:paraId="78DDBFFA" w14:textId="77777777" w:rsidR="00F42888" w:rsidRPr="003A2A1C" w:rsidRDefault="00F42888" w:rsidP="00F42888">
            <w:pPr>
              <w:rPr>
                <w:b/>
                <w:bCs/>
                <w:color w:val="000000"/>
                <w:sz w:val="22"/>
                <w:szCs w:val="22"/>
                <w:u w:val="single"/>
              </w:rPr>
            </w:pPr>
            <w:r w:rsidRPr="003A2A1C">
              <w:rPr>
                <w:b/>
                <w:bCs/>
                <w:color w:val="000000"/>
                <w:sz w:val="22"/>
                <w:szCs w:val="22"/>
                <w:u w:val="single"/>
              </w:rPr>
              <w:t>Typical Residential 5/8" x 3/4" Meter Bill Comparison</w:t>
            </w:r>
          </w:p>
        </w:tc>
        <w:tc>
          <w:tcPr>
            <w:tcW w:w="925" w:type="dxa"/>
            <w:tcBorders>
              <w:top w:val="nil"/>
              <w:left w:val="nil"/>
              <w:bottom w:val="nil"/>
              <w:right w:val="nil"/>
            </w:tcBorders>
            <w:shd w:val="clear" w:color="auto" w:fill="auto"/>
            <w:noWrap/>
            <w:vAlign w:val="bottom"/>
            <w:hideMark/>
          </w:tcPr>
          <w:p w14:paraId="6E1AC677" w14:textId="77777777" w:rsidR="00F42888" w:rsidRPr="003A2A1C" w:rsidRDefault="00F42888" w:rsidP="00F42888">
            <w:pPr>
              <w:rPr>
                <w:b/>
                <w:bCs/>
                <w:color w:val="000000"/>
                <w:sz w:val="22"/>
                <w:szCs w:val="22"/>
                <w:u w:val="single"/>
              </w:rPr>
            </w:pPr>
          </w:p>
        </w:tc>
        <w:tc>
          <w:tcPr>
            <w:tcW w:w="1669" w:type="dxa"/>
            <w:tcBorders>
              <w:top w:val="nil"/>
              <w:left w:val="nil"/>
              <w:bottom w:val="nil"/>
              <w:right w:val="nil"/>
            </w:tcBorders>
            <w:shd w:val="clear" w:color="auto" w:fill="auto"/>
            <w:noWrap/>
            <w:vAlign w:val="bottom"/>
            <w:hideMark/>
          </w:tcPr>
          <w:p w14:paraId="143CABC2" w14:textId="77777777" w:rsidR="00F42888" w:rsidRPr="003A2A1C" w:rsidRDefault="00F42888" w:rsidP="00F42888">
            <w:pPr>
              <w:rPr>
                <w:sz w:val="22"/>
                <w:szCs w:val="22"/>
              </w:rPr>
            </w:pPr>
          </w:p>
        </w:tc>
        <w:tc>
          <w:tcPr>
            <w:tcW w:w="2266" w:type="dxa"/>
            <w:tcBorders>
              <w:top w:val="nil"/>
              <w:left w:val="nil"/>
              <w:bottom w:val="nil"/>
              <w:right w:val="nil"/>
            </w:tcBorders>
            <w:shd w:val="clear" w:color="auto" w:fill="auto"/>
            <w:noWrap/>
            <w:vAlign w:val="bottom"/>
            <w:hideMark/>
          </w:tcPr>
          <w:p w14:paraId="7695F3EF" w14:textId="77777777" w:rsidR="00F42888" w:rsidRPr="003A2A1C" w:rsidRDefault="00F42888" w:rsidP="00F42888">
            <w:pPr>
              <w:rPr>
                <w:sz w:val="22"/>
                <w:szCs w:val="22"/>
              </w:rPr>
            </w:pPr>
          </w:p>
        </w:tc>
        <w:tc>
          <w:tcPr>
            <w:tcW w:w="1708" w:type="dxa"/>
            <w:tcBorders>
              <w:top w:val="nil"/>
              <w:left w:val="nil"/>
              <w:bottom w:val="nil"/>
              <w:right w:val="single" w:sz="8" w:space="0" w:color="auto"/>
            </w:tcBorders>
            <w:shd w:val="clear" w:color="auto" w:fill="auto"/>
            <w:noWrap/>
            <w:vAlign w:val="center"/>
            <w:hideMark/>
          </w:tcPr>
          <w:p w14:paraId="71BC1C72" w14:textId="77777777" w:rsidR="00F42888" w:rsidRPr="003A2A1C" w:rsidRDefault="00F42888" w:rsidP="00F42888">
            <w:pPr>
              <w:jc w:val="right"/>
              <w:rPr>
                <w:color w:val="000000"/>
                <w:sz w:val="22"/>
                <w:szCs w:val="22"/>
              </w:rPr>
            </w:pPr>
            <w:r w:rsidRPr="003A2A1C">
              <w:rPr>
                <w:color w:val="000000"/>
                <w:sz w:val="22"/>
                <w:szCs w:val="22"/>
              </w:rPr>
              <w:t> </w:t>
            </w:r>
          </w:p>
        </w:tc>
        <w:tc>
          <w:tcPr>
            <w:tcW w:w="236" w:type="dxa"/>
            <w:tcBorders>
              <w:top w:val="nil"/>
              <w:left w:val="nil"/>
              <w:bottom w:val="nil"/>
              <w:right w:val="nil"/>
            </w:tcBorders>
            <w:shd w:val="clear" w:color="auto" w:fill="auto"/>
            <w:noWrap/>
            <w:vAlign w:val="bottom"/>
            <w:hideMark/>
          </w:tcPr>
          <w:p w14:paraId="589C2EBC" w14:textId="77777777" w:rsidR="00F42888" w:rsidRPr="003A2A1C" w:rsidRDefault="00F42888" w:rsidP="00F42888">
            <w:pPr>
              <w:jc w:val="right"/>
              <w:rPr>
                <w:color w:val="000000"/>
                <w:sz w:val="22"/>
                <w:szCs w:val="22"/>
              </w:rPr>
            </w:pPr>
          </w:p>
        </w:tc>
      </w:tr>
      <w:tr w:rsidR="00F42888" w:rsidRPr="003A2A1C" w14:paraId="31D62D00" w14:textId="77777777" w:rsidTr="00F42888">
        <w:trPr>
          <w:trHeight w:val="243"/>
        </w:trPr>
        <w:tc>
          <w:tcPr>
            <w:tcW w:w="289" w:type="dxa"/>
            <w:tcBorders>
              <w:top w:val="nil"/>
              <w:left w:val="nil"/>
              <w:bottom w:val="nil"/>
              <w:right w:val="nil"/>
            </w:tcBorders>
            <w:shd w:val="clear" w:color="auto" w:fill="auto"/>
            <w:noWrap/>
            <w:vAlign w:val="bottom"/>
            <w:hideMark/>
          </w:tcPr>
          <w:p w14:paraId="428A5B5A" w14:textId="77777777" w:rsidR="00F42888" w:rsidRPr="003A2A1C" w:rsidRDefault="00F42888" w:rsidP="00F42888">
            <w:pPr>
              <w:rPr>
                <w:sz w:val="22"/>
                <w:szCs w:val="22"/>
              </w:rPr>
            </w:pPr>
          </w:p>
        </w:tc>
        <w:tc>
          <w:tcPr>
            <w:tcW w:w="5085" w:type="dxa"/>
            <w:tcBorders>
              <w:top w:val="nil"/>
              <w:left w:val="single" w:sz="8" w:space="0" w:color="auto"/>
              <w:bottom w:val="nil"/>
              <w:right w:val="nil"/>
            </w:tcBorders>
            <w:shd w:val="clear" w:color="auto" w:fill="auto"/>
            <w:noWrap/>
            <w:vAlign w:val="center"/>
            <w:hideMark/>
          </w:tcPr>
          <w:p w14:paraId="50DF6AA1" w14:textId="77777777" w:rsidR="00F42888" w:rsidRPr="003A2A1C" w:rsidRDefault="00F42888" w:rsidP="00F42888">
            <w:pPr>
              <w:rPr>
                <w:color w:val="000000"/>
                <w:sz w:val="22"/>
                <w:szCs w:val="22"/>
              </w:rPr>
            </w:pPr>
            <w:r w:rsidRPr="003A2A1C">
              <w:rPr>
                <w:color w:val="000000"/>
                <w:sz w:val="22"/>
                <w:szCs w:val="22"/>
              </w:rPr>
              <w:t>2,000 Gallons</w:t>
            </w:r>
          </w:p>
        </w:tc>
        <w:tc>
          <w:tcPr>
            <w:tcW w:w="1665" w:type="dxa"/>
            <w:gridSpan w:val="2"/>
            <w:tcBorders>
              <w:top w:val="nil"/>
              <w:left w:val="nil"/>
              <w:bottom w:val="nil"/>
              <w:right w:val="nil"/>
            </w:tcBorders>
            <w:shd w:val="clear" w:color="auto" w:fill="auto"/>
            <w:noWrap/>
            <w:vAlign w:val="center"/>
            <w:hideMark/>
          </w:tcPr>
          <w:p w14:paraId="260A81A6" w14:textId="77777777" w:rsidR="00F42888" w:rsidRPr="003A2A1C" w:rsidRDefault="00F42888" w:rsidP="00F42888">
            <w:pPr>
              <w:jc w:val="right"/>
              <w:rPr>
                <w:color w:val="000000"/>
                <w:sz w:val="22"/>
                <w:szCs w:val="22"/>
              </w:rPr>
            </w:pPr>
            <w:r w:rsidRPr="003A2A1C">
              <w:rPr>
                <w:color w:val="000000"/>
                <w:sz w:val="22"/>
                <w:szCs w:val="22"/>
              </w:rPr>
              <w:t xml:space="preserve">$15.84 </w:t>
            </w:r>
          </w:p>
        </w:tc>
        <w:tc>
          <w:tcPr>
            <w:tcW w:w="1669" w:type="dxa"/>
            <w:tcBorders>
              <w:top w:val="nil"/>
              <w:left w:val="nil"/>
              <w:bottom w:val="nil"/>
              <w:right w:val="nil"/>
            </w:tcBorders>
            <w:shd w:val="clear" w:color="auto" w:fill="auto"/>
            <w:noWrap/>
            <w:vAlign w:val="center"/>
            <w:hideMark/>
          </w:tcPr>
          <w:p w14:paraId="7C1C8B01" w14:textId="77777777" w:rsidR="00F42888" w:rsidRPr="003A2A1C" w:rsidRDefault="00F42888" w:rsidP="00F42888">
            <w:pPr>
              <w:jc w:val="right"/>
              <w:rPr>
                <w:color w:val="000000"/>
                <w:sz w:val="22"/>
                <w:szCs w:val="22"/>
              </w:rPr>
            </w:pPr>
            <w:r w:rsidRPr="003A2A1C">
              <w:rPr>
                <w:color w:val="000000"/>
                <w:sz w:val="22"/>
                <w:szCs w:val="22"/>
              </w:rPr>
              <w:t xml:space="preserve">$39.88 </w:t>
            </w:r>
          </w:p>
        </w:tc>
        <w:tc>
          <w:tcPr>
            <w:tcW w:w="2266" w:type="dxa"/>
            <w:tcBorders>
              <w:top w:val="nil"/>
              <w:left w:val="nil"/>
              <w:bottom w:val="nil"/>
              <w:right w:val="nil"/>
            </w:tcBorders>
            <w:shd w:val="clear" w:color="auto" w:fill="auto"/>
            <w:noWrap/>
            <w:vAlign w:val="center"/>
            <w:hideMark/>
          </w:tcPr>
          <w:p w14:paraId="6E0D8D10" w14:textId="77777777" w:rsidR="00F42888" w:rsidRPr="003A2A1C" w:rsidRDefault="00F42888" w:rsidP="00F42888">
            <w:pPr>
              <w:jc w:val="right"/>
              <w:rPr>
                <w:color w:val="000000"/>
                <w:sz w:val="22"/>
                <w:szCs w:val="22"/>
              </w:rPr>
            </w:pPr>
            <w:r w:rsidRPr="003A2A1C">
              <w:rPr>
                <w:color w:val="000000"/>
                <w:sz w:val="22"/>
                <w:szCs w:val="22"/>
              </w:rPr>
              <w:t>$4</w:t>
            </w:r>
            <w:r>
              <w:rPr>
                <w:color w:val="000000"/>
                <w:sz w:val="22"/>
                <w:szCs w:val="22"/>
              </w:rPr>
              <w:t>3.91</w:t>
            </w:r>
            <w:r w:rsidRPr="003A2A1C">
              <w:rPr>
                <w:color w:val="000000"/>
                <w:sz w:val="22"/>
                <w:szCs w:val="22"/>
              </w:rPr>
              <w:t xml:space="preserve"> </w:t>
            </w:r>
          </w:p>
        </w:tc>
        <w:tc>
          <w:tcPr>
            <w:tcW w:w="1708" w:type="dxa"/>
            <w:tcBorders>
              <w:top w:val="nil"/>
              <w:left w:val="nil"/>
              <w:bottom w:val="nil"/>
              <w:right w:val="single" w:sz="8" w:space="0" w:color="auto"/>
            </w:tcBorders>
            <w:shd w:val="clear" w:color="auto" w:fill="auto"/>
            <w:noWrap/>
            <w:vAlign w:val="center"/>
            <w:hideMark/>
          </w:tcPr>
          <w:p w14:paraId="18E987A4" w14:textId="77777777" w:rsidR="00F42888" w:rsidRPr="003A2A1C" w:rsidRDefault="00F42888" w:rsidP="00F42888">
            <w:pPr>
              <w:jc w:val="right"/>
              <w:rPr>
                <w:color w:val="000000"/>
                <w:sz w:val="22"/>
                <w:szCs w:val="22"/>
              </w:rPr>
            </w:pPr>
            <w:r w:rsidRPr="003A2A1C">
              <w:rPr>
                <w:color w:val="000000"/>
                <w:sz w:val="22"/>
                <w:szCs w:val="22"/>
              </w:rPr>
              <w:t> </w:t>
            </w:r>
          </w:p>
        </w:tc>
        <w:tc>
          <w:tcPr>
            <w:tcW w:w="236" w:type="dxa"/>
            <w:tcBorders>
              <w:top w:val="nil"/>
              <w:left w:val="nil"/>
              <w:bottom w:val="nil"/>
              <w:right w:val="nil"/>
            </w:tcBorders>
            <w:shd w:val="clear" w:color="auto" w:fill="auto"/>
            <w:noWrap/>
            <w:vAlign w:val="bottom"/>
            <w:hideMark/>
          </w:tcPr>
          <w:p w14:paraId="5205568C" w14:textId="77777777" w:rsidR="00F42888" w:rsidRPr="003A2A1C" w:rsidRDefault="00F42888" w:rsidP="00F42888">
            <w:pPr>
              <w:jc w:val="right"/>
              <w:rPr>
                <w:color w:val="000000"/>
                <w:sz w:val="22"/>
                <w:szCs w:val="22"/>
              </w:rPr>
            </w:pPr>
          </w:p>
        </w:tc>
      </w:tr>
      <w:tr w:rsidR="00F42888" w:rsidRPr="003A2A1C" w14:paraId="33E3C58A" w14:textId="77777777" w:rsidTr="00F42888">
        <w:trPr>
          <w:trHeight w:val="243"/>
        </w:trPr>
        <w:tc>
          <w:tcPr>
            <w:tcW w:w="289" w:type="dxa"/>
            <w:tcBorders>
              <w:top w:val="nil"/>
              <w:left w:val="nil"/>
              <w:bottom w:val="nil"/>
              <w:right w:val="nil"/>
            </w:tcBorders>
            <w:shd w:val="clear" w:color="auto" w:fill="auto"/>
            <w:noWrap/>
            <w:vAlign w:val="bottom"/>
            <w:hideMark/>
          </w:tcPr>
          <w:p w14:paraId="0089214F" w14:textId="77777777" w:rsidR="00F42888" w:rsidRPr="003A2A1C" w:rsidRDefault="00F42888" w:rsidP="00F42888">
            <w:pPr>
              <w:rPr>
                <w:sz w:val="22"/>
                <w:szCs w:val="22"/>
              </w:rPr>
            </w:pPr>
          </w:p>
        </w:tc>
        <w:tc>
          <w:tcPr>
            <w:tcW w:w="5085" w:type="dxa"/>
            <w:tcBorders>
              <w:top w:val="nil"/>
              <w:left w:val="single" w:sz="8" w:space="0" w:color="auto"/>
              <w:bottom w:val="nil"/>
              <w:right w:val="nil"/>
            </w:tcBorders>
            <w:shd w:val="clear" w:color="auto" w:fill="auto"/>
            <w:noWrap/>
            <w:vAlign w:val="center"/>
            <w:hideMark/>
          </w:tcPr>
          <w:p w14:paraId="27CF920B" w14:textId="77777777" w:rsidR="00F42888" w:rsidRPr="003A2A1C" w:rsidRDefault="00F42888" w:rsidP="00F42888">
            <w:pPr>
              <w:rPr>
                <w:color w:val="000000"/>
                <w:sz w:val="22"/>
                <w:szCs w:val="22"/>
              </w:rPr>
            </w:pPr>
            <w:r w:rsidRPr="003A2A1C">
              <w:rPr>
                <w:color w:val="000000"/>
                <w:sz w:val="22"/>
                <w:szCs w:val="22"/>
              </w:rPr>
              <w:t>6,000 Gallons</w:t>
            </w:r>
          </w:p>
        </w:tc>
        <w:tc>
          <w:tcPr>
            <w:tcW w:w="1665" w:type="dxa"/>
            <w:gridSpan w:val="2"/>
            <w:tcBorders>
              <w:top w:val="nil"/>
              <w:left w:val="nil"/>
              <w:bottom w:val="nil"/>
              <w:right w:val="nil"/>
            </w:tcBorders>
            <w:shd w:val="clear" w:color="auto" w:fill="auto"/>
            <w:noWrap/>
            <w:vAlign w:val="center"/>
            <w:hideMark/>
          </w:tcPr>
          <w:p w14:paraId="61226844" w14:textId="77777777" w:rsidR="00F42888" w:rsidRPr="003A2A1C" w:rsidRDefault="00F42888" w:rsidP="00F42888">
            <w:pPr>
              <w:jc w:val="right"/>
              <w:rPr>
                <w:color w:val="000000"/>
                <w:sz w:val="22"/>
                <w:szCs w:val="22"/>
              </w:rPr>
            </w:pPr>
            <w:r w:rsidRPr="003A2A1C">
              <w:rPr>
                <w:color w:val="000000"/>
                <w:sz w:val="22"/>
                <w:szCs w:val="22"/>
              </w:rPr>
              <w:t xml:space="preserve">$27.56 </w:t>
            </w:r>
          </w:p>
        </w:tc>
        <w:tc>
          <w:tcPr>
            <w:tcW w:w="1669" w:type="dxa"/>
            <w:tcBorders>
              <w:top w:val="nil"/>
              <w:left w:val="nil"/>
              <w:bottom w:val="nil"/>
              <w:right w:val="nil"/>
            </w:tcBorders>
            <w:shd w:val="clear" w:color="auto" w:fill="auto"/>
            <w:noWrap/>
            <w:vAlign w:val="center"/>
            <w:hideMark/>
          </w:tcPr>
          <w:p w14:paraId="0006EDDC" w14:textId="77777777" w:rsidR="00F42888" w:rsidRPr="003A2A1C" w:rsidRDefault="00F42888" w:rsidP="00F42888">
            <w:pPr>
              <w:jc w:val="right"/>
              <w:rPr>
                <w:color w:val="000000"/>
                <w:sz w:val="22"/>
                <w:szCs w:val="22"/>
              </w:rPr>
            </w:pPr>
            <w:r w:rsidRPr="003A2A1C">
              <w:rPr>
                <w:color w:val="000000"/>
                <w:sz w:val="22"/>
                <w:szCs w:val="22"/>
              </w:rPr>
              <w:t xml:space="preserve">$69.40 </w:t>
            </w:r>
          </w:p>
        </w:tc>
        <w:tc>
          <w:tcPr>
            <w:tcW w:w="2266" w:type="dxa"/>
            <w:tcBorders>
              <w:top w:val="nil"/>
              <w:left w:val="nil"/>
              <w:bottom w:val="nil"/>
              <w:right w:val="nil"/>
            </w:tcBorders>
            <w:shd w:val="clear" w:color="auto" w:fill="auto"/>
            <w:noWrap/>
            <w:vAlign w:val="center"/>
            <w:hideMark/>
          </w:tcPr>
          <w:p w14:paraId="24DFB0FE" w14:textId="77777777" w:rsidR="00F42888" w:rsidRPr="003A2A1C" w:rsidRDefault="00F42888" w:rsidP="00F42888">
            <w:pPr>
              <w:jc w:val="right"/>
              <w:rPr>
                <w:color w:val="000000"/>
                <w:sz w:val="22"/>
                <w:szCs w:val="22"/>
              </w:rPr>
            </w:pPr>
            <w:r w:rsidRPr="003A2A1C">
              <w:rPr>
                <w:color w:val="000000"/>
                <w:sz w:val="22"/>
                <w:szCs w:val="22"/>
              </w:rPr>
              <w:t>$7</w:t>
            </w:r>
            <w:r>
              <w:rPr>
                <w:color w:val="000000"/>
                <w:sz w:val="22"/>
                <w:szCs w:val="22"/>
              </w:rPr>
              <w:t>7.75</w:t>
            </w:r>
            <w:r w:rsidRPr="003A2A1C">
              <w:rPr>
                <w:color w:val="000000"/>
                <w:sz w:val="22"/>
                <w:szCs w:val="22"/>
              </w:rPr>
              <w:t xml:space="preserve"> </w:t>
            </w:r>
          </w:p>
        </w:tc>
        <w:tc>
          <w:tcPr>
            <w:tcW w:w="1708" w:type="dxa"/>
            <w:tcBorders>
              <w:top w:val="nil"/>
              <w:left w:val="nil"/>
              <w:bottom w:val="nil"/>
              <w:right w:val="single" w:sz="8" w:space="0" w:color="auto"/>
            </w:tcBorders>
            <w:shd w:val="clear" w:color="auto" w:fill="auto"/>
            <w:noWrap/>
            <w:vAlign w:val="center"/>
            <w:hideMark/>
          </w:tcPr>
          <w:p w14:paraId="3495D039" w14:textId="77777777" w:rsidR="00F42888" w:rsidRPr="003A2A1C" w:rsidRDefault="00F42888" w:rsidP="00F42888">
            <w:pPr>
              <w:jc w:val="right"/>
              <w:rPr>
                <w:color w:val="000000"/>
                <w:sz w:val="22"/>
                <w:szCs w:val="22"/>
              </w:rPr>
            </w:pPr>
            <w:r w:rsidRPr="003A2A1C">
              <w:rPr>
                <w:color w:val="000000"/>
                <w:sz w:val="22"/>
                <w:szCs w:val="22"/>
              </w:rPr>
              <w:t> </w:t>
            </w:r>
          </w:p>
        </w:tc>
        <w:tc>
          <w:tcPr>
            <w:tcW w:w="236" w:type="dxa"/>
            <w:tcBorders>
              <w:top w:val="nil"/>
              <w:left w:val="nil"/>
              <w:bottom w:val="nil"/>
              <w:right w:val="nil"/>
            </w:tcBorders>
            <w:shd w:val="clear" w:color="auto" w:fill="auto"/>
            <w:noWrap/>
            <w:vAlign w:val="bottom"/>
            <w:hideMark/>
          </w:tcPr>
          <w:p w14:paraId="7261FAEA" w14:textId="77777777" w:rsidR="00F42888" w:rsidRPr="003A2A1C" w:rsidRDefault="00F42888" w:rsidP="00F42888">
            <w:pPr>
              <w:jc w:val="right"/>
              <w:rPr>
                <w:color w:val="000000"/>
                <w:sz w:val="22"/>
                <w:szCs w:val="22"/>
              </w:rPr>
            </w:pPr>
          </w:p>
        </w:tc>
      </w:tr>
      <w:tr w:rsidR="00F42888" w:rsidRPr="003A2A1C" w14:paraId="7EA9C688" w14:textId="77777777" w:rsidTr="00F42888">
        <w:trPr>
          <w:trHeight w:val="256"/>
        </w:trPr>
        <w:tc>
          <w:tcPr>
            <w:tcW w:w="289" w:type="dxa"/>
            <w:tcBorders>
              <w:top w:val="nil"/>
              <w:left w:val="nil"/>
              <w:bottom w:val="nil"/>
              <w:right w:val="nil"/>
            </w:tcBorders>
            <w:shd w:val="clear" w:color="auto" w:fill="auto"/>
            <w:noWrap/>
            <w:vAlign w:val="bottom"/>
            <w:hideMark/>
          </w:tcPr>
          <w:p w14:paraId="441E1394" w14:textId="77777777" w:rsidR="00F42888" w:rsidRPr="003A2A1C" w:rsidRDefault="00F42888" w:rsidP="00F42888">
            <w:pPr>
              <w:rPr>
                <w:sz w:val="22"/>
                <w:szCs w:val="22"/>
              </w:rPr>
            </w:pPr>
          </w:p>
        </w:tc>
        <w:tc>
          <w:tcPr>
            <w:tcW w:w="5085" w:type="dxa"/>
            <w:tcBorders>
              <w:top w:val="nil"/>
              <w:left w:val="single" w:sz="8" w:space="0" w:color="auto"/>
              <w:bottom w:val="single" w:sz="8" w:space="0" w:color="auto"/>
              <w:right w:val="nil"/>
            </w:tcBorders>
            <w:shd w:val="clear" w:color="auto" w:fill="auto"/>
            <w:noWrap/>
            <w:vAlign w:val="center"/>
            <w:hideMark/>
          </w:tcPr>
          <w:p w14:paraId="50E1E371" w14:textId="77777777" w:rsidR="00F42888" w:rsidRPr="003A2A1C" w:rsidRDefault="00F42888" w:rsidP="00F42888">
            <w:pPr>
              <w:rPr>
                <w:color w:val="000000"/>
                <w:sz w:val="22"/>
                <w:szCs w:val="22"/>
              </w:rPr>
            </w:pPr>
            <w:r w:rsidRPr="003A2A1C">
              <w:rPr>
                <w:color w:val="000000"/>
                <w:sz w:val="22"/>
                <w:szCs w:val="22"/>
              </w:rPr>
              <w:t>8,000 Gallons</w:t>
            </w:r>
          </w:p>
        </w:tc>
        <w:tc>
          <w:tcPr>
            <w:tcW w:w="1665" w:type="dxa"/>
            <w:gridSpan w:val="2"/>
            <w:tcBorders>
              <w:top w:val="nil"/>
              <w:left w:val="nil"/>
              <w:bottom w:val="single" w:sz="8" w:space="0" w:color="auto"/>
              <w:right w:val="nil"/>
            </w:tcBorders>
            <w:shd w:val="clear" w:color="auto" w:fill="auto"/>
            <w:noWrap/>
            <w:vAlign w:val="center"/>
            <w:hideMark/>
          </w:tcPr>
          <w:p w14:paraId="04DF3541" w14:textId="77777777" w:rsidR="00F42888" w:rsidRPr="003A2A1C" w:rsidRDefault="00F42888" w:rsidP="00F42888">
            <w:pPr>
              <w:jc w:val="right"/>
              <w:rPr>
                <w:color w:val="000000"/>
                <w:sz w:val="22"/>
                <w:szCs w:val="22"/>
              </w:rPr>
            </w:pPr>
            <w:r w:rsidRPr="003A2A1C">
              <w:rPr>
                <w:color w:val="000000"/>
                <w:sz w:val="22"/>
                <w:szCs w:val="22"/>
              </w:rPr>
              <w:t xml:space="preserve">$33.42 </w:t>
            </w:r>
          </w:p>
        </w:tc>
        <w:tc>
          <w:tcPr>
            <w:tcW w:w="1669" w:type="dxa"/>
            <w:tcBorders>
              <w:top w:val="nil"/>
              <w:left w:val="nil"/>
              <w:bottom w:val="single" w:sz="8" w:space="0" w:color="auto"/>
              <w:right w:val="nil"/>
            </w:tcBorders>
            <w:shd w:val="clear" w:color="auto" w:fill="auto"/>
            <w:noWrap/>
            <w:vAlign w:val="center"/>
            <w:hideMark/>
          </w:tcPr>
          <w:p w14:paraId="020AB1DE" w14:textId="77777777" w:rsidR="00F42888" w:rsidRPr="003A2A1C" w:rsidRDefault="00F42888" w:rsidP="00F42888">
            <w:pPr>
              <w:jc w:val="right"/>
              <w:rPr>
                <w:color w:val="000000"/>
                <w:sz w:val="22"/>
                <w:szCs w:val="22"/>
              </w:rPr>
            </w:pPr>
            <w:r w:rsidRPr="003A2A1C">
              <w:rPr>
                <w:color w:val="000000"/>
                <w:sz w:val="22"/>
                <w:szCs w:val="22"/>
              </w:rPr>
              <w:t xml:space="preserve">$84.16 </w:t>
            </w:r>
          </w:p>
        </w:tc>
        <w:tc>
          <w:tcPr>
            <w:tcW w:w="2266" w:type="dxa"/>
            <w:tcBorders>
              <w:top w:val="nil"/>
              <w:left w:val="nil"/>
              <w:bottom w:val="single" w:sz="8" w:space="0" w:color="auto"/>
              <w:right w:val="nil"/>
            </w:tcBorders>
            <w:shd w:val="clear" w:color="auto" w:fill="auto"/>
            <w:noWrap/>
            <w:vAlign w:val="center"/>
            <w:hideMark/>
          </w:tcPr>
          <w:p w14:paraId="6F564E6A" w14:textId="77777777" w:rsidR="00F42888" w:rsidRPr="003A2A1C" w:rsidRDefault="00F42888" w:rsidP="00F42888">
            <w:pPr>
              <w:jc w:val="right"/>
              <w:rPr>
                <w:color w:val="000000"/>
                <w:sz w:val="22"/>
                <w:szCs w:val="22"/>
              </w:rPr>
            </w:pPr>
            <w:r w:rsidRPr="003A2A1C">
              <w:rPr>
                <w:color w:val="000000"/>
                <w:sz w:val="22"/>
                <w:szCs w:val="22"/>
              </w:rPr>
              <w:t>$7</w:t>
            </w:r>
            <w:r>
              <w:rPr>
                <w:color w:val="000000"/>
                <w:sz w:val="22"/>
                <w:szCs w:val="22"/>
              </w:rPr>
              <w:t>7.75</w:t>
            </w:r>
            <w:r w:rsidRPr="003A2A1C">
              <w:rPr>
                <w:color w:val="000000"/>
                <w:sz w:val="22"/>
                <w:szCs w:val="22"/>
              </w:rPr>
              <w:t xml:space="preserve"> </w:t>
            </w:r>
          </w:p>
        </w:tc>
        <w:tc>
          <w:tcPr>
            <w:tcW w:w="1708" w:type="dxa"/>
            <w:tcBorders>
              <w:top w:val="nil"/>
              <w:left w:val="nil"/>
              <w:bottom w:val="single" w:sz="8" w:space="0" w:color="auto"/>
              <w:right w:val="single" w:sz="8" w:space="0" w:color="auto"/>
            </w:tcBorders>
            <w:shd w:val="clear" w:color="auto" w:fill="auto"/>
            <w:noWrap/>
            <w:vAlign w:val="center"/>
            <w:hideMark/>
          </w:tcPr>
          <w:p w14:paraId="5D0B1E43" w14:textId="77777777" w:rsidR="00F42888" w:rsidRPr="003A2A1C" w:rsidRDefault="00F42888" w:rsidP="00F42888">
            <w:pPr>
              <w:jc w:val="right"/>
              <w:rPr>
                <w:color w:val="000000"/>
                <w:sz w:val="22"/>
                <w:szCs w:val="22"/>
              </w:rPr>
            </w:pPr>
            <w:r w:rsidRPr="003A2A1C">
              <w:rPr>
                <w:color w:val="000000"/>
                <w:sz w:val="22"/>
                <w:szCs w:val="22"/>
              </w:rPr>
              <w:t> </w:t>
            </w:r>
          </w:p>
        </w:tc>
        <w:tc>
          <w:tcPr>
            <w:tcW w:w="236" w:type="dxa"/>
            <w:tcBorders>
              <w:top w:val="nil"/>
              <w:left w:val="nil"/>
              <w:bottom w:val="nil"/>
              <w:right w:val="nil"/>
            </w:tcBorders>
            <w:shd w:val="clear" w:color="auto" w:fill="auto"/>
            <w:noWrap/>
            <w:vAlign w:val="bottom"/>
            <w:hideMark/>
          </w:tcPr>
          <w:p w14:paraId="0E94D486" w14:textId="77777777" w:rsidR="00F42888" w:rsidRPr="003A2A1C" w:rsidRDefault="00F42888" w:rsidP="00F42888">
            <w:pPr>
              <w:jc w:val="right"/>
              <w:rPr>
                <w:color w:val="000000"/>
                <w:sz w:val="22"/>
                <w:szCs w:val="22"/>
              </w:rPr>
            </w:pPr>
          </w:p>
        </w:tc>
      </w:tr>
    </w:tbl>
    <w:p w14:paraId="7E01F3F4" w14:textId="77777777" w:rsidR="00224FF2" w:rsidRPr="00A57101" w:rsidRDefault="00224FF2" w:rsidP="002206E0">
      <w:pPr>
        <w:pStyle w:val="BodyText"/>
        <w:spacing w:after="0"/>
      </w:pPr>
    </w:p>
    <w:p w14:paraId="148531D4" w14:textId="77777777" w:rsidR="00786EAC" w:rsidRPr="00A57101" w:rsidRDefault="00786EAC" w:rsidP="00224FF2">
      <w:pPr>
        <w:pStyle w:val="BodyText"/>
        <w:rPr>
          <w:sz w:val="56"/>
        </w:rPr>
        <w:sectPr w:rsidR="00786EAC" w:rsidRPr="00A57101" w:rsidSect="00224FF2">
          <w:headerReference w:type="default" r:id="rId34"/>
          <w:pgSz w:w="15840" w:h="12240" w:orient="landscape" w:code="1"/>
          <w:pgMar w:top="1440" w:right="1584" w:bottom="1440" w:left="1440" w:header="720" w:footer="720" w:gutter="0"/>
          <w:cols w:space="720"/>
          <w:formProt w:val="0"/>
          <w:docGrid w:linePitch="360"/>
        </w:sectPr>
      </w:pPr>
    </w:p>
    <w:p w14:paraId="53BC140F" w14:textId="3894DF5A" w:rsidR="00A57101" w:rsidRDefault="00CE76A5" w:rsidP="00A57101">
      <w:pPr>
        <w:pStyle w:val="BodyText"/>
        <w:jc w:val="left"/>
      </w:pPr>
      <w:r>
        <w:fldChar w:fldCharType="begin"/>
      </w:r>
      <w:r>
        <w:instrText xml:space="preserve"> TC "</w:instrText>
      </w:r>
      <w:bookmarkStart w:id="44" w:name="_Toc219970024"/>
      <w:r>
        <w:instrText>Schedule No. 5 – Plant Capacity Charges</w:instrText>
      </w:r>
      <w:bookmarkEnd w:id="44"/>
      <w:r>
        <w:instrText xml:space="preserve">" \l 1 </w:instrText>
      </w:r>
      <w:r>
        <w:fldChar w:fldCharType="end"/>
      </w:r>
    </w:p>
    <w:p w14:paraId="0AFFE9E9" w14:textId="641C915D" w:rsidR="00786EAC" w:rsidRDefault="00A57101" w:rsidP="00A57101">
      <w:pPr>
        <w:pStyle w:val="BodyText"/>
        <w:jc w:val="left"/>
      </w:pPr>
      <w:r w:rsidRPr="00E87CB0">
        <w:rPr>
          <w:noProof/>
        </w:rPr>
        <w:drawing>
          <wp:inline distT="0" distB="0" distL="0" distR="0" wp14:anchorId="3701872F" wp14:editId="7C1A73F1">
            <wp:extent cx="5943600" cy="6964680"/>
            <wp:effectExtent l="0" t="0" r="0" b="7620"/>
            <wp:docPr id="2715829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43600" cy="6964680"/>
                    </a:xfrm>
                    <a:prstGeom prst="rect">
                      <a:avLst/>
                    </a:prstGeom>
                    <a:noFill/>
                    <a:ln>
                      <a:noFill/>
                    </a:ln>
                  </pic:spPr>
                </pic:pic>
              </a:graphicData>
            </a:graphic>
          </wp:inline>
        </w:drawing>
      </w:r>
    </w:p>
    <w:sectPr w:rsidR="00786EAC" w:rsidSect="00786EAC">
      <w:headerReference w:type="default" r:id="rId36"/>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A3E023" w14:textId="77777777" w:rsidR="00470C1A" w:rsidRDefault="00470C1A">
      <w:r>
        <w:separator/>
      </w:r>
    </w:p>
  </w:endnote>
  <w:endnote w:type="continuationSeparator" w:id="0">
    <w:p w14:paraId="7E3B0FA1" w14:textId="77777777" w:rsidR="00470C1A" w:rsidRDefault="00470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5B1CC" w14:textId="77777777" w:rsidR="00C3694F" w:rsidRDefault="00C369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D6533" w14:textId="3B669673" w:rsidR="00470C1A" w:rsidRDefault="00470C1A" w:rsidP="00C406B9">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C3694F">
      <w:rPr>
        <w:rStyle w:val="PageNumber"/>
        <w:noProof/>
      </w:rPr>
      <w:t>60</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CF0B8" w14:textId="77777777" w:rsidR="00C3694F" w:rsidRDefault="00C3694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10A6F" w14:textId="77777777" w:rsidR="00470C1A" w:rsidRDefault="00470C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7026D8" w14:textId="77777777" w:rsidR="00470C1A" w:rsidRDefault="00470C1A">
      <w:r>
        <w:separator/>
      </w:r>
    </w:p>
  </w:footnote>
  <w:footnote w:type="continuationSeparator" w:id="0">
    <w:p w14:paraId="358CE3E1" w14:textId="77777777" w:rsidR="00470C1A" w:rsidRDefault="00470C1A">
      <w:r>
        <w:continuationSeparator/>
      </w:r>
    </w:p>
  </w:footnote>
  <w:footnote w:id="1">
    <w:p w14:paraId="041FBED7" w14:textId="77777777" w:rsidR="00470C1A" w:rsidRDefault="00470C1A" w:rsidP="00D05BC0">
      <w:pPr>
        <w:pStyle w:val="FootnoteText"/>
      </w:pPr>
      <w:r>
        <w:rPr>
          <w:rStyle w:val="FootnoteReference"/>
        </w:rPr>
        <w:footnoteRef/>
      </w:r>
      <w:r>
        <w:t xml:space="preserve"> Order No. PSC-2024-0228-PAA-WS, issued July 8, 2024, in Docket No. 20220142-WS, </w:t>
      </w:r>
      <w:r w:rsidRPr="00CF71AE">
        <w:rPr>
          <w:i/>
        </w:rPr>
        <w:t>In re: Application for transfer of water and wastewater facilities and Certificate Nos. 589-W and 507-S from Grenelefe Resort Utility, Inc. to NC Real Estate Projects, LLC d/b/a Grenelefe Utility, in Polk Count</w:t>
      </w:r>
      <w:r w:rsidRPr="00CF71AE">
        <w:t>y.</w:t>
      </w:r>
      <w:r>
        <w:t xml:space="preserve"> </w:t>
      </w:r>
    </w:p>
  </w:footnote>
  <w:footnote w:id="2">
    <w:p w14:paraId="50E8EFA2" w14:textId="77777777" w:rsidR="00470C1A" w:rsidRPr="00CF71AE" w:rsidRDefault="00470C1A" w:rsidP="00D05BC0">
      <w:pPr>
        <w:pStyle w:val="FootnoteText"/>
        <w:rPr>
          <w:i/>
        </w:rPr>
      </w:pPr>
      <w:r>
        <w:rPr>
          <w:rStyle w:val="FootnoteReference"/>
        </w:rPr>
        <w:footnoteRef/>
      </w:r>
      <w:r>
        <w:t xml:space="preserve"> Order No. PSC-2025-0060-FOF-WS, issued February 24, 2025, in Docket No. 20240140-WS, </w:t>
      </w:r>
      <w:r w:rsidRPr="00CF71AE">
        <w:rPr>
          <w:i/>
        </w:rPr>
        <w:t>In re: Application for amendment of Certificate Nos. 589-W and 507-S in Polk County, by NC Real Estate Projects, LLC d/b/a Grenelefe Utility.</w:t>
      </w:r>
    </w:p>
  </w:footnote>
  <w:footnote w:id="3">
    <w:p w14:paraId="133DF62B" w14:textId="069587D2" w:rsidR="00470C1A" w:rsidRDefault="00470C1A" w:rsidP="00D05BC0">
      <w:pPr>
        <w:pStyle w:val="FootnoteText"/>
      </w:pPr>
      <w:r>
        <w:rPr>
          <w:rStyle w:val="FootnoteReference"/>
        </w:rPr>
        <w:footnoteRef/>
      </w:r>
      <w:r>
        <w:t xml:space="preserve"> Order No. PSC-12-0433-PAA-WS, issued August 21, 2012, in Docket No. 20110141-WS,</w:t>
      </w:r>
      <w:r w:rsidRPr="00CF71AE">
        <w:rPr>
          <w:i/>
        </w:rPr>
        <w:t xml:space="preserve"> In re: Application for staff-assisted rate case in Polk County by Grenelefe Resort Utility, Inc.</w:t>
      </w:r>
    </w:p>
  </w:footnote>
  <w:footnote w:id="4">
    <w:p w14:paraId="4B197AB4" w14:textId="77777777" w:rsidR="00470C1A" w:rsidRDefault="00470C1A" w:rsidP="00D05BC0">
      <w:pPr>
        <w:pStyle w:val="FootnoteText"/>
      </w:pPr>
      <w:r>
        <w:rPr>
          <w:rStyle w:val="FootnoteReference"/>
        </w:rPr>
        <w:footnoteRef/>
      </w:r>
      <w:r>
        <w:t xml:space="preserve"> Document No. 00967-2025, filed February 14, 2025, in Docket No. 20250023-WS.</w:t>
      </w:r>
    </w:p>
  </w:footnote>
  <w:footnote w:id="5">
    <w:p w14:paraId="2B85363D" w14:textId="77777777" w:rsidR="00470C1A" w:rsidRDefault="00470C1A" w:rsidP="00D05BC0">
      <w:pPr>
        <w:pStyle w:val="FootnoteText"/>
      </w:pPr>
      <w:r>
        <w:rPr>
          <w:rStyle w:val="FootnoteReference"/>
        </w:rPr>
        <w:footnoteRef/>
      </w:r>
      <w:r>
        <w:t xml:space="preserve"> Order No. PSC-2025-0072-PCO-WS, issued March 11, 2025, in Docket No. 20250023-WS, </w:t>
      </w:r>
      <w:r w:rsidRPr="00F41A32">
        <w:rPr>
          <w:i/>
        </w:rPr>
        <w:t>In re: Application for staff-assisted rate case in Polk County, by NC Real Estate Projects, LLC d/b/a Grenelefe Utility.</w:t>
      </w:r>
    </w:p>
  </w:footnote>
  <w:footnote w:id="6">
    <w:p w14:paraId="307E9CC0" w14:textId="77777777" w:rsidR="00470C1A" w:rsidRDefault="00470C1A" w:rsidP="00D05BC0">
      <w:pPr>
        <w:pStyle w:val="FootnoteText"/>
      </w:pPr>
      <w:r>
        <w:rPr>
          <w:rStyle w:val="FootnoteReference"/>
        </w:rPr>
        <w:footnoteRef/>
      </w:r>
      <w:r>
        <w:t xml:space="preserve"> Document Nos. 03150-2025, filed April 25, 2025; 05520-2025, filed July 9, 2025; and 08018-2025, filed August 19, 2025, in Docket No. 20250023-WS.</w:t>
      </w:r>
    </w:p>
  </w:footnote>
  <w:footnote w:id="7">
    <w:p w14:paraId="04503C62" w14:textId="77777777" w:rsidR="00470C1A" w:rsidRDefault="00470C1A" w:rsidP="00D05BC0">
      <w:pPr>
        <w:pStyle w:val="FootnoteText"/>
      </w:pPr>
      <w:r>
        <w:rPr>
          <w:rStyle w:val="FootnoteReference"/>
        </w:rPr>
        <w:footnoteRef/>
      </w:r>
      <w:r>
        <w:t xml:space="preserve"> Order No. PSC-2025-0362-PCO-WS, issued September 24, 2025, in Docket No. 20250023-WS, </w:t>
      </w:r>
      <w:r w:rsidRPr="00DB3A3C">
        <w:rPr>
          <w:i/>
        </w:rPr>
        <w:t>In re: Application for staff-assisted rate case in Polk County, by NC Real Estate Projects, LLC d/b/a Grenelefe Utility.</w:t>
      </w:r>
    </w:p>
  </w:footnote>
  <w:footnote w:id="8">
    <w:p w14:paraId="5F825929" w14:textId="77777777" w:rsidR="00470C1A" w:rsidRDefault="00470C1A" w:rsidP="00B6037C">
      <w:pPr>
        <w:pStyle w:val="FootnoteText"/>
      </w:pPr>
      <w:r>
        <w:rPr>
          <w:rStyle w:val="FootnoteReference"/>
        </w:rPr>
        <w:footnoteRef/>
      </w:r>
      <w:r>
        <w:t xml:space="preserve"> Document No. 03149-2025, filed April 25, 2025, in Docket No. 20250023-WS.</w:t>
      </w:r>
    </w:p>
  </w:footnote>
  <w:footnote w:id="9">
    <w:p w14:paraId="26A354F9" w14:textId="77777777" w:rsidR="00470C1A" w:rsidRDefault="00470C1A" w:rsidP="00B6037C">
      <w:pPr>
        <w:pStyle w:val="FootnoteText"/>
      </w:pPr>
      <w:r>
        <w:rPr>
          <w:rStyle w:val="FootnoteReference"/>
        </w:rPr>
        <w:footnoteRef/>
      </w:r>
      <w:r>
        <w:t xml:space="preserve"> Document No. 11315-2025, filed September 17, 2025, in Docket No. 20250023-WS.</w:t>
      </w:r>
    </w:p>
  </w:footnote>
  <w:footnote w:id="10">
    <w:p w14:paraId="4FAECE82" w14:textId="77777777" w:rsidR="00470C1A" w:rsidRDefault="00470C1A" w:rsidP="00B6037C">
      <w:pPr>
        <w:pStyle w:val="FootnoteText"/>
      </w:pPr>
      <w:r>
        <w:rPr>
          <w:rStyle w:val="FootnoteReference"/>
        </w:rPr>
        <w:footnoteRef/>
      </w:r>
      <w:r>
        <w:t xml:space="preserve"> This includes customer comments provided by the OPC. </w:t>
      </w:r>
    </w:p>
  </w:footnote>
  <w:footnote w:id="11">
    <w:p w14:paraId="06B7BC32" w14:textId="77777777" w:rsidR="00470C1A" w:rsidRDefault="00470C1A" w:rsidP="00CB7DB5">
      <w:pPr>
        <w:pStyle w:val="FootnoteText"/>
      </w:pPr>
      <w:r>
        <w:rPr>
          <w:rStyle w:val="FootnoteReference"/>
        </w:rPr>
        <w:footnoteRef/>
      </w:r>
      <w:r>
        <w:t xml:space="preserve"> Document No. 15496-2025, filed December 19, 2025, in Docket No. 20250023-WS.</w:t>
      </w:r>
    </w:p>
  </w:footnote>
  <w:footnote w:id="12">
    <w:p w14:paraId="1C091087" w14:textId="77777777" w:rsidR="00470C1A" w:rsidRDefault="00470C1A" w:rsidP="00B6037C">
      <w:pPr>
        <w:pStyle w:val="FootnoteText"/>
      </w:pPr>
      <w:r>
        <w:rPr>
          <w:rStyle w:val="FootnoteReference"/>
        </w:rPr>
        <w:footnoteRef/>
      </w:r>
      <w:r>
        <w:t xml:space="preserve"> Document No. 15043-2025, filed November 12, 2025, in Docket No. 20250023-WS.</w:t>
      </w:r>
    </w:p>
  </w:footnote>
  <w:footnote w:id="13">
    <w:p w14:paraId="234B28AA" w14:textId="77777777" w:rsidR="00470C1A" w:rsidRDefault="00470C1A" w:rsidP="00CB7DB5">
      <w:pPr>
        <w:pStyle w:val="FootnoteText"/>
      </w:pPr>
      <w:r>
        <w:rPr>
          <w:rStyle w:val="FootnoteReference"/>
        </w:rPr>
        <w:footnoteRef/>
      </w:r>
      <w:r>
        <w:t xml:space="preserve"> The BWNs are dated February 15, 2023, July 5 2023, and January 31, 2024.</w:t>
      </w:r>
    </w:p>
  </w:footnote>
  <w:footnote w:id="14">
    <w:p w14:paraId="1563CCC4" w14:textId="51DB93C7" w:rsidR="00470C1A" w:rsidRDefault="00470C1A" w:rsidP="00CB7DB5">
      <w:pPr>
        <w:pStyle w:val="FootnoteText"/>
      </w:pPr>
      <w:r>
        <w:rPr>
          <w:rStyle w:val="FootnoteReference"/>
        </w:rPr>
        <w:footnoteRef/>
      </w:r>
      <w:r>
        <w:t xml:space="preserve"> Document No. 15496-2025, filed December 19, 2025, in Docket No. 20250023-WS.</w:t>
      </w:r>
    </w:p>
  </w:footnote>
  <w:footnote w:id="15">
    <w:p w14:paraId="30B327DD" w14:textId="77777777" w:rsidR="00470C1A" w:rsidRDefault="00470C1A" w:rsidP="00CB7DB5">
      <w:pPr>
        <w:pStyle w:val="FootnoteText"/>
      </w:pPr>
      <w:r>
        <w:rPr>
          <w:rStyle w:val="FootnoteReference"/>
        </w:rPr>
        <w:footnoteRef/>
      </w:r>
      <w:r>
        <w:t xml:space="preserve"> Document No. 14623-2025, filed October 16, 2025, in Docket No. 20250023-WS.</w:t>
      </w:r>
    </w:p>
  </w:footnote>
  <w:footnote w:id="16">
    <w:p w14:paraId="640D06A6" w14:textId="77777777" w:rsidR="00470C1A" w:rsidRDefault="00470C1A" w:rsidP="00CB7DB5">
      <w:pPr>
        <w:pStyle w:val="FootnoteText"/>
      </w:pPr>
      <w:r>
        <w:rPr>
          <w:rStyle w:val="FootnoteReference"/>
        </w:rPr>
        <w:footnoteRef/>
      </w:r>
      <w:r>
        <w:t xml:space="preserve"> Document No. 06464-2025, filed July 17, 2025, in Docket No. 20250023-WS.</w:t>
      </w:r>
    </w:p>
  </w:footnote>
  <w:footnote w:id="17">
    <w:p w14:paraId="62C50570" w14:textId="77777777" w:rsidR="00470C1A" w:rsidRDefault="00470C1A" w:rsidP="0040243D">
      <w:pPr>
        <w:pStyle w:val="FootnoteText"/>
      </w:pPr>
      <w:r>
        <w:rPr>
          <w:rStyle w:val="FootnoteReference"/>
        </w:rPr>
        <w:footnoteRef/>
      </w:r>
      <w:r>
        <w:t xml:space="preserve"> A duplex lift station contains t</w:t>
      </w:r>
      <w:r w:rsidRPr="00C33D0E">
        <w:t>wo pumps in the wet-well</w:t>
      </w:r>
      <w:r>
        <w:t>.</w:t>
      </w:r>
    </w:p>
  </w:footnote>
  <w:footnote w:id="18">
    <w:p w14:paraId="3B6E928C" w14:textId="77777777" w:rsidR="00470C1A" w:rsidRDefault="00470C1A" w:rsidP="0040243D">
      <w:pPr>
        <w:pStyle w:val="FootnoteText"/>
      </w:pPr>
      <w:r>
        <w:rPr>
          <w:rStyle w:val="FootnoteReference"/>
        </w:rPr>
        <w:footnoteRef/>
      </w:r>
      <w:r>
        <w:t xml:space="preserve"> Order No. PSC-12-0433-PAA-WS, issued August 21, 2012, in Docket No. 20110141-WS,</w:t>
      </w:r>
      <w:r w:rsidRPr="00CF71AE">
        <w:rPr>
          <w:i/>
        </w:rPr>
        <w:t xml:space="preserve"> In re: Application for staff-assisted rate case in Polk County by Grenelefe Resort Utility, In</w:t>
      </w:r>
      <w:r>
        <w:rPr>
          <w:i/>
        </w:rPr>
        <w:t>c</w:t>
      </w:r>
      <w:r>
        <w:t>.</w:t>
      </w:r>
    </w:p>
  </w:footnote>
  <w:footnote w:id="19">
    <w:p w14:paraId="1BF8DE2D" w14:textId="77777777" w:rsidR="00470C1A" w:rsidRDefault="00470C1A" w:rsidP="0040243D">
      <w:pPr>
        <w:pStyle w:val="FootnoteText"/>
      </w:pPr>
      <w:r>
        <w:rPr>
          <w:rStyle w:val="FootnoteReference"/>
        </w:rPr>
        <w:footnoteRef/>
      </w:r>
      <w:r>
        <w:t xml:space="preserve"> Order No. PSC-2025-0060-FOF-WS, issued February 24, 2025, in Docket No. 20240140-WS, </w:t>
      </w:r>
      <w:r w:rsidRPr="00CF71AE">
        <w:rPr>
          <w:i/>
        </w:rPr>
        <w:t>In re: Application for amendment of Certificate Nos. 589-W and 507-S in Polk County, by NC Real Estate Projects, LLC d/b/a Grenelefe Utili</w:t>
      </w:r>
      <w:r>
        <w:rPr>
          <w:i/>
        </w:rPr>
        <w:t>ty</w:t>
      </w:r>
      <w:r>
        <w:t>.</w:t>
      </w:r>
    </w:p>
  </w:footnote>
  <w:footnote w:id="20">
    <w:p w14:paraId="35702B9B" w14:textId="77777777" w:rsidR="00470C1A" w:rsidRDefault="00470C1A" w:rsidP="0040243D">
      <w:pPr>
        <w:pStyle w:val="FootnoteText"/>
      </w:pPr>
      <w:r>
        <w:rPr>
          <w:rStyle w:val="FootnoteReference"/>
        </w:rPr>
        <w:footnoteRef/>
      </w:r>
      <w:r>
        <w:t xml:space="preserve"> Rule 25-30.4325(1)(e), F.A.C.</w:t>
      </w:r>
    </w:p>
  </w:footnote>
  <w:footnote w:id="21">
    <w:p w14:paraId="2E5F48A6" w14:textId="77777777" w:rsidR="00470C1A" w:rsidRDefault="00470C1A" w:rsidP="00560921">
      <w:pPr>
        <w:pStyle w:val="FootnoteText"/>
      </w:pPr>
      <w:r>
        <w:rPr>
          <w:rStyle w:val="FootnoteReference"/>
        </w:rPr>
        <w:footnoteRef/>
      </w:r>
      <w:r>
        <w:t xml:space="preserve"> Staff would note that the current owners operated the Utility for the entire test year. Therefore, the previous owner’s recordkeeping is irrelevant to this determination of EUW. </w:t>
      </w:r>
    </w:p>
  </w:footnote>
  <w:footnote w:id="22">
    <w:p w14:paraId="65795CF6" w14:textId="77777777" w:rsidR="00470C1A" w:rsidRPr="008D7C0F" w:rsidRDefault="00470C1A" w:rsidP="00560921">
      <w:pPr>
        <w:pStyle w:val="FootnoteText"/>
        <w:rPr>
          <w:i/>
        </w:rPr>
      </w:pPr>
      <w:r>
        <w:rPr>
          <w:rStyle w:val="FootnoteReference"/>
        </w:rPr>
        <w:footnoteRef/>
      </w:r>
      <w:r>
        <w:t xml:space="preserve"> Order No. PSC-2024-0228-PAA-WS, issued July 8, 2024, in Docket No. 20220142-WS, </w:t>
      </w:r>
      <w:r>
        <w:rPr>
          <w:i/>
        </w:rPr>
        <w:t>In re: Application for transfer of water and wastewater facilities and Certificate Nos. 589-W and 507-S from Grenelefe Resort Utility, Inc. to NC Real Estate Projects, LLC d/b/a Grenelefe Utility, in Polk County.</w:t>
      </w:r>
    </w:p>
  </w:footnote>
  <w:footnote w:id="23">
    <w:p w14:paraId="418AAF06" w14:textId="77777777" w:rsidR="00470C1A" w:rsidRPr="003A14AD" w:rsidRDefault="00470C1A" w:rsidP="00FF316C">
      <w:pPr>
        <w:pStyle w:val="FootnoteText"/>
      </w:pPr>
      <w:r>
        <w:rPr>
          <w:rStyle w:val="FootnoteReference"/>
        </w:rPr>
        <w:footnoteRef/>
      </w:r>
      <w:r>
        <w:t xml:space="preserve"> Order No. PSC-2022-0335-PAA-WS, issued September 28, 2022, in Docket No. 20220066-WS, </w:t>
      </w:r>
      <w:r w:rsidRPr="003A14AD">
        <w:rPr>
          <w:i/>
        </w:rPr>
        <w:t>In re: Application for increase in water rates in Washington County,</w:t>
      </w:r>
      <w:r>
        <w:rPr>
          <w:i/>
        </w:rPr>
        <w:t xml:space="preserve"> by Sunny Hills Utility Company </w:t>
      </w:r>
      <w:r>
        <w:t xml:space="preserve">and Order No. PSC-2021-0206-FOF-WS, issued June 4, 2021, in Docket No. 20200139-WS, </w:t>
      </w:r>
      <w:r w:rsidRPr="00336C6C">
        <w:rPr>
          <w:i/>
        </w:rPr>
        <w:t xml:space="preserve">In re: Application for increase in water and wastewater rates in Charlotte, Highlands, Lake, Lee, Marion, Orange, Pasco, Pinellas, Polk, and Seminole Counties, by Utilities, Inc. of Florida. </w:t>
      </w:r>
    </w:p>
  </w:footnote>
  <w:footnote w:id="24">
    <w:p w14:paraId="5C2BC05F" w14:textId="77777777" w:rsidR="00470C1A" w:rsidRDefault="00470C1A" w:rsidP="0040243D">
      <w:pPr>
        <w:pStyle w:val="FootnoteText"/>
      </w:pPr>
      <w:r>
        <w:rPr>
          <w:rStyle w:val="FootnoteReference"/>
        </w:rPr>
        <w:footnoteRef/>
      </w:r>
      <w:r>
        <w:t xml:space="preserve"> Document No. 11315-2025, filed September 17, 2025, in Docket No. 20250023-WS.</w:t>
      </w:r>
    </w:p>
  </w:footnote>
  <w:footnote w:id="25">
    <w:p w14:paraId="68B63A8C" w14:textId="44CDFD44" w:rsidR="00470C1A" w:rsidRDefault="00470C1A">
      <w:pPr>
        <w:pStyle w:val="FootnoteText"/>
      </w:pPr>
      <w:r>
        <w:rPr>
          <w:rStyle w:val="FootnoteReference"/>
        </w:rPr>
        <w:footnoteRef/>
      </w:r>
      <w:r>
        <w:t xml:space="preserve"> </w:t>
      </w:r>
      <w:r w:rsidRPr="00696FAC">
        <w:t>Document No. 03149-2025, filed April 25, 2025, in Docket No. 20250023-WS.</w:t>
      </w:r>
    </w:p>
  </w:footnote>
  <w:footnote w:id="26">
    <w:p w14:paraId="55612C50" w14:textId="77777777" w:rsidR="00470C1A" w:rsidRDefault="00470C1A" w:rsidP="00560921">
      <w:pPr>
        <w:pStyle w:val="FootnoteText"/>
      </w:pPr>
      <w:r>
        <w:rPr>
          <w:rStyle w:val="FootnoteReference"/>
        </w:rPr>
        <w:footnoteRef/>
      </w:r>
      <w:r>
        <w:t xml:space="preserve"> Document No. 04307-2025, filed June 6, 2025, in Docket No. 20250023-WS.</w:t>
      </w:r>
    </w:p>
  </w:footnote>
  <w:footnote w:id="27">
    <w:p w14:paraId="75673E9E" w14:textId="531B3F1E" w:rsidR="00470C1A" w:rsidRDefault="00470C1A">
      <w:pPr>
        <w:pStyle w:val="FootnoteText"/>
      </w:pPr>
      <w:r>
        <w:rPr>
          <w:rStyle w:val="FootnoteReference"/>
        </w:rPr>
        <w:footnoteRef/>
      </w:r>
      <w:r>
        <w:t xml:space="preserve"> </w:t>
      </w:r>
      <w:r w:rsidRPr="00696FAC">
        <w:t>Document No. 05797-2025, filed July 16, 2025, in Docket No. 20250023-WS.</w:t>
      </w:r>
    </w:p>
  </w:footnote>
  <w:footnote w:id="28">
    <w:p w14:paraId="6925F4A0" w14:textId="77777777" w:rsidR="00470C1A" w:rsidRDefault="00470C1A" w:rsidP="0040243D">
      <w:pPr>
        <w:pStyle w:val="FootnoteText"/>
      </w:pPr>
      <w:r>
        <w:rPr>
          <w:rStyle w:val="FootnoteReference"/>
        </w:rPr>
        <w:footnoteRef/>
      </w:r>
      <w:r>
        <w:t xml:space="preserve"> Document No. 06762-2025, filed July 23, 2025, in Docket No. 20250023-WS.</w:t>
      </w:r>
    </w:p>
  </w:footnote>
  <w:footnote w:id="29">
    <w:p w14:paraId="5F2CA946" w14:textId="7D74CE74" w:rsidR="00470C1A" w:rsidRDefault="00470C1A">
      <w:pPr>
        <w:pStyle w:val="FootnoteText"/>
      </w:pPr>
      <w:r>
        <w:rPr>
          <w:rStyle w:val="FootnoteReference"/>
        </w:rPr>
        <w:footnoteRef/>
      </w:r>
      <w:r>
        <w:t xml:space="preserve"> </w:t>
      </w:r>
      <w:r w:rsidRPr="00696FAC">
        <w:t>Document No. 15043-2025, filed November 12, 2025, in Docket No. 20250023-WS.</w:t>
      </w:r>
    </w:p>
  </w:footnote>
  <w:footnote w:id="30">
    <w:p w14:paraId="70269269" w14:textId="77777777" w:rsidR="00470C1A" w:rsidRDefault="00470C1A" w:rsidP="0040243D">
      <w:pPr>
        <w:pStyle w:val="FootnoteText"/>
      </w:pPr>
      <w:r>
        <w:rPr>
          <w:rStyle w:val="FootnoteReference"/>
        </w:rPr>
        <w:footnoteRef/>
      </w:r>
      <w:r>
        <w:t xml:space="preserve"> Document No. 06464-2025, filed July 17, 2025, in Docket No. 20250023-WS.</w:t>
      </w:r>
    </w:p>
  </w:footnote>
  <w:footnote w:id="31">
    <w:p w14:paraId="12CBC2C1" w14:textId="77777777" w:rsidR="00470C1A" w:rsidRDefault="00470C1A" w:rsidP="0040243D">
      <w:pPr>
        <w:pStyle w:val="FootnoteText"/>
      </w:pPr>
      <w:r>
        <w:rPr>
          <w:rStyle w:val="FootnoteReference"/>
        </w:rPr>
        <w:footnoteRef/>
      </w:r>
      <w:r>
        <w:t xml:space="preserve"> Document No. 11315-2025, filed September 17, 2025, in Docket No. 20250023-WS.</w:t>
      </w:r>
    </w:p>
  </w:footnote>
  <w:footnote w:id="32">
    <w:p w14:paraId="2DFB1C4A" w14:textId="77777777" w:rsidR="00470C1A" w:rsidRDefault="00470C1A" w:rsidP="0040243D">
      <w:pPr>
        <w:pStyle w:val="FootnoteText"/>
      </w:pPr>
      <w:r>
        <w:rPr>
          <w:rStyle w:val="FootnoteReference"/>
        </w:rPr>
        <w:footnoteRef/>
      </w:r>
      <w:r>
        <w:t xml:space="preserve"> Document No. 15043-2025, filed November 12, 2025, in Docket No. 20250023-WS.</w:t>
      </w:r>
    </w:p>
  </w:footnote>
  <w:footnote w:id="33">
    <w:p w14:paraId="157902E0" w14:textId="77777777" w:rsidR="00470C1A" w:rsidRDefault="00470C1A" w:rsidP="0040243D">
      <w:pPr>
        <w:pStyle w:val="FootnoteText"/>
      </w:pPr>
      <w:r>
        <w:rPr>
          <w:rStyle w:val="FootnoteReference"/>
        </w:rPr>
        <w:footnoteRef/>
      </w:r>
      <w:r>
        <w:t xml:space="preserve"> Document No. 15496-2025, filed December 19, 2025, in Docket No. 20250023-WS.</w:t>
      </w:r>
    </w:p>
  </w:footnote>
  <w:footnote w:id="34">
    <w:p w14:paraId="5E70037F" w14:textId="77777777" w:rsidR="00470C1A" w:rsidRDefault="00470C1A" w:rsidP="0040243D">
      <w:pPr>
        <w:pStyle w:val="FootnoteText"/>
      </w:pPr>
      <w:r>
        <w:rPr>
          <w:rStyle w:val="FootnoteReference"/>
        </w:rPr>
        <w:footnoteRef/>
      </w:r>
      <w:r>
        <w:t xml:space="preserve"> Document No. 15043-2025, filed November 12, 2025, in Docket No. 20250023-WS.</w:t>
      </w:r>
    </w:p>
  </w:footnote>
  <w:footnote w:id="35">
    <w:p w14:paraId="0A42FADA" w14:textId="77777777" w:rsidR="00470C1A" w:rsidRDefault="00470C1A" w:rsidP="0040243D">
      <w:pPr>
        <w:pStyle w:val="FootnoteText"/>
      </w:pPr>
      <w:r>
        <w:rPr>
          <w:rStyle w:val="FootnoteReference"/>
        </w:rPr>
        <w:footnoteRef/>
      </w:r>
      <w:r>
        <w:t xml:space="preserve"> Document No. 15043-2025, filed November 12, 2025, in Docket No. 20250023-WS.</w:t>
      </w:r>
    </w:p>
  </w:footnote>
  <w:footnote w:id="36">
    <w:p w14:paraId="469E3D42" w14:textId="7D9FDAB9" w:rsidR="00470C1A" w:rsidRDefault="00470C1A" w:rsidP="0040243D">
      <w:pPr>
        <w:pStyle w:val="FootnoteText"/>
      </w:pPr>
      <w:r>
        <w:rPr>
          <w:rStyle w:val="FootnoteReference"/>
        </w:rPr>
        <w:footnoteRef/>
      </w:r>
      <w:r>
        <w:t xml:space="preserve"> Order No. PSC-98-1459-AS-WS, issued October 26, 1998, in Docket No. 19961006-WS, In re: </w:t>
      </w:r>
      <w:r w:rsidRPr="00F95506">
        <w:rPr>
          <w:i/>
        </w:rPr>
        <w:t xml:space="preserve">Application for certificates under grandfather rights to provide water and wastewater service by Sports Shinko Utility, Inc. d/b/a Grenelefe Utilities in Polk County. </w:t>
      </w:r>
    </w:p>
  </w:footnote>
  <w:footnote w:id="37">
    <w:p w14:paraId="3FA0F26E" w14:textId="77777777" w:rsidR="00470C1A" w:rsidRDefault="00470C1A" w:rsidP="0040243D">
      <w:pPr>
        <w:pStyle w:val="FootnoteText"/>
      </w:pPr>
      <w:r>
        <w:rPr>
          <w:rStyle w:val="FootnoteReference"/>
        </w:rPr>
        <w:footnoteRef/>
      </w:r>
      <w:r>
        <w:t xml:space="preserve"> Document No. 11315-2025, filed September 17, 2025, in Docket No. 20250023-WS.</w:t>
      </w:r>
    </w:p>
  </w:footnote>
  <w:footnote w:id="38">
    <w:p w14:paraId="1C813D8E" w14:textId="06E6BBAC" w:rsidR="00470C1A" w:rsidRDefault="00470C1A" w:rsidP="00936BB9">
      <w:pPr>
        <w:pStyle w:val="FootnoteText"/>
      </w:pPr>
      <w:r>
        <w:rPr>
          <w:rStyle w:val="FootnoteReference"/>
        </w:rPr>
        <w:footnoteRef/>
      </w:r>
      <w:r>
        <w:t xml:space="preserve"> Order No. PSC-2017-0361-FOF-WS, issued September 25, 2017, and Amendatory Order PSC-2017-0361A-FOF-WS, filed October 4, 2017, in Docket No. 20160101-WS, </w:t>
      </w:r>
      <w:r w:rsidRPr="002E4FA8">
        <w:rPr>
          <w:i/>
        </w:rPr>
        <w:t>In re: Application for increase in water and wastewater rates in Charlotte, Highlands, Lake, Lee, Marion, Orange, Pasco, Pinellas, Polk, and Seminole Counties by Utilities, Inc. of Florida.</w:t>
      </w:r>
      <w:r>
        <w:t xml:space="preserve"> </w:t>
      </w:r>
    </w:p>
  </w:footnote>
  <w:footnote w:id="39">
    <w:p w14:paraId="25233107" w14:textId="77777777" w:rsidR="00470C1A" w:rsidRDefault="00470C1A" w:rsidP="00251943">
      <w:pPr>
        <w:pStyle w:val="FootnoteText"/>
      </w:pPr>
      <w:r>
        <w:rPr>
          <w:rStyle w:val="FootnoteReference"/>
        </w:rPr>
        <w:footnoteRef/>
      </w:r>
      <w:r>
        <w:rPr>
          <w:i/>
        </w:rPr>
        <w:t xml:space="preserve"> </w:t>
      </w:r>
      <w:r w:rsidRPr="00A300E2">
        <w:rPr>
          <w:i/>
        </w:rPr>
        <w:t>Id</w:t>
      </w:r>
      <w:r>
        <w:t>.</w:t>
      </w:r>
    </w:p>
  </w:footnote>
  <w:footnote w:id="40">
    <w:p w14:paraId="521C951C" w14:textId="08632BF6" w:rsidR="00470C1A" w:rsidRPr="007D754B" w:rsidRDefault="00470C1A" w:rsidP="00251943">
      <w:pPr>
        <w:pStyle w:val="FootnoteText"/>
        <w:rPr>
          <w:i/>
        </w:rPr>
      </w:pPr>
      <w:r>
        <w:rPr>
          <w:rStyle w:val="FootnoteReference"/>
        </w:rPr>
        <w:footnoteRef/>
      </w:r>
      <w:r>
        <w:t xml:space="preserve"> Order No. PSC-12-0433-PAA-WS, issued August 21, 2012, in Docket No. 20110141-WS, </w:t>
      </w:r>
      <w:r>
        <w:rPr>
          <w:i/>
        </w:rPr>
        <w:t>In re: Application for staff-assisted rate case in Polk County by Grenelefe Resort Utility, Inc.</w:t>
      </w:r>
    </w:p>
  </w:footnote>
  <w:footnote w:id="41">
    <w:p w14:paraId="2D913C86" w14:textId="77777777" w:rsidR="00470C1A" w:rsidRPr="000D6764" w:rsidRDefault="00470C1A" w:rsidP="00251943">
      <w:pPr>
        <w:pStyle w:val="FootnoteText"/>
        <w:rPr>
          <w:i/>
        </w:rPr>
      </w:pPr>
      <w:r>
        <w:rPr>
          <w:rStyle w:val="FootnoteReference"/>
        </w:rPr>
        <w:footnoteRef/>
      </w:r>
      <w:r>
        <w:rPr>
          <w:i/>
        </w:rPr>
        <w:t xml:space="preserve"> Id.</w:t>
      </w:r>
    </w:p>
  </w:footnote>
  <w:footnote w:id="42">
    <w:p w14:paraId="37CBA2FE" w14:textId="289859C1" w:rsidR="00470C1A" w:rsidRDefault="00470C1A" w:rsidP="00FC1629">
      <w:pPr>
        <w:pStyle w:val="FootnoteText"/>
      </w:pPr>
      <w:r>
        <w:rPr>
          <w:rStyle w:val="FootnoteReference"/>
        </w:rPr>
        <w:footnoteRef/>
      </w:r>
      <w:r>
        <w:t xml:space="preserve"> Document No. 05248-2025, filed June 26, 2025,</w:t>
      </w:r>
      <w:r w:rsidRPr="00DC3A0A">
        <w:t xml:space="preserve"> </w:t>
      </w:r>
      <w:r>
        <w:t>in Docket No. 20250023-WS.</w:t>
      </w:r>
    </w:p>
  </w:footnote>
  <w:footnote w:id="43">
    <w:p w14:paraId="1A38BA99" w14:textId="330A5F58" w:rsidR="00470C1A" w:rsidRDefault="00470C1A" w:rsidP="00FC1629">
      <w:pPr>
        <w:pStyle w:val="FootnoteText"/>
      </w:pPr>
      <w:r>
        <w:rPr>
          <w:rStyle w:val="FootnoteReference"/>
        </w:rPr>
        <w:footnoteRef/>
      </w:r>
      <w:r>
        <w:t xml:space="preserve"> Document No. 15043-2025, filed November 12, 2025,</w:t>
      </w:r>
      <w:r w:rsidRPr="00DC3A0A">
        <w:t xml:space="preserve"> </w:t>
      </w:r>
      <w:r>
        <w:t>in Docket No. 20250023-WS.</w:t>
      </w:r>
    </w:p>
  </w:footnote>
  <w:footnote w:id="44">
    <w:p w14:paraId="0D5B4EA3" w14:textId="5FDE3BE1" w:rsidR="00470C1A" w:rsidRDefault="00470C1A" w:rsidP="00FC1629">
      <w:pPr>
        <w:pStyle w:val="FootnoteText"/>
      </w:pPr>
      <w:r>
        <w:rPr>
          <w:rStyle w:val="FootnoteReference"/>
        </w:rPr>
        <w:footnoteRef/>
      </w:r>
      <w:r>
        <w:t xml:space="preserve"> Order No. PSC-2025-0213-PAA-WS, issued June 18, 2025, in Docket No. 20250006-WS, </w:t>
      </w:r>
      <w:r w:rsidRPr="007C0137">
        <w:rPr>
          <w:i/>
        </w:rPr>
        <w:t>In re: Water and wastewater industry annual reestablishment of authorized range of return on common equity for water and wastewater utilities pursuant to Section 367.081(4)(</w:t>
      </w:r>
      <w:r>
        <w:rPr>
          <w:i/>
        </w:rPr>
        <w:t>f</w:t>
      </w:r>
      <w:r w:rsidRPr="007C0137">
        <w:rPr>
          <w:i/>
        </w:rPr>
        <w:t>), F.S.</w:t>
      </w:r>
    </w:p>
  </w:footnote>
  <w:footnote w:id="45">
    <w:p w14:paraId="339CEA3A" w14:textId="77777777" w:rsidR="00470C1A" w:rsidRDefault="00470C1A" w:rsidP="00936BB9">
      <w:pPr>
        <w:pStyle w:val="FootnoteText"/>
      </w:pPr>
      <w:r>
        <w:rPr>
          <w:rStyle w:val="FootnoteReference"/>
        </w:rPr>
        <w:footnoteRef/>
      </w:r>
      <w:r>
        <w:t xml:space="preserve"> Document No. 14200-2025, filed October 3, 2025,</w:t>
      </w:r>
      <w:r w:rsidRPr="00DC3A0A">
        <w:t xml:space="preserve"> </w:t>
      </w:r>
      <w:r>
        <w:t>in Docket No. 20250023-WS.</w:t>
      </w:r>
    </w:p>
  </w:footnote>
  <w:footnote w:id="46">
    <w:p w14:paraId="25D27622" w14:textId="77777777" w:rsidR="00470C1A" w:rsidRDefault="00470C1A" w:rsidP="00936BB9">
      <w:pPr>
        <w:pStyle w:val="FootnoteText"/>
      </w:pPr>
      <w:r>
        <w:rPr>
          <w:rStyle w:val="FootnoteReference"/>
        </w:rPr>
        <w:footnoteRef/>
      </w:r>
      <w:r>
        <w:t xml:space="preserve"> Document No. 15044-2025, filed November 12, 2025,</w:t>
      </w:r>
      <w:r w:rsidRPr="00DC3A0A">
        <w:t xml:space="preserve"> </w:t>
      </w:r>
      <w:r>
        <w:t>in Docket No. 20250023-WS.</w:t>
      </w:r>
    </w:p>
  </w:footnote>
  <w:footnote w:id="47">
    <w:p w14:paraId="5FE93D83" w14:textId="77777777" w:rsidR="00470C1A" w:rsidRDefault="00470C1A" w:rsidP="00C400D4">
      <w:pPr>
        <w:pStyle w:val="FootnoteText"/>
      </w:pPr>
      <w:r>
        <w:rPr>
          <w:rStyle w:val="FootnoteReference"/>
        </w:rPr>
        <w:footnoteRef/>
      </w:r>
      <w:r>
        <w:t xml:space="preserve"> Order No. PSC-2024-0292-CO-WS, issued August 2, 2024, in Docket No. 20220142-WS, </w:t>
      </w:r>
      <w:r w:rsidRPr="008E3F62">
        <w:rPr>
          <w:i/>
        </w:rPr>
        <w:t>In Re: Application for transfer of water and wastewater facilities and Certificate Nos. 589-W and 507-S from Grenelefe Resort Utility, Inc. to NC Real Estate Projects, LLC d/b/a Grenelefe Utility, in Polk County.</w:t>
      </w:r>
    </w:p>
  </w:footnote>
  <w:footnote w:id="48">
    <w:p w14:paraId="11E9B5BE" w14:textId="4A6D0C7F" w:rsidR="00470C1A" w:rsidRDefault="00470C1A" w:rsidP="000B695F">
      <w:pPr>
        <w:pStyle w:val="FootnoteText"/>
        <w:jc w:val="left"/>
      </w:pPr>
      <w:r>
        <w:rPr>
          <w:rStyle w:val="FootnoteReference"/>
        </w:rPr>
        <w:footnoteRef/>
      </w:r>
      <w:r>
        <w:t xml:space="preserve"> </w:t>
      </w:r>
      <w:hyperlink r:id="rId1" w:history="1">
        <w:r w:rsidRPr="000B695F">
          <w:rPr>
            <w:rStyle w:val="Hyperlink"/>
            <w:u w:val="none"/>
          </w:rPr>
          <w:t>https://www.irs.gov/newsroom/irs-increases-the-standard-mileage-rate-for-business-use-in-2025-key-rate-increases-3-cents-to-70-cents-per-mile</w:t>
        </w:r>
      </w:hyperlink>
    </w:p>
  </w:footnote>
  <w:footnote w:id="49">
    <w:p w14:paraId="4DEDE3C2" w14:textId="50A930AB" w:rsidR="00470C1A" w:rsidRDefault="00470C1A" w:rsidP="00C400D4">
      <w:pPr>
        <w:pStyle w:val="FootnoteText"/>
      </w:pPr>
      <w:r w:rsidRPr="00DC3A0A">
        <w:rPr>
          <w:rStyle w:val="FootnoteReference"/>
        </w:rPr>
        <w:footnoteRef/>
      </w:r>
      <w:r w:rsidRPr="00DC3A0A">
        <w:t xml:space="preserve"> Document No. </w:t>
      </w:r>
      <w:r w:rsidRPr="00AF7965">
        <w:t>00027-2026</w:t>
      </w:r>
      <w:r>
        <w:t>, filed January 5, 2026,</w:t>
      </w:r>
      <w:r w:rsidRPr="00DC3A0A">
        <w:t xml:space="preserve"> </w:t>
      </w:r>
      <w:r>
        <w:t>in Docket No. 20250023-WS.</w:t>
      </w:r>
    </w:p>
  </w:footnote>
  <w:footnote w:id="50">
    <w:p w14:paraId="3A4769FC" w14:textId="5DB3C70B" w:rsidR="00470C1A" w:rsidRDefault="00470C1A" w:rsidP="00C400D4">
      <w:pPr>
        <w:pStyle w:val="FootnoteText"/>
      </w:pPr>
      <w:r>
        <w:rPr>
          <w:rStyle w:val="FootnoteReference"/>
        </w:rPr>
        <w:footnoteRef/>
      </w:r>
      <w:r>
        <w:t xml:space="preserve"> Document No. 06464-2025, filed July 17, 2025,</w:t>
      </w:r>
      <w:r w:rsidRPr="00DC3A0A">
        <w:t xml:space="preserve"> </w:t>
      </w:r>
      <w:r>
        <w:t xml:space="preserve">in Docket No. 20250023-WS. </w:t>
      </w:r>
    </w:p>
  </w:footnote>
  <w:footnote w:id="51">
    <w:p w14:paraId="60B9C096" w14:textId="448EF1C7" w:rsidR="00470C1A" w:rsidRPr="00D3021B" w:rsidRDefault="00470C1A" w:rsidP="00C400D4">
      <w:pPr>
        <w:pStyle w:val="FootnoteText"/>
        <w:rPr>
          <w:i/>
        </w:rPr>
      </w:pPr>
      <w:r>
        <w:rPr>
          <w:rStyle w:val="FootnoteReference"/>
        </w:rPr>
        <w:footnoteRef/>
      </w:r>
      <w:r>
        <w:t xml:space="preserve"> Order No</w:t>
      </w:r>
      <w:r w:rsidRPr="00D3021B">
        <w:t>. PSC-09-0375-PAA-GU</w:t>
      </w:r>
      <w:r>
        <w:t xml:space="preserve">, issued May 27, 2009, in Docket No. 20080366-GU, </w:t>
      </w:r>
      <w:r w:rsidRPr="00D3021B">
        <w:rPr>
          <w:i/>
        </w:rPr>
        <w:t>In Re: Petition for rate increase by Florida Public Utilities Company.</w:t>
      </w:r>
    </w:p>
  </w:footnote>
  <w:footnote w:id="52">
    <w:p w14:paraId="511E24BD" w14:textId="77777777" w:rsidR="00470C1A" w:rsidRDefault="00470C1A" w:rsidP="00C400D4">
      <w:pPr>
        <w:pStyle w:val="FootnoteText"/>
      </w:pPr>
      <w:r>
        <w:rPr>
          <w:rStyle w:val="FootnoteReference"/>
        </w:rPr>
        <w:footnoteRef/>
      </w:r>
      <w:r>
        <w:t xml:space="preserve"> Staff notes calculations may not compute due to rounding.</w:t>
      </w:r>
    </w:p>
  </w:footnote>
  <w:footnote w:id="53">
    <w:p w14:paraId="0C74563B" w14:textId="54853954" w:rsidR="00470C1A" w:rsidRDefault="00470C1A" w:rsidP="000E4548">
      <w:pPr>
        <w:pStyle w:val="FootnoteText"/>
        <w:jc w:val="left"/>
      </w:pPr>
      <w:r>
        <w:rPr>
          <w:rStyle w:val="FootnoteReference"/>
        </w:rPr>
        <w:footnoteRef/>
      </w:r>
      <w:r>
        <w:t xml:space="preserve"> Average persons per household may be found by following: </w:t>
      </w:r>
      <w:hyperlink r:id="rId2" w:history="1">
        <w:r w:rsidRPr="00B41962">
          <w:rPr>
            <w:rStyle w:val="Hyperlink"/>
            <w:u w:val="none"/>
          </w:rPr>
          <w:t>https://www.census.gov/quickfacts/fact/table/lakelandcityflorida/pst045224</w:t>
        </w:r>
      </w:hyperlink>
    </w:p>
  </w:footnote>
  <w:footnote w:id="54">
    <w:p w14:paraId="661CDAAA" w14:textId="77777777" w:rsidR="00470C1A" w:rsidRDefault="00470C1A" w:rsidP="000E4548">
      <w:pPr>
        <w:pStyle w:val="FootnoteText"/>
      </w:pPr>
    </w:p>
  </w:footnote>
  <w:footnote w:id="55">
    <w:p w14:paraId="7BFDA5AA" w14:textId="35E11214" w:rsidR="00470C1A" w:rsidRPr="00DB010A" w:rsidRDefault="00470C1A" w:rsidP="000E4548">
      <w:pPr>
        <w:autoSpaceDE w:val="0"/>
        <w:autoSpaceDN w:val="0"/>
        <w:adjustRightInd w:val="0"/>
        <w:rPr>
          <w:i/>
          <w:iCs/>
          <w:sz w:val="20"/>
          <w:szCs w:val="20"/>
        </w:rPr>
      </w:pPr>
      <w:r>
        <w:rPr>
          <w:rStyle w:val="FootnoteReference"/>
        </w:rPr>
        <w:footnoteRef/>
      </w:r>
      <w:r>
        <w:rPr>
          <w:sz w:val="20"/>
          <w:szCs w:val="20"/>
        </w:rPr>
        <w:t xml:space="preserve"> </w:t>
      </w:r>
      <w:r w:rsidRPr="00DB010A">
        <w:rPr>
          <w:sz w:val="20"/>
          <w:szCs w:val="20"/>
        </w:rPr>
        <w:t>Order No. PSC-15-0142-PAA-SU, issued March 26,</w:t>
      </w:r>
      <w:r>
        <w:rPr>
          <w:sz w:val="20"/>
          <w:szCs w:val="20"/>
        </w:rPr>
        <w:t xml:space="preserve"> </w:t>
      </w:r>
      <w:r w:rsidRPr="00DB010A">
        <w:rPr>
          <w:sz w:val="20"/>
          <w:szCs w:val="20"/>
        </w:rPr>
        <w:t xml:space="preserve">2015, in Docket No. </w:t>
      </w:r>
      <w:r>
        <w:rPr>
          <w:sz w:val="20"/>
          <w:szCs w:val="20"/>
        </w:rPr>
        <w:t>20</w:t>
      </w:r>
      <w:r w:rsidRPr="00DB010A">
        <w:rPr>
          <w:sz w:val="20"/>
          <w:szCs w:val="20"/>
        </w:rPr>
        <w:t xml:space="preserve">130178-SU, </w:t>
      </w:r>
      <w:r w:rsidRPr="00DB010A">
        <w:rPr>
          <w:i/>
          <w:iCs/>
          <w:sz w:val="20"/>
          <w:szCs w:val="20"/>
        </w:rPr>
        <w:t>In re</w:t>
      </w:r>
      <w:r>
        <w:rPr>
          <w:i/>
          <w:iCs/>
          <w:sz w:val="20"/>
          <w:szCs w:val="20"/>
        </w:rPr>
        <w:t xml:space="preserve">: Application for staff-assisted </w:t>
      </w:r>
      <w:r w:rsidRPr="00DB010A">
        <w:rPr>
          <w:i/>
          <w:iCs/>
          <w:sz w:val="20"/>
          <w:szCs w:val="20"/>
        </w:rPr>
        <w:t>rate case in Polk County by Crooked Lake Park Sewerage Company.</w:t>
      </w:r>
    </w:p>
  </w:footnote>
  <w:footnote w:id="56">
    <w:p w14:paraId="4CC958E7" w14:textId="77777777" w:rsidR="00470C1A" w:rsidRDefault="00470C1A" w:rsidP="000E4548">
      <w:pPr>
        <w:pStyle w:val="FootnoteText"/>
      </w:pPr>
      <w:r>
        <w:rPr>
          <w:rStyle w:val="FootnoteReference"/>
        </w:rPr>
        <w:footnoteRef/>
      </w:r>
      <w:r>
        <w:t xml:space="preserve"> Order No. PSC-2024-0228-PAA-WS, issued July 8, 2024, in Docket No. 20220142-WS, </w:t>
      </w:r>
      <w:r w:rsidRPr="001C3FEC">
        <w:rPr>
          <w:i/>
        </w:rPr>
        <w:t>In re: Application for transfer of water and wastewater facilities and Certificate Nos. 589-W and 507-S from Grenelefe Resort Utility, Inc. to NC Real Estate Projects, LLC d/b/a Grenelefe Utility, in Polk County.</w:t>
      </w:r>
    </w:p>
  </w:footnote>
  <w:footnote w:id="57">
    <w:p w14:paraId="1B02ACDF" w14:textId="657EA09D" w:rsidR="00470C1A" w:rsidRDefault="00470C1A" w:rsidP="00064261">
      <w:pPr>
        <w:pStyle w:val="FootnoteText"/>
      </w:pPr>
      <w:r>
        <w:rPr>
          <w:rStyle w:val="FootnoteReference"/>
        </w:rPr>
        <w:footnoteRef/>
      </w:r>
      <w:r>
        <w:t xml:space="preserve"> </w:t>
      </w:r>
      <w:r w:rsidRPr="00AD0A82">
        <w:t>Document No. 14563-2025</w:t>
      </w:r>
      <w:r>
        <w:t>, filed October 14, 2025,</w:t>
      </w:r>
      <w:r w:rsidRPr="00DC3A0A">
        <w:t xml:space="preserve"> </w:t>
      </w:r>
      <w:r>
        <w:t>in Docket No. 20250023-WS.</w:t>
      </w:r>
      <w:r w:rsidRPr="00AD0A82">
        <w:t xml:space="preserve"> </w:t>
      </w:r>
    </w:p>
  </w:footnote>
  <w:footnote w:id="58">
    <w:p w14:paraId="1F37361E" w14:textId="7B707171" w:rsidR="00470C1A" w:rsidRDefault="00470C1A" w:rsidP="000E4548">
      <w:pPr>
        <w:pStyle w:val="FootnoteText"/>
      </w:pPr>
      <w:r>
        <w:rPr>
          <w:rStyle w:val="FootnoteReference"/>
        </w:rPr>
        <w:footnoteRef/>
      </w:r>
      <w:r>
        <w:t xml:space="preserve"> Order No. PSC-05-0142-PAA-WS, issued February 7, 2005, in Docket No. 20030123-WS, </w:t>
      </w:r>
      <w:r w:rsidRPr="001C499B">
        <w:rPr>
          <w:i/>
        </w:rPr>
        <w:t>In re: Application for transfer of majority organizational control of Sports Shinko Utility, Inc. d/b/a Grenelefe Utilities in Polk County and for name change on Certificate Nos. 589-W and 507-S to Grenelefe Resort Utility, Inc.</w:t>
      </w:r>
      <w:r>
        <w:t xml:space="preserve"> </w:t>
      </w:r>
    </w:p>
  </w:footnote>
  <w:footnote w:id="59">
    <w:p w14:paraId="2423D552" w14:textId="23BCF117" w:rsidR="00470C1A" w:rsidRDefault="00470C1A" w:rsidP="000E4548">
      <w:pPr>
        <w:pStyle w:val="FootnoteText"/>
      </w:pPr>
      <w:r>
        <w:rPr>
          <w:rStyle w:val="FootnoteReference"/>
        </w:rPr>
        <w:footnoteRef/>
      </w:r>
      <w:r>
        <w:t xml:space="preserve"> Order No. PSC-93-1732-FOF-WS, issued December 1, 1993, in Docket No. 19930171, </w:t>
      </w:r>
      <w:r w:rsidRPr="00B619BB">
        <w:rPr>
          <w:i/>
        </w:rPr>
        <w:t>In re: Application for approval of service availability Charges in Martin County by Indiantown Company, Inc.</w:t>
      </w:r>
      <w:r>
        <w:t xml:space="preserve"> </w:t>
      </w:r>
    </w:p>
  </w:footnote>
  <w:footnote w:id="60">
    <w:p w14:paraId="0DBB7C04" w14:textId="04B42A08" w:rsidR="00470C1A" w:rsidRPr="00AA6277" w:rsidRDefault="00470C1A" w:rsidP="000E4548">
      <w:pPr>
        <w:pStyle w:val="FootnoteText"/>
      </w:pPr>
      <w:r>
        <w:rPr>
          <w:rStyle w:val="FootnoteReference"/>
        </w:rPr>
        <w:footnoteRef/>
      </w:r>
      <w:r>
        <w:t xml:space="preserve"> Orders Nos. PSC-12-0435-PAA-WU, issued August 22, 2012, and Amendatory Order PSC-12-0435A-PAA-WU, issued September 11, 2012, in Docket No. 20110200-WU, </w:t>
      </w:r>
      <w:r w:rsidRPr="00AA6277">
        <w:rPr>
          <w:i/>
        </w:rPr>
        <w:t>In re: Application for increase in water rates in Franklin County by Water Management Services, Inc.</w:t>
      </w:r>
      <w:r>
        <w:t xml:space="preserve"> and Order No. PSC-00-1528-PAA-WU, issued August 23, 2000, in Docket No. 19991437-WU, </w:t>
      </w:r>
      <w:r w:rsidRPr="00AA6277">
        <w:rPr>
          <w:i/>
        </w:rPr>
        <w:t>In re: Application for increase in water rates in Orange County by Wedgefield Utilities, Inc.</w:t>
      </w:r>
      <w:r>
        <w:t xml:space="preserve"> </w:t>
      </w:r>
    </w:p>
  </w:footnote>
  <w:footnote w:id="61">
    <w:p w14:paraId="66D42FC9" w14:textId="4F9F48C3" w:rsidR="00470C1A" w:rsidRPr="00421642" w:rsidRDefault="00470C1A" w:rsidP="00843F4E">
      <w:pPr>
        <w:pStyle w:val="FootnoteText"/>
      </w:pPr>
      <w:r>
        <w:rPr>
          <w:rStyle w:val="FootnoteReference"/>
        </w:rPr>
        <w:footnoteRef/>
      </w:r>
      <w:r>
        <w:t xml:space="preserve"> Order PSC-2022-0432-PAA-WS, issued December 19, 2022, in Docket No. 20220032-WS, </w:t>
      </w:r>
      <w:r w:rsidRPr="00632B47">
        <w:rPr>
          <w:i/>
        </w:rPr>
        <w:t>In re: Application for staff-assisted rate case in Polk County by Anglers Cove West, Ltd.</w:t>
      </w:r>
      <w:r>
        <w:rPr>
          <w:i/>
        </w:rPr>
        <w:t xml:space="preserve"> </w:t>
      </w:r>
      <w:r>
        <w:t xml:space="preserve">and Order No. PSC-15-0592-PAA-WU, issued December 30, 2015, in Docket No. 20140175-WU, </w:t>
      </w:r>
      <w:r w:rsidRPr="00632B47">
        <w:rPr>
          <w:i/>
        </w:rPr>
        <w:t>In re: Application for staff-assisted rate case in Pasco County by Crestridge Utilities, LLC.</w:t>
      </w:r>
    </w:p>
  </w:footnote>
  <w:footnote w:id="62">
    <w:p w14:paraId="6C915508" w14:textId="716E2914" w:rsidR="00470C1A" w:rsidRDefault="00470C1A" w:rsidP="00224FF2">
      <w:pPr>
        <w:pStyle w:val="FootnoteText"/>
      </w:pPr>
      <w:r>
        <w:rPr>
          <w:rStyle w:val="FootnoteReference"/>
        </w:rPr>
        <w:footnoteRef/>
      </w:r>
      <w:r>
        <w:t xml:space="preserve"> Staff notes that the total amount transferred to accounts 601/701 is ($48,000), respectively.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50A7F" w14:textId="77777777" w:rsidR="00C3694F" w:rsidRDefault="00C3694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82343" w14:textId="6C24BEC3" w:rsidR="00470C1A" w:rsidRDefault="00470C1A" w:rsidP="00220732">
    <w:pPr>
      <w:pStyle w:val="Header"/>
      <w:tabs>
        <w:tab w:val="clear" w:pos="4320"/>
        <w:tab w:val="clear" w:pos="8640"/>
        <w:tab w:val="right" w:pos="9360"/>
      </w:tabs>
    </w:pPr>
    <w:r>
      <w:fldChar w:fldCharType="begin"/>
    </w:r>
    <w:r>
      <w:instrText xml:space="preserve"> REF DocketLabel</w:instrText>
    </w:r>
    <w:r>
      <w:fldChar w:fldCharType="separate"/>
    </w:r>
    <w:r w:rsidR="00C3694F">
      <w:t>Docket No.</w:t>
    </w:r>
    <w:r>
      <w:fldChar w:fldCharType="end"/>
    </w:r>
    <w:r>
      <w:t xml:space="preserve"> </w:t>
    </w:r>
    <w:r>
      <w:fldChar w:fldCharType="begin"/>
    </w:r>
    <w:r>
      <w:instrText xml:space="preserve"> REF DocketList</w:instrText>
    </w:r>
    <w:r>
      <w:fldChar w:fldCharType="separate"/>
    </w:r>
    <w:r w:rsidR="00C3694F">
      <w:t>20250023-WS</w:t>
    </w:r>
    <w:r>
      <w:fldChar w:fldCharType="end"/>
    </w:r>
    <w:r>
      <w:tab/>
      <w:t>Schedule No. 3-A</w:t>
    </w:r>
  </w:p>
  <w:p w14:paraId="48CDA48B" w14:textId="2B848F89" w:rsidR="00470C1A" w:rsidRDefault="00470C1A">
    <w:pPr>
      <w:pStyle w:val="Header"/>
    </w:pPr>
    <w:r>
      <w:t xml:space="preserve">Date: </w:t>
    </w:r>
    <w:r w:rsidR="00C3694F">
      <w:fldChar w:fldCharType="begin"/>
    </w:r>
    <w:r w:rsidR="00C3694F">
      <w:instrText xml:space="preserve"> REF FilingDate </w:instrText>
    </w:r>
    <w:r w:rsidR="00C3694F">
      <w:fldChar w:fldCharType="separate"/>
    </w:r>
    <w:r w:rsidR="00C3694F">
      <w:t>January 22, 2026</w:t>
    </w:r>
    <w:r w:rsidR="00C3694F">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80E53" w14:textId="58F11E0A" w:rsidR="00470C1A" w:rsidRDefault="00470C1A" w:rsidP="00220732">
    <w:pPr>
      <w:pStyle w:val="Header"/>
      <w:tabs>
        <w:tab w:val="clear" w:pos="4320"/>
        <w:tab w:val="clear" w:pos="8640"/>
        <w:tab w:val="right" w:pos="9360"/>
      </w:tabs>
    </w:pPr>
    <w:r>
      <w:fldChar w:fldCharType="begin"/>
    </w:r>
    <w:r>
      <w:instrText xml:space="preserve"> REF DocketLabel</w:instrText>
    </w:r>
    <w:r>
      <w:fldChar w:fldCharType="separate"/>
    </w:r>
    <w:r w:rsidR="00C3694F">
      <w:t>Docket No.</w:t>
    </w:r>
    <w:r>
      <w:fldChar w:fldCharType="end"/>
    </w:r>
    <w:r>
      <w:t xml:space="preserve"> </w:t>
    </w:r>
    <w:r>
      <w:fldChar w:fldCharType="begin"/>
    </w:r>
    <w:r>
      <w:instrText xml:space="preserve"> REF DocketList</w:instrText>
    </w:r>
    <w:r>
      <w:fldChar w:fldCharType="separate"/>
    </w:r>
    <w:r w:rsidR="00C3694F">
      <w:t>20250023-WS</w:t>
    </w:r>
    <w:r>
      <w:fldChar w:fldCharType="end"/>
    </w:r>
    <w:r>
      <w:tab/>
      <w:t>Schedule No. 3-B</w:t>
    </w:r>
  </w:p>
  <w:p w14:paraId="0E9A5CD9" w14:textId="52DCA08A" w:rsidR="00470C1A" w:rsidRDefault="00470C1A">
    <w:pPr>
      <w:pStyle w:val="Header"/>
    </w:pPr>
    <w:r>
      <w:t xml:space="preserve">Date: </w:t>
    </w:r>
    <w:r w:rsidR="00C3694F">
      <w:fldChar w:fldCharType="begin"/>
    </w:r>
    <w:r w:rsidR="00C3694F">
      <w:instrText xml:space="preserve"> REF FilingDate </w:instrText>
    </w:r>
    <w:r w:rsidR="00C3694F">
      <w:fldChar w:fldCharType="separate"/>
    </w:r>
    <w:r w:rsidR="00C3694F">
      <w:t>January 22, 2026</w:t>
    </w:r>
    <w:r w:rsidR="00C3694F">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D11E5" w14:textId="5081F9BA" w:rsidR="00470C1A" w:rsidRDefault="00470C1A" w:rsidP="00220732">
    <w:pPr>
      <w:pStyle w:val="Header"/>
      <w:tabs>
        <w:tab w:val="clear" w:pos="4320"/>
        <w:tab w:val="clear" w:pos="8640"/>
        <w:tab w:val="right" w:pos="9360"/>
      </w:tabs>
    </w:pPr>
    <w:r>
      <w:fldChar w:fldCharType="begin"/>
    </w:r>
    <w:r>
      <w:instrText xml:space="preserve"> REF DocketLabel</w:instrText>
    </w:r>
    <w:r>
      <w:fldChar w:fldCharType="separate"/>
    </w:r>
    <w:r w:rsidR="00C3694F">
      <w:t>Docket No.</w:t>
    </w:r>
    <w:r>
      <w:fldChar w:fldCharType="end"/>
    </w:r>
    <w:r>
      <w:t xml:space="preserve"> </w:t>
    </w:r>
    <w:r>
      <w:fldChar w:fldCharType="begin"/>
    </w:r>
    <w:r>
      <w:instrText xml:space="preserve"> REF DocketList</w:instrText>
    </w:r>
    <w:r>
      <w:fldChar w:fldCharType="separate"/>
    </w:r>
    <w:r w:rsidR="00C3694F">
      <w:t>20250023-WS</w:t>
    </w:r>
    <w:r>
      <w:fldChar w:fldCharType="end"/>
    </w:r>
    <w:r>
      <w:tab/>
      <w:t>Schedule No. 3-C</w:t>
    </w:r>
  </w:p>
  <w:p w14:paraId="3604630C" w14:textId="0CC5FA76" w:rsidR="00470C1A" w:rsidRDefault="00470C1A">
    <w:pPr>
      <w:pStyle w:val="Header"/>
    </w:pPr>
    <w:r>
      <w:t xml:space="preserve">Date: </w:t>
    </w:r>
    <w:r w:rsidR="00C3694F">
      <w:fldChar w:fldCharType="begin"/>
    </w:r>
    <w:r w:rsidR="00C3694F">
      <w:instrText xml:space="preserve"> REF FilingDate </w:instrText>
    </w:r>
    <w:r w:rsidR="00C3694F">
      <w:fldChar w:fldCharType="separate"/>
    </w:r>
    <w:r w:rsidR="00C3694F">
      <w:t>January 22, 2026</w:t>
    </w:r>
    <w:r w:rsidR="00C3694F">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26116" w14:textId="4AA9D608" w:rsidR="00470C1A" w:rsidRDefault="00470C1A" w:rsidP="00220732">
    <w:pPr>
      <w:pStyle w:val="Header"/>
      <w:tabs>
        <w:tab w:val="clear" w:pos="4320"/>
        <w:tab w:val="clear" w:pos="8640"/>
        <w:tab w:val="right" w:pos="9360"/>
      </w:tabs>
    </w:pPr>
    <w:r>
      <w:fldChar w:fldCharType="begin"/>
    </w:r>
    <w:r>
      <w:instrText xml:space="preserve"> REF DocketLabel</w:instrText>
    </w:r>
    <w:r>
      <w:fldChar w:fldCharType="separate"/>
    </w:r>
    <w:r w:rsidR="00C3694F">
      <w:t>Docket No.</w:t>
    </w:r>
    <w:r>
      <w:fldChar w:fldCharType="end"/>
    </w:r>
    <w:r>
      <w:t xml:space="preserve"> </w:t>
    </w:r>
    <w:r>
      <w:fldChar w:fldCharType="begin"/>
    </w:r>
    <w:r>
      <w:instrText xml:space="preserve"> REF DocketList</w:instrText>
    </w:r>
    <w:r>
      <w:fldChar w:fldCharType="separate"/>
    </w:r>
    <w:r w:rsidR="00C3694F">
      <w:t>20250023-WS</w:t>
    </w:r>
    <w:r>
      <w:fldChar w:fldCharType="end"/>
    </w:r>
    <w:r>
      <w:tab/>
      <w:t>Schedule No. 3-D</w:t>
    </w:r>
  </w:p>
  <w:p w14:paraId="1C734191" w14:textId="0B87A53E" w:rsidR="00470C1A" w:rsidRDefault="00470C1A">
    <w:pPr>
      <w:pStyle w:val="Header"/>
    </w:pPr>
    <w:r>
      <w:t xml:space="preserve">Date: </w:t>
    </w:r>
    <w:r w:rsidR="00C3694F">
      <w:fldChar w:fldCharType="begin"/>
    </w:r>
    <w:r w:rsidR="00C3694F">
      <w:instrText xml:space="preserve"> REF FilingDate </w:instrText>
    </w:r>
    <w:r w:rsidR="00C3694F">
      <w:fldChar w:fldCharType="separate"/>
    </w:r>
    <w:r w:rsidR="00C3694F">
      <w:t>January 22, 2026</w:t>
    </w:r>
    <w:r w:rsidR="00C3694F">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FBFA9" w14:textId="496D88DD" w:rsidR="00470C1A" w:rsidRDefault="00470C1A" w:rsidP="00C406B9">
    <w:pPr>
      <w:pStyle w:val="Header"/>
      <w:tabs>
        <w:tab w:val="clear" w:pos="4320"/>
        <w:tab w:val="clear" w:pos="8640"/>
        <w:tab w:val="right" w:pos="9270"/>
      </w:tabs>
    </w:pPr>
    <w:r>
      <w:fldChar w:fldCharType="begin"/>
    </w:r>
    <w:r>
      <w:instrText xml:space="preserve"> REF DocketLabel</w:instrText>
    </w:r>
    <w:r>
      <w:fldChar w:fldCharType="separate"/>
    </w:r>
    <w:r w:rsidR="00C3694F">
      <w:t>Docket No.</w:t>
    </w:r>
    <w:r>
      <w:fldChar w:fldCharType="end"/>
    </w:r>
    <w:r>
      <w:t xml:space="preserve"> </w:t>
    </w:r>
    <w:r>
      <w:fldChar w:fldCharType="begin"/>
    </w:r>
    <w:r>
      <w:instrText xml:space="preserve"> REF DocketList</w:instrText>
    </w:r>
    <w:r>
      <w:fldChar w:fldCharType="separate"/>
    </w:r>
    <w:r w:rsidR="00C3694F">
      <w:t>20250023-WS</w:t>
    </w:r>
    <w:r>
      <w:fldChar w:fldCharType="end"/>
    </w:r>
    <w:r>
      <w:tab/>
      <w:t>Schedule No. 3-E</w:t>
    </w:r>
  </w:p>
  <w:p w14:paraId="42D877BB" w14:textId="5E223CAB" w:rsidR="00470C1A" w:rsidRDefault="00470C1A">
    <w:pPr>
      <w:pStyle w:val="Header"/>
    </w:pPr>
    <w:r>
      <w:t xml:space="preserve">Date: </w:t>
    </w:r>
    <w:r w:rsidR="00C3694F">
      <w:fldChar w:fldCharType="begin"/>
    </w:r>
    <w:r w:rsidR="00C3694F">
      <w:instrText xml:space="preserve"> REF FilingDate </w:instrText>
    </w:r>
    <w:r w:rsidR="00C3694F">
      <w:fldChar w:fldCharType="separate"/>
    </w:r>
    <w:r w:rsidR="00C3694F">
      <w:t>January 22, 2026</w:t>
    </w:r>
    <w:r w:rsidR="00C3694F">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CE420" w14:textId="112BEABE" w:rsidR="00470C1A" w:rsidRDefault="00470C1A" w:rsidP="00C406B9">
    <w:pPr>
      <w:pStyle w:val="Header"/>
      <w:tabs>
        <w:tab w:val="clear" w:pos="4320"/>
        <w:tab w:val="clear" w:pos="8640"/>
        <w:tab w:val="right" w:pos="10710"/>
      </w:tabs>
    </w:pPr>
    <w:r>
      <w:fldChar w:fldCharType="begin"/>
    </w:r>
    <w:r>
      <w:instrText xml:space="preserve"> REF DocketLabel</w:instrText>
    </w:r>
    <w:r>
      <w:fldChar w:fldCharType="separate"/>
    </w:r>
    <w:r w:rsidR="00C3694F">
      <w:t>Docket No.</w:t>
    </w:r>
    <w:r>
      <w:fldChar w:fldCharType="end"/>
    </w:r>
    <w:r>
      <w:t xml:space="preserve"> </w:t>
    </w:r>
    <w:r>
      <w:fldChar w:fldCharType="begin"/>
    </w:r>
    <w:r>
      <w:instrText xml:space="preserve"> REF DocketList</w:instrText>
    </w:r>
    <w:r>
      <w:fldChar w:fldCharType="separate"/>
    </w:r>
    <w:r w:rsidR="00C3694F">
      <w:t>20250023-WS</w:t>
    </w:r>
    <w:r>
      <w:fldChar w:fldCharType="end"/>
    </w:r>
    <w:r>
      <w:tab/>
    </w:r>
    <w:r>
      <w:tab/>
      <w:t>Schedule No. 4-A</w:t>
    </w:r>
  </w:p>
  <w:p w14:paraId="523861A3" w14:textId="375CED06" w:rsidR="00470C1A" w:rsidRDefault="00470C1A">
    <w:pPr>
      <w:pStyle w:val="Header"/>
    </w:pPr>
    <w:r>
      <w:t xml:space="preserve">Date: </w:t>
    </w:r>
    <w:r w:rsidR="00C3694F">
      <w:fldChar w:fldCharType="begin"/>
    </w:r>
    <w:r w:rsidR="00C3694F">
      <w:instrText xml:space="preserve"> REF FilingDate </w:instrText>
    </w:r>
    <w:r w:rsidR="00C3694F">
      <w:fldChar w:fldCharType="separate"/>
    </w:r>
    <w:r w:rsidR="00C3694F">
      <w:t>January 22, 2026</w:t>
    </w:r>
    <w:r w:rsidR="00C3694F">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A3D14" w14:textId="72D24886" w:rsidR="00470C1A" w:rsidRDefault="00470C1A" w:rsidP="00C406B9">
    <w:pPr>
      <w:pStyle w:val="Header"/>
      <w:tabs>
        <w:tab w:val="clear" w:pos="4320"/>
        <w:tab w:val="clear" w:pos="8640"/>
        <w:tab w:val="right" w:pos="9270"/>
        <w:tab w:val="left" w:pos="10710"/>
      </w:tabs>
    </w:pPr>
    <w:r>
      <w:fldChar w:fldCharType="begin"/>
    </w:r>
    <w:r>
      <w:instrText xml:space="preserve"> REF DocketLabel</w:instrText>
    </w:r>
    <w:r>
      <w:fldChar w:fldCharType="separate"/>
    </w:r>
    <w:r w:rsidR="00C3694F">
      <w:t>Docket No.</w:t>
    </w:r>
    <w:r>
      <w:fldChar w:fldCharType="end"/>
    </w:r>
    <w:r>
      <w:t xml:space="preserve"> </w:t>
    </w:r>
    <w:r>
      <w:fldChar w:fldCharType="begin"/>
    </w:r>
    <w:r>
      <w:instrText xml:space="preserve"> REF DocketList</w:instrText>
    </w:r>
    <w:r>
      <w:fldChar w:fldCharType="separate"/>
    </w:r>
    <w:r w:rsidR="00C3694F">
      <w:t>20250023-WS</w:t>
    </w:r>
    <w:r>
      <w:fldChar w:fldCharType="end"/>
    </w:r>
    <w:r>
      <w:tab/>
    </w:r>
    <w:r>
      <w:tab/>
      <w:t>Schedule No. 4-B</w:t>
    </w:r>
  </w:p>
  <w:p w14:paraId="2875F272" w14:textId="16BA9B54" w:rsidR="00470C1A" w:rsidRDefault="00470C1A">
    <w:pPr>
      <w:pStyle w:val="Header"/>
    </w:pPr>
    <w:r>
      <w:t xml:space="preserve">Date: </w:t>
    </w:r>
    <w:r w:rsidR="00C3694F">
      <w:fldChar w:fldCharType="begin"/>
    </w:r>
    <w:r w:rsidR="00C3694F">
      <w:instrText xml:space="preserve"> REF FilingDate </w:instrText>
    </w:r>
    <w:r w:rsidR="00C3694F">
      <w:fldChar w:fldCharType="separate"/>
    </w:r>
    <w:r w:rsidR="00C3694F">
      <w:t>January 22, 2026</w:t>
    </w:r>
    <w:r w:rsidR="00C3694F">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D4C1B" w14:textId="7E9C66FB" w:rsidR="00470C1A" w:rsidRDefault="00470C1A" w:rsidP="00786EAC">
    <w:pPr>
      <w:pStyle w:val="Header"/>
      <w:tabs>
        <w:tab w:val="clear" w:pos="4320"/>
        <w:tab w:val="clear" w:pos="8640"/>
        <w:tab w:val="right" w:pos="9270"/>
        <w:tab w:val="left" w:pos="10710"/>
      </w:tabs>
    </w:pPr>
    <w:r>
      <w:fldChar w:fldCharType="begin"/>
    </w:r>
    <w:r>
      <w:instrText xml:space="preserve"> REF DocketLabel</w:instrText>
    </w:r>
    <w:r>
      <w:fldChar w:fldCharType="separate"/>
    </w:r>
    <w:r w:rsidR="00C3694F">
      <w:t>Docket No.</w:t>
    </w:r>
    <w:r>
      <w:fldChar w:fldCharType="end"/>
    </w:r>
    <w:r>
      <w:t xml:space="preserve"> </w:t>
    </w:r>
    <w:r>
      <w:fldChar w:fldCharType="begin"/>
    </w:r>
    <w:r>
      <w:instrText xml:space="preserve"> REF DocketList</w:instrText>
    </w:r>
    <w:r>
      <w:fldChar w:fldCharType="separate"/>
    </w:r>
    <w:r w:rsidR="00C3694F">
      <w:t>20250023-WS</w:t>
    </w:r>
    <w:r>
      <w:fldChar w:fldCharType="end"/>
    </w:r>
    <w:r>
      <w:tab/>
      <w:t>Schedule No. 5</w:t>
    </w:r>
  </w:p>
  <w:p w14:paraId="219D87DE" w14:textId="67B7C17C" w:rsidR="00470C1A" w:rsidRDefault="00470C1A">
    <w:pPr>
      <w:pStyle w:val="Header"/>
    </w:pPr>
    <w:r>
      <w:t xml:space="preserve">Date: </w:t>
    </w:r>
    <w:r w:rsidR="00C3694F">
      <w:fldChar w:fldCharType="begin"/>
    </w:r>
    <w:r w:rsidR="00C3694F">
      <w:instrText xml:space="preserve"> REF FilingDate </w:instrText>
    </w:r>
    <w:r w:rsidR="00C3694F">
      <w:fldChar w:fldCharType="separate"/>
    </w:r>
    <w:r w:rsidR="00C3694F">
      <w:t>January 22, 2026</w:t>
    </w:r>
    <w:r w:rsidR="00C3694F">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4D670" w14:textId="77777777" w:rsidR="00470C1A" w:rsidRDefault="00470C1A" w:rsidP="00220732">
    <w:pPr>
      <w:pStyle w:val="Header"/>
      <w:tabs>
        <w:tab w:val="clear" w:pos="4320"/>
        <w:tab w:val="clear" w:pos="8640"/>
        <w:tab w:val="right" w:pos="9360"/>
      </w:tabs>
    </w:pPr>
    <w:bookmarkStart w:id="12" w:name="DocketLabel"/>
    <w:r>
      <w:t>Docket No.</w:t>
    </w:r>
    <w:bookmarkEnd w:id="12"/>
    <w:r>
      <w:t xml:space="preserve"> </w:t>
    </w:r>
    <w:bookmarkStart w:id="13" w:name="DocketList"/>
    <w:r>
      <w:t>20250023-WS</w:t>
    </w:r>
    <w:bookmarkEnd w:id="13"/>
  </w:p>
  <w:p w14:paraId="05835537" w14:textId="7EDF41F0" w:rsidR="00470C1A" w:rsidRDefault="00470C1A">
    <w:pPr>
      <w:pStyle w:val="Header"/>
    </w:pPr>
    <w:r>
      <w:t xml:space="preserve">Date: </w:t>
    </w:r>
    <w:r w:rsidR="00C3694F">
      <w:fldChar w:fldCharType="begin"/>
    </w:r>
    <w:r w:rsidR="00C3694F">
      <w:instrText xml:space="preserve"> REF FilingDate </w:instrText>
    </w:r>
    <w:r w:rsidR="00C3694F">
      <w:fldChar w:fldCharType="separate"/>
    </w:r>
    <w:r w:rsidR="00C3694F">
      <w:t>January 22, 2026</w:t>
    </w:r>
    <w:r w:rsidR="00C3694F">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3409B" w14:textId="77777777" w:rsidR="00C3694F" w:rsidRDefault="00C3694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48749" w14:textId="67FC4B2C" w:rsidR="00470C1A" w:rsidRDefault="00470C1A" w:rsidP="00220732">
    <w:pPr>
      <w:pStyle w:val="Header"/>
      <w:tabs>
        <w:tab w:val="clear" w:pos="4320"/>
        <w:tab w:val="clear" w:pos="8640"/>
        <w:tab w:val="right" w:pos="9360"/>
      </w:tabs>
    </w:pPr>
    <w:r>
      <w:fldChar w:fldCharType="begin"/>
    </w:r>
    <w:r>
      <w:instrText xml:space="preserve"> REF DocketLabel</w:instrText>
    </w:r>
    <w:r>
      <w:fldChar w:fldCharType="separate"/>
    </w:r>
    <w:r w:rsidR="00C3694F">
      <w:t>Docket No.</w:t>
    </w:r>
    <w:r>
      <w:fldChar w:fldCharType="end"/>
    </w:r>
    <w:r>
      <w:t xml:space="preserve"> </w:t>
    </w:r>
    <w:r>
      <w:fldChar w:fldCharType="begin"/>
    </w:r>
    <w:r>
      <w:instrText xml:space="preserve"> REF DocketList</w:instrText>
    </w:r>
    <w:r>
      <w:fldChar w:fldCharType="separate"/>
    </w:r>
    <w:r w:rsidR="00C3694F">
      <w:t>20250023-WS</w:t>
    </w:r>
    <w:r>
      <w:fldChar w:fldCharType="end"/>
    </w:r>
    <w:r>
      <w:tab/>
      <w:t xml:space="preserve">Issue </w:t>
    </w:r>
    <w:r w:rsidR="00C3694F">
      <w:fldChar w:fldCharType="begin"/>
    </w:r>
    <w:r w:rsidR="00C3694F">
      <w:instrText xml:space="preserve"> Seq Issue \c \* Arabic </w:instrText>
    </w:r>
    <w:r w:rsidR="00C3694F">
      <w:fldChar w:fldCharType="separate"/>
    </w:r>
    <w:r w:rsidR="00C3694F">
      <w:rPr>
        <w:noProof/>
      </w:rPr>
      <w:t>0</w:t>
    </w:r>
    <w:r w:rsidR="00C3694F">
      <w:rPr>
        <w:noProof/>
      </w:rPr>
      <w:fldChar w:fldCharType="end"/>
    </w:r>
  </w:p>
  <w:p w14:paraId="76C6A4F4" w14:textId="622B54B7" w:rsidR="00470C1A" w:rsidRDefault="00470C1A">
    <w:pPr>
      <w:pStyle w:val="Header"/>
    </w:pPr>
    <w:r>
      <w:t xml:space="preserve">Date: </w:t>
    </w:r>
    <w:r w:rsidR="00C3694F">
      <w:fldChar w:fldCharType="begin"/>
    </w:r>
    <w:r w:rsidR="00C3694F">
      <w:instrText xml:space="preserve"> REF FilingDate </w:instrText>
    </w:r>
    <w:r w:rsidR="00C3694F">
      <w:fldChar w:fldCharType="separate"/>
    </w:r>
    <w:r w:rsidR="00C3694F">
      <w:t>January 22, 2026</w:t>
    </w:r>
    <w:r w:rsidR="00C3694F">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BC8BE" w14:textId="77777777" w:rsidR="00470C1A" w:rsidRDefault="00470C1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7BA73" w14:textId="3DED0737" w:rsidR="00470C1A" w:rsidRDefault="00470C1A" w:rsidP="00220732">
    <w:pPr>
      <w:pStyle w:val="Header"/>
      <w:tabs>
        <w:tab w:val="clear" w:pos="4320"/>
        <w:tab w:val="clear" w:pos="8640"/>
        <w:tab w:val="right" w:pos="9360"/>
      </w:tabs>
    </w:pPr>
    <w:r>
      <w:fldChar w:fldCharType="begin"/>
    </w:r>
    <w:r>
      <w:instrText xml:space="preserve"> REF DocketLabel</w:instrText>
    </w:r>
    <w:r>
      <w:fldChar w:fldCharType="separate"/>
    </w:r>
    <w:r w:rsidR="00C3694F">
      <w:t>Docket No.</w:t>
    </w:r>
    <w:r>
      <w:fldChar w:fldCharType="end"/>
    </w:r>
    <w:r>
      <w:t xml:space="preserve"> </w:t>
    </w:r>
    <w:r>
      <w:fldChar w:fldCharType="begin"/>
    </w:r>
    <w:r>
      <w:instrText xml:space="preserve"> REF DocketList</w:instrText>
    </w:r>
    <w:r>
      <w:fldChar w:fldCharType="separate"/>
    </w:r>
    <w:r w:rsidR="00C3694F">
      <w:t>20250023-WS</w:t>
    </w:r>
    <w:r>
      <w:fldChar w:fldCharType="end"/>
    </w:r>
    <w:r>
      <w:tab/>
      <w:t>Schedule No. 1-A</w:t>
    </w:r>
  </w:p>
  <w:p w14:paraId="7488B5A0" w14:textId="52960C60" w:rsidR="00470C1A" w:rsidRDefault="00470C1A">
    <w:pPr>
      <w:pStyle w:val="Header"/>
    </w:pPr>
    <w:r>
      <w:t xml:space="preserve">Date: </w:t>
    </w:r>
    <w:r w:rsidR="00C3694F">
      <w:fldChar w:fldCharType="begin"/>
    </w:r>
    <w:r w:rsidR="00C3694F">
      <w:instrText xml:space="preserve"> REF FilingDate </w:instrText>
    </w:r>
    <w:r w:rsidR="00C3694F">
      <w:fldChar w:fldCharType="separate"/>
    </w:r>
    <w:r w:rsidR="00C3694F">
      <w:t>January 22, 2026</w:t>
    </w:r>
    <w:r w:rsidR="00C3694F">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1278E" w14:textId="2EE0E2F5" w:rsidR="00470C1A" w:rsidRDefault="00470C1A" w:rsidP="00220732">
    <w:pPr>
      <w:pStyle w:val="Header"/>
      <w:tabs>
        <w:tab w:val="clear" w:pos="4320"/>
        <w:tab w:val="clear" w:pos="8640"/>
        <w:tab w:val="right" w:pos="9360"/>
      </w:tabs>
    </w:pPr>
    <w:r>
      <w:fldChar w:fldCharType="begin"/>
    </w:r>
    <w:r>
      <w:instrText xml:space="preserve"> REF DocketLabel</w:instrText>
    </w:r>
    <w:r>
      <w:fldChar w:fldCharType="separate"/>
    </w:r>
    <w:r w:rsidR="00C3694F">
      <w:t>Docket No.</w:t>
    </w:r>
    <w:r>
      <w:fldChar w:fldCharType="end"/>
    </w:r>
    <w:r>
      <w:t xml:space="preserve"> </w:t>
    </w:r>
    <w:r>
      <w:fldChar w:fldCharType="begin"/>
    </w:r>
    <w:r>
      <w:instrText xml:space="preserve"> REF DocketList</w:instrText>
    </w:r>
    <w:r>
      <w:fldChar w:fldCharType="separate"/>
    </w:r>
    <w:r w:rsidR="00C3694F">
      <w:t>20250023-WS</w:t>
    </w:r>
    <w:r>
      <w:fldChar w:fldCharType="end"/>
    </w:r>
    <w:r>
      <w:tab/>
      <w:t>Schedule No. 1-B</w:t>
    </w:r>
  </w:p>
  <w:p w14:paraId="57C76779" w14:textId="64A24F54" w:rsidR="00470C1A" w:rsidRDefault="00470C1A">
    <w:pPr>
      <w:pStyle w:val="Header"/>
    </w:pPr>
    <w:r>
      <w:t xml:space="preserve">Date: </w:t>
    </w:r>
    <w:r w:rsidR="00C3694F">
      <w:fldChar w:fldCharType="begin"/>
    </w:r>
    <w:r w:rsidR="00C3694F">
      <w:instrText xml:space="preserve"> REF FilingDate </w:instrText>
    </w:r>
    <w:r w:rsidR="00C3694F">
      <w:fldChar w:fldCharType="separate"/>
    </w:r>
    <w:r w:rsidR="00C3694F">
      <w:t>January 22, 2026</w:t>
    </w:r>
    <w:r w:rsidR="00C3694F">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A59FD" w14:textId="1886A2B9" w:rsidR="00470C1A" w:rsidRDefault="00470C1A" w:rsidP="00220732">
    <w:pPr>
      <w:pStyle w:val="Header"/>
      <w:tabs>
        <w:tab w:val="clear" w:pos="4320"/>
        <w:tab w:val="clear" w:pos="8640"/>
        <w:tab w:val="right" w:pos="9360"/>
      </w:tabs>
    </w:pPr>
    <w:r>
      <w:fldChar w:fldCharType="begin"/>
    </w:r>
    <w:r>
      <w:instrText xml:space="preserve"> REF DocketLabel</w:instrText>
    </w:r>
    <w:r>
      <w:fldChar w:fldCharType="separate"/>
    </w:r>
    <w:r w:rsidR="00C3694F">
      <w:t>Docket No.</w:t>
    </w:r>
    <w:r>
      <w:fldChar w:fldCharType="end"/>
    </w:r>
    <w:r>
      <w:t xml:space="preserve"> </w:t>
    </w:r>
    <w:r>
      <w:fldChar w:fldCharType="begin"/>
    </w:r>
    <w:r>
      <w:instrText xml:space="preserve"> REF DocketList</w:instrText>
    </w:r>
    <w:r>
      <w:fldChar w:fldCharType="separate"/>
    </w:r>
    <w:r w:rsidR="00C3694F">
      <w:t>20250023-WS</w:t>
    </w:r>
    <w:r>
      <w:fldChar w:fldCharType="end"/>
    </w:r>
    <w:r>
      <w:tab/>
      <w:t>Schedule No. 1-C</w:t>
    </w:r>
  </w:p>
  <w:p w14:paraId="013AFAEF" w14:textId="35C3E2AD" w:rsidR="00470C1A" w:rsidRDefault="00470C1A">
    <w:pPr>
      <w:pStyle w:val="Header"/>
    </w:pPr>
    <w:r>
      <w:t xml:space="preserve">Date: </w:t>
    </w:r>
    <w:r w:rsidR="00C3694F">
      <w:fldChar w:fldCharType="begin"/>
    </w:r>
    <w:r w:rsidR="00C3694F">
      <w:instrText xml:space="preserve"> REF FilingDate </w:instrText>
    </w:r>
    <w:r w:rsidR="00C3694F">
      <w:fldChar w:fldCharType="separate"/>
    </w:r>
    <w:r w:rsidR="00C3694F">
      <w:t>January 22, 2026</w:t>
    </w:r>
    <w:r w:rsidR="00C3694F">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81B24" w14:textId="6C4CFD4C" w:rsidR="00470C1A" w:rsidRDefault="00470C1A" w:rsidP="003A2A1C">
    <w:pPr>
      <w:pStyle w:val="Header"/>
      <w:tabs>
        <w:tab w:val="clear" w:pos="4320"/>
        <w:tab w:val="clear" w:pos="8640"/>
        <w:tab w:val="right" w:pos="12690"/>
      </w:tabs>
    </w:pPr>
    <w:r>
      <w:fldChar w:fldCharType="begin"/>
    </w:r>
    <w:r>
      <w:instrText xml:space="preserve"> REF DocketLabel</w:instrText>
    </w:r>
    <w:r>
      <w:fldChar w:fldCharType="separate"/>
    </w:r>
    <w:r w:rsidR="00C3694F">
      <w:t>Docket No.</w:t>
    </w:r>
    <w:r>
      <w:fldChar w:fldCharType="end"/>
    </w:r>
    <w:r>
      <w:t xml:space="preserve"> </w:t>
    </w:r>
    <w:r>
      <w:fldChar w:fldCharType="begin"/>
    </w:r>
    <w:r>
      <w:instrText xml:space="preserve"> REF DocketList</w:instrText>
    </w:r>
    <w:r>
      <w:fldChar w:fldCharType="separate"/>
    </w:r>
    <w:r w:rsidR="00C3694F">
      <w:t>20250023-WS</w:t>
    </w:r>
    <w:r>
      <w:fldChar w:fldCharType="end"/>
    </w:r>
    <w:r>
      <w:tab/>
      <w:t>Schedule No. 2</w:t>
    </w:r>
  </w:p>
  <w:p w14:paraId="4D46121D" w14:textId="0ABCA0A7" w:rsidR="00470C1A" w:rsidRDefault="00470C1A">
    <w:pPr>
      <w:pStyle w:val="Header"/>
    </w:pPr>
    <w:r>
      <w:t xml:space="preserve">Date: </w:t>
    </w:r>
    <w:r w:rsidR="00C3694F">
      <w:fldChar w:fldCharType="begin"/>
    </w:r>
    <w:r w:rsidR="00C3694F">
      <w:instrText xml:space="preserve"> REF FilingDate </w:instrText>
    </w:r>
    <w:r w:rsidR="00C3694F">
      <w:fldChar w:fldCharType="separate"/>
    </w:r>
    <w:r w:rsidR="00C3694F">
      <w:t>January 22, 2026</w:t>
    </w:r>
    <w:r w:rsidR="00C3694F">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6F93999"/>
    <w:multiLevelType w:val="hybridMultilevel"/>
    <w:tmpl w:val="39EA5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204397"/>
    <w:multiLevelType w:val="hybridMultilevel"/>
    <w:tmpl w:val="BE02D97A"/>
    <w:lvl w:ilvl="0" w:tplc="04090001">
      <w:start w:val="1"/>
      <w:numFmt w:val="bullet"/>
      <w:lvlText w:val=""/>
      <w:lvlJc w:val="left"/>
      <w:pPr>
        <w:ind w:left="720" w:hanging="360"/>
      </w:pPr>
      <w:rPr>
        <w:rFonts w:ascii="Symbol" w:hAnsi="Symbol" w:hint="default"/>
      </w:rPr>
    </w:lvl>
    <w:lvl w:ilvl="1" w:tplc="E1E6C95A">
      <w:start w:val="1"/>
      <w:numFmt w:val="decimal"/>
      <w:lvlText w:val="%2.)"/>
      <w:lvlJc w:val="center"/>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044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34327A"/>
    <w:rsid w:val="000043D5"/>
    <w:rsid w:val="00006170"/>
    <w:rsid w:val="00010E37"/>
    <w:rsid w:val="00014430"/>
    <w:rsid w:val="000172DA"/>
    <w:rsid w:val="00022008"/>
    <w:rsid w:val="00022337"/>
    <w:rsid w:val="00023A0E"/>
    <w:rsid w:val="000247C5"/>
    <w:rsid w:val="00025800"/>
    <w:rsid w:val="000277C2"/>
    <w:rsid w:val="00032009"/>
    <w:rsid w:val="00035B48"/>
    <w:rsid w:val="00036CE2"/>
    <w:rsid w:val="000437FE"/>
    <w:rsid w:val="000513BE"/>
    <w:rsid w:val="00051573"/>
    <w:rsid w:val="0005451B"/>
    <w:rsid w:val="00063AA1"/>
    <w:rsid w:val="00064261"/>
    <w:rsid w:val="00065A06"/>
    <w:rsid w:val="000666F3"/>
    <w:rsid w:val="00066C79"/>
    <w:rsid w:val="00070DCB"/>
    <w:rsid w:val="00072CCA"/>
    <w:rsid w:val="00073120"/>
    <w:rsid w:val="000764D0"/>
    <w:rsid w:val="000828D3"/>
    <w:rsid w:val="00087A0E"/>
    <w:rsid w:val="00090DB4"/>
    <w:rsid w:val="00097804"/>
    <w:rsid w:val="000A2B57"/>
    <w:rsid w:val="000A418B"/>
    <w:rsid w:val="000A5019"/>
    <w:rsid w:val="000B0ACE"/>
    <w:rsid w:val="000B695F"/>
    <w:rsid w:val="000C4431"/>
    <w:rsid w:val="000C5435"/>
    <w:rsid w:val="000C6607"/>
    <w:rsid w:val="000D1C06"/>
    <w:rsid w:val="000D3043"/>
    <w:rsid w:val="000D4319"/>
    <w:rsid w:val="000D4831"/>
    <w:rsid w:val="000D5BE1"/>
    <w:rsid w:val="000D6AF8"/>
    <w:rsid w:val="000E24FA"/>
    <w:rsid w:val="000E338A"/>
    <w:rsid w:val="000E4392"/>
    <w:rsid w:val="000E4548"/>
    <w:rsid w:val="000E620E"/>
    <w:rsid w:val="000F244D"/>
    <w:rsid w:val="000F374A"/>
    <w:rsid w:val="000F4DAF"/>
    <w:rsid w:val="000F53C1"/>
    <w:rsid w:val="00105BA1"/>
    <w:rsid w:val="001066FE"/>
    <w:rsid w:val="001076AF"/>
    <w:rsid w:val="001109F6"/>
    <w:rsid w:val="00111BD9"/>
    <w:rsid w:val="00116C6B"/>
    <w:rsid w:val="00117C8C"/>
    <w:rsid w:val="001239F0"/>
    <w:rsid w:val="00124C38"/>
    <w:rsid w:val="00124E2E"/>
    <w:rsid w:val="00125ED4"/>
    <w:rsid w:val="00126374"/>
    <w:rsid w:val="001264D6"/>
    <w:rsid w:val="00127E1E"/>
    <w:rsid w:val="001303BF"/>
    <w:rsid w:val="001305E9"/>
    <w:rsid w:val="001307AF"/>
    <w:rsid w:val="001319BC"/>
    <w:rsid w:val="0013347E"/>
    <w:rsid w:val="00135644"/>
    <w:rsid w:val="00135687"/>
    <w:rsid w:val="00136BD1"/>
    <w:rsid w:val="00141D83"/>
    <w:rsid w:val="00145BD4"/>
    <w:rsid w:val="00146B5D"/>
    <w:rsid w:val="00150ECE"/>
    <w:rsid w:val="0015506E"/>
    <w:rsid w:val="00157CCC"/>
    <w:rsid w:val="00163031"/>
    <w:rsid w:val="001654C4"/>
    <w:rsid w:val="0016701C"/>
    <w:rsid w:val="00171A90"/>
    <w:rsid w:val="00180254"/>
    <w:rsid w:val="00183B6E"/>
    <w:rsid w:val="00191E1F"/>
    <w:rsid w:val="00191EE8"/>
    <w:rsid w:val="00192943"/>
    <w:rsid w:val="00193BAF"/>
    <w:rsid w:val="00194791"/>
    <w:rsid w:val="001A206F"/>
    <w:rsid w:val="001A7406"/>
    <w:rsid w:val="001A7AE4"/>
    <w:rsid w:val="001B1EDC"/>
    <w:rsid w:val="001B4053"/>
    <w:rsid w:val="001B4FEE"/>
    <w:rsid w:val="001B51C5"/>
    <w:rsid w:val="001B672A"/>
    <w:rsid w:val="001B6F3F"/>
    <w:rsid w:val="001C13F4"/>
    <w:rsid w:val="001C52B5"/>
    <w:rsid w:val="001D0C96"/>
    <w:rsid w:val="001D0D3E"/>
    <w:rsid w:val="001D2817"/>
    <w:rsid w:val="001D2899"/>
    <w:rsid w:val="001D3277"/>
    <w:rsid w:val="001E14A3"/>
    <w:rsid w:val="001E390F"/>
    <w:rsid w:val="001E7FF4"/>
    <w:rsid w:val="001F2245"/>
    <w:rsid w:val="001F2C63"/>
    <w:rsid w:val="001F3E24"/>
    <w:rsid w:val="001F48C7"/>
    <w:rsid w:val="001F6DA1"/>
    <w:rsid w:val="00200178"/>
    <w:rsid w:val="00204200"/>
    <w:rsid w:val="002044E6"/>
    <w:rsid w:val="00205C82"/>
    <w:rsid w:val="00205DC2"/>
    <w:rsid w:val="00206AC3"/>
    <w:rsid w:val="00212B17"/>
    <w:rsid w:val="002163B6"/>
    <w:rsid w:val="00217215"/>
    <w:rsid w:val="002206E0"/>
    <w:rsid w:val="00220732"/>
    <w:rsid w:val="0022121F"/>
    <w:rsid w:val="00221D32"/>
    <w:rsid w:val="00222AC1"/>
    <w:rsid w:val="00224FF2"/>
    <w:rsid w:val="00225C3F"/>
    <w:rsid w:val="00226ED6"/>
    <w:rsid w:val="00243E66"/>
    <w:rsid w:val="00251943"/>
    <w:rsid w:val="00263D44"/>
    <w:rsid w:val="002702AD"/>
    <w:rsid w:val="00281EB4"/>
    <w:rsid w:val="002926DE"/>
    <w:rsid w:val="00292D82"/>
    <w:rsid w:val="00293EE7"/>
    <w:rsid w:val="002963CB"/>
    <w:rsid w:val="002A03FA"/>
    <w:rsid w:val="002A2212"/>
    <w:rsid w:val="002A4494"/>
    <w:rsid w:val="002B2596"/>
    <w:rsid w:val="002B2DAC"/>
    <w:rsid w:val="002B4A01"/>
    <w:rsid w:val="002C291B"/>
    <w:rsid w:val="002C3C93"/>
    <w:rsid w:val="002C746A"/>
    <w:rsid w:val="002C7E4E"/>
    <w:rsid w:val="002D226D"/>
    <w:rsid w:val="002D74E3"/>
    <w:rsid w:val="002F1EAB"/>
    <w:rsid w:val="002F2912"/>
    <w:rsid w:val="002F6030"/>
    <w:rsid w:val="003001AC"/>
    <w:rsid w:val="00303742"/>
    <w:rsid w:val="003037E1"/>
    <w:rsid w:val="00307E51"/>
    <w:rsid w:val="003103EC"/>
    <w:rsid w:val="00312132"/>
    <w:rsid w:val="003130BA"/>
    <w:rsid w:val="003144EF"/>
    <w:rsid w:val="0031480E"/>
    <w:rsid w:val="00316877"/>
    <w:rsid w:val="00322F74"/>
    <w:rsid w:val="00325E15"/>
    <w:rsid w:val="00327928"/>
    <w:rsid w:val="00335116"/>
    <w:rsid w:val="00336F6C"/>
    <w:rsid w:val="00337611"/>
    <w:rsid w:val="00340073"/>
    <w:rsid w:val="003411D8"/>
    <w:rsid w:val="0034192C"/>
    <w:rsid w:val="0034327A"/>
    <w:rsid w:val="003445B0"/>
    <w:rsid w:val="00353B66"/>
    <w:rsid w:val="00355934"/>
    <w:rsid w:val="00357928"/>
    <w:rsid w:val="0036010E"/>
    <w:rsid w:val="003632FD"/>
    <w:rsid w:val="003708C6"/>
    <w:rsid w:val="00370F78"/>
    <w:rsid w:val="00372805"/>
    <w:rsid w:val="00373180"/>
    <w:rsid w:val="00375AB9"/>
    <w:rsid w:val="0037691E"/>
    <w:rsid w:val="0038014A"/>
    <w:rsid w:val="003821A0"/>
    <w:rsid w:val="00385B04"/>
    <w:rsid w:val="003864CF"/>
    <w:rsid w:val="003948AE"/>
    <w:rsid w:val="003A08C0"/>
    <w:rsid w:val="003A22A6"/>
    <w:rsid w:val="003A2A1C"/>
    <w:rsid w:val="003A32EB"/>
    <w:rsid w:val="003A5494"/>
    <w:rsid w:val="003B2510"/>
    <w:rsid w:val="003B4355"/>
    <w:rsid w:val="003B5D0A"/>
    <w:rsid w:val="003C2CC4"/>
    <w:rsid w:val="003C3710"/>
    <w:rsid w:val="003C42A3"/>
    <w:rsid w:val="003C48F7"/>
    <w:rsid w:val="003D2A72"/>
    <w:rsid w:val="003E0463"/>
    <w:rsid w:val="003E0EFC"/>
    <w:rsid w:val="003E4A2B"/>
    <w:rsid w:val="003E5BDD"/>
    <w:rsid w:val="003E6FE9"/>
    <w:rsid w:val="003E76C2"/>
    <w:rsid w:val="003F1367"/>
    <w:rsid w:val="003F1679"/>
    <w:rsid w:val="003F21EB"/>
    <w:rsid w:val="003F4A35"/>
    <w:rsid w:val="003F5F03"/>
    <w:rsid w:val="003F7FDD"/>
    <w:rsid w:val="00400E4A"/>
    <w:rsid w:val="00402101"/>
    <w:rsid w:val="0040243D"/>
    <w:rsid w:val="00402481"/>
    <w:rsid w:val="00402978"/>
    <w:rsid w:val="004042B4"/>
    <w:rsid w:val="00410DC4"/>
    <w:rsid w:val="00412DAE"/>
    <w:rsid w:val="0041302D"/>
    <w:rsid w:val="0041464A"/>
    <w:rsid w:val="004201BD"/>
    <w:rsid w:val="004242E6"/>
    <w:rsid w:val="00427B35"/>
    <w:rsid w:val="00431598"/>
    <w:rsid w:val="00431760"/>
    <w:rsid w:val="004319AD"/>
    <w:rsid w:val="004426B8"/>
    <w:rsid w:val="00444432"/>
    <w:rsid w:val="00447D5C"/>
    <w:rsid w:val="00450202"/>
    <w:rsid w:val="004502B2"/>
    <w:rsid w:val="004528AC"/>
    <w:rsid w:val="00455499"/>
    <w:rsid w:val="004567EB"/>
    <w:rsid w:val="004649A7"/>
    <w:rsid w:val="00466221"/>
    <w:rsid w:val="00467DBC"/>
    <w:rsid w:val="00470C1A"/>
    <w:rsid w:val="00471860"/>
    <w:rsid w:val="00471DFE"/>
    <w:rsid w:val="00477026"/>
    <w:rsid w:val="00477730"/>
    <w:rsid w:val="004954E8"/>
    <w:rsid w:val="004A18C0"/>
    <w:rsid w:val="004A380F"/>
    <w:rsid w:val="004A744D"/>
    <w:rsid w:val="004B60BD"/>
    <w:rsid w:val="004B61F7"/>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3034"/>
    <w:rsid w:val="004F50D1"/>
    <w:rsid w:val="004F5C43"/>
    <w:rsid w:val="004F75CD"/>
    <w:rsid w:val="005050A2"/>
    <w:rsid w:val="00506030"/>
    <w:rsid w:val="0050652D"/>
    <w:rsid w:val="00506C03"/>
    <w:rsid w:val="00511A11"/>
    <w:rsid w:val="00516496"/>
    <w:rsid w:val="00521974"/>
    <w:rsid w:val="00522E7D"/>
    <w:rsid w:val="00523B11"/>
    <w:rsid w:val="0052455B"/>
    <w:rsid w:val="0052572A"/>
    <w:rsid w:val="00532DFB"/>
    <w:rsid w:val="00543CB3"/>
    <w:rsid w:val="005442E4"/>
    <w:rsid w:val="00547652"/>
    <w:rsid w:val="00553C19"/>
    <w:rsid w:val="0055529B"/>
    <w:rsid w:val="00560921"/>
    <w:rsid w:val="00560FF0"/>
    <w:rsid w:val="005614BD"/>
    <w:rsid w:val="0057154F"/>
    <w:rsid w:val="00580F69"/>
    <w:rsid w:val="00581CA3"/>
    <w:rsid w:val="00585031"/>
    <w:rsid w:val="00586E8B"/>
    <w:rsid w:val="00587090"/>
    <w:rsid w:val="00587A44"/>
    <w:rsid w:val="00597730"/>
    <w:rsid w:val="005977EC"/>
    <w:rsid w:val="00597DE7"/>
    <w:rsid w:val="005A1CD3"/>
    <w:rsid w:val="005A4AA2"/>
    <w:rsid w:val="005A5994"/>
    <w:rsid w:val="005B34B6"/>
    <w:rsid w:val="005B606A"/>
    <w:rsid w:val="005B6C8F"/>
    <w:rsid w:val="005B6EC3"/>
    <w:rsid w:val="005C17D7"/>
    <w:rsid w:val="005C33CE"/>
    <w:rsid w:val="005C51D5"/>
    <w:rsid w:val="005C6C4A"/>
    <w:rsid w:val="005C7FFA"/>
    <w:rsid w:val="005D0F74"/>
    <w:rsid w:val="005D2E7D"/>
    <w:rsid w:val="005D4A8F"/>
    <w:rsid w:val="005D561B"/>
    <w:rsid w:val="005D578F"/>
    <w:rsid w:val="005D5ECF"/>
    <w:rsid w:val="005D6982"/>
    <w:rsid w:val="005E370B"/>
    <w:rsid w:val="005F468D"/>
    <w:rsid w:val="005F5556"/>
    <w:rsid w:val="005F69A3"/>
    <w:rsid w:val="006039EF"/>
    <w:rsid w:val="00604CC7"/>
    <w:rsid w:val="00606C00"/>
    <w:rsid w:val="00613441"/>
    <w:rsid w:val="00615423"/>
    <w:rsid w:val="006165B2"/>
    <w:rsid w:val="00617276"/>
    <w:rsid w:val="00621378"/>
    <w:rsid w:val="0062527B"/>
    <w:rsid w:val="00625D97"/>
    <w:rsid w:val="00625F1C"/>
    <w:rsid w:val="0062658E"/>
    <w:rsid w:val="0062714D"/>
    <w:rsid w:val="006279E1"/>
    <w:rsid w:val="00630CEB"/>
    <w:rsid w:val="00632264"/>
    <w:rsid w:val="00633CC2"/>
    <w:rsid w:val="006355F2"/>
    <w:rsid w:val="006366FA"/>
    <w:rsid w:val="006470BC"/>
    <w:rsid w:val="00651BDD"/>
    <w:rsid w:val="0065369A"/>
    <w:rsid w:val="006554D3"/>
    <w:rsid w:val="00657ED3"/>
    <w:rsid w:val="006603F4"/>
    <w:rsid w:val="00661708"/>
    <w:rsid w:val="00666522"/>
    <w:rsid w:val="00667036"/>
    <w:rsid w:val="00667B89"/>
    <w:rsid w:val="00673BDB"/>
    <w:rsid w:val="00674341"/>
    <w:rsid w:val="006771B8"/>
    <w:rsid w:val="00681415"/>
    <w:rsid w:val="00682631"/>
    <w:rsid w:val="00683A89"/>
    <w:rsid w:val="006843B6"/>
    <w:rsid w:val="0068481F"/>
    <w:rsid w:val="00693EA1"/>
    <w:rsid w:val="006940B5"/>
    <w:rsid w:val="0069636F"/>
    <w:rsid w:val="00696F5D"/>
    <w:rsid w:val="00696FAC"/>
    <w:rsid w:val="00697249"/>
    <w:rsid w:val="006A06F3"/>
    <w:rsid w:val="006A1A67"/>
    <w:rsid w:val="006A2879"/>
    <w:rsid w:val="006A7336"/>
    <w:rsid w:val="006B09C4"/>
    <w:rsid w:val="006B3947"/>
    <w:rsid w:val="006B4293"/>
    <w:rsid w:val="006B624F"/>
    <w:rsid w:val="006B6B43"/>
    <w:rsid w:val="006C0C95"/>
    <w:rsid w:val="006C31E3"/>
    <w:rsid w:val="006D18D3"/>
    <w:rsid w:val="006D1EE9"/>
    <w:rsid w:val="006D339D"/>
    <w:rsid w:val="006D3BD1"/>
    <w:rsid w:val="006E010E"/>
    <w:rsid w:val="006E08CB"/>
    <w:rsid w:val="006E57FD"/>
    <w:rsid w:val="006E598D"/>
    <w:rsid w:val="006E6EB7"/>
    <w:rsid w:val="006F3724"/>
    <w:rsid w:val="0070437D"/>
    <w:rsid w:val="00704CF1"/>
    <w:rsid w:val="00705B04"/>
    <w:rsid w:val="0071040E"/>
    <w:rsid w:val="00717EE9"/>
    <w:rsid w:val="00724992"/>
    <w:rsid w:val="00724F64"/>
    <w:rsid w:val="00727A11"/>
    <w:rsid w:val="00727F90"/>
    <w:rsid w:val="00733377"/>
    <w:rsid w:val="00734820"/>
    <w:rsid w:val="007349DC"/>
    <w:rsid w:val="00742B21"/>
    <w:rsid w:val="007430FA"/>
    <w:rsid w:val="0074365E"/>
    <w:rsid w:val="007445EE"/>
    <w:rsid w:val="00744B55"/>
    <w:rsid w:val="007515FD"/>
    <w:rsid w:val="00753AB2"/>
    <w:rsid w:val="00760D80"/>
    <w:rsid w:val="00761CB4"/>
    <w:rsid w:val="00780C09"/>
    <w:rsid w:val="00780DDF"/>
    <w:rsid w:val="007834E9"/>
    <w:rsid w:val="00785214"/>
    <w:rsid w:val="00786EAC"/>
    <w:rsid w:val="00787DBC"/>
    <w:rsid w:val="0079019A"/>
    <w:rsid w:val="00792935"/>
    <w:rsid w:val="007A03E6"/>
    <w:rsid w:val="007A04A1"/>
    <w:rsid w:val="007A1840"/>
    <w:rsid w:val="007A41DD"/>
    <w:rsid w:val="007B1E4E"/>
    <w:rsid w:val="007B730C"/>
    <w:rsid w:val="007C0528"/>
    <w:rsid w:val="007C0837"/>
    <w:rsid w:val="007C08EA"/>
    <w:rsid w:val="007C3D38"/>
    <w:rsid w:val="007D0648"/>
    <w:rsid w:val="007D0F35"/>
    <w:rsid w:val="007D1783"/>
    <w:rsid w:val="007D4546"/>
    <w:rsid w:val="007D4FEB"/>
    <w:rsid w:val="007D6146"/>
    <w:rsid w:val="007E0CE7"/>
    <w:rsid w:val="007E5041"/>
    <w:rsid w:val="007E6DAF"/>
    <w:rsid w:val="007F1193"/>
    <w:rsid w:val="007F417F"/>
    <w:rsid w:val="007F7644"/>
    <w:rsid w:val="008042BD"/>
    <w:rsid w:val="00804E17"/>
    <w:rsid w:val="008050B3"/>
    <w:rsid w:val="00814DDC"/>
    <w:rsid w:val="00816624"/>
    <w:rsid w:val="00817848"/>
    <w:rsid w:val="00822427"/>
    <w:rsid w:val="00822562"/>
    <w:rsid w:val="00823663"/>
    <w:rsid w:val="00823664"/>
    <w:rsid w:val="00825CBF"/>
    <w:rsid w:val="00826DFF"/>
    <w:rsid w:val="008305B7"/>
    <w:rsid w:val="00832DDC"/>
    <w:rsid w:val="008426B0"/>
    <w:rsid w:val="008431BB"/>
    <w:rsid w:val="00843F4E"/>
    <w:rsid w:val="00845E34"/>
    <w:rsid w:val="00846768"/>
    <w:rsid w:val="00850BAC"/>
    <w:rsid w:val="00854A3E"/>
    <w:rsid w:val="00855D08"/>
    <w:rsid w:val="008618A4"/>
    <w:rsid w:val="00863774"/>
    <w:rsid w:val="00864698"/>
    <w:rsid w:val="008731AB"/>
    <w:rsid w:val="00874344"/>
    <w:rsid w:val="0087505D"/>
    <w:rsid w:val="00877703"/>
    <w:rsid w:val="00882155"/>
    <w:rsid w:val="0088233B"/>
    <w:rsid w:val="0088599E"/>
    <w:rsid w:val="00886C37"/>
    <w:rsid w:val="008915FC"/>
    <w:rsid w:val="00892D99"/>
    <w:rsid w:val="00893315"/>
    <w:rsid w:val="00894C09"/>
    <w:rsid w:val="00895419"/>
    <w:rsid w:val="008A251C"/>
    <w:rsid w:val="008B149A"/>
    <w:rsid w:val="008B5C68"/>
    <w:rsid w:val="008B62AE"/>
    <w:rsid w:val="008C04B5"/>
    <w:rsid w:val="008C14FA"/>
    <w:rsid w:val="008C4EFC"/>
    <w:rsid w:val="008C7B0B"/>
    <w:rsid w:val="008D1968"/>
    <w:rsid w:val="008D4057"/>
    <w:rsid w:val="008E1F19"/>
    <w:rsid w:val="008F2262"/>
    <w:rsid w:val="008F4D2B"/>
    <w:rsid w:val="008F5B91"/>
    <w:rsid w:val="008F6D9C"/>
    <w:rsid w:val="008F72E4"/>
    <w:rsid w:val="008F7736"/>
    <w:rsid w:val="0090019E"/>
    <w:rsid w:val="00900435"/>
    <w:rsid w:val="00901086"/>
    <w:rsid w:val="00901C8A"/>
    <w:rsid w:val="00902F66"/>
    <w:rsid w:val="00903C72"/>
    <w:rsid w:val="00904F3B"/>
    <w:rsid w:val="00905886"/>
    <w:rsid w:val="009070D6"/>
    <w:rsid w:val="009076C6"/>
    <w:rsid w:val="0091019E"/>
    <w:rsid w:val="009106F1"/>
    <w:rsid w:val="009115F8"/>
    <w:rsid w:val="00912404"/>
    <w:rsid w:val="009145D6"/>
    <w:rsid w:val="00915541"/>
    <w:rsid w:val="00920E64"/>
    <w:rsid w:val="00921AA7"/>
    <w:rsid w:val="00922002"/>
    <w:rsid w:val="009225CB"/>
    <w:rsid w:val="00924020"/>
    <w:rsid w:val="00924BF4"/>
    <w:rsid w:val="009271A7"/>
    <w:rsid w:val="0092762F"/>
    <w:rsid w:val="0093658B"/>
    <w:rsid w:val="00936BB9"/>
    <w:rsid w:val="00940E43"/>
    <w:rsid w:val="009429FF"/>
    <w:rsid w:val="009444D1"/>
    <w:rsid w:val="00945BD6"/>
    <w:rsid w:val="009479FB"/>
    <w:rsid w:val="00951C45"/>
    <w:rsid w:val="00951DD8"/>
    <w:rsid w:val="009531E1"/>
    <w:rsid w:val="00954524"/>
    <w:rsid w:val="0096053F"/>
    <w:rsid w:val="009656F2"/>
    <w:rsid w:val="00966A08"/>
    <w:rsid w:val="009701B7"/>
    <w:rsid w:val="00971207"/>
    <w:rsid w:val="0097168B"/>
    <w:rsid w:val="00972FDC"/>
    <w:rsid w:val="00975CB4"/>
    <w:rsid w:val="009863B0"/>
    <w:rsid w:val="00987DE1"/>
    <w:rsid w:val="00990571"/>
    <w:rsid w:val="00991905"/>
    <w:rsid w:val="009926B2"/>
    <w:rsid w:val="009949F1"/>
    <w:rsid w:val="00995A4A"/>
    <w:rsid w:val="0099673A"/>
    <w:rsid w:val="009A3291"/>
    <w:rsid w:val="009A3330"/>
    <w:rsid w:val="009A548F"/>
    <w:rsid w:val="009A7C96"/>
    <w:rsid w:val="009B483E"/>
    <w:rsid w:val="009B61BF"/>
    <w:rsid w:val="009C3253"/>
    <w:rsid w:val="009C3DB9"/>
    <w:rsid w:val="009C5968"/>
    <w:rsid w:val="009D0436"/>
    <w:rsid w:val="009D46E5"/>
    <w:rsid w:val="009D568A"/>
    <w:rsid w:val="009E7956"/>
    <w:rsid w:val="009F04EC"/>
    <w:rsid w:val="009F2A7C"/>
    <w:rsid w:val="009F3B36"/>
    <w:rsid w:val="00A00C79"/>
    <w:rsid w:val="00A019B9"/>
    <w:rsid w:val="00A024A0"/>
    <w:rsid w:val="00A03157"/>
    <w:rsid w:val="00A05F0D"/>
    <w:rsid w:val="00A11756"/>
    <w:rsid w:val="00A12497"/>
    <w:rsid w:val="00A12508"/>
    <w:rsid w:val="00A1282B"/>
    <w:rsid w:val="00A13A27"/>
    <w:rsid w:val="00A15B7C"/>
    <w:rsid w:val="00A175B6"/>
    <w:rsid w:val="00A21835"/>
    <w:rsid w:val="00A2374B"/>
    <w:rsid w:val="00A23AAB"/>
    <w:rsid w:val="00A23D95"/>
    <w:rsid w:val="00A250B0"/>
    <w:rsid w:val="00A27D6E"/>
    <w:rsid w:val="00A328EC"/>
    <w:rsid w:val="00A33A51"/>
    <w:rsid w:val="00A41CA6"/>
    <w:rsid w:val="00A431ED"/>
    <w:rsid w:val="00A47927"/>
    <w:rsid w:val="00A47FFC"/>
    <w:rsid w:val="00A52C51"/>
    <w:rsid w:val="00A52CB9"/>
    <w:rsid w:val="00A5442F"/>
    <w:rsid w:val="00A54FF9"/>
    <w:rsid w:val="00A56765"/>
    <w:rsid w:val="00A57101"/>
    <w:rsid w:val="00A63860"/>
    <w:rsid w:val="00A6616B"/>
    <w:rsid w:val="00A675AC"/>
    <w:rsid w:val="00A7097D"/>
    <w:rsid w:val="00A743D5"/>
    <w:rsid w:val="00A7581F"/>
    <w:rsid w:val="00A77055"/>
    <w:rsid w:val="00A81274"/>
    <w:rsid w:val="00A86ACA"/>
    <w:rsid w:val="00A90058"/>
    <w:rsid w:val="00A92439"/>
    <w:rsid w:val="00A92FB1"/>
    <w:rsid w:val="00A95980"/>
    <w:rsid w:val="00A95A0C"/>
    <w:rsid w:val="00AA2765"/>
    <w:rsid w:val="00AA3AC6"/>
    <w:rsid w:val="00AA77B5"/>
    <w:rsid w:val="00AB6C5D"/>
    <w:rsid w:val="00AC3401"/>
    <w:rsid w:val="00AC51A7"/>
    <w:rsid w:val="00AC603B"/>
    <w:rsid w:val="00AC6FF9"/>
    <w:rsid w:val="00AD0E89"/>
    <w:rsid w:val="00AD1D87"/>
    <w:rsid w:val="00AD444B"/>
    <w:rsid w:val="00AD5614"/>
    <w:rsid w:val="00AD6C78"/>
    <w:rsid w:val="00AE03F0"/>
    <w:rsid w:val="00AE2EAB"/>
    <w:rsid w:val="00AF13D0"/>
    <w:rsid w:val="00AF3D9B"/>
    <w:rsid w:val="00AF5E0E"/>
    <w:rsid w:val="00AF5F89"/>
    <w:rsid w:val="00AF6FB4"/>
    <w:rsid w:val="00AF73CB"/>
    <w:rsid w:val="00B002D6"/>
    <w:rsid w:val="00B02EB9"/>
    <w:rsid w:val="00B02EF0"/>
    <w:rsid w:val="00B03379"/>
    <w:rsid w:val="00B03FA5"/>
    <w:rsid w:val="00B04110"/>
    <w:rsid w:val="00B05B51"/>
    <w:rsid w:val="00B14E5A"/>
    <w:rsid w:val="00B15370"/>
    <w:rsid w:val="00B16DA4"/>
    <w:rsid w:val="00B17BEB"/>
    <w:rsid w:val="00B21A3C"/>
    <w:rsid w:val="00B223C0"/>
    <w:rsid w:val="00B234ED"/>
    <w:rsid w:val="00B249B2"/>
    <w:rsid w:val="00B24BEC"/>
    <w:rsid w:val="00B25CA3"/>
    <w:rsid w:val="00B2765A"/>
    <w:rsid w:val="00B27DEB"/>
    <w:rsid w:val="00B3109A"/>
    <w:rsid w:val="00B32D37"/>
    <w:rsid w:val="00B41962"/>
    <w:rsid w:val="00B41AA8"/>
    <w:rsid w:val="00B42B45"/>
    <w:rsid w:val="00B51386"/>
    <w:rsid w:val="00B516ED"/>
    <w:rsid w:val="00B55958"/>
    <w:rsid w:val="00B565DA"/>
    <w:rsid w:val="00B57A6A"/>
    <w:rsid w:val="00B6037C"/>
    <w:rsid w:val="00B62D0D"/>
    <w:rsid w:val="00B63280"/>
    <w:rsid w:val="00B760F1"/>
    <w:rsid w:val="00B7669E"/>
    <w:rsid w:val="00B76EBB"/>
    <w:rsid w:val="00B77DA1"/>
    <w:rsid w:val="00B822A0"/>
    <w:rsid w:val="00B82F85"/>
    <w:rsid w:val="00B858AE"/>
    <w:rsid w:val="00B85964"/>
    <w:rsid w:val="00B865A7"/>
    <w:rsid w:val="00B95EF7"/>
    <w:rsid w:val="00B96250"/>
    <w:rsid w:val="00B96F49"/>
    <w:rsid w:val="00BA0D55"/>
    <w:rsid w:val="00BA37B3"/>
    <w:rsid w:val="00BA4CC6"/>
    <w:rsid w:val="00BA6324"/>
    <w:rsid w:val="00BA7F46"/>
    <w:rsid w:val="00BB0F1D"/>
    <w:rsid w:val="00BB1628"/>
    <w:rsid w:val="00BB3493"/>
    <w:rsid w:val="00BB6E4C"/>
    <w:rsid w:val="00BB7468"/>
    <w:rsid w:val="00BC0514"/>
    <w:rsid w:val="00BC188A"/>
    <w:rsid w:val="00BC3B87"/>
    <w:rsid w:val="00BC402E"/>
    <w:rsid w:val="00BC70C6"/>
    <w:rsid w:val="00BD0F48"/>
    <w:rsid w:val="00BD14E5"/>
    <w:rsid w:val="00BD5216"/>
    <w:rsid w:val="00BE0E50"/>
    <w:rsid w:val="00BE2870"/>
    <w:rsid w:val="00BE6DDB"/>
    <w:rsid w:val="00BE6FDA"/>
    <w:rsid w:val="00BE7017"/>
    <w:rsid w:val="00BF03E0"/>
    <w:rsid w:val="00BF5010"/>
    <w:rsid w:val="00C03009"/>
    <w:rsid w:val="00C03D5F"/>
    <w:rsid w:val="00C055FC"/>
    <w:rsid w:val="00C13791"/>
    <w:rsid w:val="00C210BD"/>
    <w:rsid w:val="00C2575A"/>
    <w:rsid w:val="00C31BB3"/>
    <w:rsid w:val="00C3694F"/>
    <w:rsid w:val="00C36977"/>
    <w:rsid w:val="00C400D4"/>
    <w:rsid w:val="00C406B9"/>
    <w:rsid w:val="00C46628"/>
    <w:rsid w:val="00C467DA"/>
    <w:rsid w:val="00C477D9"/>
    <w:rsid w:val="00C50400"/>
    <w:rsid w:val="00C528E8"/>
    <w:rsid w:val="00C530DF"/>
    <w:rsid w:val="00C57869"/>
    <w:rsid w:val="00C60899"/>
    <w:rsid w:val="00C6097E"/>
    <w:rsid w:val="00C60BA3"/>
    <w:rsid w:val="00C60DCF"/>
    <w:rsid w:val="00C62048"/>
    <w:rsid w:val="00C623F7"/>
    <w:rsid w:val="00C6297D"/>
    <w:rsid w:val="00C62A81"/>
    <w:rsid w:val="00C67CD7"/>
    <w:rsid w:val="00C71E00"/>
    <w:rsid w:val="00C7427E"/>
    <w:rsid w:val="00C75BC5"/>
    <w:rsid w:val="00C77FF1"/>
    <w:rsid w:val="00C81670"/>
    <w:rsid w:val="00C81773"/>
    <w:rsid w:val="00C82861"/>
    <w:rsid w:val="00C8396C"/>
    <w:rsid w:val="00C8564E"/>
    <w:rsid w:val="00C86896"/>
    <w:rsid w:val="00C907A8"/>
    <w:rsid w:val="00C91670"/>
    <w:rsid w:val="00C9320B"/>
    <w:rsid w:val="00C93211"/>
    <w:rsid w:val="00C93DB8"/>
    <w:rsid w:val="00C942EC"/>
    <w:rsid w:val="00C96047"/>
    <w:rsid w:val="00C96C9E"/>
    <w:rsid w:val="00C979D0"/>
    <w:rsid w:val="00CA0818"/>
    <w:rsid w:val="00CA15C8"/>
    <w:rsid w:val="00CA2C8F"/>
    <w:rsid w:val="00CA30DA"/>
    <w:rsid w:val="00CA3A24"/>
    <w:rsid w:val="00CB16BF"/>
    <w:rsid w:val="00CB1777"/>
    <w:rsid w:val="00CB33E9"/>
    <w:rsid w:val="00CB7DB5"/>
    <w:rsid w:val="00CC10A9"/>
    <w:rsid w:val="00CD0655"/>
    <w:rsid w:val="00CD0660"/>
    <w:rsid w:val="00CE2BF8"/>
    <w:rsid w:val="00CE484E"/>
    <w:rsid w:val="00CE4D20"/>
    <w:rsid w:val="00CE5539"/>
    <w:rsid w:val="00CE656F"/>
    <w:rsid w:val="00CE6A0B"/>
    <w:rsid w:val="00CE76A5"/>
    <w:rsid w:val="00CE7DD6"/>
    <w:rsid w:val="00CF0DA8"/>
    <w:rsid w:val="00CF2E25"/>
    <w:rsid w:val="00CF4453"/>
    <w:rsid w:val="00CF49BF"/>
    <w:rsid w:val="00CF5589"/>
    <w:rsid w:val="00CF5D94"/>
    <w:rsid w:val="00CF7E0F"/>
    <w:rsid w:val="00D00893"/>
    <w:rsid w:val="00D034D7"/>
    <w:rsid w:val="00D04BE4"/>
    <w:rsid w:val="00D05BC0"/>
    <w:rsid w:val="00D06FC7"/>
    <w:rsid w:val="00D12565"/>
    <w:rsid w:val="00D140C1"/>
    <w:rsid w:val="00D14127"/>
    <w:rsid w:val="00D211DE"/>
    <w:rsid w:val="00D34337"/>
    <w:rsid w:val="00D479AE"/>
    <w:rsid w:val="00D50FCD"/>
    <w:rsid w:val="00D51536"/>
    <w:rsid w:val="00D533E3"/>
    <w:rsid w:val="00D57544"/>
    <w:rsid w:val="00D57554"/>
    <w:rsid w:val="00D60B16"/>
    <w:rsid w:val="00D60F02"/>
    <w:rsid w:val="00D64A0B"/>
    <w:rsid w:val="00D66E49"/>
    <w:rsid w:val="00D70D71"/>
    <w:rsid w:val="00D72F74"/>
    <w:rsid w:val="00D81563"/>
    <w:rsid w:val="00D837C1"/>
    <w:rsid w:val="00D85907"/>
    <w:rsid w:val="00D860AC"/>
    <w:rsid w:val="00D9073E"/>
    <w:rsid w:val="00D9221D"/>
    <w:rsid w:val="00D9253C"/>
    <w:rsid w:val="00D958DF"/>
    <w:rsid w:val="00D96DA1"/>
    <w:rsid w:val="00DA51E7"/>
    <w:rsid w:val="00DA78F1"/>
    <w:rsid w:val="00DB0260"/>
    <w:rsid w:val="00DB1C78"/>
    <w:rsid w:val="00DB4C81"/>
    <w:rsid w:val="00DB7D96"/>
    <w:rsid w:val="00DC23FE"/>
    <w:rsid w:val="00DC2BF9"/>
    <w:rsid w:val="00DC3A0A"/>
    <w:rsid w:val="00DC59E6"/>
    <w:rsid w:val="00DD150B"/>
    <w:rsid w:val="00DD3356"/>
    <w:rsid w:val="00DD5025"/>
    <w:rsid w:val="00DD52D3"/>
    <w:rsid w:val="00DD5464"/>
    <w:rsid w:val="00DD6F85"/>
    <w:rsid w:val="00DD748A"/>
    <w:rsid w:val="00DE254E"/>
    <w:rsid w:val="00DE32C0"/>
    <w:rsid w:val="00DE52C0"/>
    <w:rsid w:val="00DE76A7"/>
    <w:rsid w:val="00DF1510"/>
    <w:rsid w:val="00E02F1F"/>
    <w:rsid w:val="00E05454"/>
    <w:rsid w:val="00E06484"/>
    <w:rsid w:val="00E06B24"/>
    <w:rsid w:val="00E20A7D"/>
    <w:rsid w:val="00E20ED5"/>
    <w:rsid w:val="00E23FE4"/>
    <w:rsid w:val="00E275D8"/>
    <w:rsid w:val="00E30F6A"/>
    <w:rsid w:val="00E3117C"/>
    <w:rsid w:val="00E31288"/>
    <w:rsid w:val="00E3191F"/>
    <w:rsid w:val="00E34307"/>
    <w:rsid w:val="00E34511"/>
    <w:rsid w:val="00E3635B"/>
    <w:rsid w:val="00E370D0"/>
    <w:rsid w:val="00E375C3"/>
    <w:rsid w:val="00E375CA"/>
    <w:rsid w:val="00E4499E"/>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3B4A"/>
    <w:rsid w:val="00EA47FF"/>
    <w:rsid w:val="00EA7C3C"/>
    <w:rsid w:val="00EB2DB3"/>
    <w:rsid w:val="00EC3FBB"/>
    <w:rsid w:val="00EC6B7A"/>
    <w:rsid w:val="00ED3A87"/>
    <w:rsid w:val="00ED5B67"/>
    <w:rsid w:val="00EE1A5C"/>
    <w:rsid w:val="00EE5F5A"/>
    <w:rsid w:val="00EF22FB"/>
    <w:rsid w:val="00EF264C"/>
    <w:rsid w:val="00EF3FEE"/>
    <w:rsid w:val="00EF6B41"/>
    <w:rsid w:val="00F04B59"/>
    <w:rsid w:val="00F07B69"/>
    <w:rsid w:val="00F11741"/>
    <w:rsid w:val="00F117B0"/>
    <w:rsid w:val="00F12B1C"/>
    <w:rsid w:val="00F13CF8"/>
    <w:rsid w:val="00F15855"/>
    <w:rsid w:val="00F200B2"/>
    <w:rsid w:val="00F227DC"/>
    <w:rsid w:val="00F263B9"/>
    <w:rsid w:val="00F2777B"/>
    <w:rsid w:val="00F30701"/>
    <w:rsid w:val="00F30867"/>
    <w:rsid w:val="00F32978"/>
    <w:rsid w:val="00F42888"/>
    <w:rsid w:val="00F441A3"/>
    <w:rsid w:val="00F45CB2"/>
    <w:rsid w:val="00F511F3"/>
    <w:rsid w:val="00F544C0"/>
    <w:rsid w:val="00F55332"/>
    <w:rsid w:val="00F6156E"/>
    <w:rsid w:val="00F6504A"/>
    <w:rsid w:val="00F65519"/>
    <w:rsid w:val="00F66D9F"/>
    <w:rsid w:val="00F713C0"/>
    <w:rsid w:val="00F721BA"/>
    <w:rsid w:val="00F75DDC"/>
    <w:rsid w:val="00F7792F"/>
    <w:rsid w:val="00F842AA"/>
    <w:rsid w:val="00F8476F"/>
    <w:rsid w:val="00F853E1"/>
    <w:rsid w:val="00F85604"/>
    <w:rsid w:val="00F86E40"/>
    <w:rsid w:val="00F91280"/>
    <w:rsid w:val="00F93809"/>
    <w:rsid w:val="00F94B7A"/>
    <w:rsid w:val="00FA1705"/>
    <w:rsid w:val="00FA17AC"/>
    <w:rsid w:val="00FA32DE"/>
    <w:rsid w:val="00FA3382"/>
    <w:rsid w:val="00FA59CD"/>
    <w:rsid w:val="00FB0CDC"/>
    <w:rsid w:val="00FB1740"/>
    <w:rsid w:val="00FB4235"/>
    <w:rsid w:val="00FC1629"/>
    <w:rsid w:val="00FC4446"/>
    <w:rsid w:val="00FC5469"/>
    <w:rsid w:val="00FC6D7D"/>
    <w:rsid w:val="00FD16B0"/>
    <w:rsid w:val="00FD360C"/>
    <w:rsid w:val="00FD4FED"/>
    <w:rsid w:val="00FE00C8"/>
    <w:rsid w:val="00FE0577"/>
    <w:rsid w:val="00FE2FF8"/>
    <w:rsid w:val="00FE4318"/>
    <w:rsid w:val="00FE59EC"/>
    <w:rsid w:val="00FE5B67"/>
    <w:rsid w:val="00FE60D6"/>
    <w:rsid w:val="00FF316C"/>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14:docId w14:val="462965E2"/>
  <w15:docId w15:val="{6A57F0F4-F2F2-4ADC-96AA-6042D11DA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uiPriority w:val="9"/>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uiPriority w:val="9"/>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rsid w:val="00CE76A5"/>
    <w:pPr>
      <w:tabs>
        <w:tab w:val="left" w:pos="864"/>
        <w:tab w:val="right" w:leader="dot" w:pos="9360"/>
      </w:tabs>
      <w:spacing w:line="360" w:lineRule="auto"/>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nhideWhenUsed/>
    <w:rsid w:val="00CB7DB5"/>
    <w:rPr>
      <w:vertAlign w:val="superscript"/>
    </w:rPr>
  </w:style>
  <w:style w:type="character" w:customStyle="1" w:styleId="FootnoteTextChar">
    <w:name w:val="Footnote Text Char"/>
    <w:basedOn w:val="DefaultParagraphFont"/>
    <w:link w:val="FootnoteText"/>
    <w:uiPriority w:val="99"/>
    <w:rsid w:val="00CB7DB5"/>
  </w:style>
  <w:style w:type="character" w:styleId="CommentReference">
    <w:name w:val="annotation reference"/>
    <w:basedOn w:val="DefaultParagraphFont"/>
    <w:semiHidden/>
    <w:unhideWhenUsed/>
    <w:rsid w:val="002926D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emf"/><Relationship Id="rId26" Type="http://schemas.openxmlformats.org/officeDocument/2006/relationships/image" Target="media/image5.emf"/><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33" Type="http://schemas.openxmlformats.org/officeDocument/2006/relationships/header" Target="header15.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3.emf"/><Relationship Id="rId29"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4.emf"/><Relationship Id="rId32" Type="http://schemas.openxmlformats.org/officeDocument/2006/relationships/header" Target="header14.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2.xml"/><Relationship Id="rId36" Type="http://schemas.openxmlformats.org/officeDocument/2006/relationships/header" Target="header17.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header" Target="header13.xml"/><Relationship Id="rId35" Type="http://schemas.openxmlformats.org/officeDocument/2006/relationships/image" Target="media/image8.emf"/></Relationships>
</file>

<file path=word/_rels/footnotes.xml.rels><?xml version="1.0" encoding="UTF-8" standalone="yes"?>
<Relationships xmlns="http://schemas.openxmlformats.org/package/2006/relationships"><Relationship Id="rId2" Type="http://schemas.openxmlformats.org/officeDocument/2006/relationships/hyperlink" Target="https://www.census.gov/quickfacts/fact/table/lakelandcityflorida/pst045224" TargetMode="External"/><Relationship Id="rId1" Type="http://schemas.openxmlformats.org/officeDocument/2006/relationships/hyperlink" Target="https://www.irs.gov/newsroom/irs-increases-the-standard-mileage-rate-for-business-use-in-2025-key-rate-increases-3-cents-to-70-cents-per-mi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EC233-424F-4DA7-83B1-F3826A837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60</Pages>
  <Words>19050</Words>
  <Characters>108588</Characters>
  <Application>Microsoft Office Word</Application>
  <DocSecurity>0</DocSecurity>
  <Lines>904</Lines>
  <Paragraphs>254</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127384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Danielle Adams</dc:creator>
  <cp:lastModifiedBy>Adam Teitzman</cp:lastModifiedBy>
  <cp:revision>3</cp:revision>
  <cp:lastPrinted>2026-01-21T21:37:00Z</cp:lastPrinted>
  <dcterms:created xsi:type="dcterms:W3CDTF">2026-01-22T14:14:00Z</dcterms:created>
  <dcterms:modified xsi:type="dcterms:W3CDTF">2026-01-22T15:26:00Z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20250023-WS</vt:lpwstr>
  </property>
  <property fmtid="{D5CDD505-2E9C-101B-9397-08002B2CF9AE}" pid="3" name="MasterDocument">
    <vt:bool>false</vt:bool>
  </property>
</Properties>
</file>