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78EFBBC7"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10C57E46" w14:textId="77777777" w:rsidR="007C0528" w:rsidRDefault="007C0528" w:rsidP="00532DFB">
            <w:pPr>
              <w:pStyle w:val="MastHeadState"/>
            </w:pPr>
            <w:bookmarkStart w:id="0" w:name="_GoBack"/>
            <w:bookmarkEnd w:id="0"/>
            <w:r>
              <w:t>State of Florida</w:t>
            </w:r>
          </w:p>
          <w:p w14:paraId="038A05BF" w14:textId="77777777" w:rsidR="007C0528" w:rsidRDefault="00072CCA">
            <w:pPr>
              <w:jc w:val="center"/>
            </w:pPr>
            <w:r>
              <w:rPr>
                <w:noProof/>
              </w:rPr>
              <w:drawing>
                <wp:inline distT="0" distB="0" distL="0" distR="0" wp14:anchorId="4F8CAF13" wp14:editId="63253E52">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610B1A58"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01FE9763" w14:textId="77777777" w:rsidR="007C0528" w:rsidRDefault="007C0528">
            <w:pPr>
              <w:pStyle w:val="MastHeadPSC"/>
            </w:pPr>
            <w:r>
              <w:t>Public Service Commission</w:t>
            </w:r>
          </w:p>
          <w:p w14:paraId="1F025648" w14:textId="77777777" w:rsidR="007C0528" w:rsidRDefault="007C0528">
            <w:pPr>
              <w:pStyle w:val="MastHeadAddress"/>
            </w:pPr>
            <w:r>
              <w:t>Capital Circle Office Center ● 2540 Shumard Oak Boulevard</w:t>
            </w:r>
            <w:r>
              <w:br/>
              <w:t>Tallahassee, Florida 32399-0850</w:t>
            </w:r>
          </w:p>
          <w:p w14:paraId="37B4CD2B" w14:textId="77777777" w:rsidR="007C0528" w:rsidRDefault="007C0528">
            <w:pPr>
              <w:pStyle w:val="MastHeadMemorandum"/>
            </w:pPr>
            <w:r>
              <w:t>-M-E-M-O-R-A-N-D-U-M-</w:t>
            </w:r>
          </w:p>
          <w:p w14:paraId="2E2FC044" w14:textId="77777777" w:rsidR="007C0528" w:rsidRDefault="007C0528">
            <w:pPr>
              <w:pStyle w:val="MemoHeading"/>
            </w:pPr>
          </w:p>
        </w:tc>
      </w:tr>
      <w:tr w:rsidR="007C0528" w14:paraId="73F2F03D"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2003C1A6"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4B28B6A0" w14:textId="77777777" w:rsidR="007C0528" w:rsidRDefault="00F27C4E">
            <w:pPr>
              <w:pStyle w:val="MemoHeading"/>
            </w:pPr>
            <w:bookmarkStart w:id="1" w:name="FilingDate"/>
            <w:r>
              <w:t>February 19, 2026</w:t>
            </w:r>
            <w:bookmarkEnd w:id="1"/>
          </w:p>
        </w:tc>
      </w:tr>
      <w:tr w:rsidR="007C0528" w14:paraId="1DB198A2" w14:textId="77777777">
        <w:tc>
          <w:tcPr>
            <w:tcW w:w="1254" w:type="dxa"/>
            <w:tcBorders>
              <w:top w:val="nil"/>
              <w:left w:val="nil"/>
              <w:bottom w:val="nil"/>
              <w:right w:val="nil"/>
            </w:tcBorders>
            <w:shd w:val="clear" w:color="auto" w:fill="auto"/>
            <w:tcMar>
              <w:top w:w="288" w:type="dxa"/>
              <w:bottom w:w="0" w:type="dxa"/>
              <w:right w:w="0" w:type="dxa"/>
            </w:tcMar>
          </w:tcPr>
          <w:p w14:paraId="49F74560"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2E2D5F66" w14:textId="77777777" w:rsidR="007C0528" w:rsidRDefault="007C0528" w:rsidP="0093658B">
            <w:pPr>
              <w:pStyle w:val="MemoHeading"/>
            </w:pPr>
            <w:r>
              <w:t>Office of Commission Clerk (</w:t>
            </w:r>
            <w:r w:rsidR="004E69B5">
              <w:t>Teitzman</w:t>
            </w:r>
            <w:r>
              <w:t>)</w:t>
            </w:r>
          </w:p>
        </w:tc>
      </w:tr>
      <w:tr w:rsidR="007C0528" w14:paraId="6A06F957" w14:textId="77777777">
        <w:tc>
          <w:tcPr>
            <w:tcW w:w="1254" w:type="dxa"/>
            <w:tcBorders>
              <w:top w:val="nil"/>
              <w:left w:val="nil"/>
              <w:bottom w:val="nil"/>
              <w:right w:val="nil"/>
            </w:tcBorders>
            <w:shd w:val="clear" w:color="auto" w:fill="auto"/>
            <w:tcMar>
              <w:top w:w="288" w:type="dxa"/>
              <w:right w:w="0" w:type="dxa"/>
            </w:tcMar>
          </w:tcPr>
          <w:p w14:paraId="41394AC1"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4DF5A807" w14:textId="77777777" w:rsidR="00F27C4E" w:rsidRDefault="00F27C4E">
            <w:pPr>
              <w:pStyle w:val="MemoHeading"/>
            </w:pPr>
            <w:bookmarkStart w:id="2" w:name="From"/>
            <w:r>
              <w:t>Office of Industry Development and Market Analysis (Day, Deas, Fogleman, Mallow)</w:t>
            </w:r>
          </w:p>
          <w:p w14:paraId="643BED2E" w14:textId="77777777" w:rsidR="007C0528" w:rsidRDefault="00F27C4E">
            <w:pPr>
              <w:pStyle w:val="MemoHeading"/>
            </w:pPr>
            <w:r>
              <w:t>Office of the General Counsel (Farooqi, Stiller)</w:t>
            </w:r>
            <w:bookmarkEnd w:id="2"/>
          </w:p>
        </w:tc>
      </w:tr>
      <w:tr w:rsidR="007C0528" w14:paraId="555DE4CD" w14:textId="77777777">
        <w:tc>
          <w:tcPr>
            <w:tcW w:w="1254" w:type="dxa"/>
            <w:tcBorders>
              <w:top w:val="nil"/>
              <w:left w:val="nil"/>
              <w:bottom w:val="nil"/>
              <w:right w:val="nil"/>
            </w:tcBorders>
            <w:shd w:val="clear" w:color="auto" w:fill="auto"/>
            <w:tcMar>
              <w:top w:w="288" w:type="dxa"/>
              <w:right w:w="0" w:type="dxa"/>
            </w:tcMar>
          </w:tcPr>
          <w:p w14:paraId="28987392"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7B967044" w14:textId="6DCEA0C7" w:rsidR="007C0528" w:rsidRDefault="00F27C4E" w:rsidP="009E529E">
            <w:pPr>
              <w:pStyle w:val="MemoHeadingRe"/>
            </w:pPr>
            <w:bookmarkStart w:id="3" w:name="Re"/>
            <w:r>
              <w:t>Docket No. 20250138-TP – Petition for designation as a facilities based wireless eligible telecommunications carrier (ETC) in the State of Florida, by LTE Wireless Inc.</w:t>
            </w:r>
            <w:bookmarkEnd w:id="3"/>
          </w:p>
        </w:tc>
      </w:tr>
      <w:tr w:rsidR="007C0528" w14:paraId="31B69491" w14:textId="77777777">
        <w:tc>
          <w:tcPr>
            <w:tcW w:w="1254" w:type="dxa"/>
            <w:tcBorders>
              <w:top w:val="nil"/>
              <w:left w:val="nil"/>
              <w:bottom w:val="nil"/>
              <w:right w:val="nil"/>
            </w:tcBorders>
            <w:shd w:val="clear" w:color="auto" w:fill="auto"/>
            <w:tcMar>
              <w:top w:w="288" w:type="dxa"/>
              <w:bottom w:w="0" w:type="dxa"/>
              <w:right w:w="0" w:type="dxa"/>
            </w:tcMar>
          </w:tcPr>
          <w:p w14:paraId="0E1F6F4E"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66FDCD37" w14:textId="77777777" w:rsidR="007C0528" w:rsidRDefault="00F27C4E">
            <w:pPr>
              <w:pStyle w:val="MemoHeading"/>
            </w:pPr>
            <w:bookmarkStart w:id="4" w:name="AgendaDate"/>
            <w:r>
              <w:t>03/03/26</w:t>
            </w:r>
            <w:bookmarkEnd w:id="4"/>
            <w:r w:rsidR="007C0528">
              <w:t xml:space="preserve"> – </w:t>
            </w:r>
            <w:bookmarkStart w:id="5" w:name="PermittedStatus"/>
            <w:r>
              <w:t>Regular Agenda – Proposed Agency Action – Interested Persons May Participate</w:t>
            </w:r>
            <w:bookmarkEnd w:id="5"/>
          </w:p>
        </w:tc>
      </w:tr>
      <w:tr w:rsidR="007C0528" w14:paraId="49DFC9D7" w14:textId="77777777">
        <w:tc>
          <w:tcPr>
            <w:tcW w:w="3690" w:type="dxa"/>
            <w:gridSpan w:val="3"/>
            <w:tcBorders>
              <w:top w:val="nil"/>
              <w:left w:val="nil"/>
              <w:bottom w:val="nil"/>
              <w:right w:val="nil"/>
            </w:tcBorders>
            <w:shd w:val="clear" w:color="auto" w:fill="auto"/>
            <w:tcMar>
              <w:top w:w="288" w:type="dxa"/>
              <w:bottom w:w="0" w:type="dxa"/>
              <w:right w:w="0" w:type="dxa"/>
            </w:tcMar>
          </w:tcPr>
          <w:p w14:paraId="446E537F"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5785FA4A" w14:textId="77777777" w:rsidR="007C0528" w:rsidRDefault="00F27C4E">
            <w:pPr>
              <w:pStyle w:val="MemoHeading"/>
            </w:pPr>
            <w:bookmarkStart w:id="6" w:name="CommissionersAssigned"/>
            <w:r>
              <w:t>All Commissioners</w:t>
            </w:r>
            <w:bookmarkEnd w:id="6"/>
          </w:p>
        </w:tc>
      </w:tr>
      <w:tr w:rsidR="007C0528" w14:paraId="7B795479" w14:textId="77777777">
        <w:tc>
          <w:tcPr>
            <w:tcW w:w="3690" w:type="dxa"/>
            <w:gridSpan w:val="3"/>
            <w:tcBorders>
              <w:top w:val="nil"/>
              <w:left w:val="nil"/>
              <w:bottom w:val="nil"/>
              <w:right w:val="nil"/>
            </w:tcBorders>
            <w:shd w:val="clear" w:color="auto" w:fill="auto"/>
            <w:tcMar>
              <w:top w:w="288" w:type="dxa"/>
              <w:bottom w:w="0" w:type="dxa"/>
              <w:right w:w="0" w:type="dxa"/>
            </w:tcMar>
          </w:tcPr>
          <w:p w14:paraId="294F1898"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5A6F50BD" w14:textId="77777777" w:rsidR="007C0528" w:rsidRDefault="00F27C4E">
            <w:pPr>
              <w:pStyle w:val="MemoHeading"/>
            </w:pPr>
            <w:bookmarkStart w:id="7" w:name="PrehearingOfficer"/>
            <w:r>
              <w:t>Clark</w:t>
            </w:r>
            <w:bookmarkEnd w:id="7"/>
          </w:p>
        </w:tc>
      </w:tr>
      <w:tr w:rsidR="007C0528" w14:paraId="73B96ACD"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78AAA2C9"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4533EA89" w14:textId="77777777" w:rsidR="007C0528" w:rsidRDefault="00F27C4E">
            <w:pPr>
              <w:pStyle w:val="MemoHeading"/>
            </w:pPr>
            <w:bookmarkStart w:id="9" w:name="CriticalDates"/>
            <w:r>
              <w:t>None</w:t>
            </w:r>
            <w:bookmarkEnd w:id="9"/>
          </w:p>
        </w:tc>
      </w:tr>
      <w:tr w:rsidR="007C0528" w14:paraId="14D5E0DB"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2B431CEE"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48B9A403" w14:textId="77777777" w:rsidR="007C0528" w:rsidRDefault="00F27C4E">
            <w:pPr>
              <w:pStyle w:val="MemoHeading"/>
            </w:pPr>
            <w:bookmarkStart w:id="10" w:name="SpecialInstructions"/>
            <w:r>
              <w:t>None</w:t>
            </w:r>
            <w:bookmarkEnd w:id="10"/>
          </w:p>
        </w:tc>
      </w:tr>
    </w:tbl>
    <w:p w14:paraId="6C1FFC42" w14:textId="77777777" w:rsidR="007C0528" w:rsidRDefault="007C0528">
      <w:pPr>
        <w:pStyle w:val="BodyText"/>
      </w:pPr>
    </w:p>
    <w:p w14:paraId="221D73DA"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0E8FDBA3" w14:textId="056A4100" w:rsidR="00F27C4E" w:rsidRDefault="00F27C4E" w:rsidP="00412F61">
      <w:pPr>
        <w:autoSpaceDE w:val="0"/>
        <w:autoSpaceDN w:val="0"/>
        <w:adjustRightInd w:val="0"/>
        <w:spacing w:after="240"/>
        <w:jc w:val="both"/>
      </w:pPr>
      <w:r w:rsidRPr="0051787C">
        <w:t>On November 17, 2025, LTE Wireless Inc. (LTE Wireless) filed a petition with the Florida Public Service Commission (Commission or FPSC) seeking designation as a facilities-based</w:t>
      </w:r>
      <w:r>
        <w:t xml:space="preserve"> </w:t>
      </w:r>
      <w:r w:rsidRPr="0051787C">
        <w:t xml:space="preserve">wireless </w:t>
      </w:r>
      <w:r w:rsidR="0089219F">
        <w:t>e</w:t>
      </w:r>
      <w:r w:rsidRPr="0051787C">
        <w:t xml:space="preserve">ligible </w:t>
      </w:r>
      <w:r w:rsidR="0089219F">
        <w:t>t</w:t>
      </w:r>
      <w:r w:rsidRPr="0051787C">
        <w:t xml:space="preserve">elecommunications </w:t>
      </w:r>
      <w:r w:rsidR="0089219F">
        <w:t>c</w:t>
      </w:r>
      <w:r w:rsidRPr="0051787C">
        <w:t>arrier (ETC). Th</w:t>
      </w:r>
      <w:r>
        <w:t>is</w:t>
      </w:r>
      <w:r w:rsidRPr="0051787C">
        <w:t xml:space="preserve"> designation is sought for the purpose of receiving federal low-income support to provide Lifeline services on a statewide basis. LTE Wireless is a South Dakota corporation</w:t>
      </w:r>
      <w:r w:rsidR="00A76399">
        <w:t>,</w:t>
      </w:r>
      <w:r w:rsidRPr="0051787C">
        <w:t xml:space="preserve"> </w:t>
      </w:r>
      <w:r w:rsidR="00504124">
        <w:t>registered to do business in Florida as a foreign corporation</w:t>
      </w:r>
      <w:r w:rsidR="00A5107A">
        <w:t xml:space="preserve">, with </w:t>
      </w:r>
      <w:r w:rsidRPr="0051787C">
        <w:t>principal offices</w:t>
      </w:r>
      <w:r w:rsidR="0019167B">
        <w:t xml:space="preserve"> in New York</w:t>
      </w:r>
      <w:r w:rsidR="00ED2CEC">
        <w:t xml:space="preserve">. </w:t>
      </w:r>
    </w:p>
    <w:p w14:paraId="2DA6E204" w14:textId="1F32EE61" w:rsidR="00042AAA" w:rsidRDefault="001C00A7" w:rsidP="00412F61">
      <w:pPr>
        <w:autoSpaceDE w:val="0"/>
        <w:autoSpaceDN w:val="0"/>
        <w:adjustRightInd w:val="0"/>
        <w:spacing w:after="240"/>
        <w:jc w:val="both"/>
      </w:pPr>
      <w:r w:rsidRPr="001C00A7">
        <w:t xml:space="preserve">LTE Wireless represents itself as both a mobile virtual network operator (MVNO) and </w:t>
      </w:r>
      <w:r w:rsidR="00D557F3">
        <w:t xml:space="preserve">a </w:t>
      </w:r>
      <w:r w:rsidRPr="001C00A7">
        <w:t xml:space="preserve">facilities-based provider. The company </w:t>
      </w:r>
      <w:r w:rsidR="00FA1E29">
        <w:t>contends</w:t>
      </w:r>
      <w:r w:rsidR="00FA1E29" w:rsidRPr="001C00A7">
        <w:t xml:space="preserve"> </w:t>
      </w:r>
      <w:r w:rsidRPr="001C00A7">
        <w:t xml:space="preserve">it obtains wireless network access as an approved MVNO of T-Mobile, pursuant to a reseller agreement with Prepaid Wireless Group </w:t>
      </w:r>
      <w:r w:rsidRPr="001C00A7">
        <w:lastRenderedPageBreak/>
        <w:t xml:space="preserve">(PWG), a Mobile Virtual Network Aggregator. PWG furnishes integrated communications solutions, including MVNO enablement, carrier access aggregation, and voice, text, and data services. LTE asserts it also provides retail broadband Internet access to end users utilizing T-Mobile’s network. </w:t>
      </w:r>
      <w:r w:rsidR="00AF7136" w:rsidRPr="005662D7">
        <w:t xml:space="preserve">The </w:t>
      </w:r>
      <w:r w:rsidR="00EE056F">
        <w:t>Federal Communications Commission (</w:t>
      </w:r>
      <w:r w:rsidR="00AF7136" w:rsidRPr="005662D7">
        <w:t>FCC</w:t>
      </w:r>
      <w:r w:rsidR="00EE056F">
        <w:t>)</w:t>
      </w:r>
      <w:r w:rsidR="00AF7136" w:rsidRPr="005662D7">
        <w:t xml:space="preserve"> defines MVNOs as providers that resell mobile wireless services purchased wholesale from facilities-based service providers.</w:t>
      </w:r>
      <w:r w:rsidR="00AF7136">
        <w:rPr>
          <w:rStyle w:val="FootnoteReference"/>
        </w:rPr>
        <w:footnoteReference w:id="1"/>
      </w:r>
      <w:r w:rsidR="00AF7136">
        <w:t xml:space="preserve"> </w:t>
      </w:r>
    </w:p>
    <w:p w14:paraId="04089F56" w14:textId="41A1748F" w:rsidR="003F64D8" w:rsidRDefault="00633C7B" w:rsidP="00412F61">
      <w:pPr>
        <w:autoSpaceDE w:val="0"/>
        <w:autoSpaceDN w:val="0"/>
        <w:adjustRightInd w:val="0"/>
        <w:spacing w:after="240"/>
        <w:jc w:val="both"/>
      </w:pPr>
      <w:r>
        <w:t xml:space="preserve">LTE Wireless asserts that </w:t>
      </w:r>
      <w:r w:rsidR="009B31EA">
        <w:t xml:space="preserve">it qualifies as a facilities-based provider based on its ownership of two switches. LTE Wireless states that </w:t>
      </w:r>
      <w:r w:rsidR="00F27C4E" w:rsidRPr="001A4D28">
        <w:t>it provides commercial mobile radio service (CMRS) and prepaid wireless telecommunications services</w:t>
      </w:r>
      <w:r w:rsidR="00A5074C">
        <w:t xml:space="preserve"> through a combination of resold services and </w:t>
      </w:r>
      <w:r w:rsidR="00A5074C" w:rsidRPr="001A4D28">
        <w:t>its own facilities</w:t>
      </w:r>
      <w:r w:rsidR="00F27C4E" w:rsidRPr="001A4D28">
        <w:t>. LTE Wireless currently offers</w:t>
      </w:r>
      <w:r w:rsidR="00FE57D1">
        <w:t xml:space="preserve"> </w:t>
      </w:r>
      <w:r w:rsidR="00F27C4E" w:rsidRPr="001A4D28">
        <w:t xml:space="preserve">prepaid wireless service in Oregon, South Dakota, and New York, but does not yet provide service in Florida. LTE Wireless further </w:t>
      </w:r>
      <w:r w:rsidR="009B31EA">
        <w:t>represents</w:t>
      </w:r>
      <w:r w:rsidR="009B31EA" w:rsidRPr="001A4D28">
        <w:t xml:space="preserve"> </w:t>
      </w:r>
      <w:r w:rsidR="00F27C4E" w:rsidRPr="001A4D28">
        <w:t>that it was formerly a nationwide participant in the Affordable Connectivity Program (ACP)</w:t>
      </w:r>
      <w:r w:rsidR="00F27C4E">
        <w:t>.</w:t>
      </w:r>
      <w:r w:rsidR="00F27C4E">
        <w:rPr>
          <w:rStyle w:val="FootnoteReference"/>
        </w:rPr>
        <w:footnoteReference w:id="2"/>
      </w:r>
      <w:r w:rsidR="00F27C4E" w:rsidRPr="001A4D28">
        <w:t xml:space="preserve"> LTE Wireless is independently owned, with Mr. Faizel Hassad serving as</w:t>
      </w:r>
      <w:r w:rsidR="00586985">
        <w:t xml:space="preserve"> its</w:t>
      </w:r>
      <w:r w:rsidR="00F27C4E" w:rsidRPr="001A4D28">
        <w:t xml:space="preserve"> CEO</w:t>
      </w:r>
      <w:r w:rsidR="00586985">
        <w:t xml:space="preserve"> and </w:t>
      </w:r>
      <w:r w:rsidR="00F27C4E" w:rsidRPr="001A4D28">
        <w:t>Manager.</w:t>
      </w:r>
      <w:r w:rsidR="009B31EA">
        <w:t xml:space="preserve"> </w:t>
      </w:r>
      <w:r w:rsidR="0019167B" w:rsidRPr="0019167B">
        <w:t>As a CMRS provider, LTE Wireless is regulated as a common carrier</w:t>
      </w:r>
      <w:r w:rsidR="0019167B">
        <w:t xml:space="preserve"> </w:t>
      </w:r>
      <w:r w:rsidR="0019167B" w:rsidRPr="0019167B">
        <w:t>pursuant to 47 U.S.C. § 153(11)</w:t>
      </w:r>
      <w:r w:rsidR="0019167B">
        <w:t>.</w:t>
      </w:r>
      <w:r w:rsidR="0019167B">
        <w:rPr>
          <w:rStyle w:val="FootnoteReference"/>
        </w:rPr>
        <w:footnoteReference w:id="3"/>
      </w:r>
    </w:p>
    <w:p w14:paraId="60A58E6E" w14:textId="7B55ACBF" w:rsidR="00F27C4E" w:rsidRDefault="001C00A7" w:rsidP="004772C5">
      <w:pPr>
        <w:autoSpaceDE w:val="0"/>
        <w:autoSpaceDN w:val="0"/>
        <w:adjustRightInd w:val="0"/>
        <w:spacing w:after="240"/>
        <w:jc w:val="both"/>
      </w:pPr>
      <w:r w:rsidRPr="001C00A7">
        <w:t>LTE Wireless state</w:t>
      </w:r>
      <w:r w:rsidR="00D557F3">
        <w:t>s</w:t>
      </w:r>
      <w:r w:rsidRPr="001C00A7">
        <w:t xml:space="preserve"> that it was recently granted ETC designation in Missouri and Minnesota, and assert</w:t>
      </w:r>
      <w:r w:rsidR="00D557F3">
        <w:t>s</w:t>
      </w:r>
      <w:r w:rsidRPr="001C00A7">
        <w:t xml:space="preserve"> that it ha</w:t>
      </w:r>
      <w:r w:rsidR="00D557F3">
        <w:t>s</w:t>
      </w:r>
      <w:r w:rsidRPr="001C00A7">
        <w:t xml:space="preserve"> never been denied ETC designation. LTE Wireless also disclosed it withdr</w:t>
      </w:r>
      <w:r w:rsidR="00D557F3">
        <w:t>ew</w:t>
      </w:r>
      <w:r w:rsidRPr="001C00A7">
        <w:t xml:space="preserve"> its ETC petitions in Washington, Utah, Iowa, and New Mex</w:t>
      </w:r>
      <w:r>
        <w:t>ico.</w:t>
      </w:r>
      <w:r>
        <w:rPr>
          <w:rStyle w:val="FootnoteReference"/>
        </w:rPr>
        <w:footnoteReference w:id="4"/>
      </w:r>
      <w:r>
        <w:t xml:space="preserve"> </w:t>
      </w:r>
      <w:r w:rsidR="003F64D8">
        <w:t xml:space="preserve">Upon </w:t>
      </w:r>
      <w:r w:rsidR="00A5074C">
        <w:t xml:space="preserve">independent </w:t>
      </w:r>
      <w:r w:rsidR="003F64D8">
        <w:t xml:space="preserve">review, </w:t>
      </w:r>
      <w:r w:rsidR="003835EC">
        <w:t>s</w:t>
      </w:r>
      <w:r w:rsidR="003F64D8">
        <w:t xml:space="preserve">taff </w:t>
      </w:r>
      <w:r w:rsidR="00915EEE">
        <w:t>discovered</w:t>
      </w:r>
      <w:r w:rsidR="003F64D8">
        <w:t xml:space="preserve"> that LTE Wireless </w:t>
      </w:r>
      <w:r w:rsidR="006B228A">
        <w:t xml:space="preserve">had not disclosed that it </w:t>
      </w:r>
      <w:r w:rsidR="003F64D8">
        <w:t xml:space="preserve">also </w:t>
      </w:r>
      <w:r w:rsidR="00D557F3">
        <w:t xml:space="preserve">withdrew </w:t>
      </w:r>
      <w:r w:rsidR="003F64D8">
        <w:t>its ETC petition in New York on February 3, 2025. LTE Wireless submitted a letter to the New York Department of Public Service in</w:t>
      </w:r>
      <w:r w:rsidR="0036418E">
        <w:t xml:space="preserve"> connection with th</w:t>
      </w:r>
      <w:r w:rsidR="006B228A">
        <w:t>at</w:t>
      </w:r>
      <w:r w:rsidR="0036418E">
        <w:t xml:space="preserve"> withdrawal stating </w:t>
      </w:r>
      <w:r w:rsidR="003F64D8">
        <w:t>it would reapply once it had an FCC compliance plan.</w:t>
      </w:r>
      <w:r w:rsidR="0036418E">
        <w:rPr>
          <w:rStyle w:val="FootnoteReference"/>
        </w:rPr>
        <w:footnoteReference w:id="5"/>
      </w:r>
      <w:r w:rsidR="0036418E">
        <w:t xml:space="preserve"> </w:t>
      </w:r>
      <w:r w:rsidR="005312D3">
        <w:t>However</w:t>
      </w:r>
      <w:r w:rsidR="001459C5" w:rsidRPr="001459C5">
        <w:t>,</w:t>
      </w:r>
      <w:r w:rsidR="00B45237" w:rsidRPr="001459C5" w:rsidDel="00B45237">
        <w:t xml:space="preserve"> </w:t>
      </w:r>
      <w:r w:rsidR="00B45237">
        <w:t>a year later</w:t>
      </w:r>
      <w:r w:rsidR="006B228A">
        <w:t xml:space="preserve">, </w:t>
      </w:r>
      <w:r w:rsidR="001459C5" w:rsidRPr="001459C5">
        <w:t xml:space="preserve">LTE Wireless </w:t>
      </w:r>
      <w:r w:rsidR="006B228A">
        <w:t>had filed a separate application</w:t>
      </w:r>
      <w:r w:rsidR="001459C5" w:rsidRPr="001459C5">
        <w:t xml:space="preserve"> for ETC designation in New York </w:t>
      </w:r>
      <w:r w:rsidR="0058061D">
        <w:t>without an FCC compliance plan,</w:t>
      </w:r>
      <w:r w:rsidR="001459C5" w:rsidRPr="001459C5">
        <w:t xml:space="preserve"> assert</w:t>
      </w:r>
      <w:r w:rsidR="0058061D">
        <w:t>ing</w:t>
      </w:r>
      <w:r w:rsidR="001459C5" w:rsidRPr="001459C5">
        <w:t xml:space="preserve"> that it is </w:t>
      </w:r>
      <w:r w:rsidR="00F725E0">
        <w:t xml:space="preserve">both </w:t>
      </w:r>
      <w:r w:rsidR="001459C5" w:rsidRPr="001459C5">
        <w:t>a facilities-based CLEC and a</w:t>
      </w:r>
      <w:r w:rsidR="006F24AB">
        <w:t xml:space="preserve">n </w:t>
      </w:r>
      <w:r w:rsidR="001459C5" w:rsidRPr="001459C5">
        <w:t>MVNO</w:t>
      </w:r>
      <w:r w:rsidR="0072279F">
        <w:t>.</w:t>
      </w:r>
      <w:r w:rsidR="001459C5">
        <w:rPr>
          <w:rStyle w:val="FootnoteReference"/>
        </w:rPr>
        <w:footnoteReference w:id="6"/>
      </w:r>
    </w:p>
    <w:p w14:paraId="0467E9A4" w14:textId="181449D8" w:rsidR="006A35A9" w:rsidRDefault="005718DD" w:rsidP="004772C5">
      <w:pPr>
        <w:autoSpaceDE w:val="0"/>
        <w:autoSpaceDN w:val="0"/>
        <w:adjustRightInd w:val="0"/>
        <w:spacing w:after="240"/>
        <w:jc w:val="both"/>
      </w:pPr>
      <w:r w:rsidRPr="005718DD">
        <w:t xml:space="preserve">In </w:t>
      </w:r>
      <w:r w:rsidR="009E41BB" w:rsidRPr="005718DD">
        <w:t>a</w:t>
      </w:r>
      <w:r w:rsidRPr="005718DD">
        <w:t xml:space="preserve"> </w:t>
      </w:r>
      <w:r w:rsidR="0058061D">
        <w:t>related</w:t>
      </w:r>
      <w:r w:rsidR="0058061D" w:rsidRPr="005718DD">
        <w:t xml:space="preserve"> </w:t>
      </w:r>
      <w:r w:rsidRPr="005718DD">
        <w:t>docket, PWG</w:t>
      </w:r>
      <w:r w:rsidR="0065040F">
        <w:t xml:space="preserve"> </w:t>
      </w:r>
      <w:r w:rsidR="00D557F3">
        <w:t>—</w:t>
      </w:r>
      <w:r w:rsidR="0065040F">
        <w:t xml:space="preserve"> </w:t>
      </w:r>
      <w:r w:rsidR="00EC457A">
        <w:t>which provides</w:t>
      </w:r>
      <w:r w:rsidRPr="005718DD">
        <w:t xml:space="preserve"> </w:t>
      </w:r>
      <w:r w:rsidR="00EC457A" w:rsidRPr="00EC457A">
        <w:t>integrated communications solutions</w:t>
      </w:r>
      <w:r w:rsidR="00EC457A">
        <w:t xml:space="preserve"> for LTE Wireless</w:t>
      </w:r>
      <w:r w:rsidR="0065040F">
        <w:t xml:space="preserve"> </w:t>
      </w:r>
      <w:r w:rsidR="00D557F3">
        <w:t>—</w:t>
      </w:r>
      <w:r w:rsidR="0065040F">
        <w:t xml:space="preserve"> </w:t>
      </w:r>
      <w:r w:rsidRPr="005718DD">
        <w:t xml:space="preserve">filed </w:t>
      </w:r>
      <w:r w:rsidR="0058061D">
        <w:t xml:space="preserve">a </w:t>
      </w:r>
      <w:r w:rsidRPr="005718DD">
        <w:t>petition for ETC designation in Florida.</w:t>
      </w:r>
      <w:r w:rsidR="0058061D">
        <w:rPr>
          <w:rStyle w:val="FootnoteReference"/>
        </w:rPr>
        <w:footnoteReference w:id="7"/>
      </w:r>
      <w:r w:rsidRPr="005718DD">
        <w:t xml:space="preserve"> PWG claimed it satisfied the facilities-based </w:t>
      </w:r>
      <w:r w:rsidR="00F43EB1">
        <w:t>requirements</w:t>
      </w:r>
      <w:r w:rsidR="00D557F3">
        <w:t>.</w:t>
      </w:r>
      <w:r w:rsidR="00F43EB1">
        <w:t xml:space="preserve"> </w:t>
      </w:r>
      <w:r w:rsidR="00D557F3">
        <w:t>H</w:t>
      </w:r>
      <w:r w:rsidR="00F43EB1">
        <w:t>owever,</w:t>
      </w:r>
      <w:r w:rsidRPr="005718DD">
        <w:t xml:space="preserve"> </w:t>
      </w:r>
      <w:r w:rsidR="00F43EB1">
        <w:t>d</w:t>
      </w:r>
      <w:r w:rsidRPr="005718DD">
        <w:t>espite repeated requests over a seven-month period, PWG failed to provide sufficient information regarding its facilities.</w:t>
      </w:r>
      <w:r w:rsidR="00F43EB1">
        <w:rPr>
          <w:rStyle w:val="FootnoteReference"/>
        </w:rPr>
        <w:footnoteReference w:id="8"/>
      </w:r>
      <w:r w:rsidRPr="005718DD">
        <w:t xml:space="preserve"> Staff </w:t>
      </w:r>
      <w:r w:rsidR="0058061D">
        <w:t xml:space="preserve">filed its </w:t>
      </w:r>
      <w:r w:rsidR="0058061D">
        <w:lastRenderedPageBreak/>
        <w:t>recommendation to</w:t>
      </w:r>
      <w:r w:rsidR="0058061D" w:rsidRPr="005718DD">
        <w:t xml:space="preserve"> </w:t>
      </w:r>
      <w:r w:rsidRPr="005718DD">
        <w:t>den</w:t>
      </w:r>
      <w:r w:rsidR="0058061D">
        <w:t>y</w:t>
      </w:r>
      <w:r w:rsidRPr="005718DD">
        <w:t xml:space="preserve"> </w:t>
      </w:r>
      <w:r w:rsidR="00DC16EE">
        <w:t xml:space="preserve">PWG’s </w:t>
      </w:r>
      <w:r w:rsidRPr="005718DD">
        <w:t>petition on December 20, 2024</w:t>
      </w:r>
      <w:r w:rsidR="00DC16EE">
        <w:t>,</w:t>
      </w:r>
      <w:r w:rsidR="0058061D">
        <w:t xml:space="preserve"> after which</w:t>
      </w:r>
      <w:r w:rsidRPr="005718DD">
        <w:t xml:space="preserve"> PWG withdrew the petition.</w:t>
      </w:r>
      <w:r w:rsidR="00F27C4E">
        <w:rPr>
          <w:rStyle w:val="FootnoteReference"/>
        </w:rPr>
        <w:footnoteReference w:id="9"/>
      </w:r>
    </w:p>
    <w:p w14:paraId="08B2F832" w14:textId="4355E1C6" w:rsidR="009179C9" w:rsidRPr="009179C9" w:rsidRDefault="006E7B1A" w:rsidP="004772C5">
      <w:pPr>
        <w:spacing w:before="100" w:beforeAutospacing="1" w:after="240"/>
        <w:jc w:val="both"/>
      </w:pPr>
      <w:r w:rsidRPr="006E7B1A">
        <w:t>Section 214(e)(2) of the Telecommunications Act of 1996 gives state public utility commissions the primary responsibility for designating ETCs.</w:t>
      </w:r>
      <w:r>
        <w:t xml:space="preserve"> </w:t>
      </w:r>
      <w:r w:rsidRPr="006E7B1A">
        <w:t>Section 364.10, F.S., allows the Commission to approve wireless Lifeline ETC petitions by requesting carriers.</w:t>
      </w:r>
      <w:r>
        <w:t xml:space="preserve"> </w:t>
      </w:r>
      <w:r w:rsidR="009179C9" w:rsidRPr="009179C9">
        <w:t xml:space="preserve">LTE Wireless acknowledges 47 C.F.R. § 54.201(i), which </w:t>
      </w:r>
      <w:r w:rsidR="009179C9">
        <w:t>prohibits</w:t>
      </w:r>
      <w:r w:rsidR="009179C9" w:rsidRPr="009179C9">
        <w:t xml:space="preserve"> state commission</w:t>
      </w:r>
      <w:r w:rsidR="00922D48">
        <w:t>s</w:t>
      </w:r>
      <w:r w:rsidR="009179C9" w:rsidRPr="009179C9">
        <w:t xml:space="preserve"> </w:t>
      </w:r>
      <w:r w:rsidR="009179C9">
        <w:t xml:space="preserve">from </w:t>
      </w:r>
      <w:r w:rsidR="009179C9" w:rsidRPr="009179C9">
        <w:t>designat</w:t>
      </w:r>
      <w:r w:rsidR="009179C9">
        <w:t xml:space="preserve">ing </w:t>
      </w:r>
      <w:r w:rsidR="009179C9" w:rsidRPr="009179C9">
        <w:t>carrier</w:t>
      </w:r>
      <w:r w:rsidR="009179C9">
        <w:t>s</w:t>
      </w:r>
      <w:r w:rsidR="00922D48">
        <w:t xml:space="preserve"> </w:t>
      </w:r>
      <w:r w:rsidR="00DC16EE">
        <w:t xml:space="preserve">as Lifeline only ETCs </w:t>
      </w:r>
      <w:r w:rsidR="00922D48">
        <w:t>that provide</w:t>
      </w:r>
      <w:r w:rsidR="009179C9" w:rsidRPr="009179C9">
        <w:t xml:space="preserve"> </w:t>
      </w:r>
      <w:r w:rsidR="00402A9F">
        <w:t xml:space="preserve">supported </w:t>
      </w:r>
      <w:r w:rsidR="009179C9" w:rsidRPr="009179C9">
        <w:t>s</w:t>
      </w:r>
      <w:r w:rsidR="00922D48">
        <w:t>ervices</w:t>
      </w:r>
      <w:r w:rsidR="00BB527A">
        <w:t xml:space="preserve"> exclusively through </w:t>
      </w:r>
      <w:r w:rsidR="009179C9" w:rsidRPr="009179C9">
        <w:t>resale</w:t>
      </w:r>
      <w:r w:rsidR="00DC16EE">
        <w:t xml:space="preserve"> absent an FCC approved compliance plan</w:t>
      </w:r>
      <w:r w:rsidR="009179C9" w:rsidRPr="009179C9">
        <w:t>.</w:t>
      </w:r>
      <w:r w:rsidR="009179C9">
        <w:rPr>
          <w:rStyle w:val="FootnoteReference"/>
        </w:rPr>
        <w:footnoteReference w:id="10"/>
      </w:r>
      <w:r w:rsidR="009179C9" w:rsidRPr="009179C9">
        <w:t xml:space="preserve"> LTE Wireless asserts that it </w:t>
      </w:r>
      <w:r w:rsidR="00922D48">
        <w:t>meets</w:t>
      </w:r>
      <w:r w:rsidR="009179C9" w:rsidRPr="009179C9">
        <w:t xml:space="preserve"> all requirements for designation as an ETC under 47 C.F.R. § 54.201. LTE Wireless further acknowledges and </w:t>
      </w:r>
      <w:r w:rsidR="00922D48">
        <w:t>affirms</w:t>
      </w:r>
      <w:r w:rsidR="009179C9" w:rsidRPr="009179C9">
        <w:t xml:space="preserve"> that, if approved, it will comply with Section 364.105</w:t>
      </w:r>
      <w:r w:rsidR="00922D48">
        <w:t>, Florida Statutes</w:t>
      </w:r>
      <w:r w:rsidR="00021134">
        <w:t xml:space="preserve"> (F</w:t>
      </w:r>
      <w:r w:rsidR="006B228A">
        <w:t>.S.</w:t>
      </w:r>
      <w:r w:rsidR="006937CC">
        <w:t>)</w:t>
      </w:r>
      <w:r w:rsidR="00922D48">
        <w:t>, and Rule 25-</w:t>
      </w:r>
      <w:r w:rsidR="009179C9" w:rsidRPr="009179C9">
        <w:t>4.0665, Florida Administrative Code</w:t>
      </w:r>
      <w:r w:rsidR="00DA2538">
        <w:t xml:space="preserve"> (F.A.C.)</w:t>
      </w:r>
      <w:r w:rsidR="009179C9" w:rsidRPr="009179C9">
        <w:t>, which govern Lifeline service and provide for a transitional discount for customers who no longer qualify for Lifeline.</w:t>
      </w:r>
    </w:p>
    <w:p w14:paraId="54E838DB" w14:textId="77777777" w:rsidR="009179C9" w:rsidRDefault="009179C9" w:rsidP="007423FD">
      <w:pPr>
        <w:jc w:val="both"/>
      </w:pPr>
    </w:p>
    <w:p w14:paraId="6BDA0737" w14:textId="77777777" w:rsidR="009179C9" w:rsidRDefault="009179C9" w:rsidP="007423FD">
      <w:pPr>
        <w:jc w:val="both"/>
      </w:pPr>
    </w:p>
    <w:bookmarkEnd w:id="12"/>
    <w:p w14:paraId="2653CB22" w14:textId="77777777"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14:paraId="77A49E75" w14:textId="77777777" w:rsidR="007C0528" w:rsidRDefault="007C0528">
      <w:pPr>
        <w:pStyle w:val="RecommendationMajorSectionHeading"/>
      </w:pPr>
      <w:bookmarkStart w:id="16" w:name="DiscussionOfIssues"/>
      <w:r>
        <w:lastRenderedPageBreak/>
        <w:t>Discussion of Issues</w:t>
      </w:r>
    </w:p>
    <w:bookmarkEnd w:id="16"/>
    <w:p w14:paraId="015FD6CF" w14:textId="1DEC63AD" w:rsidR="00F27C4E" w:rsidRDefault="00F27C4E">
      <w:pPr>
        <w:pStyle w:val="IssueHeading"/>
        <w:rPr>
          <w:vanish/>
          <w:specVanish/>
        </w:rPr>
      </w:pPr>
      <w:r w:rsidRPr="004C3641">
        <w:t xml:space="preserve">Issue </w:t>
      </w:r>
      <w:r w:rsidR="009D6CC2">
        <w:fldChar w:fldCharType="begin"/>
      </w:r>
      <w:r w:rsidR="009D6CC2">
        <w:instrText xml:space="preserve"> SEQ Issue \* MERGEFORMAT </w:instrText>
      </w:r>
      <w:r w:rsidR="009D6CC2">
        <w:fldChar w:fldCharType="separate"/>
      </w:r>
      <w:r w:rsidR="001972D5">
        <w:rPr>
          <w:noProof/>
        </w:rPr>
        <w:t>1</w:t>
      </w:r>
      <w:r w:rsidR="009D6CC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972D5">
        <w:rPr>
          <w:noProof/>
        </w:rPr>
        <w:instrText>1</w:instrText>
      </w:r>
      <w:r>
        <w:fldChar w:fldCharType="end"/>
      </w:r>
      <w:r>
        <w:tab/>
        <w:instrText xml:space="preserve">(Day, Deas, Mallow, Fogleman)" \l 1 </w:instrText>
      </w:r>
      <w:r>
        <w:fldChar w:fldCharType="end"/>
      </w:r>
      <w:r>
        <w:t> </w:t>
      </w:r>
    </w:p>
    <w:p w14:paraId="54C070AE" w14:textId="08B70615" w:rsidR="00F27C4E" w:rsidRDefault="00F27C4E">
      <w:pPr>
        <w:pStyle w:val="BodyText"/>
      </w:pPr>
      <w:r>
        <w:t xml:space="preserve"> Should LTE Wireless be granted </w:t>
      </w:r>
      <w:r w:rsidR="009E39FE">
        <w:t xml:space="preserve">an </w:t>
      </w:r>
      <w:r>
        <w:t xml:space="preserve">ETC designation </w:t>
      </w:r>
      <w:r w:rsidR="009E39FE">
        <w:t xml:space="preserve">to provide Lifeline service </w:t>
      </w:r>
      <w:r w:rsidR="00FA1E29">
        <w:t xml:space="preserve"> throughout </w:t>
      </w:r>
      <w:r w:rsidR="009E39FE">
        <w:t xml:space="preserve">the State of Florida? </w:t>
      </w:r>
    </w:p>
    <w:p w14:paraId="75AFA6DD" w14:textId="77777777" w:rsidR="00F27C4E" w:rsidRPr="004C3641" w:rsidRDefault="00F27C4E">
      <w:pPr>
        <w:pStyle w:val="IssueSubsectionHeading"/>
        <w:rPr>
          <w:vanish/>
          <w:specVanish/>
        </w:rPr>
      </w:pPr>
      <w:r w:rsidRPr="004C3641">
        <w:t>Recommendation: </w:t>
      </w:r>
    </w:p>
    <w:p w14:paraId="6EA167EA" w14:textId="77777777" w:rsidR="00F27C4E" w:rsidRDefault="00F27C4E">
      <w:pPr>
        <w:pStyle w:val="BodyText"/>
      </w:pPr>
      <w:r>
        <w:t xml:space="preserve"> No. </w:t>
      </w:r>
      <w:r w:rsidRPr="00831ACA">
        <w:t xml:space="preserve">LTE Wireless </w:t>
      </w:r>
      <w:r w:rsidR="009E39FE">
        <w:t xml:space="preserve">should not be granted </w:t>
      </w:r>
      <w:r w:rsidR="00A90B67">
        <w:t xml:space="preserve">an </w:t>
      </w:r>
      <w:r w:rsidR="009E39FE">
        <w:t>ETC designation to provide Lifeline service throughout the State of Florida</w:t>
      </w:r>
      <w:r w:rsidRPr="00831ACA">
        <w:t>.</w:t>
      </w:r>
      <w:r>
        <w:t xml:space="preserve"> (Day, Deas, Mallow, Fogleman)</w:t>
      </w:r>
    </w:p>
    <w:p w14:paraId="411C711F" w14:textId="77777777" w:rsidR="00F27C4E" w:rsidRPr="004C3641" w:rsidRDefault="00F27C4E">
      <w:pPr>
        <w:pStyle w:val="IssueSubsectionHeading"/>
        <w:rPr>
          <w:vanish/>
          <w:specVanish/>
        </w:rPr>
      </w:pPr>
      <w:r w:rsidRPr="004C3641">
        <w:t>Staff Analysis: </w:t>
      </w:r>
    </w:p>
    <w:p w14:paraId="1E750508" w14:textId="77777777" w:rsidR="00DF7F75" w:rsidRDefault="00F27C4E" w:rsidP="00F27C4E">
      <w:pPr>
        <w:autoSpaceDE w:val="0"/>
        <w:autoSpaceDN w:val="0"/>
        <w:adjustRightInd w:val="0"/>
        <w:jc w:val="both"/>
      </w:pPr>
      <w:r>
        <w:t> </w:t>
      </w:r>
    </w:p>
    <w:p w14:paraId="77701E56" w14:textId="7939645C" w:rsidR="00DF7F75" w:rsidRDefault="00DF7F75" w:rsidP="00F27C4E">
      <w:pPr>
        <w:autoSpaceDE w:val="0"/>
        <w:autoSpaceDN w:val="0"/>
        <w:adjustRightInd w:val="0"/>
        <w:jc w:val="both"/>
      </w:pPr>
    </w:p>
    <w:p w14:paraId="29CC0F9D" w14:textId="4FBA727D" w:rsidR="00DF7F75" w:rsidRPr="00A60E28" w:rsidRDefault="00DF7F75" w:rsidP="00F27C4E">
      <w:pPr>
        <w:autoSpaceDE w:val="0"/>
        <w:autoSpaceDN w:val="0"/>
        <w:adjustRightInd w:val="0"/>
        <w:jc w:val="both"/>
        <w:rPr>
          <w:u w:val="single"/>
        </w:rPr>
      </w:pPr>
      <w:r w:rsidRPr="00A60E28">
        <w:rPr>
          <w:u w:val="single"/>
        </w:rPr>
        <w:t>Legal Standard</w:t>
      </w:r>
    </w:p>
    <w:p w14:paraId="66283873" w14:textId="77777777" w:rsidR="00DF7F75" w:rsidRDefault="00DF7F75" w:rsidP="00F27C4E">
      <w:pPr>
        <w:autoSpaceDE w:val="0"/>
        <w:autoSpaceDN w:val="0"/>
        <w:adjustRightInd w:val="0"/>
        <w:jc w:val="both"/>
      </w:pPr>
    </w:p>
    <w:p w14:paraId="4B6FE4B0" w14:textId="23590ADB" w:rsidR="00F27C4E" w:rsidRDefault="00F27C4E" w:rsidP="001D6FDE">
      <w:pPr>
        <w:autoSpaceDE w:val="0"/>
        <w:autoSpaceDN w:val="0"/>
        <w:adjustRightInd w:val="0"/>
        <w:spacing w:after="240"/>
        <w:jc w:val="both"/>
      </w:pPr>
      <w:r>
        <w:rPr>
          <w:rFonts w:ascii="TimesNewRomanPSMT" w:hAnsi="TimesNewRomanPSMT" w:cs="TimesNewRomanPSMT"/>
        </w:rPr>
        <w:t>ETC designation is necessary for telecommunications companies to participate in the federal Lifeline program.</w:t>
      </w:r>
      <w:r>
        <w:rPr>
          <w:rStyle w:val="FootnoteReference"/>
          <w:rFonts w:ascii="TimesNewRomanPSMT" w:hAnsi="TimesNewRomanPSMT" w:cs="TimesNewRomanPSMT"/>
        </w:rPr>
        <w:footnoteReference w:id="11"/>
      </w:r>
      <w:r>
        <w:rPr>
          <w:rFonts w:ascii="TimesNewRomanPSMT" w:hAnsi="TimesNewRomanPSMT" w:cs="TimesNewRomanPSMT"/>
          <w:sz w:val="16"/>
          <w:szCs w:val="16"/>
        </w:rPr>
        <w:t xml:space="preserve"> </w:t>
      </w:r>
      <w:r>
        <w:rPr>
          <w:rFonts w:ascii="TimesNewRomanPSMT" w:hAnsi="TimesNewRomanPSMT" w:cs="TimesNewRomanPSMT"/>
        </w:rPr>
        <w:t xml:space="preserve">Section 364.10, F.S., allows the Commission to </w:t>
      </w:r>
      <w:r w:rsidRPr="00A8683A">
        <w:t xml:space="preserve">approve wireless Lifeline ETC petitions by requesting carriers. Specifically, Section 364.10(1)(a) and (3)(a), F.S., provide that the Commission has the authority to designate a commercial mobile radio service provider as an ETC for the limited purpose of providing Lifeline service. </w:t>
      </w:r>
      <w:r>
        <w:t>Federal rules outline the requirements for ETC designation.</w:t>
      </w:r>
      <w:r>
        <w:rPr>
          <w:rStyle w:val="FootnoteReference"/>
        </w:rPr>
        <w:footnoteReference w:id="12"/>
      </w:r>
      <w:r>
        <w:t xml:space="preserve"> To obtain ETC designation to provide Lifeline services, federal rules require that carriers:</w:t>
      </w:r>
    </w:p>
    <w:p w14:paraId="3AB877DE" w14:textId="77777777" w:rsidR="00F27C4E" w:rsidRPr="00A8683A" w:rsidRDefault="00F27C4E" w:rsidP="001D6FDE">
      <w:pPr>
        <w:pStyle w:val="BodyText"/>
        <w:numPr>
          <w:ilvl w:val="0"/>
          <w:numId w:val="11"/>
        </w:numPr>
        <w:spacing w:after="120"/>
      </w:pPr>
      <w:r w:rsidRPr="00A8683A">
        <w:t>Be a common carrier;</w:t>
      </w:r>
    </w:p>
    <w:p w14:paraId="51DB3FDC" w14:textId="77777777" w:rsidR="00F27C4E" w:rsidRPr="00A8683A" w:rsidRDefault="00F27C4E" w:rsidP="001D6FDE">
      <w:pPr>
        <w:pStyle w:val="BodyText"/>
        <w:numPr>
          <w:ilvl w:val="0"/>
          <w:numId w:val="11"/>
        </w:numPr>
        <w:spacing w:after="120"/>
      </w:pPr>
      <w:r w:rsidRPr="00A8683A">
        <w:t>Offer the services that are supported by the federal universal support mechanisms either using its own facilities or a combination of its own facilities and resale of another carrier’s services;</w:t>
      </w:r>
    </w:p>
    <w:p w14:paraId="632DCE4F" w14:textId="77777777" w:rsidR="00F27C4E" w:rsidRPr="00A8683A" w:rsidRDefault="00F27C4E" w:rsidP="001D6FDE">
      <w:pPr>
        <w:pStyle w:val="BodyText"/>
        <w:numPr>
          <w:ilvl w:val="0"/>
          <w:numId w:val="11"/>
        </w:numPr>
        <w:spacing w:after="120"/>
      </w:pPr>
      <w:r w:rsidRPr="00A8683A">
        <w:t>Advertise the availability of its Lifeline service through a media of general distribution;</w:t>
      </w:r>
    </w:p>
    <w:p w14:paraId="6F50A269" w14:textId="77777777" w:rsidR="00F27C4E" w:rsidRPr="00A8683A" w:rsidRDefault="00F27C4E" w:rsidP="001D6FDE">
      <w:pPr>
        <w:pStyle w:val="BodyText"/>
        <w:numPr>
          <w:ilvl w:val="0"/>
          <w:numId w:val="11"/>
        </w:numPr>
        <w:spacing w:after="120"/>
      </w:pPr>
      <w:r w:rsidRPr="00A8683A">
        <w:t>Provide voice grade access to the public switch network or its functional equivalent;</w:t>
      </w:r>
    </w:p>
    <w:p w14:paraId="03737DB3" w14:textId="77777777" w:rsidR="00F27C4E" w:rsidRPr="00A8683A" w:rsidRDefault="00F27C4E" w:rsidP="001D6FDE">
      <w:pPr>
        <w:pStyle w:val="BodyText"/>
        <w:numPr>
          <w:ilvl w:val="0"/>
          <w:numId w:val="11"/>
        </w:numPr>
        <w:spacing w:after="120"/>
      </w:pPr>
      <w:r w:rsidRPr="00A8683A">
        <w:t>Offer minutes of use for local service at no additional charge to end users;</w:t>
      </w:r>
    </w:p>
    <w:p w14:paraId="00A9F0B5" w14:textId="77777777" w:rsidR="00F27C4E" w:rsidRPr="00A8683A" w:rsidRDefault="00F27C4E" w:rsidP="001D6FDE">
      <w:pPr>
        <w:pStyle w:val="BodyText"/>
        <w:numPr>
          <w:ilvl w:val="0"/>
          <w:numId w:val="11"/>
        </w:numPr>
        <w:spacing w:after="120"/>
      </w:pPr>
      <w:r w:rsidRPr="00A8683A">
        <w:t>Provide access to the emergency services available by local government or other public safety organizations;</w:t>
      </w:r>
    </w:p>
    <w:p w14:paraId="1283F778" w14:textId="77777777" w:rsidR="00F27C4E" w:rsidRPr="00A8683A" w:rsidRDefault="00F27C4E" w:rsidP="001D6FDE">
      <w:pPr>
        <w:pStyle w:val="BodyText"/>
        <w:numPr>
          <w:ilvl w:val="0"/>
          <w:numId w:val="11"/>
        </w:numPr>
        <w:spacing w:after="120"/>
      </w:pPr>
      <w:r w:rsidRPr="00A8683A">
        <w:t>Provide Broadband Internet Access Service;</w:t>
      </w:r>
      <w:r w:rsidRPr="00A8683A">
        <w:rPr>
          <w:rStyle w:val="FootnoteReference"/>
        </w:rPr>
        <w:footnoteReference w:id="13"/>
      </w:r>
    </w:p>
    <w:p w14:paraId="6BB97469" w14:textId="77777777" w:rsidR="00F27C4E" w:rsidRPr="00A8683A" w:rsidRDefault="00F27C4E" w:rsidP="001D6FDE">
      <w:pPr>
        <w:pStyle w:val="BodyText"/>
        <w:numPr>
          <w:ilvl w:val="0"/>
          <w:numId w:val="11"/>
        </w:numPr>
        <w:spacing w:after="120"/>
      </w:pPr>
      <w:r w:rsidRPr="00A8683A">
        <w:t>Demonstrate financial and technical capability to provide Lifeline service; and</w:t>
      </w:r>
    </w:p>
    <w:p w14:paraId="44B3BFDE" w14:textId="77777777" w:rsidR="00F27C4E" w:rsidRPr="00A8683A" w:rsidRDefault="00F27C4E" w:rsidP="00695E36">
      <w:pPr>
        <w:pStyle w:val="BodyText"/>
        <w:numPr>
          <w:ilvl w:val="0"/>
          <w:numId w:val="11"/>
        </w:numPr>
      </w:pPr>
      <w:r w:rsidRPr="00A8683A">
        <w:t>Not charge Lifeline customers a monthly number-portability charge.</w:t>
      </w:r>
    </w:p>
    <w:p w14:paraId="3ED4701B" w14:textId="696FDB3D" w:rsidR="00F27C4E" w:rsidRPr="00A8683A" w:rsidRDefault="00695E36" w:rsidP="00695E36">
      <w:pPr>
        <w:pStyle w:val="BodyText"/>
      </w:pPr>
      <w:r>
        <w:t>I</w:t>
      </w:r>
      <w:r w:rsidR="00F27C4E" w:rsidRPr="00A8683A">
        <w:t>n addition, Florida law requires ETCs to:</w:t>
      </w:r>
    </w:p>
    <w:p w14:paraId="76DD8815" w14:textId="77777777" w:rsidR="00F27C4E" w:rsidRPr="00A8683A" w:rsidRDefault="00F27C4E" w:rsidP="001D6FDE">
      <w:pPr>
        <w:pStyle w:val="BodyText"/>
        <w:numPr>
          <w:ilvl w:val="0"/>
          <w:numId w:val="12"/>
        </w:numPr>
        <w:spacing w:after="120"/>
      </w:pPr>
      <w:r w:rsidRPr="00A8683A">
        <w:t>Offer a discounted transitional basic telecommunications service;</w:t>
      </w:r>
      <w:r>
        <w:rPr>
          <w:rStyle w:val="FootnoteReference"/>
        </w:rPr>
        <w:footnoteReference w:id="14"/>
      </w:r>
      <w:r w:rsidRPr="00A8683A">
        <w:t xml:space="preserve"> and</w:t>
      </w:r>
    </w:p>
    <w:p w14:paraId="2BBA8A63" w14:textId="06632AB5" w:rsidR="00FA5108" w:rsidRPr="00847167" w:rsidRDefault="00F27C4E" w:rsidP="00695E36">
      <w:pPr>
        <w:pStyle w:val="BodyText"/>
        <w:numPr>
          <w:ilvl w:val="0"/>
          <w:numId w:val="12"/>
        </w:numPr>
        <w:spacing w:after="0"/>
        <w:rPr>
          <w:rFonts w:ascii="TimesNewRomanPS-BoldMT" w:hAnsi="TimesNewRomanPS-BoldMT" w:cs="TimesNewRomanPS-BoldMT"/>
          <w:b/>
          <w:bCs/>
        </w:rPr>
      </w:pPr>
      <w:r w:rsidRPr="00A8683A">
        <w:lastRenderedPageBreak/>
        <w:t>Participate in the Lifeline Promotion Process.</w:t>
      </w:r>
      <w:r>
        <w:rPr>
          <w:rStyle w:val="FootnoteReference"/>
        </w:rPr>
        <w:footnoteReference w:id="15"/>
      </w:r>
    </w:p>
    <w:p w14:paraId="256A13BC" w14:textId="06271085" w:rsidR="00DF7F75" w:rsidRDefault="00DF7F75" w:rsidP="00847167">
      <w:pPr>
        <w:pStyle w:val="BodyText"/>
        <w:spacing w:after="0"/>
      </w:pPr>
    </w:p>
    <w:p w14:paraId="23B1849A" w14:textId="6FA23F91" w:rsidR="00851247" w:rsidRDefault="00851247" w:rsidP="00847167">
      <w:pPr>
        <w:pStyle w:val="BodyText"/>
        <w:spacing w:after="0"/>
      </w:pPr>
      <w:r>
        <w:t>The burden of proof with respect to these requirements rests with the applicant.</w:t>
      </w:r>
      <w:r>
        <w:rPr>
          <w:rStyle w:val="FootnoteReference"/>
        </w:rPr>
        <w:footnoteReference w:id="16"/>
      </w:r>
    </w:p>
    <w:p w14:paraId="29D364E4" w14:textId="77777777" w:rsidR="00851247" w:rsidRDefault="00851247" w:rsidP="00847167">
      <w:pPr>
        <w:pStyle w:val="BodyText"/>
        <w:spacing w:after="0"/>
      </w:pPr>
    </w:p>
    <w:p w14:paraId="73F8E536" w14:textId="1D195B74" w:rsidR="00DF7F75" w:rsidRPr="00847167" w:rsidRDefault="00DF7F75" w:rsidP="00847167">
      <w:pPr>
        <w:pStyle w:val="BodyText"/>
        <w:spacing w:after="0"/>
        <w:rPr>
          <w:u w:val="single"/>
        </w:rPr>
      </w:pPr>
      <w:r w:rsidRPr="00847167">
        <w:rPr>
          <w:u w:val="single"/>
        </w:rPr>
        <w:t>Analysis</w:t>
      </w:r>
    </w:p>
    <w:p w14:paraId="4823C5EC" w14:textId="77777777" w:rsidR="00DF7F75" w:rsidRPr="0005623D" w:rsidRDefault="00DF7F75" w:rsidP="00847167">
      <w:pPr>
        <w:pStyle w:val="BodyText"/>
        <w:spacing w:after="0"/>
        <w:rPr>
          <w:rFonts w:ascii="TimesNewRomanPS-BoldMT" w:hAnsi="TimesNewRomanPS-BoldMT" w:cs="TimesNewRomanPS-BoldMT"/>
          <w:b/>
          <w:bCs/>
        </w:rPr>
      </w:pPr>
    </w:p>
    <w:p w14:paraId="2E5BBC13" w14:textId="77777777" w:rsidR="00FA5108" w:rsidRPr="00A8683A" w:rsidRDefault="00FA5108" w:rsidP="00FA5108">
      <w:pPr>
        <w:pStyle w:val="BodyText"/>
      </w:pPr>
      <w:r w:rsidRPr="00A8683A">
        <w:rPr>
          <w:b/>
        </w:rPr>
        <w:t>Public Interest</w:t>
      </w:r>
      <w:r w:rsidRPr="00A8683A">
        <w:t xml:space="preserve"> </w:t>
      </w:r>
      <w:r w:rsidRPr="00A8683A">
        <w:rPr>
          <w:b/>
        </w:rPr>
        <w:t>Determinations</w:t>
      </w:r>
    </w:p>
    <w:p w14:paraId="4BADEBB0" w14:textId="02C722AC" w:rsidR="003835EC" w:rsidRDefault="00C83E1D" w:rsidP="00FA5108">
      <w:pPr>
        <w:pStyle w:val="BodyText"/>
      </w:pPr>
      <w:r w:rsidRPr="00C83E1D">
        <w:t xml:space="preserve">State commissions are required to determine that </w:t>
      </w:r>
      <w:r w:rsidR="006B228A">
        <w:t xml:space="preserve">an </w:t>
      </w:r>
      <w:r w:rsidRPr="00C83E1D">
        <w:t xml:space="preserve">ETC designation is in the public interest. In </w:t>
      </w:r>
      <w:r w:rsidR="003835EC">
        <w:t>s</w:t>
      </w:r>
      <w:r w:rsidRPr="00C83E1D">
        <w:t xml:space="preserve">taff’s questions to LTE Wireless, </w:t>
      </w:r>
      <w:r w:rsidR="004F36CB">
        <w:t xml:space="preserve"> the company was</w:t>
      </w:r>
      <w:r w:rsidR="00E962F3">
        <w:t xml:space="preserve"> </w:t>
      </w:r>
      <w:r w:rsidRPr="00C83E1D">
        <w:t xml:space="preserve">asked whether </w:t>
      </w:r>
      <w:r w:rsidR="004F36CB">
        <w:t>it</w:t>
      </w:r>
      <w:r w:rsidRPr="00C83E1D">
        <w:t xml:space="preserve"> had ever been the subject of a public investigation, formal allegation, or finding of noncompliance by a state commission. LTE Wireless responded that it had never been the subject of any such action. </w:t>
      </w:r>
    </w:p>
    <w:p w14:paraId="104B0304" w14:textId="25306608" w:rsidR="00FA5108" w:rsidRDefault="00C83E1D" w:rsidP="00FA5108">
      <w:pPr>
        <w:pStyle w:val="BodyText"/>
      </w:pPr>
      <w:r w:rsidRPr="00C83E1D">
        <w:t xml:space="preserve">Upon review, </w:t>
      </w:r>
      <w:r w:rsidR="003835EC">
        <w:t>s</w:t>
      </w:r>
      <w:r w:rsidRPr="00C83E1D">
        <w:t>taff identified that in Iowa Utilities Commission (IUC) Docket No. M‑4633, the IUC documented that LTE Wireless failed to timely file required annual reports in 2021, 2024, and 2025. The IUC issued notices in 2024 and 2025 warning that continued noncompliance could result in civil penalties and the involuntary cancellation of LTE Wireless’s telecommunications registration.</w:t>
      </w:r>
      <w:r w:rsidR="00FA5108">
        <w:rPr>
          <w:rStyle w:val="FootnoteReference"/>
        </w:rPr>
        <w:footnoteReference w:id="17"/>
      </w:r>
      <w:r w:rsidR="00FA5108">
        <w:t xml:space="preserve"> LTE Wireless subsequently filed the required reports after receiving notice, </w:t>
      </w:r>
      <w:r w:rsidR="00DA2538">
        <w:t xml:space="preserve">thereby </w:t>
      </w:r>
      <w:r w:rsidR="00FA5108">
        <w:t xml:space="preserve">avoiding civil penalties and cancellation each time. </w:t>
      </w:r>
      <w:r w:rsidR="00896361">
        <w:t>I</w:t>
      </w:r>
      <w:r w:rsidR="00FA5108">
        <w:t>n November 2025, in connection with LTE Wireless’s petition for ETC</w:t>
      </w:r>
      <w:r w:rsidR="00451954">
        <w:t xml:space="preserve"> designation</w:t>
      </w:r>
      <w:r w:rsidR="00FA5108">
        <w:t xml:space="preserve"> in Iowa, the IUC cited this history and requested an explanation as to why it</w:t>
      </w:r>
      <w:r w:rsidR="00FD7645">
        <w:t>s “past noncompliance should not weigh against the IUC’</w:t>
      </w:r>
      <w:r w:rsidR="00400DB5">
        <w:t>s</w:t>
      </w:r>
      <w:r w:rsidR="00FD7645">
        <w:t xml:space="preserve"> consideration in this </w:t>
      </w:r>
      <w:r w:rsidR="00400DB5">
        <w:t>matter.”</w:t>
      </w:r>
      <w:r w:rsidR="00FA5108">
        <w:t xml:space="preserve"> LTE Wireless did not respond before withdrawing its petition on January 8, 2026.</w:t>
      </w:r>
      <w:r w:rsidR="00FA5108">
        <w:rPr>
          <w:rStyle w:val="FootnoteReference"/>
        </w:rPr>
        <w:footnoteReference w:id="18"/>
      </w:r>
      <w:r w:rsidR="00FA5108">
        <w:t xml:space="preserve"> </w:t>
      </w:r>
    </w:p>
    <w:p w14:paraId="28BF6953" w14:textId="5D01875C" w:rsidR="00B71A9B" w:rsidRDefault="00B71A9B" w:rsidP="007423FD">
      <w:pPr>
        <w:spacing w:before="100" w:beforeAutospacing="1" w:after="100" w:afterAutospacing="1"/>
        <w:jc w:val="both"/>
      </w:pPr>
      <w:r w:rsidRPr="00B71A9B">
        <w:t xml:space="preserve">Florida ETCs are expected to comply with annual data requests and investigations regarding customer complaints and to respond fully, </w:t>
      </w:r>
      <w:r w:rsidR="006D777E">
        <w:t>accurately</w:t>
      </w:r>
      <w:r w:rsidRPr="00B71A9B">
        <w:t>, and in a manner sufficient to permit effective regulatory review.</w:t>
      </w:r>
      <w:r w:rsidR="00CD3AE7">
        <w:rPr>
          <w:rStyle w:val="FootnoteReference"/>
        </w:rPr>
        <w:footnoteReference w:id="19"/>
      </w:r>
      <w:r w:rsidRPr="00B71A9B">
        <w:t xml:space="preserve"> </w:t>
      </w:r>
      <w:r w:rsidR="00A71EB2">
        <w:t>It appears</w:t>
      </w:r>
      <w:r w:rsidR="006D777E">
        <w:t xml:space="preserve"> that LTE Wireless has a repeated history of noncompliance in Iowa and that it has failed to disclose key information in response to Florida </w:t>
      </w:r>
      <w:r w:rsidR="003835EC">
        <w:t>s</w:t>
      </w:r>
      <w:r w:rsidR="006D777E">
        <w:t xml:space="preserve">taff inquiries. </w:t>
      </w:r>
      <w:r w:rsidRPr="00B71A9B">
        <w:t xml:space="preserve">Accordingly, </w:t>
      </w:r>
      <w:r w:rsidR="003835EC">
        <w:t>s</w:t>
      </w:r>
      <w:r w:rsidRPr="00B71A9B">
        <w:t xml:space="preserve">taff  </w:t>
      </w:r>
      <w:r w:rsidR="004F36CB">
        <w:t xml:space="preserve">questions whether designating </w:t>
      </w:r>
      <w:r w:rsidRPr="00B71A9B">
        <w:t xml:space="preserve"> LTE Wireless as an ETC in Florida would be in the public interest.</w:t>
      </w:r>
    </w:p>
    <w:p w14:paraId="07C63893" w14:textId="2655F284" w:rsidR="00F27C4E" w:rsidRPr="00A8683A" w:rsidRDefault="00F27C4E" w:rsidP="00F27C4E">
      <w:pPr>
        <w:pStyle w:val="BodyText"/>
      </w:pPr>
      <w:r w:rsidRPr="00A8683A">
        <w:rPr>
          <w:b/>
        </w:rPr>
        <w:t>Facilities Requirement</w:t>
      </w:r>
      <w:r w:rsidRPr="00A8683A">
        <w:t xml:space="preserve"> </w:t>
      </w:r>
    </w:p>
    <w:p w14:paraId="5AFB4804" w14:textId="073A24B2" w:rsidR="00735D22" w:rsidRDefault="00987CEC" w:rsidP="00292C23">
      <w:pPr>
        <w:pStyle w:val="BodyText"/>
      </w:pPr>
      <w:r w:rsidRPr="00987CEC">
        <w:t xml:space="preserve">Federal rules require that a carrier designated as an </w:t>
      </w:r>
      <w:r>
        <w:t>ETC</w:t>
      </w:r>
      <w:r w:rsidRPr="00987CEC">
        <w:t xml:space="preserve"> offer</w:t>
      </w:r>
      <w:r w:rsidR="004C6C73">
        <w:t xml:space="preserve"> </w:t>
      </w:r>
      <w:r w:rsidR="00171419">
        <w:t>Lifeline</w:t>
      </w:r>
      <w:r w:rsidR="00171419" w:rsidRPr="00987CEC">
        <w:t xml:space="preserve"> </w:t>
      </w:r>
      <w:r w:rsidRPr="00987CEC">
        <w:t xml:space="preserve">services using </w:t>
      </w:r>
      <w:r w:rsidR="0034378A" w:rsidRPr="00987CEC">
        <w:t xml:space="preserve">either </w:t>
      </w:r>
      <w:r w:rsidRPr="00987CEC">
        <w:t>its own facilities or a combination of its own facilities and the resale of another carrier’s services.</w:t>
      </w:r>
      <w:r>
        <w:rPr>
          <w:rStyle w:val="FootnoteReference"/>
        </w:rPr>
        <w:footnoteReference w:id="20"/>
      </w:r>
      <w:r w:rsidR="00537822">
        <w:t xml:space="preserve"> </w:t>
      </w:r>
      <w:r w:rsidR="00537822">
        <w:lastRenderedPageBreak/>
        <w:t>S</w:t>
      </w:r>
      <w:r>
        <w:t>tate commission</w:t>
      </w:r>
      <w:r w:rsidR="00537822">
        <w:t>s</w:t>
      </w:r>
      <w:r>
        <w:t xml:space="preserve"> may not designate a carrier that offers </w:t>
      </w:r>
      <w:r w:rsidR="00402A9F">
        <w:t xml:space="preserve">supported </w:t>
      </w:r>
      <w:r w:rsidR="00537822">
        <w:t>service</w:t>
      </w:r>
      <w:r w:rsidR="00A506A8">
        <w:t>s</w:t>
      </w:r>
      <w:r>
        <w:t xml:space="preserve"> exclusively through the resale of another carrier’s </w:t>
      </w:r>
      <w:r w:rsidR="004609AC">
        <w:t>facilities</w:t>
      </w:r>
      <w:r>
        <w:t>.</w:t>
      </w:r>
      <w:r w:rsidR="00F27C4E" w:rsidRPr="00A8683A">
        <w:rPr>
          <w:sz w:val="16"/>
          <w:szCs w:val="16"/>
        </w:rPr>
        <w:t xml:space="preserve"> </w:t>
      </w:r>
      <w:r w:rsidR="008E1986">
        <w:t xml:space="preserve">As previously discussed, </w:t>
      </w:r>
      <w:r w:rsidR="008E1986" w:rsidRPr="008E1986">
        <w:t xml:space="preserve">LTE Wireless </w:t>
      </w:r>
      <w:r w:rsidR="006D777E">
        <w:t xml:space="preserve">represents itself </w:t>
      </w:r>
      <w:r w:rsidR="00292C23" w:rsidRPr="00292C23">
        <w:t>as both an MVNO and a facilities-based provider</w:t>
      </w:r>
      <w:r w:rsidR="001033CF">
        <w:t>.  LTE Wireless states that</w:t>
      </w:r>
      <w:r w:rsidR="00292C23" w:rsidRPr="00292C23">
        <w:t xml:space="preserve"> </w:t>
      </w:r>
      <w:r w:rsidR="00702D2A">
        <w:t xml:space="preserve">it </w:t>
      </w:r>
      <w:r w:rsidR="00292C23" w:rsidRPr="00292C23">
        <w:t xml:space="preserve">resells T‑Mobile services through PWG. LTE Wireless further </w:t>
      </w:r>
      <w:r w:rsidR="00B30EDB">
        <w:t>explained</w:t>
      </w:r>
      <w:r w:rsidR="00292C23" w:rsidRPr="00292C23">
        <w:t xml:space="preserve"> that </w:t>
      </w:r>
      <w:r w:rsidR="00D538CB">
        <w:t xml:space="preserve">PWG provides LTE Wireless </w:t>
      </w:r>
      <w:r w:rsidR="00464E84">
        <w:t xml:space="preserve">with both </w:t>
      </w:r>
      <w:r w:rsidR="00D538CB">
        <w:t>its voice and data services</w:t>
      </w:r>
      <w:r w:rsidR="00100E76">
        <w:t>.</w:t>
      </w:r>
      <w:r w:rsidR="00464E84">
        <w:t xml:space="preserve"> </w:t>
      </w:r>
      <w:r w:rsidR="009862EA" w:rsidRPr="009862EA">
        <w:t xml:space="preserve">Based on LTE Wireless’s explanation of the services it provides, </w:t>
      </w:r>
      <w:r w:rsidR="00B30EDB">
        <w:t xml:space="preserve">LTE Wireless </w:t>
      </w:r>
      <w:r w:rsidR="00464E84">
        <w:t>would r</w:t>
      </w:r>
      <w:r w:rsidR="006409E1">
        <w:t xml:space="preserve">ely </w:t>
      </w:r>
      <w:r w:rsidR="00B30EDB" w:rsidRPr="00B30EDB">
        <w:t xml:space="preserve">exclusively </w:t>
      </w:r>
      <w:r w:rsidR="00464E84">
        <w:t xml:space="preserve">on </w:t>
      </w:r>
      <w:r w:rsidR="00B30EDB" w:rsidRPr="00B30EDB">
        <w:t>the services of other carriers</w:t>
      </w:r>
      <w:r w:rsidR="00464E84">
        <w:t xml:space="preserve"> to provide Lifeline</w:t>
      </w:r>
      <w:r w:rsidR="00B30EDB" w:rsidRPr="00B30EDB">
        <w:t>.</w:t>
      </w:r>
      <w:r w:rsidR="008D59EE">
        <w:t xml:space="preserve"> </w:t>
      </w:r>
      <w:r w:rsidR="00EE056F">
        <w:t xml:space="preserve">While LTE Wireless </w:t>
      </w:r>
      <w:r w:rsidR="001033CF">
        <w:t>asserts</w:t>
      </w:r>
      <w:r w:rsidR="00EE056F">
        <w:t xml:space="preserve"> that it has “two switch locations that will provide call routing for domestic USA calls,” it does not make clear how these switches </w:t>
      </w:r>
      <w:r w:rsidR="001033CF">
        <w:t>function</w:t>
      </w:r>
      <w:r w:rsidR="00EE056F">
        <w:t xml:space="preserve"> </w:t>
      </w:r>
      <w:r w:rsidR="001033CF">
        <w:t xml:space="preserve">or provide any value </w:t>
      </w:r>
      <w:r w:rsidR="00EE056F">
        <w:t xml:space="preserve">within the context of </w:t>
      </w:r>
      <w:r w:rsidR="001033CF">
        <w:t>the underlying wholesale service</w:t>
      </w:r>
      <w:r w:rsidR="001A5964">
        <w:t xml:space="preserve"> provisioned by the T-Mobile</w:t>
      </w:r>
      <w:r w:rsidR="001033CF">
        <w:t xml:space="preserve">. </w:t>
      </w:r>
      <w:r w:rsidR="00E94C6A">
        <w:t xml:space="preserve">Therefore, </w:t>
      </w:r>
      <w:r w:rsidR="003835EC">
        <w:t>s</w:t>
      </w:r>
      <w:r w:rsidR="00A61D2D" w:rsidRPr="00A61D2D">
        <w:t xml:space="preserve">taff </w:t>
      </w:r>
      <w:r w:rsidR="00FA1E29">
        <w:t xml:space="preserve"> believes</w:t>
      </w:r>
      <w:r w:rsidR="00E962F3">
        <w:t xml:space="preserve"> </w:t>
      </w:r>
      <w:r w:rsidR="00A61D2D" w:rsidRPr="00A61D2D">
        <w:t xml:space="preserve">that LTE Wireless </w:t>
      </w:r>
      <w:r w:rsidR="00B30EDB">
        <w:t>does not</w:t>
      </w:r>
      <w:r w:rsidR="00A61D2D" w:rsidRPr="00A61D2D">
        <w:t xml:space="preserve"> meet the facilities </w:t>
      </w:r>
      <w:r w:rsidR="00B30EDB" w:rsidRPr="00A61D2D">
        <w:t>requirement</w:t>
      </w:r>
      <w:r w:rsidR="00B30EDB">
        <w:t xml:space="preserve"> </w:t>
      </w:r>
      <w:r w:rsidR="00464E84">
        <w:t>under</w:t>
      </w:r>
      <w:r w:rsidR="00B30EDB" w:rsidRPr="00126ECB">
        <w:t xml:space="preserve"> federal rules</w:t>
      </w:r>
      <w:r w:rsidR="00464E84">
        <w:t>.</w:t>
      </w:r>
    </w:p>
    <w:p w14:paraId="2AB87EC8" w14:textId="77777777" w:rsidR="00831AA3" w:rsidRPr="00831AA3" w:rsidRDefault="00831AA3" w:rsidP="00831AA3">
      <w:pPr>
        <w:pStyle w:val="BodyText"/>
        <w:rPr>
          <w:b/>
        </w:rPr>
      </w:pPr>
      <w:r w:rsidRPr="00831AA3">
        <w:rPr>
          <w:b/>
        </w:rPr>
        <w:t>Conclusion</w:t>
      </w:r>
    </w:p>
    <w:p w14:paraId="0C1678CF" w14:textId="4178F778" w:rsidR="00831AA3" w:rsidRPr="00A8683A" w:rsidRDefault="00831AA3" w:rsidP="00831AA3">
      <w:pPr>
        <w:pStyle w:val="BodyText"/>
      </w:pPr>
      <w:r>
        <w:t xml:space="preserve">Staff </w:t>
      </w:r>
      <w:r w:rsidR="00FA1E29">
        <w:t xml:space="preserve"> believes</w:t>
      </w:r>
      <w:r w:rsidR="00E962F3">
        <w:t xml:space="preserve"> </w:t>
      </w:r>
      <w:r>
        <w:t xml:space="preserve">that LTE Wireless’s history of noncompliance in another state demonstrates that designation in Florida would not serve the public interest. Furthermore, LTE Wireless has not </w:t>
      </w:r>
      <w:r w:rsidR="00FA1E29">
        <w:t xml:space="preserve"> proven</w:t>
      </w:r>
      <w:r w:rsidR="00E962F3">
        <w:t xml:space="preserve"> </w:t>
      </w:r>
      <w:r>
        <w:t xml:space="preserve">that it satisfies the federal facilities requirement. Therefore, </w:t>
      </w:r>
      <w:r w:rsidR="003835EC">
        <w:t>s</w:t>
      </w:r>
      <w:r>
        <w:t>taff recommends that LTE Wireless’s petition for ETC designation in Florida be denied.</w:t>
      </w:r>
    </w:p>
    <w:p w14:paraId="0872F232" w14:textId="2C777B60" w:rsidR="00F27C4E" w:rsidRDefault="00F27C4E">
      <w:pPr>
        <w:pStyle w:val="IssueHeading"/>
        <w:rPr>
          <w:vanish/>
          <w:specVanish/>
        </w:rPr>
      </w:pPr>
      <w:r w:rsidRPr="004C3641">
        <w:rPr>
          <w:b w:val="0"/>
          <w:i w:val="0"/>
        </w:rPr>
        <w:br w:type="page"/>
      </w:r>
      <w:r w:rsidRPr="004C3641">
        <w:lastRenderedPageBreak/>
        <w:t xml:space="preserve">Issue </w:t>
      </w:r>
      <w:r w:rsidR="009D6CC2">
        <w:fldChar w:fldCharType="begin"/>
      </w:r>
      <w:r w:rsidR="009D6CC2">
        <w:instrText xml:space="preserve"> SEQ Issue \* MERGEFORMAT </w:instrText>
      </w:r>
      <w:r w:rsidR="009D6CC2">
        <w:fldChar w:fldCharType="separate"/>
      </w:r>
      <w:r w:rsidR="001972D5">
        <w:rPr>
          <w:noProof/>
        </w:rPr>
        <w:t>2</w:t>
      </w:r>
      <w:r w:rsidR="009D6CC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972D5">
        <w:rPr>
          <w:noProof/>
        </w:rPr>
        <w:instrText>2</w:instrText>
      </w:r>
      <w:r>
        <w:fldChar w:fldCharType="end"/>
      </w:r>
      <w:r>
        <w:tab/>
        <w:instrText xml:space="preserve">(Farooqi)" \l 1 </w:instrText>
      </w:r>
      <w:r>
        <w:fldChar w:fldCharType="end"/>
      </w:r>
      <w:r>
        <w:t> </w:t>
      </w:r>
    </w:p>
    <w:p w14:paraId="3CC219D8" w14:textId="77777777" w:rsidR="00F27C4E" w:rsidRDefault="00F27C4E">
      <w:pPr>
        <w:pStyle w:val="BodyText"/>
      </w:pPr>
      <w:r>
        <w:t> Should this docket be closed?</w:t>
      </w:r>
    </w:p>
    <w:p w14:paraId="7D66375A" w14:textId="77777777" w:rsidR="00F27C4E" w:rsidRPr="004C3641" w:rsidRDefault="00F27C4E">
      <w:pPr>
        <w:pStyle w:val="IssueSubsectionHeading"/>
        <w:rPr>
          <w:vanish/>
          <w:specVanish/>
        </w:rPr>
      </w:pPr>
      <w:r w:rsidRPr="004C3641">
        <w:t>Recommendation: </w:t>
      </w:r>
    </w:p>
    <w:p w14:paraId="55666743" w14:textId="67C4A7A7" w:rsidR="00F27C4E" w:rsidRDefault="00F27C4E">
      <w:pPr>
        <w:pStyle w:val="BodyText"/>
      </w:pPr>
      <w:r>
        <w:t> If no person whose substantial interests are affected by the proposed agency action files a protest within 21 days of the issuance of the Proposed Agency Action Order, this docket should be closed upon the issuance of a consummating order. (Farooqi)</w:t>
      </w:r>
    </w:p>
    <w:p w14:paraId="54946103" w14:textId="77777777" w:rsidR="00F27C4E" w:rsidRPr="004C3641" w:rsidRDefault="00F27C4E">
      <w:pPr>
        <w:pStyle w:val="IssueSubsectionHeading"/>
        <w:rPr>
          <w:vanish/>
          <w:specVanish/>
        </w:rPr>
      </w:pPr>
      <w:r w:rsidRPr="004C3641">
        <w:t>Staff Analysis: </w:t>
      </w:r>
    </w:p>
    <w:p w14:paraId="5B5A8A9A" w14:textId="5F15B83D" w:rsidR="00F27C4E" w:rsidRDefault="00F27C4E" w:rsidP="00F27C4E">
      <w:pPr>
        <w:pStyle w:val="BodyText"/>
      </w:pPr>
      <w:r>
        <w:t> </w:t>
      </w:r>
      <w:r w:rsidR="00886C92">
        <w:t>If no person whose substantial interests are affected by the proposed agency action files a protest within 21 days of the issuance of the Proposed Agency Action Order, this docket should be closed upon the issuance of a consummating order.</w:t>
      </w:r>
    </w:p>
    <w:p w14:paraId="3B841FF8" w14:textId="77777777" w:rsidR="00F27C4E" w:rsidRDefault="00F27C4E">
      <w:pPr>
        <w:pStyle w:val="BodyText"/>
      </w:pPr>
    </w:p>
    <w:p w14:paraId="56CB47C2" w14:textId="77777777" w:rsidR="00E06484" w:rsidRDefault="00E06484" w:rsidP="00E275D8">
      <w:pPr>
        <w:pStyle w:val="BodyText"/>
      </w:pPr>
    </w:p>
    <w:sectPr w:rsidR="00E06484"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5E9C7" w14:textId="77777777" w:rsidR="00E37E72" w:rsidRDefault="00E37E72">
      <w:r>
        <w:separator/>
      </w:r>
    </w:p>
  </w:endnote>
  <w:endnote w:type="continuationSeparator" w:id="0">
    <w:p w14:paraId="36182A4F" w14:textId="77777777" w:rsidR="00E37E72" w:rsidRDefault="00E3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2B5B8" w14:textId="77777777" w:rsidR="001972D5" w:rsidRDefault="00197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F033C" w14:textId="21BA9172"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52698">
      <w:rPr>
        <w:rStyle w:val="PageNumber"/>
        <w:noProof/>
      </w:rPr>
      <w:t>2</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EE94F" w14:textId="77777777" w:rsidR="001972D5" w:rsidRDefault="001972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F2FE3"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3898B" w14:textId="77777777" w:rsidR="00E37E72" w:rsidRDefault="00E37E72">
      <w:r>
        <w:separator/>
      </w:r>
    </w:p>
  </w:footnote>
  <w:footnote w:type="continuationSeparator" w:id="0">
    <w:p w14:paraId="2DD6A656" w14:textId="77777777" w:rsidR="00E37E72" w:rsidRDefault="00E37E72">
      <w:r>
        <w:continuationSeparator/>
      </w:r>
    </w:p>
  </w:footnote>
  <w:footnote w:id="1">
    <w:p w14:paraId="536EDF23" w14:textId="7EC4CD37" w:rsidR="00AF7136" w:rsidRDefault="00AF7136" w:rsidP="00AF7136">
      <w:pPr>
        <w:pStyle w:val="FootnoteText"/>
      </w:pPr>
      <w:r>
        <w:rPr>
          <w:rStyle w:val="FootnoteReference"/>
        </w:rPr>
        <w:footnoteRef/>
      </w:r>
      <w:r>
        <w:t xml:space="preserve"> FCC, 2024 Communications Marketplace Report, </w:t>
      </w:r>
      <w:r w:rsidRPr="005662D7">
        <w:t>FCC 24-136</w:t>
      </w:r>
      <w:r>
        <w:t xml:space="preserve">,  </w:t>
      </w:r>
      <w:hyperlink r:id="rId1" w:history="1">
        <w:r w:rsidRPr="00F547BC">
          <w:rPr>
            <w:rStyle w:val="Hyperlink"/>
          </w:rPr>
          <w:t>https://docs.fcc.gov/public/attachments/FCC-24-136A1.pdf</w:t>
        </w:r>
      </w:hyperlink>
      <w:r>
        <w:t>, accessed February 12, 2026.</w:t>
      </w:r>
      <w:r w:rsidR="001A5964">
        <w:t xml:space="preserve"> ¶ 57.</w:t>
      </w:r>
    </w:p>
  </w:footnote>
  <w:footnote w:id="2">
    <w:p w14:paraId="3953B365" w14:textId="517FC997" w:rsidR="00F27C4E" w:rsidRDefault="00F27C4E" w:rsidP="00F27C4E">
      <w:pPr>
        <w:pStyle w:val="FootnoteText"/>
      </w:pPr>
      <w:r>
        <w:rPr>
          <w:rStyle w:val="FootnoteReference"/>
        </w:rPr>
        <w:footnoteRef/>
      </w:r>
      <w:r>
        <w:t xml:space="preserve"> </w:t>
      </w:r>
      <w:r w:rsidR="00D557F3">
        <w:t xml:space="preserve">The </w:t>
      </w:r>
      <w:r>
        <w:t>ACP was a federal program that provided</w:t>
      </w:r>
      <w:r w:rsidRPr="008E3DF8">
        <w:t xml:space="preserve"> a discount of up to $30 per month for broadband services for eligible consumers. Additionally, the program provided a one-time device discount of up to $100 for a laptop, desktop computer, or tablet purchased through a participating provider. The ACP ended on June 1, 2024</w:t>
      </w:r>
      <w:r>
        <w:t>.</w:t>
      </w:r>
    </w:p>
  </w:footnote>
  <w:footnote w:id="3">
    <w:p w14:paraId="5B15F225" w14:textId="77777777" w:rsidR="0019167B" w:rsidRDefault="0019167B" w:rsidP="0019167B">
      <w:pPr>
        <w:pStyle w:val="FootnoteText"/>
      </w:pPr>
      <w:r>
        <w:rPr>
          <w:rStyle w:val="FootnoteReference"/>
        </w:rPr>
        <w:footnoteRef/>
      </w:r>
      <w:r>
        <w:t xml:space="preserve"> 47 U.S.C. § 153(11) (defining a common carrier as “any person engaged as a common carrier for hire, in interstate</w:t>
      </w:r>
    </w:p>
    <w:p w14:paraId="7560C405" w14:textId="39771E71" w:rsidR="0019167B" w:rsidRDefault="0019167B" w:rsidP="0019167B">
      <w:pPr>
        <w:pStyle w:val="FootnoteText"/>
      </w:pPr>
      <w:r>
        <w:t>or foreign communications by wire or radio . . . .”); 47 U.S.C. § 332(c)(1)(A) (treating commercial mobile service</w:t>
      </w:r>
      <w:r w:rsidR="004772C5">
        <w:t xml:space="preserve"> </w:t>
      </w:r>
      <w:r>
        <w:t>providers as common carriers).</w:t>
      </w:r>
    </w:p>
  </w:footnote>
  <w:footnote w:id="4">
    <w:p w14:paraId="1E895E43" w14:textId="12BBD490" w:rsidR="001C00A7" w:rsidRDefault="001C00A7">
      <w:pPr>
        <w:pStyle w:val="FootnoteText"/>
      </w:pPr>
      <w:r>
        <w:rPr>
          <w:rStyle w:val="FootnoteReference"/>
        </w:rPr>
        <w:footnoteRef/>
      </w:r>
      <w:r>
        <w:t xml:space="preserve"> </w:t>
      </w:r>
      <w:r w:rsidRPr="001C00A7">
        <w:t>LTE Wireless responses, January 16, 2026, Document No. 00263-2026.</w:t>
      </w:r>
    </w:p>
  </w:footnote>
  <w:footnote w:id="5">
    <w:p w14:paraId="1B61C161" w14:textId="5F01B1C9" w:rsidR="0036418E" w:rsidRDefault="0036418E">
      <w:pPr>
        <w:pStyle w:val="FootnoteText"/>
      </w:pPr>
      <w:r>
        <w:rPr>
          <w:rStyle w:val="FootnoteReference"/>
        </w:rPr>
        <w:footnoteRef/>
      </w:r>
      <w:r>
        <w:t xml:space="preserve"> New York DPS, Docket 24-02323, Withdrawal Letter, Filed February 3, 2025,</w:t>
      </w:r>
      <w:r w:rsidR="001A5964">
        <w:t xml:space="preserve"> </w:t>
      </w:r>
      <w:hyperlink r:id="rId2" w:history="1">
        <w:r w:rsidR="001A5964">
          <w:rPr>
            <w:rStyle w:val="Hyperlink"/>
          </w:rPr>
          <w:t>https://documents.dps.ny.gov/ public/MatterManagement/CaseMaster.aspx?MatterCaseNo=24-02323</w:t>
        </w:r>
      </w:hyperlink>
      <w:r w:rsidR="000B3432">
        <w:t>, a</w:t>
      </w:r>
      <w:r>
        <w:t>ccess</w:t>
      </w:r>
      <w:r w:rsidR="000B3432">
        <w:t>ed</w:t>
      </w:r>
      <w:r w:rsidR="001A5964">
        <w:t xml:space="preserve"> </w:t>
      </w:r>
      <w:r>
        <w:t xml:space="preserve">February </w:t>
      </w:r>
      <w:r w:rsidR="000B3432">
        <w:t>12</w:t>
      </w:r>
      <w:r>
        <w:t>, 2026.</w:t>
      </w:r>
    </w:p>
  </w:footnote>
  <w:footnote w:id="6">
    <w:p w14:paraId="104476CA" w14:textId="5F0E6122" w:rsidR="001459C5" w:rsidRDefault="001459C5" w:rsidP="0072279F">
      <w:pPr>
        <w:pStyle w:val="FootnoteText"/>
      </w:pPr>
      <w:r>
        <w:rPr>
          <w:rStyle w:val="FootnoteReference"/>
        </w:rPr>
        <w:footnoteRef/>
      </w:r>
      <w:r>
        <w:t xml:space="preserve"> </w:t>
      </w:r>
      <w:r w:rsidR="0072279F">
        <w:t xml:space="preserve">New York DPS, Docket No. 26-0230, </w:t>
      </w:r>
      <w:r w:rsidR="00B17395">
        <w:t xml:space="preserve">LTE Wireless ETC Wireless Petition, </w:t>
      </w:r>
      <w:r w:rsidR="0072279F">
        <w:t>filed February 2, 2026,</w:t>
      </w:r>
      <w:r w:rsidR="001A5964">
        <w:t xml:space="preserve"> </w:t>
      </w:r>
      <w:hyperlink r:id="rId3" w:history="1">
        <w:r w:rsidR="001A5964">
          <w:rPr>
            <w:rStyle w:val="Hyperlink"/>
          </w:rPr>
          <w:t>https:// documents.dps.ny.gov/public/MatterManagement/CaseMaster.aspx?MatterCaseNo=26-00230</w:t>
        </w:r>
      </w:hyperlink>
      <w:r w:rsidR="005662D7">
        <w:t xml:space="preserve">, </w:t>
      </w:r>
      <w:r w:rsidR="0072279F">
        <w:t xml:space="preserve">accessed February </w:t>
      </w:r>
      <w:r w:rsidR="00921C60">
        <w:t>12</w:t>
      </w:r>
      <w:r w:rsidR="0072279F">
        <w:t>, 2026</w:t>
      </w:r>
      <w:r w:rsidR="00750425">
        <w:t>.</w:t>
      </w:r>
      <w:r w:rsidR="0072279F">
        <w:t xml:space="preserve"> </w:t>
      </w:r>
    </w:p>
  </w:footnote>
  <w:footnote w:id="7">
    <w:p w14:paraId="2D8DE0FA" w14:textId="77777777" w:rsidR="0058061D" w:rsidRDefault="0058061D">
      <w:pPr>
        <w:pStyle w:val="FootnoteText"/>
      </w:pPr>
      <w:r>
        <w:rPr>
          <w:rStyle w:val="FootnoteReference"/>
        </w:rPr>
        <w:footnoteRef/>
      </w:r>
      <w:r>
        <w:t xml:space="preserve"> Docket No. 20240088-TP, </w:t>
      </w:r>
      <w:r w:rsidRPr="005718DD">
        <w:t>May 16, 2024</w:t>
      </w:r>
      <w:r>
        <w:t>.</w:t>
      </w:r>
    </w:p>
  </w:footnote>
  <w:footnote w:id="8">
    <w:p w14:paraId="36FC9623" w14:textId="77777777" w:rsidR="00F43EB1" w:rsidRDefault="00F43EB1">
      <w:pPr>
        <w:pStyle w:val="FootnoteText"/>
      </w:pPr>
      <w:r>
        <w:rPr>
          <w:rStyle w:val="FootnoteReference"/>
        </w:rPr>
        <w:footnoteRef/>
      </w:r>
      <w:r>
        <w:t xml:space="preserve"> </w:t>
      </w:r>
      <w:r w:rsidRPr="0094218A">
        <w:t>47 U.S.C. § 214(e) and 47 C.F.R. § 54.20. Carriers that do not meet the facilities-based requirements may submit a compliance plan to the FCC and seek forbearance from these requirements.</w:t>
      </w:r>
    </w:p>
  </w:footnote>
  <w:footnote w:id="9">
    <w:p w14:paraId="131882DA" w14:textId="77777777" w:rsidR="00F27C4E" w:rsidRDefault="00F27C4E" w:rsidP="00F27C4E">
      <w:pPr>
        <w:pStyle w:val="FootnoteText"/>
      </w:pPr>
      <w:r>
        <w:rPr>
          <w:rStyle w:val="FootnoteReference"/>
        </w:rPr>
        <w:footnoteRef/>
      </w:r>
      <w:r>
        <w:t xml:space="preserve"> </w:t>
      </w:r>
      <w:r w:rsidRPr="00C82049">
        <w:t>Docket No. 20240088-TP, Document No. 00093-2025</w:t>
      </w:r>
      <w:r>
        <w:t>.</w:t>
      </w:r>
    </w:p>
  </w:footnote>
  <w:footnote w:id="10">
    <w:p w14:paraId="2E609946" w14:textId="303E55FE" w:rsidR="009179C9" w:rsidRDefault="009179C9" w:rsidP="009179C9">
      <w:pPr>
        <w:pStyle w:val="FootnoteText"/>
      </w:pPr>
      <w:r>
        <w:rPr>
          <w:rStyle w:val="FootnoteReference"/>
        </w:rPr>
        <w:footnoteRef/>
      </w:r>
      <w:r>
        <w:t xml:space="preserve"> LTE Wireless </w:t>
      </w:r>
      <w:r w:rsidR="0089219F">
        <w:t>does not have a compliance plan approved by the FCC.</w:t>
      </w:r>
    </w:p>
    <w:p w14:paraId="4AE4CF1F" w14:textId="77777777" w:rsidR="009179C9" w:rsidRDefault="009179C9">
      <w:pPr>
        <w:pStyle w:val="FootnoteText"/>
      </w:pPr>
    </w:p>
  </w:footnote>
  <w:footnote w:id="11">
    <w:p w14:paraId="46EAB70C" w14:textId="77777777" w:rsidR="00F27C4E" w:rsidRDefault="00F27C4E" w:rsidP="00F27C4E">
      <w:pPr>
        <w:pStyle w:val="FootnoteText"/>
      </w:pPr>
      <w:r>
        <w:rPr>
          <w:rStyle w:val="FootnoteReference"/>
        </w:rPr>
        <w:footnoteRef/>
      </w:r>
      <w:r>
        <w:t xml:space="preserve"> </w:t>
      </w:r>
      <w:r w:rsidRPr="00CB46C6">
        <w:t>47 C.F.R. § 254(e)</w:t>
      </w:r>
      <w:r w:rsidR="007423FD">
        <w:t>.</w:t>
      </w:r>
    </w:p>
  </w:footnote>
  <w:footnote w:id="12">
    <w:p w14:paraId="357D1895" w14:textId="77777777" w:rsidR="00F27C4E" w:rsidRDefault="00F27C4E" w:rsidP="00F27C4E">
      <w:pPr>
        <w:pStyle w:val="FootnoteText"/>
      </w:pPr>
      <w:r>
        <w:rPr>
          <w:rStyle w:val="FootnoteReference"/>
        </w:rPr>
        <w:footnoteRef/>
      </w:r>
      <w:r>
        <w:t xml:space="preserve"> </w:t>
      </w:r>
      <w:r w:rsidRPr="00CB46C6">
        <w:t>47 U.S.C. § 214(e)(1), 47 C.F.R. § 54.101, 47 C.F.R. § 54.201, and 47 C.F.R. § 54.401</w:t>
      </w:r>
      <w:r>
        <w:t>.</w:t>
      </w:r>
    </w:p>
  </w:footnote>
  <w:footnote w:id="13">
    <w:p w14:paraId="1B24E213" w14:textId="77777777" w:rsidR="00F27C4E" w:rsidRDefault="00F27C4E" w:rsidP="00F27C4E">
      <w:pPr>
        <w:pStyle w:val="FootnoteText"/>
      </w:pPr>
      <w:r>
        <w:rPr>
          <w:rStyle w:val="FootnoteReference"/>
        </w:rPr>
        <w:footnoteRef/>
      </w:r>
      <w:r>
        <w:t xml:space="preserve"> Broadband Internet Access Service (BIAS) is defined as a mass-market retail service that provides the capability to transmit and receive data, but excluding dial-up service.</w:t>
      </w:r>
    </w:p>
  </w:footnote>
  <w:footnote w:id="14">
    <w:p w14:paraId="7101B37D" w14:textId="228E6EB3" w:rsidR="00F27C4E" w:rsidRDefault="00F27C4E" w:rsidP="00F27C4E">
      <w:pPr>
        <w:pStyle w:val="FootnoteText"/>
      </w:pPr>
      <w:r>
        <w:rPr>
          <w:rStyle w:val="FootnoteReference"/>
        </w:rPr>
        <w:footnoteRef/>
      </w:r>
      <w:r w:rsidR="00847167">
        <w:t xml:space="preserve"> </w:t>
      </w:r>
      <w:r>
        <w:t>Section 364.105, F.S</w:t>
      </w:r>
      <w:r w:rsidR="00021134">
        <w:t>.</w:t>
      </w:r>
      <w:r w:rsidR="00DA2538">
        <w:t>,</w:t>
      </w:r>
      <w:r>
        <w:t xml:space="preserve"> states that each ETC shall offer a residential basic local telecommunications service at 70 percent of the residential local telecommunications service rate for any Lifeline subscriber who no longer qualifies for Lifeline for a period of 1 year after the date the subscriber ceases to qualify for Lifeline.</w:t>
      </w:r>
    </w:p>
  </w:footnote>
  <w:footnote w:id="15">
    <w:p w14:paraId="694FB247" w14:textId="77777777" w:rsidR="00F27C4E" w:rsidRDefault="00F27C4E" w:rsidP="00F27C4E">
      <w:pPr>
        <w:pStyle w:val="FootnoteText"/>
      </w:pPr>
      <w:r>
        <w:rPr>
          <w:rStyle w:val="FootnoteReference"/>
        </w:rPr>
        <w:footnoteRef/>
      </w:r>
      <w:r>
        <w:t xml:space="preserve"> Rule 25-4.0665(3), F.A.C. The Lifeline Promotion Process is an electronic system developed in collaboration with the Florida Department of Children and Families, ETCs and the FPSC. This system helps assist ETCs and the FPSC in providing information on how to apply for Lifeline assistance to eligible customers.</w:t>
      </w:r>
    </w:p>
  </w:footnote>
  <w:footnote w:id="16">
    <w:p w14:paraId="48694397" w14:textId="0A88DA2A" w:rsidR="00851247" w:rsidRDefault="00851247" w:rsidP="00847167">
      <w:pPr>
        <w:shd w:val="clear" w:color="auto" w:fill="FFFFFF"/>
        <w:jc w:val="both"/>
      </w:pPr>
      <w:r>
        <w:rPr>
          <w:rStyle w:val="FootnoteReference"/>
        </w:rPr>
        <w:footnoteRef/>
      </w:r>
      <w:r>
        <w:t xml:space="preserve"> </w:t>
      </w:r>
      <w:r w:rsidRPr="00296336">
        <w:rPr>
          <w:i/>
          <w:color w:val="3D3D3D"/>
          <w:sz w:val="20"/>
          <w:szCs w:val="20"/>
          <w:bdr w:val="none" w:sz="0" w:space="0" w:color="auto" w:frame="1"/>
        </w:rPr>
        <w:t>See</w:t>
      </w:r>
      <w:r w:rsidRPr="00296336">
        <w:rPr>
          <w:color w:val="3D3D3D"/>
          <w:sz w:val="20"/>
          <w:szCs w:val="20"/>
          <w:bdr w:val="none" w:sz="0" w:space="0" w:color="auto" w:frame="1"/>
        </w:rPr>
        <w:t xml:space="preserve"> </w:t>
      </w:r>
      <w:r w:rsidRPr="00296336">
        <w:rPr>
          <w:i/>
          <w:color w:val="3D3D3D"/>
          <w:sz w:val="20"/>
          <w:szCs w:val="20"/>
          <w:bdr w:val="none" w:sz="0" w:space="0" w:color="auto" w:frame="1"/>
        </w:rPr>
        <w:t>Balino v. Dep't of Health &amp; Rehab. Servs.</w:t>
      </w:r>
      <w:r w:rsidRPr="00296336">
        <w:rPr>
          <w:color w:val="000000"/>
          <w:sz w:val="20"/>
          <w:szCs w:val="20"/>
        </w:rPr>
        <w:t>, 348 So. 2d 349, 350 (Fla.1st DCA 1977) (“the burden of proof, apart from statute, is on the party asserting the affirmative of an issue before an administrative tribunal”).</w:t>
      </w:r>
    </w:p>
  </w:footnote>
  <w:footnote w:id="17">
    <w:p w14:paraId="4451F6D9" w14:textId="01B3E3C3" w:rsidR="00FA5108" w:rsidRDefault="00FA5108" w:rsidP="00FA5108">
      <w:pPr>
        <w:pStyle w:val="FootnoteText"/>
      </w:pPr>
      <w:r>
        <w:rPr>
          <w:rStyle w:val="FootnoteReference"/>
        </w:rPr>
        <w:footnoteRef/>
      </w:r>
      <w:r>
        <w:t xml:space="preserve"> IUC, Docket M-4633</w:t>
      </w:r>
      <w:r w:rsidR="0034378A">
        <w:t>. This same document was a</w:t>
      </w:r>
      <w:r w:rsidR="00741929">
        <w:t xml:space="preserve">lso filed </w:t>
      </w:r>
      <w:r w:rsidR="0034378A">
        <w:t>in</w:t>
      </w:r>
      <w:r w:rsidR="00735D22">
        <w:t xml:space="preserve"> FPSC Docket 20250137-TP </w:t>
      </w:r>
      <w:r w:rsidR="0034378A">
        <w:t>(</w:t>
      </w:r>
      <w:r w:rsidR="00735D22">
        <w:t xml:space="preserve">Document No. </w:t>
      </w:r>
      <w:r>
        <w:t xml:space="preserve"> </w:t>
      </w:r>
      <w:r w:rsidR="00735D22" w:rsidRPr="00735D22">
        <w:t>01076-2026</w:t>
      </w:r>
      <w:r w:rsidR="0034378A">
        <w:t>)</w:t>
      </w:r>
      <w:r w:rsidR="00741929">
        <w:t>.</w:t>
      </w:r>
    </w:p>
  </w:footnote>
  <w:footnote w:id="18">
    <w:p w14:paraId="1777CE5B" w14:textId="449AD35B" w:rsidR="00FA5108" w:rsidRDefault="00FA5108" w:rsidP="00FA5108">
      <w:pPr>
        <w:pStyle w:val="FootnoteText"/>
      </w:pPr>
      <w:r>
        <w:rPr>
          <w:rStyle w:val="FootnoteReference"/>
        </w:rPr>
        <w:footnoteRef/>
      </w:r>
      <w:r w:rsidR="00741929">
        <w:t xml:space="preserve"> </w:t>
      </w:r>
      <w:r>
        <w:t>IUC, Docket ETA-2025-0004, Docketed September 10, 2024</w:t>
      </w:r>
      <w:r w:rsidR="0034378A">
        <w:t>. This same document was a</w:t>
      </w:r>
      <w:r w:rsidR="00741929">
        <w:t xml:space="preserve">lso filed </w:t>
      </w:r>
      <w:r w:rsidR="0034378A">
        <w:t>in</w:t>
      </w:r>
      <w:r w:rsidR="00735D22">
        <w:t xml:space="preserve"> </w:t>
      </w:r>
      <w:r w:rsidR="00735D22" w:rsidRPr="00735D22">
        <w:t xml:space="preserve">FPSC Docket 20250137-TP </w:t>
      </w:r>
      <w:r w:rsidR="0034378A">
        <w:t>(</w:t>
      </w:r>
      <w:r w:rsidR="00735D22" w:rsidRPr="00735D22">
        <w:t xml:space="preserve">Document No.  </w:t>
      </w:r>
      <w:r w:rsidR="00741929" w:rsidRPr="00741929">
        <w:t>01075-2026</w:t>
      </w:r>
      <w:r w:rsidR="0034378A">
        <w:t>)</w:t>
      </w:r>
      <w:r w:rsidR="00741929">
        <w:t>.</w:t>
      </w:r>
    </w:p>
  </w:footnote>
  <w:footnote w:id="19">
    <w:p w14:paraId="45BC3E03" w14:textId="1F64A78A" w:rsidR="00CD3AE7" w:rsidRDefault="00CD3AE7">
      <w:pPr>
        <w:pStyle w:val="FootnoteText"/>
      </w:pPr>
      <w:r>
        <w:rPr>
          <w:rStyle w:val="FootnoteReference"/>
        </w:rPr>
        <w:footnoteRef/>
      </w:r>
      <w:r>
        <w:t xml:space="preserve"> Staff notes that in its petition and data request response, LTE Wireless name did not match that with the Florida Department of State, </w:t>
      </w:r>
      <w:r w:rsidR="001033CF">
        <w:t xml:space="preserve">it </w:t>
      </w:r>
      <w:r>
        <w:t xml:space="preserve">did not corrected </w:t>
      </w:r>
      <w:r w:rsidR="001033CF">
        <w:t xml:space="preserve">the issue </w:t>
      </w:r>
      <w:r>
        <w:t>when prompted, nor include requested service area map.</w:t>
      </w:r>
    </w:p>
  </w:footnote>
  <w:footnote w:id="20">
    <w:p w14:paraId="73083ACF" w14:textId="77777777" w:rsidR="00987CEC" w:rsidRDefault="00987CEC">
      <w:pPr>
        <w:pStyle w:val="FootnoteText"/>
      </w:pPr>
      <w:r>
        <w:rPr>
          <w:rStyle w:val="FootnoteReference"/>
        </w:rPr>
        <w:footnoteRef/>
      </w:r>
      <w:r>
        <w:t xml:space="preserve"> </w:t>
      </w:r>
      <w:r w:rsidRPr="008D663F">
        <w:t>47 C.F.R. § 54.20</w:t>
      </w:r>
      <w:r>
        <w:t>1(d</w:t>
      </w:r>
      <w:r w:rsidR="00537822">
        <w:t>)(1)</w:t>
      </w:r>
      <w:r w:rsidR="0041223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7F2E9" w14:textId="77777777" w:rsidR="001972D5" w:rsidRDefault="00197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0FDF9" w14:textId="77777777" w:rsidR="00BC402E" w:rsidRDefault="00F27C4E"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20250138-TP</w:t>
    </w:r>
    <w:bookmarkEnd w:id="15"/>
  </w:p>
  <w:p w14:paraId="1CDBEC69" w14:textId="4EAABF42" w:rsidR="00BC402E" w:rsidRDefault="00BC402E">
    <w:pPr>
      <w:pStyle w:val="Header"/>
    </w:pPr>
    <w:r>
      <w:t xml:space="preserve">Date: </w:t>
    </w:r>
    <w:r w:rsidR="009D6CC2">
      <w:fldChar w:fldCharType="begin"/>
    </w:r>
    <w:r w:rsidR="009D6CC2">
      <w:instrText xml:space="preserve"> REF FilingDate </w:instrText>
    </w:r>
    <w:r w:rsidR="009D6CC2">
      <w:fldChar w:fldCharType="separate"/>
    </w:r>
    <w:r w:rsidR="001972D5">
      <w:t>February 19, 2026</w:t>
    </w:r>
    <w:r w:rsidR="009D6CC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38357" w14:textId="77777777" w:rsidR="001972D5" w:rsidRDefault="001972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FBE30" w14:textId="2520E31D"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972D5">
      <w:t>Docket No.</w:t>
    </w:r>
    <w:r>
      <w:fldChar w:fldCharType="end"/>
    </w:r>
    <w:r>
      <w:t xml:space="preserve"> </w:t>
    </w:r>
    <w:r>
      <w:fldChar w:fldCharType="begin"/>
    </w:r>
    <w:r>
      <w:instrText xml:space="preserve"> REF DocketList</w:instrText>
    </w:r>
    <w:r>
      <w:fldChar w:fldCharType="separate"/>
    </w:r>
    <w:r w:rsidR="001972D5">
      <w:t>20250138-TP</w:t>
    </w:r>
    <w:r>
      <w:fldChar w:fldCharType="end"/>
    </w:r>
    <w:r>
      <w:tab/>
      <w:t xml:space="preserve">Issue </w:t>
    </w:r>
    <w:fldSimple w:instr=" Seq Issue \c \* Arabic ">
      <w:r w:rsidR="00D52698">
        <w:rPr>
          <w:noProof/>
        </w:rPr>
        <w:t>2</w:t>
      </w:r>
    </w:fldSimple>
  </w:p>
  <w:p w14:paraId="759028A7" w14:textId="0C165B5D" w:rsidR="00BC402E" w:rsidRDefault="00BC402E">
    <w:pPr>
      <w:pStyle w:val="Header"/>
    </w:pPr>
    <w:r>
      <w:t xml:space="preserve">Date: </w:t>
    </w:r>
    <w:r w:rsidR="009D6CC2">
      <w:fldChar w:fldCharType="begin"/>
    </w:r>
    <w:r w:rsidR="009D6CC2">
      <w:instrText xml:space="preserve"> REF FilingDate </w:instrText>
    </w:r>
    <w:r w:rsidR="009D6CC2">
      <w:fldChar w:fldCharType="separate"/>
    </w:r>
    <w:r w:rsidR="001972D5">
      <w:t>February 19, 2026</w:t>
    </w:r>
    <w:r w:rsidR="009D6CC2">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07674"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D5750A9"/>
    <w:multiLevelType w:val="hybridMultilevel"/>
    <w:tmpl w:val="39C806AA"/>
    <w:lvl w:ilvl="0" w:tplc="083E6B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D5141A"/>
    <w:multiLevelType w:val="hybridMultilevel"/>
    <w:tmpl w:val="5D12D894"/>
    <w:lvl w:ilvl="0" w:tplc="75AEF2DA">
      <w:start w:val="1"/>
      <w:numFmt w:val="decimal"/>
      <w:lvlText w:val="%1)"/>
      <w:lvlJc w:val="left"/>
      <w:pPr>
        <w:ind w:left="720" w:hanging="360"/>
      </w:pPr>
      <w:rPr>
        <w:rFonts w:ascii="Times New Roman" w:eastAsia="Times New Roman" w:hAnsi="Times New Roman" w:cs="Times New Roman"/>
      </w:rPr>
    </w:lvl>
    <w:lvl w:ilvl="1" w:tplc="63C291A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27C4E"/>
    <w:rsid w:val="000043D5"/>
    <w:rsid w:val="00006170"/>
    <w:rsid w:val="00010E37"/>
    <w:rsid w:val="0001519E"/>
    <w:rsid w:val="000172DA"/>
    <w:rsid w:val="00021134"/>
    <w:rsid w:val="00022008"/>
    <w:rsid w:val="00022337"/>
    <w:rsid w:val="00023A0E"/>
    <w:rsid w:val="000247C5"/>
    <w:rsid w:val="000277C2"/>
    <w:rsid w:val="00035B48"/>
    <w:rsid w:val="00036CE2"/>
    <w:rsid w:val="00042AAA"/>
    <w:rsid w:val="000437FE"/>
    <w:rsid w:val="000513BE"/>
    <w:rsid w:val="00051573"/>
    <w:rsid w:val="00052DDD"/>
    <w:rsid w:val="0005451B"/>
    <w:rsid w:val="0005623D"/>
    <w:rsid w:val="00064745"/>
    <w:rsid w:val="00065A06"/>
    <w:rsid w:val="000666F3"/>
    <w:rsid w:val="00066C79"/>
    <w:rsid w:val="00070DCB"/>
    <w:rsid w:val="00072CCA"/>
    <w:rsid w:val="00073120"/>
    <w:rsid w:val="000764D0"/>
    <w:rsid w:val="00076AF5"/>
    <w:rsid w:val="00077F77"/>
    <w:rsid w:val="000828D3"/>
    <w:rsid w:val="00087A0E"/>
    <w:rsid w:val="00090DB4"/>
    <w:rsid w:val="00090EBC"/>
    <w:rsid w:val="00097804"/>
    <w:rsid w:val="000A2B57"/>
    <w:rsid w:val="000A418B"/>
    <w:rsid w:val="000B0ACE"/>
    <w:rsid w:val="000B1062"/>
    <w:rsid w:val="000B3432"/>
    <w:rsid w:val="000C2BC5"/>
    <w:rsid w:val="000C336E"/>
    <w:rsid w:val="000C4431"/>
    <w:rsid w:val="000C5435"/>
    <w:rsid w:val="000C6607"/>
    <w:rsid w:val="000C7DF5"/>
    <w:rsid w:val="000D1C06"/>
    <w:rsid w:val="000D3043"/>
    <w:rsid w:val="000D4319"/>
    <w:rsid w:val="000D44CD"/>
    <w:rsid w:val="000D4831"/>
    <w:rsid w:val="000D6DE9"/>
    <w:rsid w:val="000E24FA"/>
    <w:rsid w:val="000E338A"/>
    <w:rsid w:val="000E4392"/>
    <w:rsid w:val="000E620E"/>
    <w:rsid w:val="000E6A98"/>
    <w:rsid w:val="000F244D"/>
    <w:rsid w:val="000F374A"/>
    <w:rsid w:val="000F4DAF"/>
    <w:rsid w:val="000F53C1"/>
    <w:rsid w:val="000F784C"/>
    <w:rsid w:val="00100E76"/>
    <w:rsid w:val="001033CF"/>
    <w:rsid w:val="001054C1"/>
    <w:rsid w:val="00105BA1"/>
    <w:rsid w:val="001066FE"/>
    <w:rsid w:val="001076AF"/>
    <w:rsid w:val="001109F6"/>
    <w:rsid w:val="00116C6B"/>
    <w:rsid w:val="00117C8C"/>
    <w:rsid w:val="001239F0"/>
    <w:rsid w:val="00124C38"/>
    <w:rsid w:val="00124E2E"/>
    <w:rsid w:val="0012574C"/>
    <w:rsid w:val="00125ED4"/>
    <w:rsid w:val="00126ECB"/>
    <w:rsid w:val="00127E1E"/>
    <w:rsid w:val="001303BF"/>
    <w:rsid w:val="001305E9"/>
    <w:rsid w:val="001307AF"/>
    <w:rsid w:val="0013347E"/>
    <w:rsid w:val="00135687"/>
    <w:rsid w:val="00136BD1"/>
    <w:rsid w:val="0014571A"/>
    <w:rsid w:val="001459C5"/>
    <w:rsid w:val="00146B5D"/>
    <w:rsid w:val="00147D7B"/>
    <w:rsid w:val="00150ECE"/>
    <w:rsid w:val="0015506E"/>
    <w:rsid w:val="00157CCC"/>
    <w:rsid w:val="00160199"/>
    <w:rsid w:val="00163031"/>
    <w:rsid w:val="001654C4"/>
    <w:rsid w:val="0016701C"/>
    <w:rsid w:val="00171419"/>
    <w:rsid w:val="00171A90"/>
    <w:rsid w:val="00176368"/>
    <w:rsid w:val="00180254"/>
    <w:rsid w:val="00183958"/>
    <w:rsid w:val="00186EDF"/>
    <w:rsid w:val="0019167B"/>
    <w:rsid w:val="00191E1F"/>
    <w:rsid w:val="00191EE8"/>
    <w:rsid w:val="00192943"/>
    <w:rsid w:val="00193BAF"/>
    <w:rsid w:val="00194791"/>
    <w:rsid w:val="00195769"/>
    <w:rsid w:val="001972D5"/>
    <w:rsid w:val="001A1DF2"/>
    <w:rsid w:val="001A206F"/>
    <w:rsid w:val="001A3B40"/>
    <w:rsid w:val="001A5964"/>
    <w:rsid w:val="001A7406"/>
    <w:rsid w:val="001A7AE4"/>
    <w:rsid w:val="001A7DF5"/>
    <w:rsid w:val="001B1EDC"/>
    <w:rsid w:val="001B4053"/>
    <w:rsid w:val="001B4FEE"/>
    <w:rsid w:val="001B51C5"/>
    <w:rsid w:val="001B672A"/>
    <w:rsid w:val="001B6F3F"/>
    <w:rsid w:val="001C00A7"/>
    <w:rsid w:val="001C13F4"/>
    <w:rsid w:val="001C52B5"/>
    <w:rsid w:val="001D0D3E"/>
    <w:rsid w:val="001D2817"/>
    <w:rsid w:val="001D2899"/>
    <w:rsid w:val="001D6FDE"/>
    <w:rsid w:val="001E14A3"/>
    <w:rsid w:val="001E390F"/>
    <w:rsid w:val="001E7FF4"/>
    <w:rsid w:val="001F2245"/>
    <w:rsid w:val="001F2C63"/>
    <w:rsid w:val="001F48C7"/>
    <w:rsid w:val="001F5DB2"/>
    <w:rsid w:val="001F6DA1"/>
    <w:rsid w:val="00200178"/>
    <w:rsid w:val="00204200"/>
    <w:rsid w:val="002044E6"/>
    <w:rsid w:val="00205C82"/>
    <w:rsid w:val="00205DC2"/>
    <w:rsid w:val="0021267A"/>
    <w:rsid w:val="00212B17"/>
    <w:rsid w:val="002163B6"/>
    <w:rsid w:val="00217215"/>
    <w:rsid w:val="00220732"/>
    <w:rsid w:val="0022121F"/>
    <w:rsid w:val="00221D32"/>
    <w:rsid w:val="00222AC1"/>
    <w:rsid w:val="00225C3F"/>
    <w:rsid w:val="00226ED6"/>
    <w:rsid w:val="002335A0"/>
    <w:rsid w:val="002365B5"/>
    <w:rsid w:val="00241698"/>
    <w:rsid w:val="002425A1"/>
    <w:rsid w:val="00245756"/>
    <w:rsid w:val="00251613"/>
    <w:rsid w:val="00263D44"/>
    <w:rsid w:val="00264926"/>
    <w:rsid w:val="002702AD"/>
    <w:rsid w:val="00281EB4"/>
    <w:rsid w:val="00292C23"/>
    <w:rsid w:val="00292CD0"/>
    <w:rsid w:val="00292D82"/>
    <w:rsid w:val="00293EE7"/>
    <w:rsid w:val="002963CB"/>
    <w:rsid w:val="002B2DAC"/>
    <w:rsid w:val="002B4A01"/>
    <w:rsid w:val="002C291B"/>
    <w:rsid w:val="002C3C93"/>
    <w:rsid w:val="002C746A"/>
    <w:rsid w:val="002C7E4E"/>
    <w:rsid w:val="002D226D"/>
    <w:rsid w:val="002D4C1F"/>
    <w:rsid w:val="002D74E3"/>
    <w:rsid w:val="002E1C90"/>
    <w:rsid w:val="002E49AE"/>
    <w:rsid w:val="002F6030"/>
    <w:rsid w:val="002F7AB2"/>
    <w:rsid w:val="003001AC"/>
    <w:rsid w:val="003037E1"/>
    <w:rsid w:val="00307E51"/>
    <w:rsid w:val="003103EC"/>
    <w:rsid w:val="003110F0"/>
    <w:rsid w:val="00312132"/>
    <w:rsid w:val="003127DB"/>
    <w:rsid w:val="003130BA"/>
    <w:rsid w:val="003144EF"/>
    <w:rsid w:val="0031480E"/>
    <w:rsid w:val="00316877"/>
    <w:rsid w:val="00322F74"/>
    <w:rsid w:val="00324218"/>
    <w:rsid w:val="00325E15"/>
    <w:rsid w:val="00334975"/>
    <w:rsid w:val="00335116"/>
    <w:rsid w:val="00340073"/>
    <w:rsid w:val="003411D8"/>
    <w:rsid w:val="0034192C"/>
    <w:rsid w:val="0034378A"/>
    <w:rsid w:val="003445B0"/>
    <w:rsid w:val="00345A01"/>
    <w:rsid w:val="00353B66"/>
    <w:rsid w:val="00355934"/>
    <w:rsid w:val="00357928"/>
    <w:rsid w:val="0036010E"/>
    <w:rsid w:val="003632FD"/>
    <w:rsid w:val="0036418E"/>
    <w:rsid w:val="00370F78"/>
    <w:rsid w:val="00371404"/>
    <w:rsid w:val="00372805"/>
    <w:rsid w:val="00373180"/>
    <w:rsid w:val="00375AB9"/>
    <w:rsid w:val="0037691E"/>
    <w:rsid w:val="003821A0"/>
    <w:rsid w:val="003835EC"/>
    <w:rsid w:val="00385B04"/>
    <w:rsid w:val="003864CF"/>
    <w:rsid w:val="003948AE"/>
    <w:rsid w:val="003A08C0"/>
    <w:rsid w:val="003A22A6"/>
    <w:rsid w:val="003A2C47"/>
    <w:rsid w:val="003A32EB"/>
    <w:rsid w:val="003A5494"/>
    <w:rsid w:val="003B2510"/>
    <w:rsid w:val="003B2A0F"/>
    <w:rsid w:val="003B3988"/>
    <w:rsid w:val="003B4355"/>
    <w:rsid w:val="003B4D0E"/>
    <w:rsid w:val="003B5D0A"/>
    <w:rsid w:val="003C2CC4"/>
    <w:rsid w:val="003C3710"/>
    <w:rsid w:val="003C42A3"/>
    <w:rsid w:val="003C48F7"/>
    <w:rsid w:val="003C7E6B"/>
    <w:rsid w:val="003E0463"/>
    <w:rsid w:val="003E0EFC"/>
    <w:rsid w:val="003E4A2B"/>
    <w:rsid w:val="003E5BDD"/>
    <w:rsid w:val="003E651A"/>
    <w:rsid w:val="003E6FE9"/>
    <w:rsid w:val="003E76C2"/>
    <w:rsid w:val="003F1367"/>
    <w:rsid w:val="003F1679"/>
    <w:rsid w:val="003F21EB"/>
    <w:rsid w:val="003F4A35"/>
    <w:rsid w:val="003F5F03"/>
    <w:rsid w:val="003F64D8"/>
    <w:rsid w:val="003F7FDD"/>
    <w:rsid w:val="00400DB5"/>
    <w:rsid w:val="00400E4A"/>
    <w:rsid w:val="00402101"/>
    <w:rsid w:val="00402481"/>
    <w:rsid w:val="00402978"/>
    <w:rsid w:val="00402A9F"/>
    <w:rsid w:val="004042B4"/>
    <w:rsid w:val="00404A3B"/>
    <w:rsid w:val="004072FC"/>
    <w:rsid w:val="00410DC4"/>
    <w:rsid w:val="00412237"/>
    <w:rsid w:val="00412DAE"/>
    <w:rsid w:val="00412F61"/>
    <w:rsid w:val="0041302D"/>
    <w:rsid w:val="004134ED"/>
    <w:rsid w:val="0041464A"/>
    <w:rsid w:val="004242E6"/>
    <w:rsid w:val="00427B35"/>
    <w:rsid w:val="00431598"/>
    <w:rsid w:val="004319AD"/>
    <w:rsid w:val="00431A79"/>
    <w:rsid w:val="004426B8"/>
    <w:rsid w:val="00444432"/>
    <w:rsid w:val="0044461F"/>
    <w:rsid w:val="00447D5C"/>
    <w:rsid w:val="00450202"/>
    <w:rsid w:val="004502B2"/>
    <w:rsid w:val="00451954"/>
    <w:rsid w:val="00455499"/>
    <w:rsid w:val="004609AC"/>
    <w:rsid w:val="00460EA1"/>
    <w:rsid w:val="00461C4B"/>
    <w:rsid w:val="00464777"/>
    <w:rsid w:val="004649A7"/>
    <w:rsid w:val="00464E84"/>
    <w:rsid w:val="00466221"/>
    <w:rsid w:val="00467DBC"/>
    <w:rsid w:val="00471860"/>
    <w:rsid w:val="00471DFE"/>
    <w:rsid w:val="00477026"/>
    <w:rsid w:val="004772C5"/>
    <w:rsid w:val="00477730"/>
    <w:rsid w:val="00477840"/>
    <w:rsid w:val="00492FE9"/>
    <w:rsid w:val="004A744D"/>
    <w:rsid w:val="004B60BD"/>
    <w:rsid w:val="004C3150"/>
    <w:rsid w:val="004C3641"/>
    <w:rsid w:val="004C3873"/>
    <w:rsid w:val="004C4390"/>
    <w:rsid w:val="004C4AF7"/>
    <w:rsid w:val="004C6C73"/>
    <w:rsid w:val="004C7501"/>
    <w:rsid w:val="004D020C"/>
    <w:rsid w:val="004D2881"/>
    <w:rsid w:val="004D2D7D"/>
    <w:rsid w:val="004D385F"/>
    <w:rsid w:val="004D5B39"/>
    <w:rsid w:val="004D7976"/>
    <w:rsid w:val="004E0CEA"/>
    <w:rsid w:val="004E330D"/>
    <w:rsid w:val="004E4985"/>
    <w:rsid w:val="004E5147"/>
    <w:rsid w:val="004E69B5"/>
    <w:rsid w:val="004F3305"/>
    <w:rsid w:val="004F36CB"/>
    <w:rsid w:val="004F50D1"/>
    <w:rsid w:val="004F5C43"/>
    <w:rsid w:val="004F70F8"/>
    <w:rsid w:val="00501386"/>
    <w:rsid w:val="00504124"/>
    <w:rsid w:val="005050A2"/>
    <w:rsid w:val="00506030"/>
    <w:rsid w:val="0050652D"/>
    <w:rsid w:val="00506C03"/>
    <w:rsid w:val="00511A11"/>
    <w:rsid w:val="00514A97"/>
    <w:rsid w:val="00516496"/>
    <w:rsid w:val="00516703"/>
    <w:rsid w:val="00522E7D"/>
    <w:rsid w:val="00523B11"/>
    <w:rsid w:val="0052455B"/>
    <w:rsid w:val="0052572A"/>
    <w:rsid w:val="00527056"/>
    <w:rsid w:val="005312D3"/>
    <w:rsid w:val="00532DFB"/>
    <w:rsid w:val="00535D3B"/>
    <w:rsid w:val="00537822"/>
    <w:rsid w:val="00543CB3"/>
    <w:rsid w:val="005442E4"/>
    <w:rsid w:val="00546FC9"/>
    <w:rsid w:val="00547652"/>
    <w:rsid w:val="00553608"/>
    <w:rsid w:val="0055529B"/>
    <w:rsid w:val="00560E41"/>
    <w:rsid w:val="00560FF0"/>
    <w:rsid w:val="005614BD"/>
    <w:rsid w:val="005662D7"/>
    <w:rsid w:val="0057154F"/>
    <w:rsid w:val="00571705"/>
    <w:rsid w:val="005718DD"/>
    <w:rsid w:val="0058061D"/>
    <w:rsid w:val="00580F69"/>
    <w:rsid w:val="00581CA3"/>
    <w:rsid w:val="00585031"/>
    <w:rsid w:val="00586985"/>
    <w:rsid w:val="00586E8B"/>
    <w:rsid w:val="00587090"/>
    <w:rsid w:val="00587A44"/>
    <w:rsid w:val="00596588"/>
    <w:rsid w:val="00597730"/>
    <w:rsid w:val="005977EC"/>
    <w:rsid w:val="00597DE7"/>
    <w:rsid w:val="005A1CD3"/>
    <w:rsid w:val="005A4AA2"/>
    <w:rsid w:val="005A5994"/>
    <w:rsid w:val="005B34B6"/>
    <w:rsid w:val="005B606A"/>
    <w:rsid w:val="005B6839"/>
    <w:rsid w:val="005B6C8F"/>
    <w:rsid w:val="005B6EC3"/>
    <w:rsid w:val="005C01E1"/>
    <w:rsid w:val="005C17D7"/>
    <w:rsid w:val="005C33CE"/>
    <w:rsid w:val="005C51D5"/>
    <w:rsid w:val="005C6281"/>
    <w:rsid w:val="005C6C4A"/>
    <w:rsid w:val="005D0F74"/>
    <w:rsid w:val="005D2E7D"/>
    <w:rsid w:val="005D3B52"/>
    <w:rsid w:val="005D4A8F"/>
    <w:rsid w:val="005D561B"/>
    <w:rsid w:val="005D578F"/>
    <w:rsid w:val="005D5ECF"/>
    <w:rsid w:val="005F468D"/>
    <w:rsid w:val="005F5556"/>
    <w:rsid w:val="005F59B0"/>
    <w:rsid w:val="005F69A3"/>
    <w:rsid w:val="00604CC7"/>
    <w:rsid w:val="00613441"/>
    <w:rsid w:val="00615423"/>
    <w:rsid w:val="006165B2"/>
    <w:rsid w:val="00617276"/>
    <w:rsid w:val="0062527B"/>
    <w:rsid w:val="00625499"/>
    <w:rsid w:val="00625D97"/>
    <w:rsid w:val="00625F1C"/>
    <w:rsid w:val="0062658E"/>
    <w:rsid w:val="006279E1"/>
    <w:rsid w:val="00630CEB"/>
    <w:rsid w:val="00632264"/>
    <w:rsid w:val="00633C7B"/>
    <w:rsid w:val="00633FE0"/>
    <w:rsid w:val="006355F2"/>
    <w:rsid w:val="006409E1"/>
    <w:rsid w:val="006470BC"/>
    <w:rsid w:val="0065040F"/>
    <w:rsid w:val="006554D3"/>
    <w:rsid w:val="006603F4"/>
    <w:rsid w:val="00661708"/>
    <w:rsid w:val="00666522"/>
    <w:rsid w:val="00667036"/>
    <w:rsid w:val="00667B89"/>
    <w:rsid w:val="00672E46"/>
    <w:rsid w:val="00673BDB"/>
    <w:rsid w:val="00674341"/>
    <w:rsid w:val="006771B8"/>
    <w:rsid w:val="00682631"/>
    <w:rsid w:val="00683A89"/>
    <w:rsid w:val="006843B6"/>
    <w:rsid w:val="0068481F"/>
    <w:rsid w:val="006937CC"/>
    <w:rsid w:val="00693EA1"/>
    <w:rsid w:val="00695E36"/>
    <w:rsid w:val="0069636F"/>
    <w:rsid w:val="00696F5D"/>
    <w:rsid w:val="00697249"/>
    <w:rsid w:val="006A06F3"/>
    <w:rsid w:val="006A1A67"/>
    <w:rsid w:val="006A35A9"/>
    <w:rsid w:val="006A7899"/>
    <w:rsid w:val="006B09C4"/>
    <w:rsid w:val="006B228A"/>
    <w:rsid w:val="006B3947"/>
    <w:rsid w:val="006B4293"/>
    <w:rsid w:val="006B5EF8"/>
    <w:rsid w:val="006B624F"/>
    <w:rsid w:val="006B6B43"/>
    <w:rsid w:val="006C0C95"/>
    <w:rsid w:val="006C31E3"/>
    <w:rsid w:val="006D18D3"/>
    <w:rsid w:val="006D1EE9"/>
    <w:rsid w:val="006D339D"/>
    <w:rsid w:val="006D3BD1"/>
    <w:rsid w:val="006D5E2F"/>
    <w:rsid w:val="006D663C"/>
    <w:rsid w:val="006D777E"/>
    <w:rsid w:val="006E010E"/>
    <w:rsid w:val="006E08CB"/>
    <w:rsid w:val="006E32BA"/>
    <w:rsid w:val="006E4E08"/>
    <w:rsid w:val="006E598D"/>
    <w:rsid w:val="006E6EB7"/>
    <w:rsid w:val="006E7B1A"/>
    <w:rsid w:val="006F24AB"/>
    <w:rsid w:val="006F2D2F"/>
    <w:rsid w:val="00702D2A"/>
    <w:rsid w:val="0070437D"/>
    <w:rsid w:val="0070497B"/>
    <w:rsid w:val="00704CF1"/>
    <w:rsid w:val="00705B04"/>
    <w:rsid w:val="0071040E"/>
    <w:rsid w:val="00711A75"/>
    <w:rsid w:val="007158B3"/>
    <w:rsid w:val="00717EE9"/>
    <w:rsid w:val="0072279F"/>
    <w:rsid w:val="00724992"/>
    <w:rsid w:val="00724F64"/>
    <w:rsid w:val="00725CAA"/>
    <w:rsid w:val="00727F90"/>
    <w:rsid w:val="0073052A"/>
    <w:rsid w:val="00734820"/>
    <w:rsid w:val="007349DC"/>
    <w:rsid w:val="00735D22"/>
    <w:rsid w:val="007403CE"/>
    <w:rsid w:val="00741929"/>
    <w:rsid w:val="007423FD"/>
    <w:rsid w:val="0074365E"/>
    <w:rsid w:val="007445EE"/>
    <w:rsid w:val="00744B55"/>
    <w:rsid w:val="00750425"/>
    <w:rsid w:val="007515FD"/>
    <w:rsid w:val="00753AB2"/>
    <w:rsid w:val="00760D80"/>
    <w:rsid w:val="00761CB4"/>
    <w:rsid w:val="00765526"/>
    <w:rsid w:val="0076766F"/>
    <w:rsid w:val="00780C09"/>
    <w:rsid w:val="00780DDF"/>
    <w:rsid w:val="007834E9"/>
    <w:rsid w:val="00783E09"/>
    <w:rsid w:val="00787DBC"/>
    <w:rsid w:val="0079019A"/>
    <w:rsid w:val="00792935"/>
    <w:rsid w:val="007956F7"/>
    <w:rsid w:val="00797BF6"/>
    <w:rsid w:val="007A04A1"/>
    <w:rsid w:val="007A1840"/>
    <w:rsid w:val="007A41DD"/>
    <w:rsid w:val="007B730C"/>
    <w:rsid w:val="007C0528"/>
    <w:rsid w:val="007C08EA"/>
    <w:rsid w:val="007C2933"/>
    <w:rsid w:val="007C3D38"/>
    <w:rsid w:val="007D0F35"/>
    <w:rsid w:val="007D1783"/>
    <w:rsid w:val="007D4546"/>
    <w:rsid w:val="007D4FEB"/>
    <w:rsid w:val="007D5269"/>
    <w:rsid w:val="007D6146"/>
    <w:rsid w:val="007E0CE7"/>
    <w:rsid w:val="007E16B1"/>
    <w:rsid w:val="007E5041"/>
    <w:rsid w:val="007E6DAF"/>
    <w:rsid w:val="007F1193"/>
    <w:rsid w:val="007F24A6"/>
    <w:rsid w:val="007F417F"/>
    <w:rsid w:val="007F7644"/>
    <w:rsid w:val="008042BD"/>
    <w:rsid w:val="00804E17"/>
    <w:rsid w:val="008050B3"/>
    <w:rsid w:val="00816624"/>
    <w:rsid w:val="00822427"/>
    <w:rsid w:val="00822562"/>
    <w:rsid w:val="00823663"/>
    <w:rsid w:val="00823664"/>
    <w:rsid w:val="00824947"/>
    <w:rsid w:val="00825CBF"/>
    <w:rsid w:val="008305B7"/>
    <w:rsid w:val="00831AA3"/>
    <w:rsid w:val="008323DF"/>
    <w:rsid w:val="0083297C"/>
    <w:rsid w:val="00832DDC"/>
    <w:rsid w:val="008363C2"/>
    <w:rsid w:val="0083724A"/>
    <w:rsid w:val="008426B0"/>
    <w:rsid w:val="008431BB"/>
    <w:rsid w:val="00844BAE"/>
    <w:rsid w:val="00845E34"/>
    <w:rsid w:val="00847167"/>
    <w:rsid w:val="00850BAC"/>
    <w:rsid w:val="00851247"/>
    <w:rsid w:val="00854A3E"/>
    <w:rsid w:val="00855D08"/>
    <w:rsid w:val="008618A4"/>
    <w:rsid w:val="008731AB"/>
    <w:rsid w:val="00874344"/>
    <w:rsid w:val="0087505D"/>
    <w:rsid w:val="00877703"/>
    <w:rsid w:val="00882155"/>
    <w:rsid w:val="0088233B"/>
    <w:rsid w:val="0088599E"/>
    <w:rsid w:val="00886C37"/>
    <w:rsid w:val="00886C92"/>
    <w:rsid w:val="008915FC"/>
    <w:rsid w:val="0089219F"/>
    <w:rsid w:val="00892777"/>
    <w:rsid w:val="00892D99"/>
    <w:rsid w:val="00893315"/>
    <w:rsid w:val="00894C09"/>
    <w:rsid w:val="00896361"/>
    <w:rsid w:val="008A2784"/>
    <w:rsid w:val="008B5C68"/>
    <w:rsid w:val="008B62AE"/>
    <w:rsid w:val="008C04B5"/>
    <w:rsid w:val="008C14FA"/>
    <w:rsid w:val="008C7B0B"/>
    <w:rsid w:val="008D4057"/>
    <w:rsid w:val="008D410D"/>
    <w:rsid w:val="008D59EE"/>
    <w:rsid w:val="008E1986"/>
    <w:rsid w:val="008E1F19"/>
    <w:rsid w:val="008E2EBD"/>
    <w:rsid w:val="008F2262"/>
    <w:rsid w:val="008F39E3"/>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15EEE"/>
    <w:rsid w:val="009179C9"/>
    <w:rsid w:val="00920E64"/>
    <w:rsid w:val="00921C60"/>
    <w:rsid w:val="00922002"/>
    <w:rsid w:val="009225CB"/>
    <w:rsid w:val="00922D48"/>
    <w:rsid w:val="00924020"/>
    <w:rsid w:val="00924BF4"/>
    <w:rsid w:val="009271A7"/>
    <w:rsid w:val="0092762F"/>
    <w:rsid w:val="0093658B"/>
    <w:rsid w:val="0094218A"/>
    <w:rsid w:val="009429FF"/>
    <w:rsid w:val="00943565"/>
    <w:rsid w:val="009444D1"/>
    <w:rsid w:val="00945BD6"/>
    <w:rsid w:val="009479FB"/>
    <w:rsid w:val="00950690"/>
    <w:rsid w:val="00951C45"/>
    <w:rsid w:val="00951DD8"/>
    <w:rsid w:val="00952D9B"/>
    <w:rsid w:val="00955D40"/>
    <w:rsid w:val="0096053F"/>
    <w:rsid w:val="009656F2"/>
    <w:rsid w:val="00966A08"/>
    <w:rsid w:val="009701B7"/>
    <w:rsid w:val="00971207"/>
    <w:rsid w:val="00972FDC"/>
    <w:rsid w:val="00975CB4"/>
    <w:rsid w:val="009862EA"/>
    <w:rsid w:val="009863B0"/>
    <w:rsid w:val="00987CEC"/>
    <w:rsid w:val="00987DE1"/>
    <w:rsid w:val="00990571"/>
    <w:rsid w:val="00991905"/>
    <w:rsid w:val="009926B2"/>
    <w:rsid w:val="0099673A"/>
    <w:rsid w:val="00996B08"/>
    <w:rsid w:val="009A3291"/>
    <w:rsid w:val="009A3330"/>
    <w:rsid w:val="009A548F"/>
    <w:rsid w:val="009A7C96"/>
    <w:rsid w:val="009B31EA"/>
    <w:rsid w:val="009B483E"/>
    <w:rsid w:val="009B61BF"/>
    <w:rsid w:val="009C3253"/>
    <w:rsid w:val="009C3DB9"/>
    <w:rsid w:val="009C5968"/>
    <w:rsid w:val="009D0436"/>
    <w:rsid w:val="009D0BD7"/>
    <w:rsid w:val="009D46E5"/>
    <w:rsid w:val="009D568A"/>
    <w:rsid w:val="009E39FE"/>
    <w:rsid w:val="009E41BB"/>
    <w:rsid w:val="009E529E"/>
    <w:rsid w:val="009E7956"/>
    <w:rsid w:val="009F04EC"/>
    <w:rsid w:val="009F0E66"/>
    <w:rsid w:val="009F2A7C"/>
    <w:rsid w:val="009F31AB"/>
    <w:rsid w:val="009F3B36"/>
    <w:rsid w:val="009F69D9"/>
    <w:rsid w:val="009F7E47"/>
    <w:rsid w:val="00A00326"/>
    <w:rsid w:val="00A019B9"/>
    <w:rsid w:val="00A03157"/>
    <w:rsid w:val="00A10D90"/>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3688D"/>
    <w:rsid w:val="00A40C2D"/>
    <w:rsid w:val="00A41CA6"/>
    <w:rsid w:val="00A428C6"/>
    <w:rsid w:val="00A431ED"/>
    <w:rsid w:val="00A47047"/>
    <w:rsid w:val="00A47927"/>
    <w:rsid w:val="00A47FFC"/>
    <w:rsid w:val="00A506A8"/>
    <w:rsid w:val="00A5074C"/>
    <w:rsid w:val="00A5107A"/>
    <w:rsid w:val="00A52C51"/>
    <w:rsid w:val="00A53AB2"/>
    <w:rsid w:val="00A5442F"/>
    <w:rsid w:val="00A54FF9"/>
    <w:rsid w:val="00A56765"/>
    <w:rsid w:val="00A6036A"/>
    <w:rsid w:val="00A60E28"/>
    <w:rsid w:val="00A61D2D"/>
    <w:rsid w:val="00A675AC"/>
    <w:rsid w:val="00A7097D"/>
    <w:rsid w:val="00A71EB2"/>
    <w:rsid w:val="00A738D9"/>
    <w:rsid w:val="00A7581F"/>
    <w:rsid w:val="00A76399"/>
    <w:rsid w:val="00A81274"/>
    <w:rsid w:val="00A82E98"/>
    <w:rsid w:val="00A86ACA"/>
    <w:rsid w:val="00A90058"/>
    <w:rsid w:val="00A90B67"/>
    <w:rsid w:val="00A92439"/>
    <w:rsid w:val="00A92FB1"/>
    <w:rsid w:val="00A95980"/>
    <w:rsid w:val="00A95A0C"/>
    <w:rsid w:val="00AA2765"/>
    <w:rsid w:val="00AA4FDB"/>
    <w:rsid w:val="00AA77B5"/>
    <w:rsid w:val="00AB6C5D"/>
    <w:rsid w:val="00AC3401"/>
    <w:rsid w:val="00AC51A7"/>
    <w:rsid w:val="00AC6034"/>
    <w:rsid w:val="00AC603B"/>
    <w:rsid w:val="00AC748A"/>
    <w:rsid w:val="00AD0B2B"/>
    <w:rsid w:val="00AD0E89"/>
    <w:rsid w:val="00AD1D87"/>
    <w:rsid w:val="00AD444B"/>
    <w:rsid w:val="00AD5614"/>
    <w:rsid w:val="00AD6C78"/>
    <w:rsid w:val="00AE03F0"/>
    <w:rsid w:val="00AE2EAB"/>
    <w:rsid w:val="00AF13D0"/>
    <w:rsid w:val="00AF3D9B"/>
    <w:rsid w:val="00AF5E0E"/>
    <w:rsid w:val="00AF5F89"/>
    <w:rsid w:val="00AF6FB4"/>
    <w:rsid w:val="00AF7136"/>
    <w:rsid w:val="00AF73CB"/>
    <w:rsid w:val="00B002D6"/>
    <w:rsid w:val="00B029FA"/>
    <w:rsid w:val="00B02EF0"/>
    <w:rsid w:val="00B03379"/>
    <w:rsid w:val="00B03FA5"/>
    <w:rsid w:val="00B04102"/>
    <w:rsid w:val="00B04110"/>
    <w:rsid w:val="00B05B51"/>
    <w:rsid w:val="00B14E5A"/>
    <w:rsid w:val="00B15370"/>
    <w:rsid w:val="00B16DA4"/>
    <w:rsid w:val="00B17395"/>
    <w:rsid w:val="00B17BEB"/>
    <w:rsid w:val="00B21A3C"/>
    <w:rsid w:val="00B223C0"/>
    <w:rsid w:val="00B234ED"/>
    <w:rsid w:val="00B249B2"/>
    <w:rsid w:val="00B24BEC"/>
    <w:rsid w:val="00B25CA3"/>
    <w:rsid w:val="00B2765A"/>
    <w:rsid w:val="00B27DEB"/>
    <w:rsid w:val="00B30EDB"/>
    <w:rsid w:val="00B3109A"/>
    <w:rsid w:val="00B32D37"/>
    <w:rsid w:val="00B33E55"/>
    <w:rsid w:val="00B41AA8"/>
    <w:rsid w:val="00B42B45"/>
    <w:rsid w:val="00B45237"/>
    <w:rsid w:val="00B516ED"/>
    <w:rsid w:val="00B52115"/>
    <w:rsid w:val="00B54ABC"/>
    <w:rsid w:val="00B565DA"/>
    <w:rsid w:val="00B575A9"/>
    <w:rsid w:val="00B57A6A"/>
    <w:rsid w:val="00B62D0D"/>
    <w:rsid w:val="00B71A9B"/>
    <w:rsid w:val="00B760F1"/>
    <w:rsid w:val="00B7669E"/>
    <w:rsid w:val="00B76EBB"/>
    <w:rsid w:val="00B77DA1"/>
    <w:rsid w:val="00B822A0"/>
    <w:rsid w:val="00B82F85"/>
    <w:rsid w:val="00B858AE"/>
    <w:rsid w:val="00B85964"/>
    <w:rsid w:val="00B93E2C"/>
    <w:rsid w:val="00B95EF7"/>
    <w:rsid w:val="00B96250"/>
    <w:rsid w:val="00BA0D55"/>
    <w:rsid w:val="00BA113C"/>
    <w:rsid w:val="00BA37B3"/>
    <w:rsid w:val="00BA4CC6"/>
    <w:rsid w:val="00BA7F46"/>
    <w:rsid w:val="00BB0F1D"/>
    <w:rsid w:val="00BB1628"/>
    <w:rsid w:val="00BB3493"/>
    <w:rsid w:val="00BB527A"/>
    <w:rsid w:val="00BB6E4C"/>
    <w:rsid w:val="00BB7468"/>
    <w:rsid w:val="00BC0514"/>
    <w:rsid w:val="00BC126C"/>
    <w:rsid w:val="00BC188A"/>
    <w:rsid w:val="00BC3473"/>
    <w:rsid w:val="00BC3B87"/>
    <w:rsid w:val="00BC402E"/>
    <w:rsid w:val="00BC70C6"/>
    <w:rsid w:val="00BC70FB"/>
    <w:rsid w:val="00BC7B5D"/>
    <w:rsid w:val="00BD0F48"/>
    <w:rsid w:val="00BD14E5"/>
    <w:rsid w:val="00BE0E50"/>
    <w:rsid w:val="00BE6DDB"/>
    <w:rsid w:val="00BE6FDA"/>
    <w:rsid w:val="00BF03E0"/>
    <w:rsid w:val="00BF453C"/>
    <w:rsid w:val="00BF5010"/>
    <w:rsid w:val="00C03009"/>
    <w:rsid w:val="00C03D5F"/>
    <w:rsid w:val="00C13791"/>
    <w:rsid w:val="00C14BFA"/>
    <w:rsid w:val="00C210BD"/>
    <w:rsid w:val="00C21D78"/>
    <w:rsid w:val="00C2575A"/>
    <w:rsid w:val="00C26FCF"/>
    <w:rsid w:val="00C27F2E"/>
    <w:rsid w:val="00C31BB3"/>
    <w:rsid w:val="00C32603"/>
    <w:rsid w:val="00C36977"/>
    <w:rsid w:val="00C46628"/>
    <w:rsid w:val="00C467DA"/>
    <w:rsid w:val="00C477D9"/>
    <w:rsid w:val="00C530DF"/>
    <w:rsid w:val="00C53F31"/>
    <w:rsid w:val="00C54030"/>
    <w:rsid w:val="00C57869"/>
    <w:rsid w:val="00C6097E"/>
    <w:rsid w:val="00C60BA3"/>
    <w:rsid w:val="00C623F7"/>
    <w:rsid w:val="00C6297D"/>
    <w:rsid w:val="00C62A81"/>
    <w:rsid w:val="00C67CD7"/>
    <w:rsid w:val="00C71E00"/>
    <w:rsid w:val="00C75BC5"/>
    <w:rsid w:val="00C81670"/>
    <w:rsid w:val="00C81773"/>
    <w:rsid w:val="00C82861"/>
    <w:rsid w:val="00C8396C"/>
    <w:rsid w:val="00C83E1D"/>
    <w:rsid w:val="00C84803"/>
    <w:rsid w:val="00C8564E"/>
    <w:rsid w:val="00C86896"/>
    <w:rsid w:val="00C907A8"/>
    <w:rsid w:val="00C91670"/>
    <w:rsid w:val="00C92CF1"/>
    <w:rsid w:val="00C93211"/>
    <w:rsid w:val="00C93DB8"/>
    <w:rsid w:val="00C942EC"/>
    <w:rsid w:val="00C96047"/>
    <w:rsid w:val="00C96C9E"/>
    <w:rsid w:val="00C979D0"/>
    <w:rsid w:val="00CA0818"/>
    <w:rsid w:val="00CA15C8"/>
    <w:rsid w:val="00CA2C8F"/>
    <w:rsid w:val="00CA30DA"/>
    <w:rsid w:val="00CA3A24"/>
    <w:rsid w:val="00CB0D58"/>
    <w:rsid w:val="00CB16BF"/>
    <w:rsid w:val="00CB1777"/>
    <w:rsid w:val="00CB33E9"/>
    <w:rsid w:val="00CC10A9"/>
    <w:rsid w:val="00CD0655"/>
    <w:rsid w:val="00CD0660"/>
    <w:rsid w:val="00CD3AE7"/>
    <w:rsid w:val="00CE2BF8"/>
    <w:rsid w:val="00CE484E"/>
    <w:rsid w:val="00CE4D20"/>
    <w:rsid w:val="00CE656F"/>
    <w:rsid w:val="00CE6A0B"/>
    <w:rsid w:val="00CF0DA8"/>
    <w:rsid w:val="00CF2E25"/>
    <w:rsid w:val="00CF4453"/>
    <w:rsid w:val="00CF5589"/>
    <w:rsid w:val="00CF5D94"/>
    <w:rsid w:val="00CF7586"/>
    <w:rsid w:val="00CF7E0F"/>
    <w:rsid w:val="00D00893"/>
    <w:rsid w:val="00D034D7"/>
    <w:rsid w:val="00D03C3A"/>
    <w:rsid w:val="00D04BE4"/>
    <w:rsid w:val="00D05845"/>
    <w:rsid w:val="00D06FC7"/>
    <w:rsid w:val="00D12565"/>
    <w:rsid w:val="00D140C1"/>
    <w:rsid w:val="00D14127"/>
    <w:rsid w:val="00D211DE"/>
    <w:rsid w:val="00D23BC6"/>
    <w:rsid w:val="00D31725"/>
    <w:rsid w:val="00D3572B"/>
    <w:rsid w:val="00D37929"/>
    <w:rsid w:val="00D417F9"/>
    <w:rsid w:val="00D479AE"/>
    <w:rsid w:val="00D50FCD"/>
    <w:rsid w:val="00D52698"/>
    <w:rsid w:val="00D533E3"/>
    <w:rsid w:val="00D538CB"/>
    <w:rsid w:val="00D557F3"/>
    <w:rsid w:val="00D60B16"/>
    <w:rsid w:val="00D60F02"/>
    <w:rsid w:val="00D64A0B"/>
    <w:rsid w:val="00D66E49"/>
    <w:rsid w:val="00D70D71"/>
    <w:rsid w:val="00D72F74"/>
    <w:rsid w:val="00D73C71"/>
    <w:rsid w:val="00D81563"/>
    <w:rsid w:val="00D837C1"/>
    <w:rsid w:val="00D85907"/>
    <w:rsid w:val="00D860AC"/>
    <w:rsid w:val="00D9073E"/>
    <w:rsid w:val="00D90E7B"/>
    <w:rsid w:val="00D9221D"/>
    <w:rsid w:val="00D9253C"/>
    <w:rsid w:val="00D958DF"/>
    <w:rsid w:val="00D96DA1"/>
    <w:rsid w:val="00DA2538"/>
    <w:rsid w:val="00DA51E7"/>
    <w:rsid w:val="00DB0260"/>
    <w:rsid w:val="00DB1C78"/>
    <w:rsid w:val="00DB7D96"/>
    <w:rsid w:val="00DC1103"/>
    <w:rsid w:val="00DC16EE"/>
    <w:rsid w:val="00DC23FD"/>
    <w:rsid w:val="00DC23FE"/>
    <w:rsid w:val="00DC491D"/>
    <w:rsid w:val="00DC59E6"/>
    <w:rsid w:val="00DD037A"/>
    <w:rsid w:val="00DD150B"/>
    <w:rsid w:val="00DD3356"/>
    <w:rsid w:val="00DD5025"/>
    <w:rsid w:val="00DD5464"/>
    <w:rsid w:val="00DD6F85"/>
    <w:rsid w:val="00DD748A"/>
    <w:rsid w:val="00DE1473"/>
    <w:rsid w:val="00DE254E"/>
    <w:rsid w:val="00DE32C0"/>
    <w:rsid w:val="00DE52C0"/>
    <w:rsid w:val="00DE76A7"/>
    <w:rsid w:val="00DF0739"/>
    <w:rsid w:val="00DF1510"/>
    <w:rsid w:val="00DF7F75"/>
    <w:rsid w:val="00E00079"/>
    <w:rsid w:val="00E02F1F"/>
    <w:rsid w:val="00E0314A"/>
    <w:rsid w:val="00E05454"/>
    <w:rsid w:val="00E06484"/>
    <w:rsid w:val="00E06B24"/>
    <w:rsid w:val="00E15628"/>
    <w:rsid w:val="00E20A7D"/>
    <w:rsid w:val="00E20ED5"/>
    <w:rsid w:val="00E23FE4"/>
    <w:rsid w:val="00E24BF6"/>
    <w:rsid w:val="00E275D8"/>
    <w:rsid w:val="00E30F6A"/>
    <w:rsid w:val="00E3117C"/>
    <w:rsid w:val="00E31288"/>
    <w:rsid w:val="00E3191F"/>
    <w:rsid w:val="00E34307"/>
    <w:rsid w:val="00E34511"/>
    <w:rsid w:val="00E3635B"/>
    <w:rsid w:val="00E375C3"/>
    <w:rsid w:val="00E375CA"/>
    <w:rsid w:val="00E37E72"/>
    <w:rsid w:val="00E46150"/>
    <w:rsid w:val="00E5364F"/>
    <w:rsid w:val="00E53CDE"/>
    <w:rsid w:val="00E567E8"/>
    <w:rsid w:val="00E63766"/>
    <w:rsid w:val="00E64679"/>
    <w:rsid w:val="00E65EBC"/>
    <w:rsid w:val="00E6602E"/>
    <w:rsid w:val="00E677FE"/>
    <w:rsid w:val="00E73432"/>
    <w:rsid w:val="00E77B0C"/>
    <w:rsid w:val="00E77FB8"/>
    <w:rsid w:val="00E838B0"/>
    <w:rsid w:val="00E83E31"/>
    <w:rsid w:val="00E86A7C"/>
    <w:rsid w:val="00E86D27"/>
    <w:rsid w:val="00E878E1"/>
    <w:rsid w:val="00E87F2C"/>
    <w:rsid w:val="00E94C6A"/>
    <w:rsid w:val="00E95278"/>
    <w:rsid w:val="00E962F3"/>
    <w:rsid w:val="00E96A42"/>
    <w:rsid w:val="00EA2273"/>
    <w:rsid w:val="00EA7C3C"/>
    <w:rsid w:val="00EB014A"/>
    <w:rsid w:val="00EB2DB3"/>
    <w:rsid w:val="00EC27B2"/>
    <w:rsid w:val="00EC3FBB"/>
    <w:rsid w:val="00EC457A"/>
    <w:rsid w:val="00EC608B"/>
    <w:rsid w:val="00EC6B7A"/>
    <w:rsid w:val="00ED2CEC"/>
    <w:rsid w:val="00ED3A87"/>
    <w:rsid w:val="00ED4E4B"/>
    <w:rsid w:val="00ED5B67"/>
    <w:rsid w:val="00EE056F"/>
    <w:rsid w:val="00EE1A5C"/>
    <w:rsid w:val="00EE5F5A"/>
    <w:rsid w:val="00EF22FB"/>
    <w:rsid w:val="00EF264C"/>
    <w:rsid w:val="00EF3570"/>
    <w:rsid w:val="00EF3FEE"/>
    <w:rsid w:val="00EF6B41"/>
    <w:rsid w:val="00F04B59"/>
    <w:rsid w:val="00F07B69"/>
    <w:rsid w:val="00F11741"/>
    <w:rsid w:val="00F117B0"/>
    <w:rsid w:val="00F12B1C"/>
    <w:rsid w:val="00F13CF8"/>
    <w:rsid w:val="00F144D3"/>
    <w:rsid w:val="00F146AD"/>
    <w:rsid w:val="00F15855"/>
    <w:rsid w:val="00F200B2"/>
    <w:rsid w:val="00F227DC"/>
    <w:rsid w:val="00F263B9"/>
    <w:rsid w:val="00F269A1"/>
    <w:rsid w:val="00F27C4E"/>
    <w:rsid w:val="00F30701"/>
    <w:rsid w:val="00F32978"/>
    <w:rsid w:val="00F43EB1"/>
    <w:rsid w:val="00F441A3"/>
    <w:rsid w:val="00F45CB2"/>
    <w:rsid w:val="00F511F3"/>
    <w:rsid w:val="00F544C0"/>
    <w:rsid w:val="00F55332"/>
    <w:rsid w:val="00F56B95"/>
    <w:rsid w:val="00F57AD6"/>
    <w:rsid w:val="00F6156E"/>
    <w:rsid w:val="00F6504A"/>
    <w:rsid w:val="00F65519"/>
    <w:rsid w:val="00F66D9F"/>
    <w:rsid w:val="00F713C0"/>
    <w:rsid w:val="00F725E0"/>
    <w:rsid w:val="00F75DDC"/>
    <w:rsid w:val="00F7792F"/>
    <w:rsid w:val="00F842AA"/>
    <w:rsid w:val="00F8476F"/>
    <w:rsid w:val="00F853E1"/>
    <w:rsid w:val="00F85604"/>
    <w:rsid w:val="00F91280"/>
    <w:rsid w:val="00F93809"/>
    <w:rsid w:val="00F94B7A"/>
    <w:rsid w:val="00F96C3C"/>
    <w:rsid w:val="00FA0E72"/>
    <w:rsid w:val="00FA17AC"/>
    <w:rsid w:val="00FA1E29"/>
    <w:rsid w:val="00FA32DE"/>
    <w:rsid w:val="00FA3382"/>
    <w:rsid w:val="00FA3BCD"/>
    <w:rsid w:val="00FA5108"/>
    <w:rsid w:val="00FA59CD"/>
    <w:rsid w:val="00FB0CDC"/>
    <w:rsid w:val="00FB1740"/>
    <w:rsid w:val="00FB4235"/>
    <w:rsid w:val="00FC4446"/>
    <w:rsid w:val="00FC5469"/>
    <w:rsid w:val="00FC6D7D"/>
    <w:rsid w:val="00FD16B0"/>
    <w:rsid w:val="00FD1B25"/>
    <w:rsid w:val="00FD4FED"/>
    <w:rsid w:val="00FD5266"/>
    <w:rsid w:val="00FD7645"/>
    <w:rsid w:val="00FE00C8"/>
    <w:rsid w:val="00FE0577"/>
    <w:rsid w:val="00FE2FF8"/>
    <w:rsid w:val="00FE57D1"/>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943F544"/>
  <w15:docId w15:val="{B575FFB6-2EBC-42AF-BB95-BE9ABB07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ALTS FOOTNOTE Char1,fn Char1,Footnote Text Char Char,ALTS FOOTNOTE Char Char,fn Char Char,Footnote Text Char1 Char Char,Footnote Text Char Char Char Char,ALTS FOOTNOTE Char Char Char Char,fn Char"/>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F27C4E"/>
    <w:rPr>
      <w:vertAlign w:val="superscript"/>
    </w:rPr>
  </w:style>
  <w:style w:type="character" w:customStyle="1" w:styleId="FootnoteTextChar">
    <w:name w:val="Footnote Text Char"/>
    <w:aliases w:val="ALTS FOOTNOTE Char,fn Char2,ALTS FOOTNOTE Char1 Char,fn Char1 Char,Footnote Text Char Char Char,ALTS FOOTNOTE Char Char Char,fn Char Char Char,Footnote Text Char1 Char Char Char,Footnote Text Char Char Char Char Char,fn Char Char1"/>
    <w:basedOn w:val="DefaultParagraphFont"/>
    <w:link w:val="FootnoteText"/>
    <w:locked/>
    <w:rsid w:val="00F27C4E"/>
  </w:style>
  <w:style w:type="character" w:styleId="Strong">
    <w:name w:val="Strong"/>
    <w:basedOn w:val="DefaultParagraphFont"/>
    <w:uiPriority w:val="22"/>
    <w:qFormat/>
    <w:rsid w:val="00F27C4E"/>
    <w:rPr>
      <w:b/>
      <w:bCs/>
    </w:rPr>
  </w:style>
  <w:style w:type="character" w:styleId="FollowedHyperlink">
    <w:name w:val="FollowedHyperlink"/>
    <w:basedOn w:val="DefaultParagraphFont"/>
    <w:semiHidden/>
    <w:unhideWhenUsed/>
    <w:rsid w:val="00D3572B"/>
    <w:rPr>
      <w:color w:val="800080" w:themeColor="followedHyperlink"/>
      <w:u w:val="single"/>
    </w:rPr>
  </w:style>
  <w:style w:type="paragraph" w:styleId="Revision">
    <w:name w:val="Revision"/>
    <w:hidden/>
    <w:uiPriority w:val="99"/>
    <w:semiHidden/>
    <w:rsid w:val="00516703"/>
    <w:rPr>
      <w:sz w:val="24"/>
      <w:szCs w:val="24"/>
    </w:rPr>
  </w:style>
  <w:style w:type="character" w:styleId="CommentReference">
    <w:name w:val="annotation reference"/>
    <w:basedOn w:val="DefaultParagraphFont"/>
    <w:semiHidden/>
    <w:unhideWhenUsed/>
    <w:rsid w:val="00DC16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522257">
      <w:bodyDiv w:val="1"/>
      <w:marLeft w:val="0"/>
      <w:marRight w:val="0"/>
      <w:marTop w:val="0"/>
      <w:marBottom w:val="0"/>
      <w:divBdr>
        <w:top w:val="none" w:sz="0" w:space="0" w:color="auto"/>
        <w:left w:val="none" w:sz="0" w:space="0" w:color="auto"/>
        <w:bottom w:val="none" w:sz="0" w:space="0" w:color="auto"/>
        <w:right w:val="none" w:sz="0" w:space="0" w:color="auto"/>
      </w:divBdr>
    </w:div>
    <w:div w:id="6917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documents.dps.ny.gov/public/MatterManagement/CaseMaster.aspx?MatterCaseNo=26-00230" TargetMode="External"/><Relationship Id="rId2" Type="http://schemas.openxmlformats.org/officeDocument/2006/relationships/hyperlink" Target="https://documents.dps.ny.gov/public/MatterManagement/CaseMaster.aspx?MatterCaseNo=24-02323" TargetMode="External"/><Relationship Id="rId1" Type="http://schemas.openxmlformats.org/officeDocument/2006/relationships/hyperlink" Target="https://docs.fcc.gov/public/attachments/FCC-24-136A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D244C-939C-4806-8E7B-60540276D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7</Pages>
  <Words>1569</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Samuel Day</dc:creator>
  <cp:lastModifiedBy>Savannah Jones</cp:lastModifiedBy>
  <cp:revision>2</cp:revision>
  <cp:lastPrinted>2026-02-17T19:33:00Z</cp:lastPrinted>
  <dcterms:created xsi:type="dcterms:W3CDTF">2026-02-19T12:53:00Z</dcterms:created>
  <dcterms:modified xsi:type="dcterms:W3CDTF">2026-02-19T12:53:00Z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20250138-TP</vt:lpwstr>
  </property>
  <property fmtid="{D5CDD505-2E9C-101B-9397-08002B2CF9AE}" pid="3" name="MasterDocument">
    <vt:bool>false</vt:bool>
  </property>
</Properties>
</file>