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AA948AF"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C6355AD" w14:textId="77777777" w:rsidR="007C0528" w:rsidRDefault="007C0528" w:rsidP="00532DFB">
            <w:pPr>
              <w:pStyle w:val="MastHeadState"/>
            </w:pPr>
            <w:bookmarkStart w:id="0" w:name="_GoBack"/>
            <w:bookmarkEnd w:id="0"/>
            <w:r>
              <w:t>State of Florida</w:t>
            </w:r>
          </w:p>
          <w:p w14:paraId="39DAB5EC" w14:textId="77777777" w:rsidR="007C0528" w:rsidRDefault="00072CCA">
            <w:pPr>
              <w:jc w:val="center"/>
            </w:pPr>
            <w:r>
              <w:rPr>
                <w:noProof/>
              </w:rPr>
              <w:drawing>
                <wp:inline distT="0" distB="0" distL="0" distR="0" wp14:anchorId="0D78E1F9" wp14:editId="7181B55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682041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4E49D29" w14:textId="77777777" w:rsidR="007C0528" w:rsidRDefault="007C0528">
            <w:pPr>
              <w:pStyle w:val="MastHeadPSC"/>
            </w:pPr>
            <w:r>
              <w:t>Public Service Commission</w:t>
            </w:r>
          </w:p>
          <w:p w14:paraId="216DF275" w14:textId="77777777" w:rsidR="007C0528" w:rsidRDefault="007C0528">
            <w:pPr>
              <w:pStyle w:val="MastHeadAddress"/>
            </w:pPr>
            <w:r>
              <w:t>Capital Circle Office Center ● 2540 Shumard Oak Boulevard</w:t>
            </w:r>
            <w:r>
              <w:br/>
              <w:t>Tallahassee, Florida 32399-0850</w:t>
            </w:r>
          </w:p>
          <w:p w14:paraId="11FB2DB3" w14:textId="77777777" w:rsidR="007C0528" w:rsidRDefault="007C0528">
            <w:pPr>
              <w:pStyle w:val="MastHeadMemorandum"/>
            </w:pPr>
            <w:r>
              <w:t>-M-E-M-O-R-A-N-D-U-M-</w:t>
            </w:r>
          </w:p>
          <w:p w14:paraId="6C14F288" w14:textId="77777777" w:rsidR="007C0528" w:rsidRDefault="007C0528">
            <w:pPr>
              <w:pStyle w:val="MemoHeading"/>
            </w:pPr>
          </w:p>
        </w:tc>
      </w:tr>
      <w:tr w:rsidR="007C0528" w14:paraId="1F843D9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B56566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A3CF4B2" w14:textId="77777777" w:rsidR="007C0528" w:rsidRDefault="001B7CB6">
            <w:pPr>
              <w:pStyle w:val="MemoHeading"/>
            </w:pPr>
            <w:bookmarkStart w:id="1" w:name="FilingDate"/>
            <w:r>
              <w:t>February 19, 2026</w:t>
            </w:r>
            <w:bookmarkEnd w:id="1"/>
          </w:p>
        </w:tc>
      </w:tr>
      <w:tr w:rsidR="007C0528" w14:paraId="124DBBD4" w14:textId="77777777">
        <w:tc>
          <w:tcPr>
            <w:tcW w:w="1254" w:type="dxa"/>
            <w:tcBorders>
              <w:top w:val="nil"/>
              <w:left w:val="nil"/>
              <w:bottom w:val="nil"/>
              <w:right w:val="nil"/>
            </w:tcBorders>
            <w:shd w:val="clear" w:color="auto" w:fill="auto"/>
            <w:tcMar>
              <w:top w:w="288" w:type="dxa"/>
              <w:bottom w:w="0" w:type="dxa"/>
              <w:right w:w="0" w:type="dxa"/>
            </w:tcMar>
          </w:tcPr>
          <w:p w14:paraId="2F3C678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B5DA347" w14:textId="77777777" w:rsidR="007C0528" w:rsidRDefault="007C0528" w:rsidP="0093658B">
            <w:pPr>
              <w:pStyle w:val="MemoHeading"/>
            </w:pPr>
            <w:r>
              <w:t>Office of Commission Clerk (</w:t>
            </w:r>
            <w:r w:rsidR="004E69B5">
              <w:t>Teitzman</w:t>
            </w:r>
            <w:r>
              <w:t>)</w:t>
            </w:r>
          </w:p>
        </w:tc>
      </w:tr>
      <w:tr w:rsidR="007C0528" w14:paraId="301F5AE5" w14:textId="77777777">
        <w:tc>
          <w:tcPr>
            <w:tcW w:w="1254" w:type="dxa"/>
            <w:tcBorders>
              <w:top w:val="nil"/>
              <w:left w:val="nil"/>
              <w:bottom w:val="nil"/>
              <w:right w:val="nil"/>
            </w:tcBorders>
            <w:shd w:val="clear" w:color="auto" w:fill="auto"/>
            <w:tcMar>
              <w:top w:w="288" w:type="dxa"/>
              <w:right w:w="0" w:type="dxa"/>
            </w:tcMar>
          </w:tcPr>
          <w:p w14:paraId="4B2B701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C78AF92" w14:textId="77777777" w:rsidR="001B7CB6" w:rsidRDefault="001B7CB6">
            <w:pPr>
              <w:pStyle w:val="MemoHeading"/>
            </w:pPr>
            <w:bookmarkStart w:id="2" w:name="From"/>
            <w:r>
              <w:t>Division of Engineering (Sanchez, Ellis, King, Ramos)</w:t>
            </w:r>
          </w:p>
          <w:p w14:paraId="1CF4663B" w14:textId="77777777" w:rsidR="001B7CB6" w:rsidRDefault="001B7CB6">
            <w:pPr>
              <w:pStyle w:val="MemoHeading"/>
            </w:pPr>
            <w:r>
              <w:t>Division of Accounting and Finance (Dasher, Gatlin, Mason, Vogel)</w:t>
            </w:r>
          </w:p>
          <w:p w14:paraId="6702B861" w14:textId="77777777" w:rsidR="001B7CB6" w:rsidRDefault="001B7CB6">
            <w:pPr>
              <w:pStyle w:val="MemoHeading"/>
            </w:pPr>
            <w:r>
              <w:t>Division of Economics (Ward)</w:t>
            </w:r>
          </w:p>
          <w:p w14:paraId="6E683DFF" w14:textId="77777777" w:rsidR="007C0528" w:rsidRDefault="001B7CB6">
            <w:pPr>
              <w:pStyle w:val="MemoHeading"/>
            </w:pPr>
            <w:r>
              <w:t>Office of the General Counsel (Bloom)</w:t>
            </w:r>
            <w:bookmarkEnd w:id="2"/>
          </w:p>
        </w:tc>
      </w:tr>
      <w:tr w:rsidR="007C0528" w14:paraId="7078CF4E" w14:textId="77777777">
        <w:tc>
          <w:tcPr>
            <w:tcW w:w="1254" w:type="dxa"/>
            <w:tcBorders>
              <w:top w:val="nil"/>
              <w:left w:val="nil"/>
              <w:bottom w:val="nil"/>
              <w:right w:val="nil"/>
            </w:tcBorders>
            <w:shd w:val="clear" w:color="auto" w:fill="auto"/>
            <w:tcMar>
              <w:top w:w="288" w:type="dxa"/>
              <w:right w:w="0" w:type="dxa"/>
            </w:tcMar>
          </w:tcPr>
          <w:p w14:paraId="3DEED56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E7D1AC6" w14:textId="77777777" w:rsidR="007C0528" w:rsidRDefault="001B7CB6">
            <w:pPr>
              <w:pStyle w:val="MemoHeadingRe"/>
            </w:pPr>
            <w:bookmarkStart w:id="3" w:name="Re"/>
            <w:r>
              <w:t>Docket No. 20250134-EI – Petition for a limited proceeding to approve second solar base rate adjustment, by Duke Energy Florida, LLC.</w:t>
            </w:r>
            <w:bookmarkEnd w:id="3"/>
          </w:p>
        </w:tc>
      </w:tr>
      <w:tr w:rsidR="007C0528" w14:paraId="08878CB3" w14:textId="77777777">
        <w:tc>
          <w:tcPr>
            <w:tcW w:w="1254" w:type="dxa"/>
            <w:tcBorders>
              <w:top w:val="nil"/>
              <w:left w:val="nil"/>
              <w:bottom w:val="nil"/>
              <w:right w:val="nil"/>
            </w:tcBorders>
            <w:shd w:val="clear" w:color="auto" w:fill="auto"/>
            <w:tcMar>
              <w:top w:w="288" w:type="dxa"/>
              <w:bottom w:w="0" w:type="dxa"/>
              <w:right w:w="0" w:type="dxa"/>
            </w:tcMar>
          </w:tcPr>
          <w:p w14:paraId="65B5D81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C2F2ABF" w14:textId="77777777" w:rsidR="007C0528" w:rsidRDefault="001B7CB6">
            <w:pPr>
              <w:pStyle w:val="MemoHeading"/>
            </w:pPr>
            <w:bookmarkStart w:id="4" w:name="AgendaDate"/>
            <w:r>
              <w:t>03/03/26</w:t>
            </w:r>
            <w:bookmarkEnd w:id="4"/>
            <w:r>
              <w:t xml:space="preserve"> – </w:t>
            </w:r>
            <w:bookmarkStart w:id="5" w:name="PermittedStatus"/>
            <w:r>
              <w:t>Regular Agenda – Proposed Agency Action – Interested Persons May Participate</w:t>
            </w:r>
            <w:bookmarkEnd w:id="5"/>
          </w:p>
        </w:tc>
      </w:tr>
      <w:tr w:rsidR="007C0528" w14:paraId="13C8A5D1" w14:textId="77777777">
        <w:tc>
          <w:tcPr>
            <w:tcW w:w="3690" w:type="dxa"/>
            <w:gridSpan w:val="3"/>
            <w:tcBorders>
              <w:top w:val="nil"/>
              <w:left w:val="nil"/>
              <w:bottom w:val="nil"/>
              <w:right w:val="nil"/>
            </w:tcBorders>
            <w:shd w:val="clear" w:color="auto" w:fill="auto"/>
            <w:tcMar>
              <w:top w:w="288" w:type="dxa"/>
              <w:bottom w:w="0" w:type="dxa"/>
              <w:right w:w="0" w:type="dxa"/>
            </w:tcMar>
          </w:tcPr>
          <w:p w14:paraId="532D620D"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F178150" w14:textId="77777777" w:rsidR="007C0528" w:rsidRDefault="001B7CB6">
            <w:pPr>
              <w:pStyle w:val="MemoHeading"/>
            </w:pPr>
            <w:bookmarkStart w:id="6" w:name="CommissionersAssigned"/>
            <w:r>
              <w:t>All Commissioners</w:t>
            </w:r>
            <w:bookmarkEnd w:id="6"/>
          </w:p>
        </w:tc>
      </w:tr>
      <w:tr w:rsidR="007C0528" w14:paraId="34FF50FE" w14:textId="77777777">
        <w:tc>
          <w:tcPr>
            <w:tcW w:w="3690" w:type="dxa"/>
            <w:gridSpan w:val="3"/>
            <w:tcBorders>
              <w:top w:val="nil"/>
              <w:left w:val="nil"/>
              <w:bottom w:val="nil"/>
              <w:right w:val="nil"/>
            </w:tcBorders>
            <w:shd w:val="clear" w:color="auto" w:fill="auto"/>
            <w:tcMar>
              <w:top w:w="288" w:type="dxa"/>
              <w:bottom w:w="0" w:type="dxa"/>
              <w:right w:w="0" w:type="dxa"/>
            </w:tcMar>
          </w:tcPr>
          <w:p w14:paraId="138E0EE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BDE94CD" w14:textId="77777777" w:rsidR="007C0528" w:rsidRDefault="001B7CB6">
            <w:pPr>
              <w:pStyle w:val="MemoHeading"/>
            </w:pPr>
            <w:bookmarkStart w:id="7" w:name="PrehearingOfficer"/>
            <w:r>
              <w:t>Ortega</w:t>
            </w:r>
            <w:bookmarkEnd w:id="7"/>
          </w:p>
        </w:tc>
      </w:tr>
      <w:tr w:rsidR="007C0528" w14:paraId="545E2CC4"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1D2F5EB"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5310373" w14:textId="77777777" w:rsidR="007C0528" w:rsidRDefault="001B7CB6">
            <w:pPr>
              <w:pStyle w:val="MemoHeading"/>
            </w:pPr>
            <w:bookmarkStart w:id="9" w:name="CriticalDates"/>
            <w:r>
              <w:t>None</w:t>
            </w:r>
            <w:bookmarkEnd w:id="9"/>
          </w:p>
        </w:tc>
      </w:tr>
      <w:tr w:rsidR="007C0528" w14:paraId="43B22B17"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BE83AD0"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7250EB5" w14:textId="77777777" w:rsidR="007C0528" w:rsidRDefault="001B7CB6">
            <w:pPr>
              <w:pStyle w:val="MemoHeading"/>
            </w:pPr>
            <w:bookmarkStart w:id="10" w:name="SpecialInstructions"/>
            <w:r>
              <w:t>None</w:t>
            </w:r>
            <w:bookmarkEnd w:id="10"/>
          </w:p>
        </w:tc>
      </w:tr>
    </w:tbl>
    <w:p w14:paraId="252BFC6E" w14:textId="77777777" w:rsidR="007C0528" w:rsidRDefault="007C0528">
      <w:pPr>
        <w:pStyle w:val="BodyText"/>
      </w:pPr>
    </w:p>
    <w:p w14:paraId="237FD118"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98543FB" w14:textId="3879892B" w:rsidR="001B7CB6" w:rsidRDefault="00377526" w:rsidP="001B7CB6">
      <w:pPr>
        <w:pStyle w:val="BodyText"/>
      </w:pPr>
      <w:r>
        <w:t xml:space="preserve">By Order No. PSC-2024-0472-AS-EI, issued November 12, 2024, the Florida Public Service Commission (Commission) approved </w:t>
      </w:r>
      <w:r w:rsidR="00A33DBB">
        <w:t>Duke Energy Florida, LLC’s</w:t>
      </w:r>
      <w:r>
        <w:t xml:space="preserve"> (DEF or Company) 2024 Settlement Agreement (2024 Settlement).</w:t>
      </w:r>
      <w:r>
        <w:rPr>
          <w:rStyle w:val="FootnoteReference"/>
        </w:rPr>
        <w:footnoteReference w:id="1"/>
      </w:r>
      <w:r>
        <w:t xml:space="preserve"> Paragraph 16 of the 2024 Settlement allows for the inclusion, in base rates, of up to 900 megawatts (MW) of solar generation through a Solar Base Rate Adjustment (SoBRA). Pursuant to the 2024 Settlement, DEF will construct approximately 300 MW, per calendar year, of solar generation that must meet certain criteria for inclusion in base rates</w:t>
      </w:r>
      <w:r w:rsidR="001B7CB6">
        <w:t>.</w:t>
      </w:r>
    </w:p>
    <w:p w14:paraId="088DF237" w14:textId="77777777" w:rsidR="001B7CB6" w:rsidRDefault="001B7CB6" w:rsidP="001B7CB6">
      <w:pPr>
        <w:pStyle w:val="BodyText"/>
      </w:pPr>
      <w:r>
        <w:lastRenderedPageBreak/>
        <w:t>On November 6, 2025, DEF filed a limited proceeding for approval of four solar projects, collectively known as the Second SoBRA Tranche. These solar projects include: Jumper Creek in Sumter County, Turnpike in Osceola County, Lonesome Camp in Osceola County, and Banner in Columbia County with a combined total capacity of approximately 300 MW. As each of the solar facilities is below 75 MW, the Commission’s decision is limited based on the 2024 Settlement regarding the reasonableness and cost-effectiveness of the solar generation projects.</w:t>
      </w:r>
    </w:p>
    <w:p w14:paraId="4891EF89" w14:textId="5EE082FA" w:rsidR="0068481F" w:rsidRDefault="001B7CB6" w:rsidP="001B7CB6">
      <w:pPr>
        <w:pStyle w:val="BodyText"/>
      </w:pPr>
      <w:r>
        <w:t>The Commission has jurisdiction pursuant to Sections 366.06, 366.076, and 366.92, Florida Statutes.</w:t>
      </w:r>
    </w:p>
    <w:p w14:paraId="219F4685" w14:textId="77777777" w:rsidR="007C0528" w:rsidRDefault="007C0528" w:rsidP="0068481F"/>
    <w:bookmarkEnd w:id="12"/>
    <w:p w14:paraId="7661176F"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05CCE33B" w14:textId="77777777" w:rsidR="007C0528" w:rsidRDefault="007C0528">
      <w:pPr>
        <w:pStyle w:val="RecommendationMajorSectionHeading"/>
      </w:pPr>
      <w:bookmarkStart w:id="16" w:name="DiscussionOfIssues"/>
      <w:r>
        <w:t>Discussion of Issues</w:t>
      </w:r>
    </w:p>
    <w:bookmarkEnd w:id="16"/>
    <w:p w14:paraId="733584A0" w14:textId="3C1BA639" w:rsidR="00552E14" w:rsidRDefault="00552E14">
      <w:pPr>
        <w:rPr>
          <w:rFonts w:ascii="Arial" w:hAnsi="Arial" w:cs="Arial"/>
          <w:b/>
          <w:bCs/>
          <w:i/>
          <w:kern w:val="32"/>
          <w:szCs w:val="32"/>
        </w:rPr>
      </w:pPr>
    </w:p>
    <w:p w14:paraId="2036031C" w14:textId="6E6173CD" w:rsidR="001B7CB6" w:rsidRDefault="001B7CB6">
      <w:pPr>
        <w:pStyle w:val="IssueHeading"/>
        <w:rPr>
          <w:vanish/>
          <w:specVanish/>
        </w:rPr>
      </w:pPr>
      <w:r w:rsidRPr="004C3641">
        <w:t xml:space="preserve">Issue </w:t>
      </w:r>
      <w:r w:rsidR="00450CFC">
        <w:fldChar w:fldCharType="begin"/>
      </w:r>
      <w:r w:rsidR="00450CFC">
        <w:instrText xml:space="preserve"> SEQ Issue \* MERGEFORMAT </w:instrText>
      </w:r>
      <w:r w:rsidR="00450CFC">
        <w:fldChar w:fldCharType="separate"/>
      </w:r>
      <w:r w:rsidR="00F4659E">
        <w:rPr>
          <w:noProof/>
        </w:rPr>
        <w:t>1</w:t>
      </w:r>
      <w:r w:rsidR="00450C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4659E">
        <w:rPr>
          <w:noProof/>
        </w:rPr>
        <w:instrText>1</w:instrText>
      </w:r>
      <w:r>
        <w:fldChar w:fldCharType="end"/>
      </w:r>
      <w:r>
        <w:tab/>
        <w:instrText xml:space="preserve">(Sanchez)" \l 1 </w:instrText>
      </w:r>
      <w:r>
        <w:fldChar w:fldCharType="end"/>
      </w:r>
      <w:r>
        <w:t> </w:t>
      </w:r>
    </w:p>
    <w:p w14:paraId="5322173F" w14:textId="77777777" w:rsidR="001B7CB6" w:rsidRDefault="001B7CB6">
      <w:pPr>
        <w:pStyle w:val="BodyText"/>
      </w:pPr>
      <w:r>
        <w:t> Should the Commission approve DEF's Second SoBRA Tranche</w:t>
      </w:r>
      <w:r w:rsidR="004C143E">
        <w:t>,</w:t>
      </w:r>
      <w:r>
        <w:t xml:space="preserve"> which includes the Jumper Creek, Turnpike, Lonesome Camp, and Banner solar projects?</w:t>
      </w:r>
    </w:p>
    <w:p w14:paraId="5DE2B010" w14:textId="77777777" w:rsidR="001B7CB6" w:rsidRPr="004C3641" w:rsidRDefault="001B7CB6">
      <w:pPr>
        <w:pStyle w:val="IssueSubsectionHeading"/>
        <w:rPr>
          <w:vanish/>
          <w:specVanish/>
        </w:rPr>
      </w:pPr>
      <w:r w:rsidRPr="004C3641">
        <w:t>Recommendation: </w:t>
      </w:r>
    </w:p>
    <w:p w14:paraId="5C895065" w14:textId="45103CB1" w:rsidR="001B7CB6" w:rsidRDefault="001B7CB6">
      <w:pPr>
        <w:pStyle w:val="BodyText"/>
      </w:pPr>
      <w:r>
        <w:t xml:space="preserve"> Yes. </w:t>
      </w:r>
      <w:r w:rsidRPr="00C62A3E">
        <w:t>The Second SoBRA Tranche</w:t>
      </w:r>
      <w:r>
        <w:t xml:space="preserve">: 1) </w:t>
      </w:r>
      <w:r w:rsidRPr="00C62A3E">
        <w:t>lower</w:t>
      </w:r>
      <w:r>
        <w:t>s</w:t>
      </w:r>
      <w:r w:rsidRPr="00C62A3E">
        <w:t xml:space="preserve"> DEF’s system </w:t>
      </w:r>
      <w:r w:rsidRPr="008C3B4B">
        <w:t xml:space="preserve">Cumulative Present Value Revenue Requirements </w:t>
      </w:r>
      <w:r>
        <w:t>(</w:t>
      </w:r>
      <w:r w:rsidRPr="00C62A3E">
        <w:t>CPVRR</w:t>
      </w:r>
      <w:r>
        <w:t>)</w:t>
      </w:r>
      <w:r w:rsidRPr="00C62A3E">
        <w:t xml:space="preserve"> by approximately $117.5 million</w:t>
      </w:r>
      <w:r>
        <w:t xml:space="preserve">; 2) shows </w:t>
      </w:r>
      <w:r w:rsidRPr="00C62A3E">
        <w:t>benefits beginning in 2033</w:t>
      </w:r>
      <w:r>
        <w:t>; 3) has</w:t>
      </w:r>
      <w:r w:rsidRPr="00C62A3E">
        <w:t xml:space="preserve"> a tota</w:t>
      </w:r>
      <w:r>
        <w:t>l benefit to cost ratio of 1.165; and, 4) is</w:t>
      </w:r>
      <w:r w:rsidRPr="00C62A3E">
        <w:t xml:space="preserve"> 100 percent dedicated to serving DEF’s retail load.</w:t>
      </w:r>
      <w:r>
        <w:t xml:space="preserve"> Therefore, the Second SoBRA Tranche is reasonable and cost-effective in accordance with the criteria of </w:t>
      </w:r>
      <w:r w:rsidR="00A33DBB">
        <w:t>sub</w:t>
      </w:r>
      <w:r>
        <w:t>paragraph 16(c) of the 2024 Settlement and should be approved for inclusion in base rates through the SoBRA mechanism. (Sanchez)</w:t>
      </w:r>
    </w:p>
    <w:p w14:paraId="1ADE12D4" w14:textId="77777777" w:rsidR="001B7CB6" w:rsidRPr="004C3641" w:rsidRDefault="001B7CB6">
      <w:pPr>
        <w:pStyle w:val="IssueSubsectionHeading"/>
        <w:rPr>
          <w:vanish/>
          <w:specVanish/>
        </w:rPr>
      </w:pPr>
      <w:r w:rsidRPr="004C3641">
        <w:t>Staff Analysis: </w:t>
      </w:r>
    </w:p>
    <w:p w14:paraId="54850437" w14:textId="77777777" w:rsidR="001B7CB6" w:rsidRDefault="001B7CB6" w:rsidP="001B7CB6">
      <w:pPr>
        <w:pStyle w:val="BodyText"/>
      </w:pPr>
      <w:r>
        <w:t> In its petition, DEF proposes the addition of four solar generating facilities</w:t>
      </w:r>
      <w:r w:rsidR="00B45EC2">
        <w:t>,</w:t>
      </w:r>
      <w:r>
        <w:t xml:space="preserve"> with three facilities rated at 74.9 MW</w:t>
      </w:r>
      <w:r w:rsidR="00B45EC2">
        <w:t>,</w:t>
      </w:r>
      <w:r>
        <w:t xml:space="preserve"> and one rated at 74.5 MW. Table 1-1 lists the capacity, location, estimated in-service dates, estimated rate effective date, and the estimated installed cost for each project. Staff notes that the installed costs of each project below are inclusive of transmission network upgrades associated with the facilities, which ranged from $1.5 million for Jumper Creek to $53.3 million for Turnpike. These upgrades are necessary for designated resource status and for a new switching station that will serve as the Turnpike site’s point of interconnection.</w:t>
      </w:r>
    </w:p>
    <w:p w14:paraId="0DFF8A79" w14:textId="5D56291D" w:rsidR="001B7CB6" w:rsidRDefault="001B7CB6" w:rsidP="001B7CB6">
      <w:pPr>
        <w:pStyle w:val="TableNumber"/>
        <w:keepNext/>
      </w:pPr>
      <w:r>
        <w:t xml:space="preserve">Table </w:t>
      </w:r>
      <w:fldSimple w:instr=" SEQ Issue \c ">
        <w:r w:rsidR="00F4659E">
          <w:rPr>
            <w:noProof/>
          </w:rPr>
          <w:t>1</w:t>
        </w:r>
      </w:fldSimple>
      <w:r>
        <w:t>-1</w:t>
      </w:r>
    </w:p>
    <w:p w14:paraId="1F700B4B" w14:textId="77777777" w:rsidR="001B7CB6" w:rsidRDefault="001B7CB6" w:rsidP="001B7CB6">
      <w:pPr>
        <w:pStyle w:val="TableTitle"/>
        <w:keepNext/>
      </w:pPr>
      <w:r>
        <w:t>Second SoBRA Tranche Projects</w:t>
      </w:r>
    </w:p>
    <w:tbl>
      <w:tblPr>
        <w:tblStyle w:val="TableGrid"/>
        <w:tblW w:w="0" w:type="auto"/>
        <w:tblLook w:val="04A0" w:firstRow="1" w:lastRow="0" w:firstColumn="1" w:lastColumn="0" w:noHBand="0" w:noVBand="1"/>
      </w:tblPr>
      <w:tblGrid>
        <w:gridCol w:w="2229"/>
        <w:gridCol w:w="1809"/>
        <w:gridCol w:w="1810"/>
        <w:gridCol w:w="1810"/>
        <w:gridCol w:w="1810"/>
      </w:tblGrid>
      <w:tr w:rsidR="001B7CB6" w14:paraId="2D34BB23" w14:textId="77777777" w:rsidTr="00861244">
        <w:tc>
          <w:tcPr>
            <w:tcW w:w="2229" w:type="dxa"/>
          </w:tcPr>
          <w:p w14:paraId="286DECBA" w14:textId="77777777" w:rsidR="001B7CB6" w:rsidRDefault="001B7CB6" w:rsidP="00861244"/>
        </w:tc>
        <w:tc>
          <w:tcPr>
            <w:tcW w:w="1809" w:type="dxa"/>
            <w:vAlign w:val="center"/>
          </w:tcPr>
          <w:p w14:paraId="1C1F630E" w14:textId="77777777" w:rsidR="001B7CB6" w:rsidRPr="00090768" w:rsidRDefault="001B7CB6" w:rsidP="00861244">
            <w:pPr>
              <w:jc w:val="center"/>
              <w:rPr>
                <w:b/>
              </w:rPr>
            </w:pPr>
            <w:r w:rsidRPr="00090768">
              <w:rPr>
                <w:b/>
              </w:rPr>
              <w:t>Jumper Creek</w:t>
            </w:r>
          </w:p>
        </w:tc>
        <w:tc>
          <w:tcPr>
            <w:tcW w:w="1810" w:type="dxa"/>
            <w:vAlign w:val="center"/>
          </w:tcPr>
          <w:p w14:paraId="7B27CE7F" w14:textId="77777777" w:rsidR="001B7CB6" w:rsidRPr="00090768" w:rsidRDefault="001B7CB6" w:rsidP="00861244">
            <w:pPr>
              <w:jc w:val="center"/>
              <w:rPr>
                <w:b/>
              </w:rPr>
            </w:pPr>
            <w:r w:rsidRPr="00090768">
              <w:rPr>
                <w:b/>
              </w:rPr>
              <w:t>Turnpike</w:t>
            </w:r>
          </w:p>
        </w:tc>
        <w:tc>
          <w:tcPr>
            <w:tcW w:w="1810" w:type="dxa"/>
            <w:vAlign w:val="center"/>
          </w:tcPr>
          <w:p w14:paraId="4129EA1A" w14:textId="77777777" w:rsidR="001B7CB6" w:rsidRDefault="001B7CB6" w:rsidP="00861244">
            <w:pPr>
              <w:jc w:val="center"/>
              <w:rPr>
                <w:b/>
              </w:rPr>
            </w:pPr>
            <w:r>
              <w:rPr>
                <w:b/>
              </w:rPr>
              <w:t>Lonesome</w:t>
            </w:r>
          </w:p>
          <w:p w14:paraId="0006CCFA" w14:textId="77777777" w:rsidR="001B7CB6" w:rsidRPr="00090768" w:rsidRDefault="001B7CB6" w:rsidP="00861244">
            <w:pPr>
              <w:jc w:val="center"/>
              <w:rPr>
                <w:b/>
              </w:rPr>
            </w:pPr>
            <w:r w:rsidRPr="00090768">
              <w:rPr>
                <w:b/>
              </w:rPr>
              <w:t>Camp</w:t>
            </w:r>
          </w:p>
        </w:tc>
        <w:tc>
          <w:tcPr>
            <w:tcW w:w="1810" w:type="dxa"/>
            <w:vAlign w:val="center"/>
          </w:tcPr>
          <w:p w14:paraId="1FF24B05" w14:textId="77777777" w:rsidR="001B7CB6" w:rsidRPr="00090768" w:rsidRDefault="001B7CB6" w:rsidP="00861244">
            <w:pPr>
              <w:jc w:val="center"/>
              <w:rPr>
                <w:b/>
              </w:rPr>
            </w:pPr>
            <w:r w:rsidRPr="00090768">
              <w:rPr>
                <w:b/>
              </w:rPr>
              <w:t>Banner</w:t>
            </w:r>
          </w:p>
        </w:tc>
      </w:tr>
      <w:tr w:rsidR="001B7CB6" w14:paraId="001084C6" w14:textId="77777777" w:rsidTr="00861244">
        <w:tc>
          <w:tcPr>
            <w:tcW w:w="2229" w:type="dxa"/>
          </w:tcPr>
          <w:p w14:paraId="5AFBF74B" w14:textId="77777777" w:rsidR="001B7CB6" w:rsidRDefault="001B7CB6" w:rsidP="00861244">
            <w:r>
              <w:t>Size (MW)</w:t>
            </w:r>
          </w:p>
        </w:tc>
        <w:tc>
          <w:tcPr>
            <w:tcW w:w="1809" w:type="dxa"/>
            <w:vAlign w:val="center"/>
          </w:tcPr>
          <w:p w14:paraId="0F4AE053" w14:textId="77777777" w:rsidR="001B7CB6" w:rsidRPr="00090768" w:rsidRDefault="001B7CB6" w:rsidP="00861244">
            <w:pPr>
              <w:jc w:val="center"/>
            </w:pPr>
            <w:r w:rsidRPr="00090768">
              <w:t>74.9</w:t>
            </w:r>
          </w:p>
        </w:tc>
        <w:tc>
          <w:tcPr>
            <w:tcW w:w="1810" w:type="dxa"/>
            <w:vAlign w:val="center"/>
          </w:tcPr>
          <w:p w14:paraId="468C8F18" w14:textId="77777777" w:rsidR="001B7CB6" w:rsidRPr="00090768" w:rsidRDefault="001B7CB6" w:rsidP="00861244">
            <w:pPr>
              <w:jc w:val="center"/>
            </w:pPr>
            <w:r w:rsidRPr="00090768">
              <w:t>74.9</w:t>
            </w:r>
          </w:p>
        </w:tc>
        <w:tc>
          <w:tcPr>
            <w:tcW w:w="1810" w:type="dxa"/>
            <w:vAlign w:val="center"/>
          </w:tcPr>
          <w:p w14:paraId="195A5560" w14:textId="77777777" w:rsidR="001B7CB6" w:rsidRPr="00090768" w:rsidRDefault="001B7CB6" w:rsidP="00861244">
            <w:pPr>
              <w:jc w:val="center"/>
            </w:pPr>
            <w:r w:rsidRPr="00090768">
              <w:t>74.9</w:t>
            </w:r>
          </w:p>
        </w:tc>
        <w:tc>
          <w:tcPr>
            <w:tcW w:w="1810" w:type="dxa"/>
            <w:vAlign w:val="center"/>
          </w:tcPr>
          <w:p w14:paraId="398A0C8E" w14:textId="77777777" w:rsidR="001B7CB6" w:rsidRPr="00090768" w:rsidRDefault="001B7CB6" w:rsidP="00861244">
            <w:pPr>
              <w:jc w:val="center"/>
            </w:pPr>
            <w:r w:rsidRPr="00090768">
              <w:t>74.5</w:t>
            </w:r>
          </w:p>
        </w:tc>
      </w:tr>
      <w:tr w:rsidR="001B7CB6" w14:paraId="02B62F59" w14:textId="77777777" w:rsidTr="00861244">
        <w:tc>
          <w:tcPr>
            <w:tcW w:w="2229" w:type="dxa"/>
          </w:tcPr>
          <w:p w14:paraId="14C24399" w14:textId="77777777" w:rsidR="001B7CB6" w:rsidRDefault="001B7CB6" w:rsidP="00861244">
            <w:r>
              <w:t>County</w:t>
            </w:r>
          </w:p>
        </w:tc>
        <w:tc>
          <w:tcPr>
            <w:tcW w:w="1809" w:type="dxa"/>
            <w:vAlign w:val="center"/>
          </w:tcPr>
          <w:p w14:paraId="7BA809BD" w14:textId="77777777" w:rsidR="001B7CB6" w:rsidRPr="00926ABC" w:rsidRDefault="001B7CB6" w:rsidP="00861244">
            <w:pPr>
              <w:jc w:val="center"/>
            </w:pPr>
            <w:r w:rsidRPr="00926ABC">
              <w:t>Sumter</w:t>
            </w:r>
          </w:p>
        </w:tc>
        <w:tc>
          <w:tcPr>
            <w:tcW w:w="1810" w:type="dxa"/>
            <w:vAlign w:val="center"/>
          </w:tcPr>
          <w:p w14:paraId="788A9841" w14:textId="77777777" w:rsidR="001B7CB6" w:rsidRPr="00926ABC" w:rsidRDefault="001B7CB6" w:rsidP="00861244">
            <w:pPr>
              <w:jc w:val="center"/>
            </w:pPr>
            <w:r w:rsidRPr="00926ABC">
              <w:t>Osceola</w:t>
            </w:r>
          </w:p>
        </w:tc>
        <w:tc>
          <w:tcPr>
            <w:tcW w:w="1810" w:type="dxa"/>
            <w:vAlign w:val="center"/>
          </w:tcPr>
          <w:p w14:paraId="77FFE255" w14:textId="77777777" w:rsidR="001B7CB6" w:rsidRPr="00926ABC" w:rsidRDefault="001B7CB6" w:rsidP="00861244">
            <w:pPr>
              <w:jc w:val="center"/>
            </w:pPr>
            <w:r w:rsidRPr="00926ABC">
              <w:t>Osceola</w:t>
            </w:r>
          </w:p>
        </w:tc>
        <w:tc>
          <w:tcPr>
            <w:tcW w:w="1810" w:type="dxa"/>
            <w:vAlign w:val="center"/>
          </w:tcPr>
          <w:p w14:paraId="2E9AC64C" w14:textId="77777777" w:rsidR="001B7CB6" w:rsidRPr="00926ABC" w:rsidRDefault="001B7CB6" w:rsidP="00861244">
            <w:pPr>
              <w:jc w:val="center"/>
            </w:pPr>
            <w:r w:rsidRPr="00926ABC">
              <w:t>Columbia</w:t>
            </w:r>
          </w:p>
        </w:tc>
      </w:tr>
      <w:tr w:rsidR="001B7CB6" w14:paraId="1E64ECD6" w14:textId="77777777" w:rsidTr="00861244">
        <w:tc>
          <w:tcPr>
            <w:tcW w:w="2229" w:type="dxa"/>
          </w:tcPr>
          <w:p w14:paraId="224325BA" w14:textId="77777777" w:rsidR="001B7CB6" w:rsidRDefault="001B7CB6" w:rsidP="00861244">
            <w:r>
              <w:t>In-Service Date</w:t>
            </w:r>
          </w:p>
        </w:tc>
        <w:tc>
          <w:tcPr>
            <w:tcW w:w="1809" w:type="dxa"/>
            <w:vAlign w:val="center"/>
          </w:tcPr>
          <w:p w14:paraId="050B137D" w14:textId="77777777" w:rsidR="001B7CB6" w:rsidRPr="00090768" w:rsidRDefault="001B7CB6" w:rsidP="00861244">
            <w:pPr>
              <w:jc w:val="center"/>
            </w:pPr>
            <w:r w:rsidRPr="00090768">
              <w:t>June 2026</w:t>
            </w:r>
          </w:p>
        </w:tc>
        <w:tc>
          <w:tcPr>
            <w:tcW w:w="1810" w:type="dxa"/>
            <w:vAlign w:val="center"/>
          </w:tcPr>
          <w:p w14:paraId="14F74E65" w14:textId="77777777" w:rsidR="001B7CB6" w:rsidRPr="00090768" w:rsidRDefault="001B7CB6" w:rsidP="00861244">
            <w:pPr>
              <w:jc w:val="center"/>
            </w:pPr>
            <w:r w:rsidRPr="00090768">
              <w:t>December 2026</w:t>
            </w:r>
          </w:p>
        </w:tc>
        <w:tc>
          <w:tcPr>
            <w:tcW w:w="1810" w:type="dxa"/>
            <w:vAlign w:val="center"/>
          </w:tcPr>
          <w:p w14:paraId="6E874411" w14:textId="77777777" w:rsidR="001B7CB6" w:rsidRPr="00090768" w:rsidRDefault="001B7CB6" w:rsidP="00861244">
            <w:pPr>
              <w:jc w:val="center"/>
            </w:pPr>
            <w:r w:rsidRPr="00090768">
              <w:t>February 2027</w:t>
            </w:r>
          </w:p>
        </w:tc>
        <w:tc>
          <w:tcPr>
            <w:tcW w:w="1810" w:type="dxa"/>
            <w:vAlign w:val="center"/>
          </w:tcPr>
          <w:p w14:paraId="564B3609" w14:textId="77777777" w:rsidR="001B7CB6" w:rsidRPr="00090768" w:rsidRDefault="001B7CB6" w:rsidP="00861244">
            <w:pPr>
              <w:jc w:val="center"/>
            </w:pPr>
            <w:r w:rsidRPr="00090768">
              <w:t>March 2027</w:t>
            </w:r>
          </w:p>
        </w:tc>
      </w:tr>
      <w:tr w:rsidR="001B7CB6" w14:paraId="651BED21" w14:textId="77777777" w:rsidTr="00861244">
        <w:tc>
          <w:tcPr>
            <w:tcW w:w="2229" w:type="dxa"/>
          </w:tcPr>
          <w:p w14:paraId="20DE80FF" w14:textId="77777777" w:rsidR="001B7CB6" w:rsidRDefault="001B7CB6" w:rsidP="00861244">
            <w:r>
              <w:t>Rate Effective Date</w:t>
            </w:r>
          </w:p>
        </w:tc>
        <w:tc>
          <w:tcPr>
            <w:tcW w:w="1809" w:type="dxa"/>
            <w:vAlign w:val="center"/>
          </w:tcPr>
          <w:p w14:paraId="13077368" w14:textId="77777777" w:rsidR="001B7CB6" w:rsidRPr="00090768" w:rsidRDefault="001B7CB6" w:rsidP="00861244">
            <w:pPr>
              <w:jc w:val="center"/>
            </w:pPr>
            <w:r w:rsidRPr="00090768">
              <w:t>July 2026</w:t>
            </w:r>
          </w:p>
        </w:tc>
        <w:tc>
          <w:tcPr>
            <w:tcW w:w="1810" w:type="dxa"/>
            <w:vAlign w:val="center"/>
          </w:tcPr>
          <w:p w14:paraId="1FE31C2C" w14:textId="77777777" w:rsidR="001B7CB6" w:rsidRPr="00090768" w:rsidRDefault="001B7CB6" w:rsidP="00861244">
            <w:pPr>
              <w:jc w:val="center"/>
            </w:pPr>
            <w:r w:rsidRPr="00090768">
              <w:t>January 2027</w:t>
            </w:r>
          </w:p>
        </w:tc>
        <w:tc>
          <w:tcPr>
            <w:tcW w:w="1810" w:type="dxa"/>
            <w:vAlign w:val="center"/>
          </w:tcPr>
          <w:p w14:paraId="66BC9115" w14:textId="77777777" w:rsidR="001B7CB6" w:rsidRPr="00090768" w:rsidRDefault="001B7CB6" w:rsidP="00861244">
            <w:pPr>
              <w:jc w:val="center"/>
            </w:pPr>
            <w:r w:rsidRPr="00090768">
              <w:t>March 2027</w:t>
            </w:r>
          </w:p>
        </w:tc>
        <w:tc>
          <w:tcPr>
            <w:tcW w:w="1810" w:type="dxa"/>
            <w:vAlign w:val="center"/>
          </w:tcPr>
          <w:p w14:paraId="6B16CF4F" w14:textId="77777777" w:rsidR="001B7CB6" w:rsidRPr="00090768" w:rsidRDefault="001B7CB6" w:rsidP="00861244">
            <w:pPr>
              <w:jc w:val="center"/>
            </w:pPr>
            <w:r w:rsidRPr="00090768">
              <w:t>April 2027</w:t>
            </w:r>
          </w:p>
        </w:tc>
      </w:tr>
      <w:tr w:rsidR="001B7CB6" w14:paraId="3C7D57CE" w14:textId="77777777" w:rsidTr="00861244">
        <w:tc>
          <w:tcPr>
            <w:tcW w:w="2229" w:type="dxa"/>
          </w:tcPr>
          <w:p w14:paraId="7B64E653" w14:textId="77777777" w:rsidR="001B7CB6" w:rsidRDefault="001B7CB6" w:rsidP="00861244">
            <w:r>
              <w:t>Installed Cost ($M)</w:t>
            </w:r>
          </w:p>
        </w:tc>
        <w:tc>
          <w:tcPr>
            <w:tcW w:w="1809" w:type="dxa"/>
            <w:vAlign w:val="center"/>
          </w:tcPr>
          <w:p w14:paraId="68E4E819" w14:textId="77777777" w:rsidR="001B7CB6" w:rsidRPr="00090768" w:rsidRDefault="001B7CB6" w:rsidP="00861244">
            <w:pPr>
              <w:jc w:val="center"/>
            </w:pPr>
            <w:r w:rsidRPr="00090768">
              <w:t>$123.3</w:t>
            </w:r>
          </w:p>
        </w:tc>
        <w:tc>
          <w:tcPr>
            <w:tcW w:w="1810" w:type="dxa"/>
            <w:vAlign w:val="center"/>
          </w:tcPr>
          <w:p w14:paraId="30A9014B" w14:textId="77777777" w:rsidR="001B7CB6" w:rsidRPr="00090768" w:rsidRDefault="001B7CB6" w:rsidP="00861244">
            <w:pPr>
              <w:jc w:val="center"/>
            </w:pPr>
            <w:r w:rsidRPr="00090768">
              <w:t>$191.9</w:t>
            </w:r>
          </w:p>
        </w:tc>
        <w:tc>
          <w:tcPr>
            <w:tcW w:w="1810" w:type="dxa"/>
            <w:vAlign w:val="center"/>
          </w:tcPr>
          <w:p w14:paraId="5EA35789" w14:textId="77777777" w:rsidR="001B7CB6" w:rsidRPr="00090768" w:rsidRDefault="001B7CB6" w:rsidP="00861244">
            <w:pPr>
              <w:jc w:val="center"/>
            </w:pPr>
            <w:r w:rsidRPr="00090768">
              <w:t>$166.5</w:t>
            </w:r>
          </w:p>
        </w:tc>
        <w:tc>
          <w:tcPr>
            <w:tcW w:w="1810" w:type="dxa"/>
            <w:vAlign w:val="center"/>
          </w:tcPr>
          <w:p w14:paraId="3B6212F0" w14:textId="77777777" w:rsidR="001B7CB6" w:rsidRPr="00090768" w:rsidRDefault="001B7CB6" w:rsidP="00861244">
            <w:pPr>
              <w:jc w:val="center"/>
            </w:pPr>
            <w:r w:rsidRPr="00090768">
              <w:t>$125.7</w:t>
            </w:r>
          </w:p>
        </w:tc>
      </w:tr>
    </w:tbl>
    <w:p w14:paraId="2F9E52C7" w14:textId="77777777" w:rsidR="001B7CB6" w:rsidRDefault="001B7CB6" w:rsidP="001B7CB6">
      <w:pPr>
        <w:pStyle w:val="TableSource"/>
      </w:pPr>
      <w:r>
        <w:t>Source: Document No. 14969-2025</w:t>
      </w:r>
    </w:p>
    <w:p w14:paraId="67DA6712" w14:textId="37ED2A6A" w:rsidR="001B7CB6" w:rsidRDefault="00A33DBB" w:rsidP="001B7CB6">
      <w:pPr>
        <w:pStyle w:val="BodyText"/>
      </w:pPr>
      <w:r>
        <w:t>Subp</w:t>
      </w:r>
      <w:r w:rsidR="001B7CB6">
        <w:t xml:space="preserve">aragraph 16(c) of the 2024 Settlement </w:t>
      </w:r>
      <w:r w:rsidR="001B7CB6" w:rsidRPr="00090768">
        <w:t xml:space="preserve">states that the reasonableness and cost-effectiveness of the SoBRA project(s) shall be evaluated based only on whether the projects in the SoBRA will (1) lower the projected system </w:t>
      </w:r>
      <w:r w:rsidR="001B7CB6" w:rsidRPr="008C3B4B">
        <w:t>CPVRR</w:t>
      </w:r>
      <w:r w:rsidR="001B7CB6" w:rsidRPr="00090768">
        <w:t xml:space="preserve"> as compared to a system CPVRR without the solar projects (also known as the ‘b</w:t>
      </w:r>
      <w:r w:rsidR="001B7CB6">
        <w:t>ase case’); (2) whether the</w:t>
      </w:r>
      <w:r w:rsidR="001B7CB6" w:rsidRPr="00090768">
        <w:t xml:space="preserve"> CPVRR of the solar projects show positive benefits that exceed costs within ten years; (3) whether the solar projects meet a 1.15 to 1 benefit to cost ratio; and (4) whether the solar projects are 100 percent dedicated to serve DEF’s retail load.</w:t>
      </w:r>
    </w:p>
    <w:p w14:paraId="40B10205" w14:textId="53E0E74B" w:rsidR="001B7CB6" w:rsidRDefault="001B7CB6" w:rsidP="001B7CB6">
      <w:pPr>
        <w:pStyle w:val="BodyText"/>
      </w:pPr>
      <w:r>
        <w:t>The CPVRR compares the cost of the added generation, transmission, operations and maintenance (O&amp;M)</w:t>
      </w:r>
      <w:r w:rsidR="00A33DBB">
        <w:t>,</w:t>
      </w:r>
      <w:r>
        <w:t xml:space="preserve"> and other expenses of the proposed solar project(s) to the avoided traditional generation, transmission, fuel, and O&amp;M expenses that would otherwise have been incurred if the facilities had not been constructed. In response to staff’s </w:t>
      </w:r>
      <w:r w:rsidR="00A33DBB">
        <w:t xml:space="preserve">first </w:t>
      </w:r>
      <w:r>
        <w:t>data request, DEF produced resource plans for both the SoBRA case and the Base Case used as part of its analysis, including additions of solar, batteries, combined cycle, and combustion turbines as future units.</w:t>
      </w:r>
    </w:p>
    <w:p w14:paraId="61A7438B" w14:textId="5ED57FAC" w:rsidR="001B7CB6" w:rsidRDefault="00A33DBB" w:rsidP="001B7CB6">
      <w:pPr>
        <w:pStyle w:val="BodyText"/>
      </w:pPr>
      <w:r w:rsidRPr="004B0D11">
        <w:t>Exhibit No. BMHB-4 of DEF’s petition sh</w:t>
      </w:r>
      <w:r>
        <w:t>ows a net system benefit of $117.5</w:t>
      </w:r>
      <w:r w:rsidRPr="004B0D11">
        <w:t xml:space="preserve"> million over the life of the Second SoBRA Tranche. In response to staff’s </w:t>
      </w:r>
      <w:r>
        <w:t xml:space="preserve">first </w:t>
      </w:r>
      <w:r w:rsidRPr="004B0D11">
        <w:t>data request, DEF provided the annual values for each category</w:t>
      </w:r>
      <w:r>
        <w:t>. The data indicates</w:t>
      </w:r>
      <w:r w:rsidRPr="004B0D11">
        <w:t xml:space="preserve"> that, on a CPVRR basis, the solar projects become cost-effective in 203</w:t>
      </w:r>
      <w:r>
        <w:t>3</w:t>
      </w:r>
      <w:r w:rsidRPr="004B0D11">
        <w:t xml:space="preserve"> and provide a lower projected system CPVRR due to lowered fuel costs, lower </w:t>
      </w:r>
      <w:r>
        <w:t xml:space="preserve">generation </w:t>
      </w:r>
      <w:r w:rsidRPr="004B0D11">
        <w:t>capital costs</w:t>
      </w:r>
      <w:r>
        <w:t xml:space="preserve"> due to the deferral of a combustion turbine unit</w:t>
      </w:r>
      <w:r w:rsidRPr="004B0D11">
        <w:t>, and additional production tax credits (PTCs)</w:t>
      </w:r>
      <w:r>
        <w:t>, meeting the first and second requirements</w:t>
      </w:r>
      <w:r w:rsidRPr="004B0D11">
        <w:t>. Exhibit BMHB-4 shows that the projects provide an approximate $661</w:t>
      </w:r>
      <w:r>
        <w:t>.4</w:t>
      </w:r>
      <w:r w:rsidRPr="004B0D11">
        <w:t xml:space="preserve"> million in avoided costs (including fuel, emissions, O&amp;M, gas transportation, and capital) and $167</w:t>
      </w:r>
      <w:r>
        <w:t>.3</w:t>
      </w:r>
      <w:r w:rsidRPr="004B0D11">
        <w:t xml:space="preserve"> million of PTCs </w:t>
      </w:r>
      <w:r>
        <w:t>for an approximate total of $828.6</w:t>
      </w:r>
      <w:r w:rsidRPr="004B0D11">
        <w:t xml:space="preserve"> million in benefits. </w:t>
      </w:r>
      <w:r>
        <w:t>This compares to</w:t>
      </w:r>
      <w:r w:rsidRPr="004B0D11">
        <w:t xml:space="preserve"> the approximately $711</w:t>
      </w:r>
      <w:r>
        <w:t>.1</w:t>
      </w:r>
      <w:r w:rsidRPr="004B0D11">
        <w:t xml:space="preserve"> million cost of the solar projects (including fuel, emissions, O&amp;M, gas transportation, and capital)</w:t>
      </w:r>
      <w:r>
        <w:t>,</w:t>
      </w:r>
      <w:r w:rsidRPr="004B0D11">
        <w:t xml:space="preserve"> resulting in a bene</w:t>
      </w:r>
      <w:r>
        <w:t>fit to cost ratio of 1.165</w:t>
      </w:r>
      <w:r w:rsidRPr="004B0D11">
        <w:t xml:space="preserve"> which satisfies the</w:t>
      </w:r>
      <w:r>
        <w:t xml:space="preserve"> third </w:t>
      </w:r>
      <w:r w:rsidRPr="004B0D11">
        <w:t xml:space="preserve">requirement of the 2024 Settlement. Finally, </w:t>
      </w:r>
      <w:r>
        <w:t>DEF stated in its</w:t>
      </w:r>
      <w:r w:rsidRPr="004B0D11">
        <w:t xml:space="preserve"> re</w:t>
      </w:r>
      <w:r>
        <w:t>sponse to staff’s first data request that</w:t>
      </w:r>
      <w:r w:rsidRPr="004B0D11">
        <w:t xml:space="preserve"> the solar projects will be included in DEF’s overall system service provided to all retail customers and will not be included in any stratified sale to a wholesale customer</w:t>
      </w:r>
      <w:r>
        <w:t>, meeting the fourth and final requirement</w:t>
      </w:r>
      <w:r w:rsidR="001B7CB6" w:rsidRPr="004B0D11">
        <w:t>.</w:t>
      </w:r>
    </w:p>
    <w:p w14:paraId="68D72182" w14:textId="77777777" w:rsidR="001B7CB6" w:rsidRDefault="001B7CB6" w:rsidP="001B7CB6">
      <w:pPr>
        <w:pStyle w:val="First-LevelSubheading"/>
      </w:pPr>
      <w:r>
        <w:t>Conclusion</w:t>
      </w:r>
    </w:p>
    <w:p w14:paraId="202D554A" w14:textId="09D30239" w:rsidR="001B7CB6" w:rsidRDefault="001B7CB6" w:rsidP="001B7CB6">
      <w:pPr>
        <w:pStyle w:val="BodyText"/>
      </w:pPr>
      <w:r>
        <w:t>The Second SoBRA Tranche: 1) lowers DEF’s system CPVRR by approximately $117.5 million; 2) shows benefits beginning in 2033; 3) has a total benefit to cost ratio of 1.165; and, 4) is 100 percent dedicated to serving DEF’s retail load. Therefore, the</w:t>
      </w:r>
      <w:r w:rsidRPr="00D003B7">
        <w:t xml:space="preserve"> Second SoBRA Tranche is reasonable and cost-effective </w:t>
      </w:r>
      <w:r>
        <w:t xml:space="preserve">in </w:t>
      </w:r>
      <w:r w:rsidRPr="00D003B7">
        <w:t>accord</w:t>
      </w:r>
      <w:r>
        <w:t>ance with</w:t>
      </w:r>
      <w:r w:rsidRPr="00D003B7">
        <w:t xml:space="preserve"> the criteria of </w:t>
      </w:r>
      <w:r w:rsidR="00A33DBB">
        <w:t>sub</w:t>
      </w:r>
      <w:r w:rsidRPr="00D003B7">
        <w:t>paragraph 16(</w:t>
      </w:r>
      <w:r>
        <w:t xml:space="preserve">c) of the 2024 Settlement and </w:t>
      </w:r>
      <w:r w:rsidRPr="00D003B7">
        <w:t>should be approved for inclusion in base rates throug</w:t>
      </w:r>
      <w:r>
        <w:t>h the SoBRA mechanism.</w:t>
      </w:r>
    </w:p>
    <w:p w14:paraId="062DC24A" w14:textId="126B2C71" w:rsidR="001B7CB6" w:rsidRDefault="001B7CB6">
      <w:pPr>
        <w:pStyle w:val="IssueHeading"/>
        <w:rPr>
          <w:vanish/>
          <w:specVanish/>
        </w:rPr>
      </w:pPr>
      <w:r w:rsidRPr="004C3641">
        <w:rPr>
          <w:b w:val="0"/>
          <w:i w:val="0"/>
        </w:rPr>
        <w:br w:type="page"/>
      </w:r>
      <w:r w:rsidRPr="004C3641">
        <w:t xml:space="preserve">Issue </w:t>
      </w:r>
      <w:r w:rsidR="00450CFC">
        <w:fldChar w:fldCharType="begin"/>
      </w:r>
      <w:r w:rsidR="00450CFC">
        <w:instrText xml:space="preserve"> SEQ Issue \* MERGEFORMAT </w:instrText>
      </w:r>
      <w:r w:rsidR="00450CFC">
        <w:fldChar w:fldCharType="separate"/>
      </w:r>
      <w:r w:rsidR="00F4659E">
        <w:rPr>
          <w:noProof/>
        </w:rPr>
        <w:t>2</w:t>
      </w:r>
      <w:r w:rsidR="00450C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4659E">
        <w:rPr>
          <w:noProof/>
        </w:rPr>
        <w:instrText>2</w:instrText>
      </w:r>
      <w:r>
        <w:fldChar w:fldCharType="end"/>
      </w:r>
      <w:r>
        <w:tab/>
        <w:instrText xml:space="preserve">(Dasher)" \l 1 </w:instrText>
      </w:r>
      <w:r>
        <w:fldChar w:fldCharType="end"/>
      </w:r>
      <w:r>
        <w:t> </w:t>
      </w:r>
    </w:p>
    <w:p w14:paraId="24835286" w14:textId="77777777" w:rsidR="001B7CB6" w:rsidRDefault="001B7CB6">
      <w:pPr>
        <w:pStyle w:val="BodyText"/>
      </w:pPr>
      <w:r>
        <w:t> What is the estimated annual revenue requirement associated with DEF’s Second SoBRA Tranche which includes the Jumper Creek, Turnpike, Lonesome Camp, and Banner solar projects?</w:t>
      </w:r>
    </w:p>
    <w:p w14:paraId="5D0196A6" w14:textId="77777777" w:rsidR="001B7CB6" w:rsidRPr="004C3641" w:rsidRDefault="001B7CB6">
      <w:pPr>
        <w:pStyle w:val="IssueSubsectionHeading"/>
        <w:rPr>
          <w:vanish/>
          <w:specVanish/>
        </w:rPr>
      </w:pPr>
      <w:r w:rsidRPr="004C3641">
        <w:t>Recommendation: </w:t>
      </w:r>
    </w:p>
    <w:p w14:paraId="20FD5272" w14:textId="77777777" w:rsidR="001B7CB6" w:rsidRDefault="001B7CB6">
      <w:pPr>
        <w:pStyle w:val="BodyText"/>
      </w:pPr>
      <w:r>
        <w:t> </w:t>
      </w:r>
      <w:r w:rsidR="00094FA7" w:rsidRPr="00022B39">
        <w:t xml:space="preserve">The estimated annual revenue requirement </w:t>
      </w:r>
      <w:r w:rsidR="00094FA7">
        <w:t>associated with DEF’s Second</w:t>
      </w:r>
      <w:r w:rsidR="00094FA7" w:rsidRPr="00022B39">
        <w:t xml:space="preserve"> SoBRA Tranche</w:t>
      </w:r>
      <w:r w:rsidR="00094FA7">
        <w:t xml:space="preserve"> is $53</w:t>
      </w:r>
      <w:r w:rsidR="00094FA7" w:rsidRPr="00022B39">
        <w:t xml:space="preserve"> million</w:t>
      </w:r>
      <w:r w:rsidR="00094FA7">
        <w:t>.</w:t>
      </w:r>
      <w:r>
        <w:t xml:space="preserve"> (Dasher)</w:t>
      </w:r>
    </w:p>
    <w:p w14:paraId="3150A7B9" w14:textId="77777777" w:rsidR="001B7CB6" w:rsidRPr="004C3641" w:rsidRDefault="001B7CB6">
      <w:pPr>
        <w:pStyle w:val="IssueSubsectionHeading"/>
        <w:rPr>
          <w:vanish/>
          <w:specVanish/>
        </w:rPr>
      </w:pPr>
      <w:r w:rsidRPr="004C3641">
        <w:t>Staff Analysis: </w:t>
      </w:r>
    </w:p>
    <w:p w14:paraId="7E3F228B" w14:textId="77777777" w:rsidR="00094FA7" w:rsidRPr="00022B39" w:rsidRDefault="001B7CB6" w:rsidP="00094FA7">
      <w:pPr>
        <w:jc w:val="both"/>
      </w:pPr>
      <w:r>
        <w:t> </w:t>
      </w:r>
      <w:r w:rsidR="00094FA7" w:rsidRPr="00022B39">
        <w:t xml:space="preserve">Pursuant to the 2024 Settlement, DEF was authorized to establish a SoBRA mechanism to recover the costs associated with constructing 300 MW of solar generation annually, from 2025 through 2027. The SoBRA mechanism allows DEF to file a petition for approval of groups of solar generation projects in separate dockets, filed closer to their respective in-service dates, in order to ensure more accurate and current cost projections. </w:t>
      </w:r>
    </w:p>
    <w:p w14:paraId="571D337E" w14:textId="77777777" w:rsidR="00094FA7" w:rsidRPr="00022B39" w:rsidRDefault="00094FA7" w:rsidP="00094FA7">
      <w:pPr>
        <w:jc w:val="both"/>
      </w:pPr>
    </w:p>
    <w:p w14:paraId="7A647895" w14:textId="77777777" w:rsidR="00A33DBB" w:rsidRPr="00022B39" w:rsidRDefault="00A33DBB" w:rsidP="00A33DBB">
      <w:pPr>
        <w:jc w:val="both"/>
        <w:rPr>
          <w:strike/>
        </w:rPr>
      </w:pPr>
      <w:r w:rsidRPr="00022B39">
        <w:t>The Company</w:t>
      </w:r>
      <w:r>
        <w:t>,</w:t>
      </w:r>
      <w:r w:rsidRPr="009A72D3">
        <w:t xml:space="preserve"> </w:t>
      </w:r>
      <w:r w:rsidRPr="00022B39">
        <w:t xml:space="preserve">in its </w:t>
      </w:r>
      <w:r>
        <w:t>second</w:t>
      </w:r>
      <w:r w:rsidRPr="00022B39">
        <w:t xml:space="preserve"> </w:t>
      </w:r>
      <w:r w:rsidRPr="00F246C6">
        <w:t>SoBRA</w:t>
      </w:r>
      <w:r>
        <w:t>,</w:t>
      </w:r>
      <w:r w:rsidRPr="00022B39">
        <w:t xml:space="preserve"> requested the Commission approve an annual revenue requirement based on the p</w:t>
      </w:r>
      <w:r>
        <w:t xml:space="preserve">rojected installed cost of four </w:t>
      </w:r>
      <w:r w:rsidRPr="00022B39">
        <w:t>project</w:t>
      </w:r>
      <w:r>
        <w:t>s: Jumper Creek Solar Center</w:t>
      </w:r>
      <w:r w:rsidRPr="00022B39">
        <w:t>,</w:t>
      </w:r>
      <w:r>
        <w:t xml:space="preserve"> Turnpike Solar Center, Lonesome Camp Solar Center, and Banner Solar Center.</w:t>
      </w:r>
      <w:r w:rsidRPr="00022B39">
        <w:t xml:space="preserve"> The estimated in-service date</w:t>
      </w:r>
      <w:r>
        <w:t>s for the facilities are June 2026 (Jumper Creek), December 2026 (Turnpike), February 2027 (Lonesome Camp), and March 2027 (Banner)</w:t>
      </w:r>
      <w:r w:rsidRPr="00022B39">
        <w:t xml:space="preserve">. </w:t>
      </w:r>
      <w:r w:rsidRPr="00287898">
        <w:t xml:space="preserve">The projected annual revenue requirement includes the Clean Energy Connection expansion revenues of $7.5 million, pursuant to the 2024 Settlement </w:t>
      </w:r>
      <w:r>
        <w:t>sub</w:t>
      </w:r>
      <w:r w:rsidRPr="00287898">
        <w:t xml:space="preserve">paragraph 16(a). </w:t>
      </w:r>
    </w:p>
    <w:p w14:paraId="7B72E031" w14:textId="77777777" w:rsidR="00A33DBB" w:rsidRPr="00022B39" w:rsidRDefault="00A33DBB" w:rsidP="00A33DBB">
      <w:pPr>
        <w:jc w:val="both"/>
      </w:pPr>
    </w:p>
    <w:p w14:paraId="791E73F6" w14:textId="010F9F95" w:rsidR="00094FA7" w:rsidRPr="00D7061C" w:rsidRDefault="00A33DBB" w:rsidP="00A33DBB">
      <w:pPr>
        <w:jc w:val="both"/>
      </w:pPr>
      <w:r w:rsidRPr="00022B39">
        <w:t xml:space="preserve">The revenue requirement for DEF’s SoBRA was based on a projected plant cost to determine rate base and the required net operating income. The net operating income includes </w:t>
      </w:r>
      <w:r w:rsidRPr="007662EB">
        <w:t>O&amp;M</w:t>
      </w:r>
      <w:r w:rsidRPr="00022B39">
        <w:t xml:space="preserve"> expenses, depreciation expenses, financing costs, insurance costs, and taxes</w:t>
      </w:r>
      <w:r w:rsidRPr="00287898">
        <w:t xml:space="preserve">, as well as a debit of $7.5 million </w:t>
      </w:r>
      <w:r>
        <w:t>included in the Jumper Creek Solar Center</w:t>
      </w:r>
      <w:r w:rsidRPr="00287898">
        <w:t>, for the Clean Energy Connection, which results in an increase in the revenue requirement.</w:t>
      </w:r>
      <w:r w:rsidRPr="00022B39">
        <w:t xml:space="preserve"> The proposed annual revenue requirement associat</w:t>
      </w:r>
      <w:r>
        <w:t>ed with DEF’s Second SoBRA is $53</w:t>
      </w:r>
      <w:r w:rsidRPr="00022B39">
        <w:t xml:space="preserve"> million, based on a total rate base of </w:t>
      </w:r>
      <w:r>
        <w:rPr>
          <w:bCs/>
        </w:rPr>
        <w:t>$573.2</w:t>
      </w:r>
      <w:r w:rsidRPr="00022B39">
        <w:rPr>
          <w:bCs/>
        </w:rPr>
        <w:t xml:space="preserve"> million</w:t>
      </w:r>
      <w:r w:rsidRPr="00022B39">
        <w:t xml:space="preserve"> and a net operating income of </w:t>
      </w:r>
      <w:r>
        <w:rPr>
          <w:bCs/>
        </w:rPr>
        <w:t>$39.5</w:t>
      </w:r>
      <w:r w:rsidRPr="00022B39">
        <w:rPr>
          <w:bCs/>
        </w:rPr>
        <w:t xml:space="preserve"> million</w:t>
      </w:r>
      <w:r w:rsidRPr="00022B39">
        <w:t xml:space="preserve">. </w:t>
      </w:r>
      <w:r w:rsidRPr="00D7061C">
        <w:t>Table 2-1 reflects each individual project’s calculated revenue requirement</w:t>
      </w:r>
      <w:r w:rsidR="00094FA7" w:rsidRPr="00D7061C">
        <w:t>.</w:t>
      </w:r>
    </w:p>
    <w:p w14:paraId="20539BA8" w14:textId="77777777" w:rsidR="00094FA7" w:rsidRPr="00D7061C" w:rsidRDefault="00094FA7" w:rsidP="00094FA7">
      <w:pPr>
        <w:jc w:val="center"/>
        <w:rPr>
          <w:b/>
        </w:rPr>
      </w:pPr>
    </w:p>
    <w:p w14:paraId="4287361A" w14:textId="77777777" w:rsidR="00094FA7" w:rsidRPr="00D7061C" w:rsidRDefault="00094FA7" w:rsidP="00094FA7">
      <w:pPr>
        <w:jc w:val="center"/>
        <w:rPr>
          <w:b/>
        </w:rPr>
      </w:pPr>
      <w:r w:rsidRPr="00D7061C">
        <w:rPr>
          <w:b/>
        </w:rPr>
        <w:t>Table 2-1</w:t>
      </w:r>
    </w:p>
    <w:p w14:paraId="58335484" w14:textId="77777777" w:rsidR="00094FA7" w:rsidRPr="00D7061C" w:rsidRDefault="00094FA7" w:rsidP="00094FA7">
      <w:pPr>
        <w:jc w:val="center"/>
        <w:rPr>
          <w:b/>
        </w:rPr>
      </w:pPr>
      <w:r w:rsidRPr="00D7061C">
        <w:rPr>
          <w:b/>
        </w:rPr>
        <w:t xml:space="preserve">DEF </w:t>
      </w:r>
      <w:r>
        <w:rPr>
          <w:b/>
        </w:rPr>
        <w:t>Second</w:t>
      </w:r>
      <w:r w:rsidRPr="00D7061C">
        <w:rPr>
          <w:b/>
        </w:rPr>
        <w:t xml:space="preserve"> SoBRA Annual Revenue Requirement ($000)</w:t>
      </w:r>
    </w:p>
    <w:tbl>
      <w:tblPr>
        <w:tblStyle w:val="TableGrid"/>
        <w:tblW w:w="0" w:type="auto"/>
        <w:jc w:val="center"/>
        <w:tblLayout w:type="fixed"/>
        <w:tblLook w:val="04A0" w:firstRow="1" w:lastRow="0" w:firstColumn="1" w:lastColumn="0" w:noHBand="0" w:noVBand="1"/>
      </w:tblPr>
      <w:tblGrid>
        <w:gridCol w:w="2538"/>
        <w:gridCol w:w="1724"/>
        <w:gridCol w:w="1749"/>
        <w:gridCol w:w="2107"/>
        <w:gridCol w:w="1458"/>
      </w:tblGrid>
      <w:tr w:rsidR="00094FA7" w:rsidRPr="00D7061C" w14:paraId="6719621E" w14:textId="77777777" w:rsidTr="00861244">
        <w:trPr>
          <w:jc w:val="center"/>
        </w:trPr>
        <w:tc>
          <w:tcPr>
            <w:tcW w:w="2538" w:type="dxa"/>
          </w:tcPr>
          <w:p w14:paraId="443E3A53" w14:textId="77777777" w:rsidR="00094FA7" w:rsidRPr="00D7061C" w:rsidRDefault="00094FA7" w:rsidP="00861244"/>
        </w:tc>
        <w:tc>
          <w:tcPr>
            <w:tcW w:w="1724" w:type="dxa"/>
          </w:tcPr>
          <w:p w14:paraId="22504AFC" w14:textId="77777777" w:rsidR="00094FA7" w:rsidRPr="00D7061C" w:rsidRDefault="00094FA7" w:rsidP="00861244">
            <w:r>
              <w:t>Jumper Creek</w:t>
            </w:r>
          </w:p>
        </w:tc>
        <w:tc>
          <w:tcPr>
            <w:tcW w:w="1749" w:type="dxa"/>
          </w:tcPr>
          <w:p w14:paraId="7D596E4D" w14:textId="77777777" w:rsidR="00094FA7" w:rsidRPr="00D7061C" w:rsidRDefault="00094FA7" w:rsidP="00861244">
            <w:pPr>
              <w:jc w:val="both"/>
            </w:pPr>
            <w:r>
              <w:t>Turnpike</w:t>
            </w:r>
          </w:p>
        </w:tc>
        <w:tc>
          <w:tcPr>
            <w:tcW w:w="2107" w:type="dxa"/>
          </w:tcPr>
          <w:p w14:paraId="6AE9681F" w14:textId="77777777" w:rsidR="00094FA7" w:rsidRPr="00D7061C" w:rsidRDefault="00094FA7" w:rsidP="00861244">
            <w:pPr>
              <w:jc w:val="both"/>
            </w:pPr>
            <w:r>
              <w:t>Lonesome Camp</w:t>
            </w:r>
          </w:p>
        </w:tc>
        <w:tc>
          <w:tcPr>
            <w:tcW w:w="1458" w:type="dxa"/>
          </w:tcPr>
          <w:p w14:paraId="174C59B0" w14:textId="77777777" w:rsidR="00094FA7" w:rsidRPr="00D7061C" w:rsidRDefault="00094FA7" w:rsidP="00861244">
            <w:pPr>
              <w:jc w:val="both"/>
            </w:pPr>
            <w:r w:rsidRPr="00D7061C">
              <w:t>Ba</w:t>
            </w:r>
            <w:r>
              <w:t>nner</w:t>
            </w:r>
          </w:p>
        </w:tc>
      </w:tr>
      <w:tr w:rsidR="00094FA7" w:rsidRPr="00D7061C" w14:paraId="36674DA0" w14:textId="77777777" w:rsidTr="00861244">
        <w:trPr>
          <w:jc w:val="center"/>
        </w:trPr>
        <w:tc>
          <w:tcPr>
            <w:tcW w:w="2538" w:type="dxa"/>
          </w:tcPr>
          <w:p w14:paraId="53D6070B" w14:textId="77777777" w:rsidR="00094FA7" w:rsidRPr="00D7061C" w:rsidRDefault="00094FA7" w:rsidP="00861244">
            <w:pPr>
              <w:jc w:val="both"/>
            </w:pPr>
            <w:r w:rsidRPr="00D7061C">
              <w:t>Rate Base</w:t>
            </w:r>
          </w:p>
        </w:tc>
        <w:tc>
          <w:tcPr>
            <w:tcW w:w="1724" w:type="dxa"/>
          </w:tcPr>
          <w:p w14:paraId="54D90B49" w14:textId="77777777" w:rsidR="00094FA7" w:rsidRPr="00D7061C" w:rsidRDefault="00094FA7" w:rsidP="00861244">
            <w:pPr>
              <w:jc w:val="right"/>
            </w:pPr>
            <w:r w:rsidRPr="00D7061C">
              <w:t>$</w:t>
            </w:r>
            <w:r>
              <w:t>120,909</w:t>
            </w:r>
          </w:p>
        </w:tc>
        <w:tc>
          <w:tcPr>
            <w:tcW w:w="1749" w:type="dxa"/>
          </w:tcPr>
          <w:p w14:paraId="2592C4A4" w14:textId="77777777" w:rsidR="00094FA7" w:rsidRPr="00D7061C" w:rsidRDefault="00094FA7" w:rsidP="00861244">
            <w:pPr>
              <w:jc w:val="right"/>
            </w:pPr>
            <w:r w:rsidRPr="00D7061C">
              <w:t>$1</w:t>
            </w:r>
            <w:r>
              <w:t>73,25</w:t>
            </w:r>
            <w:r w:rsidRPr="00D7061C">
              <w:t>0</w:t>
            </w:r>
          </w:p>
        </w:tc>
        <w:tc>
          <w:tcPr>
            <w:tcW w:w="2107" w:type="dxa"/>
          </w:tcPr>
          <w:p w14:paraId="0A8E883F" w14:textId="77777777" w:rsidR="00094FA7" w:rsidRPr="00D7061C" w:rsidRDefault="00094FA7" w:rsidP="00861244">
            <w:pPr>
              <w:jc w:val="right"/>
            </w:pPr>
            <w:r w:rsidRPr="00D7061C">
              <w:t>$1</w:t>
            </w:r>
            <w:r>
              <w:t>55,511</w:t>
            </w:r>
          </w:p>
        </w:tc>
        <w:tc>
          <w:tcPr>
            <w:tcW w:w="1458" w:type="dxa"/>
          </w:tcPr>
          <w:p w14:paraId="190D8300" w14:textId="77777777" w:rsidR="00094FA7" w:rsidRPr="00D7061C" w:rsidRDefault="00094FA7" w:rsidP="00861244">
            <w:pPr>
              <w:jc w:val="right"/>
            </w:pPr>
            <w:r w:rsidRPr="00D7061C">
              <w:t>$12</w:t>
            </w:r>
            <w:r>
              <w:t>2,900</w:t>
            </w:r>
          </w:p>
        </w:tc>
      </w:tr>
      <w:tr w:rsidR="00094FA7" w:rsidRPr="00D7061C" w14:paraId="0335F4A7" w14:textId="77777777" w:rsidTr="00861244">
        <w:trPr>
          <w:jc w:val="center"/>
        </w:trPr>
        <w:tc>
          <w:tcPr>
            <w:tcW w:w="2538" w:type="dxa"/>
          </w:tcPr>
          <w:p w14:paraId="3419B690" w14:textId="77777777" w:rsidR="00094FA7" w:rsidRPr="00D7061C" w:rsidRDefault="00094FA7" w:rsidP="00861244">
            <w:pPr>
              <w:jc w:val="both"/>
            </w:pPr>
            <w:r w:rsidRPr="00D7061C">
              <w:t xml:space="preserve">Rate of Return </w:t>
            </w:r>
          </w:p>
        </w:tc>
        <w:tc>
          <w:tcPr>
            <w:tcW w:w="1724" w:type="dxa"/>
          </w:tcPr>
          <w:p w14:paraId="597D7812" w14:textId="77777777" w:rsidR="00094FA7" w:rsidRPr="00D7061C" w:rsidRDefault="00094FA7" w:rsidP="00861244">
            <w:pPr>
              <w:jc w:val="right"/>
            </w:pPr>
            <w:r w:rsidRPr="00D7061C">
              <w:t>6.</w:t>
            </w:r>
            <w:r>
              <w:t>67</w:t>
            </w:r>
            <w:r w:rsidRPr="00D7061C">
              <w:t>0%</w:t>
            </w:r>
          </w:p>
        </w:tc>
        <w:tc>
          <w:tcPr>
            <w:tcW w:w="1749" w:type="dxa"/>
          </w:tcPr>
          <w:p w14:paraId="3D742880" w14:textId="77777777" w:rsidR="00094FA7" w:rsidRPr="00D7061C" w:rsidRDefault="00094FA7" w:rsidP="00861244">
            <w:pPr>
              <w:jc w:val="right"/>
            </w:pPr>
            <w:r w:rsidRPr="00D7061C">
              <w:t>6.7</w:t>
            </w:r>
            <w:r>
              <w:t>0</w:t>
            </w:r>
            <w:r w:rsidRPr="00D7061C">
              <w:t>0%</w:t>
            </w:r>
          </w:p>
        </w:tc>
        <w:tc>
          <w:tcPr>
            <w:tcW w:w="2107" w:type="dxa"/>
          </w:tcPr>
          <w:p w14:paraId="2C4287CC" w14:textId="77777777" w:rsidR="00094FA7" w:rsidRPr="00D7061C" w:rsidRDefault="00094FA7" w:rsidP="00861244">
            <w:pPr>
              <w:jc w:val="right"/>
            </w:pPr>
            <w:r w:rsidRPr="00D7061C">
              <w:t>6.7</w:t>
            </w:r>
            <w:r>
              <w:t>0</w:t>
            </w:r>
            <w:r w:rsidRPr="00D7061C">
              <w:t>0%</w:t>
            </w:r>
          </w:p>
        </w:tc>
        <w:tc>
          <w:tcPr>
            <w:tcW w:w="1458" w:type="dxa"/>
          </w:tcPr>
          <w:p w14:paraId="0F607A06" w14:textId="77777777" w:rsidR="00094FA7" w:rsidRPr="00D7061C" w:rsidRDefault="00094FA7" w:rsidP="00861244">
            <w:pPr>
              <w:jc w:val="right"/>
            </w:pPr>
            <w:r>
              <w:t>6.700</w:t>
            </w:r>
            <w:r w:rsidRPr="00D7061C">
              <w:t>%</w:t>
            </w:r>
          </w:p>
        </w:tc>
      </w:tr>
      <w:tr w:rsidR="00094FA7" w:rsidRPr="00D7061C" w14:paraId="2E5C3654" w14:textId="77777777" w:rsidTr="00861244">
        <w:trPr>
          <w:jc w:val="center"/>
        </w:trPr>
        <w:tc>
          <w:tcPr>
            <w:tcW w:w="2538" w:type="dxa"/>
          </w:tcPr>
          <w:p w14:paraId="47F74E2F" w14:textId="77777777" w:rsidR="00094FA7" w:rsidRPr="00D7061C" w:rsidRDefault="00094FA7" w:rsidP="00861244">
            <w:pPr>
              <w:jc w:val="both"/>
            </w:pPr>
            <w:r w:rsidRPr="00D7061C">
              <w:t>NOI Required</w:t>
            </w:r>
          </w:p>
        </w:tc>
        <w:tc>
          <w:tcPr>
            <w:tcW w:w="1724" w:type="dxa"/>
          </w:tcPr>
          <w:p w14:paraId="757F3EA9" w14:textId="77777777" w:rsidR="00094FA7" w:rsidRPr="00D7061C" w:rsidRDefault="00094FA7" w:rsidP="00861244">
            <w:pPr>
              <w:jc w:val="right"/>
              <w:rPr>
                <w:u w:val="single"/>
              </w:rPr>
            </w:pPr>
            <w:r>
              <w:rPr>
                <w:u w:val="single"/>
              </w:rPr>
              <w:t>8,065</w:t>
            </w:r>
          </w:p>
        </w:tc>
        <w:tc>
          <w:tcPr>
            <w:tcW w:w="1749" w:type="dxa"/>
          </w:tcPr>
          <w:p w14:paraId="2D93C538" w14:textId="77777777" w:rsidR="00094FA7" w:rsidRPr="00D7061C" w:rsidRDefault="00094FA7" w:rsidP="00861244">
            <w:pPr>
              <w:jc w:val="right"/>
              <w:rPr>
                <w:u w:val="single"/>
              </w:rPr>
            </w:pPr>
            <w:r>
              <w:rPr>
                <w:u w:val="single"/>
              </w:rPr>
              <w:t>11,608</w:t>
            </w:r>
          </w:p>
        </w:tc>
        <w:tc>
          <w:tcPr>
            <w:tcW w:w="2107" w:type="dxa"/>
          </w:tcPr>
          <w:p w14:paraId="1901B782" w14:textId="77777777" w:rsidR="00094FA7" w:rsidRPr="00D7061C" w:rsidRDefault="00094FA7" w:rsidP="00861244">
            <w:pPr>
              <w:jc w:val="right"/>
              <w:rPr>
                <w:u w:val="single"/>
              </w:rPr>
            </w:pPr>
            <w:r>
              <w:rPr>
                <w:u w:val="single"/>
              </w:rPr>
              <w:t>10,419</w:t>
            </w:r>
          </w:p>
        </w:tc>
        <w:tc>
          <w:tcPr>
            <w:tcW w:w="1458" w:type="dxa"/>
          </w:tcPr>
          <w:p w14:paraId="71E9B89C" w14:textId="77777777" w:rsidR="00094FA7" w:rsidRPr="00D7061C" w:rsidRDefault="00094FA7" w:rsidP="00861244">
            <w:pPr>
              <w:jc w:val="right"/>
              <w:rPr>
                <w:u w:val="single"/>
              </w:rPr>
            </w:pPr>
            <w:r w:rsidRPr="00D7061C">
              <w:rPr>
                <w:u w:val="single"/>
              </w:rPr>
              <w:t>8,</w:t>
            </w:r>
            <w:r>
              <w:rPr>
                <w:u w:val="single"/>
              </w:rPr>
              <w:t>234</w:t>
            </w:r>
          </w:p>
        </w:tc>
      </w:tr>
      <w:tr w:rsidR="00094FA7" w:rsidRPr="00D7061C" w14:paraId="0B55BDAB" w14:textId="77777777" w:rsidTr="00861244">
        <w:trPr>
          <w:jc w:val="center"/>
        </w:trPr>
        <w:tc>
          <w:tcPr>
            <w:tcW w:w="2538" w:type="dxa"/>
          </w:tcPr>
          <w:p w14:paraId="229CFF85" w14:textId="77777777" w:rsidR="00094FA7" w:rsidRPr="00D7061C" w:rsidRDefault="00094FA7" w:rsidP="00861244">
            <w:pPr>
              <w:jc w:val="both"/>
            </w:pPr>
            <w:r w:rsidRPr="00D7061C">
              <w:t>NOI Achieved</w:t>
            </w:r>
          </w:p>
        </w:tc>
        <w:tc>
          <w:tcPr>
            <w:tcW w:w="1724" w:type="dxa"/>
          </w:tcPr>
          <w:p w14:paraId="7C036455" w14:textId="77777777" w:rsidR="00094FA7" w:rsidRPr="00D7061C" w:rsidRDefault="00094FA7" w:rsidP="00861244">
            <w:pPr>
              <w:jc w:val="right"/>
            </w:pPr>
            <w:r w:rsidRPr="00D7061C">
              <w:t>(4,</w:t>
            </w:r>
            <w:r>
              <w:t>277</w:t>
            </w:r>
            <w:r w:rsidRPr="00D7061C">
              <w:t>)</w:t>
            </w:r>
          </w:p>
        </w:tc>
        <w:tc>
          <w:tcPr>
            <w:tcW w:w="1749" w:type="dxa"/>
          </w:tcPr>
          <w:p w14:paraId="292D1AF9" w14:textId="77777777" w:rsidR="00094FA7" w:rsidRPr="00D7061C" w:rsidRDefault="00094FA7" w:rsidP="00861244">
            <w:pPr>
              <w:jc w:val="right"/>
            </w:pPr>
            <w:r>
              <w:t>655</w:t>
            </w:r>
          </w:p>
        </w:tc>
        <w:tc>
          <w:tcPr>
            <w:tcW w:w="2107" w:type="dxa"/>
          </w:tcPr>
          <w:p w14:paraId="4270934E" w14:textId="77777777" w:rsidR="00094FA7" w:rsidRPr="00D7061C" w:rsidRDefault="00094FA7" w:rsidP="00861244">
            <w:pPr>
              <w:jc w:val="right"/>
            </w:pPr>
            <w:r>
              <w:t>1,045</w:t>
            </w:r>
          </w:p>
        </w:tc>
        <w:tc>
          <w:tcPr>
            <w:tcW w:w="1458" w:type="dxa"/>
          </w:tcPr>
          <w:p w14:paraId="73CFF0CC" w14:textId="77777777" w:rsidR="00094FA7" w:rsidRPr="00D7061C" w:rsidRDefault="00094FA7" w:rsidP="00861244">
            <w:pPr>
              <w:jc w:val="right"/>
            </w:pPr>
            <w:r>
              <w:t>1,510</w:t>
            </w:r>
          </w:p>
        </w:tc>
      </w:tr>
      <w:tr w:rsidR="00094FA7" w:rsidRPr="00D7061C" w14:paraId="2203BB64" w14:textId="77777777" w:rsidTr="00861244">
        <w:trPr>
          <w:jc w:val="center"/>
        </w:trPr>
        <w:tc>
          <w:tcPr>
            <w:tcW w:w="2538" w:type="dxa"/>
          </w:tcPr>
          <w:p w14:paraId="735A10D3" w14:textId="77777777" w:rsidR="00094FA7" w:rsidRPr="00D7061C" w:rsidRDefault="00094FA7" w:rsidP="00861244">
            <w:pPr>
              <w:jc w:val="both"/>
            </w:pPr>
            <w:r w:rsidRPr="00D7061C">
              <w:t>NOI Deficiency/Excess</w:t>
            </w:r>
          </w:p>
        </w:tc>
        <w:tc>
          <w:tcPr>
            <w:tcW w:w="1724" w:type="dxa"/>
          </w:tcPr>
          <w:p w14:paraId="61446856" w14:textId="77777777" w:rsidR="00094FA7" w:rsidRPr="00D7061C" w:rsidRDefault="00094FA7" w:rsidP="00861244">
            <w:pPr>
              <w:jc w:val="right"/>
              <w:rPr>
                <w:u w:val="single"/>
              </w:rPr>
            </w:pPr>
            <w:r w:rsidRPr="00D7061C">
              <w:rPr>
                <w:u w:val="single"/>
              </w:rPr>
              <w:t>12,</w:t>
            </w:r>
            <w:r>
              <w:rPr>
                <w:u w:val="single"/>
              </w:rPr>
              <w:t>341</w:t>
            </w:r>
          </w:p>
        </w:tc>
        <w:tc>
          <w:tcPr>
            <w:tcW w:w="1749" w:type="dxa"/>
          </w:tcPr>
          <w:p w14:paraId="1863847C" w14:textId="77777777" w:rsidR="00094FA7" w:rsidRPr="00D7061C" w:rsidRDefault="00094FA7" w:rsidP="00861244">
            <w:pPr>
              <w:jc w:val="right"/>
              <w:rPr>
                <w:u w:val="single"/>
              </w:rPr>
            </w:pPr>
            <w:r>
              <w:rPr>
                <w:u w:val="single"/>
              </w:rPr>
              <w:t>10,953</w:t>
            </w:r>
          </w:p>
        </w:tc>
        <w:tc>
          <w:tcPr>
            <w:tcW w:w="2107" w:type="dxa"/>
          </w:tcPr>
          <w:p w14:paraId="3CDE4956" w14:textId="77777777" w:rsidR="00094FA7" w:rsidRPr="00D7061C" w:rsidRDefault="00094FA7" w:rsidP="00861244">
            <w:pPr>
              <w:jc w:val="right"/>
              <w:rPr>
                <w:u w:val="single"/>
              </w:rPr>
            </w:pPr>
            <w:r>
              <w:rPr>
                <w:u w:val="single"/>
              </w:rPr>
              <w:t>9,375</w:t>
            </w:r>
          </w:p>
        </w:tc>
        <w:tc>
          <w:tcPr>
            <w:tcW w:w="1458" w:type="dxa"/>
          </w:tcPr>
          <w:p w14:paraId="36B03C3D" w14:textId="77777777" w:rsidR="00094FA7" w:rsidRPr="00D7061C" w:rsidRDefault="00094FA7" w:rsidP="00861244">
            <w:pPr>
              <w:jc w:val="right"/>
              <w:rPr>
                <w:u w:val="single"/>
              </w:rPr>
            </w:pPr>
            <w:r>
              <w:rPr>
                <w:u w:val="single"/>
              </w:rPr>
              <w:t>6,724</w:t>
            </w:r>
          </w:p>
        </w:tc>
      </w:tr>
      <w:tr w:rsidR="00094FA7" w:rsidRPr="00D7061C" w14:paraId="43836420" w14:textId="77777777" w:rsidTr="00861244">
        <w:trPr>
          <w:jc w:val="center"/>
        </w:trPr>
        <w:tc>
          <w:tcPr>
            <w:tcW w:w="2538" w:type="dxa"/>
          </w:tcPr>
          <w:p w14:paraId="0438ACE5" w14:textId="77777777" w:rsidR="00094FA7" w:rsidRPr="00D7061C" w:rsidRDefault="00094FA7" w:rsidP="00861244">
            <w:pPr>
              <w:jc w:val="both"/>
            </w:pPr>
            <w:r w:rsidRPr="00D7061C">
              <w:t>NOI Multiplier</w:t>
            </w:r>
          </w:p>
        </w:tc>
        <w:tc>
          <w:tcPr>
            <w:tcW w:w="1724" w:type="dxa"/>
          </w:tcPr>
          <w:p w14:paraId="0D4D7E33" w14:textId="77777777" w:rsidR="00094FA7" w:rsidRPr="00D7061C" w:rsidRDefault="00094FA7" w:rsidP="00861244">
            <w:pPr>
              <w:jc w:val="right"/>
            </w:pPr>
            <w:r w:rsidRPr="00D7061C">
              <w:t>1.34</w:t>
            </w:r>
            <w:r>
              <w:t>4</w:t>
            </w:r>
          </w:p>
        </w:tc>
        <w:tc>
          <w:tcPr>
            <w:tcW w:w="1749" w:type="dxa"/>
          </w:tcPr>
          <w:p w14:paraId="70EF160F" w14:textId="77777777" w:rsidR="00094FA7" w:rsidRPr="00D7061C" w:rsidRDefault="00094FA7" w:rsidP="00861244">
            <w:pPr>
              <w:jc w:val="right"/>
            </w:pPr>
            <w:r w:rsidRPr="00D7061C">
              <w:t>1.344</w:t>
            </w:r>
          </w:p>
        </w:tc>
        <w:tc>
          <w:tcPr>
            <w:tcW w:w="2107" w:type="dxa"/>
          </w:tcPr>
          <w:p w14:paraId="1F2E2BBF" w14:textId="77777777" w:rsidR="00094FA7" w:rsidRPr="00D7061C" w:rsidRDefault="00094FA7" w:rsidP="00861244">
            <w:pPr>
              <w:jc w:val="right"/>
            </w:pPr>
            <w:r w:rsidRPr="00D7061C">
              <w:t>1.344</w:t>
            </w:r>
          </w:p>
        </w:tc>
        <w:tc>
          <w:tcPr>
            <w:tcW w:w="1458" w:type="dxa"/>
          </w:tcPr>
          <w:p w14:paraId="49510040" w14:textId="77777777" w:rsidR="00094FA7" w:rsidRPr="00D7061C" w:rsidRDefault="00094FA7" w:rsidP="00861244">
            <w:pPr>
              <w:jc w:val="right"/>
            </w:pPr>
            <w:r w:rsidRPr="00D7061C">
              <w:t>1.344</w:t>
            </w:r>
          </w:p>
        </w:tc>
      </w:tr>
      <w:tr w:rsidR="00094FA7" w:rsidRPr="00D7061C" w14:paraId="7778E8D8" w14:textId="77777777" w:rsidTr="00861244">
        <w:trPr>
          <w:jc w:val="center"/>
        </w:trPr>
        <w:tc>
          <w:tcPr>
            <w:tcW w:w="2538" w:type="dxa"/>
          </w:tcPr>
          <w:p w14:paraId="22A50767" w14:textId="77777777" w:rsidR="00094FA7" w:rsidRPr="00D7061C" w:rsidRDefault="00094FA7" w:rsidP="00861244">
            <w:pPr>
              <w:jc w:val="both"/>
            </w:pPr>
            <w:r w:rsidRPr="00D7061C">
              <w:t>Revenue Requirement</w:t>
            </w:r>
          </w:p>
        </w:tc>
        <w:tc>
          <w:tcPr>
            <w:tcW w:w="1724" w:type="dxa"/>
          </w:tcPr>
          <w:p w14:paraId="3019C3D9" w14:textId="77777777" w:rsidR="00094FA7" w:rsidRPr="00D7061C" w:rsidRDefault="00094FA7" w:rsidP="00861244">
            <w:pPr>
              <w:jc w:val="right"/>
              <w:rPr>
                <w:u w:val="double"/>
              </w:rPr>
            </w:pPr>
            <w:r w:rsidRPr="00D7061C">
              <w:rPr>
                <w:u w:val="double"/>
              </w:rPr>
              <w:t>$16,</w:t>
            </w:r>
            <w:r>
              <w:rPr>
                <w:u w:val="double"/>
              </w:rPr>
              <w:t>583</w:t>
            </w:r>
          </w:p>
        </w:tc>
        <w:tc>
          <w:tcPr>
            <w:tcW w:w="1749" w:type="dxa"/>
          </w:tcPr>
          <w:p w14:paraId="677B35F8" w14:textId="77777777" w:rsidR="00094FA7" w:rsidRPr="00D7061C" w:rsidRDefault="00094FA7" w:rsidP="00861244">
            <w:pPr>
              <w:jc w:val="right"/>
              <w:rPr>
                <w:u w:val="double"/>
              </w:rPr>
            </w:pPr>
            <w:r w:rsidRPr="00D7061C">
              <w:rPr>
                <w:u w:val="double"/>
              </w:rPr>
              <w:t>$1</w:t>
            </w:r>
            <w:r>
              <w:rPr>
                <w:u w:val="double"/>
              </w:rPr>
              <w:t>4,717</w:t>
            </w:r>
          </w:p>
        </w:tc>
        <w:tc>
          <w:tcPr>
            <w:tcW w:w="2107" w:type="dxa"/>
          </w:tcPr>
          <w:p w14:paraId="7CD258A3" w14:textId="77777777" w:rsidR="00094FA7" w:rsidRPr="00D7061C" w:rsidRDefault="00094FA7" w:rsidP="00861244">
            <w:pPr>
              <w:jc w:val="right"/>
              <w:rPr>
                <w:u w:val="double"/>
              </w:rPr>
            </w:pPr>
            <w:r w:rsidRPr="00D7061C">
              <w:rPr>
                <w:u w:val="double"/>
              </w:rPr>
              <w:t>$1</w:t>
            </w:r>
            <w:r>
              <w:rPr>
                <w:u w:val="double"/>
              </w:rPr>
              <w:t>2,596</w:t>
            </w:r>
          </w:p>
        </w:tc>
        <w:tc>
          <w:tcPr>
            <w:tcW w:w="1458" w:type="dxa"/>
          </w:tcPr>
          <w:p w14:paraId="2C9F547C" w14:textId="77777777" w:rsidR="00094FA7" w:rsidRPr="00D7061C" w:rsidRDefault="00094FA7" w:rsidP="00861244">
            <w:pPr>
              <w:jc w:val="right"/>
              <w:rPr>
                <w:u w:val="double"/>
              </w:rPr>
            </w:pPr>
            <w:r w:rsidRPr="00D7061C">
              <w:rPr>
                <w:u w:val="double"/>
              </w:rPr>
              <w:t>$</w:t>
            </w:r>
            <w:r>
              <w:rPr>
                <w:u w:val="double"/>
              </w:rPr>
              <w:t>9,035</w:t>
            </w:r>
          </w:p>
        </w:tc>
      </w:tr>
    </w:tbl>
    <w:p w14:paraId="74899177" w14:textId="77777777" w:rsidR="00094FA7" w:rsidRPr="00D7061C" w:rsidRDefault="00094FA7" w:rsidP="00094FA7">
      <w:pPr>
        <w:tabs>
          <w:tab w:val="left" w:pos="270"/>
        </w:tabs>
      </w:pPr>
      <w:r w:rsidRPr="00D7061C">
        <w:t xml:space="preserve"> </w:t>
      </w:r>
      <w:r w:rsidRPr="00D7061C">
        <w:tab/>
      </w:r>
      <w:r w:rsidRPr="00D7061C">
        <w:rPr>
          <w:sz w:val="20"/>
        </w:rPr>
        <w:t>Source: Prepared Direct Testimony and Exhibit of DEF witness Olivier, Exhibit MJO-1</w:t>
      </w:r>
      <w:r>
        <w:rPr>
          <w:sz w:val="20"/>
        </w:rPr>
        <w:t xml:space="preserve"> (Amended 1/13/26.)</w:t>
      </w:r>
    </w:p>
    <w:p w14:paraId="5C9E6AC1" w14:textId="77777777" w:rsidR="00094FA7" w:rsidRPr="00022B39" w:rsidRDefault="00094FA7" w:rsidP="00094FA7"/>
    <w:p w14:paraId="447256F0" w14:textId="77777777" w:rsidR="00094FA7" w:rsidRPr="00022B39" w:rsidRDefault="00094FA7" w:rsidP="00094FA7">
      <w:pPr>
        <w:jc w:val="both"/>
        <w:outlineLvl w:val="2"/>
        <w:rPr>
          <w:rFonts w:ascii="Arial" w:hAnsi="Arial" w:cs="Arial"/>
          <w:b/>
          <w:bCs/>
          <w:iCs/>
          <w:szCs w:val="28"/>
        </w:rPr>
      </w:pPr>
      <w:r w:rsidRPr="00022B39">
        <w:rPr>
          <w:rFonts w:ascii="Arial" w:hAnsi="Arial" w:cs="Arial"/>
          <w:b/>
          <w:bCs/>
          <w:iCs/>
          <w:szCs w:val="28"/>
        </w:rPr>
        <w:t>Conclusion</w:t>
      </w:r>
    </w:p>
    <w:p w14:paraId="717E1372" w14:textId="77777777" w:rsidR="001B7CB6" w:rsidRDefault="00094FA7" w:rsidP="00094FA7">
      <w:pPr>
        <w:pStyle w:val="BodyText"/>
      </w:pPr>
      <w:r w:rsidRPr="00022B39">
        <w:t>The estimated annual revenue require</w:t>
      </w:r>
      <w:r>
        <w:t>ment associated with DEF’s Second</w:t>
      </w:r>
      <w:r w:rsidRPr="00022B39">
        <w:t xml:space="preserve"> SoBRA Tranche</w:t>
      </w:r>
      <w:r>
        <w:t xml:space="preserve"> is $53</w:t>
      </w:r>
      <w:r w:rsidRPr="00022B39">
        <w:t xml:space="preserve"> million</w:t>
      </w:r>
      <w:r>
        <w:t>.</w:t>
      </w:r>
    </w:p>
    <w:p w14:paraId="76DF4BE3" w14:textId="644992BE" w:rsidR="00552E14" w:rsidRDefault="00552E14">
      <w:pPr>
        <w:pStyle w:val="IssueHeading"/>
        <w:rPr>
          <w:vanish/>
          <w:specVanish/>
        </w:rPr>
      </w:pPr>
      <w:r w:rsidRPr="004C3641">
        <w:rPr>
          <w:b w:val="0"/>
          <w:i w:val="0"/>
        </w:rPr>
        <w:br w:type="page"/>
      </w:r>
      <w:r w:rsidRPr="004C3641">
        <w:t xml:space="preserve">Issue </w:t>
      </w:r>
      <w:fldSimple w:instr=" SEQ Issue \* MERGEFORMAT ">
        <w:r w:rsidR="00F4659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4659E">
        <w:rPr>
          <w:noProof/>
        </w:rPr>
        <w:instrText>3</w:instrText>
      </w:r>
      <w:r>
        <w:fldChar w:fldCharType="end"/>
      </w:r>
      <w:r>
        <w:tab/>
        <w:instrText xml:space="preserve">(Ward)" \l 1 </w:instrText>
      </w:r>
      <w:r>
        <w:fldChar w:fldCharType="end"/>
      </w:r>
      <w:r>
        <w:t> </w:t>
      </w:r>
    </w:p>
    <w:p w14:paraId="6F6F2F82" w14:textId="203C051E" w:rsidR="00552E14" w:rsidRDefault="00552E14">
      <w:pPr>
        <w:pStyle w:val="BodyText"/>
      </w:pPr>
      <w:r>
        <w:t> Should the Commission give staff administrative authority to approve tariffs and associated charges for DEF's Second SoBRA Tranche, which includes the Jumper Creek, Turnpike, Lonesome Camp, and Banner solar projects?</w:t>
      </w:r>
    </w:p>
    <w:p w14:paraId="177E8BBC" w14:textId="77777777" w:rsidR="00552E14" w:rsidRPr="004C3641" w:rsidRDefault="00552E14">
      <w:pPr>
        <w:pStyle w:val="IssueSubsectionHeading"/>
        <w:rPr>
          <w:vanish/>
          <w:specVanish/>
        </w:rPr>
      </w:pPr>
      <w:r w:rsidRPr="004C3641">
        <w:t>Recommendation: </w:t>
      </w:r>
    </w:p>
    <w:p w14:paraId="6CC3685C" w14:textId="751E4B3B" w:rsidR="00552E14" w:rsidRDefault="00552E14">
      <w:pPr>
        <w:pStyle w:val="BodyText"/>
      </w:pPr>
      <w:r>
        <w:t> </w:t>
      </w:r>
      <w:r w:rsidR="00A33DBB">
        <w:t xml:space="preserve">Yes. The Commission should grant staff administrative authority to approve the tariffs and associated charges as they are submitted by DEF. DEF should file tariffs and supporting calculations two months prior to the effective date of each </w:t>
      </w:r>
      <w:r w:rsidR="00A33DBB" w:rsidRPr="00F246C6">
        <w:t>SoBRA</w:t>
      </w:r>
      <w:r w:rsidR="00A33DBB">
        <w:t>. DEF should also submit a letter to the Commission declaring the commercial operation date of each solar facility prior to any base rate changes going into effect</w:t>
      </w:r>
      <w:r>
        <w:t>. (Ward)</w:t>
      </w:r>
    </w:p>
    <w:p w14:paraId="2F21167E" w14:textId="77777777" w:rsidR="00552E14" w:rsidRPr="004C3641" w:rsidRDefault="00552E14">
      <w:pPr>
        <w:pStyle w:val="IssueSubsectionHeading"/>
        <w:rPr>
          <w:vanish/>
          <w:specVanish/>
        </w:rPr>
      </w:pPr>
      <w:r w:rsidRPr="004C3641">
        <w:t>Staff Analysis: </w:t>
      </w:r>
    </w:p>
    <w:p w14:paraId="7DA9B9C5" w14:textId="77777777" w:rsidR="00552E14" w:rsidRDefault="00552E14" w:rsidP="00552E14">
      <w:pPr>
        <w:pStyle w:val="BodyText"/>
      </w:pPr>
      <w:r>
        <w:t> Witness Olivier stated in her testimony that DEF will file the rate adjustments and tariff sheets for Commission confirmation approximately two months prior to the effective date of each of the rate adjustments. The expected rate adjustment effective dates for the solar projects are July 2026 (Jumper Creek), January 2027 (Turnpike), March 2027 (Lonesome Camp), and April 2027 (Banner).</w:t>
      </w:r>
    </w:p>
    <w:p w14:paraId="7348BCA4" w14:textId="77777777" w:rsidR="00552E14" w:rsidRDefault="00552E14" w:rsidP="00552E14">
      <w:pPr>
        <w:pStyle w:val="BodyText"/>
      </w:pPr>
      <w:r>
        <w:t>Witness Olivier provided preliminary approximate base rate increases on the 1,000 kWh residential bill for the four solar projects as follows: Jumper Creek, $0.49; Turnpike, $0.42; Lonesome Camp, $0.36; and Banner, $0.26. Witness Olivier additionally stated that each of the solar projects will provide a fuel savings of approximately $0.17 per solar plant on the 1,000 kWh residential bill.</w:t>
      </w:r>
    </w:p>
    <w:p w14:paraId="4879C601" w14:textId="77777777" w:rsidR="00552E14" w:rsidRDefault="00552E14" w:rsidP="00552E14">
      <w:pPr>
        <w:pStyle w:val="First-LevelSubheading"/>
      </w:pPr>
      <w:r>
        <w:t>Conclusion</w:t>
      </w:r>
    </w:p>
    <w:p w14:paraId="23689F2A" w14:textId="769E1EDD" w:rsidR="00552E14" w:rsidRDefault="00552E14" w:rsidP="00552E14">
      <w:pPr>
        <w:pStyle w:val="BodyText"/>
      </w:pPr>
      <w:r>
        <w:t>The Commission should grant staff administrative authority to approve the tariffs and associated charges as they are submitted by DEF. DEF should file tariffs and supporting calculations two months prior to the effective date of each solar rate base adjustment. DEF should also submit a letter to the Commission declaring the commercial operation date of each solar facility prior to any base rate changes going into effect.</w:t>
      </w:r>
    </w:p>
    <w:p w14:paraId="0CBCE997" w14:textId="755BB1D0" w:rsidR="001B7CB6" w:rsidRDefault="001B7CB6">
      <w:pPr>
        <w:pStyle w:val="IssueHeading"/>
        <w:rPr>
          <w:vanish/>
          <w:specVanish/>
        </w:rPr>
      </w:pPr>
      <w:r w:rsidRPr="004C3641">
        <w:rPr>
          <w:b w:val="0"/>
          <w:i w:val="0"/>
        </w:rPr>
        <w:br w:type="page"/>
      </w:r>
      <w:r w:rsidRPr="004C3641">
        <w:t xml:space="preserve">Issue </w:t>
      </w:r>
      <w:r w:rsidR="00450CFC">
        <w:fldChar w:fldCharType="begin"/>
      </w:r>
      <w:r w:rsidR="00450CFC">
        <w:instrText xml:space="preserve"> SEQ Issue \* MERGEFORMAT </w:instrText>
      </w:r>
      <w:r w:rsidR="00450CFC">
        <w:fldChar w:fldCharType="separate"/>
      </w:r>
      <w:r w:rsidR="00F4659E">
        <w:rPr>
          <w:noProof/>
        </w:rPr>
        <w:t>4</w:t>
      </w:r>
      <w:r w:rsidR="00450C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4659E">
        <w:rPr>
          <w:noProof/>
        </w:rPr>
        <w:instrText>4</w:instrText>
      </w:r>
      <w:r>
        <w:fldChar w:fldCharType="end"/>
      </w:r>
      <w:r>
        <w:tab/>
        <w:instrText xml:space="preserve">(Bloom)" \l 1 </w:instrText>
      </w:r>
      <w:r>
        <w:fldChar w:fldCharType="end"/>
      </w:r>
      <w:r>
        <w:t> </w:t>
      </w:r>
    </w:p>
    <w:p w14:paraId="4659EBFE" w14:textId="77777777" w:rsidR="001B7CB6" w:rsidRDefault="001B7CB6">
      <w:pPr>
        <w:pStyle w:val="BodyText"/>
      </w:pPr>
      <w:r>
        <w:t> Should this docket be closed?</w:t>
      </w:r>
    </w:p>
    <w:p w14:paraId="02BF5A93" w14:textId="77777777" w:rsidR="001B7CB6" w:rsidRPr="004C3641" w:rsidRDefault="001B7CB6">
      <w:pPr>
        <w:pStyle w:val="IssueSubsectionHeading"/>
        <w:rPr>
          <w:vanish/>
          <w:specVanish/>
        </w:rPr>
      </w:pPr>
      <w:r w:rsidRPr="004C3641">
        <w:t>Recommendation: </w:t>
      </w:r>
    </w:p>
    <w:p w14:paraId="02027114" w14:textId="51BC6CBC" w:rsidR="001B7CB6" w:rsidRDefault="001B7CB6">
      <w:pPr>
        <w:pStyle w:val="BodyText"/>
      </w:pPr>
      <w:r>
        <w:t> </w:t>
      </w:r>
      <w:r w:rsidR="00A33DBB">
        <w:t>No. This docket should remain open pending DEF’s letters confirming commercial operation. Once these letters have been received, this docket should be closed administratively</w:t>
      </w:r>
      <w:r w:rsidR="00552E14">
        <w:t>.</w:t>
      </w:r>
      <w:r>
        <w:t xml:space="preserve"> (Bloom)</w:t>
      </w:r>
    </w:p>
    <w:p w14:paraId="32B8BE2C" w14:textId="77777777" w:rsidR="001B7CB6" w:rsidRPr="004C3641" w:rsidRDefault="001B7CB6">
      <w:pPr>
        <w:pStyle w:val="IssueSubsectionHeading"/>
        <w:rPr>
          <w:vanish/>
          <w:specVanish/>
        </w:rPr>
      </w:pPr>
      <w:r w:rsidRPr="004C3641">
        <w:t>Staff Analysis: </w:t>
      </w:r>
    </w:p>
    <w:p w14:paraId="74646768" w14:textId="1BD33F58" w:rsidR="001B7CB6" w:rsidRDefault="001B7CB6">
      <w:pPr>
        <w:pStyle w:val="BodyText"/>
      </w:pPr>
      <w:r>
        <w:t> </w:t>
      </w:r>
      <w:r w:rsidR="00A33DBB">
        <w:t>If no person whose substantial interests are affected by the proposed agency action files a protest within 21 days of the issuance of the order, a consummating order should be issued. This docket should remain open pending DEF’s letters confirming commercial operation. Once these letters have been received, this docket should be closed administratively</w:t>
      </w:r>
      <w:r w:rsidR="00552E14">
        <w:t>.</w:t>
      </w:r>
    </w:p>
    <w:p w14:paraId="4ADFF9A4" w14:textId="77777777" w:rsidR="00E06484" w:rsidRDefault="00E06484" w:rsidP="00E275D8">
      <w:pPr>
        <w:pStyle w:val="BodyText"/>
      </w:pP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DA45C" w14:textId="77777777" w:rsidR="001B7CB6" w:rsidRDefault="001B7CB6">
      <w:r>
        <w:separator/>
      </w:r>
    </w:p>
  </w:endnote>
  <w:endnote w:type="continuationSeparator" w:id="0">
    <w:p w14:paraId="14D56B3F" w14:textId="77777777" w:rsidR="001B7CB6" w:rsidRDefault="001B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81302" w14:textId="77777777" w:rsidR="00F4659E" w:rsidRDefault="00F46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2B7B1" w14:textId="754D1FDC"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17054">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3B53" w14:textId="77777777" w:rsidR="00F4659E" w:rsidRDefault="00F465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8AB2"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C873C" w14:textId="77777777" w:rsidR="001B7CB6" w:rsidRDefault="001B7CB6">
      <w:r>
        <w:separator/>
      </w:r>
    </w:p>
  </w:footnote>
  <w:footnote w:type="continuationSeparator" w:id="0">
    <w:p w14:paraId="7FCA684A" w14:textId="77777777" w:rsidR="001B7CB6" w:rsidRDefault="001B7CB6">
      <w:r>
        <w:continuationSeparator/>
      </w:r>
    </w:p>
  </w:footnote>
  <w:footnote w:id="1">
    <w:p w14:paraId="70C92E00" w14:textId="77777777" w:rsidR="00377526" w:rsidRPr="0005327C" w:rsidRDefault="00377526" w:rsidP="00377526">
      <w:pPr>
        <w:pStyle w:val="FootnoteText"/>
        <w:rPr>
          <w:i/>
        </w:rPr>
      </w:pPr>
      <w:r>
        <w:rPr>
          <w:rStyle w:val="FootnoteReference"/>
        </w:rPr>
        <w:footnoteRef/>
      </w:r>
      <w:r>
        <w:t xml:space="preserve"> </w:t>
      </w:r>
      <w:r w:rsidRPr="0005327C">
        <w:t xml:space="preserve">Order No. </w:t>
      </w:r>
      <w:r>
        <w:t xml:space="preserve">PSC-2024-0472-AS-EI, issued November 12, 2024, in Docket No. 20240025-EI, </w:t>
      </w:r>
      <w:r>
        <w:rPr>
          <w:i/>
        </w:rPr>
        <w:t>In re: Petition for rate increase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3369" w14:textId="77777777" w:rsidR="00F4659E" w:rsidRDefault="00F46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1AAB" w14:textId="77777777" w:rsidR="00BC402E" w:rsidRDefault="001B7CB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20250134-EI</w:t>
    </w:r>
    <w:bookmarkEnd w:id="15"/>
  </w:p>
  <w:p w14:paraId="28D2EB96" w14:textId="2E838426" w:rsidR="00BC402E" w:rsidRDefault="00BC402E">
    <w:pPr>
      <w:pStyle w:val="Header"/>
    </w:pPr>
    <w:r>
      <w:t xml:space="preserve">Date: </w:t>
    </w:r>
    <w:r w:rsidR="00450CFC">
      <w:fldChar w:fldCharType="begin"/>
    </w:r>
    <w:r w:rsidR="00450CFC">
      <w:instrText xml:space="preserve"> REF FilingDate </w:instrText>
    </w:r>
    <w:r w:rsidR="00450CFC">
      <w:fldChar w:fldCharType="separate"/>
    </w:r>
    <w:r w:rsidR="00F4659E">
      <w:t>February 19, 2026</w:t>
    </w:r>
    <w:r w:rsidR="00450CF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0E75" w14:textId="77777777" w:rsidR="00F4659E" w:rsidRDefault="00F465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D7B5" w14:textId="13BF06CE"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4659E">
      <w:t>Docket No.</w:t>
    </w:r>
    <w:r>
      <w:fldChar w:fldCharType="end"/>
    </w:r>
    <w:r>
      <w:t xml:space="preserve"> </w:t>
    </w:r>
    <w:r>
      <w:fldChar w:fldCharType="begin"/>
    </w:r>
    <w:r>
      <w:instrText xml:space="preserve"> REF DocketList</w:instrText>
    </w:r>
    <w:r>
      <w:fldChar w:fldCharType="separate"/>
    </w:r>
    <w:r w:rsidR="00F4659E">
      <w:t>20250134-EI</w:t>
    </w:r>
    <w:r>
      <w:fldChar w:fldCharType="end"/>
    </w:r>
    <w:r>
      <w:tab/>
      <w:t xml:space="preserve">Issue </w:t>
    </w:r>
    <w:fldSimple w:instr=" Seq Issue \c \* Arabic ">
      <w:r w:rsidR="00717054">
        <w:rPr>
          <w:noProof/>
        </w:rPr>
        <w:t>4</w:t>
      </w:r>
    </w:fldSimple>
  </w:p>
  <w:p w14:paraId="2372F952" w14:textId="576AAC67" w:rsidR="00BC402E" w:rsidRDefault="00BC402E">
    <w:pPr>
      <w:pStyle w:val="Header"/>
    </w:pPr>
    <w:r>
      <w:t xml:space="preserve">Date: </w:t>
    </w:r>
    <w:r w:rsidR="00450CFC">
      <w:fldChar w:fldCharType="begin"/>
    </w:r>
    <w:r w:rsidR="00450CFC">
      <w:instrText xml:space="preserve"> REF FilingDate </w:instrText>
    </w:r>
    <w:r w:rsidR="00450CFC">
      <w:fldChar w:fldCharType="separate"/>
    </w:r>
    <w:r w:rsidR="00F4659E">
      <w:t>February 19, 2026</w:t>
    </w:r>
    <w:r w:rsidR="00450CF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6B85"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B7CB6"/>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4FA7"/>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B7CB6"/>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63D44"/>
    <w:rsid w:val="002702AD"/>
    <w:rsid w:val="00281EB4"/>
    <w:rsid w:val="0028338A"/>
    <w:rsid w:val="002879DD"/>
    <w:rsid w:val="00292D82"/>
    <w:rsid w:val="00293EE7"/>
    <w:rsid w:val="002963CB"/>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77526"/>
    <w:rsid w:val="003821A0"/>
    <w:rsid w:val="00385B04"/>
    <w:rsid w:val="003864CF"/>
    <w:rsid w:val="003930E6"/>
    <w:rsid w:val="003948AE"/>
    <w:rsid w:val="003A08C0"/>
    <w:rsid w:val="003A22A6"/>
    <w:rsid w:val="003A32EB"/>
    <w:rsid w:val="003A5494"/>
    <w:rsid w:val="003B2510"/>
    <w:rsid w:val="003B4355"/>
    <w:rsid w:val="003B5D0A"/>
    <w:rsid w:val="003C2CC4"/>
    <w:rsid w:val="003C3710"/>
    <w:rsid w:val="003C42A3"/>
    <w:rsid w:val="003C48F7"/>
    <w:rsid w:val="003D0D1D"/>
    <w:rsid w:val="003E0463"/>
    <w:rsid w:val="003E0EFC"/>
    <w:rsid w:val="003E12B7"/>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38CC"/>
    <w:rsid w:val="00444432"/>
    <w:rsid w:val="00447D5C"/>
    <w:rsid w:val="00450202"/>
    <w:rsid w:val="004502B2"/>
    <w:rsid w:val="00455499"/>
    <w:rsid w:val="004649A7"/>
    <w:rsid w:val="00466221"/>
    <w:rsid w:val="00467DBC"/>
    <w:rsid w:val="00471860"/>
    <w:rsid w:val="00471DFE"/>
    <w:rsid w:val="00477026"/>
    <w:rsid w:val="00477730"/>
    <w:rsid w:val="004A744D"/>
    <w:rsid w:val="004B60BD"/>
    <w:rsid w:val="004C143E"/>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03F1"/>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2E14"/>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57A5"/>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054"/>
    <w:rsid w:val="00717EE9"/>
    <w:rsid w:val="00724992"/>
    <w:rsid w:val="00724F64"/>
    <w:rsid w:val="00727F90"/>
    <w:rsid w:val="00734820"/>
    <w:rsid w:val="007349DC"/>
    <w:rsid w:val="00735D32"/>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4BBE"/>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33DBB"/>
    <w:rsid w:val="00A41CA6"/>
    <w:rsid w:val="00A431ED"/>
    <w:rsid w:val="00A47927"/>
    <w:rsid w:val="00A47FFC"/>
    <w:rsid w:val="00A52C51"/>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AA3"/>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45EC2"/>
    <w:rsid w:val="00B516ED"/>
    <w:rsid w:val="00B533C1"/>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5A79"/>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47B51"/>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4659E"/>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87625E"/>
  <w15:docId w15:val="{4097ED87-B5BE-4BAB-84BB-B0471155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B7CB6"/>
    <w:rPr>
      <w:vertAlign w:val="superscript"/>
    </w:rPr>
  </w:style>
  <w:style w:type="character" w:customStyle="1" w:styleId="HeaderChar">
    <w:name w:val="Header Char"/>
    <w:basedOn w:val="DefaultParagraphFont"/>
    <w:link w:val="Header"/>
    <w:uiPriority w:val="99"/>
    <w:rsid w:val="00094FA7"/>
    <w:rPr>
      <w:sz w:val="24"/>
      <w:szCs w:val="24"/>
    </w:rPr>
  </w:style>
  <w:style w:type="character" w:styleId="CommentReference">
    <w:name w:val="annotation reference"/>
    <w:basedOn w:val="DefaultParagraphFont"/>
    <w:semiHidden/>
    <w:unhideWhenUsed/>
    <w:rsid w:val="00944B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2328">
      <w:bodyDiv w:val="1"/>
      <w:marLeft w:val="0"/>
      <w:marRight w:val="0"/>
      <w:marTop w:val="0"/>
      <w:marBottom w:val="0"/>
      <w:divBdr>
        <w:top w:val="none" w:sz="0" w:space="0" w:color="auto"/>
        <w:left w:val="none" w:sz="0" w:space="0" w:color="auto"/>
        <w:bottom w:val="none" w:sz="0" w:space="0" w:color="auto"/>
        <w:right w:val="none" w:sz="0" w:space="0" w:color="auto"/>
      </w:divBdr>
    </w:div>
    <w:div w:id="2461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1780</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2026-02-19T13:52:00Z</dcterms:created>
  <dcterms:modified xsi:type="dcterms:W3CDTF">2026-02-19T13:52:00Z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20250134-EI</vt:lpwstr>
  </property>
  <property fmtid="{D5CDD505-2E9C-101B-9397-08002B2CF9AE}" pid="3" name="MasterDocument">
    <vt:bool>false</vt:bool>
  </property>
</Properties>
</file>