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5EC94C6B"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0805269D" w14:textId="77777777" w:rsidR="007C0528" w:rsidRDefault="007C0528" w:rsidP="00532DFB">
            <w:pPr>
              <w:pStyle w:val="MastHeadState"/>
            </w:pPr>
            <w:bookmarkStart w:id="0" w:name="_GoBack"/>
            <w:bookmarkEnd w:id="0"/>
            <w:r>
              <w:t>State of Florida</w:t>
            </w:r>
          </w:p>
          <w:p w14:paraId="48A70836" w14:textId="77777777" w:rsidR="007C0528" w:rsidRDefault="00072CCA">
            <w:pPr>
              <w:jc w:val="center"/>
            </w:pPr>
            <w:r>
              <w:rPr>
                <w:noProof/>
              </w:rPr>
              <w:drawing>
                <wp:inline distT="0" distB="0" distL="0" distR="0" wp14:anchorId="30AA7C73" wp14:editId="17751ACD">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4AF2DBC7"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61E64B2A" w14:textId="77777777" w:rsidR="007C0528" w:rsidRDefault="007C0528">
            <w:pPr>
              <w:pStyle w:val="MastHeadPSC"/>
            </w:pPr>
            <w:r>
              <w:t>Public Service Commission</w:t>
            </w:r>
          </w:p>
          <w:p w14:paraId="5ADE7D59" w14:textId="77777777" w:rsidR="007C0528" w:rsidRDefault="007C0528">
            <w:pPr>
              <w:pStyle w:val="MastHeadAddress"/>
            </w:pPr>
            <w:r>
              <w:t>Capital Circle Office Center ● 2540 Shumard Oak Boulevard</w:t>
            </w:r>
            <w:r>
              <w:br/>
              <w:t>Tallahassee, Florida 32399-0850</w:t>
            </w:r>
          </w:p>
          <w:p w14:paraId="247B992C" w14:textId="77777777" w:rsidR="007C0528" w:rsidRDefault="007C0528">
            <w:pPr>
              <w:pStyle w:val="MastHeadMemorandum"/>
            </w:pPr>
            <w:r>
              <w:t>-M-E-M-O-R-A-N-D-U-M-</w:t>
            </w:r>
          </w:p>
          <w:p w14:paraId="34AFFEA8" w14:textId="77777777" w:rsidR="007C0528" w:rsidRDefault="007C0528">
            <w:pPr>
              <w:pStyle w:val="MemoHeading"/>
            </w:pPr>
          </w:p>
        </w:tc>
      </w:tr>
      <w:tr w:rsidR="007C0528" w14:paraId="302D12D1"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6B859975"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7F5D0F9E" w14:textId="77777777" w:rsidR="007C0528" w:rsidRDefault="006320E0">
            <w:pPr>
              <w:pStyle w:val="MemoHeading"/>
            </w:pPr>
            <w:bookmarkStart w:id="1" w:name="FilingDate"/>
            <w:r>
              <w:t>February 19, 2026</w:t>
            </w:r>
            <w:bookmarkEnd w:id="1"/>
          </w:p>
        </w:tc>
      </w:tr>
      <w:tr w:rsidR="007C0528" w14:paraId="2EE1F331" w14:textId="77777777">
        <w:tc>
          <w:tcPr>
            <w:tcW w:w="1254" w:type="dxa"/>
            <w:tcBorders>
              <w:top w:val="nil"/>
              <w:left w:val="nil"/>
              <w:bottom w:val="nil"/>
              <w:right w:val="nil"/>
            </w:tcBorders>
            <w:shd w:val="clear" w:color="auto" w:fill="auto"/>
            <w:tcMar>
              <w:top w:w="288" w:type="dxa"/>
              <w:bottom w:w="0" w:type="dxa"/>
              <w:right w:w="0" w:type="dxa"/>
            </w:tcMar>
          </w:tcPr>
          <w:p w14:paraId="4C379D7D"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0CA19BC8" w14:textId="77777777" w:rsidR="007C0528" w:rsidRDefault="007C0528" w:rsidP="0093658B">
            <w:pPr>
              <w:pStyle w:val="MemoHeading"/>
            </w:pPr>
            <w:r>
              <w:t>Office of Commission Clerk (</w:t>
            </w:r>
            <w:r w:rsidR="004E69B5">
              <w:t>Teitzman</w:t>
            </w:r>
            <w:r>
              <w:t>)</w:t>
            </w:r>
          </w:p>
        </w:tc>
      </w:tr>
      <w:tr w:rsidR="007C0528" w14:paraId="3983D658" w14:textId="77777777">
        <w:tc>
          <w:tcPr>
            <w:tcW w:w="1254" w:type="dxa"/>
            <w:tcBorders>
              <w:top w:val="nil"/>
              <w:left w:val="nil"/>
              <w:bottom w:val="nil"/>
              <w:right w:val="nil"/>
            </w:tcBorders>
            <w:shd w:val="clear" w:color="auto" w:fill="auto"/>
            <w:tcMar>
              <w:top w:w="288" w:type="dxa"/>
              <w:right w:w="0" w:type="dxa"/>
            </w:tcMar>
          </w:tcPr>
          <w:p w14:paraId="2D3B66BC"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5AE0FC28" w14:textId="77777777" w:rsidR="006320E0" w:rsidRDefault="006320E0">
            <w:pPr>
              <w:pStyle w:val="MemoHeading"/>
            </w:pPr>
            <w:bookmarkStart w:id="2" w:name="From"/>
            <w:r>
              <w:t>Division of Engineering (Lewis, King, Ramos, Smith II)</w:t>
            </w:r>
          </w:p>
          <w:p w14:paraId="04367DC6" w14:textId="77777777" w:rsidR="007C0528" w:rsidRDefault="006320E0">
            <w:pPr>
              <w:pStyle w:val="MemoHeading"/>
            </w:pPr>
            <w:r>
              <w:t>Office of the General Counsel (Marquez)</w:t>
            </w:r>
            <w:bookmarkEnd w:id="2"/>
          </w:p>
        </w:tc>
      </w:tr>
      <w:tr w:rsidR="007C0528" w14:paraId="5D7BAB58" w14:textId="77777777">
        <w:tc>
          <w:tcPr>
            <w:tcW w:w="1254" w:type="dxa"/>
            <w:tcBorders>
              <w:top w:val="nil"/>
              <w:left w:val="nil"/>
              <w:bottom w:val="nil"/>
              <w:right w:val="nil"/>
            </w:tcBorders>
            <w:shd w:val="clear" w:color="auto" w:fill="auto"/>
            <w:tcMar>
              <w:top w:w="288" w:type="dxa"/>
              <w:right w:w="0" w:type="dxa"/>
            </w:tcMar>
          </w:tcPr>
          <w:p w14:paraId="11C2B767"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76029E31" w14:textId="77777777" w:rsidR="007C0528" w:rsidRDefault="006320E0">
            <w:pPr>
              <w:pStyle w:val="MemoHeadingRe"/>
            </w:pPr>
            <w:bookmarkStart w:id="3" w:name="Re"/>
            <w:r>
              <w:t>Docket No. 20250149-EI – Petition for approval of Big Bend Clean Water Act Section 316(b) study, for cost recovery through the environmental cost recovery clause, by Tampa Electric Company.</w:t>
            </w:r>
            <w:bookmarkEnd w:id="3"/>
          </w:p>
        </w:tc>
      </w:tr>
      <w:tr w:rsidR="007C0528" w14:paraId="242E8B10" w14:textId="77777777">
        <w:tc>
          <w:tcPr>
            <w:tcW w:w="1254" w:type="dxa"/>
            <w:tcBorders>
              <w:top w:val="nil"/>
              <w:left w:val="nil"/>
              <w:bottom w:val="nil"/>
              <w:right w:val="nil"/>
            </w:tcBorders>
            <w:shd w:val="clear" w:color="auto" w:fill="auto"/>
            <w:tcMar>
              <w:top w:w="288" w:type="dxa"/>
              <w:bottom w:w="0" w:type="dxa"/>
              <w:right w:w="0" w:type="dxa"/>
            </w:tcMar>
          </w:tcPr>
          <w:p w14:paraId="6C693E62"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1C8B39A1" w14:textId="77777777" w:rsidR="007C0528" w:rsidRDefault="007E51C9">
            <w:pPr>
              <w:pStyle w:val="MemoHeading"/>
            </w:pPr>
            <w:bookmarkStart w:id="4" w:name="AgendaDate"/>
            <w:r>
              <w:t>03/03/26</w:t>
            </w:r>
            <w:bookmarkEnd w:id="4"/>
            <w:r>
              <w:t xml:space="preserve"> – </w:t>
            </w:r>
            <w:bookmarkStart w:id="5" w:name="PermittedStatus"/>
            <w:r>
              <w:t>Regular Agenda – Proposed Agency Action – Interested Persons May Participate</w:t>
            </w:r>
            <w:bookmarkEnd w:id="5"/>
          </w:p>
        </w:tc>
      </w:tr>
      <w:tr w:rsidR="007C0528" w14:paraId="3A04A61A" w14:textId="77777777">
        <w:tc>
          <w:tcPr>
            <w:tcW w:w="3690" w:type="dxa"/>
            <w:gridSpan w:val="3"/>
            <w:tcBorders>
              <w:top w:val="nil"/>
              <w:left w:val="nil"/>
              <w:bottom w:val="nil"/>
              <w:right w:val="nil"/>
            </w:tcBorders>
            <w:shd w:val="clear" w:color="auto" w:fill="auto"/>
            <w:tcMar>
              <w:top w:w="288" w:type="dxa"/>
              <w:bottom w:w="0" w:type="dxa"/>
              <w:right w:w="0" w:type="dxa"/>
            </w:tcMar>
          </w:tcPr>
          <w:p w14:paraId="2899B9C8"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2C7906BF" w14:textId="77777777" w:rsidR="007C0528" w:rsidRDefault="006320E0">
            <w:pPr>
              <w:pStyle w:val="MemoHeading"/>
            </w:pPr>
            <w:bookmarkStart w:id="6" w:name="CommissionersAssigned"/>
            <w:r>
              <w:t>All Commissioners</w:t>
            </w:r>
            <w:bookmarkEnd w:id="6"/>
          </w:p>
        </w:tc>
      </w:tr>
      <w:tr w:rsidR="007C0528" w14:paraId="763F1CB0" w14:textId="77777777">
        <w:tc>
          <w:tcPr>
            <w:tcW w:w="3690" w:type="dxa"/>
            <w:gridSpan w:val="3"/>
            <w:tcBorders>
              <w:top w:val="nil"/>
              <w:left w:val="nil"/>
              <w:bottom w:val="nil"/>
              <w:right w:val="nil"/>
            </w:tcBorders>
            <w:shd w:val="clear" w:color="auto" w:fill="auto"/>
            <w:tcMar>
              <w:top w:w="288" w:type="dxa"/>
              <w:bottom w:w="0" w:type="dxa"/>
              <w:right w:w="0" w:type="dxa"/>
            </w:tcMar>
          </w:tcPr>
          <w:p w14:paraId="5F650FAE"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4317770E" w14:textId="77777777" w:rsidR="007C0528" w:rsidRDefault="006320E0">
            <w:pPr>
              <w:pStyle w:val="MemoHeading"/>
            </w:pPr>
            <w:bookmarkStart w:id="7" w:name="PrehearingOfficer"/>
            <w:r>
              <w:t>Clark</w:t>
            </w:r>
            <w:bookmarkEnd w:id="7"/>
          </w:p>
        </w:tc>
      </w:tr>
      <w:tr w:rsidR="007C0528" w14:paraId="01113AAC"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6E3C8C83" w14:textId="77777777"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14:paraId="23E7721B" w14:textId="77777777" w:rsidR="007C0528" w:rsidRDefault="006320E0">
            <w:pPr>
              <w:pStyle w:val="MemoHeading"/>
            </w:pPr>
            <w:bookmarkStart w:id="9" w:name="CriticalDates"/>
            <w:r>
              <w:t>None</w:t>
            </w:r>
            <w:bookmarkEnd w:id="9"/>
          </w:p>
        </w:tc>
      </w:tr>
      <w:tr w:rsidR="007C0528" w14:paraId="3417CC92"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0D048931"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020FD2D4" w14:textId="77777777" w:rsidR="007C0528" w:rsidRDefault="006320E0">
            <w:pPr>
              <w:pStyle w:val="MemoHeading"/>
            </w:pPr>
            <w:bookmarkStart w:id="10" w:name="SpecialInstructions"/>
            <w:r>
              <w:t>None</w:t>
            </w:r>
            <w:bookmarkEnd w:id="10"/>
          </w:p>
        </w:tc>
      </w:tr>
    </w:tbl>
    <w:p w14:paraId="100FCC0E" w14:textId="77777777" w:rsidR="007C0528" w:rsidRDefault="007C0528">
      <w:pPr>
        <w:pStyle w:val="BodyText"/>
      </w:pPr>
    </w:p>
    <w:p w14:paraId="4914011A" w14:textId="77777777"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14:paraId="050F5CFE" w14:textId="77777777" w:rsidR="00EC0762" w:rsidRPr="00707717" w:rsidRDefault="00EC0762" w:rsidP="00EC0762">
      <w:pPr>
        <w:spacing w:after="200"/>
        <w:jc w:val="both"/>
        <w:rPr>
          <w:rFonts w:eastAsiaTheme="minorHAnsi" w:cstheme="minorBidi"/>
          <w:szCs w:val="22"/>
        </w:rPr>
      </w:pPr>
      <w:r w:rsidRPr="00707717">
        <w:rPr>
          <w:rFonts w:eastAsiaTheme="minorHAnsi" w:cstheme="minorBidi"/>
          <w:szCs w:val="22"/>
        </w:rPr>
        <w:t>On December 29, 2025, Tampa Electric Company (TECO or Company) petitioned the Florida Public Service Commission (Commission) for approval of its Big Bend Clean Water Act Section 316(b) Study (Study) for cost recovery through the Environmental Cost Recovery Clause (ECRC). TECO state</w:t>
      </w:r>
      <w:r>
        <w:rPr>
          <w:rFonts w:eastAsiaTheme="minorHAnsi" w:cstheme="minorBidi"/>
          <w:szCs w:val="22"/>
        </w:rPr>
        <w:t>s</w:t>
      </w:r>
      <w:r w:rsidRPr="00707717">
        <w:rPr>
          <w:rFonts w:eastAsiaTheme="minorHAnsi" w:cstheme="minorBidi"/>
          <w:szCs w:val="22"/>
        </w:rPr>
        <w:t xml:space="preserve"> </w:t>
      </w:r>
      <w:r>
        <w:rPr>
          <w:rFonts w:eastAsiaTheme="minorHAnsi" w:cstheme="minorBidi"/>
          <w:szCs w:val="22"/>
        </w:rPr>
        <w:t xml:space="preserve">that </w:t>
      </w:r>
      <w:r w:rsidRPr="00707717">
        <w:rPr>
          <w:rFonts w:eastAsiaTheme="minorHAnsi" w:cstheme="minorBidi"/>
          <w:szCs w:val="22"/>
        </w:rPr>
        <w:t xml:space="preserve">the Study is required to comply with Section 316(b) of the Clean Water Act. </w:t>
      </w:r>
      <w:r>
        <w:rPr>
          <w:rFonts w:eastAsiaTheme="minorHAnsi" w:cstheme="minorBidi"/>
          <w:szCs w:val="22"/>
        </w:rPr>
        <w:t>TECO expects the Study to be completed by March 2029.</w:t>
      </w:r>
    </w:p>
    <w:p w14:paraId="396F1D2B" w14:textId="77777777" w:rsidR="00EC0762" w:rsidRPr="00707717" w:rsidRDefault="00EC0762" w:rsidP="00EC0762">
      <w:pPr>
        <w:spacing w:after="200"/>
        <w:jc w:val="both"/>
        <w:rPr>
          <w:rFonts w:eastAsiaTheme="minorHAnsi" w:cstheme="minorBidi"/>
          <w:szCs w:val="22"/>
        </w:rPr>
      </w:pPr>
      <w:r w:rsidRPr="00707717">
        <w:rPr>
          <w:rFonts w:eastAsiaTheme="minorHAnsi" w:cstheme="minorBidi"/>
          <w:szCs w:val="22"/>
        </w:rPr>
        <w:t xml:space="preserve">The </w:t>
      </w:r>
      <w:r>
        <w:rPr>
          <w:rFonts w:eastAsiaTheme="minorHAnsi" w:cstheme="minorBidi"/>
          <w:szCs w:val="22"/>
        </w:rPr>
        <w:t>U.S. Environmental Protection Agency (</w:t>
      </w:r>
      <w:r w:rsidRPr="00707717">
        <w:rPr>
          <w:rFonts w:eastAsiaTheme="minorHAnsi" w:cstheme="minorBidi"/>
          <w:szCs w:val="22"/>
        </w:rPr>
        <w:t>EPA</w:t>
      </w:r>
      <w:r>
        <w:rPr>
          <w:rFonts w:eastAsiaTheme="minorHAnsi" w:cstheme="minorBidi"/>
          <w:szCs w:val="22"/>
        </w:rPr>
        <w:t>)</w:t>
      </w:r>
      <w:r w:rsidRPr="00707717">
        <w:rPr>
          <w:rFonts w:eastAsiaTheme="minorHAnsi" w:cstheme="minorBidi"/>
          <w:szCs w:val="22"/>
        </w:rPr>
        <w:t xml:space="preserve"> adopted a rule pursuant to Section 316(b) of the Clean Water Act on September 7, 2004, establishing requirements to reduce mortality of aquatic organisms caused by cooling water intake structures (CWIS) at existing power plants. In 2004, TECO requested Commission approval for cost recovery through the ECRC for a Comprehensive Demonstration Study, which was needed to comply with the new </w:t>
      </w:r>
      <w:r>
        <w:rPr>
          <w:rFonts w:eastAsiaTheme="minorHAnsi" w:cstheme="minorBidi"/>
          <w:szCs w:val="22"/>
        </w:rPr>
        <w:t xml:space="preserve">EPA </w:t>
      </w:r>
      <w:r>
        <w:rPr>
          <w:rFonts w:eastAsiaTheme="minorHAnsi" w:cstheme="minorBidi"/>
          <w:szCs w:val="22"/>
        </w:rPr>
        <w:lastRenderedPageBreak/>
        <w:t>regulation</w:t>
      </w:r>
      <w:r w:rsidRPr="00707717">
        <w:rPr>
          <w:rFonts w:eastAsiaTheme="minorHAnsi" w:cstheme="minorBidi"/>
          <w:szCs w:val="22"/>
        </w:rPr>
        <w:t xml:space="preserve">. </w:t>
      </w:r>
      <w:r>
        <w:rPr>
          <w:rFonts w:eastAsiaTheme="minorHAnsi" w:cstheme="minorBidi"/>
          <w:szCs w:val="22"/>
        </w:rPr>
        <w:t>TECO’s ability to seek c</w:t>
      </w:r>
      <w:r w:rsidRPr="00707717">
        <w:rPr>
          <w:rFonts w:eastAsiaTheme="minorHAnsi" w:cstheme="minorBidi"/>
          <w:szCs w:val="22"/>
        </w:rPr>
        <w:t xml:space="preserve">ost recovery for </w:t>
      </w:r>
      <w:r>
        <w:rPr>
          <w:rFonts w:eastAsiaTheme="minorHAnsi" w:cstheme="minorBidi"/>
          <w:szCs w:val="22"/>
        </w:rPr>
        <w:t>that</w:t>
      </w:r>
      <w:r w:rsidRPr="00707717">
        <w:rPr>
          <w:rFonts w:eastAsiaTheme="minorHAnsi" w:cstheme="minorBidi"/>
          <w:szCs w:val="22"/>
        </w:rPr>
        <w:t xml:space="preserve"> study was </w:t>
      </w:r>
      <w:r>
        <w:rPr>
          <w:rFonts w:eastAsiaTheme="minorHAnsi" w:cstheme="minorBidi"/>
          <w:szCs w:val="22"/>
        </w:rPr>
        <w:t>authorized</w:t>
      </w:r>
      <w:r w:rsidRPr="00707717">
        <w:rPr>
          <w:rFonts w:eastAsiaTheme="minorHAnsi" w:cstheme="minorBidi"/>
          <w:szCs w:val="22"/>
        </w:rPr>
        <w:t xml:space="preserve"> by the Commission in Docket No. 20041300-EI.</w:t>
      </w:r>
      <w:r w:rsidRPr="00707717">
        <w:rPr>
          <w:rFonts w:eastAsiaTheme="minorHAnsi" w:cstheme="minorBidi"/>
          <w:szCs w:val="22"/>
          <w:vertAlign w:val="superscript"/>
        </w:rPr>
        <w:footnoteReference w:id="1"/>
      </w:r>
      <w:r w:rsidRPr="00707717">
        <w:rPr>
          <w:rFonts w:eastAsiaTheme="minorHAnsi" w:cstheme="minorBidi"/>
          <w:szCs w:val="22"/>
        </w:rPr>
        <w:t xml:space="preserve"> </w:t>
      </w:r>
    </w:p>
    <w:p w14:paraId="76BECA7E" w14:textId="77777777" w:rsidR="00EC0762" w:rsidRPr="00707717" w:rsidRDefault="00EC0762" w:rsidP="00EC0762">
      <w:pPr>
        <w:spacing w:after="200"/>
        <w:jc w:val="both"/>
        <w:rPr>
          <w:rFonts w:eastAsiaTheme="minorHAnsi" w:cstheme="minorBidi"/>
          <w:szCs w:val="22"/>
        </w:rPr>
      </w:pPr>
      <w:r w:rsidRPr="00707717">
        <w:rPr>
          <w:rFonts w:eastAsiaTheme="minorHAnsi" w:cstheme="minorBidi"/>
          <w:szCs w:val="22"/>
        </w:rPr>
        <w:t>The 2004 Section 316(b) rule changes were challenged and the EPA published a final rule regarding Section 316(b) (EPA Rule or Rule) on August 15, 2014, which outlined the requirements for CWIS at existing facilities.</w:t>
      </w:r>
      <w:r w:rsidRPr="00707717">
        <w:rPr>
          <w:rFonts w:eastAsiaTheme="minorHAnsi" w:cstheme="minorBidi"/>
          <w:szCs w:val="22"/>
          <w:vertAlign w:val="superscript"/>
        </w:rPr>
        <w:footnoteReference w:id="2"/>
      </w:r>
      <w:r w:rsidRPr="00707717">
        <w:rPr>
          <w:rFonts w:eastAsiaTheme="minorHAnsi" w:cstheme="minorBidi"/>
          <w:szCs w:val="22"/>
        </w:rPr>
        <w:t xml:space="preserve"> The EPA Rule requires that the best technology available be applied to the design and operation of CWIS to minimize adverse impacts to aquatic life. In 2018, TECO petitioned the Commission for cost recovery through the ECRC for its Big Bend Unit 1 Section 316(b) Impingement Mortality project in order to comply with the EPA Rule. The Commission approved ECRC cost recovery for the Big Bend project.</w:t>
      </w:r>
      <w:r w:rsidRPr="00707717">
        <w:rPr>
          <w:rFonts w:eastAsiaTheme="minorHAnsi" w:cstheme="minorBidi"/>
          <w:szCs w:val="22"/>
          <w:vertAlign w:val="superscript"/>
        </w:rPr>
        <w:footnoteReference w:id="3"/>
      </w:r>
      <w:r w:rsidRPr="00707717">
        <w:rPr>
          <w:rFonts w:eastAsiaTheme="minorHAnsi" w:cstheme="minorBidi"/>
          <w:szCs w:val="22"/>
        </w:rPr>
        <w:t xml:space="preserve"> TECO explains that even though its </w:t>
      </w:r>
      <w:r w:rsidRPr="002051AB">
        <w:rPr>
          <w:rFonts w:eastAsiaTheme="minorHAnsi" w:cstheme="minorBidi"/>
          <w:szCs w:val="22"/>
        </w:rPr>
        <w:t xml:space="preserve">National Pollutant Discharge Elimination System </w:t>
      </w:r>
      <w:r>
        <w:rPr>
          <w:rFonts w:eastAsiaTheme="minorHAnsi" w:cstheme="minorBidi"/>
          <w:szCs w:val="22"/>
        </w:rPr>
        <w:t>(</w:t>
      </w:r>
      <w:r w:rsidRPr="00707717">
        <w:rPr>
          <w:rFonts w:eastAsiaTheme="minorHAnsi" w:cstheme="minorBidi"/>
          <w:szCs w:val="22"/>
        </w:rPr>
        <w:t>NPDES</w:t>
      </w:r>
      <w:r>
        <w:rPr>
          <w:rFonts w:eastAsiaTheme="minorHAnsi" w:cstheme="minorBidi"/>
          <w:szCs w:val="22"/>
        </w:rPr>
        <w:t>)</w:t>
      </w:r>
      <w:r w:rsidRPr="00707717">
        <w:rPr>
          <w:rFonts w:eastAsiaTheme="minorHAnsi" w:cstheme="minorBidi"/>
          <w:szCs w:val="22"/>
        </w:rPr>
        <w:t xml:space="preserve"> permit was administratively continued in 2018, the Company decided to go ahead with the Impingement Mortality Project as part of its ongoing Big Bend Modernization Project.</w:t>
      </w:r>
    </w:p>
    <w:p w14:paraId="106B35BE" w14:textId="77777777" w:rsidR="00EC0762" w:rsidRPr="00707717" w:rsidRDefault="00EC0762" w:rsidP="00EC0762">
      <w:pPr>
        <w:spacing w:after="200"/>
        <w:jc w:val="both"/>
        <w:rPr>
          <w:rFonts w:eastAsiaTheme="minorHAnsi" w:cstheme="minorBidi"/>
          <w:szCs w:val="22"/>
        </w:rPr>
      </w:pPr>
      <w:r w:rsidRPr="00707717">
        <w:rPr>
          <w:rFonts w:eastAsiaTheme="minorHAnsi" w:cstheme="minorBidi"/>
          <w:szCs w:val="22"/>
        </w:rPr>
        <w:t>On August 27, 2025, the Florida Department of Environmental Protection (DEP) issued a final NPDES permit for TECO’s Big Bend Power Station (Big Bend)</w:t>
      </w:r>
      <w:r>
        <w:rPr>
          <w:rFonts w:eastAsiaTheme="minorHAnsi" w:cstheme="minorBidi"/>
          <w:szCs w:val="22"/>
        </w:rPr>
        <w:t xml:space="preserve"> which contained conditions for compliance with the EPA Rule</w:t>
      </w:r>
      <w:r w:rsidRPr="00707717">
        <w:rPr>
          <w:rFonts w:eastAsiaTheme="minorHAnsi" w:cstheme="minorBidi"/>
          <w:szCs w:val="22"/>
        </w:rPr>
        <w:t xml:space="preserve">. </w:t>
      </w:r>
      <w:r>
        <w:rPr>
          <w:rFonts w:eastAsiaTheme="minorHAnsi" w:cstheme="minorBidi"/>
          <w:szCs w:val="22"/>
        </w:rPr>
        <w:t xml:space="preserve">TECO states the primary focus of the Study is to confirm that its Big Bend Mortality Project meets the requirements of Section 316(b) and to provide the DEP with information it will use to determine compliance requirements in TECO’s next NPDES permit. </w:t>
      </w:r>
      <w:r w:rsidRPr="00707717">
        <w:rPr>
          <w:rFonts w:eastAsiaTheme="minorHAnsi" w:cstheme="minorBidi"/>
          <w:szCs w:val="22"/>
        </w:rPr>
        <w:t xml:space="preserve">TECO is requesting approval of its Study in order to comply with the permit conditions outlined in its NPDES permit.   </w:t>
      </w:r>
    </w:p>
    <w:p w14:paraId="22A07214" w14:textId="7BF97823" w:rsidR="0068481F" w:rsidRDefault="00EC0762" w:rsidP="00EC0762">
      <w:pPr>
        <w:pStyle w:val="BodyText"/>
      </w:pPr>
      <w:r w:rsidRPr="00707717">
        <w:rPr>
          <w:rFonts w:eastAsiaTheme="minorHAnsi" w:cstheme="minorBidi"/>
          <w:szCs w:val="22"/>
        </w:rPr>
        <w:t xml:space="preserve">Pursuant to Section 366.8255, Florida Statutes (F.S.), the Florida Legislature authorized the recovery of environmental compliance costs prudently incurred </w:t>
      </w:r>
      <w:r>
        <w:rPr>
          <w:rFonts w:eastAsiaTheme="minorHAnsi" w:cstheme="minorBidi"/>
          <w:szCs w:val="22"/>
        </w:rPr>
        <w:t xml:space="preserve">by </w:t>
      </w:r>
      <w:r w:rsidRPr="00707717">
        <w:rPr>
          <w:rFonts w:eastAsiaTheme="minorHAnsi" w:cstheme="minorBidi"/>
          <w:szCs w:val="22"/>
        </w:rPr>
        <w:t>investor-owned electric utilit</w:t>
      </w:r>
      <w:r>
        <w:rPr>
          <w:rFonts w:eastAsiaTheme="minorHAnsi" w:cstheme="minorBidi"/>
          <w:szCs w:val="22"/>
        </w:rPr>
        <w:t>ies</w:t>
      </w:r>
      <w:r w:rsidRPr="00707717">
        <w:rPr>
          <w:rFonts w:eastAsiaTheme="minorHAnsi" w:cstheme="minorBidi"/>
          <w:szCs w:val="22"/>
        </w:rPr>
        <w:t xml:space="preserve"> through the ECRC. The method for cost recovery for such costs was first established by Order No. PSC-94-0044-FOF-EI, issued on January 12, 1994. The Commission has jurisdiction over this matter pursuant to Section 366.8255, F.S</w:t>
      </w:r>
      <w:r w:rsidR="00707717">
        <w:rPr>
          <w:rFonts w:eastAsiaTheme="minorHAnsi" w:cstheme="minorBidi"/>
          <w:szCs w:val="22"/>
        </w:rPr>
        <w:t>.</w:t>
      </w:r>
    </w:p>
    <w:p w14:paraId="00452536" w14:textId="77777777" w:rsidR="007C0528" w:rsidRDefault="007C0528" w:rsidP="0068481F"/>
    <w:bookmarkEnd w:id="12"/>
    <w:p w14:paraId="77B14814" w14:textId="77777777" w:rsidR="00EA2273" w:rsidRDefault="00EA2273">
      <w:pPr>
        <w:pStyle w:val="RecommendationMajorSectionHeading"/>
        <w:sectPr w:rsidR="00EA227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584" w:right="1440" w:bottom="1440" w:left="1440" w:header="720" w:footer="720" w:gutter="0"/>
          <w:cols w:space="720"/>
          <w:formProt w:val="0"/>
          <w:titlePg/>
          <w:docGrid w:linePitch="360"/>
        </w:sectPr>
      </w:pPr>
    </w:p>
    <w:p w14:paraId="672721B3" w14:textId="77777777" w:rsidR="007C0528" w:rsidRDefault="007C0528">
      <w:pPr>
        <w:pStyle w:val="RecommendationMajorSectionHeading"/>
      </w:pPr>
      <w:bookmarkStart w:id="16" w:name="DiscussionOfIssues"/>
      <w:r>
        <w:t>Discussion of Issues</w:t>
      </w:r>
    </w:p>
    <w:bookmarkEnd w:id="16"/>
    <w:p w14:paraId="6344B09C" w14:textId="28CBD627" w:rsidR="00707717" w:rsidRDefault="00707717">
      <w:pPr>
        <w:pStyle w:val="IssueHeading"/>
        <w:rPr>
          <w:vanish/>
          <w:specVanish/>
        </w:rPr>
      </w:pPr>
      <w:r w:rsidRPr="004C3641">
        <w:t xml:space="preserve">Issue </w:t>
      </w:r>
      <w:fldSimple w:instr=" SEQ Issue \* MERGEFORMAT ">
        <w:r w:rsidR="0049577E">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49577E">
        <w:rPr>
          <w:noProof/>
        </w:rPr>
        <w:instrText>1</w:instrText>
      </w:r>
      <w:r>
        <w:fldChar w:fldCharType="end"/>
      </w:r>
      <w:r>
        <w:tab/>
        <w:instrText xml:space="preserve">(Lewis)" \l 1 </w:instrText>
      </w:r>
      <w:r>
        <w:fldChar w:fldCharType="end"/>
      </w:r>
      <w:r>
        <w:t> </w:t>
      </w:r>
    </w:p>
    <w:p w14:paraId="5D382FAE" w14:textId="77777777" w:rsidR="00707717" w:rsidRDefault="00707717">
      <w:pPr>
        <w:pStyle w:val="BodyText"/>
      </w:pPr>
      <w:r>
        <w:t> Should the Commission approve Tampa Electric Company’s petition for approval of the Big Bend Clean Water Act Section 316(b) Study for cost recovery through the Environmental Cost Recovery Clause?</w:t>
      </w:r>
    </w:p>
    <w:p w14:paraId="4F8A0C56" w14:textId="77777777" w:rsidR="00707717" w:rsidRPr="004C3641" w:rsidRDefault="00707717">
      <w:pPr>
        <w:pStyle w:val="IssueSubsectionHeading"/>
        <w:rPr>
          <w:vanish/>
          <w:specVanish/>
        </w:rPr>
      </w:pPr>
      <w:r w:rsidRPr="004C3641">
        <w:t>Recommendation: </w:t>
      </w:r>
    </w:p>
    <w:p w14:paraId="7E082F2E" w14:textId="6A2124CA" w:rsidR="00707717" w:rsidRDefault="00707717">
      <w:pPr>
        <w:pStyle w:val="BodyText"/>
      </w:pPr>
      <w:r>
        <w:t> </w:t>
      </w:r>
      <w:r w:rsidR="00EC0762">
        <w:t xml:space="preserve">Yes. </w:t>
      </w:r>
      <w:r w:rsidR="00EC0762" w:rsidRPr="00CA6F7A">
        <w:t>Staff recommends that TECO’s B</w:t>
      </w:r>
      <w:r w:rsidR="00EC0762">
        <w:t>ig Bend Clean Water Act Section 316(b) Study</w:t>
      </w:r>
      <w:r w:rsidR="00EC0762" w:rsidRPr="00CA6F7A">
        <w:t xml:space="preserve"> </w:t>
      </w:r>
      <w:r w:rsidR="00EC0762">
        <w:t xml:space="preserve">is necessary </w:t>
      </w:r>
      <w:r w:rsidR="00EC0762" w:rsidRPr="00CA6F7A">
        <w:t>to comply with the EPA</w:t>
      </w:r>
      <w:r w:rsidR="00EC0762">
        <w:t xml:space="preserve"> R</w:t>
      </w:r>
      <w:r w:rsidR="00EC0762" w:rsidRPr="00CA6F7A">
        <w:t xml:space="preserve">ule. </w:t>
      </w:r>
      <w:r w:rsidR="00EC0762">
        <w:t>Consistent with prior ECRC orders, o</w:t>
      </w:r>
      <w:r w:rsidR="00EC0762" w:rsidRPr="00CA6F7A">
        <w:t xml:space="preserve">peration and maintenance (O&amp;M) costs associated with the </w:t>
      </w:r>
      <w:r w:rsidR="00EC0762">
        <w:t>Study</w:t>
      </w:r>
      <w:r w:rsidR="00EC0762" w:rsidRPr="00CA6F7A">
        <w:t xml:space="preserve"> should be allocated to appropriate </w:t>
      </w:r>
      <w:r w:rsidR="00EC0762">
        <w:t>rate classes on an energy basis</w:t>
      </w:r>
      <w:r>
        <w:t>. (Lewis)</w:t>
      </w:r>
    </w:p>
    <w:p w14:paraId="1B070627" w14:textId="77777777" w:rsidR="00707717" w:rsidRPr="004C3641" w:rsidRDefault="00707717">
      <w:pPr>
        <w:pStyle w:val="IssueSubsectionHeading"/>
        <w:rPr>
          <w:vanish/>
          <w:specVanish/>
        </w:rPr>
      </w:pPr>
      <w:r w:rsidRPr="004C3641">
        <w:t>Staff Analysis: </w:t>
      </w:r>
    </w:p>
    <w:p w14:paraId="21A4803B" w14:textId="77777777" w:rsidR="00EC0762" w:rsidRDefault="00707717" w:rsidP="00EC0762">
      <w:pPr>
        <w:jc w:val="both"/>
        <w:rPr>
          <w:rFonts w:eastAsiaTheme="minorHAnsi"/>
          <w:szCs w:val="22"/>
        </w:rPr>
      </w:pPr>
      <w:r>
        <w:t> </w:t>
      </w:r>
      <w:r w:rsidR="00EC0762" w:rsidRPr="00707717">
        <w:rPr>
          <w:rFonts w:eastAsiaTheme="minorHAnsi"/>
          <w:szCs w:val="22"/>
        </w:rPr>
        <w:t>The EPA Rule establishes requirements for CWIS at existing facilities. The Rule requires that the best technology available be applied to the design and operation of CWIS to minimize impingement mortality</w:t>
      </w:r>
      <w:r w:rsidR="00EC0762">
        <w:rPr>
          <w:rStyle w:val="FootnoteReference"/>
          <w:rFonts w:eastAsiaTheme="minorHAnsi"/>
          <w:szCs w:val="22"/>
        </w:rPr>
        <w:footnoteReference w:id="4"/>
      </w:r>
      <w:r w:rsidR="00EC0762" w:rsidRPr="00707717">
        <w:rPr>
          <w:rFonts w:eastAsiaTheme="minorHAnsi"/>
          <w:szCs w:val="22"/>
        </w:rPr>
        <w:t xml:space="preserve"> and entrainment</w:t>
      </w:r>
      <w:r w:rsidR="00EC0762" w:rsidRPr="00707717">
        <w:rPr>
          <w:rFonts w:eastAsiaTheme="minorHAnsi"/>
          <w:szCs w:val="22"/>
          <w:vertAlign w:val="superscript"/>
        </w:rPr>
        <w:footnoteReference w:id="5"/>
      </w:r>
      <w:r w:rsidR="00EC0762" w:rsidRPr="00707717">
        <w:rPr>
          <w:rFonts w:eastAsiaTheme="minorHAnsi"/>
          <w:szCs w:val="22"/>
        </w:rPr>
        <w:t xml:space="preserve"> of aquatic life. The Rule allows for seven different approaches for impingement mortality compliance. For entrainment compliance, the Rule requires the evaluation of closed-cycle cooling, alternative water supplies, and fine mesh screens for a site-specific determination by the DEP Director.  </w:t>
      </w:r>
    </w:p>
    <w:p w14:paraId="3ED8256F" w14:textId="77777777" w:rsidR="00EC0762" w:rsidRPr="00707717" w:rsidRDefault="00EC0762" w:rsidP="00EC0762">
      <w:pPr>
        <w:jc w:val="both"/>
        <w:rPr>
          <w:rFonts w:eastAsiaTheme="minorHAnsi" w:cstheme="minorBidi"/>
          <w:szCs w:val="22"/>
        </w:rPr>
      </w:pPr>
    </w:p>
    <w:p w14:paraId="0520F08A" w14:textId="77777777" w:rsidR="00EC0762" w:rsidRPr="00707717" w:rsidRDefault="00EC0762" w:rsidP="00EC0762">
      <w:pPr>
        <w:spacing w:after="200"/>
        <w:jc w:val="both"/>
        <w:rPr>
          <w:rFonts w:eastAsiaTheme="minorHAnsi" w:cstheme="minorBidi"/>
          <w:szCs w:val="22"/>
        </w:rPr>
      </w:pPr>
      <w:r w:rsidRPr="00707717">
        <w:rPr>
          <w:rFonts w:eastAsiaTheme="minorHAnsi" w:cstheme="minorBidi"/>
          <w:szCs w:val="22"/>
        </w:rPr>
        <w:t>In its petition, TECO stated that it must complete several studies</w:t>
      </w:r>
      <w:r>
        <w:rPr>
          <w:rFonts w:eastAsiaTheme="minorHAnsi" w:cstheme="minorBidi"/>
          <w:szCs w:val="22"/>
        </w:rPr>
        <w:t>, including the Big Bend Clean Water Act Section 316(b) Study,</w:t>
      </w:r>
      <w:r w:rsidRPr="00707717">
        <w:rPr>
          <w:rFonts w:eastAsiaTheme="minorHAnsi" w:cstheme="minorBidi"/>
          <w:szCs w:val="22"/>
        </w:rPr>
        <w:t xml:space="preserve"> and reports by February 27, 2030, which is 180 days before its NPDES permit expires on August 26, 2030. The focus of the Study is to confirm that the Big Bend Impingement Mortality Project meets the EPA’s </w:t>
      </w:r>
      <w:r>
        <w:rPr>
          <w:rFonts w:eastAsiaTheme="minorHAnsi" w:cstheme="minorBidi"/>
          <w:szCs w:val="22"/>
        </w:rPr>
        <w:t xml:space="preserve">Rule </w:t>
      </w:r>
      <w:r w:rsidRPr="00707717">
        <w:rPr>
          <w:rFonts w:eastAsiaTheme="minorHAnsi" w:cstheme="minorBidi"/>
          <w:szCs w:val="22"/>
        </w:rPr>
        <w:t>requirements</w:t>
      </w:r>
      <w:r>
        <w:rPr>
          <w:rFonts w:eastAsiaTheme="minorHAnsi" w:cstheme="minorBidi"/>
          <w:szCs w:val="22"/>
        </w:rPr>
        <w:t xml:space="preserve"> for </w:t>
      </w:r>
      <w:r w:rsidRPr="00707717">
        <w:rPr>
          <w:rFonts w:eastAsiaTheme="minorHAnsi" w:cstheme="minorBidi"/>
          <w:szCs w:val="22"/>
        </w:rPr>
        <w:t>Section 316(b)</w:t>
      </w:r>
      <w:r>
        <w:rPr>
          <w:rFonts w:eastAsiaTheme="minorHAnsi" w:cstheme="minorBidi"/>
          <w:szCs w:val="22"/>
        </w:rPr>
        <w:t xml:space="preserve"> of the Clean Water Act</w:t>
      </w:r>
      <w:r w:rsidRPr="00707717">
        <w:rPr>
          <w:rFonts w:eastAsiaTheme="minorHAnsi" w:cstheme="minorBidi"/>
          <w:szCs w:val="22"/>
        </w:rPr>
        <w:t>, to obtain information that the DEP will use to select the best technology available for entrainment, and develop requirements that will be included in TECO’s next Big Bend NPDES permit. To accomplish these goals, the Study will:</w:t>
      </w:r>
    </w:p>
    <w:p w14:paraId="5BB8901C" w14:textId="77777777" w:rsidR="00EC0762" w:rsidRPr="00707717" w:rsidRDefault="00EC0762" w:rsidP="00EC0762">
      <w:pPr>
        <w:numPr>
          <w:ilvl w:val="0"/>
          <w:numId w:val="11"/>
        </w:numPr>
        <w:spacing w:after="200" w:line="276" w:lineRule="auto"/>
        <w:contextualSpacing/>
        <w:jc w:val="both"/>
        <w:rPr>
          <w:rFonts w:eastAsiaTheme="minorHAnsi" w:cstheme="minorBidi"/>
          <w:szCs w:val="22"/>
        </w:rPr>
      </w:pPr>
      <w:r w:rsidRPr="00707717">
        <w:rPr>
          <w:rFonts w:eastAsiaTheme="minorHAnsi" w:cstheme="minorBidi"/>
          <w:szCs w:val="22"/>
        </w:rPr>
        <w:t>Review background, source water, and biological data</w:t>
      </w:r>
      <w:r>
        <w:rPr>
          <w:rFonts w:eastAsiaTheme="minorHAnsi" w:cstheme="minorBidi"/>
          <w:szCs w:val="22"/>
        </w:rPr>
        <w:t>;</w:t>
      </w:r>
    </w:p>
    <w:p w14:paraId="527D61EE" w14:textId="77777777" w:rsidR="00EC0762" w:rsidRPr="00707717" w:rsidRDefault="00EC0762" w:rsidP="00EC0762">
      <w:pPr>
        <w:numPr>
          <w:ilvl w:val="0"/>
          <w:numId w:val="11"/>
        </w:numPr>
        <w:spacing w:after="200" w:line="276" w:lineRule="auto"/>
        <w:contextualSpacing/>
        <w:jc w:val="both"/>
        <w:rPr>
          <w:rFonts w:eastAsiaTheme="minorHAnsi" w:cstheme="minorBidi"/>
          <w:szCs w:val="22"/>
        </w:rPr>
      </w:pPr>
      <w:r w:rsidRPr="00707717">
        <w:rPr>
          <w:rFonts w:eastAsiaTheme="minorHAnsi" w:cstheme="minorBidi"/>
          <w:szCs w:val="22"/>
        </w:rPr>
        <w:t>Evaluate current plant configuration characteristics</w:t>
      </w:r>
      <w:r>
        <w:rPr>
          <w:rFonts w:eastAsiaTheme="minorHAnsi" w:cstheme="minorBidi"/>
          <w:szCs w:val="22"/>
        </w:rPr>
        <w:t>;</w:t>
      </w:r>
    </w:p>
    <w:p w14:paraId="2F22C68C" w14:textId="77777777" w:rsidR="00EC0762" w:rsidRPr="00707717" w:rsidRDefault="00EC0762" w:rsidP="00EC0762">
      <w:pPr>
        <w:numPr>
          <w:ilvl w:val="0"/>
          <w:numId w:val="11"/>
        </w:numPr>
        <w:spacing w:after="200" w:line="276" w:lineRule="auto"/>
        <w:contextualSpacing/>
        <w:jc w:val="both"/>
        <w:rPr>
          <w:rFonts w:eastAsiaTheme="minorHAnsi" w:cstheme="minorBidi"/>
          <w:szCs w:val="22"/>
        </w:rPr>
      </w:pPr>
      <w:r w:rsidRPr="00707717">
        <w:rPr>
          <w:rFonts w:eastAsiaTheme="minorHAnsi" w:cstheme="minorBidi"/>
          <w:szCs w:val="22"/>
        </w:rPr>
        <w:t>Evaluate the method of compliance with impingement mortality best technology available</w:t>
      </w:r>
      <w:r>
        <w:rPr>
          <w:rFonts w:eastAsiaTheme="minorHAnsi" w:cstheme="minorBidi"/>
          <w:szCs w:val="22"/>
        </w:rPr>
        <w:t>;</w:t>
      </w:r>
    </w:p>
    <w:p w14:paraId="6427AF97" w14:textId="77777777" w:rsidR="00EC0762" w:rsidRPr="00707717" w:rsidRDefault="00EC0762" w:rsidP="00EC0762">
      <w:pPr>
        <w:numPr>
          <w:ilvl w:val="0"/>
          <w:numId w:val="11"/>
        </w:numPr>
        <w:spacing w:after="200" w:line="276" w:lineRule="auto"/>
        <w:contextualSpacing/>
        <w:jc w:val="both"/>
        <w:rPr>
          <w:rFonts w:eastAsiaTheme="minorHAnsi" w:cstheme="minorBidi"/>
          <w:szCs w:val="22"/>
        </w:rPr>
      </w:pPr>
      <w:r w:rsidRPr="00707717">
        <w:rPr>
          <w:rFonts w:eastAsiaTheme="minorHAnsi" w:cstheme="minorBidi"/>
          <w:szCs w:val="22"/>
        </w:rPr>
        <w:t>Study existing entrainment performance</w:t>
      </w:r>
      <w:r>
        <w:rPr>
          <w:rFonts w:eastAsiaTheme="minorHAnsi" w:cstheme="minorBidi"/>
          <w:szCs w:val="22"/>
        </w:rPr>
        <w:t>; and</w:t>
      </w:r>
    </w:p>
    <w:p w14:paraId="61881FAD" w14:textId="77777777" w:rsidR="00EC0762" w:rsidRDefault="00EC0762" w:rsidP="00EC0762">
      <w:pPr>
        <w:numPr>
          <w:ilvl w:val="0"/>
          <w:numId w:val="11"/>
        </w:numPr>
        <w:spacing w:after="200" w:line="276" w:lineRule="auto"/>
        <w:contextualSpacing/>
        <w:jc w:val="both"/>
        <w:rPr>
          <w:rFonts w:eastAsiaTheme="minorHAnsi" w:cstheme="minorBidi"/>
          <w:szCs w:val="22"/>
        </w:rPr>
      </w:pPr>
      <w:r w:rsidRPr="00707717">
        <w:rPr>
          <w:rFonts w:eastAsiaTheme="minorHAnsi" w:cstheme="minorBidi"/>
          <w:szCs w:val="22"/>
        </w:rPr>
        <w:t>Review feasibility and cost estimates for available technologies</w:t>
      </w:r>
      <w:r>
        <w:rPr>
          <w:rFonts w:eastAsiaTheme="minorHAnsi" w:cstheme="minorBidi"/>
          <w:szCs w:val="22"/>
        </w:rPr>
        <w:t>.</w:t>
      </w:r>
    </w:p>
    <w:p w14:paraId="3E34184C" w14:textId="77777777" w:rsidR="00EC0762" w:rsidRPr="008345F5" w:rsidRDefault="00EC0762" w:rsidP="00EC0762">
      <w:pPr>
        <w:spacing w:after="200" w:line="276" w:lineRule="auto"/>
        <w:contextualSpacing/>
        <w:jc w:val="both"/>
        <w:rPr>
          <w:rFonts w:eastAsiaTheme="minorHAnsi" w:cstheme="minorBidi"/>
          <w:szCs w:val="22"/>
        </w:rPr>
      </w:pPr>
    </w:p>
    <w:p w14:paraId="6F94FD63" w14:textId="77777777" w:rsidR="00EC0762" w:rsidRPr="00707717" w:rsidRDefault="00EC0762" w:rsidP="00EC0762">
      <w:pPr>
        <w:spacing w:after="200"/>
        <w:jc w:val="both"/>
        <w:rPr>
          <w:rFonts w:eastAsiaTheme="minorHAnsi" w:cstheme="minorBidi"/>
          <w:szCs w:val="22"/>
        </w:rPr>
      </w:pPr>
      <w:r w:rsidRPr="00707717">
        <w:rPr>
          <w:rFonts w:eastAsiaTheme="minorHAnsi" w:cstheme="minorBidi"/>
          <w:szCs w:val="22"/>
        </w:rPr>
        <w:t>Due to the nature of this Study, TECO used an internal preferred source process to select Environmental Consulting &amp; Technology a</w:t>
      </w:r>
      <w:r>
        <w:rPr>
          <w:rFonts w:eastAsiaTheme="minorHAnsi" w:cstheme="minorBidi"/>
          <w:szCs w:val="22"/>
        </w:rPr>
        <w:t>s</w:t>
      </w:r>
      <w:r w:rsidRPr="00707717">
        <w:rPr>
          <w:rFonts w:eastAsiaTheme="minorHAnsi" w:cstheme="minorBidi"/>
          <w:szCs w:val="22"/>
        </w:rPr>
        <w:t xml:space="preserve"> </w:t>
      </w:r>
      <w:r>
        <w:rPr>
          <w:rFonts w:eastAsiaTheme="minorHAnsi" w:cstheme="minorBidi"/>
          <w:szCs w:val="22"/>
        </w:rPr>
        <w:t xml:space="preserve">the </w:t>
      </w:r>
      <w:r w:rsidRPr="00707717">
        <w:rPr>
          <w:rFonts w:eastAsiaTheme="minorHAnsi" w:cstheme="minorBidi"/>
          <w:szCs w:val="22"/>
        </w:rPr>
        <w:t>contractor</w:t>
      </w:r>
      <w:r>
        <w:rPr>
          <w:rFonts w:eastAsiaTheme="minorHAnsi" w:cstheme="minorBidi"/>
          <w:szCs w:val="22"/>
        </w:rPr>
        <w:t xml:space="preserve"> to perform the work</w:t>
      </w:r>
      <w:r w:rsidRPr="00707717">
        <w:rPr>
          <w:rFonts w:eastAsiaTheme="minorHAnsi" w:cstheme="minorBidi"/>
          <w:szCs w:val="22"/>
        </w:rPr>
        <w:t xml:space="preserve">. The Company stated that the contractor was selected due to </w:t>
      </w:r>
      <w:r>
        <w:rPr>
          <w:rFonts w:eastAsiaTheme="minorHAnsi" w:cstheme="minorBidi"/>
          <w:szCs w:val="22"/>
        </w:rPr>
        <w:t>its</w:t>
      </w:r>
      <w:r w:rsidRPr="00707717">
        <w:rPr>
          <w:rFonts w:eastAsiaTheme="minorHAnsi" w:cstheme="minorBidi"/>
          <w:szCs w:val="22"/>
        </w:rPr>
        <w:t xml:space="preserve"> experience, knowledge of Big Bend, and experience completing similar studies at TECO’s Bayside Power Station. TECO estimates it will incur approximately $1,178,300 in O&amp;M expenses associated with the Study. TECO expects the Study </w:t>
      </w:r>
      <w:r>
        <w:rPr>
          <w:rFonts w:eastAsiaTheme="minorHAnsi" w:cstheme="minorBidi"/>
          <w:szCs w:val="22"/>
        </w:rPr>
        <w:t xml:space="preserve">to be completed </w:t>
      </w:r>
      <w:r w:rsidRPr="00707717">
        <w:rPr>
          <w:rFonts w:eastAsiaTheme="minorHAnsi" w:cstheme="minorBidi"/>
          <w:szCs w:val="22"/>
        </w:rPr>
        <w:t>by March 2029.</w:t>
      </w:r>
    </w:p>
    <w:p w14:paraId="41C9C0BE" w14:textId="77777777" w:rsidR="00EC0762" w:rsidRPr="00707717" w:rsidRDefault="00EC0762" w:rsidP="00EC0762">
      <w:pPr>
        <w:spacing w:after="200" w:line="276" w:lineRule="auto"/>
        <w:jc w:val="both"/>
        <w:rPr>
          <w:rFonts w:eastAsiaTheme="minorHAnsi"/>
          <w:szCs w:val="22"/>
        </w:rPr>
      </w:pPr>
      <w:r w:rsidRPr="00707717">
        <w:rPr>
          <w:rFonts w:eastAsiaTheme="minorHAnsi" w:cstheme="minorBidi"/>
          <w:szCs w:val="22"/>
        </w:rPr>
        <w:t>In response to staff’s data request, TECO provided data</w:t>
      </w:r>
      <w:r>
        <w:rPr>
          <w:rFonts w:eastAsiaTheme="minorHAnsi" w:cstheme="minorBidi"/>
          <w:szCs w:val="22"/>
        </w:rPr>
        <w:t xml:space="preserve">, as shown in Table 1-1, of </w:t>
      </w:r>
      <w:r w:rsidRPr="00707717">
        <w:rPr>
          <w:rFonts w:eastAsiaTheme="minorHAnsi" w:cstheme="minorBidi"/>
          <w:szCs w:val="22"/>
        </w:rPr>
        <w:t>the estimated impact to a residential customer bill.</w:t>
      </w:r>
      <w:r w:rsidRPr="00707717">
        <w:rPr>
          <w:rFonts w:eastAsiaTheme="minorHAnsi"/>
          <w:szCs w:val="22"/>
          <w:vertAlign w:val="superscript"/>
        </w:rPr>
        <w:t xml:space="preserve"> </w:t>
      </w:r>
      <w:r w:rsidRPr="00707717">
        <w:rPr>
          <w:rFonts w:eastAsiaTheme="minorHAnsi"/>
          <w:szCs w:val="22"/>
          <w:vertAlign w:val="superscript"/>
        </w:rPr>
        <w:footnoteReference w:id="6"/>
      </w:r>
    </w:p>
    <w:p w14:paraId="73F40393" w14:textId="77777777" w:rsidR="00EC0762" w:rsidRPr="00707717" w:rsidRDefault="00EC0762" w:rsidP="00EC0762">
      <w:pPr>
        <w:spacing w:line="276" w:lineRule="auto"/>
        <w:jc w:val="center"/>
        <w:rPr>
          <w:rFonts w:ascii="Arial" w:eastAsiaTheme="minorHAnsi" w:hAnsi="Arial" w:cs="Arial"/>
          <w:b/>
          <w:szCs w:val="22"/>
        </w:rPr>
      </w:pPr>
      <w:r w:rsidRPr="00707717">
        <w:rPr>
          <w:rFonts w:ascii="Arial" w:eastAsiaTheme="minorHAnsi" w:hAnsi="Arial" w:cs="Arial"/>
          <w:b/>
          <w:szCs w:val="22"/>
        </w:rPr>
        <w:t>Table 1-1</w:t>
      </w:r>
    </w:p>
    <w:p w14:paraId="733A1456" w14:textId="77777777" w:rsidR="00EC0762" w:rsidRPr="00707717" w:rsidRDefault="00EC0762" w:rsidP="00EC0762">
      <w:pPr>
        <w:spacing w:line="276" w:lineRule="auto"/>
        <w:jc w:val="center"/>
        <w:rPr>
          <w:rFonts w:ascii="Arial" w:eastAsiaTheme="minorHAnsi" w:hAnsi="Arial" w:cs="Arial"/>
          <w:b/>
          <w:szCs w:val="22"/>
        </w:rPr>
      </w:pPr>
      <w:r w:rsidRPr="00707717">
        <w:rPr>
          <w:rFonts w:ascii="Arial" w:eastAsiaTheme="minorHAnsi" w:hAnsi="Arial" w:cs="Arial"/>
          <w:b/>
          <w:szCs w:val="22"/>
        </w:rPr>
        <w:t>Residential Bill Impact</w:t>
      </w:r>
    </w:p>
    <w:tbl>
      <w:tblPr>
        <w:tblStyle w:val="TableGrid2"/>
        <w:tblW w:w="0" w:type="auto"/>
        <w:jc w:val="center"/>
        <w:tblLook w:val="04A0" w:firstRow="1" w:lastRow="0" w:firstColumn="1" w:lastColumn="0" w:noHBand="0" w:noVBand="1"/>
      </w:tblPr>
      <w:tblGrid>
        <w:gridCol w:w="1232"/>
        <w:gridCol w:w="2218"/>
        <w:gridCol w:w="2190"/>
      </w:tblGrid>
      <w:tr w:rsidR="00EC0762" w:rsidRPr="00707717" w14:paraId="26C370FD" w14:textId="77777777" w:rsidTr="001A63D4">
        <w:trPr>
          <w:jc w:val="center"/>
        </w:trPr>
        <w:tc>
          <w:tcPr>
            <w:tcW w:w="1232" w:type="dxa"/>
            <w:tcBorders>
              <w:top w:val="single" w:sz="4" w:space="0" w:color="auto"/>
              <w:left w:val="single" w:sz="4" w:space="0" w:color="auto"/>
              <w:bottom w:val="single" w:sz="4" w:space="0" w:color="auto"/>
              <w:right w:val="single" w:sz="4" w:space="0" w:color="auto"/>
            </w:tcBorders>
          </w:tcPr>
          <w:p w14:paraId="162B23DA" w14:textId="77777777" w:rsidR="00EC0762" w:rsidRPr="00707717" w:rsidRDefault="00EC0762" w:rsidP="001A63D4">
            <w:pPr>
              <w:jc w:val="center"/>
              <w:rPr>
                <w:szCs w:val="20"/>
              </w:rPr>
            </w:pPr>
            <w:r w:rsidRPr="00707717">
              <w:rPr>
                <w:szCs w:val="20"/>
              </w:rPr>
              <w:t>Year</w:t>
            </w:r>
          </w:p>
        </w:tc>
        <w:tc>
          <w:tcPr>
            <w:tcW w:w="2218" w:type="dxa"/>
            <w:tcBorders>
              <w:top w:val="single" w:sz="4" w:space="0" w:color="auto"/>
              <w:left w:val="single" w:sz="4" w:space="0" w:color="auto"/>
              <w:bottom w:val="single" w:sz="4" w:space="0" w:color="auto"/>
              <w:right w:val="single" w:sz="4" w:space="0" w:color="auto"/>
            </w:tcBorders>
            <w:hideMark/>
          </w:tcPr>
          <w:p w14:paraId="100B185F" w14:textId="77777777" w:rsidR="00EC0762" w:rsidRPr="00707717" w:rsidRDefault="00EC0762" w:rsidP="001A63D4">
            <w:pPr>
              <w:jc w:val="center"/>
              <w:rPr>
                <w:szCs w:val="20"/>
              </w:rPr>
            </w:pPr>
            <w:r w:rsidRPr="00707717">
              <w:rPr>
                <w:szCs w:val="20"/>
              </w:rPr>
              <w:t>$ / 1,000 kWh</w:t>
            </w:r>
          </w:p>
        </w:tc>
        <w:tc>
          <w:tcPr>
            <w:tcW w:w="2190" w:type="dxa"/>
            <w:tcBorders>
              <w:top w:val="single" w:sz="4" w:space="0" w:color="auto"/>
              <w:left w:val="single" w:sz="4" w:space="0" w:color="auto"/>
              <w:bottom w:val="single" w:sz="4" w:space="0" w:color="auto"/>
              <w:right w:val="single" w:sz="4" w:space="0" w:color="auto"/>
            </w:tcBorders>
            <w:hideMark/>
          </w:tcPr>
          <w:p w14:paraId="14B2B481" w14:textId="77777777" w:rsidR="00EC0762" w:rsidRPr="00707717" w:rsidRDefault="00EC0762" w:rsidP="001A63D4">
            <w:pPr>
              <w:jc w:val="center"/>
              <w:rPr>
                <w:szCs w:val="20"/>
              </w:rPr>
            </w:pPr>
            <w:r w:rsidRPr="00707717">
              <w:rPr>
                <w:szCs w:val="20"/>
              </w:rPr>
              <w:t>$ / 1,200 kWh</w:t>
            </w:r>
          </w:p>
        </w:tc>
      </w:tr>
      <w:tr w:rsidR="00EC0762" w:rsidRPr="00707717" w14:paraId="5FCAEB9A" w14:textId="77777777" w:rsidTr="001A63D4">
        <w:trPr>
          <w:jc w:val="center"/>
        </w:trPr>
        <w:tc>
          <w:tcPr>
            <w:tcW w:w="1232" w:type="dxa"/>
            <w:tcBorders>
              <w:top w:val="single" w:sz="4" w:space="0" w:color="auto"/>
              <w:left w:val="single" w:sz="4" w:space="0" w:color="auto"/>
              <w:bottom w:val="single" w:sz="4" w:space="0" w:color="auto"/>
              <w:right w:val="single" w:sz="4" w:space="0" w:color="auto"/>
            </w:tcBorders>
            <w:hideMark/>
          </w:tcPr>
          <w:p w14:paraId="32D24F43" w14:textId="77777777" w:rsidR="00EC0762" w:rsidRPr="00707717" w:rsidRDefault="00EC0762" w:rsidP="001A63D4">
            <w:pPr>
              <w:jc w:val="center"/>
              <w:rPr>
                <w:szCs w:val="20"/>
              </w:rPr>
            </w:pPr>
            <w:r w:rsidRPr="00707717">
              <w:rPr>
                <w:szCs w:val="20"/>
              </w:rPr>
              <w:t>2025</w:t>
            </w:r>
          </w:p>
        </w:tc>
        <w:tc>
          <w:tcPr>
            <w:tcW w:w="2218" w:type="dxa"/>
            <w:tcBorders>
              <w:top w:val="single" w:sz="4" w:space="0" w:color="auto"/>
              <w:left w:val="single" w:sz="4" w:space="0" w:color="auto"/>
              <w:bottom w:val="single" w:sz="4" w:space="0" w:color="auto"/>
              <w:right w:val="single" w:sz="4" w:space="0" w:color="auto"/>
            </w:tcBorders>
          </w:tcPr>
          <w:p w14:paraId="49377D67" w14:textId="77777777" w:rsidR="00EC0762" w:rsidRPr="00707717" w:rsidRDefault="00EC0762" w:rsidP="001A63D4">
            <w:pPr>
              <w:jc w:val="center"/>
              <w:rPr>
                <w:szCs w:val="20"/>
              </w:rPr>
            </w:pPr>
            <w:r w:rsidRPr="00707717">
              <w:rPr>
                <w:szCs w:val="20"/>
              </w:rPr>
              <w:t>0.00</w:t>
            </w:r>
          </w:p>
        </w:tc>
        <w:tc>
          <w:tcPr>
            <w:tcW w:w="2190" w:type="dxa"/>
            <w:tcBorders>
              <w:top w:val="single" w:sz="4" w:space="0" w:color="auto"/>
              <w:left w:val="single" w:sz="4" w:space="0" w:color="auto"/>
              <w:bottom w:val="single" w:sz="4" w:space="0" w:color="auto"/>
              <w:right w:val="single" w:sz="4" w:space="0" w:color="auto"/>
            </w:tcBorders>
          </w:tcPr>
          <w:p w14:paraId="70D2BDDE" w14:textId="77777777" w:rsidR="00EC0762" w:rsidRPr="00707717" w:rsidRDefault="00EC0762" w:rsidP="001A63D4">
            <w:pPr>
              <w:jc w:val="center"/>
              <w:rPr>
                <w:szCs w:val="20"/>
              </w:rPr>
            </w:pPr>
            <w:r w:rsidRPr="00707717">
              <w:rPr>
                <w:szCs w:val="20"/>
              </w:rPr>
              <w:t>0.00</w:t>
            </w:r>
          </w:p>
        </w:tc>
      </w:tr>
      <w:tr w:rsidR="00EC0762" w:rsidRPr="00707717" w14:paraId="4F6646CF" w14:textId="77777777" w:rsidTr="001A63D4">
        <w:trPr>
          <w:jc w:val="center"/>
        </w:trPr>
        <w:tc>
          <w:tcPr>
            <w:tcW w:w="1232" w:type="dxa"/>
            <w:tcBorders>
              <w:top w:val="single" w:sz="4" w:space="0" w:color="auto"/>
              <w:left w:val="single" w:sz="4" w:space="0" w:color="auto"/>
              <w:bottom w:val="single" w:sz="4" w:space="0" w:color="auto"/>
              <w:right w:val="single" w:sz="4" w:space="0" w:color="auto"/>
            </w:tcBorders>
            <w:hideMark/>
          </w:tcPr>
          <w:p w14:paraId="06BD59D3" w14:textId="77777777" w:rsidR="00EC0762" w:rsidRPr="00707717" w:rsidRDefault="00EC0762" w:rsidP="001A63D4">
            <w:pPr>
              <w:jc w:val="center"/>
              <w:rPr>
                <w:szCs w:val="20"/>
              </w:rPr>
            </w:pPr>
            <w:r w:rsidRPr="00707717">
              <w:rPr>
                <w:szCs w:val="20"/>
              </w:rPr>
              <w:t>2026</w:t>
            </w:r>
          </w:p>
        </w:tc>
        <w:tc>
          <w:tcPr>
            <w:tcW w:w="2218" w:type="dxa"/>
            <w:tcBorders>
              <w:top w:val="single" w:sz="4" w:space="0" w:color="auto"/>
              <w:left w:val="single" w:sz="4" w:space="0" w:color="auto"/>
              <w:bottom w:val="single" w:sz="4" w:space="0" w:color="auto"/>
              <w:right w:val="single" w:sz="4" w:space="0" w:color="auto"/>
            </w:tcBorders>
          </w:tcPr>
          <w:p w14:paraId="292BB631" w14:textId="77777777" w:rsidR="00EC0762" w:rsidRPr="00707717" w:rsidRDefault="00EC0762" w:rsidP="001A63D4">
            <w:pPr>
              <w:jc w:val="center"/>
              <w:rPr>
                <w:szCs w:val="20"/>
              </w:rPr>
            </w:pPr>
            <w:r w:rsidRPr="00707717">
              <w:rPr>
                <w:szCs w:val="20"/>
              </w:rPr>
              <w:t>0.00</w:t>
            </w:r>
          </w:p>
        </w:tc>
        <w:tc>
          <w:tcPr>
            <w:tcW w:w="2190" w:type="dxa"/>
            <w:tcBorders>
              <w:top w:val="single" w:sz="4" w:space="0" w:color="auto"/>
              <w:left w:val="single" w:sz="4" w:space="0" w:color="auto"/>
              <w:bottom w:val="single" w:sz="4" w:space="0" w:color="auto"/>
              <w:right w:val="single" w:sz="4" w:space="0" w:color="auto"/>
            </w:tcBorders>
          </w:tcPr>
          <w:p w14:paraId="0CF934AB" w14:textId="77777777" w:rsidR="00EC0762" w:rsidRPr="00707717" w:rsidRDefault="00EC0762" w:rsidP="001A63D4">
            <w:pPr>
              <w:jc w:val="center"/>
              <w:rPr>
                <w:szCs w:val="20"/>
              </w:rPr>
            </w:pPr>
            <w:r w:rsidRPr="00707717">
              <w:rPr>
                <w:szCs w:val="20"/>
              </w:rPr>
              <w:t>0.00</w:t>
            </w:r>
          </w:p>
        </w:tc>
      </w:tr>
      <w:tr w:rsidR="00EC0762" w:rsidRPr="00707717" w14:paraId="6C510983" w14:textId="77777777" w:rsidTr="001A63D4">
        <w:trPr>
          <w:jc w:val="center"/>
        </w:trPr>
        <w:tc>
          <w:tcPr>
            <w:tcW w:w="1232" w:type="dxa"/>
            <w:tcBorders>
              <w:top w:val="single" w:sz="4" w:space="0" w:color="auto"/>
              <w:left w:val="single" w:sz="4" w:space="0" w:color="auto"/>
              <w:bottom w:val="single" w:sz="4" w:space="0" w:color="auto"/>
              <w:right w:val="single" w:sz="4" w:space="0" w:color="auto"/>
            </w:tcBorders>
            <w:hideMark/>
          </w:tcPr>
          <w:p w14:paraId="21B74001" w14:textId="77777777" w:rsidR="00EC0762" w:rsidRPr="00707717" w:rsidRDefault="00EC0762" w:rsidP="001A63D4">
            <w:pPr>
              <w:jc w:val="center"/>
              <w:rPr>
                <w:szCs w:val="20"/>
              </w:rPr>
            </w:pPr>
            <w:r w:rsidRPr="00707717">
              <w:rPr>
                <w:szCs w:val="20"/>
              </w:rPr>
              <w:t>2027</w:t>
            </w:r>
          </w:p>
        </w:tc>
        <w:tc>
          <w:tcPr>
            <w:tcW w:w="2218" w:type="dxa"/>
            <w:tcBorders>
              <w:top w:val="single" w:sz="4" w:space="0" w:color="auto"/>
              <w:left w:val="single" w:sz="4" w:space="0" w:color="auto"/>
              <w:bottom w:val="single" w:sz="4" w:space="0" w:color="auto"/>
              <w:right w:val="single" w:sz="4" w:space="0" w:color="auto"/>
            </w:tcBorders>
          </w:tcPr>
          <w:p w14:paraId="0E1F20D0" w14:textId="77777777" w:rsidR="00EC0762" w:rsidRPr="00707717" w:rsidRDefault="00EC0762" w:rsidP="001A63D4">
            <w:pPr>
              <w:jc w:val="center"/>
              <w:rPr>
                <w:szCs w:val="20"/>
              </w:rPr>
            </w:pPr>
            <w:r w:rsidRPr="00707717">
              <w:rPr>
                <w:szCs w:val="20"/>
              </w:rPr>
              <w:t>0.06</w:t>
            </w:r>
          </w:p>
        </w:tc>
        <w:tc>
          <w:tcPr>
            <w:tcW w:w="2190" w:type="dxa"/>
            <w:tcBorders>
              <w:top w:val="single" w:sz="4" w:space="0" w:color="auto"/>
              <w:left w:val="single" w:sz="4" w:space="0" w:color="auto"/>
              <w:bottom w:val="single" w:sz="4" w:space="0" w:color="auto"/>
              <w:right w:val="single" w:sz="4" w:space="0" w:color="auto"/>
            </w:tcBorders>
          </w:tcPr>
          <w:p w14:paraId="5B3A72C0" w14:textId="77777777" w:rsidR="00EC0762" w:rsidRPr="00707717" w:rsidRDefault="00EC0762" w:rsidP="001A63D4">
            <w:pPr>
              <w:jc w:val="center"/>
              <w:rPr>
                <w:szCs w:val="20"/>
              </w:rPr>
            </w:pPr>
            <w:r w:rsidRPr="00707717">
              <w:rPr>
                <w:szCs w:val="20"/>
              </w:rPr>
              <w:t>0.07</w:t>
            </w:r>
          </w:p>
        </w:tc>
      </w:tr>
      <w:tr w:rsidR="00EC0762" w:rsidRPr="00707717" w14:paraId="3761565E" w14:textId="77777777" w:rsidTr="001A63D4">
        <w:trPr>
          <w:jc w:val="center"/>
        </w:trPr>
        <w:tc>
          <w:tcPr>
            <w:tcW w:w="1232" w:type="dxa"/>
            <w:tcBorders>
              <w:top w:val="single" w:sz="4" w:space="0" w:color="auto"/>
              <w:left w:val="single" w:sz="4" w:space="0" w:color="auto"/>
              <w:bottom w:val="single" w:sz="4" w:space="0" w:color="auto"/>
              <w:right w:val="single" w:sz="4" w:space="0" w:color="auto"/>
            </w:tcBorders>
            <w:hideMark/>
          </w:tcPr>
          <w:p w14:paraId="7BE6D7A7" w14:textId="77777777" w:rsidR="00EC0762" w:rsidRPr="00707717" w:rsidRDefault="00EC0762" w:rsidP="001A63D4">
            <w:pPr>
              <w:jc w:val="center"/>
              <w:rPr>
                <w:szCs w:val="20"/>
              </w:rPr>
            </w:pPr>
            <w:r w:rsidRPr="00707717">
              <w:rPr>
                <w:szCs w:val="20"/>
              </w:rPr>
              <w:t>2028</w:t>
            </w:r>
          </w:p>
        </w:tc>
        <w:tc>
          <w:tcPr>
            <w:tcW w:w="2218" w:type="dxa"/>
            <w:tcBorders>
              <w:top w:val="single" w:sz="4" w:space="0" w:color="auto"/>
              <w:left w:val="single" w:sz="4" w:space="0" w:color="auto"/>
              <w:bottom w:val="single" w:sz="4" w:space="0" w:color="auto"/>
              <w:right w:val="single" w:sz="4" w:space="0" w:color="auto"/>
            </w:tcBorders>
          </w:tcPr>
          <w:p w14:paraId="61EC259D" w14:textId="77777777" w:rsidR="00EC0762" w:rsidRPr="00707717" w:rsidRDefault="00EC0762" w:rsidP="001A63D4">
            <w:pPr>
              <w:jc w:val="center"/>
              <w:rPr>
                <w:szCs w:val="20"/>
              </w:rPr>
            </w:pPr>
            <w:r w:rsidRPr="00707717">
              <w:rPr>
                <w:szCs w:val="20"/>
              </w:rPr>
              <w:t>0.00</w:t>
            </w:r>
          </w:p>
        </w:tc>
        <w:tc>
          <w:tcPr>
            <w:tcW w:w="2190" w:type="dxa"/>
            <w:tcBorders>
              <w:top w:val="single" w:sz="4" w:space="0" w:color="auto"/>
              <w:left w:val="single" w:sz="4" w:space="0" w:color="auto"/>
              <w:bottom w:val="single" w:sz="4" w:space="0" w:color="auto"/>
              <w:right w:val="single" w:sz="4" w:space="0" w:color="auto"/>
            </w:tcBorders>
          </w:tcPr>
          <w:p w14:paraId="3B6BF34B" w14:textId="77777777" w:rsidR="00EC0762" w:rsidRPr="00707717" w:rsidRDefault="00EC0762" w:rsidP="001A63D4">
            <w:pPr>
              <w:jc w:val="center"/>
              <w:rPr>
                <w:szCs w:val="20"/>
              </w:rPr>
            </w:pPr>
            <w:r w:rsidRPr="00707717">
              <w:rPr>
                <w:szCs w:val="20"/>
              </w:rPr>
              <w:t>0.00</w:t>
            </w:r>
          </w:p>
        </w:tc>
      </w:tr>
      <w:tr w:rsidR="00EC0762" w:rsidRPr="00707717" w14:paraId="36B651BA" w14:textId="77777777" w:rsidTr="001A63D4">
        <w:trPr>
          <w:jc w:val="center"/>
        </w:trPr>
        <w:tc>
          <w:tcPr>
            <w:tcW w:w="1232" w:type="dxa"/>
            <w:tcBorders>
              <w:top w:val="single" w:sz="4" w:space="0" w:color="auto"/>
              <w:left w:val="single" w:sz="4" w:space="0" w:color="auto"/>
              <w:bottom w:val="single" w:sz="4" w:space="0" w:color="auto"/>
              <w:right w:val="single" w:sz="4" w:space="0" w:color="auto"/>
            </w:tcBorders>
            <w:hideMark/>
          </w:tcPr>
          <w:p w14:paraId="2C3B30FC" w14:textId="77777777" w:rsidR="00EC0762" w:rsidRPr="00707717" w:rsidRDefault="00EC0762" w:rsidP="001A63D4">
            <w:pPr>
              <w:jc w:val="center"/>
              <w:rPr>
                <w:szCs w:val="20"/>
              </w:rPr>
            </w:pPr>
            <w:r w:rsidRPr="00707717">
              <w:rPr>
                <w:szCs w:val="20"/>
              </w:rPr>
              <w:t>2029</w:t>
            </w:r>
          </w:p>
        </w:tc>
        <w:tc>
          <w:tcPr>
            <w:tcW w:w="2218" w:type="dxa"/>
            <w:tcBorders>
              <w:top w:val="single" w:sz="4" w:space="0" w:color="auto"/>
              <w:left w:val="single" w:sz="4" w:space="0" w:color="auto"/>
              <w:bottom w:val="single" w:sz="4" w:space="0" w:color="auto"/>
              <w:right w:val="single" w:sz="4" w:space="0" w:color="auto"/>
            </w:tcBorders>
          </w:tcPr>
          <w:p w14:paraId="75D30F68" w14:textId="77777777" w:rsidR="00EC0762" w:rsidRPr="00707717" w:rsidRDefault="00EC0762" w:rsidP="001A63D4">
            <w:pPr>
              <w:jc w:val="center"/>
              <w:rPr>
                <w:szCs w:val="20"/>
              </w:rPr>
            </w:pPr>
            <w:r w:rsidRPr="00707717">
              <w:rPr>
                <w:szCs w:val="20"/>
              </w:rPr>
              <w:t>0.00</w:t>
            </w:r>
          </w:p>
        </w:tc>
        <w:tc>
          <w:tcPr>
            <w:tcW w:w="2190" w:type="dxa"/>
            <w:tcBorders>
              <w:top w:val="single" w:sz="4" w:space="0" w:color="auto"/>
              <w:left w:val="single" w:sz="4" w:space="0" w:color="auto"/>
              <w:bottom w:val="single" w:sz="4" w:space="0" w:color="auto"/>
              <w:right w:val="single" w:sz="4" w:space="0" w:color="auto"/>
            </w:tcBorders>
          </w:tcPr>
          <w:p w14:paraId="3D02FD25" w14:textId="77777777" w:rsidR="00EC0762" w:rsidRPr="00707717" w:rsidRDefault="00EC0762" w:rsidP="001A63D4">
            <w:pPr>
              <w:jc w:val="center"/>
              <w:rPr>
                <w:szCs w:val="20"/>
              </w:rPr>
            </w:pPr>
            <w:r w:rsidRPr="00707717">
              <w:rPr>
                <w:szCs w:val="20"/>
              </w:rPr>
              <w:t>0.00</w:t>
            </w:r>
          </w:p>
        </w:tc>
      </w:tr>
    </w:tbl>
    <w:p w14:paraId="0B6A2BE2" w14:textId="77777777" w:rsidR="00EC0762" w:rsidRPr="00707717" w:rsidRDefault="00EC0762" w:rsidP="00EC0762">
      <w:pPr>
        <w:spacing w:after="200"/>
        <w:jc w:val="both"/>
        <w:rPr>
          <w:rFonts w:eastAsiaTheme="minorHAnsi" w:cstheme="minorBidi"/>
          <w:szCs w:val="22"/>
        </w:rPr>
      </w:pPr>
    </w:p>
    <w:p w14:paraId="03223261" w14:textId="77777777" w:rsidR="00EC0762" w:rsidRPr="00707717" w:rsidRDefault="00EC0762" w:rsidP="00EC0762">
      <w:pPr>
        <w:spacing w:after="200"/>
        <w:jc w:val="both"/>
        <w:rPr>
          <w:rFonts w:eastAsiaTheme="minorHAnsi"/>
          <w:szCs w:val="22"/>
        </w:rPr>
      </w:pPr>
      <w:r w:rsidRPr="00707717">
        <w:rPr>
          <w:rFonts w:eastAsiaTheme="minorHAnsi"/>
          <w:szCs w:val="22"/>
        </w:rPr>
        <w:t>The Commission’s criteria for ECRC recovery relevant to this docket, established by Order No. PSC-94-0044-FOF-EI, are:</w:t>
      </w:r>
    </w:p>
    <w:p w14:paraId="51F36C55" w14:textId="77777777" w:rsidR="00EC0762" w:rsidRPr="00707717" w:rsidRDefault="00EC0762" w:rsidP="00EC0762">
      <w:pPr>
        <w:spacing w:after="200"/>
        <w:ind w:left="720" w:hanging="360"/>
        <w:jc w:val="both"/>
        <w:rPr>
          <w:rFonts w:eastAsiaTheme="minorHAnsi"/>
          <w:szCs w:val="22"/>
        </w:rPr>
      </w:pPr>
      <w:r w:rsidRPr="00707717">
        <w:rPr>
          <w:rFonts w:eastAsiaTheme="minorHAnsi"/>
          <w:szCs w:val="22"/>
        </w:rPr>
        <w:t xml:space="preserve">(1) The activities are legally required to comply with governmentally imposed environmental regulation enacted, became effective, or whose effect was triggered after the Company’s last test year upon which rates are based; and </w:t>
      </w:r>
    </w:p>
    <w:p w14:paraId="028FE276" w14:textId="77777777" w:rsidR="00EC0762" w:rsidRPr="00707717" w:rsidRDefault="00EC0762" w:rsidP="00EC0762">
      <w:pPr>
        <w:spacing w:after="200"/>
        <w:ind w:left="720" w:hanging="360"/>
        <w:rPr>
          <w:rFonts w:eastAsiaTheme="minorHAnsi"/>
          <w:szCs w:val="22"/>
        </w:rPr>
      </w:pPr>
      <w:r w:rsidRPr="00707717">
        <w:rPr>
          <w:rFonts w:eastAsiaTheme="minorHAnsi"/>
          <w:szCs w:val="22"/>
        </w:rPr>
        <w:t>(2) None of the expenditures are being recovered through some other cost recovery mechanism or through base rates.</w:t>
      </w:r>
    </w:p>
    <w:p w14:paraId="64EF6A5C" w14:textId="77777777" w:rsidR="00EC0762" w:rsidRPr="00707717" w:rsidRDefault="00EC0762" w:rsidP="00EC0762">
      <w:pPr>
        <w:spacing w:after="200"/>
        <w:jc w:val="both"/>
        <w:rPr>
          <w:rFonts w:eastAsiaTheme="minorHAnsi"/>
          <w:szCs w:val="22"/>
        </w:rPr>
      </w:pPr>
      <w:r w:rsidRPr="00707717">
        <w:rPr>
          <w:rFonts w:eastAsiaTheme="minorHAnsi"/>
          <w:szCs w:val="22"/>
        </w:rPr>
        <w:t>Staff recommends that the Study proposed in TECO’s petition meets these criteria. The Study described in the petition is necessary for the Company to comply with governmental</w:t>
      </w:r>
      <w:r>
        <w:rPr>
          <w:rFonts w:eastAsiaTheme="minorHAnsi"/>
          <w:szCs w:val="22"/>
        </w:rPr>
        <w:t>ly imposed</w:t>
      </w:r>
      <w:r w:rsidRPr="00707717">
        <w:rPr>
          <w:rFonts w:eastAsiaTheme="minorHAnsi"/>
          <w:szCs w:val="22"/>
        </w:rPr>
        <w:t xml:space="preserve"> environmental regulations. The compliance activities were required as a result of the August 27, 2025, DEP issuance of the updated standards of the NPDES permit for Big Bend</w:t>
      </w:r>
      <w:r>
        <w:rPr>
          <w:rFonts w:eastAsiaTheme="minorHAnsi"/>
          <w:szCs w:val="22"/>
        </w:rPr>
        <w:t>,</w:t>
      </w:r>
      <w:r>
        <w:rPr>
          <w:rFonts w:eastAsiaTheme="minorHAnsi" w:cstheme="minorBidi"/>
          <w:szCs w:val="22"/>
        </w:rPr>
        <w:t xml:space="preserve"> which contained conditions for compliance with the EPA Rule</w:t>
      </w:r>
      <w:r w:rsidRPr="00707717">
        <w:rPr>
          <w:rFonts w:eastAsiaTheme="minorHAnsi" w:cstheme="minorBidi"/>
          <w:szCs w:val="22"/>
        </w:rPr>
        <w:t xml:space="preserve">. </w:t>
      </w:r>
      <w:r>
        <w:rPr>
          <w:rFonts w:eastAsiaTheme="minorHAnsi" w:cstheme="minorBidi"/>
          <w:szCs w:val="22"/>
        </w:rPr>
        <w:t>TECO states the primary focus of the Study is to confirm that its Big Bend Mortality Project meets the requirements of Section 316(b) and to provide the DEP with information it will use to determine compliance requirements in TECO’s next NPDES permit.</w:t>
      </w:r>
      <w:r w:rsidRPr="00707717">
        <w:rPr>
          <w:rFonts w:eastAsiaTheme="minorHAnsi" w:cstheme="minorBidi"/>
          <w:szCs w:val="22"/>
        </w:rPr>
        <w:t xml:space="preserve"> T</w:t>
      </w:r>
      <w:r w:rsidRPr="00707717">
        <w:rPr>
          <w:rFonts w:eastAsiaTheme="minorHAnsi"/>
          <w:szCs w:val="22"/>
        </w:rPr>
        <w:t xml:space="preserve">he costs of the proposed compliance Study are not currently being recovered through some other cost recovery mechanism or through base rates. Staff notes that the reasonableness and prudence of individual expenditures related to the Study will be subject to the Commission’s </w:t>
      </w:r>
      <w:r>
        <w:rPr>
          <w:rFonts w:eastAsiaTheme="minorHAnsi"/>
          <w:szCs w:val="22"/>
        </w:rPr>
        <w:t xml:space="preserve">continuing </w:t>
      </w:r>
      <w:r w:rsidRPr="00707717">
        <w:rPr>
          <w:rFonts w:eastAsiaTheme="minorHAnsi"/>
          <w:szCs w:val="22"/>
        </w:rPr>
        <w:t>review in future ECRC proceedings.</w:t>
      </w:r>
    </w:p>
    <w:p w14:paraId="4FD02CAE" w14:textId="77777777" w:rsidR="00EC0762" w:rsidRPr="00707717" w:rsidRDefault="00EC0762" w:rsidP="00EC0762">
      <w:pPr>
        <w:spacing w:after="200" w:line="276" w:lineRule="auto"/>
        <w:rPr>
          <w:rFonts w:ascii="Arial" w:eastAsiaTheme="minorHAnsi" w:hAnsi="Arial" w:cs="Arial"/>
          <w:b/>
          <w:szCs w:val="22"/>
        </w:rPr>
      </w:pPr>
      <w:r w:rsidRPr="00707717">
        <w:rPr>
          <w:rFonts w:ascii="Arial" w:eastAsiaTheme="minorHAnsi" w:hAnsi="Arial" w:cs="Arial"/>
          <w:b/>
          <w:szCs w:val="22"/>
        </w:rPr>
        <w:t>Conclusion</w:t>
      </w:r>
    </w:p>
    <w:p w14:paraId="5C4A9CA1" w14:textId="004EF737" w:rsidR="00707717" w:rsidRDefault="00EC0762" w:rsidP="00EC0762">
      <w:pPr>
        <w:jc w:val="both"/>
      </w:pPr>
      <w:r w:rsidRPr="00707717">
        <w:rPr>
          <w:rFonts w:eastAsiaTheme="minorHAnsi"/>
          <w:szCs w:val="22"/>
        </w:rPr>
        <w:t xml:space="preserve">Staff recommends that TECO’s </w:t>
      </w:r>
      <w:r w:rsidRPr="00707717">
        <w:rPr>
          <w:rFonts w:eastAsiaTheme="minorHAnsi" w:cstheme="minorBidi"/>
          <w:szCs w:val="22"/>
        </w:rPr>
        <w:t>Big Bend Clean Water Act Section 316(b) Study</w:t>
      </w:r>
      <w:r w:rsidRPr="00707717">
        <w:rPr>
          <w:rFonts w:eastAsiaTheme="minorHAnsi"/>
          <w:szCs w:val="22"/>
        </w:rPr>
        <w:t xml:space="preserve"> is necessary to comply with the </w:t>
      </w:r>
      <w:r w:rsidRPr="00707717">
        <w:rPr>
          <w:rFonts w:eastAsiaTheme="minorHAnsi" w:cstheme="minorBidi"/>
          <w:szCs w:val="22"/>
        </w:rPr>
        <w:t>EPA’s Rule</w:t>
      </w:r>
      <w:r w:rsidRPr="00707717">
        <w:rPr>
          <w:rFonts w:eastAsiaTheme="minorHAnsi"/>
          <w:szCs w:val="22"/>
        </w:rPr>
        <w:t xml:space="preserve">. </w:t>
      </w:r>
      <w:r w:rsidRPr="00707717">
        <w:rPr>
          <w:rFonts w:eastAsiaTheme="minorHAnsi" w:cstheme="minorBidi"/>
          <w:szCs w:val="22"/>
        </w:rPr>
        <w:t xml:space="preserve">Consistent with prior ECRC orders, O&amp;M costs associated with the </w:t>
      </w:r>
      <w:r w:rsidRPr="00707717">
        <w:rPr>
          <w:rFonts w:eastAsiaTheme="minorHAnsi"/>
          <w:szCs w:val="22"/>
        </w:rPr>
        <w:t>Study should be allocated to</w:t>
      </w:r>
      <w:r>
        <w:rPr>
          <w:rFonts w:eastAsiaTheme="minorHAnsi"/>
          <w:szCs w:val="22"/>
        </w:rPr>
        <w:t xml:space="preserve"> appropriate</w:t>
      </w:r>
      <w:r w:rsidRPr="00707717">
        <w:rPr>
          <w:rFonts w:eastAsiaTheme="minorHAnsi"/>
          <w:szCs w:val="22"/>
        </w:rPr>
        <w:t xml:space="preserve"> rate classes on an energy basis</w:t>
      </w:r>
      <w:r w:rsidR="00707717">
        <w:rPr>
          <w:rFonts w:eastAsiaTheme="minorHAnsi"/>
          <w:szCs w:val="22"/>
        </w:rPr>
        <w:t>.</w:t>
      </w:r>
    </w:p>
    <w:p w14:paraId="3567A14F" w14:textId="4BD9F72E" w:rsidR="00707717" w:rsidRDefault="00707717">
      <w:pPr>
        <w:pStyle w:val="IssueHeading"/>
        <w:rPr>
          <w:vanish/>
          <w:specVanish/>
        </w:rPr>
      </w:pPr>
      <w:r w:rsidRPr="004C3641">
        <w:rPr>
          <w:b w:val="0"/>
          <w:i w:val="0"/>
        </w:rPr>
        <w:br w:type="page"/>
      </w:r>
      <w:r w:rsidRPr="004C3641">
        <w:t xml:space="preserve">Issue </w:t>
      </w:r>
      <w:fldSimple w:instr=" SEQ Issue \* MERGEFORMAT ">
        <w:r w:rsidR="0049577E">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49577E">
        <w:rPr>
          <w:noProof/>
        </w:rPr>
        <w:instrText>2</w:instrText>
      </w:r>
      <w:r>
        <w:fldChar w:fldCharType="end"/>
      </w:r>
      <w:r>
        <w:tab/>
        <w:instrText xml:space="preserve">(Marquez)" \l 1 </w:instrText>
      </w:r>
      <w:r>
        <w:fldChar w:fldCharType="end"/>
      </w:r>
      <w:r>
        <w:t> </w:t>
      </w:r>
    </w:p>
    <w:p w14:paraId="63A41EDA" w14:textId="77777777" w:rsidR="00707717" w:rsidRDefault="00707717">
      <w:pPr>
        <w:pStyle w:val="BodyText"/>
      </w:pPr>
      <w:r>
        <w:t> Should this docket be closed?</w:t>
      </w:r>
    </w:p>
    <w:p w14:paraId="2A407227" w14:textId="77777777" w:rsidR="00707717" w:rsidRPr="004C3641" w:rsidRDefault="00707717">
      <w:pPr>
        <w:pStyle w:val="IssueSubsectionHeading"/>
        <w:rPr>
          <w:vanish/>
          <w:specVanish/>
        </w:rPr>
      </w:pPr>
      <w:r w:rsidRPr="004C3641">
        <w:t>Recommendation: </w:t>
      </w:r>
    </w:p>
    <w:p w14:paraId="05681DA9" w14:textId="77777777" w:rsidR="00707717" w:rsidRDefault="00707717">
      <w:pPr>
        <w:pStyle w:val="BodyText"/>
      </w:pPr>
      <w:r>
        <w:t> Yes. This docket should be closed upon issuance of a Consummating Order unless a person whose substantial interests are affected by the Commission’s decision files a protest within 21 days of the issuance of the Proposed Agency Action Order. (Marquez)</w:t>
      </w:r>
    </w:p>
    <w:p w14:paraId="0646878F" w14:textId="77777777" w:rsidR="00707717" w:rsidRPr="004C3641" w:rsidRDefault="00707717">
      <w:pPr>
        <w:pStyle w:val="IssueSubsectionHeading"/>
        <w:rPr>
          <w:vanish/>
          <w:specVanish/>
        </w:rPr>
      </w:pPr>
      <w:r w:rsidRPr="004C3641">
        <w:t>Staff Analysis: </w:t>
      </w:r>
    </w:p>
    <w:p w14:paraId="5ACB1E0A" w14:textId="77777777" w:rsidR="00707717" w:rsidRDefault="00707717">
      <w:pPr>
        <w:pStyle w:val="BodyText"/>
      </w:pPr>
      <w:r>
        <w:t> </w:t>
      </w:r>
      <w:r w:rsidR="00E15F48">
        <w:t>At the conclusion of the protest period, if no protest is filed, this docket should be closed upon the issuance of a Consummating Order.</w:t>
      </w:r>
    </w:p>
    <w:p w14:paraId="3D4C3C1A" w14:textId="77777777" w:rsidR="00E06484" w:rsidRDefault="00E06484" w:rsidP="00E275D8">
      <w:pPr>
        <w:pStyle w:val="BodyText"/>
      </w:pPr>
    </w:p>
    <w:sectPr w:rsidR="00E06484" w:rsidSect="0068481F">
      <w:headerReference w:type="default" r:id="rId14"/>
      <w:headerReference w:type="first" r:id="rId15"/>
      <w:footerReference w:type="first" r:id="rId16"/>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1C367F" w14:textId="77777777" w:rsidR="006320E0" w:rsidRDefault="006320E0">
      <w:r>
        <w:separator/>
      </w:r>
    </w:p>
  </w:endnote>
  <w:endnote w:type="continuationSeparator" w:id="0">
    <w:p w14:paraId="266ABD66" w14:textId="77777777" w:rsidR="006320E0" w:rsidRDefault="00632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DD01A" w14:textId="77777777" w:rsidR="0049577E" w:rsidRDefault="004957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9FC1E" w14:textId="54892197"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5F6ED9">
      <w:rPr>
        <w:rStyle w:val="PageNumber"/>
        <w:noProof/>
      </w:rPr>
      <w:t>5</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EBE25" w14:textId="77777777" w:rsidR="0049577E" w:rsidRDefault="0049577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C622E" w14:textId="77777777"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93D1AA" w14:textId="77777777" w:rsidR="006320E0" w:rsidRDefault="006320E0">
      <w:r>
        <w:separator/>
      </w:r>
    </w:p>
  </w:footnote>
  <w:footnote w:type="continuationSeparator" w:id="0">
    <w:p w14:paraId="460DA215" w14:textId="77777777" w:rsidR="006320E0" w:rsidRDefault="006320E0">
      <w:r>
        <w:continuationSeparator/>
      </w:r>
    </w:p>
  </w:footnote>
  <w:footnote w:id="1">
    <w:p w14:paraId="2C82C6CF" w14:textId="77777777" w:rsidR="00EC0762" w:rsidRPr="001A63D4" w:rsidRDefault="00EC0762" w:rsidP="00EC0762">
      <w:pPr>
        <w:pStyle w:val="FootnoteText"/>
        <w:rPr>
          <w:rStyle w:val="FootnoteReference"/>
        </w:rPr>
      </w:pPr>
      <w:r>
        <w:rPr>
          <w:rStyle w:val="FootnoteReference"/>
        </w:rPr>
        <w:footnoteRef/>
      </w:r>
      <w:r>
        <w:t xml:space="preserve"> Order No. PSC-05-0164-PAA-EI, issued February 10, 2005, in Docket No. 20041300-EI, </w:t>
      </w:r>
      <w:r w:rsidRPr="00356B85">
        <w:rPr>
          <w:i/>
        </w:rPr>
        <w:t>In re: Petition for approval of new environmental program for cost recovery through Environmental Cost Recovery Clause</w:t>
      </w:r>
      <w:r>
        <w:rPr>
          <w:i/>
        </w:rPr>
        <w:t>,</w:t>
      </w:r>
      <w:r w:rsidRPr="00356B85">
        <w:rPr>
          <w:i/>
        </w:rPr>
        <w:t xml:space="preserve"> by Tampa Electric Company</w:t>
      </w:r>
      <w:r w:rsidRPr="001A63D4">
        <w:t>.</w:t>
      </w:r>
    </w:p>
  </w:footnote>
  <w:footnote w:id="2">
    <w:p w14:paraId="3011C2D9" w14:textId="77777777" w:rsidR="00EC0762" w:rsidRDefault="00EC0762" w:rsidP="00EC0762">
      <w:pPr>
        <w:pStyle w:val="FootnoteText"/>
      </w:pPr>
      <w:r>
        <w:rPr>
          <w:rStyle w:val="FootnoteReference"/>
        </w:rPr>
        <w:footnoteRef/>
      </w:r>
      <w:r>
        <w:t xml:space="preserve"> Federal Register, Volume 79, No. 158, pp. 48300–48439, codified at Title 40, Part 125, Subpart J, </w:t>
      </w:r>
      <w:proofErr w:type="gramStart"/>
      <w:r>
        <w:t>Code</w:t>
      </w:r>
      <w:proofErr w:type="gramEnd"/>
      <w:r>
        <w:t xml:space="preserve"> of Federal Regulations</w:t>
      </w:r>
      <w:r w:rsidRPr="00356B85">
        <w:rPr>
          <w:i/>
        </w:rPr>
        <w:t>.</w:t>
      </w:r>
    </w:p>
  </w:footnote>
  <w:footnote w:id="3">
    <w:p w14:paraId="346CDBE5" w14:textId="77777777" w:rsidR="00EC0762" w:rsidRDefault="00EC0762" w:rsidP="00EC0762">
      <w:pPr>
        <w:pStyle w:val="FootnoteText"/>
      </w:pPr>
      <w:r>
        <w:rPr>
          <w:rStyle w:val="FootnoteReference"/>
        </w:rPr>
        <w:footnoteRef/>
      </w:r>
      <w:r>
        <w:t xml:space="preserve"> Order No. </w:t>
      </w:r>
      <w:r w:rsidRPr="00325798">
        <w:t>PSC- 2018-0594-FOF-EI</w:t>
      </w:r>
      <w:r>
        <w:t>, issued December 20, 2018, in Docket No. 20180007-EI,</w:t>
      </w:r>
      <w:r w:rsidRPr="00325798">
        <w:rPr>
          <w:i/>
        </w:rPr>
        <w:t xml:space="preserve"> In re: Environmental cost recovery clause</w:t>
      </w:r>
      <w:r w:rsidRPr="001A63D4">
        <w:t>.</w:t>
      </w:r>
    </w:p>
  </w:footnote>
  <w:footnote w:id="4">
    <w:p w14:paraId="706EB0F3" w14:textId="77777777" w:rsidR="00EC0762" w:rsidRDefault="00EC0762" w:rsidP="00EC0762">
      <w:pPr>
        <w:pStyle w:val="FootnoteText"/>
      </w:pPr>
      <w:r>
        <w:rPr>
          <w:rStyle w:val="FootnoteReference"/>
        </w:rPr>
        <w:footnoteRef/>
      </w:r>
      <w:r>
        <w:t xml:space="preserve"> Impingement mortality occurs when aquatic life is pinned against the CWIS screens.</w:t>
      </w:r>
    </w:p>
  </w:footnote>
  <w:footnote w:id="5">
    <w:p w14:paraId="61874E6A" w14:textId="77777777" w:rsidR="00EC0762" w:rsidRDefault="00EC0762" w:rsidP="00EC0762">
      <w:pPr>
        <w:pStyle w:val="FootnoteText"/>
      </w:pPr>
      <w:r>
        <w:rPr>
          <w:rStyle w:val="FootnoteReference"/>
        </w:rPr>
        <w:footnoteRef/>
      </w:r>
      <w:r>
        <w:t xml:space="preserve"> Entrainment occurs when small aquatic life passes through the CWIS screens and enter the cooling system.</w:t>
      </w:r>
    </w:p>
  </w:footnote>
  <w:footnote w:id="6">
    <w:p w14:paraId="1ED83591" w14:textId="77777777" w:rsidR="00EC0762" w:rsidRDefault="00EC0762" w:rsidP="00EC0762">
      <w:pPr>
        <w:pStyle w:val="FootnoteText"/>
      </w:pPr>
      <w:r>
        <w:rPr>
          <w:rStyle w:val="FootnoteReference"/>
        </w:rPr>
        <w:footnoteRef/>
      </w:r>
      <w:r>
        <w:t xml:space="preserve"> Document No. 00111-2026, dated January 8, 2026.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AF563" w14:textId="77777777" w:rsidR="0049577E" w:rsidRDefault="004957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B8441" w14:textId="77777777" w:rsidR="00BC402E" w:rsidRDefault="006320E0"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20250149-EI</w:t>
    </w:r>
    <w:bookmarkEnd w:id="15"/>
  </w:p>
  <w:p w14:paraId="373D787F" w14:textId="25493718" w:rsidR="00BC402E" w:rsidRDefault="00BC402E">
    <w:pPr>
      <w:pStyle w:val="Header"/>
    </w:pPr>
    <w:r>
      <w:t xml:space="preserve">Date: </w:t>
    </w:r>
    <w:fldSimple w:instr=" REF FilingDate ">
      <w:r w:rsidR="0049577E">
        <w:t>February 19, 2026</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C5501" w14:textId="77777777" w:rsidR="0049577E" w:rsidRDefault="004957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828D4" w14:textId="3888CE98"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49577E">
      <w:t>Docket No.</w:t>
    </w:r>
    <w:r>
      <w:fldChar w:fldCharType="end"/>
    </w:r>
    <w:r>
      <w:t xml:space="preserve"> </w:t>
    </w:r>
    <w:r>
      <w:fldChar w:fldCharType="begin"/>
    </w:r>
    <w:r>
      <w:instrText xml:space="preserve"> REF DocketList</w:instrText>
    </w:r>
    <w:r>
      <w:fldChar w:fldCharType="separate"/>
    </w:r>
    <w:r w:rsidR="0049577E">
      <w:t>20250149-EI</w:t>
    </w:r>
    <w:r>
      <w:fldChar w:fldCharType="end"/>
    </w:r>
    <w:r>
      <w:tab/>
      <w:t xml:space="preserve">Issue </w:t>
    </w:r>
    <w:r w:rsidR="003A2F3D">
      <w:fldChar w:fldCharType="begin"/>
    </w:r>
    <w:r w:rsidR="003A2F3D">
      <w:instrText xml:space="preserve"> Seq Issue \c \* Arabic </w:instrText>
    </w:r>
    <w:r w:rsidR="003A2F3D">
      <w:fldChar w:fldCharType="separate"/>
    </w:r>
    <w:r w:rsidR="005F6ED9">
      <w:rPr>
        <w:noProof/>
      </w:rPr>
      <w:t>2</w:t>
    </w:r>
    <w:r w:rsidR="003A2F3D">
      <w:rPr>
        <w:noProof/>
      </w:rPr>
      <w:fldChar w:fldCharType="end"/>
    </w:r>
  </w:p>
  <w:p w14:paraId="7B0344D3" w14:textId="5A6F32BF" w:rsidR="00BC402E" w:rsidRDefault="00BC402E">
    <w:pPr>
      <w:pStyle w:val="Header"/>
    </w:pPr>
    <w:r>
      <w:t xml:space="preserve">Date: </w:t>
    </w:r>
    <w:fldSimple w:instr=" REF FilingDate ">
      <w:r w:rsidR="0049577E">
        <w:t>February 19, 2026</w:t>
      </w:r>
    </w:fldSimple>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B1208" w14:textId="77777777"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6FE6DF9"/>
    <w:multiLevelType w:val="hybridMultilevel"/>
    <w:tmpl w:val="562892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843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6320E0"/>
    <w:rsid w:val="000043D5"/>
    <w:rsid w:val="00006170"/>
    <w:rsid w:val="00010E37"/>
    <w:rsid w:val="000172DA"/>
    <w:rsid w:val="00022008"/>
    <w:rsid w:val="00022337"/>
    <w:rsid w:val="00023A0E"/>
    <w:rsid w:val="000247C5"/>
    <w:rsid w:val="000277C2"/>
    <w:rsid w:val="00035B48"/>
    <w:rsid w:val="00036CE2"/>
    <w:rsid w:val="000437FE"/>
    <w:rsid w:val="000513BE"/>
    <w:rsid w:val="00051573"/>
    <w:rsid w:val="0005451B"/>
    <w:rsid w:val="00065A06"/>
    <w:rsid w:val="000666F3"/>
    <w:rsid w:val="00066C79"/>
    <w:rsid w:val="000670C8"/>
    <w:rsid w:val="00070DCB"/>
    <w:rsid w:val="00072CCA"/>
    <w:rsid w:val="00073120"/>
    <w:rsid w:val="000764D0"/>
    <w:rsid w:val="000828D3"/>
    <w:rsid w:val="00087A0E"/>
    <w:rsid w:val="00090DB4"/>
    <w:rsid w:val="00097804"/>
    <w:rsid w:val="000A2B57"/>
    <w:rsid w:val="000A418B"/>
    <w:rsid w:val="000B0ACE"/>
    <w:rsid w:val="000C4431"/>
    <w:rsid w:val="000C5435"/>
    <w:rsid w:val="000C6607"/>
    <w:rsid w:val="000D1C06"/>
    <w:rsid w:val="000D3043"/>
    <w:rsid w:val="000D4319"/>
    <w:rsid w:val="000D4831"/>
    <w:rsid w:val="000E24FA"/>
    <w:rsid w:val="000E338A"/>
    <w:rsid w:val="000E4392"/>
    <w:rsid w:val="000E620E"/>
    <w:rsid w:val="000F244D"/>
    <w:rsid w:val="000F374A"/>
    <w:rsid w:val="000F4DAF"/>
    <w:rsid w:val="000F53C1"/>
    <w:rsid w:val="00105BA1"/>
    <w:rsid w:val="001066FE"/>
    <w:rsid w:val="001076AF"/>
    <w:rsid w:val="001109F6"/>
    <w:rsid w:val="00116C6B"/>
    <w:rsid w:val="00117C8C"/>
    <w:rsid w:val="001239F0"/>
    <w:rsid w:val="00124C38"/>
    <w:rsid w:val="00124E2E"/>
    <w:rsid w:val="00125ED4"/>
    <w:rsid w:val="00127E1E"/>
    <w:rsid w:val="001303BF"/>
    <w:rsid w:val="001305E9"/>
    <w:rsid w:val="001307AF"/>
    <w:rsid w:val="0013347E"/>
    <w:rsid w:val="00135687"/>
    <w:rsid w:val="00136BD1"/>
    <w:rsid w:val="00146B5D"/>
    <w:rsid w:val="00146E3C"/>
    <w:rsid w:val="00150ECE"/>
    <w:rsid w:val="0015506E"/>
    <w:rsid w:val="00157CCC"/>
    <w:rsid w:val="00163031"/>
    <w:rsid w:val="001654C4"/>
    <w:rsid w:val="0016701C"/>
    <w:rsid w:val="00171A90"/>
    <w:rsid w:val="00180254"/>
    <w:rsid w:val="00191E1F"/>
    <w:rsid w:val="00191EE8"/>
    <w:rsid w:val="00192943"/>
    <w:rsid w:val="00193BAF"/>
    <w:rsid w:val="00194791"/>
    <w:rsid w:val="001A206F"/>
    <w:rsid w:val="001A7406"/>
    <w:rsid w:val="001A7AE4"/>
    <w:rsid w:val="001B1EDC"/>
    <w:rsid w:val="001B4053"/>
    <w:rsid w:val="001B4FEE"/>
    <w:rsid w:val="001B51C5"/>
    <w:rsid w:val="001B672A"/>
    <w:rsid w:val="001B6F3F"/>
    <w:rsid w:val="001C13F4"/>
    <w:rsid w:val="001C52B5"/>
    <w:rsid w:val="001D0D3E"/>
    <w:rsid w:val="001D2817"/>
    <w:rsid w:val="001D2899"/>
    <w:rsid w:val="001E14A3"/>
    <w:rsid w:val="001E390F"/>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2CB"/>
    <w:rsid w:val="00222AC1"/>
    <w:rsid w:val="00225C3F"/>
    <w:rsid w:val="00226ED6"/>
    <w:rsid w:val="002302C1"/>
    <w:rsid w:val="00263D44"/>
    <w:rsid w:val="002702AD"/>
    <w:rsid w:val="00281EB4"/>
    <w:rsid w:val="00292D82"/>
    <w:rsid w:val="00293EE7"/>
    <w:rsid w:val="002963CB"/>
    <w:rsid w:val="002B2DAC"/>
    <w:rsid w:val="002B4A01"/>
    <w:rsid w:val="002C291B"/>
    <w:rsid w:val="002C3C93"/>
    <w:rsid w:val="002C746A"/>
    <w:rsid w:val="002C7E4E"/>
    <w:rsid w:val="002D226D"/>
    <w:rsid w:val="002D74E3"/>
    <w:rsid w:val="002D7EE2"/>
    <w:rsid w:val="002F6030"/>
    <w:rsid w:val="003001AC"/>
    <w:rsid w:val="003037E1"/>
    <w:rsid w:val="00307E51"/>
    <w:rsid w:val="003103EC"/>
    <w:rsid w:val="00312132"/>
    <w:rsid w:val="003130BA"/>
    <w:rsid w:val="003144EF"/>
    <w:rsid w:val="0031480E"/>
    <w:rsid w:val="00316877"/>
    <w:rsid w:val="00322F74"/>
    <w:rsid w:val="00325E15"/>
    <w:rsid w:val="00335116"/>
    <w:rsid w:val="00340073"/>
    <w:rsid w:val="003411D8"/>
    <w:rsid w:val="0034192C"/>
    <w:rsid w:val="003445B0"/>
    <w:rsid w:val="00353B66"/>
    <w:rsid w:val="00355934"/>
    <w:rsid w:val="00357928"/>
    <w:rsid w:val="0036010E"/>
    <w:rsid w:val="003632FD"/>
    <w:rsid w:val="00370F78"/>
    <w:rsid w:val="00372805"/>
    <w:rsid w:val="00373180"/>
    <w:rsid w:val="00375AB9"/>
    <w:rsid w:val="0037691E"/>
    <w:rsid w:val="003821A0"/>
    <w:rsid w:val="00385B04"/>
    <w:rsid w:val="003864CF"/>
    <w:rsid w:val="003948AE"/>
    <w:rsid w:val="003A08C0"/>
    <w:rsid w:val="003A22A6"/>
    <w:rsid w:val="003A32EB"/>
    <w:rsid w:val="003A5494"/>
    <w:rsid w:val="003B2510"/>
    <w:rsid w:val="003B4355"/>
    <w:rsid w:val="003B5D0A"/>
    <w:rsid w:val="003C2CC4"/>
    <w:rsid w:val="003C3710"/>
    <w:rsid w:val="003C42A3"/>
    <w:rsid w:val="003C48F7"/>
    <w:rsid w:val="003E0463"/>
    <w:rsid w:val="003E0EFC"/>
    <w:rsid w:val="003E4A2B"/>
    <w:rsid w:val="003E5BDD"/>
    <w:rsid w:val="003E6FE9"/>
    <w:rsid w:val="003E76C2"/>
    <w:rsid w:val="003F1367"/>
    <w:rsid w:val="003F1679"/>
    <w:rsid w:val="003F21EB"/>
    <w:rsid w:val="003F4A35"/>
    <w:rsid w:val="003F5F03"/>
    <w:rsid w:val="003F7FDD"/>
    <w:rsid w:val="00400E4A"/>
    <w:rsid w:val="00402101"/>
    <w:rsid w:val="00402481"/>
    <w:rsid w:val="00402978"/>
    <w:rsid w:val="004042B4"/>
    <w:rsid w:val="00410DC4"/>
    <w:rsid w:val="00412DAE"/>
    <w:rsid w:val="0041302D"/>
    <w:rsid w:val="0041464A"/>
    <w:rsid w:val="004242E6"/>
    <w:rsid w:val="00427B35"/>
    <w:rsid w:val="00431598"/>
    <w:rsid w:val="004319AD"/>
    <w:rsid w:val="004426B8"/>
    <w:rsid w:val="00444432"/>
    <w:rsid w:val="00447D5C"/>
    <w:rsid w:val="00450202"/>
    <w:rsid w:val="004502B2"/>
    <w:rsid w:val="00455499"/>
    <w:rsid w:val="004649A7"/>
    <w:rsid w:val="00466221"/>
    <w:rsid w:val="00467DBC"/>
    <w:rsid w:val="00471860"/>
    <w:rsid w:val="00471DFE"/>
    <w:rsid w:val="00477026"/>
    <w:rsid w:val="00477730"/>
    <w:rsid w:val="00483BC4"/>
    <w:rsid w:val="0049577E"/>
    <w:rsid w:val="004A5850"/>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1A11"/>
    <w:rsid w:val="00516496"/>
    <w:rsid w:val="00522E7D"/>
    <w:rsid w:val="00523B11"/>
    <w:rsid w:val="0052455B"/>
    <w:rsid w:val="0052572A"/>
    <w:rsid w:val="00532DFB"/>
    <w:rsid w:val="00543CB3"/>
    <w:rsid w:val="005442E4"/>
    <w:rsid w:val="00547652"/>
    <w:rsid w:val="0055529B"/>
    <w:rsid w:val="00560FF0"/>
    <w:rsid w:val="005614BD"/>
    <w:rsid w:val="0057154F"/>
    <w:rsid w:val="00580F69"/>
    <w:rsid w:val="00581CA3"/>
    <w:rsid w:val="00585031"/>
    <w:rsid w:val="00586E8B"/>
    <w:rsid w:val="00587090"/>
    <w:rsid w:val="00587A44"/>
    <w:rsid w:val="00597730"/>
    <w:rsid w:val="005977EC"/>
    <w:rsid w:val="00597DE7"/>
    <w:rsid w:val="005A1CD3"/>
    <w:rsid w:val="005A4AA2"/>
    <w:rsid w:val="005A5994"/>
    <w:rsid w:val="005B34B6"/>
    <w:rsid w:val="005B606A"/>
    <w:rsid w:val="005B6C8F"/>
    <w:rsid w:val="005B6EC3"/>
    <w:rsid w:val="005C17D7"/>
    <w:rsid w:val="005C33CE"/>
    <w:rsid w:val="005C51D5"/>
    <w:rsid w:val="005C6C4A"/>
    <w:rsid w:val="005D0F74"/>
    <w:rsid w:val="005D2E7D"/>
    <w:rsid w:val="005D4A8F"/>
    <w:rsid w:val="005D561B"/>
    <w:rsid w:val="005D578F"/>
    <w:rsid w:val="005D5ECF"/>
    <w:rsid w:val="005F468D"/>
    <w:rsid w:val="005F5556"/>
    <w:rsid w:val="005F69A3"/>
    <w:rsid w:val="005F6ED9"/>
    <w:rsid w:val="00604CC7"/>
    <w:rsid w:val="00613441"/>
    <w:rsid w:val="00615423"/>
    <w:rsid w:val="006165B2"/>
    <w:rsid w:val="00617276"/>
    <w:rsid w:val="0062527B"/>
    <w:rsid w:val="00625D97"/>
    <w:rsid w:val="00625F1C"/>
    <w:rsid w:val="0062658E"/>
    <w:rsid w:val="006279E1"/>
    <w:rsid w:val="00630CEB"/>
    <w:rsid w:val="006320E0"/>
    <w:rsid w:val="00632264"/>
    <w:rsid w:val="006355F2"/>
    <w:rsid w:val="006470BC"/>
    <w:rsid w:val="006554D3"/>
    <w:rsid w:val="006603F4"/>
    <w:rsid w:val="00661708"/>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B6B43"/>
    <w:rsid w:val="006C0C95"/>
    <w:rsid w:val="006C31E3"/>
    <w:rsid w:val="006D18D3"/>
    <w:rsid w:val="006D1EE9"/>
    <w:rsid w:val="006D339D"/>
    <w:rsid w:val="006D3BD1"/>
    <w:rsid w:val="006E010E"/>
    <w:rsid w:val="006E08CB"/>
    <w:rsid w:val="006E598D"/>
    <w:rsid w:val="006E6EB7"/>
    <w:rsid w:val="0070437D"/>
    <w:rsid w:val="00704CF1"/>
    <w:rsid w:val="00705B04"/>
    <w:rsid w:val="00707717"/>
    <w:rsid w:val="0071040E"/>
    <w:rsid w:val="00717EE9"/>
    <w:rsid w:val="00724992"/>
    <w:rsid w:val="00724F64"/>
    <w:rsid w:val="00727F90"/>
    <w:rsid w:val="00734820"/>
    <w:rsid w:val="007349DC"/>
    <w:rsid w:val="0074365E"/>
    <w:rsid w:val="007445EE"/>
    <w:rsid w:val="00744B55"/>
    <w:rsid w:val="007515FD"/>
    <w:rsid w:val="00753AB2"/>
    <w:rsid w:val="00760D80"/>
    <w:rsid w:val="00761CB4"/>
    <w:rsid w:val="00780C09"/>
    <w:rsid w:val="00780DDF"/>
    <w:rsid w:val="007834E9"/>
    <w:rsid w:val="00787DBC"/>
    <w:rsid w:val="0079019A"/>
    <w:rsid w:val="00792935"/>
    <w:rsid w:val="007A04A1"/>
    <w:rsid w:val="007A1840"/>
    <w:rsid w:val="007A41DD"/>
    <w:rsid w:val="007B730C"/>
    <w:rsid w:val="007C0528"/>
    <w:rsid w:val="007C08EA"/>
    <w:rsid w:val="007C3D38"/>
    <w:rsid w:val="007D0F35"/>
    <w:rsid w:val="007D1783"/>
    <w:rsid w:val="007D4546"/>
    <w:rsid w:val="007D4FEB"/>
    <w:rsid w:val="007D6146"/>
    <w:rsid w:val="007E0CE7"/>
    <w:rsid w:val="007E2162"/>
    <w:rsid w:val="007E5041"/>
    <w:rsid w:val="007E51C9"/>
    <w:rsid w:val="007E6DAF"/>
    <w:rsid w:val="007F1193"/>
    <w:rsid w:val="007F417F"/>
    <w:rsid w:val="007F7644"/>
    <w:rsid w:val="008042BD"/>
    <w:rsid w:val="00804E17"/>
    <w:rsid w:val="008050B3"/>
    <w:rsid w:val="00816624"/>
    <w:rsid w:val="00822427"/>
    <w:rsid w:val="00822562"/>
    <w:rsid w:val="00823663"/>
    <w:rsid w:val="00823664"/>
    <w:rsid w:val="00825CBF"/>
    <w:rsid w:val="008305B7"/>
    <w:rsid w:val="00832DDC"/>
    <w:rsid w:val="008345F5"/>
    <w:rsid w:val="008426B0"/>
    <w:rsid w:val="008431BB"/>
    <w:rsid w:val="00845E34"/>
    <w:rsid w:val="00850BAC"/>
    <w:rsid w:val="00854A3E"/>
    <w:rsid w:val="00855D08"/>
    <w:rsid w:val="008618A4"/>
    <w:rsid w:val="008731AB"/>
    <w:rsid w:val="00874344"/>
    <w:rsid w:val="0087505D"/>
    <w:rsid w:val="00877703"/>
    <w:rsid w:val="00882155"/>
    <w:rsid w:val="0088233B"/>
    <w:rsid w:val="0088599E"/>
    <w:rsid w:val="00886C37"/>
    <w:rsid w:val="008915FC"/>
    <w:rsid w:val="00892D99"/>
    <w:rsid w:val="00893315"/>
    <w:rsid w:val="00894C09"/>
    <w:rsid w:val="008B5C68"/>
    <w:rsid w:val="008B62AE"/>
    <w:rsid w:val="008C04B5"/>
    <w:rsid w:val="008C14FA"/>
    <w:rsid w:val="008C7B0B"/>
    <w:rsid w:val="008D4057"/>
    <w:rsid w:val="008E1F19"/>
    <w:rsid w:val="008F2262"/>
    <w:rsid w:val="008F4D2B"/>
    <w:rsid w:val="008F5B91"/>
    <w:rsid w:val="008F6389"/>
    <w:rsid w:val="008F6D9C"/>
    <w:rsid w:val="008F7736"/>
    <w:rsid w:val="0090019E"/>
    <w:rsid w:val="00900435"/>
    <w:rsid w:val="00901086"/>
    <w:rsid w:val="00901C8A"/>
    <w:rsid w:val="00902F66"/>
    <w:rsid w:val="00903C72"/>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6053F"/>
    <w:rsid w:val="009656F2"/>
    <w:rsid w:val="00966A08"/>
    <w:rsid w:val="009701B7"/>
    <w:rsid w:val="00971207"/>
    <w:rsid w:val="00972FDC"/>
    <w:rsid w:val="00975CB4"/>
    <w:rsid w:val="009863B0"/>
    <w:rsid w:val="00987DE1"/>
    <w:rsid w:val="00990571"/>
    <w:rsid w:val="00991905"/>
    <w:rsid w:val="009926B2"/>
    <w:rsid w:val="0099673A"/>
    <w:rsid w:val="009A3291"/>
    <w:rsid w:val="009A3330"/>
    <w:rsid w:val="009A548F"/>
    <w:rsid w:val="009A7C96"/>
    <w:rsid w:val="009B483E"/>
    <w:rsid w:val="009B61BF"/>
    <w:rsid w:val="009C3253"/>
    <w:rsid w:val="009C3DB9"/>
    <w:rsid w:val="009C5968"/>
    <w:rsid w:val="009D0436"/>
    <w:rsid w:val="009D46E5"/>
    <w:rsid w:val="009D568A"/>
    <w:rsid w:val="009E7956"/>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3D95"/>
    <w:rsid w:val="00A27D6E"/>
    <w:rsid w:val="00A328EC"/>
    <w:rsid w:val="00A33A51"/>
    <w:rsid w:val="00A41CA6"/>
    <w:rsid w:val="00A431ED"/>
    <w:rsid w:val="00A47927"/>
    <w:rsid w:val="00A47FFC"/>
    <w:rsid w:val="00A519C0"/>
    <w:rsid w:val="00A52C51"/>
    <w:rsid w:val="00A5442F"/>
    <w:rsid w:val="00A54FF9"/>
    <w:rsid w:val="00A56765"/>
    <w:rsid w:val="00A675AC"/>
    <w:rsid w:val="00A7097D"/>
    <w:rsid w:val="00A7581F"/>
    <w:rsid w:val="00A81274"/>
    <w:rsid w:val="00A86ACA"/>
    <w:rsid w:val="00A90058"/>
    <w:rsid w:val="00A92439"/>
    <w:rsid w:val="00A92FB1"/>
    <w:rsid w:val="00A95980"/>
    <w:rsid w:val="00A95A0C"/>
    <w:rsid w:val="00AA2765"/>
    <w:rsid w:val="00AA77B5"/>
    <w:rsid w:val="00AB6C5D"/>
    <w:rsid w:val="00AC3401"/>
    <w:rsid w:val="00AC51A7"/>
    <w:rsid w:val="00AC603B"/>
    <w:rsid w:val="00AD0E89"/>
    <w:rsid w:val="00AD1D87"/>
    <w:rsid w:val="00AD444B"/>
    <w:rsid w:val="00AD5614"/>
    <w:rsid w:val="00AD6C78"/>
    <w:rsid w:val="00AE03F0"/>
    <w:rsid w:val="00AE2EAB"/>
    <w:rsid w:val="00AF13D0"/>
    <w:rsid w:val="00AF3D9B"/>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4BEC"/>
    <w:rsid w:val="00B25CA3"/>
    <w:rsid w:val="00B2765A"/>
    <w:rsid w:val="00B27DEB"/>
    <w:rsid w:val="00B3109A"/>
    <w:rsid w:val="00B32D37"/>
    <w:rsid w:val="00B41AA8"/>
    <w:rsid w:val="00B42B45"/>
    <w:rsid w:val="00B516ED"/>
    <w:rsid w:val="00B565DA"/>
    <w:rsid w:val="00B57A6A"/>
    <w:rsid w:val="00B62D0D"/>
    <w:rsid w:val="00B760F1"/>
    <w:rsid w:val="00B7669E"/>
    <w:rsid w:val="00B76EBB"/>
    <w:rsid w:val="00B77DA1"/>
    <w:rsid w:val="00B822A0"/>
    <w:rsid w:val="00B82F85"/>
    <w:rsid w:val="00B858AE"/>
    <w:rsid w:val="00B85964"/>
    <w:rsid w:val="00B95EF7"/>
    <w:rsid w:val="00B96250"/>
    <w:rsid w:val="00BA0D55"/>
    <w:rsid w:val="00BA37B3"/>
    <w:rsid w:val="00BA4CC6"/>
    <w:rsid w:val="00BA7F46"/>
    <w:rsid w:val="00BB0F1D"/>
    <w:rsid w:val="00BB1628"/>
    <w:rsid w:val="00BB3493"/>
    <w:rsid w:val="00BB6E4C"/>
    <w:rsid w:val="00BB7468"/>
    <w:rsid w:val="00BC0514"/>
    <w:rsid w:val="00BC188A"/>
    <w:rsid w:val="00BC3B87"/>
    <w:rsid w:val="00BC402E"/>
    <w:rsid w:val="00BC70C6"/>
    <w:rsid w:val="00BD0F48"/>
    <w:rsid w:val="00BD14E5"/>
    <w:rsid w:val="00BE0E50"/>
    <w:rsid w:val="00BE6DDB"/>
    <w:rsid w:val="00BE6FDA"/>
    <w:rsid w:val="00BF03E0"/>
    <w:rsid w:val="00BF5010"/>
    <w:rsid w:val="00C03009"/>
    <w:rsid w:val="00C03D5F"/>
    <w:rsid w:val="00C13791"/>
    <w:rsid w:val="00C210BD"/>
    <w:rsid w:val="00C2575A"/>
    <w:rsid w:val="00C31BB3"/>
    <w:rsid w:val="00C36977"/>
    <w:rsid w:val="00C46628"/>
    <w:rsid w:val="00C467DA"/>
    <w:rsid w:val="00C477D9"/>
    <w:rsid w:val="00C530DF"/>
    <w:rsid w:val="00C57869"/>
    <w:rsid w:val="00C6097E"/>
    <w:rsid w:val="00C60BA3"/>
    <w:rsid w:val="00C623F7"/>
    <w:rsid w:val="00C6297D"/>
    <w:rsid w:val="00C62A81"/>
    <w:rsid w:val="00C67CD7"/>
    <w:rsid w:val="00C71E00"/>
    <w:rsid w:val="00C75BC5"/>
    <w:rsid w:val="00C81670"/>
    <w:rsid w:val="00C81773"/>
    <w:rsid w:val="00C82861"/>
    <w:rsid w:val="00C8396C"/>
    <w:rsid w:val="00C8564E"/>
    <w:rsid w:val="00C86896"/>
    <w:rsid w:val="00C907A8"/>
    <w:rsid w:val="00C91670"/>
    <w:rsid w:val="00C93211"/>
    <w:rsid w:val="00C93DB8"/>
    <w:rsid w:val="00C942EC"/>
    <w:rsid w:val="00C96047"/>
    <w:rsid w:val="00C96C9E"/>
    <w:rsid w:val="00C979D0"/>
    <w:rsid w:val="00CA0818"/>
    <w:rsid w:val="00CA15C8"/>
    <w:rsid w:val="00CA2C8F"/>
    <w:rsid w:val="00CA30DA"/>
    <w:rsid w:val="00CA3A24"/>
    <w:rsid w:val="00CB16BF"/>
    <w:rsid w:val="00CB1777"/>
    <w:rsid w:val="00CB33E9"/>
    <w:rsid w:val="00CC0D38"/>
    <w:rsid w:val="00CC10A9"/>
    <w:rsid w:val="00CD0655"/>
    <w:rsid w:val="00CD0660"/>
    <w:rsid w:val="00CE2BF8"/>
    <w:rsid w:val="00CE484E"/>
    <w:rsid w:val="00CE4D20"/>
    <w:rsid w:val="00CE656F"/>
    <w:rsid w:val="00CE6A0B"/>
    <w:rsid w:val="00CF0DA8"/>
    <w:rsid w:val="00CF2E25"/>
    <w:rsid w:val="00CF4453"/>
    <w:rsid w:val="00CF5589"/>
    <w:rsid w:val="00CF5D94"/>
    <w:rsid w:val="00CF7E0F"/>
    <w:rsid w:val="00D00893"/>
    <w:rsid w:val="00D034D7"/>
    <w:rsid w:val="00D04BE4"/>
    <w:rsid w:val="00D06FC7"/>
    <w:rsid w:val="00D12565"/>
    <w:rsid w:val="00D140C1"/>
    <w:rsid w:val="00D14127"/>
    <w:rsid w:val="00D211DE"/>
    <w:rsid w:val="00D479AE"/>
    <w:rsid w:val="00D50FCD"/>
    <w:rsid w:val="00D533E3"/>
    <w:rsid w:val="00D60B16"/>
    <w:rsid w:val="00D60F02"/>
    <w:rsid w:val="00D64A0B"/>
    <w:rsid w:val="00D66E49"/>
    <w:rsid w:val="00D70D71"/>
    <w:rsid w:val="00D72F74"/>
    <w:rsid w:val="00D81563"/>
    <w:rsid w:val="00D837C1"/>
    <w:rsid w:val="00D85907"/>
    <w:rsid w:val="00D860AC"/>
    <w:rsid w:val="00D9073E"/>
    <w:rsid w:val="00D9221D"/>
    <w:rsid w:val="00D9253C"/>
    <w:rsid w:val="00D958DF"/>
    <w:rsid w:val="00D96DA1"/>
    <w:rsid w:val="00DA51E7"/>
    <w:rsid w:val="00DB0260"/>
    <w:rsid w:val="00DB1C78"/>
    <w:rsid w:val="00DB7D96"/>
    <w:rsid w:val="00DC23FE"/>
    <w:rsid w:val="00DC59E6"/>
    <w:rsid w:val="00DD150B"/>
    <w:rsid w:val="00DD3356"/>
    <w:rsid w:val="00DD5025"/>
    <w:rsid w:val="00DD5464"/>
    <w:rsid w:val="00DD6F85"/>
    <w:rsid w:val="00DD748A"/>
    <w:rsid w:val="00DE254E"/>
    <w:rsid w:val="00DE32C0"/>
    <w:rsid w:val="00DE52C0"/>
    <w:rsid w:val="00DE76A7"/>
    <w:rsid w:val="00DF1510"/>
    <w:rsid w:val="00E02F1F"/>
    <w:rsid w:val="00E05454"/>
    <w:rsid w:val="00E06484"/>
    <w:rsid w:val="00E06B24"/>
    <w:rsid w:val="00E15F48"/>
    <w:rsid w:val="00E20A7D"/>
    <w:rsid w:val="00E20ED5"/>
    <w:rsid w:val="00E23FE4"/>
    <w:rsid w:val="00E275D8"/>
    <w:rsid w:val="00E30F6A"/>
    <w:rsid w:val="00E3117C"/>
    <w:rsid w:val="00E31288"/>
    <w:rsid w:val="00E3191F"/>
    <w:rsid w:val="00E34307"/>
    <w:rsid w:val="00E34511"/>
    <w:rsid w:val="00E3635B"/>
    <w:rsid w:val="00E375C3"/>
    <w:rsid w:val="00E375CA"/>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C0762"/>
    <w:rsid w:val="00EC3FBB"/>
    <w:rsid w:val="00EC6B7A"/>
    <w:rsid w:val="00EC6EF0"/>
    <w:rsid w:val="00ED3A87"/>
    <w:rsid w:val="00ED5B67"/>
    <w:rsid w:val="00EE1A5C"/>
    <w:rsid w:val="00EE5F5A"/>
    <w:rsid w:val="00EF22FB"/>
    <w:rsid w:val="00EF264C"/>
    <w:rsid w:val="00EF3FEE"/>
    <w:rsid w:val="00EF6B41"/>
    <w:rsid w:val="00F04B59"/>
    <w:rsid w:val="00F07B69"/>
    <w:rsid w:val="00F11741"/>
    <w:rsid w:val="00F117B0"/>
    <w:rsid w:val="00F12B1C"/>
    <w:rsid w:val="00F13CF8"/>
    <w:rsid w:val="00F15855"/>
    <w:rsid w:val="00F200B2"/>
    <w:rsid w:val="00F227DC"/>
    <w:rsid w:val="00F263B9"/>
    <w:rsid w:val="00F30701"/>
    <w:rsid w:val="00F32978"/>
    <w:rsid w:val="00F441A3"/>
    <w:rsid w:val="00F45CB2"/>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91280"/>
    <w:rsid w:val="00F93809"/>
    <w:rsid w:val="00F94B7A"/>
    <w:rsid w:val="00FA17AC"/>
    <w:rsid w:val="00FA32DE"/>
    <w:rsid w:val="00FA3382"/>
    <w:rsid w:val="00FA59CD"/>
    <w:rsid w:val="00FB0CDC"/>
    <w:rsid w:val="00FB1740"/>
    <w:rsid w:val="00FB2472"/>
    <w:rsid w:val="00FB4235"/>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0FC8D9E"/>
  <w15:docId w15:val="{2D78544D-B9FF-45CD-92AA-50FF104C0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table" w:customStyle="1" w:styleId="TableGrid1">
    <w:name w:val="Table Grid1"/>
    <w:basedOn w:val="TableNormal"/>
    <w:next w:val="TableGrid"/>
    <w:uiPriority w:val="59"/>
    <w:rsid w:val="0070771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style>
  <w:style w:type="character" w:styleId="FootnoteReference">
    <w:name w:val="footnote reference"/>
    <w:basedOn w:val="DefaultParagraphFont"/>
    <w:uiPriority w:val="99"/>
    <w:rsid w:val="00707717"/>
    <w:rPr>
      <w:vertAlign w:val="superscript"/>
    </w:rPr>
  </w:style>
  <w:style w:type="table" w:customStyle="1" w:styleId="TableGrid2">
    <w:name w:val="Table Grid2"/>
    <w:basedOn w:val="TableNormal"/>
    <w:next w:val="TableGrid"/>
    <w:uiPriority w:val="59"/>
    <w:rsid w:val="0070771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style>
  <w:style w:type="character" w:styleId="CommentReference">
    <w:name w:val="annotation reference"/>
    <w:basedOn w:val="DefaultParagraphFont"/>
    <w:semiHidden/>
    <w:unhideWhenUsed/>
    <w:rsid w:val="00146E3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Template>
  <TotalTime>0</TotalTime>
  <Pages>5</Pages>
  <Words>1311</Words>
  <Characters>7478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Danielle Adams</dc:creator>
  <cp:lastModifiedBy>Danielle Adams</cp:lastModifiedBy>
  <cp:revision>2</cp:revision>
  <cp:lastPrinted>2004-01-27T20:32:00Z</cp:lastPrinted>
  <dcterms:created xsi:type="dcterms:W3CDTF">2026-02-19T13:56:00Z</dcterms:created>
  <dcterms:modified xsi:type="dcterms:W3CDTF">2026-02-19T13:56:00Z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20250149-EI</vt:lpwstr>
  </property>
  <property fmtid="{D5CDD505-2E9C-101B-9397-08002B2CF9AE}" pid="3" name="MasterDocument">
    <vt:bool>false</vt:bool>
  </property>
</Properties>
</file>