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92CBF" w:rsidP="00192CBF">
      <w:pPr>
        <w:pStyle w:val="OrderHeading"/>
      </w:pPr>
      <w:r>
        <w:t>BEFORE THE FLORIDA PUBLIC SERVICE COMMISSION</w:t>
      </w:r>
    </w:p>
    <w:p w:rsidR="00192CBF" w:rsidRDefault="00192CBF" w:rsidP="00192CBF">
      <w:pPr>
        <w:pStyle w:val="OrderBody"/>
      </w:pPr>
    </w:p>
    <w:p w:rsidR="00192CBF" w:rsidRDefault="00192CBF" w:rsidP="00192C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92CBF" w:rsidRPr="00C63FCF" w:rsidTr="00C63FCF">
        <w:trPr>
          <w:trHeight w:val="828"/>
        </w:trPr>
        <w:tc>
          <w:tcPr>
            <w:tcW w:w="4788" w:type="dxa"/>
            <w:tcBorders>
              <w:bottom w:val="single" w:sz="8" w:space="0" w:color="auto"/>
              <w:right w:val="double" w:sz="6" w:space="0" w:color="auto"/>
            </w:tcBorders>
            <w:shd w:val="clear" w:color="auto" w:fill="auto"/>
          </w:tcPr>
          <w:p w:rsidR="00192CBF" w:rsidRDefault="00192CBF"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2026 cost recovery factors, by Florida City Gas.</w:t>
            </w:r>
          </w:p>
        </w:tc>
        <w:tc>
          <w:tcPr>
            <w:tcW w:w="4788" w:type="dxa"/>
            <w:tcBorders>
              <w:left w:val="double" w:sz="6" w:space="0" w:color="auto"/>
            </w:tcBorders>
            <w:shd w:val="clear" w:color="auto" w:fill="auto"/>
          </w:tcPr>
          <w:p w:rsidR="00192CBF" w:rsidRDefault="00192CBF" w:rsidP="00192CBF">
            <w:pPr>
              <w:pStyle w:val="OrderBody"/>
            </w:pPr>
            <w:r>
              <w:t xml:space="preserve">DOCKET NO. </w:t>
            </w:r>
            <w:bookmarkStart w:id="1" w:name="SSDocketNo"/>
            <w:bookmarkEnd w:id="1"/>
            <w:r>
              <w:t>20250111-GU</w:t>
            </w:r>
          </w:p>
          <w:p w:rsidR="00192CBF" w:rsidRDefault="00192CBF" w:rsidP="00C63FCF">
            <w:pPr>
              <w:pStyle w:val="OrderBody"/>
              <w:tabs>
                <w:tab w:val="center" w:pos="4320"/>
                <w:tab w:val="right" w:pos="8640"/>
              </w:tabs>
              <w:jc w:val="left"/>
            </w:pPr>
            <w:r>
              <w:t xml:space="preserve">ORDER NO. </w:t>
            </w:r>
            <w:bookmarkStart w:id="2" w:name="OrderNo0396"/>
            <w:r w:rsidR="00F61E18">
              <w:t>PSC-2025-0396-PCO-GU</w:t>
            </w:r>
            <w:bookmarkEnd w:id="2"/>
          </w:p>
          <w:p w:rsidR="00192CBF" w:rsidRDefault="00192CBF" w:rsidP="00C63FCF">
            <w:pPr>
              <w:pStyle w:val="OrderBody"/>
              <w:tabs>
                <w:tab w:val="center" w:pos="4320"/>
                <w:tab w:val="right" w:pos="8640"/>
              </w:tabs>
              <w:jc w:val="left"/>
            </w:pPr>
            <w:r>
              <w:t xml:space="preserve">ISSUED: </w:t>
            </w:r>
            <w:r w:rsidR="00F61E18">
              <w:t>October 23, 2025</w:t>
            </w:r>
          </w:p>
        </w:tc>
      </w:tr>
    </w:tbl>
    <w:p w:rsidR="00192CBF" w:rsidRDefault="00192CBF" w:rsidP="00192CBF"/>
    <w:p w:rsidR="00192CBF" w:rsidRDefault="00192CBF" w:rsidP="00192CBF"/>
    <w:p w:rsidR="00192CBF" w:rsidRDefault="00192CBF" w:rsidP="00B67A43">
      <w:pPr>
        <w:ind w:firstLine="720"/>
        <w:jc w:val="both"/>
      </w:pPr>
      <w:bookmarkStart w:id="3" w:name="Commissioners"/>
      <w:bookmarkEnd w:id="3"/>
      <w:r>
        <w:t>The following Commissioners participated in the disposition of this matter:</w:t>
      </w:r>
    </w:p>
    <w:p w:rsidR="00192CBF" w:rsidRDefault="00192CBF" w:rsidP="00B67A43"/>
    <w:p w:rsidR="00192CBF" w:rsidRDefault="00192CBF" w:rsidP="00477699">
      <w:pPr>
        <w:jc w:val="center"/>
      </w:pPr>
      <w:r>
        <w:t>MIKE LA ROSA, Chairman</w:t>
      </w:r>
    </w:p>
    <w:p w:rsidR="00192CBF" w:rsidRDefault="00192CBF" w:rsidP="00B67A43">
      <w:pPr>
        <w:jc w:val="center"/>
      </w:pPr>
      <w:r>
        <w:t>GARY F. CLARK</w:t>
      </w:r>
    </w:p>
    <w:p w:rsidR="00192CBF" w:rsidRDefault="00192CBF" w:rsidP="00B67A43">
      <w:pPr>
        <w:jc w:val="center"/>
      </w:pPr>
      <w:r>
        <w:t>ANDREW GILES FAY</w:t>
      </w:r>
    </w:p>
    <w:p w:rsidR="00192CBF" w:rsidRPr="005F2751" w:rsidRDefault="00192CBF" w:rsidP="00B67A43">
      <w:pPr>
        <w:jc w:val="center"/>
      </w:pPr>
      <w:r w:rsidRPr="005F2751">
        <w:rPr>
          <w:lang w:val="en"/>
        </w:rPr>
        <w:t>GABRIELLA PASSIDOMO</w:t>
      </w:r>
      <w:r>
        <w:rPr>
          <w:lang w:val="en"/>
        </w:rPr>
        <w:t xml:space="preserve"> SMITH</w:t>
      </w:r>
    </w:p>
    <w:p w:rsidR="00CB5276" w:rsidRDefault="00CB5276">
      <w:pPr>
        <w:pStyle w:val="OrderBody"/>
      </w:pPr>
    </w:p>
    <w:p w:rsidR="00192CBF" w:rsidRDefault="00192CBF" w:rsidP="00192CBF">
      <w:pPr>
        <w:pStyle w:val="CenterUnderline"/>
      </w:pPr>
      <w:r>
        <w:t>ORDER</w:t>
      </w:r>
      <w:bookmarkStart w:id="4" w:name="OrderTitle"/>
      <w:r>
        <w:t xml:space="preserve"> SUSPENDING TARIFF </w:t>
      </w:r>
      <w:bookmarkEnd w:id="4"/>
    </w:p>
    <w:p w:rsidR="00192CBF" w:rsidRDefault="00192CBF" w:rsidP="00192CBF">
      <w:pPr>
        <w:pStyle w:val="CenterUnderline"/>
      </w:pPr>
    </w:p>
    <w:p w:rsidR="00192CBF" w:rsidRDefault="00192CBF" w:rsidP="00192CBF">
      <w:pPr>
        <w:pStyle w:val="OrderBody"/>
      </w:pPr>
      <w:r>
        <w:t>BY THE COMMISSION:</w:t>
      </w:r>
    </w:p>
    <w:p w:rsidR="00F43536" w:rsidRPr="00FF6E8C" w:rsidRDefault="00F43536" w:rsidP="00F43536">
      <w:pPr>
        <w:pStyle w:val="RecommendationMajorSectionHeading"/>
        <w:rPr>
          <w:rFonts w:ascii="Times New Roman" w:hAnsi="Times New Roman" w:cs="Times New Roman"/>
          <w:b w:val="0"/>
          <w:u w:val="single"/>
        </w:rPr>
      </w:pPr>
      <w:r w:rsidRPr="00FF6E8C">
        <w:rPr>
          <w:rFonts w:ascii="Times New Roman" w:hAnsi="Times New Roman" w:cs="Times New Roman"/>
          <w:b w:val="0"/>
          <w:u w:val="single"/>
        </w:rPr>
        <w:t>Background</w:t>
      </w:r>
    </w:p>
    <w:p w:rsidR="00192CBF" w:rsidRPr="00192CBF" w:rsidRDefault="00A328B3" w:rsidP="00192CBF">
      <w:pPr>
        <w:autoSpaceDE w:val="0"/>
        <w:autoSpaceDN w:val="0"/>
        <w:adjustRightInd w:val="0"/>
        <w:jc w:val="both"/>
        <w:rPr>
          <w:color w:val="232323"/>
        </w:rPr>
      </w:pPr>
      <w:r>
        <w:tab/>
      </w:r>
      <w:r w:rsidR="00192CBF" w:rsidRPr="00192CBF">
        <w:t xml:space="preserve">On September 3, 2025, </w:t>
      </w:r>
      <w:r w:rsidR="00192CBF" w:rsidRPr="00192CBF">
        <w:rPr>
          <w:color w:val="232323"/>
        </w:rPr>
        <w:t xml:space="preserve">Florida City Gas (FCG or </w:t>
      </w:r>
      <w:r w:rsidR="00192CBF" w:rsidRPr="00192CBF">
        <w:rPr>
          <w:color w:val="0B0B0B"/>
        </w:rPr>
        <w:t xml:space="preserve">utility) filed </w:t>
      </w:r>
      <w:r w:rsidR="00192CBF" w:rsidRPr="00192CBF">
        <w:rPr>
          <w:color w:val="232323"/>
        </w:rPr>
        <w:t xml:space="preserve">a </w:t>
      </w:r>
      <w:r w:rsidR="00192CBF" w:rsidRPr="00192CBF">
        <w:rPr>
          <w:color w:val="0B0B0B"/>
        </w:rPr>
        <w:t xml:space="preserve">petition </w:t>
      </w:r>
      <w:r w:rsidR="00192CBF" w:rsidRPr="00192CBF">
        <w:rPr>
          <w:color w:val="232323"/>
        </w:rPr>
        <w:t xml:space="preserve">for approval of its safety, </w:t>
      </w:r>
      <w:r w:rsidR="00192CBF" w:rsidRPr="00192CBF">
        <w:rPr>
          <w:color w:val="3A3A3A"/>
        </w:rPr>
        <w:t xml:space="preserve">access, </w:t>
      </w:r>
      <w:r w:rsidR="00192CBF" w:rsidRPr="00192CBF">
        <w:rPr>
          <w:color w:val="232323"/>
        </w:rPr>
        <w:t>and facility enhancement</w:t>
      </w:r>
      <w:r w:rsidR="00192CBF" w:rsidRPr="00192CBF">
        <w:rPr>
          <w:color w:val="0B0B0B"/>
        </w:rPr>
        <w:t xml:space="preserve"> </w:t>
      </w:r>
      <w:r w:rsidR="00192CBF" w:rsidRPr="00192CBF">
        <w:rPr>
          <w:color w:val="232323"/>
        </w:rPr>
        <w:t xml:space="preserve">(SAFE) program </w:t>
      </w:r>
      <w:r w:rsidR="00192CBF" w:rsidRPr="00192CBF">
        <w:rPr>
          <w:color w:val="0B0B0B"/>
        </w:rPr>
        <w:t xml:space="preserve">true-up </w:t>
      </w:r>
      <w:r w:rsidR="00192CBF" w:rsidRPr="00192CBF">
        <w:rPr>
          <w:color w:val="3A3A3A"/>
        </w:rPr>
        <w:t>a</w:t>
      </w:r>
      <w:r w:rsidR="00192CBF" w:rsidRPr="00192CBF">
        <w:rPr>
          <w:color w:val="0B0B0B"/>
        </w:rPr>
        <w:t xml:space="preserve">nd </w:t>
      </w:r>
      <w:r w:rsidR="00192CBF" w:rsidRPr="00192CBF">
        <w:rPr>
          <w:color w:val="232323"/>
        </w:rPr>
        <w:t xml:space="preserve">2026 cost </w:t>
      </w:r>
      <w:r w:rsidR="00192CBF" w:rsidRPr="00192CBF">
        <w:rPr>
          <w:color w:val="0B0B0B"/>
        </w:rPr>
        <w:t xml:space="preserve">recovery </w:t>
      </w:r>
      <w:r w:rsidR="00192CBF" w:rsidRPr="00192CBF">
        <w:rPr>
          <w:color w:val="232323"/>
        </w:rPr>
        <w:t xml:space="preserve">factors. The SAFE </w:t>
      </w:r>
      <w:r w:rsidR="00192CBF" w:rsidRPr="00192CBF">
        <w:rPr>
          <w:color w:val="0B0B0B"/>
        </w:rPr>
        <w:t>pro</w:t>
      </w:r>
      <w:r w:rsidR="00192CBF" w:rsidRPr="00192CBF">
        <w:rPr>
          <w:color w:val="3A3A3A"/>
        </w:rPr>
        <w:t>gra</w:t>
      </w:r>
      <w:r w:rsidR="00192CBF" w:rsidRPr="00192CBF">
        <w:rPr>
          <w:color w:val="0B0B0B"/>
        </w:rPr>
        <w:t xml:space="preserve">m </w:t>
      </w:r>
      <w:r w:rsidR="00192CBF" w:rsidRPr="00192CBF">
        <w:rPr>
          <w:color w:val="232323"/>
        </w:rPr>
        <w:t xml:space="preserve">was originally approved </w:t>
      </w:r>
      <w:r w:rsidR="00192CBF" w:rsidRPr="00192CBF">
        <w:rPr>
          <w:color w:val="0B0B0B"/>
        </w:rPr>
        <w:t xml:space="preserve">by the </w:t>
      </w:r>
      <w:r w:rsidR="00192CBF" w:rsidRPr="00192CBF">
        <w:rPr>
          <w:color w:val="232323"/>
        </w:rPr>
        <w:t xml:space="preserve">Commission </w:t>
      </w:r>
      <w:r w:rsidR="00192CBF" w:rsidRPr="00192CBF">
        <w:rPr>
          <w:color w:val="0B0B0B"/>
        </w:rPr>
        <w:t xml:space="preserve">in </w:t>
      </w:r>
      <w:r w:rsidR="00192CBF" w:rsidRPr="00192CBF">
        <w:rPr>
          <w:color w:val="232323"/>
        </w:rPr>
        <w:t>Order No</w:t>
      </w:r>
      <w:r w:rsidR="00192CBF" w:rsidRPr="00192CBF">
        <w:rPr>
          <w:color w:val="4A494D"/>
        </w:rPr>
        <w:t xml:space="preserve">. </w:t>
      </w:r>
      <w:r w:rsidR="00192CBF" w:rsidRPr="00192CBF">
        <w:rPr>
          <w:color w:val="0B0B0B"/>
        </w:rPr>
        <w:t>PSC-15-0390-TRF-GU</w:t>
      </w:r>
      <w:r w:rsidR="00192CBF" w:rsidRPr="00192CBF">
        <w:rPr>
          <w:color w:val="232323"/>
        </w:rPr>
        <w:t xml:space="preserve"> (2015 Order) </w:t>
      </w:r>
      <w:r w:rsidR="00192CBF" w:rsidRPr="00192CBF">
        <w:rPr>
          <w:color w:val="0B0B0B"/>
        </w:rPr>
        <w:t xml:space="preserve">to recover the </w:t>
      </w:r>
      <w:r w:rsidR="00192CBF" w:rsidRPr="00192CBF">
        <w:rPr>
          <w:color w:val="232323"/>
        </w:rPr>
        <w:t xml:space="preserve">cost of </w:t>
      </w:r>
      <w:r w:rsidR="00192CBF" w:rsidRPr="00192CBF">
        <w:rPr>
          <w:color w:val="0B0B0B"/>
        </w:rPr>
        <w:t xml:space="preserve">relocating </w:t>
      </w:r>
      <w:r w:rsidR="00192CBF" w:rsidRPr="00192CBF">
        <w:rPr>
          <w:color w:val="232323"/>
        </w:rPr>
        <w:t xml:space="preserve">on an expedited </w:t>
      </w:r>
      <w:r w:rsidR="00192CBF" w:rsidRPr="00192CBF">
        <w:rPr>
          <w:color w:val="0B0B0B"/>
        </w:rPr>
        <w:t>basi</w:t>
      </w:r>
      <w:r w:rsidR="00192CBF" w:rsidRPr="00192CBF">
        <w:rPr>
          <w:color w:val="3A3A3A"/>
        </w:rPr>
        <w:t xml:space="preserve">s </w:t>
      </w:r>
      <w:r w:rsidR="00192CBF" w:rsidRPr="00192CBF">
        <w:rPr>
          <w:color w:val="232323"/>
        </w:rPr>
        <w:t xml:space="preserve">certain existing </w:t>
      </w:r>
      <w:r w:rsidR="00192CBF" w:rsidRPr="00192CBF">
        <w:rPr>
          <w:color w:val="3A3A3A"/>
        </w:rPr>
        <w:t xml:space="preserve">gas </w:t>
      </w:r>
      <w:r w:rsidR="00192CBF" w:rsidRPr="00192CBF">
        <w:rPr>
          <w:color w:val="0B0B0B"/>
        </w:rPr>
        <w:t>m</w:t>
      </w:r>
      <w:r w:rsidR="00192CBF" w:rsidRPr="00192CBF">
        <w:rPr>
          <w:color w:val="3A3A3A"/>
        </w:rPr>
        <w:t>a</w:t>
      </w:r>
      <w:r w:rsidR="00192CBF" w:rsidRPr="00192CBF">
        <w:rPr>
          <w:color w:val="0B0B0B"/>
        </w:rPr>
        <w:t>ins</w:t>
      </w:r>
      <w:r w:rsidR="00192CBF" w:rsidRPr="00192CBF">
        <w:rPr>
          <w:color w:val="232323"/>
        </w:rPr>
        <w:t xml:space="preserve"> and associated facilities </w:t>
      </w:r>
      <w:r w:rsidR="00192CBF" w:rsidRPr="00192CBF">
        <w:rPr>
          <w:color w:val="0B0B0B"/>
        </w:rPr>
        <w:t xml:space="preserve">from rear lot </w:t>
      </w:r>
      <w:r w:rsidR="00192CBF" w:rsidRPr="00192CBF">
        <w:rPr>
          <w:color w:val="232323"/>
        </w:rPr>
        <w:t xml:space="preserve">easements </w:t>
      </w:r>
      <w:r w:rsidR="00192CBF" w:rsidRPr="00192CBF">
        <w:rPr>
          <w:color w:val="0B0B0B"/>
        </w:rPr>
        <w:t xml:space="preserve">to the </w:t>
      </w:r>
      <w:r w:rsidR="00192CBF" w:rsidRPr="00192CBF">
        <w:rPr>
          <w:color w:val="232323"/>
        </w:rPr>
        <w:t xml:space="preserve">street </w:t>
      </w:r>
      <w:r w:rsidR="00192CBF" w:rsidRPr="00192CBF">
        <w:rPr>
          <w:color w:val="0B0B0B"/>
        </w:rPr>
        <w:t>front.</w:t>
      </w:r>
      <w:r w:rsidR="00192CBF" w:rsidRPr="00192CBF">
        <w:rPr>
          <w:color w:val="0B0B0B"/>
          <w:vertAlign w:val="superscript"/>
        </w:rPr>
        <w:footnoteReference w:id="1"/>
      </w:r>
      <w:r w:rsidR="00192CBF" w:rsidRPr="00192CBF">
        <w:rPr>
          <w:color w:val="0B0B0B"/>
        </w:rPr>
        <w:t xml:space="preserve"> In the </w:t>
      </w:r>
      <w:r w:rsidR="00192CBF" w:rsidRPr="00192CBF">
        <w:rPr>
          <w:color w:val="232323"/>
        </w:rPr>
        <w:t xml:space="preserve">2015 Order, </w:t>
      </w:r>
      <w:r w:rsidR="00F43536">
        <w:rPr>
          <w:color w:val="0B0B0B"/>
        </w:rPr>
        <w:t xml:space="preserve">we </w:t>
      </w:r>
      <w:r w:rsidR="00192CBF" w:rsidRPr="00192CBF">
        <w:rPr>
          <w:color w:val="232323"/>
        </w:rPr>
        <w:t xml:space="preserve">found </w:t>
      </w:r>
      <w:r w:rsidR="00192CBF" w:rsidRPr="00192CBF">
        <w:rPr>
          <w:color w:val="0B0B0B"/>
        </w:rPr>
        <w:t xml:space="preserve">that the relocation </w:t>
      </w:r>
      <w:r w:rsidR="00192CBF" w:rsidRPr="00192CBF">
        <w:rPr>
          <w:color w:val="232323"/>
        </w:rPr>
        <w:t xml:space="preserve">of </w:t>
      </w:r>
      <w:r w:rsidR="00192CBF" w:rsidRPr="00192CBF">
        <w:rPr>
          <w:color w:val="0B0B0B"/>
        </w:rPr>
        <w:t xml:space="preserve">mains </w:t>
      </w:r>
      <w:r w:rsidR="00192CBF" w:rsidRPr="00192CBF">
        <w:rPr>
          <w:color w:val="232323"/>
        </w:rPr>
        <w:t xml:space="preserve">and services </w:t>
      </w:r>
      <w:r w:rsidR="00192CBF" w:rsidRPr="00192CBF">
        <w:rPr>
          <w:color w:val="0B0B0B"/>
        </w:rPr>
        <w:t xml:space="preserve">to the </w:t>
      </w:r>
      <w:r w:rsidR="00192CBF" w:rsidRPr="00192CBF">
        <w:rPr>
          <w:color w:val="232323"/>
        </w:rPr>
        <w:t xml:space="preserve">street </w:t>
      </w:r>
      <w:r w:rsidR="00192CBF" w:rsidRPr="00192CBF">
        <w:rPr>
          <w:color w:val="0B0B0B"/>
        </w:rPr>
        <w:t xml:space="preserve">front </w:t>
      </w:r>
      <w:r w:rsidR="00192CBF" w:rsidRPr="00192CBF">
        <w:rPr>
          <w:color w:val="232323"/>
        </w:rPr>
        <w:t xml:space="preserve">provides for </w:t>
      </w:r>
      <w:r w:rsidR="00192CBF" w:rsidRPr="00192CBF">
        <w:rPr>
          <w:color w:val="0B0B0B"/>
        </w:rPr>
        <w:t>more</w:t>
      </w:r>
      <w:r w:rsidR="00192CBF" w:rsidRPr="00192CBF">
        <w:rPr>
          <w:color w:val="232323"/>
        </w:rPr>
        <w:t xml:space="preserve"> </w:t>
      </w:r>
      <w:r w:rsidR="00192CBF" w:rsidRPr="00192CBF">
        <w:rPr>
          <w:color w:val="0B0B0B"/>
        </w:rPr>
        <w:t xml:space="preserve">direct </w:t>
      </w:r>
      <w:r w:rsidR="00192CBF" w:rsidRPr="00192CBF">
        <w:rPr>
          <w:color w:val="232323"/>
        </w:rPr>
        <w:t xml:space="preserve">access </w:t>
      </w:r>
      <w:r w:rsidR="00192CBF" w:rsidRPr="00192CBF">
        <w:rPr>
          <w:color w:val="0B0B0B"/>
        </w:rPr>
        <w:t xml:space="preserve">to the </w:t>
      </w:r>
      <w:r w:rsidR="00192CBF" w:rsidRPr="00192CBF">
        <w:rPr>
          <w:color w:val="232323"/>
        </w:rPr>
        <w:t xml:space="preserve">facilities and will enhance </w:t>
      </w:r>
      <w:r w:rsidR="00192CBF" w:rsidRPr="00192CBF">
        <w:rPr>
          <w:color w:val="0B0B0B"/>
        </w:rPr>
        <w:t xml:space="preserve">the level </w:t>
      </w:r>
      <w:r w:rsidR="00192CBF" w:rsidRPr="00192CBF">
        <w:rPr>
          <w:color w:val="232323"/>
        </w:rPr>
        <w:t xml:space="preserve">of service </w:t>
      </w:r>
      <w:r w:rsidR="00192CBF" w:rsidRPr="00192CBF">
        <w:rPr>
          <w:color w:val="0B0B0B"/>
        </w:rPr>
        <w:t xml:space="preserve">provided to </w:t>
      </w:r>
      <w:r w:rsidR="00192CBF" w:rsidRPr="00192CBF">
        <w:rPr>
          <w:color w:val="232323"/>
        </w:rPr>
        <w:t xml:space="preserve">all customers </w:t>
      </w:r>
      <w:r w:rsidR="00192CBF" w:rsidRPr="00192CBF">
        <w:rPr>
          <w:color w:val="0B0B0B"/>
        </w:rPr>
        <w:t>throu</w:t>
      </w:r>
      <w:r w:rsidR="00192CBF" w:rsidRPr="00192CBF">
        <w:rPr>
          <w:color w:val="3A3A3A"/>
        </w:rPr>
        <w:t>g</w:t>
      </w:r>
      <w:r w:rsidR="00192CBF" w:rsidRPr="00192CBF">
        <w:rPr>
          <w:color w:val="0B0B0B"/>
        </w:rPr>
        <w:t xml:space="preserve">h improved </w:t>
      </w:r>
      <w:r w:rsidR="00192CBF" w:rsidRPr="00192CBF">
        <w:rPr>
          <w:color w:val="3A3A3A"/>
        </w:rPr>
        <w:t>safe</w:t>
      </w:r>
      <w:r w:rsidR="00192CBF" w:rsidRPr="00192CBF">
        <w:rPr>
          <w:color w:val="0B0B0B"/>
        </w:rPr>
        <w:t xml:space="preserve">ty </w:t>
      </w:r>
      <w:r w:rsidR="00192CBF" w:rsidRPr="00192CBF">
        <w:rPr>
          <w:color w:val="3A3A3A"/>
        </w:rPr>
        <w:t>a</w:t>
      </w:r>
      <w:r w:rsidR="00192CBF" w:rsidRPr="00192CBF">
        <w:rPr>
          <w:color w:val="0B0B0B"/>
        </w:rPr>
        <w:t>nd reliability</w:t>
      </w:r>
      <w:r w:rsidR="00192CBF" w:rsidRPr="00192CBF">
        <w:rPr>
          <w:color w:val="4A494D"/>
        </w:rPr>
        <w:t xml:space="preserve">. </w:t>
      </w:r>
      <w:r w:rsidR="00192CBF" w:rsidRPr="00192CBF">
        <w:rPr>
          <w:color w:val="232323"/>
        </w:rPr>
        <w:t xml:space="preserve">The SAFE factor </w:t>
      </w:r>
      <w:r w:rsidR="00192CBF" w:rsidRPr="00192CBF">
        <w:rPr>
          <w:color w:val="0B0B0B"/>
        </w:rPr>
        <w:t>i</w:t>
      </w:r>
      <w:r w:rsidR="00192CBF" w:rsidRPr="00192CBF">
        <w:rPr>
          <w:color w:val="3A3A3A"/>
        </w:rPr>
        <w:t xml:space="preserve">s </w:t>
      </w:r>
      <w:r w:rsidR="00192CBF" w:rsidRPr="00192CBF">
        <w:rPr>
          <w:color w:val="232323"/>
        </w:rPr>
        <w:t xml:space="preserve">a fixed </w:t>
      </w:r>
      <w:r w:rsidR="00192CBF" w:rsidRPr="00192CBF">
        <w:rPr>
          <w:color w:val="3A3A3A"/>
        </w:rPr>
        <w:t>s</w:t>
      </w:r>
      <w:r w:rsidR="00192CBF" w:rsidRPr="00192CBF">
        <w:rPr>
          <w:color w:val="0B0B0B"/>
        </w:rPr>
        <w:t>urch</w:t>
      </w:r>
      <w:r w:rsidR="00192CBF" w:rsidRPr="00192CBF">
        <w:rPr>
          <w:color w:val="3A3A3A"/>
        </w:rPr>
        <w:t>a</w:t>
      </w:r>
      <w:r w:rsidR="00192CBF" w:rsidRPr="00192CBF">
        <w:rPr>
          <w:color w:val="0B0B0B"/>
        </w:rPr>
        <w:t xml:space="preserve">rge </w:t>
      </w:r>
      <w:r w:rsidR="00192CBF" w:rsidRPr="00192CBF">
        <w:rPr>
          <w:color w:val="232323"/>
        </w:rPr>
        <w:t xml:space="preserve">on customers' </w:t>
      </w:r>
      <w:r w:rsidR="00192CBF" w:rsidRPr="00192CBF">
        <w:rPr>
          <w:color w:val="0B0B0B"/>
        </w:rPr>
        <w:t>bill</w:t>
      </w:r>
      <w:r w:rsidR="00192CBF" w:rsidRPr="00192CBF">
        <w:rPr>
          <w:color w:val="3A3A3A"/>
        </w:rPr>
        <w:t>s</w:t>
      </w:r>
      <w:r w:rsidR="00192CBF" w:rsidRPr="00192CBF">
        <w:rPr>
          <w:color w:val="232323"/>
        </w:rPr>
        <w:t>.</w:t>
      </w:r>
    </w:p>
    <w:p w:rsidR="00192CBF" w:rsidRPr="00192CBF" w:rsidRDefault="00192CBF" w:rsidP="00192CBF">
      <w:pPr>
        <w:autoSpaceDE w:val="0"/>
        <w:autoSpaceDN w:val="0"/>
        <w:adjustRightInd w:val="0"/>
        <w:jc w:val="both"/>
        <w:rPr>
          <w:color w:val="232323"/>
        </w:rPr>
      </w:pPr>
    </w:p>
    <w:p w:rsidR="00192CBF" w:rsidRPr="00192CBF" w:rsidRDefault="00A328B3" w:rsidP="00192CBF">
      <w:pPr>
        <w:spacing w:after="240"/>
        <w:jc w:val="both"/>
      </w:pPr>
      <w:r>
        <w:tab/>
      </w:r>
      <w:r w:rsidR="00192CBF" w:rsidRPr="00192CBF">
        <w:t xml:space="preserve">In the 2015 Order, </w:t>
      </w:r>
      <w:r w:rsidR="00F43536">
        <w:rPr>
          <w:color w:val="0B0B0B"/>
        </w:rPr>
        <w:t>we</w:t>
      </w:r>
      <w:r w:rsidR="00192CBF" w:rsidRPr="00192CBF">
        <w:t xml:space="preserve"> required the utility to file an annual petition, beginning in 2016, for review and resetting of the SAFE factors to true-up any prior over-or under-recovery and to set the surcharge for the coming year. The SAFE program was originally approved as a 10-year program and was planned to finish in 2025.</w:t>
      </w:r>
    </w:p>
    <w:p w:rsidR="00192CBF" w:rsidRPr="00192CBF" w:rsidRDefault="00A328B3" w:rsidP="00192CBF">
      <w:pPr>
        <w:spacing w:after="240"/>
        <w:jc w:val="both"/>
      </w:pPr>
      <w:r>
        <w:tab/>
      </w:r>
      <w:r w:rsidR="00192CBF" w:rsidRPr="00192CBF">
        <w:t xml:space="preserve">During the utility’s 2022 rate case, </w:t>
      </w:r>
      <w:r w:rsidR="00F43536">
        <w:rPr>
          <w:color w:val="0B0B0B"/>
        </w:rPr>
        <w:t>we</w:t>
      </w:r>
      <w:r w:rsidR="00192CBF" w:rsidRPr="00192CBF">
        <w:t xml:space="preserve"> approved a stipulation for the expansion of the SAFE program in Order No. PSC-2023-0177-FOF-GU.</w:t>
      </w:r>
      <w:r w:rsidR="00192CBF" w:rsidRPr="00192CBF">
        <w:rPr>
          <w:vertAlign w:val="superscript"/>
        </w:rPr>
        <w:footnoteReference w:id="2"/>
      </w:r>
      <w:r w:rsidR="00192CBF" w:rsidRPr="00192CBF">
        <w:t xml:space="preserve"> The parties agreed and </w:t>
      </w:r>
      <w:r w:rsidR="00F43536">
        <w:rPr>
          <w:color w:val="0B0B0B"/>
        </w:rPr>
        <w:t xml:space="preserve">we </w:t>
      </w:r>
      <w:r w:rsidR="00192CBF" w:rsidRPr="00192CBF">
        <w:t xml:space="preserve">found that </w:t>
      </w:r>
      <w:r w:rsidR="00192CBF" w:rsidRPr="00192CBF">
        <w:lastRenderedPageBreak/>
        <w:t>the continuation of the SAFE program beyond its 2025 expiration date and the relocation of an additional approximately 150 miles of mains and services was reasonable.</w:t>
      </w:r>
      <w:r w:rsidR="00192CBF" w:rsidRPr="00192CBF">
        <w:rPr>
          <w:vertAlign w:val="superscript"/>
        </w:rPr>
        <w:footnoteReference w:id="3"/>
      </w:r>
      <w:r w:rsidR="00192CBF" w:rsidRPr="00192CBF">
        <w:t xml:space="preserve"> </w:t>
      </w:r>
    </w:p>
    <w:p w:rsidR="00192CBF" w:rsidRPr="00192CBF" w:rsidRDefault="00A328B3" w:rsidP="00192CBF">
      <w:pPr>
        <w:spacing w:after="240"/>
        <w:jc w:val="both"/>
      </w:pPr>
      <w:r>
        <w:tab/>
      </w:r>
      <w:r w:rsidR="00192CBF" w:rsidRPr="00192CBF">
        <w:t xml:space="preserve">In addition, in Order No. PSC-2023-0177-FOF-GU, </w:t>
      </w:r>
      <w:r w:rsidR="00F43536">
        <w:rPr>
          <w:color w:val="0B0B0B"/>
        </w:rPr>
        <w:t>we</w:t>
      </w:r>
      <w:r w:rsidR="00192CBF" w:rsidRPr="00192CBF">
        <w:t xml:space="preserve"> approved a stipulation for the replacement of approximately 160 miles of “orange pipe.”</w:t>
      </w:r>
      <w:r w:rsidR="00192CBF" w:rsidRPr="00192CBF">
        <w:rPr>
          <w:vertAlign w:val="superscript"/>
        </w:rPr>
        <w:footnoteReference w:id="4"/>
      </w:r>
      <w:r w:rsidR="00192CBF" w:rsidRPr="00192CBF">
        <w:t xml:space="preserve"> All parties to the rate case agreed that orange pipe is a specific plastic material that was used in the 1970s and 1980s that has been studied by the United States Department of Transportation Pipeline and Hazardous Materials Safety Administration and shown through industry research to exhibit premature failure in the form of cracking. The parties agreed and </w:t>
      </w:r>
      <w:r w:rsidR="00F43536">
        <w:rPr>
          <w:color w:val="0B0B0B"/>
        </w:rPr>
        <w:t>we</w:t>
      </w:r>
      <w:r w:rsidR="00192CBF" w:rsidRPr="00192CBF">
        <w:t xml:space="preserve"> ordered that FCG should expedite the replacement of 160 miles of orange pipe through the SAFE program to address this safety risk in a timely manner.</w:t>
      </w:r>
    </w:p>
    <w:p w:rsidR="00192CBF" w:rsidRPr="00192CBF" w:rsidRDefault="00A328B3" w:rsidP="00192CBF">
      <w:pPr>
        <w:spacing w:after="240"/>
        <w:jc w:val="both"/>
      </w:pPr>
      <w:r>
        <w:tab/>
      </w:r>
      <w:r w:rsidR="00192CBF" w:rsidRPr="00192CBF">
        <w:t xml:space="preserve">In 2024, </w:t>
      </w:r>
      <w:r w:rsidR="00F43536">
        <w:rPr>
          <w:color w:val="0B0B0B"/>
        </w:rPr>
        <w:t>we</w:t>
      </w:r>
      <w:r w:rsidR="00192CBF" w:rsidRPr="00192CBF">
        <w:t xml:space="preserve"> approved FCG’s petition to modify its SAFE program to include replacing of span pipes, burying shallow and exposed pipeline, and replacing of obsolete pipe and related facilities.</w:t>
      </w:r>
      <w:r w:rsidR="00192CBF" w:rsidRPr="00192CBF">
        <w:rPr>
          <w:vertAlign w:val="superscript"/>
        </w:rPr>
        <w:footnoteReference w:id="5"/>
      </w:r>
      <w:r w:rsidR="00192CBF" w:rsidRPr="00192CBF">
        <w:t xml:space="preserve"> The total estimated cost for the program modifications is $49.8 million over a ten year period.</w:t>
      </w:r>
      <w:r w:rsidR="00192CBF" w:rsidRPr="00192CBF">
        <w:rPr>
          <w:vertAlign w:val="superscript"/>
        </w:rPr>
        <w:footnoteReference w:id="6"/>
      </w:r>
      <w:r w:rsidR="00192CBF" w:rsidRPr="00192CBF">
        <w:t xml:space="preserve"> The additional program modifications are included in this proceeding for recalculation of the SAFE surcharges. The current 2025 SAFE factors were approved by Order No. PSC-2025-0033-TRF-GU (2025 Order).</w:t>
      </w:r>
      <w:r w:rsidR="00192CBF" w:rsidRPr="00192CBF">
        <w:rPr>
          <w:vertAlign w:val="superscript"/>
        </w:rPr>
        <w:t xml:space="preserve"> </w:t>
      </w:r>
      <w:r w:rsidR="00192CBF" w:rsidRPr="00192CBF">
        <w:rPr>
          <w:vertAlign w:val="superscript"/>
        </w:rPr>
        <w:footnoteReference w:id="7"/>
      </w:r>
    </w:p>
    <w:p w:rsidR="00CB5276" w:rsidRDefault="00A328B3" w:rsidP="00192CBF">
      <w:pPr>
        <w:pStyle w:val="OrderBody"/>
      </w:pPr>
      <w:r>
        <w:tab/>
      </w:r>
      <w:r w:rsidR="00F43536">
        <w:t>We have</w:t>
      </w:r>
      <w:r w:rsidR="00192CBF" w:rsidRPr="00192CBF">
        <w:t xml:space="preserve"> jurisdiction over the matter pursuant to Sections 366.04, 366.041, 366.05, and 366.06, Florida Statutes (F.S.).</w:t>
      </w:r>
    </w:p>
    <w:p w:rsidR="00192CBF" w:rsidRDefault="00192CBF" w:rsidP="00192CBF">
      <w:pPr>
        <w:pStyle w:val="OrderBody"/>
      </w:pPr>
    </w:p>
    <w:p w:rsidR="00F43536" w:rsidRPr="00562FF7" w:rsidRDefault="00F43536" w:rsidP="00F43536">
      <w:pPr>
        <w:pStyle w:val="RecommendationMajorSectionHeading"/>
        <w:rPr>
          <w:rFonts w:ascii="Times New Roman" w:hAnsi="Times New Roman" w:cs="Times New Roman"/>
          <w:b w:val="0"/>
          <w:u w:val="single"/>
        </w:rPr>
      </w:pPr>
      <w:bookmarkStart w:id="5" w:name="DiscussionOfIssues"/>
      <w:r>
        <w:rPr>
          <w:rFonts w:ascii="Times New Roman" w:hAnsi="Times New Roman" w:cs="Times New Roman"/>
          <w:b w:val="0"/>
          <w:u w:val="single"/>
        </w:rPr>
        <w:t>Decision</w:t>
      </w:r>
    </w:p>
    <w:bookmarkEnd w:id="5"/>
    <w:p w:rsidR="00192CBF" w:rsidRPr="00192CBF" w:rsidRDefault="00F43536" w:rsidP="00F43536">
      <w:pPr>
        <w:spacing w:after="240"/>
        <w:ind w:firstLine="720"/>
        <w:jc w:val="both"/>
        <w:outlineLvl w:val="1"/>
      </w:pPr>
      <w:r>
        <w:t xml:space="preserve">We find </w:t>
      </w:r>
      <w:r w:rsidR="00192CBF" w:rsidRPr="00192CBF">
        <w:t xml:space="preserve">that FCG’s proposed SAFE tariffs for the period January through December 2026 </w:t>
      </w:r>
      <w:r>
        <w:t xml:space="preserve">shall </w:t>
      </w:r>
      <w:r w:rsidR="00192CBF" w:rsidRPr="00192CBF">
        <w:t>be suspended to allow</w:t>
      </w:r>
      <w:r>
        <w:t xml:space="preserve"> our</w:t>
      </w:r>
      <w:r w:rsidR="00192CBF" w:rsidRPr="00192CBF">
        <w:t xml:space="preserve"> staff sufficient time to review the petition and gather all pertinent information in order to present </w:t>
      </w:r>
      <w:r>
        <w:t xml:space="preserve">us </w:t>
      </w:r>
      <w:r w:rsidR="00192CBF" w:rsidRPr="00192CBF">
        <w:t>with an informed recommendation on the tariff proposal.</w:t>
      </w:r>
    </w:p>
    <w:p w:rsidR="00192CBF" w:rsidRDefault="00A328B3" w:rsidP="00192CBF">
      <w:pPr>
        <w:pStyle w:val="OrderBody"/>
      </w:pPr>
      <w:r>
        <w:tab/>
      </w:r>
      <w:r w:rsidR="00192CBF" w:rsidRPr="00192CBF">
        <w:t xml:space="preserve">Pursuant to Section 366.06(3), F.S., </w:t>
      </w:r>
      <w:r w:rsidR="00F43536">
        <w:t xml:space="preserve">we </w:t>
      </w:r>
      <w:r w:rsidR="00192CBF" w:rsidRPr="00192CBF">
        <w:t>may withhold consent to the operation of all or any portion of a new rate schedule, delivering to the utility requesting such a change, a reason, or written statement of good caus</w:t>
      </w:r>
      <w:r w:rsidR="00F43536">
        <w:t>e for doing so within 60 days. We find</w:t>
      </w:r>
      <w:r w:rsidR="00192CBF" w:rsidRPr="00192CBF">
        <w:t xml:space="preserve"> that the reason stated above is a good cause consistent with the requirement of Section 366.06(3), F.S.</w:t>
      </w:r>
    </w:p>
    <w:p w:rsidR="00192CBF" w:rsidRDefault="00192CBF" w:rsidP="00192CBF">
      <w:pPr>
        <w:pStyle w:val="OrderBody"/>
      </w:pPr>
    </w:p>
    <w:p w:rsidR="00192CBF" w:rsidRDefault="00F43536" w:rsidP="00192CBF">
      <w:pPr>
        <w:pStyle w:val="OrderBody"/>
      </w:pPr>
      <w:r>
        <w:tab/>
        <w:t>Bas</w:t>
      </w:r>
      <w:r w:rsidR="00192CBF">
        <w:t>ed on the foregoing, it is</w:t>
      </w:r>
    </w:p>
    <w:p w:rsidR="00192CBF" w:rsidRDefault="00192CBF" w:rsidP="00192CBF">
      <w:pPr>
        <w:pStyle w:val="OrderBody"/>
      </w:pPr>
    </w:p>
    <w:p w:rsidR="00F43536" w:rsidRDefault="00192CBF" w:rsidP="00192CBF">
      <w:pPr>
        <w:pStyle w:val="OrderBody"/>
      </w:pPr>
      <w:r>
        <w:tab/>
      </w:r>
    </w:p>
    <w:p w:rsidR="00F43536" w:rsidRDefault="00F43536">
      <w:r>
        <w:br w:type="page"/>
      </w:r>
    </w:p>
    <w:p w:rsidR="00192CBF" w:rsidRDefault="00F43536" w:rsidP="00F43536">
      <w:pPr>
        <w:pStyle w:val="OrderBody"/>
        <w:ind w:firstLine="720"/>
      </w:pPr>
      <w:r>
        <w:lastRenderedPageBreak/>
        <w:t xml:space="preserve">ORDERED by the Florida Public Service Commission that Florida City Gas’s proposed revised safety, access, and facility enhancement tariffs for the period January through December 2026 shall be suspended </w:t>
      </w:r>
      <w:r w:rsidRPr="00913726">
        <w:t>to allow our staff sufficient time to review the petition and gather all pertinent information in order to present us with an informed recommendation on the tariff proposals</w:t>
      </w:r>
      <w:r>
        <w:t>. It is further</w:t>
      </w:r>
    </w:p>
    <w:p w:rsidR="00F43536" w:rsidRDefault="00F43536" w:rsidP="00F43536">
      <w:pPr>
        <w:pStyle w:val="OrderBody"/>
        <w:ind w:firstLine="720"/>
      </w:pPr>
    </w:p>
    <w:p w:rsidR="00192CBF" w:rsidRDefault="00192CBF" w:rsidP="00F43536">
      <w:pPr>
        <w:pStyle w:val="OrderBody"/>
      </w:pPr>
      <w:r>
        <w:tab/>
      </w:r>
      <w:r w:rsidR="00F43536">
        <w:t>ORDERED that this docket shall remain open pending our decision on the proposed revised tariffs.</w:t>
      </w:r>
    </w:p>
    <w:p w:rsidR="00192CBF" w:rsidRDefault="00192CBF" w:rsidP="00192CBF"/>
    <w:p w:rsidR="00192CBF" w:rsidRDefault="00192CBF" w:rsidP="00192CBF">
      <w:pPr>
        <w:keepNext/>
        <w:keepLines/>
        <w:jc w:val="both"/>
      </w:pPr>
      <w:r>
        <w:tab/>
        <w:t xml:space="preserve">By ORDER of the Florida Public Service Commission this </w:t>
      </w:r>
      <w:bookmarkStart w:id="6" w:name="replaceDate"/>
      <w:bookmarkEnd w:id="6"/>
      <w:r w:rsidR="00F61E18">
        <w:rPr>
          <w:u w:val="single"/>
        </w:rPr>
        <w:t>23rd</w:t>
      </w:r>
      <w:r w:rsidR="00F61E18">
        <w:t xml:space="preserve"> day of </w:t>
      </w:r>
      <w:r w:rsidR="00F61E18">
        <w:rPr>
          <w:u w:val="single"/>
        </w:rPr>
        <w:t>October</w:t>
      </w:r>
      <w:r w:rsidR="00F61E18">
        <w:t xml:space="preserve">, </w:t>
      </w:r>
      <w:r w:rsidR="00F61E18">
        <w:rPr>
          <w:u w:val="single"/>
        </w:rPr>
        <w:t>2025</w:t>
      </w:r>
      <w:r w:rsidR="00F61E18">
        <w:t>.</w:t>
      </w:r>
    </w:p>
    <w:p w:rsidR="00F61E18" w:rsidRPr="00F61E18" w:rsidRDefault="00F61E18" w:rsidP="00192CBF">
      <w:pPr>
        <w:keepNext/>
        <w:keepLines/>
        <w:jc w:val="both"/>
      </w:pPr>
    </w:p>
    <w:p w:rsidR="00192CBF" w:rsidRDefault="00192CBF" w:rsidP="00192CBF">
      <w:pPr>
        <w:keepNext/>
        <w:keepLines/>
        <w:jc w:val="both"/>
      </w:pPr>
    </w:p>
    <w:p w:rsidR="00192CBF" w:rsidRDefault="00192CBF" w:rsidP="00192CB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92CBF" w:rsidTr="00192CBF">
        <w:tc>
          <w:tcPr>
            <w:tcW w:w="720" w:type="dxa"/>
            <w:shd w:val="clear" w:color="auto" w:fill="auto"/>
          </w:tcPr>
          <w:p w:rsidR="00192CBF" w:rsidRDefault="00192CBF" w:rsidP="00192CBF">
            <w:pPr>
              <w:keepNext/>
              <w:keepLines/>
              <w:jc w:val="both"/>
            </w:pPr>
            <w:bookmarkStart w:id="7" w:name="bkmrkSignature" w:colFirst="0" w:colLast="0"/>
          </w:p>
        </w:tc>
        <w:tc>
          <w:tcPr>
            <w:tcW w:w="4320" w:type="dxa"/>
            <w:tcBorders>
              <w:bottom w:val="single" w:sz="4" w:space="0" w:color="auto"/>
            </w:tcBorders>
            <w:shd w:val="clear" w:color="auto" w:fill="auto"/>
          </w:tcPr>
          <w:p w:rsidR="00192CBF" w:rsidRDefault="00A160CB" w:rsidP="00192CBF">
            <w:pPr>
              <w:keepNext/>
              <w:keepLines/>
              <w:jc w:val="both"/>
            </w:pPr>
            <w:r>
              <w:t>/s/ Adam J. Teitzman</w:t>
            </w:r>
            <w:bookmarkStart w:id="8" w:name="_GoBack"/>
            <w:bookmarkEnd w:id="8"/>
          </w:p>
        </w:tc>
      </w:tr>
      <w:bookmarkEnd w:id="7"/>
      <w:tr w:rsidR="00192CBF" w:rsidTr="00192CBF">
        <w:tc>
          <w:tcPr>
            <w:tcW w:w="720" w:type="dxa"/>
            <w:shd w:val="clear" w:color="auto" w:fill="auto"/>
          </w:tcPr>
          <w:p w:rsidR="00192CBF" w:rsidRDefault="00192CBF" w:rsidP="00192CBF">
            <w:pPr>
              <w:keepNext/>
              <w:keepLines/>
              <w:jc w:val="both"/>
            </w:pPr>
          </w:p>
        </w:tc>
        <w:tc>
          <w:tcPr>
            <w:tcW w:w="4320" w:type="dxa"/>
            <w:tcBorders>
              <w:top w:val="single" w:sz="4" w:space="0" w:color="auto"/>
            </w:tcBorders>
            <w:shd w:val="clear" w:color="auto" w:fill="auto"/>
          </w:tcPr>
          <w:p w:rsidR="00192CBF" w:rsidRDefault="00192CBF" w:rsidP="00192CBF">
            <w:pPr>
              <w:keepNext/>
              <w:keepLines/>
              <w:jc w:val="both"/>
            </w:pPr>
            <w:r>
              <w:t>ADAM J. TEITZMAN</w:t>
            </w:r>
          </w:p>
          <w:p w:rsidR="00192CBF" w:rsidRDefault="00192CBF" w:rsidP="00192CBF">
            <w:pPr>
              <w:keepNext/>
              <w:keepLines/>
              <w:jc w:val="both"/>
            </w:pPr>
            <w:r>
              <w:t>Commission Clerk</w:t>
            </w:r>
          </w:p>
        </w:tc>
      </w:tr>
    </w:tbl>
    <w:p w:rsidR="00192CBF" w:rsidRDefault="00192CBF" w:rsidP="00192CBF">
      <w:pPr>
        <w:pStyle w:val="OrderSigInfo"/>
        <w:keepNext/>
        <w:keepLines/>
      </w:pPr>
      <w:r>
        <w:t>Florida Public Service Commission</w:t>
      </w:r>
    </w:p>
    <w:p w:rsidR="00192CBF" w:rsidRDefault="00192CBF" w:rsidP="00192CBF">
      <w:pPr>
        <w:pStyle w:val="OrderSigInfo"/>
        <w:keepNext/>
        <w:keepLines/>
      </w:pPr>
      <w:r>
        <w:t>2540 Shumard Oak Boulevard</w:t>
      </w:r>
    </w:p>
    <w:p w:rsidR="00192CBF" w:rsidRDefault="00192CBF" w:rsidP="00192CBF">
      <w:pPr>
        <w:pStyle w:val="OrderSigInfo"/>
        <w:keepNext/>
        <w:keepLines/>
      </w:pPr>
      <w:r>
        <w:t>Tallahassee, Florida 32399</w:t>
      </w:r>
    </w:p>
    <w:p w:rsidR="00192CBF" w:rsidRDefault="00192CBF" w:rsidP="00192CBF">
      <w:pPr>
        <w:pStyle w:val="OrderSigInfo"/>
        <w:keepNext/>
        <w:keepLines/>
      </w:pPr>
      <w:r>
        <w:t>(850) 413</w:t>
      </w:r>
      <w:r>
        <w:noBreakHyphen/>
        <w:t>6770</w:t>
      </w:r>
    </w:p>
    <w:p w:rsidR="00192CBF" w:rsidRDefault="00192CBF" w:rsidP="00192CBF">
      <w:pPr>
        <w:pStyle w:val="OrderSigInfo"/>
        <w:keepNext/>
        <w:keepLines/>
      </w:pPr>
      <w:r>
        <w:t>www.floridapsc.com</w:t>
      </w:r>
    </w:p>
    <w:p w:rsidR="00192CBF" w:rsidRDefault="00192CBF" w:rsidP="00192CBF">
      <w:pPr>
        <w:pStyle w:val="OrderSigInfo"/>
        <w:keepNext/>
        <w:keepLines/>
      </w:pPr>
    </w:p>
    <w:p w:rsidR="00192CBF" w:rsidRDefault="00192CBF" w:rsidP="00192CBF">
      <w:pPr>
        <w:pStyle w:val="OrderSigInfo"/>
        <w:keepNext/>
        <w:keepLines/>
      </w:pPr>
      <w:r>
        <w:t>Copies furnished:  A copy of this document is provided to the parties of record at the time of issuance and, if applicable, interested persons.</w:t>
      </w:r>
    </w:p>
    <w:p w:rsidR="00192CBF" w:rsidRDefault="00192CBF" w:rsidP="00192CBF">
      <w:pPr>
        <w:pStyle w:val="OrderBody"/>
        <w:keepNext/>
        <w:keepLines/>
      </w:pPr>
    </w:p>
    <w:p w:rsidR="00192CBF" w:rsidRDefault="00192CBF" w:rsidP="00192CBF">
      <w:pPr>
        <w:keepNext/>
        <w:keepLines/>
        <w:jc w:val="both"/>
      </w:pPr>
    </w:p>
    <w:p w:rsidR="00192CBF" w:rsidRDefault="00192CBF" w:rsidP="00192CBF">
      <w:pPr>
        <w:keepNext/>
        <w:keepLines/>
        <w:jc w:val="both"/>
      </w:pPr>
      <w:r>
        <w:t>RPS</w:t>
      </w:r>
    </w:p>
    <w:p w:rsidR="00192CBF" w:rsidRDefault="00192CBF" w:rsidP="00192CBF">
      <w:pPr>
        <w:jc w:val="both"/>
      </w:pPr>
    </w:p>
    <w:p w:rsidR="00192CBF" w:rsidRDefault="00192CBF" w:rsidP="00192CBF">
      <w:pPr>
        <w:jc w:val="both"/>
      </w:pPr>
    </w:p>
    <w:p w:rsidR="00F43536" w:rsidRDefault="00F43536">
      <w:pPr>
        <w:rPr>
          <w:u w:val="single"/>
        </w:rPr>
      </w:pPr>
      <w:r>
        <w:br w:type="page"/>
      </w:r>
    </w:p>
    <w:p w:rsidR="00192CBF" w:rsidRDefault="00192CBF" w:rsidP="00192CBF">
      <w:pPr>
        <w:pStyle w:val="CenterUnderline"/>
      </w:pPr>
      <w:r>
        <w:lastRenderedPageBreak/>
        <w:t>NOTICE OF FURTHER PROCEEDINGS OR JUDICIAL REVIEW</w:t>
      </w:r>
    </w:p>
    <w:p w:rsidR="00192CBF" w:rsidRDefault="00192CBF" w:rsidP="00192CBF">
      <w:pPr>
        <w:pStyle w:val="CenterUnderline"/>
      </w:pPr>
    </w:p>
    <w:p w:rsidR="00192CBF" w:rsidRDefault="00192CBF" w:rsidP="00192C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92CBF" w:rsidRDefault="00192CBF" w:rsidP="00192CBF">
      <w:pPr>
        <w:pStyle w:val="OrderBody"/>
      </w:pPr>
    </w:p>
    <w:p w:rsidR="00192CBF" w:rsidRDefault="00192CBF" w:rsidP="00192CBF">
      <w:pPr>
        <w:pStyle w:val="OrderBody"/>
      </w:pPr>
      <w:r>
        <w:tab/>
        <w:t>Mediation may be available on a case-by-case basis.  If mediation is conducted, it does not affect a substantially interested person's right to a hearing.</w:t>
      </w:r>
    </w:p>
    <w:p w:rsidR="00192CBF" w:rsidRDefault="00192CBF" w:rsidP="00192CBF">
      <w:pPr>
        <w:pStyle w:val="OrderBody"/>
      </w:pPr>
    </w:p>
    <w:p w:rsidR="00192CBF" w:rsidRDefault="00192CBF" w:rsidP="00192C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92CBF" w:rsidRDefault="00192CBF" w:rsidP="00192CBF">
      <w:pPr>
        <w:pStyle w:val="OrderBody"/>
      </w:pPr>
    </w:p>
    <w:sectPr w:rsidR="00192CBF">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CBF" w:rsidRDefault="00192CBF">
      <w:r>
        <w:separator/>
      </w:r>
    </w:p>
  </w:endnote>
  <w:endnote w:type="continuationSeparator" w:id="0">
    <w:p w:rsidR="00192CBF" w:rsidRDefault="0019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CBF" w:rsidRDefault="00192CBF">
      <w:r>
        <w:separator/>
      </w:r>
    </w:p>
  </w:footnote>
  <w:footnote w:type="continuationSeparator" w:id="0">
    <w:p w:rsidR="00192CBF" w:rsidRDefault="00192CBF">
      <w:r>
        <w:continuationSeparator/>
      </w:r>
    </w:p>
  </w:footnote>
  <w:footnote w:id="1">
    <w:p w:rsidR="00192CBF" w:rsidRPr="00A40595" w:rsidRDefault="00192CBF" w:rsidP="00192CBF">
      <w:pPr>
        <w:autoSpaceDE w:val="0"/>
        <w:autoSpaceDN w:val="0"/>
        <w:adjustRightInd w:val="0"/>
        <w:jc w:val="both"/>
        <w:rPr>
          <w:i/>
          <w:iCs/>
          <w:color w:val="606061"/>
          <w:sz w:val="20"/>
          <w:szCs w:val="20"/>
        </w:rPr>
      </w:pPr>
      <w:r>
        <w:rPr>
          <w:rStyle w:val="FootnoteReference"/>
        </w:rPr>
        <w:footnoteRef/>
      </w:r>
      <w:r>
        <w:t xml:space="preserve"> </w:t>
      </w:r>
      <w:r w:rsidRPr="00C15D1A">
        <w:rPr>
          <w:color w:val="000000" w:themeColor="text1"/>
          <w:sz w:val="20"/>
          <w:szCs w:val="20"/>
        </w:rPr>
        <w:t xml:space="preserve">Order No. PSC-15-0390-TRF-GU, issued September 15, 2015, in Docket No. 20150116-GU, </w:t>
      </w:r>
      <w:r w:rsidRPr="00C15D1A">
        <w:rPr>
          <w:i/>
          <w:iCs/>
          <w:color w:val="000000" w:themeColor="text1"/>
          <w:sz w:val="20"/>
          <w:szCs w:val="20"/>
        </w:rPr>
        <w:t>In re: Petition for approval of safety, access, and facility enhancement program and associated cost recovery methodology, by Florida City Gas.</w:t>
      </w:r>
    </w:p>
  </w:footnote>
  <w:footnote w:id="2">
    <w:p w:rsidR="00192CBF" w:rsidRPr="00722AE6" w:rsidRDefault="00192CBF" w:rsidP="00192CBF">
      <w:pPr>
        <w:autoSpaceDE w:val="0"/>
        <w:autoSpaceDN w:val="0"/>
        <w:adjustRightInd w:val="0"/>
        <w:jc w:val="both"/>
        <w:rPr>
          <w:i/>
          <w:iCs/>
          <w:sz w:val="20"/>
          <w:szCs w:val="20"/>
        </w:rPr>
      </w:pPr>
      <w:r>
        <w:rPr>
          <w:rStyle w:val="FootnoteReference"/>
        </w:rPr>
        <w:footnoteRef/>
      </w:r>
      <w:r>
        <w:t xml:space="preserve"> </w:t>
      </w:r>
      <w:r w:rsidRPr="00722AE6">
        <w:rPr>
          <w:sz w:val="20"/>
          <w:szCs w:val="20"/>
        </w:rPr>
        <w:t xml:space="preserve">Order No. PSC-2023-0177-FOF-GU, issued June 9, 2023, in Docket No. 20220069-GU, </w:t>
      </w:r>
      <w:r w:rsidRPr="00722AE6">
        <w:rPr>
          <w:i/>
          <w:iCs/>
          <w:sz w:val="20"/>
          <w:szCs w:val="20"/>
        </w:rPr>
        <w:t>In re: Petition for rate</w:t>
      </w:r>
      <w:r>
        <w:rPr>
          <w:i/>
          <w:iCs/>
          <w:sz w:val="20"/>
          <w:szCs w:val="20"/>
        </w:rPr>
        <w:t xml:space="preserve"> </w:t>
      </w:r>
      <w:r w:rsidRPr="00722AE6">
        <w:rPr>
          <w:i/>
          <w:iCs/>
          <w:sz w:val="20"/>
          <w:szCs w:val="20"/>
        </w:rPr>
        <w:t>increase by Florida City Gas</w:t>
      </w:r>
      <w:r w:rsidRPr="00722AE6">
        <w:rPr>
          <w:i/>
          <w:iCs/>
        </w:rPr>
        <w:t>.</w:t>
      </w:r>
    </w:p>
  </w:footnote>
  <w:footnote w:id="3">
    <w:p w:rsidR="00192CBF" w:rsidRDefault="00192CBF" w:rsidP="00192CBF">
      <w:pPr>
        <w:pStyle w:val="FootnoteText"/>
      </w:pPr>
      <w:r>
        <w:rPr>
          <w:rStyle w:val="FootnoteReference"/>
        </w:rPr>
        <w:footnoteRef/>
      </w:r>
      <w:r>
        <w:t xml:space="preserve"> Order No. PSC-2023-0177-FOF-GU,</w:t>
      </w:r>
      <w:r w:rsidRPr="00E35AE9">
        <w:t xml:space="preserve"> </w:t>
      </w:r>
      <w:r>
        <w:t>page 72, Section X, B.</w:t>
      </w:r>
    </w:p>
  </w:footnote>
  <w:footnote w:id="4">
    <w:p w:rsidR="00192CBF" w:rsidRDefault="00192CBF" w:rsidP="00192CBF">
      <w:pPr>
        <w:pStyle w:val="FootnoteText"/>
      </w:pPr>
      <w:r>
        <w:rPr>
          <w:rStyle w:val="FootnoteReference"/>
        </w:rPr>
        <w:footnoteRef/>
      </w:r>
      <w:r>
        <w:t xml:space="preserve"> Order No. PSC-2023-0177-FOF-GU, page 72, Section X, C.</w:t>
      </w:r>
    </w:p>
  </w:footnote>
  <w:footnote w:id="5">
    <w:p w:rsidR="00192CBF" w:rsidRDefault="00192CBF" w:rsidP="00192CBF">
      <w:pPr>
        <w:pStyle w:val="FootnoteText"/>
      </w:pPr>
      <w:r>
        <w:rPr>
          <w:rStyle w:val="FootnoteReference"/>
        </w:rPr>
        <w:footnoteRef/>
      </w:r>
      <w:r>
        <w:t xml:space="preserve"> Order No. PSC-2024-0438-PAA-GU, issued October 2, 2024, in Docket No. 20240071-GU, </w:t>
      </w:r>
      <w:r>
        <w:rPr>
          <w:i/>
        </w:rPr>
        <w:t>In re: Petition for approval of safety, access, and facility enhancement program modifications, by Florida City Gas.</w:t>
      </w:r>
    </w:p>
  </w:footnote>
  <w:footnote w:id="6">
    <w:p w:rsidR="00192CBF" w:rsidRDefault="00192CBF" w:rsidP="00192CBF">
      <w:pPr>
        <w:pStyle w:val="FootnoteText"/>
      </w:pPr>
      <w:r>
        <w:rPr>
          <w:rStyle w:val="FootnoteReference"/>
        </w:rPr>
        <w:footnoteRef/>
      </w:r>
      <w:r>
        <w:t xml:space="preserve"> Order No. PSC-2024-0438-PAA-GU, page 4.</w:t>
      </w:r>
    </w:p>
  </w:footnote>
  <w:footnote w:id="7">
    <w:p w:rsidR="00192CBF" w:rsidRPr="009D5D0C" w:rsidRDefault="00192CBF" w:rsidP="00192CBF">
      <w:pPr>
        <w:autoSpaceDE w:val="0"/>
        <w:autoSpaceDN w:val="0"/>
        <w:adjustRightInd w:val="0"/>
        <w:jc w:val="both"/>
        <w:rPr>
          <w:i/>
          <w:iCs/>
          <w:sz w:val="20"/>
          <w:szCs w:val="20"/>
        </w:rPr>
      </w:pPr>
      <w:r>
        <w:rPr>
          <w:rStyle w:val="FootnoteReference"/>
        </w:rPr>
        <w:footnoteRef/>
      </w:r>
      <w:r>
        <w:t xml:space="preserve"> </w:t>
      </w:r>
      <w:r w:rsidRPr="009D5D0C">
        <w:rPr>
          <w:sz w:val="20"/>
          <w:szCs w:val="20"/>
        </w:rPr>
        <w:t>Order No.</w:t>
      </w:r>
      <w:r w:rsidRPr="001B2E93">
        <w:rPr>
          <w:color w:val="333333"/>
        </w:rPr>
        <w:t xml:space="preserve"> </w:t>
      </w:r>
      <w:r>
        <w:rPr>
          <w:color w:val="333333"/>
          <w:sz w:val="20"/>
          <w:szCs w:val="20"/>
        </w:rPr>
        <w:t>PSC-2025-0033</w:t>
      </w:r>
      <w:r w:rsidRPr="001B2E93">
        <w:rPr>
          <w:color w:val="333333"/>
          <w:sz w:val="20"/>
          <w:szCs w:val="20"/>
        </w:rPr>
        <w:t>-TRF-GU</w:t>
      </w:r>
      <w:r>
        <w:rPr>
          <w:sz w:val="20"/>
          <w:szCs w:val="20"/>
        </w:rPr>
        <w:t>, issued January 28, 2025, in Docket No. 20240134</w:t>
      </w:r>
      <w:r w:rsidRPr="009D5D0C">
        <w:rPr>
          <w:sz w:val="20"/>
          <w:szCs w:val="20"/>
        </w:rPr>
        <w:t xml:space="preserve">-GU, </w:t>
      </w:r>
      <w:r w:rsidRPr="009D5D0C">
        <w:rPr>
          <w:i/>
          <w:iCs/>
          <w:sz w:val="20"/>
          <w:szCs w:val="20"/>
        </w:rPr>
        <w:t>In re: Petition for</w:t>
      </w:r>
      <w:r>
        <w:rPr>
          <w:i/>
          <w:iCs/>
          <w:sz w:val="20"/>
          <w:szCs w:val="20"/>
        </w:rPr>
        <w:t xml:space="preserve"> </w:t>
      </w:r>
      <w:r w:rsidRPr="009D5D0C">
        <w:rPr>
          <w:i/>
          <w:iCs/>
          <w:sz w:val="20"/>
          <w:szCs w:val="20"/>
        </w:rPr>
        <w:t>approval of safety, access, and facility enha</w:t>
      </w:r>
      <w:r>
        <w:rPr>
          <w:i/>
          <w:iCs/>
          <w:sz w:val="20"/>
          <w:szCs w:val="20"/>
        </w:rPr>
        <w:t>ncement program true-up and 2024</w:t>
      </w:r>
      <w:r w:rsidRPr="009D5D0C">
        <w:rPr>
          <w:i/>
          <w:iCs/>
          <w:sz w:val="20"/>
          <w:szCs w:val="20"/>
        </w:rPr>
        <w:t xml:space="preserve"> co</w:t>
      </w:r>
      <w:r>
        <w:rPr>
          <w:i/>
          <w:iCs/>
          <w:sz w:val="20"/>
          <w:szCs w:val="20"/>
        </w:rPr>
        <w:t xml:space="preserve">st recovery factors, by Florida </w:t>
      </w:r>
      <w:r w:rsidRPr="009D5D0C">
        <w:rPr>
          <w:i/>
          <w:iCs/>
          <w:sz w:val="20"/>
          <w:szCs w:val="20"/>
        </w:rPr>
        <w:t>City Gas</w:t>
      </w:r>
      <w:r w:rsidRPr="009D5D0C">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6 ">
      <w:r w:rsidR="00A160CB">
        <w:t>PSC-2025-0396-PCO-GU</w:t>
      </w:r>
    </w:fldSimple>
  </w:p>
  <w:p w:rsidR="00FA6EFD" w:rsidRDefault="00192CBF">
    <w:pPr>
      <w:pStyle w:val="OrderHeader"/>
    </w:pPr>
    <w:bookmarkStart w:id="9" w:name="HeaderDocketNo"/>
    <w:bookmarkEnd w:id="9"/>
    <w:r>
      <w:t>DOCKET NO. 20250111-GU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60C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1-GU"/>
  </w:docVars>
  <w:rsids>
    <w:rsidRoot w:val="00192CBF"/>
    <w:rsid w:val="000022B8"/>
    <w:rsid w:val="00003883"/>
    <w:rsid w:val="00011251"/>
    <w:rsid w:val="00020F7A"/>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2CB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1270"/>
    <w:rsid w:val="00223B99"/>
    <w:rsid w:val="0022721A"/>
    <w:rsid w:val="00230BB9"/>
    <w:rsid w:val="00230F71"/>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0480"/>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60CB"/>
    <w:rsid w:val="00A228DA"/>
    <w:rsid w:val="00A22B28"/>
    <w:rsid w:val="00A328B3"/>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5EDE"/>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3536"/>
    <w:rsid w:val="00F464ED"/>
    <w:rsid w:val="00F54380"/>
    <w:rsid w:val="00F54B47"/>
    <w:rsid w:val="00F61247"/>
    <w:rsid w:val="00F61E18"/>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192CBF"/>
  </w:style>
  <w:style w:type="paragraph" w:customStyle="1" w:styleId="RecommendationMajorSectionHeading">
    <w:name w:val="Recommendation Major Section Heading"/>
    <w:basedOn w:val="Heading1"/>
    <w:next w:val="BodyText"/>
    <w:rsid w:val="00F43536"/>
    <w:pPr>
      <w:jc w:val="center"/>
    </w:pPr>
    <w:rPr>
      <w:rFonts w:ascii="Arial" w:hAnsi="Arial"/>
      <w:b/>
    </w:rPr>
  </w:style>
  <w:style w:type="paragraph" w:styleId="BalloonText">
    <w:name w:val="Balloon Text"/>
    <w:basedOn w:val="Normal"/>
    <w:link w:val="BalloonTextChar"/>
    <w:semiHidden/>
    <w:unhideWhenUsed/>
    <w:rsid w:val="00A160CB"/>
    <w:rPr>
      <w:rFonts w:ascii="Segoe UI" w:hAnsi="Segoe UI" w:cs="Segoe UI"/>
      <w:sz w:val="18"/>
      <w:szCs w:val="18"/>
    </w:rPr>
  </w:style>
  <w:style w:type="character" w:customStyle="1" w:styleId="BalloonTextChar">
    <w:name w:val="Balloon Text Char"/>
    <w:basedOn w:val="DefaultParagraphFont"/>
    <w:link w:val="BalloonText"/>
    <w:semiHidden/>
    <w:rsid w:val="00A16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940</Words>
  <Characters>5362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2025-10-23T12:48:00Z</dcterms:created>
  <dcterms:modified xsi:type="dcterms:W3CDTF">2025-10-23T12:58:00Z</dcterms:modified>
</cp:coreProperties>
</file>