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D424C" w:rsidP="004D424C">
      <w:pPr>
        <w:pStyle w:val="OrderHeading"/>
      </w:pPr>
      <w:r>
        <w:t>BEFORE THE FLORIDA PUBLIC SERVICE COMMISSION</w:t>
      </w:r>
    </w:p>
    <w:p w:rsidR="004D424C" w:rsidRDefault="004D424C" w:rsidP="004D424C">
      <w:pPr>
        <w:pStyle w:val="OrderBody"/>
      </w:pPr>
    </w:p>
    <w:p w:rsidR="004D424C" w:rsidRDefault="004D424C" w:rsidP="004D42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424C" w:rsidRPr="00C63FCF" w:rsidTr="00C63FCF">
        <w:trPr>
          <w:trHeight w:val="828"/>
        </w:trPr>
        <w:tc>
          <w:tcPr>
            <w:tcW w:w="4788" w:type="dxa"/>
            <w:tcBorders>
              <w:bottom w:val="single" w:sz="8" w:space="0" w:color="auto"/>
              <w:right w:val="double" w:sz="6" w:space="0" w:color="auto"/>
            </w:tcBorders>
            <w:shd w:val="clear" w:color="auto" w:fill="auto"/>
          </w:tcPr>
          <w:p w:rsidR="004D424C" w:rsidRDefault="004D424C" w:rsidP="00C63FCF">
            <w:pPr>
              <w:pStyle w:val="OrderBody"/>
              <w:tabs>
                <w:tab w:val="center" w:pos="4320"/>
                <w:tab w:val="right" w:pos="8640"/>
              </w:tabs>
              <w:jc w:val="left"/>
            </w:pPr>
            <w:r>
              <w:t xml:space="preserve">In re: </w:t>
            </w:r>
            <w:bookmarkStart w:id="0" w:name="SSInRe"/>
            <w:bookmarkEnd w:id="0"/>
            <w:r>
              <w:t>Application for staff-assisted rate case in Putnam County, by St. Johns River Estates Utilities, LLC.</w:t>
            </w:r>
          </w:p>
        </w:tc>
        <w:tc>
          <w:tcPr>
            <w:tcW w:w="4788" w:type="dxa"/>
            <w:tcBorders>
              <w:left w:val="double" w:sz="6" w:space="0" w:color="auto"/>
            </w:tcBorders>
            <w:shd w:val="clear" w:color="auto" w:fill="auto"/>
          </w:tcPr>
          <w:p w:rsidR="004D424C" w:rsidRDefault="004D424C" w:rsidP="004D424C">
            <w:pPr>
              <w:pStyle w:val="OrderBody"/>
            </w:pPr>
            <w:r>
              <w:t xml:space="preserve">DOCKET NO. </w:t>
            </w:r>
            <w:bookmarkStart w:id="1" w:name="SSDocketNo"/>
            <w:bookmarkEnd w:id="1"/>
            <w:r>
              <w:t>20250092-WS</w:t>
            </w:r>
          </w:p>
          <w:p w:rsidR="004D424C" w:rsidRDefault="004D424C" w:rsidP="00C63FCF">
            <w:pPr>
              <w:pStyle w:val="OrderBody"/>
              <w:tabs>
                <w:tab w:val="center" w:pos="4320"/>
                <w:tab w:val="right" w:pos="8640"/>
              </w:tabs>
              <w:jc w:val="left"/>
            </w:pPr>
            <w:r>
              <w:t xml:space="preserve">ORDER NO. </w:t>
            </w:r>
            <w:bookmarkStart w:id="2" w:name="OrderNo0401"/>
            <w:r w:rsidR="00E353B4">
              <w:t>PSC-2025-0401-FOF-WS</w:t>
            </w:r>
            <w:bookmarkEnd w:id="2"/>
          </w:p>
          <w:p w:rsidR="004D424C" w:rsidRDefault="004D424C" w:rsidP="00C63FCF">
            <w:pPr>
              <w:pStyle w:val="OrderBody"/>
              <w:tabs>
                <w:tab w:val="center" w:pos="4320"/>
                <w:tab w:val="right" w:pos="8640"/>
              </w:tabs>
              <w:jc w:val="left"/>
            </w:pPr>
            <w:r>
              <w:t xml:space="preserve">ISSUED: </w:t>
            </w:r>
            <w:r w:rsidR="00E353B4">
              <w:t>October 27, 2025</w:t>
            </w:r>
          </w:p>
        </w:tc>
      </w:tr>
    </w:tbl>
    <w:p w:rsidR="004D424C" w:rsidRDefault="004D424C" w:rsidP="004D424C"/>
    <w:p w:rsidR="004D424C" w:rsidRDefault="004D424C" w:rsidP="004D424C"/>
    <w:p w:rsidR="00823B44" w:rsidRDefault="00823B44" w:rsidP="00823B44">
      <w:pPr>
        <w:jc w:val="center"/>
      </w:pPr>
      <w:r>
        <w:t>The following Commissioners participated in the disposition of this matter:</w:t>
      </w:r>
    </w:p>
    <w:p w:rsidR="00823B44" w:rsidRDefault="00823B44" w:rsidP="00823B44">
      <w:pPr>
        <w:jc w:val="center"/>
      </w:pPr>
    </w:p>
    <w:p w:rsidR="00823B44" w:rsidRDefault="00823B44" w:rsidP="00823B44">
      <w:pPr>
        <w:jc w:val="center"/>
      </w:pPr>
      <w:r>
        <w:t>MIKE LA ROSA, Chairman</w:t>
      </w:r>
    </w:p>
    <w:p w:rsidR="00823B44" w:rsidRDefault="00823B44" w:rsidP="00823B44">
      <w:pPr>
        <w:jc w:val="center"/>
      </w:pPr>
      <w:r>
        <w:t>GARY F. CLARK</w:t>
      </w:r>
    </w:p>
    <w:p w:rsidR="00823B44" w:rsidRDefault="00823B44" w:rsidP="00823B44">
      <w:pPr>
        <w:jc w:val="center"/>
      </w:pPr>
      <w:r>
        <w:t>ANDREW GILES FAY</w:t>
      </w:r>
    </w:p>
    <w:p w:rsidR="00823B44" w:rsidRDefault="00823B44" w:rsidP="00823B44">
      <w:pPr>
        <w:jc w:val="center"/>
      </w:pPr>
      <w:r>
        <w:t>GABRIELLA PASSIDOMO SMITH</w:t>
      </w:r>
    </w:p>
    <w:p w:rsidR="00386133" w:rsidRDefault="00386133" w:rsidP="004D424C"/>
    <w:p w:rsidR="007301C8" w:rsidRDefault="007301C8" w:rsidP="004D424C"/>
    <w:p w:rsidR="004D424C" w:rsidRDefault="004D424C" w:rsidP="004D424C">
      <w:pPr>
        <w:pStyle w:val="CenterUnderline"/>
      </w:pPr>
      <w:bookmarkStart w:id="3" w:name="Commissioners"/>
      <w:bookmarkStart w:id="4" w:name="OrderText"/>
      <w:bookmarkEnd w:id="3"/>
      <w:bookmarkEnd w:id="4"/>
      <w:r>
        <w:t>ORDER</w:t>
      </w:r>
      <w:bookmarkStart w:id="5" w:name="OrderTitle"/>
      <w:r>
        <w:t xml:space="preserve"> </w:t>
      </w:r>
      <w:r w:rsidR="00823B44">
        <w:t>DENYING MOTION FOR RECONSIDERATION</w:t>
      </w:r>
      <w:r>
        <w:t xml:space="preserve"> </w:t>
      </w:r>
      <w:bookmarkEnd w:id="5"/>
    </w:p>
    <w:p w:rsidR="00D611C9" w:rsidRDefault="00D611C9" w:rsidP="004D424C">
      <w:pPr>
        <w:pStyle w:val="CenterUnderline"/>
      </w:pPr>
    </w:p>
    <w:p w:rsidR="00D611C9" w:rsidRDefault="00D611C9" w:rsidP="004D424C">
      <w:pPr>
        <w:pStyle w:val="CenterUnderline"/>
      </w:pPr>
    </w:p>
    <w:p w:rsidR="00D611C9" w:rsidRPr="00D611C9" w:rsidRDefault="00D611C9" w:rsidP="00D611C9">
      <w:pPr>
        <w:pStyle w:val="CenterUnderline"/>
        <w:jc w:val="both"/>
        <w:rPr>
          <w:u w:val="none"/>
        </w:rPr>
      </w:pPr>
      <w:r>
        <w:rPr>
          <w:u w:val="none"/>
        </w:rPr>
        <w:t>BY THE COMMISSION:</w:t>
      </w:r>
    </w:p>
    <w:p w:rsidR="004D424C" w:rsidRPr="00823B44" w:rsidRDefault="00417ED2" w:rsidP="00417ED2">
      <w:pPr>
        <w:jc w:val="center"/>
        <w:rPr>
          <w:u w:val="single"/>
        </w:rPr>
      </w:pPr>
      <w:r w:rsidRPr="00823B44">
        <w:rPr>
          <w:u w:val="single"/>
        </w:rPr>
        <w:t>Case Background</w:t>
      </w:r>
    </w:p>
    <w:p w:rsidR="00417ED2" w:rsidRDefault="00417ED2" w:rsidP="00F11A6C"/>
    <w:p w:rsidR="00417ED2" w:rsidRDefault="00417ED2" w:rsidP="00F11A6C">
      <w:pPr>
        <w:pStyle w:val="BodyText"/>
        <w:spacing w:after="0"/>
        <w:ind w:firstLine="720"/>
        <w:jc w:val="both"/>
      </w:pPr>
      <w:r w:rsidRPr="00417ED2">
        <w:t>St. Johns River Estates Utilities, LLC (St. Johns or Utility) is a Class C water and wastewater utility serving approximately 100 customers in Putnam County, Florida. The Utility’s service territory is located in the St. Johns River Water Management District. The Utility received Certificate Nos. 542-W and 470-S in 2020 after a system transfer.</w:t>
      </w:r>
      <w:r w:rsidRPr="00417ED2">
        <w:rPr>
          <w:rStyle w:val="FootnoteReference"/>
        </w:rPr>
        <w:footnoteReference w:id="1"/>
      </w:r>
      <w:r w:rsidRPr="00417ED2">
        <w:t xml:space="preserve"> </w:t>
      </w:r>
      <w:r w:rsidR="00136BED">
        <w:t xml:space="preserve">We </w:t>
      </w:r>
      <w:r w:rsidRPr="00417ED2">
        <w:t>last set the rates for this Utility’s systems in a staff-assisted rate case (SARC) in 2000.</w:t>
      </w:r>
      <w:r w:rsidRPr="00417ED2">
        <w:rPr>
          <w:rStyle w:val="FootnoteReference"/>
        </w:rPr>
        <w:footnoteReference w:id="2"/>
      </w:r>
      <w:r w:rsidRPr="00417ED2">
        <w:t xml:space="preserve"> St. Johns applied for a SARC in Docket No. 20230131-WS</w:t>
      </w:r>
      <w:r w:rsidR="009159D0">
        <w:t>;</w:t>
      </w:r>
      <w:r w:rsidRPr="00417ED2">
        <w:t xml:space="preserve"> however,</w:t>
      </w:r>
      <w:r>
        <w:t xml:space="preserve"> the application was denied after official acceptance because the Utility did not pay the filing fee on time.</w:t>
      </w:r>
      <w:r>
        <w:rPr>
          <w:rStyle w:val="FootnoteReference"/>
        </w:rPr>
        <w:footnoteReference w:id="3"/>
      </w:r>
      <w:r>
        <w:t xml:space="preserve"> The Utility re-applied on January 30, 2024, but the SARC was ultimately denied because St. Johns had not submitted its latest Annual Report and had not paid its regulatory assessment fees.</w:t>
      </w:r>
      <w:r>
        <w:rPr>
          <w:rStyle w:val="FootnoteReference"/>
        </w:rPr>
        <w:footnoteReference w:id="4"/>
      </w:r>
    </w:p>
    <w:p w:rsidR="00F11A6C" w:rsidRDefault="00F11A6C" w:rsidP="00F11A6C">
      <w:pPr>
        <w:pStyle w:val="BodyText"/>
        <w:spacing w:after="0"/>
        <w:jc w:val="both"/>
      </w:pPr>
    </w:p>
    <w:p w:rsidR="00417ED2" w:rsidRDefault="00417ED2" w:rsidP="00F11A6C">
      <w:pPr>
        <w:pStyle w:val="BodyText"/>
        <w:spacing w:after="0"/>
        <w:ind w:firstLine="720"/>
        <w:jc w:val="both"/>
      </w:pPr>
      <w:r>
        <w:t>On July 14, 2025, St. Johns again filed an application for SARC pursuant to Section 367.0814, Florida Statutes (F.S.), and Rule 25-30.455, Florida Administrative Code (F.A.C.).</w:t>
      </w:r>
      <w:r>
        <w:rPr>
          <w:rStyle w:val="FootnoteReference"/>
        </w:rPr>
        <w:footnoteReference w:id="5"/>
      </w:r>
      <w:r>
        <w:t xml:space="preserve"> Once an application is filed, </w:t>
      </w:r>
      <w:r w:rsidR="00BF5693">
        <w:t xml:space="preserve">our </w:t>
      </w:r>
      <w:r>
        <w:t xml:space="preserve">staff has 30 days to either accept or deny the application after making an eligibility and application sufficiency determination pursuant to Sections 367.083 and </w:t>
      </w:r>
      <w:r>
        <w:lastRenderedPageBreak/>
        <w:t xml:space="preserve">367.0814(1), F.S., and Rule 25-30.455(1), (4)–(5), F.A.C. </w:t>
      </w:r>
      <w:r w:rsidR="00FD006E">
        <w:t>Our s</w:t>
      </w:r>
      <w:r>
        <w:t>taff found St. Johns ineligible for a SARC and issued a Denial Letter on August 13, 2025, which was the 30th day.</w:t>
      </w:r>
      <w:r>
        <w:rPr>
          <w:rStyle w:val="FootnoteReference"/>
        </w:rPr>
        <w:footnoteReference w:id="6"/>
      </w:r>
    </w:p>
    <w:p w:rsidR="00326BE2" w:rsidRDefault="00326BE2" w:rsidP="00326BE2">
      <w:pPr>
        <w:pStyle w:val="BodyText"/>
        <w:spacing w:after="0"/>
        <w:jc w:val="both"/>
      </w:pPr>
    </w:p>
    <w:p w:rsidR="00417ED2" w:rsidRDefault="00417ED2" w:rsidP="00326BE2">
      <w:pPr>
        <w:pStyle w:val="BodyText"/>
        <w:spacing w:after="0"/>
        <w:ind w:firstLine="720"/>
        <w:jc w:val="both"/>
      </w:pPr>
      <w:r>
        <w:t>On August 28, 2025, St. Johns filed a Motion for Reconsideration</w:t>
      </w:r>
      <w:r w:rsidR="00FF72CA">
        <w:t xml:space="preserve"> pursuant to Rule 25-30.455(8), F.A.C</w:t>
      </w:r>
      <w:r>
        <w:t>.</w:t>
      </w:r>
      <w:r>
        <w:rPr>
          <w:rStyle w:val="FootnoteReference"/>
        </w:rPr>
        <w:footnoteReference w:id="7"/>
      </w:r>
      <w:r>
        <w:t xml:space="preserve"> The Utility alleges its employee was out on medical leave for four weeks but was now getting caught up. The Utility further alleges that it is “now ready and able to engage [Commission] staff to complete this request.”</w:t>
      </w:r>
    </w:p>
    <w:p w:rsidR="00326BE2" w:rsidRDefault="00326BE2" w:rsidP="00F11A6C">
      <w:pPr>
        <w:pStyle w:val="BodyText"/>
        <w:spacing w:after="0"/>
        <w:jc w:val="both"/>
      </w:pPr>
    </w:p>
    <w:p w:rsidR="004D424C" w:rsidRPr="00417ED2" w:rsidRDefault="00326BE2" w:rsidP="00326BE2">
      <w:pPr>
        <w:ind w:firstLine="720"/>
        <w:jc w:val="both"/>
        <w:rPr>
          <w:b/>
        </w:rPr>
      </w:pPr>
      <w:r>
        <w:t xml:space="preserve">We have </w:t>
      </w:r>
      <w:r w:rsidR="00417ED2">
        <w:t>jurisdiction over this matter pursuant to Chapter 367, including Section 367.0814, F.S.</w:t>
      </w:r>
    </w:p>
    <w:p w:rsidR="00417ED2" w:rsidRDefault="00417ED2" w:rsidP="00134D13">
      <w:pPr>
        <w:pStyle w:val="BodyText"/>
        <w:spacing w:after="0"/>
        <w:jc w:val="both"/>
      </w:pPr>
    </w:p>
    <w:p w:rsidR="00417ED2" w:rsidRDefault="00477D3F" w:rsidP="00134D13">
      <w:pPr>
        <w:pStyle w:val="BodyText"/>
        <w:spacing w:after="0"/>
        <w:jc w:val="center"/>
        <w:rPr>
          <w:u w:val="single"/>
        </w:rPr>
      </w:pPr>
      <w:r>
        <w:rPr>
          <w:u w:val="single"/>
        </w:rPr>
        <w:t>Legal Standard</w:t>
      </w:r>
      <w:r w:rsidR="00834304">
        <w:rPr>
          <w:u w:val="single"/>
        </w:rPr>
        <w:t xml:space="preserve"> of Review</w:t>
      </w:r>
    </w:p>
    <w:p w:rsidR="00134D13" w:rsidRPr="00B67F08" w:rsidRDefault="00134D13" w:rsidP="00134D13">
      <w:pPr>
        <w:pStyle w:val="BodyText"/>
        <w:spacing w:after="0"/>
        <w:rPr>
          <w:u w:val="single"/>
        </w:rPr>
      </w:pPr>
    </w:p>
    <w:p w:rsidR="00417ED2" w:rsidRDefault="00417ED2" w:rsidP="005D3068">
      <w:pPr>
        <w:pStyle w:val="BodyText"/>
        <w:spacing w:after="0"/>
        <w:ind w:firstLine="720"/>
        <w:jc w:val="both"/>
      </w:pPr>
      <w:r>
        <w:t xml:space="preserve">Section 367.083, F.S., provides that “[w]ithin 30 days after receipt of an application . . . for which an official date of filing is to be established, the [C]ommission </w:t>
      </w:r>
      <w:r w:rsidRPr="00AE656B">
        <w:rPr>
          <w:i/>
        </w:rPr>
        <w:t>or its designee shall</w:t>
      </w:r>
      <w:r>
        <w:t xml:space="preserve"> either” accept or reject the application.</w:t>
      </w:r>
      <w:r>
        <w:rPr>
          <w:rStyle w:val="FootnoteReference"/>
        </w:rPr>
        <w:footnoteReference w:id="8"/>
      </w:r>
      <w:r>
        <w:t xml:space="preserve"> Additionally, pursuant to Sect</w:t>
      </w:r>
      <w:r w:rsidRPr="00262BA5">
        <w:t>i</w:t>
      </w:r>
      <w:r w:rsidRPr="0066340D">
        <w:t>on</w:t>
      </w:r>
      <w:r>
        <w:t xml:space="preserve"> 367.0814(1), F.S., th</w:t>
      </w:r>
      <w:r w:rsidR="00ED2E86">
        <w:t xml:space="preserve">is </w:t>
      </w:r>
      <w:r>
        <w:t xml:space="preserve">Commission “may establish rules by which a water or wastewater utility . . . may request staff assistance for the purpose of changing its rates and charges.” </w:t>
      </w:r>
      <w:r w:rsidR="00ED2E86">
        <w:t xml:space="preserve">We </w:t>
      </w:r>
      <w:r>
        <w:t xml:space="preserve">exercised the discretion afforded to </w:t>
      </w:r>
      <w:r w:rsidR="0011049F">
        <w:t>us</w:t>
      </w:r>
      <w:r>
        <w:t xml:space="preserve"> by Sections 367.083 and 367.0814, F.S., in promulgating Rule 25-30.455, F.A.C., to grant </w:t>
      </w:r>
      <w:r w:rsidR="0011049F">
        <w:t xml:space="preserve">our </w:t>
      </w:r>
      <w:r>
        <w:t xml:space="preserve">staff administrative authority to accept or deny SARC applications. This Rule contemplates denials on the bases of eligibility or application deficiency. Subsection (8) of the </w:t>
      </w:r>
      <w:r w:rsidRPr="00B67F08">
        <w:t xml:space="preserve">Rule </w:t>
      </w:r>
      <w:r>
        <w:t>permits</w:t>
      </w:r>
      <w:r w:rsidRPr="00B67F08">
        <w:t xml:space="preserve"> a</w:t>
      </w:r>
      <w:r>
        <w:t xml:space="preserve">n applicant </w:t>
      </w:r>
      <w:r w:rsidRPr="00B67F08">
        <w:t xml:space="preserve">to seek reconsideration </w:t>
      </w:r>
      <w:r>
        <w:t xml:space="preserve">of any such denials before </w:t>
      </w:r>
      <w:r w:rsidR="00254CE9">
        <w:t>this</w:t>
      </w:r>
      <w:r>
        <w:t xml:space="preserve"> Commission.</w:t>
      </w:r>
    </w:p>
    <w:p w:rsidR="00134D13" w:rsidRDefault="00134D13" w:rsidP="005D3068">
      <w:pPr>
        <w:pStyle w:val="BodyText"/>
        <w:spacing w:after="0"/>
        <w:jc w:val="both"/>
      </w:pPr>
    </w:p>
    <w:p w:rsidR="00417ED2" w:rsidRDefault="00417ED2" w:rsidP="005D3068">
      <w:pPr>
        <w:pStyle w:val="CenterUnderline"/>
        <w:ind w:firstLine="720"/>
        <w:jc w:val="both"/>
        <w:rPr>
          <w:u w:val="none"/>
        </w:rPr>
      </w:pPr>
      <w:r w:rsidRPr="00417ED2">
        <w:rPr>
          <w:u w:val="none"/>
        </w:rPr>
        <w:t>Thus, in this circumstance</w:t>
      </w:r>
      <w:r w:rsidR="00814F65">
        <w:rPr>
          <w:u w:val="none"/>
        </w:rPr>
        <w:t>,</w:t>
      </w:r>
      <w:r w:rsidRPr="00417ED2">
        <w:rPr>
          <w:u w:val="none"/>
        </w:rPr>
        <w:t xml:space="preserve"> the appropriate standard of review for reconsideration </w:t>
      </w:r>
      <w:r w:rsidR="00FE410A">
        <w:rPr>
          <w:u w:val="none"/>
        </w:rPr>
        <w:t xml:space="preserve">is the same </w:t>
      </w:r>
      <w:r w:rsidRPr="00417ED2">
        <w:rPr>
          <w:u w:val="none"/>
        </w:rPr>
        <w:t xml:space="preserve">as that of a Commission order—whether the motion identifies a point of fact or law that was overlooked or that was failed to be considered in rendering the decision under review. </w:t>
      </w:r>
      <w:r w:rsidRPr="00417ED2">
        <w:rPr>
          <w:i/>
          <w:u w:val="none"/>
        </w:rPr>
        <w:t>See e.g.</w:t>
      </w:r>
      <w:r w:rsidRPr="00417ED2">
        <w:rPr>
          <w:u w:val="none"/>
        </w:rPr>
        <w:t xml:space="preserve">, </w:t>
      </w:r>
      <w:r w:rsidRPr="00417ED2">
        <w:rPr>
          <w:i/>
          <w:u w:val="none"/>
        </w:rPr>
        <w:t>Stewart Bonded Warehouse, Inc. v. Bevis</w:t>
      </w:r>
      <w:r w:rsidRPr="00417ED2">
        <w:rPr>
          <w:u w:val="none"/>
        </w:rPr>
        <w:t xml:space="preserve">, 294 So. 2d 315 (Fla. 1974); </w:t>
      </w:r>
      <w:r w:rsidRPr="00417ED2">
        <w:rPr>
          <w:i/>
          <w:u w:val="none"/>
        </w:rPr>
        <w:t>Diamond Cab Co. v. King</w:t>
      </w:r>
      <w:r w:rsidRPr="00417ED2">
        <w:rPr>
          <w:u w:val="none"/>
        </w:rPr>
        <w:t xml:space="preserve">, 146 So. 2d 889 (Fla. 1962); </w:t>
      </w:r>
      <w:r w:rsidRPr="00417ED2">
        <w:rPr>
          <w:i/>
          <w:u w:val="none"/>
        </w:rPr>
        <w:t>Pingree v. Quaintance</w:t>
      </w:r>
      <w:r w:rsidRPr="00417ED2">
        <w:rPr>
          <w:u w:val="none"/>
        </w:rPr>
        <w:t xml:space="preserve">, 394 So. 2d 162 (Fla. 1st DCA 1981). It is not appropriate to reargue matters that have already been considered. </w:t>
      </w:r>
      <w:r w:rsidRPr="00417ED2">
        <w:rPr>
          <w:i/>
          <w:u w:val="none"/>
        </w:rPr>
        <w:t>Sherwood v. State</w:t>
      </w:r>
      <w:r w:rsidRPr="00417ED2">
        <w:rPr>
          <w:u w:val="none"/>
        </w:rPr>
        <w:t xml:space="preserve">, 111 So. 2d 96 (Fla. 3d DCA 1959); </w:t>
      </w:r>
      <w:r w:rsidRPr="00417ED2">
        <w:rPr>
          <w:i/>
          <w:u w:val="none"/>
        </w:rPr>
        <w:t>citing State ex. rel. Jaytex Realty Co. v. Green</w:t>
      </w:r>
      <w:r w:rsidRPr="00417ED2">
        <w:rPr>
          <w:u w:val="none"/>
        </w:rPr>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Pr="00417ED2">
        <w:rPr>
          <w:i/>
          <w:u w:val="none"/>
        </w:rPr>
        <w:t>Stewart Bonded Warehouse, Inc.</w:t>
      </w:r>
      <w:r w:rsidRPr="00417ED2">
        <w:rPr>
          <w:u w:val="none"/>
        </w:rPr>
        <w:t>, 294 So. 2d at 317.</w:t>
      </w:r>
    </w:p>
    <w:p w:rsidR="006D491B" w:rsidRPr="005E4F84" w:rsidRDefault="006D491B" w:rsidP="006D491B">
      <w:pPr>
        <w:pStyle w:val="CenterUnderline"/>
        <w:jc w:val="both"/>
        <w:rPr>
          <w:u w:val="none"/>
        </w:rPr>
      </w:pPr>
    </w:p>
    <w:p w:rsidR="00417ED2" w:rsidRDefault="00F2121D" w:rsidP="005D3068">
      <w:pPr>
        <w:pStyle w:val="BodyText"/>
        <w:spacing w:after="0"/>
        <w:jc w:val="center"/>
        <w:rPr>
          <w:u w:val="single"/>
        </w:rPr>
      </w:pPr>
      <w:r>
        <w:rPr>
          <w:u w:val="single"/>
        </w:rPr>
        <w:t>Decision and Analysis</w:t>
      </w:r>
    </w:p>
    <w:p w:rsidR="006D491B" w:rsidRDefault="006D491B" w:rsidP="006D491B">
      <w:pPr>
        <w:pStyle w:val="BodyText"/>
        <w:spacing w:after="0"/>
        <w:jc w:val="both"/>
      </w:pPr>
    </w:p>
    <w:p w:rsidR="00417ED2" w:rsidRDefault="00417ED2" w:rsidP="005D3068">
      <w:pPr>
        <w:pStyle w:val="BodyText"/>
        <w:spacing w:after="0"/>
        <w:ind w:firstLine="720"/>
        <w:jc w:val="both"/>
      </w:pPr>
      <w:r w:rsidRPr="00417ED2">
        <w:t>Eligibility requirements for a SARC are reflected in Rule 25-30.455(1), (4)(c), F.A.C. Specifically, an applicant must (1) have total gross annual operating revenues no more than</w:t>
      </w:r>
      <w:r>
        <w:t xml:space="preserve"> </w:t>
      </w:r>
      <w:r w:rsidRPr="00787F33">
        <w:t>$335,000 for water service or wastewater service (or $670,000 on a combined basis); (2) have at least one year of experience operating the utility for which the rate increase is sought; (3) be in compliance with annual report filings pursuant to Rule 25-30.110(3)–(5), F.A.C.; (4) be up-to-</w:t>
      </w:r>
      <w:r w:rsidRPr="00787F33">
        <w:lastRenderedPageBreak/>
        <w:t>date with all regulatory assessment fee payments or on an approved payment plan; and (5) allow for preliminary examination of the condition of the utility’s books and reco</w:t>
      </w:r>
      <w:r>
        <w:t>rds. At issue here was the final prong of the eligibility analysis.</w:t>
      </w:r>
    </w:p>
    <w:p w:rsidR="006D185E" w:rsidRDefault="006D185E" w:rsidP="006D185E">
      <w:pPr>
        <w:pStyle w:val="BodyText"/>
        <w:spacing w:after="0"/>
        <w:jc w:val="both"/>
      </w:pPr>
    </w:p>
    <w:p w:rsidR="00417ED2" w:rsidRDefault="00F2121D" w:rsidP="005D3068">
      <w:pPr>
        <w:pStyle w:val="BodyText"/>
        <w:spacing w:after="0"/>
        <w:ind w:firstLine="720"/>
        <w:jc w:val="both"/>
      </w:pPr>
      <w:r>
        <w:t>Our s</w:t>
      </w:r>
      <w:r w:rsidR="00417ED2" w:rsidRPr="00255299">
        <w:t xml:space="preserve">taff made multiple attempts to reach St. Johns using a mixture of phone calls, voicemail messages, and e-mails in order to verify the condition of the Utility’s books and records. </w:t>
      </w:r>
      <w:r w:rsidR="001E4A4A">
        <w:t>Our s</w:t>
      </w:r>
      <w:r w:rsidR="00417ED2" w:rsidRPr="00255299">
        <w:t>taff called the Utility on July 22</w:t>
      </w:r>
      <w:r w:rsidR="00417ED2">
        <w:t>nd</w:t>
      </w:r>
      <w:r w:rsidR="00417ED2" w:rsidRPr="00255299">
        <w:t>, July 23</w:t>
      </w:r>
      <w:r w:rsidR="00417ED2">
        <w:t>rd</w:t>
      </w:r>
      <w:r w:rsidR="00417ED2" w:rsidRPr="00255299">
        <w:t>, July 25</w:t>
      </w:r>
      <w:r w:rsidR="00417ED2">
        <w:t>th</w:t>
      </w:r>
      <w:r w:rsidR="00417ED2" w:rsidRPr="00255299">
        <w:t>, and August 5</w:t>
      </w:r>
      <w:r w:rsidR="00417ED2">
        <w:t>th</w:t>
      </w:r>
      <w:r w:rsidR="00417ED2" w:rsidRPr="00255299">
        <w:t xml:space="preserve">. </w:t>
      </w:r>
      <w:r w:rsidR="001E4A4A">
        <w:t>Our s</w:t>
      </w:r>
      <w:r w:rsidR="00417ED2" w:rsidRPr="00255299">
        <w:t xml:space="preserve">taff left voicemail messages introducing themselves and explaining the reason for the calls on more than one occasion. In addition, </w:t>
      </w:r>
      <w:r w:rsidR="001E4A4A">
        <w:t xml:space="preserve">our </w:t>
      </w:r>
      <w:r w:rsidR="00417ED2">
        <w:t>s</w:t>
      </w:r>
      <w:r w:rsidR="00417ED2" w:rsidRPr="00255299">
        <w:t>taff e-mailed St. Johns for the purpose of obtaining the necessary information on July 23</w:t>
      </w:r>
      <w:r w:rsidR="00417ED2">
        <w:t>rd</w:t>
      </w:r>
      <w:r w:rsidR="00417ED2" w:rsidRPr="00255299">
        <w:t>, twice on July 30</w:t>
      </w:r>
      <w:r w:rsidR="00417ED2">
        <w:t>th</w:t>
      </w:r>
      <w:r w:rsidR="00417ED2" w:rsidRPr="00255299">
        <w:t>, and on August 8</w:t>
      </w:r>
      <w:r w:rsidR="00417ED2">
        <w:t>th</w:t>
      </w:r>
      <w:r w:rsidR="00417ED2" w:rsidRPr="00255299">
        <w:t xml:space="preserve">. All contact attempts were made using the phone number and e-mail address on file with </w:t>
      </w:r>
      <w:r w:rsidR="001E4A4A">
        <w:t>this</w:t>
      </w:r>
      <w:r w:rsidR="00417ED2" w:rsidRPr="00255299">
        <w:t xml:space="preserve"> Commission and provided in the application filing. However, the Utility was unresponsive. </w:t>
      </w:r>
      <w:r w:rsidR="001E4A4A">
        <w:t>Our s</w:t>
      </w:r>
      <w:r w:rsidR="00417ED2" w:rsidRPr="00255299">
        <w:t xml:space="preserve">taff </w:t>
      </w:r>
      <w:r w:rsidR="00417ED2">
        <w:t>was</w:t>
      </w:r>
      <w:r w:rsidR="00417ED2" w:rsidRPr="00255299">
        <w:t xml:space="preserve"> </w:t>
      </w:r>
      <w:r w:rsidR="00417ED2">
        <w:t xml:space="preserve">therefore </w:t>
      </w:r>
      <w:r w:rsidR="00417ED2" w:rsidRPr="00255299">
        <w:t>unable to determin</w:t>
      </w:r>
      <w:r w:rsidR="00417ED2">
        <w:t xml:space="preserve">e </w:t>
      </w:r>
      <w:r w:rsidR="00417ED2" w:rsidRPr="00255299">
        <w:t xml:space="preserve">the current condition of St. Johns’ books and records. </w:t>
      </w:r>
      <w:r w:rsidR="001E4A4A">
        <w:t>Our s</w:t>
      </w:r>
      <w:r w:rsidR="00417ED2" w:rsidRPr="00255299">
        <w:t>taff also note</w:t>
      </w:r>
      <w:r w:rsidR="00417ED2">
        <w:t>d</w:t>
      </w:r>
      <w:r w:rsidR="00417ED2" w:rsidRPr="00255299">
        <w:t xml:space="preserve"> that when St. Johns was last audited in Docket No. 20230131-WS, auditing staff determined the Utility’s books and records were not in accordance with the National Association of Regulatory Utility Commissioners’ Uniform System of Accounts. </w:t>
      </w:r>
      <w:r w:rsidR="00417ED2">
        <w:t xml:space="preserve">Because of these circumstances, </w:t>
      </w:r>
      <w:r w:rsidR="001E4A4A">
        <w:t xml:space="preserve">our </w:t>
      </w:r>
      <w:r w:rsidR="00417ED2">
        <w:t>s</w:t>
      </w:r>
      <w:r w:rsidR="00417ED2" w:rsidRPr="00255299">
        <w:t xml:space="preserve">taff </w:t>
      </w:r>
      <w:r w:rsidR="00417ED2">
        <w:t>found St. Johns ineligible for a SARC and issued a Denial Letter on August 13, 2025 (which was the last day a decision could be made).</w:t>
      </w:r>
      <w:r w:rsidR="00417ED2">
        <w:rPr>
          <w:rStyle w:val="FootnoteReference"/>
        </w:rPr>
        <w:footnoteReference w:id="9"/>
      </w:r>
    </w:p>
    <w:p w:rsidR="006D185E" w:rsidRDefault="006D185E" w:rsidP="006D185E">
      <w:pPr>
        <w:pStyle w:val="BodyText"/>
        <w:spacing w:after="0"/>
        <w:jc w:val="both"/>
      </w:pPr>
    </w:p>
    <w:p w:rsidR="00417ED2" w:rsidRDefault="00417ED2" w:rsidP="005D3068">
      <w:pPr>
        <w:pStyle w:val="BodyText"/>
        <w:spacing w:after="0"/>
        <w:ind w:firstLine="720"/>
        <w:jc w:val="both"/>
      </w:pPr>
      <w:r>
        <w:t xml:space="preserve">In its Motion for Reconsideration, </w:t>
      </w:r>
      <w:r w:rsidR="0001010A">
        <w:t>t</w:t>
      </w:r>
      <w:r>
        <w:t>he Utility</w:t>
      </w:r>
      <w:r w:rsidRPr="00196CDA">
        <w:t xml:space="preserve"> </w:t>
      </w:r>
      <w:r>
        <w:t>states</w:t>
      </w:r>
      <w:r w:rsidRPr="00196CDA">
        <w:t xml:space="preserve"> that </w:t>
      </w:r>
      <w:r>
        <w:t>its employee was out on medical leave for four weeks but was now getting caught up. At best, the Utility seeks to put forward new information not previously provided to</w:t>
      </w:r>
      <w:r w:rsidR="001E4A4A">
        <w:t xml:space="preserve"> our</w:t>
      </w:r>
      <w:r>
        <w:t xml:space="preserve"> staff in order to explain the lack of communication. However, this merely confirms the Utility’s own unresponsiveness during the time in question. The Denial Letter was not premised upon a mistaken belief that the unresponsiveness was intentional rather than unintentional. </w:t>
      </w:r>
      <w:r w:rsidR="001E4A4A">
        <w:t xml:space="preserve">We were </w:t>
      </w:r>
      <w:r>
        <w:t xml:space="preserve">required to either accept or deny the application by August 13, 2025, pursuant to Rule 25-30.455(4)(a), F.A.C. In addition, even if one estimates that the employee was </w:t>
      </w:r>
      <w:r w:rsidRPr="00141776">
        <w:t>out on medical leave for the four weeks prior to filing</w:t>
      </w:r>
      <w:r>
        <w:t xml:space="preserve"> the Motion for Reconsideration, this would still suggest that the </w:t>
      </w:r>
      <w:r w:rsidRPr="00141776">
        <w:t xml:space="preserve">Utility received four of </w:t>
      </w:r>
      <w:r w:rsidR="001E4A4A">
        <w:t xml:space="preserve">our </w:t>
      </w:r>
      <w:r w:rsidRPr="00141776">
        <w:t>staff’s attempted communicatio</w:t>
      </w:r>
      <w:r>
        <w:t>ns during the week of July 21st but still did not respond.</w:t>
      </w:r>
    </w:p>
    <w:p w:rsidR="00BF4428" w:rsidRDefault="00BF4428" w:rsidP="00BF4428">
      <w:pPr>
        <w:pStyle w:val="BodyText"/>
        <w:spacing w:after="0"/>
        <w:jc w:val="both"/>
      </w:pPr>
    </w:p>
    <w:p w:rsidR="00417ED2" w:rsidRDefault="00417ED2" w:rsidP="005D3068">
      <w:pPr>
        <w:pStyle w:val="BodyText"/>
        <w:spacing w:after="0"/>
        <w:ind w:firstLine="720"/>
        <w:jc w:val="both"/>
      </w:pPr>
      <w:r w:rsidRPr="00417ED2">
        <w:t xml:space="preserve">St. Johns further asserts that it is “now ready and able to engage </w:t>
      </w:r>
      <w:r w:rsidR="000C3C9F">
        <w:t>[Commission]</w:t>
      </w:r>
      <w:r w:rsidRPr="00417ED2">
        <w:t xml:space="preserve"> staff to complete this request.” Upon receiving St. Johns’ Motion for </w:t>
      </w:r>
      <w:r w:rsidR="000C0466">
        <w:t xml:space="preserve">Reconsideration on August 28th, our </w:t>
      </w:r>
      <w:r w:rsidRPr="00417ED2">
        <w:t xml:space="preserve">staff e-mailed the Utility asking if it was available to discuss that afternoon. The Utility did not respond. On September 8th, </w:t>
      </w:r>
      <w:r w:rsidR="000C0466">
        <w:t xml:space="preserve">our </w:t>
      </w:r>
      <w:r w:rsidRPr="00417ED2">
        <w:t xml:space="preserve">staff left the Utility a voicemail message requesting to set up a time to discuss its motion and application for </w:t>
      </w:r>
      <w:r w:rsidR="000C0466">
        <w:t xml:space="preserve">a </w:t>
      </w:r>
      <w:r w:rsidRPr="00417ED2">
        <w:t xml:space="preserve">SARC. The Utility did not respond. On September 23rd, the Utility e-mailed and asked if the SARC </w:t>
      </w:r>
      <w:r w:rsidR="000C0466">
        <w:t xml:space="preserve">was moving </w:t>
      </w:r>
      <w:r w:rsidRPr="00417ED2">
        <w:t xml:space="preserve">forward. </w:t>
      </w:r>
      <w:r w:rsidR="006F7B83">
        <w:t>Our s</w:t>
      </w:r>
      <w:r w:rsidRPr="00417ED2">
        <w:t xml:space="preserve">taff replied by e-mail that the SARC could not proceed at this time and that the Motion for Reconsideration would be addressed by </w:t>
      </w:r>
      <w:r w:rsidR="006F7B83">
        <w:t xml:space="preserve">us </w:t>
      </w:r>
      <w:r w:rsidRPr="00417ED2">
        <w:t xml:space="preserve">on October 7th. </w:t>
      </w:r>
      <w:r w:rsidR="001E7667">
        <w:t>Our s</w:t>
      </w:r>
      <w:r w:rsidRPr="00417ED2">
        <w:t xml:space="preserve">taff also suggested in </w:t>
      </w:r>
      <w:r w:rsidR="001E7667">
        <w:t>its</w:t>
      </w:r>
      <w:r w:rsidRPr="00417ED2">
        <w:t xml:space="preserve"> reply e-mail that a call to discuss could be set up if St. Johns</w:t>
      </w:r>
      <w:r w:rsidR="00F36A6B">
        <w:t xml:space="preserve"> was interested. However, as of our Agenda Conference on October 7th, </w:t>
      </w:r>
      <w:r w:rsidRPr="00417ED2">
        <w:t>the Utility</w:t>
      </w:r>
      <w:r>
        <w:t xml:space="preserve"> </w:t>
      </w:r>
      <w:r w:rsidRPr="0013560C">
        <w:t xml:space="preserve">has still not contacted </w:t>
      </w:r>
      <w:r w:rsidR="00F36A6B">
        <w:t xml:space="preserve">our </w:t>
      </w:r>
      <w:r>
        <w:t>auditing staff (whose contact information</w:t>
      </w:r>
      <w:r w:rsidRPr="0013560C">
        <w:t xml:space="preserve"> </w:t>
      </w:r>
      <w:r>
        <w:t>was</w:t>
      </w:r>
      <w:r w:rsidRPr="0013560C">
        <w:t xml:space="preserve"> provided numerous times) despite </w:t>
      </w:r>
      <w:r w:rsidR="00F36A6B">
        <w:t>the Utility’s</w:t>
      </w:r>
      <w:r w:rsidRPr="0013560C">
        <w:t xml:space="preserve"> assertion that it was “now ready and able to engage </w:t>
      </w:r>
      <w:r w:rsidR="00F36A6B">
        <w:t>[Commission]</w:t>
      </w:r>
      <w:r w:rsidRPr="0013560C">
        <w:t xml:space="preserve"> </w:t>
      </w:r>
      <w:r>
        <w:t>staff to complete this request.” Thus, the same periodic unresponsiveness and lack of information continues.</w:t>
      </w:r>
    </w:p>
    <w:p w:rsidR="00417ED2" w:rsidRDefault="00417ED2" w:rsidP="005D3068">
      <w:pPr>
        <w:pStyle w:val="BodyText"/>
        <w:spacing w:after="0"/>
        <w:ind w:firstLine="720"/>
        <w:jc w:val="both"/>
      </w:pPr>
      <w:r>
        <w:lastRenderedPageBreak/>
        <w:t xml:space="preserve">Therefore </w:t>
      </w:r>
      <w:r w:rsidR="00B8445B">
        <w:t xml:space="preserve">we find that </w:t>
      </w:r>
      <w:r>
        <w:t xml:space="preserve">the Utility has failed to raise a point of fact or law that was overlooked or that was failed to be considered </w:t>
      </w:r>
      <w:r w:rsidR="004C1EC1">
        <w:t>in</w:t>
      </w:r>
      <w:r>
        <w:t xml:space="preserve"> issuing the Denial Letter, particularly when St. Johns was provided the maximum amount of time to respond permitted by statute. </w:t>
      </w:r>
      <w:r w:rsidR="00504B36">
        <w:t>In addition, we</w:t>
      </w:r>
      <w:r w:rsidR="002213E0">
        <w:t xml:space="preserve"> further find that </w:t>
      </w:r>
      <w:r w:rsidR="0001010A">
        <w:t xml:space="preserve">our staff </w:t>
      </w:r>
      <w:r>
        <w:t xml:space="preserve">appropriately denied the </w:t>
      </w:r>
      <w:r w:rsidR="00504B36">
        <w:t xml:space="preserve">SARC </w:t>
      </w:r>
      <w:r>
        <w:t xml:space="preserve">application </w:t>
      </w:r>
      <w:r w:rsidR="00504B36">
        <w:t>in these circumstances and that our staff made</w:t>
      </w:r>
      <w:r w:rsidR="00762D48">
        <w:t xml:space="preserve"> more than</w:t>
      </w:r>
      <w:r w:rsidR="00504B36">
        <w:t xml:space="preserve"> reasonable efforts to contact the Utility.</w:t>
      </w:r>
    </w:p>
    <w:p w:rsidR="00BF35F0" w:rsidRDefault="00BF35F0" w:rsidP="00BF35F0">
      <w:pPr>
        <w:pStyle w:val="BodyText"/>
        <w:spacing w:after="0"/>
        <w:jc w:val="both"/>
      </w:pPr>
    </w:p>
    <w:p w:rsidR="00BF35F0" w:rsidRPr="00BF35F0" w:rsidRDefault="00BF35F0" w:rsidP="00BF35F0">
      <w:pPr>
        <w:pStyle w:val="BodyText"/>
        <w:spacing w:after="0"/>
        <w:jc w:val="center"/>
        <w:rPr>
          <w:u w:val="single"/>
        </w:rPr>
      </w:pPr>
      <w:r w:rsidRPr="00BF35F0">
        <w:rPr>
          <w:u w:val="single"/>
        </w:rPr>
        <w:t>Conclusion</w:t>
      </w:r>
    </w:p>
    <w:p w:rsidR="00877E5D" w:rsidRDefault="00877E5D" w:rsidP="00877E5D">
      <w:pPr>
        <w:pStyle w:val="BodyText"/>
        <w:spacing w:after="0"/>
        <w:jc w:val="both"/>
      </w:pPr>
    </w:p>
    <w:p w:rsidR="00417ED2" w:rsidRPr="00C40DB6" w:rsidRDefault="00C55D5F" w:rsidP="00C55D5F">
      <w:pPr>
        <w:pStyle w:val="BodyText"/>
        <w:spacing w:after="0"/>
        <w:ind w:firstLine="720"/>
        <w:jc w:val="both"/>
      </w:pPr>
      <w:r>
        <w:t xml:space="preserve">Based on the foregoing, </w:t>
      </w:r>
      <w:r w:rsidR="00934097">
        <w:t xml:space="preserve">we apply this Commission’s traditional standard of review and deny </w:t>
      </w:r>
      <w:r w:rsidR="00417ED2">
        <w:t>St. Johns’ Moti</w:t>
      </w:r>
      <w:r>
        <w:t xml:space="preserve">on for Reconsideration because </w:t>
      </w:r>
      <w:r w:rsidR="00417ED2">
        <w:t>the Utility has failed to raise a point of fact or law that was overlooked or not considered in issuing the Denial Letter.</w:t>
      </w:r>
      <w:r w:rsidR="00F00C48">
        <w:t xml:space="preserve"> As originally explained in the Denial Letter, when St. Johns is ready and able to engage our staff in regular, timely, and ongoing communication, it may file a new application for a SARC to complete the eligibility </w:t>
      </w:r>
      <w:r w:rsidR="007279A0">
        <w:t>assessment</w:t>
      </w:r>
      <w:r w:rsidR="00F00C48">
        <w:t>.</w:t>
      </w:r>
    </w:p>
    <w:p w:rsidR="004D424C" w:rsidRDefault="004D424C" w:rsidP="00417ED2">
      <w:pPr>
        <w:pStyle w:val="CenterUnderline"/>
        <w:jc w:val="both"/>
        <w:rPr>
          <w:u w:val="none"/>
        </w:rPr>
      </w:pPr>
    </w:p>
    <w:p w:rsidR="004D424C" w:rsidRPr="00817318" w:rsidRDefault="004D424C" w:rsidP="004D424C">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4D424C" w:rsidRPr="00817318" w:rsidRDefault="004D424C" w:rsidP="004D424C">
      <w:pPr>
        <w:pStyle w:val="ListParagraph"/>
        <w:ind w:left="0"/>
        <w:jc w:val="both"/>
        <w:rPr>
          <w:rFonts w:ascii="Times New Roman" w:hAnsi="Times New Roman"/>
          <w:iCs/>
          <w:color w:val="212121"/>
        </w:rPr>
      </w:pPr>
    </w:p>
    <w:p w:rsidR="004D424C" w:rsidRDefault="004D424C" w:rsidP="004D424C">
      <w:pPr>
        <w:pStyle w:val="ListParagraph"/>
        <w:ind w:left="0"/>
        <w:jc w:val="both"/>
        <w:rPr>
          <w:rFonts w:ascii="Times New Roman" w:hAnsi="Times New Roman"/>
          <w:iCs/>
          <w:color w:val="212121"/>
        </w:rPr>
      </w:pPr>
      <w:r w:rsidRPr="00817318">
        <w:rPr>
          <w:rFonts w:ascii="Times New Roman" w:hAnsi="Times New Roman"/>
          <w:iCs/>
          <w:color w:val="212121"/>
        </w:rPr>
        <w:tab/>
        <w:t xml:space="preserve">ORDERED by </w:t>
      </w:r>
      <w:r w:rsidR="000620B9">
        <w:rPr>
          <w:rFonts w:ascii="Times New Roman" w:hAnsi="Times New Roman"/>
          <w:iCs/>
          <w:color w:val="212121"/>
        </w:rPr>
        <w:t xml:space="preserve">the Florida Public Service Commission that </w:t>
      </w:r>
      <w:r w:rsidR="00FE2349" w:rsidRPr="00FE2349">
        <w:rPr>
          <w:rFonts w:ascii="Times New Roman" w:hAnsi="Times New Roman"/>
          <w:iCs/>
          <w:color w:val="212121"/>
        </w:rPr>
        <w:t>St. Johns River Estates Utilities, LLC</w:t>
      </w:r>
      <w:r w:rsidR="00E54523">
        <w:rPr>
          <w:rFonts w:ascii="Times New Roman" w:hAnsi="Times New Roman"/>
          <w:iCs/>
          <w:color w:val="212121"/>
        </w:rPr>
        <w:t xml:space="preserve">’s </w:t>
      </w:r>
      <w:r>
        <w:rPr>
          <w:rFonts w:ascii="Times New Roman" w:hAnsi="Times New Roman"/>
          <w:iCs/>
          <w:color w:val="212121"/>
        </w:rPr>
        <w:t xml:space="preserve">Motion </w:t>
      </w:r>
      <w:r w:rsidR="005F0483">
        <w:rPr>
          <w:rFonts w:ascii="Times New Roman" w:hAnsi="Times New Roman"/>
          <w:iCs/>
          <w:color w:val="212121"/>
        </w:rPr>
        <w:t>for Reconsideration is DENIED. It is further</w:t>
      </w:r>
    </w:p>
    <w:p w:rsidR="005F0483" w:rsidRDefault="005F0483" w:rsidP="004D424C">
      <w:pPr>
        <w:pStyle w:val="ListParagraph"/>
        <w:ind w:left="0"/>
        <w:jc w:val="both"/>
        <w:rPr>
          <w:rFonts w:ascii="Times New Roman" w:hAnsi="Times New Roman"/>
          <w:iCs/>
          <w:color w:val="212121"/>
        </w:rPr>
      </w:pPr>
    </w:p>
    <w:p w:rsidR="005F0483" w:rsidRDefault="005F0483" w:rsidP="004D424C">
      <w:pPr>
        <w:pStyle w:val="ListParagraph"/>
        <w:ind w:left="0"/>
        <w:jc w:val="both"/>
        <w:rPr>
          <w:rFonts w:ascii="Times New Roman" w:hAnsi="Times New Roman"/>
          <w:iCs/>
          <w:color w:val="212121"/>
        </w:rPr>
      </w:pPr>
      <w:r>
        <w:rPr>
          <w:rFonts w:ascii="Times New Roman" w:hAnsi="Times New Roman"/>
          <w:iCs/>
          <w:color w:val="212121"/>
        </w:rPr>
        <w:tab/>
        <w:t>ORDERED that this docket shall be closed.</w:t>
      </w:r>
    </w:p>
    <w:p w:rsidR="004D424C" w:rsidRDefault="004D424C" w:rsidP="004D424C">
      <w:pPr>
        <w:pStyle w:val="ListParagraph"/>
        <w:ind w:left="0"/>
        <w:jc w:val="both"/>
        <w:rPr>
          <w:rFonts w:ascii="Times New Roman" w:hAnsi="Times New Roman"/>
          <w:iCs/>
          <w:color w:val="212121"/>
        </w:rPr>
      </w:pPr>
    </w:p>
    <w:p w:rsidR="004D424C" w:rsidRDefault="004D424C" w:rsidP="004D424C">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w:t>
      </w:r>
      <w:r w:rsidR="00157A27">
        <w:rPr>
          <w:rFonts w:ascii="Times New Roman" w:hAnsi="Times New Roman"/>
          <w:iCs/>
          <w:color w:val="212121"/>
        </w:rPr>
        <w:t xml:space="preserve">the Florida Public Service Commission </w:t>
      </w:r>
      <w:r>
        <w:rPr>
          <w:rFonts w:ascii="Times New Roman" w:hAnsi="Times New Roman"/>
          <w:iCs/>
          <w:color w:val="212121"/>
        </w:rPr>
        <w:t xml:space="preserve">this </w:t>
      </w:r>
      <w:bookmarkStart w:id="6" w:name="replaceDate"/>
      <w:bookmarkEnd w:id="6"/>
      <w:r w:rsidR="00E353B4">
        <w:rPr>
          <w:rFonts w:ascii="Times New Roman" w:hAnsi="Times New Roman"/>
          <w:iCs/>
          <w:color w:val="212121"/>
          <w:u w:val="single"/>
        </w:rPr>
        <w:t>27th</w:t>
      </w:r>
      <w:r w:rsidR="00E353B4">
        <w:rPr>
          <w:rFonts w:ascii="Times New Roman" w:hAnsi="Times New Roman"/>
          <w:iCs/>
          <w:color w:val="212121"/>
        </w:rPr>
        <w:t xml:space="preserve"> day of </w:t>
      </w:r>
      <w:r w:rsidR="00E353B4">
        <w:rPr>
          <w:rFonts w:ascii="Times New Roman" w:hAnsi="Times New Roman"/>
          <w:iCs/>
          <w:color w:val="212121"/>
          <w:u w:val="single"/>
        </w:rPr>
        <w:t>October</w:t>
      </w:r>
      <w:r w:rsidR="00E353B4">
        <w:rPr>
          <w:rFonts w:ascii="Times New Roman" w:hAnsi="Times New Roman"/>
          <w:iCs/>
          <w:color w:val="212121"/>
        </w:rPr>
        <w:t xml:space="preserve">, </w:t>
      </w:r>
      <w:r w:rsidR="00E353B4">
        <w:rPr>
          <w:rFonts w:ascii="Times New Roman" w:hAnsi="Times New Roman"/>
          <w:iCs/>
          <w:color w:val="212121"/>
          <w:u w:val="single"/>
        </w:rPr>
        <w:t>2025</w:t>
      </w:r>
      <w:r w:rsidR="00E353B4">
        <w:rPr>
          <w:rFonts w:ascii="Times New Roman" w:hAnsi="Times New Roman"/>
          <w:iCs/>
          <w:color w:val="212121"/>
        </w:rPr>
        <w:t>.</w:t>
      </w:r>
    </w:p>
    <w:p w:rsidR="00E353B4" w:rsidRPr="00E353B4" w:rsidRDefault="00E353B4" w:rsidP="004D424C">
      <w:pPr>
        <w:pStyle w:val="ListParagraph"/>
        <w:keepNext/>
        <w:keepLines/>
        <w:ind w:left="0"/>
        <w:jc w:val="both"/>
        <w:rPr>
          <w:rFonts w:ascii="Times New Roman" w:hAnsi="Times New Roman"/>
          <w:iCs/>
          <w:color w:val="212121"/>
        </w:rPr>
      </w:pPr>
    </w:p>
    <w:p w:rsidR="004D424C" w:rsidRDefault="004D424C" w:rsidP="004D424C">
      <w:pPr>
        <w:pStyle w:val="ListParagraph"/>
        <w:keepNext/>
        <w:keepLines/>
        <w:ind w:left="0"/>
        <w:jc w:val="both"/>
        <w:rPr>
          <w:rFonts w:ascii="Times New Roman" w:hAnsi="Times New Roman"/>
          <w:iCs/>
          <w:color w:val="212121"/>
        </w:rPr>
      </w:pPr>
    </w:p>
    <w:p w:rsidR="00D1070B" w:rsidRDefault="00D1070B" w:rsidP="004D424C">
      <w:pPr>
        <w:pStyle w:val="ListParagraph"/>
        <w:keepNext/>
        <w:keepLines/>
        <w:ind w:left="0"/>
        <w:jc w:val="both"/>
        <w:rPr>
          <w:rFonts w:ascii="Times New Roman" w:hAnsi="Times New Roman"/>
          <w:iCs/>
          <w:color w:val="212121"/>
        </w:rPr>
      </w:pPr>
    </w:p>
    <w:p w:rsidR="004D424C" w:rsidRDefault="004D424C" w:rsidP="004D424C">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4D424C" w:rsidTr="004D424C">
        <w:tc>
          <w:tcPr>
            <w:tcW w:w="720" w:type="dxa"/>
            <w:shd w:val="clear" w:color="auto" w:fill="auto"/>
          </w:tcPr>
          <w:p w:rsidR="004D424C" w:rsidRDefault="004D424C" w:rsidP="004D424C">
            <w:pPr>
              <w:pStyle w:val="ListParagraph"/>
              <w:keepNext/>
              <w:keepLines/>
              <w:ind w:left="0"/>
              <w:jc w:val="both"/>
              <w:rPr>
                <w:rFonts w:ascii="Times New Roman" w:hAnsi="Times New Roman"/>
                <w:iCs/>
                <w:color w:val="212121"/>
              </w:rPr>
            </w:pPr>
            <w:bookmarkStart w:id="7" w:name="bkmrkSignature" w:colFirst="0" w:colLast="0"/>
          </w:p>
        </w:tc>
        <w:tc>
          <w:tcPr>
            <w:tcW w:w="4320" w:type="dxa"/>
            <w:tcBorders>
              <w:bottom w:val="single" w:sz="4" w:space="0" w:color="auto"/>
            </w:tcBorders>
            <w:shd w:val="clear" w:color="auto" w:fill="auto"/>
          </w:tcPr>
          <w:p w:rsidR="004D424C" w:rsidRDefault="008328AC" w:rsidP="004D424C">
            <w:pPr>
              <w:pStyle w:val="ListParagraph"/>
              <w:keepNext/>
              <w:keepLines/>
              <w:ind w:left="0"/>
              <w:jc w:val="both"/>
              <w:rPr>
                <w:rFonts w:ascii="Times New Roman" w:hAnsi="Times New Roman"/>
                <w:iCs/>
                <w:color w:val="212121"/>
              </w:rPr>
            </w:pPr>
            <w:r>
              <w:rPr>
                <w:rFonts w:ascii="Times New Roman" w:hAnsi="Times New Roman"/>
                <w:iCs/>
                <w:color w:val="212121"/>
              </w:rPr>
              <w:t>/s/ Adam J. Teitzman</w:t>
            </w:r>
            <w:bookmarkStart w:id="8" w:name="_GoBack"/>
            <w:bookmarkEnd w:id="8"/>
          </w:p>
        </w:tc>
      </w:tr>
      <w:bookmarkEnd w:id="7"/>
      <w:tr w:rsidR="004D424C" w:rsidTr="004D424C">
        <w:tc>
          <w:tcPr>
            <w:tcW w:w="720" w:type="dxa"/>
            <w:shd w:val="clear" w:color="auto" w:fill="auto"/>
          </w:tcPr>
          <w:p w:rsidR="004D424C" w:rsidRDefault="004D424C" w:rsidP="004D424C">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4D424C" w:rsidRDefault="0030598B" w:rsidP="004D424C">
            <w:pPr>
              <w:pStyle w:val="ListParagraph"/>
              <w:keepNext/>
              <w:keepLines/>
              <w:ind w:left="0"/>
              <w:jc w:val="both"/>
              <w:rPr>
                <w:rFonts w:ascii="Times New Roman" w:hAnsi="Times New Roman"/>
                <w:iCs/>
                <w:color w:val="212121"/>
              </w:rPr>
            </w:pPr>
            <w:r>
              <w:rPr>
                <w:rFonts w:ascii="Times New Roman" w:hAnsi="Times New Roman"/>
                <w:iCs/>
                <w:color w:val="212121"/>
              </w:rPr>
              <w:t>ADAM J. TEITZMAN</w:t>
            </w:r>
          </w:p>
          <w:p w:rsidR="004D424C" w:rsidRDefault="004D424C" w:rsidP="0030598B">
            <w:pPr>
              <w:pStyle w:val="ListParagraph"/>
              <w:keepNext/>
              <w:keepLines/>
              <w:ind w:left="0"/>
              <w:jc w:val="both"/>
              <w:rPr>
                <w:rFonts w:ascii="Times New Roman" w:hAnsi="Times New Roman"/>
                <w:iCs/>
                <w:color w:val="212121"/>
              </w:rPr>
            </w:pPr>
            <w:r>
              <w:rPr>
                <w:rFonts w:ascii="Times New Roman" w:hAnsi="Times New Roman"/>
                <w:iCs/>
                <w:color w:val="212121"/>
              </w:rPr>
              <w:t>Commission</w:t>
            </w:r>
            <w:r w:rsidR="0030598B">
              <w:rPr>
                <w:rFonts w:ascii="Times New Roman" w:hAnsi="Times New Roman"/>
                <w:iCs/>
                <w:color w:val="212121"/>
              </w:rPr>
              <w:t xml:space="preserve"> Clerk</w:t>
            </w:r>
          </w:p>
        </w:tc>
      </w:tr>
    </w:tbl>
    <w:p w:rsidR="004D424C" w:rsidRDefault="004D424C" w:rsidP="004D424C">
      <w:pPr>
        <w:pStyle w:val="OrderSigInfo"/>
        <w:keepNext/>
        <w:keepLines/>
      </w:pPr>
      <w:r>
        <w:t>Florida Public Service Commission</w:t>
      </w:r>
    </w:p>
    <w:p w:rsidR="004D424C" w:rsidRDefault="004D424C" w:rsidP="004D424C">
      <w:pPr>
        <w:pStyle w:val="OrderSigInfo"/>
        <w:keepNext/>
        <w:keepLines/>
      </w:pPr>
      <w:r>
        <w:t>2540 Shumard Oak Boulevard</w:t>
      </w:r>
    </w:p>
    <w:p w:rsidR="004D424C" w:rsidRDefault="004D424C" w:rsidP="004D424C">
      <w:pPr>
        <w:pStyle w:val="OrderSigInfo"/>
        <w:keepNext/>
        <w:keepLines/>
      </w:pPr>
      <w:r>
        <w:t>Tallahassee, Florida 32399</w:t>
      </w:r>
    </w:p>
    <w:p w:rsidR="004D424C" w:rsidRDefault="004D424C" w:rsidP="004D424C">
      <w:pPr>
        <w:pStyle w:val="OrderSigInfo"/>
        <w:keepNext/>
        <w:keepLines/>
      </w:pPr>
      <w:r>
        <w:t>(850) 413</w:t>
      </w:r>
      <w:r>
        <w:noBreakHyphen/>
        <w:t>6770</w:t>
      </w:r>
    </w:p>
    <w:p w:rsidR="004D424C" w:rsidRDefault="004D424C" w:rsidP="004D424C">
      <w:pPr>
        <w:pStyle w:val="OrderSigInfo"/>
        <w:keepNext/>
        <w:keepLines/>
      </w:pPr>
      <w:r>
        <w:t>www.floridapsc.com</w:t>
      </w:r>
    </w:p>
    <w:p w:rsidR="004D424C" w:rsidRDefault="004D424C" w:rsidP="004D424C">
      <w:pPr>
        <w:pStyle w:val="OrderSigInfo"/>
        <w:keepNext/>
        <w:keepLines/>
      </w:pPr>
    </w:p>
    <w:p w:rsidR="004D424C" w:rsidRDefault="004D424C" w:rsidP="004D424C">
      <w:pPr>
        <w:pStyle w:val="OrderSigInfo"/>
        <w:keepNext/>
        <w:keepLines/>
      </w:pPr>
      <w:r>
        <w:t>Copies furnished: A copy of this document is provided to the parties of record at the time of issuance and, if applicable, interested persons.</w:t>
      </w:r>
    </w:p>
    <w:p w:rsidR="004D424C" w:rsidRDefault="004D424C" w:rsidP="004D424C">
      <w:pPr>
        <w:pStyle w:val="OrderBody"/>
        <w:keepNext/>
        <w:keepLines/>
      </w:pPr>
    </w:p>
    <w:p w:rsidR="004D424C" w:rsidRDefault="004D424C" w:rsidP="004D424C">
      <w:pPr>
        <w:pStyle w:val="ListParagraph"/>
        <w:keepNext/>
        <w:keepLines/>
        <w:ind w:left="0"/>
        <w:jc w:val="both"/>
        <w:rPr>
          <w:rFonts w:ascii="Times New Roman" w:hAnsi="Times New Roman"/>
          <w:iCs/>
          <w:color w:val="212121"/>
        </w:rPr>
      </w:pPr>
    </w:p>
    <w:p w:rsidR="004D424C" w:rsidRDefault="004D424C" w:rsidP="004D424C">
      <w:pPr>
        <w:pStyle w:val="ListParagraph"/>
        <w:keepNext/>
        <w:keepLines/>
        <w:ind w:left="0"/>
        <w:jc w:val="both"/>
        <w:rPr>
          <w:rFonts w:ascii="Times New Roman" w:hAnsi="Times New Roman"/>
          <w:iCs/>
          <w:color w:val="212121"/>
        </w:rPr>
      </w:pPr>
      <w:r>
        <w:rPr>
          <w:rFonts w:ascii="Times New Roman" w:hAnsi="Times New Roman"/>
          <w:iCs/>
          <w:color w:val="212121"/>
        </w:rPr>
        <w:t>CMM</w:t>
      </w:r>
    </w:p>
    <w:p w:rsidR="004D424C" w:rsidRDefault="004D424C" w:rsidP="004D424C">
      <w:pPr>
        <w:pStyle w:val="ListParagraph"/>
        <w:ind w:left="0"/>
        <w:jc w:val="both"/>
        <w:rPr>
          <w:rFonts w:ascii="Times New Roman" w:hAnsi="Times New Roman"/>
          <w:iCs/>
          <w:color w:val="212121"/>
        </w:rPr>
      </w:pPr>
    </w:p>
    <w:p w:rsidR="004D424C" w:rsidRDefault="004D424C">
      <w:pPr>
        <w:rPr>
          <w:rFonts w:eastAsia="Calibri"/>
          <w:iCs/>
          <w:color w:val="212121"/>
        </w:rPr>
      </w:pPr>
      <w:r>
        <w:rPr>
          <w:iCs/>
          <w:color w:val="212121"/>
        </w:rPr>
        <w:br w:type="page"/>
      </w:r>
    </w:p>
    <w:p w:rsidR="004D424C" w:rsidRDefault="004D424C" w:rsidP="004D424C">
      <w:pPr>
        <w:pStyle w:val="CenterUnderline"/>
      </w:pPr>
      <w:r>
        <w:lastRenderedPageBreak/>
        <w:t>NOTICE OF JUDICIAL REVIEW</w:t>
      </w:r>
    </w:p>
    <w:p w:rsidR="004D424C" w:rsidRDefault="004D424C" w:rsidP="004D424C">
      <w:pPr>
        <w:pStyle w:val="CenterUnderline"/>
      </w:pPr>
    </w:p>
    <w:p w:rsidR="004D424C" w:rsidRDefault="004D424C" w:rsidP="004D424C">
      <w:pPr>
        <w:pStyle w:val="OrderBody"/>
      </w:pPr>
      <w:r>
        <w:tab/>
        <w:t xml:space="preserve">The Florida Public Service Commission </w:t>
      </w:r>
      <w:r w:rsidR="00A93EFA">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424C" w:rsidRDefault="004D424C" w:rsidP="004D424C">
      <w:pPr>
        <w:pStyle w:val="OrderBody"/>
      </w:pPr>
    </w:p>
    <w:p w:rsidR="004D424C" w:rsidRDefault="004D424C" w:rsidP="004D424C">
      <w:pPr>
        <w:pStyle w:val="OrderBody"/>
      </w:pPr>
      <w:r>
        <w:tab/>
        <w:t>Any party adversely affected by the Commission's final action in this matter may request judicial review by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D424C" w:rsidRDefault="004D424C" w:rsidP="004D424C">
      <w:pPr>
        <w:pStyle w:val="OrderBody"/>
      </w:pPr>
    </w:p>
    <w:p w:rsidR="004D424C" w:rsidRDefault="004D424C" w:rsidP="004D424C">
      <w:pPr>
        <w:pStyle w:val="OrderBody"/>
      </w:pPr>
    </w:p>
    <w:p w:rsidR="004D424C" w:rsidRDefault="004D424C" w:rsidP="004D424C">
      <w:pPr>
        <w:pStyle w:val="OrderBody"/>
      </w:pPr>
    </w:p>
    <w:p w:rsidR="004D424C" w:rsidRDefault="004D424C" w:rsidP="004D424C">
      <w:pPr>
        <w:pStyle w:val="ListParagraph"/>
        <w:ind w:left="0"/>
        <w:jc w:val="both"/>
        <w:rPr>
          <w:rFonts w:ascii="Times New Roman" w:hAnsi="Times New Roman"/>
          <w:iCs/>
          <w:color w:val="212121"/>
        </w:rPr>
      </w:pPr>
    </w:p>
    <w:p w:rsidR="00CB5276" w:rsidRDefault="00CB5276">
      <w:pPr>
        <w:pStyle w:val="OrderBody"/>
      </w:pPr>
    </w:p>
    <w:p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24C" w:rsidRDefault="004D424C">
      <w:r>
        <w:separator/>
      </w:r>
    </w:p>
  </w:endnote>
  <w:endnote w:type="continuationSeparator" w:id="0">
    <w:p w:rsidR="004D424C" w:rsidRDefault="004D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24C" w:rsidRDefault="004D424C">
      <w:r>
        <w:separator/>
      </w:r>
    </w:p>
  </w:footnote>
  <w:footnote w:type="continuationSeparator" w:id="0">
    <w:p w:rsidR="004D424C" w:rsidRDefault="004D424C">
      <w:r>
        <w:continuationSeparator/>
      </w:r>
    </w:p>
  </w:footnote>
  <w:footnote w:id="1">
    <w:p w:rsidR="00417ED2" w:rsidRDefault="00417ED2" w:rsidP="00417ED2">
      <w:pPr>
        <w:pStyle w:val="FootnoteText"/>
      </w:pPr>
      <w:r>
        <w:rPr>
          <w:rStyle w:val="FootnoteReference"/>
        </w:rPr>
        <w:footnoteRef/>
      </w:r>
      <w:r>
        <w:t xml:space="preserve"> Order No. PSC-2020-0454-PAA-WS, issued November 23, 2020, in Docket No. 20180214-WS, </w:t>
      </w:r>
      <w:r w:rsidRPr="00BD09BB">
        <w:rPr>
          <w:i/>
        </w:rPr>
        <w:t>In re: Application to transfer facilities and Certificate Nos. 542-W and 470-S in Putnam County from St. John’s River Club Utility Company, LLC to St. Johns River Estates Utilities, LLC</w:t>
      </w:r>
      <w:r>
        <w:t>.</w:t>
      </w:r>
    </w:p>
  </w:footnote>
  <w:footnote w:id="2">
    <w:p w:rsidR="00417ED2" w:rsidRDefault="00417ED2" w:rsidP="00417ED2">
      <w:pPr>
        <w:pStyle w:val="FootnoteText"/>
      </w:pPr>
      <w:r>
        <w:rPr>
          <w:rStyle w:val="FootnoteReference"/>
        </w:rPr>
        <w:footnoteRef/>
      </w:r>
      <w:r>
        <w:t xml:space="preserve"> Order No. PSC-00-2500-PAA-WS, issued December 26, 2000, in Docket No. 20000327-WS, </w:t>
      </w:r>
      <w:r w:rsidRPr="000E504E">
        <w:rPr>
          <w:i/>
        </w:rPr>
        <w:t>In re: Application for staff-assisted rate case in Putnam County by Buffalo Bluff Utilities, Inc.</w:t>
      </w:r>
    </w:p>
  </w:footnote>
  <w:footnote w:id="3">
    <w:p w:rsidR="00417ED2" w:rsidRDefault="00417ED2" w:rsidP="00417ED2">
      <w:pPr>
        <w:pStyle w:val="FootnoteText"/>
      </w:pPr>
      <w:r>
        <w:rPr>
          <w:rStyle w:val="FootnoteReference"/>
        </w:rPr>
        <w:footnoteRef/>
      </w:r>
      <w:r>
        <w:t xml:space="preserve"> Document No. 00363-2024, filed on January 29, 2024, in Docket No. 20230131-WS.</w:t>
      </w:r>
    </w:p>
  </w:footnote>
  <w:footnote w:id="4">
    <w:p w:rsidR="00417ED2" w:rsidRDefault="00417ED2" w:rsidP="00417ED2">
      <w:pPr>
        <w:pStyle w:val="FootnoteText"/>
      </w:pPr>
      <w:r>
        <w:rPr>
          <w:rStyle w:val="FootnoteReference"/>
        </w:rPr>
        <w:footnoteRef/>
      </w:r>
      <w:r>
        <w:t xml:space="preserve"> Order No. PSC-2024-0455-FOF-WS, issued October 18, 2024, in Docket No. 20230131-WS, </w:t>
      </w:r>
      <w:r w:rsidRPr="007F5359">
        <w:rPr>
          <w:i/>
        </w:rPr>
        <w:t>In re: Application for staff-assisted rate case in Putnam County, by St. Johns River Estates Utilities, LLC</w:t>
      </w:r>
      <w:r>
        <w:t>.</w:t>
      </w:r>
    </w:p>
  </w:footnote>
  <w:footnote w:id="5">
    <w:p w:rsidR="00417ED2" w:rsidRDefault="00417ED2" w:rsidP="00417ED2">
      <w:pPr>
        <w:pStyle w:val="FootnoteText"/>
      </w:pPr>
      <w:r>
        <w:rPr>
          <w:rStyle w:val="FootnoteReference"/>
        </w:rPr>
        <w:footnoteRef/>
      </w:r>
      <w:r>
        <w:t xml:space="preserve"> Document No. </w:t>
      </w:r>
      <w:r w:rsidRPr="00AA4908">
        <w:t>05657-2025</w:t>
      </w:r>
      <w:r>
        <w:t>, filed on July 14, 2025, in Docket No. 20250092-WS.</w:t>
      </w:r>
    </w:p>
  </w:footnote>
  <w:footnote w:id="6">
    <w:p w:rsidR="00417ED2" w:rsidRDefault="00417ED2" w:rsidP="00417ED2">
      <w:pPr>
        <w:pStyle w:val="FootnoteText"/>
      </w:pPr>
      <w:r>
        <w:rPr>
          <w:rStyle w:val="FootnoteReference"/>
        </w:rPr>
        <w:footnoteRef/>
      </w:r>
      <w:r>
        <w:t xml:space="preserve"> Document No. </w:t>
      </w:r>
      <w:r w:rsidRPr="008F7057">
        <w:t>07881-2025</w:t>
      </w:r>
      <w:r>
        <w:t>, filed on August 13, 2025, in Docket No. 20250092-WS.</w:t>
      </w:r>
    </w:p>
  </w:footnote>
  <w:footnote w:id="7">
    <w:p w:rsidR="00417ED2" w:rsidRDefault="00417ED2" w:rsidP="00417ED2">
      <w:pPr>
        <w:pStyle w:val="FootnoteText"/>
      </w:pPr>
      <w:r>
        <w:rPr>
          <w:rStyle w:val="FootnoteReference"/>
        </w:rPr>
        <w:footnoteRef/>
      </w:r>
      <w:r>
        <w:t xml:space="preserve"> Document No. </w:t>
      </w:r>
      <w:r w:rsidRPr="00CE6299">
        <w:t>08519-2025</w:t>
      </w:r>
      <w:r>
        <w:t>, filed on August 28, 2025, in Docket No. 20250092-WS.</w:t>
      </w:r>
    </w:p>
  </w:footnote>
  <w:footnote w:id="8">
    <w:p w:rsidR="00417ED2" w:rsidRDefault="00417ED2" w:rsidP="00417ED2">
      <w:pPr>
        <w:pStyle w:val="FootnoteText"/>
      </w:pPr>
      <w:r>
        <w:rPr>
          <w:rStyle w:val="FootnoteReference"/>
        </w:rPr>
        <w:footnoteRef/>
      </w:r>
      <w:r>
        <w:t xml:space="preserve"> (emphasis added).</w:t>
      </w:r>
    </w:p>
  </w:footnote>
  <w:footnote w:id="9">
    <w:p w:rsidR="00417ED2" w:rsidRDefault="00417ED2" w:rsidP="00417ED2">
      <w:pPr>
        <w:pStyle w:val="FootnoteText"/>
      </w:pPr>
      <w:r>
        <w:rPr>
          <w:rStyle w:val="FootnoteReference"/>
        </w:rPr>
        <w:footnoteRef/>
      </w:r>
      <w:r>
        <w:t xml:space="preserve"> Document No. </w:t>
      </w:r>
      <w:r w:rsidRPr="008F7057">
        <w:t>07881-2025</w:t>
      </w:r>
      <w:r>
        <w:t>, filed on August 13, 2025, in Docket No. 20250092-WS.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1 ">
      <w:r w:rsidR="00D1070B">
        <w:t>PSC-2025-0401-FOF-WS</w:t>
      </w:r>
    </w:fldSimple>
  </w:p>
  <w:p w:rsidR="00FA6EFD" w:rsidRDefault="004D424C">
    <w:pPr>
      <w:pStyle w:val="OrderHeader"/>
    </w:pPr>
    <w:bookmarkStart w:id="9" w:name="HeaderDocketNo"/>
    <w:bookmarkEnd w:id="9"/>
    <w:r>
      <w:t>DOCKET NO. 20250092-WS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28AC">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2-WS"/>
  </w:docVars>
  <w:rsids>
    <w:rsidRoot w:val="004D424C"/>
    <w:rsid w:val="000022B8"/>
    <w:rsid w:val="00003883"/>
    <w:rsid w:val="0001010A"/>
    <w:rsid w:val="00011251"/>
    <w:rsid w:val="00025C2A"/>
    <w:rsid w:val="00025C9D"/>
    <w:rsid w:val="0003433F"/>
    <w:rsid w:val="00035A8C"/>
    <w:rsid w:val="00036BDD"/>
    <w:rsid w:val="00041FFD"/>
    <w:rsid w:val="00042C99"/>
    <w:rsid w:val="00053AB9"/>
    <w:rsid w:val="00056229"/>
    <w:rsid w:val="00057AF1"/>
    <w:rsid w:val="000620B9"/>
    <w:rsid w:val="00065FC2"/>
    <w:rsid w:val="00067685"/>
    <w:rsid w:val="00067B07"/>
    <w:rsid w:val="00072DAE"/>
    <w:rsid w:val="000730D7"/>
    <w:rsid w:val="000745E4"/>
    <w:rsid w:val="00076E6B"/>
    <w:rsid w:val="00081AE4"/>
    <w:rsid w:val="0008247D"/>
    <w:rsid w:val="00090AFC"/>
    <w:rsid w:val="00096507"/>
    <w:rsid w:val="000A774F"/>
    <w:rsid w:val="000B1603"/>
    <w:rsid w:val="000B60C2"/>
    <w:rsid w:val="000B783E"/>
    <w:rsid w:val="000B7AD2"/>
    <w:rsid w:val="000B7D81"/>
    <w:rsid w:val="000C0466"/>
    <w:rsid w:val="000C1994"/>
    <w:rsid w:val="000C3C9F"/>
    <w:rsid w:val="000C6926"/>
    <w:rsid w:val="000D02B8"/>
    <w:rsid w:val="000D06E8"/>
    <w:rsid w:val="000D3354"/>
    <w:rsid w:val="000D52C1"/>
    <w:rsid w:val="000D6E65"/>
    <w:rsid w:val="000D70C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355B"/>
    <w:rsid w:val="00104333"/>
    <w:rsid w:val="001052BA"/>
    <w:rsid w:val="0011049F"/>
    <w:rsid w:val="001107B3"/>
    <w:rsid w:val="001114B1"/>
    <w:rsid w:val="001133FD"/>
    <w:rsid w:val="001139D8"/>
    <w:rsid w:val="00116AD3"/>
    <w:rsid w:val="00121957"/>
    <w:rsid w:val="00122846"/>
    <w:rsid w:val="0012387E"/>
    <w:rsid w:val="001259EC"/>
    <w:rsid w:val="00126593"/>
    <w:rsid w:val="00134177"/>
    <w:rsid w:val="00134D13"/>
    <w:rsid w:val="00136087"/>
    <w:rsid w:val="00136BED"/>
    <w:rsid w:val="00142A96"/>
    <w:rsid w:val="001513DE"/>
    <w:rsid w:val="00154A71"/>
    <w:rsid w:val="00157A27"/>
    <w:rsid w:val="001655D4"/>
    <w:rsid w:val="00165803"/>
    <w:rsid w:val="001726E6"/>
    <w:rsid w:val="00187E32"/>
    <w:rsid w:val="001918FF"/>
    <w:rsid w:val="00194A97"/>
    <w:rsid w:val="00194E81"/>
    <w:rsid w:val="001A15E7"/>
    <w:rsid w:val="001A33C9"/>
    <w:rsid w:val="001A58F3"/>
    <w:rsid w:val="001B034E"/>
    <w:rsid w:val="001B3994"/>
    <w:rsid w:val="001C2847"/>
    <w:rsid w:val="001C3BB5"/>
    <w:rsid w:val="001C3F8C"/>
    <w:rsid w:val="001C445C"/>
    <w:rsid w:val="001C6097"/>
    <w:rsid w:val="001C7126"/>
    <w:rsid w:val="001D008A"/>
    <w:rsid w:val="001D2526"/>
    <w:rsid w:val="001E0152"/>
    <w:rsid w:val="001E0FF5"/>
    <w:rsid w:val="001E4A4A"/>
    <w:rsid w:val="001E7667"/>
    <w:rsid w:val="001F0095"/>
    <w:rsid w:val="001F36B0"/>
    <w:rsid w:val="001F4CA3"/>
    <w:rsid w:val="001F59E0"/>
    <w:rsid w:val="002002ED"/>
    <w:rsid w:val="002044DD"/>
    <w:rsid w:val="002170E5"/>
    <w:rsid w:val="002179AC"/>
    <w:rsid w:val="00220D57"/>
    <w:rsid w:val="002213E0"/>
    <w:rsid w:val="002228D9"/>
    <w:rsid w:val="00223B99"/>
    <w:rsid w:val="0022721A"/>
    <w:rsid w:val="00230BB9"/>
    <w:rsid w:val="002310B3"/>
    <w:rsid w:val="0023260A"/>
    <w:rsid w:val="00233E36"/>
    <w:rsid w:val="00241CEF"/>
    <w:rsid w:val="0025124E"/>
    <w:rsid w:val="00252B30"/>
    <w:rsid w:val="0025366D"/>
    <w:rsid w:val="00254CE9"/>
    <w:rsid w:val="00255291"/>
    <w:rsid w:val="002613E4"/>
    <w:rsid w:val="00262C43"/>
    <w:rsid w:val="0026544B"/>
    <w:rsid w:val="00270F89"/>
    <w:rsid w:val="00276CDC"/>
    <w:rsid w:val="00277655"/>
    <w:rsid w:val="002824B7"/>
    <w:rsid w:val="00282AC4"/>
    <w:rsid w:val="002846A1"/>
    <w:rsid w:val="00293DC9"/>
    <w:rsid w:val="00293EDF"/>
    <w:rsid w:val="00297C37"/>
    <w:rsid w:val="002A11AC"/>
    <w:rsid w:val="002A1B95"/>
    <w:rsid w:val="002A6F30"/>
    <w:rsid w:val="002A7884"/>
    <w:rsid w:val="002B3111"/>
    <w:rsid w:val="002C09F5"/>
    <w:rsid w:val="002C118E"/>
    <w:rsid w:val="002C2096"/>
    <w:rsid w:val="002C7908"/>
    <w:rsid w:val="002D15D5"/>
    <w:rsid w:val="002D391B"/>
    <w:rsid w:val="002D421D"/>
    <w:rsid w:val="002D4B1F"/>
    <w:rsid w:val="002D7D15"/>
    <w:rsid w:val="002E1B2E"/>
    <w:rsid w:val="002E27EB"/>
    <w:rsid w:val="002E4EF4"/>
    <w:rsid w:val="002E78B6"/>
    <w:rsid w:val="002F04AD"/>
    <w:rsid w:val="002F0F1A"/>
    <w:rsid w:val="002F0F1C"/>
    <w:rsid w:val="002F21E1"/>
    <w:rsid w:val="002F2A9D"/>
    <w:rsid w:val="002F31C2"/>
    <w:rsid w:val="002F6117"/>
    <w:rsid w:val="002F655F"/>
    <w:rsid w:val="002F7BF6"/>
    <w:rsid w:val="00303FDE"/>
    <w:rsid w:val="0030598B"/>
    <w:rsid w:val="00313C5B"/>
    <w:rsid w:val="003140E8"/>
    <w:rsid w:val="00321702"/>
    <w:rsid w:val="00322CB7"/>
    <w:rsid w:val="003231C7"/>
    <w:rsid w:val="00323839"/>
    <w:rsid w:val="00326BE2"/>
    <w:rsid w:val="003270C4"/>
    <w:rsid w:val="00331ED0"/>
    <w:rsid w:val="00332B0A"/>
    <w:rsid w:val="00333A41"/>
    <w:rsid w:val="00340012"/>
    <w:rsid w:val="00341036"/>
    <w:rsid w:val="00345434"/>
    <w:rsid w:val="00351C22"/>
    <w:rsid w:val="0035495B"/>
    <w:rsid w:val="00355A93"/>
    <w:rsid w:val="00360F30"/>
    <w:rsid w:val="00361522"/>
    <w:rsid w:val="0036743E"/>
    <w:rsid w:val="0037196E"/>
    <w:rsid w:val="003744F5"/>
    <w:rsid w:val="00382C6A"/>
    <w:rsid w:val="00386133"/>
    <w:rsid w:val="003875A9"/>
    <w:rsid w:val="00387BDE"/>
    <w:rsid w:val="00390DD8"/>
    <w:rsid w:val="00394DC6"/>
    <w:rsid w:val="00397C3E"/>
    <w:rsid w:val="003B1A09"/>
    <w:rsid w:val="003B6F02"/>
    <w:rsid w:val="003C0431"/>
    <w:rsid w:val="003C29BB"/>
    <w:rsid w:val="003D2CFC"/>
    <w:rsid w:val="003D3989"/>
    <w:rsid w:val="003D4CCA"/>
    <w:rsid w:val="003D52A6"/>
    <w:rsid w:val="003D6416"/>
    <w:rsid w:val="003E1D48"/>
    <w:rsid w:val="003E711F"/>
    <w:rsid w:val="003F1D2B"/>
    <w:rsid w:val="003F49A6"/>
    <w:rsid w:val="003F518F"/>
    <w:rsid w:val="003F6BA7"/>
    <w:rsid w:val="003F7445"/>
    <w:rsid w:val="00411DF2"/>
    <w:rsid w:val="00411E8F"/>
    <w:rsid w:val="00416393"/>
    <w:rsid w:val="00417ED2"/>
    <w:rsid w:val="004226AE"/>
    <w:rsid w:val="004247F5"/>
    <w:rsid w:val="0042527B"/>
    <w:rsid w:val="0042692A"/>
    <w:rsid w:val="0042705B"/>
    <w:rsid w:val="00427EAC"/>
    <w:rsid w:val="004411F7"/>
    <w:rsid w:val="0044246A"/>
    <w:rsid w:val="004431B4"/>
    <w:rsid w:val="00443E26"/>
    <w:rsid w:val="00445604"/>
    <w:rsid w:val="00451158"/>
    <w:rsid w:val="00452BA8"/>
    <w:rsid w:val="0045537F"/>
    <w:rsid w:val="00457DC7"/>
    <w:rsid w:val="004640B3"/>
    <w:rsid w:val="00472BCC"/>
    <w:rsid w:val="00477699"/>
    <w:rsid w:val="00477D3F"/>
    <w:rsid w:val="004A25CD"/>
    <w:rsid w:val="004A26CC"/>
    <w:rsid w:val="004B2108"/>
    <w:rsid w:val="004B3A2B"/>
    <w:rsid w:val="004B70D3"/>
    <w:rsid w:val="004C1EC1"/>
    <w:rsid w:val="004C312D"/>
    <w:rsid w:val="004D2D1B"/>
    <w:rsid w:val="004D424C"/>
    <w:rsid w:val="004D5067"/>
    <w:rsid w:val="004D6838"/>
    <w:rsid w:val="004D72BC"/>
    <w:rsid w:val="004E469D"/>
    <w:rsid w:val="004E7F4F"/>
    <w:rsid w:val="004F2DDE"/>
    <w:rsid w:val="004F5A55"/>
    <w:rsid w:val="004F6426"/>
    <w:rsid w:val="004F7826"/>
    <w:rsid w:val="0050097F"/>
    <w:rsid w:val="00504B36"/>
    <w:rsid w:val="00514B1F"/>
    <w:rsid w:val="00523C5C"/>
    <w:rsid w:val="00524884"/>
    <w:rsid w:val="00525E93"/>
    <w:rsid w:val="0052671D"/>
    <w:rsid w:val="005300C0"/>
    <w:rsid w:val="00532ADA"/>
    <w:rsid w:val="00533EF6"/>
    <w:rsid w:val="00536B8F"/>
    <w:rsid w:val="00540E6B"/>
    <w:rsid w:val="0054109E"/>
    <w:rsid w:val="0055595D"/>
    <w:rsid w:val="00556A10"/>
    <w:rsid w:val="00557F50"/>
    <w:rsid w:val="00571D3D"/>
    <w:rsid w:val="0058264B"/>
    <w:rsid w:val="00586368"/>
    <w:rsid w:val="005868AA"/>
    <w:rsid w:val="00590845"/>
    <w:rsid w:val="005963C2"/>
    <w:rsid w:val="005A0D69"/>
    <w:rsid w:val="005A31F4"/>
    <w:rsid w:val="005A6CBD"/>
    <w:rsid w:val="005A73EA"/>
    <w:rsid w:val="005B45F7"/>
    <w:rsid w:val="005B63EA"/>
    <w:rsid w:val="005C1A88"/>
    <w:rsid w:val="005C5033"/>
    <w:rsid w:val="005D3068"/>
    <w:rsid w:val="005D4E1B"/>
    <w:rsid w:val="005E4F84"/>
    <w:rsid w:val="005E751B"/>
    <w:rsid w:val="005F0483"/>
    <w:rsid w:val="005F2751"/>
    <w:rsid w:val="005F3354"/>
    <w:rsid w:val="005F4AD6"/>
    <w:rsid w:val="0060005E"/>
    <w:rsid w:val="0060095B"/>
    <w:rsid w:val="00601266"/>
    <w:rsid w:val="00610221"/>
    <w:rsid w:val="00610E73"/>
    <w:rsid w:val="00615F9B"/>
    <w:rsid w:val="00616DF2"/>
    <w:rsid w:val="0062385D"/>
    <w:rsid w:val="0063168D"/>
    <w:rsid w:val="00632849"/>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6E25"/>
    <w:rsid w:val="00677F18"/>
    <w:rsid w:val="00682579"/>
    <w:rsid w:val="00693483"/>
    <w:rsid w:val="006A0BF3"/>
    <w:rsid w:val="006A36F9"/>
    <w:rsid w:val="006A502B"/>
    <w:rsid w:val="006B0036"/>
    <w:rsid w:val="006B0DA6"/>
    <w:rsid w:val="006B3FA9"/>
    <w:rsid w:val="006C4076"/>
    <w:rsid w:val="006C547E"/>
    <w:rsid w:val="006D185E"/>
    <w:rsid w:val="006D2B51"/>
    <w:rsid w:val="006D2FCA"/>
    <w:rsid w:val="006D491B"/>
    <w:rsid w:val="006D5575"/>
    <w:rsid w:val="006D7191"/>
    <w:rsid w:val="006E21C4"/>
    <w:rsid w:val="006E42BE"/>
    <w:rsid w:val="006E5D4D"/>
    <w:rsid w:val="006E6D16"/>
    <w:rsid w:val="006F7B83"/>
    <w:rsid w:val="00703F2A"/>
    <w:rsid w:val="00704C5D"/>
    <w:rsid w:val="007072BC"/>
    <w:rsid w:val="00715275"/>
    <w:rsid w:val="00721B44"/>
    <w:rsid w:val="007232A2"/>
    <w:rsid w:val="00726366"/>
    <w:rsid w:val="00726646"/>
    <w:rsid w:val="007279A0"/>
    <w:rsid w:val="007301C8"/>
    <w:rsid w:val="00731AB6"/>
    <w:rsid w:val="00733B6B"/>
    <w:rsid w:val="00740808"/>
    <w:rsid w:val="00740A1B"/>
    <w:rsid w:val="007467C4"/>
    <w:rsid w:val="00755702"/>
    <w:rsid w:val="007566DA"/>
    <w:rsid w:val="0076170F"/>
    <w:rsid w:val="00762D48"/>
    <w:rsid w:val="0076669C"/>
    <w:rsid w:val="00766E46"/>
    <w:rsid w:val="00772CCB"/>
    <w:rsid w:val="00777727"/>
    <w:rsid w:val="0078166A"/>
    <w:rsid w:val="00781FDE"/>
    <w:rsid w:val="00782B79"/>
    <w:rsid w:val="00783811"/>
    <w:rsid w:val="00785755"/>
    <w:rsid w:val="007865E9"/>
    <w:rsid w:val="00792240"/>
    <w:rsid w:val="0079237D"/>
    <w:rsid w:val="00792383"/>
    <w:rsid w:val="00794D5A"/>
    <w:rsid w:val="00794DD9"/>
    <w:rsid w:val="007A060F"/>
    <w:rsid w:val="007A7438"/>
    <w:rsid w:val="007B1C5E"/>
    <w:rsid w:val="007B350E"/>
    <w:rsid w:val="007C0FBC"/>
    <w:rsid w:val="007C29C9"/>
    <w:rsid w:val="007C35B8"/>
    <w:rsid w:val="007C36E3"/>
    <w:rsid w:val="007C3ABB"/>
    <w:rsid w:val="007C7134"/>
    <w:rsid w:val="007C7ECF"/>
    <w:rsid w:val="007D3D20"/>
    <w:rsid w:val="007D44F9"/>
    <w:rsid w:val="007D742E"/>
    <w:rsid w:val="007E0688"/>
    <w:rsid w:val="007E3AFD"/>
    <w:rsid w:val="007E542E"/>
    <w:rsid w:val="007F5F4F"/>
    <w:rsid w:val="00801DAD"/>
    <w:rsid w:val="00803189"/>
    <w:rsid w:val="00804E7A"/>
    <w:rsid w:val="00805FBB"/>
    <w:rsid w:val="00813096"/>
    <w:rsid w:val="00814292"/>
    <w:rsid w:val="00814F65"/>
    <w:rsid w:val="008169A4"/>
    <w:rsid w:val="00820AA0"/>
    <w:rsid w:val="00822500"/>
    <w:rsid w:val="00823B44"/>
    <w:rsid w:val="008278FE"/>
    <w:rsid w:val="00832598"/>
    <w:rsid w:val="008328AC"/>
    <w:rsid w:val="0083397E"/>
    <w:rsid w:val="00834304"/>
    <w:rsid w:val="0083534B"/>
    <w:rsid w:val="00842035"/>
    <w:rsid w:val="00842602"/>
    <w:rsid w:val="0084380A"/>
    <w:rsid w:val="008449F0"/>
    <w:rsid w:val="00846F11"/>
    <w:rsid w:val="00847B45"/>
    <w:rsid w:val="0085225A"/>
    <w:rsid w:val="00863A66"/>
    <w:rsid w:val="008703D7"/>
    <w:rsid w:val="00874429"/>
    <w:rsid w:val="00875D22"/>
    <w:rsid w:val="00877E5D"/>
    <w:rsid w:val="00883D9A"/>
    <w:rsid w:val="008919EF"/>
    <w:rsid w:val="00892B20"/>
    <w:rsid w:val="008931BC"/>
    <w:rsid w:val="0089695B"/>
    <w:rsid w:val="00897740"/>
    <w:rsid w:val="008A12EC"/>
    <w:rsid w:val="008A55F0"/>
    <w:rsid w:val="008B14BE"/>
    <w:rsid w:val="008B19A6"/>
    <w:rsid w:val="008B4EFB"/>
    <w:rsid w:val="008B56AE"/>
    <w:rsid w:val="008B7615"/>
    <w:rsid w:val="008C21C8"/>
    <w:rsid w:val="008C4F6C"/>
    <w:rsid w:val="008C6375"/>
    <w:rsid w:val="008C6A5B"/>
    <w:rsid w:val="008D018F"/>
    <w:rsid w:val="008D441D"/>
    <w:rsid w:val="008D498D"/>
    <w:rsid w:val="008D507C"/>
    <w:rsid w:val="008D6D36"/>
    <w:rsid w:val="008E0693"/>
    <w:rsid w:val="008E26A5"/>
    <w:rsid w:val="008E42D2"/>
    <w:rsid w:val="008E6328"/>
    <w:rsid w:val="008F578F"/>
    <w:rsid w:val="008F5D04"/>
    <w:rsid w:val="008F6B3F"/>
    <w:rsid w:val="009040EE"/>
    <w:rsid w:val="009057FD"/>
    <w:rsid w:val="00906FBA"/>
    <w:rsid w:val="00910CAF"/>
    <w:rsid w:val="00914826"/>
    <w:rsid w:val="009159D0"/>
    <w:rsid w:val="009163E8"/>
    <w:rsid w:val="00921BD3"/>
    <w:rsid w:val="009228C7"/>
    <w:rsid w:val="00922A7F"/>
    <w:rsid w:val="00923A5E"/>
    <w:rsid w:val="00924FE7"/>
    <w:rsid w:val="00926E27"/>
    <w:rsid w:val="00931C8C"/>
    <w:rsid w:val="0093243F"/>
    <w:rsid w:val="00934097"/>
    <w:rsid w:val="00943D21"/>
    <w:rsid w:val="0094504B"/>
    <w:rsid w:val="0095721D"/>
    <w:rsid w:val="00964A38"/>
    <w:rsid w:val="00966A9D"/>
    <w:rsid w:val="0096742B"/>
    <w:rsid w:val="00967C64"/>
    <w:rsid w:val="009718C5"/>
    <w:rsid w:val="00976AFF"/>
    <w:rsid w:val="00983284"/>
    <w:rsid w:val="00986AED"/>
    <w:rsid w:val="009924CF"/>
    <w:rsid w:val="00994100"/>
    <w:rsid w:val="009A04B7"/>
    <w:rsid w:val="009A6B17"/>
    <w:rsid w:val="009B052E"/>
    <w:rsid w:val="009B4E00"/>
    <w:rsid w:val="009B6AB4"/>
    <w:rsid w:val="009D063B"/>
    <w:rsid w:val="009D4C29"/>
    <w:rsid w:val="009E366C"/>
    <w:rsid w:val="009E58E9"/>
    <w:rsid w:val="009E6803"/>
    <w:rsid w:val="009F6AD2"/>
    <w:rsid w:val="009F7C1B"/>
    <w:rsid w:val="00A00B5B"/>
    <w:rsid w:val="00A00D8D"/>
    <w:rsid w:val="00A01BB6"/>
    <w:rsid w:val="00A108A7"/>
    <w:rsid w:val="00A228DA"/>
    <w:rsid w:val="00A22B28"/>
    <w:rsid w:val="00A3351E"/>
    <w:rsid w:val="00A4303C"/>
    <w:rsid w:val="00A465CD"/>
    <w:rsid w:val="00A46CAF"/>
    <w:rsid w:val="00A470FD"/>
    <w:rsid w:val="00A50B5E"/>
    <w:rsid w:val="00A53A03"/>
    <w:rsid w:val="00A62DAB"/>
    <w:rsid w:val="00A6757A"/>
    <w:rsid w:val="00A7168C"/>
    <w:rsid w:val="00A726A6"/>
    <w:rsid w:val="00A7443A"/>
    <w:rsid w:val="00A74842"/>
    <w:rsid w:val="00A81440"/>
    <w:rsid w:val="00A8269A"/>
    <w:rsid w:val="00A8285B"/>
    <w:rsid w:val="00A86A50"/>
    <w:rsid w:val="00A86BEE"/>
    <w:rsid w:val="00A9178A"/>
    <w:rsid w:val="00A921F7"/>
    <w:rsid w:val="00A93EFA"/>
    <w:rsid w:val="00A9515B"/>
    <w:rsid w:val="00A97535"/>
    <w:rsid w:val="00AA2BAA"/>
    <w:rsid w:val="00AA6516"/>
    <w:rsid w:val="00AA73E7"/>
    <w:rsid w:val="00AA73F1"/>
    <w:rsid w:val="00AB0E1A"/>
    <w:rsid w:val="00AB1A30"/>
    <w:rsid w:val="00AB3C36"/>
    <w:rsid w:val="00AB3D30"/>
    <w:rsid w:val="00AC4B09"/>
    <w:rsid w:val="00AC5A01"/>
    <w:rsid w:val="00AC5E60"/>
    <w:rsid w:val="00AC65BC"/>
    <w:rsid w:val="00AD10EB"/>
    <w:rsid w:val="00AD1ED3"/>
    <w:rsid w:val="00AD3717"/>
    <w:rsid w:val="00AD74F4"/>
    <w:rsid w:val="00AE17AA"/>
    <w:rsid w:val="00B019C1"/>
    <w:rsid w:val="00B02001"/>
    <w:rsid w:val="00B03C50"/>
    <w:rsid w:val="00B0777D"/>
    <w:rsid w:val="00B11576"/>
    <w:rsid w:val="00B1195F"/>
    <w:rsid w:val="00B14D10"/>
    <w:rsid w:val="00B17BEB"/>
    <w:rsid w:val="00B209C7"/>
    <w:rsid w:val="00B26480"/>
    <w:rsid w:val="00B3644F"/>
    <w:rsid w:val="00B4057A"/>
    <w:rsid w:val="00B40894"/>
    <w:rsid w:val="00B41039"/>
    <w:rsid w:val="00B41F37"/>
    <w:rsid w:val="00B42987"/>
    <w:rsid w:val="00B4360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445B"/>
    <w:rsid w:val="00B86EF0"/>
    <w:rsid w:val="00B9312B"/>
    <w:rsid w:val="00B96969"/>
    <w:rsid w:val="00B97900"/>
    <w:rsid w:val="00BA1229"/>
    <w:rsid w:val="00BA44A8"/>
    <w:rsid w:val="00BA49C5"/>
    <w:rsid w:val="00BB0182"/>
    <w:rsid w:val="00BB2F4A"/>
    <w:rsid w:val="00BC786E"/>
    <w:rsid w:val="00BC7DFC"/>
    <w:rsid w:val="00BD5C92"/>
    <w:rsid w:val="00BE50E6"/>
    <w:rsid w:val="00BE7A0C"/>
    <w:rsid w:val="00BF207A"/>
    <w:rsid w:val="00BF2928"/>
    <w:rsid w:val="00BF35F0"/>
    <w:rsid w:val="00BF4428"/>
    <w:rsid w:val="00BF5693"/>
    <w:rsid w:val="00BF5D60"/>
    <w:rsid w:val="00BF6691"/>
    <w:rsid w:val="00C028FC"/>
    <w:rsid w:val="00C037F2"/>
    <w:rsid w:val="00C0386D"/>
    <w:rsid w:val="00C065A1"/>
    <w:rsid w:val="00C10ED5"/>
    <w:rsid w:val="00C12574"/>
    <w:rsid w:val="00C151A6"/>
    <w:rsid w:val="00C24098"/>
    <w:rsid w:val="00C30A4E"/>
    <w:rsid w:val="00C37BCF"/>
    <w:rsid w:val="00C411F3"/>
    <w:rsid w:val="00C44105"/>
    <w:rsid w:val="00C523EC"/>
    <w:rsid w:val="00C55A33"/>
    <w:rsid w:val="00C55D5F"/>
    <w:rsid w:val="00C55E95"/>
    <w:rsid w:val="00C64D49"/>
    <w:rsid w:val="00C66692"/>
    <w:rsid w:val="00C673B5"/>
    <w:rsid w:val="00C7063D"/>
    <w:rsid w:val="00C72339"/>
    <w:rsid w:val="00C72B11"/>
    <w:rsid w:val="00C820BC"/>
    <w:rsid w:val="00C830BC"/>
    <w:rsid w:val="00C8524D"/>
    <w:rsid w:val="00C90904"/>
    <w:rsid w:val="00C91123"/>
    <w:rsid w:val="00C91B8B"/>
    <w:rsid w:val="00CA1595"/>
    <w:rsid w:val="00CA6CC2"/>
    <w:rsid w:val="00CA71FF"/>
    <w:rsid w:val="00CB2393"/>
    <w:rsid w:val="00CB2456"/>
    <w:rsid w:val="00CB5276"/>
    <w:rsid w:val="00CB5BFC"/>
    <w:rsid w:val="00CB68D7"/>
    <w:rsid w:val="00CB785B"/>
    <w:rsid w:val="00CC7E68"/>
    <w:rsid w:val="00CD3D74"/>
    <w:rsid w:val="00CD7132"/>
    <w:rsid w:val="00CE0E6F"/>
    <w:rsid w:val="00CE3718"/>
    <w:rsid w:val="00CE3B21"/>
    <w:rsid w:val="00CE56FC"/>
    <w:rsid w:val="00CE7A4D"/>
    <w:rsid w:val="00CF32D2"/>
    <w:rsid w:val="00CF4CFE"/>
    <w:rsid w:val="00CF527A"/>
    <w:rsid w:val="00D00E8E"/>
    <w:rsid w:val="00D02E0F"/>
    <w:rsid w:val="00D03EE8"/>
    <w:rsid w:val="00D10250"/>
    <w:rsid w:val="00D1070B"/>
    <w:rsid w:val="00D13535"/>
    <w:rsid w:val="00D15497"/>
    <w:rsid w:val="00D17B79"/>
    <w:rsid w:val="00D205F5"/>
    <w:rsid w:val="00D23FEA"/>
    <w:rsid w:val="00D269CA"/>
    <w:rsid w:val="00D30B48"/>
    <w:rsid w:val="00D3168A"/>
    <w:rsid w:val="00D318F2"/>
    <w:rsid w:val="00D350D1"/>
    <w:rsid w:val="00D46FAA"/>
    <w:rsid w:val="00D47A40"/>
    <w:rsid w:val="00D51D33"/>
    <w:rsid w:val="00D57BB2"/>
    <w:rsid w:val="00D57E57"/>
    <w:rsid w:val="00D611C9"/>
    <w:rsid w:val="00D64444"/>
    <w:rsid w:val="00D70752"/>
    <w:rsid w:val="00D80E2D"/>
    <w:rsid w:val="00D8160A"/>
    <w:rsid w:val="00D84D5E"/>
    <w:rsid w:val="00D8560E"/>
    <w:rsid w:val="00D8758F"/>
    <w:rsid w:val="00DA4EDD"/>
    <w:rsid w:val="00DA6B78"/>
    <w:rsid w:val="00DB122B"/>
    <w:rsid w:val="00DC1D94"/>
    <w:rsid w:val="00DC42CF"/>
    <w:rsid w:val="00DC738A"/>
    <w:rsid w:val="00DD05CD"/>
    <w:rsid w:val="00DD382A"/>
    <w:rsid w:val="00DD592E"/>
    <w:rsid w:val="00DE057F"/>
    <w:rsid w:val="00DE2082"/>
    <w:rsid w:val="00DE2289"/>
    <w:rsid w:val="00DF09A7"/>
    <w:rsid w:val="00DF2B51"/>
    <w:rsid w:val="00E001D6"/>
    <w:rsid w:val="00E03A76"/>
    <w:rsid w:val="00E03E81"/>
    <w:rsid w:val="00E04410"/>
    <w:rsid w:val="00E07484"/>
    <w:rsid w:val="00E11351"/>
    <w:rsid w:val="00E12779"/>
    <w:rsid w:val="00E235D9"/>
    <w:rsid w:val="00E33F44"/>
    <w:rsid w:val="00E353B4"/>
    <w:rsid w:val="00E37D48"/>
    <w:rsid w:val="00E4072D"/>
    <w:rsid w:val="00E4225C"/>
    <w:rsid w:val="00E44879"/>
    <w:rsid w:val="00E477CD"/>
    <w:rsid w:val="00E54523"/>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2E86"/>
    <w:rsid w:val="00ED6A79"/>
    <w:rsid w:val="00EE17DF"/>
    <w:rsid w:val="00EF1482"/>
    <w:rsid w:val="00EF4621"/>
    <w:rsid w:val="00EF4D52"/>
    <w:rsid w:val="00EF6312"/>
    <w:rsid w:val="00F00C48"/>
    <w:rsid w:val="00F00C4B"/>
    <w:rsid w:val="00F038B0"/>
    <w:rsid w:val="00F05F34"/>
    <w:rsid w:val="00F11A6C"/>
    <w:rsid w:val="00F12CA4"/>
    <w:rsid w:val="00F2121D"/>
    <w:rsid w:val="00F218B5"/>
    <w:rsid w:val="00F22B27"/>
    <w:rsid w:val="00F234A7"/>
    <w:rsid w:val="00F277B6"/>
    <w:rsid w:val="00F27CA3"/>
    <w:rsid w:val="00F27DA5"/>
    <w:rsid w:val="00F36A6B"/>
    <w:rsid w:val="00F37E07"/>
    <w:rsid w:val="00F4182A"/>
    <w:rsid w:val="00F464ED"/>
    <w:rsid w:val="00F54380"/>
    <w:rsid w:val="00F54B47"/>
    <w:rsid w:val="00F60D0D"/>
    <w:rsid w:val="00F61247"/>
    <w:rsid w:val="00F61F61"/>
    <w:rsid w:val="00F63191"/>
    <w:rsid w:val="00F654F7"/>
    <w:rsid w:val="00F6702E"/>
    <w:rsid w:val="00F70E84"/>
    <w:rsid w:val="00F80685"/>
    <w:rsid w:val="00F86299"/>
    <w:rsid w:val="00F94968"/>
    <w:rsid w:val="00FA092B"/>
    <w:rsid w:val="00FA4F6C"/>
    <w:rsid w:val="00FA6EFD"/>
    <w:rsid w:val="00FA7598"/>
    <w:rsid w:val="00FB2A8E"/>
    <w:rsid w:val="00FB3791"/>
    <w:rsid w:val="00FB6780"/>
    <w:rsid w:val="00FB74EA"/>
    <w:rsid w:val="00FB7CFF"/>
    <w:rsid w:val="00FD006E"/>
    <w:rsid w:val="00FD0ADB"/>
    <w:rsid w:val="00FD2C9E"/>
    <w:rsid w:val="00FD4786"/>
    <w:rsid w:val="00FD616C"/>
    <w:rsid w:val="00FE2349"/>
    <w:rsid w:val="00FE410A"/>
    <w:rsid w:val="00FE53F2"/>
    <w:rsid w:val="00FE5EBA"/>
    <w:rsid w:val="00FF0A00"/>
    <w:rsid w:val="00FF1C57"/>
    <w:rsid w:val="00FF2581"/>
    <w:rsid w:val="00FF48DB"/>
    <w:rsid w:val="00FF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A2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4D424C"/>
    <w:pPr>
      <w:ind w:left="720"/>
      <w:contextualSpacing/>
    </w:pPr>
    <w:rPr>
      <w:rFonts w:ascii="Calibri" w:eastAsia="Calibri" w:hAnsi="Calibri"/>
    </w:rPr>
  </w:style>
  <w:style w:type="paragraph" w:customStyle="1" w:styleId="MemoAddresses">
    <w:name w:val="Memo Addresses"/>
    <w:basedOn w:val="Normal"/>
    <w:next w:val="Normal"/>
    <w:rsid w:val="00417ED2"/>
    <w:pPr>
      <w:spacing w:before="120"/>
      <w:ind w:left="1008" w:hanging="1008"/>
      <w:jc w:val="both"/>
    </w:pPr>
  </w:style>
  <w:style w:type="paragraph" w:customStyle="1" w:styleId="IssueHeading">
    <w:name w:val="Issue Heading"/>
    <w:basedOn w:val="Heading1"/>
    <w:next w:val="BodyText"/>
    <w:link w:val="IssueHeadingChar"/>
    <w:qFormat/>
    <w:rsid w:val="00417ED2"/>
    <w:pPr>
      <w:keepNext w:val="0"/>
    </w:pPr>
    <w:rPr>
      <w:rFonts w:ascii="Arial" w:hAnsi="Arial"/>
      <w:b/>
      <w:i/>
    </w:rPr>
  </w:style>
  <w:style w:type="character" w:customStyle="1" w:styleId="IssueHeadingChar">
    <w:name w:val="Issue Heading Char"/>
    <w:link w:val="IssueHeading"/>
    <w:rsid w:val="00417ED2"/>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417ED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417ED2"/>
    <w:pPr>
      <w:keepNext w:val="0"/>
    </w:pPr>
    <w:rPr>
      <w:rFonts w:ascii="Arial" w:hAnsi="Arial"/>
      <w:b/>
      <w:i/>
    </w:rPr>
  </w:style>
  <w:style w:type="character" w:customStyle="1" w:styleId="IssueSubsectionHeadingChar">
    <w:name w:val="Issue Subsection Heading Char"/>
    <w:link w:val="IssueSubsectionHeading"/>
    <w:rsid w:val="00417ED2"/>
    <w:rPr>
      <w:rFonts w:ascii="Arial" w:hAnsi="Arial" w:cs="Arial"/>
      <w:b/>
      <w:bCs/>
      <w:i/>
      <w:iCs/>
      <w:sz w:val="24"/>
      <w:szCs w:val="28"/>
    </w:rPr>
  </w:style>
  <w:style w:type="paragraph" w:styleId="BalloonText">
    <w:name w:val="Balloon Text"/>
    <w:basedOn w:val="Normal"/>
    <w:link w:val="BalloonTextChar"/>
    <w:semiHidden/>
    <w:unhideWhenUsed/>
    <w:rsid w:val="00E353B4"/>
    <w:rPr>
      <w:rFonts w:ascii="Segoe UI" w:hAnsi="Segoe UI" w:cs="Segoe UI"/>
      <w:sz w:val="18"/>
      <w:szCs w:val="18"/>
    </w:rPr>
  </w:style>
  <w:style w:type="character" w:customStyle="1" w:styleId="BalloonTextChar">
    <w:name w:val="Balloon Text Char"/>
    <w:basedOn w:val="DefaultParagraphFont"/>
    <w:link w:val="BalloonText"/>
    <w:semiHidden/>
    <w:rsid w:val="00E35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733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2E27-5038-460E-B956-7027DA64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2025-10-27T12:41:00Z</dcterms:created>
  <dcterms:modified xsi:type="dcterms:W3CDTF">2025-10-27T12:58:00Z</dcterms:modified>
</cp:coreProperties>
</file>