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A3768E" w:rsidRDefault="00A3768E" w:rsidP="00A3768E">
      <w:pPr>
        <w:pStyle w:val="OrderHeading"/>
      </w:pPr>
      <w:r w:rsidRPr="00A3768E">
        <w:t>BEFORE THE FLORIDA PUBLIC SERVICE COMMISSION</w:t>
      </w:r>
    </w:p>
    <w:p w:rsidR="00A3768E" w:rsidRPr="00A3768E" w:rsidRDefault="00A3768E" w:rsidP="00A3768E">
      <w:pPr>
        <w:pStyle w:val="OrderBody"/>
      </w:pPr>
    </w:p>
    <w:p w:rsidR="00A3768E" w:rsidRPr="00A3768E" w:rsidRDefault="00A3768E" w:rsidP="00A376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768E" w:rsidRPr="00A3768E" w:rsidTr="0035159A">
        <w:trPr>
          <w:trHeight w:val="828"/>
        </w:trPr>
        <w:tc>
          <w:tcPr>
            <w:tcW w:w="4788" w:type="dxa"/>
            <w:tcBorders>
              <w:bottom w:val="single" w:sz="8" w:space="0" w:color="auto"/>
              <w:right w:val="double" w:sz="6" w:space="0" w:color="auto"/>
            </w:tcBorders>
            <w:shd w:val="clear" w:color="auto" w:fill="auto"/>
          </w:tcPr>
          <w:p w:rsidR="00A3768E" w:rsidRPr="00A3768E" w:rsidRDefault="00A3768E" w:rsidP="0035159A">
            <w:pPr>
              <w:pStyle w:val="OrderBody"/>
              <w:tabs>
                <w:tab w:val="center" w:pos="4320"/>
                <w:tab w:val="right" w:pos="8640"/>
              </w:tabs>
              <w:jc w:val="left"/>
            </w:pPr>
            <w:r w:rsidRPr="00A3768E">
              <w:t xml:space="preserve">In re: </w:t>
            </w:r>
            <w:bookmarkStart w:id="0" w:name="SSInRe"/>
            <w:bookmarkEnd w:id="0"/>
            <w:r w:rsidRPr="00A3768E">
              <w:t>Energy conservation cost recovery clause.</w:t>
            </w:r>
          </w:p>
        </w:tc>
        <w:tc>
          <w:tcPr>
            <w:tcW w:w="4788" w:type="dxa"/>
            <w:tcBorders>
              <w:left w:val="double" w:sz="6" w:space="0" w:color="auto"/>
            </w:tcBorders>
            <w:shd w:val="clear" w:color="auto" w:fill="auto"/>
          </w:tcPr>
          <w:p w:rsidR="00A3768E" w:rsidRPr="00A3768E" w:rsidRDefault="00A3768E" w:rsidP="00A3768E">
            <w:pPr>
              <w:pStyle w:val="OrderBody"/>
            </w:pPr>
            <w:r w:rsidRPr="00A3768E">
              <w:t xml:space="preserve">DOCKET NO. </w:t>
            </w:r>
            <w:bookmarkStart w:id="1" w:name="SSDocketNo"/>
            <w:bookmarkEnd w:id="1"/>
            <w:r w:rsidRPr="00A3768E">
              <w:t>20250002-EG</w:t>
            </w:r>
          </w:p>
          <w:p w:rsidR="00A3768E" w:rsidRPr="00A3768E" w:rsidRDefault="00A3768E" w:rsidP="0035159A">
            <w:pPr>
              <w:pStyle w:val="OrderBody"/>
              <w:tabs>
                <w:tab w:val="center" w:pos="4320"/>
                <w:tab w:val="right" w:pos="8640"/>
              </w:tabs>
              <w:jc w:val="left"/>
            </w:pPr>
            <w:r w:rsidRPr="00A3768E">
              <w:t xml:space="preserve">ORDER NO. </w:t>
            </w:r>
            <w:bookmarkStart w:id="2" w:name="OrderNo0435"/>
            <w:r w:rsidR="00B60E8A">
              <w:t>PSC-2025-0435-FOF-EG</w:t>
            </w:r>
            <w:bookmarkEnd w:id="2"/>
          </w:p>
          <w:p w:rsidR="00A3768E" w:rsidRPr="00A3768E" w:rsidRDefault="00A3768E" w:rsidP="0035159A">
            <w:pPr>
              <w:pStyle w:val="OrderBody"/>
              <w:tabs>
                <w:tab w:val="center" w:pos="4320"/>
                <w:tab w:val="right" w:pos="8640"/>
              </w:tabs>
              <w:jc w:val="left"/>
            </w:pPr>
            <w:r w:rsidRPr="00A3768E">
              <w:t xml:space="preserve">ISSUED: </w:t>
            </w:r>
            <w:r w:rsidR="00B60E8A">
              <w:t>November 24, 2025</w:t>
            </w:r>
          </w:p>
        </w:tc>
      </w:tr>
    </w:tbl>
    <w:p w:rsidR="00A3768E" w:rsidRPr="00A3768E" w:rsidRDefault="00A3768E" w:rsidP="00A3768E"/>
    <w:p w:rsidR="00A3768E" w:rsidRPr="00A3768E" w:rsidRDefault="00A3768E" w:rsidP="00A3768E"/>
    <w:p w:rsidR="00A3768E" w:rsidRPr="00A3768E" w:rsidRDefault="00A3768E" w:rsidP="00B67A43">
      <w:pPr>
        <w:ind w:firstLine="720"/>
        <w:jc w:val="both"/>
      </w:pPr>
      <w:bookmarkStart w:id="3" w:name="Commissioners"/>
      <w:bookmarkEnd w:id="3"/>
      <w:r w:rsidRPr="00A3768E">
        <w:t>The following Commissioners participated in the disposition of this matter:</w:t>
      </w:r>
    </w:p>
    <w:p w:rsidR="00A3768E" w:rsidRPr="00A3768E" w:rsidRDefault="00A3768E" w:rsidP="00B67A43"/>
    <w:p w:rsidR="00A3768E" w:rsidRPr="00A3768E" w:rsidRDefault="00A3768E" w:rsidP="00477699">
      <w:pPr>
        <w:jc w:val="center"/>
      </w:pPr>
      <w:r w:rsidRPr="00A3768E">
        <w:t>MIKE LA ROSA, Chairman</w:t>
      </w:r>
    </w:p>
    <w:p w:rsidR="00A3768E" w:rsidRPr="00A3768E" w:rsidRDefault="00A3768E" w:rsidP="00B67A43">
      <w:pPr>
        <w:jc w:val="center"/>
      </w:pPr>
      <w:r w:rsidRPr="00A3768E">
        <w:t>ART GRAHAM</w:t>
      </w:r>
    </w:p>
    <w:p w:rsidR="00A3768E" w:rsidRPr="00A3768E" w:rsidRDefault="00A3768E" w:rsidP="00B67A43">
      <w:pPr>
        <w:jc w:val="center"/>
      </w:pPr>
      <w:r w:rsidRPr="00A3768E">
        <w:t>GARY F. CLARK</w:t>
      </w:r>
    </w:p>
    <w:p w:rsidR="00A3768E" w:rsidRPr="00A3768E" w:rsidRDefault="00A3768E" w:rsidP="00B67A43">
      <w:pPr>
        <w:jc w:val="center"/>
      </w:pPr>
      <w:r w:rsidRPr="00A3768E">
        <w:t>ANDREW GILES FAY</w:t>
      </w:r>
    </w:p>
    <w:p w:rsidR="00A3768E" w:rsidRPr="00A3768E" w:rsidRDefault="00A3768E" w:rsidP="00B67A43">
      <w:pPr>
        <w:jc w:val="center"/>
      </w:pPr>
      <w:r w:rsidRPr="00A3768E">
        <w:rPr>
          <w:lang w:val="en"/>
        </w:rPr>
        <w:t>GABRIELLA PASSIDOMO SMITH</w:t>
      </w:r>
    </w:p>
    <w:p w:rsidR="00A3768E" w:rsidRPr="00A3768E" w:rsidRDefault="00A3768E" w:rsidP="00B67A43"/>
    <w:p w:rsidR="00A3768E" w:rsidRPr="00A3768E" w:rsidRDefault="00A3768E"/>
    <w:p w:rsidR="00A3768E" w:rsidRPr="00A3768E" w:rsidRDefault="00A3768E" w:rsidP="00A3768E">
      <w:pPr>
        <w:pStyle w:val="CenterUnderline"/>
      </w:pPr>
      <w:r w:rsidRPr="00A3768E">
        <w:t>FINAL ORDER</w:t>
      </w:r>
      <w:bookmarkStart w:id="4" w:name="OrderTitle"/>
      <w:r w:rsidRPr="00A3768E">
        <w:t xml:space="preserve"> </w:t>
      </w:r>
      <w:r w:rsidR="009C4BD7">
        <w:t>APPROVING ENERGY CONSERVATION COST RECOVERY AMOUNTS AND RELATED TARIFFS AND ESTABLISHING ENERGY CONSERVATION COST RECOVERY FACTORS FOR THE PERIOD JANUARY 2026 THROUGH DECEMBER 2026</w:t>
      </w:r>
      <w:r w:rsidRPr="00A3768E">
        <w:t xml:space="preserve"> </w:t>
      </w:r>
      <w:bookmarkEnd w:id="4"/>
    </w:p>
    <w:p w:rsidR="00A3768E" w:rsidRPr="00A3768E" w:rsidRDefault="00A3768E" w:rsidP="00A3768E">
      <w:pPr>
        <w:pStyle w:val="CenterUnderline"/>
      </w:pPr>
    </w:p>
    <w:p w:rsidR="00A3768E" w:rsidRPr="00A3768E" w:rsidRDefault="00A3768E" w:rsidP="00A3768E">
      <w:pPr>
        <w:jc w:val="both"/>
      </w:pPr>
      <w:r w:rsidRPr="00A3768E">
        <w:t>APPEARANCES:</w:t>
      </w:r>
    </w:p>
    <w:p w:rsidR="00A3768E" w:rsidRPr="00A3768E" w:rsidRDefault="00A3768E" w:rsidP="00A3768E">
      <w:pPr>
        <w:jc w:val="both"/>
      </w:pPr>
    </w:p>
    <w:p w:rsidR="00A3768E" w:rsidRPr="00A3768E" w:rsidRDefault="00A3768E" w:rsidP="00A3768E">
      <w:pPr>
        <w:ind w:left="1440"/>
        <w:jc w:val="both"/>
      </w:pPr>
      <w:r w:rsidRPr="00A3768E">
        <w:t>JOEL T. BAKER, MARIA JOSE MONCADA, and WILLIAM P. COX, ESQUIRES, 700 Universe Boulevard, Juno Beach, Florida 33408</w:t>
      </w:r>
    </w:p>
    <w:p w:rsidR="00A3768E" w:rsidRPr="00A3768E" w:rsidRDefault="00A3768E" w:rsidP="00A3768E">
      <w:pPr>
        <w:ind w:left="1440"/>
        <w:jc w:val="both"/>
      </w:pPr>
      <w:r w:rsidRPr="00A3768E">
        <w:rPr>
          <w:u w:val="single"/>
        </w:rPr>
        <w:t>On behalf of FLORIDA POWER &amp; LIGHT COMPANY (FPL)</w:t>
      </w:r>
      <w:r w:rsidRPr="00A3768E">
        <w:t>.</w:t>
      </w:r>
    </w:p>
    <w:p w:rsidR="00A3768E" w:rsidRPr="00A3768E" w:rsidRDefault="00A3768E" w:rsidP="00A3768E">
      <w:pPr>
        <w:ind w:left="1440"/>
        <w:jc w:val="both"/>
      </w:pPr>
    </w:p>
    <w:p w:rsidR="00A3768E" w:rsidRPr="00A3768E" w:rsidRDefault="00A3768E" w:rsidP="00A3768E">
      <w:pPr>
        <w:ind w:left="1440"/>
        <w:jc w:val="both"/>
      </w:pPr>
      <w:r w:rsidRPr="00A3768E">
        <w:t>DIANNE M. TRIPLETT, ESQUIRE, 299 First Avenue North, St. Petersburg, Florida 33701</w:t>
      </w:r>
    </w:p>
    <w:p w:rsidR="00A3768E" w:rsidRPr="00A3768E" w:rsidRDefault="00C37E42" w:rsidP="00A3768E">
      <w:pPr>
        <w:ind w:left="1440"/>
        <w:jc w:val="both"/>
      </w:pPr>
      <w:r>
        <w:t xml:space="preserve">MATTHEW R. BERNIER, </w:t>
      </w:r>
      <w:r w:rsidR="00A3768E" w:rsidRPr="00A3768E">
        <w:t>and STEPHANIE A. CUELLO, ESQUIRES, 106 East College Avenue, Suite 800, Tallahassee, Florida 32301</w:t>
      </w:r>
    </w:p>
    <w:p w:rsidR="00A3768E" w:rsidRPr="00A3768E" w:rsidRDefault="00A3768E" w:rsidP="00A3768E">
      <w:pPr>
        <w:ind w:left="720" w:firstLine="720"/>
        <w:jc w:val="both"/>
      </w:pPr>
      <w:r w:rsidRPr="00A3768E">
        <w:rPr>
          <w:u w:val="single"/>
        </w:rPr>
        <w:t>On behalf of DUKE ENERGY FLORIDA, LLC (DEF)</w:t>
      </w:r>
      <w:r w:rsidRPr="00A3768E">
        <w:t>.</w:t>
      </w:r>
    </w:p>
    <w:p w:rsidR="00A3768E" w:rsidRPr="00A3768E" w:rsidRDefault="00A3768E" w:rsidP="00A3768E">
      <w:pPr>
        <w:ind w:left="720" w:firstLine="720"/>
        <w:jc w:val="both"/>
      </w:pPr>
    </w:p>
    <w:p w:rsidR="00A3768E" w:rsidRPr="00A3768E" w:rsidRDefault="00A3768E" w:rsidP="00A3768E">
      <w:pPr>
        <w:ind w:left="1440"/>
        <w:jc w:val="both"/>
      </w:pPr>
      <w:r w:rsidRPr="00A3768E">
        <w:t>J. JEFFRY WAHLEN, MALCOLM N. MEANS, and VIRGINIA L. PONDER, ESQUIRES, Ausley McMullen, Post Office Box 391, Tallahassee, Florida 32302</w:t>
      </w:r>
    </w:p>
    <w:p w:rsidR="00A3768E" w:rsidRPr="00A3768E" w:rsidRDefault="00A3768E" w:rsidP="00A3768E">
      <w:pPr>
        <w:ind w:left="720" w:firstLine="720"/>
        <w:jc w:val="both"/>
        <w:rPr>
          <w:u w:val="single"/>
        </w:rPr>
      </w:pPr>
      <w:r w:rsidRPr="00A3768E">
        <w:rPr>
          <w:u w:val="single"/>
        </w:rPr>
        <w:t>On behalf of TAMPA ELECTRIC COMPANY (TECO)</w:t>
      </w:r>
      <w:r w:rsidRPr="00A3768E">
        <w:t>.</w:t>
      </w:r>
    </w:p>
    <w:p w:rsidR="00A3768E" w:rsidRPr="00A3768E" w:rsidRDefault="00A3768E" w:rsidP="00A3768E">
      <w:pPr>
        <w:ind w:left="720" w:firstLine="720"/>
        <w:jc w:val="both"/>
        <w:rPr>
          <w:u w:val="single"/>
        </w:rPr>
      </w:pPr>
    </w:p>
    <w:p w:rsidR="00A3768E" w:rsidRPr="00A3768E" w:rsidRDefault="00A3768E" w:rsidP="00A3768E">
      <w:pPr>
        <w:ind w:left="1440"/>
        <w:jc w:val="both"/>
      </w:pPr>
      <w:r w:rsidRPr="00A3768E">
        <w:t>BETH KEATING, ESQUIRE, Gunster, Yoakley &amp; Stewart, P.A., 215 South Monroe Street, Suite 601, Tallahassee, Florida 32301</w:t>
      </w:r>
    </w:p>
    <w:p w:rsidR="00A3768E" w:rsidRPr="00A3768E" w:rsidRDefault="00A3768E" w:rsidP="00A3768E">
      <w:pPr>
        <w:ind w:left="720" w:firstLine="720"/>
        <w:jc w:val="both"/>
        <w:rPr>
          <w:u w:val="single"/>
        </w:rPr>
      </w:pPr>
      <w:r w:rsidRPr="00A3768E">
        <w:rPr>
          <w:u w:val="single"/>
        </w:rPr>
        <w:t>On behalf of FLORIDA PUBLIC UTILITIES COMPANY (FPUC)</w:t>
      </w:r>
      <w:r w:rsidRPr="00A3768E">
        <w:t>.</w:t>
      </w:r>
    </w:p>
    <w:p w:rsidR="00A3768E" w:rsidRPr="00A3768E" w:rsidRDefault="00A3768E" w:rsidP="00A3768E">
      <w:pPr>
        <w:ind w:left="720" w:firstLine="720"/>
        <w:jc w:val="both"/>
        <w:rPr>
          <w:u w:val="single"/>
        </w:rPr>
      </w:pPr>
    </w:p>
    <w:p w:rsidR="00A3768E" w:rsidRPr="00A3768E" w:rsidRDefault="00A3768E" w:rsidP="00A3768E">
      <w:pPr>
        <w:ind w:left="1440"/>
        <w:jc w:val="both"/>
      </w:pPr>
      <w:r w:rsidRPr="00A3768E">
        <w:t>WALT TRIERWEILER, CHARLES J. REHWINKEL, PATRICIA A. CHRISTENSEN, MARY A. WESSLING, OCTAVIO PONCE, and AUSTIN WATROUS, ESQUIRES, c/o The Florida Legislature, 111 West Madison Street, Suite 812, Tallahassee, Florida 32399</w:t>
      </w:r>
    </w:p>
    <w:p w:rsidR="00A3768E" w:rsidRPr="00A3768E" w:rsidRDefault="00A3768E" w:rsidP="00A3768E">
      <w:pPr>
        <w:ind w:left="720" w:firstLine="720"/>
        <w:jc w:val="both"/>
      </w:pPr>
      <w:r w:rsidRPr="00A3768E">
        <w:rPr>
          <w:u w:val="single"/>
        </w:rPr>
        <w:t>On behalf of the OFFICE OF PUBLIC COUNSEL (OPC)</w:t>
      </w:r>
      <w:r w:rsidRPr="00A3768E">
        <w:t>.</w:t>
      </w:r>
    </w:p>
    <w:p w:rsidR="00A3768E" w:rsidRPr="00A3768E" w:rsidRDefault="00A3768E" w:rsidP="00A3768E">
      <w:pPr>
        <w:ind w:left="1440"/>
        <w:jc w:val="both"/>
        <w:rPr>
          <w:bCs/>
        </w:rPr>
      </w:pPr>
      <w:r w:rsidRPr="00A3768E">
        <w:lastRenderedPageBreak/>
        <w:t xml:space="preserve">JON C. MOYLE, JR. and KAREN A. PUTNAL, ESQUIRES, Moyle Law Firm, P.A. </w:t>
      </w:r>
      <w:r w:rsidRPr="00A3768E">
        <w:rPr>
          <w:bCs/>
        </w:rPr>
        <w:t>118 North Gadsden Street, Tallahassee, Florida 32301</w:t>
      </w:r>
    </w:p>
    <w:p w:rsidR="00A3768E" w:rsidRDefault="00A3768E" w:rsidP="00A3768E">
      <w:pPr>
        <w:ind w:left="720" w:firstLine="720"/>
        <w:jc w:val="both"/>
      </w:pPr>
      <w:r w:rsidRPr="00A3768E">
        <w:rPr>
          <w:u w:val="single"/>
        </w:rPr>
        <w:t>On behalf of FLORIDA INDUSTRIAL POWER USERS GROUP (FIPUG)</w:t>
      </w:r>
      <w:r w:rsidRPr="00A3768E">
        <w:t>.</w:t>
      </w:r>
    </w:p>
    <w:p w:rsidR="00A3768E" w:rsidRPr="00A3768E" w:rsidRDefault="00A3768E" w:rsidP="00A3768E">
      <w:pPr>
        <w:jc w:val="both"/>
      </w:pPr>
    </w:p>
    <w:p w:rsidR="00A3768E" w:rsidRPr="00A3768E" w:rsidRDefault="00A3768E" w:rsidP="00A3768E">
      <w:pPr>
        <w:ind w:left="1440"/>
        <w:jc w:val="both"/>
      </w:pPr>
      <w:r w:rsidRPr="00A3768E">
        <w:t>JACOB IMIG, ESQUIRE, Florida Public Service Commission, 2540 Shumard Oak Boulevard, Tallahassee, Florida 32399</w:t>
      </w:r>
    </w:p>
    <w:p w:rsidR="00A3768E" w:rsidRPr="00A3768E" w:rsidRDefault="00A3768E" w:rsidP="00A3768E">
      <w:pPr>
        <w:ind w:left="720" w:firstLine="720"/>
        <w:jc w:val="both"/>
      </w:pPr>
      <w:r w:rsidRPr="00A3768E">
        <w:rPr>
          <w:u w:val="single"/>
        </w:rPr>
        <w:t>On behalf of FLORIDA PUBLIC SERVICE COMMISSION STAFF (Staff)</w:t>
      </w:r>
      <w:r w:rsidRPr="00A3768E">
        <w:t>.</w:t>
      </w:r>
    </w:p>
    <w:p w:rsidR="00A3768E" w:rsidRPr="00A3768E" w:rsidRDefault="00A3768E" w:rsidP="00A3768E">
      <w:pPr>
        <w:ind w:left="720" w:firstLine="720"/>
        <w:jc w:val="both"/>
      </w:pPr>
    </w:p>
    <w:p w:rsidR="00A3768E" w:rsidRPr="00A3768E" w:rsidRDefault="00A3768E" w:rsidP="00A3768E">
      <w:pPr>
        <w:ind w:left="1440"/>
        <w:jc w:val="both"/>
      </w:pPr>
      <w:r w:rsidRPr="00A3768E">
        <w:t>MARY ANNE HELTON, ESQUIRE, Deputy General Counsel, Florida Public Service Commission, 2540 Shumard Oak Boulevard, Tallahassee, Florida 32399-0850</w:t>
      </w:r>
    </w:p>
    <w:p w:rsidR="00A3768E" w:rsidRPr="00A3768E" w:rsidRDefault="00A3768E" w:rsidP="00A3768E">
      <w:pPr>
        <w:ind w:left="720" w:firstLine="720"/>
        <w:jc w:val="both"/>
      </w:pPr>
      <w:r w:rsidRPr="00A3768E">
        <w:rPr>
          <w:u w:val="single"/>
        </w:rPr>
        <w:t xml:space="preserve">Advisor to the </w:t>
      </w:r>
      <w:smartTag w:uri="urn:schemas-microsoft-com:office:smarttags" w:element="State">
        <w:r w:rsidRPr="00A3768E">
          <w:rPr>
            <w:u w:val="single"/>
          </w:rPr>
          <w:t>Florida</w:t>
        </w:r>
      </w:smartTag>
      <w:r w:rsidRPr="00A3768E">
        <w:rPr>
          <w:u w:val="single"/>
        </w:rPr>
        <w:t xml:space="preserve"> Public Service Commission</w:t>
      </w:r>
      <w:r w:rsidRPr="00A3768E">
        <w:t>.</w:t>
      </w:r>
    </w:p>
    <w:p w:rsidR="00A3768E" w:rsidRPr="00A3768E" w:rsidRDefault="00A3768E" w:rsidP="00A3768E">
      <w:pPr>
        <w:jc w:val="center"/>
        <w:rPr>
          <w:b/>
          <w:bCs/>
          <w:u w:val="single"/>
        </w:rPr>
      </w:pPr>
    </w:p>
    <w:p w:rsidR="00A3768E" w:rsidRPr="00A3768E" w:rsidRDefault="00A3768E" w:rsidP="00A3768E">
      <w:pPr>
        <w:ind w:left="1440"/>
        <w:jc w:val="both"/>
      </w:pPr>
      <w:r w:rsidRPr="00A3768E">
        <w:t>ADRIA H. HARPER, ESQUIRE, General Counsel, Florida Public Service Commission, 2540 Shumard Oak Boulevard, Tallahassee, Florida 32399-0850</w:t>
      </w:r>
    </w:p>
    <w:p w:rsidR="00A3768E" w:rsidRPr="00A3768E" w:rsidRDefault="00A3768E" w:rsidP="00A3768E">
      <w:pPr>
        <w:pStyle w:val="OrderBody"/>
        <w:ind w:left="720" w:firstLine="720"/>
      </w:pPr>
      <w:r w:rsidRPr="00A3768E">
        <w:rPr>
          <w:u w:val="single"/>
        </w:rPr>
        <w:t>Florida Public Service Commission General Counsel</w:t>
      </w:r>
      <w:r w:rsidRPr="00A3768E">
        <w:t>.</w:t>
      </w:r>
    </w:p>
    <w:p w:rsidR="00A3768E" w:rsidRPr="00A3768E" w:rsidRDefault="00A3768E" w:rsidP="00A3768E">
      <w:pPr>
        <w:pStyle w:val="OrderBody"/>
      </w:pPr>
    </w:p>
    <w:p w:rsidR="00A3768E" w:rsidRPr="00A3768E" w:rsidRDefault="00A3768E" w:rsidP="00A3768E">
      <w:pPr>
        <w:pStyle w:val="OrderBody"/>
      </w:pPr>
    </w:p>
    <w:p w:rsidR="00A3768E" w:rsidRPr="00A3768E" w:rsidRDefault="00A3768E" w:rsidP="00A3768E">
      <w:pPr>
        <w:pStyle w:val="OrderBody"/>
      </w:pPr>
      <w:r w:rsidRPr="00A3768E">
        <w:t>BY THE COMMISSION:</w:t>
      </w:r>
    </w:p>
    <w:p w:rsidR="00A3768E" w:rsidRPr="00A3768E" w:rsidRDefault="00A3768E" w:rsidP="00A3768E">
      <w:pPr>
        <w:pStyle w:val="OrderBody"/>
      </w:pPr>
    </w:p>
    <w:p w:rsidR="00325BFB" w:rsidRPr="00325BFB" w:rsidRDefault="00325BFB" w:rsidP="00325BFB">
      <w:pPr>
        <w:ind w:left="720" w:hanging="720"/>
        <w:jc w:val="center"/>
        <w:rPr>
          <w:u w:val="single"/>
        </w:rPr>
      </w:pPr>
      <w:r w:rsidRPr="00325BFB">
        <w:rPr>
          <w:u w:val="single"/>
        </w:rPr>
        <w:t>BACKGROUND</w:t>
      </w:r>
    </w:p>
    <w:p w:rsidR="00325BFB" w:rsidRPr="00325BFB" w:rsidRDefault="00325BFB" w:rsidP="00325BFB">
      <w:pPr>
        <w:ind w:left="720" w:hanging="720"/>
        <w:jc w:val="both"/>
      </w:pPr>
    </w:p>
    <w:p w:rsidR="00325BFB" w:rsidRPr="00325BFB" w:rsidRDefault="00325BFB" w:rsidP="00325BFB">
      <w:pPr>
        <w:jc w:val="both"/>
      </w:pPr>
      <w:r w:rsidRPr="00325BFB">
        <w:tab/>
        <w:t>The Energy Conservation Cost Recovery Clause allows electric public utilities to seek recovery of costs for energy conservation programs on an annual basis, pursuant to Sections 366.80–366.83, Florida Statutes (F.S.), and Chapter 25-17, Florida Administrative Code (F.A.C.). As part of this Florida Public Service Commission’s (Commission) continuing energy conservation cost recovery proceedings, we held an administrative hearing on November 5, 2024. We are vested with subject matter jurisdiction by the provisions of Chapters 120 and 366, F.S., including Sections 366.04, 366.05, and 366.06, F.S.</w:t>
      </w:r>
    </w:p>
    <w:p w:rsidR="00325BFB" w:rsidRPr="00325BFB" w:rsidRDefault="00325BFB" w:rsidP="00325BFB">
      <w:pPr>
        <w:jc w:val="both"/>
      </w:pPr>
    </w:p>
    <w:p w:rsidR="00325BFB" w:rsidRPr="00325BFB" w:rsidRDefault="00325BFB" w:rsidP="00325BFB">
      <w:pPr>
        <w:jc w:val="both"/>
      </w:pPr>
      <w:r w:rsidRPr="00325BFB">
        <w:tab/>
        <w:t>Nucor Steel Florida, Inc. (Nucor) and White Springs Agricultural Chemicals Inc. d/b/a PCS Phosphate – White Springs (PC</w:t>
      </w:r>
      <w:r w:rsidR="0035159A">
        <w:t>S Phosphate) were</w:t>
      </w:r>
      <w:r w:rsidRPr="00325BFB">
        <w:t xml:space="preserve"> excused from appearing for this hearing.</w:t>
      </w:r>
    </w:p>
    <w:p w:rsidR="00325BFB" w:rsidRPr="00325BFB" w:rsidRDefault="00325BFB" w:rsidP="00325BFB">
      <w:pPr>
        <w:jc w:val="both"/>
      </w:pPr>
    </w:p>
    <w:p w:rsidR="00325BFB" w:rsidRPr="00325BFB" w:rsidRDefault="00325BFB" w:rsidP="00325BFB">
      <w:pPr>
        <w:jc w:val="both"/>
      </w:pPr>
      <w:r w:rsidRPr="00325BFB">
        <w:tab/>
        <w:t>Florida Power &amp; Light Company (FPL), Duke Energy Florida, LLC (DEF), Tampa Electric Company (TECO), and Florida Public Utilities Company (FPUC) each submitted testimony and exhibits in support of their proposed final and estimated true-up amounts, total conservation cost recovery amounts, and conservation cost recovery factors. Commission Staff supplemented the record with interrogatory responses from the utilities’ witnesses.</w:t>
      </w:r>
    </w:p>
    <w:p w:rsidR="00325BFB" w:rsidRPr="00325BFB" w:rsidRDefault="00325BFB" w:rsidP="00325BFB">
      <w:pPr>
        <w:jc w:val="both"/>
      </w:pPr>
    </w:p>
    <w:p w:rsidR="00325BFB" w:rsidRPr="00325BFB" w:rsidRDefault="00325BFB" w:rsidP="00325BFB">
      <w:pPr>
        <w:ind w:firstLine="720"/>
        <w:jc w:val="both"/>
      </w:pPr>
      <w:r w:rsidRPr="00325BFB">
        <w:t>Prior to the hearing, the four investor-owned electric utilities reached Type 2 stipulations</w:t>
      </w:r>
      <w:r w:rsidRPr="00325BFB">
        <w:rPr>
          <w:vertAlign w:val="superscript"/>
        </w:rPr>
        <w:footnoteReference w:id="1"/>
      </w:r>
      <w:r w:rsidRPr="00325BFB">
        <w:t xml:space="preserve"> with Commission Staff concerning all issues identified for resolution at the hearing. The </w:t>
      </w:r>
      <w:r w:rsidRPr="00325BFB">
        <w:lastRenderedPageBreak/>
        <w:t>intervenors—Office of Public Counsel (OPC), Florida Industrial Power Users Group (FIPUG), Nucor, and PCS Phosphate—took no position on any of the issues.</w:t>
      </w:r>
      <w:r w:rsidRPr="00325BFB">
        <w:rPr>
          <w:vertAlign w:val="superscript"/>
        </w:rPr>
        <w:footnoteReference w:id="2"/>
      </w:r>
    </w:p>
    <w:p w:rsidR="00325BFB" w:rsidRPr="00325BFB" w:rsidRDefault="00325BFB" w:rsidP="00325BFB">
      <w:pPr>
        <w:jc w:val="both"/>
      </w:pPr>
      <w:r w:rsidRPr="00325BFB">
        <w:t xml:space="preserve"> </w:t>
      </w:r>
    </w:p>
    <w:p w:rsidR="00325BFB" w:rsidRPr="00325BFB" w:rsidRDefault="00325BFB" w:rsidP="00325BFB">
      <w:pPr>
        <w:jc w:val="both"/>
      </w:pPr>
    </w:p>
    <w:p w:rsidR="00325BFB" w:rsidRPr="00325BFB" w:rsidRDefault="00325BFB" w:rsidP="00325BFB">
      <w:pPr>
        <w:jc w:val="center"/>
        <w:rPr>
          <w:u w:val="single"/>
        </w:rPr>
      </w:pPr>
      <w:r w:rsidRPr="00325BFB">
        <w:rPr>
          <w:u w:val="single"/>
        </w:rPr>
        <w:t>DECISION</w:t>
      </w:r>
    </w:p>
    <w:p w:rsidR="00325BFB" w:rsidRPr="00325BFB" w:rsidRDefault="00325BFB" w:rsidP="00325BFB">
      <w:pPr>
        <w:jc w:val="both"/>
      </w:pPr>
    </w:p>
    <w:p w:rsidR="00325BFB" w:rsidRPr="00325BFB" w:rsidRDefault="00325BFB" w:rsidP="00325BFB">
      <w:pPr>
        <w:ind w:firstLine="720"/>
        <w:jc w:val="both"/>
      </w:pPr>
      <w:r w:rsidRPr="00325BFB">
        <w:t>There are proposed Type 2 stipulations</w:t>
      </w:r>
      <w:r w:rsidRPr="00325BFB">
        <w:rPr>
          <w:vertAlign w:val="superscript"/>
        </w:rPr>
        <w:footnoteReference w:id="3"/>
      </w:r>
      <w:r w:rsidRPr="00325BFB">
        <w:t xml:space="preserve"> for all issues as stated below. The Intervenors’ (OPC, FIPUG, NUCOR, and PCS Phosphate) position on each Type 2 stipulation stated below is as follows:</w:t>
      </w:r>
    </w:p>
    <w:p w:rsidR="00325BFB" w:rsidRPr="00325BFB" w:rsidRDefault="00325BFB" w:rsidP="00325BFB">
      <w:pPr>
        <w:ind w:firstLine="720"/>
        <w:jc w:val="both"/>
      </w:pPr>
    </w:p>
    <w:p w:rsidR="00325BFB" w:rsidRPr="00325BFB" w:rsidRDefault="00325BFB" w:rsidP="00325BFB">
      <w:pPr>
        <w:ind w:left="720" w:right="720"/>
        <w:jc w:val="both"/>
        <w:rPr>
          <w:bCs/>
        </w:rPr>
      </w:pPr>
      <w:r w:rsidRPr="00325BFB">
        <w:rPr>
          <w:bCs/>
        </w:rPr>
        <w:t>The Intervenors take no position on these issues nor do they have the burden of proof related to them.  As such, the Intervenors represent that they will not contest or oppose the Commission taking action approving a proposed stipulation between the Company and another party or staff as a final resolution of these issues.  No person is authorized to state that the Intervenors are a participant in, or party to, a stipulation on these issues, either in this docket, in an order of the Commission or in a representation to a Court.</w:t>
      </w:r>
    </w:p>
    <w:p w:rsidR="00325BFB" w:rsidRPr="00325BFB" w:rsidRDefault="00325BFB" w:rsidP="00325BFB">
      <w:pPr>
        <w:ind w:left="720" w:right="720"/>
        <w:jc w:val="both"/>
        <w:rPr>
          <w:bCs/>
        </w:rPr>
      </w:pPr>
    </w:p>
    <w:p w:rsidR="00325BFB" w:rsidRPr="00325BFB" w:rsidRDefault="00325BFB" w:rsidP="00325BFB">
      <w:pPr>
        <w:ind w:firstLine="720"/>
        <w:jc w:val="both"/>
        <w:rPr>
          <w:bCs/>
        </w:rPr>
      </w:pPr>
      <w:r w:rsidRPr="00325BFB">
        <w:rPr>
          <w:bCs/>
        </w:rPr>
        <w:t>FPL, TECO, FPUC, DEF, and Commission staff support the proposed stipulations.</w:t>
      </w:r>
    </w:p>
    <w:p w:rsidR="00325BFB" w:rsidRPr="00325BFB" w:rsidRDefault="00325BFB" w:rsidP="00325BFB">
      <w:pPr>
        <w:jc w:val="both"/>
        <w:rPr>
          <w:bCs/>
        </w:rPr>
      </w:pPr>
    </w:p>
    <w:p w:rsidR="00325BFB" w:rsidRPr="00325BFB" w:rsidRDefault="00325BFB" w:rsidP="00325BFB">
      <w:pPr>
        <w:jc w:val="both"/>
        <w:rPr>
          <w:bCs/>
        </w:rPr>
      </w:pPr>
      <w:r w:rsidRPr="00325BFB">
        <w:rPr>
          <w:bCs/>
        </w:rPr>
        <w:tab/>
        <w:t>OPC and FPL proposed the following stipulation as it pertains to the impact of FPL’s rate case in Docket No. 20250011-EI on the ECCR:</w:t>
      </w:r>
    </w:p>
    <w:p w:rsidR="00325BFB" w:rsidRPr="00325BFB" w:rsidRDefault="00325BFB" w:rsidP="00325BFB">
      <w:pPr>
        <w:ind w:right="720"/>
        <w:jc w:val="both"/>
        <w:rPr>
          <w:bCs/>
        </w:rPr>
      </w:pPr>
    </w:p>
    <w:p w:rsidR="00325BFB" w:rsidRPr="00325BFB" w:rsidRDefault="00325BFB" w:rsidP="00325BFB">
      <w:pPr>
        <w:ind w:right="720"/>
        <w:jc w:val="both"/>
        <w:rPr>
          <w:b/>
          <w:bCs/>
          <w:u w:val="single"/>
        </w:rPr>
      </w:pPr>
      <w:r w:rsidRPr="00325BFB">
        <w:rPr>
          <w:b/>
          <w:bCs/>
          <w:u w:val="single"/>
        </w:rPr>
        <w:t>STIPULATION:</w:t>
      </w:r>
    </w:p>
    <w:p w:rsidR="00325BFB" w:rsidRPr="00325BFB" w:rsidRDefault="00325BFB" w:rsidP="00325BFB">
      <w:pPr>
        <w:ind w:right="720"/>
        <w:jc w:val="both"/>
      </w:pPr>
    </w:p>
    <w:p w:rsidR="00325BFB" w:rsidRPr="00325BFB" w:rsidRDefault="00325BFB" w:rsidP="00325BFB">
      <w:pPr>
        <w:autoSpaceDE w:val="0"/>
        <w:autoSpaceDN w:val="0"/>
        <w:adjustRightInd w:val="0"/>
        <w:ind w:left="720" w:right="720"/>
        <w:jc w:val="both"/>
        <w:rPr>
          <w:rFonts w:eastAsiaTheme="minorHAnsi"/>
        </w:rPr>
      </w:pPr>
      <w:r w:rsidRPr="00325BFB">
        <w:rPr>
          <w:rFonts w:eastAsiaTheme="minorHAnsi"/>
        </w:rPr>
        <w:t xml:space="preserve">OPC will facilitate a Type 2 Stipulation on the following: (i) approval of FPL’s positions reflected in the prehearing order in this Docket in the event the Commission approves the settlement filed on August 20, 2025, in Docket 20250011-EI (“FPL Rate Case Settlement”); and (ii) approval of figures that reflect the schedules included in FPL’s August 1, 2025 filing in the event the Commission does not approve the FPL Rate Case Settlement, subject to FPL filing for approval of updated figures that incorporate, for use in rates that will go into effect on January 1, 2026, the Commission’s vote in Docket 20250011-EI as soon as practicable after that decision is issued. Nothing in this facilitation shall be used to suggest that the OPC supports approval of the FPL Rate Case Settlement, creates a waiver of its objections to the FPL Rate Case Settlement, or impairs the appellate rights of any party with respect to orders issued in Docket </w:t>
      </w:r>
      <w:r w:rsidRPr="00325BFB">
        <w:rPr>
          <w:rFonts w:eastAsiaTheme="minorHAnsi"/>
        </w:rPr>
        <w:lastRenderedPageBreak/>
        <w:t>20250011-EI and any impact such orders have on this Docket. FPL agrees that the willingness of the OPC to facilitate a Type 2 Stipulation on these matters shall obviate the need for the OPC or any other substantially affected party to appeal the final order in this Docket in order for the OPC to preserve its right to require the direct impact, if any, of any final decision by a court of competent jurisdiction related to the FPL Rate Case Settlement to be flowed through to this Docket.</w:t>
      </w:r>
    </w:p>
    <w:p w:rsidR="00325BFB" w:rsidRPr="00325BFB" w:rsidRDefault="00325BFB" w:rsidP="00325BFB">
      <w:pPr>
        <w:autoSpaceDE w:val="0"/>
        <w:autoSpaceDN w:val="0"/>
        <w:adjustRightInd w:val="0"/>
        <w:ind w:left="720" w:right="720"/>
        <w:jc w:val="both"/>
      </w:pPr>
    </w:p>
    <w:p w:rsidR="00325BFB" w:rsidRPr="00325BFB" w:rsidRDefault="00325BFB" w:rsidP="00325BFB">
      <w:pPr>
        <w:jc w:val="both"/>
      </w:pPr>
    </w:p>
    <w:p w:rsidR="00325BFB" w:rsidRPr="00325BFB" w:rsidRDefault="00325BFB" w:rsidP="00325BFB">
      <w:pPr>
        <w:ind w:left="1440" w:hanging="1440"/>
        <w:jc w:val="both"/>
        <w:rPr>
          <w:b/>
        </w:rPr>
      </w:pPr>
      <w:r w:rsidRPr="00325BFB">
        <w:rPr>
          <w:b/>
          <w:bCs/>
          <w:u w:val="single"/>
        </w:rPr>
        <w:t>ISSUE 1</w:t>
      </w:r>
      <w:r w:rsidRPr="00325BFB">
        <w:rPr>
          <w:b/>
          <w:bCs/>
        </w:rPr>
        <w:t>:</w:t>
      </w:r>
      <w:r w:rsidRPr="00325BFB">
        <w:rPr>
          <w:b/>
        </w:rPr>
        <w:tab/>
        <w:t>What are the final conservation cost recovery adjustment true-up amounts for the period January 2024 through December 2024?</w:t>
      </w:r>
    </w:p>
    <w:p w:rsidR="00325BFB" w:rsidRPr="00325BFB" w:rsidRDefault="00325BFB" w:rsidP="00325BFB">
      <w:pPr>
        <w:ind w:left="1440" w:hanging="1440"/>
        <w:jc w:val="both"/>
        <w:rPr>
          <w:b/>
          <w:sz w:val="28"/>
        </w:rPr>
      </w:pPr>
    </w:p>
    <w:p w:rsidR="00325BFB" w:rsidRPr="00325BFB" w:rsidRDefault="00325BFB" w:rsidP="00325BFB">
      <w:pPr>
        <w:ind w:left="1800" w:hanging="1800"/>
        <w:jc w:val="both"/>
      </w:pPr>
      <w:r w:rsidRPr="00325BFB">
        <w:rPr>
          <w:b/>
          <w:u w:val="single"/>
        </w:rPr>
        <w:t>STIPULATION</w:t>
      </w:r>
      <w:r w:rsidRPr="00325BFB">
        <w:rPr>
          <w:b/>
        </w:rPr>
        <w:t>:</w:t>
      </w:r>
      <w:r w:rsidRPr="00325BFB">
        <w:tab/>
      </w:r>
    </w:p>
    <w:p w:rsidR="00325BFB" w:rsidRPr="00325BFB" w:rsidRDefault="00325BFB" w:rsidP="00325BFB">
      <w:pPr>
        <w:ind w:left="1800" w:hanging="1800"/>
        <w:jc w:val="both"/>
      </w:pPr>
    </w:p>
    <w:p w:rsidR="00325BFB" w:rsidRPr="00325BFB" w:rsidRDefault="00325BFB" w:rsidP="00325BFB">
      <w:pPr>
        <w:ind w:left="1440"/>
      </w:pPr>
      <w:r w:rsidRPr="00325BFB">
        <w:t>The appropriate final conservation cost recovery adjustment true-up amounts for the period January 2024 through December 2024 are as follows:</w:t>
      </w:r>
    </w:p>
    <w:p w:rsidR="00325BFB" w:rsidRPr="00325BFB" w:rsidRDefault="00325BFB" w:rsidP="00325BFB">
      <w:pPr>
        <w:ind w:left="1440"/>
        <w:jc w:val="both"/>
      </w:pPr>
    </w:p>
    <w:p w:rsidR="00325BFB" w:rsidRPr="00325BFB" w:rsidRDefault="00325BFB" w:rsidP="00325BFB">
      <w:pPr>
        <w:tabs>
          <w:tab w:val="right" w:pos="7020"/>
          <w:tab w:val="left" w:pos="7200"/>
        </w:tabs>
        <w:ind w:left="1440"/>
        <w:jc w:val="both"/>
        <w:rPr>
          <w:b/>
          <w:u w:val="single"/>
        </w:rPr>
      </w:pPr>
      <w:r w:rsidRPr="00325BFB">
        <w:rPr>
          <w:b/>
          <w:u w:val="single"/>
        </w:rPr>
        <w:t>Florida Power &amp; Light Company</w:t>
      </w:r>
    </w:p>
    <w:p w:rsidR="00325BFB" w:rsidRPr="00325BFB" w:rsidRDefault="00325BFB" w:rsidP="00325BFB">
      <w:pPr>
        <w:tabs>
          <w:tab w:val="right" w:pos="7020"/>
          <w:tab w:val="left" w:pos="7200"/>
        </w:tabs>
        <w:ind w:left="1440"/>
        <w:jc w:val="both"/>
        <w:rPr>
          <w:u w:val="single"/>
        </w:rPr>
      </w:pPr>
    </w:p>
    <w:p w:rsidR="00325BFB" w:rsidRPr="00325BFB" w:rsidRDefault="00325BFB" w:rsidP="00325BFB">
      <w:pPr>
        <w:ind w:left="1440"/>
        <w:jc w:val="both"/>
        <w:rPr>
          <w:color w:val="0E101A"/>
        </w:rPr>
      </w:pPr>
      <w:r w:rsidRPr="00325BFB">
        <w:rPr>
          <w:color w:val="0E101A"/>
        </w:rPr>
        <w:t>$3,826,632, Over-recovery</w:t>
      </w:r>
      <w:r w:rsidRPr="00325BFB">
        <w:rPr>
          <w:color w:val="0E101A"/>
          <w:shd w:val="clear" w:color="auto" w:fill="FFFFFF" w:themeFill="background1"/>
        </w:rPr>
        <w:t>,</w:t>
      </w:r>
      <w:r w:rsidRPr="00325BFB">
        <w:rPr>
          <w:color w:val="0E101A"/>
        </w:rPr>
        <w:t xml:space="preserve"> as reflected in Schedule CT-1, Page 2 of 131, in Exhibit LSN-1.</w:t>
      </w:r>
    </w:p>
    <w:p w:rsidR="00325BFB" w:rsidRPr="00325BFB" w:rsidRDefault="00325BFB" w:rsidP="00325BFB">
      <w:pPr>
        <w:tabs>
          <w:tab w:val="right" w:pos="7020"/>
          <w:tab w:val="left" w:pos="7200"/>
        </w:tabs>
        <w:ind w:left="1440"/>
        <w:jc w:val="both"/>
        <w:rPr>
          <w:u w:val="single"/>
        </w:rPr>
      </w:pPr>
    </w:p>
    <w:p w:rsidR="00325BFB" w:rsidRPr="00325BFB" w:rsidRDefault="00325BFB" w:rsidP="00325BFB">
      <w:pPr>
        <w:tabs>
          <w:tab w:val="right" w:pos="7020"/>
          <w:tab w:val="left" w:pos="7200"/>
        </w:tabs>
        <w:ind w:left="1440"/>
        <w:jc w:val="both"/>
        <w:rPr>
          <w:b/>
          <w:u w:val="single"/>
        </w:rPr>
      </w:pPr>
      <w:r w:rsidRPr="00325BFB">
        <w:rPr>
          <w:b/>
          <w:u w:val="single"/>
        </w:rPr>
        <w:t>Duke Energy Florida</w:t>
      </w:r>
    </w:p>
    <w:p w:rsidR="00325BFB" w:rsidRPr="00325BFB" w:rsidRDefault="00325BFB" w:rsidP="00325BFB">
      <w:pPr>
        <w:tabs>
          <w:tab w:val="right" w:pos="7020"/>
          <w:tab w:val="left" w:pos="7200"/>
        </w:tabs>
        <w:ind w:left="1440"/>
        <w:jc w:val="both"/>
        <w:rPr>
          <w:u w:val="single"/>
        </w:rPr>
      </w:pPr>
    </w:p>
    <w:p w:rsidR="00325BFB" w:rsidRPr="00325BFB" w:rsidRDefault="00325BFB" w:rsidP="00325BFB">
      <w:pPr>
        <w:ind w:left="1440"/>
        <w:jc w:val="both"/>
        <w:rPr>
          <w:color w:val="0E101A"/>
        </w:rPr>
      </w:pPr>
      <w:r w:rsidRPr="00325BFB">
        <w:rPr>
          <w:color w:val="0E101A"/>
        </w:rPr>
        <w:t>$</w:t>
      </w:r>
      <w:r w:rsidRPr="00325BFB">
        <w:rPr>
          <w:color w:val="0E101A"/>
          <w:shd w:val="clear" w:color="auto" w:fill="FFFFFF" w:themeFill="background1"/>
        </w:rPr>
        <w:t>267,930, Over-recovery,</w:t>
      </w:r>
      <w:r w:rsidRPr="00325BFB">
        <w:rPr>
          <w:color w:val="0E101A"/>
        </w:rPr>
        <w:t xml:space="preserve"> as reflected in Schedule CT-1, Page 1 of 1, in Exhibit KR-1T.</w:t>
      </w:r>
    </w:p>
    <w:p w:rsidR="00325BFB" w:rsidRPr="00325BFB" w:rsidRDefault="00325BFB" w:rsidP="00325BFB">
      <w:pPr>
        <w:jc w:val="both"/>
        <w:rPr>
          <w:color w:val="0E101A"/>
        </w:rPr>
      </w:pPr>
    </w:p>
    <w:p w:rsidR="00325BFB" w:rsidRPr="00325BFB" w:rsidRDefault="00325BFB" w:rsidP="00325BFB">
      <w:pPr>
        <w:tabs>
          <w:tab w:val="right" w:pos="7020"/>
          <w:tab w:val="left" w:pos="7200"/>
        </w:tabs>
        <w:ind w:left="1440"/>
        <w:jc w:val="both"/>
        <w:rPr>
          <w:b/>
          <w:u w:val="single"/>
        </w:rPr>
      </w:pPr>
      <w:r w:rsidRPr="00325BFB">
        <w:rPr>
          <w:b/>
          <w:u w:val="single"/>
        </w:rPr>
        <w:t>Tampa Electric Company</w:t>
      </w:r>
    </w:p>
    <w:p w:rsidR="00325BFB" w:rsidRPr="00325BFB" w:rsidRDefault="00325BFB" w:rsidP="00325BFB">
      <w:pPr>
        <w:tabs>
          <w:tab w:val="right" w:pos="7020"/>
          <w:tab w:val="left" w:pos="7200"/>
        </w:tabs>
        <w:ind w:left="1440"/>
        <w:jc w:val="both"/>
        <w:rPr>
          <w:u w:val="single"/>
        </w:rPr>
      </w:pPr>
    </w:p>
    <w:p w:rsidR="00325BFB" w:rsidRPr="00325BFB" w:rsidRDefault="00325BFB" w:rsidP="00325BFB">
      <w:pPr>
        <w:ind w:left="1440"/>
        <w:jc w:val="both"/>
        <w:rPr>
          <w:color w:val="0E101A"/>
        </w:rPr>
      </w:pPr>
      <w:r w:rsidRPr="00325BFB">
        <w:rPr>
          <w:color w:val="0E101A"/>
        </w:rPr>
        <w:t>$</w:t>
      </w:r>
      <w:r w:rsidRPr="00325BFB">
        <w:rPr>
          <w:color w:val="0E101A"/>
          <w:shd w:val="clear" w:color="auto" w:fill="FFFFFF" w:themeFill="background1"/>
        </w:rPr>
        <w:t>3,649,409, Over-recovery,</w:t>
      </w:r>
      <w:r w:rsidRPr="00325BFB">
        <w:rPr>
          <w:color w:val="0E101A"/>
        </w:rPr>
        <w:t xml:space="preserve"> as reflected in Schedule CT-1, Page 1 of 1, in Exhibit RGJ-1.</w:t>
      </w:r>
    </w:p>
    <w:p w:rsidR="00325BFB" w:rsidRPr="00325BFB" w:rsidRDefault="00325BFB" w:rsidP="00325BFB">
      <w:pPr>
        <w:ind w:left="1440"/>
        <w:jc w:val="both"/>
        <w:rPr>
          <w:color w:val="0E101A"/>
        </w:rPr>
      </w:pPr>
    </w:p>
    <w:p w:rsidR="00325BFB" w:rsidRPr="00325BFB" w:rsidRDefault="00325BFB" w:rsidP="00325BFB">
      <w:pPr>
        <w:tabs>
          <w:tab w:val="right" w:pos="7020"/>
          <w:tab w:val="left" w:pos="7200"/>
        </w:tabs>
        <w:ind w:left="1440"/>
        <w:jc w:val="both"/>
        <w:rPr>
          <w:b/>
          <w:u w:val="single"/>
        </w:rPr>
      </w:pPr>
      <w:r w:rsidRPr="00325BFB">
        <w:rPr>
          <w:b/>
          <w:u w:val="single"/>
        </w:rPr>
        <w:t>Florida Public Utilities Company</w:t>
      </w:r>
    </w:p>
    <w:p w:rsidR="00325BFB" w:rsidRPr="00325BFB" w:rsidRDefault="00325BFB" w:rsidP="00325BFB">
      <w:pPr>
        <w:tabs>
          <w:tab w:val="right" w:pos="7020"/>
          <w:tab w:val="left" w:pos="7200"/>
        </w:tabs>
        <w:ind w:left="1440"/>
        <w:jc w:val="both"/>
      </w:pPr>
      <w:r w:rsidRPr="00325BFB">
        <w:tab/>
      </w:r>
    </w:p>
    <w:p w:rsidR="00325BFB" w:rsidRPr="00325BFB" w:rsidRDefault="00325BFB" w:rsidP="00325BFB">
      <w:pPr>
        <w:ind w:left="1440"/>
        <w:jc w:val="both"/>
        <w:rPr>
          <w:color w:val="0E101A"/>
        </w:rPr>
      </w:pPr>
      <w:r w:rsidRPr="00325BFB">
        <w:rPr>
          <w:color w:val="0E101A"/>
          <w:shd w:val="clear" w:color="auto" w:fill="FFFFFF" w:themeFill="background1"/>
        </w:rPr>
        <w:t>$43,327, Over-recovery, as</w:t>
      </w:r>
      <w:r w:rsidRPr="00325BFB">
        <w:rPr>
          <w:color w:val="0E101A"/>
        </w:rPr>
        <w:t xml:space="preserve"> reflected in Schedule CT-1, Page 1 of 1, in Exhibit BG-1.</w:t>
      </w:r>
    </w:p>
    <w:p w:rsidR="00325BFB" w:rsidRPr="00325BFB" w:rsidRDefault="00325BFB" w:rsidP="00325BFB">
      <w:pPr>
        <w:ind w:left="1440"/>
        <w:jc w:val="both"/>
        <w:rPr>
          <w:color w:val="0E101A"/>
        </w:rPr>
      </w:pPr>
    </w:p>
    <w:p w:rsidR="00325BFB" w:rsidRDefault="00325BFB" w:rsidP="00325BFB">
      <w:pPr>
        <w:jc w:val="both"/>
        <w:rPr>
          <w:b/>
          <w:bCs/>
          <w:u w:val="single"/>
        </w:rPr>
      </w:pPr>
    </w:p>
    <w:p w:rsidR="0035159A" w:rsidRDefault="0035159A" w:rsidP="00325BFB">
      <w:pPr>
        <w:jc w:val="both"/>
        <w:rPr>
          <w:b/>
          <w:bCs/>
          <w:u w:val="single"/>
        </w:rPr>
      </w:pPr>
    </w:p>
    <w:p w:rsidR="0035159A" w:rsidRDefault="0035159A" w:rsidP="00325BFB">
      <w:pPr>
        <w:jc w:val="both"/>
        <w:rPr>
          <w:b/>
          <w:bCs/>
          <w:u w:val="single"/>
        </w:rPr>
      </w:pPr>
    </w:p>
    <w:p w:rsidR="0035159A" w:rsidRDefault="0035159A" w:rsidP="00325BFB">
      <w:pPr>
        <w:jc w:val="both"/>
        <w:rPr>
          <w:b/>
          <w:bCs/>
          <w:u w:val="single"/>
        </w:rPr>
      </w:pPr>
    </w:p>
    <w:p w:rsidR="0035159A" w:rsidRDefault="0035159A" w:rsidP="00325BFB">
      <w:pPr>
        <w:jc w:val="both"/>
        <w:rPr>
          <w:b/>
          <w:bCs/>
          <w:u w:val="single"/>
        </w:rPr>
      </w:pPr>
    </w:p>
    <w:p w:rsidR="0049174E" w:rsidRDefault="0049174E" w:rsidP="00325BFB">
      <w:pPr>
        <w:jc w:val="both"/>
        <w:rPr>
          <w:b/>
          <w:bCs/>
          <w:u w:val="single"/>
        </w:rPr>
      </w:pPr>
    </w:p>
    <w:p w:rsidR="0049174E" w:rsidRDefault="0049174E" w:rsidP="00325BFB">
      <w:pPr>
        <w:jc w:val="both"/>
        <w:rPr>
          <w:b/>
          <w:bCs/>
          <w:u w:val="single"/>
        </w:rPr>
      </w:pPr>
    </w:p>
    <w:p w:rsidR="0035159A" w:rsidRPr="00325BFB" w:rsidRDefault="0035159A" w:rsidP="00325BFB">
      <w:pPr>
        <w:jc w:val="both"/>
        <w:rPr>
          <w:b/>
          <w:bCs/>
          <w:u w:val="single"/>
        </w:rPr>
      </w:pPr>
    </w:p>
    <w:p w:rsidR="00325BFB" w:rsidRPr="00325BFB" w:rsidRDefault="00325BFB" w:rsidP="00325BFB">
      <w:pPr>
        <w:ind w:left="1440" w:hanging="1440"/>
        <w:jc w:val="both"/>
        <w:rPr>
          <w:b/>
        </w:rPr>
      </w:pPr>
      <w:r w:rsidRPr="00325BFB">
        <w:rPr>
          <w:b/>
          <w:bCs/>
          <w:u w:val="single"/>
        </w:rPr>
        <w:lastRenderedPageBreak/>
        <w:t>ISSUE 2</w:t>
      </w:r>
      <w:r w:rsidRPr="00325BFB">
        <w:rPr>
          <w:b/>
          <w:bCs/>
        </w:rPr>
        <w:t xml:space="preserve">: </w:t>
      </w:r>
      <w:r w:rsidRPr="00325BFB">
        <w:rPr>
          <w:b/>
          <w:bCs/>
        </w:rPr>
        <w:tab/>
      </w:r>
      <w:r w:rsidRPr="00325BFB">
        <w:rPr>
          <w:b/>
        </w:rPr>
        <w:t>What are the appropriate conservation adjustment actual/estimated true-up amounts for the period January 2025 through December 2025?</w:t>
      </w:r>
    </w:p>
    <w:p w:rsidR="00325BFB" w:rsidRPr="00325BFB" w:rsidRDefault="00325BFB" w:rsidP="00325BFB">
      <w:pPr>
        <w:ind w:left="1440" w:hanging="1440"/>
        <w:jc w:val="both"/>
        <w:rPr>
          <w:b/>
          <w:bCs/>
        </w:rPr>
      </w:pPr>
    </w:p>
    <w:p w:rsidR="00325BFB" w:rsidRPr="00325BFB" w:rsidRDefault="00325BFB" w:rsidP="00325BFB">
      <w:pPr>
        <w:ind w:left="1890" w:hanging="1890"/>
        <w:jc w:val="both"/>
        <w:rPr>
          <w:b/>
          <w:bCs/>
        </w:rPr>
      </w:pPr>
      <w:r w:rsidRPr="00325BFB">
        <w:rPr>
          <w:b/>
          <w:bCs/>
          <w:u w:val="single"/>
        </w:rPr>
        <w:t>STIPULATION</w:t>
      </w:r>
      <w:r w:rsidRPr="00325BFB">
        <w:rPr>
          <w:b/>
          <w:bCs/>
        </w:rPr>
        <w:t>:</w:t>
      </w:r>
      <w:bookmarkStart w:id="5" w:name="_Hlk52288072"/>
      <w:r w:rsidRPr="00325BFB">
        <w:rPr>
          <w:b/>
          <w:bCs/>
        </w:rPr>
        <w:tab/>
      </w:r>
    </w:p>
    <w:p w:rsidR="00325BFB" w:rsidRPr="00325BFB" w:rsidRDefault="00325BFB" w:rsidP="00325BFB">
      <w:pPr>
        <w:ind w:left="1890" w:hanging="1890"/>
        <w:jc w:val="both"/>
        <w:rPr>
          <w:b/>
          <w:bCs/>
        </w:rPr>
      </w:pPr>
    </w:p>
    <w:p w:rsidR="00325BFB" w:rsidRPr="00325BFB" w:rsidRDefault="00325BFB" w:rsidP="00325BFB">
      <w:pPr>
        <w:ind w:left="1440"/>
      </w:pPr>
      <w:r w:rsidRPr="00325BFB">
        <w:t xml:space="preserve">The </w:t>
      </w:r>
      <w:bookmarkEnd w:id="5"/>
      <w:r w:rsidRPr="00325BFB">
        <w:t>appropriate conservation adjustment actual/estimated true-up amounts for the period January 2025 through December 2025 are as follows:</w:t>
      </w:r>
    </w:p>
    <w:p w:rsidR="00325BFB" w:rsidRPr="00325BFB" w:rsidRDefault="00325BFB" w:rsidP="00325BFB">
      <w:pPr>
        <w:ind w:left="1890" w:hanging="1890"/>
        <w:jc w:val="both"/>
        <w:rPr>
          <w:b/>
          <w:bCs/>
        </w:rPr>
      </w:pPr>
    </w:p>
    <w:p w:rsidR="00325BFB" w:rsidRPr="00325BFB" w:rsidRDefault="00325BFB" w:rsidP="00325BFB">
      <w:pPr>
        <w:tabs>
          <w:tab w:val="right" w:pos="7020"/>
          <w:tab w:val="left" w:pos="7200"/>
        </w:tabs>
        <w:ind w:left="1440"/>
        <w:jc w:val="both"/>
        <w:rPr>
          <w:b/>
          <w:u w:val="single"/>
        </w:rPr>
      </w:pPr>
      <w:r w:rsidRPr="00325BFB">
        <w:rPr>
          <w:b/>
          <w:u w:val="single"/>
        </w:rPr>
        <w:t>Florida Power &amp; Light Company</w:t>
      </w:r>
    </w:p>
    <w:p w:rsidR="00325BFB" w:rsidRPr="00325BFB" w:rsidRDefault="00325BFB" w:rsidP="00325BFB">
      <w:pPr>
        <w:tabs>
          <w:tab w:val="right" w:pos="7020"/>
          <w:tab w:val="left" w:pos="7200"/>
        </w:tabs>
        <w:ind w:left="1440"/>
        <w:jc w:val="both"/>
      </w:pPr>
      <w:r w:rsidRPr="00325BFB">
        <w:tab/>
      </w:r>
    </w:p>
    <w:p w:rsidR="00325BFB" w:rsidRPr="00325BFB" w:rsidRDefault="00325BFB" w:rsidP="00325BFB">
      <w:pPr>
        <w:shd w:val="clear" w:color="auto" w:fill="FFFFFF" w:themeFill="background1"/>
        <w:tabs>
          <w:tab w:val="right" w:pos="7020"/>
          <w:tab w:val="left" w:pos="7200"/>
        </w:tabs>
        <w:ind w:left="1440"/>
        <w:jc w:val="both"/>
      </w:pPr>
      <w:r w:rsidRPr="00325BFB">
        <w:t>$4,641,992, Over-recovery, which is calculated by taking the difference from the amount in Issue 1</w:t>
      </w:r>
      <w:r w:rsidRPr="00325BFB">
        <w:rPr>
          <w:color w:val="0E101A"/>
        </w:rPr>
        <w:t xml:space="preserve"> from the </w:t>
      </w:r>
      <w:r w:rsidRPr="00325BFB">
        <w:rPr>
          <w:shd w:val="clear" w:color="auto" w:fill="FFFFFF" w:themeFill="background1"/>
        </w:rPr>
        <w:t>$8,468,624</w:t>
      </w:r>
      <w:r w:rsidRPr="00325BFB">
        <w:t xml:space="preserve"> (Over-recovery), that is reflected in </w:t>
      </w:r>
      <w:r w:rsidRPr="00325BFB">
        <w:rPr>
          <w:color w:val="0E101A"/>
        </w:rPr>
        <w:t xml:space="preserve">Schedule C-3, Page </w:t>
      </w:r>
      <w:r w:rsidRPr="00325BFB">
        <w:t>30 of 38, in LSN-2.</w:t>
      </w:r>
    </w:p>
    <w:p w:rsidR="00325BFB" w:rsidRPr="00325BFB" w:rsidRDefault="00325BFB" w:rsidP="00325BFB">
      <w:pPr>
        <w:shd w:val="clear" w:color="auto" w:fill="FFFFFF" w:themeFill="background1"/>
        <w:tabs>
          <w:tab w:val="right" w:pos="7020"/>
          <w:tab w:val="left" w:pos="7200"/>
        </w:tabs>
        <w:ind w:left="1440"/>
        <w:jc w:val="both"/>
      </w:pPr>
    </w:p>
    <w:p w:rsidR="00325BFB" w:rsidRPr="00325BFB" w:rsidRDefault="00325BFB" w:rsidP="00325BFB">
      <w:pPr>
        <w:tabs>
          <w:tab w:val="right" w:pos="7020"/>
          <w:tab w:val="left" w:pos="7200"/>
        </w:tabs>
        <w:ind w:left="1440"/>
        <w:jc w:val="both"/>
        <w:rPr>
          <w:b/>
          <w:u w:val="single"/>
        </w:rPr>
      </w:pPr>
      <w:r w:rsidRPr="00325BFB">
        <w:rPr>
          <w:b/>
          <w:u w:val="single"/>
        </w:rPr>
        <w:t>Duke Energy Florida</w:t>
      </w:r>
    </w:p>
    <w:p w:rsidR="00325BFB" w:rsidRPr="00325BFB" w:rsidRDefault="00325BFB" w:rsidP="00325BFB">
      <w:pPr>
        <w:tabs>
          <w:tab w:val="right" w:pos="7020"/>
          <w:tab w:val="left" w:pos="7200"/>
        </w:tabs>
        <w:ind w:left="1440"/>
        <w:jc w:val="both"/>
        <w:rPr>
          <w:u w:val="single"/>
        </w:rPr>
      </w:pPr>
    </w:p>
    <w:p w:rsidR="00325BFB" w:rsidRPr="00325BFB" w:rsidRDefault="00325BFB" w:rsidP="00325BFB">
      <w:pPr>
        <w:ind w:left="1440"/>
        <w:jc w:val="both"/>
        <w:rPr>
          <w:color w:val="0E101A"/>
        </w:rPr>
      </w:pPr>
      <w:r w:rsidRPr="00325BFB">
        <w:rPr>
          <w:shd w:val="clear" w:color="auto" w:fill="FFFFFF" w:themeFill="background1"/>
        </w:rPr>
        <w:t>$3,291,225</w:t>
      </w:r>
      <w:r w:rsidRPr="00325BFB">
        <w:t>, Over-recovery, which is calculated by taking the difference from the amount in Issue 1</w:t>
      </w:r>
      <w:r w:rsidRPr="00325BFB">
        <w:rPr>
          <w:color w:val="0E101A"/>
        </w:rPr>
        <w:t xml:space="preserve"> from the </w:t>
      </w:r>
      <w:r w:rsidRPr="00325BFB">
        <w:rPr>
          <w:shd w:val="clear" w:color="auto" w:fill="FFFFFF" w:themeFill="background1"/>
        </w:rPr>
        <w:t>$3,559,155</w:t>
      </w:r>
      <w:r w:rsidRPr="00325BFB">
        <w:t xml:space="preserve"> (Over-recovery), that is reflected in </w:t>
      </w:r>
      <w:r w:rsidRPr="00325BFB">
        <w:rPr>
          <w:color w:val="0E101A"/>
        </w:rPr>
        <w:t>Schedule C-3, Page 4 of 5, in Exhibit KR-1P.</w:t>
      </w:r>
    </w:p>
    <w:p w:rsidR="00325BFB" w:rsidRPr="00325BFB" w:rsidRDefault="00325BFB" w:rsidP="00325BFB">
      <w:pPr>
        <w:ind w:left="1440"/>
        <w:jc w:val="both"/>
      </w:pPr>
    </w:p>
    <w:p w:rsidR="00325BFB" w:rsidRPr="00325BFB" w:rsidRDefault="00325BFB" w:rsidP="00325BFB">
      <w:pPr>
        <w:tabs>
          <w:tab w:val="right" w:pos="7020"/>
          <w:tab w:val="left" w:pos="7200"/>
        </w:tabs>
        <w:ind w:left="1440"/>
        <w:jc w:val="both"/>
        <w:rPr>
          <w:b/>
          <w:u w:val="single"/>
        </w:rPr>
      </w:pPr>
      <w:r w:rsidRPr="00325BFB">
        <w:rPr>
          <w:b/>
          <w:u w:val="single"/>
        </w:rPr>
        <w:t>Tampa Electric Company</w:t>
      </w:r>
    </w:p>
    <w:p w:rsidR="00325BFB" w:rsidRPr="00325BFB" w:rsidRDefault="00325BFB" w:rsidP="00325BFB">
      <w:pPr>
        <w:tabs>
          <w:tab w:val="right" w:pos="7020"/>
          <w:tab w:val="left" w:pos="7200"/>
        </w:tabs>
        <w:ind w:left="1440"/>
        <w:jc w:val="both"/>
      </w:pPr>
      <w:r w:rsidRPr="00325BFB">
        <w:tab/>
      </w:r>
    </w:p>
    <w:p w:rsidR="00325BFB" w:rsidRPr="00325BFB" w:rsidRDefault="00325BFB" w:rsidP="00325BFB">
      <w:pPr>
        <w:tabs>
          <w:tab w:val="right" w:pos="6480"/>
          <w:tab w:val="left" w:pos="6660"/>
        </w:tabs>
        <w:ind w:left="1440"/>
        <w:jc w:val="both"/>
      </w:pPr>
      <w:r w:rsidRPr="00325BFB">
        <w:t xml:space="preserve">$290,553, Under-recovery, as reflected in </w:t>
      </w:r>
      <w:r w:rsidRPr="00325BFB">
        <w:rPr>
          <w:color w:val="0E101A"/>
        </w:rPr>
        <w:t>Schedule C-3, i</w:t>
      </w:r>
      <w:r w:rsidRPr="00325BFB">
        <w:t xml:space="preserve">n Schedule C-3, Page 10 of 11, in Exhibit RGJ-2. </w:t>
      </w:r>
      <w:r w:rsidRPr="00325BFB">
        <w:rPr>
          <w:color w:val="0E101A"/>
        </w:rPr>
        <w:t>This amount includes a regulatory adjustment of $1,138,253.</w:t>
      </w:r>
    </w:p>
    <w:p w:rsidR="00325BFB" w:rsidRPr="00325BFB" w:rsidRDefault="00325BFB" w:rsidP="00325BFB">
      <w:pPr>
        <w:shd w:val="clear" w:color="auto" w:fill="FFFFFF" w:themeFill="background1"/>
        <w:tabs>
          <w:tab w:val="right" w:pos="7020"/>
          <w:tab w:val="left" w:pos="7200"/>
        </w:tabs>
        <w:jc w:val="both"/>
      </w:pPr>
    </w:p>
    <w:p w:rsidR="00325BFB" w:rsidRPr="00325BFB" w:rsidRDefault="00325BFB" w:rsidP="00325BFB">
      <w:pPr>
        <w:tabs>
          <w:tab w:val="right" w:pos="7020"/>
          <w:tab w:val="left" w:pos="7200"/>
        </w:tabs>
        <w:ind w:left="1440"/>
        <w:jc w:val="both"/>
        <w:rPr>
          <w:b/>
          <w:u w:val="single"/>
        </w:rPr>
      </w:pPr>
      <w:r w:rsidRPr="00325BFB">
        <w:rPr>
          <w:b/>
          <w:u w:val="single"/>
        </w:rPr>
        <w:t>Florida Public Utilities Company</w:t>
      </w:r>
    </w:p>
    <w:p w:rsidR="00325BFB" w:rsidRPr="00325BFB" w:rsidRDefault="00325BFB" w:rsidP="00325BFB">
      <w:pPr>
        <w:tabs>
          <w:tab w:val="right" w:pos="7020"/>
          <w:tab w:val="left" w:pos="7200"/>
        </w:tabs>
        <w:ind w:left="1440"/>
        <w:jc w:val="both"/>
      </w:pPr>
      <w:r w:rsidRPr="00325BFB">
        <w:tab/>
        <w:t xml:space="preserve">   </w:t>
      </w:r>
    </w:p>
    <w:p w:rsidR="00325BFB" w:rsidRPr="00325BFB" w:rsidRDefault="00325BFB" w:rsidP="00325BFB">
      <w:pPr>
        <w:ind w:left="1440"/>
        <w:jc w:val="both"/>
        <w:rPr>
          <w:color w:val="0E101A"/>
        </w:rPr>
      </w:pPr>
      <w:r w:rsidRPr="00325BFB">
        <w:rPr>
          <w:shd w:val="clear" w:color="auto" w:fill="FFFFFF" w:themeFill="background1"/>
        </w:rPr>
        <w:t>$275,382</w:t>
      </w:r>
      <w:r w:rsidRPr="00325BFB">
        <w:t>, Under-recovery, which is calculated by taking the difference from the amount in Issue 1</w:t>
      </w:r>
      <w:r w:rsidRPr="00325BFB">
        <w:rPr>
          <w:color w:val="0E101A"/>
        </w:rPr>
        <w:t xml:space="preserve"> from the </w:t>
      </w:r>
      <w:r w:rsidRPr="00325BFB">
        <w:rPr>
          <w:shd w:val="clear" w:color="auto" w:fill="FFFFFF" w:themeFill="background1"/>
        </w:rPr>
        <w:t>$232,055</w:t>
      </w:r>
      <w:r w:rsidRPr="00325BFB">
        <w:t xml:space="preserve"> (Under-recovery), that is reflected in </w:t>
      </w:r>
      <w:r w:rsidRPr="00325BFB">
        <w:rPr>
          <w:color w:val="0E101A"/>
        </w:rPr>
        <w:t>Schedule C-3, Page 4 of 5, in KIL-1.</w:t>
      </w:r>
    </w:p>
    <w:p w:rsidR="00325BFB" w:rsidRPr="00325BFB" w:rsidRDefault="00325BFB" w:rsidP="00325BFB">
      <w:pPr>
        <w:shd w:val="clear" w:color="auto" w:fill="FFFFFF" w:themeFill="background1"/>
        <w:tabs>
          <w:tab w:val="right" w:pos="7020"/>
          <w:tab w:val="left" w:pos="7200"/>
        </w:tabs>
        <w:ind w:left="1440"/>
        <w:jc w:val="both"/>
      </w:pPr>
    </w:p>
    <w:p w:rsidR="00325BFB" w:rsidRPr="00325BFB" w:rsidRDefault="00325BFB" w:rsidP="00325BFB">
      <w:pPr>
        <w:rPr>
          <w:b/>
          <w:bCs/>
          <w:u w:val="single"/>
          <w:shd w:val="clear" w:color="auto" w:fill="D9D9D9" w:themeFill="background1" w:themeFillShade="D9"/>
        </w:rPr>
      </w:pPr>
    </w:p>
    <w:p w:rsidR="00325BFB" w:rsidRPr="00325BFB" w:rsidRDefault="00325BFB" w:rsidP="00325BFB">
      <w:pPr>
        <w:ind w:left="1440" w:hanging="1440"/>
        <w:jc w:val="both"/>
        <w:rPr>
          <w:b/>
          <w:bCs/>
        </w:rPr>
      </w:pPr>
      <w:r w:rsidRPr="00325BFB">
        <w:rPr>
          <w:b/>
          <w:bCs/>
          <w:u w:val="single"/>
        </w:rPr>
        <w:t>ISSUE 3:</w:t>
      </w:r>
      <w:r w:rsidRPr="00325BFB">
        <w:rPr>
          <w:b/>
          <w:bCs/>
        </w:rPr>
        <w:tab/>
        <w:t>What are the appropriate total conservation adjustment true-up amounts to be collected/refunded in the period January 2026 through December 2026?</w:t>
      </w:r>
    </w:p>
    <w:p w:rsidR="00325BFB" w:rsidRPr="00325BFB" w:rsidRDefault="00325BFB" w:rsidP="00325BFB">
      <w:pPr>
        <w:ind w:left="1440" w:hanging="1440"/>
        <w:jc w:val="both"/>
        <w:rPr>
          <w:b/>
          <w:bCs/>
        </w:rPr>
      </w:pPr>
    </w:p>
    <w:p w:rsidR="00325BFB" w:rsidRPr="00325BFB" w:rsidRDefault="00325BFB" w:rsidP="00325BFB">
      <w:pPr>
        <w:ind w:left="1440" w:hanging="1440"/>
        <w:jc w:val="both"/>
        <w:rPr>
          <w:b/>
          <w:bCs/>
          <w:u w:val="single"/>
        </w:rPr>
      </w:pPr>
      <w:r w:rsidRPr="00325BFB">
        <w:rPr>
          <w:b/>
          <w:bCs/>
          <w:u w:val="single"/>
        </w:rPr>
        <w:t>STIPULATION:</w:t>
      </w:r>
    </w:p>
    <w:p w:rsidR="00325BFB" w:rsidRPr="00325BFB" w:rsidRDefault="00325BFB" w:rsidP="00325BFB">
      <w:pPr>
        <w:ind w:left="1440" w:hanging="1440"/>
        <w:jc w:val="both"/>
        <w:rPr>
          <w:b/>
          <w:bCs/>
          <w:u w:val="single"/>
        </w:rPr>
      </w:pPr>
    </w:p>
    <w:p w:rsidR="00325BFB" w:rsidRPr="00325BFB" w:rsidRDefault="00325BFB" w:rsidP="00325BFB">
      <w:pPr>
        <w:spacing w:after="240" w:line="276" w:lineRule="auto"/>
        <w:ind w:left="1440"/>
        <w:jc w:val="both"/>
      </w:pPr>
      <w:r w:rsidRPr="00325BFB">
        <w:t>The appropriate total conservation adjustment true-up amounts to be collected/refunded in the period January 2026 through December 2026 are as follows:</w:t>
      </w:r>
    </w:p>
    <w:p w:rsidR="00325BFB" w:rsidRPr="00325BFB" w:rsidRDefault="00325BFB" w:rsidP="00325BFB">
      <w:pPr>
        <w:spacing w:after="240" w:line="276" w:lineRule="auto"/>
        <w:ind w:left="1440"/>
        <w:jc w:val="both"/>
      </w:pPr>
    </w:p>
    <w:p w:rsidR="00325BFB" w:rsidRPr="00325BFB" w:rsidRDefault="00325BFB" w:rsidP="00325BFB">
      <w:pPr>
        <w:spacing w:after="240" w:line="276" w:lineRule="auto"/>
        <w:ind w:left="1440"/>
        <w:jc w:val="both"/>
      </w:pPr>
    </w:p>
    <w:p w:rsidR="00325BFB" w:rsidRPr="00325BFB" w:rsidRDefault="00325BFB" w:rsidP="00325BFB">
      <w:pPr>
        <w:tabs>
          <w:tab w:val="right" w:pos="7020"/>
          <w:tab w:val="left" w:pos="7200"/>
        </w:tabs>
        <w:ind w:left="1440"/>
        <w:jc w:val="both"/>
        <w:rPr>
          <w:b/>
          <w:u w:val="single"/>
        </w:rPr>
      </w:pPr>
      <w:r w:rsidRPr="00325BFB">
        <w:rPr>
          <w:b/>
          <w:u w:val="single"/>
        </w:rPr>
        <w:lastRenderedPageBreak/>
        <w:t>Florida Power &amp; Light Company</w:t>
      </w:r>
    </w:p>
    <w:p w:rsidR="00325BFB" w:rsidRPr="00325BFB" w:rsidRDefault="00325BFB" w:rsidP="00325BFB">
      <w:pPr>
        <w:tabs>
          <w:tab w:val="right" w:pos="7020"/>
          <w:tab w:val="left" w:pos="7200"/>
        </w:tabs>
        <w:ind w:left="1440"/>
        <w:jc w:val="both"/>
        <w:rPr>
          <w:u w:val="single"/>
        </w:rPr>
      </w:pPr>
    </w:p>
    <w:p w:rsidR="00325BFB" w:rsidRPr="00325BFB" w:rsidRDefault="00325BFB" w:rsidP="00325BFB">
      <w:pPr>
        <w:shd w:val="clear" w:color="auto" w:fill="FFFFFF" w:themeFill="background1"/>
        <w:tabs>
          <w:tab w:val="right" w:pos="7020"/>
          <w:tab w:val="left" w:pos="7200"/>
        </w:tabs>
        <w:ind w:left="1440"/>
        <w:jc w:val="both"/>
      </w:pPr>
      <w:r w:rsidRPr="00325BFB">
        <w:t>$8,468,624, Over-recovery, as reflected in Schedule C-3, Page 30 of 34, in LSN-2.</w:t>
      </w:r>
    </w:p>
    <w:p w:rsidR="00325BFB" w:rsidRPr="00325BFB" w:rsidRDefault="00325BFB" w:rsidP="00325BFB">
      <w:pPr>
        <w:tabs>
          <w:tab w:val="right" w:pos="7020"/>
          <w:tab w:val="left" w:pos="7200"/>
        </w:tabs>
        <w:ind w:left="1440"/>
        <w:jc w:val="both"/>
        <w:rPr>
          <w:u w:val="single"/>
        </w:rPr>
      </w:pPr>
    </w:p>
    <w:p w:rsidR="00325BFB" w:rsidRPr="00325BFB" w:rsidRDefault="00325BFB" w:rsidP="00325BFB">
      <w:pPr>
        <w:tabs>
          <w:tab w:val="right" w:pos="7020"/>
          <w:tab w:val="left" w:pos="7200"/>
        </w:tabs>
        <w:ind w:left="1440"/>
        <w:jc w:val="both"/>
        <w:rPr>
          <w:b/>
          <w:u w:val="single"/>
        </w:rPr>
      </w:pPr>
      <w:r w:rsidRPr="00325BFB">
        <w:rPr>
          <w:b/>
          <w:u w:val="single"/>
        </w:rPr>
        <w:t>Duke Energy Florida</w:t>
      </w:r>
    </w:p>
    <w:p w:rsidR="00325BFB" w:rsidRPr="00325BFB" w:rsidRDefault="00325BFB" w:rsidP="00325BFB">
      <w:pPr>
        <w:tabs>
          <w:tab w:val="right" w:pos="7020"/>
          <w:tab w:val="left" w:pos="7200"/>
        </w:tabs>
        <w:ind w:left="1440"/>
        <w:jc w:val="both"/>
      </w:pPr>
    </w:p>
    <w:p w:rsidR="00325BFB" w:rsidRPr="00325BFB" w:rsidRDefault="00325BFB" w:rsidP="00325BFB">
      <w:pPr>
        <w:ind w:left="1440"/>
        <w:jc w:val="both"/>
        <w:rPr>
          <w:color w:val="0E101A"/>
        </w:rPr>
      </w:pPr>
      <w:r w:rsidRPr="00325BFB">
        <w:rPr>
          <w:shd w:val="clear" w:color="auto" w:fill="FFFFFF" w:themeFill="background1"/>
        </w:rPr>
        <w:t>$3,559,155</w:t>
      </w:r>
      <w:r w:rsidRPr="00325BFB">
        <w:t xml:space="preserve">, Over-recovery, as reflected in </w:t>
      </w:r>
      <w:r w:rsidRPr="00325BFB">
        <w:rPr>
          <w:color w:val="0E101A"/>
        </w:rPr>
        <w:t>Schedule C-3, Page 4 of 5, in Exhibit KR-1P.</w:t>
      </w:r>
    </w:p>
    <w:p w:rsidR="00325BFB" w:rsidRPr="00325BFB" w:rsidRDefault="00325BFB" w:rsidP="00325BFB">
      <w:pPr>
        <w:tabs>
          <w:tab w:val="right" w:pos="7020"/>
          <w:tab w:val="left" w:pos="7200"/>
        </w:tabs>
        <w:jc w:val="both"/>
      </w:pPr>
    </w:p>
    <w:p w:rsidR="00325BFB" w:rsidRPr="00325BFB" w:rsidRDefault="00325BFB" w:rsidP="00325BFB">
      <w:pPr>
        <w:tabs>
          <w:tab w:val="right" w:pos="7020"/>
          <w:tab w:val="left" w:pos="7200"/>
        </w:tabs>
        <w:jc w:val="both"/>
      </w:pPr>
    </w:p>
    <w:p w:rsidR="00325BFB" w:rsidRPr="00325BFB" w:rsidRDefault="00325BFB" w:rsidP="00325BFB">
      <w:pPr>
        <w:tabs>
          <w:tab w:val="right" w:pos="7020"/>
          <w:tab w:val="left" w:pos="7200"/>
        </w:tabs>
        <w:ind w:left="1440"/>
        <w:jc w:val="both"/>
        <w:rPr>
          <w:b/>
          <w:u w:val="single"/>
        </w:rPr>
      </w:pPr>
      <w:r w:rsidRPr="00325BFB">
        <w:rPr>
          <w:b/>
          <w:u w:val="single"/>
        </w:rPr>
        <w:t>Tampa Electric Company</w:t>
      </w:r>
    </w:p>
    <w:p w:rsidR="00325BFB" w:rsidRPr="00325BFB" w:rsidRDefault="00325BFB" w:rsidP="00325BFB">
      <w:pPr>
        <w:tabs>
          <w:tab w:val="right" w:pos="7020"/>
          <w:tab w:val="left" w:pos="7200"/>
        </w:tabs>
        <w:ind w:left="1440"/>
        <w:jc w:val="both"/>
        <w:rPr>
          <w:u w:val="single"/>
        </w:rPr>
      </w:pPr>
    </w:p>
    <w:p w:rsidR="00325BFB" w:rsidRPr="00325BFB" w:rsidRDefault="00325BFB" w:rsidP="00325BFB">
      <w:pPr>
        <w:tabs>
          <w:tab w:val="right" w:pos="6480"/>
          <w:tab w:val="left" w:pos="6660"/>
        </w:tabs>
        <w:ind w:left="1440"/>
        <w:jc w:val="both"/>
      </w:pPr>
      <w:r w:rsidRPr="00325BFB">
        <w:t xml:space="preserve">$2,220,603, Over-recovery, as reflected, Schedule C-3, Page 10 of 11, in Exhibit RGJ-2. </w:t>
      </w:r>
    </w:p>
    <w:p w:rsidR="00325BFB" w:rsidRPr="00325BFB" w:rsidRDefault="00325BFB" w:rsidP="00325BFB">
      <w:pPr>
        <w:tabs>
          <w:tab w:val="right" w:pos="6480"/>
          <w:tab w:val="left" w:pos="6660"/>
        </w:tabs>
        <w:ind w:left="1440"/>
        <w:jc w:val="both"/>
      </w:pPr>
    </w:p>
    <w:p w:rsidR="00325BFB" w:rsidRPr="00325BFB" w:rsidRDefault="00325BFB" w:rsidP="00325BFB">
      <w:pPr>
        <w:tabs>
          <w:tab w:val="right" w:pos="7020"/>
          <w:tab w:val="left" w:pos="7200"/>
        </w:tabs>
        <w:ind w:left="1440"/>
        <w:jc w:val="both"/>
        <w:rPr>
          <w:b/>
          <w:u w:val="single"/>
        </w:rPr>
      </w:pPr>
      <w:r w:rsidRPr="00325BFB">
        <w:rPr>
          <w:b/>
          <w:u w:val="single"/>
        </w:rPr>
        <w:t>Florida Public Utilities Company</w:t>
      </w:r>
    </w:p>
    <w:p w:rsidR="00325BFB" w:rsidRPr="00325BFB" w:rsidRDefault="00325BFB" w:rsidP="00325BFB">
      <w:pPr>
        <w:tabs>
          <w:tab w:val="right" w:pos="7020"/>
          <w:tab w:val="left" w:pos="7200"/>
        </w:tabs>
        <w:ind w:left="1440"/>
        <w:jc w:val="both"/>
      </w:pPr>
    </w:p>
    <w:p w:rsidR="00325BFB" w:rsidRPr="00325BFB" w:rsidRDefault="00325BFB" w:rsidP="00325BFB">
      <w:pPr>
        <w:ind w:left="1440"/>
        <w:jc w:val="both"/>
        <w:rPr>
          <w:color w:val="0E101A"/>
        </w:rPr>
      </w:pPr>
      <w:r w:rsidRPr="00325BFB">
        <w:rPr>
          <w:shd w:val="clear" w:color="auto" w:fill="FFFFFF" w:themeFill="background1"/>
        </w:rPr>
        <w:t>$232,055</w:t>
      </w:r>
      <w:r w:rsidRPr="00325BFB">
        <w:t xml:space="preserve">, Under-recovery, as reflected in </w:t>
      </w:r>
      <w:r w:rsidRPr="00325BFB">
        <w:rPr>
          <w:color w:val="0E101A"/>
        </w:rPr>
        <w:t>Schedule C-3, Page 4 of 5, Line 11, in KIL-1.</w:t>
      </w:r>
    </w:p>
    <w:p w:rsidR="00325BFB" w:rsidRPr="00325BFB" w:rsidRDefault="00325BFB" w:rsidP="00325BFB">
      <w:pPr>
        <w:tabs>
          <w:tab w:val="right" w:pos="6480"/>
          <w:tab w:val="left" w:pos="6660"/>
        </w:tabs>
        <w:ind w:left="1440"/>
        <w:jc w:val="both"/>
      </w:pPr>
    </w:p>
    <w:p w:rsidR="00325BFB" w:rsidRPr="00325BFB" w:rsidRDefault="00325BFB" w:rsidP="00325BFB">
      <w:pPr>
        <w:rPr>
          <w:b/>
          <w:bCs/>
          <w:u w:val="single"/>
        </w:rPr>
      </w:pPr>
    </w:p>
    <w:p w:rsidR="00325BFB" w:rsidRPr="00325BFB" w:rsidRDefault="00325BFB" w:rsidP="00325BFB">
      <w:pPr>
        <w:ind w:left="1440" w:hanging="1440"/>
        <w:jc w:val="both"/>
        <w:rPr>
          <w:b/>
          <w:bCs/>
        </w:rPr>
      </w:pPr>
      <w:r w:rsidRPr="00325BFB">
        <w:rPr>
          <w:b/>
          <w:bCs/>
          <w:u w:val="single"/>
        </w:rPr>
        <w:t>ISSUE 4:</w:t>
      </w:r>
      <w:r w:rsidRPr="00325BFB">
        <w:rPr>
          <w:b/>
          <w:bCs/>
        </w:rPr>
        <w:tab/>
        <w:t>What are the total conservation cost recovery amounts to be collected during the period January 2026 through December 2026?</w:t>
      </w:r>
    </w:p>
    <w:p w:rsidR="00325BFB" w:rsidRPr="00325BFB" w:rsidRDefault="00325BFB" w:rsidP="00325BFB">
      <w:pPr>
        <w:ind w:left="1440" w:hanging="1440"/>
        <w:jc w:val="both"/>
        <w:rPr>
          <w:b/>
          <w:bCs/>
        </w:rPr>
      </w:pPr>
    </w:p>
    <w:p w:rsidR="00325BFB" w:rsidRPr="00325BFB" w:rsidRDefault="00325BFB" w:rsidP="00325BFB">
      <w:pPr>
        <w:ind w:left="2160" w:hanging="2160"/>
        <w:jc w:val="both"/>
        <w:rPr>
          <w:b/>
        </w:rPr>
      </w:pPr>
      <w:r w:rsidRPr="00325BFB">
        <w:rPr>
          <w:b/>
          <w:bCs/>
          <w:u w:val="single"/>
        </w:rPr>
        <w:t>ST</w:t>
      </w:r>
      <w:r w:rsidRPr="00325BFB">
        <w:rPr>
          <w:b/>
          <w:u w:val="single"/>
        </w:rPr>
        <w:t>IPULATION</w:t>
      </w:r>
      <w:r w:rsidRPr="00325BFB">
        <w:rPr>
          <w:b/>
        </w:rPr>
        <w:t>:</w:t>
      </w:r>
      <w:r w:rsidRPr="00325BFB">
        <w:rPr>
          <w:b/>
        </w:rPr>
        <w:tab/>
      </w:r>
    </w:p>
    <w:p w:rsidR="00325BFB" w:rsidRPr="00325BFB" w:rsidRDefault="00325BFB" w:rsidP="00325BFB">
      <w:pPr>
        <w:ind w:left="2160" w:hanging="2160"/>
        <w:jc w:val="both"/>
        <w:rPr>
          <w:b/>
        </w:rPr>
      </w:pPr>
    </w:p>
    <w:p w:rsidR="00325BFB" w:rsidRPr="00325BFB" w:rsidRDefault="00325BFB" w:rsidP="00325BFB">
      <w:pPr>
        <w:ind w:left="1440"/>
      </w:pPr>
      <w:r w:rsidRPr="00325BFB">
        <w:t>The appropriate total conservation cost recovery amounts to be collected during the period January 2026 through December 2026 are as follows:</w:t>
      </w:r>
    </w:p>
    <w:p w:rsidR="00325BFB" w:rsidRPr="00325BFB" w:rsidRDefault="00325BFB" w:rsidP="00325BFB">
      <w:pPr>
        <w:ind w:left="2160" w:hanging="2160"/>
        <w:jc w:val="both"/>
        <w:rPr>
          <w:b/>
        </w:rPr>
      </w:pPr>
    </w:p>
    <w:p w:rsidR="00325BFB" w:rsidRPr="00325BFB" w:rsidRDefault="00325BFB" w:rsidP="00325BFB">
      <w:pPr>
        <w:ind w:left="1440"/>
        <w:jc w:val="both"/>
        <w:rPr>
          <w:b/>
          <w:u w:val="single"/>
        </w:rPr>
      </w:pPr>
      <w:r w:rsidRPr="00325BFB">
        <w:rPr>
          <w:b/>
          <w:u w:val="single"/>
        </w:rPr>
        <w:t>Florida Power &amp; Light Company</w:t>
      </w:r>
      <w:r w:rsidRPr="00325BFB">
        <w:rPr>
          <w:b/>
        </w:rPr>
        <w:t>:</w:t>
      </w:r>
    </w:p>
    <w:p w:rsidR="00325BFB" w:rsidRPr="00325BFB" w:rsidRDefault="00325BFB" w:rsidP="00325BFB">
      <w:pPr>
        <w:ind w:left="1440"/>
        <w:jc w:val="both"/>
        <w:rPr>
          <w:u w:val="single"/>
        </w:rPr>
      </w:pPr>
    </w:p>
    <w:p w:rsidR="00325BFB" w:rsidRPr="00325BFB" w:rsidRDefault="00325BFB" w:rsidP="00325BFB">
      <w:pPr>
        <w:tabs>
          <w:tab w:val="right" w:pos="6480"/>
          <w:tab w:val="left" w:pos="6660"/>
        </w:tabs>
        <w:ind w:left="1440"/>
        <w:jc w:val="both"/>
      </w:pPr>
      <w:r w:rsidRPr="00325BFB">
        <w:t>OPC’s position on each Type 2 stipulation for FPL is as follows: OPC will facilitate a Type 2 stipulation on the following: (i) approval of $177,331,489, as total conservation cost to be collected</w:t>
      </w:r>
      <w:r w:rsidRPr="00325BFB">
        <w:rPr>
          <w:bCs/>
        </w:rPr>
        <w:t xml:space="preserve"> during the period January 2026 through December 2026</w:t>
      </w:r>
      <w:r w:rsidRPr="00325BFB">
        <w:t xml:space="preserve">, which is the difference between projected 2026 costs and true up (overrecovered) costs, as shown in FPL witness Noack’s 2025 supplemental direct testimony, Alternative Schedule C-1, </w:t>
      </w:r>
      <w:r w:rsidRPr="00325BFB">
        <w:rPr>
          <w:color w:val="0E101A"/>
        </w:rPr>
        <w:t xml:space="preserve">Exhibit </w:t>
      </w:r>
      <w:r w:rsidRPr="00325BFB">
        <w:t>LSN-3,</w:t>
      </w:r>
      <w:r w:rsidRPr="00325BFB">
        <w:rPr>
          <w:color w:val="0E101A"/>
        </w:rPr>
        <w:t xml:space="preserve"> Page 2 of 15, </w:t>
      </w:r>
      <w:r w:rsidRPr="00325BFB">
        <w:t xml:space="preserve">in the event the Commission </w:t>
      </w:r>
      <w:r w:rsidRPr="00325BFB">
        <w:rPr>
          <w:i/>
        </w:rPr>
        <w:t>approves</w:t>
      </w:r>
      <w:r w:rsidRPr="00325BFB">
        <w:t xml:space="preserve"> the settlement filed on August 20, 2025, in Docket No. 20250011-EI (FPL Rate Case Settlement), including the proposed alternative clause cost allocation methodology in paragraph 9: (ii) approval of $166,337,695, as the total conservation cost to be collected</w:t>
      </w:r>
      <w:r w:rsidRPr="00325BFB">
        <w:rPr>
          <w:bCs/>
        </w:rPr>
        <w:t xml:space="preserve"> during the period January 2026 through December 2026</w:t>
      </w:r>
      <w:r w:rsidRPr="00325BFB">
        <w:t xml:space="preserve">, which is the difference between projected 2026 costs and true up (overrecovered) costs, as shown in FPL witness Noack’s 2025 direct testimony, </w:t>
      </w:r>
      <w:r w:rsidRPr="00325BFB">
        <w:rPr>
          <w:color w:val="0E101A"/>
        </w:rPr>
        <w:t xml:space="preserve">Schedule C-1, Page 2 of 38, in Exhibit </w:t>
      </w:r>
      <w:r w:rsidRPr="00325BFB">
        <w:t xml:space="preserve">LSN-2, in the event </w:t>
      </w:r>
      <w:r w:rsidRPr="00325BFB">
        <w:lastRenderedPageBreak/>
        <w:t xml:space="preserve">the Commission </w:t>
      </w:r>
      <w:r w:rsidRPr="00325BFB">
        <w:rPr>
          <w:i/>
        </w:rPr>
        <w:t>does not approve</w:t>
      </w:r>
      <w:r w:rsidRPr="00325BFB">
        <w:t xml:space="preserve"> the proposed alternative clause cost allocation methodology in paragraph 9 and instead approves the cost allocation methodology in FPL witness Noack’s 2025 direct testimony, </w:t>
      </w:r>
      <w:r w:rsidRPr="00325BFB">
        <w:rPr>
          <w:color w:val="0E101A"/>
        </w:rPr>
        <w:t xml:space="preserve">Schedule C-1, Page 2 of 38, in Exhibit </w:t>
      </w:r>
      <w:r w:rsidRPr="00325BFB">
        <w:t>LSN-2.</w:t>
      </w:r>
    </w:p>
    <w:p w:rsidR="00325BFB" w:rsidRPr="00325BFB" w:rsidRDefault="00325BFB" w:rsidP="00325BFB">
      <w:pPr>
        <w:tabs>
          <w:tab w:val="right" w:pos="6480"/>
          <w:tab w:val="left" w:pos="6660"/>
        </w:tabs>
        <w:ind w:left="1440"/>
        <w:jc w:val="both"/>
      </w:pPr>
    </w:p>
    <w:p w:rsidR="00325BFB" w:rsidRPr="00325BFB" w:rsidRDefault="00325BFB" w:rsidP="00325BFB">
      <w:pPr>
        <w:ind w:left="1440"/>
        <w:jc w:val="both"/>
        <w:rPr>
          <w:szCs w:val="20"/>
        </w:rPr>
      </w:pPr>
      <w:r w:rsidRPr="00325BFB">
        <w:t>In the event the Commission approves a different clause cost allocation methodology than either of those identified above, the total amount of conservation cost to be collected will be consistent with the approved methodology.</w:t>
      </w:r>
      <w:r w:rsidRPr="00325BFB">
        <w:rPr>
          <w:sz w:val="20"/>
          <w:szCs w:val="20"/>
        </w:rPr>
        <w:t xml:space="preserve"> </w:t>
      </w:r>
      <w:r w:rsidRPr="00325BFB">
        <w:rPr>
          <w:szCs w:val="20"/>
        </w:rPr>
        <w:t>FPL will file updated clause recovery factors in this Docket for administrative approval as soon as practicable in 2026 after the Commission’s vote in Docket No. 20250011-EI.</w:t>
      </w:r>
    </w:p>
    <w:p w:rsidR="00325BFB" w:rsidRPr="00325BFB" w:rsidRDefault="00325BFB" w:rsidP="00325BFB">
      <w:pPr>
        <w:jc w:val="both"/>
        <w:rPr>
          <w:szCs w:val="20"/>
        </w:rPr>
      </w:pPr>
    </w:p>
    <w:p w:rsidR="00325BFB" w:rsidRPr="00325BFB" w:rsidRDefault="00325BFB" w:rsidP="00325BFB">
      <w:pPr>
        <w:ind w:left="1440"/>
        <w:jc w:val="both"/>
        <w:rPr>
          <w:szCs w:val="20"/>
        </w:rPr>
      </w:pPr>
      <w:r w:rsidRPr="00325BFB">
        <w:rPr>
          <w:szCs w:val="20"/>
        </w:rPr>
        <w:t>Nothing in this facilitation shall be used to suggest that OPC supports approval of the FPL Rate Case Settlement, creates a waiver of its objections to the FPL Rate Case Settlement, or impairs the appellate rights of any party with respect to orders issued in Docket No. 20250011-EI and any impact such orders have on this Docket. FPL agrees that the willingness of OPC to facilitate a Type 2 stipulation on these matters shall obviate the need for OPC or any other substantially affected party to appeal the final order in this Docket in order for OPC to preserve its right to require the direct impact, if any, of any final decision by a court of competent jurisdiction related to the FPL Rate Case Settlement to be flowed through to this Docket.</w:t>
      </w:r>
    </w:p>
    <w:p w:rsidR="00325BFB" w:rsidRPr="00325BFB" w:rsidRDefault="00325BFB" w:rsidP="00325BFB">
      <w:pPr>
        <w:ind w:left="1440"/>
        <w:jc w:val="both"/>
        <w:rPr>
          <w:szCs w:val="20"/>
        </w:rPr>
      </w:pPr>
    </w:p>
    <w:p w:rsidR="00325BFB" w:rsidRPr="00325BFB" w:rsidRDefault="00325BFB" w:rsidP="00325BFB">
      <w:pPr>
        <w:ind w:left="1440"/>
        <w:jc w:val="both"/>
        <w:rPr>
          <w:b/>
          <w:u w:val="single"/>
        </w:rPr>
      </w:pPr>
      <w:r w:rsidRPr="00325BFB">
        <w:rPr>
          <w:b/>
          <w:u w:val="single"/>
        </w:rPr>
        <w:t>Duke Energy Florida</w:t>
      </w:r>
      <w:r w:rsidRPr="00325BFB">
        <w:rPr>
          <w:b/>
        </w:rPr>
        <w:t>:</w:t>
      </w:r>
    </w:p>
    <w:p w:rsidR="00325BFB" w:rsidRPr="00325BFB" w:rsidRDefault="00325BFB" w:rsidP="00325BFB">
      <w:pPr>
        <w:ind w:left="1440"/>
        <w:jc w:val="both"/>
        <w:rPr>
          <w:u w:val="single"/>
        </w:rPr>
      </w:pPr>
    </w:p>
    <w:p w:rsidR="00325BFB" w:rsidRPr="00325BFB" w:rsidRDefault="00325BFB" w:rsidP="00325BFB">
      <w:pPr>
        <w:ind w:left="1440"/>
        <w:jc w:val="both"/>
      </w:pPr>
      <w:r w:rsidRPr="00325BFB">
        <w:t>$142,238,585, which is calculated by taking the amount in Issue 3</w:t>
      </w:r>
      <w:r w:rsidRPr="00325BFB">
        <w:rPr>
          <w:color w:val="0E101A"/>
        </w:rPr>
        <w:t xml:space="preserve"> from the Total Demand and Energy Costs amount, </w:t>
      </w:r>
      <w:r w:rsidRPr="00325BFB">
        <w:rPr>
          <w:shd w:val="clear" w:color="auto" w:fill="FFFFFF" w:themeFill="background1"/>
        </w:rPr>
        <w:t>$145,797,740, as</w:t>
      </w:r>
      <w:r w:rsidRPr="00325BFB">
        <w:t xml:space="preserve"> reflected in </w:t>
      </w:r>
      <w:r w:rsidRPr="00325BFB">
        <w:rPr>
          <w:color w:val="0E101A"/>
        </w:rPr>
        <w:t>Schedule C-2, Line 23, Page 1 of 4, in Exhibit KR-1P.</w:t>
      </w:r>
    </w:p>
    <w:p w:rsidR="00325BFB" w:rsidRPr="00325BFB" w:rsidRDefault="00325BFB" w:rsidP="00325BFB">
      <w:pPr>
        <w:jc w:val="both"/>
      </w:pPr>
    </w:p>
    <w:p w:rsidR="00325BFB" w:rsidRPr="00325BFB" w:rsidRDefault="00325BFB" w:rsidP="00325BFB">
      <w:pPr>
        <w:ind w:left="1440" w:hanging="1440"/>
        <w:jc w:val="both"/>
        <w:rPr>
          <w:b/>
          <w:u w:val="single"/>
        </w:rPr>
      </w:pPr>
      <w:r w:rsidRPr="00325BFB">
        <w:tab/>
      </w:r>
      <w:r w:rsidRPr="00325BFB">
        <w:rPr>
          <w:b/>
          <w:u w:val="single"/>
        </w:rPr>
        <w:t>Tampa Electric Company</w:t>
      </w:r>
      <w:r w:rsidRPr="00325BFB">
        <w:rPr>
          <w:b/>
        </w:rPr>
        <w:t>:</w:t>
      </w:r>
    </w:p>
    <w:p w:rsidR="00325BFB" w:rsidRPr="00325BFB" w:rsidRDefault="00325BFB" w:rsidP="00325BFB">
      <w:pPr>
        <w:ind w:left="1440" w:hanging="1440"/>
        <w:jc w:val="both"/>
        <w:rPr>
          <w:u w:val="single"/>
        </w:rPr>
      </w:pPr>
    </w:p>
    <w:p w:rsidR="00325BFB" w:rsidRPr="00325BFB" w:rsidRDefault="00325BFB" w:rsidP="00325BFB">
      <w:pPr>
        <w:tabs>
          <w:tab w:val="right" w:pos="6480"/>
          <w:tab w:val="left" w:pos="6660"/>
        </w:tabs>
        <w:ind w:left="1440"/>
        <w:jc w:val="both"/>
      </w:pPr>
      <w:r w:rsidRPr="00325BFB">
        <w:t>$47,415,903, which is calculated by adding the amount in Issue 3</w:t>
      </w:r>
      <w:r w:rsidRPr="00325BFB">
        <w:rPr>
          <w:color w:val="0E101A"/>
        </w:rPr>
        <w:t xml:space="preserve"> to the </w:t>
      </w:r>
      <w:r w:rsidRPr="00325BFB">
        <w:rPr>
          <w:shd w:val="clear" w:color="auto" w:fill="FFFFFF" w:themeFill="background1"/>
        </w:rPr>
        <w:t xml:space="preserve">$49,636,506 </w:t>
      </w:r>
      <w:r w:rsidRPr="00325BFB">
        <w:t xml:space="preserve">amount that is reflected in </w:t>
      </w:r>
      <w:r w:rsidRPr="00325BFB">
        <w:rPr>
          <w:color w:val="0E101A"/>
        </w:rPr>
        <w:t xml:space="preserve">Schedule C-2, Page 1 of 8, in Exhibit </w:t>
      </w:r>
      <w:r w:rsidRPr="00325BFB">
        <w:t>RGJ-2.</w:t>
      </w:r>
    </w:p>
    <w:p w:rsidR="00325BFB" w:rsidRPr="00325BFB" w:rsidRDefault="00325BFB" w:rsidP="00325BFB">
      <w:pPr>
        <w:tabs>
          <w:tab w:val="right" w:pos="6480"/>
          <w:tab w:val="left" w:pos="6660"/>
        </w:tabs>
        <w:ind w:left="1440"/>
        <w:jc w:val="both"/>
      </w:pPr>
    </w:p>
    <w:p w:rsidR="00325BFB" w:rsidRPr="00325BFB" w:rsidRDefault="00325BFB" w:rsidP="00325BFB">
      <w:pPr>
        <w:ind w:left="1440"/>
        <w:jc w:val="both"/>
        <w:rPr>
          <w:b/>
          <w:u w:val="single"/>
        </w:rPr>
      </w:pPr>
      <w:r w:rsidRPr="00325BFB">
        <w:rPr>
          <w:b/>
          <w:u w:val="single"/>
        </w:rPr>
        <w:t>Florida Public Utility Company</w:t>
      </w:r>
      <w:r w:rsidRPr="00325BFB">
        <w:rPr>
          <w:b/>
        </w:rPr>
        <w:t>:</w:t>
      </w:r>
    </w:p>
    <w:p w:rsidR="00325BFB" w:rsidRPr="00325BFB" w:rsidRDefault="00325BFB" w:rsidP="00325BFB">
      <w:pPr>
        <w:ind w:left="1440"/>
        <w:jc w:val="both"/>
        <w:rPr>
          <w:u w:val="single"/>
        </w:rPr>
      </w:pPr>
    </w:p>
    <w:p w:rsidR="00325BFB" w:rsidRPr="00325BFB" w:rsidRDefault="00325BFB" w:rsidP="00325BFB">
      <w:pPr>
        <w:ind w:left="1440"/>
        <w:jc w:val="both"/>
      </w:pPr>
      <w:r w:rsidRPr="00325BFB">
        <w:t>$2,002,020, which is calculated by adding the amount in Issue 3</w:t>
      </w:r>
      <w:r w:rsidRPr="00325BFB">
        <w:rPr>
          <w:color w:val="0E101A"/>
        </w:rPr>
        <w:t xml:space="preserve"> to the Total Incremental Costs amount, </w:t>
      </w:r>
      <w:r w:rsidRPr="00325BFB">
        <w:rPr>
          <w:shd w:val="clear" w:color="auto" w:fill="FFFFFF" w:themeFill="background1"/>
        </w:rPr>
        <w:t>$1,769,965, as</w:t>
      </w:r>
      <w:r w:rsidRPr="00325BFB">
        <w:t xml:space="preserve"> reflected in </w:t>
      </w:r>
      <w:r w:rsidRPr="00325BFB">
        <w:rPr>
          <w:color w:val="0E101A"/>
        </w:rPr>
        <w:t>Schedule C-1, Line 3, Page 1 of 1, in KIL-1</w:t>
      </w:r>
      <w:r w:rsidRPr="00325BFB">
        <w:t>.</w:t>
      </w:r>
    </w:p>
    <w:p w:rsidR="00325BFB" w:rsidRPr="00325BFB" w:rsidRDefault="00325BFB" w:rsidP="00325BFB">
      <w:pPr>
        <w:tabs>
          <w:tab w:val="right" w:pos="6480"/>
          <w:tab w:val="left" w:pos="6660"/>
        </w:tabs>
        <w:ind w:left="1440"/>
        <w:jc w:val="both"/>
      </w:pPr>
    </w:p>
    <w:p w:rsidR="00325BFB" w:rsidRPr="00325BFB" w:rsidRDefault="00325BFB" w:rsidP="00325BFB">
      <w:pPr>
        <w:tabs>
          <w:tab w:val="right" w:pos="6480"/>
          <w:tab w:val="left" w:pos="6660"/>
        </w:tabs>
        <w:ind w:left="1440"/>
        <w:jc w:val="both"/>
      </w:pPr>
    </w:p>
    <w:p w:rsidR="00325BFB" w:rsidRPr="00325BFB" w:rsidRDefault="00325BFB" w:rsidP="00325BFB">
      <w:pPr>
        <w:tabs>
          <w:tab w:val="right" w:pos="6480"/>
          <w:tab w:val="left" w:pos="6660"/>
        </w:tabs>
        <w:ind w:left="1440"/>
        <w:jc w:val="both"/>
      </w:pPr>
    </w:p>
    <w:p w:rsidR="00325BFB" w:rsidRPr="00325BFB" w:rsidRDefault="00325BFB" w:rsidP="00325BFB">
      <w:pPr>
        <w:tabs>
          <w:tab w:val="right" w:pos="6480"/>
          <w:tab w:val="left" w:pos="6660"/>
        </w:tabs>
        <w:ind w:left="1440"/>
        <w:jc w:val="both"/>
      </w:pPr>
    </w:p>
    <w:p w:rsidR="00325BFB" w:rsidRPr="00325BFB" w:rsidRDefault="00325BFB" w:rsidP="00325BFB">
      <w:pPr>
        <w:tabs>
          <w:tab w:val="right" w:pos="6480"/>
          <w:tab w:val="left" w:pos="6660"/>
        </w:tabs>
        <w:ind w:left="1440"/>
        <w:jc w:val="both"/>
      </w:pPr>
    </w:p>
    <w:p w:rsidR="00325BFB" w:rsidRPr="00325BFB" w:rsidRDefault="00325BFB" w:rsidP="00325BFB">
      <w:pPr>
        <w:ind w:left="1440" w:hanging="1440"/>
        <w:rPr>
          <w:b/>
        </w:rPr>
      </w:pPr>
      <w:r w:rsidRPr="00325BFB">
        <w:rPr>
          <w:b/>
          <w:bCs/>
          <w:u w:val="single"/>
        </w:rPr>
        <w:lastRenderedPageBreak/>
        <w:t>ISSUE 5</w:t>
      </w:r>
      <w:r w:rsidRPr="00325BFB">
        <w:rPr>
          <w:b/>
          <w:bCs/>
        </w:rPr>
        <w:t xml:space="preserve">: </w:t>
      </w:r>
      <w:r w:rsidRPr="00325BFB">
        <w:rPr>
          <w:b/>
          <w:bCs/>
        </w:rPr>
        <w:tab/>
      </w:r>
      <w:r w:rsidRPr="00325BFB">
        <w:rPr>
          <w:b/>
        </w:rPr>
        <w:t>What are the conservation cost recovery factors for the period January 2026 through December 2026?</w:t>
      </w:r>
    </w:p>
    <w:p w:rsidR="00325BFB" w:rsidRPr="00325BFB" w:rsidRDefault="00325BFB" w:rsidP="00325BFB">
      <w:pPr>
        <w:rPr>
          <w:b/>
        </w:rPr>
      </w:pPr>
    </w:p>
    <w:p w:rsidR="00325BFB" w:rsidRPr="00325BFB" w:rsidRDefault="00325BFB" w:rsidP="00325BFB">
      <w:pPr>
        <w:ind w:left="2160" w:hanging="2160"/>
        <w:jc w:val="both"/>
        <w:rPr>
          <w:b/>
        </w:rPr>
      </w:pPr>
      <w:r w:rsidRPr="00325BFB">
        <w:rPr>
          <w:b/>
          <w:bCs/>
          <w:u w:val="single"/>
        </w:rPr>
        <w:t>ST</w:t>
      </w:r>
      <w:r w:rsidRPr="00325BFB">
        <w:rPr>
          <w:b/>
          <w:u w:val="single"/>
        </w:rPr>
        <w:t>IPULATION</w:t>
      </w:r>
      <w:r w:rsidRPr="00325BFB">
        <w:rPr>
          <w:b/>
        </w:rPr>
        <w:t>:</w:t>
      </w:r>
      <w:r w:rsidRPr="00325BFB">
        <w:rPr>
          <w:b/>
        </w:rPr>
        <w:tab/>
      </w:r>
    </w:p>
    <w:p w:rsidR="00325BFB" w:rsidRPr="00325BFB" w:rsidRDefault="00325BFB" w:rsidP="00325BFB">
      <w:pPr>
        <w:ind w:left="2160" w:hanging="2160"/>
        <w:jc w:val="both"/>
        <w:rPr>
          <w:b/>
        </w:rPr>
      </w:pPr>
    </w:p>
    <w:p w:rsidR="00325BFB" w:rsidRPr="00325BFB" w:rsidRDefault="00325BFB" w:rsidP="00325BFB">
      <w:pPr>
        <w:ind w:left="1440"/>
      </w:pPr>
      <w:r w:rsidRPr="00325BFB">
        <w:t>The appropriate conservation cost recovery factors for the period January 2026 through December 2026 are as follows:</w:t>
      </w:r>
    </w:p>
    <w:p w:rsidR="00325BFB" w:rsidRPr="00325BFB" w:rsidRDefault="00325BFB" w:rsidP="00325BFB">
      <w:pPr>
        <w:ind w:left="1440"/>
        <w:rPr>
          <w:b/>
        </w:rPr>
      </w:pPr>
    </w:p>
    <w:p w:rsidR="00325BFB" w:rsidRPr="00325BFB" w:rsidRDefault="00325BFB" w:rsidP="00325BFB">
      <w:pPr>
        <w:rPr>
          <w:b/>
          <w:u w:val="single"/>
        </w:rPr>
      </w:pPr>
      <w:r w:rsidRPr="00325BFB">
        <w:t xml:space="preserve">      </w:t>
      </w:r>
      <w:r w:rsidRPr="00325BFB">
        <w:tab/>
      </w:r>
      <w:r w:rsidRPr="00325BFB">
        <w:tab/>
      </w:r>
      <w:r w:rsidRPr="00325BFB">
        <w:rPr>
          <w:b/>
          <w:u w:val="single"/>
        </w:rPr>
        <w:t>Florida Power &amp; Light Company:</w:t>
      </w:r>
    </w:p>
    <w:p w:rsidR="00325BFB" w:rsidRPr="00325BFB" w:rsidRDefault="00325BFB" w:rsidP="00325BFB">
      <w:pPr>
        <w:keepNext/>
        <w:tabs>
          <w:tab w:val="right" w:pos="6480"/>
          <w:tab w:val="left" w:pos="6660"/>
        </w:tabs>
        <w:jc w:val="both"/>
        <w:rPr>
          <w:b/>
        </w:rPr>
      </w:pPr>
    </w:p>
    <w:p w:rsidR="00325BFB" w:rsidRPr="00325BFB" w:rsidRDefault="00325BFB" w:rsidP="00325BFB">
      <w:pPr>
        <w:ind w:left="1440"/>
      </w:pPr>
      <w:r w:rsidRPr="00325BFB">
        <w:t>On August 20, 2025, in Docket No. 20250011-EI (FPL’s Rate Case), the signatories to a Stipulation and Settlement Agreement (SSA) proposed a change in the cost allocation methodology to be effective 1/1/26 for this and other cost recovery clause dockets.</w:t>
      </w:r>
    </w:p>
    <w:p w:rsidR="00325BFB" w:rsidRPr="00325BFB" w:rsidRDefault="00325BFB" w:rsidP="00325BFB">
      <w:pPr>
        <w:ind w:left="1440"/>
      </w:pPr>
    </w:p>
    <w:p w:rsidR="00325BFB" w:rsidRPr="00325BFB" w:rsidRDefault="00325BFB" w:rsidP="00325BFB">
      <w:pPr>
        <w:ind w:left="1440"/>
        <w:jc w:val="both"/>
      </w:pPr>
      <w:r w:rsidRPr="00325BFB">
        <w:t>If the SSA is approved, the appropriate conservation cost recovery factors for the period January 2026 through December 2026 are as follows:</w:t>
      </w:r>
    </w:p>
    <w:p w:rsidR="00325BFB" w:rsidRPr="00325BFB" w:rsidRDefault="00325BFB" w:rsidP="00325BFB">
      <w:pPr>
        <w:ind w:left="1440"/>
        <w:jc w:val="both"/>
      </w:pPr>
    </w:p>
    <w:p w:rsidR="00325BFB" w:rsidRPr="00325BFB" w:rsidRDefault="00325BFB" w:rsidP="00325BFB">
      <w:pPr>
        <w:ind w:left="360"/>
        <w:jc w:val="both"/>
      </w:pPr>
    </w:p>
    <w:tbl>
      <w:tblPr>
        <w:tblpPr w:leftFromText="187" w:rightFromText="187" w:vertAnchor="text" w:horzAnchor="page" w:tblpXSpec="center" w:tblpY="1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25"/>
        <w:gridCol w:w="1998"/>
        <w:gridCol w:w="1980"/>
        <w:gridCol w:w="1062"/>
        <w:gridCol w:w="1080"/>
      </w:tblGrid>
      <w:tr w:rsidR="00325BFB" w:rsidRPr="00325BFB" w:rsidTr="0035159A">
        <w:tc>
          <w:tcPr>
            <w:tcW w:w="9745" w:type="dxa"/>
            <w:gridSpan w:val="5"/>
            <w:shd w:val="clear" w:color="auto" w:fill="auto"/>
            <w:vAlign w:val="center"/>
          </w:tcPr>
          <w:p w:rsidR="00325BFB" w:rsidRPr="00325BFB" w:rsidRDefault="00325BFB" w:rsidP="00325BFB">
            <w:pPr>
              <w:keepNext/>
              <w:contextualSpacing/>
              <w:jc w:val="center"/>
              <w:rPr>
                <w:b/>
                <w:bCs/>
              </w:rPr>
            </w:pPr>
            <w:r w:rsidRPr="00325BFB">
              <w:rPr>
                <w:b/>
                <w:bCs/>
              </w:rPr>
              <w:t>2026 ECCR Cost Recovery Factors as reflected in</w:t>
            </w:r>
          </w:p>
          <w:p w:rsidR="00325BFB" w:rsidRPr="00325BFB" w:rsidRDefault="00325BFB" w:rsidP="00325BFB">
            <w:pPr>
              <w:keepNext/>
              <w:contextualSpacing/>
              <w:jc w:val="center"/>
              <w:rPr>
                <w:b/>
                <w:bCs/>
              </w:rPr>
            </w:pPr>
            <w:r w:rsidRPr="00325BFB">
              <w:rPr>
                <w:b/>
                <w:bCs/>
              </w:rPr>
              <w:t>Alternate Schedule C-1, Page 4 of 15, in Exhibit LSN-3</w:t>
            </w:r>
          </w:p>
        </w:tc>
      </w:tr>
      <w:tr w:rsidR="00325BFB" w:rsidRPr="00325BFB" w:rsidTr="0035159A">
        <w:tc>
          <w:tcPr>
            <w:tcW w:w="3625" w:type="dxa"/>
            <w:shd w:val="clear" w:color="auto" w:fill="auto"/>
            <w:vAlign w:val="center"/>
            <w:hideMark/>
          </w:tcPr>
          <w:p w:rsidR="00325BFB" w:rsidRPr="00325BFB" w:rsidRDefault="00325BFB" w:rsidP="00325BFB">
            <w:pPr>
              <w:keepNext/>
              <w:contextualSpacing/>
              <w:jc w:val="center"/>
            </w:pPr>
          </w:p>
          <w:p w:rsidR="00325BFB" w:rsidRPr="00325BFB" w:rsidRDefault="00325BFB" w:rsidP="00325BFB">
            <w:pPr>
              <w:keepNext/>
              <w:contextualSpacing/>
              <w:jc w:val="center"/>
              <w:rPr>
                <w:b/>
                <w:bCs/>
              </w:rPr>
            </w:pPr>
            <w:r w:rsidRPr="00325BFB">
              <w:rPr>
                <w:b/>
                <w:bCs/>
              </w:rPr>
              <w:t>Rate Class</w:t>
            </w:r>
          </w:p>
        </w:tc>
        <w:tc>
          <w:tcPr>
            <w:tcW w:w="1998" w:type="dxa"/>
            <w:shd w:val="clear" w:color="auto" w:fill="auto"/>
            <w:vAlign w:val="center"/>
            <w:hideMark/>
          </w:tcPr>
          <w:p w:rsidR="00325BFB" w:rsidRPr="00325BFB" w:rsidRDefault="00325BFB" w:rsidP="00325BFB">
            <w:pPr>
              <w:keepNext/>
              <w:contextualSpacing/>
              <w:jc w:val="center"/>
              <w:rPr>
                <w:b/>
                <w:bCs/>
              </w:rPr>
            </w:pPr>
            <w:r w:rsidRPr="00325BFB">
              <w:rPr>
                <w:b/>
                <w:bCs/>
              </w:rPr>
              <w:t>Conservation Recovery Factor ($/kw)</w:t>
            </w:r>
          </w:p>
        </w:tc>
        <w:tc>
          <w:tcPr>
            <w:tcW w:w="1980" w:type="dxa"/>
            <w:shd w:val="clear" w:color="auto" w:fill="auto"/>
            <w:vAlign w:val="center"/>
            <w:hideMark/>
          </w:tcPr>
          <w:p w:rsidR="00325BFB" w:rsidRPr="00325BFB" w:rsidRDefault="00325BFB" w:rsidP="00325BFB">
            <w:pPr>
              <w:keepNext/>
              <w:contextualSpacing/>
              <w:jc w:val="center"/>
              <w:rPr>
                <w:b/>
                <w:bCs/>
              </w:rPr>
            </w:pPr>
            <w:r w:rsidRPr="00325BFB">
              <w:rPr>
                <w:b/>
                <w:bCs/>
              </w:rPr>
              <w:t>Conservation Recovery Factor (Cents/kwh)</w:t>
            </w:r>
          </w:p>
        </w:tc>
        <w:tc>
          <w:tcPr>
            <w:tcW w:w="1062" w:type="dxa"/>
            <w:shd w:val="clear" w:color="auto" w:fill="auto"/>
            <w:vAlign w:val="center"/>
            <w:hideMark/>
          </w:tcPr>
          <w:p w:rsidR="00325BFB" w:rsidRPr="00325BFB" w:rsidRDefault="00325BFB" w:rsidP="00325BFB">
            <w:pPr>
              <w:keepNext/>
              <w:contextualSpacing/>
              <w:jc w:val="center"/>
              <w:rPr>
                <w:b/>
                <w:bCs/>
              </w:rPr>
            </w:pPr>
          </w:p>
          <w:p w:rsidR="00325BFB" w:rsidRPr="00325BFB" w:rsidRDefault="00325BFB" w:rsidP="00325BFB">
            <w:pPr>
              <w:keepNext/>
              <w:contextualSpacing/>
              <w:jc w:val="center"/>
              <w:rPr>
                <w:b/>
                <w:bCs/>
              </w:rPr>
            </w:pPr>
            <w:r w:rsidRPr="00325BFB">
              <w:rPr>
                <w:b/>
                <w:bCs/>
              </w:rPr>
              <w:t>RDC ($/KW)</w:t>
            </w:r>
          </w:p>
        </w:tc>
        <w:tc>
          <w:tcPr>
            <w:tcW w:w="1080" w:type="dxa"/>
            <w:shd w:val="clear" w:color="auto" w:fill="auto"/>
            <w:vAlign w:val="center"/>
            <w:hideMark/>
          </w:tcPr>
          <w:p w:rsidR="00325BFB" w:rsidRPr="00325BFB" w:rsidRDefault="00325BFB" w:rsidP="00325BFB">
            <w:pPr>
              <w:keepNext/>
              <w:contextualSpacing/>
              <w:jc w:val="center"/>
              <w:rPr>
                <w:b/>
                <w:bCs/>
              </w:rPr>
            </w:pPr>
          </w:p>
          <w:p w:rsidR="00325BFB" w:rsidRPr="00325BFB" w:rsidRDefault="00325BFB" w:rsidP="00325BFB">
            <w:pPr>
              <w:keepNext/>
              <w:contextualSpacing/>
              <w:jc w:val="center"/>
              <w:rPr>
                <w:b/>
                <w:bCs/>
              </w:rPr>
            </w:pPr>
            <w:r w:rsidRPr="00325BFB">
              <w:rPr>
                <w:b/>
                <w:bCs/>
              </w:rPr>
              <w:t>DDC ($/KW)</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RS1/RTR1</w:t>
            </w:r>
          </w:p>
        </w:tc>
        <w:tc>
          <w:tcPr>
            <w:tcW w:w="1998" w:type="dxa"/>
            <w:shd w:val="clear" w:color="auto" w:fill="auto"/>
            <w:noWrap/>
            <w:vAlign w:val="center"/>
            <w:hideMark/>
          </w:tcPr>
          <w:p w:rsidR="00325BFB" w:rsidRPr="00325BFB" w:rsidRDefault="00325BFB" w:rsidP="00325BFB">
            <w:pPr>
              <w:keepNext/>
              <w:ind w:right="600"/>
              <w:contextualSpacing/>
              <w:jc w:val="right"/>
            </w:pP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 xml:space="preserve">0.148 </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GS1/GST1</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 xml:space="preserve">0.144 </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GSD1/GSDT1/HLFT1/GSD1-EV</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 xml:space="preserve">0.49 </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OS2</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0.085</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GSLD1/GSLDT1/CS1/</w:t>
            </w:r>
          </w:p>
          <w:p w:rsidR="00325BFB" w:rsidRPr="00325BFB" w:rsidRDefault="00325BFB" w:rsidP="00325BFB">
            <w:pPr>
              <w:keepNext/>
              <w:contextualSpacing/>
            </w:pPr>
            <w:r w:rsidRPr="00325BFB">
              <w:t>CST1/HLFT2/GSLD1-EV</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0.55</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GSLD2/GSLDT2/CS2/</w:t>
            </w:r>
          </w:p>
          <w:p w:rsidR="00325BFB" w:rsidRPr="00325BFB" w:rsidRDefault="00325BFB" w:rsidP="00325BFB">
            <w:pPr>
              <w:keepNext/>
              <w:contextualSpacing/>
            </w:pPr>
            <w:r w:rsidRPr="00325BFB">
              <w:t>CST2/HLFT3</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0.55</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GSLD3/GSLDT3/CS3/CST3</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0.55</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SST1T</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 xml:space="preserve">0.06 </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 xml:space="preserve">0.03 </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SST1D1/SST1D2/SST1D3</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0.06</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 xml:space="preserve">0.03 </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CILC D/CILC G</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0.57</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CILC T</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0.56</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MET</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 xml:space="preserve">0.45 </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OL1/SL1/SL1M/PL1/OSI/II</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0.050</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SL2/SL2M/GSCU1</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0.102</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bl>
    <w:p w:rsidR="00325BFB" w:rsidRPr="00325BFB" w:rsidRDefault="00325BFB" w:rsidP="00325BFB">
      <w:pPr>
        <w:jc w:val="both"/>
        <w:rPr>
          <w:b/>
          <w:highlight w:val="yellow"/>
        </w:rPr>
      </w:pPr>
    </w:p>
    <w:p w:rsidR="00325BFB" w:rsidRPr="00325BFB" w:rsidRDefault="00325BFB" w:rsidP="00325BFB">
      <w:pPr>
        <w:ind w:left="1440"/>
        <w:jc w:val="both"/>
      </w:pPr>
      <w:r w:rsidRPr="00325BFB">
        <w:lastRenderedPageBreak/>
        <w:t>If the SSA is not approved, the appropriate conservation cost recovery factors for the period January 2026 through December 2026 are as follows:</w:t>
      </w:r>
    </w:p>
    <w:p w:rsidR="00325BFB" w:rsidRPr="00325BFB" w:rsidRDefault="00325BFB" w:rsidP="00325BFB">
      <w:pPr>
        <w:ind w:left="360"/>
        <w:jc w:val="both"/>
      </w:pPr>
    </w:p>
    <w:tbl>
      <w:tblPr>
        <w:tblpPr w:leftFromText="187" w:rightFromText="187" w:vertAnchor="text" w:horzAnchor="page" w:tblpXSpec="center" w:tblpY="1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25"/>
        <w:gridCol w:w="1998"/>
        <w:gridCol w:w="1980"/>
        <w:gridCol w:w="1062"/>
        <w:gridCol w:w="1080"/>
      </w:tblGrid>
      <w:tr w:rsidR="00325BFB" w:rsidRPr="00325BFB" w:rsidTr="0035159A">
        <w:tc>
          <w:tcPr>
            <w:tcW w:w="9745" w:type="dxa"/>
            <w:gridSpan w:val="5"/>
            <w:shd w:val="clear" w:color="auto" w:fill="auto"/>
            <w:vAlign w:val="center"/>
          </w:tcPr>
          <w:p w:rsidR="00325BFB" w:rsidRPr="00325BFB" w:rsidRDefault="00325BFB" w:rsidP="00325BFB">
            <w:pPr>
              <w:keepNext/>
              <w:contextualSpacing/>
              <w:jc w:val="center"/>
              <w:rPr>
                <w:b/>
                <w:bCs/>
              </w:rPr>
            </w:pPr>
            <w:r w:rsidRPr="00325BFB">
              <w:rPr>
                <w:b/>
                <w:bCs/>
              </w:rPr>
              <w:t>2026 ECCR Cost Recovery Factors as reflected in</w:t>
            </w:r>
          </w:p>
          <w:p w:rsidR="00325BFB" w:rsidRPr="00325BFB" w:rsidRDefault="00325BFB" w:rsidP="00325BFB">
            <w:pPr>
              <w:keepNext/>
              <w:contextualSpacing/>
              <w:jc w:val="center"/>
              <w:rPr>
                <w:b/>
                <w:bCs/>
              </w:rPr>
            </w:pPr>
            <w:r w:rsidRPr="00325BFB">
              <w:rPr>
                <w:b/>
                <w:bCs/>
              </w:rPr>
              <w:t>Schedule C-1, Page 4 of 34, in Exhibit LSN-2</w:t>
            </w:r>
          </w:p>
        </w:tc>
      </w:tr>
      <w:tr w:rsidR="00325BFB" w:rsidRPr="00325BFB" w:rsidTr="0035159A">
        <w:tc>
          <w:tcPr>
            <w:tcW w:w="3625" w:type="dxa"/>
            <w:shd w:val="clear" w:color="auto" w:fill="auto"/>
            <w:vAlign w:val="center"/>
            <w:hideMark/>
          </w:tcPr>
          <w:p w:rsidR="00325BFB" w:rsidRPr="00325BFB" w:rsidRDefault="00325BFB" w:rsidP="00325BFB">
            <w:pPr>
              <w:keepNext/>
              <w:contextualSpacing/>
              <w:jc w:val="center"/>
            </w:pPr>
          </w:p>
          <w:p w:rsidR="00325BFB" w:rsidRPr="00325BFB" w:rsidRDefault="00325BFB" w:rsidP="00325BFB">
            <w:pPr>
              <w:keepNext/>
              <w:contextualSpacing/>
              <w:jc w:val="center"/>
              <w:rPr>
                <w:b/>
                <w:bCs/>
              </w:rPr>
            </w:pPr>
            <w:r w:rsidRPr="00325BFB">
              <w:rPr>
                <w:b/>
                <w:bCs/>
              </w:rPr>
              <w:t>Rate Class</w:t>
            </w:r>
          </w:p>
        </w:tc>
        <w:tc>
          <w:tcPr>
            <w:tcW w:w="1998" w:type="dxa"/>
            <w:shd w:val="clear" w:color="auto" w:fill="auto"/>
            <w:vAlign w:val="center"/>
            <w:hideMark/>
          </w:tcPr>
          <w:p w:rsidR="00325BFB" w:rsidRPr="00325BFB" w:rsidRDefault="00325BFB" w:rsidP="00325BFB">
            <w:pPr>
              <w:keepNext/>
              <w:contextualSpacing/>
              <w:jc w:val="center"/>
              <w:rPr>
                <w:b/>
                <w:bCs/>
              </w:rPr>
            </w:pPr>
            <w:r w:rsidRPr="00325BFB">
              <w:rPr>
                <w:b/>
                <w:bCs/>
              </w:rPr>
              <w:t>Conservation Recovery Factor ($/kw)</w:t>
            </w:r>
          </w:p>
        </w:tc>
        <w:tc>
          <w:tcPr>
            <w:tcW w:w="1980" w:type="dxa"/>
            <w:shd w:val="clear" w:color="auto" w:fill="auto"/>
            <w:vAlign w:val="center"/>
            <w:hideMark/>
          </w:tcPr>
          <w:p w:rsidR="00325BFB" w:rsidRPr="00325BFB" w:rsidRDefault="00325BFB" w:rsidP="00325BFB">
            <w:pPr>
              <w:keepNext/>
              <w:contextualSpacing/>
              <w:jc w:val="center"/>
              <w:rPr>
                <w:b/>
                <w:bCs/>
              </w:rPr>
            </w:pPr>
            <w:r w:rsidRPr="00325BFB">
              <w:rPr>
                <w:b/>
                <w:bCs/>
              </w:rPr>
              <w:t>Conservation Recovery Factor (Cents/kwh)</w:t>
            </w:r>
          </w:p>
        </w:tc>
        <w:tc>
          <w:tcPr>
            <w:tcW w:w="1062" w:type="dxa"/>
            <w:shd w:val="clear" w:color="auto" w:fill="auto"/>
            <w:vAlign w:val="center"/>
            <w:hideMark/>
          </w:tcPr>
          <w:p w:rsidR="00325BFB" w:rsidRPr="00325BFB" w:rsidRDefault="00325BFB" w:rsidP="00325BFB">
            <w:pPr>
              <w:keepNext/>
              <w:contextualSpacing/>
              <w:jc w:val="center"/>
              <w:rPr>
                <w:b/>
                <w:bCs/>
              </w:rPr>
            </w:pPr>
          </w:p>
          <w:p w:rsidR="00325BFB" w:rsidRPr="00325BFB" w:rsidRDefault="00325BFB" w:rsidP="00325BFB">
            <w:pPr>
              <w:keepNext/>
              <w:contextualSpacing/>
              <w:jc w:val="center"/>
              <w:rPr>
                <w:b/>
                <w:bCs/>
              </w:rPr>
            </w:pPr>
            <w:r w:rsidRPr="00325BFB">
              <w:rPr>
                <w:b/>
                <w:bCs/>
              </w:rPr>
              <w:t>RDC ($/KW)</w:t>
            </w:r>
          </w:p>
        </w:tc>
        <w:tc>
          <w:tcPr>
            <w:tcW w:w="1080" w:type="dxa"/>
            <w:shd w:val="clear" w:color="auto" w:fill="auto"/>
            <w:vAlign w:val="center"/>
            <w:hideMark/>
          </w:tcPr>
          <w:p w:rsidR="00325BFB" w:rsidRPr="00325BFB" w:rsidRDefault="00325BFB" w:rsidP="00325BFB">
            <w:pPr>
              <w:keepNext/>
              <w:contextualSpacing/>
              <w:jc w:val="center"/>
              <w:rPr>
                <w:b/>
                <w:bCs/>
              </w:rPr>
            </w:pPr>
          </w:p>
          <w:p w:rsidR="00325BFB" w:rsidRPr="00325BFB" w:rsidRDefault="00325BFB" w:rsidP="00325BFB">
            <w:pPr>
              <w:keepNext/>
              <w:contextualSpacing/>
              <w:jc w:val="center"/>
              <w:rPr>
                <w:b/>
                <w:bCs/>
              </w:rPr>
            </w:pPr>
            <w:r w:rsidRPr="00325BFB">
              <w:rPr>
                <w:b/>
                <w:bCs/>
              </w:rPr>
              <w:t>DDC ($/KW)</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RS1/RTR1</w:t>
            </w:r>
          </w:p>
        </w:tc>
        <w:tc>
          <w:tcPr>
            <w:tcW w:w="1998" w:type="dxa"/>
            <w:shd w:val="clear" w:color="auto" w:fill="auto"/>
            <w:noWrap/>
            <w:vAlign w:val="center"/>
            <w:hideMark/>
          </w:tcPr>
          <w:p w:rsidR="00325BFB" w:rsidRPr="00325BFB" w:rsidRDefault="00325BFB" w:rsidP="00325BFB">
            <w:pPr>
              <w:keepNext/>
              <w:ind w:right="600"/>
              <w:contextualSpacing/>
              <w:jc w:val="right"/>
            </w:pP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 xml:space="preserve">0.139 </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GS1/GST1</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 xml:space="preserve">0.131 </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GSD1/GSDT1/HLFT1/GSD1-EV</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 xml:space="preserve">0.46 </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OS2</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0.078</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GSLD1/GSLDT1/CS1/</w:t>
            </w:r>
          </w:p>
          <w:p w:rsidR="00325BFB" w:rsidRPr="00325BFB" w:rsidRDefault="00325BFB" w:rsidP="00325BFB">
            <w:pPr>
              <w:keepNext/>
              <w:contextualSpacing/>
            </w:pPr>
            <w:r w:rsidRPr="00325BFB">
              <w:t>CST1/HLFT2/GSLD1-EV</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0.52</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GSLD2/GSLDT2/CS2/</w:t>
            </w:r>
          </w:p>
          <w:p w:rsidR="00325BFB" w:rsidRPr="00325BFB" w:rsidRDefault="00325BFB" w:rsidP="00325BFB">
            <w:pPr>
              <w:keepNext/>
              <w:contextualSpacing/>
            </w:pPr>
            <w:r w:rsidRPr="00325BFB">
              <w:t>CST2/HLFT3</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0.53</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GSLD3/GSLDT3/CS3/CST3</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0.52</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SST1T</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 xml:space="preserve">0.06 </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 xml:space="preserve">0.03 </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SST1D1/SST1D2/SST1D3</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0.06</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 xml:space="preserve">0.03 </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CILC D/CILC G</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0.55</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CILC T</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0.55</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MET</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 xml:space="preserve">0.44 </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OL1/SL1/SL1M/PL1/OSI/II</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0.045</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r w:rsidR="00325BFB" w:rsidRPr="00325BFB" w:rsidTr="0035159A">
        <w:tc>
          <w:tcPr>
            <w:tcW w:w="3625" w:type="dxa"/>
            <w:shd w:val="clear" w:color="auto" w:fill="auto"/>
            <w:noWrap/>
            <w:vAlign w:val="center"/>
            <w:hideMark/>
          </w:tcPr>
          <w:p w:rsidR="00325BFB" w:rsidRPr="00325BFB" w:rsidRDefault="00325BFB" w:rsidP="00325BFB">
            <w:pPr>
              <w:keepNext/>
              <w:contextualSpacing/>
            </w:pPr>
            <w:r w:rsidRPr="00325BFB">
              <w:t>SL2/SL2M/GSCU1</w:t>
            </w:r>
          </w:p>
        </w:tc>
        <w:tc>
          <w:tcPr>
            <w:tcW w:w="1998" w:type="dxa"/>
            <w:shd w:val="clear" w:color="auto" w:fill="auto"/>
            <w:noWrap/>
            <w:vAlign w:val="center"/>
            <w:hideMark/>
          </w:tcPr>
          <w:p w:rsidR="00325BFB" w:rsidRPr="00325BFB" w:rsidRDefault="00325BFB" w:rsidP="00325BFB">
            <w:pPr>
              <w:keepNext/>
              <w:ind w:right="600"/>
              <w:contextualSpacing/>
              <w:jc w:val="right"/>
            </w:pPr>
            <w:r w:rsidRPr="00325BFB">
              <w:t>-</w:t>
            </w:r>
          </w:p>
        </w:tc>
        <w:tc>
          <w:tcPr>
            <w:tcW w:w="1980" w:type="dxa"/>
            <w:shd w:val="clear" w:color="auto" w:fill="auto"/>
            <w:noWrap/>
            <w:vAlign w:val="center"/>
            <w:hideMark/>
          </w:tcPr>
          <w:p w:rsidR="00325BFB" w:rsidRPr="00325BFB" w:rsidRDefault="00325BFB" w:rsidP="00325BFB">
            <w:pPr>
              <w:keepNext/>
              <w:ind w:right="420"/>
              <w:contextualSpacing/>
              <w:jc w:val="right"/>
            </w:pPr>
            <w:r w:rsidRPr="00325BFB">
              <w:t>0.102</w:t>
            </w:r>
          </w:p>
        </w:tc>
        <w:tc>
          <w:tcPr>
            <w:tcW w:w="1062" w:type="dxa"/>
            <w:shd w:val="clear" w:color="auto" w:fill="auto"/>
            <w:noWrap/>
            <w:vAlign w:val="center"/>
            <w:hideMark/>
          </w:tcPr>
          <w:p w:rsidR="00325BFB" w:rsidRPr="00325BFB" w:rsidRDefault="00325BFB" w:rsidP="00325BFB">
            <w:pPr>
              <w:keepNext/>
              <w:ind w:right="120"/>
              <w:contextualSpacing/>
              <w:jc w:val="right"/>
            </w:pPr>
            <w:r w:rsidRPr="00325BFB">
              <w:t>-</w:t>
            </w:r>
          </w:p>
        </w:tc>
        <w:tc>
          <w:tcPr>
            <w:tcW w:w="1080" w:type="dxa"/>
            <w:shd w:val="clear" w:color="auto" w:fill="auto"/>
            <w:noWrap/>
            <w:vAlign w:val="center"/>
            <w:hideMark/>
          </w:tcPr>
          <w:p w:rsidR="00325BFB" w:rsidRPr="00325BFB" w:rsidRDefault="00325BFB" w:rsidP="00325BFB">
            <w:pPr>
              <w:keepNext/>
              <w:ind w:right="220"/>
              <w:contextualSpacing/>
              <w:jc w:val="right"/>
            </w:pPr>
            <w:r w:rsidRPr="00325BFB">
              <w:t>-</w:t>
            </w:r>
          </w:p>
        </w:tc>
      </w:tr>
    </w:tbl>
    <w:p w:rsidR="00325BFB" w:rsidRPr="00325BFB" w:rsidRDefault="00325BFB" w:rsidP="00325BFB">
      <w:pPr>
        <w:autoSpaceDE w:val="0"/>
        <w:autoSpaceDN w:val="0"/>
        <w:adjustRightInd w:val="0"/>
        <w:ind w:left="1440"/>
        <w:jc w:val="both"/>
      </w:pPr>
    </w:p>
    <w:p w:rsidR="00325BFB" w:rsidRPr="00325BFB" w:rsidRDefault="00325BFB" w:rsidP="00325BFB">
      <w:pPr>
        <w:autoSpaceDE w:val="0"/>
        <w:autoSpaceDN w:val="0"/>
        <w:adjustRightInd w:val="0"/>
        <w:ind w:left="1440"/>
        <w:jc w:val="both"/>
        <w:rPr>
          <w:bCs/>
          <w:u w:val="single"/>
        </w:rPr>
      </w:pPr>
      <w:r w:rsidRPr="00325BFB">
        <w:t>In the event the Commission approves a different clause cost allocation methodology than either of those identified in Issue 4, then the appropriate conservation cost recovery factors for the period January 2026 through December 2026 will be consistent with the approved methodology. FPL will file updated clause recovery factors in this docket for administrative approval by staff as soon as practicable after the Commission’s vote in Docket No. 20250011-EI.</w:t>
      </w:r>
    </w:p>
    <w:p w:rsidR="00325BFB" w:rsidRPr="00325BFB" w:rsidRDefault="00325BFB" w:rsidP="00325BFB">
      <w:pPr>
        <w:autoSpaceDE w:val="0"/>
        <w:autoSpaceDN w:val="0"/>
        <w:adjustRightInd w:val="0"/>
        <w:rPr>
          <w:bCs/>
          <w:u w:val="single"/>
        </w:rPr>
      </w:pPr>
    </w:p>
    <w:p w:rsidR="00325BFB" w:rsidRPr="00325BFB" w:rsidRDefault="00325BFB" w:rsidP="00325BFB">
      <w:pPr>
        <w:autoSpaceDE w:val="0"/>
        <w:autoSpaceDN w:val="0"/>
        <w:adjustRightInd w:val="0"/>
        <w:rPr>
          <w:bCs/>
          <w:u w:val="single"/>
        </w:rPr>
      </w:pPr>
    </w:p>
    <w:p w:rsidR="00325BFB" w:rsidRPr="00325BFB" w:rsidRDefault="00325BFB" w:rsidP="00325BFB">
      <w:pPr>
        <w:autoSpaceDE w:val="0"/>
        <w:autoSpaceDN w:val="0"/>
        <w:adjustRightInd w:val="0"/>
        <w:rPr>
          <w:bCs/>
          <w:u w:val="single"/>
        </w:rPr>
      </w:pPr>
    </w:p>
    <w:p w:rsidR="00325BFB" w:rsidRPr="00325BFB" w:rsidRDefault="00325BFB" w:rsidP="00325BFB">
      <w:pPr>
        <w:autoSpaceDE w:val="0"/>
        <w:autoSpaceDN w:val="0"/>
        <w:adjustRightInd w:val="0"/>
        <w:rPr>
          <w:bCs/>
          <w:u w:val="single"/>
        </w:rPr>
      </w:pPr>
    </w:p>
    <w:p w:rsidR="00325BFB" w:rsidRPr="00325BFB" w:rsidRDefault="00325BFB" w:rsidP="00325BFB">
      <w:pPr>
        <w:autoSpaceDE w:val="0"/>
        <w:autoSpaceDN w:val="0"/>
        <w:adjustRightInd w:val="0"/>
        <w:rPr>
          <w:bCs/>
          <w:u w:val="single"/>
        </w:rPr>
      </w:pPr>
    </w:p>
    <w:p w:rsidR="00325BFB" w:rsidRPr="00325BFB" w:rsidRDefault="00325BFB" w:rsidP="00325BFB">
      <w:pPr>
        <w:autoSpaceDE w:val="0"/>
        <w:autoSpaceDN w:val="0"/>
        <w:adjustRightInd w:val="0"/>
        <w:rPr>
          <w:bCs/>
          <w:u w:val="single"/>
        </w:rPr>
      </w:pPr>
    </w:p>
    <w:p w:rsidR="00325BFB" w:rsidRPr="00325BFB" w:rsidRDefault="00325BFB" w:rsidP="00325BFB">
      <w:pPr>
        <w:autoSpaceDE w:val="0"/>
        <w:autoSpaceDN w:val="0"/>
        <w:adjustRightInd w:val="0"/>
        <w:rPr>
          <w:bCs/>
          <w:u w:val="single"/>
        </w:rPr>
      </w:pPr>
    </w:p>
    <w:p w:rsidR="00325BFB" w:rsidRPr="00325BFB" w:rsidRDefault="00325BFB" w:rsidP="00325BFB">
      <w:pPr>
        <w:autoSpaceDE w:val="0"/>
        <w:autoSpaceDN w:val="0"/>
        <w:adjustRightInd w:val="0"/>
        <w:rPr>
          <w:bCs/>
          <w:u w:val="single"/>
        </w:rPr>
      </w:pPr>
    </w:p>
    <w:p w:rsidR="00325BFB" w:rsidRPr="00325BFB" w:rsidRDefault="00325BFB" w:rsidP="00325BFB">
      <w:pPr>
        <w:autoSpaceDE w:val="0"/>
        <w:autoSpaceDN w:val="0"/>
        <w:adjustRightInd w:val="0"/>
        <w:rPr>
          <w:bCs/>
          <w:u w:val="single"/>
        </w:rPr>
      </w:pPr>
    </w:p>
    <w:p w:rsidR="00325BFB" w:rsidRPr="00325BFB" w:rsidRDefault="00325BFB" w:rsidP="00325BFB">
      <w:pPr>
        <w:autoSpaceDE w:val="0"/>
        <w:autoSpaceDN w:val="0"/>
        <w:adjustRightInd w:val="0"/>
        <w:rPr>
          <w:bCs/>
          <w:u w:val="single"/>
        </w:rPr>
      </w:pPr>
    </w:p>
    <w:p w:rsidR="00325BFB" w:rsidRPr="00325BFB" w:rsidRDefault="00325BFB" w:rsidP="00325BFB">
      <w:pPr>
        <w:autoSpaceDE w:val="0"/>
        <w:autoSpaceDN w:val="0"/>
        <w:adjustRightInd w:val="0"/>
        <w:ind w:left="720" w:firstLine="720"/>
        <w:rPr>
          <w:b/>
          <w:bCs/>
        </w:rPr>
      </w:pPr>
      <w:r w:rsidRPr="00325BFB">
        <w:rPr>
          <w:b/>
          <w:bCs/>
          <w:u w:val="single"/>
        </w:rPr>
        <w:lastRenderedPageBreak/>
        <w:t>Duke Energy Florida</w:t>
      </w:r>
      <w:r w:rsidRPr="00325BFB">
        <w:rPr>
          <w:b/>
          <w:bCs/>
        </w:rPr>
        <w:t>:</w:t>
      </w:r>
    </w:p>
    <w:p w:rsidR="00325BFB" w:rsidRPr="00325BFB" w:rsidRDefault="00325BFB" w:rsidP="00325BFB">
      <w:pPr>
        <w:autoSpaceDE w:val="0"/>
        <w:autoSpaceDN w:val="0"/>
        <w:adjustRightInd w:val="0"/>
        <w:ind w:left="720" w:firstLine="720"/>
        <w:rPr>
          <w:b/>
        </w:rPr>
      </w:pPr>
      <w:r w:rsidRPr="00325BFB">
        <w:rPr>
          <w:b/>
        </w:rPr>
        <w:tab/>
      </w:r>
      <w:r w:rsidRPr="00325BFB">
        <w:rPr>
          <w:b/>
        </w:rPr>
        <w:tab/>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325BFB" w:rsidRPr="00325BFB" w:rsidTr="0035159A">
        <w:tc>
          <w:tcPr>
            <w:tcW w:w="9590" w:type="dxa"/>
            <w:gridSpan w:val="4"/>
          </w:tcPr>
          <w:p w:rsidR="00325BFB" w:rsidRPr="00325BFB" w:rsidRDefault="00325BFB" w:rsidP="00325BFB">
            <w:pPr>
              <w:autoSpaceDE w:val="0"/>
              <w:autoSpaceDN w:val="0"/>
              <w:adjustRightInd w:val="0"/>
              <w:jc w:val="center"/>
              <w:rPr>
                <w:b/>
              </w:rPr>
            </w:pPr>
            <w:r w:rsidRPr="00325BFB">
              <w:rPr>
                <w:b/>
              </w:rPr>
              <w:t xml:space="preserve">2026 ECCR Cost Recovery Factors, </w:t>
            </w:r>
          </w:p>
          <w:p w:rsidR="00325BFB" w:rsidRPr="00325BFB" w:rsidRDefault="00325BFB" w:rsidP="00325BFB">
            <w:pPr>
              <w:autoSpaceDE w:val="0"/>
              <w:autoSpaceDN w:val="0"/>
              <w:adjustRightInd w:val="0"/>
              <w:jc w:val="center"/>
              <w:rPr>
                <w:b/>
              </w:rPr>
            </w:pPr>
            <w:r w:rsidRPr="00325BFB">
              <w:rPr>
                <w:b/>
              </w:rPr>
              <w:t xml:space="preserve">as reflected in </w:t>
            </w:r>
            <w:r w:rsidRPr="00325BFB">
              <w:rPr>
                <w:b/>
                <w:color w:val="0E101A"/>
              </w:rPr>
              <w:t>Schedule C-1, Page 2 of 2, in Exhibit KR-1P</w:t>
            </w:r>
          </w:p>
        </w:tc>
      </w:tr>
      <w:tr w:rsidR="00325BFB" w:rsidRPr="00325BFB" w:rsidTr="0035159A">
        <w:tc>
          <w:tcPr>
            <w:tcW w:w="5148" w:type="dxa"/>
            <w:vMerge w:val="restart"/>
            <w:vAlign w:val="center"/>
          </w:tcPr>
          <w:p w:rsidR="00325BFB" w:rsidRPr="00325BFB" w:rsidRDefault="00325BFB" w:rsidP="00325BFB">
            <w:pPr>
              <w:autoSpaceDE w:val="0"/>
              <w:autoSpaceDN w:val="0"/>
              <w:adjustRightInd w:val="0"/>
              <w:jc w:val="center"/>
              <w:rPr>
                <w:b/>
              </w:rPr>
            </w:pPr>
            <w:r w:rsidRPr="00325BFB">
              <w:rPr>
                <w:b/>
              </w:rPr>
              <w:t>Retail Rate Schedule</w:t>
            </w:r>
          </w:p>
        </w:tc>
        <w:tc>
          <w:tcPr>
            <w:tcW w:w="4442" w:type="dxa"/>
            <w:gridSpan w:val="3"/>
          </w:tcPr>
          <w:p w:rsidR="00325BFB" w:rsidRPr="00325BFB" w:rsidRDefault="00325BFB" w:rsidP="00325BFB">
            <w:pPr>
              <w:autoSpaceDE w:val="0"/>
              <w:autoSpaceDN w:val="0"/>
              <w:adjustRightInd w:val="0"/>
              <w:jc w:val="center"/>
              <w:rPr>
                <w:b/>
              </w:rPr>
            </w:pPr>
            <w:r w:rsidRPr="00325BFB">
              <w:rPr>
                <w:b/>
              </w:rPr>
              <w:t>Cost Recovery Factor (Cents/kWh)</w:t>
            </w:r>
          </w:p>
          <w:p w:rsidR="00325BFB" w:rsidRPr="00325BFB" w:rsidRDefault="00325BFB" w:rsidP="00325BFB">
            <w:pPr>
              <w:autoSpaceDE w:val="0"/>
              <w:autoSpaceDN w:val="0"/>
              <w:adjustRightInd w:val="0"/>
              <w:jc w:val="center"/>
              <w:rPr>
                <w:b/>
              </w:rPr>
            </w:pPr>
            <w:r w:rsidRPr="00325BFB">
              <w:rPr>
                <w:b/>
              </w:rPr>
              <w:t>Voltage Level</w:t>
            </w:r>
          </w:p>
        </w:tc>
      </w:tr>
      <w:tr w:rsidR="00325BFB" w:rsidRPr="00325BFB" w:rsidTr="0035159A">
        <w:tc>
          <w:tcPr>
            <w:tcW w:w="5148" w:type="dxa"/>
            <w:vMerge/>
          </w:tcPr>
          <w:p w:rsidR="00325BFB" w:rsidRPr="00325BFB" w:rsidRDefault="00325BFB" w:rsidP="00325BFB">
            <w:pPr>
              <w:autoSpaceDE w:val="0"/>
              <w:autoSpaceDN w:val="0"/>
              <w:adjustRightInd w:val="0"/>
              <w:rPr>
                <w:b/>
              </w:rPr>
            </w:pPr>
          </w:p>
        </w:tc>
        <w:tc>
          <w:tcPr>
            <w:tcW w:w="1440" w:type="dxa"/>
          </w:tcPr>
          <w:p w:rsidR="00325BFB" w:rsidRPr="00325BFB" w:rsidRDefault="00325BFB" w:rsidP="00325BFB">
            <w:pPr>
              <w:autoSpaceDE w:val="0"/>
              <w:autoSpaceDN w:val="0"/>
              <w:adjustRightInd w:val="0"/>
              <w:jc w:val="center"/>
              <w:rPr>
                <w:b/>
              </w:rPr>
            </w:pPr>
            <w:r w:rsidRPr="00325BFB">
              <w:rPr>
                <w:b/>
              </w:rPr>
              <w:t>Secondary</w:t>
            </w:r>
          </w:p>
        </w:tc>
        <w:tc>
          <w:tcPr>
            <w:tcW w:w="1384" w:type="dxa"/>
          </w:tcPr>
          <w:p w:rsidR="00325BFB" w:rsidRPr="00325BFB" w:rsidRDefault="00325BFB" w:rsidP="00325BFB">
            <w:pPr>
              <w:autoSpaceDE w:val="0"/>
              <w:autoSpaceDN w:val="0"/>
              <w:adjustRightInd w:val="0"/>
              <w:jc w:val="center"/>
              <w:rPr>
                <w:b/>
              </w:rPr>
            </w:pPr>
            <w:r w:rsidRPr="00325BFB">
              <w:rPr>
                <w:b/>
              </w:rPr>
              <w:t>Primary</w:t>
            </w:r>
          </w:p>
        </w:tc>
        <w:tc>
          <w:tcPr>
            <w:tcW w:w="1618" w:type="dxa"/>
          </w:tcPr>
          <w:p w:rsidR="00325BFB" w:rsidRPr="00325BFB" w:rsidRDefault="00325BFB" w:rsidP="00325BFB">
            <w:pPr>
              <w:autoSpaceDE w:val="0"/>
              <w:autoSpaceDN w:val="0"/>
              <w:adjustRightInd w:val="0"/>
              <w:jc w:val="center"/>
              <w:rPr>
                <w:b/>
              </w:rPr>
            </w:pPr>
            <w:r w:rsidRPr="00325BFB">
              <w:rPr>
                <w:b/>
              </w:rPr>
              <w:t>Transmission</w:t>
            </w:r>
          </w:p>
        </w:tc>
      </w:tr>
      <w:tr w:rsidR="00325BFB" w:rsidRPr="00325BFB" w:rsidTr="0035159A">
        <w:tc>
          <w:tcPr>
            <w:tcW w:w="5148" w:type="dxa"/>
          </w:tcPr>
          <w:p w:rsidR="00325BFB" w:rsidRPr="00325BFB" w:rsidRDefault="00325BFB" w:rsidP="00325BFB">
            <w:pPr>
              <w:autoSpaceDE w:val="0"/>
              <w:autoSpaceDN w:val="0"/>
              <w:adjustRightInd w:val="0"/>
            </w:pPr>
            <w:r w:rsidRPr="00325BFB">
              <w:t xml:space="preserve">Residential: RS-1, RST-1, RSL-1, RSL-2 </w:t>
            </w:r>
          </w:p>
        </w:tc>
        <w:tc>
          <w:tcPr>
            <w:tcW w:w="1440" w:type="dxa"/>
          </w:tcPr>
          <w:p w:rsidR="00325BFB" w:rsidRPr="00325BFB" w:rsidRDefault="00325BFB" w:rsidP="00325BFB">
            <w:pPr>
              <w:autoSpaceDE w:val="0"/>
              <w:autoSpaceDN w:val="0"/>
              <w:adjustRightInd w:val="0"/>
              <w:jc w:val="center"/>
            </w:pPr>
            <w:r w:rsidRPr="00325BFB">
              <w:t>0.386</w:t>
            </w:r>
          </w:p>
        </w:tc>
        <w:tc>
          <w:tcPr>
            <w:tcW w:w="1384" w:type="dxa"/>
          </w:tcPr>
          <w:p w:rsidR="00325BFB" w:rsidRPr="00325BFB" w:rsidRDefault="00325BFB" w:rsidP="00325BFB">
            <w:pPr>
              <w:autoSpaceDE w:val="0"/>
              <w:autoSpaceDN w:val="0"/>
              <w:adjustRightInd w:val="0"/>
              <w:jc w:val="center"/>
            </w:pPr>
            <w:r w:rsidRPr="00325BFB">
              <w:t>N/A</w:t>
            </w:r>
          </w:p>
        </w:tc>
        <w:tc>
          <w:tcPr>
            <w:tcW w:w="1618" w:type="dxa"/>
          </w:tcPr>
          <w:p w:rsidR="00325BFB" w:rsidRPr="00325BFB" w:rsidRDefault="00325BFB" w:rsidP="00325BFB">
            <w:pPr>
              <w:autoSpaceDE w:val="0"/>
              <w:autoSpaceDN w:val="0"/>
              <w:adjustRightInd w:val="0"/>
              <w:jc w:val="center"/>
            </w:pPr>
            <w:r w:rsidRPr="00325BFB">
              <w:t>N/A</w:t>
            </w:r>
          </w:p>
        </w:tc>
      </w:tr>
      <w:tr w:rsidR="00325BFB" w:rsidRPr="00325BFB" w:rsidTr="0035159A">
        <w:tc>
          <w:tcPr>
            <w:tcW w:w="5148" w:type="dxa"/>
          </w:tcPr>
          <w:p w:rsidR="00325BFB" w:rsidRPr="00325BFB" w:rsidRDefault="00325BFB" w:rsidP="00325BFB">
            <w:pPr>
              <w:autoSpaceDE w:val="0"/>
              <w:autoSpaceDN w:val="0"/>
              <w:adjustRightInd w:val="0"/>
            </w:pPr>
            <w:r w:rsidRPr="00325BFB">
              <w:t xml:space="preserve">General Service Non-Demand: GS-1, GST-1, GSLM-1, GLMS-2 </w:t>
            </w:r>
          </w:p>
        </w:tc>
        <w:tc>
          <w:tcPr>
            <w:tcW w:w="1440" w:type="dxa"/>
            <w:vAlign w:val="center"/>
          </w:tcPr>
          <w:p w:rsidR="00325BFB" w:rsidRPr="00325BFB" w:rsidRDefault="00325BFB" w:rsidP="00325BFB">
            <w:pPr>
              <w:autoSpaceDE w:val="0"/>
              <w:autoSpaceDN w:val="0"/>
              <w:adjustRightInd w:val="0"/>
              <w:jc w:val="center"/>
            </w:pPr>
            <w:r w:rsidRPr="00325BFB">
              <w:t>0.342</w:t>
            </w:r>
          </w:p>
        </w:tc>
        <w:tc>
          <w:tcPr>
            <w:tcW w:w="1384" w:type="dxa"/>
            <w:vAlign w:val="center"/>
          </w:tcPr>
          <w:p w:rsidR="00325BFB" w:rsidRPr="00325BFB" w:rsidRDefault="00325BFB" w:rsidP="00325BFB">
            <w:pPr>
              <w:autoSpaceDE w:val="0"/>
              <w:autoSpaceDN w:val="0"/>
              <w:adjustRightInd w:val="0"/>
              <w:jc w:val="center"/>
            </w:pPr>
            <w:r w:rsidRPr="00325BFB">
              <w:t>0.339</w:t>
            </w:r>
          </w:p>
        </w:tc>
        <w:tc>
          <w:tcPr>
            <w:tcW w:w="1618" w:type="dxa"/>
            <w:vAlign w:val="center"/>
          </w:tcPr>
          <w:p w:rsidR="00325BFB" w:rsidRPr="00325BFB" w:rsidRDefault="00325BFB" w:rsidP="00325BFB">
            <w:pPr>
              <w:autoSpaceDE w:val="0"/>
              <w:autoSpaceDN w:val="0"/>
              <w:adjustRightInd w:val="0"/>
              <w:jc w:val="center"/>
            </w:pPr>
            <w:r w:rsidRPr="00325BFB">
              <w:t>0.335</w:t>
            </w:r>
          </w:p>
        </w:tc>
      </w:tr>
      <w:tr w:rsidR="00325BFB" w:rsidRPr="00325BFB" w:rsidTr="0035159A">
        <w:tc>
          <w:tcPr>
            <w:tcW w:w="5148" w:type="dxa"/>
          </w:tcPr>
          <w:p w:rsidR="00325BFB" w:rsidRPr="00325BFB" w:rsidRDefault="00325BFB" w:rsidP="00325BFB">
            <w:pPr>
              <w:autoSpaceDE w:val="0"/>
              <w:autoSpaceDN w:val="0"/>
              <w:adjustRightInd w:val="0"/>
            </w:pPr>
            <w:r w:rsidRPr="00325BFB">
              <w:t>General Service (100% Load Factor): GS-2</w:t>
            </w:r>
          </w:p>
        </w:tc>
        <w:tc>
          <w:tcPr>
            <w:tcW w:w="1440" w:type="dxa"/>
          </w:tcPr>
          <w:p w:rsidR="00325BFB" w:rsidRPr="00325BFB" w:rsidRDefault="00325BFB" w:rsidP="00325BFB">
            <w:pPr>
              <w:autoSpaceDE w:val="0"/>
              <w:autoSpaceDN w:val="0"/>
              <w:adjustRightInd w:val="0"/>
              <w:jc w:val="center"/>
            </w:pPr>
            <w:r w:rsidRPr="00325BFB">
              <w:t>0.273</w:t>
            </w:r>
          </w:p>
        </w:tc>
        <w:tc>
          <w:tcPr>
            <w:tcW w:w="1384" w:type="dxa"/>
          </w:tcPr>
          <w:p w:rsidR="00325BFB" w:rsidRPr="00325BFB" w:rsidRDefault="00325BFB" w:rsidP="00325BFB">
            <w:pPr>
              <w:autoSpaceDE w:val="0"/>
              <w:autoSpaceDN w:val="0"/>
              <w:adjustRightInd w:val="0"/>
              <w:jc w:val="center"/>
            </w:pPr>
            <w:r w:rsidRPr="00325BFB">
              <w:t>N/A</w:t>
            </w:r>
          </w:p>
        </w:tc>
        <w:tc>
          <w:tcPr>
            <w:tcW w:w="1618" w:type="dxa"/>
          </w:tcPr>
          <w:p w:rsidR="00325BFB" w:rsidRPr="00325BFB" w:rsidRDefault="00325BFB" w:rsidP="00325BFB">
            <w:pPr>
              <w:autoSpaceDE w:val="0"/>
              <w:autoSpaceDN w:val="0"/>
              <w:adjustRightInd w:val="0"/>
              <w:jc w:val="center"/>
            </w:pPr>
            <w:r w:rsidRPr="00325BFB">
              <w:t>N/A</w:t>
            </w:r>
          </w:p>
        </w:tc>
      </w:tr>
      <w:tr w:rsidR="00325BFB" w:rsidRPr="00325BFB" w:rsidTr="0035159A">
        <w:tc>
          <w:tcPr>
            <w:tcW w:w="5148" w:type="dxa"/>
          </w:tcPr>
          <w:p w:rsidR="00325BFB" w:rsidRPr="00325BFB" w:rsidRDefault="00325BFB" w:rsidP="00325BFB">
            <w:pPr>
              <w:autoSpaceDE w:val="0"/>
              <w:autoSpaceDN w:val="0"/>
              <w:adjustRightInd w:val="0"/>
            </w:pPr>
            <w:r w:rsidRPr="00325BFB">
              <w:t xml:space="preserve">Lighting: LS-1 </w:t>
            </w:r>
          </w:p>
        </w:tc>
        <w:tc>
          <w:tcPr>
            <w:tcW w:w="1440" w:type="dxa"/>
          </w:tcPr>
          <w:p w:rsidR="00325BFB" w:rsidRPr="00325BFB" w:rsidRDefault="00325BFB" w:rsidP="00325BFB">
            <w:pPr>
              <w:autoSpaceDE w:val="0"/>
              <w:autoSpaceDN w:val="0"/>
              <w:adjustRightInd w:val="0"/>
              <w:jc w:val="center"/>
            </w:pPr>
            <w:r w:rsidRPr="00325BFB">
              <w:t>0.152</w:t>
            </w:r>
          </w:p>
        </w:tc>
        <w:tc>
          <w:tcPr>
            <w:tcW w:w="1384" w:type="dxa"/>
          </w:tcPr>
          <w:p w:rsidR="00325BFB" w:rsidRPr="00325BFB" w:rsidRDefault="00325BFB" w:rsidP="00325BFB">
            <w:pPr>
              <w:autoSpaceDE w:val="0"/>
              <w:autoSpaceDN w:val="0"/>
              <w:adjustRightInd w:val="0"/>
              <w:jc w:val="center"/>
            </w:pPr>
            <w:r w:rsidRPr="00325BFB">
              <w:t>N/A</w:t>
            </w:r>
          </w:p>
        </w:tc>
        <w:tc>
          <w:tcPr>
            <w:tcW w:w="1618" w:type="dxa"/>
          </w:tcPr>
          <w:p w:rsidR="00325BFB" w:rsidRPr="00325BFB" w:rsidRDefault="00325BFB" w:rsidP="00325BFB">
            <w:pPr>
              <w:autoSpaceDE w:val="0"/>
              <w:autoSpaceDN w:val="0"/>
              <w:adjustRightInd w:val="0"/>
              <w:jc w:val="center"/>
            </w:pPr>
            <w:r w:rsidRPr="00325BFB">
              <w:t>N/A</w:t>
            </w:r>
          </w:p>
        </w:tc>
      </w:tr>
    </w:tbl>
    <w:p w:rsidR="00325BFB" w:rsidRPr="00325BFB" w:rsidRDefault="00325BFB" w:rsidP="00325BFB">
      <w:pPr>
        <w:autoSpaceDE w:val="0"/>
        <w:autoSpaceDN w:val="0"/>
        <w:adjustRightInd w:val="0"/>
      </w:pPr>
    </w:p>
    <w:p w:rsidR="00325BFB" w:rsidRPr="00325BFB" w:rsidRDefault="00325BFB" w:rsidP="00325BFB">
      <w:pPr>
        <w:autoSpaceDE w:val="0"/>
        <w:autoSpaceDN w:val="0"/>
        <w:adjustRightInd w:val="0"/>
      </w:pPr>
    </w:p>
    <w:p w:rsidR="00325BFB" w:rsidRPr="00325BFB" w:rsidRDefault="00325BFB" w:rsidP="00325BFB">
      <w:pPr>
        <w:autoSpaceDE w:val="0"/>
        <w:autoSpaceDN w:val="0"/>
        <w:adjustRightInd w:val="0"/>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325BFB" w:rsidRPr="00325BFB" w:rsidTr="0035159A">
        <w:tc>
          <w:tcPr>
            <w:tcW w:w="9590" w:type="dxa"/>
            <w:gridSpan w:val="4"/>
          </w:tcPr>
          <w:p w:rsidR="00325BFB" w:rsidRPr="00325BFB" w:rsidRDefault="00325BFB" w:rsidP="00325BFB">
            <w:pPr>
              <w:autoSpaceDE w:val="0"/>
              <w:autoSpaceDN w:val="0"/>
              <w:adjustRightInd w:val="0"/>
              <w:jc w:val="center"/>
              <w:rPr>
                <w:b/>
              </w:rPr>
            </w:pPr>
            <w:r w:rsidRPr="00325BFB">
              <w:rPr>
                <w:b/>
              </w:rPr>
              <w:br w:type="page"/>
              <w:t xml:space="preserve">2026 ECCR Cost Recovery Factors, </w:t>
            </w:r>
          </w:p>
          <w:p w:rsidR="00325BFB" w:rsidRPr="00325BFB" w:rsidRDefault="00325BFB" w:rsidP="00325BFB">
            <w:pPr>
              <w:autoSpaceDE w:val="0"/>
              <w:autoSpaceDN w:val="0"/>
              <w:adjustRightInd w:val="0"/>
              <w:jc w:val="center"/>
              <w:rPr>
                <w:b/>
              </w:rPr>
            </w:pPr>
            <w:r w:rsidRPr="00325BFB">
              <w:rPr>
                <w:b/>
              </w:rPr>
              <w:t xml:space="preserve">as reflected in </w:t>
            </w:r>
            <w:r w:rsidRPr="00325BFB">
              <w:rPr>
                <w:b/>
                <w:color w:val="0E101A"/>
              </w:rPr>
              <w:t>Schedule C-1, Page 2 of 2, in Exhibit KR-1P</w:t>
            </w:r>
          </w:p>
        </w:tc>
      </w:tr>
      <w:tr w:rsidR="00325BFB" w:rsidRPr="00325BFB" w:rsidTr="0035159A">
        <w:tc>
          <w:tcPr>
            <w:tcW w:w="5148" w:type="dxa"/>
            <w:vMerge w:val="restart"/>
            <w:vAlign w:val="center"/>
          </w:tcPr>
          <w:p w:rsidR="00325BFB" w:rsidRPr="00325BFB" w:rsidRDefault="00325BFB" w:rsidP="00325BFB">
            <w:pPr>
              <w:autoSpaceDE w:val="0"/>
              <w:autoSpaceDN w:val="0"/>
              <w:adjustRightInd w:val="0"/>
              <w:jc w:val="center"/>
              <w:rPr>
                <w:b/>
              </w:rPr>
            </w:pPr>
            <w:r w:rsidRPr="00325BFB">
              <w:rPr>
                <w:b/>
              </w:rPr>
              <w:t>Retail Rate Schedule</w:t>
            </w:r>
          </w:p>
        </w:tc>
        <w:tc>
          <w:tcPr>
            <w:tcW w:w="4442" w:type="dxa"/>
            <w:gridSpan w:val="3"/>
          </w:tcPr>
          <w:p w:rsidR="00325BFB" w:rsidRPr="00325BFB" w:rsidRDefault="00325BFB" w:rsidP="00325BFB">
            <w:pPr>
              <w:autoSpaceDE w:val="0"/>
              <w:autoSpaceDN w:val="0"/>
              <w:adjustRightInd w:val="0"/>
              <w:jc w:val="center"/>
              <w:rPr>
                <w:b/>
              </w:rPr>
            </w:pPr>
            <w:r w:rsidRPr="00325BFB">
              <w:rPr>
                <w:b/>
              </w:rPr>
              <w:t xml:space="preserve">Cost Recovery Factor </w:t>
            </w:r>
          </w:p>
          <w:p w:rsidR="00325BFB" w:rsidRPr="00325BFB" w:rsidRDefault="00325BFB" w:rsidP="00325BFB">
            <w:pPr>
              <w:autoSpaceDE w:val="0"/>
              <w:autoSpaceDN w:val="0"/>
              <w:adjustRightInd w:val="0"/>
              <w:jc w:val="center"/>
              <w:rPr>
                <w:b/>
              </w:rPr>
            </w:pPr>
            <w:r w:rsidRPr="00325BFB">
              <w:rPr>
                <w:b/>
              </w:rPr>
              <w:t>(Dollars/kW-month)</w:t>
            </w:r>
          </w:p>
          <w:p w:rsidR="00325BFB" w:rsidRPr="00325BFB" w:rsidRDefault="00325BFB" w:rsidP="00325BFB">
            <w:pPr>
              <w:autoSpaceDE w:val="0"/>
              <w:autoSpaceDN w:val="0"/>
              <w:adjustRightInd w:val="0"/>
              <w:jc w:val="center"/>
              <w:rPr>
                <w:b/>
              </w:rPr>
            </w:pPr>
            <w:r w:rsidRPr="00325BFB">
              <w:rPr>
                <w:b/>
              </w:rPr>
              <w:t>Voltage Level</w:t>
            </w:r>
          </w:p>
        </w:tc>
      </w:tr>
      <w:tr w:rsidR="00325BFB" w:rsidRPr="00325BFB" w:rsidTr="0035159A">
        <w:tc>
          <w:tcPr>
            <w:tcW w:w="5148" w:type="dxa"/>
            <w:vMerge/>
          </w:tcPr>
          <w:p w:rsidR="00325BFB" w:rsidRPr="00325BFB" w:rsidRDefault="00325BFB" w:rsidP="00325BFB">
            <w:pPr>
              <w:autoSpaceDE w:val="0"/>
              <w:autoSpaceDN w:val="0"/>
              <w:adjustRightInd w:val="0"/>
              <w:rPr>
                <w:b/>
              </w:rPr>
            </w:pPr>
          </w:p>
        </w:tc>
        <w:tc>
          <w:tcPr>
            <w:tcW w:w="1440" w:type="dxa"/>
          </w:tcPr>
          <w:p w:rsidR="00325BFB" w:rsidRPr="00325BFB" w:rsidRDefault="00325BFB" w:rsidP="00325BFB">
            <w:pPr>
              <w:autoSpaceDE w:val="0"/>
              <w:autoSpaceDN w:val="0"/>
              <w:adjustRightInd w:val="0"/>
              <w:jc w:val="center"/>
              <w:rPr>
                <w:b/>
              </w:rPr>
            </w:pPr>
            <w:r w:rsidRPr="00325BFB">
              <w:rPr>
                <w:b/>
              </w:rPr>
              <w:t>Secondary</w:t>
            </w:r>
          </w:p>
        </w:tc>
        <w:tc>
          <w:tcPr>
            <w:tcW w:w="1384" w:type="dxa"/>
          </w:tcPr>
          <w:p w:rsidR="00325BFB" w:rsidRPr="00325BFB" w:rsidRDefault="00325BFB" w:rsidP="00325BFB">
            <w:pPr>
              <w:autoSpaceDE w:val="0"/>
              <w:autoSpaceDN w:val="0"/>
              <w:adjustRightInd w:val="0"/>
              <w:jc w:val="center"/>
              <w:rPr>
                <w:b/>
              </w:rPr>
            </w:pPr>
            <w:r w:rsidRPr="00325BFB">
              <w:rPr>
                <w:b/>
              </w:rPr>
              <w:t>Primary</w:t>
            </w:r>
          </w:p>
        </w:tc>
        <w:tc>
          <w:tcPr>
            <w:tcW w:w="1618" w:type="dxa"/>
          </w:tcPr>
          <w:p w:rsidR="00325BFB" w:rsidRPr="00325BFB" w:rsidRDefault="00325BFB" w:rsidP="00325BFB">
            <w:pPr>
              <w:autoSpaceDE w:val="0"/>
              <w:autoSpaceDN w:val="0"/>
              <w:adjustRightInd w:val="0"/>
              <w:jc w:val="center"/>
              <w:rPr>
                <w:b/>
              </w:rPr>
            </w:pPr>
            <w:r w:rsidRPr="00325BFB">
              <w:rPr>
                <w:b/>
              </w:rPr>
              <w:t>Transmission</w:t>
            </w:r>
          </w:p>
        </w:tc>
      </w:tr>
      <w:tr w:rsidR="00325BFB" w:rsidRPr="00325BFB" w:rsidTr="0035159A">
        <w:tc>
          <w:tcPr>
            <w:tcW w:w="5148" w:type="dxa"/>
          </w:tcPr>
          <w:p w:rsidR="00325BFB" w:rsidRPr="00325BFB" w:rsidRDefault="00325BFB" w:rsidP="00325BFB">
            <w:pPr>
              <w:autoSpaceDE w:val="0"/>
              <w:autoSpaceDN w:val="0"/>
              <w:adjustRightInd w:val="0"/>
            </w:pPr>
            <w:r w:rsidRPr="00325BFB">
              <w:t xml:space="preserve">General Service Demand: GSD-1, GSDT-1, GSLM-1, GSLM-2, SS-1 </w:t>
            </w:r>
          </w:p>
        </w:tc>
        <w:tc>
          <w:tcPr>
            <w:tcW w:w="1440" w:type="dxa"/>
            <w:vAlign w:val="center"/>
          </w:tcPr>
          <w:p w:rsidR="00325BFB" w:rsidRPr="00325BFB" w:rsidRDefault="00325BFB" w:rsidP="00325BFB">
            <w:pPr>
              <w:autoSpaceDE w:val="0"/>
              <w:autoSpaceDN w:val="0"/>
              <w:adjustRightInd w:val="0"/>
              <w:jc w:val="center"/>
            </w:pPr>
            <w:r w:rsidRPr="00325BFB">
              <w:t>1.08</w:t>
            </w:r>
          </w:p>
        </w:tc>
        <w:tc>
          <w:tcPr>
            <w:tcW w:w="1384" w:type="dxa"/>
            <w:vAlign w:val="center"/>
          </w:tcPr>
          <w:p w:rsidR="00325BFB" w:rsidRPr="00325BFB" w:rsidRDefault="00325BFB" w:rsidP="00325BFB">
            <w:pPr>
              <w:autoSpaceDE w:val="0"/>
              <w:autoSpaceDN w:val="0"/>
              <w:adjustRightInd w:val="0"/>
              <w:jc w:val="center"/>
            </w:pPr>
            <w:r w:rsidRPr="00325BFB">
              <w:t>1.07</w:t>
            </w:r>
          </w:p>
        </w:tc>
        <w:tc>
          <w:tcPr>
            <w:tcW w:w="1618" w:type="dxa"/>
            <w:vAlign w:val="center"/>
          </w:tcPr>
          <w:p w:rsidR="00325BFB" w:rsidRPr="00325BFB" w:rsidRDefault="00325BFB" w:rsidP="00325BFB">
            <w:pPr>
              <w:autoSpaceDE w:val="0"/>
              <w:autoSpaceDN w:val="0"/>
              <w:adjustRightInd w:val="0"/>
              <w:jc w:val="center"/>
            </w:pPr>
            <w:r w:rsidRPr="00325BFB">
              <w:t>1.06</w:t>
            </w:r>
          </w:p>
        </w:tc>
      </w:tr>
      <w:tr w:rsidR="00325BFB" w:rsidRPr="00325BFB" w:rsidTr="0035159A">
        <w:tc>
          <w:tcPr>
            <w:tcW w:w="5148" w:type="dxa"/>
          </w:tcPr>
          <w:p w:rsidR="00325BFB" w:rsidRPr="00325BFB" w:rsidRDefault="00325BFB" w:rsidP="00325BFB">
            <w:pPr>
              <w:autoSpaceDE w:val="0"/>
              <w:autoSpaceDN w:val="0"/>
              <w:adjustRightInd w:val="0"/>
            </w:pPr>
            <w:r w:rsidRPr="00325BFB">
              <w:t xml:space="preserve">Curtailable: CS-2, CST-2, CS-3, CST-3, SS-3 </w:t>
            </w:r>
          </w:p>
        </w:tc>
        <w:tc>
          <w:tcPr>
            <w:tcW w:w="1440" w:type="dxa"/>
          </w:tcPr>
          <w:p w:rsidR="00325BFB" w:rsidRPr="00325BFB" w:rsidRDefault="00325BFB" w:rsidP="00325BFB">
            <w:pPr>
              <w:autoSpaceDE w:val="0"/>
              <w:autoSpaceDN w:val="0"/>
              <w:adjustRightInd w:val="0"/>
              <w:jc w:val="center"/>
            </w:pPr>
            <w:r w:rsidRPr="00325BFB">
              <w:t>1.06</w:t>
            </w:r>
          </w:p>
        </w:tc>
        <w:tc>
          <w:tcPr>
            <w:tcW w:w="1384" w:type="dxa"/>
          </w:tcPr>
          <w:p w:rsidR="00325BFB" w:rsidRPr="00325BFB" w:rsidRDefault="00325BFB" w:rsidP="00325BFB">
            <w:pPr>
              <w:autoSpaceDE w:val="0"/>
              <w:autoSpaceDN w:val="0"/>
              <w:adjustRightInd w:val="0"/>
              <w:jc w:val="center"/>
            </w:pPr>
            <w:r w:rsidRPr="00325BFB">
              <w:t>1.05</w:t>
            </w:r>
          </w:p>
        </w:tc>
        <w:tc>
          <w:tcPr>
            <w:tcW w:w="1618" w:type="dxa"/>
          </w:tcPr>
          <w:p w:rsidR="00325BFB" w:rsidRPr="00325BFB" w:rsidRDefault="00325BFB" w:rsidP="00325BFB">
            <w:pPr>
              <w:autoSpaceDE w:val="0"/>
              <w:autoSpaceDN w:val="0"/>
              <w:adjustRightInd w:val="0"/>
              <w:jc w:val="center"/>
            </w:pPr>
            <w:r w:rsidRPr="00325BFB">
              <w:t>1.04</w:t>
            </w:r>
          </w:p>
        </w:tc>
      </w:tr>
      <w:tr w:rsidR="00325BFB" w:rsidRPr="00325BFB" w:rsidTr="0035159A">
        <w:tc>
          <w:tcPr>
            <w:tcW w:w="5148" w:type="dxa"/>
          </w:tcPr>
          <w:p w:rsidR="00325BFB" w:rsidRPr="00325BFB" w:rsidRDefault="00325BFB" w:rsidP="00325BFB">
            <w:pPr>
              <w:autoSpaceDE w:val="0"/>
              <w:autoSpaceDN w:val="0"/>
              <w:adjustRightInd w:val="0"/>
            </w:pPr>
            <w:r w:rsidRPr="00325BFB">
              <w:t>Interruptible: IS-2, IST-2, SS-2</w:t>
            </w:r>
          </w:p>
        </w:tc>
        <w:tc>
          <w:tcPr>
            <w:tcW w:w="1440" w:type="dxa"/>
          </w:tcPr>
          <w:p w:rsidR="00325BFB" w:rsidRPr="00325BFB" w:rsidRDefault="00325BFB" w:rsidP="00325BFB">
            <w:pPr>
              <w:autoSpaceDE w:val="0"/>
              <w:autoSpaceDN w:val="0"/>
              <w:adjustRightInd w:val="0"/>
              <w:jc w:val="center"/>
            </w:pPr>
            <w:r w:rsidRPr="00325BFB">
              <w:t>0.99</w:t>
            </w:r>
          </w:p>
        </w:tc>
        <w:tc>
          <w:tcPr>
            <w:tcW w:w="1384" w:type="dxa"/>
          </w:tcPr>
          <w:p w:rsidR="00325BFB" w:rsidRPr="00325BFB" w:rsidRDefault="00325BFB" w:rsidP="00325BFB">
            <w:pPr>
              <w:autoSpaceDE w:val="0"/>
              <w:autoSpaceDN w:val="0"/>
              <w:adjustRightInd w:val="0"/>
              <w:jc w:val="center"/>
            </w:pPr>
            <w:r w:rsidRPr="00325BFB">
              <w:t>0.98</w:t>
            </w:r>
          </w:p>
        </w:tc>
        <w:tc>
          <w:tcPr>
            <w:tcW w:w="1618" w:type="dxa"/>
          </w:tcPr>
          <w:p w:rsidR="00325BFB" w:rsidRPr="00325BFB" w:rsidRDefault="00325BFB" w:rsidP="00325BFB">
            <w:pPr>
              <w:autoSpaceDE w:val="0"/>
              <w:autoSpaceDN w:val="0"/>
              <w:adjustRightInd w:val="0"/>
              <w:jc w:val="center"/>
            </w:pPr>
            <w:r w:rsidRPr="00325BFB">
              <w:t>0.97</w:t>
            </w:r>
          </w:p>
        </w:tc>
      </w:tr>
      <w:tr w:rsidR="00325BFB" w:rsidRPr="00325BFB" w:rsidTr="0035159A">
        <w:tc>
          <w:tcPr>
            <w:tcW w:w="5148" w:type="dxa"/>
          </w:tcPr>
          <w:p w:rsidR="00325BFB" w:rsidRPr="00325BFB" w:rsidRDefault="00325BFB" w:rsidP="00325BFB">
            <w:pPr>
              <w:autoSpaceDE w:val="0"/>
              <w:autoSpaceDN w:val="0"/>
              <w:adjustRightInd w:val="0"/>
            </w:pPr>
            <w:r w:rsidRPr="00325BFB">
              <w:t>Standby Monthly: SS-1, SS-2, SS-3</w:t>
            </w:r>
          </w:p>
        </w:tc>
        <w:tc>
          <w:tcPr>
            <w:tcW w:w="1440" w:type="dxa"/>
          </w:tcPr>
          <w:p w:rsidR="00325BFB" w:rsidRPr="00325BFB" w:rsidRDefault="00325BFB" w:rsidP="00325BFB">
            <w:pPr>
              <w:autoSpaceDE w:val="0"/>
              <w:autoSpaceDN w:val="0"/>
              <w:adjustRightInd w:val="0"/>
              <w:jc w:val="center"/>
            </w:pPr>
            <w:r w:rsidRPr="00325BFB">
              <w:t>0.106</w:t>
            </w:r>
          </w:p>
        </w:tc>
        <w:tc>
          <w:tcPr>
            <w:tcW w:w="1384" w:type="dxa"/>
          </w:tcPr>
          <w:p w:rsidR="00325BFB" w:rsidRPr="00325BFB" w:rsidRDefault="00325BFB" w:rsidP="00325BFB">
            <w:pPr>
              <w:autoSpaceDE w:val="0"/>
              <w:autoSpaceDN w:val="0"/>
              <w:adjustRightInd w:val="0"/>
              <w:jc w:val="center"/>
            </w:pPr>
            <w:r w:rsidRPr="00325BFB">
              <w:t>0.105</w:t>
            </w:r>
          </w:p>
        </w:tc>
        <w:tc>
          <w:tcPr>
            <w:tcW w:w="1618" w:type="dxa"/>
          </w:tcPr>
          <w:p w:rsidR="00325BFB" w:rsidRPr="00325BFB" w:rsidRDefault="00325BFB" w:rsidP="00325BFB">
            <w:pPr>
              <w:autoSpaceDE w:val="0"/>
              <w:autoSpaceDN w:val="0"/>
              <w:adjustRightInd w:val="0"/>
              <w:jc w:val="center"/>
            </w:pPr>
            <w:r w:rsidRPr="00325BFB">
              <w:t>0.104</w:t>
            </w:r>
          </w:p>
        </w:tc>
      </w:tr>
      <w:tr w:rsidR="00325BFB" w:rsidRPr="00325BFB" w:rsidTr="0035159A">
        <w:tc>
          <w:tcPr>
            <w:tcW w:w="5148" w:type="dxa"/>
          </w:tcPr>
          <w:p w:rsidR="00325BFB" w:rsidRPr="00325BFB" w:rsidRDefault="00325BFB" w:rsidP="00325BFB">
            <w:pPr>
              <w:autoSpaceDE w:val="0"/>
              <w:autoSpaceDN w:val="0"/>
              <w:adjustRightInd w:val="0"/>
            </w:pPr>
            <w:r w:rsidRPr="00325BFB">
              <w:t>Standby Daily: SS-1, SS-2, SS-3</w:t>
            </w:r>
          </w:p>
        </w:tc>
        <w:tc>
          <w:tcPr>
            <w:tcW w:w="1440" w:type="dxa"/>
          </w:tcPr>
          <w:p w:rsidR="00325BFB" w:rsidRPr="00325BFB" w:rsidRDefault="00325BFB" w:rsidP="00325BFB">
            <w:pPr>
              <w:autoSpaceDE w:val="0"/>
              <w:autoSpaceDN w:val="0"/>
              <w:adjustRightInd w:val="0"/>
              <w:jc w:val="center"/>
            </w:pPr>
            <w:r w:rsidRPr="00325BFB">
              <w:t>0.050</w:t>
            </w:r>
          </w:p>
        </w:tc>
        <w:tc>
          <w:tcPr>
            <w:tcW w:w="1384" w:type="dxa"/>
          </w:tcPr>
          <w:p w:rsidR="00325BFB" w:rsidRPr="00325BFB" w:rsidRDefault="00325BFB" w:rsidP="00325BFB">
            <w:pPr>
              <w:autoSpaceDE w:val="0"/>
              <w:autoSpaceDN w:val="0"/>
              <w:adjustRightInd w:val="0"/>
              <w:jc w:val="center"/>
            </w:pPr>
            <w:r w:rsidRPr="00325BFB">
              <w:t>0.050</w:t>
            </w:r>
          </w:p>
        </w:tc>
        <w:tc>
          <w:tcPr>
            <w:tcW w:w="1618" w:type="dxa"/>
          </w:tcPr>
          <w:p w:rsidR="00325BFB" w:rsidRPr="00325BFB" w:rsidRDefault="00325BFB" w:rsidP="00325BFB">
            <w:pPr>
              <w:autoSpaceDE w:val="0"/>
              <w:autoSpaceDN w:val="0"/>
              <w:adjustRightInd w:val="0"/>
              <w:jc w:val="center"/>
            </w:pPr>
            <w:r w:rsidRPr="00325BFB">
              <w:t>0.049</w:t>
            </w:r>
          </w:p>
        </w:tc>
      </w:tr>
    </w:tbl>
    <w:p w:rsidR="00325BFB" w:rsidRPr="00325BFB" w:rsidRDefault="00325BFB" w:rsidP="00325BFB">
      <w:pPr>
        <w:autoSpaceDE w:val="0"/>
        <w:autoSpaceDN w:val="0"/>
        <w:adjustRightInd w:val="0"/>
        <w:rPr>
          <w:highlight w:val="yellow"/>
        </w:rPr>
      </w:pPr>
    </w:p>
    <w:p w:rsidR="00325BFB" w:rsidRPr="00325BFB" w:rsidRDefault="00325BFB" w:rsidP="00325BFB">
      <w:pPr>
        <w:autoSpaceDE w:val="0"/>
        <w:autoSpaceDN w:val="0"/>
        <w:adjustRightInd w:val="0"/>
        <w:rPr>
          <w:highlight w:val="yellow"/>
        </w:rPr>
      </w:pPr>
    </w:p>
    <w:p w:rsidR="00325BFB" w:rsidRPr="00325BFB" w:rsidRDefault="00325BFB" w:rsidP="00325BFB">
      <w:pPr>
        <w:autoSpaceDE w:val="0"/>
        <w:autoSpaceDN w:val="0"/>
        <w:adjustRightInd w:val="0"/>
        <w:rPr>
          <w:highlight w:val="yellow"/>
        </w:rPr>
      </w:pPr>
    </w:p>
    <w:p w:rsidR="00325BFB" w:rsidRPr="00325BFB" w:rsidRDefault="00325BFB" w:rsidP="00325BFB">
      <w:pPr>
        <w:autoSpaceDE w:val="0"/>
        <w:autoSpaceDN w:val="0"/>
        <w:adjustRightInd w:val="0"/>
        <w:rPr>
          <w:highlight w:val="yellow"/>
        </w:rPr>
      </w:pPr>
    </w:p>
    <w:p w:rsidR="00325BFB" w:rsidRPr="00325BFB" w:rsidRDefault="00325BFB" w:rsidP="00325BFB">
      <w:pPr>
        <w:autoSpaceDE w:val="0"/>
        <w:autoSpaceDN w:val="0"/>
        <w:adjustRightInd w:val="0"/>
        <w:rPr>
          <w:highlight w:val="yellow"/>
        </w:rPr>
      </w:pPr>
    </w:p>
    <w:p w:rsidR="00325BFB" w:rsidRPr="00325BFB" w:rsidRDefault="00325BFB" w:rsidP="00325BFB">
      <w:pPr>
        <w:autoSpaceDE w:val="0"/>
        <w:autoSpaceDN w:val="0"/>
        <w:adjustRightInd w:val="0"/>
        <w:rPr>
          <w:highlight w:val="yellow"/>
        </w:rPr>
      </w:pPr>
    </w:p>
    <w:p w:rsidR="00325BFB" w:rsidRPr="00325BFB" w:rsidRDefault="00325BFB" w:rsidP="00325BFB">
      <w:pPr>
        <w:autoSpaceDE w:val="0"/>
        <w:autoSpaceDN w:val="0"/>
        <w:adjustRightInd w:val="0"/>
        <w:rPr>
          <w:highlight w:val="yellow"/>
        </w:rPr>
      </w:pPr>
    </w:p>
    <w:p w:rsidR="00325BFB" w:rsidRPr="00325BFB" w:rsidRDefault="00325BFB" w:rsidP="00325BFB">
      <w:pPr>
        <w:autoSpaceDE w:val="0"/>
        <w:autoSpaceDN w:val="0"/>
        <w:adjustRightInd w:val="0"/>
        <w:rPr>
          <w:highlight w:val="yellow"/>
        </w:rPr>
      </w:pPr>
    </w:p>
    <w:p w:rsidR="00325BFB" w:rsidRPr="00325BFB" w:rsidRDefault="00325BFB" w:rsidP="00325BFB">
      <w:pPr>
        <w:autoSpaceDE w:val="0"/>
        <w:autoSpaceDN w:val="0"/>
        <w:adjustRightInd w:val="0"/>
        <w:rPr>
          <w:highlight w:val="yellow"/>
        </w:rPr>
      </w:pPr>
    </w:p>
    <w:p w:rsidR="00325BFB" w:rsidRPr="00325BFB" w:rsidRDefault="00325BFB" w:rsidP="00325BFB">
      <w:pPr>
        <w:autoSpaceDE w:val="0"/>
        <w:autoSpaceDN w:val="0"/>
        <w:adjustRightInd w:val="0"/>
        <w:rPr>
          <w:highlight w:val="yellow"/>
        </w:rPr>
      </w:pPr>
    </w:p>
    <w:p w:rsidR="00325BFB" w:rsidRPr="00325BFB" w:rsidRDefault="00325BFB" w:rsidP="00325BFB">
      <w:pPr>
        <w:autoSpaceDE w:val="0"/>
        <w:autoSpaceDN w:val="0"/>
        <w:adjustRightInd w:val="0"/>
        <w:rPr>
          <w:highlight w:val="yellow"/>
        </w:rPr>
      </w:pPr>
    </w:p>
    <w:p w:rsidR="00325BFB" w:rsidRPr="00325BFB" w:rsidRDefault="00325BFB" w:rsidP="00325BFB">
      <w:pPr>
        <w:ind w:left="1440"/>
        <w:jc w:val="both"/>
        <w:rPr>
          <w:b/>
        </w:rPr>
      </w:pPr>
      <w:r w:rsidRPr="00325BFB">
        <w:rPr>
          <w:b/>
          <w:u w:val="single"/>
        </w:rPr>
        <w:lastRenderedPageBreak/>
        <w:t>Tampa Electric Company</w:t>
      </w:r>
      <w:r w:rsidRPr="00325BFB">
        <w:rPr>
          <w:b/>
        </w:rPr>
        <w:t>:</w:t>
      </w:r>
    </w:p>
    <w:p w:rsidR="00325BFB" w:rsidRPr="00325BFB" w:rsidRDefault="00325BFB" w:rsidP="00325BFB">
      <w:pPr>
        <w:ind w:left="1440" w:hanging="1440"/>
        <w:jc w:val="both"/>
        <w:rPr>
          <w:b/>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325BFB" w:rsidRPr="00325BFB" w:rsidTr="0035159A">
        <w:tc>
          <w:tcPr>
            <w:tcW w:w="9590" w:type="dxa"/>
            <w:gridSpan w:val="4"/>
          </w:tcPr>
          <w:p w:rsidR="00325BFB" w:rsidRPr="00325BFB" w:rsidRDefault="00325BFB" w:rsidP="00325BFB">
            <w:pPr>
              <w:autoSpaceDE w:val="0"/>
              <w:autoSpaceDN w:val="0"/>
              <w:adjustRightInd w:val="0"/>
              <w:jc w:val="center"/>
              <w:rPr>
                <w:b/>
              </w:rPr>
            </w:pPr>
            <w:r w:rsidRPr="00325BFB">
              <w:rPr>
                <w:b/>
              </w:rPr>
              <w:t xml:space="preserve">2026 ECCR Cost Recovery Factors, </w:t>
            </w:r>
          </w:p>
          <w:p w:rsidR="00325BFB" w:rsidRPr="00325BFB" w:rsidRDefault="00325BFB" w:rsidP="00325BFB">
            <w:pPr>
              <w:autoSpaceDE w:val="0"/>
              <w:autoSpaceDN w:val="0"/>
              <w:adjustRightInd w:val="0"/>
              <w:jc w:val="center"/>
              <w:rPr>
                <w:b/>
              </w:rPr>
            </w:pPr>
            <w:r w:rsidRPr="00325BFB">
              <w:rPr>
                <w:b/>
              </w:rPr>
              <w:t xml:space="preserve">as reflected in </w:t>
            </w:r>
            <w:r w:rsidRPr="00325BFB">
              <w:rPr>
                <w:b/>
                <w:color w:val="0E101A"/>
              </w:rPr>
              <w:t>Schedule C-1c, Page 1 of 1, in Exhibit RGJ-2</w:t>
            </w:r>
          </w:p>
        </w:tc>
      </w:tr>
      <w:tr w:rsidR="00325BFB" w:rsidRPr="00325BFB" w:rsidTr="0035159A">
        <w:tc>
          <w:tcPr>
            <w:tcW w:w="3985" w:type="dxa"/>
            <w:vMerge w:val="restart"/>
            <w:vAlign w:val="center"/>
          </w:tcPr>
          <w:p w:rsidR="00325BFB" w:rsidRPr="00325BFB" w:rsidRDefault="00325BFB" w:rsidP="00325BFB">
            <w:pPr>
              <w:autoSpaceDE w:val="0"/>
              <w:autoSpaceDN w:val="0"/>
              <w:adjustRightInd w:val="0"/>
              <w:jc w:val="center"/>
              <w:rPr>
                <w:b/>
              </w:rPr>
            </w:pPr>
            <w:r w:rsidRPr="00325BFB">
              <w:rPr>
                <w:b/>
              </w:rPr>
              <w:t>Retail Rate Schedule</w:t>
            </w:r>
          </w:p>
        </w:tc>
        <w:tc>
          <w:tcPr>
            <w:tcW w:w="5605" w:type="dxa"/>
            <w:gridSpan w:val="3"/>
          </w:tcPr>
          <w:p w:rsidR="00325BFB" w:rsidRPr="00325BFB" w:rsidRDefault="00325BFB" w:rsidP="00325BFB">
            <w:pPr>
              <w:autoSpaceDE w:val="0"/>
              <w:autoSpaceDN w:val="0"/>
              <w:adjustRightInd w:val="0"/>
              <w:jc w:val="center"/>
            </w:pPr>
            <w:r w:rsidRPr="00325BFB">
              <w:rPr>
                <w:b/>
              </w:rPr>
              <w:t>Cost Recovery Factor (Cents/kWh)</w:t>
            </w:r>
          </w:p>
          <w:p w:rsidR="00325BFB" w:rsidRPr="00325BFB" w:rsidRDefault="00325BFB" w:rsidP="00325BFB">
            <w:pPr>
              <w:autoSpaceDE w:val="0"/>
              <w:autoSpaceDN w:val="0"/>
              <w:adjustRightInd w:val="0"/>
              <w:jc w:val="center"/>
              <w:rPr>
                <w:b/>
              </w:rPr>
            </w:pPr>
            <w:r w:rsidRPr="00325BFB">
              <w:rPr>
                <w:b/>
              </w:rPr>
              <w:t>Voltage Level</w:t>
            </w:r>
          </w:p>
        </w:tc>
      </w:tr>
      <w:tr w:rsidR="00325BFB" w:rsidRPr="00325BFB" w:rsidTr="0035159A">
        <w:tc>
          <w:tcPr>
            <w:tcW w:w="3985" w:type="dxa"/>
            <w:vMerge/>
          </w:tcPr>
          <w:p w:rsidR="00325BFB" w:rsidRPr="00325BFB" w:rsidRDefault="00325BFB" w:rsidP="00325BFB">
            <w:pPr>
              <w:autoSpaceDE w:val="0"/>
              <w:autoSpaceDN w:val="0"/>
              <w:adjustRightInd w:val="0"/>
              <w:rPr>
                <w:b/>
              </w:rPr>
            </w:pPr>
          </w:p>
        </w:tc>
        <w:tc>
          <w:tcPr>
            <w:tcW w:w="1844" w:type="dxa"/>
          </w:tcPr>
          <w:p w:rsidR="00325BFB" w:rsidRPr="00325BFB" w:rsidRDefault="00325BFB" w:rsidP="00325BFB">
            <w:pPr>
              <w:autoSpaceDE w:val="0"/>
              <w:autoSpaceDN w:val="0"/>
              <w:adjustRightInd w:val="0"/>
              <w:jc w:val="center"/>
              <w:rPr>
                <w:b/>
              </w:rPr>
            </w:pPr>
            <w:r w:rsidRPr="00325BFB">
              <w:rPr>
                <w:b/>
              </w:rPr>
              <w:t>Secondary</w:t>
            </w:r>
          </w:p>
        </w:tc>
        <w:tc>
          <w:tcPr>
            <w:tcW w:w="1823" w:type="dxa"/>
          </w:tcPr>
          <w:p w:rsidR="00325BFB" w:rsidRPr="00325BFB" w:rsidRDefault="00325BFB" w:rsidP="00325BFB">
            <w:pPr>
              <w:autoSpaceDE w:val="0"/>
              <w:autoSpaceDN w:val="0"/>
              <w:adjustRightInd w:val="0"/>
              <w:jc w:val="center"/>
              <w:rPr>
                <w:b/>
              </w:rPr>
            </w:pPr>
            <w:r w:rsidRPr="00325BFB">
              <w:rPr>
                <w:b/>
              </w:rPr>
              <w:t>Primary</w:t>
            </w:r>
          </w:p>
        </w:tc>
        <w:tc>
          <w:tcPr>
            <w:tcW w:w="1938" w:type="dxa"/>
          </w:tcPr>
          <w:p w:rsidR="00325BFB" w:rsidRPr="00325BFB" w:rsidRDefault="00325BFB" w:rsidP="00325BFB">
            <w:pPr>
              <w:autoSpaceDE w:val="0"/>
              <w:autoSpaceDN w:val="0"/>
              <w:adjustRightInd w:val="0"/>
              <w:jc w:val="center"/>
              <w:rPr>
                <w:b/>
              </w:rPr>
            </w:pPr>
            <w:r w:rsidRPr="00325BFB">
              <w:rPr>
                <w:b/>
              </w:rPr>
              <w:t>Subtransmission</w:t>
            </w:r>
          </w:p>
        </w:tc>
      </w:tr>
      <w:tr w:rsidR="00325BFB" w:rsidRPr="00325BFB" w:rsidTr="0035159A">
        <w:tc>
          <w:tcPr>
            <w:tcW w:w="3985" w:type="dxa"/>
          </w:tcPr>
          <w:p w:rsidR="00325BFB" w:rsidRPr="00325BFB" w:rsidRDefault="00325BFB" w:rsidP="00325BFB">
            <w:pPr>
              <w:autoSpaceDE w:val="0"/>
              <w:autoSpaceDN w:val="0"/>
              <w:adjustRightInd w:val="0"/>
            </w:pPr>
            <w:r w:rsidRPr="00325BFB">
              <w:t>RS</w:t>
            </w:r>
          </w:p>
        </w:tc>
        <w:tc>
          <w:tcPr>
            <w:tcW w:w="1844" w:type="dxa"/>
          </w:tcPr>
          <w:p w:rsidR="00325BFB" w:rsidRPr="00325BFB" w:rsidRDefault="00325BFB" w:rsidP="00325BFB">
            <w:pPr>
              <w:autoSpaceDE w:val="0"/>
              <w:autoSpaceDN w:val="0"/>
              <w:adjustRightInd w:val="0"/>
              <w:jc w:val="center"/>
            </w:pPr>
            <w:r w:rsidRPr="00325BFB">
              <w:t>0.270</w:t>
            </w:r>
          </w:p>
        </w:tc>
        <w:tc>
          <w:tcPr>
            <w:tcW w:w="1823" w:type="dxa"/>
          </w:tcPr>
          <w:p w:rsidR="00325BFB" w:rsidRPr="00325BFB" w:rsidRDefault="00325BFB" w:rsidP="00325BFB">
            <w:pPr>
              <w:autoSpaceDE w:val="0"/>
              <w:autoSpaceDN w:val="0"/>
              <w:adjustRightInd w:val="0"/>
              <w:jc w:val="center"/>
            </w:pPr>
            <w:r w:rsidRPr="00325BFB">
              <w:t>N/A</w:t>
            </w:r>
          </w:p>
        </w:tc>
        <w:tc>
          <w:tcPr>
            <w:tcW w:w="1938" w:type="dxa"/>
          </w:tcPr>
          <w:p w:rsidR="00325BFB" w:rsidRPr="00325BFB" w:rsidRDefault="00325BFB" w:rsidP="00325BFB">
            <w:pPr>
              <w:autoSpaceDE w:val="0"/>
              <w:autoSpaceDN w:val="0"/>
              <w:adjustRightInd w:val="0"/>
              <w:jc w:val="center"/>
            </w:pPr>
            <w:r w:rsidRPr="00325BFB">
              <w:t>N/A</w:t>
            </w:r>
          </w:p>
        </w:tc>
      </w:tr>
      <w:tr w:rsidR="00325BFB" w:rsidRPr="00325BFB" w:rsidTr="0035159A">
        <w:tc>
          <w:tcPr>
            <w:tcW w:w="3985" w:type="dxa"/>
          </w:tcPr>
          <w:p w:rsidR="00325BFB" w:rsidRPr="00325BFB" w:rsidRDefault="00325BFB" w:rsidP="00325BFB">
            <w:pPr>
              <w:autoSpaceDE w:val="0"/>
              <w:autoSpaceDN w:val="0"/>
              <w:adjustRightInd w:val="0"/>
            </w:pPr>
            <w:r w:rsidRPr="00325BFB">
              <w:t xml:space="preserve">GS and CS </w:t>
            </w:r>
          </w:p>
        </w:tc>
        <w:tc>
          <w:tcPr>
            <w:tcW w:w="1844" w:type="dxa"/>
          </w:tcPr>
          <w:p w:rsidR="00325BFB" w:rsidRPr="00325BFB" w:rsidRDefault="00325BFB" w:rsidP="00325BFB">
            <w:pPr>
              <w:autoSpaceDE w:val="0"/>
              <w:autoSpaceDN w:val="0"/>
              <w:adjustRightInd w:val="0"/>
              <w:jc w:val="center"/>
            </w:pPr>
            <w:r w:rsidRPr="00325BFB">
              <w:t>0.233</w:t>
            </w:r>
          </w:p>
        </w:tc>
        <w:tc>
          <w:tcPr>
            <w:tcW w:w="1823" w:type="dxa"/>
          </w:tcPr>
          <w:p w:rsidR="00325BFB" w:rsidRPr="00325BFB" w:rsidRDefault="00325BFB" w:rsidP="00325BFB">
            <w:pPr>
              <w:autoSpaceDE w:val="0"/>
              <w:autoSpaceDN w:val="0"/>
              <w:adjustRightInd w:val="0"/>
              <w:jc w:val="center"/>
            </w:pPr>
            <w:r w:rsidRPr="00325BFB">
              <w:t>N/A</w:t>
            </w:r>
          </w:p>
        </w:tc>
        <w:tc>
          <w:tcPr>
            <w:tcW w:w="1938" w:type="dxa"/>
          </w:tcPr>
          <w:p w:rsidR="00325BFB" w:rsidRPr="00325BFB" w:rsidRDefault="00325BFB" w:rsidP="00325BFB">
            <w:pPr>
              <w:autoSpaceDE w:val="0"/>
              <w:autoSpaceDN w:val="0"/>
              <w:adjustRightInd w:val="0"/>
              <w:jc w:val="center"/>
            </w:pPr>
            <w:r w:rsidRPr="00325BFB">
              <w:t>N/A</w:t>
            </w:r>
          </w:p>
        </w:tc>
      </w:tr>
      <w:tr w:rsidR="00325BFB" w:rsidRPr="00325BFB" w:rsidTr="0035159A">
        <w:tc>
          <w:tcPr>
            <w:tcW w:w="3985" w:type="dxa"/>
          </w:tcPr>
          <w:p w:rsidR="00325BFB" w:rsidRPr="00325BFB" w:rsidRDefault="00325BFB" w:rsidP="00325BFB">
            <w:pPr>
              <w:autoSpaceDE w:val="0"/>
              <w:autoSpaceDN w:val="0"/>
              <w:adjustRightInd w:val="0"/>
            </w:pPr>
            <w:r w:rsidRPr="00325BFB">
              <w:t xml:space="preserve">GSD Optional </w:t>
            </w:r>
          </w:p>
        </w:tc>
        <w:tc>
          <w:tcPr>
            <w:tcW w:w="1844" w:type="dxa"/>
          </w:tcPr>
          <w:p w:rsidR="00325BFB" w:rsidRPr="00325BFB" w:rsidRDefault="00325BFB" w:rsidP="00325BFB">
            <w:pPr>
              <w:autoSpaceDE w:val="0"/>
              <w:autoSpaceDN w:val="0"/>
              <w:adjustRightInd w:val="0"/>
              <w:jc w:val="center"/>
            </w:pPr>
            <w:r w:rsidRPr="00325BFB">
              <w:t>0.194</w:t>
            </w:r>
          </w:p>
        </w:tc>
        <w:tc>
          <w:tcPr>
            <w:tcW w:w="1823" w:type="dxa"/>
          </w:tcPr>
          <w:p w:rsidR="00325BFB" w:rsidRPr="00325BFB" w:rsidRDefault="00325BFB" w:rsidP="00325BFB">
            <w:pPr>
              <w:autoSpaceDE w:val="0"/>
              <w:autoSpaceDN w:val="0"/>
              <w:adjustRightInd w:val="0"/>
              <w:jc w:val="center"/>
            </w:pPr>
            <w:r w:rsidRPr="00325BFB">
              <w:t>0.192</w:t>
            </w:r>
          </w:p>
        </w:tc>
        <w:tc>
          <w:tcPr>
            <w:tcW w:w="1938" w:type="dxa"/>
          </w:tcPr>
          <w:p w:rsidR="00325BFB" w:rsidRPr="00325BFB" w:rsidRDefault="00325BFB" w:rsidP="00325BFB">
            <w:pPr>
              <w:autoSpaceDE w:val="0"/>
              <w:autoSpaceDN w:val="0"/>
              <w:adjustRightInd w:val="0"/>
              <w:jc w:val="center"/>
            </w:pPr>
            <w:r w:rsidRPr="00325BFB">
              <w:t>0.190</w:t>
            </w:r>
          </w:p>
        </w:tc>
      </w:tr>
      <w:tr w:rsidR="00325BFB" w:rsidRPr="00325BFB" w:rsidTr="0035159A">
        <w:tc>
          <w:tcPr>
            <w:tcW w:w="3985" w:type="dxa"/>
          </w:tcPr>
          <w:p w:rsidR="00325BFB" w:rsidRPr="00325BFB" w:rsidRDefault="00325BFB" w:rsidP="00325BFB">
            <w:pPr>
              <w:autoSpaceDE w:val="0"/>
              <w:autoSpaceDN w:val="0"/>
              <w:adjustRightInd w:val="0"/>
            </w:pPr>
            <w:r w:rsidRPr="00325BFB">
              <w:t>LS1 and LS2</w:t>
            </w:r>
          </w:p>
        </w:tc>
        <w:tc>
          <w:tcPr>
            <w:tcW w:w="1844" w:type="dxa"/>
          </w:tcPr>
          <w:p w:rsidR="00325BFB" w:rsidRPr="00325BFB" w:rsidRDefault="00325BFB" w:rsidP="00325BFB">
            <w:pPr>
              <w:autoSpaceDE w:val="0"/>
              <w:autoSpaceDN w:val="0"/>
              <w:adjustRightInd w:val="0"/>
              <w:jc w:val="center"/>
            </w:pPr>
            <w:r w:rsidRPr="00325BFB">
              <w:t>0.070</w:t>
            </w:r>
          </w:p>
        </w:tc>
        <w:tc>
          <w:tcPr>
            <w:tcW w:w="1823" w:type="dxa"/>
          </w:tcPr>
          <w:p w:rsidR="00325BFB" w:rsidRPr="00325BFB" w:rsidRDefault="00325BFB" w:rsidP="00325BFB">
            <w:pPr>
              <w:autoSpaceDE w:val="0"/>
              <w:autoSpaceDN w:val="0"/>
              <w:adjustRightInd w:val="0"/>
              <w:jc w:val="center"/>
            </w:pPr>
            <w:r w:rsidRPr="00325BFB">
              <w:t>N/A</w:t>
            </w:r>
          </w:p>
        </w:tc>
        <w:tc>
          <w:tcPr>
            <w:tcW w:w="1938" w:type="dxa"/>
          </w:tcPr>
          <w:p w:rsidR="00325BFB" w:rsidRPr="00325BFB" w:rsidRDefault="00325BFB" w:rsidP="00325BFB">
            <w:pPr>
              <w:autoSpaceDE w:val="0"/>
              <w:autoSpaceDN w:val="0"/>
              <w:adjustRightInd w:val="0"/>
              <w:jc w:val="center"/>
            </w:pPr>
            <w:r w:rsidRPr="00325BFB">
              <w:t>N/A</w:t>
            </w:r>
          </w:p>
        </w:tc>
      </w:tr>
    </w:tbl>
    <w:p w:rsidR="00325BFB" w:rsidRPr="00325BFB" w:rsidRDefault="00325BFB" w:rsidP="00325BFB">
      <w:pPr>
        <w:widowControl w:val="0"/>
        <w:tabs>
          <w:tab w:val="center" w:pos="6660"/>
          <w:tab w:val="left" w:pos="9360"/>
        </w:tabs>
        <w:ind w:left="720"/>
        <w:jc w:val="both"/>
        <w:rPr>
          <w:snapToGrid w:val="0"/>
        </w:rPr>
      </w:pPr>
    </w:p>
    <w:p w:rsidR="00325BFB" w:rsidRPr="00325BFB" w:rsidRDefault="00325BFB" w:rsidP="00325BFB">
      <w:pPr>
        <w:widowControl w:val="0"/>
        <w:tabs>
          <w:tab w:val="center" w:pos="6660"/>
          <w:tab w:val="left" w:pos="9360"/>
        </w:tabs>
        <w:ind w:left="720"/>
        <w:jc w:val="both"/>
        <w:rPr>
          <w:snapToGrid w:val="0"/>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325BFB" w:rsidRPr="00325BFB" w:rsidTr="0035159A">
        <w:tc>
          <w:tcPr>
            <w:tcW w:w="9590" w:type="dxa"/>
            <w:gridSpan w:val="4"/>
          </w:tcPr>
          <w:p w:rsidR="00325BFB" w:rsidRPr="00325BFB" w:rsidRDefault="00325BFB" w:rsidP="00325BFB">
            <w:pPr>
              <w:autoSpaceDE w:val="0"/>
              <w:autoSpaceDN w:val="0"/>
              <w:adjustRightInd w:val="0"/>
              <w:jc w:val="center"/>
              <w:rPr>
                <w:b/>
              </w:rPr>
            </w:pPr>
            <w:r w:rsidRPr="00325BFB">
              <w:rPr>
                <w:b/>
              </w:rPr>
              <w:t xml:space="preserve">2026 ECCR Cost Recovery Factors, </w:t>
            </w:r>
          </w:p>
          <w:p w:rsidR="00325BFB" w:rsidRPr="00325BFB" w:rsidRDefault="00325BFB" w:rsidP="00325BFB">
            <w:pPr>
              <w:autoSpaceDE w:val="0"/>
              <w:autoSpaceDN w:val="0"/>
              <w:adjustRightInd w:val="0"/>
              <w:jc w:val="center"/>
              <w:rPr>
                <w:b/>
              </w:rPr>
            </w:pPr>
            <w:r w:rsidRPr="00325BFB">
              <w:rPr>
                <w:b/>
              </w:rPr>
              <w:t xml:space="preserve">as reflected in </w:t>
            </w:r>
            <w:r w:rsidRPr="00325BFB">
              <w:rPr>
                <w:b/>
                <w:color w:val="0E101A"/>
              </w:rPr>
              <w:t>Schedule C-1c, Page 1 of 1, in Exhibit RGJ-2</w:t>
            </w:r>
          </w:p>
        </w:tc>
      </w:tr>
      <w:tr w:rsidR="00325BFB" w:rsidRPr="00325BFB" w:rsidTr="0035159A">
        <w:tc>
          <w:tcPr>
            <w:tcW w:w="3985" w:type="dxa"/>
            <w:vMerge w:val="restart"/>
            <w:vAlign w:val="center"/>
          </w:tcPr>
          <w:p w:rsidR="00325BFB" w:rsidRPr="00325BFB" w:rsidRDefault="00325BFB" w:rsidP="00325BFB">
            <w:pPr>
              <w:autoSpaceDE w:val="0"/>
              <w:autoSpaceDN w:val="0"/>
              <w:adjustRightInd w:val="0"/>
              <w:jc w:val="center"/>
              <w:rPr>
                <w:b/>
              </w:rPr>
            </w:pPr>
            <w:r w:rsidRPr="00325BFB">
              <w:rPr>
                <w:b/>
              </w:rPr>
              <w:t>Retail Rate Schedule</w:t>
            </w:r>
          </w:p>
        </w:tc>
        <w:tc>
          <w:tcPr>
            <w:tcW w:w="5605" w:type="dxa"/>
            <w:gridSpan w:val="3"/>
          </w:tcPr>
          <w:p w:rsidR="00325BFB" w:rsidRPr="00325BFB" w:rsidRDefault="00325BFB" w:rsidP="00325BFB">
            <w:pPr>
              <w:autoSpaceDE w:val="0"/>
              <w:autoSpaceDN w:val="0"/>
              <w:adjustRightInd w:val="0"/>
              <w:jc w:val="center"/>
            </w:pPr>
            <w:r w:rsidRPr="00325BFB">
              <w:rPr>
                <w:b/>
              </w:rPr>
              <w:t>Cost Recovery Factor (Dollars/kW)</w:t>
            </w:r>
          </w:p>
          <w:p w:rsidR="00325BFB" w:rsidRPr="00325BFB" w:rsidRDefault="00325BFB" w:rsidP="00325BFB">
            <w:pPr>
              <w:autoSpaceDE w:val="0"/>
              <w:autoSpaceDN w:val="0"/>
              <w:adjustRightInd w:val="0"/>
              <w:jc w:val="center"/>
              <w:rPr>
                <w:b/>
              </w:rPr>
            </w:pPr>
            <w:r w:rsidRPr="00325BFB">
              <w:rPr>
                <w:b/>
              </w:rPr>
              <w:t>Voltage Level</w:t>
            </w:r>
          </w:p>
        </w:tc>
      </w:tr>
      <w:tr w:rsidR="00325BFB" w:rsidRPr="00325BFB" w:rsidTr="0035159A">
        <w:tc>
          <w:tcPr>
            <w:tcW w:w="3985" w:type="dxa"/>
            <w:vMerge/>
          </w:tcPr>
          <w:p w:rsidR="00325BFB" w:rsidRPr="00325BFB" w:rsidRDefault="00325BFB" w:rsidP="00325BFB">
            <w:pPr>
              <w:autoSpaceDE w:val="0"/>
              <w:autoSpaceDN w:val="0"/>
              <w:adjustRightInd w:val="0"/>
              <w:rPr>
                <w:b/>
              </w:rPr>
            </w:pPr>
          </w:p>
        </w:tc>
        <w:tc>
          <w:tcPr>
            <w:tcW w:w="1844" w:type="dxa"/>
          </w:tcPr>
          <w:p w:rsidR="00325BFB" w:rsidRPr="00325BFB" w:rsidRDefault="00325BFB" w:rsidP="00325BFB">
            <w:pPr>
              <w:autoSpaceDE w:val="0"/>
              <w:autoSpaceDN w:val="0"/>
              <w:adjustRightInd w:val="0"/>
              <w:jc w:val="center"/>
              <w:rPr>
                <w:b/>
              </w:rPr>
            </w:pPr>
            <w:r w:rsidRPr="00325BFB">
              <w:rPr>
                <w:b/>
              </w:rPr>
              <w:t>Secondary</w:t>
            </w:r>
          </w:p>
        </w:tc>
        <w:tc>
          <w:tcPr>
            <w:tcW w:w="1823" w:type="dxa"/>
          </w:tcPr>
          <w:p w:rsidR="00325BFB" w:rsidRPr="00325BFB" w:rsidRDefault="00325BFB" w:rsidP="00325BFB">
            <w:pPr>
              <w:autoSpaceDE w:val="0"/>
              <w:autoSpaceDN w:val="0"/>
              <w:adjustRightInd w:val="0"/>
              <w:jc w:val="center"/>
              <w:rPr>
                <w:b/>
              </w:rPr>
            </w:pPr>
            <w:r w:rsidRPr="00325BFB">
              <w:rPr>
                <w:b/>
              </w:rPr>
              <w:t>Primary</w:t>
            </w:r>
          </w:p>
        </w:tc>
        <w:tc>
          <w:tcPr>
            <w:tcW w:w="1938" w:type="dxa"/>
          </w:tcPr>
          <w:p w:rsidR="00325BFB" w:rsidRPr="00325BFB" w:rsidRDefault="00325BFB" w:rsidP="00325BFB">
            <w:pPr>
              <w:autoSpaceDE w:val="0"/>
              <w:autoSpaceDN w:val="0"/>
              <w:adjustRightInd w:val="0"/>
              <w:jc w:val="center"/>
              <w:rPr>
                <w:b/>
              </w:rPr>
            </w:pPr>
            <w:r w:rsidRPr="00325BFB">
              <w:rPr>
                <w:b/>
              </w:rPr>
              <w:t>Subtransmission</w:t>
            </w:r>
          </w:p>
        </w:tc>
      </w:tr>
      <w:tr w:rsidR="00325BFB" w:rsidRPr="00325BFB" w:rsidTr="0035159A">
        <w:tc>
          <w:tcPr>
            <w:tcW w:w="3985" w:type="dxa"/>
          </w:tcPr>
          <w:p w:rsidR="00325BFB" w:rsidRPr="00325BFB" w:rsidRDefault="00325BFB" w:rsidP="00325BFB">
            <w:pPr>
              <w:autoSpaceDE w:val="0"/>
              <w:autoSpaceDN w:val="0"/>
              <w:adjustRightInd w:val="0"/>
            </w:pPr>
            <w:r w:rsidRPr="00325BFB">
              <w:t>GSD SBD and RSD</w:t>
            </w:r>
          </w:p>
        </w:tc>
        <w:tc>
          <w:tcPr>
            <w:tcW w:w="1844" w:type="dxa"/>
          </w:tcPr>
          <w:p w:rsidR="00325BFB" w:rsidRPr="00325BFB" w:rsidRDefault="00325BFB" w:rsidP="00325BFB">
            <w:pPr>
              <w:autoSpaceDE w:val="0"/>
              <w:autoSpaceDN w:val="0"/>
              <w:adjustRightInd w:val="0"/>
              <w:jc w:val="center"/>
            </w:pPr>
            <w:r w:rsidRPr="00325BFB">
              <w:t>0.79</w:t>
            </w:r>
          </w:p>
        </w:tc>
        <w:tc>
          <w:tcPr>
            <w:tcW w:w="1823" w:type="dxa"/>
          </w:tcPr>
          <w:p w:rsidR="00325BFB" w:rsidRPr="00325BFB" w:rsidRDefault="00325BFB" w:rsidP="00325BFB">
            <w:pPr>
              <w:autoSpaceDE w:val="0"/>
              <w:autoSpaceDN w:val="0"/>
              <w:adjustRightInd w:val="0"/>
              <w:jc w:val="center"/>
            </w:pPr>
            <w:r w:rsidRPr="00325BFB">
              <w:t>0.78</w:t>
            </w:r>
          </w:p>
        </w:tc>
        <w:tc>
          <w:tcPr>
            <w:tcW w:w="1938" w:type="dxa"/>
          </w:tcPr>
          <w:p w:rsidR="00325BFB" w:rsidRPr="00325BFB" w:rsidRDefault="00325BFB" w:rsidP="00325BFB">
            <w:pPr>
              <w:autoSpaceDE w:val="0"/>
              <w:autoSpaceDN w:val="0"/>
              <w:adjustRightInd w:val="0"/>
              <w:jc w:val="center"/>
            </w:pPr>
            <w:r w:rsidRPr="00325BFB">
              <w:t>0.78</w:t>
            </w:r>
          </w:p>
        </w:tc>
      </w:tr>
      <w:tr w:rsidR="00325BFB" w:rsidRPr="00325BFB" w:rsidTr="0035159A">
        <w:tc>
          <w:tcPr>
            <w:tcW w:w="3985" w:type="dxa"/>
          </w:tcPr>
          <w:p w:rsidR="00325BFB" w:rsidRPr="00325BFB" w:rsidRDefault="00325BFB" w:rsidP="00325BFB">
            <w:pPr>
              <w:autoSpaceDE w:val="0"/>
              <w:autoSpaceDN w:val="0"/>
              <w:adjustRightInd w:val="0"/>
            </w:pPr>
            <w:r w:rsidRPr="00325BFB">
              <w:t xml:space="preserve">GSLDPR and SBLDPR </w:t>
            </w:r>
          </w:p>
        </w:tc>
        <w:tc>
          <w:tcPr>
            <w:tcW w:w="1844" w:type="dxa"/>
          </w:tcPr>
          <w:p w:rsidR="00325BFB" w:rsidRPr="00325BFB" w:rsidRDefault="00325BFB" w:rsidP="00325BFB">
            <w:pPr>
              <w:autoSpaceDE w:val="0"/>
              <w:autoSpaceDN w:val="0"/>
              <w:adjustRightInd w:val="0"/>
              <w:jc w:val="center"/>
            </w:pPr>
            <w:r w:rsidRPr="00325BFB">
              <w:t>N/A</w:t>
            </w:r>
          </w:p>
        </w:tc>
        <w:tc>
          <w:tcPr>
            <w:tcW w:w="1823" w:type="dxa"/>
          </w:tcPr>
          <w:p w:rsidR="00325BFB" w:rsidRPr="00325BFB" w:rsidRDefault="00325BFB" w:rsidP="00325BFB">
            <w:pPr>
              <w:autoSpaceDE w:val="0"/>
              <w:autoSpaceDN w:val="0"/>
              <w:adjustRightInd w:val="0"/>
              <w:jc w:val="center"/>
            </w:pPr>
            <w:r w:rsidRPr="00325BFB">
              <w:t>0.77</w:t>
            </w:r>
          </w:p>
        </w:tc>
        <w:tc>
          <w:tcPr>
            <w:tcW w:w="1938" w:type="dxa"/>
          </w:tcPr>
          <w:p w:rsidR="00325BFB" w:rsidRPr="00325BFB" w:rsidRDefault="00325BFB" w:rsidP="00325BFB">
            <w:pPr>
              <w:autoSpaceDE w:val="0"/>
              <w:autoSpaceDN w:val="0"/>
              <w:adjustRightInd w:val="0"/>
              <w:jc w:val="center"/>
            </w:pPr>
            <w:r w:rsidRPr="00325BFB">
              <w:t>N/A</w:t>
            </w:r>
          </w:p>
        </w:tc>
      </w:tr>
      <w:tr w:rsidR="00325BFB" w:rsidRPr="00325BFB" w:rsidTr="0035159A">
        <w:tc>
          <w:tcPr>
            <w:tcW w:w="3985" w:type="dxa"/>
          </w:tcPr>
          <w:p w:rsidR="00325BFB" w:rsidRPr="00325BFB" w:rsidRDefault="00325BFB" w:rsidP="00325BFB">
            <w:pPr>
              <w:autoSpaceDE w:val="0"/>
              <w:autoSpaceDN w:val="0"/>
              <w:adjustRightInd w:val="0"/>
            </w:pPr>
            <w:r w:rsidRPr="00325BFB">
              <w:t>GSLDSU and SBLDSU</w:t>
            </w:r>
          </w:p>
        </w:tc>
        <w:tc>
          <w:tcPr>
            <w:tcW w:w="1844" w:type="dxa"/>
          </w:tcPr>
          <w:p w:rsidR="00325BFB" w:rsidRPr="00325BFB" w:rsidRDefault="00325BFB" w:rsidP="00325BFB">
            <w:pPr>
              <w:autoSpaceDE w:val="0"/>
              <w:autoSpaceDN w:val="0"/>
              <w:adjustRightInd w:val="0"/>
              <w:jc w:val="center"/>
            </w:pPr>
            <w:r w:rsidRPr="00325BFB">
              <w:t>N/A</w:t>
            </w:r>
          </w:p>
        </w:tc>
        <w:tc>
          <w:tcPr>
            <w:tcW w:w="1823" w:type="dxa"/>
          </w:tcPr>
          <w:p w:rsidR="00325BFB" w:rsidRPr="00325BFB" w:rsidRDefault="00325BFB" w:rsidP="00325BFB">
            <w:pPr>
              <w:autoSpaceDE w:val="0"/>
              <w:autoSpaceDN w:val="0"/>
              <w:adjustRightInd w:val="0"/>
              <w:jc w:val="center"/>
            </w:pPr>
            <w:r w:rsidRPr="00325BFB">
              <w:t>N/A</w:t>
            </w:r>
          </w:p>
        </w:tc>
        <w:tc>
          <w:tcPr>
            <w:tcW w:w="1938" w:type="dxa"/>
          </w:tcPr>
          <w:p w:rsidR="00325BFB" w:rsidRPr="00325BFB" w:rsidRDefault="00325BFB" w:rsidP="00325BFB">
            <w:pPr>
              <w:autoSpaceDE w:val="0"/>
              <w:autoSpaceDN w:val="0"/>
              <w:adjustRightInd w:val="0"/>
              <w:jc w:val="center"/>
            </w:pPr>
            <w:r w:rsidRPr="00325BFB">
              <w:t>0.72</w:t>
            </w:r>
          </w:p>
        </w:tc>
      </w:tr>
    </w:tbl>
    <w:p w:rsidR="00325BFB" w:rsidRPr="00325BFB" w:rsidRDefault="00325BFB" w:rsidP="00325BFB">
      <w:pPr>
        <w:ind w:left="1440" w:hanging="1440"/>
        <w:jc w:val="both"/>
        <w:rPr>
          <w:b/>
          <w:u w:val="single"/>
        </w:rPr>
      </w:pPr>
    </w:p>
    <w:p w:rsidR="00325BFB" w:rsidRPr="00325BFB" w:rsidRDefault="00325BFB" w:rsidP="00325BFB">
      <w:pPr>
        <w:ind w:left="1440" w:hanging="1440"/>
        <w:jc w:val="both"/>
      </w:pPr>
      <w:r w:rsidRPr="00325BFB">
        <w:rPr>
          <w:b/>
          <w:u w:val="single"/>
        </w:rPr>
        <w:t>FPUC</w:t>
      </w:r>
      <w:r w:rsidRPr="00325BFB">
        <w:rPr>
          <w:b/>
        </w:rPr>
        <w:t>:</w:t>
      </w:r>
      <w:r w:rsidRPr="00325BFB">
        <w:rPr>
          <w:b/>
        </w:rPr>
        <w:tab/>
        <w:t xml:space="preserve"> </w:t>
      </w:r>
      <w:r w:rsidRPr="00325BFB">
        <w:rPr>
          <w:shd w:val="clear" w:color="auto" w:fill="FFFFFF" w:themeFill="background1"/>
        </w:rPr>
        <w:t xml:space="preserve">$0.321 cents per kWh (consolidated levelized conservation cost recovery factor), as </w:t>
      </w:r>
      <w:r w:rsidRPr="00325BFB">
        <w:t xml:space="preserve">reflected in </w:t>
      </w:r>
      <w:r w:rsidRPr="00325BFB">
        <w:rPr>
          <w:color w:val="0E101A"/>
        </w:rPr>
        <w:t>Schedule C-1, Line 8, Page 1 of 1, in KIL-1</w:t>
      </w:r>
      <w:r w:rsidRPr="00325BFB">
        <w:t>.</w:t>
      </w:r>
    </w:p>
    <w:p w:rsidR="00325BFB" w:rsidRPr="00325BFB" w:rsidRDefault="00325BFB" w:rsidP="00325BFB">
      <w:pPr>
        <w:ind w:left="1440" w:hanging="1440"/>
        <w:jc w:val="both"/>
        <w:rPr>
          <w:b/>
          <w:highlight w:val="yellow"/>
        </w:rPr>
      </w:pPr>
    </w:p>
    <w:p w:rsidR="00325BFB" w:rsidRPr="00325BFB" w:rsidRDefault="00325BFB" w:rsidP="00325BFB">
      <w:pPr>
        <w:rPr>
          <w:b/>
          <w:bCs/>
          <w:highlight w:val="yellow"/>
          <w:u w:val="single"/>
        </w:rPr>
      </w:pPr>
    </w:p>
    <w:p w:rsidR="00325BFB" w:rsidRPr="00325BFB" w:rsidRDefault="00325BFB" w:rsidP="00325BFB">
      <w:pPr>
        <w:ind w:left="1440" w:hanging="1440"/>
        <w:jc w:val="both"/>
        <w:rPr>
          <w:b/>
          <w:bCs/>
        </w:rPr>
      </w:pPr>
      <w:r w:rsidRPr="00325BFB">
        <w:rPr>
          <w:b/>
          <w:bCs/>
          <w:u w:val="single"/>
        </w:rPr>
        <w:t>ISSUE 6:</w:t>
      </w:r>
      <w:r w:rsidRPr="00325BFB">
        <w:rPr>
          <w:b/>
          <w:bCs/>
        </w:rPr>
        <w:tab/>
        <w:t>What should be the effective date of the new conservation cost recovery factors for billing purposes?</w:t>
      </w:r>
    </w:p>
    <w:p w:rsidR="00325BFB" w:rsidRPr="00325BFB" w:rsidRDefault="00325BFB" w:rsidP="00325BFB">
      <w:pPr>
        <w:ind w:left="1440" w:hanging="1440"/>
        <w:jc w:val="both"/>
        <w:rPr>
          <w:b/>
          <w:bCs/>
        </w:rPr>
      </w:pPr>
    </w:p>
    <w:p w:rsidR="00325BFB" w:rsidRPr="00325BFB" w:rsidRDefault="00325BFB" w:rsidP="00325BFB">
      <w:pPr>
        <w:ind w:left="1440" w:hanging="1440"/>
        <w:jc w:val="both"/>
        <w:rPr>
          <w:b/>
          <w:bCs/>
          <w:u w:val="single"/>
        </w:rPr>
      </w:pPr>
      <w:r w:rsidRPr="00325BFB">
        <w:rPr>
          <w:b/>
          <w:bCs/>
          <w:u w:val="single"/>
        </w:rPr>
        <w:t>STIPULATION:</w:t>
      </w:r>
    </w:p>
    <w:p w:rsidR="00325BFB" w:rsidRPr="00325BFB" w:rsidRDefault="00325BFB" w:rsidP="00325BFB">
      <w:pPr>
        <w:ind w:left="1440" w:hanging="1440"/>
        <w:jc w:val="both"/>
        <w:rPr>
          <w:b/>
        </w:rPr>
      </w:pPr>
    </w:p>
    <w:p w:rsidR="00325BFB" w:rsidRPr="00325BFB" w:rsidRDefault="00325BFB" w:rsidP="00325BFB">
      <w:pPr>
        <w:ind w:left="1440"/>
        <w:jc w:val="both"/>
      </w:pPr>
      <w:r w:rsidRPr="00325BFB">
        <w:t>The factors shall be effective beginning with the specified conservation cost recovery cycle and thereafter for the period January 2026 through December 2026. Billing cycles may start before January 1, 2026 and the last cycle may be read after December 31, 2026, so that each customer is billed for twelve months regardless of when the adjustment factor became effective. These charges shall continue in effect until modified by subsequent order of this Commission.</w:t>
      </w:r>
    </w:p>
    <w:p w:rsidR="00325BFB" w:rsidRPr="00325BFB" w:rsidRDefault="00325BFB" w:rsidP="00325BFB">
      <w:pPr>
        <w:ind w:left="1440"/>
        <w:jc w:val="both"/>
        <w:rPr>
          <w:b/>
        </w:rPr>
      </w:pPr>
    </w:p>
    <w:p w:rsidR="00325BFB" w:rsidRPr="00325BFB" w:rsidRDefault="00325BFB" w:rsidP="00325BFB">
      <w:pPr>
        <w:ind w:left="1440" w:hanging="1440"/>
        <w:jc w:val="both"/>
        <w:rPr>
          <w:b/>
          <w:bCs/>
          <w:u w:val="single"/>
        </w:rPr>
      </w:pPr>
    </w:p>
    <w:p w:rsidR="00325BFB" w:rsidRPr="00325BFB" w:rsidRDefault="00325BFB" w:rsidP="00325BFB">
      <w:pPr>
        <w:ind w:left="1440" w:hanging="1440"/>
        <w:jc w:val="both"/>
        <w:rPr>
          <w:b/>
          <w:bCs/>
        </w:rPr>
      </w:pPr>
      <w:r w:rsidRPr="00325BFB">
        <w:rPr>
          <w:b/>
          <w:bCs/>
          <w:u w:val="single"/>
        </w:rPr>
        <w:lastRenderedPageBreak/>
        <w:t>ISSUE 7</w:t>
      </w:r>
      <w:r w:rsidRPr="00325BFB">
        <w:rPr>
          <w:b/>
          <w:bCs/>
        </w:rPr>
        <w:t>:</w:t>
      </w:r>
      <w:r w:rsidRPr="00325BFB">
        <w:rPr>
          <w:b/>
          <w:bCs/>
        </w:rPr>
        <w:tab/>
        <w:t>Should the Commission approve revised tariffs reflecting the energy conservation cost recovery factors determined to be appropriate in this proceeding?</w:t>
      </w:r>
    </w:p>
    <w:p w:rsidR="00325BFB" w:rsidRPr="00325BFB" w:rsidRDefault="00325BFB" w:rsidP="00325BFB">
      <w:pPr>
        <w:jc w:val="both"/>
        <w:rPr>
          <w:b/>
          <w:bCs/>
        </w:rPr>
      </w:pPr>
    </w:p>
    <w:p w:rsidR="00325BFB" w:rsidRPr="00325BFB" w:rsidRDefault="00325BFB" w:rsidP="00325BFB">
      <w:pPr>
        <w:ind w:left="1440" w:hanging="1440"/>
        <w:jc w:val="both"/>
        <w:rPr>
          <w:b/>
        </w:rPr>
      </w:pPr>
      <w:r w:rsidRPr="00325BFB">
        <w:rPr>
          <w:b/>
          <w:u w:val="single"/>
        </w:rPr>
        <w:t>STIPULATION</w:t>
      </w:r>
      <w:r w:rsidRPr="00325BFB">
        <w:rPr>
          <w:b/>
        </w:rPr>
        <w:t>:</w:t>
      </w:r>
    </w:p>
    <w:p w:rsidR="00325BFB" w:rsidRPr="00325BFB" w:rsidRDefault="00325BFB" w:rsidP="00325BFB">
      <w:pPr>
        <w:ind w:left="1440" w:hanging="1440"/>
        <w:jc w:val="both"/>
        <w:rPr>
          <w:b/>
        </w:rPr>
      </w:pPr>
    </w:p>
    <w:p w:rsidR="00325BFB" w:rsidRPr="00325BFB" w:rsidRDefault="00325BFB" w:rsidP="00325BFB">
      <w:pPr>
        <w:ind w:left="1440"/>
        <w:jc w:val="both"/>
      </w:pPr>
      <w:r w:rsidRPr="00325BFB">
        <w:t>Yes. The Commission should approve revised tariffs reflecting the energy conservation cost recovery factors determined to be appropriate in this proceeding. The Commission should direct staff to verify that the revised tariffs are consistent with the Commission’s decision.</w:t>
      </w:r>
    </w:p>
    <w:p w:rsidR="00325BFB" w:rsidRPr="00325BFB" w:rsidRDefault="00325BFB" w:rsidP="00325BFB">
      <w:pPr>
        <w:jc w:val="both"/>
        <w:rPr>
          <w:bCs/>
        </w:rPr>
      </w:pPr>
    </w:p>
    <w:p w:rsidR="00325BFB" w:rsidRPr="00325BFB" w:rsidRDefault="00325BFB" w:rsidP="00325BFB">
      <w:pPr>
        <w:jc w:val="both"/>
        <w:rPr>
          <w:b/>
          <w:bCs/>
          <w:u w:val="single"/>
        </w:rPr>
      </w:pPr>
    </w:p>
    <w:p w:rsidR="00325BFB" w:rsidRPr="00325BFB" w:rsidRDefault="00325BFB" w:rsidP="00325BFB">
      <w:pPr>
        <w:ind w:left="1440" w:hanging="1440"/>
        <w:jc w:val="both"/>
        <w:rPr>
          <w:b/>
          <w:bCs/>
          <w:u w:val="single"/>
        </w:rPr>
      </w:pPr>
      <w:r w:rsidRPr="00325BFB">
        <w:rPr>
          <w:b/>
          <w:bCs/>
          <w:u w:val="single"/>
        </w:rPr>
        <w:t>Company Specific Issues – Tampa Electric Company</w:t>
      </w:r>
    </w:p>
    <w:p w:rsidR="00325BFB" w:rsidRPr="00325BFB" w:rsidRDefault="00325BFB" w:rsidP="00325BFB">
      <w:pPr>
        <w:ind w:left="1440" w:hanging="1440"/>
        <w:jc w:val="both"/>
        <w:rPr>
          <w:b/>
          <w:bCs/>
          <w:u w:val="single"/>
        </w:rPr>
      </w:pPr>
    </w:p>
    <w:p w:rsidR="00325BFB" w:rsidRPr="00325BFB" w:rsidRDefault="00325BFB" w:rsidP="00325BFB">
      <w:pPr>
        <w:ind w:left="1440" w:hanging="1440"/>
        <w:jc w:val="both"/>
        <w:rPr>
          <w:b/>
          <w:bCs/>
        </w:rPr>
      </w:pPr>
      <w:r w:rsidRPr="00325BFB">
        <w:rPr>
          <w:b/>
          <w:bCs/>
          <w:u w:val="single"/>
        </w:rPr>
        <w:t>ISSUE 8</w:t>
      </w:r>
      <w:r w:rsidRPr="00325BFB">
        <w:rPr>
          <w:b/>
          <w:bCs/>
        </w:rPr>
        <w:t>:</w:t>
      </w:r>
      <w:r w:rsidRPr="00325BFB">
        <w:rPr>
          <w:b/>
          <w:bCs/>
        </w:rPr>
        <w:tab/>
        <w:t xml:space="preserve">What is the Contracted Credit Value for the GSLM-2 and GSLM-3 rate riders for Tampa Electric Company for the period January 2026 through December 2026? </w:t>
      </w:r>
    </w:p>
    <w:p w:rsidR="00325BFB" w:rsidRPr="00325BFB" w:rsidRDefault="00325BFB" w:rsidP="00325BFB">
      <w:pPr>
        <w:jc w:val="both"/>
        <w:rPr>
          <w:b/>
          <w:bCs/>
          <w:u w:val="single"/>
        </w:rPr>
      </w:pPr>
    </w:p>
    <w:p w:rsidR="00325BFB" w:rsidRPr="00325BFB" w:rsidRDefault="00325BFB" w:rsidP="00325BFB">
      <w:pPr>
        <w:jc w:val="both"/>
        <w:rPr>
          <w:b/>
          <w:bCs/>
        </w:rPr>
      </w:pPr>
      <w:r w:rsidRPr="00325BFB">
        <w:rPr>
          <w:b/>
          <w:bCs/>
          <w:u w:val="single"/>
        </w:rPr>
        <w:t>STIPULATION</w:t>
      </w:r>
      <w:r w:rsidRPr="00325BFB">
        <w:rPr>
          <w:b/>
          <w:bCs/>
        </w:rPr>
        <w:t>:</w:t>
      </w:r>
    </w:p>
    <w:p w:rsidR="00325BFB" w:rsidRPr="00325BFB" w:rsidRDefault="00325BFB" w:rsidP="00325BFB">
      <w:pPr>
        <w:ind w:left="1440" w:hanging="1440"/>
        <w:jc w:val="both"/>
        <w:rPr>
          <w:b/>
        </w:rPr>
      </w:pPr>
    </w:p>
    <w:p w:rsidR="00325BFB" w:rsidRPr="00325BFB" w:rsidRDefault="00325BFB" w:rsidP="00325BFB">
      <w:pPr>
        <w:ind w:left="1440" w:hanging="1440"/>
        <w:jc w:val="both"/>
        <w:rPr>
          <w:spacing w:val="-3"/>
        </w:rPr>
      </w:pPr>
      <w:r w:rsidRPr="00325BFB">
        <w:rPr>
          <w:b/>
        </w:rPr>
        <w:t>TECO:</w:t>
      </w:r>
      <w:r w:rsidRPr="00325BFB">
        <w:rPr>
          <w:b/>
        </w:rPr>
        <w:tab/>
      </w:r>
      <w:r w:rsidRPr="00325BFB">
        <w:rPr>
          <w:spacing w:val="-3"/>
        </w:rPr>
        <w:t>In accordance with Order No. PSC-2021-0423-S-EI, issued November 10, 2021 in Docket No. 20210034, the Contracted Credit Value (CCV) by Voltage Level for the forthcoming cost recovery period, January 2026 through December 2026, for the GSLM-2 and GSLM-3 rate riders will be:</w:t>
      </w:r>
    </w:p>
    <w:p w:rsidR="00325BFB" w:rsidRPr="00325BFB" w:rsidRDefault="00325BFB" w:rsidP="00325BFB">
      <w:pPr>
        <w:spacing w:line="360" w:lineRule="auto"/>
        <w:ind w:left="1440"/>
        <w:rPr>
          <w:spacing w:val="-3"/>
        </w:rPr>
      </w:pPr>
      <w:r w:rsidRPr="00325BFB">
        <w:rPr>
          <w:b/>
          <w:spacing w:val="-3"/>
          <w:u w:val="single"/>
        </w:rPr>
        <w:t xml:space="preserve">Voltage Level </w:t>
      </w:r>
      <w:r w:rsidRPr="00325BFB">
        <w:rPr>
          <w:b/>
          <w:spacing w:val="-3"/>
        </w:rPr>
        <w:tab/>
      </w:r>
      <w:r w:rsidRPr="00325BFB">
        <w:rPr>
          <w:spacing w:val="-3"/>
        </w:rPr>
        <w:tab/>
      </w:r>
      <w:r w:rsidRPr="00325BFB">
        <w:rPr>
          <w:spacing w:val="-3"/>
        </w:rPr>
        <w:tab/>
      </w:r>
      <w:r w:rsidRPr="00325BFB">
        <w:rPr>
          <w:b/>
          <w:spacing w:val="-3"/>
          <w:u w:val="single"/>
        </w:rPr>
        <w:t>Contracted Credit Value (dollars per kW)</w:t>
      </w:r>
    </w:p>
    <w:p w:rsidR="00325BFB" w:rsidRPr="00325BFB" w:rsidRDefault="00325BFB" w:rsidP="00325BFB">
      <w:pPr>
        <w:tabs>
          <w:tab w:val="left" w:pos="-720"/>
          <w:tab w:val="decimal" w:pos="6120"/>
        </w:tabs>
        <w:suppressAutoHyphens/>
        <w:spacing w:line="360" w:lineRule="auto"/>
        <w:ind w:left="1440"/>
        <w:rPr>
          <w:spacing w:val="-3"/>
        </w:rPr>
      </w:pPr>
      <w:r w:rsidRPr="00325BFB">
        <w:rPr>
          <w:spacing w:val="-3"/>
        </w:rPr>
        <w:t>Secondary</w:t>
      </w:r>
      <w:r w:rsidRPr="00325BFB">
        <w:rPr>
          <w:spacing w:val="-3"/>
        </w:rPr>
        <w:tab/>
        <w:t>11.75</w:t>
      </w:r>
    </w:p>
    <w:p w:rsidR="00325BFB" w:rsidRPr="00325BFB" w:rsidRDefault="00325BFB" w:rsidP="00325BFB">
      <w:pPr>
        <w:tabs>
          <w:tab w:val="left" w:pos="-720"/>
          <w:tab w:val="decimal" w:pos="6120"/>
        </w:tabs>
        <w:suppressAutoHyphens/>
        <w:spacing w:line="360" w:lineRule="auto"/>
        <w:ind w:left="1440"/>
        <w:rPr>
          <w:spacing w:val="-3"/>
        </w:rPr>
      </w:pPr>
      <w:r w:rsidRPr="00325BFB">
        <w:rPr>
          <w:spacing w:val="-3"/>
        </w:rPr>
        <w:t>Primary</w:t>
      </w:r>
      <w:r w:rsidRPr="00325BFB">
        <w:rPr>
          <w:spacing w:val="-3"/>
        </w:rPr>
        <w:tab/>
        <w:t>11.63</w:t>
      </w:r>
    </w:p>
    <w:p w:rsidR="00325BFB" w:rsidRPr="00325BFB" w:rsidRDefault="00325BFB" w:rsidP="00325BFB">
      <w:pPr>
        <w:tabs>
          <w:tab w:val="left" w:pos="-720"/>
          <w:tab w:val="decimal" w:pos="6120"/>
        </w:tabs>
        <w:suppressAutoHyphens/>
        <w:spacing w:line="360" w:lineRule="auto"/>
        <w:ind w:left="1440"/>
        <w:rPr>
          <w:spacing w:val="-3"/>
        </w:rPr>
      </w:pPr>
      <w:r w:rsidRPr="00325BFB">
        <w:rPr>
          <w:spacing w:val="-3"/>
        </w:rPr>
        <w:t>Subtransmission</w:t>
      </w:r>
      <w:r w:rsidRPr="00325BFB">
        <w:rPr>
          <w:spacing w:val="-3"/>
        </w:rPr>
        <w:tab/>
        <w:t>11.52</w:t>
      </w:r>
    </w:p>
    <w:p w:rsidR="00325BFB" w:rsidRDefault="00325BFB" w:rsidP="00325BFB">
      <w:pPr>
        <w:jc w:val="both"/>
        <w:rPr>
          <w:spacing w:val="-3"/>
        </w:rPr>
      </w:pPr>
    </w:p>
    <w:p w:rsidR="00325BFB" w:rsidRDefault="00325BFB" w:rsidP="00325BFB">
      <w:pPr>
        <w:jc w:val="both"/>
        <w:rPr>
          <w:spacing w:val="-3"/>
        </w:rPr>
      </w:pPr>
    </w:p>
    <w:p w:rsidR="00325BFB" w:rsidRDefault="00325BFB" w:rsidP="00325BFB">
      <w:pPr>
        <w:jc w:val="both"/>
        <w:rPr>
          <w:spacing w:val="-3"/>
        </w:rPr>
      </w:pPr>
    </w:p>
    <w:p w:rsidR="00325BFB" w:rsidRDefault="00325BFB" w:rsidP="00325BFB">
      <w:pPr>
        <w:jc w:val="both"/>
        <w:rPr>
          <w:spacing w:val="-3"/>
        </w:rPr>
      </w:pPr>
    </w:p>
    <w:p w:rsidR="00325BFB" w:rsidRDefault="00325BFB" w:rsidP="00325BFB">
      <w:pPr>
        <w:jc w:val="both"/>
        <w:rPr>
          <w:spacing w:val="-3"/>
        </w:rPr>
      </w:pPr>
    </w:p>
    <w:p w:rsidR="00325BFB" w:rsidRDefault="00325BFB" w:rsidP="00325BFB">
      <w:pPr>
        <w:jc w:val="both"/>
        <w:rPr>
          <w:spacing w:val="-3"/>
        </w:rPr>
      </w:pPr>
    </w:p>
    <w:p w:rsidR="00325BFB" w:rsidRDefault="00325BFB" w:rsidP="00325BFB">
      <w:pPr>
        <w:jc w:val="both"/>
        <w:rPr>
          <w:spacing w:val="-3"/>
        </w:rPr>
      </w:pPr>
    </w:p>
    <w:p w:rsidR="00325BFB" w:rsidRDefault="00325BFB" w:rsidP="00325BFB">
      <w:pPr>
        <w:jc w:val="both"/>
        <w:rPr>
          <w:spacing w:val="-3"/>
        </w:rPr>
      </w:pPr>
    </w:p>
    <w:p w:rsidR="0049174E" w:rsidRDefault="0049174E" w:rsidP="00325BFB">
      <w:pPr>
        <w:jc w:val="both"/>
        <w:rPr>
          <w:spacing w:val="-3"/>
        </w:rPr>
      </w:pPr>
    </w:p>
    <w:p w:rsidR="00325BFB" w:rsidRDefault="00325BFB" w:rsidP="00325BFB">
      <w:pPr>
        <w:jc w:val="both"/>
        <w:rPr>
          <w:spacing w:val="-3"/>
        </w:rPr>
      </w:pPr>
    </w:p>
    <w:p w:rsidR="00325BFB" w:rsidRDefault="00325BFB" w:rsidP="00325BFB">
      <w:pPr>
        <w:jc w:val="both"/>
        <w:rPr>
          <w:spacing w:val="-3"/>
        </w:rPr>
      </w:pPr>
    </w:p>
    <w:p w:rsidR="00325BFB" w:rsidRDefault="00325BFB" w:rsidP="00325BFB">
      <w:pPr>
        <w:jc w:val="both"/>
        <w:rPr>
          <w:spacing w:val="-3"/>
        </w:rPr>
      </w:pPr>
    </w:p>
    <w:p w:rsidR="00325BFB" w:rsidRPr="00325BFB" w:rsidRDefault="00325BFB" w:rsidP="00325BFB">
      <w:pPr>
        <w:jc w:val="both"/>
        <w:rPr>
          <w:spacing w:val="-3"/>
        </w:rPr>
      </w:pPr>
    </w:p>
    <w:p w:rsidR="00325BFB" w:rsidRPr="00325BFB" w:rsidRDefault="00325BFB" w:rsidP="00325BFB">
      <w:pPr>
        <w:ind w:left="1440" w:hanging="1440"/>
        <w:jc w:val="both"/>
        <w:rPr>
          <w:b/>
          <w:bCs/>
        </w:rPr>
      </w:pPr>
      <w:r w:rsidRPr="00325BFB">
        <w:rPr>
          <w:b/>
          <w:bCs/>
          <w:u w:val="single"/>
        </w:rPr>
        <w:lastRenderedPageBreak/>
        <w:t>ISSUE 9</w:t>
      </w:r>
      <w:r w:rsidRPr="00325BFB">
        <w:rPr>
          <w:b/>
          <w:bCs/>
        </w:rPr>
        <w:t>:</w:t>
      </w:r>
      <w:r w:rsidRPr="00325BFB">
        <w:rPr>
          <w:b/>
          <w:bCs/>
        </w:rPr>
        <w:tab/>
        <w:t>What are the residential Price Responsive Load Management (RSVP-1) rate tiers for Tampa Electric Company for the period January 2026 through December 2026?</w:t>
      </w:r>
    </w:p>
    <w:p w:rsidR="00325BFB" w:rsidRPr="00325BFB" w:rsidRDefault="00325BFB" w:rsidP="00325BFB">
      <w:pPr>
        <w:jc w:val="both"/>
        <w:rPr>
          <w:b/>
          <w:bCs/>
        </w:rPr>
      </w:pPr>
    </w:p>
    <w:p w:rsidR="00325BFB" w:rsidRPr="00325BFB" w:rsidRDefault="00325BFB" w:rsidP="00325BFB">
      <w:pPr>
        <w:jc w:val="both"/>
        <w:rPr>
          <w:b/>
          <w:bCs/>
        </w:rPr>
      </w:pPr>
      <w:r w:rsidRPr="00325BFB">
        <w:rPr>
          <w:b/>
          <w:bCs/>
          <w:u w:val="single"/>
        </w:rPr>
        <w:t>STIPULATION</w:t>
      </w:r>
      <w:r w:rsidRPr="00325BFB">
        <w:rPr>
          <w:b/>
          <w:bCs/>
        </w:rPr>
        <w:t>:</w:t>
      </w:r>
    </w:p>
    <w:p w:rsidR="00325BFB" w:rsidRPr="00325BFB" w:rsidRDefault="00325BFB" w:rsidP="00325BFB">
      <w:pPr>
        <w:tabs>
          <w:tab w:val="left" w:pos="1440"/>
        </w:tabs>
        <w:ind w:left="1440" w:hanging="1440"/>
        <w:jc w:val="both"/>
        <w:rPr>
          <w:b/>
        </w:rPr>
      </w:pPr>
    </w:p>
    <w:p w:rsidR="00325BFB" w:rsidRPr="00325BFB" w:rsidRDefault="00325BFB" w:rsidP="00325BFB">
      <w:pPr>
        <w:ind w:left="1440" w:hanging="1440"/>
        <w:jc w:val="both"/>
      </w:pPr>
      <w:r w:rsidRPr="00325BFB">
        <w:rPr>
          <w:b/>
        </w:rPr>
        <w:t>TECO:</w:t>
      </w:r>
      <w:r w:rsidRPr="00325BFB">
        <w:rPr>
          <w:b/>
        </w:rPr>
        <w:tab/>
      </w:r>
      <w:r w:rsidRPr="00325BFB">
        <w:t>For the period January 2026 through December 2026 the Residential Price Responsive Load Management (RSVP-1) rates are as follows:</w:t>
      </w:r>
    </w:p>
    <w:p w:rsidR="00325BFB" w:rsidRPr="00325BFB" w:rsidRDefault="00325BFB" w:rsidP="00325BFB">
      <w:pPr>
        <w:ind w:left="1440" w:hanging="1440"/>
        <w:jc w:val="both"/>
      </w:pPr>
    </w:p>
    <w:p w:rsidR="00325BFB" w:rsidRPr="00325BFB" w:rsidRDefault="00325BFB" w:rsidP="00325BFB">
      <w:pPr>
        <w:tabs>
          <w:tab w:val="center" w:pos="6480"/>
        </w:tabs>
        <w:spacing w:line="360" w:lineRule="auto"/>
        <w:ind w:left="1440" w:hanging="1440"/>
      </w:pPr>
      <w:r w:rsidRPr="00325BFB">
        <w:tab/>
      </w:r>
      <w:r w:rsidRPr="00325BFB">
        <w:rPr>
          <w:b/>
          <w:u w:val="single"/>
        </w:rPr>
        <w:t>Rate Tie</w:t>
      </w:r>
      <w:r w:rsidRPr="00325BFB">
        <w:rPr>
          <w:b/>
        </w:rPr>
        <w:t>r</w:t>
      </w:r>
      <w:r w:rsidRPr="00325BFB">
        <w:rPr>
          <w:b/>
        </w:rPr>
        <w:tab/>
      </w:r>
      <w:r w:rsidRPr="00325BFB">
        <w:rPr>
          <w:b/>
          <w:u w:val="single"/>
        </w:rPr>
        <w:t>Cents per kWh</w:t>
      </w:r>
    </w:p>
    <w:p w:rsidR="00325BFB" w:rsidRPr="00325BFB" w:rsidRDefault="00325BFB" w:rsidP="00325BFB">
      <w:pPr>
        <w:tabs>
          <w:tab w:val="left" w:pos="-720"/>
          <w:tab w:val="left" w:pos="720"/>
          <w:tab w:val="left" w:pos="1800"/>
          <w:tab w:val="decimal" w:pos="6480"/>
        </w:tabs>
        <w:suppressAutoHyphens/>
        <w:spacing w:line="360" w:lineRule="auto"/>
        <w:rPr>
          <w:spacing w:val="-3"/>
        </w:rPr>
      </w:pPr>
      <w:r w:rsidRPr="00325BFB">
        <w:tab/>
      </w:r>
      <w:r w:rsidRPr="00325BFB">
        <w:tab/>
      </w:r>
      <w:r w:rsidRPr="00325BFB">
        <w:rPr>
          <w:spacing w:val="-3"/>
        </w:rPr>
        <w:t>P1</w:t>
      </w:r>
      <w:r w:rsidRPr="00325BFB">
        <w:rPr>
          <w:spacing w:val="-3"/>
        </w:rPr>
        <w:tab/>
        <w:t>-3.381</w:t>
      </w:r>
    </w:p>
    <w:p w:rsidR="00325BFB" w:rsidRPr="00325BFB" w:rsidRDefault="00325BFB" w:rsidP="00325BFB">
      <w:pPr>
        <w:tabs>
          <w:tab w:val="left" w:pos="-720"/>
          <w:tab w:val="left" w:pos="720"/>
          <w:tab w:val="left" w:pos="1800"/>
          <w:tab w:val="decimal" w:pos="6480"/>
        </w:tabs>
        <w:suppressAutoHyphens/>
        <w:spacing w:line="360" w:lineRule="auto"/>
        <w:rPr>
          <w:spacing w:val="-3"/>
        </w:rPr>
      </w:pPr>
      <w:r w:rsidRPr="00325BFB">
        <w:rPr>
          <w:spacing w:val="-3"/>
        </w:rPr>
        <w:t xml:space="preserve">     </w:t>
      </w:r>
      <w:r w:rsidRPr="00325BFB">
        <w:rPr>
          <w:spacing w:val="-3"/>
        </w:rPr>
        <w:tab/>
      </w:r>
      <w:r w:rsidRPr="00325BFB">
        <w:rPr>
          <w:spacing w:val="-3"/>
        </w:rPr>
        <w:tab/>
        <w:t>P2</w:t>
      </w:r>
      <w:r w:rsidRPr="00325BFB">
        <w:rPr>
          <w:spacing w:val="-3"/>
        </w:rPr>
        <w:tab/>
        <w:t>-1.324</w:t>
      </w:r>
    </w:p>
    <w:p w:rsidR="00325BFB" w:rsidRPr="00325BFB" w:rsidRDefault="00325BFB" w:rsidP="00325BFB">
      <w:pPr>
        <w:tabs>
          <w:tab w:val="left" w:pos="-720"/>
          <w:tab w:val="left" w:pos="720"/>
          <w:tab w:val="left" w:pos="1800"/>
          <w:tab w:val="decimal" w:pos="6480"/>
        </w:tabs>
        <w:suppressAutoHyphens/>
        <w:spacing w:line="360" w:lineRule="auto"/>
        <w:rPr>
          <w:spacing w:val="-3"/>
        </w:rPr>
      </w:pPr>
      <w:r w:rsidRPr="00325BFB">
        <w:rPr>
          <w:spacing w:val="-3"/>
        </w:rPr>
        <w:t xml:space="preserve">     </w:t>
      </w:r>
      <w:r w:rsidRPr="00325BFB">
        <w:rPr>
          <w:spacing w:val="-3"/>
        </w:rPr>
        <w:tab/>
      </w:r>
      <w:r w:rsidRPr="00325BFB">
        <w:rPr>
          <w:spacing w:val="-3"/>
        </w:rPr>
        <w:tab/>
        <w:t>P3</w:t>
      </w:r>
      <w:r w:rsidRPr="00325BFB">
        <w:rPr>
          <w:spacing w:val="-3"/>
        </w:rPr>
        <w:tab/>
        <w:t>7.435</w:t>
      </w:r>
    </w:p>
    <w:p w:rsidR="00325BFB" w:rsidRPr="00325BFB" w:rsidRDefault="00325BFB" w:rsidP="00325BFB">
      <w:pPr>
        <w:tabs>
          <w:tab w:val="left" w:pos="-720"/>
          <w:tab w:val="left" w:pos="720"/>
          <w:tab w:val="left" w:pos="1800"/>
          <w:tab w:val="decimal" w:pos="6480"/>
        </w:tabs>
        <w:suppressAutoHyphens/>
        <w:spacing w:line="360" w:lineRule="auto"/>
        <w:rPr>
          <w:spacing w:val="-3"/>
        </w:rPr>
      </w:pPr>
      <w:r w:rsidRPr="00325BFB">
        <w:rPr>
          <w:spacing w:val="-3"/>
        </w:rPr>
        <w:t xml:space="preserve">     </w:t>
      </w:r>
      <w:r w:rsidRPr="00325BFB">
        <w:rPr>
          <w:spacing w:val="-3"/>
        </w:rPr>
        <w:tab/>
      </w:r>
      <w:r w:rsidRPr="00325BFB">
        <w:rPr>
          <w:spacing w:val="-3"/>
        </w:rPr>
        <w:tab/>
        <w:t>P4</w:t>
      </w:r>
      <w:r w:rsidRPr="00325BFB">
        <w:rPr>
          <w:spacing w:val="-3"/>
        </w:rPr>
        <w:tab/>
        <w:t>41.340</w:t>
      </w:r>
    </w:p>
    <w:p w:rsidR="00325BFB" w:rsidRPr="00325BFB" w:rsidRDefault="00325BFB" w:rsidP="00325BFB">
      <w:pPr>
        <w:tabs>
          <w:tab w:val="left" w:pos="-720"/>
          <w:tab w:val="left" w:pos="720"/>
          <w:tab w:val="left" w:pos="1800"/>
          <w:tab w:val="decimal" w:pos="6480"/>
        </w:tabs>
        <w:suppressAutoHyphens/>
        <w:spacing w:line="360" w:lineRule="auto"/>
        <w:rPr>
          <w:spacing w:val="-3"/>
        </w:rPr>
      </w:pPr>
    </w:p>
    <w:p w:rsidR="00325BFB" w:rsidRPr="00325BFB" w:rsidRDefault="00325BFB" w:rsidP="00325BFB">
      <w:r w:rsidRPr="00325BFB">
        <w:rPr>
          <w:b/>
          <w:u w:val="single"/>
        </w:rPr>
        <w:t>ISSUE 10:</w:t>
      </w:r>
      <w:r w:rsidRPr="00325BFB">
        <w:rPr>
          <w:b/>
        </w:rPr>
        <w:tab/>
      </w:r>
      <w:r w:rsidRPr="00325BFB">
        <w:t>Should this docket be closed?</w:t>
      </w:r>
    </w:p>
    <w:p w:rsidR="00325BFB" w:rsidRPr="00325BFB" w:rsidRDefault="00325BFB" w:rsidP="00325BFB"/>
    <w:p w:rsidR="00325BFB" w:rsidRPr="00325BFB" w:rsidRDefault="00325BFB" w:rsidP="00325BFB">
      <w:pPr>
        <w:ind w:left="1440" w:hanging="1440"/>
        <w:jc w:val="both"/>
        <w:rPr>
          <w:b/>
          <w:bCs/>
        </w:rPr>
      </w:pPr>
      <w:r w:rsidRPr="00325BFB">
        <w:rPr>
          <w:b/>
          <w:bCs/>
          <w:u w:val="single"/>
        </w:rPr>
        <w:t>STIPULATION:</w:t>
      </w:r>
      <w:r w:rsidRPr="00325BFB">
        <w:rPr>
          <w:b/>
          <w:bCs/>
        </w:rPr>
        <w:t>   </w:t>
      </w:r>
      <w:r w:rsidRPr="00325BFB">
        <w:rPr>
          <w:b/>
          <w:bCs/>
        </w:rPr>
        <w:tab/>
      </w:r>
    </w:p>
    <w:p w:rsidR="00325BFB" w:rsidRPr="00325BFB" w:rsidRDefault="00325BFB" w:rsidP="00325BFB">
      <w:pPr>
        <w:ind w:left="1440"/>
        <w:jc w:val="both"/>
      </w:pPr>
    </w:p>
    <w:p w:rsidR="00325BFB" w:rsidRPr="00325BFB" w:rsidRDefault="00325BFB" w:rsidP="00325BFB">
      <w:pPr>
        <w:ind w:left="1440"/>
      </w:pPr>
      <w:r w:rsidRPr="00325BFB">
        <w:t>No. While a separate docket number is assigned each year, this is a continuing docket and should remain open for administrative convenience.</w:t>
      </w:r>
    </w:p>
    <w:p w:rsidR="00325BFB" w:rsidRPr="00325BFB" w:rsidRDefault="00325BFB" w:rsidP="00325BFB">
      <w:pPr>
        <w:jc w:val="both"/>
      </w:pPr>
    </w:p>
    <w:p w:rsidR="00F52100" w:rsidRPr="00F52100" w:rsidRDefault="00F52100" w:rsidP="00F52100">
      <w:pPr>
        <w:jc w:val="center"/>
        <w:rPr>
          <w:u w:val="single"/>
        </w:rPr>
      </w:pPr>
      <w:r w:rsidRPr="00F52100">
        <w:rPr>
          <w:u w:val="single"/>
        </w:rPr>
        <w:t>CONCLUSION</w:t>
      </w:r>
    </w:p>
    <w:p w:rsidR="00F52100" w:rsidRDefault="00F52100" w:rsidP="00325BFB">
      <w:pPr>
        <w:jc w:val="both"/>
      </w:pPr>
    </w:p>
    <w:p w:rsidR="00F52100" w:rsidRDefault="00F52100" w:rsidP="00325BFB">
      <w:pPr>
        <w:jc w:val="both"/>
      </w:pPr>
      <w:r>
        <w:tab/>
        <w:t>After reviewing the evidence before us and being duly advised in the premises, we accept and approve the Type 2 stipulations reflected</w:t>
      </w:r>
      <w:r w:rsidR="009F1041">
        <w:t xml:space="preserve"> above</w:t>
      </w:r>
      <w:r>
        <w:t>, finding them reasonable and supported by sufficient evidence.</w:t>
      </w:r>
    </w:p>
    <w:p w:rsidR="00F52100" w:rsidRDefault="00F52100" w:rsidP="00F52100">
      <w:pPr>
        <w:ind w:firstLine="720"/>
        <w:jc w:val="both"/>
      </w:pPr>
    </w:p>
    <w:p w:rsidR="00325BFB" w:rsidRPr="00325BFB" w:rsidRDefault="00325BFB" w:rsidP="00F52100">
      <w:pPr>
        <w:ind w:firstLine="720"/>
        <w:jc w:val="both"/>
      </w:pPr>
      <w:r w:rsidRPr="00325BFB">
        <w:t>Based on the foregoing, it is</w:t>
      </w:r>
    </w:p>
    <w:p w:rsidR="00325BFB" w:rsidRPr="00325BFB" w:rsidRDefault="00325BFB" w:rsidP="00325BFB">
      <w:pPr>
        <w:jc w:val="both"/>
      </w:pPr>
    </w:p>
    <w:p w:rsidR="00325BFB" w:rsidRPr="00325BFB" w:rsidRDefault="00325BFB" w:rsidP="0035159A">
      <w:pPr>
        <w:ind w:firstLine="720"/>
        <w:jc w:val="both"/>
      </w:pPr>
      <w:r w:rsidRPr="00325BFB">
        <w:t>ORDERED by the Florida Public Service Commission that the stipulations and findings set forth in the body of this order are hereby approved. It is further</w:t>
      </w:r>
    </w:p>
    <w:p w:rsidR="00325BFB" w:rsidRPr="00325BFB" w:rsidRDefault="00325BFB" w:rsidP="00325BFB">
      <w:pPr>
        <w:jc w:val="both"/>
      </w:pPr>
    </w:p>
    <w:p w:rsidR="00325BFB" w:rsidRPr="00325BFB" w:rsidRDefault="00325BFB" w:rsidP="00325BFB">
      <w:pPr>
        <w:jc w:val="both"/>
      </w:pPr>
      <w:r w:rsidRPr="00325BFB">
        <w:tab/>
        <w:t>ORDERED that each electric utility that was a party to this docket shall abide by the stipulations and findings herein which are applicable to it. It is further</w:t>
      </w:r>
    </w:p>
    <w:p w:rsidR="00325BFB" w:rsidRPr="00325BFB" w:rsidRDefault="00325BFB" w:rsidP="00325BFB">
      <w:pPr>
        <w:jc w:val="both"/>
      </w:pPr>
    </w:p>
    <w:p w:rsidR="00325BFB" w:rsidRPr="00325BFB" w:rsidRDefault="00325BFB" w:rsidP="00325BFB">
      <w:pPr>
        <w:ind w:firstLine="720"/>
        <w:jc w:val="both"/>
      </w:pPr>
      <w:r w:rsidRPr="00325BFB">
        <w:t>ORDERED that the revised tariffs reflecting the energy conservation cost recovery factors determined to be appropriate in this proceeding are approved. Commission Staff shall verify that the revised tariffs are consistent with our decision herein. It is further</w:t>
      </w:r>
    </w:p>
    <w:p w:rsidR="00325BFB" w:rsidRPr="00325BFB" w:rsidRDefault="00325BFB" w:rsidP="00325BFB">
      <w:pPr>
        <w:jc w:val="both"/>
      </w:pPr>
    </w:p>
    <w:p w:rsidR="00325BFB" w:rsidRPr="00325BFB" w:rsidRDefault="00325BFB" w:rsidP="00325BFB">
      <w:pPr>
        <w:jc w:val="both"/>
      </w:pPr>
      <w:r w:rsidRPr="00325BFB">
        <w:tab/>
        <w:t xml:space="preserve">ORDERED that Commission Staff shall have administrative authority to approve revised tariffs reflecting amended cost recovery clause factors that incorporate any revisions necessary as </w:t>
      </w:r>
      <w:r w:rsidRPr="00325BFB">
        <w:lastRenderedPageBreak/>
        <w:t>a result of this Commission’s decision in Florida Power &amp; Light Company’s current base rate case in Docket No. 20250011-EI. It is further</w:t>
      </w:r>
    </w:p>
    <w:p w:rsidR="00325BFB" w:rsidRPr="00325BFB" w:rsidRDefault="00325BFB" w:rsidP="00325BFB">
      <w:pPr>
        <w:jc w:val="both"/>
      </w:pPr>
    </w:p>
    <w:p w:rsidR="00325BFB" w:rsidRPr="00325BFB" w:rsidRDefault="00325BFB" w:rsidP="00325BFB">
      <w:pPr>
        <w:jc w:val="both"/>
      </w:pPr>
      <w:r w:rsidRPr="00325BFB">
        <w:tab/>
        <w:t>ORDERED that the utilities named herein are authorized to collect the energy conservation cost recovery amounts and utilize the factors approved herein for the period January 2026 through December 2026. Billing cycles may start before January 1, 2026, and the last cycle may be read after December 31, 2026, so that each customer is billed for 12 months regardless of when the adjustment factor became effective. These charges shall continue in effect until modified by subsequent order of this Commission. It is further</w:t>
      </w:r>
    </w:p>
    <w:p w:rsidR="00325BFB" w:rsidRPr="00325BFB" w:rsidRDefault="00325BFB" w:rsidP="00325BFB">
      <w:pPr>
        <w:jc w:val="both"/>
      </w:pPr>
    </w:p>
    <w:p w:rsidR="00325BFB" w:rsidRPr="00325BFB" w:rsidRDefault="00325BFB" w:rsidP="00325BFB">
      <w:pPr>
        <w:jc w:val="both"/>
      </w:pPr>
      <w:r w:rsidRPr="00325BFB">
        <w:tab/>
        <w:t>ORDERED that while a separate docket number is assigned each year, the Energy Conservation Cost Recovery Clause is a continuing docket and shall remain open for administrative convenience.</w:t>
      </w:r>
    </w:p>
    <w:p w:rsidR="00A3768E" w:rsidRPr="00A3768E" w:rsidRDefault="00A3768E" w:rsidP="00A3768E"/>
    <w:p w:rsidR="00A3768E" w:rsidRDefault="00A3768E" w:rsidP="00A3768E">
      <w:pPr>
        <w:keepNext/>
        <w:keepLines/>
        <w:jc w:val="both"/>
      </w:pPr>
      <w:r w:rsidRPr="00A3768E">
        <w:tab/>
        <w:t xml:space="preserve">By ORDER of the Florida Public Service Commission this </w:t>
      </w:r>
      <w:bookmarkStart w:id="6" w:name="replaceDate"/>
      <w:bookmarkEnd w:id="6"/>
      <w:r w:rsidR="00B60E8A">
        <w:rPr>
          <w:u w:val="single"/>
        </w:rPr>
        <w:t>24th</w:t>
      </w:r>
      <w:r w:rsidR="00B60E8A">
        <w:t xml:space="preserve"> day of </w:t>
      </w:r>
      <w:r w:rsidR="00B60E8A">
        <w:rPr>
          <w:u w:val="single"/>
        </w:rPr>
        <w:t>November</w:t>
      </w:r>
      <w:r w:rsidR="00B60E8A">
        <w:t xml:space="preserve">, </w:t>
      </w:r>
      <w:r w:rsidR="00B60E8A">
        <w:rPr>
          <w:u w:val="single"/>
        </w:rPr>
        <w:t>2025</w:t>
      </w:r>
      <w:r w:rsidR="00B60E8A">
        <w:t>.</w:t>
      </w:r>
    </w:p>
    <w:p w:rsidR="00B60E8A" w:rsidRPr="00B60E8A" w:rsidRDefault="00B60E8A" w:rsidP="00A3768E">
      <w:pPr>
        <w:keepNext/>
        <w:keepLines/>
        <w:jc w:val="both"/>
      </w:pPr>
    </w:p>
    <w:p w:rsidR="00A3768E" w:rsidRDefault="00A3768E" w:rsidP="00A3768E">
      <w:pPr>
        <w:keepNext/>
        <w:keepLines/>
        <w:jc w:val="both"/>
      </w:pPr>
    </w:p>
    <w:p w:rsidR="00B60E8A" w:rsidRPr="00A3768E" w:rsidRDefault="00B60E8A" w:rsidP="00A3768E">
      <w:pPr>
        <w:keepNext/>
        <w:keepLines/>
        <w:jc w:val="both"/>
      </w:pPr>
    </w:p>
    <w:p w:rsidR="00A3768E" w:rsidRPr="00A3768E" w:rsidRDefault="00A3768E" w:rsidP="00A3768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3768E" w:rsidRPr="00A3768E" w:rsidTr="00A3768E">
        <w:tc>
          <w:tcPr>
            <w:tcW w:w="720" w:type="dxa"/>
            <w:shd w:val="clear" w:color="auto" w:fill="auto"/>
          </w:tcPr>
          <w:p w:rsidR="00A3768E" w:rsidRPr="00A3768E" w:rsidRDefault="00A3768E" w:rsidP="00A3768E">
            <w:pPr>
              <w:keepNext/>
              <w:keepLines/>
              <w:jc w:val="both"/>
            </w:pPr>
            <w:bookmarkStart w:id="7" w:name="bkmrkSignature" w:colFirst="0" w:colLast="0"/>
          </w:p>
        </w:tc>
        <w:tc>
          <w:tcPr>
            <w:tcW w:w="4320" w:type="dxa"/>
            <w:tcBorders>
              <w:bottom w:val="single" w:sz="4" w:space="0" w:color="auto"/>
            </w:tcBorders>
            <w:shd w:val="clear" w:color="auto" w:fill="auto"/>
          </w:tcPr>
          <w:p w:rsidR="00A3768E" w:rsidRPr="00A3768E" w:rsidRDefault="001F7993" w:rsidP="00A3768E">
            <w:pPr>
              <w:keepNext/>
              <w:keepLines/>
              <w:jc w:val="both"/>
            </w:pPr>
            <w:r>
              <w:t>/s/ Adam J. Teitzman</w:t>
            </w:r>
            <w:bookmarkStart w:id="8" w:name="_GoBack"/>
            <w:bookmarkEnd w:id="8"/>
          </w:p>
        </w:tc>
      </w:tr>
      <w:bookmarkEnd w:id="7"/>
      <w:tr w:rsidR="00A3768E" w:rsidRPr="00A3768E" w:rsidTr="00A3768E">
        <w:tc>
          <w:tcPr>
            <w:tcW w:w="720" w:type="dxa"/>
            <w:shd w:val="clear" w:color="auto" w:fill="auto"/>
          </w:tcPr>
          <w:p w:rsidR="00A3768E" w:rsidRPr="00A3768E" w:rsidRDefault="00A3768E" w:rsidP="00A3768E">
            <w:pPr>
              <w:keepNext/>
              <w:keepLines/>
              <w:jc w:val="both"/>
            </w:pPr>
          </w:p>
        </w:tc>
        <w:tc>
          <w:tcPr>
            <w:tcW w:w="4320" w:type="dxa"/>
            <w:tcBorders>
              <w:top w:val="single" w:sz="4" w:space="0" w:color="auto"/>
            </w:tcBorders>
            <w:shd w:val="clear" w:color="auto" w:fill="auto"/>
          </w:tcPr>
          <w:p w:rsidR="00A3768E" w:rsidRPr="00A3768E" w:rsidRDefault="00A3768E" w:rsidP="00A3768E">
            <w:pPr>
              <w:keepNext/>
              <w:keepLines/>
              <w:jc w:val="both"/>
            </w:pPr>
            <w:r w:rsidRPr="00A3768E">
              <w:t>ADAM J. TEITZMAN</w:t>
            </w:r>
          </w:p>
          <w:p w:rsidR="00A3768E" w:rsidRPr="00A3768E" w:rsidRDefault="00A3768E" w:rsidP="00A3768E">
            <w:pPr>
              <w:keepNext/>
              <w:keepLines/>
              <w:jc w:val="both"/>
            </w:pPr>
            <w:r w:rsidRPr="00A3768E">
              <w:t>Commission Clerk</w:t>
            </w:r>
          </w:p>
        </w:tc>
      </w:tr>
    </w:tbl>
    <w:p w:rsidR="00A3768E" w:rsidRPr="00A3768E" w:rsidRDefault="00A3768E" w:rsidP="00A3768E">
      <w:pPr>
        <w:pStyle w:val="OrderSigInfo"/>
        <w:keepNext/>
        <w:keepLines/>
      </w:pPr>
      <w:r w:rsidRPr="00A3768E">
        <w:t>Florida Public Service Commission</w:t>
      </w:r>
    </w:p>
    <w:p w:rsidR="00A3768E" w:rsidRPr="00A3768E" w:rsidRDefault="00A3768E" w:rsidP="00A3768E">
      <w:pPr>
        <w:pStyle w:val="OrderSigInfo"/>
        <w:keepNext/>
        <w:keepLines/>
      </w:pPr>
      <w:r w:rsidRPr="00A3768E">
        <w:t>2540 Shumard Oak Boulevard</w:t>
      </w:r>
    </w:p>
    <w:p w:rsidR="00A3768E" w:rsidRPr="00A3768E" w:rsidRDefault="00A3768E" w:rsidP="00A3768E">
      <w:pPr>
        <w:pStyle w:val="OrderSigInfo"/>
        <w:keepNext/>
        <w:keepLines/>
      </w:pPr>
      <w:r w:rsidRPr="00A3768E">
        <w:t>Tallahassee, Florida 32399</w:t>
      </w:r>
    </w:p>
    <w:p w:rsidR="00A3768E" w:rsidRPr="00A3768E" w:rsidRDefault="00A3768E" w:rsidP="00A3768E">
      <w:pPr>
        <w:pStyle w:val="OrderSigInfo"/>
        <w:keepNext/>
        <w:keepLines/>
      </w:pPr>
      <w:r w:rsidRPr="00A3768E">
        <w:t>(850) 413</w:t>
      </w:r>
      <w:r w:rsidRPr="00A3768E">
        <w:noBreakHyphen/>
        <w:t>6770</w:t>
      </w:r>
    </w:p>
    <w:p w:rsidR="00A3768E" w:rsidRPr="00A3768E" w:rsidRDefault="00A3768E" w:rsidP="00A3768E">
      <w:pPr>
        <w:pStyle w:val="OrderSigInfo"/>
        <w:keepNext/>
        <w:keepLines/>
      </w:pPr>
      <w:r w:rsidRPr="00A3768E">
        <w:t>www.floridapsc.com</w:t>
      </w:r>
    </w:p>
    <w:p w:rsidR="00A3768E" w:rsidRPr="00A3768E" w:rsidRDefault="00A3768E" w:rsidP="00A3768E">
      <w:pPr>
        <w:pStyle w:val="OrderSigInfo"/>
        <w:keepNext/>
        <w:keepLines/>
      </w:pPr>
    </w:p>
    <w:p w:rsidR="00A3768E" w:rsidRPr="00A3768E" w:rsidRDefault="00325BFB" w:rsidP="00A3768E">
      <w:pPr>
        <w:pStyle w:val="OrderSigInfo"/>
        <w:keepNext/>
        <w:keepLines/>
      </w:pPr>
      <w:r>
        <w:t>Copies furnished:</w:t>
      </w:r>
      <w:r w:rsidR="00A3768E" w:rsidRPr="00A3768E">
        <w:t xml:space="preserve"> A copy of this document is provided to the parties of record at the time of issuance and, if applicable, interested persons.</w:t>
      </w:r>
    </w:p>
    <w:p w:rsidR="00A3768E" w:rsidRPr="00A3768E" w:rsidRDefault="00A3768E" w:rsidP="00A3768E">
      <w:pPr>
        <w:pStyle w:val="OrderBody"/>
        <w:keepNext/>
        <w:keepLines/>
      </w:pPr>
    </w:p>
    <w:p w:rsidR="00A3768E" w:rsidRPr="00A3768E" w:rsidRDefault="00A3768E" w:rsidP="00A3768E">
      <w:pPr>
        <w:keepNext/>
        <w:keepLines/>
        <w:jc w:val="both"/>
      </w:pPr>
    </w:p>
    <w:p w:rsidR="00A3768E" w:rsidRPr="00A3768E" w:rsidRDefault="00A3768E" w:rsidP="00A3768E">
      <w:pPr>
        <w:keepNext/>
        <w:keepLines/>
        <w:jc w:val="both"/>
      </w:pPr>
      <w:r w:rsidRPr="00A3768E">
        <w:t>JDI</w:t>
      </w:r>
    </w:p>
    <w:p w:rsidR="00A3768E" w:rsidRPr="00A3768E" w:rsidRDefault="00A3768E" w:rsidP="00A3768E">
      <w:pPr>
        <w:jc w:val="both"/>
      </w:pPr>
    </w:p>
    <w:p w:rsidR="00A3768E" w:rsidRPr="00A3768E" w:rsidRDefault="00A3768E" w:rsidP="00A3768E">
      <w:pPr>
        <w:jc w:val="both"/>
        <w:rPr>
          <w:b/>
        </w:rPr>
      </w:pPr>
    </w:p>
    <w:p w:rsidR="00A3768E" w:rsidRPr="00A3768E" w:rsidRDefault="00A3768E" w:rsidP="00A3768E">
      <w:pPr>
        <w:jc w:val="both"/>
        <w:rPr>
          <w:b/>
        </w:rPr>
      </w:pPr>
    </w:p>
    <w:p w:rsidR="00A3768E" w:rsidRPr="00A3768E" w:rsidRDefault="00A3768E">
      <w:pPr>
        <w:rPr>
          <w:b/>
        </w:rPr>
      </w:pPr>
      <w:r w:rsidRPr="00A3768E">
        <w:rPr>
          <w:b/>
        </w:rPr>
        <w:br w:type="page"/>
      </w:r>
    </w:p>
    <w:p w:rsidR="00A3768E" w:rsidRPr="00A3768E" w:rsidRDefault="00A3768E" w:rsidP="00A3768E">
      <w:pPr>
        <w:pStyle w:val="CenterUnderline"/>
      </w:pPr>
      <w:r w:rsidRPr="00A3768E">
        <w:lastRenderedPageBreak/>
        <w:t>NOTICE OF FURTHER PROCEEDINGS OR JUDICIAL REVIEW</w:t>
      </w:r>
    </w:p>
    <w:p w:rsidR="00A3768E" w:rsidRPr="00A3768E" w:rsidRDefault="00A3768E" w:rsidP="00A3768E">
      <w:pPr>
        <w:pStyle w:val="CenterUnderline"/>
        <w:rPr>
          <w:u w:val="none"/>
        </w:rPr>
      </w:pPr>
    </w:p>
    <w:p w:rsidR="00A3768E" w:rsidRPr="00A3768E" w:rsidRDefault="00A3768E" w:rsidP="00A3768E">
      <w:pPr>
        <w:pStyle w:val="OrderBody"/>
      </w:pPr>
    </w:p>
    <w:p w:rsidR="00A3768E" w:rsidRPr="00A3768E" w:rsidRDefault="00A3768E" w:rsidP="00A3768E">
      <w:pPr>
        <w:pStyle w:val="OrderBody"/>
      </w:pPr>
      <w:r w:rsidRPr="00A3768E">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325BFB">
        <w:t>res and time limits that apply.</w:t>
      </w:r>
      <w:r w:rsidRPr="00A3768E">
        <w:t xml:space="preserve"> This notice should not be construed to mean all requests for an administrative hearing or judicial review will be granted or result in the relief sought.</w:t>
      </w:r>
    </w:p>
    <w:p w:rsidR="00A3768E" w:rsidRPr="00A3768E" w:rsidRDefault="00A3768E" w:rsidP="00A3768E">
      <w:pPr>
        <w:pStyle w:val="OrderBody"/>
      </w:pPr>
    </w:p>
    <w:p w:rsidR="00A3768E" w:rsidRPr="00A3768E" w:rsidRDefault="00A3768E" w:rsidP="00A3768E">
      <w:pPr>
        <w:pStyle w:val="OrderBody"/>
      </w:pPr>
      <w:r w:rsidRPr="00A3768E">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w:t>
      </w:r>
      <w:r w:rsidR="00325BFB">
        <w:t xml:space="preserve">ee with the appropriate court. </w:t>
      </w:r>
      <w:r w:rsidRPr="00A3768E">
        <w:t>This filing must be completed within thirty (30) days after the issuance of this order, pursuant to Rule 9.110, Florida Rules of Appellate Procedure. The notice of appeal must be in the form specified in Rule 9.900(a), Florida Rules of Appellate Procedure.</w:t>
      </w:r>
    </w:p>
    <w:p w:rsidR="00A3768E" w:rsidRPr="00A3768E" w:rsidRDefault="00A3768E" w:rsidP="00A3768E">
      <w:pPr>
        <w:pStyle w:val="OrderBody"/>
      </w:pPr>
    </w:p>
    <w:p w:rsidR="00A3768E" w:rsidRPr="00A3768E" w:rsidRDefault="00A3768E" w:rsidP="00A3768E">
      <w:pPr>
        <w:pStyle w:val="OrderBody"/>
      </w:pPr>
    </w:p>
    <w:sectPr w:rsidR="00A3768E" w:rsidRPr="00A3768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59A" w:rsidRDefault="0035159A">
      <w:r>
        <w:separator/>
      </w:r>
    </w:p>
  </w:endnote>
  <w:endnote w:type="continuationSeparator" w:id="0">
    <w:p w:rsidR="0035159A" w:rsidRDefault="0035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59A" w:rsidRDefault="0035159A">
    <w:pPr>
      <w:pStyle w:val="Footer"/>
    </w:pPr>
  </w:p>
  <w:p w:rsidR="0035159A" w:rsidRDefault="00351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59A" w:rsidRDefault="0035159A">
      <w:r>
        <w:separator/>
      </w:r>
    </w:p>
  </w:footnote>
  <w:footnote w:type="continuationSeparator" w:id="0">
    <w:p w:rsidR="0035159A" w:rsidRDefault="0035159A">
      <w:r>
        <w:continuationSeparator/>
      </w:r>
    </w:p>
  </w:footnote>
  <w:footnote w:id="1">
    <w:p w:rsidR="0035159A" w:rsidRDefault="0035159A" w:rsidP="00325BFB">
      <w:pPr>
        <w:pStyle w:val="FootnoteText"/>
      </w:pPr>
      <w:r>
        <w:rPr>
          <w:rStyle w:val="FootnoteReference"/>
        </w:rPr>
        <w:footnoteRef/>
      </w:r>
      <w:r>
        <w:t xml:space="preserve"> </w:t>
      </w:r>
      <w:r w:rsidRPr="00D86069">
        <w:t xml:space="preserve">A “Type 2 stipulation” occurs on an </w:t>
      </w:r>
      <w:r>
        <w:t>i</w:t>
      </w:r>
      <w:r w:rsidRPr="00D86069">
        <w:t xml:space="preserve">ssue when the utility and </w:t>
      </w:r>
      <w:r>
        <w:t xml:space="preserve">Commission </w:t>
      </w:r>
      <w:r w:rsidRPr="00D86069">
        <w:t xml:space="preserve">Staff, or the utility and at least one party adversarial to the utility, agree on the resolution of the </w:t>
      </w:r>
      <w:r>
        <w:t>i</w:t>
      </w:r>
      <w:r w:rsidRPr="00D86069">
        <w:t xml:space="preserve">ssue and the remaining Parties (including </w:t>
      </w:r>
      <w:r>
        <w:t xml:space="preserve">Commission </w:t>
      </w:r>
      <w:r w:rsidRPr="00D86069">
        <w:t>Staff if it does not join in the agreement) do not object to the Commission relying upon the agreed language to resolve that issue in a final order.</w:t>
      </w:r>
    </w:p>
  </w:footnote>
  <w:footnote w:id="2">
    <w:p w:rsidR="0035159A" w:rsidRDefault="0035159A" w:rsidP="00325BFB">
      <w:pPr>
        <w:pStyle w:val="FootnoteText"/>
      </w:pPr>
      <w:r>
        <w:rPr>
          <w:rStyle w:val="FootnoteReference"/>
        </w:rPr>
        <w:footnoteRef/>
      </w:r>
      <w:r>
        <w:t xml:space="preserve"> The i</w:t>
      </w:r>
      <w:r w:rsidRPr="00A124EC">
        <w:t xml:space="preserve">ntervenors </w:t>
      </w:r>
      <w:r>
        <w:t>took</w:t>
      </w:r>
      <w:r w:rsidRPr="00A124EC">
        <w:t xml:space="preserve"> no position on these issues nor </w:t>
      </w:r>
      <w:r>
        <w:t>did</w:t>
      </w:r>
      <w:r w:rsidRPr="00A124EC">
        <w:t xml:space="preserve"> they have the burden of proof related to them. As such, they represent</w:t>
      </w:r>
      <w:r>
        <w:t>ed</w:t>
      </w:r>
      <w:r w:rsidRPr="00A124EC">
        <w:t xml:space="preserve"> that they </w:t>
      </w:r>
      <w:r>
        <w:t>would</w:t>
      </w:r>
      <w:r w:rsidRPr="00A124EC">
        <w:t xml:space="preserve"> not contest or oppose the Commission taking action approving a proposed stipulation between the utilities and </w:t>
      </w:r>
      <w:r>
        <w:t>Commission S</w:t>
      </w:r>
      <w:r w:rsidRPr="00A124EC">
        <w:t>taff as a final resolution of these issues. No per</w:t>
      </w:r>
      <w:r>
        <w:t xml:space="preserve">son is authorized to state that </w:t>
      </w:r>
      <w:r w:rsidRPr="00A124EC">
        <w:t xml:space="preserve">OPC, FIPUG, </w:t>
      </w:r>
      <w:r>
        <w:t>Nucor</w:t>
      </w:r>
      <w:r w:rsidRPr="00A124EC">
        <w:t xml:space="preserve">, or </w:t>
      </w:r>
      <w:r>
        <w:t>PCS</w:t>
      </w:r>
      <w:r w:rsidRPr="00A124EC">
        <w:t xml:space="preserve"> </w:t>
      </w:r>
      <w:r>
        <w:t>Phosphate was</w:t>
      </w:r>
      <w:r w:rsidRPr="00A124EC">
        <w:t xml:space="preserve"> a participant in, or party to, a stipulation on these issues, either in this docket, in an order of the Commission, or in a representation to a Court.</w:t>
      </w:r>
    </w:p>
  </w:footnote>
  <w:footnote w:id="3">
    <w:p w:rsidR="0035159A" w:rsidRDefault="0035159A" w:rsidP="00325BFB">
      <w:pPr>
        <w:pStyle w:val="FootnoteText"/>
      </w:pPr>
      <w:r>
        <w:rPr>
          <w:rStyle w:val="FootnoteReference"/>
        </w:rPr>
        <w:footnoteRef/>
      </w:r>
      <w:r>
        <w:t xml:space="preserve"> </w:t>
      </w:r>
      <w:r w:rsidRPr="00BA14C0">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59A" w:rsidRDefault="0035159A">
    <w:pPr>
      <w:pStyle w:val="OrderHeader"/>
    </w:pPr>
    <w:r>
      <w:t xml:space="preserve">ORDER NO. </w:t>
    </w:r>
    <w:fldSimple w:instr=" REF OrderNo0435 ">
      <w:r w:rsidR="001F7993">
        <w:t>PSC-2025-0435-FOF-EG</w:t>
      </w:r>
    </w:fldSimple>
  </w:p>
  <w:p w:rsidR="0035159A" w:rsidRDefault="0035159A">
    <w:pPr>
      <w:pStyle w:val="OrderHeader"/>
    </w:pPr>
    <w:bookmarkStart w:id="9" w:name="HeaderDocketNo"/>
    <w:bookmarkEnd w:id="9"/>
    <w:r>
      <w:t>DOCKET NO. 20250002-EG</w:t>
    </w:r>
  </w:p>
  <w:p w:rsidR="0035159A" w:rsidRDefault="003515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7993">
      <w:rPr>
        <w:rStyle w:val="PageNumber"/>
        <w:noProof/>
      </w:rPr>
      <w:t>15</w:t>
    </w:r>
    <w:r>
      <w:rPr>
        <w:rStyle w:val="PageNumber"/>
      </w:rPr>
      <w:fldChar w:fldCharType="end"/>
    </w:r>
  </w:p>
  <w:p w:rsidR="0035159A" w:rsidRDefault="0035159A">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2-EG"/>
  </w:docVars>
  <w:rsids>
    <w:rsidRoot w:val="00A3768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129D"/>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7993"/>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5BFB"/>
    <w:rsid w:val="003270C4"/>
    <w:rsid w:val="00331ED0"/>
    <w:rsid w:val="00332B0A"/>
    <w:rsid w:val="00333A41"/>
    <w:rsid w:val="00341036"/>
    <w:rsid w:val="00345434"/>
    <w:rsid w:val="0035159A"/>
    <w:rsid w:val="00351C22"/>
    <w:rsid w:val="0035495B"/>
    <w:rsid w:val="00355526"/>
    <w:rsid w:val="00355A93"/>
    <w:rsid w:val="00360F30"/>
    <w:rsid w:val="00361522"/>
    <w:rsid w:val="0037196E"/>
    <w:rsid w:val="003744F5"/>
    <w:rsid w:val="00382C6A"/>
    <w:rsid w:val="003875A9"/>
    <w:rsid w:val="00387BDE"/>
    <w:rsid w:val="00390DD8"/>
    <w:rsid w:val="00394DC6"/>
    <w:rsid w:val="00397C3E"/>
    <w:rsid w:val="003B1A09"/>
    <w:rsid w:val="003B6F02"/>
    <w:rsid w:val="003B70F7"/>
    <w:rsid w:val="003C0431"/>
    <w:rsid w:val="003C29BB"/>
    <w:rsid w:val="003D3989"/>
    <w:rsid w:val="003D4CCA"/>
    <w:rsid w:val="003D52A6"/>
    <w:rsid w:val="003D6416"/>
    <w:rsid w:val="003E1D48"/>
    <w:rsid w:val="003E711F"/>
    <w:rsid w:val="003F0FD0"/>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156E"/>
    <w:rsid w:val="004640B3"/>
    <w:rsid w:val="00472329"/>
    <w:rsid w:val="00472BCC"/>
    <w:rsid w:val="00477699"/>
    <w:rsid w:val="0049174E"/>
    <w:rsid w:val="004A25CD"/>
    <w:rsid w:val="004A26CC"/>
    <w:rsid w:val="004B20E6"/>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E6F35"/>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4BD7"/>
    <w:rsid w:val="009D4C29"/>
    <w:rsid w:val="009E58E9"/>
    <w:rsid w:val="009E6803"/>
    <w:rsid w:val="009F1041"/>
    <w:rsid w:val="009F6AD2"/>
    <w:rsid w:val="009F7C1B"/>
    <w:rsid w:val="00A00B5B"/>
    <w:rsid w:val="00A00D8D"/>
    <w:rsid w:val="00A01BB6"/>
    <w:rsid w:val="00A108A7"/>
    <w:rsid w:val="00A228DA"/>
    <w:rsid w:val="00A22B28"/>
    <w:rsid w:val="00A3351E"/>
    <w:rsid w:val="00A3768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0E8A"/>
    <w:rsid w:val="00B61D42"/>
    <w:rsid w:val="00B67A43"/>
    <w:rsid w:val="00B71D1F"/>
    <w:rsid w:val="00B72CFF"/>
    <w:rsid w:val="00B73DE6"/>
    <w:rsid w:val="00B761CD"/>
    <w:rsid w:val="00B76B66"/>
    <w:rsid w:val="00B85B91"/>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7E42"/>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092D"/>
    <w:rsid w:val="00E4225C"/>
    <w:rsid w:val="00E44879"/>
    <w:rsid w:val="00E453B5"/>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2100"/>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14:docId w14:val="7175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4B20E6"/>
  </w:style>
  <w:style w:type="paragraph" w:customStyle="1" w:styleId="QuickA">
    <w:name w:val="Quick A."/>
    <w:rsid w:val="00E453B5"/>
    <w:pPr>
      <w:widowControl w:val="0"/>
      <w:ind w:left="-2160"/>
    </w:pPr>
    <w:rPr>
      <w:snapToGrid w:val="0"/>
      <w:sz w:val="24"/>
    </w:rPr>
  </w:style>
  <w:style w:type="paragraph" w:customStyle="1" w:styleId="IssueBody">
    <w:name w:val="Issue Body"/>
    <w:basedOn w:val="Normal"/>
    <w:rsid w:val="00E453B5"/>
    <w:pPr>
      <w:spacing w:after="240"/>
      <w:ind w:left="1440"/>
      <w:jc w:val="both"/>
    </w:pPr>
    <w:rPr>
      <w:szCs w:val="20"/>
    </w:rPr>
  </w:style>
  <w:style w:type="paragraph" w:styleId="BalloonText">
    <w:name w:val="Balloon Text"/>
    <w:basedOn w:val="Normal"/>
    <w:link w:val="BalloonTextChar"/>
    <w:semiHidden/>
    <w:unhideWhenUsed/>
    <w:rsid w:val="001F7993"/>
    <w:rPr>
      <w:rFonts w:ascii="Segoe UI" w:hAnsi="Segoe UI" w:cs="Segoe UI"/>
      <w:sz w:val="18"/>
      <w:szCs w:val="18"/>
    </w:rPr>
  </w:style>
  <w:style w:type="character" w:customStyle="1" w:styleId="BalloonTextChar">
    <w:name w:val="Balloon Text Char"/>
    <w:basedOn w:val="DefaultParagraphFont"/>
    <w:link w:val="BalloonText"/>
    <w:semiHidden/>
    <w:rsid w:val="001F7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2EF60-68D8-4620-A01D-050AE989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15</Pages>
  <Words>3400</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2025-11-24T15:53:00Z</dcterms:created>
  <dcterms:modified xsi:type="dcterms:W3CDTF">2025-11-24T16:23:00Z</dcterms:modified>
</cp:coreProperties>
</file>