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323C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323CE">
            <w:pPr>
              <w:pStyle w:val="MemoHeading"/>
            </w:pPr>
            <w:bookmarkStart w:id="1" w:name="FilingDate"/>
            <w:r>
              <w:t>October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323CE" w:rsidRDefault="00D323CE">
            <w:pPr>
              <w:pStyle w:val="MemoHeading"/>
            </w:pPr>
            <w:bookmarkStart w:id="2" w:name="From"/>
            <w:r>
              <w:t>Division of Economics (Morgan, Coston, Guffey)</w:t>
            </w:r>
          </w:p>
          <w:p w:rsidR="007C0528" w:rsidRDefault="00D323CE">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323CE">
            <w:pPr>
              <w:pStyle w:val="MemoHeadingRe"/>
            </w:pPr>
            <w:bookmarkStart w:id="3" w:name="Re"/>
            <w:r>
              <w:t>Docket No. 20170209-EI – Petition for approval of modifications to business incentive rate riders,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323CE">
            <w:pPr>
              <w:pStyle w:val="MemoHeading"/>
            </w:pPr>
            <w:bookmarkStart w:id="4" w:name="AgendaDate"/>
            <w:r>
              <w:t>11/07/17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323C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323C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F1930" w:rsidP="00843E95">
            <w:pPr>
              <w:pStyle w:val="MemoHeading"/>
            </w:pPr>
            <w:r>
              <w:t>60</w:t>
            </w:r>
            <w:r w:rsidR="00843E95">
              <w:t xml:space="preserve"> </w:t>
            </w:r>
            <w:r>
              <w:t>Day Effective Date: 11/25/17</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323C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2672F" w:rsidRDefault="00D323CE" w:rsidP="00D323CE">
      <w:pPr>
        <w:pStyle w:val="BodyText"/>
      </w:pPr>
      <w:r>
        <w:t xml:space="preserve">On September 25, 2017, Gulf Power Company (Gulf or </w:t>
      </w:r>
      <w:r w:rsidR="00BF1930">
        <w:t>c</w:t>
      </w:r>
      <w:r>
        <w:t>ompany) filed a petition requesting modifications to its Extra Large Business Incentive Rate Rider (XLBIR), Large Business Incentive Rate Rider (LBIR), Medium Business Incentive Rate Rider (MBIR), and Small Business Incentive Rate Rider (SBIR)</w:t>
      </w:r>
      <w:r w:rsidR="005F14E1">
        <w:t>, known collectively as the riders</w:t>
      </w:r>
      <w:r>
        <w:t>. T</w:t>
      </w:r>
      <w:r w:rsidR="004E1B4A">
        <w:t>he riders</w:t>
      </w:r>
      <w:r>
        <w:t xml:space="preserve"> collectively share a 100 </w:t>
      </w:r>
      <w:r w:rsidR="00D6738C">
        <w:t>m</w:t>
      </w:r>
      <w:r w:rsidR="00051A46">
        <w:t>egawatt (</w:t>
      </w:r>
      <w:r>
        <w:t>MW</w:t>
      </w:r>
      <w:r w:rsidR="00051A46">
        <w:t>)</w:t>
      </w:r>
      <w:r>
        <w:t xml:space="preserve"> subscription limitation. Gulf is requesting in this petition to remove this </w:t>
      </w:r>
      <w:r w:rsidR="00667C05">
        <w:t>limitation</w:t>
      </w:r>
      <w:r>
        <w:t xml:space="preserve">. </w:t>
      </w:r>
      <w:r w:rsidR="00A20FDD">
        <w:t>T</w:t>
      </w:r>
      <w:r>
        <w:t xml:space="preserve">he </w:t>
      </w:r>
      <w:r w:rsidR="000940D5">
        <w:t>c</w:t>
      </w:r>
      <w:r>
        <w:t xml:space="preserve">ompany’s </w:t>
      </w:r>
      <w:r w:rsidR="004E1B4A">
        <w:t>riders</w:t>
      </w:r>
      <w:r>
        <w:t xml:space="preserve"> w</w:t>
      </w:r>
      <w:r w:rsidR="004E1B4A">
        <w:t>ere</w:t>
      </w:r>
      <w:r>
        <w:t xml:space="preserve"> approved by the Commission as a three-year pilot program (January 1, 2014 through December 31, 2016) </w:t>
      </w:r>
      <w:r w:rsidR="008333CC">
        <w:t>pursuant to</w:t>
      </w:r>
      <w:r>
        <w:t xml:space="preserve"> the Stipul</w:t>
      </w:r>
      <w:r w:rsidR="009C0554">
        <w:t>ation and Settlement Agreement in</w:t>
      </w:r>
      <w:r>
        <w:t xml:space="preserve"> </w:t>
      </w:r>
      <w:r w:rsidR="00A20FDD">
        <w:t>Gulf’s 2013 base rate proceeding</w:t>
      </w:r>
      <w:r>
        <w:t>.</w:t>
      </w:r>
      <w:r>
        <w:rPr>
          <w:rStyle w:val="FootnoteReference"/>
        </w:rPr>
        <w:footnoteReference w:id="1"/>
      </w:r>
      <w:r>
        <w:t xml:space="preserve"> On </w:t>
      </w:r>
      <w:r w:rsidR="00B376CE">
        <w:t>June 9</w:t>
      </w:r>
      <w:r>
        <w:t xml:space="preserve">, 2016, the Commission approved a limited extension of the </w:t>
      </w:r>
      <w:r w:rsidR="004E1B4A">
        <w:t>riders</w:t>
      </w:r>
      <w:r>
        <w:t xml:space="preserve">, changing the termination date from December 31, </w:t>
      </w:r>
      <w:r>
        <w:lastRenderedPageBreak/>
        <w:t>2016 to December 31, 2017</w:t>
      </w:r>
      <w:r w:rsidR="004E1B4A">
        <w:t>.</w:t>
      </w:r>
      <w:r>
        <w:rPr>
          <w:rStyle w:val="FootnoteReference"/>
        </w:rPr>
        <w:footnoteReference w:id="2"/>
      </w:r>
      <w:r>
        <w:t xml:space="preserve"> On May 16, 2017, as part of the Stipulation and Settlement Agreement in Gulf’s 2016 base rate proceeding, the Commission made the program a permanent tariff option</w:t>
      </w:r>
      <w:r w:rsidR="004E1B4A">
        <w:t>.</w:t>
      </w:r>
      <w:r>
        <w:rPr>
          <w:rStyle w:val="FootnoteReference"/>
        </w:rPr>
        <w:footnoteReference w:id="3"/>
      </w:r>
      <w:r w:rsidR="004E1B4A">
        <w:t xml:space="preserve"> T</w:t>
      </w:r>
      <w:r>
        <w:t xml:space="preserve">he </w:t>
      </w:r>
      <w:r w:rsidR="004E1B4A">
        <w:t>XLB</w:t>
      </w:r>
      <w:r>
        <w:t xml:space="preserve">IR was also </w:t>
      </w:r>
      <w:r w:rsidR="00337144">
        <w:t xml:space="preserve">approved </w:t>
      </w:r>
      <w:r>
        <w:t>as part of the agreement.</w:t>
      </w:r>
      <w:r w:rsidRPr="009D0BA9">
        <w:t xml:space="preserve"> </w:t>
      </w:r>
      <w:r>
        <w:t xml:space="preserve">The </w:t>
      </w:r>
      <w:r w:rsidR="00B67166">
        <w:t>riders</w:t>
      </w:r>
      <w:r w:rsidR="00DD67A3">
        <w:t>,</w:t>
      </w:r>
      <w:r>
        <w:t xml:space="preserve"> which require a five-year electric service contract</w:t>
      </w:r>
      <w:r w:rsidR="00B67166">
        <w:t xml:space="preserve"> (the XLBIR requires a ten-year contract)</w:t>
      </w:r>
      <w:r>
        <w:t>, provide base rate credits for new businesses that meet certain re</w:t>
      </w:r>
      <w:r w:rsidR="000163DB">
        <w:t>quirements such as minimum monthly</w:t>
      </w:r>
      <w:r>
        <w:t xml:space="preserve"> load, job creation, and capital investment. Customers must also verify that the availability of the riders is a significant factor in their location or expansion decision.</w:t>
      </w:r>
    </w:p>
    <w:p w:rsidR="00EA2273" w:rsidRDefault="00D323CE" w:rsidP="00D323CE">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Staff issued a data request to Gulf on October 6, 2017</w:t>
      </w:r>
      <w:r w:rsidR="005F6540">
        <w:t>,</w:t>
      </w:r>
      <w:r>
        <w:t xml:space="preserve"> and the </w:t>
      </w:r>
      <w:r w:rsidR="00AC3775">
        <w:t>c</w:t>
      </w:r>
      <w:r w:rsidR="00BF1930">
        <w:t>ompany</w:t>
      </w:r>
      <w:r>
        <w:t xml:space="preserve"> responded on October 13</w:t>
      </w:r>
      <w:r w:rsidRPr="00C741E3">
        <w:t>, 201</w:t>
      </w:r>
      <w:r>
        <w:t>7. Attachment A of this recommendation provides the</w:t>
      </w:r>
      <w:r w:rsidR="009D042C">
        <w:t xml:space="preserve"> rider</w:t>
      </w:r>
      <w:r>
        <w:t xml:space="preserve"> tariff sheets </w:t>
      </w:r>
      <w:r w:rsidR="007F16A5">
        <w:t>indicating</w:t>
      </w:r>
      <w:r>
        <w:t xml:space="preserve"> the proposed changes. The Commission has jurisdiction over this matter pursuant to Sections 288.035 and 366.06, Florida Statutes.</w:t>
      </w:r>
      <w:bookmarkEnd w:id="11"/>
    </w:p>
    <w:p w:rsidR="007C0528" w:rsidRDefault="007C0528">
      <w:pPr>
        <w:pStyle w:val="RecommendationMajorSectionHeading"/>
      </w:pPr>
      <w:bookmarkStart w:id="15" w:name="DiscussionOfIssues"/>
      <w:r>
        <w:lastRenderedPageBreak/>
        <w:t>Discussion of Issues</w:t>
      </w:r>
    </w:p>
    <w:bookmarkEnd w:id="15"/>
    <w:p w:rsidR="00DD081B" w:rsidRDefault="00DD081B">
      <w:pPr>
        <w:pStyle w:val="IssueHeading"/>
        <w:rPr>
          <w:vanish/>
          <w:specVanish/>
        </w:rPr>
      </w:pPr>
      <w:r w:rsidRPr="004C3641">
        <w:t xml:space="preserve">Issue </w:t>
      </w:r>
      <w:fldSimple w:instr=" SEQ Issue \* MERGEFORMAT ">
        <w:r w:rsidR="00C16972">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16972">
        <w:rPr>
          <w:noProof/>
        </w:rPr>
        <w:instrText>1</w:instrText>
      </w:r>
      <w:r>
        <w:fldChar w:fldCharType="end"/>
      </w:r>
      <w:r>
        <w:tab/>
        <w:instrText xml:space="preserve">(Morgan)" \l 1 </w:instrText>
      </w:r>
      <w:r>
        <w:fldChar w:fldCharType="end"/>
      </w:r>
      <w:r>
        <w:t> </w:t>
      </w:r>
    </w:p>
    <w:p w:rsidR="00DD081B" w:rsidRDefault="00DD081B">
      <w:pPr>
        <w:pStyle w:val="BodyText"/>
      </w:pPr>
      <w:r>
        <w:t> Should the Commission approve Gulf’s p</w:t>
      </w:r>
      <w:r w:rsidR="009D20DB">
        <w:t>etition for</w:t>
      </w:r>
      <w:r>
        <w:t xml:space="preserve"> modifications to its </w:t>
      </w:r>
      <w:r w:rsidR="008333CC">
        <w:t>B</w:t>
      </w:r>
      <w:r>
        <w:t xml:space="preserve">usiness </w:t>
      </w:r>
      <w:r w:rsidR="008333CC">
        <w:t>I</w:t>
      </w:r>
      <w:r>
        <w:t xml:space="preserve">ncentive </w:t>
      </w:r>
      <w:r w:rsidR="008333CC">
        <w:t>R</w:t>
      </w:r>
      <w:r>
        <w:t xml:space="preserve">ate </w:t>
      </w:r>
      <w:r w:rsidR="008333CC">
        <w:t>R</w:t>
      </w:r>
      <w:r>
        <w:t>iders?</w:t>
      </w:r>
    </w:p>
    <w:p w:rsidR="00DD081B" w:rsidRPr="004C3641" w:rsidRDefault="00DD081B">
      <w:pPr>
        <w:pStyle w:val="IssueSubsectionHeading"/>
        <w:rPr>
          <w:vanish/>
          <w:specVanish/>
        </w:rPr>
      </w:pPr>
      <w:r w:rsidRPr="004C3641">
        <w:t>Recommendation: </w:t>
      </w:r>
    </w:p>
    <w:p w:rsidR="00DD081B" w:rsidRDefault="00DD081B">
      <w:pPr>
        <w:pStyle w:val="BodyText"/>
      </w:pPr>
      <w:r>
        <w:t xml:space="preserve"> Yes, the Commission should approve Gulf’s petition for modifications to its </w:t>
      </w:r>
      <w:r w:rsidR="008333CC">
        <w:t>B</w:t>
      </w:r>
      <w:r>
        <w:t xml:space="preserve">usiness </w:t>
      </w:r>
      <w:r w:rsidR="008333CC">
        <w:t>I</w:t>
      </w:r>
      <w:r>
        <w:t xml:space="preserve">ncentive </w:t>
      </w:r>
      <w:r w:rsidR="008333CC">
        <w:t>R</w:t>
      </w:r>
      <w:r>
        <w:t xml:space="preserve">ate </w:t>
      </w:r>
      <w:r w:rsidR="008333CC">
        <w:t>R</w:t>
      </w:r>
      <w:r>
        <w:t>iders</w:t>
      </w:r>
      <w:r w:rsidR="00817FD4">
        <w:t xml:space="preserve"> effective November 7, 2017</w:t>
      </w:r>
      <w:r>
        <w:t>. (Morgan)</w:t>
      </w:r>
    </w:p>
    <w:p w:rsidR="00DD081B" w:rsidRPr="004C3641" w:rsidRDefault="00DD081B">
      <w:pPr>
        <w:pStyle w:val="IssueSubsectionHeading"/>
        <w:rPr>
          <w:vanish/>
          <w:specVanish/>
        </w:rPr>
      </w:pPr>
      <w:r w:rsidRPr="004C3641">
        <w:t>Staff Analysis: </w:t>
      </w:r>
    </w:p>
    <w:p w:rsidR="00DD081B" w:rsidRDefault="00DD081B" w:rsidP="00DD081B">
      <w:pPr>
        <w:pStyle w:val="BodyText"/>
      </w:pPr>
      <w:r>
        <w:t xml:space="preserve"> The </w:t>
      </w:r>
      <w:r w:rsidR="00456891">
        <w:t>r</w:t>
      </w:r>
      <w:r>
        <w:t xml:space="preserve">iders are designed to attract new commercial and industrial customers to Gulf’s service territory and foster economic growth. The </w:t>
      </w:r>
      <w:r w:rsidR="008E6112">
        <w:t>riders</w:t>
      </w:r>
      <w:r>
        <w:t xml:space="preserve"> offer base rate electr</w:t>
      </w:r>
      <w:r w:rsidR="00151CAE">
        <w:t>ic price incentives over a four</w:t>
      </w:r>
      <w:r>
        <w:t xml:space="preserve"> to nine-year period for new or expanding businesses that meet certain electric load and </w:t>
      </w:r>
      <w:r w:rsidR="00B877C1">
        <w:t>full-time employee</w:t>
      </w:r>
      <w:r w:rsidR="008E6112">
        <w:t xml:space="preserve"> (FTE)</w:t>
      </w:r>
      <w:r>
        <w:t xml:space="preserve"> requirements. Table 1-1 shows the requiremen</w:t>
      </w:r>
      <w:r w:rsidR="00EE5C55">
        <w:t>ts for customers to join each rider</w:t>
      </w:r>
      <w:r>
        <w:t>.</w:t>
      </w:r>
    </w:p>
    <w:p w:rsidR="00DD081B" w:rsidRDefault="00DD081B" w:rsidP="00DD081B">
      <w:pPr>
        <w:pStyle w:val="TableNumber"/>
        <w:keepNext/>
      </w:pPr>
      <w:r>
        <w:t xml:space="preserve">Table </w:t>
      </w:r>
      <w:r w:rsidR="00C64921">
        <w:fldChar w:fldCharType="begin"/>
      </w:r>
      <w:r w:rsidR="00C64921">
        <w:instrText xml:space="preserve"> SEQ Issue \c </w:instrText>
      </w:r>
      <w:r w:rsidR="00C64921">
        <w:fldChar w:fldCharType="separate"/>
      </w:r>
      <w:r w:rsidR="00C16972">
        <w:rPr>
          <w:noProof/>
        </w:rPr>
        <w:t>1</w:t>
      </w:r>
      <w:r w:rsidR="00C64921">
        <w:rPr>
          <w:noProof/>
        </w:rPr>
        <w:fldChar w:fldCharType="end"/>
      </w:r>
      <w:r>
        <w:t>-1</w:t>
      </w:r>
    </w:p>
    <w:p w:rsidR="00DD081B" w:rsidRDefault="00DD081B" w:rsidP="00DD081B">
      <w:pPr>
        <w:pStyle w:val="TableTitle"/>
        <w:keepNext/>
      </w:pPr>
      <w:r>
        <w:t>Requirements by Rider</w:t>
      </w:r>
    </w:p>
    <w:tbl>
      <w:tblPr>
        <w:tblStyle w:val="TableGrid"/>
        <w:tblW w:w="9848" w:type="dxa"/>
        <w:tblLook w:val="04A0" w:firstRow="1" w:lastRow="0" w:firstColumn="1" w:lastColumn="0" w:noHBand="0" w:noVBand="1"/>
      </w:tblPr>
      <w:tblGrid>
        <w:gridCol w:w="2462"/>
        <w:gridCol w:w="2462"/>
        <w:gridCol w:w="2462"/>
        <w:gridCol w:w="2462"/>
      </w:tblGrid>
      <w:tr w:rsidR="00DD081B" w:rsidTr="00387413">
        <w:trPr>
          <w:trHeight w:val="365"/>
        </w:trPr>
        <w:tc>
          <w:tcPr>
            <w:tcW w:w="2462" w:type="dxa"/>
            <w:vAlign w:val="center"/>
          </w:tcPr>
          <w:p w:rsidR="00DD081B" w:rsidRPr="00DD081B" w:rsidRDefault="00DD081B" w:rsidP="00387413">
            <w:pPr>
              <w:jc w:val="center"/>
              <w:rPr>
                <w:b/>
              </w:rPr>
            </w:pPr>
            <w:r w:rsidRPr="00DD081B">
              <w:rPr>
                <w:b/>
              </w:rPr>
              <w:t>Rider</w:t>
            </w:r>
          </w:p>
        </w:tc>
        <w:tc>
          <w:tcPr>
            <w:tcW w:w="2462" w:type="dxa"/>
            <w:vAlign w:val="center"/>
          </w:tcPr>
          <w:p w:rsidR="00DD081B" w:rsidRPr="00DD081B" w:rsidRDefault="008F52CE" w:rsidP="008F52CE">
            <w:pPr>
              <w:jc w:val="center"/>
              <w:rPr>
                <w:b/>
              </w:rPr>
            </w:pPr>
            <w:r>
              <w:rPr>
                <w:b/>
              </w:rPr>
              <w:t>Monthly</w:t>
            </w:r>
            <w:r w:rsidR="00DD081B" w:rsidRPr="00DD081B">
              <w:rPr>
                <w:b/>
              </w:rPr>
              <w:t xml:space="preserve"> Load</w:t>
            </w:r>
          </w:p>
        </w:tc>
        <w:tc>
          <w:tcPr>
            <w:tcW w:w="2462" w:type="dxa"/>
            <w:vAlign w:val="center"/>
          </w:tcPr>
          <w:p w:rsidR="00DD081B" w:rsidRPr="00DD081B" w:rsidRDefault="00DD081B" w:rsidP="00387413">
            <w:pPr>
              <w:jc w:val="center"/>
              <w:rPr>
                <w:b/>
              </w:rPr>
            </w:pPr>
            <w:r w:rsidRPr="00DD081B">
              <w:rPr>
                <w:b/>
              </w:rPr>
              <w:t>Number of FTEs</w:t>
            </w:r>
          </w:p>
        </w:tc>
        <w:tc>
          <w:tcPr>
            <w:tcW w:w="2462" w:type="dxa"/>
            <w:vAlign w:val="center"/>
          </w:tcPr>
          <w:p w:rsidR="00DD081B" w:rsidRPr="00DD081B" w:rsidRDefault="00DD081B" w:rsidP="00387413">
            <w:pPr>
              <w:jc w:val="center"/>
              <w:rPr>
                <w:b/>
              </w:rPr>
            </w:pPr>
            <w:r w:rsidRPr="00DD081B">
              <w:rPr>
                <w:b/>
              </w:rPr>
              <w:t>Capital Investment</w:t>
            </w:r>
          </w:p>
        </w:tc>
      </w:tr>
      <w:tr w:rsidR="00DD081B" w:rsidTr="00387413">
        <w:trPr>
          <w:trHeight w:val="365"/>
        </w:trPr>
        <w:tc>
          <w:tcPr>
            <w:tcW w:w="2462" w:type="dxa"/>
            <w:vAlign w:val="center"/>
          </w:tcPr>
          <w:p w:rsidR="00DD081B" w:rsidRDefault="00DD081B" w:rsidP="00387413">
            <w:pPr>
              <w:jc w:val="center"/>
            </w:pPr>
            <w:r>
              <w:t>XLBIR</w:t>
            </w:r>
          </w:p>
        </w:tc>
        <w:tc>
          <w:tcPr>
            <w:tcW w:w="2462" w:type="dxa"/>
            <w:vAlign w:val="center"/>
          </w:tcPr>
          <w:p w:rsidR="00DD081B" w:rsidRDefault="00DD081B" w:rsidP="00387413">
            <w:pPr>
              <w:jc w:val="center"/>
            </w:pPr>
            <w:r>
              <w:t>5 MW</w:t>
            </w:r>
          </w:p>
        </w:tc>
        <w:tc>
          <w:tcPr>
            <w:tcW w:w="2462" w:type="dxa"/>
            <w:vAlign w:val="center"/>
          </w:tcPr>
          <w:p w:rsidR="00DD081B" w:rsidRDefault="00DD081B" w:rsidP="00387413">
            <w:pPr>
              <w:jc w:val="center"/>
            </w:pPr>
            <w:r>
              <w:t>50</w:t>
            </w:r>
          </w:p>
        </w:tc>
        <w:tc>
          <w:tcPr>
            <w:tcW w:w="2462" w:type="dxa"/>
            <w:vAlign w:val="center"/>
          </w:tcPr>
          <w:p w:rsidR="00DD081B" w:rsidRDefault="00DD081B" w:rsidP="00387413">
            <w:pPr>
              <w:jc w:val="center"/>
            </w:pPr>
            <w:r>
              <w:t>$1,000,000</w:t>
            </w:r>
          </w:p>
        </w:tc>
      </w:tr>
      <w:tr w:rsidR="00DD081B" w:rsidTr="00387413">
        <w:trPr>
          <w:trHeight w:val="365"/>
        </w:trPr>
        <w:tc>
          <w:tcPr>
            <w:tcW w:w="2462" w:type="dxa"/>
            <w:vAlign w:val="center"/>
          </w:tcPr>
          <w:p w:rsidR="00DD081B" w:rsidRDefault="00DD081B" w:rsidP="00387413">
            <w:pPr>
              <w:jc w:val="center"/>
            </w:pPr>
            <w:r>
              <w:t>LBIR</w:t>
            </w:r>
          </w:p>
        </w:tc>
        <w:tc>
          <w:tcPr>
            <w:tcW w:w="2462" w:type="dxa"/>
            <w:vAlign w:val="center"/>
          </w:tcPr>
          <w:p w:rsidR="00DD081B" w:rsidRDefault="00DD081B" w:rsidP="00387413">
            <w:pPr>
              <w:jc w:val="center"/>
            </w:pPr>
            <w:r>
              <w:t>1,000 kW</w:t>
            </w:r>
          </w:p>
        </w:tc>
        <w:tc>
          <w:tcPr>
            <w:tcW w:w="2462" w:type="dxa"/>
            <w:vAlign w:val="center"/>
          </w:tcPr>
          <w:p w:rsidR="00DD081B" w:rsidRDefault="00DD081B" w:rsidP="00387413">
            <w:pPr>
              <w:jc w:val="center"/>
            </w:pPr>
            <w:r>
              <w:t>50</w:t>
            </w:r>
          </w:p>
        </w:tc>
        <w:tc>
          <w:tcPr>
            <w:tcW w:w="2462" w:type="dxa"/>
            <w:vAlign w:val="center"/>
          </w:tcPr>
          <w:p w:rsidR="00DD081B" w:rsidRDefault="00DD081B" w:rsidP="00387413">
            <w:pPr>
              <w:jc w:val="center"/>
            </w:pPr>
            <w:r>
              <w:t>$1,000,000</w:t>
            </w:r>
          </w:p>
        </w:tc>
      </w:tr>
      <w:tr w:rsidR="00DD081B" w:rsidTr="00387413">
        <w:trPr>
          <w:trHeight w:val="365"/>
        </w:trPr>
        <w:tc>
          <w:tcPr>
            <w:tcW w:w="2462" w:type="dxa"/>
            <w:vAlign w:val="center"/>
          </w:tcPr>
          <w:p w:rsidR="00DD081B" w:rsidRDefault="00DD081B" w:rsidP="00387413">
            <w:pPr>
              <w:jc w:val="center"/>
            </w:pPr>
            <w:r>
              <w:t>MBIR</w:t>
            </w:r>
          </w:p>
        </w:tc>
        <w:tc>
          <w:tcPr>
            <w:tcW w:w="2462" w:type="dxa"/>
            <w:vAlign w:val="center"/>
          </w:tcPr>
          <w:p w:rsidR="00DD081B" w:rsidRDefault="00DD081B" w:rsidP="00387413">
            <w:pPr>
              <w:jc w:val="center"/>
            </w:pPr>
            <w:r>
              <w:t>350 kW</w:t>
            </w:r>
          </w:p>
        </w:tc>
        <w:tc>
          <w:tcPr>
            <w:tcW w:w="2462" w:type="dxa"/>
            <w:vAlign w:val="center"/>
          </w:tcPr>
          <w:p w:rsidR="00DD081B" w:rsidRDefault="00DD081B" w:rsidP="00387413">
            <w:pPr>
              <w:jc w:val="center"/>
            </w:pPr>
            <w:r>
              <w:t>25</w:t>
            </w:r>
          </w:p>
        </w:tc>
        <w:tc>
          <w:tcPr>
            <w:tcW w:w="2462" w:type="dxa"/>
            <w:vAlign w:val="center"/>
          </w:tcPr>
          <w:p w:rsidR="00DD081B" w:rsidRDefault="00DD081B" w:rsidP="00387413">
            <w:pPr>
              <w:jc w:val="center"/>
            </w:pPr>
            <w:r>
              <w:t>None</w:t>
            </w:r>
          </w:p>
        </w:tc>
      </w:tr>
      <w:tr w:rsidR="00DD081B" w:rsidTr="00387413">
        <w:trPr>
          <w:trHeight w:val="385"/>
        </w:trPr>
        <w:tc>
          <w:tcPr>
            <w:tcW w:w="2462" w:type="dxa"/>
            <w:vAlign w:val="center"/>
          </w:tcPr>
          <w:p w:rsidR="00DD081B" w:rsidRDefault="00DD081B" w:rsidP="009261CA">
            <w:pPr>
              <w:jc w:val="center"/>
            </w:pPr>
            <w:r>
              <w:t>SBIR</w:t>
            </w:r>
          </w:p>
        </w:tc>
        <w:tc>
          <w:tcPr>
            <w:tcW w:w="2462" w:type="dxa"/>
            <w:vAlign w:val="center"/>
          </w:tcPr>
          <w:p w:rsidR="00DD081B" w:rsidRDefault="00DD081B" w:rsidP="00387413">
            <w:pPr>
              <w:jc w:val="center"/>
            </w:pPr>
            <w:r>
              <w:t>200 kW</w:t>
            </w:r>
          </w:p>
        </w:tc>
        <w:tc>
          <w:tcPr>
            <w:tcW w:w="2462" w:type="dxa"/>
            <w:vAlign w:val="center"/>
          </w:tcPr>
          <w:p w:rsidR="00DD081B" w:rsidRDefault="00DD081B" w:rsidP="00387413">
            <w:pPr>
              <w:jc w:val="center"/>
            </w:pPr>
            <w:r>
              <w:t>10</w:t>
            </w:r>
          </w:p>
        </w:tc>
        <w:tc>
          <w:tcPr>
            <w:tcW w:w="2462" w:type="dxa"/>
            <w:vAlign w:val="center"/>
          </w:tcPr>
          <w:p w:rsidR="00DD081B" w:rsidRDefault="00DD081B" w:rsidP="00387413">
            <w:pPr>
              <w:jc w:val="center"/>
            </w:pPr>
            <w:r>
              <w:t>None</w:t>
            </w:r>
          </w:p>
        </w:tc>
      </w:tr>
    </w:tbl>
    <w:p w:rsidR="00DD081B" w:rsidRDefault="00DD081B" w:rsidP="00DD081B">
      <w:pPr>
        <w:pStyle w:val="TableSource"/>
      </w:pPr>
      <w:r>
        <w:t>Source: Tariff Sheet Nos. 6.93, 6.95, 6.97, 6.104</w:t>
      </w:r>
    </w:p>
    <w:p w:rsidR="00DD081B" w:rsidRDefault="00DD081B" w:rsidP="00DD081B">
      <w:pPr>
        <w:pStyle w:val="TableSource"/>
        <w:spacing w:after="0"/>
      </w:pPr>
      <w:r>
        <w:t>Eligible customers</w:t>
      </w:r>
      <w:r w:rsidRPr="00EC7A38">
        <w:t xml:space="preserve"> must agree to a m</w:t>
      </w:r>
      <w:r>
        <w:t>inimum five-year service agreement</w:t>
      </w:r>
      <w:r w:rsidR="00833A73">
        <w:t xml:space="preserve"> (</w:t>
      </w:r>
      <w:r w:rsidR="00ED38C6">
        <w:t>ten-year</w:t>
      </w:r>
      <w:r w:rsidR="006D38A8">
        <w:t xml:space="preserve"> agreement</w:t>
      </w:r>
      <w:r w:rsidR="00ED38C6">
        <w:t xml:space="preserve"> in the XLBIR)</w:t>
      </w:r>
      <w:r>
        <w:t xml:space="preserve"> and s</w:t>
      </w:r>
      <w:r w:rsidRPr="00EC7A38">
        <w:t xml:space="preserve">ubmit documentation verifying the current number of </w:t>
      </w:r>
      <w:r w:rsidR="008E6112">
        <w:t>FTEs</w:t>
      </w:r>
      <w:r w:rsidR="006927CC">
        <w:t>,</w:t>
      </w:r>
      <w:r>
        <w:t xml:space="preserve"> each year. Table 1-2 illustrates the credits by rider which will be applied to the customer’s base demand and energy charges. </w:t>
      </w:r>
    </w:p>
    <w:p w:rsidR="00DD081B" w:rsidRDefault="00DD081B" w:rsidP="00DD081B">
      <w:pPr>
        <w:pStyle w:val="TableNumber"/>
        <w:keepNext/>
      </w:pPr>
      <w:r>
        <w:t xml:space="preserve">Table </w:t>
      </w:r>
      <w:r w:rsidR="00C64921">
        <w:fldChar w:fldCharType="begin"/>
      </w:r>
      <w:r w:rsidR="00C64921">
        <w:instrText xml:space="preserve"> SEQ Issue \c </w:instrText>
      </w:r>
      <w:r w:rsidR="00C64921">
        <w:fldChar w:fldCharType="separate"/>
      </w:r>
      <w:r w:rsidR="00C16972">
        <w:rPr>
          <w:noProof/>
        </w:rPr>
        <w:t>1</w:t>
      </w:r>
      <w:r w:rsidR="00C64921">
        <w:rPr>
          <w:noProof/>
        </w:rPr>
        <w:fldChar w:fldCharType="end"/>
      </w:r>
      <w:r>
        <w:t>-</w:t>
      </w:r>
      <w:r w:rsidR="00BB4C16">
        <w:t>2</w:t>
      </w:r>
    </w:p>
    <w:p w:rsidR="00DD081B" w:rsidRDefault="00BB4C16" w:rsidP="00DD081B">
      <w:pPr>
        <w:pStyle w:val="TableTitle"/>
        <w:keepNext/>
      </w:pPr>
      <w:r>
        <w:t>Reduction in Base Demand and Energy Charges</w:t>
      </w:r>
    </w:p>
    <w:tbl>
      <w:tblPr>
        <w:tblStyle w:val="TableGrid"/>
        <w:tblW w:w="9816" w:type="dxa"/>
        <w:tblLook w:val="04A0" w:firstRow="1" w:lastRow="0" w:firstColumn="1" w:lastColumn="0" w:noHBand="0" w:noVBand="1"/>
      </w:tblPr>
      <w:tblGrid>
        <w:gridCol w:w="1963"/>
        <w:gridCol w:w="1963"/>
        <w:gridCol w:w="1963"/>
        <w:gridCol w:w="1963"/>
        <w:gridCol w:w="1964"/>
      </w:tblGrid>
      <w:tr w:rsidR="00DD081B" w:rsidTr="00387413">
        <w:trPr>
          <w:trHeight w:val="310"/>
        </w:trPr>
        <w:tc>
          <w:tcPr>
            <w:tcW w:w="1963" w:type="dxa"/>
            <w:vAlign w:val="center"/>
          </w:tcPr>
          <w:p w:rsidR="00DD081B" w:rsidRPr="00387413" w:rsidRDefault="00DD081B" w:rsidP="00387413">
            <w:pPr>
              <w:jc w:val="center"/>
              <w:rPr>
                <w:b/>
              </w:rPr>
            </w:pPr>
            <w:r w:rsidRPr="00387413">
              <w:rPr>
                <w:b/>
              </w:rPr>
              <w:t>Year</w:t>
            </w:r>
          </w:p>
        </w:tc>
        <w:tc>
          <w:tcPr>
            <w:tcW w:w="1963" w:type="dxa"/>
            <w:vAlign w:val="center"/>
          </w:tcPr>
          <w:p w:rsidR="00DD081B" w:rsidRPr="00387413" w:rsidRDefault="00DD081B" w:rsidP="00387413">
            <w:pPr>
              <w:jc w:val="center"/>
              <w:rPr>
                <w:b/>
              </w:rPr>
            </w:pPr>
            <w:r w:rsidRPr="00387413">
              <w:rPr>
                <w:b/>
              </w:rPr>
              <w:t>XLBIR</w:t>
            </w:r>
            <w:r w:rsidR="00293721">
              <w:rPr>
                <w:b/>
              </w:rPr>
              <w:t>*</w:t>
            </w:r>
          </w:p>
        </w:tc>
        <w:tc>
          <w:tcPr>
            <w:tcW w:w="1963" w:type="dxa"/>
            <w:vAlign w:val="center"/>
          </w:tcPr>
          <w:p w:rsidR="00DD081B" w:rsidRPr="00387413" w:rsidRDefault="00DD081B" w:rsidP="00387413">
            <w:pPr>
              <w:jc w:val="center"/>
              <w:rPr>
                <w:b/>
              </w:rPr>
            </w:pPr>
            <w:r w:rsidRPr="00387413">
              <w:rPr>
                <w:b/>
              </w:rPr>
              <w:t>LBIR</w:t>
            </w:r>
          </w:p>
        </w:tc>
        <w:tc>
          <w:tcPr>
            <w:tcW w:w="1963" w:type="dxa"/>
            <w:vAlign w:val="center"/>
          </w:tcPr>
          <w:p w:rsidR="00DD081B" w:rsidRPr="00387413" w:rsidRDefault="00DD081B" w:rsidP="00387413">
            <w:pPr>
              <w:jc w:val="center"/>
              <w:rPr>
                <w:b/>
              </w:rPr>
            </w:pPr>
            <w:r w:rsidRPr="00387413">
              <w:rPr>
                <w:b/>
              </w:rPr>
              <w:t>MBIR</w:t>
            </w:r>
          </w:p>
        </w:tc>
        <w:tc>
          <w:tcPr>
            <w:tcW w:w="1964" w:type="dxa"/>
            <w:vAlign w:val="center"/>
          </w:tcPr>
          <w:p w:rsidR="00DD081B" w:rsidRPr="00387413" w:rsidRDefault="00DD081B" w:rsidP="00387413">
            <w:pPr>
              <w:jc w:val="center"/>
              <w:rPr>
                <w:b/>
              </w:rPr>
            </w:pPr>
            <w:r w:rsidRPr="00387413">
              <w:rPr>
                <w:b/>
              </w:rPr>
              <w:t>SBIR</w:t>
            </w:r>
          </w:p>
        </w:tc>
      </w:tr>
      <w:tr w:rsidR="00DD081B" w:rsidTr="00387413">
        <w:trPr>
          <w:trHeight w:val="310"/>
        </w:trPr>
        <w:tc>
          <w:tcPr>
            <w:tcW w:w="1963" w:type="dxa"/>
            <w:vAlign w:val="center"/>
          </w:tcPr>
          <w:p w:rsidR="00DD081B" w:rsidRDefault="00DD081B" w:rsidP="006927CC">
            <w:pPr>
              <w:jc w:val="center"/>
            </w:pPr>
            <w:r>
              <w:t>1</w:t>
            </w:r>
          </w:p>
        </w:tc>
        <w:tc>
          <w:tcPr>
            <w:tcW w:w="1963" w:type="dxa"/>
            <w:vAlign w:val="center"/>
          </w:tcPr>
          <w:p w:rsidR="00DD081B" w:rsidRDefault="00803027" w:rsidP="00387413">
            <w:pPr>
              <w:jc w:val="center"/>
            </w:pPr>
            <w:r>
              <w:t>60%</w:t>
            </w:r>
          </w:p>
        </w:tc>
        <w:tc>
          <w:tcPr>
            <w:tcW w:w="1963" w:type="dxa"/>
            <w:vAlign w:val="center"/>
          </w:tcPr>
          <w:p w:rsidR="00DD081B" w:rsidRDefault="00803027" w:rsidP="00387413">
            <w:pPr>
              <w:jc w:val="center"/>
            </w:pPr>
            <w:r>
              <w:t>60%</w:t>
            </w:r>
          </w:p>
        </w:tc>
        <w:tc>
          <w:tcPr>
            <w:tcW w:w="1963" w:type="dxa"/>
            <w:vAlign w:val="center"/>
          </w:tcPr>
          <w:p w:rsidR="00DD081B" w:rsidRDefault="00803027" w:rsidP="00387413">
            <w:pPr>
              <w:jc w:val="center"/>
            </w:pPr>
            <w:r>
              <w:t>40%</w:t>
            </w:r>
          </w:p>
        </w:tc>
        <w:tc>
          <w:tcPr>
            <w:tcW w:w="1964" w:type="dxa"/>
            <w:vAlign w:val="center"/>
          </w:tcPr>
          <w:p w:rsidR="00DD081B" w:rsidRDefault="00803027" w:rsidP="00387413">
            <w:pPr>
              <w:jc w:val="center"/>
            </w:pPr>
            <w:r>
              <w:t>20%</w:t>
            </w:r>
          </w:p>
        </w:tc>
      </w:tr>
      <w:tr w:rsidR="00DD081B" w:rsidTr="00387413">
        <w:trPr>
          <w:trHeight w:val="310"/>
        </w:trPr>
        <w:tc>
          <w:tcPr>
            <w:tcW w:w="1963" w:type="dxa"/>
            <w:vAlign w:val="center"/>
          </w:tcPr>
          <w:p w:rsidR="00DD081B" w:rsidRDefault="00DD081B" w:rsidP="006927CC">
            <w:pPr>
              <w:jc w:val="center"/>
            </w:pPr>
            <w:r>
              <w:t>2</w:t>
            </w:r>
          </w:p>
        </w:tc>
        <w:tc>
          <w:tcPr>
            <w:tcW w:w="1963" w:type="dxa"/>
            <w:vAlign w:val="center"/>
          </w:tcPr>
          <w:p w:rsidR="00DD081B" w:rsidRDefault="00803027" w:rsidP="00387413">
            <w:pPr>
              <w:jc w:val="center"/>
            </w:pPr>
            <w:r>
              <w:t>53%</w:t>
            </w:r>
          </w:p>
        </w:tc>
        <w:tc>
          <w:tcPr>
            <w:tcW w:w="1963" w:type="dxa"/>
            <w:vAlign w:val="center"/>
          </w:tcPr>
          <w:p w:rsidR="00DD081B" w:rsidRDefault="00803027" w:rsidP="00387413">
            <w:pPr>
              <w:jc w:val="center"/>
            </w:pPr>
            <w:r>
              <w:t>45%</w:t>
            </w:r>
          </w:p>
        </w:tc>
        <w:tc>
          <w:tcPr>
            <w:tcW w:w="1963" w:type="dxa"/>
            <w:vAlign w:val="center"/>
          </w:tcPr>
          <w:p w:rsidR="00DD081B" w:rsidRDefault="00803027" w:rsidP="00387413">
            <w:pPr>
              <w:jc w:val="center"/>
            </w:pPr>
            <w:r>
              <w:t>30%</w:t>
            </w:r>
          </w:p>
        </w:tc>
        <w:tc>
          <w:tcPr>
            <w:tcW w:w="1964" w:type="dxa"/>
            <w:vAlign w:val="center"/>
          </w:tcPr>
          <w:p w:rsidR="00DD081B" w:rsidRDefault="00803027" w:rsidP="00387413">
            <w:pPr>
              <w:jc w:val="center"/>
            </w:pPr>
            <w:r>
              <w:t>15%</w:t>
            </w:r>
          </w:p>
        </w:tc>
      </w:tr>
      <w:tr w:rsidR="00DD081B" w:rsidTr="00387413">
        <w:trPr>
          <w:trHeight w:val="310"/>
        </w:trPr>
        <w:tc>
          <w:tcPr>
            <w:tcW w:w="1963" w:type="dxa"/>
            <w:vAlign w:val="center"/>
          </w:tcPr>
          <w:p w:rsidR="00DD081B" w:rsidRDefault="00DD081B" w:rsidP="006927CC">
            <w:pPr>
              <w:jc w:val="center"/>
            </w:pPr>
            <w:r>
              <w:t>3</w:t>
            </w:r>
          </w:p>
        </w:tc>
        <w:tc>
          <w:tcPr>
            <w:tcW w:w="1963" w:type="dxa"/>
            <w:vAlign w:val="center"/>
          </w:tcPr>
          <w:p w:rsidR="00DD081B" w:rsidRDefault="00803027" w:rsidP="00387413">
            <w:pPr>
              <w:jc w:val="center"/>
            </w:pPr>
            <w:r>
              <w:t>47%</w:t>
            </w:r>
          </w:p>
        </w:tc>
        <w:tc>
          <w:tcPr>
            <w:tcW w:w="1963" w:type="dxa"/>
            <w:vAlign w:val="center"/>
          </w:tcPr>
          <w:p w:rsidR="00DD081B" w:rsidRDefault="00803027" w:rsidP="00387413">
            <w:pPr>
              <w:jc w:val="center"/>
            </w:pPr>
            <w:r>
              <w:t>30%</w:t>
            </w:r>
          </w:p>
        </w:tc>
        <w:tc>
          <w:tcPr>
            <w:tcW w:w="1963" w:type="dxa"/>
            <w:vAlign w:val="center"/>
          </w:tcPr>
          <w:p w:rsidR="00DD081B" w:rsidRDefault="00803027" w:rsidP="00387413">
            <w:pPr>
              <w:jc w:val="center"/>
            </w:pPr>
            <w:r>
              <w:t>20%</w:t>
            </w:r>
          </w:p>
        </w:tc>
        <w:tc>
          <w:tcPr>
            <w:tcW w:w="1964" w:type="dxa"/>
            <w:vAlign w:val="center"/>
          </w:tcPr>
          <w:p w:rsidR="00DD081B" w:rsidRDefault="00803027" w:rsidP="00387413">
            <w:pPr>
              <w:jc w:val="center"/>
            </w:pPr>
            <w:r>
              <w:t>10%</w:t>
            </w:r>
          </w:p>
        </w:tc>
      </w:tr>
      <w:tr w:rsidR="00DD081B" w:rsidTr="00387413">
        <w:trPr>
          <w:trHeight w:val="327"/>
        </w:trPr>
        <w:tc>
          <w:tcPr>
            <w:tcW w:w="1963" w:type="dxa"/>
            <w:vAlign w:val="center"/>
          </w:tcPr>
          <w:p w:rsidR="00DD081B" w:rsidRDefault="00DD081B" w:rsidP="006927CC">
            <w:pPr>
              <w:jc w:val="center"/>
            </w:pPr>
            <w:r>
              <w:t>4</w:t>
            </w:r>
          </w:p>
        </w:tc>
        <w:tc>
          <w:tcPr>
            <w:tcW w:w="1963" w:type="dxa"/>
            <w:vAlign w:val="center"/>
          </w:tcPr>
          <w:p w:rsidR="00DD081B" w:rsidRDefault="00803027" w:rsidP="00387413">
            <w:pPr>
              <w:jc w:val="center"/>
            </w:pPr>
            <w:r>
              <w:t>40%</w:t>
            </w:r>
          </w:p>
        </w:tc>
        <w:tc>
          <w:tcPr>
            <w:tcW w:w="1963" w:type="dxa"/>
            <w:vAlign w:val="center"/>
          </w:tcPr>
          <w:p w:rsidR="00DD081B" w:rsidRDefault="00803027" w:rsidP="00387413">
            <w:pPr>
              <w:jc w:val="center"/>
            </w:pPr>
            <w:r>
              <w:t>15%</w:t>
            </w:r>
          </w:p>
        </w:tc>
        <w:tc>
          <w:tcPr>
            <w:tcW w:w="1963" w:type="dxa"/>
            <w:vAlign w:val="center"/>
          </w:tcPr>
          <w:p w:rsidR="00DD081B" w:rsidRDefault="00803027" w:rsidP="00387413">
            <w:pPr>
              <w:jc w:val="center"/>
            </w:pPr>
            <w:r>
              <w:t>10%</w:t>
            </w:r>
          </w:p>
        </w:tc>
        <w:tc>
          <w:tcPr>
            <w:tcW w:w="1964" w:type="dxa"/>
            <w:vAlign w:val="center"/>
          </w:tcPr>
          <w:p w:rsidR="00DD081B" w:rsidRDefault="00803027" w:rsidP="00387413">
            <w:pPr>
              <w:jc w:val="center"/>
            </w:pPr>
            <w:r>
              <w:t>5%</w:t>
            </w:r>
          </w:p>
        </w:tc>
      </w:tr>
      <w:tr w:rsidR="00DD081B" w:rsidTr="00387413">
        <w:trPr>
          <w:trHeight w:val="310"/>
        </w:trPr>
        <w:tc>
          <w:tcPr>
            <w:tcW w:w="1963" w:type="dxa"/>
            <w:vAlign w:val="center"/>
          </w:tcPr>
          <w:p w:rsidR="00DD081B" w:rsidRDefault="006927CC" w:rsidP="006927CC">
            <w:pPr>
              <w:jc w:val="center"/>
            </w:pPr>
            <w:r>
              <w:t xml:space="preserve">  </w:t>
            </w:r>
            <w:r w:rsidR="00DD081B">
              <w:t>5</w:t>
            </w:r>
            <w:r>
              <w:t>-9*</w:t>
            </w:r>
          </w:p>
        </w:tc>
        <w:tc>
          <w:tcPr>
            <w:tcW w:w="1963" w:type="dxa"/>
            <w:vAlign w:val="center"/>
          </w:tcPr>
          <w:p w:rsidR="00DD081B" w:rsidRDefault="00803027" w:rsidP="006927CC">
            <w:pPr>
              <w:jc w:val="center"/>
            </w:pPr>
            <w:r>
              <w:t>33%</w:t>
            </w:r>
            <w:r w:rsidR="006927CC">
              <w:t xml:space="preserve">  to 7 % </w:t>
            </w:r>
          </w:p>
        </w:tc>
        <w:tc>
          <w:tcPr>
            <w:tcW w:w="1963" w:type="dxa"/>
            <w:vAlign w:val="center"/>
          </w:tcPr>
          <w:p w:rsidR="00DD081B" w:rsidRDefault="00803027" w:rsidP="00387413">
            <w:pPr>
              <w:jc w:val="center"/>
            </w:pPr>
            <w:r>
              <w:t>None</w:t>
            </w:r>
          </w:p>
        </w:tc>
        <w:tc>
          <w:tcPr>
            <w:tcW w:w="1963" w:type="dxa"/>
            <w:vAlign w:val="center"/>
          </w:tcPr>
          <w:p w:rsidR="00DD081B" w:rsidRDefault="00803027" w:rsidP="00387413">
            <w:pPr>
              <w:jc w:val="center"/>
            </w:pPr>
            <w:r>
              <w:t>None</w:t>
            </w:r>
          </w:p>
        </w:tc>
        <w:tc>
          <w:tcPr>
            <w:tcW w:w="1964" w:type="dxa"/>
            <w:vAlign w:val="center"/>
          </w:tcPr>
          <w:p w:rsidR="00DD081B" w:rsidRDefault="00803027" w:rsidP="00387413">
            <w:pPr>
              <w:jc w:val="center"/>
            </w:pPr>
            <w:r>
              <w:t>None</w:t>
            </w:r>
          </w:p>
        </w:tc>
      </w:tr>
    </w:tbl>
    <w:p w:rsidR="006927CC" w:rsidRDefault="00DD081B" w:rsidP="006927CC">
      <w:pPr>
        <w:pStyle w:val="TableSource"/>
        <w:spacing w:after="0"/>
      </w:pPr>
      <w:r>
        <w:t xml:space="preserve">Source: </w:t>
      </w:r>
      <w:r w:rsidR="00EC4C30">
        <w:t>Tariff Sheet Nos. 6.93, 6.95, 6.97, 6.104</w:t>
      </w:r>
    </w:p>
    <w:p w:rsidR="00B13494" w:rsidRDefault="00B13494" w:rsidP="006927CC">
      <w:pPr>
        <w:pStyle w:val="TableSource"/>
        <w:spacing w:after="0"/>
      </w:pPr>
      <w:r>
        <w:t>*</w:t>
      </w:r>
      <w:r w:rsidRPr="00B13494">
        <w:t xml:space="preserve"> </w:t>
      </w:r>
      <w:r>
        <w:t>Not shown, the credits for the XLBIR decline from 27 percent in Year 6 to 7 percent in Year 9.</w:t>
      </w:r>
      <w:r w:rsidR="00FF4DFC">
        <w:t xml:space="preserve"> In Year 10, there are no credits.</w:t>
      </w:r>
    </w:p>
    <w:p w:rsidR="006927CC" w:rsidRPr="006927CC" w:rsidRDefault="006927CC" w:rsidP="006927CC">
      <w:pPr>
        <w:pStyle w:val="BodyText"/>
      </w:pPr>
    </w:p>
    <w:p w:rsidR="00FD0C42" w:rsidRDefault="00FD0C42" w:rsidP="00FD0C42">
      <w:pPr>
        <w:pStyle w:val="BodyText"/>
      </w:pPr>
      <w:r>
        <w:lastRenderedPageBreak/>
        <w:t xml:space="preserve">In response to </w:t>
      </w:r>
      <w:r w:rsidR="00BF1930">
        <w:t>staff</w:t>
      </w:r>
      <w:r>
        <w:t xml:space="preserve">’s </w:t>
      </w:r>
      <w:r w:rsidR="00401263">
        <w:t>data request, Gulf stated that it</w:t>
      </w:r>
      <w:r>
        <w:t xml:space="preserve"> currently </w:t>
      </w:r>
      <w:r w:rsidR="00401263">
        <w:t>has</w:t>
      </w:r>
      <w:r>
        <w:t xml:space="preserve"> two</w:t>
      </w:r>
      <w:r w:rsidR="00EE5C55">
        <w:t xml:space="preserve"> subscribers to the riders</w:t>
      </w:r>
      <w:r>
        <w:t xml:space="preserve">, which carry a 504 kW load, employ 94 FTEs, and have a total capital investment of $3.6 million. These </w:t>
      </w:r>
      <w:r w:rsidR="009C6F20">
        <w:t>s</w:t>
      </w:r>
      <w:r>
        <w:t>ubscribers have received total credits of $42,059 to date. Gulf has</w:t>
      </w:r>
      <w:r w:rsidR="00D4319F">
        <w:t xml:space="preserve"> four additional</w:t>
      </w:r>
      <w:r>
        <w:t xml:space="preserve"> customers that have committed to joining the </w:t>
      </w:r>
      <w:r w:rsidR="007D1767">
        <w:t>riders</w:t>
      </w:r>
      <w:r>
        <w:t>. These four customers</w:t>
      </w:r>
      <w:r w:rsidR="00831815">
        <w:t xml:space="preserve"> are expected to</w:t>
      </w:r>
      <w:r w:rsidR="00585387">
        <w:t xml:space="preserve"> bring</w:t>
      </w:r>
      <w:r>
        <w:t xml:space="preserve"> a 15.5 MW load, 5,640 jobs, and $42 million in</w:t>
      </w:r>
      <w:r w:rsidR="00392E75">
        <w:t xml:space="preserve"> electricity</w:t>
      </w:r>
      <w:r>
        <w:t xml:space="preserve"> revenue</w:t>
      </w:r>
      <w:r w:rsidR="00585387">
        <w:t xml:space="preserve"> to Gulf’s territory</w:t>
      </w:r>
      <w:r>
        <w:t xml:space="preserve"> </w:t>
      </w:r>
      <w:r w:rsidR="00D4319F">
        <w:t>between 2017 and 2018</w:t>
      </w:r>
      <w:r>
        <w:t>.</w:t>
      </w:r>
    </w:p>
    <w:p w:rsidR="00FD0C42" w:rsidRDefault="008B3681" w:rsidP="00FD0C42">
      <w:pPr>
        <w:pStyle w:val="BodyText"/>
      </w:pPr>
      <w:r>
        <w:t xml:space="preserve">In addition, </w:t>
      </w:r>
      <w:r w:rsidR="00FD0C42">
        <w:t>Gulf has begun negotiations with</w:t>
      </w:r>
      <w:r>
        <w:t xml:space="preserve"> prospective</w:t>
      </w:r>
      <w:r w:rsidR="00ED38C6">
        <w:t xml:space="preserve"> custo</w:t>
      </w:r>
      <w:r w:rsidR="0098289D">
        <w:t>mers</w:t>
      </w:r>
      <w:r w:rsidR="00BD2AB3">
        <w:t xml:space="preserve"> whose lo</w:t>
      </w:r>
      <w:r w:rsidR="00A53F84">
        <w:t>ad would bring the riders’ total</w:t>
      </w:r>
      <w:r w:rsidR="00BD2AB3">
        <w:t xml:space="preserve"> </w:t>
      </w:r>
      <w:r w:rsidR="0031278F">
        <w:t>near or over</w:t>
      </w:r>
      <w:r w:rsidR="00BD2AB3">
        <w:t xml:space="preserve"> </w:t>
      </w:r>
      <w:r w:rsidR="00ED38C6">
        <w:t>the 100 MW limit</w:t>
      </w:r>
      <w:r w:rsidR="00FD0C42">
        <w:t xml:space="preserve">. The </w:t>
      </w:r>
      <w:r w:rsidR="00E71A8E">
        <w:t>c</w:t>
      </w:r>
      <w:r w:rsidR="00BF1930">
        <w:t>ompany</w:t>
      </w:r>
      <w:r w:rsidR="00FD0C42">
        <w:t xml:space="preserve"> states that the limit </w:t>
      </w:r>
      <w:r w:rsidR="00C00057">
        <w:t>hinders</w:t>
      </w:r>
      <w:r w:rsidR="000A79E6">
        <w:t xml:space="preserve"> negotiations </w:t>
      </w:r>
      <w:r w:rsidR="00C00057">
        <w:t>due to the uncertainty of the riders’ future capacity</w:t>
      </w:r>
      <w:r w:rsidR="00FD0C42">
        <w:t xml:space="preserve">. The 100 MW limit was originally placed on a three-year pilot program. </w:t>
      </w:r>
      <w:r w:rsidR="00ED38C6">
        <w:t>Gulf asserts</w:t>
      </w:r>
      <w:r w:rsidR="000512E7">
        <w:t xml:space="preserve"> that</w:t>
      </w:r>
      <w:r w:rsidR="006770C7">
        <w:t xml:space="preserve"> removal of the limit on</w:t>
      </w:r>
      <w:r w:rsidR="00F20C69">
        <w:t xml:space="preserve"> </w:t>
      </w:r>
      <w:r w:rsidR="00342827">
        <w:t>the</w:t>
      </w:r>
      <w:r w:rsidR="00F20C69">
        <w:t xml:space="preserve"> now-permanent</w:t>
      </w:r>
      <w:r w:rsidR="00687ECF">
        <w:t xml:space="preserve"> program</w:t>
      </w:r>
      <w:r w:rsidR="006770C7">
        <w:t xml:space="preserve"> will enhance its effectiveness</w:t>
      </w:r>
      <w:r w:rsidR="00FD0C42">
        <w:t>. Per Rule 25-6.0426,</w:t>
      </w:r>
      <w:r w:rsidR="00AB1850">
        <w:t xml:space="preserve"> F</w:t>
      </w:r>
      <w:r w:rsidR="00015C59">
        <w:t xml:space="preserve">lorida </w:t>
      </w:r>
      <w:r w:rsidR="00AB1850">
        <w:t>A</w:t>
      </w:r>
      <w:r w:rsidR="00015C59">
        <w:t xml:space="preserve">dministrative </w:t>
      </w:r>
      <w:r w:rsidR="00AB1850">
        <w:t>C</w:t>
      </w:r>
      <w:r w:rsidR="00015C59">
        <w:t>ode</w:t>
      </w:r>
      <w:r w:rsidR="00FD0C42">
        <w:t>, utilities can recover 95 percent of economic development expenses, not to exceed the lesser of 0.15 percent of annual revenues or $3 million. Despite this rule, Gulf is not seeking recovery of its economic development expenses as part of this request.</w:t>
      </w:r>
    </w:p>
    <w:p w:rsidR="00FD0C42" w:rsidRDefault="006927CC" w:rsidP="00FD0C42">
      <w:pPr>
        <w:pStyle w:val="BodyText"/>
      </w:pPr>
      <w:r>
        <w:t>Gulf has demonstrated that t</w:t>
      </w:r>
      <w:r w:rsidR="00FD0C42">
        <w:t xml:space="preserve">he riders have successfully attracted new load, jobs, capital investment, and incremental base revenues to Gulf’s service territory. The riders </w:t>
      </w:r>
      <w:r>
        <w:t>provide</w:t>
      </w:r>
      <w:r w:rsidR="00FD0C42">
        <w:t xml:space="preserve"> benefits to the general body of ratepayers through additional revenue and load</w:t>
      </w:r>
      <w:r>
        <w:t>,</w:t>
      </w:r>
      <w:r w:rsidR="00FD0C42">
        <w:t xml:space="preserve"> over which fixed costs </w:t>
      </w:r>
      <w:r>
        <w:t>are</w:t>
      </w:r>
      <w:r w:rsidR="00FD0C42">
        <w:t xml:space="preserve"> spread. </w:t>
      </w:r>
      <w:r w:rsidR="000E7357">
        <w:t>Also, at this time, Gulf is not seeking recovery of these expenses.</w:t>
      </w:r>
      <w:r w:rsidR="00003702">
        <w:t xml:space="preserve"> </w:t>
      </w:r>
      <w:r w:rsidR="009D20DB">
        <w:t xml:space="preserve">Therefore, </w:t>
      </w:r>
      <w:r w:rsidR="00BF1930">
        <w:t>s</w:t>
      </w:r>
      <w:r w:rsidR="00FD0C42">
        <w:t xml:space="preserve">taff recommends that </w:t>
      </w:r>
      <w:r w:rsidR="00265445">
        <w:t xml:space="preserve">the Commission should approve Gulf’s petition </w:t>
      </w:r>
      <w:r w:rsidR="009D20DB">
        <w:t>for</w:t>
      </w:r>
      <w:r w:rsidR="00265445">
        <w:t xml:space="preserve"> modifications to its </w:t>
      </w:r>
      <w:r w:rsidR="008333CC">
        <w:t>B</w:t>
      </w:r>
      <w:r w:rsidR="00265445">
        <w:t xml:space="preserve">usiness </w:t>
      </w:r>
      <w:r w:rsidR="008333CC">
        <w:t>I</w:t>
      </w:r>
      <w:r w:rsidR="00265445">
        <w:t xml:space="preserve">ncentive </w:t>
      </w:r>
      <w:r w:rsidR="008333CC">
        <w:t>R</w:t>
      </w:r>
      <w:r w:rsidR="00265445">
        <w:t xml:space="preserve">ate </w:t>
      </w:r>
      <w:r w:rsidR="008333CC">
        <w:t>R</w:t>
      </w:r>
      <w:r w:rsidR="00265445">
        <w:t>iders</w:t>
      </w:r>
      <w:r w:rsidR="006058DA">
        <w:t xml:space="preserve"> effective November 7, 2017</w:t>
      </w:r>
      <w:r w:rsidR="00265445">
        <w:t>.</w:t>
      </w:r>
    </w:p>
    <w:p w:rsidR="00FD0C42" w:rsidRPr="00FD0C42" w:rsidRDefault="00FD0C42" w:rsidP="00FD0C42">
      <w:pPr>
        <w:pStyle w:val="BodyText"/>
      </w:pPr>
    </w:p>
    <w:p w:rsidR="00DD081B" w:rsidRDefault="00DD081B"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rsidP="00DD081B">
      <w:pPr>
        <w:pStyle w:val="BodyText"/>
      </w:pPr>
    </w:p>
    <w:p w:rsidR="00BC47CD" w:rsidRDefault="00BC47CD">
      <w:pPr>
        <w:pStyle w:val="IssueHeading"/>
        <w:rPr>
          <w:vanish/>
          <w:specVanish/>
        </w:rPr>
      </w:pPr>
      <w:r w:rsidRPr="004C3641">
        <w:rPr>
          <w:b w:val="0"/>
          <w:i w:val="0"/>
        </w:rPr>
        <w:br w:type="page"/>
      </w:r>
      <w:r w:rsidRPr="004C3641">
        <w:lastRenderedPageBreak/>
        <w:t xml:space="preserve">Issue </w:t>
      </w:r>
      <w:fldSimple w:instr=" SEQ Issue \* MERGEFORMAT ">
        <w:r w:rsidR="00C1697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16972">
        <w:rPr>
          <w:noProof/>
        </w:rPr>
        <w:instrText>2</w:instrText>
      </w:r>
      <w:r>
        <w:fldChar w:fldCharType="end"/>
      </w:r>
      <w:r>
        <w:tab/>
        <w:instrText xml:space="preserve">(Trierweiler)" \l 1 </w:instrText>
      </w:r>
      <w:r>
        <w:fldChar w:fldCharType="end"/>
      </w:r>
      <w:r>
        <w:t> </w:t>
      </w:r>
    </w:p>
    <w:p w:rsidR="00BC47CD" w:rsidRDefault="00BC47CD">
      <w:pPr>
        <w:pStyle w:val="BodyText"/>
      </w:pPr>
      <w:r>
        <w:t> </w:t>
      </w:r>
      <w:r w:rsidR="00265445">
        <w:t>Should this docket be closed?</w:t>
      </w:r>
    </w:p>
    <w:p w:rsidR="00BC47CD" w:rsidRPr="003C34FB" w:rsidRDefault="00BC47CD" w:rsidP="004A33CE">
      <w:pPr>
        <w:pStyle w:val="IssueSubsectionHeading"/>
        <w:rPr>
          <w:rFonts w:ascii="Times New Roman" w:hAnsi="Times New Roman" w:cs="Times New Roman"/>
          <w:b w:val="0"/>
          <w:i w:val="0"/>
        </w:rPr>
      </w:pPr>
      <w:r w:rsidRPr="004C3641">
        <w:t>Recommendation:</w:t>
      </w:r>
      <w:r w:rsidR="004A33CE">
        <w:rPr>
          <w:rFonts w:ascii="Times New Roman" w:hAnsi="Times New Roman" w:cs="Times New Roman"/>
          <w:b w:val="0"/>
          <w:bCs w:val="0"/>
          <w:i w:val="0"/>
          <w:iCs w:val="0"/>
          <w:szCs w:val="24"/>
        </w:rPr>
        <w:t xml:space="preserve"> If Issue 1 is approved and a protest is filed within 21 days of the issuance of the order, the tariffs should remain in effect, with any revenue held subject to refund, pending resolution of a protest. If no</w:t>
      </w:r>
      <w:r w:rsidR="004A33CE" w:rsidRPr="004A33CE">
        <w:rPr>
          <w:rFonts w:ascii="Times New Roman" w:hAnsi="Times New Roman" w:cs="Times New Roman"/>
          <w:b w:val="0"/>
          <w:bCs w:val="0"/>
          <w:i w:val="0"/>
          <w:iCs w:val="0"/>
          <w:szCs w:val="24"/>
        </w:rPr>
        <w:t xml:space="preserve"> timely protest is filed, this docket should be closed upon the issuance of a consummating order.</w:t>
      </w:r>
      <w:r w:rsidRPr="004A33CE">
        <w:rPr>
          <w:rFonts w:ascii="Times New Roman" w:hAnsi="Times New Roman" w:cs="Times New Roman"/>
        </w:rPr>
        <w:t xml:space="preserve"> </w:t>
      </w:r>
      <w:r w:rsidRPr="004A33CE">
        <w:rPr>
          <w:rFonts w:ascii="Times New Roman" w:hAnsi="Times New Roman" w:cs="Times New Roman"/>
          <w:b w:val="0"/>
          <w:i w:val="0"/>
        </w:rPr>
        <w:t>(Trierweiler)</w:t>
      </w:r>
    </w:p>
    <w:p w:rsidR="00BC47CD" w:rsidRPr="004C3641" w:rsidRDefault="00BC47CD">
      <w:pPr>
        <w:pStyle w:val="IssueSubsectionHeading"/>
        <w:rPr>
          <w:vanish/>
          <w:specVanish/>
        </w:rPr>
      </w:pPr>
      <w:r w:rsidRPr="004C3641">
        <w:t>Staff Analysis: </w:t>
      </w:r>
    </w:p>
    <w:p w:rsidR="00BC47CD" w:rsidRPr="002B3781" w:rsidRDefault="00BC47CD" w:rsidP="00DD081B">
      <w:pPr>
        <w:pStyle w:val="BodyText"/>
      </w:pPr>
      <w:r>
        <w:t> </w:t>
      </w:r>
      <w:r w:rsidR="002B3781" w:rsidRPr="002B3781">
        <w:rPr>
          <w:bCs/>
          <w:iCs/>
        </w:rPr>
        <w:t>If Issue 1 is approved and a protest is filed within 21 days of the issuance of the order, the tariffs should remain in effect, with any revenue held subject to refund, pending resolution of a protest. If no timely protest is filed, this docket should be closed upon the issuance of a consummating order.</w:t>
      </w:r>
    </w:p>
    <w:p w:rsidR="00BC47CD" w:rsidRDefault="00BC47CD" w:rsidP="00DD081B">
      <w:pPr>
        <w:pStyle w:val="BodyText"/>
      </w:pPr>
    </w:p>
    <w:p w:rsidR="00BC47CD" w:rsidRDefault="00BC47CD" w:rsidP="00DD081B">
      <w:pPr>
        <w:pStyle w:val="BodyText"/>
        <w:sectPr w:rsidR="00BC47C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BC47CD" w:rsidRDefault="00BC47CD" w:rsidP="00DD081B">
      <w:pPr>
        <w:pStyle w:val="BodyText"/>
      </w:pPr>
      <w:r>
        <w:rPr>
          <w:noProof/>
        </w:rPr>
        <w:lastRenderedPageBreak/>
        <w:drawing>
          <wp:inline distT="0" distB="0" distL="0" distR="0" wp14:anchorId="74A44445" wp14:editId="5CDC0F63">
            <wp:extent cx="5305425" cy="7181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5425" cy="7181850"/>
                    </a:xfrm>
                    <a:prstGeom prst="rect">
                      <a:avLst/>
                    </a:prstGeom>
                  </pic:spPr>
                </pic:pic>
              </a:graphicData>
            </a:graphic>
          </wp:inline>
        </w:drawing>
      </w:r>
    </w:p>
    <w:p w:rsidR="00BC47CD" w:rsidRDefault="00BC47CD" w:rsidP="00DD081B">
      <w:pPr>
        <w:pStyle w:val="BodyText"/>
      </w:pPr>
    </w:p>
    <w:p w:rsidR="00BC47CD" w:rsidRDefault="00BC47CD" w:rsidP="00DD081B">
      <w:pPr>
        <w:pStyle w:val="BodyText"/>
      </w:pPr>
    </w:p>
    <w:p w:rsidR="00BC47CD" w:rsidRDefault="00BC47CD" w:rsidP="00DD081B">
      <w:pPr>
        <w:pStyle w:val="BodyText"/>
      </w:pPr>
      <w:r>
        <w:rPr>
          <w:noProof/>
        </w:rPr>
        <w:lastRenderedPageBreak/>
        <w:drawing>
          <wp:inline distT="0" distB="0" distL="0" distR="0" wp14:anchorId="0D364386" wp14:editId="75C92825">
            <wp:extent cx="5419725" cy="730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19725" cy="7305675"/>
                    </a:xfrm>
                    <a:prstGeom prst="rect">
                      <a:avLst/>
                    </a:prstGeom>
                  </pic:spPr>
                </pic:pic>
              </a:graphicData>
            </a:graphic>
          </wp:inline>
        </w:drawing>
      </w:r>
    </w:p>
    <w:p w:rsidR="00BC47CD" w:rsidRDefault="00BC47CD" w:rsidP="00DD081B">
      <w:pPr>
        <w:pStyle w:val="BodyText"/>
      </w:pPr>
    </w:p>
    <w:p w:rsidR="00BC47CD" w:rsidRDefault="00BC47CD" w:rsidP="00DD081B">
      <w:pPr>
        <w:pStyle w:val="BodyText"/>
      </w:pPr>
    </w:p>
    <w:p w:rsidR="00BC47CD" w:rsidRDefault="00BC47CD" w:rsidP="00DD081B">
      <w:pPr>
        <w:pStyle w:val="BodyText"/>
      </w:pPr>
      <w:r>
        <w:rPr>
          <w:noProof/>
        </w:rPr>
        <w:lastRenderedPageBreak/>
        <w:drawing>
          <wp:inline distT="0" distB="0" distL="0" distR="0" wp14:anchorId="4D9DD8B0" wp14:editId="3B8EAB1C">
            <wp:extent cx="5353050" cy="730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53050" cy="7305675"/>
                    </a:xfrm>
                    <a:prstGeom prst="rect">
                      <a:avLst/>
                    </a:prstGeom>
                  </pic:spPr>
                </pic:pic>
              </a:graphicData>
            </a:graphic>
          </wp:inline>
        </w:drawing>
      </w:r>
    </w:p>
    <w:p w:rsidR="00BC47CD" w:rsidRDefault="00BC47CD" w:rsidP="00DD081B">
      <w:pPr>
        <w:pStyle w:val="BodyText"/>
      </w:pPr>
    </w:p>
    <w:p w:rsidR="00BC47CD" w:rsidRDefault="00BC47CD" w:rsidP="00DD081B">
      <w:pPr>
        <w:pStyle w:val="BodyText"/>
      </w:pPr>
    </w:p>
    <w:p w:rsidR="00BC47CD" w:rsidRPr="00DD081B" w:rsidRDefault="00BC47CD" w:rsidP="00DD081B">
      <w:pPr>
        <w:pStyle w:val="BodyText"/>
      </w:pPr>
      <w:r>
        <w:rPr>
          <w:noProof/>
        </w:rPr>
        <w:lastRenderedPageBreak/>
        <w:drawing>
          <wp:inline distT="0" distB="0" distL="0" distR="0" wp14:anchorId="03CA52FA" wp14:editId="03DE0156">
            <wp:extent cx="5381625" cy="7258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81625" cy="7258050"/>
                    </a:xfrm>
                    <a:prstGeom prst="rect">
                      <a:avLst/>
                    </a:prstGeom>
                  </pic:spPr>
                </pic:pic>
              </a:graphicData>
            </a:graphic>
          </wp:inline>
        </w:drawing>
      </w:r>
    </w:p>
    <w:sectPr w:rsidR="00BC47CD" w:rsidRPr="00DD081B" w:rsidSect="00B54D75">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CE" w:rsidRDefault="00D323CE">
      <w:r>
        <w:separator/>
      </w:r>
    </w:p>
  </w:endnote>
  <w:endnote w:type="continuationSeparator" w:id="0">
    <w:p w:rsidR="00D323CE" w:rsidRDefault="00D3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03AB9" w:rsidP="00B54D75">
    <w:pPr>
      <w:pStyle w:val="Footer"/>
      <w:numPr>
        <w:ilvl w:val="0"/>
        <w:numId w:val="11"/>
      </w:numPr>
      <w:tabs>
        <w:tab w:val="clear" w:pos="4320"/>
        <w:tab w:val="clear" w:pos="8640"/>
        <w:tab w:val="center" w:pos="4674"/>
        <w:tab w:val="right" w:pos="9360"/>
      </w:tabs>
    </w:pPr>
    <w:r>
      <w:fldChar w:fldCharType="begin"/>
    </w:r>
    <w:r>
      <w:instrText xml:space="preserve"> PAGE   \* MERGEFORMAT </w:instrText>
    </w:r>
    <w:r>
      <w:fldChar w:fldCharType="separate"/>
    </w:r>
    <w:r w:rsidR="00B27E2E">
      <w:rPr>
        <w:noProof/>
      </w:rPr>
      <w:t>9</w:t>
    </w:r>
    <w:r>
      <w:rPr>
        <w:noProof/>
      </w:rPr>
      <w:fldChar w:fldCharType="end"/>
    </w:r>
    <w:r w:rsidR="00B54D75">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CE" w:rsidRDefault="00D323CE">
      <w:r>
        <w:separator/>
      </w:r>
    </w:p>
  </w:footnote>
  <w:footnote w:type="continuationSeparator" w:id="0">
    <w:p w:rsidR="00D323CE" w:rsidRDefault="00D323CE">
      <w:r>
        <w:continuationSeparator/>
      </w:r>
    </w:p>
  </w:footnote>
  <w:footnote w:id="1">
    <w:p w:rsidR="00D323CE" w:rsidRDefault="00D323CE" w:rsidP="00D323CE">
      <w:pPr>
        <w:pStyle w:val="FootnoteText"/>
      </w:pPr>
      <w:r>
        <w:rPr>
          <w:rStyle w:val="FootnoteReference"/>
        </w:rPr>
        <w:footnoteRef/>
      </w:r>
      <w:r>
        <w:t xml:space="preserve"> Order No. PSC-13-0670-S-EI, issued December 19, 2013, in Docket No. 130140-EI, </w:t>
      </w:r>
      <w:r w:rsidRPr="00827CE2">
        <w:rPr>
          <w:i/>
        </w:rPr>
        <w:t xml:space="preserve">In </w:t>
      </w:r>
      <w:r w:rsidR="004F060E">
        <w:rPr>
          <w:i/>
        </w:rPr>
        <w:t>r</w:t>
      </w:r>
      <w:r w:rsidRPr="00827CE2">
        <w:rPr>
          <w:i/>
        </w:rPr>
        <w:t>e: Petition for rate increase by Gulf Power Company</w:t>
      </w:r>
      <w:r>
        <w:t>.</w:t>
      </w:r>
    </w:p>
  </w:footnote>
  <w:footnote w:id="2">
    <w:p w:rsidR="00D323CE" w:rsidRPr="00B76411" w:rsidRDefault="00D323CE" w:rsidP="00D323CE">
      <w:pPr>
        <w:pStyle w:val="FootnoteText"/>
      </w:pPr>
      <w:r w:rsidRPr="00B76411">
        <w:rPr>
          <w:rStyle w:val="FootnoteReference"/>
        </w:rPr>
        <w:footnoteRef/>
      </w:r>
      <w:r w:rsidRPr="00B76411">
        <w:t xml:space="preserve"> Order No. PSC-16-0269-CO-EI, issued July 15, 2016, in Docket No. 20160090-EI,</w:t>
      </w:r>
      <w:r w:rsidRPr="00B76411">
        <w:rPr>
          <w:i/>
        </w:rPr>
        <w:t xml:space="preserve"> In </w:t>
      </w:r>
      <w:r w:rsidR="004F060E">
        <w:rPr>
          <w:i/>
        </w:rPr>
        <w:t>r</w:t>
      </w:r>
      <w:r w:rsidRPr="00B76411">
        <w:rPr>
          <w:i/>
        </w:rPr>
        <w:t>e: GPC's petition for limited extension of experimental business incentive rate riders until 12/31/17</w:t>
      </w:r>
      <w:r w:rsidR="00C1513A">
        <w:rPr>
          <w:i/>
        </w:rPr>
        <w:t>.</w:t>
      </w:r>
    </w:p>
  </w:footnote>
  <w:footnote w:id="3">
    <w:p w:rsidR="00D323CE" w:rsidRPr="00665C0F" w:rsidRDefault="00D323CE" w:rsidP="00D323CE">
      <w:pPr>
        <w:autoSpaceDE w:val="0"/>
        <w:autoSpaceDN w:val="0"/>
        <w:adjustRightInd w:val="0"/>
        <w:jc w:val="both"/>
        <w:rPr>
          <w:i/>
        </w:rPr>
      </w:pPr>
      <w:r w:rsidRPr="00B76411">
        <w:rPr>
          <w:rStyle w:val="FootnoteReference"/>
          <w:sz w:val="20"/>
          <w:szCs w:val="20"/>
        </w:rPr>
        <w:footnoteRef/>
      </w:r>
      <w:r w:rsidRPr="00B76411">
        <w:rPr>
          <w:sz w:val="20"/>
          <w:szCs w:val="20"/>
        </w:rPr>
        <w:t xml:space="preserve">  Order No. PSC-17-0178-S-EI, issued May 16, 2017, in Docket No. 160186-EI</w:t>
      </w:r>
      <w:r>
        <w:rPr>
          <w:sz w:val="20"/>
          <w:szCs w:val="20"/>
        </w:rPr>
        <w:t>,</w:t>
      </w:r>
      <w:r w:rsidRPr="00B76411">
        <w:rPr>
          <w:sz w:val="20"/>
          <w:szCs w:val="20"/>
        </w:rPr>
        <w:t xml:space="preserve"> </w:t>
      </w:r>
      <w:r w:rsidRPr="008E4593">
        <w:rPr>
          <w:i/>
          <w:sz w:val="20"/>
          <w:szCs w:val="20"/>
        </w:rPr>
        <w:t xml:space="preserve">In </w:t>
      </w:r>
      <w:r w:rsidR="004F060E">
        <w:rPr>
          <w:i/>
          <w:sz w:val="20"/>
          <w:szCs w:val="20"/>
        </w:rPr>
        <w:t>r</w:t>
      </w:r>
      <w:r w:rsidRPr="008E4593">
        <w:rPr>
          <w:i/>
          <w:sz w:val="20"/>
          <w:szCs w:val="20"/>
        </w:rPr>
        <w:t xml:space="preserve">e: </w:t>
      </w:r>
      <w:r w:rsidRPr="00B76411">
        <w:rPr>
          <w:i/>
          <w:sz w:val="20"/>
          <w:szCs w:val="20"/>
        </w:rPr>
        <w:t>Petition for rate increase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D323C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20170209-EI</w:t>
    </w:r>
    <w:bookmarkEnd w:id="14"/>
  </w:p>
  <w:p w:rsidR="00BC402E" w:rsidRDefault="00BC402E">
    <w:pPr>
      <w:pStyle w:val="Header"/>
    </w:pPr>
    <w:r>
      <w:t xml:space="preserve">Date: </w:t>
    </w:r>
    <w:r w:rsidR="00C64921">
      <w:fldChar w:fldCharType="begin"/>
    </w:r>
    <w:r w:rsidR="00C64921">
      <w:instrText xml:space="preserve"> REF FilingDate </w:instrText>
    </w:r>
    <w:r w:rsidR="00C64921">
      <w:fldChar w:fldCharType="separate"/>
    </w:r>
    <w:r w:rsidR="00C16972">
      <w:t>October 26, 2017</w:t>
    </w:r>
    <w:r w:rsidR="00C6492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16972">
      <w:t>Docket No.</w:t>
    </w:r>
    <w:r>
      <w:fldChar w:fldCharType="end"/>
    </w:r>
    <w:r>
      <w:t xml:space="preserve"> </w:t>
    </w:r>
    <w:r>
      <w:fldChar w:fldCharType="begin"/>
    </w:r>
    <w:r>
      <w:instrText xml:space="preserve"> REF DocketList</w:instrText>
    </w:r>
    <w:r>
      <w:fldChar w:fldCharType="separate"/>
    </w:r>
    <w:r w:rsidR="00C16972">
      <w:t>20170209-EI</w:t>
    </w:r>
    <w:r>
      <w:fldChar w:fldCharType="end"/>
    </w:r>
    <w:r>
      <w:tab/>
      <w:t xml:space="preserve">Issue </w:t>
    </w:r>
    <w:r w:rsidR="00C64921">
      <w:fldChar w:fldCharType="begin"/>
    </w:r>
    <w:r w:rsidR="00C64921">
      <w:instrText xml:space="preserve"> Seq Issue \c \* Arabic </w:instrText>
    </w:r>
    <w:r w:rsidR="00C64921">
      <w:fldChar w:fldCharType="separate"/>
    </w:r>
    <w:r w:rsidR="00B27E2E">
      <w:rPr>
        <w:noProof/>
      </w:rPr>
      <w:t>2</w:t>
    </w:r>
    <w:r w:rsidR="00C64921">
      <w:rPr>
        <w:noProof/>
      </w:rPr>
      <w:fldChar w:fldCharType="end"/>
    </w:r>
  </w:p>
  <w:p w:rsidR="00BC402E" w:rsidRDefault="00BC402E">
    <w:pPr>
      <w:pStyle w:val="Header"/>
    </w:pPr>
    <w:r>
      <w:t xml:space="preserve">Date: </w:t>
    </w:r>
    <w:r w:rsidR="00C64921">
      <w:fldChar w:fldCharType="begin"/>
    </w:r>
    <w:r w:rsidR="00C64921">
      <w:instrText xml:space="preserve"> REF FilingDate </w:instrText>
    </w:r>
    <w:r w:rsidR="00C64921">
      <w:fldChar w:fldCharType="separate"/>
    </w:r>
    <w:r w:rsidR="00C16972">
      <w:t>October 26, 2017</w:t>
    </w:r>
    <w:r w:rsidR="00C649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B9" w:rsidRDefault="00403AB9" w:rsidP="00220732">
    <w:pPr>
      <w:pStyle w:val="Header"/>
      <w:tabs>
        <w:tab w:val="clear" w:pos="4320"/>
        <w:tab w:val="clear" w:pos="8640"/>
        <w:tab w:val="right" w:pos="9360"/>
      </w:tabs>
    </w:pPr>
    <w:r>
      <w:fldChar w:fldCharType="begin"/>
    </w:r>
    <w:r>
      <w:instrText xml:space="preserve"> REF DocketLabel</w:instrText>
    </w:r>
    <w:r>
      <w:fldChar w:fldCharType="separate"/>
    </w:r>
    <w:r w:rsidR="00C16972">
      <w:t>Docket No.</w:t>
    </w:r>
    <w:r>
      <w:fldChar w:fldCharType="end"/>
    </w:r>
    <w:r>
      <w:t xml:space="preserve"> </w:t>
    </w:r>
    <w:r>
      <w:fldChar w:fldCharType="begin"/>
    </w:r>
    <w:r>
      <w:instrText xml:space="preserve"> REF DocketList</w:instrText>
    </w:r>
    <w:r>
      <w:fldChar w:fldCharType="separate"/>
    </w:r>
    <w:r w:rsidR="00C16972">
      <w:t>20170209-EI</w:t>
    </w:r>
    <w:r>
      <w:fldChar w:fldCharType="end"/>
    </w:r>
    <w:r>
      <w:tab/>
      <w:t>Attachment A</w:t>
    </w:r>
  </w:p>
  <w:p w:rsidR="00403AB9" w:rsidRDefault="00403AB9">
    <w:pPr>
      <w:pStyle w:val="Header"/>
    </w:pPr>
    <w:r>
      <w:t xml:space="preserve">Date: </w:t>
    </w:r>
    <w:fldSimple w:instr=" REF FilingDate ">
      <w:r w:rsidR="00C16972">
        <w:t>October 26, 2017</w:t>
      </w:r>
    </w:fldSimple>
    <w:r w:rsidR="00B54D75">
      <w:tab/>
    </w:r>
    <w:r w:rsidR="00B54D75">
      <w:tab/>
    </w:r>
    <w:r w:rsidR="00183533">
      <w:fldChar w:fldCharType="begin"/>
    </w:r>
    <w:r w:rsidR="00183533">
      <w:instrText xml:space="preserve"> =</w:instrText>
    </w:r>
    <w:r w:rsidR="00183533">
      <w:fldChar w:fldCharType="begin"/>
    </w:r>
    <w:r w:rsidR="00183533">
      <w:instrText xml:space="preserve"> PAGE </w:instrText>
    </w:r>
    <w:r w:rsidR="00183533">
      <w:fldChar w:fldCharType="separate"/>
    </w:r>
    <w:r w:rsidR="00B27E2E">
      <w:rPr>
        <w:noProof/>
      </w:rPr>
      <w:instrText>9</w:instrText>
    </w:r>
    <w:r w:rsidR="00183533">
      <w:fldChar w:fldCharType="end"/>
    </w:r>
    <w:r w:rsidR="00183533">
      <w:instrText xml:space="preserve">-5 </w:instrText>
    </w:r>
    <w:r w:rsidR="00183533">
      <w:fldChar w:fldCharType="separate"/>
    </w:r>
    <w:r w:rsidR="00B27E2E">
      <w:rPr>
        <w:noProof/>
      </w:rPr>
      <w:t>4</w:t>
    </w:r>
    <w:r w:rsidR="00183533">
      <w:fldChar w:fldCharType="end"/>
    </w:r>
    <w:r w:rsidR="00183533">
      <w:t xml:space="preserve"> o</w:t>
    </w:r>
    <w:r w:rsidR="00183533">
      <w:rPr>
        <w:noProof/>
      </w:rPr>
      <w:t>f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8A345D9"/>
    <w:multiLevelType w:val="hybridMultilevel"/>
    <w:tmpl w:val="5E823E5E"/>
    <w:lvl w:ilvl="0" w:tplc="B7942742">
      <w:start w:val="4"/>
      <w:numFmt w:val="bullet"/>
      <w:lvlText w:val="-"/>
      <w:lvlJc w:val="left"/>
      <w:pPr>
        <w:ind w:left="4845" w:hanging="360"/>
      </w:pPr>
      <w:rPr>
        <w:rFonts w:ascii="Times New Roman" w:eastAsia="Times New Roman" w:hAnsi="Times New Roman" w:cs="Times New Roman" w:hint="default"/>
      </w:rPr>
    </w:lvl>
    <w:lvl w:ilvl="1" w:tplc="04090003" w:tentative="1">
      <w:start w:val="1"/>
      <w:numFmt w:val="bullet"/>
      <w:lvlText w:val="o"/>
      <w:lvlJc w:val="left"/>
      <w:pPr>
        <w:ind w:left="5565" w:hanging="360"/>
      </w:pPr>
      <w:rPr>
        <w:rFonts w:ascii="Courier New" w:hAnsi="Courier New" w:cs="Courier New" w:hint="default"/>
      </w:rPr>
    </w:lvl>
    <w:lvl w:ilvl="2" w:tplc="04090005" w:tentative="1">
      <w:start w:val="1"/>
      <w:numFmt w:val="bullet"/>
      <w:lvlText w:val=""/>
      <w:lvlJc w:val="left"/>
      <w:pPr>
        <w:ind w:left="6285" w:hanging="360"/>
      </w:pPr>
      <w:rPr>
        <w:rFonts w:ascii="Wingdings" w:hAnsi="Wingdings" w:hint="default"/>
      </w:rPr>
    </w:lvl>
    <w:lvl w:ilvl="3" w:tplc="04090001" w:tentative="1">
      <w:start w:val="1"/>
      <w:numFmt w:val="bullet"/>
      <w:lvlText w:val=""/>
      <w:lvlJc w:val="left"/>
      <w:pPr>
        <w:ind w:left="7005" w:hanging="360"/>
      </w:pPr>
      <w:rPr>
        <w:rFonts w:ascii="Symbol" w:hAnsi="Symbol" w:hint="default"/>
      </w:rPr>
    </w:lvl>
    <w:lvl w:ilvl="4" w:tplc="04090003" w:tentative="1">
      <w:start w:val="1"/>
      <w:numFmt w:val="bullet"/>
      <w:lvlText w:val="o"/>
      <w:lvlJc w:val="left"/>
      <w:pPr>
        <w:ind w:left="7725" w:hanging="360"/>
      </w:pPr>
      <w:rPr>
        <w:rFonts w:ascii="Courier New" w:hAnsi="Courier New" w:cs="Courier New" w:hint="default"/>
      </w:rPr>
    </w:lvl>
    <w:lvl w:ilvl="5" w:tplc="04090005" w:tentative="1">
      <w:start w:val="1"/>
      <w:numFmt w:val="bullet"/>
      <w:lvlText w:val=""/>
      <w:lvlJc w:val="left"/>
      <w:pPr>
        <w:ind w:left="8445" w:hanging="360"/>
      </w:pPr>
      <w:rPr>
        <w:rFonts w:ascii="Wingdings" w:hAnsi="Wingdings" w:hint="default"/>
      </w:rPr>
    </w:lvl>
    <w:lvl w:ilvl="6" w:tplc="04090001" w:tentative="1">
      <w:start w:val="1"/>
      <w:numFmt w:val="bullet"/>
      <w:lvlText w:val=""/>
      <w:lvlJc w:val="left"/>
      <w:pPr>
        <w:ind w:left="9165" w:hanging="360"/>
      </w:pPr>
      <w:rPr>
        <w:rFonts w:ascii="Symbol" w:hAnsi="Symbol" w:hint="default"/>
      </w:rPr>
    </w:lvl>
    <w:lvl w:ilvl="7" w:tplc="04090003" w:tentative="1">
      <w:start w:val="1"/>
      <w:numFmt w:val="bullet"/>
      <w:lvlText w:val="o"/>
      <w:lvlJc w:val="left"/>
      <w:pPr>
        <w:ind w:left="9885" w:hanging="360"/>
      </w:pPr>
      <w:rPr>
        <w:rFonts w:ascii="Courier New" w:hAnsi="Courier New" w:cs="Courier New" w:hint="default"/>
      </w:rPr>
    </w:lvl>
    <w:lvl w:ilvl="8" w:tplc="04090005" w:tentative="1">
      <w:start w:val="1"/>
      <w:numFmt w:val="bullet"/>
      <w:lvlText w:val=""/>
      <w:lvlJc w:val="left"/>
      <w:pPr>
        <w:ind w:left="1060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323CE"/>
    <w:rsid w:val="00003702"/>
    <w:rsid w:val="000043D5"/>
    <w:rsid w:val="00006170"/>
    <w:rsid w:val="00010E37"/>
    <w:rsid w:val="00015C59"/>
    <w:rsid w:val="000163DB"/>
    <w:rsid w:val="000172DA"/>
    <w:rsid w:val="000247C5"/>
    <w:rsid w:val="000277C2"/>
    <w:rsid w:val="00035B48"/>
    <w:rsid w:val="000363F4"/>
    <w:rsid w:val="00036CE2"/>
    <w:rsid w:val="000437FE"/>
    <w:rsid w:val="000512E7"/>
    <w:rsid w:val="000513BE"/>
    <w:rsid w:val="00051A46"/>
    <w:rsid w:val="00065A06"/>
    <w:rsid w:val="000666F3"/>
    <w:rsid w:val="00070DCB"/>
    <w:rsid w:val="00073120"/>
    <w:rsid w:val="000764D0"/>
    <w:rsid w:val="000777FA"/>
    <w:rsid w:val="000828D3"/>
    <w:rsid w:val="000940D5"/>
    <w:rsid w:val="000A2B57"/>
    <w:rsid w:val="000A418B"/>
    <w:rsid w:val="000A79E6"/>
    <w:rsid w:val="000C4431"/>
    <w:rsid w:val="000D1C06"/>
    <w:rsid w:val="000D4319"/>
    <w:rsid w:val="000D5CAE"/>
    <w:rsid w:val="000E7357"/>
    <w:rsid w:val="000F374A"/>
    <w:rsid w:val="001076AF"/>
    <w:rsid w:val="00117C8C"/>
    <w:rsid w:val="00124E2E"/>
    <w:rsid w:val="00125ED4"/>
    <w:rsid w:val="001305E9"/>
    <w:rsid w:val="001307AF"/>
    <w:rsid w:val="00135687"/>
    <w:rsid w:val="00151CAE"/>
    <w:rsid w:val="0015506E"/>
    <w:rsid w:val="00163031"/>
    <w:rsid w:val="00171A90"/>
    <w:rsid w:val="00180254"/>
    <w:rsid w:val="00183533"/>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65445"/>
    <w:rsid w:val="002702AD"/>
    <w:rsid w:val="00292D82"/>
    <w:rsid w:val="00293721"/>
    <w:rsid w:val="002963CB"/>
    <w:rsid w:val="002B3781"/>
    <w:rsid w:val="002D226D"/>
    <w:rsid w:val="002F6030"/>
    <w:rsid w:val="003037E1"/>
    <w:rsid w:val="00307E51"/>
    <w:rsid w:val="003103EC"/>
    <w:rsid w:val="0031278F"/>
    <w:rsid w:val="003144EF"/>
    <w:rsid w:val="00322F74"/>
    <w:rsid w:val="00337144"/>
    <w:rsid w:val="00340073"/>
    <w:rsid w:val="00342827"/>
    <w:rsid w:val="003628F6"/>
    <w:rsid w:val="003632FD"/>
    <w:rsid w:val="00372805"/>
    <w:rsid w:val="00373180"/>
    <w:rsid w:val="00375AB9"/>
    <w:rsid w:val="003821A0"/>
    <w:rsid w:val="00385B04"/>
    <w:rsid w:val="003864CF"/>
    <w:rsid w:val="00387413"/>
    <w:rsid w:val="00392E75"/>
    <w:rsid w:val="003A22A6"/>
    <w:rsid w:val="003A5494"/>
    <w:rsid w:val="003B2510"/>
    <w:rsid w:val="003C2CC4"/>
    <w:rsid w:val="003C34FB"/>
    <w:rsid w:val="003C3710"/>
    <w:rsid w:val="003E0EFC"/>
    <w:rsid w:val="003E4A2B"/>
    <w:rsid w:val="003E76C2"/>
    <w:rsid w:val="003F1679"/>
    <w:rsid w:val="003F21EB"/>
    <w:rsid w:val="003F4A35"/>
    <w:rsid w:val="003F7FDD"/>
    <w:rsid w:val="00401263"/>
    <w:rsid w:val="00402481"/>
    <w:rsid w:val="00403AB9"/>
    <w:rsid w:val="004042B4"/>
    <w:rsid w:val="00410DC4"/>
    <w:rsid w:val="00412DAE"/>
    <w:rsid w:val="00431598"/>
    <w:rsid w:val="004319AD"/>
    <w:rsid w:val="004426B8"/>
    <w:rsid w:val="00444432"/>
    <w:rsid w:val="00456891"/>
    <w:rsid w:val="00456A53"/>
    <w:rsid w:val="00471860"/>
    <w:rsid w:val="00495D86"/>
    <w:rsid w:val="004A33CE"/>
    <w:rsid w:val="004A744D"/>
    <w:rsid w:val="004B60BD"/>
    <w:rsid w:val="004C3150"/>
    <w:rsid w:val="004C3641"/>
    <w:rsid w:val="004C4390"/>
    <w:rsid w:val="004C4AF7"/>
    <w:rsid w:val="004D2881"/>
    <w:rsid w:val="004D385F"/>
    <w:rsid w:val="004D5B39"/>
    <w:rsid w:val="004E1B4A"/>
    <w:rsid w:val="004E330D"/>
    <w:rsid w:val="004E5147"/>
    <w:rsid w:val="004F060E"/>
    <w:rsid w:val="004F5C43"/>
    <w:rsid w:val="0050052F"/>
    <w:rsid w:val="0050652D"/>
    <w:rsid w:val="00506C03"/>
    <w:rsid w:val="0050798D"/>
    <w:rsid w:val="00511A11"/>
    <w:rsid w:val="00516496"/>
    <w:rsid w:val="0052572A"/>
    <w:rsid w:val="00534F70"/>
    <w:rsid w:val="00543CB3"/>
    <w:rsid w:val="005442E4"/>
    <w:rsid w:val="00560FF0"/>
    <w:rsid w:val="005614BD"/>
    <w:rsid w:val="0057154F"/>
    <w:rsid w:val="00580F69"/>
    <w:rsid w:val="00581CA3"/>
    <w:rsid w:val="00585387"/>
    <w:rsid w:val="00587A44"/>
    <w:rsid w:val="00597730"/>
    <w:rsid w:val="005977EC"/>
    <w:rsid w:val="00597DE7"/>
    <w:rsid w:val="005A4AA2"/>
    <w:rsid w:val="005B34B6"/>
    <w:rsid w:val="005B6C8F"/>
    <w:rsid w:val="005B6EC3"/>
    <w:rsid w:val="005D0F74"/>
    <w:rsid w:val="005D2E7D"/>
    <w:rsid w:val="005D4A8F"/>
    <w:rsid w:val="005D561B"/>
    <w:rsid w:val="005D5ECF"/>
    <w:rsid w:val="005F14E1"/>
    <w:rsid w:val="005F468D"/>
    <w:rsid w:val="005F6540"/>
    <w:rsid w:val="005F69A3"/>
    <w:rsid w:val="00604CC7"/>
    <w:rsid w:val="006058DA"/>
    <w:rsid w:val="00615423"/>
    <w:rsid w:val="006165B2"/>
    <w:rsid w:val="00617276"/>
    <w:rsid w:val="0062527B"/>
    <w:rsid w:val="00625D97"/>
    <w:rsid w:val="00625F1C"/>
    <w:rsid w:val="006279E1"/>
    <w:rsid w:val="00630CEB"/>
    <w:rsid w:val="00632264"/>
    <w:rsid w:val="00644338"/>
    <w:rsid w:val="006470BC"/>
    <w:rsid w:val="006554D3"/>
    <w:rsid w:val="00667036"/>
    <w:rsid w:val="00667C05"/>
    <w:rsid w:val="00673BDB"/>
    <w:rsid w:val="00674341"/>
    <w:rsid w:val="006770C7"/>
    <w:rsid w:val="006771B8"/>
    <w:rsid w:val="006843B6"/>
    <w:rsid w:val="0068481F"/>
    <w:rsid w:val="00687ECF"/>
    <w:rsid w:val="006927CC"/>
    <w:rsid w:val="00696F5D"/>
    <w:rsid w:val="00697249"/>
    <w:rsid w:val="006B3947"/>
    <w:rsid w:val="006B4293"/>
    <w:rsid w:val="006B624F"/>
    <w:rsid w:val="006C0C95"/>
    <w:rsid w:val="006C31E3"/>
    <w:rsid w:val="006D18D3"/>
    <w:rsid w:val="006D38A8"/>
    <w:rsid w:val="006E08CB"/>
    <w:rsid w:val="006E598D"/>
    <w:rsid w:val="006F523B"/>
    <w:rsid w:val="0070437D"/>
    <w:rsid w:val="00704CF1"/>
    <w:rsid w:val="00705B04"/>
    <w:rsid w:val="00720578"/>
    <w:rsid w:val="00724992"/>
    <w:rsid w:val="00734820"/>
    <w:rsid w:val="007349DC"/>
    <w:rsid w:val="0074365E"/>
    <w:rsid w:val="00744B55"/>
    <w:rsid w:val="007473D3"/>
    <w:rsid w:val="007515FD"/>
    <w:rsid w:val="00760D80"/>
    <w:rsid w:val="00780C09"/>
    <w:rsid w:val="00780DDF"/>
    <w:rsid w:val="007834E9"/>
    <w:rsid w:val="00787DBC"/>
    <w:rsid w:val="0079019A"/>
    <w:rsid w:val="00792935"/>
    <w:rsid w:val="007A04A1"/>
    <w:rsid w:val="007A1840"/>
    <w:rsid w:val="007C0528"/>
    <w:rsid w:val="007C3D38"/>
    <w:rsid w:val="007D0F35"/>
    <w:rsid w:val="007D1767"/>
    <w:rsid w:val="007D4FEB"/>
    <w:rsid w:val="007D6146"/>
    <w:rsid w:val="007E0CE7"/>
    <w:rsid w:val="007E55A7"/>
    <w:rsid w:val="007F1193"/>
    <w:rsid w:val="007F16A5"/>
    <w:rsid w:val="007F417F"/>
    <w:rsid w:val="00803027"/>
    <w:rsid w:val="008042BD"/>
    <w:rsid w:val="00816624"/>
    <w:rsid w:val="00817FD4"/>
    <w:rsid w:val="00822427"/>
    <w:rsid w:val="00822562"/>
    <w:rsid w:val="00823663"/>
    <w:rsid w:val="0082672F"/>
    <w:rsid w:val="00831815"/>
    <w:rsid w:val="00832DDC"/>
    <w:rsid w:val="008333CC"/>
    <w:rsid w:val="00833A73"/>
    <w:rsid w:val="00843E95"/>
    <w:rsid w:val="00844ACC"/>
    <w:rsid w:val="00850BAC"/>
    <w:rsid w:val="00854A3E"/>
    <w:rsid w:val="00855D08"/>
    <w:rsid w:val="00874344"/>
    <w:rsid w:val="00882155"/>
    <w:rsid w:val="0088233B"/>
    <w:rsid w:val="0088599E"/>
    <w:rsid w:val="00886C37"/>
    <w:rsid w:val="00892D99"/>
    <w:rsid w:val="00893315"/>
    <w:rsid w:val="008B3681"/>
    <w:rsid w:val="008B62AE"/>
    <w:rsid w:val="008C04B5"/>
    <w:rsid w:val="008C14FA"/>
    <w:rsid w:val="008C7B0B"/>
    <w:rsid w:val="008D4057"/>
    <w:rsid w:val="008E1F19"/>
    <w:rsid w:val="008E6112"/>
    <w:rsid w:val="008F2262"/>
    <w:rsid w:val="008F4D2B"/>
    <w:rsid w:val="008F52CE"/>
    <w:rsid w:val="008F7736"/>
    <w:rsid w:val="0090019E"/>
    <w:rsid w:val="00901086"/>
    <w:rsid w:val="00901C8A"/>
    <w:rsid w:val="00904DA4"/>
    <w:rsid w:val="00905886"/>
    <w:rsid w:val="009070D6"/>
    <w:rsid w:val="009076C6"/>
    <w:rsid w:val="0091019E"/>
    <w:rsid w:val="009106F1"/>
    <w:rsid w:val="00912404"/>
    <w:rsid w:val="009145D6"/>
    <w:rsid w:val="00920E64"/>
    <w:rsid w:val="00922002"/>
    <w:rsid w:val="00924020"/>
    <w:rsid w:val="009261CA"/>
    <w:rsid w:val="009271A7"/>
    <w:rsid w:val="0093658B"/>
    <w:rsid w:val="009429FF"/>
    <w:rsid w:val="00945BD6"/>
    <w:rsid w:val="009479FB"/>
    <w:rsid w:val="00951C45"/>
    <w:rsid w:val="00960D4E"/>
    <w:rsid w:val="009656F2"/>
    <w:rsid w:val="00966A08"/>
    <w:rsid w:val="00971207"/>
    <w:rsid w:val="00975CB4"/>
    <w:rsid w:val="00976C6A"/>
    <w:rsid w:val="0098289D"/>
    <w:rsid w:val="009863B0"/>
    <w:rsid w:val="00987DE1"/>
    <w:rsid w:val="00990571"/>
    <w:rsid w:val="009962D5"/>
    <w:rsid w:val="0099673A"/>
    <w:rsid w:val="009A3330"/>
    <w:rsid w:val="009A7C96"/>
    <w:rsid w:val="009C0554"/>
    <w:rsid w:val="009C3DB9"/>
    <w:rsid w:val="009C6F20"/>
    <w:rsid w:val="009D042C"/>
    <w:rsid w:val="009D20DB"/>
    <w:rsid w:val="009D46E5"/>
    <w:rsid w:val="009D568A"/>
    <w:rsid w:val="009F04EC"/>
    <w:rsid w:val="009F2A7C"/>
    <w:rsid w:val="009F3B36"/>
    <w:rsid w:val="00A019B9"/>
    <w:rsid w:val="00A12508"/>
    <w:rsid w:val="00A1282B"/>
    <w:rsid w:val="00A13A27"/>
    <w:rsid w:val="00A175B6"/>
    <w:rsid w:val="00A20FDD"/>
    <w:rsid w:val="00A21835"/>
    <w:rsid w:val="00A2374B"/>
    <w:rsid w:val="00A27D6E"/>
    <w:rsid w:val="00A328EC"/>
    <w:rsid w:val="00A33A51"/>
    <w:rsid w:val="00A41CA6"/>
    <w:rsid w:val="00A47927"/>
    <w:rsid w:val="00A47FFC"/>
    <w:rsid w:val="00A53F84"/>
    <w:rsid w:val="00A5442F"/>
    <w:rsid w:val="00A54FF9"/>
    <w:rsid w:val="00A56765"/>
    <w:rsid w:val="00A65D3E"/>
    <w:rsid w:val="00A6714B"/>
    <w:rsid w:val="00A675AC"/>
    <w:rsid w:val="00A7581F"/>
    <w:rsid w:val="00A92FB1"/>
    <w:rsid w:val="00A93090"/>
    <w:rsid w:val="00A95A0C"/>
    <w:rsid w:val="00AA2765"/>
    <w:rsid w:val="00AA77B5"/>
    <w:rsid w:val="00AB1850"/>
    <w:rsid w:val="00AB6C5D"/>
    <w:rsid w:val="00AC2003"/>
    <w:rsid w:val="00AC3401"/>
    <w:rsid w:val="00AC3775"/>
    <w:rsid w:val="00AC51A7"/>
    <w:rsid w:val="00AD444B"/>
    <w:rsid w:val="00AD6C78"/>
    <w:rsid w:val="00AE2EAB"/>
    <w:rsid w:val="00AF05E4"/>
    <w:rsid w:val="00AF2DFB"/>
    <w:rsid w:val="00AF5F89"/>
    <w:rsid w:val="00AF73CB"/>
    <w:rsid w:val="00B002D6"/>
    <w:rsid w:val="00B05B51"/>
    <w:rsid w:val="00B13494"/>
    <w:rsid w:val="00B14E5A"/>
    <w:rsid w:val="00B15370"/>
    <w:rsid w:val="00B16DA4"/>
    <w:rsid w:val="00B16E29"/>
    <w:rsid w:val="00B17BEB"/>
    <w:rsid w:val="00B21A3C"/>
    <w:rsid w:val="00B223C0"/>
    <w:rsid w:val="00B234ED"/>
    <w:rsid w:val="00B249B2"/>
    <w:rsid w:val="00B25CA3"/>
    <w:rsid w:val="00B2765A"/>
    <w:rsid w:val="00B27E2E"/>
    <w:rsid w:val="00B376CE"/>
    <w:rsid w:val="00B4738A"/>
    <w:rsid w:val="00B516ED"/>
    <w:rsid w:val="00B51A57"/>
    <w:rsid w:val="00B54D75"/>
    <w:rsid w:val="00B57A6A"/>
    <w:rsid w:val="00B67166"/>
    <w:rsid w:val="00B760F1"/>
    <w:rsid w:val="00B7669E"/>
    <w:rsid w:val="00B77797"/>
    <w:rsid w:val="00B77DA1"/>
    <w:rsid w:val="00B822A0"/>
    <w:rsid w:val="00B858AE"/>
    <w:rsid w:val="00B85964"/>
    <w:rsid w:val="00B877C1"/>
    <w:rsid w:val="00B96250"/>
    <w:rsid w:val="00BA08E3"/>
    <w:rsid w:val="00BA0D55"/>
    <w:rsid w:val="00BA37B3"/>
    <w:rsid w:val="00BA4CC6"/>
    <w:rsid w:val="00BB3493"/>
    <w:rsid w:val="00BB4C16"/>
    <w:rsid w:val="00BB7468"/>
    <w:rsid w:val="00BC188A"/>
    <w:rsid w:val="00BC402E"/>
    <w:rsid w:val="00BC47CD"/>
    <w:rsid w:val="00BD0F48"/>
    <w:rsid w:val="00BD2AB3"/>
    <w:rsid w:val="00BF1930"/>
    <w:rsid w:val="00BF5010"/>
    <w:rsid w:val="00C00057"/>
    <w:rsid w:val="00C03D5F"/>
    <w:rsid w:val="00C06F88"/>
    <w:rsid w:val="00C13791"/>
    <w:rsid w:val="00C1513A"/>
    <w:rsid w:val="00C16972"/>
    <w:rsid w:val="00C30B40"/>
    <w:rsid w:val="00C31BB3"/>
    <w:rsid w:val="00C36977"/>
    <w:rsid w:val="00C467DA"/>
    <w:rsid w:val="00C477D9"/>
    <w:rsid w:val="00C60BA3"/>
    <w:rsid w:val="00C623F7"/>
    <w:rsid w:val="00C75BC5"/>
    <w:rsid w:val="00C81670"/>
    <w:rsid w:val="00C81773"/>
    <w:rsid w:val="00C82861"/>
    <w:rsid w:val="00C86896"/>
    <w:rsid w:val="00C907A8"/>
    <w:rsid w:val="00C90EBC"/>
    <w:rsid w:val="00C93211"/>
    <w:rsid w:val="00C942EC"/>
    <w:rsid w:val="00C96047"/>
    <w:rsid w:val="00C979D0"/>
    <w:rsid w:val="00CA0818"/>
    <w:rsid w:val="00CA15C8"/>
    <w:rsid w:val="00CA2C8F"/>
    <w:rsid w:val="00CA30DA"/>
    <w:rsid w:val="00CA3A24"/>
    <w:rsid w:val="00CB1777"/>
    <w:rsid w:val="00CB33E9"/>
    <w:rsid w:val="00CB4C80"/>
    <w:rsid w:val="00CC10A9"/>
    <w:rsid w:val="00CE2BF8"/>
    <w:rsid w:val="00CE484E"/>
    <w:rsid w:val="00CE656F"/>
    <w:rsid w:val="00CF0DA8"/>
    <w:rsid w:val="00CF2E25"/>
    <w:rsid w:val="00CF4453"/>
    <w:rsid w:val="00CF5D94"/>
    <w:rsid w:val="00CF7E0F"/>
    <w:rsid w:val="00D034D7"/>
    <w:rsid w:val="00D04BE4"/>
    <w:rsid w:val="00D12565"/>
    <w:rsid w:val="00D14127"/>
    <w:rsid w:val="00D323CE"/>
    <w:rsid w:val="00D344F9"/>
    <w:rsid w:val="00D4319F"/>
    <w:rsid w:val="00D60B16"/>
    <w:rsid w:val="00D60F02"/>
    <w:rsid w:val="00D66E49"/>
    <w:rsid w:val="00D6738C"/>
    <w:rsid w:val="00D70D71"/>
    <w:rsid w:val="00D72F74"/>
    <w:rsid w:val="00D81563"/>
    <w:rsid w:val="00D82A25"/>
    <w:rsid w:val="00D84372"/>
    <w:rsid w:val="00D85907"/>
    <w:rsid w:val="00D9073E"/>
    <w:rsid w:val="00D9221D"/>
    <w:rsid w:val="00D958DF"/>
    <w:rsid w:val="00D96DA1"/>
    <w:rsid w:val="00DA51E7"/>
    <w:rsid w:val="00DB0260"/>
    <w:rsid w:val="00DB1C78"/>
    <w:rsid w:val="00DB7D96"/>
    <w:rsid w:val="00DC23FE"/>
    <w:rsid w:val="00DC59E6"/>
    <w:rsid w:val="00DD081B"/>
    <w:rsid w:val="00DD150B"/>
    <w:rsid w:val="00DD5025"/>
    <w:rsid w:val="00DD67A3"/>
    <w:rsid w:val="00DF1510"/>
    <w:rsid w:val="00E02F1F"/>
    <w:rsid w:val="00E06484"/>
    <w:rsid w:val="00E20A7D"/>
    <w:rsid w:val="00E275D8"/>
    <w:rsid w:val="00E30F6A"/>
    <w:rsid w:val="00E3117C"/>
    <w:rsid w:val="00E375CA"/>
    <w:rsid w:val="00E567E8"/>
    <w:rsid w:val="00E64679"/>
    <w:rsid w:val="00E65EBC"/>
    <w:rsid w:val="00E677FE"/>
    <w:rsid w:val="00E71A8E"/>
    <w:rsid w:val="00E73432"/>
    <w:rsid w:val="00E77B0C"/>
    <w:rsid w:val="00E77FB8"/>
    <w:rsid w:val="00E838B0"/>
    <w:rsid w:val="00E86A7C"/>
    <w:rsid w:val="00E878E1"/>
    <w:rsid w:val="00E87F2C"/>
    <w:rsid w:val="00E95278"/>
    <w:rsid w:val="00EA2273"/>
    <w:rsid w:val="00EB1F7B"/>
    <w:rsid w:val="00EB2DB3"/>
    <w:rsid w:val="00EC02CE"/>
    <w:rsid w:val="00EC3FBB"/>
    <w:rsid w:val="00EC4C30"/>
    <w:rsid w:val="00EC6B7A"/>
    <w:rsid w:val="00ED38C6"/>
    <w:rsid w:val="00ED3A87"/>
    <w:rsid w:val="00ED5B67"/>
    <w:rsid w:val="00EE1CB9"/>
    <w:rsid w:val="00EE5C55"/>
    <w:rsid w:val="00EF264C"/>
    <w:rsid w:val="00EF3FEE"/>
    <w:rsid w:val="00F04B59"/>
    <w:rsid w:val="00F0656C"/>
    <w:rsid w:val="00F11741"/>
    <w:rsid w:val="00F12B1C"/>
    <w:rsid w:val="00F13CF8"/>
    <w:rsid w:val="00F15855"/>
    <w:rsid w:val="00F20C69"/>
    <w:rsid w:val="00F32978"/>
    <w:rsid w:val="00F45CB2"/>
    <w:rsid w:val="00F544C0"/>
    <w:rsid w:val="00F55332"/>
    <w:rsid w:val="00F6504A"/>
    <w:rsid w:val="00F65519"/>
    <w:rsid w:val="00F713C0"/>
    <w:rsid w:val="00F75DDC"/>
    <w:rsid w:val="00F7792F"/>
    <w:rsid w:val="00F827E3"/>
    <w:rsid w:val="00F842AA"/>
    <w:rsid w:val="00F8476F"/>
    <w:rsid w:val="00F853E1"/>
    <w:rsid w:val="00F85604"/>
    <w:rsid w:val="00F876D3"/>
    <w:rsid w:val="00F94B7A"/>
    <w:rsid w:val="00FA17AC"/>
    <w:rsid w:val="00FA32DE"/>
    <w:rsid w:val="00FA3382"/>
    <w:rsid w:val="00FA59CD"/>
    <w:rsid w:val="00FB1740"/>
    <w:rsid w:val="00FC5469"/>
    <w:rsid w:val="00FC6D7D"/>
    <w:rsid w:val="00FD0C42"/>
    <w:rsid w:val="00FD16B0"/>
    <w:rsid w:val="00FD4FED"/>
    <w:rsid w:val="00FE0577"/>
    <w:rsid w:val="00FE59EC"/>
    <w:rsid w:val="00FE5B67"/>
    <w:rsid w:val="00FE60D6"/>
    <w:rsid w:val="00FF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D323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D32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9A40F-0F8C-4829-94C7-F1EA9A31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1016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Charles Morgan</dc:creator>
  <cp:lastModifiedBy>Jackie Colson</cp:lastModifiedBy>
  <cp:revision>2</cp:revision>
  <cp:lastPrinted>2017-10-25T12:53:00Z</cp:lastPrinted>
  <dcterms:created xsi:type="dcterms:W3CDTF">2017-10-26T13:22:00Z</dcterms:created>
  <dcterms:modified xsi:type="dcterms:W3CDTF">2017-10-26T13:22:00Z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20170209-EI</vt:lpwstr>
  </property>
  <property fmtid="{D5CDD505-2E9C-101B-9397-08002B2CF9AE}" pid="3" name="MasterDocument">
    <vt:bool>false</vt:bool>
  </property>
</Properties>
</file>