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AD5BA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42DAE" w:rsidP="002731B3">
            <w:pPr>
              <w:pStyle w:val="MemoHeading"/>
            </w:pPr>
            <w:bookmarkStart w:id="1" w:name="FilingDate"/>
            <w:r>
              <w:t xml:space="preserve">November </w:t>
            </w:r>
            <w:r w:rsidR="002731B3">
              <w:t>30</w:t>
            </w:r>
            <w:r>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42DAE" w:rsidRDefault="00342DAE">
            <w:pPr>
              <w:pStyle w:val="MemoHeading"/>
            </w:pPr>
            <w:bookmarkStart w:id="2" w:name="From"/>
            <w:r>
              <w:t>Division of Economics (Draper, Doherty, Guffey)</w:t>
            </w:r>
          </w:p>
          <w:p w:rsidR="00342DAE" w:rsidRDefault="00342DAE">
            <w:pPr>
              <w:pStyle w:val="MemoHeading"/>
            </w:pPr>
            <w:r>
              <w:t>Division of Accounting and Finance (</w:t>
            </w:r>
            <w:r w:rsidR="002731B3">
              <w:t xml:space="preserve">Mouring, </w:t>
            </w:r>
            <w:r w:rsidR="00874F04">
              <w:t xml:space="preserve">D. </w:t>
            </w:r>
            <w:r w:rsidR="002731B3">
              <w:t>Buys</w:t>
            </w:r>
            <w:r>
              <w:t>)</w:t>
            </w:r>
          </w:p>
          <w:p w:rsidR="007C0528" w:rsidRDefault="00342DAE" w:rsidP="008F452E">
            <w:pPr>
              <w:pStyle w:val="MemoHeading"/>
            </w:pPr>
            <w:r>
              <w:t xml:space="preserve">Office of the General Counsel (Trierweiler, </w:t>
            </w:r>
            <w:proofErr w:type="spellStart"/>
            <w:r>
              <w:t>Cuello</w:t>
            </w:r>
            <w:proofErr w:type="spellEnd"/>
            <w:r>
              <w:t xml:space="preserve">, </w:t>
            </w:r>
            <w:proofErr w:type="spellStart"/>
            <w:r>
              <w:t>Janjic</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42DAE" w:rsidP="00AC08CE">
            <w:pPr>
              <w:pStyle w:val="MemoHeadingRe"/>
            </w:pPr>
            <w:bookmarkStart w:id="3" w:name="Re"/>
            <w:r>
              <w:t>Docket No. 20170179-GU – Petition for rate increase</w:t>
            </w:r>
            <w:r w:rsidR="00BD2D0E">
              <w:t xml:space="preserve"> </w:t>
            </w:r>
            <w:r>
              <w:t>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42DAE" w:rsidP="002731B3">
            <w:pPr>
              <w:pStyle w:val="MemoHeading"/>
            </w:pPr>
            <w:bookmarkStart w:id="4" w:name="AgendaDate"/>
            <w:r>
              <w:t>12/</w:t>
            </w:r>
            <w:r w:rsidR="002731B3">
              <w:t>12</w:t>
            </w:r>
            <w:r>
              <w:t>/17</w:t>
            </w:r>
            <w:bookmarkEnd w:id="4"/>
            <w:r w:rsidR="007C0528">
              <w:t xml:space="preserve"> – </w:t>
            </w:r>
            <w:bookmarkStart w:id="5" w:name="PermittedStatus"/>
            <w:r>
              <w:t>Regular Agenda – Decision on Interim Rates – Participation is at the Discretion of the Commission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42DA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42DAE">
            <w:pPr>
              <w:pStyle w:val="MemoHeading"/>
            </w:pPr>
            <w:bookmarkStart w:id="7" w:name="PrehearingOfficer"/>
            <w:proofErr w:type="spellStart"/>
            <w:r>
              <w:t>Polmann</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342DAE" w:rsidRDefault="00342DAE">
            <w:pPr>
              <w:pStyle w:val="MemoHeading"/>
            </w:pPr>
            <w:bookmarkStart w:id="9" w:name="CriticalDates"/>
            <w:r>
              <w:t>12/22/17 (60-Day Suspension Date)</w:t>
            </w:r>
          </w:p>
          <w:p w:rsidR="007C0528" w:rsidRDefault="00342DAE" w:rsidP="001742F4">
            <w:pPr>
              <w:pStyle w:val="MemoHeading"/>
            </w:pPr>
            <w:r>
              <w:t>0</w:t>
            </w:r>
            <w:r w:rsidR="001742F4">
              <w:t>6</w:t>
            </w:r>
            <w:r>
              <w:t>/23/18 (</w:t>
            </w:r>
            <w:r w:rsidR="001742F4">
              <w:t>8</w:t>
            </w:r>
            <w:r>
              <w:t>-Month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42DA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A6578" w:rsidRDefault="00440C68" w:rsidP="00BA65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On October 23, 2017, Florida City Gas (</w:t>
      </w:r>
      <w:r w:rsidR="002731B3">
        <w:t>FCG</w:t>
      </w:r>
      <w:r>
        <w:t xml:space="preserve"> or </w:t>
      </w:r>
      <w:r w:rsidR="00044ED3">
        <w:t>C</w:t>
      </w:r>
      <w:r>
        <w:t xml:space="preserve">ompany) filed a petition seeking Commission approval of a rate increase, depreciation study, and a request for interim rate relief. </w:t>
      </w:r>
      <w:r w:rsidR="00BA6578">
        <w:t>FCG</w:t>
      </w:r>
      <w:r>
        <w:t xml:space="preserve"> is a </w:t>
      </w:r>
      <w:r w:rsidR="002165A4">
        <w:t>natural gas local distribution company providing sales and transportation of natural gas, and is a public utility subject to the Commission’s regulatory jurisdiction under Chapter 366</w:t>
      </w:r>
      <w:r w:rsidR="00012ED3">
        <w:t>.02</w:t>
      </w:r>
      <w:r w:rsidR="002165A4">
        <w:t xml:space="preserve">, Florida </w:t>
      </w:r>
      <w:proofErr w:type="gramStart"/>
      <w:r w:rsidR="002165A4">
        <w:t>Statutes (F.S.).</w:t>
      </w:r>
      <w:proofErr w:type="gramEnd"/>
      <w:r w:rsidR="002165A4">
        <w:t xml:space="preserve"> </w:t>
      </w:r>
      <w:r w:rsidR="00012ED3">
        <w:t xml:space="preserve">As a subsidiary of Southern Company, </w:t>
      </w:r>
      <w:r w:rsidR="002731B3">
        <w:t>FCG</w:t>
      </w:r>
      <w:r w:rsidR="00012ED3">
        <w:t xml:space="preserve"> currently serves approximately 108,000 residential, commercial, and industrial natural gas customers in Miami-Dade, Brevard, St. Lucie, Palm Beach, Hendry, Broward, and Indian River counties. </w:t>
      </w:r>
      <w:r w:rsidR="002731B3">
        <w:t>FCG</w:t>
      </w:r>
      <w:r>
        <w:t xml:space="preserve"> requested an increase of $</w:t>
      </w:r>
      <w:r w:rsidR="00AA2479">
        <w:t>19</w:t>
      </w:r>
      <w:r w:rsidR="00F816C7">
        <w:t>.</w:t>
      </w:r>
      <w:r w:rsidR="00AA2479">
        <w:t>3</w:t>
      </w:r>
      <w:r w:rsidR="00F816C7">
        <w:t xml:space="preserve"> million</w:t>
      </w:r>
      <w:r>
        <w:t xml:space="preserve"> </w:t>
      </w:r>
      <w:r w:rsidR="001B75DD">
        <w:t>i</w:t>
      </w:r>
      <w:r>
        <w:t xml:space="preserve">n additional annual revenues. </w:t>
      </w:r>
      <w:r w:rsidR="00F816C7">
        <w:t xml:space="preserve">Of that amount, $3.5 million is associated with moving the </w:t>
      </w:r>
      <w:r w:rsidR="00F03706">
        <w:t>Company</w:t>
      </w:r>
      <w:r w:rsidR="00F816C7">
        <w:t xml:space="preserve">’s current investment in a Commission-approved backyard mains and service relocation program, which is being recovered through a separate surcharge on customers’ bills, into rate base. The remaining $15.8 million, according to FCG, is necessary for the utility </w:t>
      </w:r>
      <w:r w:rsidR="00F816C7">
        <w:lastRenderedPageBreak/>
        <w:t xml:space="preserve">to earn a fair return on their investment and a requested return on equity of 11.25 percent. </w:t>
      </w:r>
      <w:r>
        <w:t xml:space="preserve">The </w:t>
      </w:r>
      <w:r w:rsidR="002731B3">
        <w:t>C</w:t>
      </w:r>
      <w:r>
        <w:t>ompany based its request on a 13-month average rate base of $</w:t>
      </w:r>
      <w:r w:rsidR="00AA2479">
        <w:t>299</w:t>
      </w:r>
      <w:r w:rsidR="00F816C7">
        <w:t>.</w:t>
      </w:r>
      <w:r w:rsidR="00AA2479">
        <w:t>3</w:t>
      </w:r>
      <w:r w:rsidR="00F816C7">
        <w:t xml:space="preserve"> million</w:t>
      </w:r>
      <w:r w:rsidR="00AA2479">
        <w:t xml:space="preserve"> f</w:t>
      </w:r>
      <w:r>
        <w:t xml:space="preserve">or the projected test year ending December 31, 2018. The requested overall rate of return is </w:t>
      </w:r>
      <w:r w:rsidR="00AA2479">
        <w:t>6.32</w:t>
      </w:r>
      <w:r w:rsidR="002731B3">
        <w:t xml:space="preserve"> percent</w:t>
      </w:r>
      <w:r>
        <w:t xml:space="preserve"> based on an </w:t>
      </w:r>
      <w:r w:rsidR="00AA2479">
        <w:t>11.25</w:t>
      </w:r>
      <w:r w:rsidR="002731B3">
        <w:t xml:space="preserve"> percent</w:t>
      </w:r>
      <w:r>
        <w:t xml:space="preserve"> return on equity. </w:t>
      </w:r>
      <w:r w:rsidR="00EF640A">
        <w:t xml:space="preserve"> </w:t>
      </w:r>
    </w:p>
    <w:p w:rsidR="00BA6578" w:rsidRDefault="00BA6578" w:rsidP="00BA65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F452E" w:rsidRDefault="00440C68">
      <w:pPr>
        <w:pStyle w:val="BodyText"/>
      </w:pPr>
      <w:r>
        <w:t xml:space="preserve">The </w:t>
      </w:r>
      <w:r w:rsidR="002731B3">
        <w:t>C</w:t>
      </w:r>
      <w:r>
        <w:t xml:space="preserve">ompany requested </w:t>
      </w:r>
      <w:r w:rsidR="00EF640A">
        <w:t xml:space="preserve">in its original MFRs </w:t>
      </w:r>
      <w:r>
        <w:t>an interim increase of $</w:t>
      </w:r>
      <w:r w:rsidR="00EF640A">
        <w:t>4,871,932</w:t>
      </w:r>
      <w:r w:rsidR="00AA2479">
        <w:t>.</w:t>
      </w:r>
      <w:r w:rsidR="0098422E">
        <w:t xml:space="preserve"> </w:t>
      </w:r>
      <w:r w:rsidR="00F816C7">
        <w:t>FCG</w:t>
      </w:r>
      <w:r w:rsidR="0098422E">
        <w:t xml:space="preserve"> calculated the interim increase </w:t>
      </w:r>
      <w:r w:rsidR="00A23D85">
        <w:t>based on</w:t>
      </w:r>
      <w:r w:rsidR="0098422E">
        <w:t xml:space="preserve"> a 13-month average rate base of $</w:t>
      </w:r>
      <w:r w:rsidR="00AA2479">
        <w:t>209,312,678</w:t>
      </w:r>
      <w:r w:rsidR="0098422E">
        <w:t xml:space="preserve"> at </w:t>
      </w:r>
      <w:r w:rsidR="002731B3">
        <w:t>5.84 percent</w:t>
      </w:r>
      <w:r w:rsidR="0098422E">
        <w:t xml:space="preserve"> </w:t>
      </w:r>
      <w:r w:rsidR="006A7C03">
        <w:t>cost of capital</w:t>
      </w:r>
      <w:r w:rsidR="0098422E">
        <w:t xml:space="preserve"> using </w:t>
      </w:r>
      <w:r w:rsidR="00AA2479">
        <w:t>a</w:t>
      </w:r>
      <w:r w:rsidR="0098422E">
        <w:t xml:space="preserve"> </w:t>
      </w:r>
      <w:r w:rsidR="002731B3">
        <w:t>10.25 percent</w:t>
      </w:r>
      <w:r w:rsidR="0098422E">
        <w:t xml:space="preserve"> return on equity. The interim test year is the period ended December 31, </w:t>
      </w:r>
      <w:proofErr w:type="gramStart"/>
      <w:r w:rsidR="0098422E">
        <w:t>2016.</w:t>
      </w:r>
      <w:proofErr w:type="gramEnd"/>
      <w:r w:rsidR="00F816C7">
        <w:t xml:space="preserve"> </w:t>
      </w:r>
    </w:p>
    <w:p w:rsidR="00440C68" w:rsidRDefault="00EF213B">
      <w:pPr>
        <w:pStyle w:val="BodyText"/>
      </w:pPr>
      <w:r>
        <w:t xml:space="preserve">On November 17, 2017, FCG filed a revised MFR Schedule F-10 to correct certain errors. </w:t>
      </w:r>
      <w:r w:rsidR="00F816C7">
        <w:t>On November 27, 2017, FCG filed</w:t>
      </w:r>
      <w:r w:rsidR="00EF640A">
        <w:t xml:space="preserve"> </w:t>
      </w:r>
      <w:r w:rsidR="00CC5101">
        <w:t>an amended</w:t>
      </w:r>
      <w:r w:rsidR="00F816C7">
        <w:t xml:space="preserve"> MFR Schedule</w:t>
      </w:r>
      <w:r w:rsidR="00CC5101">
        <w:t xml:space="preserve"> F</w:t>
      </w:r>
      <w:r w:rsidR="00F816C7">
        <w:t xml:space="preserve"> to </w:t>
      </w:r>
      <w:r w:rsidR="00EF640A">
        <w:t>reflect</w:t>
      </w:r>
      <w:r w:rsidR="00F816C7">
        <w:t xml:space="preserve"> a corrected interim increase request of $4,893,061</w:t>
      </w:r>
      <w:r w:rsidR="008F452E">
        <w:t xml:space="preserve"> based on a </w:t>
      </w:r>
      <w:r w:rsidR="00AD0605">
        <w:t xml:space="preserve">cost of capital of </w:t>
      </w:r>
      <w:r w:rsidR="008F452E">
        <w:t>5.85 percent</w:t>
      </w:r>
      <w:r w:rsidR="00F816C7">
        <w:t xml:space="preserve">. This is staff’s recommendation to suspend the proposed </w:t>
      </w:r>
      <w:r w:rsidR="00A23D85">
        <w:t xml:space="preserve">final </w:t>
      </w:r>
      <w:r w:rsidR="00F816C7">
        <w:t xml:space="preserve">rates and charges and to address the requested interim </w:t>
      </w:r>
      <w:r w:rsidR="00BD2D0E">
        <w:t xml:space="preserve">rate </w:t>
      </w:r>
      <w:r w:rsidR="00F816C7">
        <w:t>relief</w:t>
      </w:r>
      <w:r w:rsidR="00BD2D0E">
        <w:t xml:space="preserve"> as revised on </w:t>
      </w:r>
      <w:r>
        <w:t xml:space="preserve">November 17, 2017 and on </w:t>
      </w:r>
      <w:r w:rsidR="00BD2D0E">
        <w:t>November 27, 2017.</w:t>
      </w:r>
    </w:p>
    <w:p w:rsidR="007C0528" w:rsidRDefault="00BA6578" w:rsidP="00BA6578">
      <w:pPr>
        <w:autoSpaceDE w:val="0"/>
        <w:autoSpaceDN w:val="0"/>
        <w:adjustRightInd w:val="0"/>
        <w:jc w:val="both"/>
      </w:pPr>
      <w:r>
        <w:t>FCG’s last rate case was in 2003</w:t>
      </w:r>
      <w:r w:rsidR="006D0B6A">
        <w:t>.</w:t>
      </w:r>
      <w:r>
        <w:rPr>
          <w:rStyle w:val="FootnoteReference"/>
        </w:rPr>
        <w:footnoteReference w:id="1"/>
      </w:r>
      <w:r w:rsidR="006D0B6A">
        <w:t xml:space="preserve"> </w:t>
      </w:r>
      <w:r w:rsidRPr="00BA6578">
        <w:t>Pursuant to Section 366.06(4), F</w:t>
      </w:r>
      <w:r>
        <w:t>.S.</w:t>
      </w:r>
      <w:r w:rsidRPr="00BA6578">
        <w:t xml:space="preserve">, </w:t>
      </w:r>
      <w:r>
        <w:t xml:space="preserve">FCG </w:t>
      </w:r>
      <w:r w:rsidRPr="00BA6578">
        <w:t>requested to proceed</w:t>
      </w:r>
      <w:r>
        <w:t xml:space="preserve"> in 2003</w:t>
      </w:r>
      <w:r w:rsidRPr="00BA6578">
        <w:t xml:space="preserve"> under the rules governing Proposed Agency</w:t>
      </w:r>
      <w:r>
        <w:t xml:space="preserve"> Action (PAA). T</w:t>
      </w:r>
      <w:r w:rsidR="006D0B6A">
        <w:t xml:space="preserve">he Commission </w:t>
      </w:r>
      <w:r>
        <w:t>approved a</w:t>
      </w:r>
      <w:r w:rsidR="006D0B6A">
        <w:t xml:space="preserve"> jurisdictional rate base </w:t>
      </w:r>
      <w:r>
        <w:t>of</w:t>
      </w:r>
      <w:r w:rsidR="006D0B6A">
        <w:t xml:space="preserve"> $</w:t>
      </w:r>
      <w:r w:rsidR="00C070FF">
        <w:t>119,897,447</w:t>
      </w:r>
      <w:r w:rsidR="0067483B">
        <w:t xml:space="preserve"> </w:t>
      </w:r>
      <w:r>
        <w:t>and an</w:t>
      </w:r>
      <w:r w:rsidRPr="00BA6578">
        <w:t xml:space="preserve"> annual operating revenue increase </w:t>
      </w:r>
      <w:r>
        <w:t>of</w:t>
      </w:r>
      <w:r w:rsidRPr="00BA6578">
        <w:t xml:space="preserve"> $6,699,655 </w:t>
      </w:r>
      <w:r>
        <w:t xml:space="preserve">for the projected test year </w:t>
      </w:r>
      <w:r w:rsidR="00874F04">
        <w:t xml:space="preserve">ended </w:t>
      </w:r>
      <w:r>
        <w:t>September 30, 2004</w:t>
      </w:r>
      <w:r w:rsidR="00C070FF">
        <w:t xml:space="preserve">. </w:t>
      </w:r>
      <w:r w:rsidR="0067483B">
        <w:t xml:space="preserve">The allowed rate of return was found to be </w:t>
      </w:r>
      <w:r w:rsidR="001B75DD">
        <w:t>7.3</w:t>
      </w:r>
      <w:r>
        <w:t>6</w:t>
      </w:r>
      <w:r w:rsidR="002731B3">
        <w:t xml:space="preserve"> percent</w:t>
      </w:r>
      <w:r w:rsidR="0067483B">
        <w:t xml:space="preserve"> for the test year using </w:t>
      </w:r>
      <w:r w:rsidR="005A3131">
        <w:t>an</w:t>
      </w:r>
      <w:r w:rsidR="0067483B">
        <w:t xml:space="preserve"> </w:t>
      </w:r>
      <w:r w:rsidR="001B75DD">
        <w:t>1</w:t>
      </w:r>
      <w:r w:rsidR="002731B3">
        <w:t>1</w:t>
      </w:r>
      <w:r w:rsidR="001B75DD">
        <w:t>.</w:t>
      </w:r>
      <w:r w:rsidR="002731B3">
        <w:t>25 percent</w:t>
      </w:r>
      <w:r w:rsidR="0067483B">
        <w:t xml:space="preserve"> return on equity. </w:t>
      </w:r>
    </w:p>
    <w:p w:rsidR="0067483B" w:rsidRDefault="0067483B" w:rsidP="0067483B">
      <w:pPr>
        <w:jc w:val="both"/>
      </w:pPr>
    </w:p>
    <w:p w:rsidR="0067483B" w:rsidRDefault="0067483B" w:rsidP="0067483B">
      <w:pPr>
        <w:jc w:val="both"/>
      </w:pPr>
      <w:r>
        <w:t>Pursuant to Section</w:t>
      </w:r>
      <w:r w:rsidR="002E40EA">
        <w:t>s</w:t>
      </w:r>
      <w:r>
        <w:t xml:space="preserve"> 366.06(</w:t>
      </w:r>
      <w:r w:rsidR="009810C1">
        <w:t>2</w:t>
      </w:r>
      <w:r>
        <w:t>)</w:t>
      </w:r>
      <w:r w:rsidR="009810C1">
        <w:t xml:space="preserve"> and (3)</w:t>
      </w:r>
      <w:r>
        <w:t xml:space="preserve">, F.S., </w:t>
      </w:r>
      <w:r w:rsidR="002731B3">
        <w:t>FCG</w:t>
      </w:r>
      <w:r>
        <w:t xml:space="preserve"> requested to proceed </w:t>
      </w:r>
      <w:r w:rsidR="00F816C7">
        <w:t xml:space="preserve">this rate case </w:t>
      </w:r>
      <w:r w:rsidR="008F452E">
        <w:t>using</w:t>
      </w:r>
      <w:r>
        <w:t xml:space="preserve"> the </w:t>
      </w:r>
      <w:r w:rsidR="009810C1">
        <w:t>Commission’s hearing process</w:t>
      </w:r>
      <w:r>
        <w:t xml:space="preserve">. </w:t>
      </w:r>
      <w:r w:rsidR="00BA6578" w:rsidRPr="004F5D71">
        <w:t>Accordingly, in compliance with Section 366.06(2), F.S., an administrative hearing has been scheduled for this matter from March 26 - 30, 2018.</w:t>
      </w:r>
      <w:r w:rsidR="00BA6578">
        <w:t xml:space="preserve"> </w:t>
      </w:r>
      <w:r>
        <w:t xml:space="preserve">The Commission has jurisdiction over this request under Sections 366.06 and 366.071, F.S. </w:t>
      </w:r>
    </w:p>
    <w:p w:rsidR="0067483B" w:rsidRDefault="0067483B" w:rsidP="0067483B">
      <w:pPr>
        <w:jc w:val="both"/>
      </w:pP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42DAE" w:rsidRDefault="00342DAE">
      <w:pPr>
        <w:pStyle w:val="IssueHeading"/>
        <w:rPr>
          <w:vanish/>
          <w:specVanish/>
        </w:rPr>
      </w:pPr>
      <w:r w:rsidRPr="004C3641">
        <w:t xml:space="preserve">Issue </w:t>
      </w:r>
      <w:r w:rsidR="00342D81">
        <w:fldChar w:fldCharType="begin"/>
      </w:r>
      <w:r w:rsidR="00342D81">
        <w:instrText xml:space="preserve"> SEQ Issue \* MERGEFORMAT </w:instrText>
      </w:r>
      <w:r w:rsidR="00342D81">
        <w:fldChar w:fldCharType="separate"/>
      </w:r>
      <w:r w:rsidR="00CE6563">
        <w:rPr>
          <w:noProof/>
        </w:rPr>
        <w:t>1</w:t>
      </w:r>
      <w:r w:rsidR="00342D8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6563">
        <w:rPr>
          <w:noProof/>
        </w:rPr>
        <w:instrText>1</w:instrText>
      </w:r>
      <w:r>
        <w:fldChar w:fldCharType="end"/>
      </w:r>
      <w:r>
        <w:tab/>
        <w:instrText xml:space="preserve">(Draper)" \l 1 </w:instrText>
      </w:r>
      <w:r>
        <w:fldChar w:fldCharType="end"/>
      </w:r>
      <w:r>
        <w:t> </w:t>
      </w:r>
    </w:p>
    <w:p w:rsidR="00342DAE" w:rsidRDefault="00342DAE">
      <w:pPr>
        <w:pStyle w:val="BodyText"/>
      </w:pPr>
      <w:r>
        <w:t xml:space="preserve"> Should the request for a permanent increase in rates and charges be suspended for </w:t>
      </w:r>
      <w:r w:rsidR="0037792E">
        <w:t>FCG</w:t>
      </w:r>
      <w:r>
        <w:t>?</w:t>
      </w:r>
    </w:p>
    <w:p w:rsidR="00342DAE" w:rsidRPr="004C3641" w:rsidRDefault="00342DAE">
      <w:pPr>
        <w:pStyle w:val="IssueSubsectionHeading"/>
        <w:rPr>
          <w:vanish/>
          <w:specVanish/>
        </w:rPr>
      </w:pPr>
      <w:r w:rsidRPr="004C3641">
        <w:t>Recommendation: </w:t>
      </w:r>
    </w:p>
    <w:p w:rsidR="00342DAE" w:rsidRDefault="00342DAE">
      <w:pPr>
        <w:pStyle w:val="BodyText"/>
      </w:pPr>
      <w:r>
        <w:t> </w:t>
      </w:r>
      <w:r w:rsidR="00831D4F">
        <w:t xml:space="preserve">Yes. Staff recommends that the requested permanent increase in rates and charges be suspended for </w:t>
      </w:r>
      <w:r w:rsidR="000B5203">
        <w:t>FCG</w:t>
      </w:r>
      <w:r w:rsidR="00831D4F">
        <w:t>.</w:t>
      </w:r>
      <w:r>
        <w:t xml:space="preserve"> (Draper</w:t>
      </w:r>
      <w:r w:rsidR="00AD2A91">
        <w:t>, Doherty, Guffey</w:t>
      </w:r>
      <w:r>
        <w:t>)</w:t>
      </w:r>
    </w:p>
    <w:p w:rsidR="00342DAE" w:rsidRPr="004C3641" w:rsidRDefault="00342DAE">
      <w:pPr>
        <w:pStyle w:val="IssueSubsectionHeading"/>
        <w:rPr>
          <w:vanish/>
          <w:specVanish/>
        </w:rPr>
      </w:pPr>
      <w:r w:rsidRPr="004C3641">
        <w:t>Staff Analysis: </w:t>
      </w:r>
    </w:p>
    <w:p w:rsidR="0037792E" w:rsidRDefault="00342DAE">
      <w:pPr>
        <w:pStyle w:val="BodyText"/>
      </w:pPr>
      <w:r>
        <w:t> </w:t>
      </w:r>
      <w:r w:rsidR="00831D4F">
        <w:t xml:space="preserve">Staff recommends that the requested permanent increase in rates and charges be suspended for </w:t>
      </w:r>
      <w:r w:rsidR="0037792E">
        <w:t>FCG</w:t>
      </w:r>
      <w:r w:rsidR="00831D4F">
        <w:t xml:space="preserve"> to allow </w:t>
      </w:r>
      <w:proofErr w:type="gramStart"/>
      <w:r w:rsidR="00C30D98">
        <w:t>s</w:t>
      </w:r>
      <w:r w:rsidR="00831D4F">
        <w:t>taff time</w:t>
      </w:r>
      <w:proofErr w:type="gramEnd"/>
      <w:r w:rsidR="00831D4F">
        <w:t xml:space="preserve"> to complete i</w:t>
      </w:r>
      <w:r w:rsidR="00BE708B">
        <w:t xml:space="preserve">ts review of the Company’s </w:t>
      </w:r>
      <w:proofErr w:type="spellStart"/>
      <w:r w:rsidR="00BE708B">
        <w:t>MFRs.</w:t>
      </w:r>
      <w:proofErr w:type="spellEnd"/>
      <w:r w:rsidR="00BE708B">
        <w:t xml:space="preserve"> </w:t>
      </w:r>
    </w:p>
    <w:p w:rsidR="00342DAE" w:rsidRDefault="00831D4F">
      <w:pPr>
        <w:pStyle w:val="BodyText"/>
      </w:pPr>
      <w:r>
        <w:t xml:space="preserve">Pursuant to Section 366.06(3), F.S., the Commission may withhold consent to the operation of all or any portion of a new rate schedule, delivering to the utility requesting such a change, a reason, or written statement of a good cause for doing so with 60 days. Staff believes that the reason stated above is a good cause consistent with the requirement of Section 366.06(3), F.S. </w:t>
      </w:r>
    </w:p>
    <w:p w:rsidR="00A579BA" w:rsidRDefault="00A579BA">
      <w:pPr>
        <w:pStyle w:val="IssueHeading"/>
        <w:rPr>
          <w:vanish/>
          <w:specVanish/>
        </w:rPr>
      </w:pPr>
      <w:r w:rsidRPr="004C3641">
        <w:rPr>
          <w:b w:val="0"/>
          <w:i w:val="0"/>
        </w:rPr>
        <w:br w:type="page"/>
      </w:r>
      <w:r w:rsidRPr="004C3641">
        <w:lastRenderedPageBreak/>
        <w:t xml:space="preserve">Issue </w:t>
      </w:r>
      <w:r w:rsidR="00342D81">
        <w:fldChar w:fldCharType="begin"/>
      </w:r>
      <w:r w:rsidR="00342D81">
        <w:instrText xml:space="preserve"> SEQ Issue \* MERGEFORMAT </w:instrText>
      </w:r>
      <w:r w:rsidR="00342D81">
        <w:fldChar w:fldCharType="separate"/>
      </w:r>
      <w:r w:rsidR="00CE6563">
        <w:rPr>
          <w:noProof/>
        </w:rPr>
        <w:t>2</w:t>
      </w:r>
      <w:r w:rsidR="00342D8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6563">
        <w:rPr>
          <w:noProof/>
        </w:rPr>
        <w:instrText>2</w:instrText>
      </w:r>
      <w:r>
        <w:fldChar w:fldCharType="end"/>
      </w:r>
      <w:r>
        <w:tab/>
        <w:instrText>(</w:instrText>
      </w:r>
      <w:r w:rsidR="009751CA">
        <w:instrText>Mouring</w:instrText>
      </w:r>
      <w:r>
        <w:instrText xml:space="preserve">)" \l 1 </w:instrText>
      </w:r>
      <w:r>
        <w:fldChar w:fldCharType="end"/>
      </w:r>
      <w:r>
        <w:t> </w:t>
      </w:r>
    </w:p>
    <w:p w:rsidR="00A579BA" w:rsidRDefault="00A579BA">
      <w:pPr>
        <w:pStyle w:val="BodyText"/>
      </w:pPr>
      <w:r>
        <w:t xml:space="preserve"> Is </w:t>
      </w:r>
      <w:r w:rsidR="002731B3">
        <w:t>FCG</w:t>
      </w:r>
      <w:r>
        <w:t>'</w:t>
      </w:r>
      <w:r w:rsidR="002731B3">
        <w:t>s</w:t>
      </w:r>
      <w:r>
        <w:t xml:space="preserve"> proposed interim rate base of $</w:t>
      </w:r>
      <w:r w:rsidR="00C94533">
        <w:t>209,312,678</w:t>
      </w:r>
      <w:r>
        <w:t xml:space="preserve"> appropriate?</w:t>
      </w:r>
    </w:p>
    <w:p w:rsidR="00A579BA" w:rsidRPr="004C3641" w:rsidRDefault="00A579BA">
      <w:pPr>
        <w:pStyle w:val="IssueSubsectionHeading"/>
        <w:rPr>
          <w:vanish/>
          <w:specVanish/>
        </w:rPr>
      </w:pPr>
      <w:r w:rsidRPr="004C3641">
        <w:t>Recommendation: </w:t>
      </w:r>
    </w:p>
    <w:p w:rsidR="00A579BA" w:rsidRDefault="00A579BA">
      <w:pPr>
        <w:pStyle w:val="BodyText"/>
      </w:pPr>
      <w:r>
        <w:t> </w:t>
      </w:r>
      <w:r w:rsidR="0056414F">
        <w:t xml:space="preserve">Yes. The appropriate </w:t>
      </w:r>
      <w:r w:rsidR="0037792E">
        <w:t>interim rate base</w:t>
      </w:r>
      <w:r w:rsidR="0056414F">
        <w:t xml:space="preserve"> for </w:t>
      </w:r>
      <w:r w:rsidR="00AA4C05">
        <w:t>FCG</w:t>
      </w:r>
      <w:r w:rsidR="0056414F">
        <w:t xml:space="preserve"> is $209,312,678.</w:t>
      </w:r>
      <w:r>
        <w:t xml:space="preserve"> (</w:t>
      </w:r>
      <w:r w:rsidR="00DE44D9">
        <w:t>Mouring</w:t>
      </w:r>
      <w:r>
        <w:t>)</w:t>
      </w:r>
    </w:p>
    <w:p w:rsidR="00A579BA" w:rsidRPr="004C3641" w:rsidRDefault="00A579BA">
      <w:pPr>
        <w:pStyle w:val="IssueSubsectionHeading"/>
        <w:rPr>
          <w:vanish/>
          <w:specVanish/>
        </w:rPr>
      </w:pPr>
      <w:r w:rsidRPr="004C3641">
        <w:t>Staff Analysis: </w:t>
      </w:r>
    </w:p>
    <w:p w:rsidR="00734126" w:rsidRDefault="00A579BA">
      <w:pPr>
        <w:pStyle w:val="BodyText"/>
      </w:pPr>
      <w:r>
        <w:t> </w:t>
      </w:r>
      <w:r w:rsidR="0056414F">
        <w:t xml:space="preserve">In its filing, the Company proposed an interim test year 13-month average rate base of $209,312,678 for the period ended December 31, 2016.  </w:t>
      </w:r>
      <w:r w:rsidR="00935FC5">
        <w:t>Staff has reviewed the rate base adjustments made in the current interim filing for consistency with the Commission</w:t>
      </w:r>
      <w:r w:rsidR="008F452E">
        <w:t>-</w:t>
      </w:r>
      <w:r w:rsidR="00935FC5">
        <w:t>approved adjustments in the Company’s last rate case proceeding</w:t>
      </w:r>
      <w:r w:rsidR="00F07526">
        <w:t xml:space="preserve"> as well as other applicable dockets</w:t>
      </w:r>
      <w:r w:rsidR="00935FC5">
        <w:t>.</w:t>
      </w:r>
      <w:r w:rsidR="00935FC5">
        <w:rPr>
          <w:rStyle w:val="FootnoteReference"/>
        </w:rPr>
        <w:footnoteReference w:id="2"/>
      </w:r>
      <w:r w:rsidR="00E11B35">
        <w:t xml:space="preserve">  Based on staff’s review, it appears that </w:t>
      </w:r>
      <w:r w:rsidR="00AA4C05">
        <w:t>FCG</w:t>
      </w:r>
      <w:r w:rsidR="00E11B35">
        <w:t xml:space="preserve"> has made the applicable and appropriate adjustments that are consistent with prior Commission Orders. Staff’s recommendation of whether </w:t>
      </w:r>
      <w:r w:rsidR="00AA4C05">
        <w:t>FCG</w:t>
      </w:r>
      <w:r w:rsidR="00E11B35">
        <w:t xml:space="preserve"> is entitled to the proposed interim increase is discussed in Issue 6. If it is determined that interim relief should be granted to </w:t>
      </w:r>
      <w:r w:rsidR="00AA4C05">
        <w:t>FCG</w:t>
      </w:r>
      <w:r w:rsidR="00E11B35">
        <w:t xml:space="preserve"> in this case, staff agrees that $209,312,678 is the appropriate amount of  rate base for the for the historical base year ended December 31, 2016. The calculation is shown on Attachment A</w:t>
      </w:r>
      <w:r w:rsidR="000B5203">
        <w:t xml:space="preserve"> to the recommendation</w:t>
      </w:r>
      <w:r w:rsidR="00E11B35">
        <w:t>.</w:t>
      </w:r>
    </w:p>
    <w:p w:rsidR="00734126" w:rsidRDefault="00734126" w:rsidP="00734126">
      <w:r>
        <w:br w:type="page"/>
      </w:r>
    </w:p>
    <w:p w:rsidR="00734126" w:rsidRDefault="00734126">
      <w:pPr>
        <w:pStyle w:val="IssueHeading"/>
        <w:rPr>
          <w:vanish/>
          <w:specVanish/>
        </w:rPr>
      </w:pPr>
      <w:r w:rsidRPr="004C3641">
        <w:lastRenderedPageBreak/>
        <w:t xml:space="preserve">Issue </w:t>
      </w:r>
      <w:r>
        <w:fldChar w:fldCharType="begin"/>
      </w:r>
      <w:r>
        <w:instrText>seq issue \r 3</w:instrText>
      </w:r>
      <w:r>
        <w:fldChar w:fldCharType="separate"/>
      </w:r>
      <w:r w:rsidR="00CE6563">
        <w:rPr>
          <w:noProof/>
        </w:rPr>
        <w:t>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6563">
        <w:rPr>
          <w:noProof/>
        </w:rPr>
        <w:instrText>3</w:instrText>
      </w:r>
      <w:r>
        <w:fldChar w:fldCharType="end"/>
      </w:r>
      <w:r>
        <w:tab/>
        <w:instrText xml:space="preserve">(Mouring)" \l 1 </w:instrText>
      </w:r>
      <w:r>
        <w:fldChar w:fldCharType="end"/>
      </w:r>
      <w:r>
        <w:t> </w:t>
      </w:r>
    </w:p>
    <w:p w:rsidR="00734126" w:rsidRDefault="00734126">
      <w:pPr>
        <w:pStyle w:val="BodyText"/>
      </w:pPr>
      <w:r>
        <w:t xml:space="preserve"> Is </w:t>
      </w:r>
      <w:r w:rsidR="00AA4C05">
        <w:t>FCG</w:t>
      </w:r>
      <w:r>
        <w:t>’</w:t>
      </w:r>
      <w:r w:rsidR="00AA4C05">
        <w:t>s</w:t>
      </w:r>
      <w:r>
        <w:t xml:space="preserve"> proposed interim return on equity of 10.25 percent and overall </w:t>
      </w:r>
      <w:r w:rsidR="00A23D85">
        <w:t>cost of capital</w:t>
      </w:r>
      <w:r>
        <w:t xml:space="preserve"> of </w:t>
      </w:r>
      <w:r w:rsidR="00F34E83">
        <w:t>5.85</w:t>
      </w:r>
      <w:r>
        <w:t xml:space="preserve"> percent reasonable for the purpose of determining interim rates?</w:t>
      </w:r>
    </w:p>
    <w:p w:rsidR="00734126" w:rsidRPr="004C3641" w:rsidRDefault="00734126" w:rsidP="00734126">
      <w:pPr>
        <w:pStyle w:val="IssueSubsectionHeading"/>
        <w:rPr>
          <w:vanish/>
          <w:specVanish/>
        </w:rPr>
      </w:pPr>
      <w:r w:rsidRPr="004C3641">
        <w:t>Recommendation: </w:t>
      </w:r>
    </w:p>
    <w:p w:rsidR="00734126" w:rsidRDefault="00734126" w:rsidP="00734126">
      <w:pPr>
        <w:pStyle w:val="BodyText"/>
      </w:pPr>
      <w:r>
        <w:t xml:space="preserve"> Yes. </w:t>
      </w:r>
      <w:r w:rsidR="00AA4C05">
        <w:t>FCG</w:t>
      </w:r>
      <w:r>
        <w:t>’</w:t>
      </w:r>
      <w:r w:rsidR="00AA4C05">
        <w:t>s</w:t>
      </w:r>
      <w:r>
        <w:t xml:space="preserve"> proposed return on equity of 10.25 percent and overall cost of capital of </w:t>
      </w:r>
      <w:r w:rsidR="00F34E83">
        <w:t>5.85</w:t>
      </w:r>
      <w:r>
        <w:t xml:space="preserve"> percent are reasonable for purposes of determining interim rates.  (Mouring)</w:t>
      </w:r>
    </w:p>
    <w:p w:rsidR="00734126" w:rsidRPr="004C3641" w:rsidRDefault="00734126" w:rsidP="00734126">
      <w:pPr>
        <w:pStyle w:val="IssueSubsectionHeading"/>
        <w:rPr>
          <w:vanish/>
          <w:specVanish/>
        </w:rPr>
      </w:pPr>
      <w:r w:rsidRPr="004C3641">
        <w:t>Staff Analysis: </w:t>
      </w:r>
    </w:p>
    <w:p w:rsidR="00734126" w:rsidRDefault="00734126" w:rsidP="00734126">
      <w:pPr>
        <w:pStyle w:val="BodyText"/>
      </w:pPr>
      <w:r>
        <w:t xml:space="preserve"> For purposes of its </w:t>
      </w:r>
      <w:r w:rsidR="00A23D85">
        <w:t xml:space="preserve">corrected </w:t>
      </w:r>
      <w:r>
        <w:t xml:space="preserve">interim rate request, </w:t>
      </w:r>
      <w:r w:rsidR="00AA4C05">
        <w:t>FCG</w:t>
      </w:r>
      <w:r>
        <w:t xml:space="preserve"> used an overall cost of capital of </w:t>
      </w:r>
      <w:r w:rsidR="004007D3">
        <w:t>5.85</w:t>
      </w:r>
      <w:r>
        <w:t xml:space="preserve"> percent based on a return on equity (ROE) of 10.25 percent and the capital structure for the historical base year ended December 31, 2016. Pursuant to Section 366.071(2</w:t>
      </w:r>
      <w:proofErr w:type="gramStart"/>
      <w:r>
        <w:t>)(</w:t>
      </w:r>
      <w:proofErr w:type="gramEnd"/>
      <w:r>
        <w:t xml:space="preserve">a), F.S., the appropriate ROE for purposes of determining an interim rate increase </w:t>
      </w:r>
      <w:r w:rsidR="00AA4C05">
        <w:t>is</w:t>
      </w:r>
      <w:r>
        <w:t xml:space="preserve"> the minimum of the Company’s currently authorized ROE range. Staff believes that both the ROE and the adjustments recognized in the capital structure are consistent with Company’s last rate case proceeding as well as other applicable dockets.</w:t>
      </w:r>
      <w:r>
        <w:rPr>
          <w:rStyle w:val="FootnoteReference"/>
        </w:rPr>
        <w:footnoteReference w:id="3"/>
      </w:r>
    </w:p>
    <w:p w:rsidR="00734126" w:rsidRDefault="00734126">
      <w:pPr>
        <w:pStyle w:val="BodyText"/>
      </w:pPr>
      <w:r>
        <w:t xml:space="preserve">Staff agrees that the capital structure for the historical base year ended December 31, 2016, and an ROE of 10.25 percent results in an overall cost of capital of </w:t>
      </w:r>
      <w:r w:rsidR="004007D3">
        <w:t>5.85</w:t>
      </w:r>
      <w:r>
        <w:t xml:space="preserve"> percent. Attachment B details the calculation of the Company’s overall cost of capital.</w:t>
      </w:r>
    </w:p>
    <w:p w:rsidR="00734126" w:rsidRDefault="00A579BA">
      <w:pPr>
        <w:pStyle w:val="IssueHeading"/>
        <w:rPr>
          <w:vanish/>
          <w:specVanish/>
        </w:rPr>
      </w:pPr>
      <w:r w:rsidRPr="004C3641">
        <w:rPr>
          <w:b w:val="0"/>
          <w:i w:val="0"/>
        </w:rPr>
        <w:br w:type="page"/>
      </w:r>
      <w:r w:rsidR="00734126" w:rsidRPr="004C3641">
        <w:lastRenderedPageBreak/>
        <w:t xml:space="preserve">Issue </w:t>
      </w:r>
      <w:r w:rsidR="00342D81">
        <w:fldChar w:fldCharType="begin"/>
      </w:r>
      <w:r w:rsidR="00342D81">
        <w:instrText xml:space="preserve"> SEQ Issue \* MERGEFORMAT </w:instrText>
      </w:r>
      <w:r w:rsidR="00342D81">
        <w:fldChar w:fldCharType="separate"/>
      </w:r>
      <w:r w:rsidR="00CE6563">
        <w:rPr>
          <w:noProof/>
        </w:rPr>
        <w:t>4</w:t>
      </w:r>
      <w:r w:rsidR="00342D81">
        <w:rPr>
          <w:noProof/>
        </w:rPr>
        <w:fldChar w:fldCharType="end"/>
      </w:r>
      <w:r w:rsidR="00734126" w:rsidRPr="004C3641">
        <w:t>:</w:t>
      </w:r>
      <w:r w:rsidR="00734126">
        <w:fldChar w:fldCharType="begin"/>
      </w:r>
      <w:r w:rsidR="00734126">
        <w:instrText xml:space="preserve"> TC "</w:instrText>
      </w:r>
      <w:r w:rsidR="00734126">
        <w:fldChar w:fldCharType="begin"/>
      </w:r>
      <w:r w:rsidR="00734126">
        <w:instrText xml:space="preserve"> SEQ issue \c </w:instrText>
      </w:r>
      <w:r w:rsidR="00734126">
        <w:fldChar w:fldCharType="separate"/>
      </w:r>
      <w:r w:rsidR="00CE6563">
        <w:rPr>
          <w:noProof/>
        </w:rPr>
        <w:instrText>4</w:instrText>
      </w:r>
      <w:r w:rsidR="00734126">
        <w:fldChar w:fldCharType="end"/>
      </w:r>
      <w:r w:rsidR="00734126">
        <w:tab/>
        <w:instrText xml:space="preserve">(Mouring)" \l 1 </w:instrText>
      </w:r>
      <w:r w:rsidR="00734126">
        <w:fldChar w:fldCharType="end"/>
      </w:r>
      <w:r w:rsidR="00734126">
        <w:t> </w:t>
      </w:r>
    </w:p>
    <w:p w:rsidR="00734126" w:rsidRDefault="00734126">
      <w:pPr>
        <w:pStyle w:val="BodyText"/>
      </w:pPr>
      <w:r>
        <w:t xml:space="preserve"> Is </w:t>
      </w:r>
      <w:r w:rsidR="00AA4C05">
        <w:t>FCG</w:t>
      </w:r>
      <w:r>
        <w:t>'</w:t>
      </w:r>
      <w:r w:rsidR="00AA4C05">
        <w:t>s</w:t>
      </w:r>
      <w:r>
        <w:t xml:space="preserve"> proposed interim test year net operating income of </w:t>
      </w:r>
      <w:r w:rsidR="00F34E83">
        <w:t>$9,221,584</w:t>
      </w:r>
      <w:r w:rsidR="008D4F49">
        <w:t xml:space="preserve"> </w:t>
      </w:r>
      <w:r>
        <w:t>appropriate?</w:t>
      </w:r>
    </w:p>
    <w:p w:rsidR="00734126" w:rsidRPr="004C3641" w:rsidRDefault="00734126">
      <w:pPr>
        <w:pStyle w:val="IssueSubsectionHeading"/>
        <w:rPr>
          <w:vanish/>
          <w:specVanish/>
        </w:rPr>
      </w:pPr>
      <w:r w:rsidRPr="004C3641">
        <w:t>Recommendation: </w:t>
      </w:r>
    </w:p>
    <w:p w:rsidR="00734126" w:rsidRDefault="00734126">
      <w:pPr>
        <w:pStyle w:val="BodyText"/>
      </w:pPr>
      <w:r>
        <w:t xml:space="preserve"> Yes. The appropriate historical base year ended December 31, 2016 net operating income for </w:t>
      </w:r>
      <w:r w:rsidR="00AA4C05">
        <w:t>FCG</w:t>
      </w:r>
      <w:r>
        <w:t xml:space="preserve"> is </w:t>
      </w:r>
      <w:r w:rsidR="00F34E83">
        <w:t>$9,221,584</w:t>
      </w:r>
      <w:r>
        <w:t>.  (Mouring)</w:t>
      </w:r>
    </w:p>
    <w:p w:rsidR="00734126" w:rsidRPr="004C3641" w:rsidRDefault="00734126">
      <w:pPr>
        <w:pStyle w:val="IssueSubsectionHeading"/>
        <w:rPr>
          <w:vanish/>
          <w:specVanish/>
        </w:rPr>
      </w:pPr>
      <w:r w:rsidRPr="004C3641">
        <w:t>Staff Analysis: </w:t>
      </w:r>
    </w:p>
    <w:p w:rsidR="00734126" w:rsidRDefault="00734126">
      <w:pPr>
        <w:pStyle w:val="BodyText"/>
      </w:pPr>
      <w:r>
        <w:t xml:space="preserve"> The proposed historical base year net operating income of </w:t>
      </w:r>
      <w:r w:rsidR="00F34E83">
        <w:t>$9,221,584</w:t>
      </w:r>
      <w:r>
        <w:t xml:space="preserve"> is the twelve month amount for the historical base year ended December 31, 2016. Staff has reviewed the net operating income adjustments made in the current interim filing for consistency with the Commission approved adjustments in the Company’s last rate case proceeding as well as other applicable dockets.</w:t>
      </w:r>
      <w:r>
        <w:rPr>
          <w:rStyle w:val="FootnoteReference"/>
        </w:rPr>
        <w:footnoteReference w:id="4"/>
      </w:r>
      <w:r w:rsidR="00AA4C05">
        <w:t xml:space="preserve"> Based on staff’s review</w:t>
      </w:r>
      <w:r>
        <w:t xml:space="preserve">, it appears that </w:t>
      </w:r>
      <w:r w:rsidR="00AA4C05">
        <w:t>FCG</w:t>
      </w:r>
      <w:r>
        <w:t xml:space="preserve"> has made the applicable and appropriate adjustments that are consistent with the prior Commission Orders. </w:t>
      </w:r>
      <w:r w:rsidR="00813366">
        <w:t>S</w:t>
      </w:r>
      <w:r>
        <w:t xml:space="preserve">taff’s recommendation of whether </w:t>
      </w:r>
      <w:r w:rsidR="00AA4C05">
        <w:t>FCG</w:t>
      </w:r>
      <w:r>
        <w:t xml:space="preserve"> is entitled to the proposed interim increase is discussed in Issue 6.  If it is determined that interim relief should be granted to </w:t>
      </w:r>
      <w:r w:rsidR="00AA4C05">
        <w:t>FCG</w:t>
      </w:r>
      <w:r>
        <w:t xml:space="preserve"> in this case, staff agrees that </w:t>
      </w:r>
      <w:r w:rsidR="00F34E83">
        <w:t>$9,221,584</w:t>
      </w:r>
      <w:r>
        <w:t xml:space="preserve"> is the appropriate amount of net operating income for the historical base year ended December 31, 2016.  The calculation is shown on Attachment A.</w:t>
      </w:r>
    </w:p>
    <w:p w:rsidR="00A579BA" w:rsidRDefault="00A579BA">
      <w:pPr>
        <w:pStyle w:val="IssueHeading"/>
        <w:rPr>
          <w:vanish/>
          <w:specVanish/>
        </w:rPr>
      </w:pPr>
      <w:r w:rsidRPr="004C3641">
        <w:rPr>
          <w:b w:val="0"/>
          <w:i w:val="0"/>
        </w:rPr>
        <w:br w:type="page"/>
      </w:r>
      <w:r w:rsidRPr="004C3641">
        <w:lastRenderedPageBreak/>
        <w:t xml:space="preserve">Issue </w:t>
      </w:r>
      <w:r w:rsidR="00342D81">
        <w:fldChar w:fldCharType="begin"/>
      </w:r>
      <w:r w:rsidR="00342D81">
        <w:instrText xml:space="preserve"> SEQ Issue \* MERGEFORMAT </w:instrText>
      </w:r>
      <w:r w:rsidR="00342D81">
        <w:fldChar w:fldCharType="separate"/>
      </w:r>
      <w:r w:rsidR="00CE6563">
        <w:rPr>
          <w:noProof/>
        </w:rPr>
        <w:t>5</w:t>
      </w:r>
      <w:r w:rsidR="00342D8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6563">
        <w:rPr>
          <w:noProof/>
        </w:rPr>
        <w:instrText>5</w:instrText>
      </w:r>
      <w:r>
        <w:fldChar w:fldCharType="end"/>
      </w:r>
      <w:r>
        <w:tab/>
        <w:instrText>(</w:instrText>
      </w:r>
      <w:r w:rsidR="009751CA">
        <w:instrText>Mouring</w:instrText>
      </w:r>
      <w:r>
        <w:instrText xml:space="preserve">)" \l 1 </w:instrText>
      </w:r>
      <w:r>
        <w:fldChar w:fldCharType="end"/>
      </w:r>
      <w:r>
        <w:t> </w:t>
      </w:r>
    </w:p>
    <w:p w:rsidR="00A579BA" w:rsidRDefault="00A579BA">
      <w:pPr>
        <w:pStyle w:val="BodyText"/>
      </w:pPr>
      <w:r>
        <w:t xml:space="preserve"> Is </w:t>
      </w:r>
      <w:r w:rsidR="00AA4C05">
        <w:t>FCG</w:t>
      </w:r>
      <w:r>
        <w:t>'</w:t>
      </w:r>
      <w:r w:rsidR="00AA4C05">
        <w:t>s</w:t>
      </w:r>
      <w:r>
        <w:t xml:space="preserve"> proposed interim </w:t>
      </w:r>
      <w:r w:rsidR="00A23D85">
        <w:t>net operating income multiplier</w:t>
      </w:r>
      <w:r>
        <w:t xml:space="preserve"> of </w:t>
      </w:r>
      <w:r w:rsidR="00A23D85">
        <w:t>1.6185</w:t>
      </w:r>
      <w:r>
        <w:t xml:space="preserve"> appropriate?</w:t>
      </w:r>
    </w:p>
    <w:p w:rsidR="00A579BA" w:rsidRPr="004C3641" w:rsidRDefault="00A579BA">
      <w:pPr>
        <w:pStyle w:val="IssueSubsectionHeading"/>
        <w:rPr>
          <w:vanish/>
          <w:specVanish/>
        </w:rPr>
      </w:pPr>
      <w:r w:rsidRPr="004C3641">
        <w:t>Recommendation: </w:t>
      </w:r>
    </w:p>
    <w:p w:rsidR="00A579BA" w:rsidRDefault="00A579BA">
      <w:pPr>
        <w:pStyle w:val="BodyText"/>
      </w:pPr>
      <w:r>
        <w:t> </w:t>
      </w:r>
      <w:r w:rsidR="00AA673E">
        <w:t xml:space="preserve">Yes. </w:t>
      </w:r>
      <w:r w:rsidR="00AA4C05">
        <w:t>FCG</w:t>
      </w:r>
      <w:r w:rsidR="00AA673E">
        <w:t>’</w:t>
      </w:r>
      <w:r w:rsidR="00AA4C05">
        <w:t>s</w:t>
      </w:r>
      <w:r w:rsidR="00AA673E">
        <w:t xml:space="preserve"> proposed interim </w:t>
      </w:r>
      <w:r w:rsidR="00A23D85">
        <w:t>net operating income multiplier</w:t>
      </w:r>
      <w:r w:rsidR="00AA673E">
        <w:t xml:space="preserve"> of </w:t>
      </w:r>
      <w:r w:rsidR="00A23D85">
        <w:t>1.6185</w:t>
      </w:r>
      <w:r w:rsidR="00AA673E">
        <w:t xml:space="preserve"> is appropriate.</w:t>
      </w:r>
      <w:r>
        <w:t xml:space="preserve"> (</w:t>
      </w:r>
      <w:r w:rsidR="00741ABE">
        <w:t>Mouring</w:t>
      </w:r>
      <w:r>
        <w:t>)</w:t>
      </w:r>
    </w:p>
    <w:p w:rsidR="00A579BA" w:rsidRPr="004C3641" w:rsidRDefault="00A579BA">
      <w:pPr>
        <w:pStyle w:val="IssueSubsectionHeading"/>
        <w:rPr>
          <w:vanish/>
          <w:specVanish/>
        </w:rPr>
      </w:pPr>
      <w:r w:rsidRPr="004C3641">
        <w:t>Staff Analysis: </w:t>
      </w:r>
    </w:p>
    <w:p w:rsidR="00A579BA" w:rsidRDefault="00A579BA">
      <w:pPr>
        <w:pStyle w:val="BodyText"/>
      </w:pPr>
      <w:r>
        <w:t> </w:t>
      </w:r>
      <w:r w:rsidR="00AA673E">
        <w:t xml:space="preserve">On </w:t>
      </w:r>
      <w:r w:rsidR="001A06EF">
        <w:t xml:space="preserve">revised </w:t>
      </w:r>
      <w:r w:rsidR="00AA673E">
        <w:t xml:space="preserve">MFR Schedule F-6, the </w:t>
      </w:r>
      <w:r w:rsidR="00381A38">
        <w:t xml:space="preserve">Company calculated an interim </w:t>
      </w:r>
      <w:r w:rsidR="00A23D85">
        <w:t>net operating income multiplier</w:t>
      </w:r>
      <w:r w:rsidR="00381A38">
        <w:t xml:space="preserve"> of </w:t>
      </w:r>
      <w:r w:rsidR="00A23D85">
        <w:t>1.6185</w:t>
      </w:r>
      <w:r w:rsidR="00381A38">
        <w:t xml:space="preserve"> using a 34 percent federal income tax rate and a 5.5 percent state income tax rate. Additionally, the Company applied a 0.500 percent factor for regulatory assessment fees and a 0.4382 percent factor for bad debt expense. Staff has reviewed the Company’s calculation of the interim </w:t>
      </w:r>
      <w:r w:rsidR="00A23D85">
        <w:t>net operating income multiplier</w:t>
      </w:r>
      <w:r w:rsidR="00381A38">
        <w:t xml:space="preserve"> and is not proposing any adjustments. Therefore, staff recommends that </w:t>
      </w:r>
      <w:r w:rsidR="00A23D85">
        <w:t>1.6185</w:t>
      </w:r>
      <w:r w:rsidR="00381A38">
        <w:t xml:space="preserve"> is the appropriate interim </w:t>
      </w:r>
      <w:r w:rsidR="00A23D85">
        <w:t>net operating income multiplier</w:t>
      </w:r>
      <w:r w:rsidR="00381A38">
        <w:t>.  The calculation is shown below.</w:t>
      </w:r>
    </w:p>
    <w:p w:rsidR="000B5203" w:rsidRDefault="000B5203" w:rsidP="000B5203">
      <w:pPr>
        <w:pStyle w:val="TableNumber"/>
        <w:keepNext/>
      </w:pPr>
      <w:r>
        <w:t xml:space="preserve">Table </w:t>
      </w:r>
      <w:r w:rsidR="00342D81">
        <w:fldChar w:fldCharType="begin"/>
      </w:r>
      <w:r w:rsidR="00342D81">
        <w:instrText xml:space="preserve"> SEQ Issue \c </w:instrText>
      </w:r>
      <w:r w:rsidR="00342D81">
        <w:fldChar w:fldCharType="separate"/>
      </w:r>
      <w:r w:rsidR="00CE6563">
        <w:rPr>
          <w:noProof/>
        </w:rPr>
        <w:t>5</w:t>
      </w:r>
      <w:r w:rsidR="00342D81">
        <w:rPr>
          <w:noProof/>
        </w:rPr>
        <w:fldChar w:fldCharType="end"/>
      </w:r>
      <w:r>
        <w:t>-1</w:t>
      </w:r>
    </w:p>
    <w:p w:rsidR="000B5203" w:rsidRDefault="000B5203" w:rsidP="000B5203">
      <w:pPr>
        <w:pStyle w:val="TableTitle"/>
        <w:keepNext/>
      </w:pPr>
      <w:r w:rsidRPr="00E74F35">
        <w:rPr>
          <w:color w:val="000000"/>
        </w:rPr>
        <w:t xml:space="preserve">Florida City Gas - Interim </w:t>
      </w:r>
      <w:r w:rsidR="00ED736E">
        <w:rPr>
          <w:color w:val="000000"/>
        </w:rPr>
        <w:t>Net Operating Income Multiplier</w:t>
      </w:r>
    </w:p>
    <w:tbl>
      <w:tblPr>
        <w:tblW w:w="6684" w:type="dxa"/>
        <w:jc w:val="center"/>
        <w:tblInd w:w="93" w:type="dxa"/>
        <w:tblLook w:val="04A0" w:firstRow="1" w:lastRow="0" w:firstColumn="1" w:lastColumn="0" w:noHBand="0" w:noVBand="1"/>
      </w:tblPr>
      <w:tblGrid>
        <w:gridCol w:w="340"/>
        <w:gridCol w:w="4094"/>
        <w:gridCol w:w="276"/>
        <w:gridCol w:w="1694"/>
        <w:gridCol w:w="280"/>
      </w:tblGrid>
      <w:tr w:rsidR="00E74F35" w:rsidTr="000B5203">
        <w:trPr>
          <w:trHeight w:val="68"/>
          <w:jc w:val="center"/>
        </w:trPr>
        <w:tc>
          <w:tcPr>
            <w:tcW w:w="340" w:type="dxa"/>
            <w:tcBorders>
              <w:top w:val="nil"/>
              <w:bottom w:val="single" w:sz="4" w:space="0" w:color="auto"/>
              <w:right w:val="nil"/>
            </w:tcBorders>
            <w:shd w:val="clear" w:color="auto" w:fill="auto"/>
            <w:noWrap/>
            <w:vAlign w:val="bottom"/>
          </w:tcPr>
          <w:p w:rsidR="00E74F35" w:rsidRDefault="00E74F35">
            <w:pPr>
              <w:rPr>
                <w:rFonts w:ascii="Calibri" w:hAnsi="Calibri"/>
                <w:color w:val="000000"/>
                <w:sz w:val="22"/>
                <w:szCs w:val="22"/>
              </w:rPr>
            </w:pPr>
          </w:p>
        </w:tc>
        <w:tc>
          <w:tcPr>
            <w:tcW w:w="6064" w:type="dxa"/>
            <w:gridSpan w:val="3"/>
            <w:tcBorders>
              <w:top w:val="nil"/>
              <w:left w:val="nil"/>
              <w:bottom w:val="single" w:sz="4" w:space="0" w:color="auto"/>
              <w:right w:val="nil"/>
            </w:tcBorders>
            <w:shd w:val="clear" w:color="auto" w:fill="auto"/>
            <w:noWrap/>
            <w:vAlign w:val="bottom"/>
          </w:tcPr>
          <w:p w:rsidR="00E74F35" w:rsidRPr="00E74F35" w:rsidRDefault="00E74F35">
            <w:pPr>
              <w:jc w:val="center"/>
              <w:rPr>
                <w:color w:val="000000"/>
              </w:rPr>
            </w:pPr>
          </w:p>
        </w:tc>
        <w:tc>
          <w:tcPr>
            <w:tcW w:w="280" w:type="dxa"/>
            <w:tcBorders>
              <w:top w:val="nil"/>
              <w:left w:val="nil"/>
              <w:bottom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0B5203">
        <w:trPr>
          <w:trHeight w:val="300"/>
          <w:jc w:val="center"/>
        </w:trPr>
        <w:tc>
          <w:tcPr>
            <w:tcW w:w="340" w:type="dxa"/>
            <w:tcBorders>
              <w:top w:val="single" w:sz="4" w:space="0" w:color="auto"/>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single" w:sz="4" w:space="0" w:color="auto"/>
              <w:left w:val="nil"/>
              <w:bottom w:val="nil"/>
              <w:right w:val="nil"/>
            </w:tcBorders>
            <w:shd w:val="clear" w:color="auto" w:fill="auto"/>
            <w:noWrap/>
            <w:vAlign w:val="bottom"/>
            <w:hideMark/>
          </w:tcPr>
          <w:p w:rsidR="00E74F35" w:rsidRPr="00E74F35" w:rsidRDefault="00E74F35">
            <w:pPr>
              <w:rPr>
                <w:color w:val="000000"/>
                <w:u w:val="single"/>
              </w:rPr>
            </w:pPr>
            <w:r w:rsidRPr="00E74F35">
              <w:rPr>
                <w:color w:val="000000"/>
                <w:u w:val="single"/>
              </w:rPr>
              <w:t>Description</w:t>
            </w:r>
          </w:p>
        </w:tc>
        <w:tc>
          <w:tcPr>
            <w:tcW w:w="276" w:type="dxa"/>
            <w:tcBorders>
              <w:top w:val="single" w:sz="4" w:space="0" w:color="auto"/>
              <w:left w:val="nil"/>
              <w:bottom w:val="nil"/>
              <w:right w:val="nil"/>
            </w:tcBorders>
            <w:shd w:val="clear" w:color="auto" w:fill="auto"/>
            <w:noWrap/>
            <w:vAlign w:val="bottom"/>
            <w:hideMark/>
          </w:tcPr>
          <w:p w:rsidR="00E74F35" w:rsidRPr="00E74F35" w:rsidRDefault="00E74F35">
            <w:pPr>
              <w:rPr>
                <w:color w:val="000000"/>
              </w:rPr>
            </w:pPr>
            <w:r w:rsidRPr="00E74F35">
              <w:rPr>
                <w:color w:val="000000"/>
              </w:rPr>
              <w:t> </w:t>
            </w:r>
          </w:p>
        </w:tc>
        <w:tc>
          <w:tcPr>
            <w:tcW w:w="1694" w:type="dxa"/>
            <w:tcBorders>
              <w:top w:val="single" w:sz="4" w:space="0" w:color="auto"/>
              <w:left w:val="nil"/>
              <w:bottom w:val="nil"/>
              <w:right w:val="nil"/>
            </w:tcBorders>
            <w:shd w:val="clear" w:color="auto" w:fill="auto"/>
            <w:noWrap/>
            <w:vAlign w:val="bottom"/>
            <w:hideMark/>
          </w:tcPr>
          <w:p w:rsidR="00E74F35" w:rsidRPr="00E74F35" w:rsidRDefault="00E74F35">
            <w:pPr>
              <w:rPr>
                <w:color w:val="000000"/>
              </w:rPr>
            </w:pPr>
            <w:r w:rsidRPr="00E74F35">
              <w:rPr>
                <w:color w:val="000000"/>
              </w:rPr>
              <w:t> </w:t>
            </w:r>
          </w:p>
        </w:tc>
        <w:tc>
          <w:tcPr>
            <w:tcW w:w="280" w:type="dxa"/>
            <w:tcBorders>
              <w:top w:val="single" w:sz="4" w:space="0" w:color="auto"/>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0B5203">
        <w:trPr>
          <w:trHeight w:val="300"/>
          <w:jc w:val="center"/>
        </w:trPr>
        <w:tc>
          <w:tcPr>
            <w:tcW w:w="340" w:type="dxa"/>
            <w:tcBorders>
              <w:top w:val="nil"/>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nil"/>
              <w:left w:val="nil"/>
              <w:bottom w:val="nil"/>
              <w:right w:val="nil"/>
            </w:tcBorders>
            <w:shd w:val="clear" w:color="auto" w:fill="auto"/>
            <w:noWrap/>
            <w:vAlign w:val="bottom"/>
            <w:hideMark/>
          </w:tcPr>
          <w:p w:rsidR="00E74F35" w:rsidRPr="00E74F35" w:rsidRDefault="00E74F35">
            <w:pPr>
              <w:rPr>
                <w:color w:val="000000"/>
              </w:rPr>
            </w:pPr>
            <w:r w:rsidRPr="00E74F35">
              <w:rPr>
                <w:color w:val="000000"/>
              </w:rPr>
              <w:t>Revenue Requirement</w:t>
            </w:r>
          </w:p>
        </w:tc>
        <w:tc>
          <w:tcPr>
            <w:tcW w:w="276"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1694" w:type="dxa"/>
            <w:tcBorders>
              <w:top w:val="nil"/>
              <w:left w:val="nil"/>
              <w:bottom w:val="nil"/>
              <w:right w:val="nil"/>
            </w:tcBorders>
            <w:shd w:val="clear" w:color="auto" w:fill="auto"/>
            <w:noWrap/>
            <w:vAlign w:val="bottom"/>
            <w:hideMark/>
          </w:tcPr>
          <w:p w:rsidR="00E74F35" w:rsidRPr="00E74F35" w:rsidRDefault="00E74F35">
            <w:pPr>
              <w:jc w:val="right"/>
              <w:rPr>
                <w:color w:val="000000"/>
              </w:rPr>
            </w:pPr>
            <w:r w:rsidRPr="00E74F35">
              <w:rPr>
                <w:color w:val="000000"/>
              </w:rPr>
              <w:t>100.0000%</w:t>
            </w:r>
          </w:p>
        </w:tc>
        <w:tc>
          <w:tcPr>
            <w:tcW w:w="280" w:type="dxa"/>
            <w:tcBorders>
              <w:top w:val="nil"/>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0B5203">
        <w:trPr>
          <w:trHeight w:val="300"/>
          <w:jc w:val="center"/>
        </w:trPr>
        <w:tc>
          <w:tcPr>
            <w:tcW w:w="340" w:type="dxa"/>
            <w:tcBorders>
              <w:top w:val="nil"/>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276"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1694"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280" w:type="dxa"/>
            <w:tcBorders>
              <w:top w:val="nil"/>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0B5203">
        <w:trPr>
          <w:trHeight w:val="300"/>
          <w:jc w:val="center"/>
        </w:trPr>
        <w:tc>
          <w:tcPr>
            <w:tcW w:w="340" w:type="dxa"/>
            <w:tcBorders>
              <w:top w:val="nil"/>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nil"/>
              <w:left w:val="nil"/>
              <w:bottom w:val="nil"/>
              <w:right w:val="nil"/>
            </w:tcBorders>
            <w:shd w:val="clear" w:color="auto" w:fill="auto"/>
            <w:noWrap/>
            <w:vAlign w:val="bottom"/>
            <w:hideMark/>
          </w:tcPr>
          <w:p w:rsidR="00E74F35" w:rsidRPr="00E74F35" w:rsidRDefault="00E74F35">
            <w:pPr>
              <w:rPr>
                <w:color w:val="000000"/>
              </w:rPr>
            </w:pPr>
            <w:r w:rsidRPr="00E74F35">
              <w:rPr>
                <w:color w:val="000000"/>
              </w:rPr>
              <w:t>Regulatory Assessment Fee</w:t>
            </w:r>
          </w:p>
        </w:tc>
        <w:tc>
          <w:tcPr>
            <w:tcW w:w="276"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1694" w:type="dxa"/>
            <w:tcBorders>
              <w:top w:val="nil"/>
              <w:left w:val="nil"/>
              <w:bottom w:val="nil"/>
              <w:right w:val="nil"/>
            </w:tcBorders>
            <w:shd w:val="clear" w:color="auto" w:fill="auto"/>
            <w:noWrap/>
            <w:vAlign w:val="bottom"/>
            <w:hideMark/>
          </w:tcPr>
          <w:p w:rsidR="00E74F35" w:rsidRPr="00E74F35" w:rsidRDefault="00E74F35">
            <w:pPr>
              <w:jc w:val="right"/>
              <w:rPr>
                <w:color w:val="000000"/>
              </w:rPr>
            </w:pPr>
            <w:r w:rsidRPr="00E74F35">
              <w:rPr>
                <w:color w:val="000000"/>
              </w:rPr>
              <w:t>-0.5000%</w:t>
            </w:r>
          </w:p>
        </w:tc>
        <w:tc>
          <w:tcPr>
            <w:tcW w:w="280" w:type="dxa"/>
            <w:tcBorders>
              <w:top w:val="nil"/>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0B5203">
        <w:trPr>
          <w:trHeight w:val="300"/>
          <w:jc w:val="center"/>
        </w:trPr>
        <w:tc>
          <w:tcPr>
            <w:tcW w:w="340" w:type="dxa"/>
            <w:tcBorders>
              <w:top w:val="nil"/>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276"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1694"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280" w:type="dxa"/>
            <w:tcBorders>
              <w:top w:val="nil"/>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0B5203">
        <w:trPr>
          <w:trHeight w:val="300"/>
          <w:jc w:val="center"/>
        </w:trPr>
        <w:tc>
          <w:tcPr>
            <w:tcW w:w="340" w:type="dxa"/>
            <w:tcBorders>
              <w:top w:val="nil"/>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nil"/>
              <w:left w:val="nil"/>
              <w:bottom w:val="nil"/>
              <w:right w:val="nil"/>
            </w:tcBorders>
            <w:shd w:val="clear" w:color="auto" w:fill="auto"/>
            <w:noWrap/>
            <w:vAlign w:val="bottom"/>
            <w:hideMark/>
          </w:tcPr>
          <w:p w:rsidR="00E74F35" w:rsidRPr="00E74F35" w:rsidRDefault="00E74F35">
            <w:pPr>
              <w:rPr>
                <w:color w:val="000000"/>
              </w:rPr>
            </w:pPr>
            <w:r w:rsidRPr="00E74F35">
              <w:rPr>
                <w:color w:val="000000"/>
              </w:rPr>
              <w:t>Bad Debt Rate</w:t>
            </w:r>
          </w:p>
        </w:tc>
        <w:tc>
          <w:tcPr>
            <w:tcW w:w="276"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1694" w:type="dxa"/>
            <w:tcBorders>
              <w:top w:val="nil"/>
              <w:left w:val="nil"/>
              <w:bottom w:val="single" w:sz="4" w:space="0" w:color="auto"/>
              <w:right w:val="nil"/>
            </w:tcBorders>
            <w:shd w:val="clear" w:color="auto" w:fill="auto"/>
            <w:noWrap/>
            <w:vAlign w:val="bottom"/>
            <w:hideMark/>
          </w:tcPr>
          <w:p w:rsidR="00E74F35" w:rsidRPr="00E74F35" w:rsidRDefault="00E74F35">
            <w:pPr>
              <w:jc w:val="right"/>
              <w:rPr>
                <w:color w:val="000000"/>
              </w:rPr>
            </w:pPr>
            <w:r w:rsidRPr="00E74F35">
              <w:rPr>
                <w:color w:val="000000"/>
              </w:rPr>
              <w:t>-0.4382%</w:t>
            </w:r>
          </w:p>
        </w:tc>
        <w:tc>
          <w:tcPr>
            <w:tcW w:w="280" w:type="dxa"/>
            <w:tcBorders>
              <w:top w:val="nil"/>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0B5203">
        <w:trPr>
          <w:trHeight w:val="300"/>
          <w:jc w:val="center"/>
        </w:trPr>
        <w:tc>
          <w:tcPr>
            <w:tcW w:w="340" w:type="dxa"/>
            <w:tcBorders>
              <w:top w:val="nil"/>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276"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1694"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280" w:type="dxa"/>
            <w:tcBorders>
              <w:top w:val="nil"/>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0B5203">
        <w:trPr>
          <w:trHeight w:val="300"/>
          <w:jc w:val="center"/>
        </w:trPr>
        <w:tc>
          <w:tcPr>
            <w:tcW w:w="340" w:type="dxa"/>
            <w:tcBorders>
              <w:top w:val="nil"/>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nil"/>
              <w:left w:val="nil"/>
              <w:bottom w:val="nil"/>
              <w:right w:val="nil"/>
            </w:tcBorders>
            <w:shd w:val="clear" w:color="auto" w:fill="auto"/>
            <w:noWrap/>
            <w:vAlign w:val="bottom"/>
            <w:hideMark/>
          </w:tcPr>
          <w:p w:rsidR="00E74F35" w:rsidRPr="00E74F35" w:rsidRDefault="00E74F35">
            <w:pPr>
              <w:rPr>
                <w:color w:val="000000"/>
              </w:rPr>
            </w:pPr>
            <w:r w:rsidRPr="00E74F35">
              <w:rPr>
                <w:color w:val="000000"/>
              </w:rPr>
              <w:t>Net Before Income Tax</w:t>
            </w:r>
          </w:p>
        </w:tc>
        <w:tc>
          <w:tcPr>
            <w:tcW w:w="276"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1694" w:type="dxa"/>
            <w:tcBorders>
              <w:top w:val="nil"/>
              <w:left w:val="nil"/>
              <w:bottom w:val="nil"/>
              <w:right w:val="nil"/>
            </w:tcBorders>
            <w:shd w:val="clear" w:color="auto" w:fill="auto"/>
            <w:noWrap/>
            <w:vAlign w:val="bottom"/>
            <w:hideMark/>
          </w:tcPr>
          <w:p w:rsidR="00E74F35" w:rsidRPr="00E74F35" w:rsidRDefault="00E74F35">
            <w:pPr>
              <w:jc w:val="right"/>
              <w:rPr>
                <w:color w:val="000000"/>
              </w:rPr>
            </w:pPr>
            <w:r w:rsidRPr="00E74F35">
              <w:rPr>
                <w:color w:val="000000"/>
              </w:rPr>
              <w:t>99.0618%</w:t>
            </w:r>
          </w:p>
        </w:tc>
        <w:tc>
          <w:tcPr>
            <w:tcW w:w="280" w:type="dxa"/>
            <w:tcBorders>
              <w:top w:val="nil"/>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0B5203">
        <w:trPr>
          <w:trHeight w:val="300"/>
          <w:jc w:val="center"/>
        </w:trPr>
        <w:tc>
          <w:tcPr>
            <w:tcW w:w="340" w:type="dxa"/>
            <w:tcBorders>
              <w:top w:val="nil"/>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276"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1694"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280" w:type="dxa"/>
            <w:tcBorders>
              <w:top w:val="nil"/>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0B5203">
        <w:trPr>
          <w:trHeight w:val="300"/>
          <w:jc w:val="center"/>
        </w:trPr>
        <w:tc>
          <w:tcPr>
            <w:tcW w:w="340" w:type="dxa"/>
            <w:tcBorders>
              <w:top w:val="nil"/>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nil"/>
              <w:left w:val="nil"/>
              <w:bottom w:val="nil"/>
              <w:right w:val="nil"/>
            </w:tcBorders>
            <w:shd w:val="clear" w:color="auto" w:fill="auto"/>
            <w:noWrap/>
            <w:vAlign w:val="bottom"/>
            <w:hideMark/>
          </w:tcPr>
          <w:p w:rsidR="00E74F35" w:rsidRPr="00E74F35" w:rsidRDefault="00E74F35">
            <w:pPr>
              <w:rPr>
                <w:color w:val="000000"/>
              </w:rPr>
            </w:pPr>
            <w:r w:rsidRPr="00E74F35">
              <w:rPr>
                <w:color w:val="000000"/>
              </w:rPr>
              <w:t>State Income Tax @ 5.5%</w:t>
            </w:r>
          </w:p>
        </w:tc>
        <w:tc>
          <w:tcPr>
            <w:tcW w:w="276"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1694" w:type="dxa"/>
            <w:tcBorders>
              <w:top w:val="nil"/>
              <w:left w:val="nil"/>
              <w:bottom w:val="nil"/>
              <w:right w:val="nil"/>
            </w:tcBorders>
            <w:shd w:val="clear" w:color="auto" w:fill="auto"/>
            <w:noWrap/>
            <w:vAlign w:val="bottom"/>
            <w:hideMark/>
          </w:tcPr>
          <w:p w:rsidR="00E74F35" w:rsidRPr="00E74F35" w:rsidRDefault="00E74F35">
            <w:pPr>
              <w:jc w:val="right"/>
              <w:rPr>
                <w:color w:val="000000"/>
              </w:rPr>
            </w:pPr>
            <w:r w:rsidRPr="00E74F35">
              <w:rPr>
                <w:color w:val="000000"/>
              </w:rPr>
              <w:t>-5.4484%</w:t>
            </w:r>
          </w:p>
        </w:tc>
        <w:tc>
          <w:tcPr>
            <w:tcW w:w="280" w:type="dxa"/>
            <w:tcBorders>
              <w:top w:val="nil"/>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0B5203">
        <w:trPr>
          <w:trHeight w:val="300"/>
          <w:jc w:val="center"/>
        </w:trPr>
        <w:tc>
          <w:tcPr>
            <w:tcW w:w="340" w:type="dxa"/>
            <w:tcBorders>
              <w:top w:val="nil"/>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276"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1694"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280" w:type="dxa"/>
            <w:tcBorders>
              <w:top w:val="nil"/>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0B5203">
        <w:trPr>
          <w:trHeight w:val="300"/>
          <w:jc w:val="center"/>
        </w:trPr>
        <w:tc>
          <w:tcPr>
            <w:tcW w:w="340" w:type="dxa"/>
            <w:tcBorders>
              <w:top w:val="nil"/>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nil"/>
              <w:left w:val="nil"/>
              <w:bottom w:val="nil"/>
              <w:right w:val="nil"/>
            </w:tcBorders>
            <w:shd w:val="clear" w:color="auto" w:fill="auto"/>
            <w:noWrap/>
            <w:vAlign w:val="bottom"/>
            <w:hideMark/>
          </w:tcPr>
          <w:p w:rsidR="00E74F35" w:rsidRPr="00E74F35" w:rsidRDefault="00E74F35">
            <w:pPr>
              <w:rPr>
                <w:color w:val="000000"/>
              </w:rPr>
            </w:pPr>
            <w:r w:rsidRPr="00E74F35">
              <w:rPr>
                <w:color w:val="000000"/>
              </w:rPr>
              <w:t>Federal Income Tax @ 34%</w:t>
            </w:r>
          </w:p>
        </w:tc>
        <w:tc>
          <w:tcPr>
            <w:tcW w:w="276"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1694" w:type="dxa"/>
            <w:tcBorders>
              <w:top w:val="nil"/>
              <w:left w:val="nil"/>
              <w:bottom w:val="single" w:sz="4" w:space="0" w:color="auto"/>
              <w:right w:val="nil"/>
            </w:tcBorders>
            <w:shd w:val="clear" w:color="auto" w:fill="auto"/>
            <w:noWrap/>
            <w:vAlign w:val="bottom"/>
            <w:hideMark/>
          </w:tcPr>
          <w:p w:rsidR="00E74F35" w:rsidRPr="00E74F35" w:rsidRDefault="00E74F35">
            <w:pPr>
              <w:jc w:val="right"/>
              <w:rPr>
                <w:color w:val="000000"/>
              </w:rPr>
            </w:pPr>
            <w:r w:rsidRPr="00E74F35">
              <w:rPr>
                <w:color w:val="000000"/>
              </w:rPr>
              <w:t>-31.8286%</w:t>
            </w:r>
          </w:p>
        </w:tc>
        <w:tc>
          <w:tcPr>
            <w:tcW w:w="280" w:type="dxa"/>
            <w:tcBorders>
              <w:top w:val="nil"/>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0B5203">
        <w:trPr>
          <w:trHeight w:val="300"/>
          <w:jc w:val="center"/>
        </w:trPr>
        <w:tc>
          <w:tcPr>
            <w:tcW w:w="340" w:type="dxa"/>
            <w:tcBorders>
              <w:top w:val="nil"/>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276"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1694"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280" w:type="dxa"/>
            <w:tcBorders>
              <w:top w:val="nil"/>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0B5203">
        <w:trPr>
          <w:trHeight w:val="315"/>
          <w:jc w:val="center"/>
        </w:trPr>
        <w:tc>
          <w:tcPr>
            <w:tcW w:w="340" w:type="dxa"/>
            <w:tcBorders>
              <w:top w:val="nil"/>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nil"/>
              <w:left w:val="nil"/>
              <w:bottom w:val="nil"/>
              <w:right w:val="nil"/>
            </w:tcBorders>
            <w:shd w:val="clear" w:color="auto" w:fill="auto"/>
            <w:noWrap/>
            <w:vAlign w:val="bottom"/>
            <w:hideMark/>
          </w:tcPr>
          <w:p w:rsidR="00E74F35" w:rsidRPr="00E74F35" w:rsidRDefault="00E74F35">
            <w:pPr>
              <w:rPr>
                <w:color w:val="000000"/>
              </w:rPr>
            </w:pPr>
            <w:r w:rsidRPr="00E74F35">
              <w:rPr>
                <w:color w:val="000000"/>
              </w:rPr>
              <w:t>Revenue Expansion Factor</w:t>
            </w:r>
          </w:p>
        </w:tc>
        <w:tc>
          <w:tcPr>
            <w:tcW w:w="276" w:type="dxa"/>
            <w:tcBorders>
              <w:top w:val="nil"/>
              <w:left w:val="nil"/>
              <w:bottom w:val="nil"/>
              <w:right w:val="nil"/>
            </w:tcBorders>
            <w:shd w:val="clear" w:color="auto" w:fill="auto"/>
            <w:noWrap/>
            <w:vAlign w:val="bottom"/>
            <w:hideMark/>
          </w:tcPr>
          <w:p w:rsidR="00E74F35" w:rsidRPr="00E74F35" w:rsidRDefault="00E74F35">
            <w:pPr>
              <w:rPr>
                <w:color w:val="000000"/>
              </w:rPr>
            </w:pPr>
          </w:p>
        </w:tc>
        <w:tc>
          <w:tcPr>
            <w:tcW w:w="1694" w:type="dxa"/>
            <w:tcBorders>
              <w:top w:val="nil"/>
              <w:left w:val="nil"/>
              <w:bottom w:val="double" w:sz="6" w:space="0" w:color="auto"/>
              <w:right w:val="nil"/>
            </w:tcBorders>
            <w:shd w:val="clear" w:color="auto" w:fill="auto"/>
            <w:noWrap/>
            <w:vAlign w:val="bottom"/>
            <w:hideMark/>
          </w:tcPr>
          <w:p w:rsidR="00E74F35" w:rsidRPr="00E74F35" w:rsidRDefault="00E74F35">
            <w:pPr>
              <w:jc w:val="right"/>
              <w:rPr>
                <w:color w:val="000000"/>
              </w:rPr>
            </w:pPr>
            <w:r w:rsidRPr="00E74F35">
              <w:rPr>
                <w:color w:val="000000"/>
              </w:rPr>
              <w:t>61.7848%</w:t>
            </w:r>
          </w:p>
        </w:tc>
        <w:tc>
          <w:tcPr>
            <w:tcW w:w="280" w:type="dxa"/>
            <w:tcBorders>
              <w:top w:val="nil"/>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E74F35" w:rsidTr="00A23D85">
        <w:trPr>
          <w:trHeight w:val="315"/>
          <w:jc w:val="center"/>
        </w:trPr>
        <w:tc>
          <w:tcPr>
            <w:tcW w:w="340" w:type="dxa"/>
            <w:tcBorders>
              <w:top w:val="nil"/>
              <w:left w:val="single" w:sz="4" w:space="0" w:color="auto"/>
              <w:bottom w:val="nil"/>
              <w:right w:val="nil"/>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c>
          <w:tcPr>
            <w:tcW w:w="4094" w:type="dxa"/>
            <w:tcBorders>
              <w:top w:val="nil"/>
              <w:left w:val="nil"/>
              <w:bottom w:val="nil"/>
              <w:right w:val="nil"/>
            </w:tcBorders>
            <w:shd w:val="clear" w:color="auto" w:fill="auto"/>
            <w:noWrap/>
            <w:vAlign w:val="bottom"/>
            <w:hideMark/>
          </w:tcPr>
          <w:p w:rsidR="00E74F35" w:rsidRPr="00E74F35" w:rsidRDefault="00E74F35">
            <w:pPr>
              <w:rPr>
                <w:color w:val="000000"/>
              </w:rPr>
            </w:pPr>
            <w:r w:rsidRPr="00E74F35">
              <w:rPr>
                <w:color w:val="000000"/>
              </w:rPr>
              <w:t> </w:t>
            </w:r>
          </w:p>
        </w:tc>
        <w:tc>
          <w:tcPr>
            <w:tcW w:w="276" w:type="dxa"/>
            <w:tcBorders>
              <w:top w:val="nil"/>
              <w:left w:val="nil"/>
              <w:bottom w:val="nil"/>
              <w:right w:val="nil"/>
            </w:tcBorders>
            <w:shd w:val="clear" w:color="auto" w:fill="auto"/>
            <w:noWrap/>
            <w:vAlign w:val="bottom"/>
            <w:hideMark/>
          </w:tcPr>
          <w:p w:rsidR="00E74F35" w:rsidRPr="00E74F35" w:rsidRDefault="00E74F35">
            <w:pPr>
              <w:rPr>
                <w:color w:val="000000"/>
              </w:rPr>
            </w:pPr>
            <w:r w:rsidRPr="00E74F35">
              <w:rPr>
                <w:color w:val="000000"/>
              </w:rPr>
              <w:t> </w:t>
            </w:r>
          </w:p>
        </w:tc>
        <w:tc>
          <w:tcPr>
            <w:tcW w:w="1694" w:type="dxa"/>
            <w:tcBorders>
              <w:top w:val="nil"/>
              <w:left w:val="nil"/>
              <w:right w:val="nil"/>
            </w:tcBorders>
            <w:shd w:val="clear" w:color="auto" w:fill="auto"/>
            <w:noWrap/>
            <w:vAlign w:val="bottom"/>
            <w:hideMark/>
          </w:tcPr>
          <w:p w:rsidR="00E74F35" w:rsidRPr="00E74F35" w:rsidRDefault="00E74F35">
            <w:pPr>
              <w:rPr>
                <w:color w:val="000000"/>
              </w:rPr>
            </w:pPr>
            <w:r w:rsidRPr="00E74F35">
              <w:rPr>
                <w:color w:val="000000"/>
              </w:rPr>
              <w:t> </w:t>
            </w:r>
          </w:p>
        </w:tc>
        <w:tc>
          <w:tcPr>
            <w:tcW w:w="280" w:type="dxa"/>
            <w:tcBorders>
              <w:top w:val="nil"/>
              <w:left w:val="nil"/>
              <w:bottom w:val="nil"/>
              <w:right w:val="single" w:sz="4" w:space="0" w:color="auto"/>
            </w:tcBorders>
            <w:shd w:val="clear" w:color="auto" w:fill="auto"/>
            <w:noWrap/>
            <w:vAlign w:val="bottom"/>
            <w:hideMark/>
          </w:tcPr>
          <w:p w:rsidR="00E74F35" w:rsidRDefault="00E74F35">
            <w:pPr>
              <w:rPr>
                <w:rFonts w:ascii="Calibri" w:hAnsi="Calibri"/>
                <w:color w:val="000000"/>
                <w:sz w:val="22"/>
                <w:szCs w:val="22"/>
              </w:rPr>
            </w:pPr>
            <w:r>
              <w:rPr>
                <w:rFonts w:ascii="Calibri" w:hAnsi="Calibri"/>
                <w:color w:val="000000"/>
                <w:sz w:val="22"/>
                <w:szCs w:val="22"/>
              </w:rPr>
              <w:t> </w:t>
            </w:r>
          </w:p>
        </w:tc>
      </w:tr>
      <w:tr w:rsidR="00A23D85" w:rsidTr="00A23D85">
        <w:trPr>
          <w:trHeight w:val="315"/>
          <w:jc w:val="center"/>
        </w:trPr>
        <w:tc>
          <w:tcPr>
            <w:tcW w:w="340" w:type="dxa"/>
            <w:tcBorders>
              <w:top w:val="nil"/>
              <w:left w:val="single" w:sz="4" w:space="0" w:color="auto"/>
              <w:bottom w:val="nil"/>
              <w:right w:val="nil"/>
            </w:tcBorders>
            <w:shd w:val="clear" w:color="auto" w:fill="auto"/>
            <w:noWrap/>
            <w:vAlign w:val="bottom"/>
          </w:tcPr>
          <w:p w:rsidR="00A23D85" w:rsidRDefault="00A23D85">
            <w:pPr>
              <w:rPr>
                <w:rFonts w:ascii="Calibri" w:hAnsi="Calibri"/>
                <w:color w:val="000000"/>
                <w:sz w:val="22"/>
                <w:szCs w:val="22"/>
              </w:rPr>
            </w:pPr>
          </w:p>
        </w:tc>
        <w:tc>
          <w:tcPr>
            <w:tcW w:w="4094" w:type="dxa"/>
            <w:tcBorders>
              <w:top w:val="nil"/>
              <w:left w:val="nil"/>
              <w:bottom w:val="nil"/>
              <w:right w:val="nil"/>
            </w:tcBorders>
            <w:shd w:val="clear" w:color="auto" w:fill="auto"/>
            <w:noWrap/>
            <w:vAlign w:val="bottom"/>
          </w:tcPr>
          <w:p w:rsidR="00A23D85" w:rsidRPr="00E74F35" w:rsidRDefault="00A23D85" w:rsidP="00A23D85">
            <w:pPr>
              <w:rPr>
                <w:color w:val="000000"/>
              </w:rPr>
            </w:pPr>
            <w:r>
              <w:rPr>
                <w:color w:val="000000"/>
              </w:rPr>
              <w:t>NOI Multiplier (100/61.7848)</w:t>
            </w:r>
          </w:p>
        </w:tc>
        <w:tc>
          <w:tcPr>
            <w:tcW w:w="276" w:type="dxa"/>
            <w:tcBorders>
              <w:top w:val="nil"/>
              <w:left w:val="nil"/>
              <w:bottom w:val="nil"/>
              <w:right w:val="nil"/>
            </w:tcBorders>
            <w:shd w:val="clear" w:color="auto" w:fill="auto"/>
            <w:noWrap/>
            <w:vAlign w:val="bottom"/>
          </w:tcPr>
          <w:p w:rsidR="00A23D85" w:rsidRPr="00E74F35" w:rsidRDefault="00A23D85" w:rsidP="00A23D85">
            <w:pPr>
              <w:rPr>
                <w:color w:val="000000"/>
              </w:rPr>
            </w:pPr>
          </w:p>
        </w:tc>
        <w:tc>
          <w:tcPr>
            <w:tcW w:w="1694" w:type="dxa"/>
            <w:tcBorders>
              <w:top w:val="nil"/>
              <w:left w:val="nil"/>
              <w:bottom w:val="single" w:sz="4" w:space="0" w:color="auto"/>
              <w:right w:val="nil"/>
            </w:tcBorders>
            <w:shd w:val="clear" w:color="auto" w:fill="auto"/>
            <w:noWrap/>
            <w:vAlign w:val="bottom"/>
          </w:tcPr>
          <w:p w:rsidR="00A23D85" w:rsidRPr="00E74F35" w:rsidRDefault="00A23D85" w:rsidP="00A23D85">
            <w:pPr>
              <w:jc w:val="right"/>
              <w:rPr>
                <w:color w:val="000000"/>
              </w:rPr>
            </w:pPr>
            <w:r>
              <w:rPr>
                <w:color w:val="000000"/>
              </w:rPr>
              <w:t>1.6185</w:t>
            </w:r>
          </w:p>
        </w:tc>
        <w:tc>
          <w:tcPr>
            <w:tcW w:w="280" w:type="dxa"/>
            <w:tcBorders>
              <w:top w:val="nil"/>
              <w:left w:val="nil"/>
              <w:bottom w:val="nil"/>
              <w:right w:val="single" w:sz="4" w:space="0" w:color="auto"/>
            </w:tcBorders>
            <w:shd w:val="clear" w:color="auto" w:fill="auto"/>
            <w:noWrap/>
            <w:vAlign w:val="bottom"/>
          </w:tcPr>
          <w:p w:rsidR="00A23D85" w:rsidRDefault="00A23D85">
            <w:pPr>
              <w:rPr>
                <w:rFonts w:ascii="Calibri" w:hAnsi="Calibri"/>
                <w:color w:val="000000"/>
                <w:sz w:val="22"/>
                <w:szCs w:val="22"/>
              </w:rPr>
            </w:pPr>
          </w:p>
        </w:tc>
      </w:tr>
      <w:tr w:rsidR="00A23D85" w:rsidTr="00A23D85">
        <w:trPr>
          <w:trHeight w:val="315"/>
          <w:jc w:val="center"/>
        </w:trPr>
        <w:tc>
          <w:tcPr>
            <w:tcW w:w="340" w:type="dxa"/>
            <w:tcBorders>
              <w:top w:val="nil"/>
              <w:left w:val="single" w:sz="4" w:space="0" w:color="auto"/>
              <w:bottom w:val="single" w:sz="4" w:space="0" w:color="auto"/>
              <w:right w:val="nil"/>
            </w:tcBorders>
            <w:shd w:val="clear" w:color="auto" w:fill="auto"/>
            <w:noWrap/>
            <w:vAlign w:val="bottom"/>
          </w:tcPr>
          <w:p w:rsidR="00A23D85" w:rsidRDefault="00A23D85">
            <w:pPr>
              <w:rPr>
                <w:rFonts w:ascii="Calibri" w:hAnsi="Calibri"/>
                <w:color w:val="000000"/>
                <w:sz w:val="22"/>
                <w:szCs w:val="22"/>
              </w:rPr>
            </w:pPr>
          </w:p>
        </w:tc>
        <w:tc>
          <w:tcPr>
            <w:tcW w:w="4094" w:type="dxa"/>
            <w:tcBorders>
              <w:top w:val="nil"/>
              <w:left w:val="nil"/>
              <w:bottom w:val="single" w:sz="4" w:space="0" w:color="auto"/>
              <w:right w:val="nil"/>
            </w:tcBorders>
            <w:shd w:val="clear" w:color="auto" w:fill="auto"/>
            <w:noWrap/>
            <w:vAlign w:val="bottom"/>
          </w:tcPr>
          <w:p w:rsidR="00A23D85" w:rsidRPr="00E74F35" w:rsidRDefault="00A23D85">
            <w:pPr>
              <w:rPr>
                <w:color w:val="000000"/>
              </w:rPr>
            </w:pPr>
          </w:p>
        </w:tc>
        <w:tc>
          <w:tcPr>
            <w:tcW w:w="276" w:type="dxa"/>
            <w:tcBorders>
              <w:top w:val="nil"/>
              <w:left w:val="nil"/>
              <w:bottom w:val="single" w:sz="4" w:space="0" w:color="auto"/>
              <w:right w:val="nil"/>
            </w:tcBorders>
            <w:shd w:val="clear" w:color="auto" w:fill="auto"/>
            <w:noWrap/>
            <w:vAlign w:val="bottom"/>
          </w:tcPr>
          <w:p w:rsidR="00A23D85" w:rsidRPr="00E74F35" w:rsidRDefault="00A23D85">
            <w:pPr>
              <w:rPr>
                <w:color w:val="000000"/>
              </w:rPr>
            </w:pPr>
          </w:p>
        </w:tc>
        <w:tc>
          <w:tcPr>
            <w:tcW w:w="1694" w:type="dxa"/>
            <w:tcBorders>
              <w:top w:val="single" w:sz="4" w:space="0" w:color="auto"/>
              <w:left w:val="nil"/>
              <w:bottom w:val="single" w:sz="4" w:space="0" w:color="auto"/>
              <w:right w:val="nil"/>
            </w:tcBorders>
            <w:shd w:val="clear" w:color="auto" w:fill="auto"/>
            <w:noWrap/>
            <w:vAlign w:val="bottom"/>
          </w:tcPr>
          <w:p w:rsidR="00A23D85" w:rsidRPr="00E74F35" w:rsidRDefault="00A23D85">
            <w:pPr>
              <w:rPr>
                <w:color w:val="000000"/>
              </w:rPr>
            </w:pPr>
          </w:p>
        </w:tc>
        <w:tc>
          <w:tcPr>
            <w:tcW w:w="280" w:type="dxa"/>
            <w:tcBorders>
              <w:top w:val="nil"/>
              <w:left w:val="nil"/>
              <w:bottom w:val="single" w:sz="4" w:space="0" w:color="auto"/>
              <w:right w:val="single" w:sz="4" w:space="0" w:color="auto"/>
            </w:tcBorders>
            <w:shd w:val="clear" w:color="auto" w:fill="auto"/>
            <w:noWrap/>
            <w:vAlign w:val="bottom"/>
          </w:tcPr>
          <w:p w:rsidR="00A23D85" w:rsidRDefault="00A23D85">
            <w:pPr>
              <w:rPr>
                <w:rFonts w:ascii="Calibri" w:hAnsi="Calibri"/>
                <w:color w:val="000000"/>
                <w:sz w:val="22"/>
                <w:szCs w:val="22"/>
              </w:rPr>
            </w:pPr>
          </w:p>
        </w:tc>
      </w:tr>
    </w:tbl>
    <w:p w:rsidR="00E74F35" w:rsidRDefault="009A6EAA">
      <w:pPr>
        <w:pStyle w:val="BodyText"/>
      </w:pPr>
      <w:r>
        <w:tab/>
      </w:r>
      <w:r>
        <w:tab/>
        <w:t>Source: Revised MFR Schedule F-6</w:t>
      </w:r>
    </w:p>
    <w:p w:rsidR="00DB05FB" w:rsidRDefault="00DB05FB">
      <w:pPr>
        <w:pStyle w:val="IssueHeading"/>
        <w:rPr>
          <w:vanish/>
          <w:specVanish/>
        </w:rPr>
      </w:pPr>
      <w:r w:rsidRPr="004C3641">
        <w:rPr>
          <w:b w:val="0"/>
          <w:i w:val="0"/>
        </w:rPr>
        <w:br w:type="page"/>
      </w:r>
      <w:r w:rsidRPr="004C3641">
        <w:lastRenderedPageBreak/>
        <w:t xml:space="preserve">Issue </w:t>
      </w:r>
      <w:r w:rsidR="00342D81">
        <w:fldChar w:fldCharType="begin"/>
      </w:r>
      <w:r w:rsidR="00342D81">
        <w:instrText xml:space="preserve"> SEQ Issue \* MERGEFORMAT </w:instrText>
      </w:r>
      <w:r w:rsidR="00342D81">
        <w:fldChar w:fldCharType="separate"/>
      </w:r>
      <w:r w:rsidR="00CE6563">
        <w:rPr>
          <w:noProof/>
        </w:rPr>
        <w:t>6</w:t>
      </w:r>
      <w:r w:rsidR="00342D8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6563">
        <w:rPr>
          <w:noProof/>
        </w:rPr>
        <w:instrText>6</w:instrText>
      </w:r>
      <w:r>
        <w:fldChar w:fldCharType="end"/>
      </w:r>
      <w:r>
        <w:tab/>
        <w:instrText>(</w:instrText>
      </w:r>
      <w:r w:rsidR="009751CA">
        <w:instrText>Mouring</w:instrText>
      </w:r>
      <w:r>
        <w:instrText xml:space="preserve">)" \l 1 </w:instrText>
      </w:r>
      <w:r>
        <w:fldChar w:fldCharType="end"/>
      </w:r>
      <w:r>
        <w:t> </w:t>
      </w:r>
    </w:p>
    <w:p w:rsidR="00DB05FB" w:rsidRDefault="00DB05FB">
      <w:pPr>
        <w:pStyle w:val="BodyText"/>
      </w:pPr>
      <w:r>
        <w:t xml:space="preserve"> Should </w:t>
      </w:r>
      <w:r w:rsidR="00AA4C05">
        <w:t>FCG</w:t>
      </w:r>
      <w:r>
        <w:t>'</w:t>
      </w:r>
      <w:r w:rsidR="00AA4C05">
        <w:t>s</w:t>
      </w:r>
      <w:r>
        <w:t xml:space="preserve"> requested interim revenue increase of </w:t>
      </w:r>
      <w:r w:rsidR="00F34E83">
        <w:t>$4,893,061</w:t>
      </w:r>
      <w:r>
        <w:t xml:space="preserve"> be granted?</w:t>
      </w:r>
    </w:p>
    <w:p w:rsidR="00DB05FB" w:rsidRPr="004C3641" w:rsidRDefault="00DB05FB">
      <w:pPr>
        <w:pStyle w:val="IssueSubsectionHeading"/>
        <w:rPr>
          <w:vanish/>
          <w:specVanish/>
        </w:rPr>
      </w:pPr>
      <w:r w:rsidRPr="004C3641">
        <w:t>Recommendation: </w:t>
      </w:r>
    </w:p>
    <w:p w:rsidR="00DB05FB" w:rsidRPr="00C50B3C" w:rsidRDefault="00DB05FB">
      <w:pPr>
        <w:pStyle w:val="BodyText"/>
      </w:pPr>
      <w:r>
        <w:t> </w:t>
      </w:r>
      <w:r w:rsidR="00CB0A82">
        <w:t xml:space="preserve">Yes. </w:t>
      </w:r>
      <w:r w:rsidR="00AA4C05">
        <w:t>FCG</w:t>
      </w:r>
      <w:r w:rsidR="00CB0A82">
        <w:t>’</w:t>
      </w:r>
      <w:r w:rsidR="00AA4C05">
        <w:t>s</w:t>
      </w:r>
      <w:r w:rsidR="00CB0A82">
        <w:t xml:space="preserve"> requested interim revenue incr</w:t>
      </w:r>
      <w:r w:rsidR="00CB0A82" w:rsidRPr="00C50B3C">
        <w:t xml:space="preserve">ease of </w:t>
      </w:r>
      <w:r w:rsidR="00F34E83">
        <w:t>$4,893,061</w:t>
      </w:r>
      <w:r w:rsidR="00CB0A82" w:rsidRPr="00C50B3C">
        <w:t xml:space="preserve"> should be granted.</w:t>
      </w:r>
      <w:r w:rsidRPr="00C50B3C">
        <w:t xml:space="preserve"> (</w:t>
      </w:r>
      <w:r w:rsidR="00741ABE" w:rsidRPr="00C50B3C">
        <w:t>Mouring</w:t>
      </w:r>
      <w:r w:rsidRPr="00C50B3C">
        <w:t>)</w:t>
      </w:r>
    </w:p>
    <w:p w:rsidR="00DB05FB" w:rsidRPr="00C50B3C" w:rsidRDefault="00DB05FB">
      <w:pPr>
        <w:pStyle w:val="IssueSubsectionHeading"/>
        <w:rPr>
          <w:vanish/>
          <w:specVanish/>
        </w:rPr>
      </w:pPr>
      <w:r w:rsidRPr="00C50B3C">
        <w:t>Staff Analysis: </w:t>
      </w:r>
    </w:p>
    <w:p w:rsidR="00DB05FB" w:rsidRPr="00C50B3C" w:rsidRDefault="00DB05FB">
      <w:pPr>
        <w:pStyle w:val="BodyText"/>
      </w:pPr>
      <w:r w:rsidRPr="00C50B3C">
        <w:t> </w:t>
      </w:r>
      <w:r w:rsidR="00AA4C05">
        <w:t>FCG</w:t>
      </w:r>
      <w:r w:rsidR="00CB0A82" w:rsidRPr="00C50B3C">
        <w:t xml:space="preserve"> requested</w:t>
      </w:r>
      <w:r w:rsidR="00A23D85">
        <w:t xml:space="preserve"> a revised</w:t>
      </w:r>
      <w:r w:rsidR="00CB0A82" w:rsidRPr="00C50B3C">
        <w:t xml:space="preserve"> interim rate relief of </w:t>
      </w:r>
      <w:r w:rsidR="00F34E83">
        <w:t>$4,893,061</w:t>
      </w:r>
      <w:r w:rsidR="00CB0A82" w:rsidRPr="00C50B3C">
        <w:t xml:space="preserve"> for the historical base period ended December 31, 2016. This would allow the Company </w:t>
      </w:r>
      <w:r w:rsidR="00AA4C05">
        <w:t xml:space="preserve">an opportunity </w:t>
      </w:r>
      <w:r w:rsidR="00CB0A82" w:rsidRPr="00C50B3C">
        <w:t xml:space="preserve">to earn an overall rate of return of </w:t>
      </w:r>
      <w:r w:rsidR="004007D3">
        <w:t>5.85</w:t>
      </w:r>
      <w:r w:rsidR="00CB0A82" w:rsidRPr="00C50B3C">
        <w:t xml:space="preserve"> percent and the minimum of the range of return on equity of 10.25 percent</w:t>
      </w:r>
      <w:r w:rsidR="00F72D3B" w:rsidRPr="00C50B3C">
        <w:t>.  After a determination of the permanent rate increase has been made, the interim rate increase will be reviewed to determine if any portion should be refunded to the ratepayers.</w:t>
      </w:r>
    </w:p>
    <w:p w:rsidR="00F72D3B" w:rsidRDefault="00F72D3B">
      <w:pPr>
        <w:pStyle w:val="BodyText"/>
      </w:pPr>
      <w:r w:rsidRPr="00C50B3C">
        <w:t xml:space="preserve">The calculation of the </w:t>
      </w:r>
      <w:r w:rsidR="00F34E83">
        <w:t>$4,893,061</w:t>
      </w:r>
      <w:r w:rsidRPr="00C50B3C">
        <w:t xml:space="preserve"> of interim rate relief is shown be</w:t>
      </w:r>
      <w:r>
        <w:t>low.</w:t>
      </w:r>
    </w:p>
    <w:p w:rsidR="00044ED3" w:rsidRDefault="00044ED3" w:rsidP="00044ED3">
      <w:pPr>
        <w:pStyle w:val="TableNumber"/>
        <w:keepNext/>
      </w:pPr>
      <w:r>
        <w:t xml:space="preserve">Table </w:t>
      </w:r>
      <w:r w:rsidR="00342D81">
        <w:fldChar w:fldCharType="begin"/>
      </w:r>
      <w:r w:rsidR="00342D81">
        <w:instrText xml:space="preserve"> SEQ Issue \c </w:instrText>
      </w:r>
      <w:r w:rsidR="00342D81">
        <w:fldChar w:fldCharType="separate"/>
      </w:r>
      <w:r w:rsidR="00CE6563">
        <w:rPr>
          <w:noProof/>
        </w:rPr>
        <w:t>6</w:t>
      </w:r>
      <w:r w:rsidR="00342D81">
        <w:rPr>
          <w:noProof/>
        </w:rPr>
        <w:fldChar w:fldCharType="end"/>
      </w:r>
      <w:r>
        <w:t>-1</w:t>
      </w:r>
    </w:p>
    <w:p w:rsidR="00044ED3" w:rsidRDefault="00044ED3" w:rsidP="00044ED3">
      <w:pPr>
        <w:pStyle w:val="TableTitle"/>
        <w:keepNext/>
      </w:pPr>
      <w:r w:rsidRPr="00477E37">
        <w:rPr>
          <w:color w:val="000000"/>
        </w:rPr>
        <w:t>Florida City Gas - Interim Revenue Increase</w:t>
      </w:r>
    </w:p>
    <w:tbl>
      <w:tblPr>
        <w:tblW w:w="7794" w:type="dxa"/>
        <w:jc w:val="center"/>
        <w:tblInd w:w="93" w:type="dxa"/>
        <w:tblLook w:val="04A0" w:firstRow="1" w:lastRow="0" w:firstColumn="1" w:lastColumn="0" w:noHBand="0" w:noVBand="1"/>
      </w:tblPr>
      <w:tblGrid>
        <w:gridCol w:w="340"/>
        <w:gridCol w:w="4895"/>
        <w:gridCol w:w="276"/>
        <w:gridCol w:w="2007"/>
        <w:gridCol w:w="276"/>
      </w:tblGrid>
      <w:tr w:rsidR="00F72D3B" w:rsidTr="000A0C84">
        <w:trPr>
          <w:trHeight w:val="300"/>
          <w:jc w:val="center"/>
        </w:trPr>
        <w:tc>
          <w:tcPr>
            <w:tcW w:w="340" w:type="dxa"/>
            <w:tcBorders>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7178" w:type="dxa"/>
            <w:gridSpan w:val="3"/>
            <w:tcBorders>
              <w:left w:val="nil"/>
              <w:right w:val="nil"/>
            </w:tcBorders>
            <w:shd w:val="clear" w:color="auto" w:fill="auto"/>
            <w:noWrap/>
            <w:vAlign w:val="bottom"/>
          </w:tcPr>
          <w:p w:rsidR="00F72D3B" w:rsidRPr="00477E37" w:rsidRDefault="00F72D3B">
            <w:pPr>
              <w:jc w:val="center"/>
              <w:rPr>
                <w:color w:val="000000"/>
              </w:rPr>
            </w:pPr>
          </w:p>
        </w:tc>
        <w:tc>
          <w:tcPr>
            <w:tcW w:w="276" w:type="dxa"/>
            <w:tcBorders>
              <w:left w:val="nil"/>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00"/>
          <w:jc w:val="center"/>
        </w:trPr>
        <w:tc>
          <w:tcPr>
            <w:tcW w:w="340" w:type="dxa"/>
            <w:tcBorders>
              <w:top w:val="nil"/>
              <w:bottom w:val="single" w:sz="4" w:space="0" w:color="auto"/>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7178" w:type="dxa"/>
            <w:gridSpan w:val="3"/>
            <w:tcBorders>
              <w:top w:val="nil"/>
              <w:left w:val="nil"/>
              <w:bottom w:val="single" w:sz="4" w:space="0" w:color="auto"/>
              <w:right w:val="nil"/>
            </w:tcBorders>
            <w:shd w:val="clear" w:color="auto" w:fill="auto"/>
            <w:noWrap/>
            <w:vAlign w:val="bottom"/>
          </w:tcPr>
          <w:p w:rsidR="00F72D3B" w:rsidRPr="00477E37" w:rsidRDefault="00F72D3B">
            <w:pPr>
              <w:jc w:val="center"/>
              <w:rPr>
                <w:color w:val="000000"/>
              </w:rPr>
            </w:pPr>
          </w:p>
        </w:tc>
        <w:tc>
          <w:tcPr>
            <w:tcW w:w="276" w:type="dxa"/>
            <w:tcBorders>
              <w:top w:val="nil"/>
              <w:left w:val="nil"/>
              <w:bottom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00"/>
          <w:jc w:val="center"/>
        </w:trPr>
        <w:tc>
          <w:tcPr>
            <w:tcW w:w="340" w:type="dxa"/>
            <w:tcBorders>
              <w:top w:val="single" w:sz="4" w:space="0" w:color="auto"/>
              <w:left w:val="single" w:sz="4" w:space="0" w:color="auto"/>
              <w:bottom w:val="nil"/>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single" w:sz="4" w:space="0" w:color="auto"/>
              <w:left w:val="nil"/>
              <w:bottom w:val="nil"/>
              <w:right w:val="nil"/>
            </w:tcBorders>
            <w:shd w:val="clear" w:color="auto" w:fill="auto"/>
            <w:noWrap/>
            <w:vAlign w:val="bottom"/>
            <w:hideMark/>
          </w:tcPr>
          <w:p w:rsidR="00F72D3B" w:rsidRPr="00477E37" w:rsidRDefault="00F72D3B">
            <w:pPr>
              <w:rPr>
                <w:color w:val="000000"/>
                <w:u w:val="single"/>
              </w:rPr>
            </w:pPr>
            <w:r w:rsidRPr="00477E37">
              <w:rPr>
                <w:color w:val="000000"/>
                <w:u w:val="single"/>
              </w:rPr>
              <w:t>Description</w:t>
            </w:r>
          </w:p>
        </w:tc>
        <w:tc>
          <w:tcPr>
            <w:tcW w:w="276" w:type="dxa"/>
            <w:tcBorders>
              <w:top w:val="single" w:sz="4" w:space="0" w:color="auto"/>
              <w:left w:val="nil"/>
              <w:bottom w:val="nil"/>
              <w:right w:val="nil"/>
            </w:tcBorders>
            <w:shd w:val="clear" w:color="auto" w:fill="auto"/>
            <w:noWrap/>
            <w:vAlign w:val="bottom"/>
            <w:hideMark/>
          </w:tcPr>
          <w:p w:rsidR="00F72D3B" w:rsidRPr="00477E37" w:rsidRDefault="00F72D3B">
            <w:pPr>
              <w:rPr>
                <w:color w:val="000000"/>
              </w:rPr>
            </w:pPr>
            <w:r w:rsidRPr="00477E37">
              <w:rPr>
                <w:color w:val="000000"/>
              </w:rPr>
              <w:t> </w:t>
            </w:r>
          </w:p>
        </w:tc>
        <w:tc>
          <w:tcPr>
            <w:tcW w:w="2007" w:type="dxa"/>
            <w:tcBorders>
              <w:top w:val="single" w:sz="4" w:space="0" w:color="auto"/>
              <w:left w:val="nil"/>
              <w:bottom w:val="nil"/>
              <w:right w:val="nil"/>
            </w:tcBorders>
            <w:shd w:val="clear" w:color="auto" w:fill="auto"/>
            <w:noWrap/>
            <w:vAlign w:val="bottom"/>
            <w:hideMark/>
          </w:tcPr>
          <w:p w:rsidR="00F72D3B" w:rsidRPr="00477E37" w:rsidRDefault="00F72D3B">
            <w:pPr>
              <w:rPr>
                <w:color w:val="000000"/>
              </w:rPr>
            </w:pPr>
            <w:r w:rsidRPr="00477E37">
              <w:rPr>
                <w:color w:val="000000"/>
              </w:rPr>
              <w:t> </w:t>
            </w:r>
          </w:p>
        </w:tc>
        <w:tc>
          <w:tcPr>
            <w:tcW w:w="276" w:type="dxa"/>
            <w:tcBorders>
              <w:top w:val="single" w:sz="4" w:space="0" w:color="auto"/>
              <w:left w:val="nil"/>
              <w:bottom w:val="nil"/>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00"/>
          <w:jc w:val="center"/>
        </w:trPr>
        <w:tc>
          <w:tcPr>
            <w:tcW w:w="340" w:type="dxa"/>
            <w:tcBorders>
              <w:top w:val="nil"/>
              <w:left w:val="single" w:sz="4" w:space="0" w:color="auto"/>
              <w:bottom w:val="nil"/>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nil"/>
              <w:left w:val="nil"/>
              <w:bottom w:val="nil"/>
              <w:right w:val="nil"/>
            </w:tcBorders>
            <w:shd w:val="clear" w:color="auto" w:fill="auto"/>
            <w:noWrap/>
            <w:vAlign w:val="bottom"/>
            <w:hideMark/>
          </w:tcPr>
          <w:p w:rsidR="00F72D3B" w:rsidRPr="00477E37" w:rsidRDefault="005A3131">
            <w:pPr>
              <w:rPr>
                <w:color w:val="000000"/>
              </w:rPr>
            </w:pPr>
            <w:r w:rsidRPr="00477E37">
              <w:rPr>
                <w:color w:val="000000"/>
              </w:rPr>
              <w:t>Jurisdictional</w:t>
            </w:r>
            <w:r w:rsidR="00F72D3B" w:rsidRPr="00477E37">
              <w:rPr>
                <w:color w:val="000000"/>
              </w:rPr>
              <w:t xml:space="preserve"> Adjusted Rate Base</w:t>
            </w:r>
          </w:p>
        </w:tc>
        <w:tc>
          <w:tcPr>
            <w:tcW w:w="276"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007" w:type="dxa"/>
            <w:tcBorders>
              <w:top w:val="nil"/>
              <w:left w:val="nil"/>
              <w:bottom w:val="nil"/>
              <w:right w:val="nil"/>
            </w:tcBorders>
            <w:shd w:val="clear" w:color="auto" w:fill="auto"/>
            <w:noWrap/>
            <w:vAlign w:val="bottom"/>
            <w:hideMark/>
          </w:tcPr>
          <w:p w:rsidR="00F72D3B" w:rsidRPr="00477E37" w:rsidRDefault="00F72D3B">
            <w:pPr>
              <w:rPr>
                <w:color w:val="000000"/>
              </w:rPr>
            </w:pPr>
            <w:r w:rsidRPr="00477E37">
              <w:rPr>
                <w:color w:val="000000"/>
              </w:rPr>
              <w:t xml:space="preserve"> $      209,312,678 </w:t>
            </w:r>
          </w:p>
        </w:tc>
        <w:tc>
          <w:tcPr>
            <w:tcW w:w="276" w:type="dxa"/>
            <w:tcBorders>
              <w:top w:val="nil"/>
              <w:left w:val="nil"/>
              <w:bottom w:val="nil"/>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00"/>
          <w:jc w:val="center"/>
        </w:trPr>
        <w:tc>
          <w:tcPr>
            <w:tcW w:w="340" w:type="dxa"/>
            <w:tcBorders>
              <w:top w:val="nil"/>
              <w:left w:val="single" w:sz="4" w:space="0" w:color="auto"/>
              <w:bottom w:val="nil"/>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76"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007"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76" w:type="dxa"/>
            <w:tcBorders>
              <w:top w:val="nil"/>
              <w:left w:val="nil"/>
              <w:bottom w:val="nil"/>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00"/>
          <w:jc w:val="center"/>
        </w:trPr>
        <w:tc>
          <w:tcPr>
            <w:tcW w:w="340" w:type="dxa"/>
            <w:tcBorders>
              <w:top w:val="nil"/>
              <w:left w:val="single" w:sz="4" w:space="0" w:color="auto"/>
              <w:bottom w:val="nil"/>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nil"/>
              <w:left w:val="nil"/>
              <w:bottom w:val="nil"/>
              <w:right w:val="nil"/>
            </w:tcBorders>
            <w:shd w:val="clear" w:color="auto" w:fill="auto"/>
            <w:noWrap/>
            <w:vAlign w:val="bottom"/>
            <w:hideMark/>
          </w:tcPr>
          <w:p w:rsidR="00F72D3B" w:rsidRPr="00477E37" w:rsidRDefault="00F72D3B">
            <w:pPr>
              <w:rPr>
                <w:color w:val="000000"/>
              </w:rPr>
            </w:pPr>
            <w:r w:rsidRPr="00477E37">
              <w:rPr>
                <w:color w:val="000000"/>
              </w:rPr>
              <w:t>Overall Rate of Return Requested</w:t>
            </w:r>
          </w:p>
        </w:tc>
        <w:tc>
          <w:tcPr>
            <w:tcW w:w="276"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007" w:type="dxa"/>
            <w:tcBorders>
              <w:top w:val="nil"/>
              <w:left w:val="nil"/>
              <w:bottom w:val="single" w:sz="4" w:space="0" w:color="auto"/>
              <w:right w:val="nil"/>
            </w:tcBorders>
            <w:shd w:val="clear" w:color="auto" w:fill="auto"/>
            <w:noWrap/>
            <w:vAlign w:val="bottom"/>
            <w:hideMark/>
          </w:tcPr>
          <w:p w:rsidR="00F72D3B" w:rsidRPr="00477E37" w:rsidRDefault="004007D3" w:rsidP="004007D3">
            <w:pPr>
              <w:jc w:val="right"/>
              <w:rPr>
                <w:color w:val="000000"/>
              </w:rPr>
            </w:pPr>
            <w:r>
              <w:rPr>
                <w:color w:val="000000"/>
              </w:rPr>
              <w:t>5.85</w:t>
            </w:r>
            <w:r w:rsidR="00F72D3B" w:rsidRPr="00477E37">
              <w:rPr>
                <w:color w:val="000000"/>
              </w:rPr>
              <w:t>%</w:t>
            </w:r>
          </w:p>
        </w:tc>
        <w:tc>
          <w:tcPr>
            <w:tcW w:w="276" w:type="dxa"/>
            <w:tcBorders>
              <w:top w:val="nil"/>
              <w:left w:val="nil"/>
              <w:bottom w:val="nil"/>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00"/>
          <w:jc w:val="center"/>
        </w:trPr>
        <w:tc>
          <w:tcPr>
            <w:tcW w:w="340" w:type="dxa"/>
            <w:tcBorders>
              <w:top w:val="nil"/>
              <w:left w:val="single" w:sz="4" w:space="0" w:color="auto"/>
              <w:bottom w:val="nil"/>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76"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007"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76" w:type="dxa"/>
            <w:tcBorders>
              <w:top w:val="nil"/>
              <w:left w:val="nil"/>
              <w:bottom w:val="nil"/>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00"/>
          <w:jc w:val="center"/>
        </w:trPr>
        <w:tc>
          <w:tcPr>
            <w:tcW w:w="340" w:type="dxa"/>
            <w:tcBorders>
              <w:top w:val="nil"/>
              <w:left w:val="single" w:sz="4" w:space="0" w:color="auto"/>
              <w:bottom w:val="nil"/>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nil"/>
              <w:left w:val="nil"/>
              <w:bottom w:val="nil"/>
              <w:right w:val="nil"/>
            </w:tcBorders>
            <w:shd w:val="clear" w:color="auto" w:fill="auto"/>
            <w:noWrap/>
            <w:vAlign w:val="bottom"/>
            <w:hideMark/>
          </w:tcPr>
          <w:p w:rsidR="00F72D3B" w:rsidRPr="00477E37" w:rsidRDefault="00F72D3B">
            <w:pPr>
              <w:rPr>
                <w:color w:val="000000"/>
              </w:rPr>
            </w:pPr>
            <w:r w:rsidRPr="00477E37">
              <w:rPr>
                <w:color w:val="000000"/>
              </w:rPr>
              <w:t>Jurisdictional Net Operating Income Requested</w:t>
            </w:r>
          </w:p>
        </w:tc>
        <w:tc>
          <w:tcPr>
            <w:tcW w:w="276"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007" w:type="dxa"/>
            <w:tcBorders>
              <w:top w:val="nil"/>
              <w:left w:val="nil"/>
              <w:bottom w:val="nil"/>
              <w:right w:val="nil"/>
            </w:tcBorders>
            <w:shd w:val="clear" w:color="auto" w:fill="auto"/>
            <w:noWrap/>
            <w:vAlign w:val="bottom"/>
            <w:hideMark/>
          </w:tcPr>
          <w:p w:rsidR="00F72D3B" w:rsidRPr="00477E37" w:rsidRDefault="00F72D3B" w:rsidP="009A6EAA">
            <w:pPr>
              <w:rPr>
                <w:color w:val="000000"/>
              </w:rPr>
            </w:pPr>
            <w:r w:rsidRPr="00477E37">
              <w:rPr>
                <w:color w:val="000000"/>
              </w:rPr>
              <w:t xml:space="preserve"> $        </w:t>
            </w:r>
            <w:r w:rsidR="00702CD8">
              <w:rPr>
                <w:color w:val="000000"/>
              </w:rPr>
              <w:t>12,244,79</w:t>
            </w:r>
            <w:r w:rsidR="009A6EAA">
              <w:rPr>
                <w:color w:val="000000"/>
              </w:rPr>
              <w:t>2</w:t>
            </w:r>
            <w:r w:rsidRPr="00477E37">
              <w:rPr>
                <w:color w:val="000000"/>
              </w:rPr>
              <w:t xml:space="preserve"> </w:t>
            </w:r>
          </w:p>
        </w:tc>
        <w:tc>
          <w:tcPr>
            <w:tcW w:w="276" w:type="dxa"/>
            <w:tcBorders>
              <w:top w:val="nil"/>
              <w:left w:val="nil"/>
              <w:bottom w:val="nil"/>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00"/>
          <w:jc w:val="center"/>
        </w:trPr>
        <w:tc>
          <w:tcPr>
            <w:tcW w:w="340" w:type="dxa"/>
            <w:tcBorders>
              <w:top w:val="nil"/>
              <w:left w:val="single" w:sz="4" w:space="0" w:color="auto"/>
              <w:bottom w:val="nil"/>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76"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007"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76" w:type="dxa"/>
            <w:tcBorders>
              <w:top w:val="nil"/>
              <w:left w:val="nil"/>
              <w:bottom w:val="nil"/>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00"/>
          <w:jc w:val="center"/>
        </w:trPr>
        <w:tc>
          <w:tcPr>
            <w:tcW w:w="340" w:type="dxa"/>
            <w:tcBorders>
              <w:top w:val="nil"/>
              <w:left w:val="single" w:sz="4" w:space="0" w:color="auto"/>
              <w:bottom w:val="nil"/>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nil"/>
              <w:left w:val="nil"/>
              <w:bottom w:val="nil"/>
              <w:right w:val="nil"/>
            </w:tcBorders>
            <w:shd w:val="clear" w:color="auto" w:fill="auto"/>
            <w:noWrap/>
            <w:vAlign w:val="bottom"/>
            <w:hideMark/>
          </w:tcPr>
          <w:p w:rsidR="00F72D3B" w:rsidRPr="00477E37" w:rsidRDefault="005A3131">
            <w:pPr>
              <w:rPr>
                <w:color w:val="000000"/>
              </w:rPr>
            </w:pPr>
            <w:r w:rsidRPr="00477E37">
              <w:rPr>
                <w:color w:val="000000"/>
              </w:rPr>
              <w:t>Jurisdictional</w:t>
            </w:r>
            <w:r w:rsidR="00F72D3B" w:rsidRPr="00477E37">
              <w:rPr>
                <w:color w:val="000000"/>
              </w:rPr>
              <w:t xml:space="preserve"> Adjusted Net Operating Income</w:t>
            </w:r>
          </w:p>
        </w:tc>
        <w:tc>
          <w:tcPr>
            <w:tcW w:w="276"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007" w:type="dxa"/>
            <w:tcBorders>
              <w:top w:val="nil"/>
              <w:left w:val="nil"/>
              <w:bottom w:val="single" w:sz="4" w:space="0" w:color="auto"/>
              <w:right w:val="nil"/>
            </w:tcBorders>
            <w:shd w:val="clear" w:color="auto" w:fill="auto"/>
            <w:noWrap/>
            <w:vAlign w:val="bottom"/>
            <w:hideMark/>
          </w:tcPr>
          <w:p w:rsidR="00F72D3B" w:rsidRPr="00477E37" w:rsidRDefault="00F72D3B" w:rsidP="00F34E83">
            <w:pPr>
              <w:rPr>
                <w:color w:val="000000"/>
              </w:rPr>
            </w:pPr>
            <w:r w:rsidRPr="00477E37">
              <w:rPr>
                <w:color w:val="000000"/>
              </w:rPr>
              <w:t xml:space="preserve"> $          </w:t>
            </w:r>
            <w:r w:rsidR="00F34E83">
              <w:rPr>
                <w:color w:val="000000"/>
              </w:rPr>
              <w:t>9,221,584</w:t>
            </w:r>
            <w:r w:rsidRPr="00477E37">
              <w:rPr>
                <w:color w:val="000000"/>
              </w:rPr>
              <w:t xml:space="preserve"> </w:t>
            </w:r>
          </w:p>
        </w:tc>
        <w:tc>
          <w:tcPr>
            <w:tcW w:w="276" w:type="dxa"/>
            <w:tcBorders>
              <w:top w:val="nil"/>
              <w:left w:val="nil"/>
              <w:bottom w:val="nil"/>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00"/>
          <w:jc w:val="center"/>
        </w:trPr>
        <w:tc>
          <w:tcPr>
            <w:tcW w:w="340" w:type="dxa"/>
            <w:tcBorders>
              <w:top w:val="nil"/>
              <w:left w:val="single" w:sz="4" w:space="0" w:color="auto"/>
              <w:bottom w:val="nil"/>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76"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007"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76" w:type="dxa"/>
            <w:tcBorders>
              <w:top w:val="nil"/>
              <w:left w:val="nil"/>
              <w:bottom w:val="nil"/>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00"/>
          <w:jc w:val="center"/>
        </w:trPr>
        <w:tc>
          <w:tcPr>
            <w:tcW w:w="340" w:type="dxa"/>
            <w:tcBorders>
              <w:top w:val="nil"/>
              <w:left w:val="single" w:sz="4" w:space="0" w:color="auto"/>
              <w:bottom w:val="nil"/>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nil"/>
              <w:left w:val="nil"/>
              <w:bottom w:val="nil"/>
              <w:right w:val="nil"/>
            </w:tcBorders>
            <w:shd w:val="clear" w:color="auto" w:fill="auto"/>
            <w:noWrap/>
            <w:vAlign w:val="bottom"/>
            <w:hideMark/>
          </w:tcPr>
          <w:p w:rsidR="00F72D3B" w:rsidRPr="00477E37" w:rsidRDefault="00F72D3B">
            <w:pPr>
              <w:rPr>
                <w:color w:val="000000"/>
              </w:rPr>
            </w:pPr>
            <w:r w:rsidRPr="00477E37">
              <w:rPr>
                <w:color w:val="000000"/>
              </w:rPr>
              <w:t>Revenue Deficiency</w:t>
            </w:r>
          </w:p>
        </w:tc>
        <w:tc>
          <w:tcPr>
            <w:tcW w:w="276"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007" w:type="dxa"/>
            <w:tcBorders>
              <w:top w:val="nil"/>
              <w:left w:val="nil"/>
              <w:bottom w:val="nil"/>
              <w:right w:val="nil"/>
            </w:tcBorders>
            <w:shd w:val="clear" w:color="auto" w:fill="auto"/>
            <w:noWrap/>
            <w:vAlign w:val="bottom"/>
            <w:hideMark/>
          </w:tcPr>
          <w:p w:rsidR="00F72D3B" w:rsidRPr="00477E37" w:rsidRDefault="00F72D3B" w:rsidP="009A6EAA">
            <w:pPr>
              <w:rPr>
                <w:color w:val="000000"/>
              </w:rPr>
            </w:pPr>
            <w:r w:rsidRPr="00477E37">
              <w:rPr>
                <w:color w:val="000000"/>
              </w:rPr>
              <w:t xml:space="preserve"> $          </w:t>
            </w:r>
            <w:r w:rsidR="00702CD8">
              <w:rPr>
                <w:color w:val="000000"/>
              </w:rPr>
              <w:t>3,023,20</w:t>
            </w:r>
            <w:r w:rsidR="009A6EAA">
              <w:rPr>
                <w:color w:val="000000"/>
              </w:rPr>
              <w:t>8</w:t>
            </w:r>
            <w:r w:rsidRPr="00477E37">
              <w:rPr>
                <w:color w:val="000000"/>
              </w:rPr>
              <w:t xml:space="preserve"> </w:t>
            </w:r>
          </w:p>
        </w:tc>
        <w:tc>
          <w:tcPr>
            <w:tcW w:w="276" w:type="dxa"/>
            <w:tcBorders>
              <w:top w:val="nil"/>
              <w:left w:val="nil"/>
              <w:bottom w:val="nil"/>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00"/>
          <w:jc w:val="center"/>
        </w:trPr>
        <w:tc>
          <w:tcPr>
            <w:tcW w:w="340" w:type="dxa"/>
            <w:tcBorders>
              <w:top w:val="nil"/>
              <w:left w:val="single" w:sz="4" w:space="0" w:color="auto"/>
              <w:bottom w:val="nil"/>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76"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007"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76" w:type="dxa"/>
            <w:tcBorders>
              <w:top w:val="nil"/>
              <w:left w:val="nil"/>
              <w:bottom w:val="nil"/>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00"/>
          <w:jc w:val="center"/>
        </w:trPr>
        <w:tc>
          <w:tcPr>
            <w:tcW w:w="340" w:type="dxa"/>
            <w:tcBorders>
              <w:top w:val="nil"/>
              <w:left w:val="single" w:sz="4" w:space="0" w:color="auto"/>
              <w:bottom w:val="nil"/>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nil"/>
              <w:left w:val="nil"/>
              <w:bottom w:val="nil"/>
              <w:right w:val="nil"/>
            </w:tcBorders>
            <w:shd w:val="clear" w:color="auto" w:fill="auto"/>
            <w:noWrap/>
            <w:vAlign w:val="bottom"/>
            <w:hideMark/>
          </w:tcPr>
          <w:p w:rsidR="00F72D3B" w:rsidRPr="00477E37" w:rsidRDefault="00F72D3B" w:rsidP="00023330">
            <w:pPr>
              <w:rPr>
                <w:color w:val="000000"/>
              </w:rPr>
            </w:pPr>
            <w:r w:rsidRPr="00477E37">
              <w:rPr>
                <w:color w:val="000000"/>
              </w:rPr>
              <w:t>Net Operating Income Multiplier</w:t>
            </w:r>
          </w:p>
        </w:tc>
        <w:tc>
          <w:tcPr>
            <w:tcW w:w="276"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007" w:type="dxa"/>
            <w:tcBorders>
              <w:top w:val="nil"/>
              <w:left w:val="nil"/>
              <w:bottom w:val="single" w:sz="4" w:space="0" w:color="auto"/>
              <w:right w:val="nil"/>
            </w:tcBorders>
            <w:shd w:val="clear" w:color="auto" w:fill="auto"/>
            <w:noWrap/>
            <w:vAlign w:val="bottom"/>
            <w:hideMark/>
          </w:tcPr>
          <w:p w:rsidR="00F72D3B" w:rsidRPr="00477E37" w:rsidRDefault="00F72D3B" w:rsidP="00477E37">
            <w:pPr>
              <w:ind w:right="23"/>
              <w:jc w:val="right"/>
              <w:rPr>
                <w:color w:val="000000"/>
              </w:rPr>
            </w:pPr>
            <w:r w:rsidRPr="00477E37">
              <w:rPr>
                <w:color w:val="000000"/>
              </w:rPr>
              <w:t>1.6185</w:t>
            </w:r>
          </w:p>
        </w:tc>
        <w:tc>
          <w:tcPr>
            <w:tcW w:w="276" w:type="dxa"/>
            <w:tcBorders>
              <w:top w:val="nil"/>
              <w:left w:val="nil"/>
              <w:bottom w:val="nil"/>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00"/>
          <w:jc w:val="center"/>
        </w:trPr>
        <w:tc>
          <w:tcPr>
            <w:tcW w:w="340" w:type="dxa"/>
            <w:tcBorders>
              <w:top w:val="nil"/>
              <w:left w:val="single" w:sz="4" w:space="0" w:color="auto"/>
              <w:bottom w:val="nil"/>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76"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007"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76" w:type="dxa"/>
            <w:tcBorders>
              <w:top w:val="nil"/>
              <w:left w:val="nil"/>
              <w:bottom w:val="nil"/>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15"/>
          <w:jc w:val="center"/>
        </w:trPr>
        <w:tc>
          <w:tcPr>
            <w:tcW w:w="340" w:type="dxa"/>
            <w:tcBorders>
              <w:top w:val="nil"/>
              <w:left w:val="single" w:sz="4" w:space="0" w:color="auto"/>
              <w:bottom w:val="nil"/>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nil"/>
              <w:left w:val="nil"/>
              <w:bottom w:val="nil"/>
              <w:right w:val="nil"/>
            </w:tcBorders>
            <w:shd w:val="clear" w:color="auto" w:fill="auto"/>
            <w:noWrap/>
            <w:vAlign w:val="bottom"/>
            <w:hideMark/>
          </w:tcPr>
          <w:p w:rsidR="00F72D3B" w:rsidRPr="00477E37" w:rsidRDefault="00F72D3B">
            <w:pPr>
              <w:rPr>
                <w:color w:val="000000"/>
              </w:rPr>
            </w:pPr>
            <w:r w:rsidRPr="00477E37">
              <w:rPr>
                <w:color w:val="000000"/>
              </w:rPr>
              <w:t>Interim Revenue Increase</w:t>
            </w:r>
          </w:p>
        </w:tc>
        <w:tc>
          <w:tcPr>
            <w:tcW w:w="276" w:type="dxa"/>
            <w:tcBorders>
              <w:top w:val="nil"/>
              <w:left w:val="nil"/>
              <w:bottom w:val="nil"/>
              <w:right w:val="nil"/>
            </w:tcBorders>
            <w:shd w:val="clear" w:color="auto" w:fill="auto"/>
            <w:noWrap/>
            <w:vAlign w:val="bottom"/>
            <w:hideMark/>
          </w:tcPr>
          <w:p w:rsidR="00F72D3B" w:rsidRPr="00477E37" w:rsidRDefault="00F72D3B">
            <w:pPr>
              <w:rPr>
                <w:color w:val="000000"/>
              </w:rPr>
            </w:pPr>
          </w:p>
        </w:tc>
        <w:tc>
          <w:tcPr>
            <w:tcW w:w="2007" w:type="dxa"/>
            <w:tcBorders>
              <w:top w:val="nil"/>
              <w:left w:val="nil"/>
              <w:bottom w:val="double" w:sz="6" w:space="0" w:color="auto"/>
              <w:right w:val="nil"/>
            </w:tcBorders>
            <w:shd w:val="clear" w:color="auto" w:fill="auto"/>
            <w:noWrap/>
            <w:vAlign w:val="bottom"/>
            <w:hideMark/>
          </w:tcPr>
          <w:p w:rsidR="00F72D3B" w:rsidRPr="00477E37" w:rsidRDefault="00F72D3B" w:rsidP="004007D3">
            <w:pPr>
              <w:rPr>
                <w:color w:val="000000"/>
              </w:rPr>
            </w:pPr>
            <w:r w:rsidRPr="00477E37">
              <w:rPr>
                <w:color w:val="000000"/>
              </w:rPr>
              <w:t xml:space="preserve"> $         </w:t>
            </w:r>
            <w:r w:rsidR="004007D3">
              <w:rPr>
                <w:color w:val="000000"/>
              </w:rPr>
              <w:t>4,893,061</w:t>
            </w:r>
            <w:r w:rsidRPr="00477E37">
              <w:rPr>
                <w:color w:val="000000"/>
              </w:rPr>
              <w:t xml:space="preserve"> </w:t>
            </w:r>
          </w:p>
        </w:tc>
        <w:tc>
          <w:tcPr>
            <w:tcW w:w="276" w:type="dxa"/>
            <w:tcBorders>
              <w:top w:val="nil"/>
              <w:left w:val="nil"/>
              <w:bottom w:val="nil"/>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r w:rsidR="00F72D3B" w:rsidTr="000A0C84">
        <w:trPr>
          <w:trHeight w:val="315"/>
          <w:jc w:val="center"/>
        </w:trPr>
        <w:tc>
          <w:tcPr>
            <w:tcW w:w="340" w:type="dxa"/>
            <w:tcBorders>
              <w:top w:val="nil"/>
              <w:left w:val="single" w:sz="4" w:space="0" w:color="auto"/>
              <w:bottom w:val="single" w:sz="4" w:space="0" w:color="auto"/>
              <w:right w:val="nil"/>
            </w:tcBorders>
            <w:shd w:val="clear" w:color="auto" w:fill="auto"/>
            <w:noWrap/>
            <w:vAlign w:val="bottom"/>
            <w:hideMark/>
          </w:tcPr>
          <w:p w:rsidR="00F72D3B" w:rsidRDefault="00F72D3B">
            <w:pPr>
              <w:rPr>
                <w:rFonts w:ascii="Calibri" w:hAnsi="Calibri"/>
                <w:color w:val="000000"/>
                <w:sz w:val="22"/>
                <w:szCs w:val="22"/>
              </w:rPr>
            </w:pPr>
            <w:r>
              <w:rPr>
                <w:rFonts w:ascii="Calibri" w:hAnsi="Calibri"/>
                <w:color w:val="000000"/>
                <w:sz w:val="22"/>
                <w:szCs w:val="22"/>
              </w:rPr>
              <w:t> </w:t>
            </w:r>
          </w:p>
        </w:tc>
        <w:tc>
          <w:tcPr>
            <w:tcW w:w="4895" w:type="dxa"/>
            <w:tcBorders>
              <w:top w:val="nil"/>
              <w:left w:val="nil"/>
              <w:bottom w:val="single" w:sz="4" w:space="0" w:color="auto"/>
              <w:right w:val="nil"/>
            </w:tcBorders>
            <w:shd w:val="clear" w:color="auto" w:fill="auto"/>
            <w:noWrap/>
            <w:vAlign w:val="bottom"/>
            <w:hideMark/>
          </w:tcPr>
          <w:p w:rsidR="00F72D3B" w:rsidRPr="00477E37" w:rsidRDefault="00F72D3B">
            <w:pPr>
              <w:rPr>
                <w:color w:val="000000"/>
              </w:rPr>
            </w:pPr>
            <w:r w:rsidRPr="00477E37">
              <w:rPr>
                <w:color w:val="000000"/>
              </w:rPr>
              <w:t> </w:t>
            </w:r>
          </w:p>
        </w:tc>
        <w:tc>
          <w:tcPr>
            <w:tcW w:w="276" w:type="dxa"/>
            <w:tcBorders>
              <w:top w:val="nil"/>
              <w:left w:val="nil"/>
              <w:bottom w:val="single" w:sz="4" w:space="0" w:color="auto"/>
              <w:right w:val="nil"/>
            </w:tcBorders>
            <w:shd w:val="clear" w:color="auto" w:fill="auto"/>
            <w:noWrap/>
            <w:vAlign w:val="bottom"/>
            <w:hideMark/>
          </w:tcPr>
          <w:p w:rsidR="00F72D3B" w:rsidRPr="00477E37" w:rsidRDefault="00F72D3B">
            <w:pPr>
              <w:rPr>
                <w:color w:val="000000"/>
              </w:rPr>
            </w:pPr>
            <w:r w:rsidRPr="00477E37">
              <w:rPr>
                <w:color w:val="000000"/>
              </w:rPr>
              <w:t> </w:t>
            </w:r>
          </w:p>
        </w:tc>
        <w:tc>
          <w:tcPr>
            <w:tcW w:w="2007" w:type="dxa"/>
            <w:tcBorders>
              <w:top w:val="nil"/>
              <w:left w:val="nil"/>
              <w:bottom w:val="single" w:sz="4" w:space="0" w:color="auto"/>
              <w:right w:val="nil"/>
            </w:tcBorders>
            <w:shd w:val="clear" w:color="auto" w:fill="auto"/>
            <w:noWrap/>
            <w:vAlign w:val="bottom"/>
            <w:hideMark/>
          </w:tcPr>
          <w:p w:rsidR="00F72D3B" w:rsidRPr="00477E37" w:rsidRDefault="00F72D3B">
            <w:pPr>
              <w:rPr>
                <w:color w:val="000000"/>
              </w:rPr>
            </w:pPr>
            <w:r w:rsidRPr="00477E37">
              <w:rPr>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F72D3B" w:rsidRPr="00477E37" w:rsidRDefault="00F72D3B">
            <w:pPr>
              <w:rPr>
                <w:color w:val="000000"/>
              </w:rPr>
            </w:pPr>
            <w:r w:rsidRPr="00477E37">
              <w:rPr>
                <w:color w:val="000000"/>
              </w:rPr>
              <w:t> </w:t>
            </w:r>
          </w:p>
        </w:tc>
      </w:tr>
    </w:tbl>
    <w:p w:rsidR="00F72D3B" w:rsidRDefault="009A6EAA">
      <w:pPr>
        <w:pStyle w:val="BodyText"/>
      </w:pPr>
      <w:r>
        <w:tab/>
        <w:t>Source: Revised MFR Schedule F-7</w:t>
      </w:r>
    </w:p>
    <w:p w:rsidR="00DB05FB" w:rsidRDefault="00DB05FB">
      <w:pPr>
        <w:pStyle w:val="IssueHeading"/>
        <w:rPr>
          <w:vanish/>
          <w:specVanish/>
        </w:rPr>
      </w:pPr>
      <w:r w:rsidRPr="004C3641">
        <w:rPr>
          <w:b w:val="0"/>
          <w:i w:val="0"/>
        </w:rPr>
        <w:br w:type="page"/>
      </w:r>
      <w:r w:rsidRPr="004C3641">
        <w:lastRenderedPageBreak/>
        <w:t xml:space="preserve">Issue </w:t>
      </w:r>
      <w:r w:rsidR="00342D81">
        <w:fldChar w:fldCharType="begin"/>
      </w:r>
      <w:r w:rsidR="00342D81">
        <w:instrText xml:space="preserve"> SEQ Issue \* MERGEFORMAT </w:instrText>
      </w:r>
      <w:r w:rsidR="00342D81">
        <w:fldChar w:fldCharType="separate"/>
      </w:r>
      <w:r w:rsidR="00CE6563">
        <w:rPr>
          <w:noProof/>
        </w:rPr>
        <w:t>7</w:t>
      </w:r>
      <w:r w:rsidR="00342D8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6563">
        <w:rPr>
          <w:noProof/>
        </w:rPr>
        <w:instrText>7</w:instrText>
      </w:r>
      <w:r>
        <w:fldChar w:fldCharType="end"/>
      </w:r>
      <w:r>
        <w:tab/>
        <w:instrText xml:space="preserve">" \l 1 </w:instrText>
      </w:r>
      <w:r>
        <w:fldChar w:fldCharType="end"/>
      </w:r>
      <w:r>
        <w:t> </w:t>
      </w:r>
    </w:p>
    <w:p w:rsidR="00DB05FB" w:rsidRDefault="00DB05FB">
      <w:pPr>
        <w:pStyle w:val="BodyText"/>
      </w:pPr>
      <w:r>
        <w:t xml:space="preserve"> How should the interim revenue increase for </w:t>
      </w:r>
      <w:r w:rsidR="00AA4C05">
        <w:t>FCG</w:t>
      </w:r>
      <w:r>
        <w:t xml:space="preserve"> be distributed among the rate classes?</w:t>
      </w:r>
    </w:p>
    <w:p w:rsidR="00DB05FB" w:rsidRPr="004C3641" w:rsidRDefault="00DB05FB">
      <w:pPr>
        <w:pStyle w:val="IssueSubsectionHeading"/>
        <w:rPr>
          <w:vanish/>
          <w:specVanish/>
        </w:rPr>
      </w:pPr>
      <w:r w:rsidRPr="004C3641">
        <w:t>Recommendation: </w:t>
      </w:r>
    </w:p>
    <w:p w:rsidR="00DB05FB" w:rsidRDefault="00DB05FB">
      <w:pPr>
        <w:pStyle w:val="BodyText"/>
      </w:pPr>
      <w:r>
        <w:t> </w:t>
      </w:r>
      <w:r w:rsidR="00850028">
        <w:t>Any interim revenue increase authorized should be applied evenly across the board to all rate classes based on their base rate revenues, as required by Rule 25-7.040, Florida Administrative Code</w:t>
      </w:r>
      <w:r w:rsidR="004351A5">
        <w:t>,</w:t>
      </w:r>
      <w:r w:rsidR="0004039E">
        <w:t xml:space="preserve"> (F.A.C.)</w:t>
      </w:r>
      <w:r w:rsidR="00850028">
        <w:t>, and should be collected on a cents-per-</w:t>
      </w:r>
      <w:proofErr w:type="spellStart"/>
      <w:r w:rsidR="00850028">
        <w:t>therm</w:t>
      </w:r>
      <w:proofErr w:type="spellEnd"/>
      <w:r w:rsidR="00850028">
        <w:t xml:space="preserve"> basis. The interim rates should be made effective for all meter readings made on or after thirty days from the date of the Commission vote and decision herein. </w:t>
      </w:r>
      <w:r w:rsidR="000645DE">
        <w:t>The Company should provide pursuant to Rule 25-22.0406(8), F.A.C., notice to customers of the revised rates with the first bill containing the new rates. The Company should file tariff sheets reflecting the Commission approved interim rates.</w:t>
      </w:r>
      <w:r>
        <w:t xml:space="preserve"> (Draper, </w:t>
      </w:r>
      <w:r w:rsidR="00AD2A91">
        <w:t>Doherty, Guffey</w:t>
      </w:r>
      <w:r>
        <w:t>)</w:t>
      </w:r>
    </w:p>
    <w:p w:rsidR="00DB05FB" w:rsidRPr="004C3641" w:rsidRDefault="00DB05FB">
      <w:pPr>
        <w:pStyle w:val="IssueSubsectionHeading"/>
        <w:rPr>
          <w:vanish/>
          <w:specVanish/>
        </w:rPr>
      </w:pPr>
      <w:r w:rsidRPr="004C3641">
        <w:t>Staff Analysis: </w:t>
      </w:r>
    </w:p>
    <w:p w:rsidR="00856483" w:rsidRDefault="00DB05FB">
      <w:pPr>
        <w:pStyle w:val="BodyText"/>
      </w:pPr>
      <w:r>
        <w:t> </w:t>
      </w:r>
      <w:r w:rsidR="00C078C4">
        <w:t xml:space="preserve">Attachment </w:t>
      </w:r>
      <w:r w:rsidR="00044ED3" w:rsidRPr="00044ED3">
        <w:t>C</w:t>
      </w:r>
      <w:r w:rsidR="000645DE">
        <w:t xml:space="preserve"> </w:t>
      </w:r>
      <w:r w:rsidR="00BF4E5F">
        <w:t xml:space="preserve">to the recommendation </w:t>
      </w:r>
      <w:r w:rsidR="000645DE">
        <w:t xml:space="preserve">shows the allocation of the </w:t>
      </w:r>
      <w:r w:rsidR="00BF4E5F">
        <w:t xml:space="preserve">$4,893,061 </w:t>
      </w:r>
      <w:r w:rsidR="000645DE">
        <w:t>interim increase</w:t>
      </w:r>
      <w:r w:rsidR="00C078C4" w:rsidRPr="00044ED3">
        <w:t xml:space="preserve"> </w:t>
      </w:r>
      <w:r w:rsidR="000645DE">
        <w:t>and the resulting</w:t>
      </w:r>
      <w:r w:rsidR="00C078C4">
        <w:t xml:space="preserve"> cents-per-</w:t>
      </w:r>
      <w:proofErr w:type="spellStart"/>
      <w:r w:rsidR="00C078C4">
        <w:t>therm</w:t>
      </w:r>
      <w:proofErr w:type="spellEnd"/>
      <w:r w:rsidR="00C078C4">
        <w:t xml:space="preserve"> increases to be applied to the rate classes. The increases were calculated using the methodology contained in Rule 25-7.040, F.A.C., which requires that any increase be applied evenly across the board to all rate classes based on their base rate revenues.</w:t>
      </w:r>
      <w:r w:rsidR="000645DE">
        <w:t xml:space="preserve"> Attachment D shows the resulting interim per </w:t>
      </w:r>
      <w:proofErr w:type="spellStart"/>
      <w:r w:rsidR="000645DE">
        <w:t>therm</w:t>
      </w:r>
      <w:proofErr w:type="spellEnd"/>
      <w:r w:rsidR="000645DE">
        <w:t xml:space="preserve"> distribution charges for all rate classes.</w:t>
      </w:r>
      <w:r w:rsidR="00C078C4">
        <w:t xml:space="preserve"> </w:t>
      </w:r>
    </w:p>
    <w:p w:rsidR="004D075B" w:rsidRDefault="004D075B">
      <w:pPr>
        <w:pStyle w:val="BodyText"/>
      </w:pPr>
      <w:r>
        <w:t xml:space="preserve">FCG included revenues from its approved safety, access, and facility enhancement program (SAFE) program to calculate the base rate revenues for each rate class. The SAFE program was approved in Order No. </w:t>
      </w:r>
      <w:proofErr w:type="gramStart"/>
      <w:r>
        <w:t>PSC-16-0517-TRF-GU as a surcharge.</w:t>
      </w:r>
      <w:proofErr w:type="gramEnd"/>
      <w:r w:rsidR="00DC73BD">
        <w:rPr>
          <w:rStyle w:val="FootnoteReference"/>
        </w:rPr>
        <w:footnoteReference w:id="5"/>
      </w:r>
      <w:r>
        <w:t xml:space="preserve"> Rule 25-7.040, F.A.C., specifically states that revenues from the cost of gas should be excluded in the calculation of the interim increase for each rate class, but is silent on surcharges such as the SAFE surcharge. Staff notes that including or excluding the SAFE revenues does not affected the total interim increase, however, </w:t>
      </w:r>
      <w:r w:rsidR="00A23D85">
        <w:t xml:space="preserve">it </w:t>
      </w:r>
      <w:r>
        <w:t xml:space="preserve">has a minimal impact on the dollar increase and resulting interim rates for each rate class. Since FCG proposed to </w:t>
      </w:r>
      <w:r w:rsidR="00291D6B">
        <w:t>move the current investment in the SAFE program into rate base, staff agrees with FCG that including the SAFE revenues in the interim calculation is appropriate</w:t>
      </w:r>
      <w:r w:rsidR="00AE7788">
        <w:t xml:space="preserve"> in this instance</w:t>
      </w:r>
      <w:r w:rsidR="00291D6B">
        <w:t>.</w:t>
      </w:r>
    </w:p>
    <w:p w:rsidR="00C078C4" w:rsidRDefault="0004039E">
      <w:pPr>
        <w:pStyle w:val="BodyText"/>
      </w:pPr>
      <w:r>
        <w:t xml:space="preserve">The interim rates should be made effective for all meter readings made on or after thirty days from the date of the Commission vote and decision herein. The Company should provide </w:t>
      </w:r>
      <w:r w:rsidR="004351A5">
        <w:t xml:space="preserve">pursuant to Rule 25-22.0406(8), F.A.C., </w:t>
      </w:r>
      <w:r>
        <w:t xml:space="preserve">notice to customers </w:t>
      </w:r>
      <w:r w:rsidR="004351A5">
        <w:t xml:space="preserve">of the revised rates </w:t>
      </w:r>
      <w:r>
        <w:t xml:space="preserve">with the first bill </w:t>
      </w:r>
      <w:r w:rsidR="004351A5">
        <w:t>containing the new rates</w:t>
      </w:r>
      <w:r w:rsidR="000645DE">
        <w:t xml:space="preserve"> and</w:t>
      </w:r>
      <w:r w:rsidR="00C52AE5">
        <w:t xml:space="preserve"> </w:t>
      </w:r>
      <w:r w:rsidR="000645DE">
        <w:t>a</w:t>
      </w:r>
      <w:r>
        <w:t xml:space="preserve"> copy of the customer notice should be submitted </w:t>
      </w:r>
      <w:r w:rsidR="001A06EF">
        <w:t>to Commission staff</w:t>
      </w:r>
      <w:r>
        <w:t xml:space="preserve"> for approval prior to its use. </w:t>
      </w:r>
      <w:r w:rsidR="004351A5">
        <w:t>The Company should file tariff sheets reflecting the Commission approved interim rates.</w:t>
      </w:r>
    </w:p>
    <w:p w:rsidR="00BF5B21" w:rsidRDefault="00C52AE5">
      <w:pPr>
        <w:pStyle w:val="IssueHeading"/>
        <w:rPr>
          <w:vanish/>
          <w:specVanish/>
        </w:rPr>
      </w:pPr>
      <w:r>
        <w:rPr>
          <w:b w:val="0"/>
          <w:i w:val="0"/>
        </w:rPr>
        <w:t xml:space="preserve"> </w:t>
      </w:r>
      <w:r w:rsidR="00BF5B21" w:rsidRPr="004C3641">
        <w:rPr>
          <w:b w:val="0"/>
          <w:i w:val="0"/>
        </w:rPr>
        <w:br w:type="page"/>
      </w:r>
      <w:r w:rsidR="00BF5B21" w:rsidRPr="004C3641">
        <w:lastRenderedPageBreak/>
        <w:t xml:space="preserve">Issue </w:t>
      </w:r>
      <w:r w:rsidR="00342D81">
        <w:fldChar w:fldCharType="begin"/>
      </w:r>
      <w:r w:rsidR="00342D81">
        <w:instrText xml:space="preserve"> SE</w:instrText>
      </w:r>
      <w:r w:rsidR="00342D81">
        <w:instrText xml:space="preserve">Q Issue \* MERGEFORMAT </w:instrText>
      </w:r>
      <w:r w:rsidR="00342D81">
        <w:fldChar w:fldCharType="separate"/>
      </w:r>
      <w:r w:rsidR="00CE6563">
        <w:rPr>
          <w:noProof/>
        </w:rPr>
        <w:t>8</w:t>
      </w:r>
      <w:r w:rsidR="00342D81">
        <w:rPr>
          <w:noProof/>
        </w:rPr>
        <w:fldChar w:fldCharType="end"/>
      </w:r>
      <w:r w:rsidR="00BF5B21" w:rsidRPr="004C3641">
        <w:t>:</w:t>
      </w:r>
      <w:r w:rsidR="00BF5B21">
        <w:fldChar w:fldCharType="begin"/>
      </w:r>
      <w:r w:rsidR="00BF5B21">
        <w:instrText xml:space="preserve"> TC "</w:instrText>
      </w:r>
      <w:r w:rsidR="00BF5B21">
        <w:fldChar w:fldCharType="begin"/>
      </w:r>
      <w:r w:rsidR="00BF5B21">
        <w:instrText xml:space="preserve"> SEQ issue \c </w:instrText>
      </w:r>
      <w:r w:rsidR="00BF5B21">
        <w:fldChar w:fldCharType="separate"/>
      </w:r>
      <w:r w:rsidR="00CE6563">
        <w:rPr>
          <w:noProof/>
        </w:rPr>
        <w:instrText>8</w:instrText>
      </w:r>
      <w:r w:rsidR="00BF5B21">
        <w:fldChar w:fldCharType="end"/>
      </w:r>
      <w:r w:rsidR="00BF5B21">
        <w:tab/>
        <w:instrText xml:space="preserve">(Draper)" \l 1 </w:instrText>
      </w:r>
      <w:r w:rsidR="00BF5B21">
        <w:fldChar w:fldCharType="end"/>
      </w:r>
      <w:r w:rsidR="00BF5B21">
        <w:t> </w:t>
      </w:r>
    </w:p>
    <w:p w:rsidR="00BF5B21" w:rsidRDefault="00BF5B21">
      <w:pPr>
        <w:pStyle w:val="BodyText"/>
      </w:pPr>
      <w:r>
        <w:t> What is the appropriate security to guarantee the amount subject to refund?</w:t>
      </w:r>
    </w:p>
    <w:p w:rsidR="00BF5B21" w:rsidRPr="004C3641" w:rsidRDefault="00BF5B21">
      <w:pPr>
        <w:pStyle w:val="IssueSubsectionHeading"/>
        <w:rPr>
          <w:vanish/>
          <w:specVanish/>
        </w:rPr>
      </w:pPr>
      <w:r w:rsidRPr="004C3641">
        <w:t>Recommendation: </w:t>
      </w:r>
    </w:p>
    <w:p w:rsidR="00BF5B21" w:rsidRDefault="00BF5B21">
      <w:pPr>
        <w:pStyle w:val="BodyText"/>
      </w:pPr>
      <w:r>
        <w:t> </w:t>
      </w:r>
      <w:r w:rsidR="00AA16C7">
        <w:t>The appropriate security to guarantee the funds collected subject to refund is a corporate undertaking.</w:t>
      </w:r>
      <w:r>
        <w:t xml:space="preserve"> (</w:t>
      </w:r>
      <w:r w:rsidR="00874F04">
        <w:t xml:space="preserve">D. </w:t>
      </w:r>
      <w:r w:rsidR="00741ABE">
        <w:t>Buys</w:t>
      </w:r>
      <w:r w:rsidR="00874F04">
        <w:t>, Mouring</w:t>
      </w:r>
      <w:r>
        <w:t>)</w:t>
      </w:r>
    </w:p>
    <w:p w:rsidR="00BF5B21" w:rsidRPr="004C3641" w:rsidRDefault="00BF5B21">
      <w:pPr>
        <w:pStyle w:val="IssueSubsectionHeading"/>
        <w:rPr>
          <w:vanish/>
          <w:specVanish/>
        </w:rPr>
      </w:pPr>
      <w:r w:rsidRPr="004C3641">
        <w:t>Staff Analysis: </w:t>
      </w:r>
    </w:p>
    <w:p w:rsidR="00BF5B21" w:rsidRDefault="00BF5B21">
      <w:pPr>
        <w:pStyle w:val="BodyText"/>
      </w:pPr>
      <w:r>
        <w:t> </w:t>
      </w:r>
      <w:r w:rsidR="00AA4C05">
        <w:t>FCG</w:t>
      </w:r>
      <w:r w:rsidR="00AA16C7">
        <w:t xml:space="preserve"> has requested that all funds collected subject to refund be secured by a corporate undertaking. The criteria for a corporate undertaking include sufficient liquidity, ownership equity, profitability, and interest coverage to guarantee any potential refund</w:t>
      </w:r>
      <w:r w:rsidR="00797128">
        <w:t xml:space="preserve">. </w:t>
      </w:r>
      <w:r w:rsidR="00CC1D9A">
        <w:t xml:space="preserve">Staff reviewed </w:t>
      </w:r>
      <w:r w:rsidR="00AA4C05">
        <w:t>FCG</w:t>
      </w:r>
      <w:r w:rsidR="00CC1D9A">
        <w:t>’</w:t>
      </w:r>
      <w:r w:rsidR="00AA4C05">
        <w:t>s</w:t>
      </w:r>
      <w:r w:rsidR="00CC1D9A">
        <w:t xml:space="preserve"> 2014, 2015 and 2016 financial statements filed with the </w:t>
      </w:r>
      <w:r w:rsidR="00AA4C05">
        <w:t>Company</w:t>
      </w:r>
      <w:r w:rsidR="00CC1D9A">
        <w:t xml:space="preserve">’s Application for Authority to Issue Debt Security in 2016 and 2017 filed with the </w:t>
      </w:r>
      <w:r w:rsidR="00AA4C05">
        <w:t>Commission</w:t>
      </w:r>
      <w:r w:rsidR="00CC1D9A">
        <w:t xml:space="preserve"> to determine if </w:t>
      </w:r>
      <w:r w:rsidR="00AA4C05">
        <w:t>FCG</w:t>
      </w:r>
      <w:r w:rsidR="00CC1D9A">
        <w:t xml:space="preserve"> can support a corporate undertaking for its potential refund obligation. Based on an estimated six-month collection period of interim rates for </w:t>
      </w:r>
      <w:r w:rsidR="00AA4C05">
        <w:t>FCG</w:t>
      </w:r>
      <w:r w:rsidR="00CC1D9A">
        <w:t xml:space="preserve">, staff has determined the maximum amount of revenues that may need to be protected is </w:t>
      </w:r>
      <w:r w:rsidR="00B07111">
        <w:t>$2,452,256</w:t>
      </w:r>
      <w:r w:rsidR="00CC1D9A">
        <w:t xml:space="preserve">. </w:t>
      </w:r>
      <w:r w:rsidR="00CC1D9A" w:rsidRPr="00CC1D9A">
        <w:t xml:space="preserve">Staff’s analysis shows </w:t>
      </w:r>
      <w:r w:rsidR="00AA4C05">
        <w:t>FCG</w:t>
      </w:r>
      <w:r w:rsidR="00CC1D9A" w:rsidRPr="00CC1D9A">
        <w:t xml:space="preserve"> has negative working capital and an unfavorable current ratio. However, </w:t>
      </w:r>
      <w:r w:rsidR="00AA4C05">
        <w:t>FCG</w:t>
      </w:r>
      <w:r w:rsidR="00CC1D9A">
        <w:t>’</w:t>
      </w:r>
      <w:r w:rsidR="00AA4C05">
        <w:t>s</w:t>
      </w:r>
      <w:r w:rsidR="00CC1D9A" w:rsidRPr="00CC1D9A">
        <w:t xml:space="preserve"> ownership equity, profitability (net income), and interest coverage </w:t>
      </w:r>
      <w:r w:rsidR="00A23D85">
        <w:t>are</w:t>
      </w:r>
      <w:r w:rsidR="00CC1D9A" w:rsidRPr="00CC1D9A">
        <w:t xml:space="preserve"> sufficient to guarantee any potential refund of the requested interim revenue increase. For all three years, </w:t>
      </w:r>
      <w:r w:rsidR="00AA4C05">
        <w:t>FCG</w:t>
      </w:r>
      <w:r w:rsidR="00CC1D9A">
        <w:t>’</w:t>
      </w:r>
      <w:r w:rsidR="00AA4C05">
        <w:t>s</w:t>
      </w:r>
      <w:r w:rsidR="00CC1D9A" w:rsidRPr="00CC1D9A">
        <w:t xml:space="preserve"> working capital has been negative and the current ratio has been less than one. </w:t>
      </w:r>
      <w:r w:rsidR="00AA4C05">
        <w:t>However, FCG</w:t>
      </w:r>
      <w:r w:rsidR="00CC1D9A">
        <w:t>’</w:t>
      </w:r>
      <w:r w:rsidR="00AA4C05">
        <w:t>s</w:t>
      </w:r>
      <w:r w:rsidR="00CC1D9A" w:rsidRPr="00CC1D9A">
        <w:t xml:space="preserve"> equity ratio was 48 percent in 2014 and 2015, and 49 percent in 2016, indicating </w:t>
      </w:r>
      <w:r w:rsidR="00AA4C05">
        <w:t>adequate</w:t>
      </w:r>
      <w:r w:rsidR="00CC1D9A" w:rsidRPr="00CC1D9A">
        <w:t xml:space="preserve"> equity ownership. The </w:t>
      </w:r>
      <w:r w:rsidR="00AA4C05">
        <w:t>Company</w:t>
      </w:r>
      <w:r w:rsidR="00CC1D9A" w:rsidRPr="00CC1D9A">
        <w:t xml:space="preserve">’s interest coverage ratio has </w:t>
      </w:r>
      <w:r w:rsidR="00AA4C05">
        <w:t>declined from 7.83 in 2014 to 4.53 in</w:t>
      </w:r>
      <w:r w:rsidR="00CC1D9A" w:rsidRPr="00CC1D9A">
        <w:t xml:space="preserve"> 2016</w:t>
      </w:r>
      <w:r w:rsidR="00AA4C05">
        <w:t xml:space="preserve">, </w:t>
      </w:r>
      <w:r w:rsidR="00CC1D9A" w:rsidRPr="00CC1D9A">
        <w:t xml:space="preserve">indicating that its earnings before interest and tax expense is </w:t>
      </w:r>
      <w:r w:rsidR="00AA4C05">
        <w:t xml:space="preserve">currently </w:t>
      </w:r>
      <w:r w:rsidR="00CC1D9A" w:rsidRPr="00CC1D9A">
        <w:t xml:space="preserve">4.5 times greater than its interest expense. </w:t>
      </w:r>
      <w:r w:rsidR="00AA4C05">
        <w:t>FCG</w:t>
      </w:r>
      <w:r w:rsidR="00CC1D9A">
        <w:t>’</w:t>
      </w:r>
      <w:r w:rsidR="00AA4C05">
        <w:t>s</w:t>
      </w:r>
      <w:r w:rsidR="00CC1D9A" w:rsidRPr="00CC1D9A">
        <w:t xml:space="preserve"> net income has been on average fourteen times greater than the requested corporate undertaking amount, indicating good profitability. In addition, </w:t>
      </w:r>
      <w:r w:rsidR="00AA4C05">
        <w:t>FCG</w:t>
      </w:r>
      <w:r w:rsidR="00CC1D9A" w:rsidRPr="00CC1D9A">
        <w:t xml:space="preserve"> participates in Southern Company Gas’s Utility Money Pool and is authorized by the Commission to make short-term borrowings not to exceed $250 million.</w:t>
      </w:r>
    </w:p>
    <w:p w:rsidR="00CC1D9A" w:rsidRDefault="00CC1D9A">
      <w:pPr>
        <w:pStyle w:val="BodyText"/>
      </w:pPr>
      <w:r w:rsidRPr="00CC1D9A">
        <w:t xml:space="preserve">Staff believes </w:t>
      </w:r>
      <w:r w:rsidR="00AA4C05">
        <w:t>FCG</w:t>
      </w:r>
      <w:r w:rsidRPr="00CC1D9A">
        <w:t xml:space="preserve"> has adequate financial resources to support a corporate undertaking in the amount requested. Based on this analysis, staff recommends that a corporate undertaking in the amount of </w:t>
      </w:r>
      <w:r w:rsidR="00B07111">
        <w:t>$2,452,256</w:t>
      </w:r>
      <w:r w:rsidRPr="00CC1D9A">
        <w:t xml:space="preserve"> is acceptable. The preferred limit of the corporate undertaking amount is $8,751,917. This brief financial analysis is only appropriate for deciding if </w:t>
      </w:r>
      <w:r w:rsidR="0075216B">
        <w:t>the Company</w:t>
      </w:r>
      <w:r w:rsidRPr="00CC1D9A">
        <w:t xml:space="preserve"> can support a corporate undertaking in the amount requested and should not be considered a finding regarding staff's position on other issues in this proceeding</w:t>
      </w:r>
      <w:r w:rsidR="0075216B">
        <w:t>.</w:t>
      </w:r>
    </w:p>
    <w:p w:rsidR="00BF5B21" w:rsidRDefault="00BF5B21">
      <w:pPr>
        <w:pStyle w:val="IssueHeading"/>
        <w:rPr>
          <w:vanish/>
          <w:specVanish/>
        </w:rPr>
      </w:pPr>
      <w:r w:rsidRPr="004C3641">
        <w:rPr>
          <w:b w:val="0"/>
          <w:i w:val="0"/>
        </w:rPr>
        <w:br w:type="page"/>
      </w:r>
      <w:r w:rsidRPr="004C3641">
        <w:lastRenderedPageBreak/>
        <w:t xml:space="preserve">Issue </w:t>
      </w:r>
      <w:r w:rsidR="00342D81">
        <w:fldChar w:fldCharType="begin"/>
      </w:r>
      <w:r w:rsidR="00342D81">
        <w:instrText xml:space="preserve"> SEQ Issue \* MERGEFORMAT </w:instrText>
      </w:r>
      <w:r w:rsidR="00342D81">
        <w:fldChar w:fldCharType="separate"/>
      </w:r>
      <w:r w:rsidR="00CE6563">
        <w:rPr>
          <w:noProof/>
        </w:rPr>
        <w:t>9</w:t>
      </w:r>
      <w:r w:rsidR="00342D8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6563">
        <w:rPr>
          <w:noProof/>
        </w:rPr>
        <w:instrText>9</w:instrText>
      </w:r>
      <w:r>
        <w:fldChar w:fldCharType="end"/>
      </w:r>
      <w:r>
        <w:tab/>
        <w:instrText xml:space="preserve">(Trierwieler)" \l 1 </w:instrText>
      </w:r>
      <w:r>
        <w:fldChar w:fldCharType="end"/>
      </w:r>
      <w:r>
        <w:t> </w:t>
      </w:r>
    </w:p>
    <w:p w:rsidR="00BF5B21" w:rsidRDefault="00BF5B21">
      <w:pPr>
        <w:pStyle w:val="BodyText"/>
      </w:pPr>
      <w:r>
        <w:t> Should this docket be closed?</w:t>
      </w:r>
    </w:p>
    <w:p w:rsidR="00BF5B21" w:rsidRPr="004C3641" w:rsidRDefault="00BF5B21">
      <w:pPr>
        <w:pStyle w:val="IssueSubsectionHeading"/>
        <w:rPr>
          <w:vanish/>
          <w:specVanish/>
        </w:rPr>
      </w:pPr>
      <w:r w:rsidRPr="004C3641">
        <w:t>Recommendation: </w:t>
      </w:r>
    </w:p>
    <w:p w:rsidR="00BF5B21" w:rsidRDefault="00BF5B21">
      <w:pPr>
        <w:pStyle w:val="BodyText"/>
      </w:pPr>
      <w:r>
        <w:t> </w:t>
      </w:r>
      <w:r w:rsidR="00A443F1">
        <w:t xml:space="preserve">No. This docket should remain open to process the revenue increase request of the Company. </w:t>
      </w:r>
      <w:r>
        <w:t xml:space="preserve"> (</w:t>
      </w:r>
      <w:r w:rsidR="00A443F1">
        <w:t>Trierweiler</w:t>
      </w:r>
      <w:r>
        <w:t>)</w:t>
      </w:r>
    </w:p>
    <w:p w:rsidR="00BF5B21" w:rsidRPr="004C3641" w:rsidRDefault="00BF5B21">
      <w:pPr>
        <w:pStyle w:val="IssueSubsectionHeading"/>
        <w:rPr>
          <w:vanish/>
          <w:specVanish/>
        </w:rPr>
      </w:pPr>
      <w:r w:rsidRPr="004C3641">
        <w:t>Staff Analysis: </w:t>
      </w:r>
    </w:p>
    <w:p w:rsidR="00734126" w:rsidRDefault="00BF5B21" w:rsidP="00734126">
      <w:pPr>
        <w:jc w:val="both"/>
      </w:pPr>
      <w:r>
        <w:t> </w:t>
      </w:r>
      <w:r w:rsidR="00A443F1">
        <w:t>This docket should remain open pending the Commission’s final resolution of the Company’s requested rate increase.</w:t>
      </w:r>
      <w:r w:rsidR="00734126" w:rsidRPr="00734126">
        <w:t xml:space="preserve"> </w:t>
      </w:r>
    </w:p>
    <w:p w:rsidR="00734126" w:rsidRDefault="00734126" w:rsidP="00734126">
      <w:pPr>
        <w:pStyle w:val="RecommendationMajorSectionHeading"/>
        <w:sectPr w:rsidR="00734126" w:rsidSect="00734126">
          <w:headerReference w:type="default" r:id="rId12"/>
          <w:footerReference w:type="default" r:id="rId13"/>
          <w:headerReference w:type="first" r:id="rId14"/>
          <w:footerReference w:type="first" r:id="rId15"/>
          <w:pgSz w:w="12240" w:h="15840" w:code="1"/>
          <w:pgMar w:top="1584" w:right="1440" w:bottom="1440" w:left="1440" w:header="720" w:footer="720" w:gutter="0"/>
          <w:cols w:space="720"/>
          <w:formProt w:val="0"/>
          <w:titlePg/>
          <w:docGrid w:linePitch="360"/>
        </w:sectPr>
      </w:pPr>
    </w:p>
    <w:p w:rsidR="00013A54" w:rsidRDefault="00013A54"/>
    <w:p w:rsidR="00C242B6" w:rsidRDefault="00C242B6" w:rsidP="00C242B6">
      <w:pPr>
        <w:jc w:val="center"/>
      </w:pPr>
      <w:r>
        <w:t>Florida City Gas</w:t>
      </w:r>
    </w:p>
    <w:p w:rsidR="00C242B6" w:rsidRDefault="00C242B6" w:rsidP="00C242B6">
      <w:pPr>
        <w:jc w:val="center"/>
      </w:pPr>
      <w:r>
        <w:t>Docket No. 20170179-GU</w:t>
      </w:r>
    </w:p>
    <w:p w:rsidR="00C242B6" w:rsidRDefault="00C242B6" w:rsidP="00C242B6">
      <w:pPr>
        <w:jc w:val="center"/>
      </w:pPr>
      <w:r>
        <w:t xml:space="preserve">Interim </w:t>
      </w:r>
      <w:r w:rsidR="009A6EAA">
        <w:t>Rate Base and Net Operating Income</w:t>
      </w:r>
    </w:p>
    <w:p w:rsidR="00C242B6" w:rsidRDefault="00C242B6" w:rsidP="00C242B6">
      <w:pPr>
        <w:jc w:val="center"/>
      </w:pPr>
      <w:r>
        <w:t>December 31, 2016</w:t>
      </w:r>
    </w:p>
    <w:p w:rsidR="00C242B6" w:rsidRDefault="00C242B6" w:rsidP="00C242B6">
      <w:pPr>
        <w:jc w:val="center"/>
      </w:pPr>
    </w:p>
    <w:tbl>
      <w:tblPr>
        <w:tblW w:w="10719" w:type="dxa"/>
        <w:jc w:val="center"/>
        <w:tblLook w:val="04A0" w:firstRow="1" w:lastRow="0" w:firstColumn="1" w:lastColumn="0" w:noHBand="0" w:noVBand="1"/>
      </w:tblPr>
      <w:tblGrid>
        <w:gridCol w:w="266"/>
        <w:gridCol w:w="3204"/>
        <w:gridCol w:w="2070"/>
        <w:gridCol w:w="1440"/>
        <w:gridCol w:w="1710"/>
        <w:gridCol w:w="1729"/>
        <w:gridCol w:w="300"/>
      </w:tblGrid>
      <w:tr w:rsidR="00013A54" w:rsidTr="00013A54">
        <w:trPr>
          <w:trHeight w:val="300"/>
          <w:jc w:val="center"/>
        </w:trPr>
        <w:tc>
          <w:tcPr>
            <w:tcW w:w="266" w:type="dxa"/>
            <w:tcBorders>
              <w:top w:val="single" w:sz="4" w:space="0" w:color="auto"/>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single" w:sz="4" w:space="0" w:color="auto"/>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2070" w:type="dxa"/>
            <w:tcBorders>
              <w:top w:val="single" w:sz="4" w:space="0" w:color="auto"/>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Adjusted Base</w:t>
            </w:r>
          </w:p>
        </w:tc>
        <w:tc>
          <w:tcPr>
            <w:tcW w:w="1440" w:type="dxa"/>
            <w:tcBorders>
              <w:top w:val="single" w:sz="4" w:space="0" w:color="auto"/>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1710" w:type="dxa"/>
            <w:tcBorders>
              <w:top w:val="single" w:sz="4" w:space="0" w:color="auto"/>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Interest</w:t>
            </w:r>
          </w:p>
        </w:tc>
        <w:tc>
          <w:tcPr>
            <w:tcW w:w="1729" w:type="dxa"/>
            <w:tcBorders>
              <w:top w:val="single" w:sz="4" w:space="0" w:color="auto"/>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Adjusted Base</w:t>
            </w:r>
          </w:p>
        </w:tc>
        <w:tc>
          <w:tcPr>
            <w:tcW w:w="300" w:type="dxa"/>
            <w:tcBorders>
              <w:top w:val="single" w:sz="4" w:space="0" w:color="auto"/>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val="300"/>
          <w:jc w:val="center"/>
        </w:trPr>
        <w:tc>
          <w:tcPr>
            <w:tcW w:w="266" w:type="dxa"/>
            <w:tcBorders>
              <w:top w:val="nil"/>
              <w:left w:val="single" w:sz="4" w:space="0" w:color="auto"/>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207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Year Per Company</w:t>
            </w:r>
          </w:p>
        </w:tc>
        <w:tc>
          <w:tcPr>
            <w:tcW w:w="144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Adjustments</w:t>
            </w:r>
          </w:p>
        </w:tc>
        <w:tc>
          <w:tcPr>
            <w:tcW w:w="171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Synchronization</w:t>
            </w:r>
          </w:p>
        </w:tc>
        <w:tc>
          <w:tcPr>
            <w:tcW w:w="1729"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Year Per Staff</w:t>
            </w:r>
          </w:p>
        </w:tc>
        <w:tc>
          <w:tcPr>
            <w:tcW w:w="300" w:type="dxa"/>
            <w:tcBorders>
              <w:top w:val="nil"/>
              <w:left w:val="nil"/>
              <w:bottom w:val="single" w:sz="4" w:space="0" w:color="auto"/>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val="300"/>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u w:val="single"/>
              </w:rPr>
            </w:pPr>
            <w:r>
              <w:rPr>
                <w:rFonts w:ascii="Calibri" w:hAnsi="Calibri"/>
                <w:color w:val="000000"/>
                <w:sz w:val="22"/>
                <w:szCs w:val="22"/>
                <w:u w:val="single"/>
              </w:rPr>
              <w:t>Rate Base</w:t>
            </w:r>
          </w:p>
        </w:tc>
        <w:tc>
          <w:tcPr>
            <w:tcW w:w="207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1729"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Plant in Service</w:t>
            </w:r>
          </w:p>
        </w:tc>
        <w:tc>
          <w:tcPr>
            <w:tcW w:w="207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348,619,750 </w:t>
            </w: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348,619,750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rsidP="005A3131">
            <w:pPr>
              <w:rPr>
                <w:rFonts w:ascii="Calibri" w:hAnsi="Calibri"/>
                <w:color w:val="000000"/>
                <w:sz w:val="22"/>
                <w:szCs w:val="22"/>
              </w:rPr>
            </w:pPr>
            <w:r>
              <w:rPr>
                <w:rFonts w:ascii="Calibri" w:hAnsi="Calibri"/>
                <w:color w:val="000000"/>
                <w:sz w:val="22"/>
                <w:szCs w:val="22"/>
              </w:rPr>
              <w:t>Accumulated Dep</w:t>
            </w:r>
            <w:r w:rsidR="005A3131">
              <w:rPr>
                <w:rFonts w:ascii="Calibri" w:hAnsi="Calibri"/>
                <w:color w:val="000000"/>
                <w:sz w:val="22"/>
                <w:szCs w:val="22"/>
              </w:rPr>
              <w:t>re</w:t>
            </w:r>
            <w:r>
              <w:rPr>
                <w:rFonts w:ascii="Calibri" w:hAnsi="Calibri"/>
                <w:color w:val="000000"/>
                <w:sz w:val="22"/>
                <w:szCs w:val="22"/>
              </w:rPr>
              <w:t>ciation</w:t>
            </w:r>
          </w:p>
        </w:tc>
        <w:tc>
          <w:tcPr>
            <w:tcW w:w="207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(167,595,854)</w:t>
            </w:r>
          </w:p>
        </w:tc>
        <w:tc>
          <w:tcPr>
            <w:tcW w:w="144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(167,595,854)</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Net Plant in Service</w:t>
            </w:r>
          </w:p>
        </w:tc>
        <w:tc>
          <w:tcPr>
            <w:tcW w:w="207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181,023,896 </w:t>
            </w: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181,023,896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Acquisition Adjustment</w:t>
            </w:r>
          </w:p>
        </w:tc>
        <w:tc>
          <w:tcPr>
            <w:tcW w:w="207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21,656,835 </w:t>
            </w: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21,656,835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roofErr w:type="spellStart"/>
            <w:r>
              <w:rPr>
                <w:rFonts w:ascii="Calibri" w:hAnsi="Calibri"/>
                <w:color w:val="000000"/>
                <w:sz w:val="22"/>
                <w:szCs w:val="22"/>
              </w:rPr>
              <w:t>Accum</w:t>
            </w:r>
            <w:proofErr w:type="spellEnd"/>
            <w:r>
              <w:rPr>
                <w:rFonts w:ascii="Calibri" w:hAnsi="Calibri"/>
                <w:color w:val="000000"/>
                <w:sz w:val="22"/>
                <w:szCs w:val="22"/>
              </w:rPr>
              <w:t>. Amort. Acquisition Adjustment</w:t>
            </w:r>
          </w:p>
        </w:tc>
        <w:tc>
          <w:tcPr>
            <w:tcW w:w="207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(8,422,103)</w:t>
            </w: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(8,422,103)</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Construction Work In Progress</w:t>
            </w:r>
          </w:p>
        </w:tc>
        <w:tc>
          <w:tcPr>
            <w:tcW w:w="207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19,729,410 </w:t>
            </w:r>
          </w:p>
        </w:tc>
        <w:tc>
          <w:tcPr>
            <w:tcW w:w="144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19,729,410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Net Utility Plant</w:t>
            </w:r>
          </w:p>
        </w:tc>
        <w:tc>
          <w:tcPr>
            <w:tcW w:w="207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213,988,038 </w:t>
            </w: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213,988,038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Working Capital Allowance</w:t>
            </w:r>
          </w:p>
        </w:tc>
        <w:tc>
          <w:tcPr>
            <w:tcW w:w="207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(4,675,360)</w:t>
            </w:r>
          </w:p>
        </w:tc>
        <w:tc>
          <w:tcPr>
            <w:tcW w:w="144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(4,675,360)</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Total Rate Base</w:t>
            </w:r>
          </w:p>
        </w:tc>
        <w:tc>
          <w:tcPr>
            <w:tcW w:w="2070" w:type="dxa"/>
            <w:tcBorders>
              <w:top w:val="nil"/>
              <w:left w:val="nil"/>
              <w:bottom w:val="double" w:sz="6"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209,312,678 </w:t>
            </w:r>
          </w:p>
        </w:tc>
        <w:tc>
          <w:tcPr>
            <w:tcW w:w="1440" w:type="dxa"/>
            <w:tcBorders>
              <w:top w:val="nil"/>
              <w:left w:val="nil"/>
              <w:bottom w:val="double" w:sz="6"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double" w:sz="6"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double" w:sz="6"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209,312,678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207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729"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207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729"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u w:val="single"/>
              </w:rPr>
            </w:pPr>
            <w:r>
              <w:rPr>
                <w:rFonts w:ascii="Calibri" w:hAnsi="Calibri"/>
                <w:color w:val="000000"/>
                <w:sz w:val="22"/>
                <w:szCs w:val="22"/>
                <w:u w:val="single"/>
              </w:rPr>
              <w:t>Income Statement</w:t>
            </w:r>
          </w:p>
        </w:tc>
        <w:tc>
          <w:tcPr>
            <w:tcW w:w="207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729"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Operating Revenue</w:t>
            </w:r>
          </w:p>
        </w:tc>
        <w:tc>
          <w:tcPr>
            <w:tcW w:w="207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50,316,465 </w:t>
            </w:r>
          </w:p>
        </w:tc>
        <w:tc>
          <w:tcPr>
            <w:tcW w:w="144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50,316,465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Operating Expenses:</w:t>
            </w:r>
          </w:p>
        </w:tc>
        <w:tc>
          <w:tcPr>
            <w:tcW w:w="207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729"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Operation &amp; Maintenance</w:t>
            </w:r>
          </w:p>
        </w:tc>
        <w:tc>
          <w:tcPr>
            <w:tcW w:w="207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20,261,429 </w:t>
            </w: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20,261,429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Depreciation &amp; Amortization</w:t>
            </w:r>
          </w:p>
        </w:tc>
        <w:tc>
          <w:tcPr>
            <w:tcW w:w="207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14,898,337 </w:t>
            </w: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14,898,337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Taxes Other Than Income</w:t>
            </w:r>
          </w:p>
        </w:tc>
        <w:tc>
          <w:tcPr>
            <w:tcW w:w="207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2,707,715 </w:t>
            </w: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2,707,715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Income Taxes - Current</w:t>
            </w:r>
          </w:p>
        </w:tc>
        <w:tc>
          <w:tcPr>
            <w:tcW w:w="2070" w:type="dxa"/>
            <w:tcBorders>
              <w:top w:val="nil"/>
              <w:left w:val="nil"/>
              <w:bottom w:val="nil"/>
              <w:right w:val="nil"/>
            </w:tcBorders>
            <w:shd w:val="clear" w:color="auto" w:fill="auto"/>
            <w:noWrap/>
            <w:vAlign w:val="bottom"/>
            <w:hideMark/>
          </w:tcPr>
          <w:p w:rsidR="004007D3" w:rsidRDefault="00013A54" w:rsidP="004007D3">
            <w:pPr>
              <w:rPr>
                <w:rFonts w:ascii="Calibri" w:hAnsi="Calibri"/>
                <w:color w:val="000000"/>
                <w:sz w:val="22"/>
                <w:szCs w:val="22"/>
              </w:rPr>
            </w:pPr>
            <w:r>
              <w:rPr>
                <w:rFonts w:ascii="Calibri" w:hAnsi="Calibri"/>
                <w:color w:val="000000"/>
                <w:sz w:val="22"/>
                <w:szCs w:val="22"/>
              </w:rPr>
              <w:t xml:space="preserve">                      </w:t>
            </w:r>
            <w:r w:rsidR="004007D3">
              <w:rPr>
                <w:rFonts w:ascii="Calibri" w:hAnsi="Calibri"/>
                <w:color w:val="000000"/>
                <w:sz w:val="22"/>
                <w:szCs w:val="22"/>
              </w:rPr>
              <w:t>413,903</w:t>
            </w:r>
          </w:p>
          <w:p w:rsidR="00013A54" w:rsidRDefault="00013A54" w:rsidP="004007D3">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nil"/>
              <w:right w:val="nil"/>
            </w:tcBorders>
            <w:shd w:val="clear" w:color="auto" w:fill="auto"/>
            <w:noWrap/>
            <w:vAlign w:val="bottom"/>
            <w:hideMark/>
          </w:tcPr>
          <w:p w:rsidR="004007D3" w:rsidRDefault="00013A54" w:rsidP="004007D3">
            <w:pPr>
              <w:rPr>
                <w:rFonts w:ascii="Calibri" w:hAnsi="Calibri"/>
                <w:color w:val="000000"/>
                <w:sz w:val="22"/>
                <w:szCs w:val="22"/>
              </w:rPr>
            </w:pPr>
            <w:r>
              <w:rPr>
                <w:rFonts w:ascii="Calibri" w:hAnsi="Calibri"/>
                <w:color w:val="000000"/>
                <w:sz w:val="22"/>
                <w:szCs w:val="22"/>
              </w:rPr>
              <w:t xml:space="preserve">              </w:t>
            </w:r>
            <w:r w:rsidR="004007D3">
              <w:rPr>
                <w:rFonts w:ascii="Calibri" w:hAnsi="Calibri"/>
                <w:color w:val="000000"/>
                <w:sz w:val="22"/>
                <w:szCs w:val="22"/>
              </w:rPr>
              <w:t>413,903</w:t>
            </w:r>
          </w:p>
          <w:p w:rsidR="00013A54" w:rsidRDefault="00013A54" w:rsidP="004007D3">
            <w:pPr>
              <w:rPr>
                <w:rFonts w:ascii="Calibri" w:hAnsi="Calibri"/>
                <w:color w:val="000000"/>
                <w:sz w:val="22"/>
                <w:szCs w:val="22"/>
              </w:rPr>
            </w:pPr>
            <w:r>
              <w:rPr>
                <w:rFonts w:ascii="Calibri" w:hAnsi="Calibri"/>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Income Taxes - Deferred</w:t>
            </w:r>
          </w:p>
        </w:tc>
        <w:tc>
          <w:tcPr>
            <w:tcW w:w="2070" w:type="dxa"/>
            <w:tcBorders>
              <w:top w:val="nil"/>
              <w:left w:val="nil"/>
              <w:bottom w:val="single" w:sz="4" w:space="0" w:color="auto"/>
              <w:right w:val="nil"/>
            </w:tcBorders>
            <w:shd w:val="clear" w:color="auto" w:fill="auto"/>
            <w:noWrap/>
            <w:vAlign w:val="bottom"/>
            <w:hideMark/>
          </w:tcPr>
          <w:p w:rsidR="009B08B4" w:rsidRDefault="00013A54" w:rsidP="009B08B4">
            <w:pPr>
              <w:rPr>
                <w:rFonts w:ascii="Calibri" w:hAnsi="Calibri"/>
                <w:color w:val="000000"/>
                <w:sz w:val="22"/>
                <w:szCs w:val="22"/>
              </w:rPr>
            </w:pPr>
            <w:r>
              <w:rPr>
                <w:rFonts w:ascii="Calibri" w:hAnsi="Calibri"/>
                <w:color w:val="000000"/>
                <w:sz w:val="22"/>
                <w:szCs w:val="22"/>
              </w:rPr>
              <w:t xml:space="preserve">                  </w:t>
            </w:r>
            <w:r w:rsidR="009B08B4">
              <w:rPr>
                <w:rFonts w:ascii="Calibri" w:hAnsi="Calibri"/>
                <w:color w:val="000000"/>
                <w:sz w:val="22"/>
                <w:szCs w:val="22"/>
              </w:rPr>
              <w:t>2,813,496</w:t>
            </w:r>
          </w:p>
          <w:p w:rsidR="00013A54" w:rsidRDefault="00013A54" w:rsidP="009B08B4">
            <w:pPr>
              <w:rPr>
                <w:rFonts w:ascii="Calibri" w:hAnsi="Calibri"/>
                <w:color w:val="000000"/>
                <w:sz w:val="22"/>
                <w:szCs w:val="22"/>
              </w:rPr>
            </w:pPr>
            <w:r>
              <w:rPr>
                <w:rFonts w:ascii="Calibri" w:hAnsi="Calibri"/>
                <w:color w:val="000000"/>
                <w:sz w:val="22"/>
                <w:szCs w:val="22"/>
              </w:rPr>
              <w:t xml:space="preserve"> </w:t>
            </w:r>
          </w:p>
        </w:tc>
        <w:tc>
          <w:tcPr>
            <w:tcW w:w="144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single" w:sz="4" w:space="0" w:color="auto"/>
              <w:right w:val="nil"/>
            </w:tcBorders>
            <w:shd w:val="clear" w:color="auto" w:fill="auto"/>
            <w:noWrap/>
            <w:vAlign w:val="bottom"/>
            <w:hideMark/>
          </w:tcPr>
          <w:p w:rsidR="009B08B4" w:rsidRDefault="00013A54" w:rsidP="009B08B4">
            <w:pPr>
              <w:rPr>
                <w:rFonts w:ascii="Calibri" w:hAnsi="Calibri"/>
                <w:color w:val="000000"/>
                <w:sz w:val="22"/>
                <w:szCs w:val="22"/>
              </w:rPr>
            </w:pPr>
            <w:r>
              <w:rPr>
                <w:rFonts w:ascii="Calibri" w:hAnsi="Calibri"/>
                <w:color w:val="000000"/>
                <w:sz w:val="22"/>
                <w:szCs w:val="22"/>
              </w:rPr>
              <w:t xml:space="preserve">          </w:t>
            </w:r>
            <w:r w:rsidR="009B08B4">
              <w:rPr>
                <w:rFonts w:ascii="Calibri" w:hAnsi="Calibri"/>
                <w:color w:val="000000"/>
                <w:sz w:val="22"/>
                <w:szCs w:val="22"/>
              </w:rPr>
              <w:t>2,813,496</w:t>
            </w:r>
          </w:p>
          <w:p w:rsidR="00013A54" w:rsidRDefault="00013A54" w:rsidP="009B08B4">
            <w:pPr>
              <w:rPr>
                <w:rFonts w:ascii="Calibri" w:hAnsi="Calibri"/>
                <w:color w:val="000000"/>
                <w:sz w:val="22"/>
                <w:szCs w:val="22"/>
              </w:rPr>
            </w:pPr>
            <w:r>
              <w:rPr>
                <w:rFonts w:ascii="Calibri" w:hAnsi="Calibri"/>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Total Operating Expenses</w:t>
            </w:r>
          </w:p>
        </w:tc>
        <w:tc>
          <w:tcPr>
            <w:tcW w:w="2070" w:type="dxa"/>
            <w:tcBorders>
              <w:top w:val="nil"/>
              <w:left w:val="nil"/>
              <w:bottom w:val="single" w:sz="4" w:space="0" w:color="auto"/>
              <w:right w:val="nil"/>
            </w:tcBorders>
            <w:shd w:val="clear" w:color="auto" w:fill="auto"/>
            <w:noWrap/>
            <w:vAlign w:val="bottom"/>
            <w:hideMark/>
          </w:tcPr>
          <w:p w:rsidR="009B08B4" w:rsidRDefault="00013A54" w:rsidP="009B08B4">
            <w:pPr>
              <w:rPr>
                <w:rFonts w:ascii="Calibri" w:hAnsi="Calibri"/>
                <w:color w:val="000000"/>
                <w:sz w:val="22"/>
                <w:szCs w:val="22"/>
              </w:rPr>
            </w:pPr>
            <w:r>
              <w:rPr>
                <w:rFonts w:ascii="Calibri" w:hAnsi="Calibri"/>
                <w:color w:val="000000"/>
                <w:sz w:val="22"/>
                <w:szCs w:val="22"/>
              </w:rPr>
              <w:t xml:space="preserve">                </w:t>
            </w:r>
            <w:r w:rsidR="009B08B4">
              <w:rPr>
                <w:rFonts w:ascii="Calibri" w:hAnsi="Calibri"/>
                <w:color w:val="000000"/>
                <w:sz w:val="22"/>
                <w:szCs w:val="22"/>
              </w:rPr>
              <w:t>41,094,881</w:t>
            </w:r>
          </w:p>
          <w:p w:rsidR="00013A54" w:rsidRDefault="00013A54" w:rsidP="009B08B4">
            <w:pPr>
              <w:rPr>
                <w:rFonts w:ascii="Calibri" w:hAnsi="Calibri"/>
                <w:color w:val="000000"/>
                <w:sz w:val="22"/>
                <w:szCs w:val="22"/>
              </w:rPr>
            </w:pPr>
            <w:r>
              <w:rPr>
                <w:rFonts w:ascii="Calibri" w:hAnsi="Calibri"/>
                <w:color w:val="000000"/>
                <w:sz w:val="22"/>
                <w:szCs w:val="22"/>
              </w:rPr>
              <w:t xml:space="preserve"> </w:t>
            </w:r>
          </w:p>
        </w:tc>
        <w:tc>
          <w:tcPr>
            <w:tcW w:w="144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single" w:sz="4" w:space="0" w:color="auto"/>
              <w:right w:val="nil"/>
            </w:tcBorders>
            <w:shd w:val="clear" w:color="auto" w:fill="auto"/>
            <w:noWrap/>
            <w:vAlign w:val="bottom"/>
            <w:hideMark/>
          </w:tcPr>
          <w:p w:rsidR="009B08B4" w:rsidRDefault="00013A54" w:rsidP="009B08B4">
            <w:pPr>
              <w:rPr>
                <w:rFonts w:ascii="Calibri" w:hAnsi="Calibri"/>
                <w:color w:val="000000"/>
                <w:sz w:val="22"/>
                <w:szCs w:val="22"/>
              </w:rPr>
            </w:pPr>
            <w:r>
              <w:rPr>
                <w:rFonts w:ascii="Calibri" w:hAnsi="Calibri"/>
                <w:color w:val="000000"/>
                <w:sz w:val="22"/>
                <w:szCs w:val="22"/>
              </w:rPr>
              <w:t xml:space="preserve">        </w:t>
            </w:r>
            <w:r w:rsidR="009B08B4">
              <w:rPr>
                <w:rFonts w:ascii="Calibri" w:hAnsi="Calibri"/>
                <w:color w:val="000000"/>
                <w:sz w:val="22"/>
                <w:szCs w:val="22"/>
              </w:rPr>
              <w:t>41,094,881</w:t>
            </w:r>
          </w:p>
          <w:p w:rsidR="00013A54" w:rsidRDefault="00013A54" w:rsidP="009B08B4">
            <w:pPr>
              <w:rPr>
                <w:rFonts w:ascii="Calibri" w:hAnsi="Calibri"/>
                <w:color w:val="000000"/>
                <w:sz w:val="22"/>
                <w:szCs w:val="22"/>
              </w:rPr>
            </w:pPr>
            <w:r>
              <w:rPr>
                <w:rFonts w:ascii="Calibri" w:hAnsi="Calibri"/>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Net Operating Income</w:t>
            </w:r>
          </w:p>
        </w:tc>
        <w:tc>
          <w:tcPr>
            <w:tcW w:w="2070" w:type="dxa"/>
            <w:tcBorders>
              <w:top w:val="nil"/>
              <w:left w:val="nil"/>
              <w:bottom w:val="double" w:sz="6" w:space="0" w:color="auto"/>
              <w:right w:val="nil"/>
            </w:tcBorders>
            <w:shd w:val="clear" w:color="auto" w:fill="auto"/>
            <w:noWrap/>
            <w:vAlign w:val="bottom"/>
            <w:hideMark/>
          </w:tcPr>
          <w:p w:rsidR="009B08B4" w:rsidRDefault="00013A54" w:rsidP="009B08B4">
            <w:pPr>
              <w:rPr>
                <w:rFonts w:ascii="Calibri" w:hAnsi="Calibri"/>
                <w:color w:val="000000"/>
                <w:sz w:val="22"/>
                <w:szCs w:val="22"/>
              </w:rPr>
            </w:pPr>
            <w:r>
              <w:rPr>
                <w:rFonts w:ascii="Calibri" w:hAnsi="Calibri"/>
                <w:color w:val="000000"/>
                <w:sz w:val="22"/>
                <w:szCs w:val="22"/>
              </w:rPr>
              <w:t xml:space="preserve">                  </w:t>
            </w:r>
            <w:r w:rsidR="009B08B4">
              <w:rPr>
                <w:rFonts w:ascii="Calibri" w:hAnsi="Calibri"/>
                <w:color w:val="000000"/>
                <w:sz w:val="22"/>
                <w:szCs w:val="22"/>
              </w:rPr>
              <w:t>9,221,584</w:t>
            </w:r>
          </w:p>
          <w:p w:rsidR="00013A54" w:rsidRDefault="00013A54" w:rsidP="009B08B4">
            <w:pPr>
              <w:rPr>
                <w:rFonts w:ascii="Calibri" w:hAnsi="Calibri"/>
                <w:color w:val="000000"/>
                <w:sz w:val="22"/>
                <w:szCs w:val="22"/>
              </w:rPr>
            </w:pPr>
            <w:r>
              <w:rPr>
                <w:rFonts w:ascii="Calibri" w:hAnsi="Calibri"/>
                <w:color w:val="000000"/>
                <w:sz w:val="22"/>
                <w:szCs w:val="22"/>
              </w:rPr>
              <w:t xml:space="preserve"> </w:t>
            </w:r>
          </w:p>
        </w:tc>
        <w:tc>
          <w:tcPr>
            <w:tcW w:w="1440" w:type="dxa"/>
            <w:tcBorders>
              <w:top w:val="nil"/>
              <w:left w:val="nil"/>
              <w:bottom w:val="double" w:sz="6"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10" w:type="dxa"/>
            <w:tcBorders>
              <w:top w:val="nil"/>
              <w:left w:val="nil"/>
              <w:bottom w:val="double" w:sz="6"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xml:space="preserve">                             -   </w:t>
            </w:r>
          </w:p>
        </w:tc>
        <w:tc>
          <w:tcPr>
            <w:tcW w:w="1729" w:type="dxa"/>
            <w:tcBorders>
              <w:top w:val="nil"/>
              <w:left w:val="nil"/>
              <w:bottom w:val="double" w:sz="6" w:space="0" w:color="auto"/>
              <w:right w:val="nil"/>
            </w:tcBorders>
            <w:shd w:val="clear" w:color="auto" w:fill="auto"/>
            <w:noWrap/>
            <w:vAlign w:val="bottom"/>
            <w:hideMark/>
          </w:tcPr>
          <w:p w:rsidR="009B08B4" w:rsidRDefault="00013A54" w:rsidP="009B08B4">
            <w:pPr>
              <w:rPr>
                <w:rFonts w:ascii="Calibri" w:hAnsi="Calibri"/>
                <w:color w:val="000000"/>
                <w:sz w:val="22"/>
                <w:szCs w:val="22"/>
              </w:rPr>
            </w:pPr>
            <w:r>
              <w:rPr>
                <w:rFonts w:ascii="Calibri" w:hAnsi="Calibri"/>
                <w:color w:val="000000"/>
                <w:sz w:val="22"/>
                <w:szCs w:val="22"/>
              </w:rPr>
              <w:t xml:space="preserve">          </w:t>
            </w:r>
            <w:r w:rsidR="009B08B4">
              <w:rPr>
                <w:rFonts w:ascii="Calibri" w:hAnsi="Calibri"/>
                <w:color w:val="000000"/>
                <w:sz w:val="22"/>
                <w:szCs w:val="22"/>
              </w:rPr>
              <w:t>9,221,584</w:t>
            </w:r>
          </w:p>
          <w:p w:rsidR="00013A54" w:rsidRDefault="00013A54" w:rsidP="009B08B4">
            <w:pPr>
              <w:rPr>
                <w:rFonts w:ascii="Calibri" w:hAnsi="Calibri"/>
                <w:color w:val="000000"/>
                <w:sz w:val="22"/>
                <w:szCs w:val="22"/>
              </w:rPr>
            </w:pPr>
            <w:r>
              <w:rPr>
                <w:rFonts w:ascii="Calibri" w:hAnsi="Calibri"/>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207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729"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Overall Rate of Return</w:t>
            </w:r>
          </w:p>
        </w:tc>
        <w:tc>
          <w:tcPr>
            <w:tcW w:w="2070" w:type="dxa"/>
            <w:tcBorders>
              <w:top w:val="nil"/>
              <w:left w:val="nil"/>
              <w:bottom w:val="double" w:sz="6" w:space="0" w:color="auto"/>
              <w:right w:val="nil"/>
            </w:tcBorders>
            <w:shd w:val="clear" w:color="auto" w:fill="auto"/>
            <w:noWrap/>
            <w:vAlign w:val="bottom"/>
            <w:hideMark/>
          </w:tcPr>
          <w:p w:rsidR="00013A54" w:rsidRDefault="009B08B4" w:rsidP="009B08B4">
            <w:pPr>
              <w:jc w:val="right"/>
              <w:rPr>
                <w:rFonts w:ascii="Calibri" w:hAnsi="Calibri"/>
                <w:color w:val="000000"/>
                <w:sz w:val="22"/>
                <w:szCs w:val="22"/>
              </w:rPr>
            </w:pPr>
            <w:r>
              <w:rPr>
                <w:rFonts w:ascii="Calibri" w:hAnsi="Calibri"/>
                <w:color w:val="000000"/>
                <w:sz w:val="22"/>
                <w:szCs w:val="22"/>
              </w:rPr>
              <w:t>4.41</w:t>
            </w:r>
            <w:r w:rsidR="00013A54">
              <w:rPr>
                <w:rFonts w:ascii="Calibri" w:hAnsi="Calibri"/>
                <w:color w:val="000000"/>
                <w:sz w:val="22"/>
                <w:szCs w:val="22"/>
              </w:rPr>
              <w:t>%</w:t>
            </w:r>
          </w:p>
        </w:tc>
        <w:tc>
          <w:tcPr>
            <w:tcW w:w="144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hideMark/>
          </w:tcPr>
          <w:p w:rsidR="00013A54" w:rsidRDefault="00013A54">
            <w:pPr>
              <w:rPr>
                <w:rFonts w:ascii="Calibri" w:hAnsi="Calibri"/>
                <w:color w:val="000000"/>
                <w:sz w:val="22"/>
                <w:szCs w:val="22"/>
              </w:rPr>
            </w:pPr>
          </w:p>
        </w:tc>
        <w:tc>
          <w:tcPr>
            <w:tcW w:w="1729" w:type="dxa"/>
            <w:tcBorders>
              <w:top w:val="nil"/>
              <w:left w:val="nil"/>
              <w:bottom w:val="double" w:sz="6" w:space="0" w:color="auto"/>
              <w:right w:val="nil"/>
            </w:tcBorders>
            <w:shd w:val="clear" w:color="auto" w:fill="auto"/>
            <w:noWrap/>
            <w:vAlign w:val="bottom"/>
            <w:hideMark/>
          </w:tcPr>
          <w:p w:rsidR="00013A54" w:rsidRDefault="009B08B4" w:rsidP="009B08B4">
            <w:pPr>
              <w:jc w:val="right"/>
              <w:rPr>
                <w:rFonts w:ascii="Calibri" w:hAnsi="Calibri"/>
                <w:color w:val="000000"/>
                <w:sz w:val="22"/>
                <w:szCs w:val="22"/>
              </w:rPr>
            </w:pPr>
            <w:r>
              <w:rPr>
                <w:rFonts w:ascii="Calibri" w:hAnsi="Calibri"/>
                <w:color w:val="000000"/>
                <w:sz w:val="22"/>
                <w:szCs w:val="22"/>
              </w:rPr>
              <w:t>4.41</w:t>
            </w:r>
            <w:r w:rsidR="00013A54">
              <w:rPr>
                <w:rFonts w:ascii="Calibri" w:hAnsi="Calibri"/>
                <w:color w:val="000000"/>
                <w:sz w:val="22"/>
                <w:szCs w:val="22"/>
              </w:rPr>
              <w:t>%</w:t>
            </w:r>
          </w:p>
        </w:tc>
        <w:tc>
          <w:tcPr>
            <w:tcW w:w="300" w:type="dxa"/>
            <w:tcBorders>
              <w:top w:val="nil"/>
              <w:left w:val="nil"/>
              <w:bottom w:val="nil"/>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r w:rsidR="00013A54" w:rsidTr="00013A54">
        <w:trPr>
          <w:trHeight w:hRule="exact" w:val="317"/>
          <w:jc w:val="center"/>
        </w:trPr>
        <w:tc>
          <w:tcPr>
            <w:tcW w:w="266" w:type="dxa"/>
            <w:tcBorders>
              <w:top w:val="nil"/>
              <w:left w:val="single" w:sz="4" w:space="0" w:color="auto"/>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204"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207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1710"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013A54" w:rsidRDefault="00013A54">
            <w:pPr>
              <w:rPr>
                <w:rFonts w:ascii="Calibri" w:hAnsi="Calibri"/>
                <w:color w:val="000000"/>
                <w:sz w:val="22"/>
                <w:szCs w:val="22"/>
              </w:rPr>
            </w:pPr>
            <w:r>
              <w:rPr>
                <w:rFonts w:ascii="Calibri" w:hAnsi="Calibri"/>
                <w:color w:val="000000"/>
                <w:sz w:val="22"/>
                <w:szCs w:val="22"/>
              </w:rPr>
              <w:t> </w:t>
            </w:r>
          </w:p>
        </w:tc>
      </w:tr>
    </w:tbl>
    <w:p w:rsidR="00734126" w:rsidRDefault="00734126" w:rsidP="00734126">
      <w:pPr>
        <w:jc w:val="both"/>
      </w:pPr>
    </w:p>
    <w:p w:rsidR="00734126" w:rsidRDefault="00734126" w:rsidP="00734126">
      <w:pPr>
        <w:pStyle w:val="RecommendationMajorSectionHeading"/>
        <w:sectPr w:rsidR="00734126" w:rsidSect="00734126">
          <w:headerReference w:type="default" r:id="rId16"/>
          <w:footerReference w:type="default" r:id="rId17"/>
          <w:headerReference w:type="first" r:id="rId18"/>
          <w:pgSz w:w="12240" w:h="15840" w:code="1"/>
          <w:pgMar w:top="1584" w:right="1440" w:bottom="1440" w:left="1440" w:header="720" w:footer="720" w:gutter="0"/>
          <w:cols w:space="720"/>
          <w:formProt w:val="0"/>
          <w:titlePg/>
          <w:docGrid w:linePitch="360"/>
        </w:sectPr>
      </w:pPr>
    </w:p>
    <w:p w:rsidR="009D38D0" w:rsidRDefault="009D38D0" w:rsidP="009D38D0"/>
    <w:p w:rsidR="00C242B6" w:rsidRDefault="00C242B6" w:rsidP="00C242B6">
      <w:pPr>
        <w:jc w:val="center"/>
      </w:pPr>
      <w:r>
        <w:t>Florida City Gas</w:t>
      </w:r>
    </w:p>
    <w:p w:rsidR="00C242B6" w:rsidRDefault="00C242B6" w:rsidP="00C242B6">
      <w:pPr>
        <w:jc w:val="center"/>
      </w:pPr>
      <w:r>
        <w:t>Docket No. 20170179-GU</w:t>
      </w:r>
    </w:p>
    <w:p w:rsidR="00C242B6" w:rsidRDefault="00C242B6" w:rsidP="00C242B6">
      <w:pPr>
        <w:jc w:val="center"/>
      </w:pPr>
      <w:r>
        <w:t>Interim Base Year</w:t>
      </w:r>
    </w:p>
    <w:p w:rsidR="00C242B6" w:rsidRDefault="00C242B6" w:rsidP="00C242B6">
      <w:pPr>
        <w:jc w:val="center"/>
      </w:pPr>
      <w:r>
        <w:t>December 31, 2016</w:t>
      </w:r>
    </w:p>
    <w:p w:rsidR="00C242B6" w:rsidRDefault="00C242B6" w:rsidP="009D38D0"/>
    <w:tbl>
      <w:tblPr>
        <w:tblW w:w="7338" w:type="dxa"/>
        <w:jc w:val="center"/>
        <w:tblLook w:val="04A0" w:firstRow="1" w:lastRow="0" w:firstColumn="1" w:lastColumn="0" w:noHBand="0" w:noVBand="1"/>
      </w:tblPr>
      <w:tblGrid>
        <w:gridCol w:w="280"/>
        <w:gridCol w:w="2300"/>
        <w:gridCol w:w="1629"/>
        <w:gridCol w:w="987"/>
        <w:gridCol w:w="960"/>
        <w:gridCol w:w="1090"/>
        <w:gridCol w:w="280"/>
      </w:tblGrid>
      <w:tr w:rsidR="009D38D0" w:rsidTr="009D38D0">
        <w:trPr>
          <w:trHeight w:val="300"/>
          <w:jc w:val="center"/>
        </w:trPr>
        <w:tc>
          <w:tcPr>
            <w:tcW w:w="280" w:type="dxa"/>
            <w:tcBorders>
              <w:top w:val="single" w:sz="4" w:space="0" w:color="auto"/>
              <w:left w:val="single" w:sz="4" w:space="0" w:color="auto"/>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2300" w:type="dxa"/>
            <w:tcBorders>
              <w:top w:val="single" w:sz="4" w:space="0" w:color="auto"/>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1629" w:type="dxa"/>
            <w:tcBorders>
              <w:top w:val="single" w:sz="4" w:space="0" w:color="auto"/>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Jurisdictional</w:t>
            </w:r>
          </w:p>
        </w:tc>
        <w:tc>
          <w:tcPr>
            <w:tcW w:w="799" w:type="dxa"/>
            <w:tcBorders>
              <w:top w:val="single" w:sz="4" w:space="0" w:color="auto"/>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1090" w:type="dxa"/>
            <w:tcBorders>
              <w:top w:val="single" w:sz="4" w:space="0" w:color="auto"/>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280" w:type="dxa"/>
            <w:tcBorders>
              <w:top w:val="single" w:sz="4" w:space="0" w:color="auto"/>
              <w:left w:val="nil"/>
              <w:bottom w:val="nil"/>
              <w:right w:val="single" w:sz="4" w:space="0" w:color="auto"/>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r>
      <w:tr w:rsidR="009D38D0" w:rsidTr="009D38D0">
        <w:trPr>
          <w:trHeight w:val="300"/>
          <w:jc w:val="center"/>
        </w:trPr>
        <w:tc>
          <w:tcPr>
            <w:tcW w:w="280" w:type="dxa"/>
            <w:tcBorders>
              <w:top w:val="nil"/>
              <w:left w:val="single" w:sz="4" w:space="0" w:color="auto"/>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p>
        </w:tc>
        <w:tc>
          <w:tcPr>
            <w:tcW w:w="1629"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Capital</w:t>
            </w:r>
          </w:p>
        </w:tc>
        <w:tc>
          <w:tcPr>
            <w:tcW w:w="799"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Cost</w:t>
            </w:r>
          </w:p>
        </w:tc>
        <w:tc>
          <w:tcPr>
            <w:tcW w:w="1090"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Weighted</w:t>
            </w:r>
          </w:p>
        </w:tc>
        <w:tc>
          <w:tcPr>
            <w:tcW w:w="280" w:type="dxa"/>
            <w:tcBorders>
              <w:top w:val="nil"/>
              <w:left w:val="nil"/>
              <w:bottom w:val="nil"/>
              <w:right w:val="single" w:sz="4" w:space="0" w:color="auto"/>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r>
      <w:tr w:rsidR="009D38D0" w:rsidTr="009D38D0">
        <w:trPr>
          <w:trHeight w:val="300"/>
          <w:jc w:val="center"/>
        </w:trPr>
        <w:tc>
          <w:tcPr>
            <w:tcW w:w="280" w:type="dxa"/>
            <w:tcBorders>
              <w:top w:val="nil"/>
              <w:left w:val="single" w:sz="4" w:space="0" w:color="auto"/>
              <w:bottom w:val="single" w:sz="4" w:space="0" w:color="auto"/>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2300" w:type="dxa"/>
            <w:tcBorders>
              <w:top w:val="nil"/>
              <w:left w:val="nil"/>
              <w:bottom w:val="single" w:sz="4" w:space="0" w:color="auto"/>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Capital Component</w:t>
            </w:r>
          </w:p>
        </w:tc>
        <w:tc>
          <w:tcPr>
            <w:tcW w:w="1629" w:type="dxa"/>
            <w:tcBorders>
              <w:top w:val="nil"/>
              <w:left w:val="nil"/>
              <w:bottom w:val="single" w:sz="4" w:space="0" w:color="auto"/>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Structure</w:t>
            </w:r>
          </w:p>
        </w:tc>
        <w:tc>
          <w:tcPr>
            <w:tcW w:w="799" w:type="dxa"/>
            <w:tcBorders>
              <w:top w:val="nil"/>
              <w:left w:val="nil"/>
              <w:bottom w:val="single" w:sz="4" w:space="0" w:color="auto"/>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Ratio</w:t>
            </w:r>
          </w:p>
        </w:tc>
        <w:tc>
          <w:tcPr>
            <w:tcW w:w="960" w:type="dxa"/>
            <w:tcBorders>
              <w:top w:val="nil"/>
              <w:left w:val="nil"/>
              <w:bottom w:val="single" w:sz="4" w:space="0" w:color="auto"/>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Rate</w:t>
            </w:r>
          </w:p>
        </w:tc>
        <w:tc>
          <w:tcPr>
            <w:tcW w:w="1090" w:type="dxa"/>
            <w:tcBorders>
              <w:top w:val="nil"/>
              <w:left w:val="nil"/>
              <w:bottom w:val="single" w:sz="4" w:space="0" w:color="auto"/>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Cost Rate</w:t>
            </w:r>
          </w:p>
        </w:tc>
        <w:tc>
          <w:tcPr>
            <w:tcW w:w="280" w:type="dxa"/>
            <w:tcBorders>
              <w:top w:val="nil"/>
              <w:left w:val="nil"/>
              <w:bottom w:val="single" w:sz="4" w:space="0" w:color="auto"/>
              <w:right w:val="single" w:sz="4" w:space="0" w:color="auto"/>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r>
      <w:tr w:rsidR="009D38D0" w:rsidTr="009D38D0">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Long Term Debt</w:t>
            </w:r>
          </w:p>
        </w:tc>
        <w:tc>
          <w:tcPr>
            <w:tcW w:w="1629"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xml:space="preserve">     $73,857,708 </w:t>
            </w:r>
          </w:p>
        </w:tc>
        <w:tc>
          <w:tcPr>
            <w:tcW w:w="799"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35.29%</w:t>
            </w:r>
          </w:p>
        </w:tc>
        <w:tc>
          <w:tcPr>
            <w:tcW w:w="960" w:type="dxa"/>
            <w:tcBorders>
              <w:top w:val="nil"/>
              <w:left w:val="nil"/>
              <w:bottom w:val="nil"/>
              <w:right w:val="nil"/>
            </w:tcBorders>
            <w:shd w:val="clear" w:color="auto" w:fill="auto"/>
            <w:noWrap/>
            <w:vAlign w:val="bottom"/>
            <w:hideMark/>
          </w:tcPr>
          <w:p w:rsidR="009D38D0" w:rsidRDefault="00B07111" w:rsidP="00B07111">
            <w:pPr>
              <w:jc w:val="right"/>
              <w:rPr>
                <w:rFonts w:ascii="Calibri" w:hAnsi="Calibri"/>
                <w:color w:val="000000"/>
                <w:sz w:val="22"/>
                <w:szCs w:val="22"/>
              </w:rPr>
            </w:pPr>
            <w:r>
              <w:rPr>
                <w:rFonts w:ascii="Calibri" w:hAnsi="Calibri"/>
                <w:color w:val="000000"/>
                <w:sz w:val="22"/>
                <w:szCs w:val="22"/>
              </w:rPr>
              <w:t>4.75</w:t>
            </w:r>
            <w:r w:rsidR="009D38D0">
              <w:rPr>
                <w:rFonts w:ascii="Calibri" w:hAnsi="Calibri"/>
                <w:color w:val="000000"/>
                <w:sz w:val="22"/>
                <w:szCs w:val="22"/>
              </w:rPr>
              <w:t>%</w:t>
            </w:r>
          </w:p>
        </w:tc>
        <w:tc>
          <w:tcPr>
            <w:tcW w:w="1090" w:type="dxa"/>
            <w:tcBorders>
              <w:top w:val="nil"/>
              <w:left w:val="nil"/>
              <w:bottom w:val="nil"/>
              <w:right w:val="nil"/>
            </w:tcBorders>
            <w:shd w:val="clear" w:color="auto" w:fill="auto"/>
            <w:noWrap/>
            <w:vAlign w:val="bottom"/>
            <w:hideMark/>
          </w:tcPr>
          <w:p w:rsidR="009D38D0" w:rsidRDefault="00B07111" w:rsidP="00B07111">
            <w:pPr>
              <w:jc w:val="right"/>
              <w:rPr>
                <w:rFonts w:ascii="Calibri" w:hAnsi="Calibri"/>
                <w:color w:val="000000"/>
                <w:sz w:val="22"/>
                <w:szCs w:val="22"/>
              </w:rPr>
            </w:pPr>
            <w:r>
              <w:rPr>
                <w:rFonts w:ascii="Calibri" w:hAnsi="Calibri"/>
                <w:color w:val="000000"/>
                <w:sz w:val="22"/>
                <w:szCs w:val="22"/>
              </w:rPr>
              <w:t>1.68</w:t>
            </w:r>
            <w:r w:rsidR="009D38D0">
              <w:rPr>
                <w:rFonts w:ascii="Calibri" w:hAnsi="Calibri"/>
                <w:color w:val="000000"/>
                <w:sz w:val="22"/>
                <w:szCs w:val="22"/>
              </w:rPr>
              <w:t>%</w:t>
            </w:r>
          </w:p>
        </w:tc>
        <w:tc>
          <w:tcPr>
            <w:tcW w:w="280" w:type="dxa"/>
            <w:tcBorders>
              <w:top w:val="nil"/>
              <w:left w:val="nil"/>
              <w:bottom w:val="nil"/>
              <w:right w:val="single" w:sz="4" w:space="0" w:color="auto"/>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r>
      <w:tr w:rsidR="009D38D0" w:rsidTr="009D38D0">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Short Term Debt</w:t>
            </w:r>
          </w:p>
        </w:tc>
        <w:tc>
          <w:tcPr>
            <w:tcW w:w="1629"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xml:space="preserve">     13,071,944 </w:t>
            </w:r>
          </w:p>
        </w:tc>
        <w:tc>
          <w:tcPr>
            <w:tcW w:w="799"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6.25%</w:t>
            </w:r>
          </w:p>
        </w:tc>
        <w:tc>
          <w:tcPr>
            <w:tcW w:w="960"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1.89%</w:t>
            </w:r>
          </w:p>
        </w:tc>
        <w:tc>
          <w:tcPr>
            <w:tcW w:w="1090"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0.12%</w:t>
            </w:r>
          </w:p>
        </w:tc>
        <w:tc>
          <w:tcPr>
            <w:tcW w:w="280" w:type="dxa"/>
            <w:tcBorders>
              <w:top w:val="nil"/>
              <w:left w:val="nil"/>
              <w:bottom w:val="nil"/>
              <w:right w:val="single" w:sz="4" w:space="0" w:color="auto"/>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r>
      <w:tr w:rsidR="009D38D0" w:rsidTr="009D38D0">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Preferred Stock</w:t>
            </w:r>
          </w:p>
        </w:tc>
        <w:tc>
          <w:tcPr>
            <w:tcW w:w="1629"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xml:space="preserve">                       -   </w:t>
            </w:r>
          </w:p>
        </w:tc>
        <w:tc>
          <w:tcPr>
            <w:tcW w:w="799"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0.00%</w:t>
            </w:r>
          </w:p>
        </w:tc>
        <w:tc>
          <w:tcPr>
            <w:tcW w:w="960"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0.00%</w:t>
            </w:r>
          </w:p>
        </w:tc>
        <w:tc>
          <w:tcPr>
            <w:tcW w:w="1090"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0.00%</w:t>
            </w:r>
          </w:p>
        </w:tc>
        <w:tc>
          <w:tcPr>
            <w:tcW w:w="280" w:type="dxa"/>
            <w:tcBorders>
              <w:top w:val="nil"/>
              <w:left w:val="nil"/>
              <w:bottom w:val="nil"/>
              <w:right w:val="single" w:sz="4" w:space="0" w:color="auto"/>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r>
      <w:tr w:rsidR="009D38D0" w:rsidTr="009D38D0">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Common Equity</w:t>
            </w:r>
          </w:p>
        </w:tc>
        <w:tc>
          <w:tcPr>
            <w:tcW w:w="1629"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xml:space="preserve">     81,589,680 </w:t>
            </w:r>
          </w:p>
        </w:tc>
        <w:tc>
          <w:tcPr>
            <w:tcW w:w="799"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38.98%</w:t>
            </w:r>
          </w:p>
        </w:tc>
        <w:tc>
          <w:tcPr>
            <w:tcW w:w="960"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10.25%</w:t>
            </w:r>
          </w:p>
        </w:tc>
        <w:tc>
          <w:tcPr>
            <w:tcW w:w="1090"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4.00%</w:t>
            </w:r>
          </w:p>
        </w:tc>
        <w:tc>
          <w:tcPr>
            <w:tcW w:w="280" w:type="dxa"/>
            <w:tcBorders>
              <w:top w:val="nil"/>
              <w:left w:val="nil"/>
              <w:bottom w:val="nil"/>
              <w:right w:val="single" w:sz="4" w:space="0" w:color="auto"/>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r>
      <w:tr w:rsidR="009D38D0" w:rsidTr="009D38D0">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Customer Deposits</w:t>
            </w:r>
          </w:p>
        </w:tc>
        <w:tc>
          <w:tcPr>
            <w:tcW w:w="1629"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xml:space="preserve">        3,901,581 </w:t>
            </w:r>
          </w:p>
        </w:tc>
        <w:tc>
          <w:tcPr>
            <w:tcW w:w="799"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1.86%</w:t>
            </w:r>
          </w:p>
        </w:tc>
        <w:tc>
          <w:tcPr>
            <w:tcW w:w="960"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2.73%</w:t>
            </w:r>
          </w:p>
        </w:tc>
        <w:tc>
          <w:tcPr>
            <w:tcW w:w="1090"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0.05%</w:t>
            </w:r>
          </w:p>
        </w:tc>
        <w:tc>
          <w:tcPr>
            <w:tcW w:w="280" w:type="dxa"/>
            <w:tcBorders>
              <w:top w:val="nil"/>
              <w:left w:val="nil"/>
              <w:bottom w:val="nil"/>
              <w:right w:val="single" w:sz="4" w:space="0" w:color="auto"/>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r>
      <w:tr w:rsidR="009D38D0" w:rsidTr="009D38D0">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Deferred Income Taxes</w:t>
            </w:r>
          </w:p>
        </w:tc>
        <w:tc>
          <w:tcPr>
            <w:tcW w:w="1629"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xml:space="preserve">     36,891,759 </w:t>
            </w:r>
          </w:p>
        </w:tc>
        <w:tc>
          <w:tcPr>
            <w:tcW w:w="799"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17.63%</w:t>
            </w:r>
          </w:p>
        </w:tc>
        <w:tc>
          <w:tcPr>
            <w:tcW w:w="960"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0.00%</w:t>
            </w:r>
          </w:p>
        </w:tc>
        <w:tc>
          <w:tcPr>
            <w:tcW w:w="1090" w:type="dxa"/>
            <w:tcBorders>
              <w:top w:val="nil"/>
              <w:left w:val="nil"/>
              <w:bottom w:val="nil"/>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0.00%</w:t>
            </w:r>
          </w:p>
        </w:tc>
        <w:tc>
          <w:tcPr>
            <w:tcW w:w="280" w:type="dxa"/>
            <w:tcBorders>
              <w:top w:val="nil"/>
              <w:left w:val="nil"/>
              <w:bottom w:val="nil"/>
              <w:right w:val="single" w:sz="4" w:space="0" w:color="auto"/>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r>
      <w:tr w:rsidR="009D38D0" w:rsidTr="009D38D0">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Investment Tax Credits</w:t>
            </w:r>
          </w:p>
        </w:tc>
        <w:tc>
          <w:tcPr>
            <w:tcW w:w="1629" w:type="dxa"/>
            <w:tcBorders>
              <w:top w:val="nil"/>
              <w:left w:val="nil"/>
              <w:bottom w:val="single" w:sz="4" w:space="0" w:color="auto"/>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xml:space="preserve">                        6 </w:t>
            </w:r>
          </w:p>
        </w:tc>
        <w:tc>
          <w:tcPr>
            <w:tcW w:w="799" w:type="dxa"/>
            <w:tcBorders>
              <w:top w:val="nil"/>
              <w:left w:val="nil"/>
              <w:bottom w:val="single" w:sz="4" w:space="0" w:color="auto"/>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0.00%</w:t>
            </w:r>
          </w:p>
        </w:tc>
        <w:tc>
          <w:tcPr>
            <w:tcW w:w="960" w:type="dxa"/>
            <w:tcBorders>
              <w:top w:val="nil"/>
              <w:left w:val="nil"/>
              <w:bottom w:val="single" w:sz="4" w:space="0" w:color="auto"/>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0.00%</w:t>
            </w:r>
          </w:p>
        </w:tc>
        <w:tc>
          <w:tcPr>
            <w:tcW w:w="1090" w:type="dxa"/>
            <w:tcBorders>
              <w:top w:val="nil"/>
              <w:left w:val="nil"/>
              <w:bottom w:val="single" w:sz="4" w:space="0" w:color="auto"/>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0.00%</w:t>
            </w:r>
          </w:p>
        </w:tc>
        <w:tc>
          <w:tcPr>
            <w:tcW w:w="280" w:type="dxa"/>
            <w:tcBorders>
              <w:top w:val="nil"/>
              <w:left w:val="nil"/>
              <w:bottom w:val="nil"/>
              <w:right w:val="single" w:sz="4" w:space="0" w:color="auto"/>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r>
      <w:tr w:rsidR="009D38D0" w:rsidTr="009D38D0">
        <w:trPr>
          <w:trHeight w:hRule="exact" w:val="317"/>
          <w:jc w:val="center"/>
        </w:trPr>
        <w:tc>
          <w:tcPr>
            <w:tcW w:w="280" w:type="dxa"/>
            <w:tcBorders>
              <w:top w:val="nil"/>
              <w:left w:val="single" w:sz="4" w:space="0" w:color="auto"/>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Total</w:t>
            </w:r>
          </w:p>
        </w:tc>
        <w:tc>
          <w:tcPr>
            <w:tcW w:w="1629" w:type="dxa"/>
            <w:tcBorders>
              <w:top w:val="nil"/>
              <w:left w:val="nil"/>
              <w:bottom w:val="double" w:sz="6" w:space="0" w:color="auto"/>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xml:space="preserve">   $209,312,678 </w:t>
            </w:r>
          </w:p>
        </w:tc>
        <w:tc>
          <w:tcPr>
            <w:tcW w:w="799" w:type="dxa"/>
            <w:tcBorders>
              <w:top w:val="nil"/>
              <w:left w:val="nil"/>
              <w:bottom w:val="double" w:sz="6" w:space="0" w:color="auto"/>
              <w:right w:val="nil"/>
            </w:tcBorders>
            <w:shd w:val="clear" w:color="auto" w:fill="auto"/>
            <w:noWrap/>
            <w:vAlign w:val="bottom"/>
            <w:hideMark/>
          </w:tcPr>
          <w:p w:rsidR="009D38D0" w:rsidRDefault="009D38D0">
            <w:pPr>
              <w:jc w:val="right"/>
              <w:rPr>
                <w:rFonts w:ascii="Calibri" w:hAnsi="Calibri"/>
                <w:color w:val="000000"/>
                <w:sz w:val="22"/>
                <w:szCs w:val="22"/>
              </w:rPr>
            </w:pPr>
            <w:r>
              <w:rPr>
                <w:rFonts w:ascii="Calibri" w:hAnsi="Calibri"/>
                <w:color w:val="000000"/>
                <w:sz w:val="22"/>
                <w:szCs w:val="22"/>
              </w:rPr>
              <w:t>100.00%</w:t>
            </w:r>
          </w:p>
        </w:tc>
        <w:tc>
          <w:tcPr>
            <w:tcW w:w="960" w:type="dxa"/>
            <w:tcBorders>
              <w:top w:val="nil"/>
              <w:left w:val="nil"/>
              <w:bottom w:val="nil"/>
              <w:right w:val="nil"/>
            </w:tcBorders>
            <w:shd w:val="clear" w:color="auto" w:fill="auto"/>
            <w:noWrap/>
            <w:vAlign w:val="bottom"/>
            <w:hideMark/>
          </w:tcPr>
          <w:p w:rsidR="009D38D0" w:rsidRDefault="009D38D0">
            <w:pPr>
              <w:rPr>
                <w:rFonts w:ascii="Calibri" w:hAnsi="Calibri"/>
                <w:color w:val="000000"/>
                <w:sz w:val="22"/>
                <w:szCs w:val="22"/>
              </w:rPr>
            </w:pPr>
          </w:p>
        </w:tc>
        <w:tc>
          <w:tcPr>
            <w:tcW w:w="1090" w:type="dxa"/>
            <w:tcBorders>
              <w:top w:val="nil"/>
              <w:left w:val="nil"/>
              <w:bottom w:val="double" w:sz="6" w:space="0" w:color="auto"/>
              <w:right w:val="nil"/>
            </w:tcBorders>
            <w:shd w:val="clear" w:color="auto" w:fill="auto"/>
            <w:noWrap/>
            <w:vAlign w:val="bottom"/>
            <w:hideMark/>
          </w:tcPr>
          <w:p w:rsidR="009D38D0" w:rsidRDefault="00B07111" w:rsidP="00B07111">
            <w:pPr>
              <w:jc w:val="right"/>
              <w:rPr>
                <w:rFonts w:ascii="Calibri" w:hAnsi="Calibri"/>
                <w:color w:val="000000"/>
                <w:sz w:val="22"/>
                <w:szCs w:val="22"/>
              </w:rPr>
            </w:pPr>
            <w:r>
              <w:rPr>
                <w:rFonts w:ascii="Calibri" w:hAnsi="Calibri"/>
                <w:color w:val="000000"/>
                <w:sz w:val="22"/>
                <w:szCs w:val="22"/>
              </w:rPr>
              <w:t>5.85</w:t>
            </w:r>
            <w:r w:rsidR="009D38D0">
              <w:rPr>
                <w:rFonts w:ascii="Calibri" w:hAnsi="Calibri"/>
                <w:color w:val="000000"/>
                <w:sz w:val="22"/>
                <w:szCs w:val="22"/>
              </w:rPr>
              <w:t>%</w:t>
            </w:r>
          </w:p>
        </w:tc>
        <w:tc>
          <w:tcPr>
            <w:tcW w:w="280" w:type="dxa"/>
            <w:tcBorders>
              <w:top w:val="nil"/>
              <w:left w:val="nil"/>
              <w:bottom w:val="nil"/>
              <w:right w:val="single" w:sz="4" w:space="0" w:color="auto"/>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r>
      <w:tr w:rsidR="009D38D0" w:rsidTr="009D38D0">
        <w:trPr>
          <w:trHeight w:hRule="exact" w:val="317"/>
          <w:jc w:val="center"/>
        </w:trPr>
        <w:tc>
          <w:tcPr>
            <w:tcW w:w="280" w:type="dxa"/>
            <w:tcBorders>
              <w:top w:val="nil"/>
              <w:left w:val="single" w:sz="4" w:space="0" w:color="auto"/>
              <w:bottom w:val="single" w:sz="4" w:space="0" w:color="auto"/>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2300" w:type="dxa"/>
            <w:tcBorders>
              <w:top w:val="nil"/>
              <w:left w:val="nil"/>
              <w:bottom w:val="single" w:sz="4" w:space="0" w:color="auto"/>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1629" w:type="dxa"/>
            <w:tcBorders>
              <w:top w:val="nil"/>
              <w:left w:val="nil"/>
              <w:bottom w:val="single" w:sz="4" w:space="0" w:color="auto"/>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799" w:type="dxa"/>
            <w:tcBorders>
              <w:top w:val="nil"/>
              <w:left w:val="nil"/>
              <w:bottom w:val="single" w:sz="4" w:space="0" w:color="auto"/>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1090" w:type="dxa"/>
            <w:tcBorders>
              <w:top w:val="nil"/>
              <w:left w:val="nil"/>
              <w:bottom w:val="single" w:sz="4" w:space="0" w:color="auto"/>
              <w:right w:val="nil"/>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c>
          <w:tcPr>
            <w:tcW w:w="280" w:type="dxa"/>
            <w:tcBorders>
              <w:top w:val="nil"/>
              <w:left w:val="nil"/>
              <w:bottom w:val="single" w:sz="4" w:space="0" w:color="auto"/>
              <w:right w:val="single" w:sz="4" w:space="0" w:color="auto"/>
            </w:tcBorders>
            <w:shd w:val="clear" w:color="auto" w:fill="auto"/>
            <w:noWrap/>
            <w:vAlign w:val="bottom"/>
            <w:hideMark/>
          </w:tcPr>
          <w:p w:rsidR="009D38D0" w:rsidRDefault="009D38D0">
            <w:pPr>
              <w:rPr>
                <w:rFonts w:ascii="Calibri" w:hAnsi="Calibri"/>
                <w:color w:val="000000"/>
                <w:sz w:val="22"/>
                <w:szCs w:val="22"/>
              </w:rPr>
            </w:pPr>
            <w:r>
              <w:rPr>
                <w:rFonts w:ascii="Calibri" w:hAnsi="Calibri"/>
                <w:color w:val="000000"/>
                <w:sz w:val="22"/>
                <w:szCs w:val="22"/>
              </w:rPr>
              <w:t> </w:t>
            </w:r>
          </w:p>
        </w:tc>
      </w:tr>
    </w:tbl>
    <w:p w:rsidR="00C55266" w:rsidRDefault="00C55266" w:rsidP="00E275D8">
      <w:pPr>
        <w:pStyle w:val="BodyText"/>
      </w:pPr>
    </w:p>
    <w:p w:rsidR="00C55266" w:rsidRDefault="00C55266">
      <w:pPr>
        <w:sectPr w:rsidR="00C55266" w:rsidSect="0068481F">
          <w:headerReference w:type="default" r:id="rId19"/>
          <w:headerReference w:type="first" r:id="rId20"/>
          <w:footerReference w:type="first" r:id="rId21"/>
          <w:pgSz w:w="12240" w:h="15840" w:code="1"/>
          <w:pgMar w:top="1584" w:right="1440" w:bottom="1440" w:left="1440" w:header="720" w:footer="720" w:gutter="0"/>
          <w:cols w:space="720"/>
          <w:formProt w:val="0"/>
          <w:docGrid w:linePitch="360"/>
        </w:sectPr>
      </w:pPr>
    </w:p>
    <w:p w:rsidR="00C55266" w:rsidRDefault="00C55266"/>
    <w:p w:rsidR="00C55266" w:rsidRDefault="00C55266"/>
    <w:p w:rsidR="00C55266" w:rsidRDefault="00EF640A">
      <w:r w:rsidRPr="00EF640A">
        <w:rPr>
          <w:noProof/>
        </w:rPr>
        <w:drawing>
          <wp:inline distT="0" distB="0" distL="0" distR="0" wp14:anchorId="13A96232" wp14:editId="6428E0B1">
            <wp:extent cx="8138160" cy="490693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38160" cy="4906930"/>
                    </a:xfrm>
                    <a:prstGeom prst="rect">
                      <a:avLst/>
                    </a:prstGeom>
                    <a:noFill/>
                    <a:ln>
                      <a:noFill/>
                    </a:ln>
                  </pic:spPr>
                </pic:pic>
              </a:graphicData>
            </a:graphic>
          </wp:inline>
        </w:drawing>
      </w:r>
    </w:p>
    <w:p w:rsidR="00C55266" w:rsidRDefault="00C55266">
      <w:pPr>
        <w:sectPr w:rsidR="00C55266" w:rsidSect="00C55266">
          <w:headerReference w:type="default" r:id="rId23"/>
          <w:pgSz w:w="15840" w:h="12240" w:orient="landscape" w:code="1"/>
          <w:pgMar w:top="1440" w:right="1584" w:bottom="1440" w:left="1440" w:header="720" w:footer="720" w:gutter="0"/>
          <w:cols w:space="720"/>
          <w:formProt w:val="0"/>
          <w:docGrid w:linePitch="360"/>
        </w:sectPr>
      </w:pPr>
    </w:p>
    <w:p w:rsidR="00E06484" w:rsidRDefault="00FF3B08" w:rsidP="00DC73BD">
      <w:r w:rsidRPr="00FF3B08">
        <w:rPr>
          <w:noProof/>
        </w:rPr>
        <w:lastRenderedPageBreak/>
        <w:drawing>
          <wp:inline distT="0" distB="0" distL="0" distR="0" wp14:anchorId="51D8326D" wp14:editId="6E136A71">
            <wp:extent cx="5943600" cy="79676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7967663"/>
                    </a:xfrm>
                    <a:prstGeom prst="rect">
                      <a:avLst/>
                    </a:prstGeom>
                    <a:noFill/>
                    <a:ln>
                      <a:noFill/>
                    </a:ln>
                  </pic:spPr>
                </pic:pic>
              </a:graphicData>
            </a:graphic>
          </wp:inline>
        </w:drawing>
      </w:r>
    </w:p>
    <w:sectPr w:rsidR="00E06484" w:rsidSect="00C55266">
      <w:headerReference w:type="default" r:id="rId2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8A" w:rsidRDefault="00647E8A">
      <w:r>
        <w:separator/>
      </w:r>
    </w:p>
  </w:endnote>
  <w:endnote w:type="continuationSeparator" w:id="0">
    <w:p w:rsidR="00647E8A" w:rsidRDefault="0064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8A" w:rsidRDefault="00647E8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B3CAF">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8A" w:rsidRDefault="00647E8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B3CAF">
      <w:rPr>
        <w:rStyle w:val="PageNumber"/>
        <w:noProof/>
      </w:rPr>
      <w:t>11</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89" w:rsidRPr="00BB01AB" w:rsidRDefault="00165289" w:rsidP="00BB01AB">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B3CAF">
      <w:rPr>
        <w:rStyle w:val="PageNumber"/>
        <w:noProof/>
      </w:rPr>
      <w:t>12</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8A" w:rsidRDefault="00647E8A" w:rsidP="0049328A">
    <w:pPr>
      <w:pStyle w:val="Footer"/>
      <w:tabs>
        <w:tab w:val="clear" w:pos="4320"/>
        <w:tab w:val="clear" w:pos="8640"/>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0B3CAF">
      <w:rPr>
        <w:rStyle w:val="PageNumber"/>
        <w:noProof/>
      </w:rPr>
      <w:t>15</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8A" w:rsidRDefault="00647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8A" w:rsidRDefault="00647E8A">
      <w:r>
        <w:separator/>
      </w:r>
    </w:p>
  </w:footnote>
  <w:footnote w:type="continuationSeparator" w:id="0">
    <w:p w:rsidR="00647E8A" w:rsidRDefault="00647E8A">
      <w:r>
        <w:continuationSeparator/>
      </w:r>
    </w:p>
  </w:footnote>
  <w:footnote w:id="1">
    <w:p w:rsidR="00647E8A" w:rsidRDefault="00647E8A">
      <w:pPr>
        <w:pStyle w:val="FootnoteText"/>
      </w:pPr>
      <w:r>
        <w:rPr>
          <w:rStyle w:val="FootnoteReference"/>
        </w:rPr>
        <w:footnoteRef/>
      </w:r>
      <w:r>
        <w:t xml:space="preserve"> </w:t>
      </w:r>
      <w:proofErr w:type="gramStart"/>
      <w:r>
        <w:t>Order No.</w:t>
      </w:r>
      <w:proofErr w:type="gramEnd"/>
      <w:r>
        <w:t xml:space="preserve"> PSC-04-0128-PAA-GU, issued February 9, 2004, in Docket No. 030569-GU,</w:t>
      </w:r>
      <w:r w:rsidRPr="00BA6578">
        <w:rPr>
          <w:i/>
        </w:rPr>
        <w:t xml:space="preserve"> In re: Application for rate increase by City Gas Company of Florida.</w:t>
      </w:r>
    </w:p>
  </w:footnote>
  <w:footnote w:id="2">
    <w:p w:rsidR="00647E8A" w:rsidRPr="00F07526" w:rsidRDefault="00647E8A" w:rsidP="00EC57CE">
      <w:pPr>
        <w:pStyle w:val="FootnoteText"/>
      </w:pPr>
      <w:r w:rsidRPr="00F07526">
        <w:rPr>
          <w:rStyle w:val="FootnoteReference"/>
        </w:rPr>
        <w:footnoteRef/>
      </w:r>
      <w:r w:rsidRPr="00F07526">
        <w:t xml:space="preserve"> </w:t>
      </w:r>
      <w:r w:rsidRPr="000C42D5">
        <w:rPr>
          <w:i/>
        </w:rPr>
        <w:t>Id</w:t>
      </w:r>
      <w:r>
        <w:t xml:space="preserve">., and </w:t>
      </w:r>
      <w:r w:rsidRPr="00A6714F">
        <w:t>PSC-07-0913-PAA-GU, issued November 13, 2007, in Docket No. 060657-GU,</w:t>
      </w:r>
      <w:r w:rsidRPr="00F07526">
        <w:t xml:space="preserve"> </w:t>
      </w:r>
      <w:r w:rsidRPr="00A6714F">
        <w:rPr>
          <w:i/>
        </w:rPr>
        <w:t>In re: Petition for approval of acquisition adjustment and recognition of regulatory asset to reflect purchase of Florida City Gas by AGL Resources, Inc.</w:t>
      </w:r>
      <w:r w:rsidRPr="00F07526">
        <w:t>, and PSC-16-0517-TRF-GU, issued November 21, 2016</w:t>
      </w:r>
      <w:r w:rsidRPr="004D075B">
        <w:t xml:space="preserve">, in Docket No. 160198-GU, </w:t>
      </w:r>
      <w:r w:rsidRPr="00A11024">
        <w:rPr>
          <w:i/>
        </w:rPr>
        <w:t>In re: Petition for approval of safety, access, and facility enhancement program (SAFE) true-up and associated cost recovery factors, by Florida City Gas.</w:t>
      </w:r>
    </w:p>
  </w:footnote>
  <w:footnote w:id="3">
    <w:p w:rsidR="00647E8A" w:rsidRPr="00F07526" w:rsidRDefault="00647E8A" w:rsidP="00734126">
      <w:pPr>
        <w:pStyle w:val="FootnoteText"/>
      </w:pPr>
      <w:r w:rsidRPr="00F07526">
        <w:rPr>
          <w:rStyle w:val="FootnoteReference"/>
        </w:rPr>
        <w:footnoteRef/>
      </w:r>
      <w:r w:rsidRPr="000C42D5">
        <w:rPr>
          <w:i/>
        </w:rPr>
        <w:t xml:space="preserve"> Id</w:t>
      </w:r>
      <w:r>
        <w:t>.</w:t>
      </w:r>
    </w:p>
  </w:footnote>
  <w:footnote w:id="4">
    <w:p w:rsidR="00647E8A" w:rsidRPr="00F07526" w:rsidRDefault="00647E8A" w:rsidP="00FE44A1">
      <w:pPr>
        <w:pStyle w:val="FootnoteText"/>
      </w:pPr>
      <w:r w:rsidRPr="00F07526">
        <w:rPr>
          <w:rStyle w:val="FootnoteReference"/>
        </w:rPr>
        <w:footnoteRef/>
      </w:r>
      <w:r w:rsidRPr="00F07526">
        <w:t xml:space="preserve"> </w:t>
      </w:r>
      <w:r w:rsidRPr="000C42D5">
        <w:rPr>
          <w:i/>
        </w:rPr>
        <w:t>Id</w:t>
      </w:r>
      <w:r>
        <w:t>.</w:t>
      </w:r>
    </w:p>
  </w:footnote>
  <w:footnote w:id="5">
    <w:p w:rsidR="00647E8A" w:rsidRDefault="00647E8A">
      <w:pPr>
        <w:pStyle w:val="FootnoteText"/>
      </w:pPr>
      <w:r>
        <w:rPr>
          <w:rStyle w:val="FootnoteReference"/>
        </w:rPr>
        <w:footnoteRef/>
      </w:r>
      <w:r>
        <w:t xml:space="preserve"> </w:t>
      </w:r>
      <w:r w:rsidRPr="00F07526">
        <w:t>PSC-16-0517-TRF-GU, issued November 21, 2016</w:t>
      </w:r>
      <w:r w:rsidRPr="004D075B">
        <w:t xml:space="preserve">, in Docket No. 160198-GU, </w:t>
      </w:r>
      <w:r w:rsidRPr="00A11024">
        <w:rPr>
          <w:i/>
        </w:rPr>
        <w:t>In re: Petition for approval of safety, access, and facility enhancement program (SAFE) true-up and associated cost recovery factors, by Florida City Gas.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8A" w:rsidRDefault="00647E8A"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20170179-GU</w:t>
    </w:r>
    <w:bookmarkEnd w:id="15"/>
  </w:p>
  <w:p w:rsidR="00647E8A" w:rsidRDefault="00647E8A">
    <w:pPr>
      <w:pStyle w:val="Header"/>
    </w:pPr>
    <w:r>
      <w:t xml:space="preserve">Date: </w:t>
    </w:r>
    <w:r w:rsidR="00342D81">
      <w:fldChar w:fldCharType="begin"/>
    </w:r>
    <w:r w:rsidR="00342D81">
      <w:instrText xml:space="preserve"> REF FilingDate </w:instrText>
    </w:r>
    <w:r w:rsidR="00342D81">
      <w:fldChar w:fldCharType="separate"/>
    </w:r>
    <w:r w:rsidR="00CE6563">
      <w:t>November 30, 2017</w:t>
    </w:r>
    <w:r w:rsidR="00342D8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8A" w:rsidRDefault="00647E8A" w:rsidP="00220732">
    <w:pPr>
      <w:pStyle w:val="Header"/>
      <w:tabs>
        <w:tab w:val="clear" w:pos="4320"/>
        <w:tab w:val="clear" w:pos="8640"/>
        <w:tab w:val="right" w:pos="9360"/>
      </w:tabs>
    </w:pPr>
    <w:r>
      <w:t>Docket No. 20170179-GU</w:t>
    </w:r>
  </w:p>
  <w:p w:rsidR="00647E8A" w:rsidRDefault="00647E8A">
    <w:pPr>
      <w:pStyle w:val="Header"/>
    </w:pPr>
    <w:r>
      <w:t xml:space="preserve">Date: </w:t>
    </w:r>
    <w:r w:rsidR="00342D81">
      <w:fldChar w:fldCharType="begin"/>
    </w:r>
    <w:r w:rsidR="00342D81">
      <w:instrText xml:space="preserve"> REF FilingDate </w:instrText>
    </w:r>
    <w:r w:rsidR="00342D81">
      <w:fldChar w:fldCharType="separate"/>
    </w:r>
    <w:r w:rsidR="00CE6563">
      <w:t>November 30, 2017</w:t>
    </w:r>
    <w:r w:rsidR="00342D8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AB" w:rsidRDefault="00BB01AB" w:rsidP="00BB01AB">
    <w:pPr>
      <w:pStyle w:val="Header"/>
      <w:tabs>
        <w:tab w:val="clear" w:pos="4320"/>
        <w:tab w:val="clear" w:pos="8640"/>
        <w:tab w:val="right" w:pos="9360"/>
      </w:tabs>
    </w:pPr>
    <w:r>
      <w:t>Docket No. 20170179-GU</w:t>
    </w:r>
  </w:p>
  <w:p w:rsidR="00BB01AB" w:rsidRDefault="00BB01AB" w:rsidP="00BB01AB">
    <w:pPr>
      <w:pStyle w:val="Header"/>
    </w:pPr>
    <w:r>
      <w:t xml:space="preserve">Date: </w:t>
    </w:r>
    <w:fldSimple w:instr=" REF FilingDate ">
      <w:r w:rsidR="00CE6563">
        <w:t>November 30, 2017</w:t>
      </w:r>
    </w:fldSimple>
  </w:p>
  <w:p w:rsidR="00BB01AB" w:rsidRDefault="00BB01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8A" w:rsidRDefault="00647E8A" w:rsidP="00220732">
    <w:pPr>
      <w:pStyle w:val="Header"/>
      <w:tabs>
        <w:tab w:val="clear" w:pos="4320"/>
        <w:tab w:val="clear" w:pos="8640"/>
        <w:tab w:val="right" w:pos="9360"/>
      </w:tabs>
    </w:pPr>
    <w:r>
      <w:t>Docket No. 20170179-GU</w:t>
    </w:r>
  </w:p>
  <w:p w:rsidR="00647E8A" w:rsidRDefault="00647E8A">
    <w:pPr>
      <w:pStyle w:val="Header"/>
    </w:pPr>
    <w:r>
      <w:t xml:space="preserve">Date: </w:t>
    </w:r>
    <w:r w:rsidR="00342D81">
      <w:fldChar w:fldCharType="begin"/>
    </w:r>
    <w:r w:rsidR="00342D81">
      <w:instrText xml:space="preserve"> REF FilingDate </w:instrText>
    </w:r>
    <w:r w:rsidR="00342D81">
      <w:fldChar w:fldCharType="separate"/>
    </w:r>
    <w:r w:rsidR="00CE6563">
      <w:t>November 30, 2017</w:t>
    </w:r>
    <w:r w:rsidR="00342D81">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8A" w:rsidRDefault="00647E8A" w:rsidP="00734126">
    <w:pPr>
      <w:pStyle w:val="Header"/>
      <w:tabs>
        <w:tab w:val="clear" w:pos="4320"/>
        <w:tab w:val="clear" w:pos="8640"/>
        <w:tab w:val="right" w:pos="9360"/>
      </w:tabs>
    </w:pPr>
    <w:r>
      <w:fldChar w:fldCharType="begin"/>
    </w:r>
    <w:r>
      <w:instrText xml:space="preserve"> REF DocketLabel</w:instrText>
    </w:r>
    <w:r>
      <w:fldChar w:fldCharType="separate"/>
    </w:r>
    <w:r w:rsidR="00CE6563">
      <w:t>Docket No.</w:t>
    </w:r>
    <w:r>
      <w:fldChar w:fldCharType="end"/>
    </w:r>
    <w:r>
      <w:t xml:space="preserve"> </w:t>
    </w:r>
    <w:r>
      <w:fldChar w:fldCharType="begin"/>
    </w:r>
    <w:r>
      <w:instrText xml:space="preserve"> REF DocketList</w:instrText>
    </w:r>
    <w:r>
      <w:fldChar w:fldCharType="separate"/>
    </w:r>
    <w:r w:rsidR="00CE6563">
      <w:t>20170179-GU</w:t>
    </w:r>
    <w:r>
      <w:fldChar w:fldCharType="end"/>
    </w:r>
    <w:r>
      <w:tab/>
      <w:t>Attachment A</w:t>
    </w:r>
  </w:p>
  <w:p w:rsidR="00647E8A" w:rsidRDefault="00647E8A">
    <w:pPr>
      <w:pStyle w:val="Header"/>
    </w:pPr>
    <w:r>
      <w:t>Date: November 21,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8A" w:rsidRDefault="00647E8A" w:rsidP="00220732">
    <w:pPr>
      <w:pStyle w:val="Header"/>
      <w:tabs>
        <w:tab w:val="clear" w:pos="4320"/>
        <w:tab w:val="clear" w:pos="8640"/>
        <w:tab w:val="right" w:pos="9360"/>
      </w:tabs>
    </w:pPr>
    <w:r>
      <w:fldChar w:fldCharType="begin"/>
    </w:r>
    <w:r>
      <w:instrText xml:space="preserve"> REF DocketLabel</w:instrText>
    </w:r>
    <w:r>
      <w:fldChar w:fldCharType="separate"/>
    </w:r>
    <w:r w:rsidR="00CE6563">
      <w:t>Docket No.</w:t>
    </w:r>
    <w:r>
      <w:fldChar w:fldCharType="end"/>
    </w:r>
    <w:r>
      <w:t xml:space="preserve"> </w:t>
    </w:r>
    <w:r>
      <w:fldChar w:fldCharType="begin"/>
    </w:r>
    <w:r>
      <w:instrText xml:space="preserve"> REF DocketList</w:instrText>
    </w:r>
    <w:r>
      <w:fldChar w:fldCharType="separate"/>
    </w:r>
    <w:r w:rsidR="00CE6563">
      <w:t>20170179-GU</w:t>
    </w:r>
    <w:r>
      <w:fldChar w:fldCharType="end"/>
    </w:r>
    <w:r>
      <w:tab/>
      <w:t>Attachment B</w:t>
    </w:r>
  </w:p>
  <w:p w:rsidR="00647E8A" w:rsidRDefault="00647E8A">
    <w:pPr>
      <w:pStyle w:val="Header"/>
    </w:pPr>
    <w:r>
      <w:t xml:space="preserve">Date: </w:t>
    </w:r>
    <w:r w:rsidR="00342D81">
      <w:fldChar w:fldCharType="begin"/>
    </w:r>
    <w:r w:rsidR="00342D81">
      <w:instrText xml:space="preserve"> REF FilingDate </w:instrText>
    </w:r>
    <w:r w:rsidR="00342D81">
      <w:fldChar w:fldCharType="separate"/>
    </w:r>
    <w:r w:rsidR="00CE6563">
      <w:t>November 30, 2017</w:t>
    </w:r>
    <w:r w:rsidR="00342D81">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8A" w:rsidRDefault="00647E8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8A" w:rsidRDefault="00647E8A" w:rsidP="0049328A">
    <w:pPr>
      <w:pStyle w:val="Header"/>
      <w:tabs>
        <w:tab w:val="clear" w:pos="4320"/>
        <w:tab w:val="clear" w:pos="8640"/>
        <w:tab w:val="right" w:pos="9360"/>
      </w:tabs>
    </w:pPr>
    <w:r>
      <w:fldChar w:fldCharType="begin"/>
    </w:r>
    <w:r>
      <w:instrText xml:space="preserve"> REF DocketLabel</w:instrText>
    </w:r>
    <w:r>
      <w:fldChar w:fldCharType="separate"/>
    </w:r>
    <w:r w:rsidR="00CE6563">
      <w:t>Docket No.</w:t>
    </w:r>
    <w:r>
      <w:fldChar w:fldCharType="end"/>
    </w:r>
    <w:r>
      <w:t xml:space="preserve"> </w:t>
    </w:r>
    <w:r>
      <w:fldChar w:fldCharType="begin"/>
    </w:r>
    <w:r>
      <w:instrText xml:space="preserve"> REF DocketList</w:instrText>
    </w:r>
    <w:r>
      <w:fldChar w:fldCharType="separate"/>
    </w:r>
    <w:r w:rsidR="00CE6563">
      <w:t>20170179-GU</w:t>
    </w:r>
    <w:r>
      <w:fldChar w:fldCharType="end"/>
    </w:r>
    <w:r>
      <w:tab/>
    </w:r>
    <w:r w:rsidR="0049328A">
      <w:tab/>
    </w:r>
    <w:r>
      <w:t>Attachment C</w:t>
    </w:r>
  </w:p>
  <w:p w:rsidR="00647E8A" w:rsidRDefault="00647E8A">
    <w:pPr>
      <w:pStyle w:val="Header"/>
    </w:pPr>
    <w:r>
      <w:t xml:space="preserve">Date: </w:t>
    </w:r>
    <w:r w:rsidR="00342D81">
      <w:fldChar w:fldCharType="begin"/>
    </w:r>
    <w:r w:rsidR="00342D81">
      <w:instrText xml:space="preserve"> REF FilingDate </w:instrText>
    </w:r>
    <w:r w:rsidR="00342D81">
      <w:fldChar w:fldCharType="separate"/>
    </w:r>
    <w:r w:rsidR="00CE6563">
      <w:t>November 30, 2017</w:t>
    </w:r>
    <w:r w:rsidR="00342D81">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8A" w:rsidRDefault="00647E8A" w:rsidP="00220732">
    <w:pPr>
      <w:pStyle w:val="Header"/>
      <w:tabs>
        <w:tab w:val="clear" w:pos="4320"/>
        <w:tab w:val="clear" w:pos="8640"/>
        <w:tab w:val="right" w:pos="9360"/>
      </w:tabs>
    </w:pPr>
    <w:r>
      <w:fldChar w:fldCharType="begin"/>
    </w:r>
    <w:r>
      <w:instrText xml:space="preserve"> REF DocketLabel</w:instrText>
    </w:r>
    <w:r>
      <w:fldChar w:fldCharType="separate"/>
    </w:r>
    <w:r w:rsidR="00CE6563">
      <w:t>Docket No.</w:t>
    </w:r>
    <w:r>
      <w:fldChar w:fldCharType="end"/>
    </w:r>
    <w:r>
      <w:t xml:space="preserve"> </w:t>
    </w:r>
    <w:r>
      <w:fldChar w:fldCharType="begin"/>
    </w:r>
    <w:r>
      <w:instrText xml:space="preserve"> REF DocketList</w:instrText>
    </w:r>
    <w:r>
      <w:fldChar w:fldCharType="separate"/>
    </w:r>
    <w:r w:rsidR="00CE6563">
      <w:t>20170179-GU</w:t>
    </w:r>
    <w:r>
      <w:fldChar w:fldCharType="end"/>
    </w:r>
    <w:r>
      <w:tab/>
      <w:t>Attachment D</w:t>
    </w:r>
  </w:p>
  <w:p w:rsidR="00647E8A" w:rsidRDefault="00647E8A">
    <w:pPr>
      <w:pStyle w:val="Header"/>
    </w:pPr>
    <w:r>
      <w:t xml:space="preserve">Date: </w:t>
    </w:r>
    <w:r w:rsidR="00342D81">
      <w:fldChar w:fldCharType="begin"/>
    </w:r>
    <w:r w:rsidR="00342D81">
      <w:instrText xml:space="preserve"> REF FilingDate </w:instrText>
    </w:r>
    <w:r w:rsidR="00342D81">
      <w:fldChar w:fldCharType="separate"/>
    </w:r>
    <w:r w:rsidR="00CE6563">
      <w:t>November 30, 2017</w:t>
    </w:r>
    <w:r w:rsidR="00342D8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DDE5825"/>
    <w:multiLevelType w:val="hybridMultilevel"/>
    <w:tmpl w:val="7D8AB680"/>
    <w:lvl w:ilvl="0" w:tplc="237A50D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73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42DAE"/>
    <w:rsid w:val="000043D5"/>
    <w:rsid w:val="00006170"/>
    <w:rsid w:val="00010E37"/>
    <w:rsid w:val="00012ED3"/>
    <w:rsid w:val="00013A54"/>
    <w:rsid w:val="000172DA"/>
    <w:rsid w:val="00023330"/>
    <w:rsid w:val="000247C5"/>
    <w:rsid w:val="000277C2"/>
    <w:rsid w:val="00035B48"/>
    <w:rsid w:val="00036CE2"/>
    <w:rsid w:val="0004039E"/>
    <w:rsid w:val="000437FE"/>
    <w:rsid w:val="00044ED3"/>
    <w:rsid w:val="000513BE"/>
    <w:rsid w:val="000645DE"/>
    <w:rsid w:val="00065A06"/>
    <w:rsid w:val="000666F3"/>
    <w:rsid w:val="00070DCB"/>
    <w:rsid w:val="00073120"/>
    <w:rsid w:val="000764D0"/>
    <w:rsid w:val="00080B9E"/>
    <w:rsid w:val="000828D3"/>
    <w:rsid w:val="00097184"/>
    <w:rsid w:val="000A0C84"/>
    <w:rsid w:val="000A2B57"/>
    <w:rsid w:val="000A418B"/>
    <w:rsid w:val="000A7CA4"/>
    <w:rsid w:val="000B3CAF"/>
    <w:rsid w:val="000B5203"/>
    <w:rsid w:val="000C42D5"/>
    <w:rsid w:val="000C4431"/>
    <w:rsid w:val="000D1C06"/>
    <w:rsid w:val="000D4319"/>
    <w:rsid w:val="000F374A"/>
    <w:rsid w:val="001076AF"/>
    <w:rsid w:val="00117C8C"/>
    <w:rsid w:val="00124E2E"/>
    <w:rsid w:val="00125ED4"/>
    <w:rsid w:val="001305E9"/>
    <w:rsid w:val="001307AF"/>
    <w:rsid w:val="00135687"/>
    <w:rsid w:val="001466D9"/>
    <w:rsid w:val="0015506E"/>
    <w:rsid w:val="00163031"/>
    <w:rsid w:val="00165289"/>
    <w:rsid w:val="001679B9"/>
    <w:rsid w:val="00171A90"/>
    <w:rsid w:val="001742F4"/>
    <w:rsid w:val="00180254"/>
    <w:rsid w:val="00185949"/>
    <w:rsid w:val="00191E1F"/>
    <w:rsid w:val="001921E5"/>
    <w:rsid w:val="00192943"/>
    <w:rsid w:val="001A06EF"/>
    <w:rsid w:val="001A7406"/>
    <w:rsid w:val="001B4FEE"/>
    <w:rsid w:val="001B51C5"/>
    <w:rsid w:val="001B6F3F"/>
    <w:rsid w:val="001B75DD"/>
    <w:rsid w:val="001C52B5"/>
    <w:rsid w:val="001D0D3E"/>
    <w:rsid w:val="001F2245"/>
    <w:rsid w:val="001F2C63"/>
    <w:rsid w:val="001F48C7"/>
    <w:rsid w:val="001F6DA1"/>
    <w:rsid w:val="002044E6"/>
    <w:rsid w:val="00205C82"/>
    <w:rsid w:val="00205DC2"/>
    <w:rsid w:val="00212B17"/>
    <w:rsid w:val="002163B6"/>
    <w:rsid w:val="002165A4"/>
    <w:rsid w:val="00220732"/>
    <w:rsid w:val="00221D32"/>
    <w:rsid w:val="00225C3F"/>
    <w:rsid w:val="002610B7"/>
    <w:rsid w:val="00263D44"/>
    <w:rsid w:val="002702AD"/>
    <w:rsid w:val="002731B3"/>
    <w:rsid w:val="00291D6B"/>
    <w:rsid w:val="00292D82"/>
    <w:rsid w:val="002963CB"/>
    <w:rsid w:val="002C7D01"/>
    <w:rsid w:val="002D226D"/>
    <w:rsid w:val="002E40EA"/>
    <w:rsid w:val="002F6030"/>
    <w:rsid w:val="003037E1"/>
    <w:rsid w:val="00307E51"/>
    <w:rsid w:val="003103EC"/>
    <w:rsid w:val="003144EF"/>
    <w:rsid w:val="00322F74"/>
    <w:rsid w:val="00340073"/>
    <w:rsid w:val="00342DAE"/>
    <w:rsid w:val="0034647F"/>
    <w:rsid w:val="003549E6"/>
    <w:rsid w:val="00357DBE"/>
    <w:rsid w:val="003632FD"/>
    <w:rsid w:val="00372805"/>
    <w:rsid w:val="00373180"/>
    <w:rsid w:val="00375AB9"/>
    <w:rsid w:val="0037792E"/>
    <w:rsid w:val="00381A38"/>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07D3"/>
    <w:rsid w:val="00402481"/>
    <w:rsid w:val="004042B4"/>
    <w:rsid w:val="004048E3"/>
    <w:rsid w:val="00410DC4"/>
    <w:rsid w:val="00412DAE"/>
    <w:rsid w:val="00431598"/>
    <w:rsid w:val="004319AD"/>
    <w:rsid w:val="0043416E"/>
    <w:rsid w:val="004351A5"/>
    <w:rsid w:val="00440C68"/>
    <w:rsid w:val="004426B8"/>
    <w:rsid w:val="00444432"/>
    <w:rsid w:val="0045767F"/>
    <w:rsid w:val="00471860"/>
    <w:rsid w:val="00477E37"/>
    <w:rsid w:val="0049328A"/>
    <w:rsid w:val="004A744D"/>
    <w:rsid w:val="004B45C8"/>
    <w:rsid w:val="004B60BD"/>
    <w:rsid w:val="004C3150"/>
    <w:rsid w:val="004C3641"/>
    <w:rsid w:val="004C4390"/>
    <w:rsid w:val="004C4AF7"/>
    <w:rsid w:val="004D075B"/>
    <w:rsid w:val="004D2881"/>
    <w:rsid w:val="004D385F"/>
    <w:rsid w:val="004D5B39"/>
    <w:rsid w:val="004E330D"/>
    <w:rsid w:val="004E5147"/>
    <w:rsid w:val="004F5C43"/>
    <w:rsid w:val="0050652D"/>
    <w:rsid w:val="00506C03"/>
    <w:rsid w:val="005104F3"/>
    <w:rsid w:val="00511A11"/>
    <w:rsid w:val="00516496"/>
    <w:rsid w:val="0052572A"/>
    <w:rsid w:val="0053100B"/>
    <w:rsid w:val="00543CB3"/>
    <w:rsid w:val="005442E4"/>
    <w:rsid w:val="00560FF0"/>
    <w:rsid w:val="005614BD"/>
    <w:rsid w:val="0056414F"/>
    <w:rsid w:val="0057154F"/>
    <w:rsid w:val="00580F69"/>
    <w:rsid w:val="00581CA3"/>
    <w:rsid w:val="00587A44"/>
    <w:rsid w:val="00597730"/>
    <w:rsid w:val="005977EC"/>
    <w:rsid w:val="00597DE7"/>
    <w:rsid w:val="005A3131"/>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47E8A"/>
    <w:rsid w:val="006554D3"/>
    <w:rsid w:val="00667036"/>
    <w:rsid w:val="00673BDB"/>
    <w:rsid w:val="00674341"/>
    <w:rsid w:val="0067483B"/>
    <w:rsid w:val="006771B8"/>
    <w:rsid w:val="006843B6"/>
    <w:rsid w:val="0068481F"/>
    <w:rsid w:val="0069121A"/>
    <w:rsid w:val="00696F5D"/>
    <w:rsid w:val="00697249"/>
    <w:rsid w:val="006A7C03"/>
    <w:rsid w:val="006A7F00"/>
    <w:rsid w:val="006B3947"/>
    <w:rsid w:val="006B4293"/>
    <w:rsid w:val="006B4F6D"/>
    <w:rsid w:val="006B624F"/>
    <w:rsid w:val="006C0C95"/>
    <w:rsid w:val="006C31E3"/>
    <w:rsid w:val="006D0B6A"/>
    <w:rsid w:val="006D18D3"/>
    <w:rsid w:val="006D1ECE"/>
    <w:rsid w:val="006E08CB"/>
    <w:rsid w:val="006E598D"/>
    <w:rsid w:val="00702CD8"/>
    <w:rsid w:val="0070437D"/>
    <w:rsid w:val="00704CF1"/>
    <w:rsid w:val="00705B04"/>
    <w:rsid w:val="007060B0"/>
    <w:rsid w:val="00724992"/>
    <w:rsid w:val="00734126"/>
    <w:rsid w:val="00734820"/>
    <w:rsid w:val="007349DC"/>
    <w:rsid w:val="00741ABE"/>
    <w:rsid w:val="0074365E"/>
    <w:rsid w:val="00744B55"/>
    <w:rsid w:val="007515FD"/>
    <w:rsid w:val="0075216B"/>
    <w:rsid w:val="00760D80"/>
    <w:rsid w:val="00780C09"/>
    <w:rsid w:val="00780DDF"/>
    <w:rsid w:val="007834E9"/>
    <w:rsid w:val="0078479F"/>
    <w:rsid w:val="00787DBC"/>
    <w:rsid w:val="0079019A"/>
    <w:rsid w:val="00792935"/>
    <w:rsid w:val="00797128"/>
    <w:rsid w:val="007A04A1"/>
    <w:rsid w:val="007A1840"/>
    <w:rsid w:val="007C0528"/>
    <w:rsid w:val="007C3D38"/>
    <w:rsid w:val="007D0F35"/>
    <w:rsid w:val="007D4FEB"/>
    <w:rsid w:val="007D6146"/>
    <w:rsid w:val="007E0CE7"/>
    <w:rsid w:val="007F1193"/>
    <w:rsid w:val="007F417F"/>
    <w:rsid w:val="008042BD"/>
    <w:rsid w:val="00813366"/>
    <w:rsid w:val="00816624"/>
    <w:rsid w:val="00822427"/>
    <w:rsid w:val="00822562"/>
    <w:rsid w:val="00823663"/>
    <w:rsid w:val="00831D4F"/>
    <w:rsid w:val="00832DDC"/>
    <w:rsid w:val="0083440C"/>
    <w:rsid w:val="00836055"/>
    <w:rsid w:val="00850028"/>
    <w:rsid w:val="00850BAC"/>
    <w:rsid w:val="00854A3E"/>
    <w:rsid w:val="00855D08"/>
    <w:rsid w:val="00856483"/>
    <w:rsid w:val="00874344"/>
    <w:rsid w:val="00874F04"/>
    <w:rsid w:val="00882155"/>
    <w:rsid w:val="0088233B"/>
    <w:rsid w:val="0088418A"/>
    <w:rsid w:val="0088599E"/>
    <w:rsid w:val="00886C37"/>
    <w:rsid w:val="00892D99"/>
    <w:rsid w:val="00893315"/>
    <w:rsid w:val="008B62AE"/>
    <w:rsid w:val="008C04B5"/>
    <w:rsid w:val="008C14FA"/>
    <w:rsid w:val="008C36DC"/>
    <w:rsid w:val="008C7B0B"/>
    <w:rsid w:val="008D4057"/>
    <w:rsid w:val="008D4F49"/>
    <w:rsid w:val="008E1F19"/>
    <w:rsid w:val="008F2262"/>
    <w:rsid w:val="008F452E"/>
    <w:rsid w:val="008F4D2B"/>
    <w:rsid w:val="008F7736"/>
    <w:rsid w:val="0090019E"/>
    <w:rsid w:val="00901086"/>
    <w:rsid w:val="00901C8A"/>
    <w:rsid w:val="00904B70"/>
    <w:rsid w:val="00905886"/>
    <w:rsid w:val="009070D6"/>
    <w:rsid w:val="009076C6"/>
    <w:rsid w:val="0091019E"/>
    <w:rsid w:val="009106F1"/>
    <w:rsid w:val="00912404"/>
    <w:rsid w:val="009145D6"/>
    <w:rsid w:val="00920E64"/>
    <w:rsid w:val="00922002"/>
    <w:rsid w:val="00924020"/>
    <w:rsid w:val="009271A7"/>
    <w:rsid w:val="00935FC5"/>
    <w:rsid w:val="0093658B"/>
    <w:rsid w:val="009429FF"/>
    <w:rsid w:val="00945BD6"/>
    <w:rsid w:val="009479FB"/>
    <w:rsid w:val="00951C45"/>
    <w:rsid w:val="009656F2"/>
    <w:rsid w:val="00966A08"/>
    <w:rsid w:val="00971207"/>
    <w:rsid w:val="00973D2F"/>
    <w:rsid w:val="009751CA"/>
    <w:rsid w:val="00975CB4"/>
    <w:rsid w:val="009810C1"/>
    <w:rsid w:val="0098422E"/>
    <w:rsid w:val="009863B0"/>
    <w:rsid w:val="00987DE1"/>
    <w:rsid w:val="00990571"/>
    <w:rsid w:val="0099673A"/>
    <w:rsid w:val="009A3330"/>
    <w:rsid w:val="009A4CC0"/>
    <w:rsid w:val="009A6EAA"/>
    <w:rsid w:val="009A7C96"/>
    <w:rsid w:val="009B08B4"/>
    <w:rsid w:val="009C3DB9"/>
    <w:rsid w:val="009D38D0"/>
    <w:rsid w:val="009D46E5"/>
    <w:rsid w:val="009D568A"/>
    <w:rsid w:val="009F04EC"/>
    <w:rsid w:val="009F2A7C"/>
    <w:rsid w:val="009F3B36"/>
    <w:rsid w:val="00A019B9"/>
    <w:rsid w:val="00A11024"/>
    <w:rsid w:val="00A12508"/>
    <w:rsid w:val="00A1282B"/>
    <w:rsid w:val="00A13A27"/>
    <w:rsid w:val="00A175B6"/>
    <w:rsid w:val="00A21835"/>
    <w:rsid w:val="00A2374B"/>
    <w:rsid w:val="00A23D85"/>
    <w:rsid w:val="00A27803"/>
    <w:rsid w:val="00A27D6E"/>
    <w:rsid w:val="00A328EC"/>
    <w:rsid w:val="00A33A51"/>
    <w:rsid w:val="00A364F1"/>
    <w:rsid w:val="00A41CA6"/>
    <w:rsid w:val="00A443F1"/>
    <w:rsid w:val="00A47927"/>
    <w:rsid w:val="00A47FFC"/>
    <w:rsid w:val="00A5442F"/>
    <w:rsid w:val="00A54FF9"/>
    <w:rsid w:val="00A56765"/>
    <w:rsid w:val="00A579BA"/>
    <w:rsid w:val="00A641F3"/>
    <w:rsid w:val="00A6714F"/>
    <w:rsid w:val="00A675AC"/>
    <w:rsid w:val="00A7581F"/>
    <w:rsid w:val="00A87749"/>
    <w:rsid w:val="00A92FB1"/>
    <w:rsid w:val="00A95A0C"/>
    <w:rsid w:val="00AA16C7"/>
    <w:rsid w:val="00AA2479"/>
    <w:rsid w:val="00AA2765"/>
    <w:rsid w:val="00AA4C05"/>
    <w:rsid w:val="00AA673E"/>
    <w:rsid w:val="00AA77B5"/>
    <w:rsid w:val="00AB6AA4"/>
    <w:rsid w:val="00AB6C5D"/>
    <w:rsid w:val="00AC08CE"/>
    <w:rsid w:val="00AC3401"/>
    <w:rsid w:val="00AC51A7"/>
    <w:rsid w:val="00AD0605"/>
    <w:rsid w:val="00AD2A91"/>
    <w:rsid w:val="00AD444B"/>
    <w:rsid w:val="00AD5BAD"/>
    <w:rsid w:val="00AD6C78"/>
    <w:rsid w:val="00AE2EAB"/>
    <w:rsid w:val="00AE7788"/>
    <w:rsid w:val="00AF46A9"/>
    <w:rsid w:val="00AF5F89"/>
    <w:rsid w:val="00AF73CB"/>
    <w:rsid w:val="00B002D6"/>
    <w:rsid w:val="00B05B51"/>
    <w:rsid w:val="00B07111"/>
    <w:rsid w:val="00B14E5A"/>
    <w:rsid w:val="00B15370"/>
    <w:rsid w:val="00B16DA4"/>
    <w:rsid w:val="00B17BEB"/>
    <w:rsid w:val="00B21343"/>
    <w:rsid w:val="00B21A3C"/>
    <w:rsid w:val="00B223C0"/>
    <w:rsid w:val="00B234ED"/>
    <w:rsid w:val="00B249B2"/>
    <w:rsid w:val="00B25CA3"/>
    <w:rsid w:val="00B2765A"/>
    <w:rsid w:val="00B516ED"/>
    <w:rsid w:val="00B57A6A"/>
    <w:rsid w:val="00B61A26"/>
    <w:rsid w:val="00B760F1"/>
    <w:rsid w:val="00B7669E"/>
    <w:rsid w:val="00B77DA1"/>
    <w:rsid w:val="00B822A0"/>
    <w:rsid w:val="00B858AE"/>
    <w:rsid w:val="00B85964"/>
    <w:rsid w:val="00B96250"/>
    <w:rsid w:val="00BA0D55"/>
    <w:rsid w:val="00BA37B3"/>
    <w:rsid w:val="00BA4CC6"/>
    <w:rsid w:val="00BA6578"/>
    <w:rsid w:val="00BB01AB"/>
    <w:rsid w:val="00BB3493"/>
    <w:rsid w:val="00BB7468"/>
    <w:rsid w:val="00BC188A"/>
    <w:rsid w:val="00BC402E"/>
    <w:rsid w:val="00BD0F48"/>
    <w:rsid w:val="00BD2D0E"/>
    <w:rsid w:val="00BE708B"/>
    <w:rsid w:val="00BF4E5F"/>
    <w:rsid w:val="00BF5010"/>
    <w:rsid w:val="00BF5B21"/>
    <w:rsid w:val="00C03D5F"/>
    <w:rsid w:val="00C070FF"/>
    <w:rsid w:val="00C078C4"/>
    <w:rsid w:val="00C13791"/>
    <w:rsid w:val="00C242B6"/>
    <w:rsid w:val="00C30D98"/>
    <w:rsid w:val="00C31BB3"/>
    <w:rsid w:val="00C36977"/>
    <w:rsid w:val="00C467DA"/>
    <w:rsid w:val="00C477D9"/>
    <w:rsid w:val="00C50B3C"/>
    <w:rsid w:val="00C52AE5"/>
    <w:rsid w:val="00C55266"/>
    <w:rsid w:val="00C60BA3"/>
    <w:rsid w:val="00C623F7"/>
    <w:rsid w:val="00C627E9"/>
    <w:rsid w:val="00C75BC5"/>
    <w:rsid w:val="00C81670"/>
    <w:rsid w:val="00C81773"/>
    <w:rsid w:val="00C82861"/>
    <w:rsid w:val="00C86896"/>
    <w:rsid w:val="00C907A8"/>
    <w:rsid w:val="00C93211"/>
    <w:rsid w:val="00C942EC"/>
    <w:rsid w:val="00C94533"/>
    <w:rsid w:val="00C96047"/>
    <w:rsid w:val="00C979D0"/>
    <w:rsid w:val="00CA0818"/>
    <w:rsid w:val="00CA15C8"/>
    <w:rsid w:val="00CA2C8F"/>
    <w:rsid w:val="00CA30DA"/>
    <w:rsid w:val="00CA3A24"/>
    <w:rsid w:val="00CB0A82"/>
    <w:rsid w:val="00CB1777"/>
    <w:rsid w:val="00CB33E9"/>
    <w:rsid w:val="00CC10A9"/>
    <w:rsid w:val="00CC1D9A"/>
    <w:rsid w:val="00CC5101"/>
    <w:rsid w:val="00CC6833"/>
    <w:rsid w:val="00CE2BF8"/>
    <w:rsid w:val="00CE484E"/>
    <w:rsid w:val="00CE6563"/>
    <w:rsid w:val="00CE656F"/>
    <w:rsid w:val="00CF0DA8"/>
    <w:rsid w:val="00CF2E25"/>
    <w:rsid w:val="00CF4453"/>
    <w:rsid w:val="00CF5D94"/>
    <w:rsid w:val="00CF7E0F"/>
    <w:rsid w:val="00D032A8"/>
    <w:rsid w:val="00D034D7"/>
    <w:rsid w:val="00D04BE4"/>
    <w:rsid w:val="00D12565"/>
    <w:rsid w:val="00D14127"/>
    <w:rsid w:val="00D5475D"/>
    <w:rsid w:val="00D60B16"/>
    <w:rsid w:val="00D60F02"/>
    <w:rsid w:val="00D66E49"/>
    <w:rsid w:val="00D70D71"/>
    <w:rsid w:val="00D72F74"/>
    <w:rsid w:val="00D81563"/>
    <w:rsid w:val="00D85907"/>
    <w:rsid w:val="00D9073E"/>
    <w:rsid w:val="00D9221D"/>
    <w:rsid w:val="00D958DF"/>
    <w:rsid w:val="00D96DA1"/>
    <w:rsid w:val="00DA51E7"/>
    <w:rsid w:val="00DB0260"/>
    <w:rsid w:val="00DB05FB"/>
    <w:rsid w:val="00DB118B"/>
    <w:rsid w:val="00DB1C78"/>
    <w:rsid w:val="00DB7D96"/>
    <w:rsid w:val="00DC23FE"/>
    <w:rsid w:val="00DC59E6"/>
    <w:rsid w:val="00DC73BD"/>
    <w:rsid w:val="00DD150B"/>
    <w:rsid w:val="00DD5025"/>
    <w:rsid w:val="00DE44D9"/>
    <w:rsid w:val="00DF1510"/>
    <w:rsid w:val="00E02F1F"/>
    <w:rsid w:val="00E06484"/>
    <w:rsid w:val="00E11B35"/>
    <w:rsid w:val="00E20A7D"/>
    <w:rsid w:val="00E275D8"/>
    <w:rsid w:val="00E30F6A"/>
    <w:rsid w:val="00E3117C"/>
    <w:rsid w:val="00E375CA"/>
    <w:rsid w:val="00E55345"/>
    <w:rsid w:val="00E567E8"/>
    <w:rsid w:val="00E64679"/>
    <w:rsid w:val="00E65EBC"/>
    <w:rsid w:val="00E677FE"/>
    <w:rsid w:val="00E73432"/>
    <w:rsid w:val="00E74F35"/>
    <w:rsid w:val="00E77B0C"/>
    <w:rsid w:val="00E77FB8"/>
    <w:rsid w:val="00E838B0"/>
    <w:rsid w:val="00E86A7C"/>
    <w:rsid w:val="00E878E1"/>
    <w:rsid w:val="00E87F2C"/>
    <w:rsid w:val="00E95278"/>
    <w:rsid w:val="00E9661F"/>
    <w:rsid w:val="00EA2273"/>
    <w:rsid w:val="00EA2A0A"/>
    <w:rsid w:val="00EB2DB3"/>
    <w:rsid w:val="00EC0846"/>
    <w:rsid w:val="00EC3FBB"/>
    <w:rsid w:val="00EC57CE"/>
    <w:rsid w:val="00EC6B7A"/>
    <w:rsid w:val="00ED3A87"/>
    <w:rsid w:val="00ED5B67"/>
    <w:rsid w:val="00ED736E"/>
    <w:rsid w:val="00EF213B"/>
    <w:rsid w:val="00EF264C"/>
    <w:rsid w:val="00EF3FEE"/>
    <w:rsid w:val="00EF640A"/>
    <w:rsid w:val="00F03706"/>
    <w:rsid w:val="00F04B59"/>
    <w:rsid w:val="00F07526"/>
    <w:rsid w:val="00F11741"/>
    <w:rsid w:val="00F12B1C"/>
    <w:rsid w:val="00F13CF8"/>
    <w:rsid w:val="00F15855"/>
    <w:rsid w:val="00F32978"/>
    <w:rsid w:val="00F34E83"/>
    <w:rsid w:val="00F45CB2"/>
    <w:rsid w:val="00F544C0"/>
    <w:rsid w:val="00F55332"/>
    <w:rsid w:val="00F6504A"/>
    <w:rsid w:val="00F65519"/>
    <w:rsid w:val="00F70BFB"/>
    <w:rsid w:val="00F713C0"/>
    <w:rsid w:val="00F72D3B"/>
    <w:rsid w:val="00F75DDC"/>
    <w:rsid w:val="00F7792F"/>
    <w:rsid w:val="00F816C7"/>
    <w:rsid w:val="00F842AA"/>
    <w:rsid w:val="00F8476F"/>
    <w:rsid w:val="00F853E1"/>
    <w:rsid w:val="00F85604"/>
    <w:rsid w:val="00F86C84"/>
    <w:rsid w:val="00F94B7A"/>
    <w:rsid w:val="00F95EE2"/>
    <w:rsid w:val="00FA17AC"/>
    <w:rsid w:val="00FA32DE"/>
    <w:rsid w:val="00FA3382"/>
    <w:rsid w:val="00FA5533"/>
    <w:rsid w:val="00FA59CD"/>
    <w:rsid w:val="00FB1740"/>
    <w:rsid w:val="00FC5469"/>
    <w:rsid w:val="00FC6D7D"/>
    <w:rsid w:val="00FD16B0"/>
    <w:rsid w:val="00FD4FED"/>
    <w:rsid w:val="00FE0577"/>
    <w:rsid w:val="00FE44A1"/>
    <w:rsid w:val="00FE59EC"/>
    <w:rsid w:val="00FE5B67"/>
    <w:rsid w:val="00FE60D6"/>
    <w:rsid w:val="00F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35FC5"/>
    <w:rPr>
      <w:vertAlign w:val="superscript"/>
    </w:rPr>
  </w:style>
  <w:style w:type="paragraph" w:styleId="Revision">
    <w:name w:val="Revision"/>
    <w:hidden/>
    <w:uiPriority w:val="99"/>
    <w:semiHidden/>
    <w:rsid w:val="00874F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35FC5"/>
    <w:rPr>
      <w:vertAlign w:val="superscript"/>
    </w:rPr>
  </w:style>
  <w:style w:type="paragraph" w:styleId="Revision">
    <w:name w:val="Revision"/>
    <w:hidden/>
    <w:uiPriority w:val="99"/>
    <w:semiHidden/>
    <w:rsid w:val="00874F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4405">
      <w:bodyDiv w:val="1"/>
      <w:marLeft w:val="0"/>
      <w:marRight w:val="0"/>
      <w:marTop w:val="0"/>
      <w:marBottom w:val="0"/>
      <w:divBdr>
        <w:top w:val="none" w:sz="0" w:space="0" w:color="auto"/>
        <w:left w:val="none" w:sz="0" w:space="0" w:color="auto"/>
        <w:bottom w:val="none" w:sz="0" w:space="0" w:color="auto"/>
        <w:right w:val="none" w:sz="0" w:space="0" w:color="auto"/>
      </w:divBdr>
    </w:div>
    <w:div w:id="364260940">
      <w:bodyDiv w:val="1"/>
      <w:marLeft w:val="0"/>
      <w:marRight w:val="0"/>
      <w:marTop w:val="0"/>
      <w:marBottom w:val="0"/>
      <w:divBdr>
        <w:top w:val="none" w:sz="0" w:space="0" w:color="auto"/>
        <w:left w:val="none" w:sz="0" w:space="0" w:color="auto"/>
        <w:bottom w:val="none" w:sz="0" w:space="0" w:color="auto"/>
        <w:right w:val="none" w:sz="0" w:space="0" w:color="auto"/>
      </w:divBdr>
    </w:div>
    <w:div w:id="413430225">
      <w:bodyDiv w:val="1"/>
      <w:marLeft w:val="0"/>
      <w:marRight w:val="0"/>
      <w:marTop w:val="0"/>
      <w:marBottom w:val="0"/>
      <w:divBdr>
        <w:top w:val="none" w:sz="0" w:space="0" w:color="auto"/>
        <w:left w:val="none" w:sz="0" w:space="0" w:color="auto"/>
        <w:bottom w:val="none" w:sz="0" w:space="0" w:color="auto"/>
        <w:right w:val="none" w:sz="0" w:space="0" w:color="auto"/>
      </w:divBdr>
    </w:div>
    <w:div w:id="453136663">
      <w:bodyDiv w:val="1"/>
      <w:marLeft w:val="0"/>
      <w:marRight w:val="0"/>
      <w:marTop w:val="0"/>
      <w:marBottom w:val="0"/>
      <w:divBdr>
        <w:top w:val="none" w:sz="0" w:space="0" w:color="auto"/>
        <w:left w:val="none" w:sz="0" w:space="0" w:color="auto"/>
        <w:bottom w:val="none" w:sz="0" w:space="0" w:color="auto"/>
        <w:right w:val="none" w:sz="0" w:space="0" w:color="auto"/>
      </w:divBdr>
    </w:div>
    <w:div w:id="739406590">
      <w:bodyDiv w:val="1"/>
      <w:marLeft w:val="0"/>
      <w:marRight w:val="0"/>
      <w:marTop w:val="0"/>
      <w:marBottom w:val="0"/>
      <w:divBdr>
        <w:top w:val="none" w:sz="0" w:space="0" w:color="auto"/>
        <w:left w:val="none" w:sz="0" w:space="0" w:color="auto"/>
        <w:bottom w:val="none" w:sz="0" w:space="0" w:color="auto"/>
        <w:right w:val="none" w:sz="0" w:space="0" w:color="auto"/>
      </w:divBdr>
    </w:div>
    <w:div w:id="1309673944">
      <w:bodyDiv w:val="1"/>
      <w:marLeft w:val="0"/>
      <w:marRight w:val="0"/>
      <w:marTop w:val="0"/>
      <w:marBottom w:val="0"/>
      <w:divBdr>
        <w:top w:val="none" w:sz="0" w:space="0" w:color="auto"/>
        <w:left w:val="none" w:sz="0" w:space="0" w:color="auto"/>
        <w:bottom w:val="none" w:sz="0" w:space="0" w:color="auto"/>
        <w:right w:val="none" w:sz="0" w:space="0" w:color="auto"/>
      </w:divBdr>
    </w:div>
    <w:div w:id="21193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C25A-15D9-4F97-B337-390C8940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15</Pages>
  <Words>2646</Words>
  <Characters>17533</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2017-11-30T15:34:00Z</cp:lastPrinted>
  <dcterms:created xsi:type="dcterms:W3CDTF">2017-11-30T15:46:00Z</dcterms:created>
  <dcterms:modified xsi:type="dcterms:W3CDTF">2017-11-30T15:46:00Z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20170179-GU</vt:lpwstr>
  </property>
  <property fmtid="{D5CDD505-2E9C-101B-9397-08002B2CF9AE}" pid="3" name="MasterDocument">
    <vt:bool>false</vt:bool>
  </property>
</Properties>
</file>