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532DFB">
            <w:pPr>
              <w:pStyle w:val="MastHeadState"/>
            </w:pPr>
            <w:bookmarkStart w:id="0" w:name="_GoBack"/>
            <w:bookmarkEnd w:id="0"/>
            <w:r>
              <w:t>State of Florida</w:t>
            </w:r>
          </w:p>
          <w:p w:rsidR="007C0528" w:rsidRDefault="00072CCA">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6573F1" w:rsidP="006573F1">
            <w:pPr>
              <w:pStyle w:val="MemoHeading"/>
            </w:pPr>
            <w:bookmarkStart w:id="1" w:name="FilingDate"/>
            <w:r>
              <w:t>November 23, 2021</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4E69B5">
              <w:t>Teitzman</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6573F1" w:rsidRDefault="006573F1">
            <w:pPr>
              <w:pStyle w:val="MemoHeading"/>
            </w:pPr>
            <w:bookmarkStart w:id="2" w:name="From"/>
            <w:r>
              <w:t>Division of Accounting and Finance (Higgins)</w:t>
            </w:r>
          </w:p>
          <w:p w:rsidR="006573F1" w:rsidRDefault="006573F1">
            <w:pPr>
              <w:pStyle w:val="MemoHeading"/>
            </w:pPr>
            <w:r>
              <w:t>Division of Economics (</w:t>
            </w:r>
            <w:r w:rsidR="0040693F">
              <w:t>Coston</w:t>
            </w:r>
            <w:r>
              <w:t>)</w:t>
            </w:r>
          </w:p>
          <w:p w:rsidR="007C0528" w:rsidRDefault="006573F1">
            <w:pPr>
              <w:pStyle w:val="MemoHeading"/>
            </w:pPr>
            <w:r>
              <w:t>Office of the General Counsel (Brownless</w:t>
            </w:r>
            <w:r w:rsidR="001873F7">
              <w:t>, Osborn</w:t>
            </w:r>
            <w:r>
              <w:t>)</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6573F1">
            <w:pPr>
              <w:pStyle w:val="MemoHeadingRe"/>
            </w:pPr>
            <w:bookmarkStart w:id="3" w:name="Re"/>
            <w:r>
              <w:t>Docket No. 20210001-EI – Fuel and purchased power cost recovery clause with generating performance incentive factor.</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6573F1" w:rsidP="006573F1">
            <w:pPr>
              <w:pStyle w:val="MemoHeading"/>
            </w:pPr>
            <w:bookmarkStart w:id="4" w:name="AgendaDate"/>
            <w:r>
              <w:t>12/07/21</w:t>
            </w:r>
            <w:bookmarkEnd w:id="4"/>
            <w:r w:rsidR="007C0528">
              <w:t xml:space="preserve"> – </w:t>
            </w:r>
            <w:bookmarkStart w:id="5" w:name="PermittedStatus"/>
            <w:r>
              <w:t>Regular Agenda – 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6573F1">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6573F1">
            <w:pPr>
              <w:pStyle w:val="MemoHeading"/>
            </w:pPr>
            <w:bookmarkStart w:id="7" w:name="PrehearingOfficer"/>
            <w:r>
              <w:t>Fay</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6573F1">
            <w:pPr>
              <w:pStyle w:val="MemoHeading"/>
            </w:pPr>
            <w:bookmarkStart w:id="9" w:name="CriticalDates"/>
            <w:r>
              <w:t>None</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Pr="00B9231E" w:rsidRDefault="0039520B">
            <w:pPr>
              <w:pStyle w:val="MemoHeading"/>
            </w:pPr>
            <w:r w:rsidRPr="00B9231E">
              <w:t>Recommendation A – Florida Power &amp; Light Company.</w:t>
            </w:r>
          </w:p>
        </w:tc>
      </w:tr>
    </w:tbl>
    <w:p w:rsidR="007C0528" w:rsidRDefault="007C0528">
      <w:pPr>
        <w:pStyle w:val="BodyText"/>
      </w:pPr>
    </w:p>
    <w:p w:rsidR="007C0528" w:rsidRDefault="007C0528">
      <w:pPr>
        <w:pStyle w:val="RecommendationMajorSectionHeading"/>
      </w:pPr>
      <w:bookmarkStart w:id="10" w:name="RecToC"/>
      <w:bookmarkEnd w:id="10"/>
      <w:r>
        <w:t xml:space="preserve"> </w:t>
      </w:r>
      <w:bookmarkStart w:id="11" w:name="CaseBackground"/>
      <w:r>
        <w:t>Case Background</w:t>
      </w:r>
      <w:r>
        <w:fldChar w:fldCharType="begin"/>
      </w:r>
      <w:r>
        <w:instrText xml:space="preserve"> TC  "</w:instrText>
      </w:r>
      <w:r>
        <w:tab/>
      </w:r>
      <w:bookmarkStart w:id="12" w:name="_Toc94516455"/>
      <w:r>
        <w:instrText>Case Background</w:instrText>
      </w:r>
      <w:bookmarkEnd w:id="12"/>
      <w:r>
        <w:instrText xml:space="preserve">" \l 1 </w:instrText>
      </w:r>
      <w:r>
        <w:fldChar w:fldCharType="end"/>
      </w:r>
    </w:p>
    <w:p w:rsidR="00606797" w:rsidRDefault="006573F1" w:rsidP="006573F1">
      <w:pPr>
        <w:pStyle w:val="BodyText"/>
      </w:pPr>
      <w:r w:rsidRPr="00560959">
        <w:t>On November 9, 2</w:t>
      </w:r>
      <w:r>
        <w:t>021, Florida Power &amp; Light Company (FPL or Company), filed for a mid-course correction (MCC Petit</w:t>
      </w:r>
      <w:r w:rsidRPr="003176DE">
        <w:t>ion) of its 2022 fuel cost recovery factors. FPL’s current</w:t>
      </w:r>
      <w:r w:rsidR="004C0023" w:rsidRPr="003176DE">
        <w:t>ly-effective</w:t>
      </w:r>
      <w:r w:rsidRPr="003176DE">
        <w:t xml:space="preserve"> </w:t>
      </w:r>
      <w:r w:rsidR="003176DE">
        <w:t xml:space="preserve">2021 </w:t>
      </w:r>
      <w:r w:rsidRPr="003176DE">
        <w:t xml:space="preserve">fuel factors were approved at the </w:t>
      </w:r>
      <w:r w:rsidR="004C0023" w:rsidRPr="003176DE">
        <w:t>A</w:t>
      </w:r>
      <w:r w:rsidR="003176DE" w:rsidRPr="003176DE">
        <w:t>pril 1, 2021</w:t>
      </w:r>
      <w:r w:rsidR="007A0750">
        <w:t>,</w:t>
      </w:r>
      <w:r w:rsidRPr="003176DE">
        <w:t xml:space="preserve"> Commission Conference,</w:t>
      </w:r>
      <w:r w:rsidR="00693529">
        <w:t xml:space="preserve"> and its factors effective </w:t>
      </w:r>
      <w:r>
        <w:t>January 2022 were approved at the Novemb</w:t>
      </w:r>
      <w:r w:rsidR="00AC2751">
        <w:t>er 2, 2021 Commission Hearing</w:t>
      </w:r>
      <w:r>
        <w:t>.</w:t>
      </w:r>
      <w:r w:rsidR="003176DE">
        <w:rPr>
          <w:rStyle w:val="FootnoteReference"/>
        </w:rPr>
        <w:footnoteReference w:id="1"/>
      </w:r>
      <w:r>
        <w:t xml:space="preserve">  </w:t>
      </w:r>
    </w:p>
    <w:p w:rsidR="00D83D33" w:rsidRDefault="006573F1" w:rsidP="006573F1">
      <w:pPr>
        <w:pStyle w:val="BodyText"/>
      </w:pPr>
      <w:r>
        <w:t xml:space="preserve">Underlying the approval of FPL’s 2022 factors was the Florida Public Service Commission’s (Commission) review of the Company’s projected 2022 fuel- and capacity-related service costs. These service costs are recovered through the fuel and capacity cost recovery factors that are set/reset annually in this docket. These cost recovery factors are usually effective for a period of </w:t>
      </w:r>
      <w:r>
        <w:lastRenderedPageBreak/>
        <w:t xml:space="preserve">12 months. However, the Commission requires that if an investor-owned electric utility’s fuel or capacity cost recovery position is projected to exceed a specified range within the standard 12-month timeframe, the utility shall promptly notify the Commission by letter delivered to the Commission Clerk. </w:t>
      </w:r>
      <w:r w:rsidR="00D83D33">
        <w:t>In the</w:t>
      </w:r>
      <w:r w:rsidR="003176DE">
        <w:t xml:space="preserve"> instan</w:t>
      </w:r>
      <w:r w:rsidR="00D83D33">
        <w:t>t case</w:t>
      </w:r>
      <w:r w:rsidR="00C814B8">
        <w:t xml:space="preserve">, </w:t>
      </w:r>
      <w:r w:rsidR="00606797">
        <w:t xml:space="preserve">under Rule 25-6.0424, Florida Administrative Code (F.A.C.), </w:t>
      </w:r>
      <w:r w:rsidR="00C814B8">
        <w:t xml:space="preserve">FPL </w:t>
      </w:r>
      <w:r w:rsidR="003176DE">
        <w:t>is seeking</w:t>
      </w:r>
      <w:r w:rsidR="00606797">
        <w:t xml:space="preserve"> </w:t>
      </w:r>
      <w:r w:rsidR="003176DE">
        <w:t>to modify fuel cost recovery factors that</w:t>
      </w:r>
      <w:r w:rsidR="00C814B8">
        <w:t xml:space="preserve"> were</w:t>
      </w:r>
      <w:r w:rsidR="00D83D33">
        <w:t xml:space="preserve"> approved</w:t>
      </w:r>
      <w:r w:rsidR="00C814B8">
        <w:t xml:space="preserve"> on November 2</w:t>
      </w:r>
      <w:r w:rsidR="00C814B8" w:rsidRPr="00C814B8">
        <w:rPr>
          <w:vertAlign w:val="superscript"/>
        </w:rPr>
        <w:t>nd</w:t>
      </w:r>
      <w:r w:rsidR="00C814B8">
        <w:t>, but</w:t>
      </w:r>
      <w:r w:rsidR="003176DE">
        <w:t xml:space="preserve"> have yet to be charged to customers.</w:t>
      </w:r>
      <w:r w:rsidR="00CD12F3">
        <w:t xml:space="preserve"> Thus, at this point in time, it is contemplated that if approved, the proposed fuel factors </w:t>
      </w:r>
      <w:r w:rsidR="00C814B8">
        <w:t>addressed in this recommendation</w:t>
      </w:r>
      <w:r w:rsidR="00CD12F3">
        <w:t xml:space="preserve"> will be applied for an entire 12-month period.</w:t>
      </w:r>
      <w:r w:rsidR="0007016D">
        <w:t xml:space="preserve">  </w:t>
      </w:r>
    </w:p>
    <w:p w:rsidR="006573F1" w:rsidRPr="00D83D33" w:rsidRDefault="006573F1" w:rsidP="00D83D33">
      <w:pPr>
        <w:pStyle w:val="BodyText"/>
        <w:spacing w:after="0"/>
        <w:rPr>
          <w:rFonts w:ascii="Arial" w:hAnsi="Arial" w:cs="Arial"/>
          <w:b/>
          <w:i/>
        </w:rPr>
      </w:pPr>
      <w:r w:rsidRPr="00D83D33">
        <w:rPr>
          <w:rFonts w:ascii="Arial" w:hAnsi="Arial" w:cs="Arial"/>
          <w:b/>
          <w:i/>
        </w:rPr>
        <w:t>Mid-Course Correction</w:t>
      </w:r>
      <w:r w:rsidR="00606797">
        <w:rPr>
          <w:rFonts w:ascii="Arial" w:hAnsi="Arial" w:cs="Arial"/>
          <w:b/>
          <w:i/>
        </w:rPr>
        <w:t>s</w:t>
      </w:r>
    </w:p>
    <w:p w:rsidR="00D83D33" w:rsidRDefault="00D83D33" w:rsidP="00D83D33">
      <w:pPr>
        <w:pStyle w:val="BodyText"/>
      </w:pPr>
      <w:r>
        <w:t xml:space="preserve">Mid-course corrections are </w:t>
      </w:r>
      <w:r w:rsidR="006573F1">
        <w:t>used by t</w:t>
      </w:r>
      <w:r>
        <w:t xml:space="preserve">he Commission between annual </w:t>
      </w:r>
      <w:r w:rsidR="006573F1">
        <w:t>clause hearings whenever costs deviate from revenue by a significant margin. Under Rule 25-6.0424, F.A.C.,</w:t>
      </w:r>
      <w:r w:rsidR="00606797">
        <w:t xml:space="preserve"> which is commonly referred to as the Commission’s “mid-course correction rule,”</w:t>
      </w:r>
      <w:r w:rsidR="006573F1">
        <w:t xml:space="preserve"> a utility must notify the Commission whenever it expects to experience an under- or over-recovery of </w:t>
      </w:r>
      <w:r w:rsidR="00D76019">
        <w:t xml:space="preserve">certain </w:t>
      </w:r>
      <w:r>
        <w:t xml:space="preserve">service costs </w:t>
      </w:r>
      <w:r w:rsidR="006573F1">
        <w:t>greater than 10 percent.</w:t>
      </w:r>
      <w:r w:rsidRPr="00D83D33">
        <w:t xml:space="preserve"> </w:t>
      </w:r>
      <w:r>
        <w:t>The notification of a 10 percent cost-to-revenue variance shall include a petition for mid-course correction to the fuel cost recovery or capacity cost recovery factors, or shall include an explanation of why a mid-course correction is not practical. The Commission’s mid-course correction rule and its codified procedures</w:t>
      </w:r>
      <w:r w:rsidR="00D76019">
        <w:t xml:space="preserve"> </w:t>
      </w:r>
      <w:r w:rsidR="00002D39">
        <w:t>are further discussed later in</w:t>
      </w:r>
      <w:r w:rsidR="00D76019">
        <w:t xml:space="preserve"> this recommendation</w:t>
      </w:r>
      <w:r>
        <w:t>.</w:t>
      </w:r>
    </w:p>
    <w:p w:rsidR="00D76019" w:rsidRPr="00D76019" w:rsidRDefault="00D76019" w:rsidP="00D76019">
      <w:pPr>
        <w:pStyle w:val="BodyText"/>
        <w:spacing w:after="0"/>
        <w:rPr>
          <w:rFonts w:ascii="Arial" w:hAnsi="Arial" w:cs="Arial"/>
          <w:b/>
          <w:i/>
        </w:rPr>
      </w:pPr>
      <w:r w:rsidRPr="00D76019">
        <w:rPr>
          <w:rFonts w:ascii="Arial" w:hAnsi="Arial" w:cs="Arial"/>
          <w:b/>
          <w:i/>
        </w:rPr>
        <w:t>FPL</w:t>
      </w:r>
      <w:r>
        <w:rPr>
          <w:rFonts w:ascii="Arial" w:hAnsi="Arial" w:cs="Arial"/>
          <w:b/>
          <w:i/>
        </w:rPr>
        <w:t>’s</w:t>
      </w:r>
      <w:r w:rsidRPr="00D76019">
        <w:rPr>
          <w:rFonts w:ascii="Arial" w:hAnsi="Arial" w:cs="Arial"/>
          <w:b/>
          <w:i/>
        </w:rPr>
        <w:t xml:space="preserve"> Petition for Mid-Course Correction</w:t>
      </w:r>
    </w:p>
    <w:p w:rsidR="00314687" w:rsidRDefault="006573F1" w:rsidP="006573F1">
      <w:pPr>
        <w:pStyle w:val="BodyText"/>
      </w:pPr>
      <w:r>
        <w:t xml:space="preserve">On November 9, 2021, FPL filed its MCC Petition and supporting documentation proposing a mid-course </w:t>
      </w:r>
      <w:r w:rsidR="00697818">
        <w:t>correction of its fuel charges.</w:t>
      </w:r>
      <w:r w:rsidR="00321DF3">
        <w:rPr>
          <w:rStyle w:val="FootnoteReference"/>
        </w:rPr>
        <w:footnoteReference w:id="2"/>
      </w:r>
      <w:r w:rsidR="004C0023">
        <w:t xml:space="preserve"> </w:t>
      </w:r>
      <w:r w:rsidR="00DD5B0B">
        <w:t xml:space="preserve">Staff notes that for the </w:t>
      </w:r>
      <w:r w:rsidR="00493CB9">
        <w:t>purposes of this recommendation and</w:t>
      </w:r>
      <w:r w:rsidR="00DD5B0B">
        <w:t xml:space="preserve"> unless otherwise not</w:t>
      </w:r>
      <w:r w:rsidR="00493CB9">
        <w:t>ed, all figures are</w:t>
      </w:r>
      <w:r w:rsidR="00DD5B0B">
        <w:t xml:space="preserve"> based on combined</w:t>
      </w:r>
      <w:r w:rsidR="00964A1A">
        <w:t>/merged</w:t>
      </w:r>
      <w:r w:rsidR="00DD5B0B">
        <w:t xml:space="preserve"> FPL and (former) Gulf Power Company data, but singularly referred to as “FPL.” </w:t>
      </w:r>
    </w:p>
    <w:p w:rsidR="006934E3" w:rsidRDefault="006573F1" w:rsidP="006573F1">
      <w:pPr>
        <w:pStyle w:val="BodyText"/>
      </w:pPr>
      <w:r w:rsidRPr="00314687">
        <w:t>Specifically, the Commission is being asked to approve an increase in fuel</w:t>
      </w:r>
      <w:r w:rsidR="00964A1A">
        <w:t xml:space="preserve"> cost recovery</w:t>
      </w:r>
      <w:r w:rsidRPr="00314687">
        <w:t xml:space="preserve"> charges</w:t>
      </w:r>
      <w:r w:rsidR="006934E3" w:rsidRPr="00314687">
        <w:t>/factors</w:t>
      </w:r>
      <w:r w:rsidRPr="00314687">
        <w:t xml:space="preserve"> due to the Company now</w:t>
      </w:r>
      <w:r w:rsidR="00EB13C1" w:rsidRPr="00314687">
        <w:t xml:space="preserve"> projecting a period-ending 2022</w:t>
      </w:r>
      <w:r w:rsidRPr="00314687">
        <w:t xml:space="preserve"> under-recovery of fuel costs that exceeds the 10 percent thresh</w:t>
      </w:r>
      <w:r w:rsidR="00EB13C1" w:rsidRPr="00314687">
        <w:t xml:space="preserve">old. </w:t>
      </w:r>
      <w:r w:rsidR="006934E3" w:rsidRPr="00314687">
        <w:t xml:space="preserve">FPL has requested that the proposed revised fuel factors and associated tariffs become effective beginning with the first billing cycle of January 2022. </w:t>
      </w:r>
      <w:r w:rsidR="00EB13C1" w:rsidRPr="00314687">
        <w:t xml:space="preserve">The proposed increase to </w:t>
      </w:r>
      <w:r w:rsidRPr="00314687">
        <w:t>F</w:t>
      </w:r>
      <w:r w:rsidR="00EB13C1" w:rsidRPr="00314687">
        <w:t>PL</w:t>
      </w:r>
      <w:r w:rsidR="00E54011">
        <w:t>’s currently-approved</w:t>
      </w:r>
      <w:r w:rsidR="00EB13C1" w:rsidRPr="00314687">
        <w:t xml:space="preserve"> 2022</w:t>
      </w:r>
      <w:r w:rsidRPr="00314687">
        <w:t xml:space="preserve"> fuel charges is</w:t>
      </w:r>
      <w:r w:rsidR="001627D9">
        <w:t xml:space="preserve"> being driven by both actual </w:t>
      </w:r>
      <w:r w:rsidR="00EB13C1" w:rsidRPr="00314687">
        <w:t>and projected</w:t>
      </w:r>
      <w:r w:rsidR="001627D9">
        <w:t xml:space="preserve"> 2021 and</w:t>
      </w:r>
      <w:r w:rsidR="00EB13C1" w:rsidRPr="00314687">
        <w:t xml:space="preserve"> 2022</w:t>
      </w:r>
      <w:r w:rsidRPr="00314687">
        <w:t xml:space="preserve"> fuel costs bein</w:t>
      </w:r>
      <w:r>
        <w:t>g greater tha</w:t>
      </w:r>
      <w:r w:rsidR="002E0C29">
        <w:t>n</w:t>
      </w:r>
      <w:r>
        <w:t xml:space="preserve"> </w:t>
      </w:r>
      <w:r w:rsidR="00493CB9">
        <w:t xml:space="preserve">previously </w:t>
      </w:r>
      <w:r w:rsidR="00693529">
        <w:t>estimated</w:t>
      </w:r>
      <w:r w:rsidR="00D76019">
        <w:t>.</w:t>
      </w:r>
      <w:r>
        <w:t xml:space="preserve"> </w:t>
      </w:r>
      <w:r w:rsidR="00D76019">
        <w:t xml:space="preserve">These cost differences </w:t>
      </w:r>
      <w:r>
        <w:t>a</w:t>
      </w:r>
      <w:r w:rsidR="00493CB9">
        <w:t>re discussed further in Issue 1, while the proposed effective date of the (p</w:t>
      </w:r>
      <w:r w:rsidR="00493CB9" w:rsidRPr="00314687">
        <w:t>roposed</w:t>
      </w:r>
      <w:r w:rsidR="00493CB9">
        <w:t>)</w:t>
      </w:r>
      <w:r w:rsidR="00493CB9" w:rsidRPr="00314687">
        <w:t xml:space="preserve"> revised fuel factors</w:t>
      </w:r>
      <w:r w:rsidR="00493CB9">
        <w:t xml:space="preserve"> is discussed further in Issue 2. </w:t>
      </w:r>
    </w:p>
    <w:p w:rsidR="0068481F" w:rsidRDefault="006573F1" w:rsidP="006573F1">
      <w:pPr>
        <w:pStyle w:val="BodyText"/>
      </w:pPr>
      <w:r>
        <w:t>The Commission is vested with jurisdiction over the subject matter of this proceeding by the provisions of Chapter 366, Florida Statutes (F.S.), including Sections 366.04, 366.05, and 366.06, F.S.</w:t>
      </w:r>
    </w:p>
    <w:p w:rsidR="007C0528" w:rsidRDefault="007C0528" w:rsidP="0068481F"/>
    <w:bookmarkEnd w:id="11"/>
    <w:p w:rsidR="00EA2273" w:rsidRDefault="00EA2273">
      <w:pPr>
        <w:pStyle w:val="RecommendationMajorSectionHeading"/>
        <w:sectPr w:rsidR="00EA2273">
          <w:headerReference w:type="default" r:id="rId9"/>
          <w:footerReference w:type="default" r:id="rId10"/>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5" w:name="DiscussionOfIssues"/>
      <w:r>
        <w:t>Discussion of Issues</w:t>
      </w:r>
    </w:p>
    <w:bookmarkEnd w:id="15"/>
    <w:p w:rsidR="00697818" w:rsidRDefault="00697818">
      <w:pPr>
        <w:pStyle w:val="IssueHeading"/>
        <w:rPr>
          <w:vanish/>
          <w:specVanish/>
        </w:rPr>
      </w:pPr>
      <w:r w:rsidRPr="004C3641">
        <w:t xml:space="preserve">Issue </w:t>
      </w:r>
      <w:r w:rsidR="00BD2AE5">
        <w:fldChar w:fldCharType="begin"/>
      </w:r>
      <w:r w:rsidR="00BD2AE5">
        <w:instrText xml:space="preserve"> SEQ Issue \* MERGEFORMAT </w:instrText>
      </w:r>
      <w:r w:rsidR="00BD2AE5">
        <w:fldChar w:fldCharType="separate"/>
      </w:r>
      <w:r w:rsidR="007A0750">
        <w:rPr>
          <w:noProof/>
        </w:rPr>
        <w:t>1</w:t>
      </w:r>
      <w:r w:rsidR="00BD2AE5">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7A0750">
        <w:rPr>
          <w:noProof/>
        </w:rPr>
        <w:instrText>1</w:instrText>
      </w:r>
      <w:r>
        <w:fldChar w:fldCharType="end"/>
      </w:r>
      <w:r>
        <w:tab/>
        <w:instrText xml:space="preserve">(Higgins)" \l 1 </w:instrText>
      </w:r>
      <w:r>
        <w:fldChar w:fldCharType="end"/>
      </w:r>
      <w:r>
        <w:t> </w:t>
      </w:r>
    </w:p>
    <w:p w:rsidR="00697818" w:rsidRDefault="00697818">
      <w:pPr>
        <w:pStyle w:val="BodyText"/>
      </w:pPr>
      <w:r>
        <w:t> Should the Commission modify FPL’s currently-approved fuel factors for the pu</w:t>
      </w:r>
      <w:r w:rsidR="00F5009E">
        <w:t>rpose of addressing</w:t>
      </w:r>
      <w:r>
        <w:t xml:space="preserve"> its currently-projected under</w:t>
      </w:r>
      <w:r w:rsidR="00C402D4">
        <w:t>-recovery of 2022</w:t>
      </w:r>
      <w:r>
        <w:t xml:space="preserve"> fuel costs?</w:t>
      </w:r>
    </w:p>
    <w:p w:rsidR="00697818" w:rsidRPr="004C3641" w:rsidRDefault="00697818">
      <w:pPr>
        <w:pStyle w:val="IssueSubsectionHeading"/>
        <w:rPr>
          <w:vanish/>
          <w:specVanish/>
        </w:rPr>
      </w:pPr>
      <w:r w:rsidRPr="004C3641">
        <w:t>Recommendation: </w:t>
      </w:r>
    </w:p>
    <w:p w:rsidR="00697818" w:rsidRDefault="00697818">
      <w:pPr>
        <w:pStyle w:val="BodyText"/>
      </w:pPr>
      <w:r>
        <w:t> </w:t>
      </w:r>
      <w:r w:rsidR="00340944" w:rsidRPr="00340944">
        <w:t xml:space="preserve">Yes. Staff recommends the Commission approve adjustments to FPL’s </w:t>
      </w:r>
      <w:r w:rsidR="00340944" w:rsidRPr="003176DE">
        <w:t>currently-appro</w:t>
      </w:r>
      <w:r w:rsidR="00340944" w:rsidRPr="00340944">
        <w:t xml:space="preserve">ved </w:t>
      </w:r>
      <w:r w:rsidR="00FE751C">
        <w:t xml:space="preserve">2022 </w:t>
      </w:r>
      <w:r w:rsidR="00340944" w:rsidRPr="00340944">
        <w:t>fuel factor</w:t>
      </w:r>
      <w:r w:rsidR="00F5009E">
        <w:t>s to incorporate a projected period-</w:t>
      </w:r>
      <w:r w:rsidR="00340944" w:rsidRPr="00340944">
        <w:t>end</w:t>
      </w:r>
      <w:r w:rsidR="00F20FE6">
        <w:t xml:space="preserve">ing </w:t>
      </w:r>
      <w:r w:rsidR="00F5009E">
        <w:t xml:space="preserve">2022 </w:t>
      </w:r>
      <w:r w:rsidR="00F20FE6">
        <w:t xml:space="preserve">under-recovery of </w:t>
      </w:r>
      <w:r w:rsidR="00F5009E">
        <w:t xml:space="preserve">fuel costs in the amount of </w:t>
      </w:r>
      <w:r w:rsidR="00F20FE6">
        <w:t>$809,975,806</w:t>
      </w:r>
      <w:r w:rsidR="00340944">
        <w:t>.</w:t>
      </w:r>
      <w:r>
        <w:t xml:space="preserve"> (Higgins)</w:t>
      </w:r>
    </w:p>
    <w:p w:rsidR="00697818" w:rsidRPr="004C3641" w:rsidRDefault="00697818">
      <w:pPr>
        <w:pStyle w:val="IssueSubsectionHeading"/>
        <w:rPr>
          <w:vanish/>
          <w:specVanish/>
        </w:rPr>
      </w:pPr>
      <w:r w:rsidRPr="004C3641">
        <w:t>Staff Analysis: </w:t>
      </w:r>
    </w:p>
    <w:p w:rsidR="001627D9" w:rsidRDefault="00697818" w:rsidP="006D252E">
      <w:pPr>
        <w:pStyle w:val="BodyText"/>
      </w:pPr>
      <w:r>
        <w:t> </w:t>
      </w:r>
      <w:r w:rsidR="006D252E">
        <w:t xml:space="preserve">FPL participated in the Commission’s most-recent fuel hearing which took place on November </w:t>
      </w:r>
      <w:r w:rsidR="004B191B">
        <w:t>2</w:t>
      </w:r>
      <w:r w:rsidR="006D252E">
        <w:t>, 202</w:t>
      </w:r>
      <w:r w:rsidR="004B191B">
        <w:t>1</w:t>
      </w:r>
      <w:r w:rsidR="00002D39">
        <w:t>. Certain</w:t>
      </w:r>
      <w:r w:rsidR="006D252E">
        <w:t xml:space="preserve"> </w:t>
      </w:r>
      <w:r w:rsidR="00002D39">
        <w:t>decisions rendered at</w:t>
      </w:r>
      <w:r w:rsidR="006D252E">
        <w:t xml:space="preserve"> the 202</w:t>
      </w:r>
      <w:r w:rsidR="004C0023">
        <w:t>1</w:t>
      </w:r>
      <w:r w:rsidR="00002D39">
        <w:t xml:space="preserve"> </w:t>
      </w:r>
      <w:r w:rsidR="006D252E">
        <w:t>hearing set forth FPL’s</w:t>
      </w:r>
      <w:r w:rsidR="00002D39">
        <w:t xml:space="preserve"> </w:t>
      </w:r>
      <w:r w:rsidR="006D252E">
        <w:t>fuel, purchased power, and capacity-related cost recovery factors</w:t>
      </w:r>
      <w:r w:rsidR="007C6179">
        <w:t xml:space="preserve"> to become</w:t>
      </w:r>
      <w:r w:rsidR="006D252E">
        <w:t xml:space="preserve"> effective with the first billing cycle of 202</w:t>
      </w:r>
      <w:r w:rsidR="004C0023">
        <w:t>2</w:t>
      </w:r>
      <w:r w:rsidR="00493CB9">
        <w:t>.</w:t>
      </w:r>
      <w:r w:rsidR="00693529">
        <w:t xml:space="preserve"> However, as discussed</w:t>
      </w:r>
      <w:r w:rsidR="007C6179">
        <w:t xml:space="preserve"> below, the currently-approv</w:t>
      </w:r>
      <w:r w:rsidR="006D252E">
        <w:t>ed</w:t>
      </w:r>
      <w:r w:rsidR="004C0023">
        <w:t xml:space="preserve"> 2022</w:t>
      </w:r>
      <w:r w:rsidR="006D252E">
        <w:t xml:space="preserve"> f</w:t>
      </w:r>
      <w:r w:rsidR="004C0023">
        <w:t>uel cost recovery factors</w:t>
      </w:r>
      <w:r w:rsidR="001627D9">
        <w:t xml:space="preserve"> ˗</w:t>
      </w:r>
      <w:r w:rsidR="004C0023">
        <w:t xml:space="preserve"> without modification</w:t>
      </w:r>
      <w:r w:rsidR="00002D39">
        <w:t xml:space="preserve"> </w:t>
      </w:r>
      <w:r w:rsidR="001627D9">
        <w:t>˗</w:t>
      </w:r>
      <w:r w:rsidR="006D252E">
        <w:t xml:space="preserve"> are now projected to </w:t>
      </w:r>
      <w:r w:rsidR="004C0023">
        <w:t>under-recover the Company’s 2022</w:t>
      </w:r>
      <w:r w:rsidR="006D252E">
        <w:t xml:space="preserve"> </w:t>
      </w:r>
      <w:r w:rsidR="006D252E" w:rsidRPr="00283415">
        <w:t xml:space="preserve">fuel cost by greater than 10 percent. </w:t>
      </w:r>
    </w:p>
    <w:p w:rsidR="006D252E" w:rsidRPr="00283415" w:rsidRDefault="007C6179" w:rsidP="006D252E">
      <w:pPr>
        <w:pStyle w:val="BodyText"/>
        <w:rPr>
          <w:highlight w:val="yellow"/>
        </w:rPr>
      </w:pPr>
      <w:r>
        <w:t>This recommendation directly addresses fuel costs for years 2021 and 2022.</w:t>
      </w:r>
      <w:r w:rsidR="00923E9E">
        <w:t xml:space="preserve"> S</w:t>
      </w:r>
      <w:r>
        <w:t xml:space="preserve">taff notes that </w:t>
      </w:r>
      <w:r w:rsidR="00283415" w:rsidRPr="00283415">
        <w:t>FPL’s</w:t>
      </w:r>
      <w:r w:rsidR="006D252E" w:rsidRPr="00283415">
        <w:t xml:space="preserve"> final 2020 fuel true-</w:t>
      </w:r>
      <w:r w:rsidR="00560959" w:rsidRPr="00283415">
        <w:t xml:space="preserve">up </w:t>
      </w:r>
      <w:r w:rsidR="00C20D72" w:rsidRPr="00283415">
        <w:t>was accounted for</w:t>
      </w:r>
      <w:r w:rsidR="00283415" w:rsidRPr="00283415">
        <w:t xml:space="preserve"> and incorporated in rates</w:t>
      </w:r>
      <w:r w:rsidR="00C20D72" w:rsidRPr="00283415">
        <w:t xml:space="preserve"> as part of</w:t>
      </w:r>
      <w:r w:rsidR="00283415" w:rsidRPr="00283415">
        <w:t xml:space="preserve"> the Company’s spring 2021 mid-course correction.</w:t>
      </w:r>
      <w:r w:rsidR="00283415" w:rsidRPr="00283415">
        <w:rPr>
          <w:rStyle w:val="FootnoteReference"/>
        </w:rPr>
        <w:footnoteReference w:id="3"/>
      </w:r>
      <w:r w:rsidR="00283415" w:rsidRPr="00283415">
        <w:t xml:space="preserve"> With respect to </w:t>
      </w:r>
      <w:r w:rsidR="00560959" w:rsidRPr="00283415">
        <w:t>Gulf</w:t>
      </w:r>
      <w:r w:rsidR="00283415" w:rsidRPr="00283415">
        <w:t>,</w:t>
      </w:r>
      <w:r w:rsidR="00560959" w:rsidRPr="00283415">
        <w:t xml:space="preserve"> </w:t>
      </w:r>
      <w:r w:rsidR="00283415" w:rsidRPr="00283415">
        <w:t>its final 2020 fuel true-up was</w:t>
      </w:r>
      <w:r w:rsidR="00560959" w:rsidRPr="00283415">
        <w:t xml:space="preserve"> considered at the November 2, 2021 </w:t>
      </w:r>
      <w:r w:rsidR="003466F1" w:rsidRPr="00283415">
        <w:t>Hearing</w:t>
      </w:r>
      <w:r w:rsidR="006340D9">
        <w:t xml:space="preserve">. </w:t>
      </w:r>
    </w:p>
    <w:p w:rsidR="006D252E" w:rsidRPr="00560959" w:rsidRDefault="006D252E" w:rsidP="006D252E">
      <w:pPr>
        <w:pStyle w:val="BodyText"/>
      </w:pPr>
      <w:r w:rsidRPr="00560959">
        <w:t>Th</w:t>
      </w:r>
      <w:r w:rsidR="007462E0">
        <w:t>e Company’s currently-approved</w:t>
      </w:r>
      <w:r w:rsidR="006340D9">
        <w:t xml:space="preserve"> 2022</w:t>
      </w:r>
      <w:r w:rsidRPr="00560959">
        <w:t xml:space="preserve"> capacity cost recovery factors </w:t>
      </w:r>
      <w:r w:rsidR="006934E3" w:rsidRPr="00560959">
        <w:t xml:space="preserve">are projected to </w:t>
      </w:r>
      <w:r w:rsidR="006340D9">
        <w:t>remain sufficient to</w:t>
      </w:r>
      <w:r w:rsidRPr="00560959">
        <w:t xml:space="preserve"> return the required amount of revenue, therefore no change is being sought through this mid-course correction process. Further, the Company’s petition </w:t>
      </w:r>
      <w:r w:rsidR="007462E0">
        <w:t xml:space="preserve">and supporting documentation </w:t>
      </w:r>
      <w:r w:rsidRPr="00560959">
        <w:t>satisfies all filing requirements of Rule 25-6.0424(1)(b), F.A.C.</w:t>
      </w:r>
      <w:r w:rsidR="007462E0">
        <w:rPr>
          <w:rStyle w:val="FootnoteReference"/>
        </w:rPr>
        <w:footnoteReference w:id="4"/>
      </w:r>
    </w:p>
    <w:p w:rsidR="006D252E" w:rsidRPr="004B191B" w:rsidRDefault="006D252E" w:rsidP="006D252E">
      <w:pPr>
        <w:pStyle w:val="BodyText"/>
        <w:spacing w:after="0"/>
        <w:rPr>
          <w:rFonts w:ascii="Arial" w:hAnsi="Arial" w:cs="Arial"/>
          <w:bCs/>
          <w:iCs/>
        </w:rPr>
      </w:pPr>
      <w:r w:rsidRPr="004B191B">
        <w:rPr>
          <w:rFonts w:ascii="Arial" w:hAnsi="Arial" w:cs="Arial"/>
          <w:b/>
          <w:bCs/>
          <w:i/>
          <w:iCs/>
        </w:rPr>
        <w:t>FPL Mid-Course Correction</w:t>
      </w:r>
    </w:p>
    <w:p w:rsidR="004B191B" w:rsidRPr="00420F9C" w:rsidRDefault="006D252E" w:rsidP="006D252E">
      <w:pPr>
        <w:pStyle w:val="BodyText"/>
        <w:spacing w:after="0"/>
      </w:pPr>
      <w:r w:rsidRPr="004B191B">
        <w:t xml:space="preserve">The Company filed its MCC Petition on </w:t>
      </w:r>
      <w:r w:rsidR="00560959" w:rsidRPr="00560959">
        <w:t>November</w:t>
      </w:r>
      <w:r w:rsidRPr="00560959">
        <w:t xml:space="preserve"> </w:t>
      </w:r>
      <w:r w:rsidR="00560959" w:rsidRPr="00560959">
        <w:t>9</w:t>
      </w:r>
      <w:r w:rsidRPr="00560959">
        <w:t>, 2</w:t>
      </w:r>
      <w:r w:rsidRPr="003176DE">
        <w:t>021.</w:t>
      </w:r>
      <w:r w:rsidRPr="003176DE">
        <w:rPr>
          <w:rStyle w:val="FootnoteReference"/>
        </w:rPr>
        <w:footnoteReference w:id="5"/>
      </w:r>
      <w:r w:rsidRPr="003176DE">
        <w:t xml:space="preserve"> P</w:t>
      </w:r>
      <w:r w:rsidRPr="004B191B">
        <w:t>receding the filing of its MCC Petition and in accordance with the noticing requirement of Rule 25</w:t>
      </w:r>
      <w:r w:rsidR="004B191B" w:rsidRPr="004B191B">
        <w:t xml:space="preserve">-6.0424(2), F.A.C., FPL filed </w:t>
      </w:r>
      <w:r w:rsidRPr="004368B7">
        <w:t>letter</w:t>
      </w:r>
      <w:r w:rsidR="007C6179">
        <w:t>s</w:t>
      </w:r>
      <w:r w:rsidRPr="004368B7">
        <w:t xml:space="preserve"> on </w:t>
      </w:r>
      <w:r w:rsidR="004B191B" w:rsidRPr="004368B7">
        <w:t>September 27, 2021</w:t>
      </w:r>
      <w:r w:rsidRPr="004368B7">
        <w:t>,</w:t>
      </w:r>
      <w:r w:rsidR="004B191B" w:rsidRPr="004368B7">
        <w:t xml:space="preserve"> </w:t>
      </w:r>
      <w:r w:rsidR="007C6179">
        <w:t>and</w:t>
      </w:r>
      <w:r w:rsidR="006340D9">
        <w:t xml:space="preserve"> </w:t>
      </w:r>
      <w:r w:rsidR="004B191B" w:rsidRPr="004368B7">
        <w:t>October 15, 2021,</w:t>
      </w:r>
      <w:r w:rsidRPr="004368B7">
        <w:t xml:space="preserve"> informing the Commission that based on its </w:t>
      </w:r>
      <w:r w:rsidR="004B191B" w:rsidRPr="004368B7">
        <w:t>then-</w:t>
      </w:r>
      <w:r w:rsidR="00C24C44">
        <w:t>latest future fuel cost estimat</w:t>
      </w:r>
      <w:r w:rsidR="006340D9">
        <w:t>ions</w:t>
      </w:r>
      <w:r w:rsidR="00C24C44">
        <w:t xml:space="preserve">, it </w:t>
      </w:r>
      <w:r w:rsidR="006E0FCA">
        <w:t>wa</w:t>
      </w:r>
      <w:r w:rsidR="00C24C44">
        <w:t>s projecting</w:t>
      </w:r>
      <w:r w:rsidRPr="004368B7">
        <w:t xml:space="preserve"> an under-recovery position of greater </w:t>
      </w:r>
      <w:r w:rsidR="00522E73">
        <w:t>than 10 percent for the</w:t>
      </w:r>
      <w:r w:rsidRPr="004368B7">
        <w:t xml:space="preserve"> 202</w:t>
      </w:r>
      <w:r w:rsidR="00522E73">
        <w:t>2 recovery period</w:t>
      </w:r>
      <w:r w:rsidRPr="004368B7">
        <w:t>.</w:t>
      </w:r>
      <w:r w:rsidRPr="004368B7">
        <w:rPr>
          <w:rStyle w:val="FootnoteReference"/>
        </w:rPr>
        <w:footnoteReference w:id="6"/>
      </w:r>
      <w:r w:rsidRPr="004368B7">
        <w:t xml:space="preserve"> </w:t>
      </w:r>
      <w:r w:rsidR="00ED4F99" w:rsidRPr="004368B7">
        <w:t>I</w:t>
      </w:r>
      <w:r w:rsidR="004B191B" w:rsidRPr="004368B7">
        <w:t>n both instances</w:t>
      </w:r>
      <w:r w:rsidRPr="004368B7">
        <w:t xml:space="preserve">, in analyzing settlement prices for natural gas, </w:t>
      </w:r>
      <w:r w:rsidR="004B191B" w:rsidRPr="004368B7">
        <w:t>the Company determined that th</w:t>
      </w:r>
      <w:r w:rsidRPr="004368B7">
        <w:t>e</w:t>
      </w:r>
      <w:r w:rsidR="004B191B" w:rsidRPr="004368B7">
        <w:t xml:space="preserve"> </w:t>
      </w:r>
      <w:r w:rsidR="004368B7" w:rsidRPr="004368B7">
        <w:t>continuing</w:t>
      </w:r>
      <w:r w:rsidR="00923E9E">
        <w:t xml:space="preserve"> price</w:t>
      </w:r>
      <w:r w:rsidR="004B191B" w:rsidRPr="004368B7">
        <w:t xml:space="preserve"> volatility</w:t>
      </w:r>
      <w:r w:rsidR="00ED4F99" w:rsidRPr="004368B7">
        <w:t xml:space="preserve"> warranted deferring a decision as to</w:t>
      </w:r>
      <w:r w:rsidR="00923E9E">
        <w:t xml:space="preserve"> whether to</w:t>
      </w:r>
      <w:r w:rsidR="00ED4F99" w:rsidRPr="004368B7">
        <w:t xml:space="preserve"> fil</w:t>
      </w:r>
      <w:r w:rsidR="00923E9E">
        <w:t>e</w:t>
      </w:r>
      <w:r w:rsidR="00C24C44">
        <w:t xml:space="preserve"> for</w:t>
      </w:r>
      <w:r w:rsidR="00ED4F99" w:rsidRPr="004368B7">
        <w:t xml:space="preserve"> a</w:t>
      </w:r>
      <w:r w:rsidR="00C24C44">
        <w:t xml:space="preserve"> mid-course correction of its fuel charges</w:t>
      </w:r>
      <w:r w:rsidR="00ED4F99" w:rsidRPr="004368B7">
        <w:t>. However, in its</w:t>
      </w:r>
      <w:r w:rsidR="00512CA6">
        <w:t xml:space="preserve"> second</w:t>
      </w:r>
      <w:r w:rsidR="000260C1">
        <w:t>,</w:t>
      </w:r>
      <w:r w:rsidR="00C24C44">
        <w:t xml:space="preserve"> or</w:t>
      </w:r>
      <w:r w:rsidR="00ED4F99" w:rsidRPr="004368B7">
        <w:t xml:space="preserve"> October letter</w:t>
      </w:r>
      <w:r w:rsidR="003176DE" w:rsidRPr="004368B7">
        <w:t>,</w:t>
      </w:r>
      <w:r w:rsidR="00ED4F99" w:rsidRPr="004368B7">
        <w:t xml:space="preserve"> FPL </w:t>
      </w:r>
      <w:r w:rsidR="00420F9C" w:rsidRPr="004368B7">
        <w:t>stat</w:t>
      </w:r>
      <w:r w:rsidR="00420F9C">
        <w:t>ed that s</w:t>
      </w:r>
      <w:r w:rsidR="00ED4F99" w:rsidRPr="00ED4F99">
        <w:t xml:space="preserve">hould </w:t>
      </w:r>
      <w:r w:rsidR="00420F9C">
        <w:t>i</w:t>
      </w:r>
      <w:r w:rsidR="00ED4F99">
        <w:t>t</w:t>
      </w:r>
      <w:r w:rsidR="00420F9C">
        <w:t xml:space="preserve"> p</w:t>
      </w:r>
      <w:r w:rsidR="00ED4F99" w:rsidRPr="00ED4F99">
        <w:t>roject an</w:t>
      </w:r>
      <w:r w:rsidR="00ED4F99">
        <w:t xml:space="preserve"> under-recovery that exceeds the 10 percent threshold</w:t>
      </w:r>
      <w:r w:rsidR="00ED4F99" w:rsidRPr="00ED4F99">
        <w:t xml:space="preserve"> based on </w:t>
      </w:r>
      <w:r w:rsidR="00522E73">
        <w:t>forward</w:t>
      </w:r>
      <w:r w:rsidR="00ED4F99" w:rsidRPr="00ED4F99">
        <w:t xml:space="preserve"> natural ga</w:t>
      </w:r>
      <w:r w:rsidR="00ED4F99">
        <w:t>s settlement p</w:t>
      </w:r>
      <w:r w:rsidR="00ED4F99" w:rsidRPr="00420F9C">
        <w:t>rices</w:t>
      </w:r>
      <w:r w:rsidR="00512CA6">
        <w:t xml:space="preserve"> sourced</w:t>
      </w:r>
      <w:r w:rsidR="00950665">
        <w:t xml:space="preserve"> (NYMEX)</w:t>
      </w:r>
      <w:r w:rsidR="00512CA6">
        <w:t xml:space="preserve"> in </w:t>
      </w:r>
      <w:r w:rsidR="00512CA6" w:rsidRPr="00ED4F99">
        <w:t>early November</w:t>
      </w:r>
      <w:r w:rsidR="00ED4F99" w:rsidRPr="00420F9C">
        <w:t>, it would file a mid</w:t>
      </w:r>
      <w:r w:rsidR="00CE376F">
        <w:t>-</w:t>
      </w:r>
      <w:r w:rsidR="00ED4F99" w:rsidRPr="00420F9C">
        <w:t>course correction petition</w:t>
      </w:r>
      <w:r w:rsidR="003176DE" w:rsidRPr="00420F9C">
        <w:t xml:space="preserve">, </w:t>
      </w:r>
      <w:r w:rsidR="00ED4F99" w:rsidRPr="00420F9C">
        <w:t>and to minimize any associate</w:t>
      </w:r>
      <w:r w:rsidR="00CC0BB3">
        <w:t>d bill impact, would request a January</w:t>
      </w:r>
      <w:r w:rsidR="00ED4F99" w:rsidRPr="00420F9C">
        <w:t xml:space="preserve"> 2022</w:t>
      </w:r>
      <w:r w:rsidR="00CC0BB3">
        <w:t xml:space="preserve"> effective date</w:t>
      </w:r>
      <w:r w:rsidR="00ED4F99" w:rsidRPr="00420F9C">
        <w:t>.</w:t>
      </w:r>
      <w:r w:rsidR="00420F9C" w:rsidRPr="00420F9C">
        <w:t xml:space="preserve"> B</w:t>
      </w:r>
      <w:r w:rsidR="00420F9C">
        <w:t>ased on the aforementioned</w:t>
      </w:r>
      <w:r w:rsidR="00420F9C" w:rsidRPr="00420F9C">
        <w:t xml:space="preserve"> November 2021 update, the Company determined that filing for a mid-course correction of its 2022 customer fuel charges would be required as the data indicated its pro</w:t>
      </w:r>
      <w:r w:rsidR="004370CB">
        <w:t>jected cost recovery position (</w:t>
      </w:r>
      <w:r w:rsidR="00420F9C" w:rsidRPr="00420F9C">
        <w:t>t</w:t>
      </w:r>
      <w:r w:rsidR="004370CB">
        <w:t>hrough</w:t>
      </w:r>
      <w:r w:rsidR="00420F9C" w:rsidRPr="00420F9C">
        <w:t xml:space="preserve"> December 2022) would be outside the 10 percent threshold set forth by Rule 25-6.04</w:t>
      </w:r>
      <w:r w:rsidR="004368B7">
        <w:t>24</w:t>
      </w:r>
      <w:r w:rsidR="00D44B78">
        <w:t>,</w:t>
      </w:r>
      <w:r w:rsidR="004368B7">
        <w:t xml:space="preserve"> F.A.C.</w:t>
      </w:r>
    </w:p>
    <w:p w:rsidR="006D252E" w:rsidRPr="004B191B" w:rsidRDefault="006D252E" w:rsidP="006D252E">
      <w:pPr>
        <w:pStyle w:val="BodyText"/>
        <w:spacing w:after="0"/>
        <w:rPr>
          <w:highlight w:val="yellow"/>
        </w:rPr>
      </w:pPr>
    </w:p>
    <w:p w:rsidR="006D252E" w:rsidRPr="00222C32" w:rsidRDefault="006D252E" w:rsidP="006D252E">
      <w:pPr>
        <w:pStyle w:val="BodyText"/>
      </w:pPr>
      <w:r w:rsidRPr="00222C32">
        <w:t xml:space="preserve">As discussed in greater </w:t>
      </w:r>
      <w:r w:rsidR="00522E73">
        <w:t>detail below, the projected 2022</w:t>
      </w:r>
      <w:r w:rsidRPr="00222C32">
        <w:t xml:space="preserve"> under-recovery of fuel costs is </w:t>
      </w:r>
      <w:r w:rsidR="00653984">
        <w:t xml:space="preserve">directly </w:t>
      </w:r>
      <w:r w:rsidRPr="00222C32">
        <w:t>associated with higher act</w:t>
      </w:r>
      <w:r w:rsidR="00C24C44">
        <w:t xml:space="preserve">ual and re-projected </w:t>
      </w:r>
      <w:r w:rsidRPr="00222C32">
        <w:t>natur</w:t>
      </w:r>
      <w:r w:rsidR="00522E73">
        <w:t>al gas</w:t>
      </w:r>
      <w:r w:rsidR="00C24C44">
        <w:t xml:space="preserve"> prices</w:t>
      </w:r>
      <w:r w:rsidR="00522E73">
        <w:t xml:space="preserve"> than originally</w:t>
      </w:r>
      <w:r w:rsidR="00693529">
        <w:t xml:space="preserve"> estimated</w:t>
      </w:r>
      <w:r w:rsidR="00522E73">
        <w:t>.</w:t>
      </w:r>
    </w:p>
    <w:p w:rsidR="006D252E" w:rsidRPr="00ED4F99" w:rsidRDefault="00C20D72" w:rsidP="006D252E">
      <w:pPr>
        <w:pStyle w:val="BodyText"/>
        <w:spacing w:after="0"/>
        <w:rPr>
          <w:rFonts w:ascii="Arial" w:hAnsi="Arial" w:cs="Arial"/>
          <w:b/>
          <w:i/>
        </w:rPr>
      </w:pPr>
      <w:r w:rsidRPr="00C20D72">
        <w:rPr>
          <w:rFonts w:ascii="Arial" w:hAnsi="Arial" w:cs="Arial"/>
          <w:b/>
          <w:i/>
        </w:rPr>
        <w:t>Projected</w:t>
      </w:r>
      <w:r w:rsidR="00A135A5" w:rsidRPr="00ED4F99">
        <w:rPr>
          <w:rFonts w:ascii="Arial" w:hAnsi="Arial" w:cs="Arial"/>
          <w:b/>
          <w:i/>
        </w:rPr>
        <w:t xml:space="preserve"> </w:t>
      </w:r>
      <w:r w:rsidR="006D252E" w:rsidRPr="00ED4F99">
        <w:rPr>
          <w:rFonts w:ascii="Arial" w:hAnsi="Arial" w:cs="Arial"/>
          <w:b/>
          <w:i/>
        </w:rPr>
        <w:t>202</w:t>
      </w:r>
      <w:r w:rsidR="00ED4F99">
        <w:rPr>
          <w:rFonts w:ascii="Arial" w:hAnsi="Arial" w:cs="Arial"/>
          <w:b/>
          <w:i/>
        </w:rPr>
        <w:t>1</w:t>
      </w:r>
      <w:r w:rsidR="006D252E" w:rsidRPr="00ED4F99">
        <w:rPr>
          <w:rFonts w:ascii="Arial" w:hAnsi="Arial" w:cs="Arial"/>
          <w:b/>
          <w:i/>
        </w:rPr>
        <w:t xml:space="preserve"> Under-Recovery</w:t>
      </w:r>
    </w:p>
    <w:p w:rsidR="003466F1" w:rsidRDefault="006D252E" w:rsidP="006D252E">
      <w:pPr>
        <w:pStyle w:val="BodyText"/>
        <w:rPr>
          <w:iCs/>
        </w:rPr>
      </w:pPr>
      <w:r w:rsidRPr="006B0599">
        <w:t>A</w:t>
      </w:r>
      <w:r w:rsidR="007D73CD">
        <w:t>ccounting for the Company’s</w:t>
      </w:r>
      <w:r w:rsidRPr="006B0599">
        <w:t xml:space="preserve"> mid-course correction</w:t>
      </w:r>
      <w:r w:rsidR="007D73CD">
        <w:t xml:space="preserve"> of its 2022 fuel charges</w:t>
      </w:r>
      <w:r w:rsidRPr="006B0599">
        <w:t xml:space="preserve"> essentially begins with its </w:t>
      </w:r>
      <w:r w:rsidR="00596341">
        <w:t xml:space="preserve">actual and projected </w:t>
      </w:r>
      <w:r w:rsidRPr="006B0599">
        <w:t>unde</w:t>
      </w:r>
      <w:r w:rsidR="00ED4F99" w:rsidRPr="006B0599">
        <w:t xml:space="preserve">r-recovery of fuel costs in 2021. </w:t>
      </w:r>
      <w:r w:rsidR="00C20D72" w:rsidRPr="006B0599">
        <w:t xml:space="preserve">The two primary </w:t>
      </w:r>
      <w:r w:rsidR="007954A7" w:rsidRPr="006B0599">
        <w:t>projection</w:t>
      </w:r>
      <w:r w:rsidR="00C20D72" w:rsidRPr="006B0599">
        <w:t>s</w:t>
      </w:r>
      <w:r w:rsidR="007954A7" w:rsidRPr="006B0599">
        <w:t xml:space="preserve"> of </w:t>
      </w:r>
      <w:r w:rsidR="00C20D72" w:rsidRPr="006B0599">
        <w:t>2021</w:t>
      </w:r>
      <w:r w:rsidRPr="006B0599">
        <w:t xml:space="preserve"> fuel costs </w:t>
      </w:r>
      <w:r w:rsidR="00522E73">
        <w:t>are</w:t>
      </w:r>
      <w:r w:rsidR="006B0599" w:rsidRPr="006B0599">
        <w:t xml:space="preserve"> FPL’s</w:t>
      </w:r>
      <w:r w:rsidR="00C20D72" w:rsidRPr="006B0599">
        <w:t xml:space="preserve"> </w:t>
      </w:r>
      <w:r w:rsidR="0078066F" w:rsidRPr="006B0599">
        <w:rPr>
          <w:i/>
          <w:iCs/>
        </w:rPr>
        <w:t>Petition</w:t>
      </w:r>
      <w:r w:rsidR="0078066F" w:rsidRPr="00F037EA">
        <w:rPr>
          <w:i/>
          <w:iCs/>
        </w:rPr>
        <w:t xml:space="preserve"> for Approval of Fuel Cost Recovery and Capacity Cost Recovery Factors for January through December 2022</w:t>
      </w:r>
      <w:r w:rsidR="00DD2845">
        <w:rPr>
          <w:i/>
          <w:iCs/>
        </w:rPr>
        <w:t xml:space="preserve"> </w:t>
      </w:r>
      <w:r w:rsidR="00DD2845">
        <w:rPr>
          <w:iCs/>
        </w:rPr>
        <w:t>(Original 2022 Projection)</w:t>
      </w:r>
      <w:r w:rsidR="006B0599" w:rsidRPr="006B0599">
        <w:rPr>
          <w:iCs/>
        </w:rPr>
        <w:t xml:space="preserve">, </w:t>
      </w:r>
      <w:r w:rsidR="006B0599">
        <w:rPr>
          <w:iCs/>
        </w:rPr>
        <w:t xml:space="preserve">and </w:t>
      </w:r>
      <w:r w:rsidR="006B0599" w:rsidRPr="00F037EA">
        <w:rPr>
          <w:i/>
          <w:iCs/>
        </w:rPr>
        <w:t>Petition for</w:t>
      </w:r>
      <w:r w:rsidR="006B0599">
        <w:rPr>
          <w:i/>
          <w:iCs/>
        </w:rPr>
        <w:t xml:space="preserve"> Mid-Course Correction to its 2022 Fuel Adjustment Factors</w:t>
      </w:r>
      <w:r w:rsidR="0078066F" w:rsidRPr="00F037EA">
        <w:t>.</w:t>
      </w:r>
      <w:r w:rsidR="0078066F" w:rsidRPr="00F037EA">
        <w:rPr>
          <w:rStyle w:val="FootnoteReference"/>
        </w:rPr>
        <w:footnoteReference w:id="7"/>
      </w:r>
      <w:r w:rsidR="006B0599">
        <w:t xml:space="preserve"> These documents were filed on September 3, 2021</w:t>
      </w:r>
      <w:r w:rsidR="00950665">
        <w:t>,</w:t>
      </w:r>
      <w:r w:rsidR="006B0599">
        <w:t xml:space="preserve"> and November 9, 2021, respectively. Staff n</w:t>
      </w:r>
      <w:r w:rsidR="00653984">
        <w:t>otes that in general, a utility’</w:t>
      </w:r>
      <w:r w:rsidR="006B0599">
        <w:t>s “actual/estimated” filing would contain the final current</w:t>
      </w:r>
      <w:r w:rsidR="00DD2845">
        <w:t>-</w:t>
      </w:r>
      <w:r w:rsidR="006B0599">
        <w:t>year cost projection</w:t>
      </w:r>
      <w:r w:rsidR="00DD2845">
        <w:t>. H</w:t>
      </w:r>
      <w:r w:rsidR="006B0599">
        <w:t>owever</w:t>
      </w:r>
      <w:r w:rsidR="00560473">
        <w:t>,</w:t>
      </w:r>
      <w:r w:rsidR="006B0599">
        <w:t xml:space="preserve"> in this instance, </w:t>
      </w:r>
      <w:r w:rsidR="003466F1">
        <w:t>due to higher</w:t>
      </w:r>
      <w:r w:rsidR="00522E73">
        <w:t xml:space="preserve"> 2021 fuel prices being </w:t>
      </w:r>
      <w:r w:rsidR="00FF6843">
        <w:t>projected in the later portion of the year</w:t>
      </w:r>
      <w:r w:rsidR="00DD2845">
        <w:t xml:space="preserve">, </w:t>
      </w:r>
      <w:r w:rsidR="00653984">
        <w:t>FPL revised its</w:t>
      </w:r>
      <w:r w:rsidR="006B0599">
        <w:t xml:space="preserve"> 2021 actual/estimated true-up</w:t>
      </w:r>
      <w:r w:rsidR="00DD2845">
        <w:t xml:space="preserve"> through its </w:t>
      </w:r>
      <w:r w:rsidR="00DD2845">
        <w:rPr>
          <w:iCs/>
        </w:rPr>
        <w:t>Original 2022 Projection</w:t>
      </w:r>
      <w:r w:rsidR="00FF6843">
        <w:rPr>
          <w:iCs/>
        </w:rPr>
        <w:t xml:space="preserve"> filing</w:t>
      </w:r>
      <w:r w:rsidR="00DD2845">
        <w:rPr>
          <w:iCs/>
        </w:rPr>
        <w:t>. The revised 2021</w:t>
      </w:r>
      <w:r w:rsidR="003466F1">
        <w:rPr>
          <w:iCs/>
        </w:rPr>
        <w:t xml:space="preserve"> actual/estimated</w:t>
      </w:r>
      <w:r w:rsidR="00DD2845">
        <w:rPr>
          <w:iCs/>
        </w:rPr>
        <w:t xml:space="preserve"> true-up amount presented in the Original 2022 Projection is an under-recovery of $353,945,632.</w:t>
      </w:r>
      <w:r w:rsidR="003466F1">
        <w:rPr>
          <w:iCs/>
        </w:rPr>
        <w:t xml:space="preserve"> This amount was reviewed and </w:t>
      </w:r>
      <w:r w:rsidR="00DD5B0B">
        <w:rPr>
          <w:iCs/>
        </w:rPr>
        <w:t xml:space="preserve">included for </w:t>
      </w:r>
      <w:r w:rsidR="00F20FE6">
        <w:rPr>
          <w:iCs/>
        </w:rPr>
        <w:t xml:space="preserve">2022 </w:t>
      </w:r>
      <w:r w:rsidR="003466F1">
        <w:rPr>
          <w:iCs/>
        </w:rPr>
        <w:t>recovery</w:t>
      </w:r>
      <w:r w:rsidR="00FF6843">
        <w:rPr>
          <w:iCs/>
        </w:rPr>
        <w:t xml:space="preserve"> </w:t>
      </w:r>
      <w:r w:rsidR="00FF6843">
        <w:t>(Issue 10)</w:t>
      </w:r>
      <w:r w:rsidR="003466F1">
        <w:rPr>
          <w:iCs/>
        </w:rPr>
        <w:t xml:space="preserve"> during the</w:t>
      </w:r>
      <w:r w:rsidR="003466F1" w:rsidRPr="003466F1">
        <w:t xml:space="preserve"> </w:t>
      </w:r>
      <w:r w:rsidR="003466F1">
        <w:t>November 2, 2021 Hearing</w:t>
      </w:r>
      <w:r w:rsidR="001657BA">
        <w:rPr>
          <w:iCs/>
        </w:rPr>
        <w:t>.</w:t>
      </w:r>
    </w:p>
    <w:p w:rsidR="006B0599" w:rsidRPr="00F20FE6" w:rsidRDefault="00DD2845" w:rsidP="006D252E">
      <w:pPr>
        <w:pStyle w:val="BodyText"/>
        <w:rPr>
          <w:iCs/>
        </w:rPr>
      </w:pPr>
      <w:r>
        <w:rPr>
          <w:iCs/>
        </w:rPr>
        <w:t xml:space="preserve">Through its MCC Petition, FPL </w:t>
      </w:r>
      <w:r w:rsidR="00DD5B0B">
        <w:rPr>
          <w:iCs/>
        </w:rPr>
        <w:t xml:space="preserve">has </w:t>
      </w:r>
      <w:r>
        <w:rPr>
          <w:iCs/>
        </w:rPr>
        <w:t>revised its</w:t>
      </w:r>
      <w:r>
        <w:t xml:space="preserve"> 2021 actual/estimated true-up</w:t>
      </w:r>
      <w:r w:rsidR="00DD5B0B">
        <w:t xml:space="preserve"> </w:t>
      </w:r>
      <w:r w:rsidR="00DD5B0B">
        <w:rPr>
          <w:iCs/>
        </w:rPr>
        <w:t>a second time. The Company now projects to incur an additional under-recovery of fuel costs in the amount of $329,554,231</w:t>
      </w:r>
      <w:r w:rsidR="00F20FE6">
        <w:rPr>
          <w:iCs/>
        </w:rPr>
        <w:t xml:space="preserve"> </w:t>
      </w:r>
      <w:r w:rsidR="00596341">
        <w:rPr>
          <w:iCs/>
        </w:rPr>
        <w:t>(</w:t>
      </w:r>
      <w:r w:rsidR="00F20FE6">
        <w:rPr>
          <w:iCs/>
        </w:rPr>
        <w:t>in 2021</w:t>
      </w:r>
      <w:r w:rsidR="00596341">
        <w:rPr>
          <w:iCs/>
        </w:rPr>
        <w:t>)</w:t>
      </w:r>
      <w:r w:rsidR="00DD5B0B">
        <w:rPr>
          <w:iCs/>
        </w:rPr>
        <w:t>.</w:t>
      </w:r>
      <w:r w:rsidR="00F20FE6">
        <w:rPr>
          <w:iCs/>
        </w:rPr>
        <w:t xml:space="preserve"> This additional</w:t>
      </w:r>
      <w:r w:rsidR="00653984">
        <w:rPr>
          <w:iCs/>
        </w:rPr>
        <w:t>, or incremental</w:t>
      </w:r>
      <w:r w:rsidR="00F20FE6">
        <w:rPr>
          <w:iCs/>
        </w:rPr>
        <w:t xml:space="preserve"> </w:t>
      </w:r>
      <w:r w:rsidR="00CC0D14">
        <w:rPr>
          <w:iCs/>
        </w:rPr>
        <w:t xml:space="preserve">2021 </w:t>
      </w:r>
      <w:r w:rsidR="00F20FE6">
        <w:rPr>
          <w:iCs/>
        </w:rPr>
        <w:t>under-recovery is being proposed for recovery</w:t>
      </w:r>
      <w:r w:rsidR="00022DD6">
        <w:rPr>
          <w:iCs/>
        </w:rPr>
        <w:t xml:space="preserve"> as part of th</w:t>
      </w:r>
      <w:r w:rsidR="00653984">
        <w:rPr>
          <w:iCs/>
        </w:rPr>
        <w:t>is</w:t>
      </w:r>
      <w:r w:rsidR="00F20FE6">
        <w:rPr>
          <w:iCs/>
        </w:rPr>
        <w:t xml:space="preserve"> mid-course correction.</w:t>
      </w:r>
    </w:p>
    <w:p w:rsidR="006D252E" w:rsidRPr="00B84A97" w:rsidRDefault="00F20FE6" w:rsidP="006D252E">
      <w:pPr>
        <w:pStyle w:val="BodyText"/>
      </w:pPr>
      <w:r w:rsidRPr="00B84A97">
        <w:t xml:space="preserve">For reference, </w:t>
      </w:r>
      <w:r w:rsidR="007F45EE" w:rsidRPr="00B84A97">
        <w:t>i</w:t>
      </w:r>
      <w:r w:rsidR="006D252E" w:rsidRPr="00B84A97">
        <w:t xml:space="preserve">n its </w:t>
      </w:r>
      <w:r w:rsidR="007F45EE" w:rsidRPr="00B84A97">
        <w:rPr>
          <w:iCs/>
        </w:rPr>
        <w:t>Original 2022 Projection</w:t>
      </w:r>
      <w:r w:rsidR="006D252E" w:rsidRPr="00B84A97">
        <w:t xml:space="preserve"> filing, the Co</w:t>
      </w:r>
      <w:r w:rsidR="00D509EE" w:rsidRPr="00B84A97">
        <w:t>mpany projected that the</w:t>
      </w:r>
      <w:r w:rsidR="006D252E" w:rsidRPr="00B84A97">
        <w:t xml:space="preserve"> delive</w:t>
      </w:r>
      <w:r w:rsidR="00D509EE" w:rsidRPr="00B84A97">
        <w:t>red cost of natural gas for the months of August through December 2021 would average</w:t>
      </w:r>
      <w:r w:rsidR="004370CB" w:rsidRPr="00B84A97">
        <w:t xml:space="preserve"> approximately</w:t>
      </w:r>
      <w:r w:rsidR="006D252E" w:rsidRPr="00B84A97">
        <w:t xml:space="preserve"> $</w:t>
      </w:r>
      <w:r w:rsidR="004370CB" w:rsidRPr="00B84A97">
        <w:t>5.13</w:t>
      </w:r>
      <w:r w:rsidR="006D252E" w:rsidRPr="00B84A97">
        <w:t xml:space="preserve"> per </w:t>
      </w:r>
      <w:r w:rsidR="00596341">
        <w:t>million British thermal unit (</w:t>
      </w:r>
      <w:r w:rsidR="006D252E" w:rsidRPr="00B84A97">
        <w:t>MMBtu</w:t>
      </w:r>
      <w:r w:rsidR="00596341">
        <w:t>)</w:t>
      </w:r>
      <w:r w:rsidR="006D252E" w:rsidRPr="00B84A97">
        <w:t>. However,</w:t>
      </w:r>
      <w:r w:rsidR="00B84A97" w:rsidRPr="00B84A97">
        <w:t xml:space="preserve"> as indicated through the MCC Petition,</w:t>
      </w:r>
      <w:r w:rsidR="00560473">
        <w:t xml:space="preserve"> FPL</w:t>
      </w:r>
      <w:r w:rsidR="006D252E" w:rsidRPr="00B84A97">
        <w:t xml:space="preserve"> </w:t>
      </w:r>
      <w:r w:rsidR="00B84A97" w:rsidRPr="00B84A97">
        <w:t>now believes</w:t>
      </w:r>
      <w:r w:rsidR="00CC0D14">
        <w:t>,</w:t>
      </w:r>
      <w:r w:rsidR="00B84A97" w:rsidRPr="00B84A97">
        <w:t xml:space="preserve"> based on a mix of actual and estimated data</w:t>
      </w:r>
      <w:r w:rsidR="00CC0D14">
        <w:t>,</w:t>
      </w:r>
      <w:r w:rsidR="00B84A97" w:rsidRPr="00B84A97">
        <w:t xml:space="preserve"> that the</w:t>
      </w:r>
      <w:r w:rsidR="00D509EE" w:rsidRPr="00B84A97">
        <w:t xml:space="preserve"> </w:t>
      </w:r>
      <w:r w:rsidR="006D252E" w:rsidRPr="00B84A97">
        <w:t xml:space="preserve">cost of natural gas for </w:t>
      </w:r>
      <w:r w:rsidR="00D509EE" w:rsidRPr="00B84A97">
        <w:t>those same months will</w:t>
      </w:r>
      <w:r w:rsidR="006D252E" w:rsidRPr="00B84A97">
        <w:t xml:space="preserve"> average </w:t>
      </w:r>
      <w:r w:rsidR="004370CB" w:rsidRPr="00B84A97">
        <w:t xml:space="preserve">approximately </w:t>
      </w:r>
      <w:r w:rsidR="006D252E" w:rsidRPr="00B84A97">
        <w:t>$</w:t>
      </w:r>
      <w:r w:rsidR="004370CB" w:rsidRPr="00B84A97">
        <w:t>5.98</w:t>
      </w:r>
      <w:r w:rsidR="00440945">
        <w:t xml:space="preserve"> per MMBtu</w:t>
      </w:r>
      <w:r w:rsidR="00D509EE" w:rsidRPr="00B84A97">
        <w:t>.</w:t>
      </w:r>
      <w:r w:rsidR="00440945">
        <w:rPr>
          <w:rStyle w:val="FootnoteReference"/>
        </w:rPr>
        <w:footnoteReference w:id="8"/>
      </w:r>
      <w:r w:rsidR="00440945">
        <w:t xml:space="preserve"> This n</w:t>
      </w:r>
      <w:r w:rsidR="00950665">
        <w:t>ew projection represents a cost</w:t>
      </w:r>
      <w:r w:rsidR="00440945" w:rsidRPr="00876290">
        <w:t xml:space="preserve"> increase of</w:t>
      </w:r>
      <w:r w:rsidR="00ED0977">
        <w:t xml:space="preserve"> 16.57</w:t>
      </w:r>
      <w:r w:rsidR="00440945">
        <w:t xml:space="preserve"> percent.</w:t>
      </w:r>
    </w:p>
    <w:p w:rsidR="006D252E" w:rsidRPr="00ED4F99" w:rsidRDefault="006D252E" w:rsidP="006D252E">
      <w:pPr>
        <w:pStyle w:val="BodyText"/>
        <w:spacing w:after="0"/>
        <w:rPr>
          <w:rFonts w:ascii="Arial" w:hAnsi="Arial" w:cs="Arial"/>
          <w:b/>
          <w:i/>
        </w:rPr>
      </w:pPr>
      <w:r w:rsidRPr="00ED4F99">
        <w:rPr>
          <w:rFonts w:ascii="Arial" w:hAnsi="Arial" w:cs="Arial"/>
          <w:b/>
          <w:i/>
        </w:rPr>
        <w:t>Projected 202</w:t>
      </w:r>
      <w:r w:rsidR="00ED4F99">
        <w:rPr>
          <w:rFonts w:ascii="Arial" w:hAnsi="Arial" w:cs="Arial"/>
          <w:b/>
          <w:i/>
        </w:rPr>
        <w:t>2</w:t>
      </w:r>
      <w:r w:rsidRPr="00ED4F99">
        <w:rPr>
          <w:rFonts w:ascii="Arial" w:hAnsi="Arial" w:cs="Arial"/>
          <w:b/>
          <w:i/>
        </w:rPr>
        <w:t xml:space="preserve"> Under-Recovery</w:t>
      </w:r>
    </w:p>
    <w:p w:rsidR="00EF7CD6" w:rsidRPr="00876290" w:rsidRDefault="006D252E" w:rsidP="006D252E">
      <w:pPr>
        <w:pStyle w:val="BodyText"/>
        <w:spacing w:after="0"/>
      </w:pPr>
      <w:r w:rsidRPr="00022DD6">
        <w:t xml:space="preserve">FPL’s original/first </w:t>
      </w:r>
      <w:r w:rsidR="00F037EA" w:rsidRPr="00022DD6">
        <w:t>2022</w:t>
      </w:r>
      <w:r w:rsidR="00D509EE">
        <w:t xml:space="preserve"> fuel cost projection submitted to the Commission</w:t>
      </w:r>
      <w:r w:rsidRPr="00022DD6">
        <w:t xml:space="preserve"> for the purposes of cost recovery was </w:t>
      </w:r>
      <w:r w:rsidR="003E25E7">
        <w:t>its</w:t>
      </w:r>
      <w:r w:rsidR="00022DD6" w:rsidRPr="00022DD6">
        <w:t xml:space="preserve"> </w:t>
      </w:r>
      <w:r w:rsidR="00022DD6" w:rsidRPr="00022DD6">
        <w:rPr>
          <w:iCs/>
        </w:rPr>
        <w:t>Original 2022 Projection</w:t>
      </w:r>
      <w:r w:rsidR="00D509EE">
        <w:rPr>
          <w:iCs/>
        </w:rPr>
        <w:t xml:space="preserve"> filing</w:t>
      </w:r>
      <w:r w:rsidR="00022DD6" w:rsidRPr="00022DD6">
        <w:rPr>
          <w:rStyle w:val="FootnoteReference"/>
          <w:vertAlign w:val="baseline"/>
        </w:rPr>
        <w:t>.</w:t>
      </w:r>
      <w:r w:rsidRPr="00022DD6">
        <w:rPr>
          <w:rStyle w:val="FootnoteReference"/>
        </w:rPr>
        <w:footnoteReference w:id="9"/>
      </w:r>
      <w:r w:rsidRPr="00022DD6">
        <w:t xml:space="preserve"> This projection of 202</w:t>
      </w:r>
      <w:r w:rsidR="00F037EA" w:rsidRPr="00022DD6">
        <w:t>2</w:t>
      </w:r>
      <w:r w:rsidRPr="00022DD6">
        <w:t xml:space="preserve"> natural gas costs was formulated using forward market data as of </w:t>
      </w:r>
      <w:r w:rsidR="00F31039">
        <w:t xml:space="preserve">early </w:t>
      </w:r>
      <w:r w:rsidR="00F037EA" w:rsidRPr="00022DD6">
        <w:t xml:space="preserve">August </w:t>
      </w:r>
      <w:r w:rsidRPr="00022DD6">
        <w:t>202</w:t>
      </w:r>
      <w:r w:rsidR="00F037EA" w:rsidRPr="00022DD6">
        <w:t>1</w:t>
      </w:r>
      <w:r w:rsidRPr="00022DD6">
        <w:t>. Using</w:t>
      </w:r>
      <w:r w:rsidR="00B84A97">
        <w:t xml:space="preserve"> data sourced on</w:t>
      </w:r>
      <w:r w:rsidRPr="00022DD6">
        <w:t xml:space="preserve"> </w:t>
      </w:r>
      <w:r w:rsidR="00F037EA" w:rsidRPr="00022DD6">
        <w:t>August 2, 2021</w:t>
      </w:r>
      <w:r w:rsidRPr="00022DD6">
        <w:t>, FPL projected</w:t>
      </w:r>
      <w:r w:rsidR="007B3626" w:rsidRPr="007B3626">
        <w:t xml:space="preserve"> </w:t>
      </w:r>
      <w:r w:rsidR="007B3626">
        <w:t xml:space="preserve">for </w:t>
      </w:r>
      <w:r w:rsidR="007B3626" w:rsidRPr="00022DD6">
        <w:t xml:space="preserve">calendar year </w:t>
      </w:r>
      <w:r w:rsidR="007B3626" w:rsidRPr="00876290">
        <w:t>2022</w:t>
      </w:r>
      <w:r w:rsidRPr="00022DD6">
        <w:t xml:space="preserve"> an average natural gas cost of</w:t>
      </w:r>
      <w:r w:rsidR="00F037EA" w:rsidRPr="00022DD6">
        <w:t xml:space="preserve"> $5</w:t>
      </w:r>
      <w:r w:rsidRPr="00022DD6">
        <w:t>.</w:t>
      </w:r>
      <w:r w:rsidR="00F037EA" w:rsidRPr="00022DD6">
        <w:t>03</w:t>
      </w:r>
      <w:r w:rsidRPr="00022DD6">
        <w:t xml:space="preserve"> per MMBtu</w:t>
      </w:r>
      <w:r w:rsidR="007B3626">
        <w:t>. However, through</w:t>
      </w:r>
      <w:r w:rsidRPr="00876290">
        <w:t xml:space="preserve"> its MCC Petition, FPL now projects based on forward market data as of </w:t>
      </w:r>
      <w:r w:rsidR="00CE376F">
        <w:t xml:space="preserve">early </w:t>
      </w:r>
      <w:r w:rsidR="00022DD6" w:rsidRPr="00876290">
        <w:t>November</w:t>
      </w:r>
      <w:r w:rsidRPr="00876290">
        <w:t xml:space="preserve"> 2021</w:t>
      </w:r>
      <w:r w:rsidR="00B84A97">
        <w:t>,</w:t>
      </w:r>
      <w:r w:rsidRPr="00876290">
        <w:t xml:space="preserve"> that the average cost of natural gas in 202</w:t>
      </w:r>
      <w:r w:rsidR="00536224" w:rsidRPr="00876290">
        <w:t>2</w:t>
      </w:r>
      <w:r w:rsidR="00022DD6" w:rsidRPr="00876290">
        <w:t xml:space="preserve"> will be $5.81</w:t>
      </w:r>
      <w:r w:rsidRPr="00876290">
        <w:t xml:space="preserve"> per MMBtu.</w:t>
      </w:r>
      <w:r w:rsidR="00070B2C">
        <w:rPr>
          <w:rStyle w:val="FootnoteReference"/>
        </w:rPr>
        <w:footnoteReference w:id="10"/>
      </w:r>
      <w:r w:rsidRPr="00876290">
        <w:t xml:space="preserve"> T</w:t>
      </w:r>
      <w:r w:rsidR="00950665">
        <w:t>his new projection represents a cost</w:t>
      </w:r>
      <w:r w:rsidRPr="00876290">
        <w:t xml:space="preserve"> increase of</w:t>
      </w:r>
      <w:r w:rsidR="00D509EE" w:rsidRPr="00876290">
        <w:t xml:space="preserve"> 15</w:t>
      </w:r>
      <w:r w:rsidRPr="00876290">
        <w:t>.</w:t>
      </w:r>
      <w:r w:rsidR="00D509EE" w:rsidRPr="00876290">
        <w:t>5</w:t>
      </w:r>
      <w:r w:rsidR="00ED0977">
        <w:t>1</w:t>
      </w:r>
      <w:r w:rsidRPr="00876290">
        <w:t xml:space="preserve"> percent.</w:t>
      </w:r>
    </w:p>
    <w:p w:rsidR="006D252E" w:rsidRPr="00E54011" w:rsidRDefault="00EF7CD6" w:rsidP="006D252E">
      <w:pPr>
        <w:pStyle w:val="BodyText"/>
        <w:spacing w:after="0"/>
      </w:pPr>
      <w:r w:rsidRPr="00E54011">
        <w:t xml:space="preserve"> </w:t>
      </w:r>
    </w:p>
    <w:p w:rsidR="006D252E" w:rsidRPr="00E54011" w:rsidRDefault="006D252E" w:rsidP="006D252E">
      <w:pPr>
        <w:pStyle w:val="BodyText"/>
        <w:spacing w:after="0"/>
      </w:pPr>
      <w:r w:rsidRPr="00E54011">
        <w:t xml:space="preserve">In Table 1-1 below, staff displays the revenue </w:t>
      </w:r>
      <w:r w:rsidR="00F60CE3">
        <w:t>requirement</w:t>
      </w:r>
      <w:r w:rsidRPr="00E54011">
        <w:t xml:space="preserve">s </w:t>
      </w:r>
      <w:r w:rsidR="00E54011" w:rsidRPr="00E54011">
        <w:t>associated with</w:t>
      </w:r>
      <w:r w:rsidRPr="00E54011">
        <w:t xml:space="preserve"> the original and updated 202</w:t>
      </w:r>
      <w:r w:rsidR="004D518E">
        <w:t>2</w:t>
      </w:r>
      <w:r w:rsidRPr="00E54011">
        <w:t xml:space="preserve"> projections</w:t>
      </w:r>
      <w:r w:rsidR="00F60CE3">
        <w:t>, as well as the components</w:t>
      </w:r>
      <w:r w:rsidR="0007016D" w:rsidRPr="00E54011">
        <w:t xml:space="preserve"> of the</w:t>
      </w:r>
      <w:r w:rsidR="00F60CE3">
        <w:t xml:space="preserve"> total</w:t>
      </w:r>
      <w:r w:rsidR="0007016D" w:rsidRPr="00E54011">
        <w:t xml:space="preserve"> </w:t>
      </w:r>
      <w:r w:rsidR="00070B2C" w:rsidRPr="00E54011">
        <w:t>mid-course correction true-</w:t>
      </w:r>
      <w:r w:rsidR="0007016D" w:rsidRPr="00E54011">
        <w:t>up amount</w:t>
      </w:r>
      <w:r w:rsidR="00ED0977">
        <w:t xml:space="preserve"> (estima</w:t>
      </w:r>
      <w:r w:rsidR="00E54011" w:rsidRPr="00E54011">
        <w:t>ted 202</w:t>
      </w:r>
      <w:r w:rsidR="00ED0977">
        <w:t>2 End-of-Period Total Net True-u</w:t>
      </w:r>
      <w:r w:rsidR="00E54011" w:rsidRPr="00E54011">
        <w:t>p)</w:t>
      </w:r>
      <w:r w:rsidR="0007016D" w:rsidRPr="00E54011">
        <w:t xml:space="preserve">. </w:t>
      </w:r>
    </w:p>
    <w:p w:rsidR="006D252E" w:rsidRDefault="006D252E" w:rsidP="006D252E">
      <w:pPr>
        <w:pStyle w:val="BodyText"/>
        <w:spacing w:after="0"/>
        <w:rPr>
          <w:highlight w:val="yellow"/>
        </w:rPr>
      </w:pPr>
    </w:p>
    <w:p w:rsidR="009A0E83" w:rsidRPr="004B191B" w:rsidRDefault="009A0E83" w:rsidP="006D252E">
      <w:pPr>
        <w:pStyle w:val="BodyText"/>
        <w:spacing w:after="0"/>
        <w:rPr>
          <w:highlight w:val="yellow"/>
        </w:rPr>
      </w:pPr>
    </w:p>
    <w:tbl>
      <w:tblPr>
        <w:tblStyle w:val="TableGrid"/>
        <w:tblW w:w="4887" w:type="pct"/>
        <w:tblInd w:w="108" w:type="dxa"/>
        <w:tblLook w:val="04A0" w:firstRow="1" w:lastRow="0" w:firstColumn="1" w:lastColumn="0" w:noHBand="0" w:noVBand="1"/>
      </w:tblPr>
      <w:tblGrid>
        <w:gridCol w:w="4572"/>
        <w:gridCol w:w="1612"/>
        <w:gridCol w:w="1572"/>
        <w:gridCol w:w="1604"/>
      </w:tblGrid>
      <w:tr w:rsidR="006D252E" w:rsidRPr="004B191B" w:rsidTr="003176DE">
        <w:tc>
          <w:tcPr>
            <w:tcW w:w="5000" w:type="pct"/>
            <w:gridSpan w:val="4"/>
            <w:tcBorders>
              <w:top w:val="nil"/>
              <w:left w:val="nil"/>
              <w:bottom w:val="nil"/>
              <w:right w:val="nil"/>
            </w:tcBorders>
            <w:vAlign w:val="center"/>
          </w:tcPr>
          <w:p w:rsidR="006D252E" w:rsidRPr="007954A7" w:rsidRDefault="006D252E" w:rsidP="003176DE">
            <w:pPr>
              <w:jc w:val="center"/>
              <w:rPr>
                <w:rFonts w:ascii="Arial" w:hAnsi="Arial" w:cs="Arial"/>
                <w:b/>
                <w:bCs/>
                <w:color w:val="000000"/>
              </w:rPr>
            </w:pPr>
            <w:r w:rsidRPr="007954A7">
              <w:rPr>
                <w:rFonts w:ascii="Arial" w:hAnsi="Arial" w:cs="Arial"/>
                <w:b/>
                <w:bCs/>
                <w:color w:val="000000"/>
              </w:rPr>
              <w:t>Table 1-1</w:t>
            </w:r>
          </w:p>
        </w:tc>
      </w:tr>
      <w:tr w:rsidR="006D252E" w:rsidRPr="004B191B" w:rsidTr="003176DE">
        <w:tc>
          <w:tcPr>
            <w:tcW w:w="5000" w:type="pct"/>
            <w:gridSpan w:val="4"/>
            <w:tcBorders>
              <w:top w:val="nil"/>
              <w:left w:val="nil"/>
              <w:bottom w:val="single" w:sz="4" w:space="0" w:color="auto"/>
              <w:right w:val="nil"/>
            </w:tcBorders>
            <w:vAlign w:val="center"/>
          </w:tcPr>
          <w:p w:rsidR="006D252E" w:rsidRPr="007954A7" w:rsidRDefault="00004148" w:rsidP="003176DE">
            <w:pPr>
              <w:jc w:val="center"/>
              <w:rPr>
                <w:rFonts w:ascii="Arial" w:hAnsi="Arial" w:cs="Arial"/>
                <w:b/>
                <w:bCs/>
                <w:color w:val="000000"/>
              </w:rPr>
            </w:pPr>
            <w:r>
              <w:rPr>
                <w:rFonts w:ascii="Arial" w:hAnsi="Arial" w:cs="Arial"/>
                <w:b/>
                <w:bCs/>
                <w:color w:val="000000"/>
              </w:rPr>
              <w:t>Mid-Course Correction</w:t>
            </w:r>
          </w:p>
        </w:tc>
      </w:tr>
      <w:tr w:rsidR="006D252E" w:rsidRPr="004B191B" w:rsidTr="00B3501B">
        <w:tc>
          <w:tcPr>
            <w:tcW w:w="2442" w:type="pct"/>
            <w:tcBorders>
              <w:top w:val="single" w:sz="4" w:space="0" w:color="auto"/>
            </w:tcBorders>
            <w:vAlign w:val="center"/>
          </w:tcPr>
          <w:p w:rsidR="006D252E" w:rsidRPr="007954A7" w:rsidRDefault="006D252E" w:rsidP="003176DE">
            <w:pPr>
              <w:jc w:val="center"/>
              <w:rPr>
                <w:b/>
                <w:sz w:val="22"/>
                <w:szCs w:val="22"/>
              </w:rPr>
            </w:pPr>
            <w:r w:rsidRPr="007954A7">
              <w:rPr>
                <w:b/>
                <w:sz w:val="22"/>
                <w:szCs w:val="22"/>
              </w:rPr>
              <w:t>Category</w:t>
            </w:r>
          </w:p>
        </w:tc>
        <w:tc>
          <w:tcPr>
            <w:tcW w:w="861" w:type="pct"/>
            <w:tcBorders>
              <w:top w:val="single" w:sz="4" w:space="0" w:color="auto"/>
            </w:tcBorders>
            <w:vAlign w:val="center"/>
          </w:tcPr>
          <w:p w:rsidR="006D252E" w:rsidRPr="007954A7" w:rsidRDefault="006D252E" w:rsidP="003176DE">
            <w:pPr>
              <w:jc w:val="center"/>
              <w:rPr>
                <w:b/>
                <w:sz w:val="22"/>
                <w:szCs w:val="22"/>
              </w:rPr>
            </w:pPr>
            <w:r w:rsidRPr="007954A7">
              <w:rPr>
                <w:b/>
                <w:sz w:val="22"/>
                <w:szCs w:val="22"/>
              </w:rPr>
              <w:t>Original Projection</w:t>
            </w:r>
          </w:p>
          <w:p w:rsidR="006D252E" w:rsidRPr="007954A7" w:rsidRDefault="006D252E" w:rsidP="003176DE">
            <w:pPr>
              <w:jc w:val="center"/>
              <w:rPr>
                <w:b/>
                <w:sz w:val="22"/>
                <w:szCs w:val="22"/>
              </w:rPr>
            </w:pPr>
            <w:r w:rsidRPr="007954A7">
              <w:rPr>
                <w:b/>
                <w:sz w:val="22"/>
                <w:szCs w:val="22"/>
              </w:rPr>
              <w:t>($)</w:t>
            </w:r>
          </w:p>
        </w:tc>
        <w:tc>
          <w:tcPr>
            <w:tcW w:w="840" w:type="pct"/>
            <w:tcBorders>
              <w:top w:val="single" w:sz="4" w:space="0" w:color="auto"/>
            </w:tcBorders>
            <w:vAlign w:val="center"/>
          </w:tcPr>
          <w:p w:rsidR="006D252E" w:rsidRPr="007954A7" w:rsidRDefault="006D252E" w:rsidP="003176DE">
            <w:pPr>
              <w:jc w:val="center"/>
              <w:rPr>
                <w:b/>
                <w:sz w:val="22"/>
                <w:szCs w:val="22"/>
              </w:rPr>
            </w:pPr>
            <w:r w:rsidRPr="007954A7">
              <w:rPr>
                <w:b/>
                <w:sz w:val="22"/>
                <w:szCs w:val="22"/>
              </w:rPr>
              <w:t>Mid-Course</w:t>
            </w:r>
          </w:p>
          <w:p w:rsidR="006D252E" w:rsidRPr="007954A7" w:rsidRDefault="006D252E" w:rsidP="003176DE">
            <w:pPr>
              <w:jc w:val="center"/>
              <w:rPr>
                <w:b/>
                <w:sz w:val="22"/>
                <w:szCs w:val="22"/>
              </w:rPr>
            </w:pPr>
            <w:r w:rsidRPr="007954A7">
              <w:rPr>
                <w:b/>
                <w:sz w:val="22"/>
                <w:szCs w:val="22"/>
              </w:rPr>
              <w:t>Projection</w:t>
            </w:r>
          </w:p>
          <w:p w:rsidR="006D252E" w:rsidRPr="007954A7" w:rsidRDefault="006D252E" w:rsidP="003176DE">
            <w:pPr>
              <w:jc w:val="center"/>
              <w:rPr>
                <w:b/>
                <w:sz w:val="22"/>
                <w:szCs w:val="22"/>
              </w:rPr>
            </w:pPr>
            <w:r w:rsidRPr="007954A7">
              <w:rPr>
                <w:b/>
                <w:sz w:val="22"/>
                <w:szCs w:val="22"/>
              </w:rPr>
              <w:t>($)</w:t>
            </w:r>
          </w:p>
        </w:tc>
        <w:tc>
          <w:tcPr>
            <w:tcW w:w="857" w:type="pct"/>
            <w:tcBorders>
              <w:top w:val="single" w:sz="4" w:space="0" w:color="auto"/>
            </w:tcBorders>
            <w:vAlign w:val="center"/>
          </w:tcPr>
          <w:p w:rsidR="006D252E" w:rsidRPr="007954A7" w:rsidRDefault="006D252E" w:rsidP="003176DE">
            <w:pPr>
              <w:jc w:val="center"/>
              <w:rPr>
                <w:b/>
                <w:sz w:val="22"/>
                <w:szCs w:val="22"/>
              </w:rPr>
            </w:pPr>
            <w:r w:rsidRPr="007954A7">
              <w:rPr>
                <w:b/>
                <w:sz w:val="22"/>
                <w:szCs w:val="22"/>
              </w:rPr>
              <w:t>Difference from Original Projection</w:t>
            </w:r>
          </w:p>
          <w:p w:rsidR="006D252E" w:rsidRPr="007954A7" w:rsidRDefault="006D252E" w:rsidP="003176DE">
            <w:pPr>
              <w:jc w:val="center"/>
              <w:rPr>
                <w:b/>
                <w:sz w:val="22"/>
                <w:szCs w:val="22"/>
              </w:rPr>
            </w:pPr>
            <w:r w:rsidRPr="007954A7">
              <w:rPr>
                <w:b/>
                <w:sz w:val="22"/>
                <w:szCs w:val="22"/>
              </w:rPr>
              <w:t>(%)</w:t>
            </w:r>
          </w:p>
        </w:tc>
      </w:tr>
      <w:tr w:rsidR="00B3501B" w:rsidRPr="004B191B" w:rsidTr="00004148">
        <w:trPr>
          <w:trHeight w:val="395"/>
        </w:trPr>
        <w:tc>
          <w:tcPr>
            <w:tcW w:w="2442" w:type="pct"/>
            <w:vAlign w:val="bottom"/>
          </w:tcPr>
          <w:p w:rsidR="00B3501B" w:rsidRPr="00004148" w:rsidRDefault="00B3501B" w:rsidP="00004148">
            <w:pPr>
              <w:rPr>
                <w:sz w:val="22"/>
                <w:szCs w:val="22"/>
              </w:rPr>
            </w:pPr>
            <w:r w:rsidRPr="00004148">
              <w:rPr>
                <w:sz w:val="22"/>
                <w:szCs w:val="22"/>
              </w:rPr>
              <w:t xml:space="preserve">Total </w:t>
            </w:r>
            <w:r w:rsidR="00A879A0" w:rsidRPr="00004148">
              <w:rPr>
                <w:sz w:val="22"/>
                <w:szCs w:val="22"/>
              </w:rPr>
              <w:t>Fuel Revenue Requirement</w:t>
            </w:r>
            <w:r w:rsidR="00D51534" w:rsidRPr="00004148">
              <w:rPr>
                <w:sz w:val="22"/>
                <w:szCs w:val="22"/>
              </w:rPr>
              <w:t xml:space="preserve"> for 2022</w:t>
            </w:r>
            <w:r w:rsidR="00004148">
              <w:rPr>
                <w:rStyle w:val="FootnoteReference"/>
                <w:sz w:val="22"/>
                <w:szCs w:val="22"/>
              </w:rPr>
              <w:footnoteReference w:id="11"/>
            </w:r>
          </w:p>
        </w:tc>
        <w:tc>
          <w:tcPr>
            <w:tcW w:w="861" w:type="pct"/>
            <w:vAlign w:val="bottom"/>
          </w:tcPr>
          <w:p w:rsidR="00B3501B" w:rsidRPr="00004148" w:rsidRDefault="00B3501B" w:rsidP="00CC6EFD">
            <w:pPr>
              <w:jc w:val="right"/>
              <w:rPr>
                <w:sz w:val="22"/>
                <w:szCs w:val="22"/>
              </w:rPr>
            </w:pPr>
            <w:r w:rsidRPr="00004148">
              <w:rPr>
                <w:sz w:val="22"/>
                <w:szCs w:val="22"/>
              </w:rPr>
              <w:t xml:space="preserve"> 3,824,311,080 </w:t>
            </w:r>
          </w:p>
        </w:tc>
        <w:tc>
          <w:tcPr>
            <w:tcW w:w="840" w:type="pct"/>
            <w:vAlign w:val="bottom"/>
          </w:tcPr>
          <w:p w:rsidR="00B3501B" w:rsidRPr="00004148" w:rsidRDefault="00A879A0" w:rsidP="00CC6EFD">
            <w:pPr>
              <w:jc w:val="right"/>
              <w:rPr>
                <w:sz w:val="22"/>
                <w:szCs w:val="22"/>
              </w:rPr>
            </w:pPr>
            <w:r w:rsidRPr="00004148">
              <w:rPr>
                <w:sz w:val="22"/>
                <w:szCs w:val="22"/>
              </w:rPr>
              <w:t xml:space="preserve"> 4,634,286,887</w:t>
            </w:r>
          </w:p>
        </w:tc>
        <w:tc>
          <w:tcPr>
            <w:tcW w:w="857" w:type="pct"/>
            <w:vAlign w:val="bottom"/>
          </w:tcPr>
          <w:p w:rsidR="00B3501B" w:rsidRPr="00004148" w:rsidRDefault="00ED0977" w:rsidP="00B3501B">
            <w:pPr>
              <w:jc w:val="right"/>
              <w:rPr>
                <w:sz w:val="22"/>
                <w:szCs w:val="22"/>
              </w:rPr>
            </w:pPr>
            <w:r>
              <w:rPr>
                <w:sz w:val="22"/>
                <w:szCs w:val="22"/>
              </w:rPr>
              <w:t>21.18</w:t>
            </w:r>
          </w:p>
        </w:tc>
      </w:tr>
      <w:tr w:rsidR="00B3501B" w:rsidRPr="004B191B" w:rsidTr="00B3501B">
        <w:trPr>
          <w:trHeight w:val="350"/>
        </w:trPr>
        <w:tc>
          <w:tcPr>
            <w:tcW w:w="2442" w:type="pct"/>
            <w:vAlign w:val="bottom"/>
          </w:tcPr>
          <w:p w:rsidR="00B3501B" w:rsidRPr="00004148" w:rsidRDefault="00B3501B" w:rsidP="00B3501B">
            <w:pPr>
              <w:rPr>
                <w:sz w:val="22"/>
                <w:szCs w:val="22"/>
              </w:rPr>
            </w:pPr>
            <w:r w:rsidRPr="00004148">
              <w:rPr>
                <w:sz w:val="22"/>
                <w:szCs w:val="22"/>
              </w:rPr>
              <w:t>Incremental 2021 Actual/Estimated True-Up</w:t>
            </w:r>
          </w:p>
        </w:tc>
        <w:tc>
          <w:tcPr>
            <w:tcW w:w="861" w:type="pct"/>
            <w:vAlign w:val="bottom"/>
          </w:tcPr>
          <w:p w:rsidR="00B3501B" w:rsidRPr="00004148" w:rsidRDefault="00B3501B" w:rsidP="00B3501B">
            <w:pPr>
              <w:jc w:val="right"/>
              <w:rPr>
                <w:sz w:val="22"/>
                <w:szCs w:val="22"/>
              </w:rPr>
            </w:pPr>
            <w:r w:rsidRPr="00004148">
              <w:rPr>
                <w:sz w:val="22"/>
                <w:szCs w:val="22"/>
              </w:rPr>
              <w:t>-</w:t>
            </w:r>
          </w:p>
        </w:tc>
        <w:tc>
          <w:tcPr>
            <w:tcW w:w="840" w:type="pct"/>
            <w:vAlign w:val="bottom"/>
          </w:tcPr>
          <w:p w:rsidR="00B3501B" w:rsidRPr="0040693F" w:rsidRDefault="00B3501B" w:rsidP="00B3501B">
            <w:pPr>
              <w:jc w:val="right"/>
              <w:rPr>
                <w:sz w:val="22"/>
                <w:szCs w:val="22"/>
              </w:rPr>
            </w:pPr>
            <w:r w:rsidRPr="0040693F">
              <w:rPr>
                <w:sz w:val="22"/>
                <w:szCs w:val="22"/>
              </w:rPr>
              <w:t xml:space="preserve"> (329,554,231)</w:t>
            </w:r>
          </w:p>
        </w:tc>
        <w:tc>
          <w:tcPr>
            <w:tcW w:w="857" w:type="pct"/>
            <w:vAlign w:val="bottom"/>
          </w:tcPr>
          <w:p w:rsidR="00B3501B" w:rsidRPr="00004148" w:rsidRDefault="00B3501B" w:rsidP="00B3501B">
            <w:pPr>
              <w:jc w:val="right"/>
              <w:rPr>
                <w:sz w:val="22"/>
                <w:szCs w:val="22"/>
              </w:rPr>
            </w:pPr>
            <w:r w:rsidRPr="00004148">
              <w:rPr>
                <w:sz w:val="22"/>
                <w:szCs w:val="22"/>
              </w:rPr>
              <w:t>-</w:t>
            </w:r>
          </w:p>
        </w:tc>
      </w:tr>
      <w:tr w:rsidR="00B3501B" w:rsidRPr="004B191B" w:rsidTr="00B3501B">
        <w:trPr>
          <w:trHeight w:val="359"/>
        </w:trPr>
        <w:tc>
          <w:tcPr>
            <w:tcW w:w="2442" w:type="pct"/>
            <w:vAlign w:val="bottom"/>
          </w:tcPr>
          <w:p w:rsidR="00B3501B" w:rsidRPr="00004148" w:rsidRDefault="00B3501B" w:rsidP="00B3501B">
            <w:pPr>
              <w:rPr>
                <w:sz w:val="22"/>
                <w:szCs w:val="22"/>
              </w:rPr>
            </w:pPr>
            <w:r w:rsidRPr="00004148">
              <w:rPr>
                <w:sz w:val="22"/>
                <w:szCs w:val="22"/>
              </w:rPr>
              <w:t>2022 True-Up</w:t>
            </w:r>
          </w:p>
        </w:tc>
        <w:tc>
          <w:tcPr>
            <w:tcW w:w="861" w:type="pct"/>
            <w:vAlign w:val="bottom"/>
          </w:tcPr>
          <w:p w:rsidR="00B3501B" w:rsidRPr="00004148" w:rsidRDefault="00B3501B" w:rsidP="00B3501B">
            <w:pPr>
              <w:jc w:val="right"/>
              <w:rPr>
                <w:sz w:val="22"/>
                <w:szCs w:val="22"/>
              </w:rPr>
            </w:pPr>
            <w:r w:rsidRPr="00004148">
              <w:rPr>
                <w:sz w:val="22"/>
                <w:szCs w:val="22"/>
              </w:rPr>
              <w:t>-</w:t>
            </w:r>
          </w:p>
        </w:tc>
        <w:tc>
          <w:tcPr>
            <w:tcW w:w="840" w:type="pct"/>
            <w:vAlign w:val="bottom"/>
          </w:tcPr>
          <w:p w:rsidR="00B3501B" w:rsidRPr="0040693F" w:rsidRDefault="00B3501B" w:rsidP="00B3501B">
            <w:pPr>
              <w:jc w:val="right"/>
              <w:rPr>
                <w:sz w:val="22"/>
                <w:szCs w:val="22"/>
              </w:rPr>
            </w:pPr>
            <w:r w:rsidRPr="0040693F">
              <w:rPr>
                <w:sz w:val="22"/>
                <w:szCs w:val="22"/>
              </w:rPr>
              <w:t xml:space="preserve"> (479,843,545)</w:t>
            </w:r>
          </w:p>
        </w:tc>
        <w:tc>
          <w:tcPr>
            <w:tcW w:w="857" w:type="pct"/>
            <w:vAlign w:val="bottom"/>
          </w:tcPr>
          <w:p w:rsidR="00B3501B" w:rsidRPr="00004148" w:rsidRDefault="00B3501B" w:rsidP="00B3501B">
            <w:pPr>
              <w:jc w:val="right"/>
              <w:rPr>
                <w:sz w:val="22"/>
                <w:szCs w:val="22"/>
              </w:rPr>
            </w:pPr>
            <w:r w:rsidRPr="00004148">
              <w:rPr>
                <w:sz w:val="22"/>
                <w:szCs w:val="22"/>
              </w:rPr>
              <w:t>-</w:t>
            </w:r>
          </w:p>
        </w:tc>
      </w:tr>
      <w:tr w:rsidR="00B3501B" w:rsidRPr="004B191B" w:rsidTr="00B3501B">
        <w:trPr>
          <w:trHeight w:val="341"/>
        </w:trPr>
        <w:tc>
          <w:tcPr>
            <w:tcW w:w="2442" w:type="pct"/>
            <w:vAlign w:val="bottom"/>
          </w:tcPr>
          <w:p w:rsidR="00B3501B" w:rsidRPr="00004148" w:rsidRDefault="00B3501B" w:rsidP="00B3501B">
            <w:pPr>
              <w:rPr>
                <w:sz w:val="22"/>
                <w:szCs w:val="22"/>
              </w:rPr>
            </w:pPr>
            <w:r w:rsidRPr="00004148">
              <w:rPr>
                <w:sz w:val="22"/>
                <w:szCs w:val="22"/>
              </w:rPr>
              <w:t>Interest Provision</w:t>
            </w:r>
          </w:p>
        </w:tc>
        <w:tc>
          <w:tcPr>
            <w:tcW w:w="861" w:type="pct"/>
            <w:vAlign w:val="bottom"/>
          </w:tcPr>
          <w:p w:rsidR="00B3501B" w:rsidRPr="00004148" w:rsidRDefault="00B3501B" w:rsidP="00B3501B">
            <w:pPr>
              <w:jc w:val="right"/>
              <w:rPr>
                <w:sz w:val="22"/>
                <w:szCs w:val="22"/>
              </w:rPr>
            </w:pPr>
            <w:r w:rsidRPr="00004148">
              <w:rPr>
                <w:sz w:val="22"/>
                <w:szCs w:val="22"/>
              </w:rPr>
              <w:t>-</w:t>
            </w:r>
          </w:p>
        </w:tc>
        <w:tc>
          <w:tcPr>
            <w:tcW w:w="840" w:type="pct"/>
            <w:vAlign w:val="bottom"/>
          </w:tcPr>
          <w:p w:rsidR="00B3501B" w:rsidRPr="0040693F" w:rsidRDefault="00B3501B" w:rsidP="00B3501B">
            <w:pPr>
              <w:jc w:val="right"/>
              <w:rPr>
                <w:sz w:val="22"/>
                <w:szCs w:val="22"/>
              </w:rPr>
            </w:pPr>
            <w:r w:rsidRPr="0040693F">
              <w:rPr>
                <w:sz w:val="22"/>
                <w:szCs w:val="22"/>
              </w:rPr>
              <w:t xml:space="preserve"> (578,030)</w:t>
            </w:r>
          </w:p>
        </w:tc>
        <w:tc>
          <w:tcPr>
            <w:tcW w:w="857" w:type="pct"/>
            <w:vAlign w:val="bottom"/>
          </w:tcPr>
          <w:p w:rsidR="00B3501B" w:rsidRPr="00004148" w:rsidRDefault="00B3501B" w:rsidP="00B3501B">
            <w:pPr>
              <w:jc w:val="right"/>
              <w:rPr>
                <w:sz w:val="22"/>
                <w:szCs w:val="22"/>
              </w:rPr>
            </w:pPr>
            <w:r w:rsidRPr="00004148">
              <w:rPr>
                <w:sz w:val="22"/>
                <w:szCs w:val="22"/>
              </w:rPr>
              <w:t>-</w:t>
            </w:r>
          </w:p>
        </w:tc>
      </w:tr>
      <w:tr w:rsidR="00B3501B" w:rsidRPr="004B191B" w:rsidTr="00B3501B">
        <w:trPr>
          <w:trHeight w:val="359"/>
        </w:trPr>
        <w:tc>
          <w:tcPr>
            <w:tcW w:w="2442" w:type="pct"/>
            <w:vAlign w:val="bottom"/>
          </w:tcPr>
          <w:p w:rsidR="00B3501B" w:rsidRPr="00004148" w:rsidRDefault="00ED0977" w:rsidP="00ED0977">
            <w:pPr>
              <w:rPr>
                <w:sz w:val="22"/>
                <w:szCs w:val="22"/>
              </w:rPr>
            </w:pPr>
            <w:r>
              <w:rPr>
                <w:sz w:val="22"/>
                <w:szCs w:val="22"/>
              </w:rPr>
              <w:t>Estimat</w:t>
            </w:r>
            <w:r w:rsidR="009A0E83">
              <w:rPr>
                <w:sz w:val="22"/>
                <w:szCs w:val="22"/>
              </w:rPr>
              <w:t>ed 2022 End-of-</w:t>
            </w:r>
            <w:r w:rsidR="00B3501B" w:rsidRPr="00004148">
              <w:rPr>
                <w:sz w:val="22"/>
                <w:szCs w:val="22"/>
              </w:rPr>
              <w:t>Period Total Net True-</w:t>
            </w:r>
            <w:r>
              <w:rPr>
                <w:sz w:val="22"/>
                <w:szCs w:val="22"/>
              </w:rPr>
              <w:t>u</w:t>
            </w:r>
            <w:r w:rsidR="00B3501B" w:rsidRPr="00004148">
              <w:rPr>
                <w:sz w:val="22"/>
                <w:szCs w:val="22"/>
              </w:rPr>
              <w:t>p</w:t>
            </w:r>
          </w:p>
        </w:tc>
        <w:tc>
          <w:tcPr>
            <w:tcW w:w="861" w:type="pct"/>
            <w:vAlign w:val="bottom"/>
          </w:tcPr>
          <w:p w:rsidR="00B3501B" w:rsidRPr="00004148" w:rsidRDefault="00B3501B" w:rsidP="00B3501B">
            <w:pPr>
              <w:jc w:val="right"/>
              <w:rPr>
                <w:sz w:val="22"/>
                <w:szCs w:val="22"/>
              </w:rPr>
            </w:pPr>
            <w:r w:rsidRPr="00004148">
              <w:rPr>
                <w:sz w:val="22"/>
                <w:szCs w:val="22"/>
              </w:rPr>
              <w:t>-</w:t>
            </w:r>
          </w:p>
        </w:tc>
        <w:tc>
          <w:tcPr>
            <w:tcW w:w="840" w:type="pct"/>
            <w:vAlign w:val="bottom"/>
          </w:tcPr>
          <w:p w:rsidR="00B3501B" w:rsidRPr="0040693F" w:rsidRDefault="00CC6EFD" w:rsidP="00B3501B">
            <w:pPr>
              <w:jc w:val="right"/>
              <w:rPr>
                <w:sz w:val="22"/>
                <w:szCs w:val="22"/>
              </w:rPr>
            </w:pPr>
            <w:r w:rsidRPr="0040693F">
              <w:rPr>
                <w:sz w:val="22"/>
                <w:szCs w:val="22"/>
              </w:rPr>
              <w:t>(</w:t>
            </w:r>
            <w:r w:rsidR="00B3501B" w:rsidRPr="0040693F">
              <w:rPr>
                <w:sz w:val="22"/>
                <w:szCs w:val="22"/>
              </w:rPr>
              <w:t>809,975,806)</w:t>
            </w:r>
          </w:p>
        </w:tc>
        <w:tc>
          <w:tcPr>
            <w:tcW w:w="857" w:type="pct"/>
            <w:vAlign w:val="bottom"/>
          </w:tcPr>
          <w:p w:rsidR="00B3501B" w:rsidRPr="00004148" w:rsidRDefault="00B3501B" w:rsidP="00B3501B">
            <w:pPr>
              <w:jc w:val="right"/>
              <w:rPr>
                <w:sz w:val="22"/>
                <w:szCs w:val="22"/>
              </w:rPr>
            </w:pPr>
            <w:r w:rsidRPr="00004148">
              <w:rPr>
                <w:sz w:val="22"/>
                <w:szCs w:val="22"/>
              </w:rPr>
              <w:t>-</w:t>
            </w:r>
          </w:p>
        </w:tc>
      </w:tr>
    </w:tbl>
    <w:p w:rsidR="006D252E" w:rsidRPr="004B191B" w:rsidRDefault="006D252E" w:rsidP="006D252E">
      <w:pPr>
        <w:pStyle w:val="FootnoteText"/>
        <w:rPr>
          <w:highlight w:val="yellow"/>
        </w:rPr>
      </w:pPr>
      <w:r w:rsidRPr="00F36F3F">
        <w:t>Source</w:t>
      </w:r>
      <w:r w:rsidR="00F36F3F" w:rsidRPr="00F36F3F">
        <w:t>s</w:t>
      </w:r>
      <w:r w:rsidRPr="00F36F3F">
        <w:t>:</w:t>
      </w:r>
      <w:r w:rsidR="00F36F3F" w:rsidRPr="00F36F3F">
        <w:t xml:space="preserve"> FPL’s </w:t>
      </w:r>
      <w:r w:rsidR="00F36F3F" w:rsidRPr="00F36F3F">
        <w:rPr>
          <w:iCs/>
        </w:rPr>
        <w:t>Original 2022 Projection, Schedule E-1, and</w:t>
      </w:r>
      <w:r w:rsidRPr="00F36F3F">
        <w:t xml:space="preserve"> FPL</w:t>
      </w:r>
      <w:r w:rsidR="00902D98">
        <w:t>’s</w:t>
      </w:r>
      <w:r w:rsidRPr="00F36F3F">
        <w:t xml:space="preserve"> MCC Petition, </w:t>
      </w:r>
      <w:r w:rsidR="00F60CE3">
        <w:t>Schedule E1-B</w:t>
      </w:r>
      <w:r w:rsidRPr="00F36F3F">
        <w:t>.</w:t>
      </w:r>
    </w:p>
    <w:p w:rsidR="006D252E" w:rsidRDefault="006D252E" w:rsidP="006D252E">
      <w:pPr>
        <w:pStyle w:val="BodyText"/>
        <w:spacing w:after="0"/>
        <w:rPr>
          <w:highlight w:val="yellow"/>
        </w:rPr>
      </w:pPr>
    </w:p>
    <w:p w:rsidR="009A0E83" w:rsidRPr="004B191B" w:rsidRDefault="009A0E83" w:rsidP="006D252E">
      <w:pPr>
        <w:pStyle w:val="BodyText"/>
        <w:spacing w:after="0"/>
        <w:rPr>
          <w:highlight w:val="yellow"/>
        </w:rPr>
      </w:pPr>
    </w:p>
    <w:p w:rsidR="006D252E" w:rsidRPr="004B191B" w:rsidRDefault="006D252E" w:rsidP="006D252E">
      <w:pPr>
        <w:pStyle w:val="BodyText"/>
        <w:spacing w:after="0"/>
        <w:rPr>
          <w:highlight w:val="yellow"/>
        </w:rPr>
      </w:pPr>
      <w:r w:rsidRPr="007954A7">
        <w:t>Following the methodology prescribed in Rule 25-6.0424, F.A.C., the mid-course percen</w:t>
      </w:r>
      <w:r w:rsidR="009A0E83">
        <w:t>tage is equal to the estimated End-of-Period Total Net T</w:t>
      </w:r>
      <w:r w:rsidR="00ED0977">
        <w:t>ru</w:t>
      </w:r>
      <w:r w:rsidRPr="007954A7">
        <w:t>e-up amount, including interest, divided by the current period’s</w:t>
      </w:r>
      <w:r w:rsidR="0007016D">
        <w:t xml:space="preserve"> (in this instance, calendar year 2022)</w:t>
      </w:r>
      <w:r w:rsidRPr="007954A7">
        <w:t xml:space="preserve"> total actual and estimated jurisdictional fuel revenue applicable to period, or </w:t>
      </w:r>
      <w:r w:rsidR="00B84A97" w:rsidRPr="00E55064">
        <w:t>($809,975,806</w:t>
      </w:r>
      <w:r w:rsidRPr="00E55064">
        <w:t>) / $</w:t>
      </w:r>
      <w:r w:rsidR="00B84A97" w:rsidRPr="00E55064">
        <w:t>3,348,352,960</w:t>
      </w:r>
      <w:r w:rsidRPr="00E55064">
        <w:t>.</w:t>
      </w:r>
      <w:r w:rsidR="00F31039">
        <w:rPr>
          <w:rStyle w:val="FootnoteReference"/>
        </w:rPr>
        <w:footnoteReference w:id="12"/>
      </w:r>
      <w:r w:rsidRPr="00E55064">
        <w:t xml:space="preserve"> This calculation results in a mid-course correction level of</w:t>
      </w:r>
      <w:r w:rsidR="00B84A97" w:rsidRPr="00E55064">
        <w:t xml:space="preserve"> (24</w:t>
      </w:r>
      <w:r w:rsidR="00284235" w:rsidRPr="00E55064">
        <w:t>.</w:t>
      </w:r>
      <w:r w:rsidR="00ED0977">
        <w:t>19</w:t>
      </w:r>
      <w:r w:rsidRPr="00E55064">
        <w:t>) percent.</w:t>
      </w:r>
    </w:p>
    <w:p w:rsidR="006D252E" w:rsidRPr="004B191B" w:rsidRDefault="006D252E" w:rsidP="006D252E">
      <w:pPr>
        <w:pStyle w:val="BodyText"/>
        <w:spacing w:after="0"/>
        <w:rPr>
          <w:highlight w:val="yellow"/>
        </w:rPr>
      </w:pPr>
    </w:p>
    <w:p w:rsidR="006D252E" w:rsidRPr="00DB3CA9" w:rsidRDefault="006D252E" w:rsidP="006D252E">
      <w:pPr>
        <w:pStyle w:val="BodyText"/>
        <w:spacing w:after="0"/>
        <w:rPr>
          <w:rFonts w:ascii="Arial" w:hAnsi="Arial" w:cs="Arial"/>
          <w:b/>
          <w:i/>
        </w:rPr>
      </w:pPr>
      <w:r w:rsidRPr="00DB3CA9">
        <w:rPr>
          <w:rFonts w:ascii="Arial" w:hAnsi="Arial" w:cs="Arial"/>
          <w:b/>
          <w:i/>
        </w:rPr>
        <w:t>Fuel Factor</w:t>
      </w:r>
    </w:p>
    <w:p w:rsidR="006D252E" w:rsidRPr="00DB3CA9" w:rsidRDefault="006D252E" w:rsidP="006D252E">
      <w:pPr>
        <w:pStyle w:val="BodyText"/>
        <w:spacing w:after="0"/>
      </w:pPr>
      <w:r w:rsidRPr="00DB3CA9">
        <w:t xml:space="preserve">FPL’s currently-approved levelized </w:t>
      </w:r>
      <w:r w:rsidR="003D2EA4" w:rsidRPr="00DB3CA9">
        <w:t xml:space="preserve">2022 </w:t>
      </w:r>
      <w:r w:rsidRPr="00DB3CA9">
        <w:t>fuel factor f</w:t>
      </w:r>
      <w:r w:rsidR="00F36F3F" w:rsidRPr="00DB3CA9">
        <w:t>or non-time-of-use rates is 3.132</w:t>
      </w:r>
      <w:r w:rsidRPr="00DB3CA9">
        <w:t xml:space="preserve"> cents per kWh.</w:t>
      </w:r>
      <w:r w:rsidRPr="00DB3CA9">
        <w:rPr>
          <w:rStyle w:val="FootnoteReference"/>
        </w:rPr>
        <w:footnoteReference w:id="13"/>
      </w:r>
      <w:r w:rsidRPr="00DB3CA9">
        <w:t xml:space="preserve"> The Company is requesting to increase the current levelized fuel factor for non-time-of-use rates to </w:t>
      </w:r>
      <w:r w:rsidR="00F36F3F" w:rsidRPr="00DB3CA9">
        <w:t>3.795 cents per kWh, or by</w:t>
      </w:r>
      <w:r w:rsidR="00F31039">
        <w:t xml:space="preserve"> approximately</w:t>
      </w:r>
      <w:r w:rsidR="00F36F3F" w:rsidRPr="00DB3CA9">
        <w:t xml:space="preserve"> 21</w:t>
      </w:r>
      <w:r w:rsidRPr="00DB3CA9">
        <w:t xml:space="preserve"> percent.</w:t>
      </w:r>
    </w:p>
    <w:p w:rsidR="006D252E" w:rsidRPr="004B191B" w:rsidRDefault="006D252E" w:rsidP="006D252E">
      <w:pPr>
        <w:pStyle w:val="BodyText"/>
        <w:spacing w:after="0"/>
        <w:rPr>
          <w:highlight w:val="yellow"/>
        </w:rPr>
      </w:pPr>
    </w:p>
    <w:p w:rsidR="006D252E" w:rsidRPr="00DB3CA9" w:rsidRDefault="001004C8" w:rsidP="006D252E">
      <w:pPr>
        <w:pStyle w:val="BodyText"/>
        <w:spacing w:after="0"/>
        <w:rPr>
          <w:rFonts w:ascii="Arial" w:hAnsi="Arial" w:cs="Arial"/>
          <w:b/>
          <w:bCs/>
          <w:i/>
          <w:iCs/>
        </w:rPr>
      </w:pPr>
      <w:r w:rsidRPr="00DB3CA9">
        <w:rPr>
          <w:rFonts w:ascii="Arial" w:hAnsi="Arial" w:cs="Arial"/>
          <w:b/>
          <w:bCs/>
          <w:i/>
          <w:iCs/>
        </w:rPr>
        <w:t>Bill Impact</w:t>
      </w:r>
      <w:r w:rsidR="00A756AA">
        <w:rPr>
          <w:rFonts w:ascii="Arial" w:hAnsi="Arial" w:cs="Arial"/>
          <w:b/>
          <w:bCs/>
          <w:i/>
          <w:iCs/>
        </w:rPr>
        <w:t>s</w:t>
      </w:r>
    </w:p>
    <w:p w:rsidR="006D252E" w:rsidRPr="00DB3CA9" w:rsidRDefault="006D252E" w:rsidP="006D252E">
      <w:pPr>
        <w:pStyle w:val="BodyText"/>
        <w:spacing w:after="0"/>
      </w:pPr>
      <w:r w:rsidRPr="00DB3CA9">
        <w:t>In Table</w:t>
      </w:r>
      <w:r w:rsidR="00A756AA">
        <w:t>s</w:t>
      </w:r>
      <w:r w:rsidRPr="00DB3CA9">
        <w:t xml:space="preserve"> 1-2</w:t>
      </w:r>
      <w:r w:rsidR="00A756AA">
        <w:t xml:space="preserve"> and 1-3</w:t>
      </w:r>
      <w:r w:rsidR="0043088E">
        <w:t xml:space="preserve"> below, staff displays </w:t>
      </w:r>
      <w:r w:rsidRPr="00DB3CA9">
        <w:t>the bill impact</w:t>
      </w:r>
      <w:r w:rsidR="0085084F">
        <w:t>s of the</w:t>
      </w:r>
      <w:r w:rsidR="00EF7CD6">
        <w:t xml:space="preserve"> MCC to </w:t>
      </w:r>
      <w:r w:rsidRPr="00DB3CA9">
        <w:t>typical residential customer</w:t>
      </w:r>
      <w:r w:rsidR="00EF7CD6">
        <w:t>s</w:t>
      </w:r>
      <w:r w:rsidRPr="00DB3CA9">
        <w:t xml:space="preserve"> using 1,000 kWh of electricity a mo</w:t>
      </w:r>
      <w:r w:rsidR="00EF7CD6">
        <w:t xml:space="preserve">nth in FPL’s </w:t>
      </w:r>
      <w:r w:rsidR="00A756AA">
        <w:t>(</w:t>
      </w:r>
      <w:r w:rsidR="00EF7CD6">
        <w:t>pre-merger</w:t>
      </w:r>
      <w:r w:rsidR="00A756AA">
        <w:t>)</w:t>
      </w:r>
      <w:r w:rsidR="00EF7CD6">
        <w:t xml:space="preserve"> service territory and FPL’s </w:t>
      </w:r>
      <w:r w:rsidR="00CB7BD8">
        <w:t>Northwest (former Gulf Power Company)</w:t>
      </w:r>
      <w:r w:rsidR="00EF7CD6">
        <w:t xml:space="preserve"> service territory</w:t>
      </w:r>
      <w:r w:rsidR="00ED0977">
        <w:t>. S</w:t>
      </w:r>
      <w:r w:rsidR="0043088E">
        <w:t>taff</w:t>
      </w:r>
      <w:r w:rsidR="00ED0977">
        <w:t xml:space="preserve"> also</w:t>
      </w:r>
      <w:r w:rsidR="0043088E">
        <w:t xml:space="preserve"> discusses the impacts of the MCC on non-residential </w:t>
      </w:r>
      <w:r w:rsidR="00ED0977">
        <w:t>customers</w:t>
      </w:r>
      <w:r w:rsidR="0043088E">
        <w:t>:</w:t>
      </w:r>
    </w:p>
    <w:p w:rsidR="006D252E" w:rsidRDefault="006D252E" w:rsidP="006D252E">
      <w:pPr>
        <w:pStyle w:val="BodyText"/>
        <w:spacing w:after="0"/>
        <w:rPr>
          <w:highlight w:val="yellow"/>
        </w:rPr>
      </w:pPr>
    </w:p>
    <w:p w:rsidR="00DB3CA9" w:rsidRDefault="00DB3CA9" w:rsidP="006D252E">
      <w:pPr>
        <w:pStyle w:val="BodyText"/>
        <w:spacing w:after="0"/>
        <w:rPr>
          <w:highlight w:val="yellow"/>
        </w:rPr>
      </w:pPr>
    </w:p>
    <w:p w:rsidR="00EF7CD6" w:rsidRDefault="00EF7CD6" w:rsidP="006D252E">
      <w:pPr>
        <w:pStyle w:val="BodyText"/>
        <w:spacing w:after="0"/>
        <w:rPr>
          <w:highlight w:val="yellow"/>
        </w:rPr>
      </w:pPr>
    </w:p>
    <w:p w:rsidR="00D21C99" w:rsidRDefault="00D21C99" w:rsidP="006D252E">
      <w:pPr>
        <w:pStyle w:val="BodyText"/>
        <w:spacing w:after="0"/>
        <w:rPr>
          <w:highlight w:val="yellow"/>
        </w:rPr>
      </w:pPr>
    </w:p>
    <w:p w:rsidR="00D21C99" w:rsidRDefault="00D21C99" w:rsidP="006D252E">
      <w:pPr>
        <w:pStyle w:val="BodyText"/>
        <w:spacing w:after="0"/>
        <w:rPr>
          <w:highlight w:val="yellow"/>
        </w:rPr>
      </w:pPr>
    </w:p>
    <w:tbl>
      <w:tblPr>
        <w:tblW w:w="4887" w:type="pct"/>
        <w:tblInd w:w="108" w:type="dxa"/>
        <w:tblLook w:val="04A0" w:firstRow="1" w:lastRow="0" w:firstColumn="1" w:lastColumn="0" w:noHBand="0" w:noVBand="1"/>
      </w:tblPr>
      <w:tblGrid>
        <w:gridCol w:w="3481"/>
        <w:gridCol w:w="1496"/>
        <w:gridCol w:w="1496"/>
        <w:gridCol w:w="1496"/>
        <w:gridCol w:w="1391"/>
      </w:tblGrid>
      <w:tr w:rsidR="006D252E" w:rsidRPr="004B191B" w:rsidTr="003176DE">
        <w:trPr>
          <w:cantSplit/>
          <w:trHeight w:val="310"/>
          <w:tblHeader/>
        </w:trPr>
        <w:tc>
          <w:tcPr>
            <w:tcW w:w="5000" w:type="pct"/>
            <w:gridSpan w:val="5"/>
            <w:tcBorders>
              <w:top w:val="nil"/>
              <w:left w:val="nil"/>
              <w:bottom w:val="nil"/>
              <w:right w:val="nil"/>
            </w:tcBorders>
            <w:shd w:val="clear" w:color="auto" w:fill="auto"/>
            <w:vAlign w:val="center"/>
            <w:hideMark/>
          </w:tcPr>
          <w:p w:rsidR="006D252E" w:rsidRPr="00A756AA" w:rsidRDefault="006D252E" w:rsidP="003176DE">
            <w:pPr>
              <w:jc w:val="center"/>
              <w:rPr>
                <w:rFonts w:ascii="Arial" w:hAnsi="Arial" w:cs="Arial"/>
                <w:b/>
                <w:bCs/>
                <w:color w:val="000000"/>
              </w:rPr>
            </w:pPr>
            <w:r w:rsidRPr="00A756AA">
              <w:rPr>
                <w:rFonts w:ascii="Arial" w:hAnsi="Arial" w:cs="Arial"/>
                <w:b/>
                <w:bCs/>
                <w:color w:val="000000"/>
              </w:rPr>
              <w:t>Table 1-2</w:t>
            </w:r>
          </w:p>
          <w:p w:rsidR="00FC1984" w:rsidRPr="00A756AA" w:rsidRDefault="00CB7BD8" w:rsidP="003176DE">
            <w:pPr>
              <w:jc w:val="center"/>
              <w:rPr>
                <w:rFonts w:ascii="Arial" w:hAnsi="Arial" w:cs="Arial"/>
                <w:b/>
                <w:bCs/>
                <w:color w:val="000000"/>
              </w:rPr>
            </w:pPr>
            <w:r w:rsidRPr="00A756AA">
              <w:rPr>
                <w:rFonts w:ascii="Arial" w:hAnsi="Arial" w:cs="Arial"/>
                <w:b/>
                <w:bCs/>
                <w:color w:val="000000"/>
              </w:rPr>
              <w:t>(</w:t>
            </w:r>
            <w:r w:rsidR="006B6337" w:rsidRPr="00A756AA">
              <w:rPr>
                <w:rFonts w:ascii="Arial" w:hAnsi="Arial" w:cs="Arial"/>
                <w:b/>
                <w:bCs/>
                <w:color w:val="000000"/>
              </w:rPr>
              <w:t>Pre-Merger</w:t>
            </w:r>
            <w:r w:rsidRPr="00A756AA">
              <w:rPr>
                <w:rFonts w:ascii="Arial" w:hAnsi="Arial" w:cs="Arial"/>
                <w:b/>
                <w:bCs/>
                <w:color w:val="000000"/>
              </w:rPr>
              <w:t>)</w:t>
            </w:r>
            <w:r w:rsidR="006B6337" w:rsidRPr="00A756AA">
              <w:rPr>
                <w:rFonts w:ascii="Arial" w:hAnsi="Arial" w:cs="Arial"/>
                <w:b/>
                <w:bCs/>
                <w:color w:val="000000"/>
              </w:rPr>
              <w:t xml:space="preserve"> FPL Service Territory</w:t>
            </w:r>
          </w:p>
        </w:tc>
      </w:tr>
      <w:tr w:rsidR="006D252E" w:rsidRPr="004B191B" w:rsidTr="003176DE">
        <w:trPr>
          <w:cantSplit/>
          <w:trHeight w:val="320"/>
          <w:tblHeader/>
        </w:trPr>
        <w:tc>
          <w:tcPr>
            <w:tcW w:w="5000" w:type="pct"/>
            <w:gridSpan w:val="5"/>
            <w:tcBorders>
              <w:top w:val="nil"/>
              <w:left w:val="nil"/>
              <w:bottom w:val="single" w:sz="4" w:space="0" w:color="auto"/>
              <w:right w:val="nil"/>
            </w:tcBorders>
            <w:shd w:val="clear" w:color="auto" w:fill="auto"/>
            <w:vAlign w:val="center"/>
            <w:hideMark/>
          </w:tcPr>
          <w:p w:rsidR="006D252E" w:rsidRPr="00A756AA" w:rsidRDefault="006D252E" w:rsidP="003176DE">
            <w:pPr>
              <w:jc w:val="center"/>
              <w:rPr>
                <w:rFonts w:ascii="Arial" w:hAnsi="Arial" w:cs="Arial"/>
                <w:b/>
                <w:bCs/>
                <w:color w:val="000000"/>
              </w:rPr>
            </w:pPr>
            <w:r w:rsidRPr="00A756AA">
              <w:rPr>
                <w:rFonts w:ascii="Arial" w:hAnsi="Arial" w:cs="Arial"/>
                <w:b/>
                <w:bCs/>
                <w:color w:val="000000"/>
              </w:rPr>
              <w:t>Monthly Residential Billing Detail at 1,000 kWh</w:t>
            </w:r>
          </w:p>
        </w:tc>
      </w:tr>
      <w:tr w:rsidR="006D252E" w:rsidRPr="00DF18E6" w:rsidTr="003176DE">
        <w:trPr>
          <w:cantSplit/>
          <w:trHeight w:val="1240"/>
          <w:tblHeader/>
        </w:trPr>
        <w:tc>
          <w:tcPr>
            <w:tcW w:w="18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D252E" w:rsidRPr="00DF18E6" w:rsidRDefault="006D252E" w:rsidP="003176DE">
            <w:pPr>
              <w:jc w:val="center"/>
              <w:rPr>
                <w:b/>
                <w:bCs/>
                <w:color w:val="000000"/>
                <w:sz w:val="22"/>
                <w:szCs w:val="22"/>
              </w:rPr>
            </w:pPr>
            <w:r w:rsidRPr="00DF18E6">
              <w:rPr>
                <w:b/>
                <w:bCs/>
                <w:color w:val="000000"/>
                <w:sz w:val="22"/>
                <w:szCs w:val="22"/>
              </w:rPr>
              <w:t>Invoice Component</w:t>
            </w:r>
          </w:p>
        </w:tc>
        <w:tc>
          <w:tcPr>
            <w:tcW w:w="7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D252E" w:rsidRPr="00DF18E6" w:rsidRDefault="004368B7" w:rsidP="003176DE">
            <w:pPr>
              <w:jc w:val="center"/>
              <w:rPr>
                <w:b/>
                <w:bCs/>
                <w:color w:val="000000"/>
                <w:sz w:val="22"/>
                <w:szCs w:val="22"/>
              </w:rPr>
            </w:pPr>
            <w:r w:rsidRPr="00DF18E6">
              <w:rPr>
                <w:b/>
                <w:bCs/>
                <w:color w:val="000000"/>
                <w:sz w:val="22"/>
                <w:szCs w:val="22"/>
              </w:rPr>
              <w:t>Currently</w:t>
            </w:r>
            <w:r w:rsidR="006D252E" w:rsidRPr="00DF18E6">
              <w:rPr>
                <w:b/>
                <w:bCs/>
                <w:color w:val="000000"/>
                <w:sz w:val="22"/>
                <w:szCs w:val="22"/>
              </w:rPr>
              <w:t>-Approved Charges</w:t>
            </w:r>
          </w:p>
          <w:p w:rsidR="006D252E" w:rsidRPr="00DF18E6" w:rsidRDefault="00FB29A9" w:rsidP="003176DE">
            <w:pPr>
              <w:jc w:val="center"/>
              <w:rPr>
                <w:b/>
                <w:bCs/>
                <w:color w:val="000000"/>
                <w:sz w:val="22"/>
                <w:szCs w:val="22"/>
              </w:rPr>
            </w:pPr>
            <w:r w:rsidRPr="00DF18E6">
              <w:rPr>
                <w:b/>
                <w:bCs/>
                <w:color w:val="000000"/>
                <w:sz w:val="22"/>
                <w:szCs w:val="22"/>
              </w:rPr>
              <w:t>for 2022</w:t>
            </w:r>
          </w:p>
          <w:p w:rsidR="006D252E" w:rsidRPr="00DF18E6" w:rsidRDefault="006D252E" w:rsidP="003176DE">
            <w:pPr>
              <w:jc w:val="center"/>
              <w:rPr>
                <w:b/>
                <w:bCs/>
                <w:color w:val="000000"/>
                <w:sz w:val="22"/>
                <w:szCs w:val="22"/>
              </w:rPr>
            </w:pPr>
            <w:r w:rsidRPr="00DF18E6">
              <w:rPr>
                <w:b/>
                <w:bCs/>
                <w:color w:val="000000"/>
                <w:sz w:val="22"/>
                <w:szCs w:val="22"/>
              </w:rPr>
              <w:t>($)</w:t>
            </w:r>
          </w:p>
        </w:tc>
        <w:tc>
          <w:tcPr>
            <w:tcW w:w="7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D252E" w:rsidRPr="00DF18E6" w:rsidRDefault="006D252E" w:rsidP="003176DE">
            <w:pPr>
              <w:jc w:val="center"/>
              <w:rPr>
                <w:b/>
                <w:bCs/>
                <w:color w:val="000000"/>
                <w:sz w:val="22"/>
                <w:szCs w:val="22"/>
              </w:rPr>
            </w:pPr>
            <w:r w:rsidRPr="00DF18E6">
              <w:rPr>
                <w:b/>
                <w:bCs/>
                <w:color w:val="000000"/>
                <w:sz w:val="22"/>
                <w:szCs w:val="22"/>
              </w:rPr>
              <w:t xml:space="preserve">Proposed </w:t>
            </w:r>
            <w:r w:rsidR="00FB29A9" w:rsidRPr="00DF18E6">
              <w:rPr>
                <w:b/>
                <w:bCs/>
                <w:color w:val="000000"/>
                <w:sz w:val="22"/>
                <w:szCs w:val="22"/>
              </w:rPr>
              <w:t xml:space="preserve">New </w:t>
            </w:r>
            <w:r w:rsidRPr="00DF18E6">
              <w:rPr>
                <w:b/>
                <w:bCs/>
                <w:color w:val="000000"/>
                <w:sz w:val="22"/>
                <w:szCs w:val="22"/>
              </w:rPr>
              <w:t xml:space="preserve">Charges for </w:t>
            </w:r>
          </w:p>
          <w:p w:rsidR="006D252E" w:rsidRPr="00DF18E6" w:rsidRDefault="00FB29A9" w:rsidP="003176DE">
            <w:pPr>
              <w:jc w:val="center"/>
              <w:rPr>
                <w:b/>
                <w:bCs/>
                <w:color w:val="000000"/>
                <w:sz w:val="22"/>
                <w:szCs w:val="22"/>
              </w:rPr>
            </w:pPr>
            <w:r w:rsidRPr="00DF18E6">
              <w:rPr>
                <w:b/>
                <w:bCs/>
                <w:color w:val="000000"/>
                <w:sz w:val="22"/>
                <w:szCs w:val="22"/>
              </w:rPr>
              <w:t>2022</w:t>
            </w:r>
          </w:p>
          <w:p w:rsidR="006D252E" w:rsidRPr="00DF18E6" w:rsidRDefault="006D252E" w:rsidP="003176DE">
            <w:pPr>
              <w:jc w:val="center"/>
              <w:rPr>
                <w:b/>
                <w:bCs/>
                <w:color w:val="000000"/>
                <w:sz w:val="22"/>
                <w:szCs w:val="22"/>
              </w:rPr>
            </w:pPr>
            <w:r w:rsidRPr="00DF18E6">
              <w:rPr>
                <w:b/>
                <w:bCs/>
                <w:color w:val="000000"/>
                <w:sz w:val="22"/>
                <w:szCs w:val="22"/>
              </w:rPr>
              <w:t>($)</w:t>
            </w:r>
          </w:p>
        </w:tc>
        <w:tc>
          <w:tcPr>
            <w:tcW w:w="7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D252E" w:rsidRPr="00DF18E6" w:rsidRDefault="004368B7" w:rsidP="003176DE">
            <w:pPr>
              <w:jc w:val="center"/>
              <w:rPr>
                <w:b/>
                <w:bCs/>
                <w:color w:val="000000"/>
                <w:sz w:val="22"/>
                <w:szCs w:val="22"/>
              </w:rPr>
            </w:pPr>
            <w:r w:rsidRPr="00DF18E6">
              <w:rPr>
                <w:b/>
                <w:bCs/>
                <w:color w:val="000000"/>
                <w:sz w:val="22"/>
                <w:szCs w:val="22"/>
              </w:rPr>
              <w:t>Current</w:t>
            </w:r>
            <w:r w:rsidR="006D252E" w:rsidRPr="00DF18E6">
              <w:rPr>
                <w:b/>
                <w:bCs/>
                <w:color w:val="000000"/>
                <w:sz w:val="22"/>
                <w:szCs w:val="22"/>
              </w:rPr>
              <w:t xml:space="preserve"> to Proposed Difference</w:t>
            </w:r>
          </w:p>
          <w:p w:rsidR="006D252E" w:rsidRPr="00DF18E6" w:rsidRDefault="006D252E" w:rsidP="003176DE">
            <w:pPr>
              <w:jc w:val="center"/>
              <w:rPr>
                <w:b/>
                <w:bCs/>
                <w:color w:val="000000"/>
                <w:sz w:val="22"/>
                <w:szCs w:val="22"/>
              </w:rPr>
            </w:pPr>
            <w:r w:rsidRPr="00DF18E6">
              <w:rPr>
                <w:b/>
                <w:bCs/>
                <w:color w:val="000000"/>
                <w:sz w:val="22"/>
                <w:szCs w:val="22"/>
              </w:rPr>
              <w:t>($)</w:t>
            </w:r>
          </w:p>
        </w:tc>
        <w:tc>
          <w:tcPr>
            <w:tcW w:w="7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D252E" w:rsidRPr="00DF18E6" w:rsidRDefault="004368B7" w:rsidP="003176DE">
            <w:pPr>
              <w:jc w:val="center"/>
              <w:rPr>
                <w:b/>
                <w:bCs/>
                <w:color w:val="000000"/>
                <w:sz w:val="22"/>
                <w:szCs w:val="22"/>
              </w:rPr>
            </w:pPr>
            <w:r w:rsidRPr="00DF18E6">
              <w:rPr>
                <w:b/>
                <w:bCs/>
                <w:color w:val="000000"/>
                <w:sz w:val="22"/>
                <w:szCs w:val="22"/>
              </w:rPr>
              <w:t>Current</w:t>
            </w:r>
            <w:r w:rsidR="006D252E" w:rsidRPr="00DF18E6">
              <w:rPr>
                <w:b/>
                <w:bCs/>
                <w:color w:val="000000"/>
                <w:sz w:val="22"/>
                <w:szCs w:val="22"/>
              </w:rPr>
              <w:t xml:space="preserve"> to Proposed Difference</w:t>
            </w:r>
          </w:p>
          <w:p w:rsidR="006D252E" w:rsidRPr="00DF18E6" w:rsidRDefault="006D252E" w:rsidP="003176DE">
            <w:pPr>
              <w:jc w:val="center"/>
              <w:rPr>
                <w:b/>
                <w:bCs/>
                <w:color w:val="000000"/>
                <w:sz w:val="22"/>
                <w:szCs w:val="22"/>
              </w:rPr>
            </w:pPr>
            <w:r w:rsidRPr="00DF18E6">
              <w:rPr>
                <w:b/>
                <w:bCs/>
                <w:color w:val="000000"/>
                <w:sz w:val="22"/>
                <w:szCs w:val="22"/>
              </w:rPr>
              <w:t>(%)</w:t>
            </w:r>
          </w:p>
        </w:tc>
      </w:tr>
      <w:tr w:rsidR="00B16CD8" w:rsidRPr="00DF18E6" w:rsidTr="0085084F">
        <w:trPr>
          <w:trHeight w:val="300"/>
        </w:trPr>
        <w:tc>
          <w:tcPr>
            <w:tcW w:w="186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16CD8" w:rsidRPr="00DF18E6" w:rsidRDefault="00B16CD8" w:rsidP="0085084F">
            <w:pPr>
              <w:rPr>
                <w:color w:val="000000"/>
                <w:sz w:val="22"/>
                <w:szCs w:val="22"/>
              </w:rPr>
            </w:pPr>
            <w:r w:rsidRPr="00DF18E6">
              <w:rPr>
                <w:color w:val="000000"/>
                <w:sz w:val="22"/>
                <w:szCs w:val="22"/>
              </w:rPr>
              <w:t>Base Charge</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B16CD8" w:rsidRPr="00DF18E6" w:rsidRDefault="00B16CD8" w:rsidP="0085084F">
            <w:pPr>
              <w:jc w:val="right"/>
              <w:rPr>
                <w:color w:val="000000"/>
                <w:sz w:val="22"/>
                <w:szCs w:val="22"/>
              </w:rPr>
            </w:pPr>
            <w:r w:rsidRPr="00DF18E6">
              <w:rPr>
                <w:color w:val="000000"/>
                <w:sz w:val="22"/>
                <w:szCs w:val="22"/>
              </w:rPr>
              <w:t>$75.82</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B16CD8" w:rsidRPr="00DF18E6" w:rsidRDefault="00B16CD8" w:rsidP="0085084F">
            <w:pPr>
              <w:jc w:val="right"/>
              <w:rPr>
                <w:color w:val="000000"/>
                <w:sz w:val="22"/>
                <w:szCs w:val="22"/>
              </w:rPr>
            </w:pPr>
            <w:r w:rsidRPr="00DF18E6">
              <w:rPr>
                <w:color w:val="000000"/>
                <w:sz w:val="22"/>
                <w:szCs w:val="22"/>
              </w:rPr>
              <w:t>$75.82</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B16CD8" w:rsidRPr="00DF18E6" w:rsidRDefault="00B16CD8" w:rsidP="0085084F">
            <w:pPr>
              <w:jc w:val="right"/>
              <w:rPr>
                <w:sz w:val="22"/>
                <w:szCs w:val="22"/>
              </w:rPr>
            </w:pPr>
            <w:r w:rsidRPr="00DF18E6">
              <w:rPr>
                <w:sz w:val="22"/>
                <w:szCs w:val="22"/>
              </w:rPr>
              <w:t>-</w:t>
            </w:r>
          </w:p>
        </w:tc>
        <w:tc>
          <w:tcPr>
            <w:tcW w:w="743" w:type="pct"/>
            <w:tcBorders>
              <w:top w:val="single" w:sz="4" w:space="0" w:color="auto"/>
              <w:left w:val="single" w:sz="4" w:space="0" w:color="auto"/>
              <w:bottom w:val="single" w:sz="4" w:space="0" w:color="auto"/>
              <w:right w:val="single" w:sz="4" w:space="0" w:color="auto"/>
            </w:tcBorders>
            <w:shd w:val="clear" w:color="auto" w:fill="auto"/>
            <w:vAlign w:val="bottom"/>
          </w:tcPr>
          <w:p w:rsidR="00B16CD8" w:rsidRPr="00DF18E6" w:rsidRDefault="00B16CD8" w:rsidP="0085084F">
            <w:pPr>
              <w:jc w:val="right"/>
              <w:rPr>
                <w:sz w:val="22"/>
                <w:szCs w:val="22"/>
              </w:rPr>
            </w:pPr>
            <w:r w:rsidRPr="00DF18E6">
              <w:rPr>
                <w:sz w:val="22"/>
                <w:szCs w:val="22"/>
              </w:rPr>
              <w:t>-</w:t>
            </w:r>
          </w:p>
        </w:tc>
      </w:tr>
      <w:tr w:rsidR="00B16CD8" w:rsidRPr="00DF18E6" w:rsidTr="0085084F">
        <w:trPr>
          <w:trHeight w:val="300"/>
        </w:trPr>
        <w:tc>
          <w:tcPr>
            <w:tcW w:w="186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16CD8" w:rsidRPr="00DF18E6" w:rsidRDefault="00B16CD8" w:rsidP="0085084F">
            <w:pPr>
              <w:rPr>
                <w:color w:val="000000"/>
                <w:sz w:val="22"/>
                <w:szCs w:val="22"/>
              </w:rPr>
            </w:pPr>
            <w:r w:rsidRPr="00DF18E6">
              <w:rPr>
                <w:color w:val="000000"/>
                <w:sz w:val="22"/>
                <w:szCs w:val="22"/>
              </w:rPr>
              <w:t>Fuel Charge</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B16CD8" w:rsidRPr="00DF18E6" w:rsidRDefault="00B16CD8" w:rsidP="0085084F">
            <w:pPr>
              <w:jc w:val="right"/>
              <w:rPr>
                <w:color w:val="000000"/>
                <w:sz w:val="22"/>
                <w:szCs w:val="22"/>
              </w:rPr>
            </w:pPr>
            <w:r w:rsidRPr="00DF18E6">
              <w:rPr>
                <w:color w:val="000000"/>
                <w:sz w:val="22"/>
                <w:szCs w:val="22"/>
              </w:rPr>
              <w:t>28.22</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B16CD8" w:rsidRPr="00DF18E6" w:rsidRDefault="00B16CD8" w:rsidP="0085084F">
            <w:pPr>
              <w:jc w:val="right"/>
              <w:rPr>
                <w:color w:val="000000"/>
                <w:sz w:val="22"/>
                <w:szCs w:val="22"/>
              </w:rPr>
            </w:pPr>
            <w:r w:rsidRPr="00DF18E6">
              <w:rPr>
                <w:color w:val="000000"/>
                <w:sz w:val="22"/>
                <w:szCs w:val="22"/>
              </w:rPr>
              <w:t>34.87</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B16CD8" w:rsidRPr="00DF18E6" w:rsidRDefault="00B16CD8" w:rsidP="0085084F">
            <w:pPr>
              <w:jc w:val="right"/>
              <w:rPr>
                <w:sz w:val="22"/>
                <w:szCs w:val="22"/>
              </w:rPr>
            </w:pPr>
            <w:r w:rsidRPr="00DF18E6">
              <w:rPr>
                <w:sz w:val="22"/>
                <w:szCs w:val="22"/>
              </w:rPr>
              <w:t xml:space="preserve">$6.65 </w:t>
            </w:r>
          </w:p>
        </w:tc>
        <w:tc>
          <w:tcPr>
            <w:tcW w:w="743" w:type="pct"/>
            <w:tcBorders>
              <w:top w:val="single" w:sz="4" w:space="0" w:color="auto"/>
              <w:left w:val="single" w:sz="4" w:space="0" w:color="auto"/>
              <w:bottom w:val="single" w:sz="4" w:space="0" w:color="auto"/>
              <w:right w:val="single" w:sz="4" w:space="0" w:color="auto"/>
            </w:tcBorders>
            <w:shd w:val="clear" w:color="auto" w:fill="auto"/>
            <w:vAlign w:val="bottom"/>
          </w:tcPr>
          <w:p w:rsidR="00B16CD8" w:rsidRPr="00DF18E6" w:rsidRDefault="00B16CD8" w:rsidP="0085084F">
            <w:pPr>
              <w:jc w:val="right"/>
              <w:rPr>
                <w:sz w:val="22"/>
                <w:szCs w:val="22"/>
              </w:rPr>
            </w:pPr>
            <w:r w:rsidRPr="00DF18E6">
              <w:rPr>
                <w:sz w:val="22"/>
                <w:szCs w:val="22"/>
              </w:rPr>
              <w:t>23.</w:t>
            </w:r>
            <w:r w:rsidR="009E505F">
              <w:rPr>
                <w:sz w:val="22"/>
                <w:szCs w:val="22"/>
              </w:rPr>
              <w:t>5</w:t>
            </w:r>
            <w:r w:rsidRPr="00DF18E6">
              <w:rPr>
                <w:sz w:val="22"/>
                <w:szCs w:val="22"/>
              </w:rPr>
              <w:t>6%</w:t>
            </w:r>
          </w:p>
        </w:tc>
      </w:tr>
      <w:tr w:rsidR="00B16CD8" w:rsidRPr="00DF18E6" w:rsidTr="0085084F">
        <w:trPr>
          <w:trHeight w:val="300"/>
        </w:trPr>
        <w:tc>
          <w:tcPr>
            <w:tcW w:w="186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16CD8" w:rsidRPr="00DF18E6" w:rsidRDefault="00B16CD8" w:rsidP="0085084F">
            <w:pPr>
              <w:rPr>
                <w:color w:val="000000"/>
                <w:sz w:val="22"/>
                <w:szCs w:val="22"/>
              </w:rPr>
            </w:pPr>
            <w:r w:rsidRPr="00DF18E6">
              <w:rPr>
                <w:color w:val="000000"/>
                <w:sz w:val="22"/>
                <w:szCs w:val="22"/>
              </w:rPr>
              <w:t>Conservation Charge</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B16CD8" w:rsidRPr="00DF18E6" w:rsidRDefault="00B16CD8" w:rsidP="0085084F">
            <w:pPr>
              <w:jc w:val="right"/>
              <w:rPr>
                <w:color w:val="000000"/>
                <w:sz w:val="22"/>
                <w:szCs w:val="22"/>
              </w:rPr>
            </w:pPr>
            <w:r w:rsidRPr="00DF18E6">
              <w:rPr>
                <w:color w:val="000000"/>
                <w:sz w:val="22"/>
                <w:szCs w:val="22"/>
              </w:rPr>
              <w:t>1.34</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B16CD8" w:rsidRPr="00DF18E6" w:rsidRDefault="00B16CD8" w:rsidP="0085084F">
            <w:pPr>
              <w:jc w:val="right"/>
              <w:rPr>
                <w:color w:val="000000"/>
                <w:sz w:val="22"/>
                <w:szCs w:val="22"/>
              </w:rPr>
            </w:pPr>
            <w:r w:rsidRPr="00DF18E6">
              <w:rPr>
                <w:color w:val="000000"/>
                <w:sz w:val="22"/>
                <w:szCs w:val="22"/>
              </w:rPr>
              <w:t>1.34</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B16CD8" w:rsidRPr="00DF18E6" w:rsidRDefault="00B16CD8" w:rsidP="0085084F">
            <w:pPr>
              <w:jc w:val="right"/>
              <w:rPr>
                <w:sz w:val="22"/>
                <w:szCs w:val="22"/>
              </w:rPr>
            </w:pPr>
            <w:r w:rsidRPr="00DF18E6">
              <w:rPr>
                <w:sz w:val="22"/>
                <w:szCs w:val="22"/>
              </w:rPr>
              <w:t xml:space="preserve">- </w:t>
            </w:r>
          </w:p>
        </w:tc>
        <w:tc>
          <w:tcPr>
            <w:tcW w:w="743" w:type="pct"/>
            <w:tcBorders>
              <w:top w:val="single" w:sz="4" w:space="0" w:color="auto"/>
              <w:left w:val="single" w:sz="4" w:space="0" w:color="auto"/>
              <w:bottom w:val="single" w:sz="4" w:space="0" w:color="auto"/>
              <w:right w:val="single" w:sz="4" w:space="0" w:color="auto"/>
            </w:tcBorders>
            <w:shd w:val="clear" w:color="auto" w:fill="auto"/>
            <w:vAlign w:val="bottom"/>
          </w:tcPr>
          <w:p w:rsidR="00B16CD8" w:rsidRPr="00DF18E6" w:rsidRDefault="00B16CD8" w:rsidP="0085084F">
            <w:pPr>
              <w:jc w:val="right"/>
              <w:rPr>
                <w:sz w:val="22"/>
                <w:szCs w:val="22"/>
              </w:rPr>
            </w:pPr>
            <w:r w:rsidRPr="00DF18E6">
              <w:rPr>
                <w:sz w:val="22"/>
                <w:szCs w:val="22"/>
              </w:rPr>
              <w:t>-</w:t>
            </w:r>
          </w:p>
        </w:tc>
      </w:tr>
      <w:tr w:rsidR="00B16CD8" w:rsidRPr="00DF18E6" w:rsidTr="0085084F">
        <w:trPr>
          <w:trHeight w:val="300"/>
        </w:trPr>
        <w:tc>
          <w:tcPr>
            <w:tcW w:w="186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16CD8" w:rsidRPr="00DF18E6" w:rsidRDefault="00B16CD8" w:rsidP="0085084F">
            <w:pPr>
              <w:rPr>
                <w:color w:val="000000"/>
                <w:sz w:val="22"/>
                <w:szCs w:val="22"/>
              </w:rPr>
            </w:pPr>
            <w:r w:rsidRPr="00DF18E6">
              <w:rPr>
                <w:color w:val="000000"/>
                <w:sz w:val="22"/>
                <w:szCs w:val="22"/>
              </w:rPr>
              <w:t>Capacity Charge</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B16CD8" w:rsidRPr="00DF18E6" w:rsidRDefault="00B16CD8" w:rsidP="0085084F">
            <w:pPr>
              <w:jc w:val="right"/>
              <w:rPr>
                <w:color w:val="000000"/>
                <w:sz w:val="22"/>
                <w:szCs w:val="22"/>
              </w:rPr>
            </w:pPr>
            <w:r w:rsidRPr="00DF18E6">
              <w:rPr>
                <w:color w:val="000000"/>
                <w:sz w:val="22"/>
                <w:szCs w:val="22"/>
              </w:rPr>
              <w:t>2.39</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B16CD8" w:rsidRPr="00DF18E6" w:rsidRDefault="00B16CD8" w:rsidP="0085084F">
            <w:pPr>
              <w:jc w:val="right"/>
              <w:rPr>
                <w:color w:val="000000"/>
                <w:sz w:val="22"/>
                <w:szCs w:val="22"/>
              </w:rPr>
            </w:pPr>
            <w:r w:rsidRPr="00DF18E6">
              <w:rPr>
                <w:color w:val="000000"/>
                <w:sz w:val="22"/>
                <w:szCs w:val="22"/>
              </w:rPr>
              <w:t>2.39</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B16CD8" w:rsidRPr="00DF18E6" w:rsidRDefault="00B16CD8" w:rsidP="0085084F">
            <w:pPr>
              <w:jc w:val="right"/>
              <w:rPr>
                <w:sz w:val="22"/>
                <w:szCs w:val="22"/>
              </w:rPr>
            </w:pPr>
            <w:r w:rsidRPr="00DF18E6">
              <w:rPr>
                <w:sz w:val="22"/>
                <w:szCs w:val="22"/>
              </w:rPr>
              <w:t>-</w:t>
            </w:r>
          </w:p>
        </w:tc>
        <w:tc>
          <w:tcPr>
            <w:tcW w:w="743" w:type="pct"/>
            <w:tcBorders>
              <w:top w:val="single" w:sz="4" w:space="0" w:color="auto"/>
              <w:left w:val="single" w:sz="4" w:space="0" w:color="auto"/>
              <w:bottom w:val="single" w:sz="4" w:space="0" w:color="auto"/>
              <w:right w:val="single" w:sz="4" w:space="0" w:color="auto"/>
            </w:tcBorders>
            <w:shd w:val="clear" w:color="auto" w:fill="auto"/>
            <w:vAlign w:val="bottom"/>
          </w:tcPr>
          <w:p w:rsidR="00B16CD8" w:rsidRPr="00DF18E6" w:rsidRDefault="00B16CD8" w:rsidP="0085084F">
            <w:pPr>
              <w:jc w:val="right"/>
              <w:rPr>
                <w:sz w:val="22"/>
                <w:szCs w:val="22"/>
              </w:rPr>
            </w:pPr>
            <w:r w:rsidRPr="00DF18E6">
              <w:rPr>
                <w:sz w:val="22"/>
                <w:szCs w:val="22"/>
              </w:rPr>
              <w:t>-</w:t>
            </w:r>
          </w:p>
        </w:tc>
      </w:tr>
      <w:tr w:rsidR="00B16CD8" w:rsidRPr="00DF18E6" w:rsidTr="0085084F">
        <w:trPr>
          <w:trHeight w:val="300"/>
        </w:trPr>
        <w:tc>
          <w:tcPr>
            <w:tcW w:w="186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16CD8" w:rsidRPr="00DF18E6" w:rsidRDefault="00B16CD8" w:rsidP="0085084F">
            <w:pPr>
              <w:rPr>
                <w:color w:val="000000"/>
                <w:sz w:val="22"/>
                <w:szCs w:val="22"/>
              </w:rPr>
            </w:pPr>
            <w:r w:rsidRPr="00DF18E6">
              <w:rPr>
                <w:color w:val="000000"/>
                <w:sz w:val="22"/>
                <w:szCs w:val="22"/>
              </w:rPr>
              <w:t>Environmental Charge</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B16CD8" w:rsidRPr="00DF18E6" w:rsidRDefault="00B16CD8" w:rsidP="0085084F">
            <w:pPr>
              <w:jc w:val="right"/>
              <w:rPr>
                <w:color w:val="000000"/>
                <w:sz w:val="22"/>
                <w:szCs w:val="22"/>
              </w:rPr>
            </w:pPr>
            <w:r w:rsidRPr="00DF18E6">
              <w:rPr>
                <w:color w:val="000000"/>
                <w:sz w:val="22"/>
                <w:szCs w:val="22"/>
              </w:rPr>
              <w:t>2.99</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B16CD8" w:rsidRPr="00DF18E6" w:rsidRDefault="00B16CD8" w:rsidP="0085084F">
            <w:pPr>
              <w:jc w:val="right"/>
              <w:rPr>
                <w:color w:val="000000"/>
                <w:sz w:val="22"/>
                <w:szCs w:val="22"/>
              </w:rPr>
            </w:pPr>
            <w:r w:rsidRPr="00DF18E6">
              <w:rPr>
                <w:color w:val="000000"/>
                <w:sz w:val="22"/>
                <w:szCs w:val="22"/>
              </w:rPr>
              <w:t>2.99</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B16CD8" w:rsidRPr="00DF18E6" w:rsidRDefault="00B16CD8" w:rsidP="0085084F">
            <w:pPr>
              <w:jc w:val="right"/>
              <w:rPr>
                <w:sz w:val="22"/>
                <w:szCs w:val="22"/>
              </w:rPr>
            </w:pPr>
            <w:r w:rsidRPr="00DF18E6">
              <w:rPr>
                <w:sz w:val="22"/>
                <w:szCs w:val="22"/>
              </w:rPr>
              <w:t>-</w:t>
            </w:r>
          </w:p>
        </w:tc>
        <w:tc>
          <w:tcPr>
            <w:tcW w:w="743" w:type="pct"/>
            <w:tcBorders>
              <w:top w:val="single" w:sz="4" w:space="0" w:color="auto"/>
              <w:left w:val="single" w:sz="4" w:space="0" w:color="auto"/>
              <w:bottom w:val="single" w:sz="4" w:space="0" w:color="auto"/>
              <w:right w:val="single" w:sz="4" w:space="0" w:color="auto"/>
            </w:tcBorders>
            <w:shd w:val="clear" w:color="auto" w:fill="auto"/>
            <w:vAlign w:val="bottom"/>
          </w:tcPr>
          <w:p w:rsidR="00B16CD8" w:rsidRPr="00DF18E6" w:rsidRDefault="00B16CD8" w:rsidP="0085084F">
            <w:pPr>
              <w:jc w:val="right"/>
              <w:rPr>
                <w:sz w:val="22"/>
                <w:szCs w:val="22"/>
              </w:rPr>
            </w:pPr>
            <w:r w:rsidRPr="00DF18E6">
              <w:rPr>
                <w:sz w:val="22"/>
                <w:szCs w:val="22"/>
              </w:rPr>
              <w:t>-</w:t>
            </w:r>
          </w:p>
        </w:tc>
      </w:tr>
      <w:tr w:rsidR="00B16CD8" w:rsidRPr="00DF18E6" w:rsidTr="0085084F">
        <w:trPr>
          <w:trHeight w:val="300"/>
        </w:trPr>
        <w:tc>
          <w:tcPr>
            <w:tcW w:w="186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16CD8" w:rsidRPr="00DF18E6" w:rsidRDefault="00B16CD8" w:rsidP="0085084F">
            <w:pPr>
              <w:rPr>
                <w:color w:val="000000"/>
                <w:sz w:val="22"/>
                <w:szCs w:val="22"/>
              </w:rPr>
            </w:pPr>
            <w:r w:rsidRPr="00DF18E6">
              <w:rPr>
                <w:color w:val="000000"/>
                <w:sz w:val="22"/>
                <w:szCs w:val="22"/>
              </w:rPr>
              <w:t>Storm Protection Plan</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B16CD8" w:rsidRPr="00DF18E6" w:rsidRDefault="00B16CD8" w:rsidP="0085084F">
            <w:pPr>
              <w:jc w:val="right"/>
              <w:rPr>
                <w:color w:val="000000"/>
                <w:sz w:val="22"/>
                <w:szCs w:val="22"/>
              </w:rPr>
            </w:pPr>
            <w:r w:rsidRPr="00DF18E6">
              <w:rPr>
                <w:color w:val="000000"/>
                <w:sz w:val="22"/>
                <w:szCs w:val="22"/>
              </w:rPr>
              <w:t>2.14</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B16CD8" w:rsidRPr="00DF18E6" w:rsidRDefault="00B16CD8" w:rsidP="0085084F">
            <w:pPr>
              <w:jc w:val="right"/>
              <w:rPr>
                <w:color w:val="000000"/>
                <w:sz w:val="22"/>
                <w:szCs w:val="22"/>
              </w:rPr>
            </w:pPr>
            <w:r w:rsidRPr="00DF18E6">
              <w:rPr>
                <w:color w:val="000000"/>
                <w:sz w:val="22"/>
                <w:szCs w:val="22"/>
              </w:rPr>
              <w:t>2.14</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B16CD8" w:rsidRPr="00DF18E6" w:rsidRDefault="00B16CD8" w:rsidP="0085084F">
            <w:pPr>
              <w:jc w:val="right"/>
              <w:rPr>
                <w:sz w:val="22"/>
                <w:szCs w:val="22"/>
              </w:rPr>
            </w:pPr>
            <w:r w:rsidRPr="00DF18E6">
              <w:rPr>
                <w:sz w:val="22"/>
                <w:szCs w:val="22"/>
              </w:rPr>
              <w:t>-</w:t>
            </w:r>
          </w:p>
        </w:tc>
        <w:tc>
          <w:tcPr>
            <w:tcW w:w="743" w:type="pct"/>
            <w:tcBorders>
              <w:top w:val="single" w:sz="4" w:space="0" w:color="auto"/>
              <w:left w:val="single" w:sz="4" w:space="0" w:color="auto"/>
              <w:bottom w:val="single" w:sz="4" w:space="0" w:color="auto"/>
              <w:right w:val="single" w:sz="4" w:space="0" w:color="auto"/>
            </w:tcBorders>
            <w:shd w:val="clear" w:color="auto" w:fill="auto"/>
            <w:vAlign w:val="bottom"/>
          </w:tcPr>
          <w:p w:rsidR="00B16CD8" w:rsidRPr="00DF18E6" w:rsidRDefault="00B16CD8" w:rsidP="0085084F">
            <w:pPr>
              <w:jc w:val="right"/>
              <w:rPr>
                <w:sz w:val="22"/>
                <w:szCs w:val="22"/>
              </w:rPr>
            </w:pPr>
            <w:r w:rsidRPr="00DF18E6">
              <w:rPr>
                <w:sz w:val="22"/>
                <w:szCs w:val="22"/>
              </w:rPr>
              <w:t>-</w:t>
            </w:r>
          </w:p>
        </w:tc>
      </w:tr>
      <w:tr w:rsidR="00B16CD8" w:rsidRPr="00DF18E6" w:rsidTr="0085084F">
        <w:trPr>
          <w:trHeight w:val="300"/>
        </w:trPr>
        <w:tc>
          <w:tcPr>
            <w:tcW w:w="1860" w:type="pct"/>
            <w:tcBorders>
              <w:top w:val="single" w:sz="4" w:space="0" w:color="auto"/>
              <w:left w:val="single" w:sz="4" w:space="0" w:color="auto"/>
              <w:bottom w:val="single" w:sz="4" w:space="0" w:color="auto"/>
              <w:right w:val="single" w:sz="4" w:space="0" w:color="auto"/>
            </w:tcBorders>
            <w:shd w:val="clear" w:color="auto" w:fill="auto"/>
            <w:vAlign w:val="bottom"/>
          </w:tcPr>
          <w:p w:rsidR="00B16CD8" w:rsidRPr="00DF18E6" w:rsidRDefault="00B16CD8" w:rsidP="0085084F">
            <w:pPr>
              <w:rPr>
                <w:color w:val="000000"/>
                <w:sz w:val="22"/>
                <w:szCs w:val="22"/>
              </w:rPr>
            </w:pPr>
            <w:r w:rsidRPr="00DF18E6">
              <w:rPr>
                <w:color w:val="000000"/>
                <w:sz w:val="22"/>
                <w:szCs w:val="22"/>
              </w:rPr>
              <w:t>Transition Rider</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B16CD8" w:rsidRPr="00DF18E6" w:rsidRDefault="00140660" w:rsidP="0085084F">
            <w:pPr>
              <w:jc w:val="right"/>
              <w:rPr>
                <w:color w:val="000000"/>
                <w:sz w:val="22"/>
                <w:szCs w:val="22"/>
                <w:u w:val="single"/>
              </w:rPr>
            </w:pPr>
            <w:r w:rsidRPr="00DF18E6">
              <w:rPr>
                <w:color w:val="000000"/>
                <w:sz w:val="22"/>
                <w:szCs w:val="22"/>
                <w:u w:val="single"/>
              </w:rPr>
              <w:t>(</w:t>
            </w:r>
            <w:r w:rsidR="00B16CD8" w:rsidRPr="00DF18E6">
              <w:rPr>
                <w:color w:val="000000"/>
                <w:sz w:val="22"/>
                <w:szCs w:val="22"/>
                <w:u w:val="single"/>
              </w:rPr>
              <w:t>1.98</w:t>
            </w:r>
            <w:r w:rsidRPr="00DF18E6">
              <w:rPr>
                <w:color w:val="000000"/>
                <w:sz w:val="22"/>
                <w:szCs w:val="22"/>
                <w:u w:val="single"/>
              </w:rPr>
              <w:t>)</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B16CD8" w:rsidRPr="00DF18E6" w:rsidRDefault="00140660" w:rsidP="0085084F">
            <w:pPr>
              <w:jc w:val="right"/>
              <w:rPr>
                <w:color w:val="000000"/>
                <w:sz w:val="22"/>
                <w:szCs w:val="22"/>
                <w:u w:val="single"/>
              </w:rPr>
            </w:pPr>
            <w:r w:rsidRPr="00DF18E6">
              <w:rPr>
                <w:color w:val="000000"/>
                <w:sz w:val="22"/>
                <w:szCs w:val="22"/>
                <w:u w:val="single"/>
              </w:rPr>
              <w:t>(</w:t>
            </w:r>
            <w:r w:rsidR="00B16CD8" w:rsidRPr="00DF18E6">
              <w:rPr>
                <w:color w:val="000000"/>
                <w:sz w:val="22"/>
                <w:szCs w:val="22"/>
                <w:u w:val="single"/>
              </w:rPr>
              <w:t>1.98</w:t>
            </w:r>
            <w:r w:rsidRPr="00DF18E6">
              <w:rPr>
                <w:color w:val="000000"/>
                <w:sz w:val="22"/>
                <w:szCs w:val="22"/>
                <w:u w:val="single"/>
              </w:rPr>
              <w:t>)</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B16CD8" w:rsidRPr="00DF18E6" w:rsidRDefault="00B16CD8" w:rsidP="0085084F">
            <w:pPr>
              <w:jc w:val="right"/>
              <w:rPr>
                <w:sz w:val="22"/>
                <w:szCs w:val="22"/>
              </w:rPr>
            </w:pPr>
            <w:r w:rsidRPr="00DF18E6">
              <w:rPr>
                <w:sz w:val="22"/>
                <w:szCs w:val="22"/>
              </w:rPr>
              <w:t xml:space="preserve">- </w:t>
            </w:r>
          </w:p>
        </w:tc>
        <w:tc>
          <w:tcPr>
            <w:tcW w:w="743" w:type="pct"/>
            <w:tcBorders>
              <w:top w:val="single" w:sz="4" w:space="0" w:color="auto"/>
              <w:left w:val="single" w:sz="4" w:space="0" w:color="auto"/>
              <w:bottom w:val="single" w:sz="4" w:space="0" w:color="auto"/>
              <w:right w:val="single" w:sz="4" w:space="0" w:color="auto"/>
            </w:tcBorders>
            <w:shd w:val="clear" w:color="auto" w:fill="auto"/>
            <w:vAlign w:val="bottom"/>
          </w:tcPr>
          <w:p w:rsidR="00B16CD8" w:rsidRPr="00DF18E6" w:rsidRDefault="00B16CD8" w:rsidP="0085084F">
            <w:pPr>
              <w:jc w:val="right"/>
              <w:rPr>
                <w:sz w:val="22"/>
                <w:szCs w:val="22"/>
              </w:rPr>
            </w:pPr>
            <w:r w:rsidRPr="00DF18E6">
              <w:rPr>
                <w:sz w:val="22"/>
                <w:szCs w:val="22"/>
              </w:rPr>
              <w:t>-</w:t>
            </w:r>
          </w:p>
        </w:tc>
      </w:tr>
      <w:tr w:rsidR="00B16CD8" w:rsidRPr="009C275E" w:rsidTr="0085084F">
        <w:trPr>
          <w:trHeight w:val="300"/>
        </w:trPr>
        <w:tc>
          <w:tcPr>
            <w:tcW w:w="186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16CD8" w:rsidRPr="009C275E" w:rsidRDefault="00B16CD8" w:rsidP="0085084F">
            <w:pPr>
              <w:rPr>
                <w:color w:val="000000"/>
                <w:sz w:val="22"/>
                <w:szCs w:val="22"/>
              </w:rPr>
            </w:pPr>
            <w:r w:rsidRPr="009C275E">
              <w:rPr>
                <w:color w:val="000000"/>
                <w:sz w:val="22"/>
                <w:szCs w:val="22"/>
              </w:rPr>
              <w:t>Tax</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B16CD8" w:rsidRPr="009C275E" w:rsidRDefault="00B16CD8" w:rsidP="0085084F">
            <w:pPr>
              <w:jc w:val="right"/>
              <w:rPr>
                <w:color w:val="000000"/>
                <w:sz w:val="22"/>
                <w:szCs w:val="22"/>
                <w:u w:val="single"/>
              </w:rPr>
            </w:pPr>
            <w:r w:rsidRPr="009C275E">
              <w:rPr>
                <w:color w:val="000000"/>
                <w:sz w:val="22"/>
                <w:szCs w:val="22"/>
                <w:u w:val="single"/>
              </w:rPr>
              <w:t>2.93</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B16CD8" w:rsidRPr="009C275E" w:rsidRDefault="00B16CD8" w:rsidP="00A756AA">
            <w:pPr>
              <w:jc w:val="right"/>
              <w:rPr>
                <w:sz w:val="22"/>
                <w:szCs w:val="22"/>
                <w:u w:val="single"/>
              </w:rPr>
            </w:pPr>
            <w:r w:rsidRPr="009C275E">
              <w:rPr>
                <w:sz w:val="22"/>
                <w:szCs w:val="22"/>
                <w:u w:val="single"/>
              </w:rPr>
              <w:t>3.1</w:t>
            </w:r>
            <w:r w:rsidR="00A756AA">
              <w:rPr>
                <w:sz w:val="22"/>
                <w:szCs w:val="22"/>
                <w:u w:val="single"/>
              </w:rPr>
              <w:t>0</w:t>
            </w:r>
            <w:r w:rsidRPr="009C275E">
              <w:rPr>
                <w:sz w:val="22"/>
                <w:szCs w:val="22"/>
                <w:u w:val="single"/>
              </w:rPr>
              <w:t xml:space="preserve"> </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B16CD8" w:rsidRPr="009C275E" w:rsidRDefault="00A756AA" w:rsidP="0085084F">
            <w:pPr>
              <w:jc w:val="right"/>
              <w:rPr>
                <w:sz w:val="22"/>
                <w:szCs w:val="22"/>
                <w:u w:val="single"/>
              </w:rPr>
            </w:pPr>
            <w:r>
              <w:rPr>
                <w:sz w:val="22"/>
                <w:szCs w:val="22"/>
                <w:u w:val="single"/>
              </w:rPr>
              <w:t>0.17</w:t>
            </w:r>
            <w:r w:rsidR="00B16CD8" w:rsidRPr="009C275E">
              <w:rPr>
                <w:sz w:val="22"/>
                <w:szCs w:val="22"/>
                <w:u w:val="single"/>
              </w:rPr>
              <w:t xml:space="preserve"> </w:t>
            </w:r>
          </w:p>
        </w:tc>
        <w:tc>
          <w:tcPr>
            <w:tcW w:w="743" w:type="pct"/>
            <w:tcBorders>
              <w:top w:val="single" w:sz="4" w:space="0" w:color="auto"/>
              <w:left w:val="single" w:sz="4" w:space="0" w:color="auto"/>
              <w:bottom w:val="single" w:sz="4" w:space="0" w:color="auto"/>
              <w:right w:val="single" w:sz="4" w:space="0" w:color="auto"/>
            </w:tcBorders>
            <w:shd w:val="clear" w:color="auto" w:fill="auto"/>
            <w:vAlign w:val="bottom"/>
          </w:tcPr>
          <w:p w:rsidR="00B16CD8" w:rsidRPr="009C275E" w:rsidRDefault="009E505F" w:rsidP="0085084F">
            <w:pPr>
              <w:jc w:val="right"/>
              <w:rPr>
                <w:sz w:val="22"/>
                <w:szCs w:val="22"/>
              </w:rPr>
            </w:pPr>
            <w:r>
              <w:rPr>
                <w:sz w:val="22"/>
                <w:szCs w:val="22"/>
              </w:rPr>
              <w:t>5.80</w:t>
            </w:r>
            <w:r w:rsidR="00B16CD8" w:rsidRPr="009C275E">
              <w:rPr>
                <w:sz w:val="22"/>
                <w:szCs w:val="22"/>
              </w:rPr>
              <w:t>%</w:t>
            </w:r>
          </w:p>
        </w:tc>
      </w:tr>
      <w:tr w:rsidR="00B16CD8" w:rsidRPr="009C275E" w:rsidTr="0085084F">
        <w:trPr>
          <w:trHeight w:val="300"/>
        </w:trPr>
        <w:tc>
          <w:tcPr>
            <w:tcW w:w="186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16CD8" w:rsidRPr="009C275E" w:rsidRDefault="00B16CD8" w:rsidP="0085084F">
            <w:pPr>
              <w:rPr>
                <w:b/>
                <w:bCs/>
                <w:color w:val="000000"/>
                <w:sz w:val="22"/>
                <w:szCs w:val="22"/>
              </w:rPr>
            </w:pPr>
            <w:r w:rsidRPr="009C275E">
              <w:rPr>
                <w:b/>
                <w:bCs/>
                <w:color w:val="000000"/>
                <w:sz w:val="22"/>
                <w:szCs w:val="22"/>
              </w:rPr>
              <w:t>Total</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B16CD8" w:rsidRPr="009C275E" w:rsidRDefault="00B16CD8" w:rsidP="0085084F">
            <w:pPr>
              <w:jc w:val="right"/>
              <w:rPr>
                <w:color w:val="000000"/>
                <w:sz w:val="22"/>
                <w:szCs w:val="22"/>
                <w:u w:val="double"/>
              </w:rPr>
            </w:pPr>
            <w:r w:rsidRPr="009C275E">
              <w:rPr>
                <w:color w:val="000000"/>
                <w:sz w:val="22"/>
                <w:szCs w:val="22"/>
                <w:u w:val="double"/>
              </w:rPr>
              <w:t>$113.85</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B16CD8" w:rsidRPr="009C275E" w:rsidRDefault="00A756AA" w:rsidP="0085084F">
            <w:pPr>
              <w:jc w:val="right"/>
              <w:rPr>
                <w:sz w:val="22"/>
                <w:szCs w:val="22"/>
                <w:u w:val="double"/>
              </w:rPr>
            </w:pPr>
            <w:r>
              <w:rPr>
                <w:sz w:val="22"/>
                <w:szCs w:val="22"/>
                <w:u w:val="double"/>
              </w:rPr>
              <w:t>$120.67</w:t>
            </w:r>
            <w:r w:rsidR="00B16CD8" w:rsidRPr="009C275E">
              <w:rPr>
                <w:sz w:val="22"/>
                <w:szCs w:val="22"/>
                <w:u w:val="double"/>
              </w:rPr>
              <w:t xml:space="preserve"> </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B16CD8" w:rsidRPr="009C275E" w:rsidRDefault="00A756AA" w:rsidP="0085084F">
            <w:pPr>
              <w:jc w:val="right"/>
              <w:rPr>
                <w:sz w:val="22"/>
                <w:szCs w:val="22"/>
                <w:u w:val="double"/>
              </w:rPr>
            </w:pPr>
            <w:r>
              <w:rPr>
                <w:sz w:val="22"/>
                <w:szCs w:val="22"/>
                <w:u w:val="double"/>
              </w:rPr>
              <w:t>$6.82</w:t>
            </w:r>
            <w:r w:rsidR="00B16CD8" w:rsidRPr="009C275E">
              <w:rPr>
                <w:sz w:val="22"/>
                <w:szCs w:val="22"/>
                <w:u w:val="double"/>
              </w:rPr>
              <w:t xml:space="preserve"> </w:t>
            </w:r>
          </w:p>
        </w:tc>
        <w:tc>
          <w:tcPr>
            <w:tcW w:w="743" w:type="pct"/>
            <w:tcBorders>
              <w:top w:val="single" w:sz="4" w:space="0" w:color="auto"/>
              <w:left w:val="single" w:sz="4" w:space="0" w:color="auto"/>
              <w:bottom w:val="single" w:sz="4" w:space="0" w:color="auto"/>
              <w:right w:val="single" w:sz="4" w:space="0" w:color="auto"/>
            </w:tcBorders>
            <w:shd w:val="clear" w:color="auto" w:fill="auto"/>
            <w:vAlign w:val="bottom"/>
          </w:tcPr>
          <w:p w:rsidR="00B16CD8" w:rsidRPr="009C275E" w:rsidRDefault="009E505F" w:rsidP="0085084F">
            <w:pPr>
              <w:jc w:val="right"/>
              <w:rPr>
                <w:sz w:val="22"/>
                <w:szCs w:val="22"/>
              </w:rPr>
            </w:pPr>
            <w:r>
              <w:rPr>
                <w:sz w:val="22"/>
                <w:szCs w:val="22"/>
              </w:rPr>
              <w:t>5.99</w:t>
            </w:r>
            <w:r w:rsidR="00B16CD8" w:rsidRPr="009C275E">
              <w:rPr>
                <w:sz w:val="22"/>
                <w:szCs w:val="22"/>
              </w:rPr>
              <w:t>%</w:t>
            </w:r>
          </w:p>
        </w:tc>
      </w:tr>
    </w:tbl>
    <w:p w:rsidR="006D252E" w:rsidRPr="00DF18E6" w:rsidRDefault="006D252E" w:rsidP="006D252E">
      <w:pPr>
        <w:pStyle w:val="FootnoteText"/>
      </w:pPr>
      <w:r w:rsidRPr="009C275E">
        <w:t>Source: FPL MCC Petition, Schedule E-10.</w:t>
      </w:r>
    </w:p>
    <w:p w:rsidR="006D252E" w:rsidRDefault="006D252E" w:rsidP="006D252E">
      <w:pPr>
        <w:pStyle w:val="BodyText"/>
        <w:spacing w:after="0"/>
        <w:rPr>
          <w:highlight w:val="yellow"/>
        </w:rPr>
      </w:pPr>
    </w:p>
    <w:p w:rsidR="00D94790" w:rsidRDefault="00D94790" w:rsidP="006D252E">
      <w:pPr>
        <w:pStyle w:val="BodyText"/>
        <w:spacing w:after="0"/>
        <w:rPr>
          <w:highlight w:val="yellow"/>
        </w:rPr>
      </w:pPr>
    </w:p>
    <w:p w:rsidR="00FE5632" w:rsidRPr="009C275E" w:rsidRDefault="00FE5632" w:rsidP="00FE5632">
      <w:pPr>
        <w:pStyle w:val="BodyText"/>
        <w:spacing w:after="0"/>
        <w:ind w:firstLine="720"/>
        <w:rPr>
          <w:rFonts w:ascii="Arial" w:hAnsi="Arial" w:cs="Arial"/>
          <w:b/>
          <w:i/>
        </w:rPr>
      </w:pPr>
      <w:r w:rsidRPr="009C275E">
        <w:rPr>
          <w:rFonts w:ascii="Arial" w:hAnsi="Arial" w:cs="Arial"/>
          <w:b/>
          <w:i/>
        </w:rPr>
        <w:t>Bill Impacts</w:t>
      </w:r>
      <w:r>
        <w:rPr>
          <w:rFonts w:ascii="Arial" w:hAnsi="Arial" w:cs="Arial"/>
          <w:b/>
          <w:i/>
        </w:rPr>
        <w:t xml:space="preserve"> - </w:t>
      </w:r>
      <w:r w:rsidRPr="009C275E">
        <w:rPr>
          <w:rFonts w:ascii="Arial" w:hAnsi="Arial" w:cs="Arial"/>
          <w:b/>
          <w:i/>
        </w:rPr>
        <w:t>FPL’s Service Territory</w:t>
      </w:r>
    </w:p>
    <w:p w:rsidR="00FE5632" w:rsidRDefault="00FE5632" w:rsidP="00FE5632">
      <w:pPr>
        <w:pStyle w:val="BodyText"/>
        <w:spacing w:after="0"/>
      </w:pPr>
      <w:r w:rsidRPr="00013D0D">
        <w:t>FPL’s current</w:t>
      </w:r>
      <w:r>
        <w:t>ly-approved</w:t>
      </w:r>
      <w:r w:rsidRPr="00013D0D">
        <w:t xml:space="preserve"> total residential charge for the first 1,000 kWh of usage for January </w:t>
      </w:r>
      <w:r w:rsidRPr="002F60CF">
        <w:t>through December 2022 is $113.85.</w:t>
      </w:r>
      <w:r w:rsidRPr="002F60CF">
        <w:rPr>
          <w:rStyle w:val="FootnoteReference"/>
        </w:rPr>
        <w:footnoteReference w:id="14"/>
      </w:r>
      <w:r w:rsidRPr="002F60CF">
        <w:t xml:space="preserve"> If the Company’s mid-course correction proposal is approved, then the current total residential charge for the first 1,000 kWh of usage for January through Dec</w:t>
      </w:r>
      <w:r w:rsidR="00693529">
        <w:t xml:space="preserve">ember 2022 will be $120.67, </w:t>
      </w:r>
      <w:r w:rsidRPr="002F60CF">
        <w:t xml:space="preserve">an increase of approximately </w:t>
      </w:r>
      <w:r>
        <w:t>5</w:t>
      </w:r>
      <w:r w:rsidRPr="002F60CF">
        <w:t>.</w:t>
      </w:r>
      <w:r>
        <w:t>99</w:t>
      </w:r>
      <w:r w:rsidRPr="002F60CF">
        <w:t xml:space="preserve"> percent. Concerning non-residential customers, FPL reported that bill increases based on average levels of usage for commercial customers would range from approximately 5.82 to 7.73 percent, and approximately 12.39 percent for industrial customers.</w:t>
      </w:r>
      <w:r w:rsidRPr="002F60CF">
        <w:rPr>
          <w:rStyle w:val="FootnoteReference"/>
        </w:rPr>
        <w:footnoteReference w:id="15"/>
      </w:r>
      <w:r w:rsidRPr="002F60CF">
        <w:t xml:space="preserve"> </w:t>
      </w:r>
    </w:p>
    <w:p w:rsidR="00FE5632" w:rsidRDefault="00FE5632" w:rsidP="006D252E">
      <w:pPr>
        <w:pStyle w:val="BodyText"/>
        <w:spacing w:after="0"/>
        <w:rPr>
          <w:highlight w:val="yellow"/>
        </w:rPr>
      </w:pPr>
    </w:p>
    <w:p w:rsidR="00FE5632" w:rsidRDefault="00FE5632" w:rsidP="006D252E">
      <w:pPr>
        <w:pStyle w:val="BodyText"/>
        <w:spacing w:after="0"/>
        <w:rPr>
          <w:highlight w:val="yellow"/>
        </w:rPr>
      </w:pPr>
    </w:p>
    <w:p w:rsidR="00FE5632" w:rsidRDefault="00FE5632" w:rsidP="006D252E">
      <w:pPr>
        <w:pStyle w:val="BodyText"/>
        <w:spacing w:after="0"/>
        <w:rPr>
          <w:highlight w:val="yellow"/>
        </w:rPr>
      </w:pPr>
    </w:p>
    <w:p w:rsidR="00FE5632" w:rsidRDefault="00FE5632" w:rsidP="006D252E">
      <w:pPr>
        <w:pStyle w:val="BodyText"/>
        <w:spacing w:after="0"/>
        <w:rPr>
          <w:highlight w:val="yellow"/>
        </w:rPr>
      </w:pPr>
    </w:p>
    <w:p w:rsidR="00FE5632" w:rsidRDefault="00FE5632" w:rsidP="006D252E">
      <w:pPr>
        <w:pStyle w:val="BodyText"/>
        <w:spacing w:after="0"/>
        <w:rPr>
          <w:highlight w:val="yellow"/>
        </w:rPr>
      </w:pPr>
    </w:p>
    <w:p w:rsidR="00FE5632" w:rsidRDefault="00FE5632" w:rsidP="006D252E">
      <w:pPr>
        <w:pStyle w:val="BodyText"/>
        <w:spacing w:after="0"/>
        <w:rPr>
          <w:highlight w:val="yellow"/>
        </w:rPr>
      </w:pPr>
    </w:p>
    <w:p w:rsidR="00FE5632" w:rsidRDefault="00FE5632" w:rsidP="006D252E">
      <w:pPr>
        <w:pStyle w:val="BodyText"/>
        <w:spacing w:after="0"/>
        <w:rPr>
          <w:highlight w:val="yellow"/>
        </w:rPr>
      </w:pPr>
    </w:p>
    <w:p w:rsidR="00FE5632" w:rsidRDefault="00FE5632" w:rsidP="006D252E">
      <w:pPr>
        <w:pStyle w:val="BodyText"/>
        <w:spacing w:after="0"/>
        <w:rPr>
          <w:highlight w:val="yellow"/>
        </w:rPr>
      </w:pPr>
    </w:p>
    <w:p w:rsidR="00FE5632" w:rsidRDefault="00FE5632" w:rsidP="006D252E">
      <w:pPr>
        <w:pStyle w:val="BodyText"/>
        <w:spacing w:after="0"/>
        <w:rPr>
          <w:highlight w:val="yellow"/>
        </w:rPr>
      </w:pPr>
    </w:p>
    <w:p w:rsidR="00FE5632" w:rsidRDefault="00FE5632" w:rsidP="006D252E">
      <w:pPr>
        <w:pStyle w:val="BodyText"/>
        <w:spacing w:after="0"/>
        <w:rPr>
          <w:highlight w:val="yellow"/>
        </w:rPr>
      </w:pPr>
    </w:p>
    <w:p w:rsidR="00FE5632" w:rsidRDefault="00FE5632" w:rsidP="006D252E">
      <w:pPr>
        <w:pStyle w:val="BodyText"/>
        <w:spacing w:after="0"/>
        <w:rPr>
          <w:highlight w:val="yellow"/>
        </w:rPr>
      </w:pPr>
    </w:p>
    <w:p w:rsidR="00FE5632" w:rsidRDefault="00FE5632" w:rsidP="006D252E">
      <w:pPr>
        <w:pStyle w:val="BodyText"/>
        <w:spacing w:after="0"/>
        <w:rPr>
          <w:highlight w:val="yellow"/>
        </w:rPr>
      </w:pPr>
    </w:p>
    <w:p w:rsidR="00FE5632" w:rsidRDefault="00FE5632" w:rsidP="006D252E">
      <w:pPr>
        <w:pStyle w:val="BodyText"/>
        <w:spacing w:after="0"/>
        <w:rPr>
          <w:highlight w:val="yellow"/>
        </w:rPr>
      </w:pPr>
    </w:p>
    <w:p w:rsidR="00B860B0" w:rsidRDefault="00B860B0" w:rsidP="006D252E">
      <w:pPr>
        <w:pStyle w:val="BodyText"/>
        <w:spacing w:after="0"/>
        <w:rPr>
          <w:highlight w:val="yellow"/>
        </w:rPr>
      </w:pPr>
    </w:p>
    <w:tbl>
      <w:tblPr>
        <w:tblW w:w="4887" w:type="pct"/>
        <w:tblInd w:w="108" w:type="dxa"/>
        <w:tblLook w:val="04A0" w:firstRow="1" w:lastRow="0" w:firstColumn="1" w:lastColumn="0" w:noHBand="0" w:noVBand="1"/>
      </w:tblPr>
      <w:tblGrid>
        <w:gridCol w:w="3481"/>
        <w:gridCol w:w="1496"/>
        <w:gridCol w:w="1496"/>
        <w:gridCol w:w="1496"/>
        <w:gridCol w:w="1391"/>
      </w:tblGrid>
      <w:tr w:rsidR="00B860B0" w:rsidRPr="004B191B" w:rsidTr="003176DE">
        <w:trPr>
          <w:cantSplit/>
          <w:trHeight w:val="310"/>
          <w:tblHeader/>
        </w:trPr>
        <w:tc>
          <w:tcPr>
            <w:tcW w:w="5000" w:type="pct"/>
            <w:gridSpan w:val="5"/>
            <w:tcBorders>
              <w:top w:val="nil"/>
              <w:left w:val="nil"/>
              <w:bottom w:val="nil"/>
              <w:right w:val="nil"/>
            </w:tcBorders>
            <w:shd w:val="clear" w:color="auto" w:fill="auto"/>
            <w:vAlign w:val="center"/>
            <w:hideMark/>
          </w:tcPr>
          <w:p w:rsidR="00B860B0" w:rsidRPr="003E25E7" w:rsidRDefault="00B860B0" w:rsidP="003176DE">
            <w:pPr>
              <w:jc w:val="center"/>
              <w:rPr>
                <w:rFonts w:ascii="Arial" w:hAnsi="Arial" w:cs="Arial"/>
                <w:b/>
                <w:bCs/>
                <w:color w:val="000000"/>
              </w:rPr>
            </w:pPr>
            <w:r w:rsidRPr="003E25E7">
              <w:rPr>
                <w:rFonts w:ascii="Arial" w:hAnsi="Arial" w:cs="Arial"/>
                <w:b/>
                <w:bCs/>
                <w:color w:val="000000"/>
              </w:rPr>
              <w:t>Table 1-3</w:t>
            </w:r>
          </w:p>
          <w:p w:rsidR="00B860B0" w:rsidRPr="003E25E7" w:rsidRDefault="00CB7BD8" w:rsidP="00CB7BD8">
            <w:pPr>
              <w:jc w:val="center"/>
              <w:rPr>
                <w:rFonts w:ascii="Arial" w:hAnsi="Arial" w:cs="Arial"/>
                <w:b/>
                <w:bCs/>
                <w:color w:val="000000"/>
              </w:rPr>
            </w:pPr>
            <w:r w:rsidRPr="003E25E7">
              <w:rPr>
                <w:rFonts w:ascii="Arial" w:hAnsi="Arial" w:cs="Arial"/>
                <w:b/>
                <w:bCs/>
                <w:color w:val="000000"/>
              </w:rPr>
              <w:t>FPL Northwest (f</w:t>
            </w:r>
            <w:r w:rsidR="00B860B0" w:rsidRPr="003E25E7">
              <w:rPr>
                <w:rFonts w:ascii="Arial" w:hAnsi="Arial" w:cs="Arial"/>
                <w:b/>
                <w:bCs/>
                <w:color w:val="000000"/>
              </w:rPr>
              <w:t>or</w:t>
            </w:r>
            <w:r w:rsidR="006B6337" w:rsidRPr="003E25E7">
              <w:rPr>
                <w:rFonts w:ascii="Arial" w:hAnsi="Arial" w:cs="Arial"/>
                <w:b/>
                <w:bCs/>
                <w:color w:val="000000"/>
              </w:rPr>
              <w:t>mer Gulf Power Company</w:t>
            </w:r>
            <w:r w:rsidRPr="003E25E7">
              <w:rPr>
                <w:rFonts w:ascii="Arial" w:hAnsi="Arial" w:cs="Arial"/>
                <w:b/>
                <w:bCs/>
                <w:color w:val="000000"/>
              </w:rPr>
              <w:t>)</w:t>
            </w:r>
            <w:r w:rsidR="006B6337" w:rsidRPr="003E25E7">
              <w:rPr>
                <w:rFonts w:ascii="Arial" w:hAnsi="Arial" w:cs="Arial"/>
                <w:b/>
                <w:bCs/>
                <w:color w:val="000000"/>
              </w:rPr>
              <w:t xml:space="preserve"> Service Territory</w:t>
            </w:r>
          </w:p>
        </w:tc>
      </w:tr>
      <w:tr w:rsidR="00B860B0" w:rsidRPr="004B191B" w:rsidTr="003176DE">
        <w:trPr>
          <w:cantSplit/>
          <w:trHeight w:val="320"/>
          <w:tblHeader/>
        </w:trPr>
        <w:tc>
          <w:tcPr>
            <w:tcW w:w="5000" w:type="pct"/>
            <w:gridSpan w:val="5"/>
            <w:tcBorders>
              <w:top w:val="nil"/>
              <w:left w:val="nil"/>
              <w:bottom w:val="single" w:sz="4" w:space="0" w:color="auto"/>
              <w:right w:val="nil"/>
            </w:tcBorders>
            <w:shd w:val="clear" w:color="auto" w:fill="auto"/>
            <w:vAlign w:val="center"/>
            <w:hideMark/>
          </w:tcPr>
          <w:p w:rsidR="00B860B0" w:rsidRPr="003E25E7" w:rsidRDefault="00B860B0" w:rsidP="003176DE">
            <w:pPr>
              <w:jc w:val="center"/>
              <w:rPr>
                <w:rFonts w:ascii="Arial" w:hAnsi="Arial" w:cs="Arial"/>
                <w:b/>
                <w:bCs/>
                <w:color w:val="000000"/>
              </w:rPr>
            </w:pPr>
            <w:r w:rsidRPr="003E25E7">
              <w:rPr>
                <w:rFonts w:ascii="Arial" w:hAnsi="Arial" w:cs="Arial"/>
                <w:b/>
                <w:bCs/>
                <w:color w:val="000000"/>
              </w:rPr>
              <w:t>Monthly Residential Billing Detail at 1,000 kWh</w:t>
            </w:r>
          </w:p>
        </w:tc>
      </w:tr>
      <w:tr w:rsidR="00B860B0" w:rsidRPr="004B191B" w:rsidTr="003176DE">
        <w:trPr>
          <w:cantSplit/>
          <w:trHeight w:val="1240"/>
          <w:tblHeader/>
        </w:trPr>
        <w:tc>
          <w:tcPr>
            <w:tcW w:w="18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860B0" w:rsidRPr="00DF18E6" w:rsidRDefault="00B860B0" w:rsidP="003176DE">
            <w:pPr>
              <w:jc w:val="center"/>
              <w:rPr>
                <w:b/>
                <w:bCs/>
                <w:color w:val="000000"/>
                <w:sz w:val="22"/>
                <w:szCs w:val="22"/>
              </w:rPr>
            </w:pPr>
            <w:r w:rsidRPr="00DF18E6">
              <w:rPr>
                <w:b/>
                <w:bCs/>
                <w:color w:val="000000"/>
                <w:sz w:val="22"/>
                <w:szCs w:val="22"/>
              </w:rPr>
              <w:t>Invoice Component</w:t>
            </w:r>
          </w:p>
        </w:tc>
        <w:tc>
          <w:tcPr>
            <w:tcW w:w="7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860B0" w:rsidRPr="00DF18E6" w:rsidRDefault="004368B7" w:rsidP="003176DE">
            <w:pPr>
              <w:jc w:val="center"/>
              <w:rPr>
                <w:b/>
                <w:bCs/>
                <w:color w:val="000000"/>
                <w:sz w:val="22"/>
                <w:szCs w:val="22"/>
              </w:rPr>
            </w:pPr>
            <w:r w:rsidRPr="00DF18E6">
              <w:rPr>
                <w:b/>
                <w:bCs/>
                <w:color w:val="000000"/>
                <w:sz w:val="22"/>
                <w:szCs w:val="22"/>
              </w:rPr>
              <w:t>Curren</w:t>
            </w:r>
            <w:r w:rsidR="00013D0D" w:rsidRPr="00DF18E6">
              <w:rPr>
                <w:b/>
                <w:bCs/>
                <w:color w:val="000000"/>
                <w:sz w:val="22"/>
                <w:szCs w:val="22"/>
              </w:rPr>
              <w:t>tly</w:t>
            </w:r>
            <w:r w:rsidR="00B860B0" w:rsidRPr="00DF18E6">
              <w:rPr>
                <w:b/>
                <w:bCs/>
                <w:color w:val="000000"/>
                <w:sz w:val="22"/>
                <w:szCs w:val="22"/>
              </w:rPr>
              <w:t>-Approved Charges</w:t>
            </w:r>
          </w:p>
          <w:p w:rsidR="00B860B0" w:rsidRPr="00DF18E6" w:rsidRDefault="00B860B0" w:rsidP="003176DE">
            <w:pPr>
              <w:jc w:val="center"/>
              <w:rPr>
                <w:b/>
                <w:bCs/>
                <w:color w:val="000000"/>
                <w:sz w:val="22"/>
                <w:szCs w:val="22"/>
              </w:rPr>
            </w:pPr>
            <w:r w:rsidRPr="00DF18E6">
              <w:rPr>
                <w:b/>
                <w:bCs/>
                <w:color w:val="000000"/>
                <w:sz w:val="22"/>
                <w:szCs w:val="22"/>
              </w:rPr>
              <w:t>for 2022</w:t>
            </w:r>
          </w:p>
          <w:p w:rsidR="00B860B0" w:rsidRPr="00DF18E6" w:rsidRDefault="00B860B0" w:rsidP="003176DE">
            <w:pPr>
              <w:jc w:val="center"/>
              <w:rPr>
                <w:b/>
                <w:bCs/>
                <w:color w:val="000000"/>
                <w:sz w:val="22"/>
                <w:szCs w:val="22"/>
              </w:rPr>
            </w:pPr>
            <w:r w:rsidRPr="00DF18E6">
              <w:rPr>
                <w:b/>
                <w:bCs/>
                <w:color w:val="000000"/>
                <w:sz w:val="22"/>
                <w:szCs w:val="22"/>
              </w:rPr>
              <w:t>($)</w:t>
            </w:r>
          </w:p>
        </w:tc>
        <w:tc>
          <w:tcPr>
            <w:tcW w:w="7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860B0" w:rsidRPr="00DF18E6" w:rsidRDefault="00B860B0" w:rsidP="003176DE">
            <w:pPr>
              <w:jc w:val="center"/>
              <w:rPr>
                <w:b/>
                <w:bCs/>
                <w:color w:val="000000"/>
                <w:sz w:val="22"/>
                <w:szCs w:val="22"/>
              </w:rPr>
            </w:pPr>
            <w:r w:rsidRPr="00DF18E6">
              <w:rPr>
                <w:b/>
                <w:bCs/>
                <w:color w:val="000000"/>
                <w:sz w:val="22"/>
                <w:szCs w:val="22"/>
              </w:rPr>
              <w:t xml:space="preserve">Proposed New Charges for </w:t>
            </w:r>
          </w:p>
          <w:p w:rsidR="00B860B0" w:rsidRPr="00DF18E6" w:rsidRDefault="00B860B0" w:rsidP="003176DE">
            <w:pPr>
              <w:jc w:val="center"/>
              <w:rPr>
                <w:b/>
                <w:bCs/>
                <w:color w:val="000000"/>
                <w:sz w:val="22"/>
                <w:szCs w:val="22"/>
              </w:rPr>
            </w:pPr>
            <w:r w:rsidRPr="00DF18E6">
              <w:rPr>
                <w:b/>
                <w:bCs/>
                <w:color w:val="000000"/>
                <w:sz w:val="22"/>
                <w:szCs w:val="22"/>
              </w:rPr>
              <w:t>2022</w:t>
            </w:r>
          </w:p>
          <w:p w:rsidR="00B860B0" w:rsidRPr="00DF18E6" w:rsidRDefault="00B860B0" w:rsidP="003176DE">
            <w:pPr>
              <w:jc w:val="center"/>
              <w:rPr>
                <w:b/>
                <w:bCs/>
                <w:color w:val="000000"/>
                <w:sz w:val="22"/>
                <w:szCs w:val="22"/>
              </w:rPr>
            </w:pPr>
            <w:r w:rsidRPr="00DF18E6">
              <w:rPr>
                <w:b/>
                <w:bCs/>
                <w:color w:val="000000"/>
                <w:sz w:val="22"/>
                <w:szCs w:val="22"/>
              </w:rPr>
              <w:t>($)</w:t>
            </w:r>
          </w:p>
        </w:tc>
        <w:tc>
          <w:tcPr>
            <w:tcW w:w="7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860B0" w:rsidRPr="00DF18E6" w:rsidRDefault="004368B7" w:rsidP="003176DE">
            <w:pPr>
              <w:jc w:val="center"/>
              <w:rPr>
                <w:b/>
                <w:bCs/>
                <w:color w:val="000000"/>
                <w:sz w:val="22"/>
                <w:szCs w:val="22"/>
              </w:rPr>
            </w:pPr>
            <w:r w:rsidRPr="00DF18E6">
              <w:rPr>
                <w:b/>
                <w:bCs/>
                <w:color w:val="000000"/>
                <w:sz w:val="22"/>
                <w:szCs w:val="22"/>
              </w:rPr>
              <w:t>Current</w:t>
            </w:r>
            <w:r w:rsidR="00B860B0" w:rsidRPr="00DF18E6">
              <w:rPr>
                <w:b/>
                <w:bCs/>
                <w:color w:val="000000"/>
                <w:sz w:val="22"/>
                <w:szCs w:val="22"/>
              </w:rPr>
              <w:t xml:space="preserve"> to Proposed Difference</w:t>
            </w:r>
          </w:p>
          <w:p w:rsidR="00B860B0" w:rsidRPr="00DF18E6" w:rsidRDefault="00B860B0" w:rsidP="003176DE">
            <w:pPr>
              <w:jc w:val="center"/>
              <w:rPr>
                <w:b/>
                <w:bCs/>
                <w:color w:val="000000"/>
                <w:sz w:val="22"/>
                <w:szCs w:val="22"/>
              </w:rPr>
            </w:pPr>
            <w:r w:rsidRPr="00DF18E6">
              <w:rPr>
                <w:b/>
                <w:bCs/>
                <w:color w:val="000000"/>
                <w:sz w:val="22"/>
                <w:szCs w:val="22"/>
              </w:rPr>
              <w:t>($)</w:t>
            </w:r>
          </w:p>
        </w:tc>
        <w:tc>
          <w:tcPr>
            <w:tcW w:w="7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860B0" w:rsidRPr="00DF18E6" w:rsidRDefault="004368B7" w:rsidP="003176DE">
            <w:pPr>
              <w:jc w:val="center"/>
              <w:rPr>
                <w:b/>
                <w:bCs/>
                <w:color w:val="000000"/>
                <w:sz w:val="22"/>
                <w:szCs w:val="22"/>
              </w:rPr>
            </w:pPr>
            <w:r w:rsidRPr="00DF18E6">
              <w:rPr>
                <w:b/>
                <w:bCs/>
                <w:color w:val="000000"/>
                <w:sz w:val="22"/>
                <w:szCs w:val="22"/>
              </w:rPr>
              <w:t>Current</w:t>
            </w:r>
            <w:r w:rsidR="00B860B0" w:rsidRPr="00DF18E6">
              <w:rPr>
                <w:b/>
                <w:bCs/>
                <w:color w:val="000000"/>
                <w:sz w:val="22"/>
                <w:szCs w:val="22"/>
              </w:rPr>
              <w:t xml:space="preserve"> to Proposed Difference</w:t>
            </w:r>
          </w:p>
          <w:p w:rsidR="00B860B0" w:rsidRPr="00DF18E6" w:rsidRDefault="00B860B0" w:rsidP="003176DE">
            <w:pPr>
              <w:jc w:val="center"/>
              <w:rPr>
                <w:b/>
                <w:bCs/>
                <w:color w:val="000000"/>
                <w:sz w:val="22"/>
                <w:szCs w:val="22"/>
              </w:rPr>
            </w:pPr>
            <w:r w:rsidRPr="00DF18E6">
              <w:rPr>
                <w:b/>
                <w:bCs/>
                <w:color w:val="000000"/>
                <w:sz w:val="22"/>
                <w:szCs w:val="22"/>
              </w:rPr>
              <w:t>(%)</w:t>
            </w:r>
          </w:p>
        </w:tc>
      </w:tr>
      <w:tr w:rsidR="00DF18E6" w:rsidRPr="004B191B" w:rsidTr="00A756AA">
        <w:trPr>
          <w:trHeight w:val="300"/>
        </w:trPr>
        <w:tc>
          <w:tcPr>
            <w:tcW w:w="186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F18E6" w:rsidRPr="00DF18E6" w:rsidRDefault="00DF18E6" w:rsidP="00A756AA">
            <w:pPr>
              <w:rPr>
                <w:color w:val="000000"/>
                <w:sz w:val="22"/>
                <w:szCs w:val="22"/>
              </w:rPr>
            </w:pPr>
            <w:r w:rsidRPr="00DF18E6">
              <w:rPr>
                <w:color w:val="000000"/>
                <w:sz w:val="22"/>
                <w:szCs w:val="22"/>
              </w:rPr>
              <w:t>Base Charge</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DF18E6" w:rsidRPr="00DF18E6" w:rsidRDefault="00DF18E6" w:rsidP="00A756AA">
            <w:pPr>
              <w:jc w:val="right"/>
              <w:rPr>
                <w:color w:val="000000"/>
                <w:sz w:val="22"/>
                <w:szCs w:val="22"/>
              </w:rPr>
            </w:pPr>
            <w:r w:rsidRPr="00DF18E6">
              <w:rPr>
                <w:color w:val="000000"/>
                <w:sz w:val="22"/>
                <w:szCs w:val="22"/>
              </w:rPr>
              <w:t>$75.82</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DF18E6" w:rsidRPr="00DF18E6" w:rsidRDefault="00DF18E6" w:rsidP="00A756AA">
            <w:pPr>
              <w:jc w:val="right"/>
              <w:rPr>
                <w:color w:val="000000"/>
                <w:sz w:val="22"/>
                <w:szCs w:val="22"/>
              </w:rPr>
            </w:pPr>
            <w:r w:rsidRPr="00DF18E6">
              <w:rPr>
                <w:color w:val="000000"/>
                <w:sz w:val="22"/>
                <w:szCs w:val="22"/>
              </w:rPr>
              <w:t>$75.82</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DF18E6" w:rsidRPr="00B16CD8" w:rsidRDefault="00DF18E6" w:rsidP="00A756AA">
            <w:pPr>
              <w:jc w:val="right"/>
              <w:rPr>
                <w:sz w:val="22"/>
                <w:szCs w:val="22"/>
              </w:rPr>
            </w:pPr>
            <w:r w:rsidRPr="00B16CD8">
              <w:rPr>
                <w:sz w:val="22"/>
                <w:szCs w:val="22"/>
              </w:rPr>
              <w:t xml:space="preserve">- </w:t>
            </w:r>
          </w:p>
        </w:tc>
        <w:tc>
          <w:tcPr>
            <w:tcW w:w="743" w:type="pct"/>
            <w:tcBorders>
              <w:top w:val="single" w:sz="4" w:space="0" w:color="auto"/>
              <w:left w:val="single" w:sz="4" w:space="0" w:color="auto"/>
              <w:bottom w:val="single" w:sz="4" w:space="0" w:color="auto"/>
              <w:right w:val="single" w:sz="4" w:space="0" w:color="auto"/>
            </w:tcBorders>
            <w:shd w:val="clear" w:color="auto" w:fill="auto"/>
            <w:vAlign w:val="bottom"/>
          </w:tcPr>
          <w:p w:rsidR="00DF18E6" w:rsidRPr="00B16CD8" w:rsidRDefault="00DF18E6" w:rsidP="00A756AA">
            <w:pPr>
              <w:jc w:val="right"/>
              <w:rPr>
                <w:sz w:val="22"/>
                <w:szCs w:val="22"/>
              </w:rPr>
            </w:pPr>
            <w:r w:rsidRPr="00B16CD8">
              <w:rPr>
                <w:sz w:val="22"/>
                <w:szCs w:val="22"/>
              </w:rPr>
              <w:t>-</w:t>
            </w:r>
          </w:p>
        </w:tc>
      </w:tr>
      <w:tr w:rsidR="00DF18E6" w:rsidRPr="004B191B" w:rsidTr="00A756AA">
        <w:trPr>
          <w:trHeight w:val="300"/>
        </w:trPr>
        <w:tc>
          <w:tcPr>
            <w:tcW w:w="186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F18E6" w:rsidRPr="00DF18E6" w:rsidRDefault="00DF18E6" w:rsidP="00A756AA">
            <w:pPr>
              <w:rPr>
                <w:color w:val="000000"/>
                <w:sz w:val="22"/>
                <w:szCs w:val="22"/>
              </w:rPr>
            </w:pPr>
            <w:r w:rsidRPr="00DF18E6">
              <w:rPr>
                <w:color w:val="000000"/>
                <w:sz w:val="22"/>
                <w:szCs w:val="22"/>
              </w:rPr>
              <w:t>Fuel Charge</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DF18E6" w:rsidRPr="00DF18E6" w:rsidRDefault="00DF18E6" w:rsidP="00A756AA">
            <w:pPr>
              <w:jc w:val="right"/>
              <w:rPr>
                <w:color w:val="000000"/>
                <w:sz w:val="22"/>
                <w:szCs w:val="22"/>
              </w:rPr>
            </w:pPr>
            <w:r w:rsidRPr="00DF18E6">
              <w:rPr>
                <w:color w:val="000000"/>
                <w:sz w:val="22"/>
                <w:szCs w:val="22"/>
              </w:rPr>
              <w:t>28.22</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DF18E6" w:rsidRPr="00DF18E6" w:rsidRDefault="00DF18E6" w:rsidP="00A756AA">
            <w:pPr>
              <w:jc w:val="right"/>
              <w:rPr>
                <w:color w:val="000000"/>
                <w:sz w:val="22"/>
                <w:szCs w:val="22"/>
              </w:rPr>
            </w:pPr>
            <w:r w:rsidRPr="00DF18E6">
              <w:rPr>
                <w:color w:val="000000"/>
                <w:sz w:val="22"/>
                <w:szCs w:val="22"/>
              </w:rPr>
              <w:t>34.87</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DF18E6" w:rsidRPr="00DF18E6" w:rsidRDefault="00DF18E6" w:rsidP="00A756AA">
            <w:pPr>
              <w:jc w:val="right"/>
              <w:rPr>
                <w:sz w:val="22"/>
                <w:szCs w:val="22"/>
              </w:rPr>
            </w:pPr>
            <w:r>
              <w:rPr>
                <w:sz w:val="22"/>
                <w:szCs w:val="22"/>
              </w:rPr>
              <w:t>$</w:t>
            </w:r>
            <w:r w:rsidRPr="00DF18E6">
              <w:rPr>
                <w:sz w:val="22"/>
                <w:szCs w:val="22"/>
              </w:rPr>
              <w:t xml:space="preserve">6.65 </w:t>
            </w:r>
          </w:p>
        </w:tc>
        <w:tc>
          <w:tcPr>
            <w:tcW w:w="743" w:type="pct"/>
            <w:tcBorders>
              <w:top w:val="single" w:sz="4" w:space="0" w:color="auto"/>
              <w:left w:val="single" w:sz="4" w:space="0" w:color="auto"/>
              <w:bottom w:val="single" w:sz="4" w:space="0" w:color="auto"/>
              <w:right w:val="single" w:sz="4" w:space="0" w:color="auto"/>
            </w:tcBorders>
            <w:shd w:val="clear" w:color="auto" w:fill="auto"/>
            <w:vAlign w:val="bottom"/>
          </w:tcPr>
          <w:p w:rsidR="00DF18E6" w:rsidRPr="00DF18E6" w:rsidRDefault="00DF18E6" w:rsidP="00A756AA">
            <w:pPr>
              <w:jc w:val="right"/>
              <w:rPr>
                <w:sz w:val="22"/>
                <w:szCs w:val="22"/>
              </w:rPr>
            </w:pPr>
            <w:r w:rsidRPr="00DF18E6">
              <w:rPr>
                <w:sz w:val="22"/>
                <w:szCs w:val="22"/>
              </w:rPr>
              <w:t>23.</w:t>
            </w:r>
            <w:r w:rsidR="009E505F">
              <w:rPr>
                <w:sz w:val="22"/>
                <w:szCs w:val="22"/>
              </w:rPr>
              <w:t>5</w:t>
            </w:r>
            <w:r w:rsidRPr="00DF18E6">
              <w:rPr>
                <w:sz w:val="22"/>
                <w:szCs w:val="22"/>
              </w:rPr>
              <w:t>6%</w:t>
            </w:r>
          </w:p>
        </w:tc>
      </w:tr>
      <w:tr w:rsidR="00DF18E6" w:rsidRPr="004B191B" w:rsidTr="00A756AA">
        <w:trPr>
          <w:trHeight w:val="300"/>
        </w:trPr>
        <w:tc>
          <w:tcPr>
            <w:tcW w:w="186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F18E6" w:rsidRPr="00DF18E6" w:rsidRDefault="00DF18E6" w:rsidP="00A756AA">
            <w:pPr>
              <w:rPr>
                <w:color w:val="000000"/>
                <w:sz w:val="22"/>
                <w:szCs w:val="22"/>
              </w:rPr>
            </w:pPr>
            <w:r w:rsidRPr="00DF18E6">
              <w:rPr>
                <w:color w:val="000000"/>
                <w:sz w:val="22"/>
                <w:szCs w:val="22"/>
              </w:rPr>
              <w:t>Conservation Charge</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DF18E6" w:rsidRPr="00DF18E6" w:rsidRDefault="00DF18E6" w:rsidP="00A756AA">
            <w:pPr>
              <w:jc w:val="right"/>
              <w:rPr>
                <w:color w:val="000000"/>
                <w:sz w:val="22"/>
                <w:szCs w:val="22"/>
              </w:rPr>
            </w:pPr>
            <w:r w:rsidRPr="00DF18E6">
              <w:rPr>
                <w:color w:val="000000"/>
                <w:sz w:val="22"/>
                <w:szCs w:val="22"/>
              </w:rPr>
              <w:t>1.34</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DF18E6" w:rsidRPr="00DF18E6" w:rsidRDefault="00DF18E6" w:rsidP="00A756AA">
            <w:pPr>
              <w:jc w:val="right"/>
              <w:rPr>
                <w:color w:val="000000"/>
                <w:sz w:val="22"/>
                <w:szCs w:val="22"/>
              </w:rPr>
            </w:pPr>
            <w:r w:rsidRPr="00DF18E6">
              <w:rPr>
                <w:color w:val="000000"/>
                <w:sz w:val="22"/>
                <w:szCs w:val="22"/>
              </w:rPr>
              <w:t>1.34</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DF18E6" w:rsidRPr="00B16CD8" w:rsidRDefault="00DF18E6" w:rsidP="00A756AA">
            <w:pPr>
              <w:jc w:val="right"/>
              <w:rPr>
                <w:sz w:val="22"/>
                <w:szCs w:val="22"/>
              </w:rPr>
            </w:pPr>
            <w:r w:rsidRPr="00B16CD8">
              <w:rPr>
                <w:sz w:val="22"/>
                <w:szCs w:val="22"/>
              </w:rPr>
              <w:t xml:space="preserve">- </w:t>
            </w:r>
          </w:p>
        </w:tc>
        <w:tc>
          <w:tcPr>
            <w:tcW w:w="743" w:type="pct"/>
            <w:tcBorders>
              <w:top w:val="single" w:sz="4" w:space="0" w:color="auto"/>
              <w:left w:val="single" w:sz="4" w:space="0" w:color="auto"/>
              <w:bottom w:val="single" w:sz="4" w:space="0" w:color="auto"/>
              <w:right w:val="single" w:sz="4" w:space="0" w:color="auto"/>
            </w:tcBorders>
            <w:shd w:val="clear" w:color="auto" w:fill="auto"/>
            <w:vAlign w:val="bottom"/>
          </w:tcPr>
          <w:p w:rsidR="00DF18E6" w:rsidRPr="00B16CD8" w:rsidRDefault="00DF18E6" w:rsidP="00A756AA">
            <w:pPr>
              <w:jc w:val="right"/>
              <w:rPr>
                <w:sz w:val="22"/>
                <w:szCs w:val="22"/>
              </w:rPr>
            </w:pPr>
            <w:r w:rsidRPr="00B16CD8">
              <w:rPr>
                <w:sz w:val="22"/>
                <w:szCs w:val="22"/>
              </w:rPr>
              <w:t>-</w:t>
            </w:r>
          </w:p>
        </w:tc>
      </w:tr>
      <w:tr w:rsidR="00DF18E6" w:rsidRPr="004B191B" w:rsidTr="00A756AA">
        <w:trPr>
          <w:trHeight w:val="300"/>
        </w:trPr>
        <w:tc>
          <w:tcPr>
            <w:tcW w:w="186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F18E6" w:rsidRPr="00DF18E6" w:rsidRDefault="00DF18E6" w:rsidP="00A756AA">
            <w:pPr>
              <w:rPr>
                <w:color w:val="000000"/>
                <w:sz w:val="22"/>
                <w:szCs w:val="22"/>
              </w:rPr>
            </w:pPr>
            <w:r w:rsidRPr="00DF18E6">
              <w:rPr>
                <w:color w:val="000000"/>
                <w:sz w:val="22"/>
                <w:szCs w:val="22"/>
              </w:rPr>
              <w:t>Capacity Charge</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DF18E6" w:rsidRPr="00DF18E6" w:rsidRDefault="00DF18E6" w:rsidP="00A756AA">
            <w:pPr>
              <w:jc w:val="right"/>
              <w:rPr>
                <w:color w:val="000000"/>
                <w:sz w:val="22"/>
                <w:szCs w:val="22"/>
              </w:rPr>
            </w:pPr>
            <w:r w:rsidRPr="00DF18E6">
              <w:rPr>
                <w:color w:val="000000"/>
                <w:sz w:val="22"/>
                <w:szCs w:val="22"/>
              </w:rPr>
              <w:t>2.39</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DF18E6" w:rsidRPr="00DF18E6" w:rsidRDefault="00DF18E6" w:rsidP="00A756AA">
            <w:pPr>
              <w:jc w:val="right"/>
              <w:rPr>
                <w:color w:val="000000"/>
                <w:sz w:val="22"/>
                <w:szCs w:val="22"/>
              </w:rPr>
            </w:pPr>
            <w:r w:rsidRPr="00DF18E6">
              <w:rPr>
                <w:color w:val="000000"/>
                <w:sz w:val="22"/>
                <w:szCs w:val="22"/>
              </w:rPr>
              <w:t>2.39</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DF18E6" w:rsidRPr="00B16CD8" w:rsidRDefault="00DF18E6" w:rsidP="00A756AA">
            <w:pPr>
              <w:jc w:val="right"/>
              <w:rPr>
                <w:sz w:val="22"/>
                <w:szCs w:val="22"/>
              </w:rPr>
            </w:pPr>
            <w:r w:rsidRPr="00B16CD8">
              <w:rPr>
                <w:sz w:val="22"/>
                <w:szCs w:val="22"/>
              </w:rPr>
              <w:t>-</w:t>
            </w:r>
          </w:p>
        </w:tc>
        <w:tc>
          <w:tcPr>
            <w:tcW w:w="743" w:type="pct"/>
            <w:tcBorders>
              <w:top w:val="single" w:sz="4" w:space="0" w:color="auto"/>
              <w:left w:val="single" w:sz="4" w:space="0" w:color="auto"/>
              <w:bottom w:val="single" w:sz="4" w:space="0" w:color="auto"/>
              <w:right w:val="single" w:sz="4" w:space="0" w:color="auto"/>
            </w:tcBorders>
            <w:shd w:val="clear" w:color="auto" w:fill="auto"/>
            <w:vAlign w:val="bottom"/>
          </w:tcPr>
          <w:p w:rsidR="00DF18E6" w:rsidRPr="00B16CD8" w:rsidRDefault="00DF18E6" w:rsidP="00A756AA">
            <w:pPr>
              <w:jc w:val="right"/>
              <w:rPr>
                <w:sz w:val="22"/>
                <w:szCs w:val="22"/>
              </w:rPr>
            </w:pPr>
            <w:r w:rsidRPr="00B16CD8">
              <w:rPr>
                <w:sz w:val="22"/>
                <w:szCs w:val="22"/>
              </w:rPr>
              <w:t>-</w:t>
            </w:r>
          </w:p>
        </w:tc>
      </w:tr>
      <w:tr w:rsidR="00DF18E6" w:rsidRPr="004B191B" w:rsidTr="00A756AA">
        <w:trPr>
          <w:trHeight w:val="300"/>
        </w:trPr>
        <w:tc>
          <w:tcPr>
            <w:tcW w:w="186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F18E6" w:rsidRPr="00DF18E6" w:rsidRDefault="00DF18E6" w:rsidP="00A756AA">
            <w:pPr>
              <w:rPr>
                <w:color w:val="000000"/>
                <w:sz w:val="22"/>
                <w:szCs w:val="22"/>
              </w:rPr>
            </w:pPr>
            <w:r w:rsidRPr="00DF18E6">
              <w:rPr>
                <w:color w:val="000000"/>
                <w:sz w:val="22"/>
                <w:szCs w:val="22"/>
              </w:rPr>
              <w:t>Environmental Charge</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DF18E6" w:rsidRPr="00DF18E6" w:rsidRDefault="00DF18E6" w:rsidP="00A756AA">
            <w:pPr>
              <w:jc w:val="right"/>
              <w:rPr>
                <w:color w:val="000000"/>
                <w:sz w:val="22"/>
                <w:szCs w:val="22"/>
              </w:rPr>
            </w:pPr>
            <w:r w:rsidRPr="00DF18E6">
              <w:rPr>
                <w:color w:val="000000"/>
                <w:sz w:val="22"/>
                <w:szCs w:val="22"/>
              </w:rPr>
              <w:t>2.99</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DF18E6" w:rsidRPr="00DF18E6" w:rsidRDefault="00DF18E6" w:rsidP="00A756AA">
            <w:pPr>
              <w:jc w:val="right"/>
              <w:rPr>
                <w:color w:val="000000"/>
                <w:sz w:val="22"/>
                <w:szCs w:val="22"/>
              </w:rPr>
            </w:pPr>
            <w:r w:rsidRPr="00DF18E6">
              <w:rPr>
                <w:color w:val="000000"/>
                <w:sz w:val="22"/>
                <w:szCs w:val="22"/>
              </w:rPr>
              <w:t>2.99</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DF18E6" w:rsidRPr="00B16CD8" w:rsidRDefault="00DF18E6" w:rsidP="00A756AA">
            <w:pPr>
              <w:jc w:val="right"/>
              <w:rPr>
                <w:sz w:val="22"/>
                <w:szCs w:val="22"/>
              </w:rPr>
            </w:pPr>
            <w:r w:rsidRPr="00B16CD8">
              <w:rPr>
                <w:sz w:val="22"/>
                <w:szCs w:val="22"/>
              </w:rPr>
              <w:t>-</w:t>
            </w:r>
          </w:p>
        </w:tc>
        <w:tc>
          <w:tcPr>
            <w:tcW w:w="743" w:type="pct"/>
            <w:tcBorders>
              <w:top w:val="single" w:sz="4" w:space="0" w:color="auto"/>
              <w:left w:val="single" w:sz="4" w:space="0" w:color="auto"/>
              <w:bottom w:val="single" w:sz="4" w:space="0" w:color="auto"/>
              <w:right w:val="single" w:sz="4" w:space="0" w:color="auto"/>
            </w:tcBorders>
            <w:shd w:val="clear" w:color="auto" w:fill="auto"/>
            <w:vAlign w:val="bottom"/>
          </w:tcPr>
          <w:p w:rsidR="00DF18E6" w:rsidRPr="00B16CD8" w:rsidRDefault="00DF18E6" w:rsidP="00A756AA">
            <w:pPr>
              <w:jc w:val="right"/>
              <w:rPr>
                <w:sz w:val="22"/>
                <w:szCs w:val="22"/>
              </w:rPr>
            </w:pPr>
            <w:r w:rsidRPr="00B16CD8">
              <w:rPr>
                <w:sz w:val="22"/>
                <w:szCs w:val="22"/>
              </w:rPr>
              <w:t>-</w:t>
            </w:r>
          </w:p>
        </w:tc>
      </w:tr>
      <w:tr w:rsidR="00DF18E6" w:rsidRPr="004B191B" w:rsidTr="00A756AA">
        <w:trPr>
          <w:trHeight w:val="300"/>
        </w:trPr>
        <w:tc>
          <w:tcPr>
            <w:tcW w:w="186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F18E6" w:rsidRPr="00DF18E6" w:rsidRDefault="00DF18E6" w:rsidP="00A756AA">
            <w:pPr>
              <w:rPr>
                <w:color w:val="000000"/>
                <w:sz w:val="22"/>
                <w:szCs w:val="22"/>
              </w:rPr>
            </w:pPr>
            <w:r w:rsidRPr="00DF18E6">
              <w:rPr>
                <w:color w:val="000000"/>
                <w:sz w:val="22"/>
                <w:szCs w:val="22"/>
              </w:rPr>
              <w:t>Storm Protection Plan</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DF18E6" w:rsidRPr="00DF18E6" w:rsidRDefault="00DF18E6" w:rsidP="00A756AA">
            <w:pPr>
              <w:jc w:val="right"/>
              <w:rPr>
                <w:color w:val="000000"/>
                <w:sz w:val="22"/>
                <w:szCs w:val="22"/>
              </w:rPr>
            </w:pPr>
            <w:r w:rsidRPr="00DF18E6">
              <w:rPr>
                <w:color w:val="000000"/>
                <w:sz w:val="22"/>
                <w:szCs w:val="22"/>
              </w:rPr>
              <w:t>2.14</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DF18E6" w:rsidRPr="00DF18E6" w:rsidRDefault="00DF18E6" w:rsidP="00A756AA">
            <w:pPr>
              <w:jc w:val="right"/>
              <w:rPr>
                <w:color w:val="000000"/>
                <w:sz w:val="22"/>
                <w:szCs w:val="22"/>
              </w:rPr>
            </w:pPr>
            <w:r w:rsidRPr="00DF18E6">
              <w:rPr>
                <w:color w:val="000000"/>
                <w:sz w:val="22"/>
                <w:szCs w:val="22"/>
              </w:rPr>
              <w:t>2.14</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DF18E6" w:rsidRPr="00B16CD8" w:rsidRDefault="00DF18E6" w:rsidP="00A756AA">
            <w:pPr>
              <w:jc w:val="right"/>
              <w:rPr>
                <w:sz w:val="22"/>
                <w:szCs w:val="22"/>
              </w:rPr>
            </w:pPr>
            <w:r w:rsidRPr="00B16CD8">
              <w:rPr>
                <w:sz w:val="22"/>
                <w:szCs w:val="22"/>
              </w:rPr>
              <w:t>-</w:t>
            </w:r>
          </w:p>
        </w:tc>
        <w:tc>
          <w:tcPr>
            <w:tcW w:w="743" w:type="pct"/>
            <w:tcBorders>
              <w:top w:val="single" w:sz="4" w:space="0" w:color="auto"/>
              <w:left w:val="single" w:sz="4" w:space="0" w:color="auto"/>
              <w:bottom w:val="single" w:sz="4" w:space="0" w:color="auto"/>
              <w:right w:val="single" w:sz="4" w:space="0" w:color="auto"/>
            </w:tcBorders>
            <w:shd w:val="clear" w:color="auto" w:fill="auto"/>
            <w:vAlign w:val="bottom"/>
          </w:tcPr>
          <w:p w:rsidR="00DF18E6" w:rsidRPr="00B16CD8" w:rsidRDefault="00DF18E6" w:rsidP="00A756AA">
            <w:pPr>
              <w:jc w:val="right"/>
              <w:rPr>
                <w:sz w:val="22"/>
                <w:szCs w:val="22"/>
              </w:rPr>
            </w:pPr>
            <w:r w:rsidRPr="00B16CD8">
              <w:rPr>
                <w:sz w:val="22"/>
                <w:szCs w:val="22"/>
              </w:rPr>
              <w:t>-</w:t>
            </w:r>
          </w:p>
        </w:tc>
      </w:tr>
      <w:tr w:rsidR="00DF18E6" w:rsidRPr="004B191B" w:rsidTr="00A756AA">
        <w:trPr>
          <w:trHeight w:val="300"/>
        </w:trPr>
        <w:tc>
          <w:tcPr>
            <w:tcW w:w="1860" w:type="pct"/>
            <w:tcBorders>
              <w:top w:val="single" w:sz="4" w:space="0" w:color="auto"/>
              <w:left w:val="single" w:sz="4" w:space="0" w:color="auto"/>
              <w:bottom w:val="single" w:sz="4" w:space="0" w:color="auto"/>
              <w:right w:val="single" w:sz="4" w:space="0" w:color="auto"/>
            </w:tcBorders>
            <w:shd w:val="clear" w:color="auto" w:fill="auto"/>
            <w:vAlign w:val="bottom"/>
          </w:tcPr>
          <w:p w:rsidR="00DF18E6" w:rsidRPr="00DF18E6" w:rsidRDefault="00DF18E6" w:rsidP="00A756AA">
            <w:pPr>
              <w:rPr>
                <w:color w:val="000000"/>
                <w:sz w:val="22"/>
                <w:szCs w:val="22"/>
              </w:rPr>
            </w:pPr>
            <w:r w:rsidRPr="00DF18E6">
              <w:rPr>
                <w:color w:val="000000"/>
                <w:sz w:val="22"/>
                <w:szCs w:val="22"/>
              </w:rPr>
              <w:t>Storm Restoration Surcharge</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DF18E6" w:rsidRPr="00DF18E6" w:rsidRDefault="00DF18E6" w:rsidP="00A756AA">
            <w:pPr>
              <w:jc w:val="right"/>
              <w:rPr>
                <w:color w:val="000000"/>
                <w:sz w:val="22"/>
                <w:szCs w:val="22"/>
              </w:rPr>
            </w:pPr>
            <w:r w:rsidRPr="00DF18E6">
              <w:rPr>
                <w:color w:val="000000"/>
                <w:sz w:val="22"/>
                <w:szCs w:val="22"/>
              </w:rPr>
              <w:t>11.00</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DF18E6" w:rsidRPr="00DF18E6" w:rsidRDefault="00DF18E6" w:rsidP="00A756AA">
            <w:pPr>
              <w:jc w:val="right"/>
              <w:rPr>
                <w:color w:val="000000"/>
                <w:sz w:val="22"/>
                <w:szCs w:val="22"/>
              </w:rPr>
            </w:pPr>
            <w:r w:rsidRPr="00DF18E6">
              <w:rPr>
                <w:color w:val="000000"/>
                <w:sz w:val="22"/>
                <w:szCs w:val="22"/>
              </w:rPr>
              <w:t>11.00</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DF18E6" w:rsidRPr="00B16CD8" w:rsidRDefault="00DF18E6" w:rsidP="00A756AA">
            <w:pPr>
              <w:jc w:val="right"/>
              <w:rPr>
                <w:sz w:val="22"/>
                <w:szCs w:val="22"/>
              </w:rPr>
            </w:pPr>
            <w:r w:rsidRPr="00B16CD8">
              <w:rPr>
                <w:sz w:val="22"/>
                <w:szCs w:val="22"/>
              </w:rPr>
              <w:t xml:space="preserve">- </w:t>
            </w:r>
          </w:p>
        </w:tc>
        <w:tc>
          <w:tcPr>
            <w:tcW w:w="743" w:type="pct"/>
            <w:tcBorders>
              <w:top w:val="single" w:sz="4" w:space="0" w:color="auto"/>
              <w:left w:val="single" w:sz="4" w:space="0" w:color="auto"/>
              <w:bottom w:val="single" w:sz="4" w:space="0" w:color="auto"/>
              <w:right w:val="single" w:sz="4" w:space="0" w:color="auto"/>
            </w:tcBorders>
            <w:shd w:val="clear" w:color="auto" w:fill="auto"/>
            <w:vAlign w:val="bottom"/>
          </w:tcPr>
          <w:p w:rsidR="00DF18E6" w:rsidRPr="00B16CD8" w:rsidRDefault="00DF18E6" w:rsidP="00A756AA">
            <w:pPr>
              <w:jc w:val="right"/>
              <w:rPr>
                <w:sz w:val="22"/>
                <w:szCs w:val="22"/>
              </w:rPr>
            </w:pPr>
            <w:r w:rsidRPr="00B16CD8">
              <w:rPr>
                <w:sz w:val="22"/>
                <w:szCs w:val="22"/>
              </w:rPr>
              <w:t>-</w:t>
            </w:r>
          </w:p>
        </w:tc>
      </w:tr>
      <w:tr w:rsidR="00DF18E6" w:rsidRPr="004B191B" w:rsidTr="00A756AA">
        <w:trPr>
          <w:trHeight w:val="300"/>
        </w:trPr>
        <w:tc>
          <w:tcPr>
            <w:tcW w:w="1860" w:type="pct"/>
            <w:tcBorders>
              <w:top w:val="single" w:sz="4" w:space="0" w:color="auto"/>
              <w:left w:val="single" w:sz="4" w:space="0" w:color="auto"/>
              <w:bottom w:val="single" w:sz="4" w:space="0" w:color="auto"/>
              <w:right w:val="single" w:sz="4" w:space="0" w:color="auto"/>
            </w:tcBorders>
            <w:shd w:val="clear" w:color="auto" w:fill="auto"/>
            <w:vAlign w:val="bottom"/>
          </w:tcPr>
          <w:p w:rsidR="00DF18E6" w:rsidRPr="00DF18E6" w:rsidRDefault="00DF18E6" w:rsidP="00A756AA">
            <w:pPr>
              <w:rPr>
                <w:color w:val="000000"/>
                <w:sz w:val="22"/>
                <w:szCs w:val="22"/>
              </w:rPr>
            </w:pPr>
            <w:r w:rsidRPr="00DF18E6">
              <w:rPr>
                <w:color w:val="000000"/>
                <w:sz w:val="22"/>
                <w:szCs w:val="22"/>
              </w:rPr>
              <w:t>Transition Rider</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DF18E6" w:rsidRPr="00DF18E6" w:rsidRDefault="00DF18E6" w:rsidP="00A756AA">
            <w:pPr>
              <w:jc w:val="right"/>
              <w:rPr>
                <w:color w:val="000000"/>
                <w:sz w:val="22"/>
                <w:szCs w:val="22"/>
                <w:u w:val="single"/>
              </w:rPr>
            </w:pPr>
            <w:r w:rsidRPr="00DF18E6">
              <w:rPr>
                <w:color w:val="000000"/>
                <w:sz w:val="22"/>
                <w:szCs w:val="22"/>
                <w:u w:val="single"/>
              </w:rPr>
              <w:t>21.06</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DF18E6" w:rsidRPr="00DF18E6" w:rsidRDefault="00DF18E6" w:rsidP="00A756AA">
            <w:pPr>
              <w:jc w:val="right"/>
              <w:rPr>
                <w:color w:val="000000"/>
                <w:sz w:val="22"/>
                <w:szCs w:val="22"/>
                <w:u w:val="single"/>
              </w:rPr>
            </w:pPr>
            <w:r w:rsidRPr="00DF18E6">
              <w:rPr>
                <w:color w:val="000000"/>
                <w:sz w:val="22"/>
                <w:szCs w:val="22"/>
                <w:u w:val="single"/>
              </w:rPr>
              <w:t>21.06</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DF18E6" w:rsidRPr="00B16CD8" w:rsidRDefault="00DF18E6" w:rsidP="00A756AA">
            <w:pPr>
              <w:jc w:val="right"/>
              <w:rPr>
                <w:sz w:val="22"/>
                <w:szCs w:val="22"/>
              </w:rPr>
            </w:pPr>
            <w:r w:rsidRPr="00B16CD8">
              <w:rPr>
                <w:sz w:val="22"/>
                <w:szCs w:val="22"/>
              </w:rPr>
              <w:t xml:space="preserve">- </w:t>
            </w:r>
          </w:p>
        </w:tc>
        <w:tc>
          <w:tcPr>
            <w:tcW w:w="743" w:type="pct"/>
            <w:tcBorders>
              <w:top w:val="single" w:sz="4" w:space="0" w:color="auto"/>
              <w:left w:val="single" w:sz="4" w:space="0" w:color="auto"/>
              <w:bottom w:val="single" w:sz="4" w:space="0" w:color="auto"/>
              <w:right w:val="single" w:sz="4" w:space="0" w:color="auto"/>
            </w:tcBorders>
            <w:shd w:val="clear" w:color="auto" w:fill="auto"/>
            <w:vAlign w:val="bottom"/>
          </w:tcPr>
          <w:p w:rsidR="00DF18E6" w:rsidRPr="00B16CD8" w:rsidRDefault="00DF18E6" w:rsidP="00A756AA">
            <w:pPr>
              <w:jc w:val="right"/>
              <w:rPr>
                <w:sz w:val="22"/>
                <w:szCs w:val="22"/>
              </w:rPr>
            </w:pPr>
            <w:r w:rsidRPr="00B16CD8">
              <w:rPr>
                <w:sz w:val="22"/>
                <w:szCs w:val="22"/>
              </w:rPr>
              <w:t>-</w:t>
            </w:r>
          </w:p>
        </w:tc>
      </w:tr>
      <w:tr w:rsidR="00DF18E6" w:rsidRPr="004B191B" w:rsidTr="00A756AA">
        <w:trPr>
          <w:trHeight w:val="300"/>
        </w:trPr>
        <w:tc>
          <w:tcPr>
            <w:tcW w:w="186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F18E6" w:rsidRPr="00DF18E6" w:rsidRDefault="006E56AD" w:rsidP="00A756AA">
            <w:pPr>
              <w:rPr>
                <w:color w:val="000000"/>
                <w:sz w:val="22"/>
                <w:szCs w:val="22"/>
              </w:rPr>
            </w:pPr>
            <w:r>
              <w:rPr>
                <w:color w:val="000000"/>
                <w:sz w:val="22"/>
                <w:szCs w:val="22"/>
              </w:rPr>
              <w:t>Tax</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DF18E6" w:rsidRPr="00DF18E6" w:rsidRDefault="00DF18E6" w:rsidP="00A756AA">
            <w:pPr>
              <w:jc w:val="right"/>
              <w:rPr>
                <w:color w:val="000000"/>
                <w:sz w:val="22"/>
                <w:szCs w:val="22"/>
                <w:u w:val="single"/>
              </w:rPr>
            </w:pPr>
            <w:r w:rsidRPr="00DF18E6">
              <w:rPr>
                <w:color w:val="000000"/>
                <w:sz w:val="22"/>
                <w:szCs w:val="22"/>
                <w:u w:val="single"/>
              </w:rPr>
              <w:t>3.82</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DF18E6" w:rsidRPr="00DF18E6" w:rsidRDefault="00DF18E6" w:rsidP="00A756AA">
            <w:pPr>
              <w:jc w:val="right"/>
              <w:rPr>
                <w:sz w:val="22"/>
                <w:szCs w:val="22"/>
                <w:u w:val="single"/>
              </w:rPr>
            </w:pPr>
            <w:r w:rsidRPr="00DF18E6">
              <w:rPr>
                <w:sz w:val="22"/>
                <w:szCs w:val="22"/>
                <w:u w:val="single"/>
              </w:rPr>
              <w:t xml:space="preserve">4.00 </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DF18E6" w:rsidRPr="006E0FCA" w:rsidRDefault="00DF18E6" w:rsidP="00A756AA">
            <w:pPr>
              <w:jc w:val="right"/>
              <w:rPr>
                <w:sz w:val="22"/>
                <w:szCs w:val="22"/>
                <w:u w:val="single"/>
              </w:rPr>
            </w:pPr>
            <w:r w:rsidRPr="006E0FCA">
              <w:rPr>
                <w:sz w:val="22"/>
                <w:szCs w:val="22"/>
                <w:u w:val="single"/>
              </w:rPr>
              <w:t xml:space="preserve">0.18 </w:t>
            </w:r>
          </w:p>
        </w:tc>
        <w:tc>
          <w:tcPr>
            <w:tcW w:w="743" w:type="pct"/>
            <w:tcBorders>
              <w:top w:val="single" w:sz="4" w:space="0" w:color="auto"/>
              <w:left w:val="single" w:sz="4" w:space="0" w:color="auto"/>
              <w:bottom w:val="single" w:sz="4" w:space="0" w:color="auto"/>
              <w:right w:val="single" w:sz="4" w:space="0" w:color="auto"/>
            </w:tcBorders>
            <w:shd w:val="clear" w:color="auto" w:fill="auto"/>
            <w:vAlign w:val="bottom"/>
          </w:tcPr>
          <w:p w:rsidR="00DF18E6" w:rsidRPr="00DF18E6" w:rsidRDefault="00DF18E6" w:rsidP="009E505F">
            <w:pPr>
              <w:jc w:val="right"/>
              <w:rPr>
                <w:sz w:val="22"/>
                <w:szCs w:val="22"/>
              </w:rPr>
            </w:pPr>
            <w:r w:rsidRPr="00DF18E6">
              <w:rPr>
                <w:sz w:val="22"/>
                <w:szCs w:val="22"/>
              </w:rPr>
              <w:t>4.</w:t>
            </w:r>
            <w:r w:rsidR="009E505F">
              <w:rPr>
                <w:sz w:val="22"/>
                <w:szCs w:val="22"/>
              </w:rPr>
              <w:t>71</w:t>
            </w:r>
            <w:r w:rsidRPr="00DF18E6">
              <w:rPr>
                <w:sz w:val="22"/>
                <w:szCs w:val="22"/>
              </w:rPr>
              <w:t>%</w:t>
            </w:r>
          </w:p>
        </w:tc>
      </w:tr>
      <w:tr w:rsidR="00DF18E6" w:rsidRPr="009C275E" w:rsidTr="00A756AA">
        <w:trPr>
          <w:trHeight w:val="300"/>
        </w:trPr>
        <w:tc>
          <w:tcPr>
            <w:tcW w:w="186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F18E6" w:rsidRPr="009C275E" w:rsidRDefault="00DF18E6" w:rsidP="00A756AA">
            <w:pPr>
              <w:rPr>
                <w:b/>
                <w:bCs/>
                <w:color w:val="000000"/>
                <w:sz w:val="22"/>
                <w:szCs w:val="22"/>
              </w:rPr>
            </w:pPr>
            <w:r w:rsidRPr="009C275E">
              <w:rPr>
                <w:b/>
                <w:bCs/>
                <w:color w:val="000000"/>
                <w:sz w:val="22"/>
                <w:szCs w:val="22"/>
              </w:rPr>
              <w:t>Total</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DF18E6" w:rsidRPr="009C275E" w:rsidRDefault="00DF18E6" w:rsidP="00A756AA">
            <w:pPr>
              <w:jc w:val="right"/>
              <w:rPr>
                <w:color w:val="000000"/>
                <w:sz w:val="22"/>
                <w:szCs w:val="22"/>
                <w:u w:val="double"/>
              </w:rPr>
            </w:pPr>
            <w:r w:rsidRPr="009C275E">
              <w:rPr>
                <w:color w:val="000000"/>
                <w:sz w:val="22"/>
                <w:szCs w:val="22"/>
                <w:u w:val="double"/>
              </w:rPr>
              <w:t>$148.78</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DF18E6" w:rsidRPr="009C275E" w:rsidRDefault="00DF18E6" w:rsidP="00A756AA">
            <w:pPr>
              <w:jc w:val="right"/>
              <w:rPr>
                <w:sz w:val="22"/>
                <w:szCs w:val="22"/>
                <w:u w:val="double"/>
              </w:rPr>
            </w:pPr>
            <w:r w:rsidRPr="009C275E">
              <w:rPr>
                <w:sz w:val="22"/>
                <w:szCs w:val="22"/>
                <w:u w:val="double"/>
              </w:rPr>
              <w:t xml:space="preserve">$155.61 </w:t>
            </w: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DF18E6" w:rsidRPr="006E0FCA" w:rsidRDefault="00DF18E6" w:rsidP="00A756AA">
            <w:pPr>
              <w:jc w:val="right"/>
              <w:rPr>
                <w:sz w:val="22"/>
                <w:szCs w:val="22"/>
                <w:u w:val="double"/>
              </w:rPr>
            </w:pPr>
            <w:r w:rsidRPr="006E0FCA">
              <w:rPr>
                <w:sz w:val="22"/>
                <w:szCs w:val="22"/>
                <w:u w:val="double"/>
              </w:rPr>
              <w:t xml:space="preserve">$6.83 </w:t>
            </w:r>
          </w:p>
        </w:tc>
        <w:tc>
          <w:tcPr>
            <w:tcW w:w="743" w:type="pct"/>
            <w:tcBorders>
              <w:top w:val="single" w:sz="4" w:space="0" w:color="auto"/>
              <w:left w:val="single" w:sz="4" w:space="0" w:color="auto"/>
              <w:bottom w:val="single" w:sz="4" w:space="0" w:color="auto"/>
              <w:right w:val="single" w:sz="4" w:space="0" w:color="auto"/>
            </w:tcBorders>
            <w:shd w:val="clear" w:color="auto" w:fill="auto"/>
            <w:vAlign w:val="bottom"/>
          </w:tcPr>
          <w:p w:rsidR="00DF18E6" w:rsidRPr="009C275E" w:rsidRDefault="009E505F" w:rsidP="00A756AA">
            <w:pPr>
              <w:jc w:val="right"/>
              <w:rPr>
                <w:sz w:val="22"/>
                <w:szCs w:val="22"/>
              </w:rPr>
            </w:pPr>
            <w:r>
              <w:rPr>
                <w:sz w:val="22"/>
                <w:szCs w:val="22"/>
              </w:rPr>
              <w:t>4.59</w:t>
            </w:r>
            <w:r w:rsidR="00DF18E6" w:rsidRPr="009C275E">
              <w:rPr>
                <w:sz w:val="22"/>
                <w:szCs w:val="22"/>
              </w:rPr>
              <w:t>%</w:t>
            </w:r>
          </w:p>
        </w:tc>
      </w:tr>
    </w:tbl>
    <w:p w:rsidR="00DB545F" w:rsidRPr="009C275E" w:rsidRDefault="00DB545F" w:rsidP="00DB545F">
      <w:pPr>
        <w:pStyle w:val="FootnoteText"/>
      </w:pPr>
      <w:r w:rsidRPr="009C275E">
        <w:t>Source: FPL MCC Petition, Schedule E-10.</w:t>
      </w:r>
    </w:p>
    <w:p w:rsidR="00B860B0" w:rsidRDefault="00B860B0" w:rsidP="006D252E">
      <w:pPr>
        <w:pStyle w:val="BodyText"/>
        <w:spacing w:after="0"/>
        <w:rPr>
          <w:highlight w:val="yellow"/>
        </w:rPr>
      </w:pPr>
    </w:p>
    <w:p w:rsidR="00D94790" w:rsidRPr="00D94790" w:rsidRDefault="00D94790" w:rsidP="00D94790">
      <w:pPr>
        <w:pStyle w:val="BodyText"/>
        <w:spacing w:after="0"/>
      </w:pPr>
    </w:p>
    <w:p w:rsidR="009C275E" w:rsidRPr="009C275E" w:rsidRDefault="009C275E" w:rsidP="00FE5632">
      <w:pPr>
        <w:pStyle w:val="BodyText"/>
        <w:spacing w:after="0"/>
        <w:ind w:firstLine="720"/>
        <w:rPr>
          <w:rFonts w:ascii="Arial" w:hAnsi="Arial" w:cs="Arial"/>
          <w:b/>
          <w:i/>
        </w:rPr>
      </w:pPr>
      <w:r w:rsidRPr="009C275E">
        <w:rPr>
          <w:rFonts w:ascii="Arial" w:hAnsi="Arial" w:cs="Arial"/>
          <w:b/>
          <w:i/>
        </w:rPr>
        <w:t>Bill Impacts</w:t>
      </w:r>
      <w:r w:rsidR="002F60CF">
        <w:rPr>
          <w:rFonts w:ascii="Arial" w:hAnsi="Arial" w:cs="Arial"/>
          <w:b/>
          <w:i/>
        </w:rPr>
        <w:t xml:space="preserve"> - </w:t>
      </w:r>
      <w:r w:rsidR="002F60CF" w:rsidRPr="009C275E">
        <w:rPr>
          <w:rFonts w:ascii="Arial" w:hAnsi="Arial" w:cs="Arial"/>
          <w:b/>
          <w:i/>
        </w:rPr>
        <w:t xml:space="preserve">FPL’s </w:t>
      </w:r>
      <w:r w:rsidR="002F60CF">
        <w:rPr>
          <w:rFonts w:ascii="Arial" w:hAnsi="Arial" w:cs="Arial"/>
          <w:b/>
          <w:i/>
        </w:rPr>
        <w:t xml:space="preserve">Northwest </w:t>
      </w:r>
      <w:r w:rsidR="002F60CF" w:rsidRPr="009C275E">
        <w:rPr>
          <w:rFonts w:ascii="Arial" w:hAnsi="Arial" w:cs="Arial"/>
          <w:b/>
          <w:i/>
        </w:rPr>
        <w:t>Service Territory</w:t>
      </w:r>
    </w:p>
    <w:p w:rsidR="00082265" w:rsidRDefault="009C275E" w:rsidP="009C275E">
      <w:pPr>
        <w:pStyle w:val="BodyText"/>
        <w:spacing w:after="0"/>
      </w:pPr>
      <w:r w:rsidRPr="002F60CF">
        <w:t xml:space="preserve">FPL’s currently-approved </w:t>
      </w:r>
      <w:r w:rsidR="007139B0">
        <w:t xml:space="preserve">Northwest </w:t>
      </w:r>
      <w:r w:rsidRPr="002F60CF">
        <w:t>total residential charge for the first 1,000 kWh of usage for January through December 2022 is $</w:t>
      </w:r>
      <w:r w:rsidR="002F60CF" w:rsidRPr="002F60CF">
        <w:t>148</w:t>
      </w:r>
      <w:r w:rsidRPr="002F60CF">
        <w:t>.</w:t>
      </w:r>
      <w:r w:rsidR="002F60CF" w:rsidRPr="002F60CF">
        <w:t>78</w:t>
      </w:r>
      <w:r w:rsidRPr="002F60CF">
        <w:t>.</w:t>
      </w:r>
      <w:r w:rsidRPr="002F60CF">
        <w:rPr>
          <w:rStyle w:val="FootnoteReference"/>
        </w:rPr>
        <w:footnoteReference w:id="16"/>
      </w:r>
      <w:r w:rsidRPr="002F60CF">
        <w:t xml:space="preserve"> If the Company’s mid-course corre</w:t>
      </w:r>
      <w:r w:rsidR="00693529">
        <w:t>ction proposal is approved,</w:t>
      </w:r>
      <w:r w:rsidRPr="002F60CF">
        <w:t xml:space="preserve"> the current total</w:t>
      </w:r>
      <w:r w:rsidR="007139B0">
        <w:t xml:space="preserve"> Northwest</w:t>
      </w:r>
      <w:r w:rsidRPr="002F60CF">
        <w:t xml:space="preserve"> residential charge for the first 1,000 kWh of usage for January through December 2022 will be $</w:t>
      </w:r>
      <w:r w:rsidR="002F60CF" w:rsidRPr="002F60CF">
        <w:t>155</w:t>
      </w:r>
      <w:r w:rsidRPr="002F60CF">
        <w:t>.</w:t>
      </w:r>
      <w:r w:rsidR="002F60CF" w:rsidRPr="002F60CF">
        <w:t>61</w:t>
      </w:r>
      <w:r w:rsidR="00693529">
        <w:t xml:space="preserve">, </w:t>
      </w:r>
      <w:r w:rsidRPr="002F60CF">
        <w:t xml:space="preserve">an increase of </w:t>
      </w:r>
      <w:r w:rsidR="002F60CF" w:rsidRPr="002F60CF">
        <w:t>4</w:t>
      </w:r>
      <w:r w:rsidRPr="002F60CF">
        <w:t>.</w:t>
      </w:r>
      <w:r w:rsidR="002F60CF" w:rsidRPr="002F60CF">
        <w:t>59</w:t>
      </w:r>
      <w:r w:rsidRPr="002F60CF">
        <w:t xml:space="preserve"> percent. Concerning non-residential customers, FPL reported that bill increases based on average levels of usage for commercial customers would range from approximately </w:t>
      </w:r>
      <w:r w:rsidR="002F60CF" w:rsidRPr="002F60CF">
        <w:t>4.37</w:t>
      </w:r>
      <w:r w:rsidRPr="002F60CF">
        <w:t xml:space="preserve"> to </w:t>
      </w:r>
      <w:r w:rsidR="002F60CF" w:rsidRPr="002F60CF">
        <w:t>6.20</w:t>
      </w:r>
      <w:r w:rsidRPr="002F60CF">
        <w:t xml:space="preserve"> percent</w:t>
      </w:r>
      <w:r w:rsidR="002F60CF" w:rsidRPr="002F60CF">
        <w:t>.</w:t>
      </w:r>
      <w:r w:rsidRPr="002F60CF">
        <w:t xml:space="preserve"> </w:t>
      </w:r>
      <w:r w:rsidR="00F339AA">
        <w:t xml:space="preserve">A figure associated with an industrial class was </w:t>
      </w:r>
      <w:r w:rsidR="00ED0F4C">
        <w:t>not identified</w:t>
      </w:r>
      <w:r w:rsidR="00F339AA">
        <w:t>.</w:t>
      </w:r>
      <w:r w:rsidR="00F339AA" w:rsidRPr="002F60CF">
        <w:rPr>
          <w:rStyle w:val="FootnoteReference"/>
        </w:rPr>
        <w:footnoteReference w:id="17"/>
      </w:r>
    </w:p>
    <w:p w:rsidR="00082265" w:rsidRDefault="00082265" w:rsidP="009C275E">
      <w:pPr>
        <w:pStyle w:val="BodyText"/>
        <w:spacing w:after="0"/>
      </w:pPr>
    </w:p>
    <w:p w:rsidR="00082265" w:rsidRDefault="00082265" w:rsidP="009C275E">
      <w:pPr>
        <w:pStyle w:val="BodyText"/>
        <w:spacing w:after="0"/>
      </w:pPr>
      <w:r>
        <w:rPr>
          <w:rFonts w:ascii="Arial" w:hAnsi="Arial" w:cs="Arial"/>
          <w:b/>
          <w:i/>
        </w:rPr>
        <w:t>Tariffs and Noticing</w:t>
      </w:r>
    </w:p>
    <w:p w:rsidR="009C275E" w:rsidRPr="00013D0D" w:rsidRDefault="009C275E" w:rsidP="009C275E">
      <w:pPr>
        <w:pStyle w:val="BodyText"/>
        <w:spacing w:after="0"/>
      </w:pPr>
      <w:r w:rsidRPr="002F60CF">
        <w:t xml:space="preserve">FPL’s proposed tariffs are shown on </w:t>
      </w:r>
      <w:r w:rsidR="00215E6F">
        <w:t>Appendix</w:t>
      </w:r>
      <w:r w:rsidRPr="002F60CF">
        <w:t xml:space="preserve"> A to this recomm</w:t>
      </w:r>
      <w:r w:rsidR="00A80E22">
        <w:t xml:space="preserve">endation. </w:t>
      </w:r>
      <w:r w:rsidR="00B411E2" w:rsidRPr="00B411E2">
        <w:t>Staff notes that</w:t>
      </w:r>
      <w:r w:rsidR="00E27D7A">
        <w:t xml:space="preserve">, </w:t>
      </w:r>
      <w:r w:rsidR="00E27D7A" w:rsidRPr="00B411E2">
        <w:t>in addition to the proposed fuel charges</w:t>
      </w:r>
      <w:r w:rsidR="00E27D7A">
        <w:t>,</w:t>
      </w:r>
      <w:r w:rsidR="00B411E2" w:rsidRPr="00B411E2">
        <w:t xml:space="preserve"> the billing adjustment tariff</w:t>
      </w:r>
      <w:r w:rsidR="00E27D7A">
        <w:t>s</w:t>
      </w:r>
      <w:r w:rsidR="00B411E2" w:rsidRPr="00B411E2">
        <w:t xml:space="preserve"> attached to th</w:t>
      </w:r>
      <w:r w:rsidR="00E27D7A">
        <w:t>is</w:t>
      </w:r>
      <w:r w:rsidR="00B411E2" w:rsidRPr="00B411E2">
        <w:t xml:space="preserve"> recommendation show the Commission-approved revisions to</w:t>
      </w:r>
      <w:r w:rsidR="00E27D7A">
        <w:t xml:space="preserve"> all other cost recovery clause factors</w:t>
      </w:r>
      <w:r w:rsidR="00D06159">
        <w:t xml:space="preserve"> (which are not at issue in this proceeding)</w:t>
      </w:r>
      <w:r w:rsidR="00B411E2" w:rsidRPr="00B411E2">
        <w:t>.</w:t>
      </w:r>
      <w:r w:rsidR="00B411E2">
        <w:t xml:space="preserve"> </w:t>
      </w:r>
      <w:r w:rsidR="00A80E22">
        <w:t>FPL stated that it will</w:t>
      </w:r>
      <w:r w:rsidRPr="002F60CF">
        <w:t xml:space="preserve"> provide notice of its request for a mid-course correction </w:t>
      </w:r>
      <w:r w:rsidR="00B411E2">
        <w:t xml:space="preserve">of fuel charges </w:t>
      </w:r>
      <w:r w:rsidRPr="002F60CF">
        <w:t>with its December customer bills.</w:t>
      </w:r>
      <w:r w:rsidR="00D06159">
        <w:t xml:space="preserve"> This topic is discussed further in Issue 2.</w:t>
      </w:r>
    </w:p>
    <w:p w:rsidR="009C275E" w:rsidRDefault="009C275E" w:rsidP="006D252E">
      <w:pPr>
        <w:pStyle w:val="BodyText"/>
        <w:spacing w:after="0"/>
        <w:rPr>
          <w:highlight w:val="yellow"/>
        </w:rPr>
      </w:pPr>
    </w:p>
    <w:p w:rsidR="00FD1563" w:rsidRDefault="00FD1563" w:rsidP="006D252E">
      <w:pPr>
        <w:pStyle w:val="BodyText"/>
        <w:spacing w:after="0"/>
        <w:rPr>
          <w:highlight w:val="yellow"/>
        </w:rPr>
      </w:pPr>
    </w:p>
    <w:p w:rsidR="004D518E" w:rsidRDefault="004D518E" w:rsidP="006D252E">
      <w:pPr>
        <w:pStyle w:val="BodyText"/>
        <w:spacing w:after="0"/>
        <w:rPr>
          <w:highlight w:val="yellow"/>
        </w:rPr>
      </w:pPr>
    </w:p>
    <w:p w:rsidR="004D518E" w:rsidRDefault="004D518E" w:rsidP="006D252E">
      <w:pPr>
        <w:pStyle w:val="BodyText"/>
        <w:spacing w:after="0"/>
        <w:rPr>
          <w:highlight w:val="yellow"/>
        </w:rPr>
      </w:pPr>
    </w:p>
    <w:p w:rsidR="00FD1563" w:rsidRDefault="00FD1563" w:rsidP="006D252E">
      <w:pPr>
        <w:pStyle w:val="BodyText"/>
        <w:spacing w:after="0"/>
        <w:rPr>
          <w:highlight w:val="yellow"/>
        </w:rPr>
      </w:pPr>
    </w:p>
    <w:p w:rsidR="009C275E" w:rsidRPr="00DB545F" w:rsidRDefault="002F60CF" w:rsidP="006D252E">
      <w:pPr>
        <w:pStyle w:val="BodyText"/>
        <w:spacing w:after="0"/>
        <w:rPr>
          <w:highlight w:val="yellow"/>
        </w:rPr>
      </w:pPr>
      <w:r>
        <w:rPr>
          <w:rFonts w:ascii="Arial" w:hAnsi="Arial" w:cs="Arial"/>
          <w:b/>
          <w:i/>
        </w:rPr>
        <w:t>Summary</w:t>
      </w:r>
    </w:p>
    <w:p w:rsidR="006D252E" w:rsidRDefault="002F60CF" w:rsidP="00E27D7A">
      <w:pPr>
        <w:pStyle w:val="BodyText"/>
        <w:spacing w:after="0"/>
      </w:pPr>
      <w:r>
        <w:t>S</w:t>
      </w:r>
      <w:r w:rsidR="006D252E" w:rsidRPr="00DB545F">
        <w:t>taff recommends the Company’s f</w:t>
      </w:r>
      <w:r w:rsidR="00693529">
        <w:t>uel cost recovery factors</w:t>
      </w:r>
      <w:r w:rsidR="006D252E" w:rsidRPr="00DB545F">
        <w:t xml:space="preserve"> be adjusted to reflect a projected end-of-year 202</w:t>
      </w:r>
      <w:r w:rsidR="00013D0D" w:rsidRPr="00DB545F">
        <w:t>2</w:t>
      </w:r>
      <w:r w:rsidR="006D252E" w:rsidRPr="00DB545F">
        <w:t xml:space="preserve"> under-recovery of fuel cost in the amount of $</w:t>
      </w:r>
      <w:r w:rsidR="00013D0D" w:rsidRPr="00DB545F">
        <w:t>809</w:t>
      </w:r>
      <w:r w:rsidR="006D252E" w:rsidRPr="00DB545F">
        <w:t>,</w:t>
      </w:r>
      <w:r w:rsidR="00013D0D" w:rsidRPr="00DB545F">
        <w:t>975</w:t>
      </w:r>
      <w:r w:rsidR="006D252E" w:rsidRPr="00DB545F">
        <w:t>,</w:t>
      </w:r>
      <w:r w:rsidR="00013D0D" w:rsidRPr="00DB545F">
        <w:t>806</w:t>
      </w:r>
      <w:r w:rsidR="006D252E" w:rsidRPr="00DB545F">
        <w:t xml:space="preserve">. Staff </w:t>
      </w:r>
      <w:r w:rsidR="00693529">
        <w:t>believes</w:t>
      </w:r>
      <w:r w:rsidR="006D252E" w:rsidRPr="00DB545F">
        <w:t xml:space="preserve"> this treatment is appropriate as it fully comports with Rule 25-6.0424, F.A.C.</w:t>
      </w:r>
      <w:r w:rsidR="00E27D7A">
        <w:t xml:space="preserve"> Approving the MCC</w:t>
      </w:r>
      <w:r w:rsidR="00082265">
        <w:t xml:space="preserve"> also</w:t>
      </w:r>
      <w:r w:rsidR="00BD40E3">
        <w:t xml:space="preserve"> work</w:t>
      </w:r>
      <w:r w:rsidR="00E27D7A">
        <w:t>s</w:t>
      </w:r>
      <w:r w:rsidR="00BD40E3">
        <w:t xml:space="preserve"> to more correctly</w:t>
      </w:r>
      <w:r w:rsidR="00082265">
        <w:t xml:space="preserve"> align expected period costs with </w:t>
      </w:r>
      <w:r w:rsidR="009E505F">
        <w:t>same</w:t>
      </w:r>
      <w:r w:rsidR="00D06159">
        <w:t xml:space="preserve"> or near</w:t>
      </w:r>
      <w:r w:rsidR="009E505F">
        <w:t xml:space="preserve"> </w:t>
      </w:r>
      <w:r w:rsidR="00082265">
        <w:t xml:space="preserve">period revenue. </w:t>
      </w:r>
      <w:r w:rsidR="006D252E" w:rsidRPr="00DB545F">
        <w:t>Further, as discussed in Issue 2, staff recommends</w:t>
      </w:r>
      <w:r w:rsidR="00C22106">
        <w:t xml:space="preserve"> the</w:t>
      </w:r>
      <w:r w:rsidR="00013D0D" w:rsidRPr="00DB545F">
        <w:t xml:space="preserve"> revised fuel fa</w:t>
      </w:r>
      <w:r w:rsidR="00C22106">
        <w:t>ctors become effective with the</w:t>
      </w:r>
      <w:r w:rsidR="00013D0D" w:rsidRPr="00500C91">
        <w:t xml:space="preserve"> </w:t>
      </w:r>
      <w:r w:rsidR="003E50B1" w:rsidRPr="00D9606C">
        <w:t>first billing cycle of January 2022</w:t>
      </w:r>
      <w:r w:rsidR="009E505F">
        <w:t>.</w:t>
      </w:r>
    </w:p>
    <w:p w:rsidR="00E27D7A" w:rsidRDefault="00E27D7A" w:rsidP="00E27D7A">
      <w:pPr>
        <w:pStyle w:val="BodyText"/>
        <w:spacing w:after="0"/>
      </w:pPr>
    </w:p>
    <w:p w:rsidR="006D252E" w:rsidRPr="00013D0D" w:rsidRDefault="006D252E" w:rsidP="006D252E">
      <w:pPr>
        <w:pStyle w:val="BodyText"/>
        <w:spacing w:after="0"/>
        <w:rPr>
          <w:rFonts w:ascii="Arial" w:hAnsi="Arial" w:cs="Arial"/>
          <w:b/>
          <w:bCs/>
        </w:rPr>
      </w:pPr>
      <w:r w:rsidRPr="00013D0D">
        <w:rPr>
          <w:rFonts w:ascii="Arial" w:hAnsi="Arial" w:cs="Arial"/>
          <w:b/>
          <w:bCs/>
        </w:rPr>
        <w:t>Conclusion</w:t>
      </w:r>
    </w:p>
    <w:p w:rsidR="00697818" w:rsidRDefault="006D252E" w:rsidP="006D252E">
      <w:pPr>
        <w:pStyle w:val="BodyText"/>
      </w:pPr>
      <w:r w:rsidRPr="00013D0D">
        <w:t>Staff recommends the Commission approv</w:t>
      </w:r>
      <w:r w:rsidR="00013D0D">
        <w:t xml:space="preserve">e adjustments to FPL’s </w:t>
      </w:r>
      <w:r w:rsidR="00082265">
        <w:t>currently</w:t>
      </w:r>
      <w:r w:rsidRPr="00013D0D">
        <w:t xml:space="preserve">-approved fuel factors to incorporate </w:t>
      </w:r>
      <w:r w:rsidR="00F5009E">
        <w:t>a projected period-</w:t>
      </w:r>
      <w:r w:rsidR="00F5009E" w:rsidRPr="00340944">
        <w:t>end</w:t>
      </w:r>
      <w:r w:rsidR="00F5009E">
        <w:t>ing 2022 under-recovery of fuel costs in the amount of $809,975,806</w:t>
      </w:r>
      <w:r w:rsidR="009E505F">
        <w:t>.</w:t>
      </w:r>
    </w:p>
    <w:p w:rsidR="00697818" w:rsidRDefault="00697818">
      <w:pPr>
        <w:pStyle w:val="IssueHeading"/>
        <w:rPr>
          <w:vanish/>
          <w:specVanish/>
        </w:rPr>
      </w:pPr>
      <w:r w:rsidRPr="004C3641">
        <w:rPr>
          <w:b w:val="0"/>
          <w:i w:val="0"/>
        </w:rPr>
        <w:br w:type="page"/>
      </w:r>
      <w:r w:rsidRPr="004C3641">
        <w:t xml:space="preserve">Issue </w:t>
      </w:r>
      <w:r w:rsidR="00BD2AE5">
        <w:fldChar w:fldCharType="begin"/>
      </w:r>
      <w:r w:rsidR="00BD2AE5">
        <w:instrText xml:space="preserve"> SEQ Issue \* MERGEFORMAT </w:instrText>
      </w:r>
      <w:r w:rsidR="00BD2AE5">
        <w:fldChar w:fldCharType="separate"/>
      </w:r>
      <w:r w:rsidR="007A0750">
        <w:rPr>
          <w:noProof/>
        </w:rPr>
        <w:t>2</w:t>
      </w:r>
      <w:r w:rsidR="00BD2AE5">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7A0750">
        <w:rPr>
          <w:noProof/>
        </w:rPr>
        <w:instrText>2</w:instrText>
      </w:r>
      <w:r>
        <w:fldChar w:fldCharType="end"/>
      </w:r>
      <w:r>
        <w:tab/>
        <w:instrText xml:space="preserve">" \l 1 </w:instrText>
      </w:r>
      <w:r>
        <w:fldChar w:fldCharType="end"/>
      </w:r>
      <w:r>
        <w:t> </w:t>
      </w:r>
    </w:p>
    <w:p w:rsidR="00697818" w:rsidRDefault="00697818">
      <w:pPr>
        <w:pStyle w:val="BodyText"/>
      </w:pPr>
      <w:r>
        <w:t> If approved by the Commission, what is the appropriate effective date for FPL’s revised fuel cost recovery factors?</w:t>
      </w:r>
    </w:p>
    <w:p w:rsidR="00697818" w:rsidRPr="004C3641" w:rsidRDefault="00697818">
      <w:pPr>
        <w:pStyle w:val="IssueSubsectionHeading"/>
        <w:rPr>
          <w:vanish/>
          <w:specVanish/>
        </w:rPr>
      </w:pPr>
      <w:r w:rsidRPr="004C3641">
        <w:t>Recommendation: </w:t>
      </w:r>
    </w:p>
    <w:p w:rsidR="00697818" w:rsidRDefault="00697818">
      <w:pPr>
        <w:pStyle w:val="BodyText"/>
      </w:pPr>
      <w:r>
        <w:t> </w:t>
      </w:r>
      <w:r w:rsidRPr="00697818">
        <w:t xml:space="preserve">Staff recommends that the fuel cost recovery factors as shown on Appendix A become effective with the </w:t>
      </w:r>
      <w:r w:rsidR="00E47482">
        <w:t>first billing cycle of January</w:t>
      </w:r>
      <w:r w:rsidRPr="00697818">
        <w:t xml:space="preserve"> </w:t>
      </w:r>
      <w:r>
        <w:t>202</w:t>
      </w:r>
      <w:r w:rsidR="00E47482">
        <w:t>2</w:t>
      </w:r>
      <w:r>
        <w:t xml:space="preserve">. (Brownless, </w:t>
      </w:r>
      <w:r w:rsidR="0040693F">
        <w:t>Coston</w:t>
      </w:r>
      <w:r>
        <w:t>)</w:t>
      </w:r>
    </w:p>
    <w:p w:rsidR="00697818" w:rsidRPr="004C3641" w:rsidRDefault="00697818">
      <w:pPr>
        <w:pStyle w:val="IssueSubsectionHeading"/>
        <w:rPr>
          <w:vanish/>
          <w:specVanish/>
        </w:rPr>
      </w:pPr>
      <w:r w:rsidRPr="004C3641">
        <w:t>Staff Analysis: </w:t>
      </w:r>
    </w:p>
    <w:p w:rsidR="00697818" w:rsidRPr="00D9606C" w:rsidRDefault="00697818" w:rsidP="00697818">
      <w:pPr>
        <w:pStyle w:val="BodyText"/>
        <w:spacing w:after="0"/>
      </w:pPr>
      <w:r>
        <w:t> FPL</w:t>
      </w:r>
      <w:r w:rsidRPr="002E337A">
        <w:t xml:space="preserve"> has </w:t>
      </w:r>
      <w:r>
        <w:t>requested that the revised</w:t>
      </w:r>
      <w:r w:rsidRPr="002E337A">
        <w:t xml:space="preserve"> fuel cost recovery factors become e</w:t>
      </w:r>
      <w:r>
        <w:t xml:space="preserve">ffective </w:t>
      </w:r>
      <w:r w:rsidRPr="00D9606C">
        <w:t>with the first</w:t>
      </w:r>
      <w:r w:rsidR="008D3194" w:rsidRPr="00D9606C">
        <w:t xml:space="preserve"> billing cycle of January 2022.</w:t>
      </w:r>
    </w:p>
    <w:p w:rsidR="00697818" w:rsidRPr="00D9606C" w:rsidRDefault="00697818" w:rsidP="00697818">
      <w:pPr>
        <w:pStyle w:val="BodyText"/>
        <w:spacing w:after="0"/>
      </w:pPr>
    </w:p>
    <w:p w:rsidR="00697818" w:rsidRPr="00865A8C" w:rsidRDefault="00697818" w:rsidP="00697818">
      <w:pPr>
        <w:pStyle w:val="BodyText"/>
        <w:spacing w:after="0"/>
      </w:pPr>
      <w:r w:rsidRPr="00D9606C">
        <w:t>Over the last 20 years in the Fuel Clause docket, the Commission has considered the effective date of rates and charges of revised fuel cost recovery factors on a case-by-case basis. The Commission has approved fuel cost recovery factor rate decreases effective sooner than the next full billing cycle after the date of the Commission’s vote, with the range between the vote and effective date being from 25 to 2 days. The rationale for that action being that it was in the customers’ best interests to implement the lower rate as soon as possible.</w:t>
      </w:r>
      <w:r w:rsidRPr="00D9606C">
        <w:rPr>
          <w:vertAlign w:val="superscript"/>
        </w:rPr>
        <w:footnoteReference w:id="18"/>
      </w:r>
      <w:r w:rsidRPr="00D9606C">
        <w:t xml:space="preserve"> With regard to fuel cost recovery f</w:t>
      </w:r>
      <w:r w:rsidR="00D9606C" w:rsidRPr="00D9606C">
        <w:t>actor/rate</w:t>
      </w:r>
      <w:r w:rsidRPr="00D9606C">
        <w:t xml:space="preserve"> increases, the Commission has approved an effective date of the revised factors ranging from 14 to 29 days after the vote.</w:t>
      </w:r>
      <w:r w:rsidRPr="00D9606C">
        <w:rPr>
          <w:vertAlign w:val="superscript"/>
        </w:rPr>
        <w:footnoteReference w:id="19"/>
      </w:r>
      <w:r w:rsidRPr="00D9606C">
        <w:t xml:space="preserve"> In two of these cases, the Commission noted that the utility had given its customers 30 days’ written notice before the date of the vote that a </w:t>
      </w:r>
      <w:r w:rsidRPr="00865A8C">
        <w:t>fuel cost recovery factor increase had been requested and provided the proposed effective date of the higher fuel factors.</w:t>
      </w:r>
      <w:r w:rsidRPr="00865A8C">
        <w:rPr>
          <w:vertAlign w:val="superscript"/>
        </w:rPr>
        <w:footnoteReference w:id="20"/>
      </w:r>
    </w:p>
    <w:p w:rsidR="00697818" w:rsidRPr="00865A8C" w:rsidRDefault="00697818" w:rsidP="00697818">
      <w:pPr>
        <w:pStyle w:val="BodyText"/>
        <w:spacing w:after="0"/>
      </w:pPr>
    </w:p>
    <w:p w:rsidR="00D51534" w:rsidRPr="00865A8C" w:rsidRDefault="00697818" w:rsidP="00D51534">
      <w:pPr>
        <w:pStyle w:val="BodyText"/>
        <w:spacing w:after="0"/>
      </w:pPr>
      <w:r w:rsidRPr="00865A8C">
        <w:t>In the instant case, there</w:t>
      </w:r>
      <w:r w:rsidR="00DB545F" w:rsidRPr="00865A8C">
        <w:t xml:space="preserve"> are </w:t>
      </w:r>
      <w:r w:rsidR="00865A8C" w:rsidRPr="00865A8C">
        <w:t>27</w:t>
      </w:r>
      <w:r w:rsidRPr="00865A8C">
        <w:t xml:space="preserve"> days between</w:t>
      </w:r>
      <w:r w:rsidR="00D9606C" w:rsidRPr="00865A8C">
        <w:t xml:space="preserve"> the Commission’s vote on December</w:t>
      </w:r>
      <w:r w:rsidRPr="00865A8C">
        <w:t xml:space="preserve"> </w:t>
      </w:r>
      <w:r w:rsidR="00D9606C" w:rsidRPr="00865A8C">
        <w:t>7</w:t>
      </w:r>
      <w:r w:rsidR="00D9606C" w:rsidRPr="00865A8C">
        <w:rPr>
          <w:vertAlign w:val="superscript"/>
        </w:rPr>
        <w:t>th</w:t>
      </w:r>
      <w:r w:rsidR="00D9606C" w:rsidRPr="00865A8C">
        <w:t xml:space="preserve"> </w:t>
      </w:r>
      <w:r w:rsidR="00865A8C" w:rsidRPr="00865A8C">
        <w:t xml:space="preserve">(2021) </w:t>
      </w:r>
      <w:r w:rsidR="00D9606C" w:rsidRPr="00865A8C">
        <w:t xml:space="preserve">and the beginning of </w:t>
      </w:r>
      <w:r w:rsidRPr="00865A8C">
        <w:t>F</w:t>
      </w:r>
      <w:r w:rsidR="00D9606C" w:rsidRPr="00865A8C">
        <w:t>PL</w:t>
      </w:r>
      <w:r w:rsidRPr="00865A8C">
        <w:t xml:space="preserve">’s </w:t>
      </w:r>
      <w:r w:rsidR="00D9606C" w:rsidRPr="00865A8C">
        <w:t>January billing cycle (January</w:t>
      </w:r>
      <w:r w:rsidRPr="00865A8C">
        <w:t xml:space="preserve"> </w:t>
      </w:r>
      <w:r w:rsidR="00865A8C" w:rsidRPr="00865A8C">
        <w:t>3, 2022</w:t>
      </w:r>
      <w:r w:rsidRPr="00865A8C">
        <w:t>).</w:t>
      </w:r>
      <w:r w:rsidRPr="00865A8C">
        <w:rPr>
          <w:rStyle w:val="FootnoteReference"/>
        </w:rPr>
        <w:footnoteReference w:id="21"/>
      </w:r>
      <w:r w:rsidR="00D51534">
        <w:t xml:space="preserve"> </w:t>
      </w:r>
      <w:r w:rsidR="003100A2">
        <w:t>FPL has stated that during its</w:t>
      </w:r>
      <w:r w:rsidR="00D51534" w:rsidRPr="00D51534">
        <w:t xml:space="preserve"> last billing cycle of 2021, all customers are being notified via eBill or printed bill insert that</w:t>
      </w:r>
      <w:r w:rsidR="00D51534" w:rsidRPr="009114C1">
        <w:rPr>
          <w:u w:val="single"/>
        </w:rPr>
        <w:t xml:space="preserve"> </w:t>
      </w:r>
      <w:r w:rsidR="00D51534" w:rsidRPr="009B0DCB">
        <w:t>their rates are in</w:t>
      </w:r>
      <w:r w:rsidR="007B2FBB">
        <w:t>creasing as of January 1, 2022.</w:t>
      </w:r>
      <w:r w:rsidR="00D51534" w:rsidRPr="009B0DCB">
        <w:t xml:space="preserve"> The eBill and printed bill insert direct the customers to a website which gives the current and proposed rates for all customer classes.  Further, all large business customer classes in the Northwest territory will be contacted by their account managers either by phone or email regarding the rate increase. Finally, the information provided clearly identifies the rates that have already been approved in FPL’s base rate case, Docket No. 20210015-EI, and the fuel charge rates at issue in this docket.</w:t>
      </w:r>
      <w:r w:rsidR="00D51534" w:rsidRPr="009B0DCB">
        <w:rPr>
          <w:rStyle w:val="FootnoteReference"/>
        </w:rPr>
        <w:t xml:space="preserve"> </w:t>
      </w:r>
      <w:r w:rsidR="00D51534" w:rsidRPr="009B0DCB">
        <w:rPr>
          <w:rStyle w:val="FootnoteReference"/>
        </w:rPr>
        <w:footnoteReference w:id="22"/>
      </w:r>
    </w:p>
    <w:p w:rsidR="00697818" w:rsidRPr="00865A8C" w:rsidRDefault="00697818" w:rsidP="00697818">
      <w:pPr>
        <w:pStyle w:val="BodyText"/>
        <w:spacing w:after="0"/>
      </w:pPr>
    </w:p>
    <w:p w:rsidR="00697818" w:rsidRPr="00D9606C" w:rsidRDefault="00697818" w:rsidP="00697818">
      <w:pPr>
        <w:pStyle w:val="BodyText"/>
        <w:spacing w:after="0"/>
        <w:rPr>
          <w:rFonts w:ascii="Arial" w:hAnsi="Arial" w:cs="Arial"/>
          <w:b/>
        </w:rPr>
      </w:pPr>
      <w:r w:rsidRPr="00D9606C">
        <w:rPr>
          <w:rFonts w:ascii="Arial" w:hAnsi="Arial" w:cs="Arial"/>
          <w:b/>
        </w:rPr>
        <w:t>Conclusion</w:t>
      </w:r>
    </w:p>
    <w:p w:rsidR="00697818" w:rsidRDefault="00697818" w:rsidP="00697818">
      <w:pPr>
        <w:pStyle w:val="BodyText"/>
        <w:spacing w:after="0"/>
      </w:pPr>
      <w:r w:rsidRPr="00D9606C">
        <w:t xml:space="preserve">Based on the above, staff recommends that the fuel cost recovery factors as shown on Appendix A become effective with the first billing cycle of </w:t>
      </w:r>
      <w:r w:rsidR="00D9606C" w:rsidRPr="00D9606C">
        <w:t>January</w:t>
      </w:r>
      <w:r w:rsidRPr="00D9606C">
        <w:t xml:space="preserve"> 202</w:t>
      </w:r>
      <w:r w:rsidR="00D9606C" w:rsidRPr="00D9606C">
        <w:t>2</w:t>
      </w:r>
      <w:r w:rsidRPr="00D9606C">
        <w:t>.</w:t>
      </w:r>
    </w:p>
    <w:p w:rsidR="00697818" w:rsidRDefault="00697818">
      <w:pPr>
        <w:pStyle w:val="BodyText"/>
      </w:pPr>
    </w:p>
    <w:p w:rsidR="00697818" w:rsidRDefault="00697818">
      <w:pPr>
        <w:pStyle w:val="IssueHeading"/>
        <w:rPr>
          <w:vanish/>
          <w:specVanish/>
        </w:rPr>
      </w:pPr>
      <w:r w:rsidRPr="004C3641">
        <w:rPr>
          <w:b w:val="0"/>
          <w:i w:val="0"/>
        </w:rPr>
        <w:br w:type="page"/>
      </w:r>
      <w:r w:rsidRPr="004C3641">
        <w:t xml:space="preserve">Issue </w:t>
      </w:r>
      <w:r w:rsidR="00BD2AE5">
        <w:fldChar w:fldCharType="begin"/>
      </w:r>
      <w:r w:rsidR="00BD2AE5">
        <w:instrText xml:space="preserve"> SEQ Issue \* MERGEFORMAT </w:instrText>
      </w:r>
      <w:r w:rsidR="00BD2AE5">
        <w:fldChar w:fldCharType="separate"/>
      </w:r>
      <w:r w:rsidR="007A0750">
        <w:rPr>
          <w:noProof/>
        </w:rPr>
        <w:t>3</w:t>
      </w:r>
      <w:r w:rsidR="00BD2AE5">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7A0750">
        <w:rPr>
          <w:noProof/>
        </w:rPr>
        <w:instrText>3</w:instrText>
      </w:r>
      <w:r>
        <w:fldChar w:fldCharType="end"/>
      </w:r>
      <w:r>
        <w:tab/>
        <w:instrText xml:space="preserve">(Brownless)" \l 1 </w:instrText>
      </w:r>
      <w:r>
        <w:fldChar w:fldCharType="end"/>
      </w:r>
      <w:r>
        <w:t> </w:t>
      </w:r>
    </w:p>
    <w:p w:rsidR="00697818" w:rsidRDefault="00697818">
      <w:pPr>
        <w:pStyle w:val="BodyText"/>
      </w:pPr>
      <w:r>
        <w:t> Should this docket be closed?</w:t>
      </w:r>
    </w:p>
    <w:p w:rsidR="00697818" w:rsidRPr="004C3641" w:rsidRDefault="00697818">
      <w:pPr>
        <w:pStyle w:val="IssueSubsectionHeading"/>
        <w:rPr>
          <w:vanish/>
          <w:specVanish/>
        </w:rPr>
      </w:pPr>
      <w:r w:rsidRPr="004C3641">
        <w:t>Recommendation: </w:t>
      </w:r>
    </w:p>
    <w:p w:rsidR="00697818" w:rsidRDefault="00697818">
      <w:pPr>
        <w:pStyle w:val="BodyText"/>
      </w:pPr>
      <w:r>
        <w:t> </w:t>
      </w:r>
      <w:r w:rsidRPr="001239A6">
        <w:t>No. The 202</w:t>
      </w:r>
      <w:r>
        <w:t>1</w:t>
      </w:r>
      <w:r w:rsidRPr="001239A6">
        <w:t>0001-EI docket is an on-going proceeding and should remain open.</w:t>
      </w:r>
      <w:r>
        <w:t xml:space="preserve"> (Brownless)</w:t>
      </w:r>
    </w:p>
    <w:p w:rsidR="00697818" w:rsidRPr="004C3641" w:rsidRDefault="00697818">
      <w:pPr>
        <w:pStyle w:val="IssueSubsectionHeading"/>
        <w:rPr>
          <w:vanish/>
          <w:specVanish/>
        </w:rPr>
      </w:pPr>
      <w:r w:rsidRPr="004C3641">
        <w:t>Staff Analysis: </w:t>
      </w:r>
    </w:p>
    <w:p w:rsidR="00697818" w:rsidRDefault="00697818">
      <w:pPr>
        <w:pStyle w:val="BodyText"/>
      </w:pPr>
      <w:r>
        <w:t> </w:t>
      </w:r>
      <w:r w:rsidRPr="00BB1F4A">
        <w:t>The fuel docket is on-going and should remain open.</w:t>
      </w:r>
    </w:p>
    <w:p w:rsidR="00AC5A5B" w:rsidRDefault="00AC5A5B">
      <w:pPr>
        <w:pStyle w:val="BodyText"/>
        <w:sectPr w:rsidR="00AC5A5B" w:rsidSect="0068481F">
          <w:headerReference w:type="even" r:id="rId11"/>
          <w:headerReference w:type="default" r:id="rId12"/>
          <w:headerReference w:type="first" r:id="rId13"/>
          <w:footerReference w:type="first" r:id="rId14"/>
          <w:pgSz w:w="12240" w:h="15840" w:code="1"/>
          <w:pgMar w:top="1584" w:right="1440" w:bottom="1440" w:left="1440" w:header="720" w:footer="720" w:gutter="0"/>
          <w:cols w:space="720"/>
          <w:formProt w:val="0"/>
          <w:docGrid w:linePitch="360"/>
        </w:sectPr>
      </w:pPr>
    </w:p>
    <w:p w:rsidR="00DB545F" w:rsidRDefault="00DB545F" w:rsidP="008523B5">
      <w:pPr>
        <w:pStyle w:val="BodyText"/>
        <w:tabs>
          <w:tab w:val="left" w:pos="9270"/>
        </w:tabs>
        <w:rPr>
          <w:noProof/>
        </w:rPr>
      </w:pPr>
      <w:r w:rsidRPr="00DB545F">
        <w:rPr>
          <w:noProof/>
        </w:rPr>
        <w:drawing>
          <wp:inline distT="0" distB="0" distL="0" distR="0">
            <wp:extent cx="5942965" cy="8023860"/>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5353" cy="8027084"/>
                    </a:xfrm>
                    <a:prstGeom prst="rect">
                      <a:avLst/>
                    </a:prstGeom>
                    <a:noFill/>
                    <a:ln>
                      <a:noFill/>
                    </a:ln>
                  </pic:spPr>
                </pic:pic>
              </a:graphicData>
            </a:graphic>
          </wp:inline>
        </w:drawing>
      </w:r>
    </w:p>
    <w:p w:rsidR="00E06484" w:rsidRDefault="00DB545F" w:rsidP="00E275D8">
      <w:pPr>
        <w:pStyle w:val="BodyText"/>
      </w:pPr>
      <w:r w:rsidRPr="00DB545F">
        <w:t xml:space="preserve"> </w:t>
      </w:r>
      <w:r w:rsidR="00CC6EFD" w:rsidRPr="00CC6EFD">
        <w:rPr>
          <w:noProof/>
        </w:rPr>
        <w:drawing>
          <wp:inline distT="0" distB="0" distL="0" distR="0">
            <wp:extent cx="6057900" cy="78790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58251" cy="7879536"/>
                    </a:xfrm>
                    <a:prstGeom prst="rect">
                      <a:avLst/>
                    </a:prstGeom>
                    <a:noFill/>
                    <a:ln>
                      <a:noFill/>
                    </a:ln>
                  </pic:spPr>
                </pic:pic>
              </a:graphicData>
            </a:graphic>
          </wp:inline>
        </w:drawing>
      </w:r>
    </w:p>
    <w:sectPr w:rsidR="00E06484" w:rsidSect="0068481F">
      <w:headerReference w:type="even" r:id="rId17"/>
      <w:headerReference w:type="default" r:id="rId18"/>
      <w:headerReference w:type="first" r:id="rId19"/>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350F" w:rsidRDefault="00C0350F">
      <w:r>
        <w:separator/>
      </w:r>
    </w:p>
  </w:endnote>
  <w:endnote w:type="continuationSeparator" w:id="0">
    <w:p w:rsidR="00C0350F" w:rsidRDefault="00C03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45F" w:rsidRDefault="00DB545F">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7A524A">
      <w:rPr>
        <w:rStyle w:val="PageNumber"/>
        <w:noProof/>
      </w:rPr>
      <w:t>13</w:t>
    </w:r>
    <w:r>
      <w:rPr>
        <w:rStyle w:val="PageNumber"/>
      </w:rPr>
      <w:fldChar w:fldCharType="end"/>
    </w:r>
    <w:r>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45F" w:rsidRDefault="00DB54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350F" w:rsidRDefault="00C0350F">
      <w:r>
        <w:separator/>
      </w:r>
    </w:p>
  </w:footnote>
  <w:footnote w:type="continuationSeparator" w:id="0">
    <w:p w:rsidR="00C0350F" w:rsidRDefault="00C0350F">
      <w:r>
        <w:continuationSeparator/>
      </w:r>
    </w:p>
  </w:footnote>
  <w:footnote w:id="1">
    <w:p w:rsidR="00DB545F" w:rsidRDefault="00DB545F">
      <w:pPr>
        <w:pStyle w:val="FootnoteText"/>
      </w:pPr>
      <w:r>
        <w:rPr>
          <w:rStyle w:val="FootnoteReference"/>
        </w:rPr>
        <w:footnoteRef/>
      </w:r>
      <w:r w:rsidRPr="003176DE">
        <w:t>O</w:t>
      </w:r>
      <w:r w:rsidR="00E27D7A">
        <w:t>rder No. PSC-2021-0142-PCO-EI, i</w:t>
      </w:r>
      <w:r w:rsidRPr="003176DE">
        <w:t>ssued April 21, 2021, in Docket No. 20210001-EI,</w:t>
      </w:r>
      <w:r w:rsidRPr="003176DE">
        <w:rPr>
          <w:i/>
        </w:rPr>
        <w:t xml:space="preserve"> In re: Fuel and purchased power cost recovery clause with generating performance incentive factor</w:t>
      </w:r>
      <w:r>
        <w:t xml:space="preserve">, and </w:t>
      </w:r>
      <w:r w:rsidR="00AC2751">
        <w:t>the order stemming from the Commission’s November 2, 2021, Fuel Clause Hearing</w:t>
      </w:r>
      <w:r>
        <w:t xml:space="preserve"> </w:t>
      </w:r>
      <w:r w:rsidR="00AC2751">
        <w:t>is</w:t>
      </w:r>
      <w:r>
        <w:t xml:space="preserve"> pending.</w:t>
      </w:r>
      <w:r w:rsidRPr="003176DE">
        <w:tab/>
      </w:r>
    </w:p>
  </w:footnote>
  <w:footnote w:id="2">
    <w:p w:rsidR="00321DF3" w:rsidRDefault="00321DF3">
      <w:pPr>
        <w:pStyle w:val="FootnoteText"/>
      </w:pPr>
      <w:r>
        <w:rPr>
          <w:rStyle w:val="FootnoteReference"/>
        </w:rPr>
        <w:footnoteRef/>
      </w:r>
      <w:r w:rsidRPr="004368B7">
        <w:t>Document No. 12592-2021.</w:t>
      </w:r>
    </w:p>
  </w:footnote>
  <w:footnote w:id="3">
    <w:p w:rsidR="00DB545F" w:rsidRDefault="00DB545F">
      <w:pPr>
        <w:pStyle w:val="FootnoteText"/>
      </w:pPr>
      <w:r>
        <w:rPr>
          <w:rStyle w:val="FootnoteReference"/>
        </w:rPr>
        <w:footnoteRef/>
      </w:r>
      <w:r>
        <w:t>Order No. PSC-2021-0142-PCO-EI.</w:t>
      </w:r>
    </w:p>
  </w:footnote>
  <w:footnote w:id="4">
    <w:p w:rsidR="00DB545F" w:rsidRDefault="00DB545F">
      <w:pPr>
        <w:pStyle w:val="FootnoteText"/>
      </w:pPr>
      <w:r>
        <w:rPr>
          <w:rStyle w:val="FootnoteReference"/>
        </w:rPr>
        <w:footnoteRef/>
      </w:r>
      <w:r>
        <w:t>Document No</w:t>
      </w:r>
      <w:r w:rsidR="004370CB">
        <w:t>s</w:t>
      </w:r>
      <w:r>
        <w:t xml:space="preserve">. 12592-2021 and </w:t>
      </w:r>
      <w:r w:rsidR="004370CB">
        <w:t>12677-2021</w:t>
      </w:r>
      <w:r>
        <w:t>.</w:t>
      </w:r>
    </w:p>
  </w:footnote>
  <w:footnote w:id="5">
    <w:p w:rsidR="00DB545F" w:rsidRDefault="00DB545F" w:rsidP="006D252E">
      <w:pPr>
        <w:pStyle w:val="FootnoteText"/>
      </w:pPr>
      <w:r w:rsidRPr="004368B7">
        <w:rPr>
          <w:rStyle w:val="FootnoteReference"/>
        </w:rPr>
        <w:footnoteRef/>
      </w:r>
      <w:r w:rsidRPr="004368B7">
        <w:t>Document No. 12592-2021.</w:t>
      </w:r>
    </w:p>
  </w:footnote>
  <w:footnote w:id="6">
    <w:p w:rsidR="00DB545F" w:rsidRDefault="00DB545F" w:rsidP="006D252E">
      <w:pPr>
        <w:pStyle w:val="FootnoteText"/>
      </w:pPr>
      <w:r>
        <w:rPr>
          <w:rStyle w:val="FootnoteReference"/>
        </w:rPr>
        <w:footnoteRef/>
      </w:r>
      <w:r>
        <w:t>Document Nos. 11574-2021 and 12168-2021, respectively.</w:t>
      </w:r>
    </w:p>
  </w:footnote>
  <w:footnote w:id="7">
    <w:p w:rsidR="00DB545F" w:rsidRPr="00F00544" w:rsidRDefault="00DB545F" w:rsidP="0078066F">
      <w:pPr>
        <w:pStyle w:val="FootnoteText"/>
      </w:pPr>
      <w:r w:rsidRPr="00F00544">
        <w:rPr>
          <w:rStyle w:val="FootnoteReference"/>
        </w:rPr>
        <w:footnoteRef/>
      </w:r>
      <w:r>
        <w:t>Document Nos. 10091-202</w:t>
      </w:r>
      <w:r w:rsidRPr="00D509EE">
        <w:t>1 and 12592-2021, respectively.</w:t>
      </w:r>
    </w:p>
  </w:footnote>
  <w:footnote w:id="8">
    <w:p w:rsidR="00440945" w:rsidRDefault="00440945" w:rsidP="00440945">
      <w:pPr>
        <w:pStyle w:val="FootnoteText"/>
      </w:pPr>
      <w:r>
        <w:rPr>
          <w:rStyle w:val="FootnoteReference"/>
        </w:rPr>
        <w:footnoteRef/>
      </w:r>
      <w:r>
        <w:t>Document Nos. 12592-2021 and 12677-2021.</w:t>
      </w:r>
    </w:p>
  </w:footnote>
  <w:footnote w:id="9">
    <w:p w:rsidR="00DB545F" w:rsidRPr="00F00544" w:rsidRDefault="00DB545F" w:rsidP="006D252E">
      <w:pPr>
        <w:pStyle w:val="FootnoteText"/>
      </w:pPr>
      <w:r w:rsidRPr="00F00544">
        <w:rPr>
          <w:rStyle w:val="FootnoteReference"/>
        </w:rPr>
        <w:footnoteRef/>
      </w:r>
      <w:r>
        <w:t>Document No. 10091-2021</w:t>
      </w:r>
      <w:r w:rsidRPr="00F00544">
        <w:t>.</w:t>
      </w:r>
    </w:p>
  </w:footnote>
  <w:footnote w:id="10">
    <w:p w:rsidR="00070B2C" w:rsidRDefault="00070B2C">
      <w:pPr>
        <w:pStyle w:val="FootnoteText"/>
      </w:pPr>
      <w:r>
        <w:rPr>
          <w:rStyle w:val="FootnoteReference"/>
        </w:rPr>
        <w:footnoteRef/>
      </w:r>
      <w:r w:rsidR="002A31AA">
        <w:t>S</w:t>
      </w:r>
      <w:r>
        <w:t xml:space="preserve">ee Document No. 12677-2021, FPL’s Responses to Staff’s Fourth Data Request, No. 1, </w:t>
      </w:r>
      <w:r w:rsidR="00A00086">
        <w:t>Attachment</w:t>
      </w:r>
      <w:r>
        <w:t xml:space="preserve"> I</w:t>
      </w:r>
      <w:r w:rsidR="00A00086">
        <w:t>, page 1 of 2</w:t>
      </w:r>
      <w:r>
        <w:t>.</w:t>
      </w:r>
    </w:p>
  </w:footnote>
  <w:footnote w:id="11">
    <w:p w:rsidR="00004148" w:rsidRDefault="00004148">
      <w:pPr>
        <w:pStyle w:val="FootnoteText"/>
      </w:pPr>
      <w:r>
        <w:rPr>
          <w:rStyle w:val="FootnoteReference"/>
        </w:rPr>
        <w:footnoteRef/>
      </w:r>
      <w:r w:rsidR="0040693F">
        <w:t>Includes the (first) revised</w:t>
      </w:r>
      <w:r w:rsidRPr="00004148">
        <w:t xml:space="preserve"> 2021 Actual/Estimated True-Up</w:t>
      </w:r>
      <w:r>
        <w:t>.</w:t>
      </w:r>
    </w:p>
  </w:footnote>
  <w:footnote w:id="12">
    <w:p w:rsidR="00F31039" w:rsidRDefault="00F31039">
      <w:pPr>
        <w:pStyle w:val="FootnoteText"/>
      </w:pPr>
      <w:r>
        <w:rPr>
          <w:rStyle w:val="FootnoteReference"/>
        </w:rPr>
        <w:footnoteRef/>
      </w:r>
      <w:r w:rsidR="004C7C54">
        <w:t>T</w:t>
      </w:r>
      <w:r>
        <w:t xml:space="preserve">he </w:t>
      </w:r>
      <w:r w:rsidRPr="007954A7">
        <w:t>total actual and estimated jurisdictional fuel revenue applicable to period</w:t>
      </w:r>
      <w:r w:rsidR="00842784">
        <w:t xml:space="preserve"> is net of the prior period true-up, generating performance incentive, Asset Optimization Mechanism amount, and Solar Together Credit.  </w:t>
      </w:r>
    </w:p>
  </w:footnote>
  <w:footnote w:id="13">
    <w:p w:rsidR="00DB545F" w:rsidRDefault="00DB545F" w:rsidP="006D252E">
      <w:pPr>
        <w:pStyle w:val="FootnoteText"/>
      </w:pPr>
      <w:r w:rsidRPr="009C275E">
        <w:rPr>
          <w:rStyle w:val="FootnoteReference"/>
        </w:rPr>
        <w:footnoteRef/>
      </w:r>
      <w:r w:rsidRPr="009C275E">
        <w:t>Rat</w:t>
      </w:r>
      <w:r>
        <w:t>e approved at</w:t>
      </w:r>
      <w:r w:rsidR="00E065D0">
        <w:t xml:space="preserve"> the November 2, 2021, Fuel Clause</w:t>
      </w:r>
      <w:r w:rsidR="009C275E">
        <w:t xml:space="preserve"> (Docket No. 20210001-EI)</w:t>
      </w:r>
      <w:r>
        <w:t xml:space="preserve"> </w:t>
      </w:r>
      <w:r w:rsidR="00E065D0">
        <w:t>Hearing</w:t>
      </w:r>
      <w:r>
        <w:t xml:space="preserve">; order pending </w:t>
      </w:r>
      <w:r w:rsidR="00C814B8">
        <w:t>issuance</w:t>
      </w:r>
      <w:r>
        <w:t>.</w:t>
      </w:r>
    </w:p>
  </w:footnote>
  <w:footnote w:id="14">
    <w:p w:rsidR="00FE5632" w:rsidRPr="002F60CF" w:rsidRDefault="00FE5632" w:rsidP="00FE5632">
      <w:pPr>
        <w:pStyle w:val="FootnoteText"/>
      </w:pPr>
      <w:r w:rsidRPr="002F60CF">
        <w:rPr>
          <w:rStyle w:val="FootnoteReference"/>
        </w:rPr>
        <w:footnoteRef/>
      </w:r>
      <w:r w:rsidRPr="002F60CF">
        <w:t xml:space="preserve">Rate approved at the November 2, 2021, Fuel Clause (Docket No. 20210001-EI) Hearing; order pending </w:t>
      </w:r>
      <w:r w:rsidR="00C814B8">
        <w:t>issuance</w:t>
      </w:r>
      <w:r w:rsidRPr="002F60CF">
        <w:t>.</w:t>
      </w:r>
    </w:p>
  </w:footnote>
  <w:footnote w:id="15">
    <w:p w:rsidR="00FE5632" w:rsidRPr="002F60CF" w:rsidRDefault="00FE5632" w:rsidP="00FE5632">
      <w:pPr>
        <w:pStyle w:val="FootnoteText"/>
      </w:pPr>
      <w:r w:rsidRPr="002F60CF">
        <w:rPr>
          <w:rStyle w:val="FootnoteReference"/>
        </w:rPr>
        <w:footnoteRef/>
      </w:r>
      <w:r w:rsidRPr="002F60CF">
        <w:t>Document No. 12677-2021, filed November 12, 2021, FPL’s Responses to Staff’s Fourth Data Request, No. 5.</w:t>
      </w:r>
    </w:p>
  </w:footnote>
  <w:footnote w:id="16">
    <w:p w:rsidR="009C275E" w:rsidRPr="002F60CF" w:rsidRDefault="009C275E" w:rsidP="009C275E">
      <w:pPr>
        <w:pStyle w:val="FootnoteText"/>
      </w:pPr>
      <w:r w:rsidRPr="002F60CF">
        <w:rPr>
          <w:rStyle w:val="FootnoteReference"/>
        </w:rPr>
        <w:footnoteRef/>
      </w:r>
      <w:r w:rsidRPr="002F60CF">
        <w:t xml:space="preserve">Rate approved at the November 2, 2021, Fuel Clause (Docket No. 20210001-EI) Hearing; order pending </w:t>
      </w:r>
      <w:r w:rsidR="00333ABA">
        <w:t>issuance</w:t>
      </w:r>
      <w:r w:rsidRPr="002F60CF">
        <w:t>.</w:t>
      </w:r>
    </w:p>
  </w:footnote>
  <w:footnote w:id="17">
    <w:p w:rsidR="00F339AA" w:rsidRDefault="00F339AA" w:rsidP="00F339AA">
      <w:pPr>
        <w:pStyle w:val="FootnoteText"/>
      </w:pPr>
      <w:r w:rsidRPr="002F60CF">
        <w:rPr>
          <w:rStyle w:val="FootnoteReference"/>
        </w:rPr>
        <w:footnoteRef/>
      </w:r>
      <w:r w:rsidRPr="002F60CF">
        <w:t>Document No. 12677-2021, filed November 12, 2021, FPL’s Responses to Staff’s Fourth Data Request, No. 5.</w:t>
      </w:r>
    </w:p>
  </w:footnote>
  <w:footnote w:id="18">
    <w:p w:rsidR="00DB545F" w:rsidRDefault="00DB545F" w:rsidP="00697818">
      <w:pPr>
        <w:pStyle w:val="FootnoteText"/>
      </w:pPr>
      <w:r>
        <w:rPr>
          <w:rStyle w:val="FootnoteReference"/>
        </w:rPr>
        <w:footnoteRef/>
      </w:r>
      <w:r>
        <w:t xml:space="preserve">Order No. PSC-08-0825-PCO-EI, issued December 22, 2008, in Docket No. 080001-EI, </w:t>
      </w:r>
      <w:r>
        <w:rPr>
          <w:i/>
        </w:rPr>
        <w:t>In re: Fuel and purchased power cost recovery clause with generating performance incentive factor</w:t>
      </w:r>
      <w:r>
        <w:t xml:space="preserve">; Order No. PSC-09-0254-PCO-EI, issued April 27, 2009, in Docket No. 090001-EI, </w:t>
      </w:r>
      <w:r>
        <w:rPr>
          <w:i/>
        </w:rPr>
        <w:t xml:space="preserve">In re: Fuel and purchased power cost recovery clause with generating performance incentive factor; </w:t>
      </w:r>
      <w:r w:rsidRPr="00C4628D">
        <w:t>Order No. PSC-11-0581-</w:t>
      </w:r>
      <w:r>
        <w:t xml:space="preserve">PCO-EI, issued on December 19, 2011, in Docket No. 110001-EI, </w:t>
      </w:r>
      <w:r>
        <w:rPr>
          <w:i/>
        </w:rPr>
        <w:t>In re: Fuel and purchased power cost recovery clause with generating performance incentive factor</w:t>
      </w:r>
      <w:r>
        <w:t xml:space="preserve">; Order No. PSC-12-0342-PCO-EI, issued July 2, 2012, in Docket No. 120001-EI, </w:t>
      </w:r>
      <w:r>
        <w:rPr>
          <w:i/>
        </w:rPr>
        <w:t>In re: Fuel and purchased power cost recovery clause with generating performance incentive factor</w:t>
      </w:r>
      <w:r>
        <w:t xml:space="preserve">; Order No. PSC-2012-0082-PCO-EI, issued February 24, 2012, in Docket No. 120001-EI, </w:t>
      </w:r>
      <w:r>
        <w:rPr>
          <w:i/>
        </w:rPr>
        <w:t>In re: Fuel and purchased power cost recovery clause with generating performance incentive factor</w:t>
      </w:r>
      <w:r>
        <w:t xml:space="preserve">; Order No. PSC-15-0161-PCO-EI, issued April 30, 2015, in Docket No. 150001-EI, </w:t>
      </w:r>
      <w:r>
        <w:rPr>
          <w:i/>
        </w:rPr>
        <w:t>In re: Fuel and purchased power cost recovery clause with generating performance incentive factor</w:t>
      </w:r>
      <w:r>
        <w:t xml:space="preserve">; Order No. PSC-2018-0313-PCO-EI, issued June 18, 2018, in Docket No. 20180001-EI, </w:t>
      </w:r>
      <w:r>
        <w:rPr>
          <w:i/>
        </w:rPr>
        <w:t>In re: Fuel and purchased power cost recovery clause with generating performance incentive factor</w:t>
      </w:r>
      <w:r>
        <w:t xml:space="preserve">; Order PSC-2020-0154-PCO-EI, issued May 14, 2020, in Docket No. 20200001-EI, </w:t>
      </w:r>
      <w:r>
        <w:rPr>
          <w:i/>
        </w:rPr>
        <w:t>In re: Fuel and purchased power cost recovery clause with generating performance incentive factor.</w:t>
      </w:r>
      <w:r>
        <w:t xml:space="preserve"> </w:t>
      </w:r>
      <w:r>
        <w:rPr>
          <w:i/>
        </w:rPr>
        <w:t xml:space="preserve"> </w:t>
      </w:r>
      <w:r>
        <w:t xml:space="preserve"> </w:t>
      </w:r>
    </w:p>
  </w:footnote>
  <w:footnote w:id="19">
    <w:p w:rsidR="00DB545F" w:rsidRDefault="00DB545F" w:rsidP="00697818">
      <w:pPr>
        <w:pStyle w:val="FootnoteText"/>
      </w:pPr>
      <w:r>
        <w:rPr>
          <w:rStyle w:val="FootnoteReference"/>
        </w:rPr>
        <w:footnoteRef/>
      </w:r>
      <w:r>
        <w:t xml:space="preserve">Order No. PSC-03-0381-PCO-EI, issued March 19, 2003, in Docket No. 030001-EI, </w:t>
      </w:r>
      <w:r>
        <w:rPr>
          <w:i/>
        </w:rPr>
        <w:t>In re: Fuel and purchased power cost recovery clause with generating performance incentive factor</w:t>
      </w:r>
      <w:r>
        <w:t xml:space="preserve">; Order No. PSC-03-0382-PCO-EI, issued March 19, 2003, in Docket No. 030001-EI, </w:t>
      </w:r>
      <w:r>
        <w:rPr>
          <w:i/>
        </w:rPr>
        <w:t>In re: Fuel and purchased power cost recovery clause with generating performance incentive factor</w:t>
      </w:r>
      <w:r>
        <w:t xml:space="preserve">; Order No. PSC-03-0400, issued March 24, 2003, in Docket No. 030001-EI, </w:t>
      </w:r>
      <w:r>
        <w:rPr>
          <w:i/>
        </w:rPr>
        <w:t>In re: Fuel and purchased power cost recovery clause with generating performance incentive factor</w:t>
      </w:r>
      <w:r>
        <w:t xml:space="preserve">; Order No. PSC-03-0849-PCO-EI, issued July 22, 2003, in Docket No. 030001-EI, </w:t>
      </w:r>
      <w:r>
        <w:rPr>
          <w:i/>
        </w:rPr>
        <w:t>In re: Fuel and purchased power cost recovery clause with generating performance incentive factor</w:t>
      </w:r>
      <w:r>
        <w:t xml:space="preserve">; Order No. PSC-09-0213-PCO-EI, issued April 9, 2009, in Docket No. 090001-EI, </w:t>
      </w:r>
      <w:r>
        <w:rPr>
          <w:i/>
        </w:rPr>
        <w:t xml:space="preserve">In re: Fuel and purchased power cost recovery clause with generating performance incentive factor; </w:t>
      </w:r>
      <w:r>
        <w:t xml:space="preserve">Order No. PSC-2019-0109-PCO-EI, issued March 22, 2019, in Docket No. 20190001-EI, </w:t>
      </w:r>
      <w:r>
        <w:rPr>
          <w:i/>
        </w:rPr>
        <w:t>In re: Fuel and purchased power cost recovery clause with generating performance incentive factor.</w:t>
      </w:r>
      <w:r>
        <w:t xml:space="preserve">   </w:t>
      </w:r>
    </w:p>
  </w:footnote>
  <w:footnote w:id="20">
    <w:p w:rsidR="00DB545F" w:rsidRDefault="00DB545F" w:rsidP="00697818">
      <w:pPr>
        <w:pStyle w:val="FootnoteText"/>
      </w:pPr>
      <w:r>
        <w:rPr>
          <w:rStyle w:val="FootnoteReference"/>
        </w:rPr>
        <w:footnoteRef/>
      </w:r>
      <w:r>
        <w:t xml:space="preserve">Order No. PSC-09-0213-PCO-EI; Order No. PSC-2019-0109-PCO-EI. </w:t>
      </w:r>
    </w:p>
  </w:footnote>
  <w:footnote w:id="21">
    <w:p w:rsidR="00DB545F" w:rsidRDefault="00DB545F" w:rsidP="00697818">
      <w:pPr>
        <w:pStyle w:val="FootnoteText"/>
      </w:pPr>
      <w:r>
        <w:rPr>
          <w:rStyle w:val="FootnoteReference"/>
        </w:rPr>
        <w:footnoteRef/>
      </w:r>
      <w:r w:rsidR="002F60CF" w:rsidRPr="002F60CF">
        <w:t>Document No. 12677-2021, filed November 12, 2021, FPL’s Responses to Staff’s Fourth Data Request, No.</w:t>
      </w:r>
      <w:r w:rsidR="002F60CF">
        <w:t xml:space="preserve"> 7.</w:t>
      </w:r>
    </w:p>
  </w:footnote>
  <w:footnote w:id="22">
    <w:p w:rsidR="00D51534" w:rsidRDefault="00D51534" w:rsidP="00D51534">
      <w:pPr>
        <w:pStyle w:val="FootnoteText"/>
      </w:pPr>
      <w:r>
        <w:rPr>
          <w:rStyle w:val="FootnoteReference"/>
        </w:rPr>
        <w:footnoteRef/>
      </w:r>
      <w:r>
        <w:t>D</w:t>
      </w:r>
      <w:r w:rsidR="00070B2C">
        <w:t xml:space="preserve">ocument </w:t>
      </w:r>
      <w:r>
        <w:t>N</w:t>
      </w:r>
      <w:r w:rsidR="00070B2C">
        <w:t>o.</w:t>
      </w:r>
      <w:r>
        <w:t xml:space="preserve"> 12677-2021, FPL</w:t>
      </w:r>
      <w:r w:rsidR="00070B2C">
        <w:t>’s</w:t>
      </w:r>
      <w:r>
        <w:t xml:space="preserve"> Response</w:t>
      </w:r>
      <w:r w:rsidR="00070B2C">
        <w:t>s</w:t>
      </w:r>
      <w:r>
        <w:t xml:space="preserve"> to Staff’s Fourth Data Request</w:t>
      </w:r>
      <w:r w:rsidR="00070B2C">
        <w:t>,</w:t>
      </w:r>
      <w:r>
        <w:t xml:space="preserve"> No. 6.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45F" w:rsidRDefault="00DB545F" w:rsidP="00220732">
    <w:pPr>
      <w:pStyle w:val="Header"/>
      <w:tabs>
        <w:tab w:val="clear" w:pos="4320"/>
        <w:tab w:val="clear" w:pos="8640"/>
        <w:tab w:val="right" w:pos="9360"/>
      </w:tabs>
    </w:pPr>
    <w:bookmarkStart w:id="13" w:name="DocketLabel"/>
    <w:r>
      <w:t>Docket No.</w:t>
    </w:r>
    <w:bookmarkEnd w:id="13"/>
    <w:r>
      <w:t xml:space="preserve"> </w:t>
    </w:r>
    <w:bookmarkStart w:id="14" w:name="DocketList"/>
    <w:r>
      <w:t>20210001-EI</w:t>
    </w:r>
    <w:bookmarkEnd w:id="14"/>
  </w:p>
  <w:p w:rsidR="00DB545F" w:rsidRDefault="00DB545F">
    <w:pPr>
      <w:pStyle w:val="Header"/>
    </w:pPr>
    <w:r>
      <w:t xml:space="preserve">Date: </w:t>
    </w:r>
    <w:r w:rsidR="00BD2AE5">
      <w:fldChar w:fldCharType="begin"/>
    </w:r>
    <w:r w:rsidR="00BD2AE5">
      <w:instrText xml:space="preserve"> REF FilingDate </w:instrText>
    </w:r>
    <w:r w:rsidR="00BD2AE5">
      <w:fldChar w:fldCharType="separate"/>
    </w:r>
    <w:r w:rsidR="007A0750">
      <w:t>November 23, 2021</w:t>
    </w:r>
    <w:r w:rsidR="00BD2AE5">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19C8" w:rsidRDefault="002F19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45F" w:rsidRDefault="00DB545F" w:rsidP="00220732">
    <w:pPr>
      <w:pStyle w:val="Header"/>
      <w:tabs>
        <w:tab w:val="clear" w:pos="4320"/>
        <w:tab w:val="clear" w:pos="8640"/>
        <w:tab w:val="right" w:pos="9360"/>
      </w:tabs>
    </w:pPr>
    <w:r>
      <w:fldChar w:fldCharType="begin"/>
    </w:r>
    <w:r>
      <w:instrText xml:space="preserve"> REF DocketLabel</w:instrText>
    </w:r>
    <w:r>
      <w:fldChar w:fldCharType="separate"/>
    </w:r>
    <w:r w:rsidR="007A0750">
      <w:t>Docket No.</w:t>
    </w:r>
    <w:r>
      <w:fldChar w:fldCharType="end"/>
    </w:r>
    <w:r>
      <w:t xml:space="preserve"> </w:t>
    </w:r>
    <w:r>
      <w:fldChar w:fldCharType="begin"/>
    </w:r>
    <w:r>
      <w:instrText xml:space="preserve"> REF DocketList</w:instrText>
    </w:r>
    <w:r>
      <w:fldChar w:fldCharType="separate"/>
    </w:r>
    <w:r w:rsidR="007A0750">
      <w:t>20210001-EI</w:t>
    </w:r>
    <w:r>
      <w:fldChar w:fldCharType="end"/>
    </w:r>
    <w:r>
      <w:tab/>
      <w:t xml:space="preserve">Issue </w:t>
    </w:r>
    <w:r w:rsidR="00BD2AE5">
      <w:fldChar w:fldCharType="begin"/>
    </w:r>
    <w:r w:rsidR="00BD2AE5">
      <w:instrText xml:space="preserve"> Seq Issue \c \* Arabic </w:instrText>
    </w:r>
    <w:r w:rsidR="00BD2AE5">
      <w:fldChar w:fldCharType="separate"/>
    </w:r>
    <w:r w:rsidR="007A524A">
      <w:rPr>
        <w:noProof/>
      </w:rPr>
      <w:t>3</w:t>
    </w:r>
    <w:r w:rsidR="00BD2AE5">
      <w:rPr>
        <w:noProof/>
      </w:rPr>
      <w:fldChar w:fldCharType="end"/>
    </w:r>
  </w:p>
  <w:p w:rsidR="00DB545F" w:rsidRDefault="00DB545F">
    <w:pPr>
      <w:pStyle w:val="Header"/>
    </w:pPr>
    <w:r>
      <w:t xml:space="preserve">Date: </w:t>
    </w:r>
    <w:r w:rsidR="00BD2AE5">
      <w:fldChar w:fldCharType="begin"/>
    </w:r>
    <w:r w:rsidR="00BD2AE5">
      <w:instrText xml:space="preserve"> REF FilingDate </w:instrText>
    </w:r>
    <w:r w:rsidR="00BD2AE5">
      <w:fldChar w:fldCharType="separate"/>
    </w:r>
    <w:r w:rsidR="007A0750">
      <w:t>November 23, 2021</w:t>
    </w:r>
    <w:r w:rsidR="00BD2AE5">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45F" w:rsidRDefault="00DB545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19C8" w:rsidRDefault="002F19C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45F" w:rsidRDefault="00DB545F" w:rsidP="00220732">
    <w:pPr>
      <w:pStyle w:val="Header"/>
      <w:tabs>
        <w:tab w:val="clear" w:pos="4320"/>
        <w:tab w:val="clear" w:pos="8640"/>
        <w:tab w:val="right" w:pos="9360"/>
      </w:tabs>
    </w:pPr>
    <w:r>
      <w:fldChar w:fldCharType="begin"/>
    </w:r>
    <w:r>
      <w:instrText xml:space="preserve"> REF DocketLabel</w:instrText>
    </w:r>
    <w:r>
      <w:fldChar w:fldCharType="separate"/>
    </w:r>
    <w:r w:rsidR="007A0750">
      <w:t>Docket No.</w:t>
    </w:r>
    <w:r>
      <w:fldChar w:fldCharType="end"/>
    </w:r>
    <w:r>
      <w:t xml:space="preserve"> </w:t>
    </w:r>
    <w:r>
      <w:fldChar w:fldCharType="begin"/>
    </w:r>
    <w:r>
      <w:instrText xml:space="preserve"> REF DocketList</w:instrText>
    </w:r>
    <w:r>
      <w:fldChar w:fldCharType="separate"/>
    </w:r>
    <w:r w:rsidR="007A0750">
      <w:t>20210001-EI</w:t>
    </w:r>
    <w:r>
      <w:fldChar w:fldCharType="end"/>
    </w:r>
    <w:r>
      <w:tab/>
      <w:t>Appendix A</w:t>
    </w:r>
  </w:p>
  <w:p w:rsidR="00DB545F" w:rsidRDefault="00DB545F">
    <w:pPr>
      <w:pStyle w:val="Header"/>
    </w:pPr>
    <w:r>
      <w:t xml:space="preserve">Date: </w:t>
    </w:r>
    <w:r w:rsidR="00BD2AE5">
      <w:fldChar w:fldCharType="begin"/>
    </w:r>
    <w:r w:rsidR="00BD2AE5">
      <w:instrText xml:space="preserve"> REF FilingDate </w:instrText>
    </w:r>
    <w:r w:rsidR="00BD2AE5">
      <w:fldChar w:fldCharType="separate"/>
    </w:r>
    <w:r w:rsidR="007A0750">
      <w:t>November 23, 2021</w:t>
    </w:r>
    <w:r w:rsidR="00BD2AE5">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19C8" w:rsidRDefault="002F19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FC6C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AA0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762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FE4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63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1638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6573F1"/>
    <w:rsid w:val="00002D39"/>
    <w:rsid w:val="00004148"/>
    <w:rsid w:val="000043D5"/>
    <w:rsid w:val="00006170"/>
    <w:rsid w:val="00010E37"/>
    <w:rsid w:val="00013D0D"/>
    <w:rsid w:val="000172DA"/>
    <w:rsid w:val="00022DD6"/>
    <w:rsid w:val="000247C5"/>
    <w:rsid w:val="000260C1"/>
    <w:rsid w:val="000277C2"/>
    <w:rsid w:val="00035B48"/>
    <w:rsid w:val="00036CE2"/>
    <w:rsid w:val="000437FE"/>
    <w:rsid w:val="000513BE"/>
    <w:rsid w:val="00065A06"/>
    <w:rsid w:val="000661C4"/>
    <w:rsid w:val="000666F3"/>
    <w:rsid w:val="0007016D"/>
    <w:rsid w:val="00070B2C"/>
    <w:rsid w:val="00070DCB"/>
    <w:rsid w:val="00072CCA"/>
    <w:rsid w:val="00073120"/>
    <w:rsid w:val="000764D0"/>
    <w:rsid w:val="00082265"/>
    <w:rsid w:val="000828D3"/>
    <w:rsid w:val="000A2B57"/>
    <w:rsid w:val="000A418B"/>
    <w:rsid w:val="000C4431"/>
    <w:rsid w:val="000D1C06"/>
    <w:rsid w:val="000D4319"/>
    <w:rsid w:val="000F374A"/>
    <w:rsid w:val="001004C8"/>
    <w:rsid w:val="001076AF"/>
    <w:rsid w:val="001138D3"/>
    <w:rsid w:val="00117C8C"/>
    <w:rsid w:val="00124C38"/>
    <w:rsid w:val="00124E2E"/>
    <w:rsid w:val="00125ED4"/>
    <w:rsid w:val="001264C6"/>
    <w:rsid w:val="001305E9"/>
    <w:rsid w:val="001307AF"/>
    <w:rsid w:val="00135687"/>
    <w:rsid w:val="00140660"/>
    <w:rsid w:val="0015506E"/>
    <w:rsid w:val="001627D9"/>
    <w:rsid w:val="00163031"/>
    <w:rsid w:val="001657BA"/>
    <w:rsid w:val="00171A90"/>
    <w:rsid w:val="00180254"/>
    <w:rsid w:val="001873F7"/>
    <w:rsid w:val="00191E1F"/>
    <w:rsid w:val="00192943"/>
    <w:rsid w:val="001A7406"/>
    <w:rsid w:val="001B4FEE"/>
    <w:rsid w:val="001B51C5"/>
    <w:rsid w:val="001B6F3F"/>
    <w:rsid w:val="001C52B5"/>
    <w:rsid w:val="001D0D3E"/>
    <w:rsid w:val="001F2245"/>
    <w:rsid w:val="001F2C63"/>
    <w:rsid w:val="001F48C7"/>
    <w:rsid w:val="001F6DA1"/>
    <w:rsid w:val="002044E6"/>
    <w:rsid w:val="00205C82"/>
    <w:rsid w:val="00205DC2"/>
    <w:rsid w:val="00212B17"/>
    <w:rsid w:val="00215E6F"/>
    <w:rsid w:val="002163B6"/>
    <w:rsid w:val="00220732"/>
    <w:rsid w:val="00221D32"/>
    <w:rsid w:val="00222C32"/>
    <w:rsid w:val="00225C3F"/>
    <w:rsid w:val="00263D44"/>
    <w:rsid w:val="002702AD"/>
    <w:rsid w:val="00283415"/>
    <w:rsid w:val="00284235"/>
    <w:rsid w:val="00292D82"/>
    <w:rsid w:val="002963CB"/>
    <w:rsid w:val="002A31AA"/>
    <w:rsid w:val="002B4A01"/>
    <w:rsid w:val="002C1FEE"/>
    <w:rsid w:val="002D226D"/>
    <w:rsid w:val="002E0C29"/>
    <w:rsid w:val="002F19C8"/>
    <w:rsid w:val="002F6030"/>
    <w:rsid w:val="002F60CF"/>
    <w:rsid w:val="003037E1"/>
    <w:rsid w:val="00307E51"/>
    <w:rsid w:val="003100A2"/>
    <w:rsid w:val="003103EC"/>
    <w:rsid w:val="003144EF"/>
    <w:rsid w:val="00314687"/>
    <w:rsid w:val="003176DE"/>
    <w:rsid w:val="00321DF3"/>
    <w:rsid w:val="00322F74"/>
    <w:rsid w:val="00333ABA"/>
    <w:rsid w:val="00340073"/>
    <w:rsid w:val="00340944"/>
    <w:rsid w:val="003466F1"/>
    <w:rsid w:val="003632FD"/>
    <w:rsid w:val="00372805"/>
    <w:rsid w:val="00373180"/>
    <w:rsid w:val="00375AB9"/>
    <w:rsid w:val="003821A0"/>
    <w:rsid w:val="00385B04"/>
    <w:rsid w:val="003864CF"/>
    <w:rsid w:val="003948AE"/>
    <w:rsid w:val="0039520B"/>
    <w:rsid w:val="003A22A6"/>
    <w:rsid w:val="003A5494"/>
    <w:rsid w:val="003B2510"/>
    <w:rsid w:val="003C2CC4"/>
    <w:rsid w:val="003C3710"/>
    <w:rsid w:val="003D2EA4"/>
    <w:rsid w:val="003E0EFC"/>
    <w:rsid w:val="003E25E7"/>
    <w:rsid w:val="003E4A2B"/>
    <w:rsid w:val="003E50B1"/>
    <w:rsid w:val="003E76C2"/>
    <w:rsid w:val="003F1679"/>
    <w:rsid w:val="003F21EB"/>
    <w:rsid w:val="003F4A35"/>
    <w:rsid w:val="003F7FDD"/>
    <w:rsid w:val="00402481"/>
    <w:rsid w:val="004042B4"/>
    <w:rsid w:val="0040693F"/>
    <w:rsid w:val="00410DC4"/>
    <w:rsid w:val="00412DAE"/>
    <w:rsid w:val="00420F9C"/>
    <w:rsid w:val="004242E6"/>
    <w:rsid w:val="0043088E"/>
    <w:rsid w:val="00431598"/>
    <w:rsid w:val="004319AD"/>
    <w:rsid w:val="004368B7"/>
    <w:rsid w:val="004370CB"/>
    <w:rsid w:val="00440945"/>
    <w:rsid w:val="004426B8"/>
    <w:rsid w:val="00444432"/>
    <w:rsid w:val="004463B4"/>
    <w:rsid w:val="00471860"/>
    <w:rsid w:val="00477026"/>
    <w:rsid w:val="00493CB9"/>
    <w:rsid w:val="004A744D"/>
    <w:rsid w:val="004B191B"/>
    <w:rsid w:val="004B60BD"/>
    <w:rsid w:val="004C0023"/>
    <w:rsid w:val="004C3150"/>
    <w:rsid w:val="004C3641"/>
    <w:rsid w:val="004C4390"/>
    <w:rsid w:val="004C4AF7"/>
    <w:rsid w:val="004C7C54"/>
    <w:rsid w:val="004D2881"/>
    <w:rsid w:val="004D385F"/>
    <w:rsid w:val="004D518E"/>
    <w:rsid w:val="004D5B39"/>
    <w:rsid w:val="004E330D"/>
    <w:rsid w:val="004E5147"/>
    <w:rsid w:val="004E69B5"/>
    <w:rsid w:val="004F5C43"/>
    <w:rsid w:val="00500C91"/>
    <w:rsid w:val="0050652D"/>
    <w:rsid w:val="00506C03"/>
    <w:rsid w:val="00511A11"/>
    <w:rsid w:val="00512CA6"/>
    <w:rsid w:val="00516496"/>
    <w:rsid w:val="00522E73"/>
    <w:rsid w:val="00523B11"/>
    <w:rsid w:val="0052572A"/>
    <w:rsid w:val="00532DFB"/>
    <w:rsid w:val="00536224"/>
    <w:rsid w:val="00543CB3"/>
    <w:rsid w:val="005442E4"/>
    <w:rsid w:val="0055529B"/>
    <w:rsid w:val="00560473"/>
    <w:rsid w:val="00560959"/>
    <w:rsid w:val="00560FF0"/>
    <w:rsid w:val="005614BD"/>
    <w:rsid w:val="0057154F"/>
    <w:rsid w:val="00580F69"/>
    <w:rsid w:val="00581CA3"/>
    <w:rsid w:val="00587A44"/>
    <w:rsid w:val="00596341"/>
    <w:rsid w:val="00597730"/>
    <w:rsid w:val="005977EC"/>
    <w:rsid w:val="00597DE7"/>
    <w:rsid w:val="005A4AA2"/>
    <w:rsid w:val="005B1D6B"/>
    <w:rsid w:val="005B34B6"/>
    <w:rsid w:val="005B6C8F"/>
    <w:rsid w:val="005B6EC3"/>
    <w:rsid w:val="005D0F74"/>
    <w:rsid w:val="005D2E7D"/>
    <w:rsid w:val="005D4A8F"/>
    <w:rsid w:val="005D561B"/>
    <w:rsid w:val="005D5ECF"/>
    <w:rsid w:val="005F468D"/>
    <w:rsid w:val="005F69A3"/>
    <w:rsid w:val="00604CC7"/>
    <w:rsid w:val="00606797"/>
    <w:rsid w:val="00615423"/>
    <w:rsid w:val="006165B2"/>
    <w:rsid w:val="00617276"/>
    <w:rsid w:val="0062527B"/>
    <w:rsid w:val="00625D97"/>
    <w:rsid w:val="00625F1C"/>
    <w:rsid w:val="006279E1"/>
    <w:rsid w:val="00630CEB"/>
    <w:rsid w:val="0063208F"/>
    <w:rsid w:val="00632264"/>
    <w:rsid w:val="006340D9"/>
    <w:rsid w:val="00643B2E"/>
    <w:rsid w:val="006470BC"/>
    <w:rsid w:val="00653984"/>
    <w:rsid w:val="006554D3"/>
    <w:rsid w:val="006573F1"/>
    <w:rsid w:val="00667036"/>
    <w:rsid w:val="00673BDB"/>
    <w:rsid w:val="00674341"/>
    <w:rsid w:val="006771B8"/>
    <w:rsid w:val="006843B6"/>
    <w:rsid w:val="0068481F"/>
    <w:rsid w:val="006934E3"/>
    <w:rsid w:val="00693529"/>
    <w:rsid w:val="00696F5D"/>
    <w:rsid w:val="00697249"/>
    <w:rsid w:val="00697818"/>
    <w:rsid w:val="006B0599"/>
    <w:rsid w:val="006B3947"/>
    <w:rsid w:val="006B4293"/>
    <w:rsid w:val="006B624F"/>
    <w:rsid w:val="006B6337"/>
    <w:rsid w:val="006C0C95"/>
    <w:rsid w:val="006C31E3"/>
    <w:rsid w:val="006D18D3"/>
    <w:rsid w:val="006D252E"/>
    <w:rsid w:val="006E08CB"/>
    <w:rsid w:val="006E0FCA"/>
    <w:rsid w:val="006E56AD"/>
    <w:rsid w:val="006E598D"/>
    <w:rsid w:val="0070437D"/>
    <w:rsid w:val="00704CF1"/>
    <w:rsid w:val="00705B04"/>
    <w:rsid w:val="007139B0"/>
    <w:rsid w:val="00724992"/>
    <w:rsid w:val="00734820"/>
    <w:rsid w:val="007349DC"/>
    <w:rsid w:val="0074365E"/>
    <w:rsid w:val="00744B55"/>
    <w:rsid w:val="007462E0"/>
    <w:rsid w:val="007515FD"/>
    <w:rsid w:val="00760D80"/>
    <w:rsid w:val="00765A0F"/>
    <w:rsid w:val="0078066F"/>
    <w:rsid w:val="00780C09"/>
    <w:rsid w:val="00780DDF"/>
    <w:rsid w:val="007834E9"/>
    <w:rsid w:val="00787DBC"/>
    <w:rsid w:val="0079019A"/>
    <w:rsid w:val="00792935"/>
    <w:rsid w:val="007954A7"/>
    <w:rsid w:val="007A04A1"/>
    <w:rsid w:val="007A0750"/>
    <w:rsid w:val="007A1840"/>
    <w:rsid w:val="007A524A"/>
    <w:rsid w:val="007B2FBB"/>
    <w:rsid w:val="007B3626"/>
    <w:rsid w:val="007C0528"/>
    <w:rsid w:val="007C3D38"/>
    <w:rsid w:val="007C6179"/>
    <w:rsid w:val="007D0F35"/>
    <w:rsid w:val="007D4FEB"/>
    <w:rsid w:val="007D6146"/>
    <w:rsid w:val="007D73CD"/>
    <w:rsid w:val="007E0CE7"/>
    <w:rsid w:val="007F1193"/>
    <w:rsid w:val="007F417F"/>
    <w:rsid w:val="007F45EE"/>
    <w:rsid w:val="007F7644"/>
    <w:rsid w:val="008042BD"/>
    <w:rsid w:val="00816624"/>
    <w:rsid w:val="00822427"/>
    <w:rsid w:val="00822562"/>
    <w:rsid w:val="00823663"/>
    <w:rsid w:val="00832DDC"/>
    <w:rsid w:val="00842784"/>
    <w:rsid w:val="0085084F"/>
    <w:rsid w:val="00850BAC"/>
    <w:rsid w:val="008523B5"/>
    <w:rsid w:val="00854A3E"/>
    <w:rsid w:val="00855D08"/>
    <w:rsid w:val="00865A8C"/>
    <w:rsid w:val="00874344"/>
    <w:rsid w:val="00876290"/>
    <w:rsid w:val="00882155"/>
    <w:rsid w:val="0088233B"/>
    <w:rsid w:val="0088599E"/>
    <w:rsid w:val="00886C37"/>
    <w:rsid w:val="00892D99"/>
    <w:rsid w:val="00893315"/>
    <w:rsid w:val="008B62AE"/>
    <w:rsid w:val="008C04B5"/>
    <w:rsid w:val="008C14FA"/>
    <w:rsid w:val="008C7B0B"/>
    <w:rsid w:val="008D3194"/>
    <w:rsid w:val="008D4057"/>
    <w:rsid w:val="008E1F19"/>
    <w:rsid w:val="008F2262"/>
    <w:rsid w:val="008F4D2B"/>
    <w:rsid w:val="008F6A1C"/>
    <w:rsid w:val="008F6DA9"/>
    <w:rsid w:val="008F7736"/>
    <w:rsid w:val="0090019E"/>
    <w:rsid w:val="00901086"/>
    <w:rsid w:val="00901C8A"/>
    <w:rsid w:val="00902D98"/>
    <w:rsid w:val="00905886"/>
    <w:rsid w:val="009070D6"/>
    <w:rsid w:val="009076C6"/>
    <w:rsid w:val="0091019E"/>
    <w:rsid w:val="009106F1"/>
    <w:rsid w:val="00912404"/>
    <w:rsid w:val="009145D6"/>
    <w:rsid w:val="00920406"/>
    <w:rsid w:val="00920E64"/>
    <w:rsid w:val="00922002"/>
    <w:rsid w:val="00923E9E"/>
    <w:rsid w:val="00924020"/>
    <w:rsid w:val="009271A7"/>
    <w:rsid w:val="0093658B"/>
    <w:rsid w:val="009429FF"/>
    <w:rsid w:val="00945BD6"/>
    <w:rsid w:val="009479FB"/>
    <w:rsid w:val="00950665"/>
    <w:rsid w:val="00951C45"/>
    <w:rsid w:val="00964A1A"/>
    <w:rsid w:val="009656F2"/>
    <w:rsid w:val="00966A08"/>
    <w:rsid w:val="00971207"/>
    <w:rsid w:val="00975CB4"/>
    <w:rsid w:val="009863B0"/>
    <w:rsid w:val="00987DE1"/>
    <w:rsid w:val="00990571"/>
    <w:rsid w:val="0099673A"/>
    <w:rsid w:val="009A0E83"/>
    <w:rsid w:val="009A3330"/>
    <w:rsid w:val="009A7C96"/>
    <w:rsid w:val="009B0DCB"/>
    <w:rsid w:val="009B4C0E"/>
    <w:rsid w:val="009C275E"/>
    <w:rsid w:val="009C3DB9"/>
    <w:rsid w:val="009D46E5"/>
    <w:rsid w:val="009D568A"/>
    <w:rsid w:val="009E505F"/>
    <w:rsid w:val="009F04EC"/>
    <w:rsid w:val="009F2A7C"/>
    <w:rsid w:val="009F3B36"/>
    <w:rsid w:val="009F3B67"/>
    <w:rsid w:val="00A00086"/>
    <w:rsid w:val="00A019B9"/>
    <w:rsid w:val="00A12508"/>
    <w:rsid w:val="00A1282B"/>
    <w:rsid w:val="00A135A5"/>
    <w:rsid w:val="00A13A27"/>
    <w:rsid w:val="00A175B6"/>
    <w:rsid w:val="00A21835"/>
    <w:rsid w:val="00A2374B"/>
    <w:rsid w:val="00A27D6E"/>
    <w:rsid w:val="00A328EC"/>
    <w:rsid w:val="00A33A51"/>
    <w:rsid w:val="00A41CA6"/>
    <w:rsid w:val="00A47927"/>
    <w:rsid w:val="00A47FFC"/>
    <w:rsid w:val="00A5442F"/>
    <w:rsid w:val="00A54FF9"/>
    <w:rsid w:val="00A56765"/>
    <w:rsid w:val="00A675AC"/>
    <w:rsid w:val="00A756AA"/>
    <w:rsid w:val="00A7581F"/>
    <w:rsid w:val="00A80E22"/>
    <w:rsid w:val="00A879A0"/>
    <w:rsid w:val="00A90DC8"/>
    <w:rsid w:val="00A92BC0"/>
    <w:rsid w:val="00A92F3E"/>
    <w:rsid w:val="00A92FB1"/>
    <w:rsid w:val="00A95A0C"/>
    <w:rsid w:val="00AA2765"/>
    <w:rsid w:val="00AA77B5"/>
    <w:rsid w:val="00AB6C5D"/>
    <w:rsid w:val="00AC2751"/>
    <w:rsid w:val="00AC3401"/>
    <w:rsid w:val="00AC51A7"/>
    <w:rsid w:val="00AC5A5B"/>
    <w:rsid w:val="00AD444B"/>
    <w:rsid w:val="00AD5614"/>
    <w:rsid w:val="00AD6C78"/>
    <w:rsid w:val="00AE2EAB"/>
    <w:rsid w:val="00AF5F89"/>
    <w:rsid w:val="00AF73CB"/>
    <w:rsid w:val="00B002D6"/>
    <w:rsid w:val="00B03379"/>
    <w:rsid w:val="00B05B51"/>
    <w:rsid w:val="00B07977"/>
    <w:rsid w:val="00B14E5A"/>
    <w:rsid w:val="00B15370"/>
    <w:rsid w:val="00B16CD8"/>
    <w:rsid w:val="00B16DA4"/>
    <w:rsid w:val="00B17BEB"/>
    <w:rsid w:val="00B21A3C"/>
    <w:rsid w:val="00B223C0"/>
    <w:rsid w:val="00B234ED"/>
    <w:rsid w:val="00B249B2"/>
    <w:rsid w:val="00B25CA3"/>
    <w:rsid w:val="00B2765A"/>
    <w:rsid w:val="00B3109A"/>
    <w:rsid w:val="00B3501B"/>
    <w:rsid w:val="00B411E2"/>
    <w:rsid w:val="00B516ED"/>
    <w:rsid w:val="00B56E84"/>
    <w:rsid w:val="00B57A6A"/>
    <w:rsid w:val="00B760F1"/>
    <w:rsid w:val="00B7669E"/>
    <w:rsid w:val="00B77DA1"/>
    <w:rsid w:val="00B822A0"/>
    <w:rsid w:val="00B84A97"/>
    <w:rsid w:val="00B858AE"/>
    <w:rsid w:val="00B85964"/>
    <w:rsid w:val="00B860B0"/>
    <w:rsid w:val="00B9231E"/>
    <w:rsid w:val="00B96250"/>
    <w:rsid w:val="00BA0B97"/>
    <w:rsid w:val="00BA0D55"/>
    <w:rsid w:val="00BA37B3"/>
    <w:rsid w:val="00BA4CC6"/>
    <w:rsid w:val="00BB3493"/>
    <w:rsid w:val="00BB7468"/>
    <w:rsid w:val="00BC188A"/>
    <w:rsid w:val="00BC402E"/>
    <w:rsid w:val="00BC5711"/>
    <w:rsid w:val="00BD0F48"/>
    <w:rsid w:val="00BD2A22"/>
    <w:rsid w:val="00BD40E3"/>
    <w:rsid w:val="00BE1ACD"/>
    <w:rsid w:val="00BE6DDB"/>
    <w:rsid w:val="00BF0CC4"/>
    <w:rsid w:val="00BF5010"/>
    <w:rsid w:val="00C0350F"/>
    <w:rsid w:val="00C03D5F"/>
    <w:rsid w:val="00C07275"/>
    <w:rsid w:val="00C13791"/>
    <w:rsid w:val="00C20D72"/>
    <w:rsid w:val="00C21047"/>
    <w:rsid w:val="00C22106"/>
    <w:rsid w:val="00C24C44"/>
    <w:rsid w:val="00C31BB3"/>
    <w:rsid w:val="00C36977"/>
    <w:rsid w:val="00C402D4"/>
    <w:rsid w:val="00C467DA"/>
    <w:rsid w:val="00C477D9"/>
    <w:rsid w:val="00C500F8"/>
    <w:rsid w:val="00C60BA3"/>
    <w:rsid w:val="00C623F7"/>
    <w:rsid w:val="00C62A81"/>
    <w:rsid w:val="00C75BC5"/>
    <w:rsid w:val="00C814B8"/>
    <w:rsid w:val="00C81670"/>
    <w:rsid w:val="00C81773"/>
    <w:rsid w:val="00C82861"/>
    <w:rsid w:val="00C86896"/>
    <w:rsid w:val="00C87D94"/>
    <w:rsid w:val="00C907A8"/>
    <w:rsid w:val="00C93211"/>
    <w:rsid w:val="00C942EC"/>
    <w:rsid w:val="00C96047"/>
    <w:rsid w:val="00C979D0"/>
    <w:rsid w:val="00CA0818"/>
    <w:rsid w:val="00CA15C8"/>
    <w:rsid w:val="00CA2C8F"/>
    <w:rsid w:val="00CA30DA"/>
    <w:rsid w:val="00CA3A24"/>
    <w:rsid w:val="00CB1777"/>
    <w:rsid w:val="00CB33E9"/>
    <w:rsid w:val="00CB7BD8"/>
    <w:rsid w:val="00CC0BB3"/>
    <w:rsid w:val="00CC0D14"/>
    <w:rsid w:val="00CC10A9"/>
    <w:rsid w:val="00CC6EFD"/>
    <w:rsid w:val="00CD12F3"/>
    <w:rsid w:val="00CE2BF8"/>
    <w:rsid w:val="00CE376F"/>
    <w:rsid w:val="00CE484E"/>
    <w:rsid w:val="00CE656F"/>
    <w:rsid w:val="00CF0DA8"/>
    <w:rsid w:val="00CF2E25"/>
    <w:rsid w:val="00CF4453"/>
    <w:rsid w:val="00CF5D94"/>
    <w:rsid w:val="00CF7AF9"/>
    <w:rsid w:val="00CF7E0F"/>
    <w:rsid w:val="00D034D7"/>
    <w:rsid w:val="00D04BE4"/>
    <w:rsid w:val="00D06159"/>
    <w:rsid w:val="00D06FC7"/>
    <w:rsid w:val="00D12565"/>
    <w:rsid w:val="00D14127"/>
    <w:rsid w:val="00D21C99"/>
    <w:rsid w:val="00D36B02"/>
    <w:rsid w:val="00D44B78"/>
    <w:rsid w:val="00D509EE"/>
    <w:rsid w:val="00D51534"/>
    <w:rsid w:val="00D60B16"/>
    <w:rsid w:val="00D60F02"/>
    <w:rsid w:val="00D66E49"/>
    <w:rsid w:val="00D675B8"/>
    <w:rsid w:val="00D70D71"/>
    <w:rsid w:val="00D72F74"/>
    <w:rsid w:val="00D76019"/>
    <w:rsid w:val="00D81563"/>
    <w:rsid w:val="00D83D33"/>
    <w:rsid w:val="00D85907"/>
    <w:rsid w:val="00D9073E"/>
    <w:rsid w:val="00D9221D"/>
    <w:rsid w:val="00D94790"/>
    <w:rsid w:val="00D958DF"/>
    <w:rsid w:val="00D9606C"/>
    <w:rsid w:val="00D96DA1"/>
    <w:rsid w:val="00DA51E7"/>
    <w:rsid w:val="00DB0260"/>
    <w:rsid w:val="00DB1C78"/>
    <w:rsid w:val="00DB3CA9"/>
    <w:rsid w:val="00DB545F"/>
    <w:rsid w:val="00DB7D96"/>
    <w:rsid w:val="00DC23FE"/>
    <w:rsid w:val="00DC59E6"/>
    <w:rsid w:val="00DD150B"/>
    <w:rsid w:val="00DD2845"/>
    <w:rsid w:val="00DD5025"/>
    <w:rsid w:val="00DD5B0B"/>
    <w:rsid w:val="00DF1510"/>
    <w:rsid w:val="00DF18E6"/>
    <w:rsid w:val="00DF5749"/>
    <w:rsid w:val="00E02F1F"/>
    <w:rsid w:val="00E06484"/>
    <w:rsid w:val="00E065D0"/>
    <w:rsid w:val="00E20A7D"/>
    <w:rsid w:val="00E214A0"/>
    <w:rsid w:val="00E275D8"/>
    <w:rsid w:val="00E27D7A"/>
    <w:rsid w:val="00E30F6A"/>
    <w:rsid w:val="00E3117C"/>
    <w:rsid w:val="00E375CA"/>
    <w:rsid w:val="00E47482"/>
    <w:rsid w:val="00E5364F"/>
    <w:rsid w:val="00E54011"/>
    <w:rsid w:val="00E55064"/>
    <w:rsid w:val="00E567E8"/>
    <w:rsid w:val="00E601FA"/>
    <w:rsid w:val="00E64679"/>
    <w:rsid w:val="00E65EBC"/>
    <w:rsid w:val="00E677FE"/>
    <w:rsid w:val="00E70059"/>
    <w:rsid w:val="00E73432"/>
    <w:rsid w:val="00E77B0C"/>
    <w:rsid w:val="00E77FB8"/>
    <w:rsid w:val="00E838B0"/>
    <w:rsid w:val="00E86A7C"/>
    <w:rsid w:val="00E878E1"/>
    <w:rsid w:val="00E87F2C"/>
    <w:rsid w:val="00E95278"/>
    <w:rsid w:val="00EA2273"/>
    <w:rsid w:val="00EA7C3C"/>
    <w:rsid w:val="00EB13C1"/>
    <w:rsid w:val="00EB2DB3"/>
    <w:rsid w:val="00EC3FBB"/>
    <w:rsid w:val="00EC6B7A"/>
    <w:rsid w:val="00EC7F8D"/>
    <w:rsid w:val="00ED0977"/>
    <w:rsid w:val="00ED0F4C"/>
    <w:rsid w:val="00ED3A87"/>
    <w:rsid w:val="00ED4F99"/>
    <w:rsid w:val="00ED5B67"/>
    <w:rsid w:val="00EF264C"/>
    <w:rsid w:val="00EF3FEE"/>
    <w:rsid w:val="00EF7CD6"/>
    <w:rsid w:val="00F037EA"/>
    <w:rsid w:val="00F04B59"/>
    <w:rsid w:val="00F11741"/>
    <w:rsid w:val="00F12B1C"/>
    <w:rsid w:val="00F13CF8"/>
    <w:rsid w:val="00F15855"/>
    <w:rsid w:val="00F200B2"/>
    <w:rsid w:val="00F20FE6"/>
    <w:rsid w:val="00F227DC"/>
    <w:rsid w:val="00F31039"/>
    <w:rsid w:val="00F32978"/>
    <w:rsid w:val="00F339AA"/>
    <w:rsid w:val="00F36F3F"/>
    <w:rsid w:val="00F439A0"/>
    <w:rsid w:val="00F45CB2"/>
    <w:rsid w:val="00F5009E"/>
    <w:rsid w:val="00F544C0"/>
    <w:rsid w:val="00F55332"/>
    <w:rsid w:val="00F60CE3"/>
    <w:rsid w:val="00F6504A"/>
    <w:rsid w:val="00F65519"/>
    <w:rsid w:val="00F713C0"/>
    <w:rsid w:val="00F75DDC"/>
    <w:rsid w:val="00F7792F"/>
    <w:rsid w:val="00F842AA"/>
    <w:rsid w:val="00F8476F"/>
    <w:rsid w:val="00F853E1"/>
    <w:rsid w:val="00F85604"/>
    <w:rsid w:val="00F94B7A"/>
    <w:rsid w:val="00FA17AC"/>
    <w:rsid w:val="00FA32DE"/>
    <w:rsid w:val="00FA3382"/>
    <w:rsid w:val="00FA59CD"/>
    <w:rsid w:val="00FB1740"/>
    <w:rsid w:val="00FB29A9"/>
    <w:rsid w:val="00FB3F0C"/>
    <w:rsid w:val="00FC1984"/>
    <w:rsid w:val="00FC5469"/>
    <w:rsid w:val="00FC6D7D"/>
    <w:rsid w:val="00FD1563"/>
    <w:rsid w:val="00FD16B0"/>
    <w:rsid w:val="00FD4FED"/>
    <w:rsid w:val="00FE0577"/>
    <w:rsid w:val="00FE5632"/>
    <w:rsid w:val="00FE59EC"/>
    <w:rsid w:val="00FE5B67"/>
    <w:rsid w:val="00FE60D6"/>
    <w:rsid w:val="00FE751C"/>
    <w:rsid w:val="00FF68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9AEDFBBB-D69F-4693-BDC3-FEFFAD4EA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uiPriority w:val="99"/>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uiPriority w:val="99"/>
    <w:unhideWhenUsed/>
    <w:rsid w:val="00697818"/>
    <w:rPr>
      <w:vertAlign w:val="superscript"/>
    </w:rPr>
  </w:style>
  <w:style w:type="character" w:customStyle="1" w:styleId="FootnoteTextChar">
    <w:name w:val="Footnote Text Char"/>
    <w:basedOn w:val="DefaultParagraphFont"/>
    <w:link w:val="FootnoteText"/>
    <w:uiPriority w:val="99"/>
    <w:rsid w:val="006978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94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2.emf"/><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8F45DE-F05E-4B83-BE8E-48F5A4729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Template>
  <TotalTime>0</TotalTime>
  <Pages>13</Pages>
  <Words>2745</Words>
  <Characters>15879</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18587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Devlin Higgins</dc:creator>
  <cp:lastModifiedBy>Hanna Black</cp:lastModifiedBy>
  <cp:revision>2</cp:revision>
  <cp:lastPrinted>2021-11-17T13:35:00Z</cp:lastPrinted>
  <dcterms:created xsi:type="dcterms:W3CDTF">2021-11-23T16:39:00Z</dcterms:created>
  <dcterms:modified xsi:type="dcterms:W3CDTF">2021-11-23T16:39:00Z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20210001-EI</vt:lpwstr>
  </property>
  <property fmtid="{D5CDD505-2E9C-101B-9397-08002B2CF9AE}" pid="3" name="MasterDocument">
    <vt:bool>false</vt:bool>
  </property>
</Properties>
</file>