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14:paraId="2BDDE3D4" w14:textId="77777777">
        <w:tc>
          <w:tcPr>
            <w:tcW w:w="2202" w:type="dxa"/>
            <w:gridSpan w:val="2"/>
            <w:tcBorders>
              <w:top w:val="nil"/>
              <w:left w:val="nil"/>
              <w:bottom w:val="single" w:sz="24" w:space="0" w:color="auto"/>
              <w:right w:val="nil"/>
            </w:tcBorders>
            <w:tcMar>
              <w:top w:w="0" w:type="dxa"/>
              <w:left w:w="0" w:type="dxa"/>
              <w:bottom w:w="0" w:type="dxa"/>
              <w:right w:w="0" w:type="dxa"/>
            </w:tcMar>
          </w:tcPr>
          <w:p w14:paraId="581C0A33" w14:textId="77777777" w:rsidR="007C0528" w:rsidRDefault="007C0528" w:rsidP="00532DFB">
            <w:pPr>
              <w:pStyle w:val="MastHeadState"/>
            </w:pPr>
            <w:bookmarkStart w:id="0" w:name="_GoBack"/>
            <w:bookmarkEnd w:id="0"/>
            <w:r>
              <w:t>State of Florida</w:t>
            </w:r>
          </w:p>
          <w:p w14:paraId="46C02D07" w14:textId="77777777" w:rsidR="007C0528" w:rsidRDefault="00072CCA">
            <w:pPr>
              <w:jc w:val="center"/>
            </w:pPr>
            <w:r>
              <w:rPr>
                <w:noProof/>
              </w:rPr>
              <w:drawing>
                <wp:inline distT="0" distB="0" distL="0" distR="0" wp14:anchorId="0AD79A31" wp14:editId="0C42F18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58C51F7" w14:textId="77777777" w:rsidR="007C0528" w:rsidRDefault="007C0528"/>
        </w:tc>
        <w:tc>
          <w:tcPr>
            <w:tcW w:w="7273" w:type="dxa"/>
            <w:gridSpan w:val="2"/>
            <w:tcBorders>
              <w:top w:val="nil"/>
              <w:left w:val="nil"/>
              <w:bottom w:val="single" w:sz="24" w:space="0" w:color="auto"/>
              <w:right w:val="nil"/>
            </w:tcBorders>
            <w:vAlign w:val="bottom"/>
          </w:tcPr>
          <w:p w14:paraId="03314434" w14:textId="77777777" w:rsidR="007C0528" w:rsidRDefault="007C0528">
            <w:pPr>
              <w:pStyle w:val="MastHeadPSC"/>
            </w:pPr>
            <w:r>
              <w:t>Public Service Commission</w:t>
            </w:r>
          </w:p>
          <w:p w14:paraId="14123FB5" w14:textId="77777777" w:rsidR="007C0528" w:rsidRDefault="007C0528">
            <w:pPr>
              <w:pStyle w:val="MastHeadAddress"/>
            </w:pPr>
            <w:r>
              <w:t>Capital Circle Office Center ● 2540 Shumard Oak Boulevard</w:t>
            </w:r>
            <w:r>
              <w:br/>
              <w:t>Tallahassee, Florida 32399-0850</w:t>
            </w:r>
          </w:p>
          <w:p w14:paraId="1B22BACE" w14:textId="77777777" w:rsidR="007C0528" w:rsidRDefault="007C0528">
            <w:pPr>
              <w:pStyle w:val="MastHeadMemorandum"/>
            </w:pPr>
            <w:r>
              <w:t>-M-E-M-O-R-A-N-D-U-M-</w:t>
            </w:r>
          </w:p>
          <w:p w14:paraId="1E653639" w14:textId="77777777" w:rsidR="007C0528" w:rsidRDefault="007C0528">
            <w:pPr>
              <w:pStyle w:val="MemoHeading"/>
            </w:pPr>
          </w:p>
        </w:tc>
      </w:tr>
      <w:tr w:rsidR="007C0528" w14:paraId="04AC3547" w14:textId="77777777">
        <w:tc>
          <w:tcPr>
            <w:tcW w:w="1254" w:type="dxa"/>
            <w:tcBorders>
              <w:top w:val="single" w:sz="24" w:space="0" w:color="auto"/>
              <w:left w:val="nil"/>
              <w:bottom w:val="nil"/>
              <w:right w:val="nil"/>
            </w:tcBorders>
            <w:tcMar>
              <w:top w:w="288" w:type="dxa"/>
              <w:bottom w:w="0" w:type="dxa"/>
              <w:right w:w="0" w:type="dxa"/>
            </w:tcMar>
          </w:tcPr>
          <w:p w14:paraId="7A79FB8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tcMar>
              <w:bottom w:w="0" w:type="dxa"/>
            </w:tcMar>
          </w:tcPr>
          <w:p w14:paraId="34B451A0" w14:textId="77777777" w:rsidR="007C0528" w:rsidRDefault="00512776">
            <w:pPr>
              <w:pStyle w:val="MemoHeading"/>
            </w:pPr>
            <w:bookmarkStart w:id="1" w:name="FilingDate"/>
            <w:r>
              <w:t>August 22, 2025</w:t>
            </w:r>
            <w:bookmarkEnd w:id="1"/>
          </w:p>
        </w:tc>
      </w:tr>
      <w:tr w:rsidR="007C0528" w14:paraId="1D5F98CC" w14:textId="77777777">
        <w:tc>
          <w:tcPr>
            <w:tcW w:w="1254" w:type="dxa"/>
            <w:tcBorders>
              <w:top w:val="nil"/>
              <w:left w:val="nil"/>
              <w:bottom w:val="nil"/>
              <w:right w:val="nil"/>
            </w:tcBorders>
            <w:tcMar>
              <w:top w:w="288" w:type="dxa"/>
              <w:bottom w:w="0" w:type="dxa"/>
              <w:right w:w="0" w:type="dxa"/>
            </w:tcMar>
          </w:tcPr>
          <w:p w14:paraId="5D84A993" w14:textId="77777777" w:rsidR="007C0528" w:rsidRDefault="007C0528" w:rsidP="00506C03">
            <w:pPr>
              <w:pStyle w:val="MemoHeadingLabel"/>
            </w:pPr>
            <w:r>
              <w:t>TO:</w:t>
            </w:r>
          </w:p>
        </w:tc>
        <w:tc>
          <w:tcPr>
            <w:tcW w:w="8221" w:type="dxa"/>
            <w:gridSpan w:val="3"/>
            <w:tcBorders>
              <w:top w:val="nil"/>
              <w:left w:val="nil"/>
              <w:bottom w:val="nil"/>
              <w:right w:val="nil"/>
            </w:tcBorders>
            <w:tcMar>
              <w:top w:w="288" w:type="dxa"/>
              <w:bottom w:w="0" w:type="dxa"/>
            </w:tcMar>
          </w:tcPr>
          <w:p w14:paraId="456A62DD" w14:textId="77777777" w:rsidR="007C0528" w:rsidRDefault="007C0528" w:rsidP="0093658B">
            <w:pPr>
              <w:pStyle w:val="MemoHeading"/>
            </w:pPr>
            <w:r>
              <w:t>Office of Commission Clerk (</w:t>
            </w:r>
            <w:r w:rsidR="004E69B5">
              <w:t>Teitzman</w:t>
            </w:r>
            <w:r>
              <w:t>)</w:t>
            </w:r>
          </w:p>
        </w:tc>
      </w:tr>
      <w:tr w:rsidR="007C0528" w14:paraId="5A98256A" w14:textId="77777777">
        <w:tc>
          <w:tcPr>
            <w:tcW w:w="1254" w:type="dxa"/>
            <w:tcBorders>
              <w:top w:val="nil"/>
              <w:left w:val="nil"/>
              <w:bottom w:val="nil"/>
              <w:right w:val="nil"/>
            </w:tcBorders>
            <w:tcMar>
              <w:top w:w="288" w:type="dxa"/>
              <w:right w:w="0" w:type="dxa"/>
            </w:tcMar>
          </w:tcPr>
          <w:p w14:paraId="77757BC9" w14:textId="77777777" w:rsidR="007C0528" w:rsidRDefault="007C0528" w:rsidP="00506C03">
            <w:pPr>
              <w:pStyle w:val="MemoHeadingLabel"/>
            </w:pPr>
            <w:r>
              <w:t>FROM:</w:t>
            </w:r>
          </w:p>
        </w:tc>
        <w:tc>
          <w:tcPr>
            <w:tcW w:w="8221" w:type="dxa"/>
            <w:gridSpan w:val="3"/>
            <w:tcBorders>
              <w:top w:val="nil"/>
              <w:left w:val="nil"/>
              <w:bottom w:val="nil"/>
              <w:right w:val="nil"/>
            </w:tcBorders>
            <w:tcMar>
              <w:top w:w="288" w:type="dxa"/>
              <w:bottom w:w="0" w:type="dxa"/>
            </w:tcMar>
          </w:tcPr>
          <w:p w14:paraId="711AB844" w14:textId="77777777" w:rsidR="00512776" w:rsidRDefault="00512776">
            <w:pPr>
              <w:pStyle w:val="MemoHeading"/>
            </w:pPr>
            <w:bookmarkStart w:id="2" w:name="From"/>
            <w:r>
              <w:t>Division of Engineering (Ramirez-Abundez, King, Ramos, Smith II)</w:t>
            </w:r>
          </w:p>
          <w:p w14:paraId="31161A7B" w14:textId="09D57F48" w:rsidR="00512776" w:rsidRDefault="00512776">
            <w:pPr>
              <w:pStyle w:val="MemoHeading"/>
            </w:pPr>
            <w:r>
              <w:t>Division of Economics (Bruce, Sibley</w:t>
            </w:r>
            <w:r w:rsidR="00505510">
              <w:t>, Hudson</w:t>
            </w:r>
            <w:r>
              <w:t>)</w:t>
            </w:r>
          </w:p>
          <w:p w14:paraId="3802B2F5" w14:textId="77777777" w:rsidR="007C0528" w:rsidRDefault="00512776">
            <w:pPr>
              <w:pStyle w:val="MemoHeading"/>
            </w:pPr>
            <w:r>
              <w:t>Office of the General Counsel (Imig, Augspurger)</w:t>
            </w:r>
            <w:bookmarkEnd w:id="2"/>
          </w:p>
        </w:tc>
      </w:tr>
      <w:tr w:rsidR="007C0528" w14:paraId="79E587D3" w14:textId="77777777">
        <w:tc>
          <w:tcPr>
            <w:tcW w:w="1254" w:type="dxa"/>
            <w:tcBorders>
              <w:top w:val="nil"/>
              <w:left w:val="nil"/>
              <w:bottom w:val="nil"/>
              <w:right w:val="nil"/>
            </w:tcBorders>
            <w:tcMar>
              <w:top w:w="288" w:type="dxa"/>
              <w:right w:w="0" w:type="dxa"/>
            </w:tcMar>
          </w:tcPr>
          <w:p w14:paraId="19E02721" w14:textId="77777777" w:rsidR="007C0528" w:rsidRDefault="007C0528" w:rsidP="00506C03">
            <w:pPr>
              <w:pStyle w:val="MemoHeadingLabel"/>
            </w:pPr>
            <w:r>
              <w:t>RE:</w:t>
            </w:r>
          </w:p>
        </w:tc>
        <w:tc>
          <w:tcPr>
            <w:tcW w:w="8221" w:type="dxa"/>
            <w:gridSpan w:val="3"/>
            <w:tcBorders>
              <w:top w:val="nil"/>
              <w:left w:val="nil"/>
              <w:bottom w:val="nil"/>
              <w:right w:val="nil"/>
            </w:tcBorders>
            <w:tcMar>
              <w:top w:w="288" w:type="dxa"/>
            </w:tcMar>
          </w:tcPr>
          <w:p w14:paraId="4749EBBD" w14:textId="269B0EA7" w:rsidR="007C0528" w:rsidRDefault="00512776" w:rsidP="004C1A3E">
            <w:pPr>
              <w:pStyle w:val="MemoHeadingRe"/>
            </w:pPr>
            <w:bookmarkStart w:id="3" w:name="Re"/>
            <w:r>
              <w:t xml:space="preserve">Docket No. 20250023-WS – Application for staff-assisted rate case in Polk County, by </w:t>
            </w:r>
            <w:r w:rsidR="004C1A3E">
              <w:t>NC</w:t>
            </w:r>
            <w:r>
              <w:t xml:space="preserve"> Real Estate Projects</w:t>
            </w:r>
            <w:r w:rsidR="004C1A3E">
              <w:t>,</w:t>
            </w:r>
            <w:r>
              <w:t xml:space="preserve"> LLC d/b/a Grenelefe Utility.</w:t>
            </w:r>
            <w:bookmarkEnd w:id="3"/>
          </w:p>
        </w:tc>
      </w:tr>
      <w:tr w:rsidR="007C0528" w14:paraId="658C7B1C" w14:textId="77777777">
        <w:tc>
          <w:tcPr>
            <w:tcW w:w="1254" w:type="dxa"/>
            <w:tcBorders>
              <w:top w:val="nil"/>
              <w:left w:val="nil"/>
              <w:bottom w:val="nil"/>
              <w:right w:val="nil"/>
            </w:tcBorders>
            <w:tcMar>
              <w:top w:w="288" w:type="dxa"/>
              <w:bottom w:w="0" w:type="dxa"/>
              <w:right w:w="0" w:type="dxa"/>
            </w:tcMar>
          </w:tcPr>
          <w:p w14:paraId="7598A582" w14:textId="77777777" w:rsidR="007C0528" w:rsidRDefault="007C0528" w:rsidP="00506C03">
            <w:pPr>
              <w:pStyle w:val="MemoHeadingLabel"/>
            </w:pPr>
            <w:r>
              <w:t>AGENDA:</w:t>
            </w:r>
          </w:p>
        </w:tc>
        <w:tc>
          <w:tcPr>
            <w:tcW w:w="8221" w:type="dxa"/>
            <w:gridSpan w:val="3"/>
            <w:tcBorders>
              <w:top w:val="nil"/>
              <w:left w:val="nil"/>
              <w:bottom w:val="nil"/>
              <w:right w:val="nil"/>
            </w:tcBorders>
            <w:tcMar>
              <w:top w:w="288" w:type="dxa"/>
            </w:tcMar>
          </w:tcPr>
          <w:p w14:paraId="7C124FCE" w14:textId="77777777" w:rsidR="007C0528" w:rsidRDefault="00512776">
            <w:pPr>
              <w:pStyle w:val="MemoHeading"/>
            </w:pPr>
            <w:bookmarkStart w:id="4" w:name="AgendaDate"/>
            <w:r>
              <w:t>09/04/25</w:t>
            </w:r>
            <w:bookmarkEnd w:id="4"/>
            <w:r w:rsidR="007C0528">
              <w:t xml:space="preserve"> – </w:t>
            </w:r>
            <w:bookmarkStart w:id="5" w:name="PermittedStatus"/>
            <w:r>
              <w:t>Regular Agenda – Proposed Agency Action – Interested Persons May Participate</w:t>
            </w:r>
            <w:bookmarkEnd w:id="5"/>
          </w:p>
        </w:tc>
      </w:tr>
      <w:tr w:rsidR="007C0528" w14:paraId="775071A3" w14:textId="77777777">
        <w:tc>
          <w:tcPr>
            <w:tcW w:w="3690" w:type="dxa"/>
            <w:gridSpan w:val="3"/>
            <w:tcBorders>
              <w:top w:val="nil"/>
              <w:left w:val="nil"/>
              <w:bottom w:val="nil"/>
              <w:right w:val="nil"/>
            </w:tcBorders>
            <w:tcMar>
              <w:top w:w="288" w:type="dxa"/>
              <w:bottom w:w="0" w:type="dxa"/>
              <w:right w:w="0" w:type="dxa"/>
            </w:tcMar>
          </w:tcPr>
          <w:p w14:paraId="595BC2F4" w14:textId="77777777" w:rsidR="007C0528" w:rsidRDefault="007C0528" w:rsidP="00506C03">
            <w:pPr>
              <w:pStyle w:val="MemoHeadingLabel"/>
            </w:pPr>
            <w:r>
              <w:t>COMMISSIONERS ASSIGNED:</w:t>
            </w:r>
          </w:p>
        </w:tc>
        <w:tc>
          <w:tcPr>
            <w:tcW w:w="5785" w:type="dxa"/>
            <w:tcBorders>
              <w:top w:val="nil"/>
              <w:left w:val="nil"/>
              <w:bottom w:val="nil"/>
              <w:right w:val="nil"/>
            </w:tcBorders>
          </w:tcPr>
          <w:p w14:paraId="3052E60E" w14:textId="77777777" w:rsidR="007C0528" w:rsidRDefault="00512776">
            <w:pPr>
              <w:pStyle w:val="MemoHeading"/>
            </w:pPr>
            <w:bookmarkStart w:id="6" w:name="CommissionersAssigned"/>
            <w:r>
              <w:t>All Commissioners</w:t>
            </w:r>
            <w:bookmarkEnd w:id="6"/>
          </w:p>
        </w:tc>
      </w:tr>
      <w:tr w:rsidR="007C0528" w14:paraId="4E05BE9B" w14:textId="77777777">
        <w:tc>
          <w:tcPr>
            <w:tcW w:w="3690" w:type="dxa"/>
            <w:gridSpan w:val="3"/>
            <w:tcBorders>
              <w:top w:val="nil"/>
              <w:left w:val="nil"/>
              <w:bottom w:val="nil"/>
              <w:right w:val="nil"/>
            </w:tcBorders>
            <w:tcMar>
              <w:top w:w="288" w:type="dxa"/>
              <w:bottom w:w="0" w:type="dxa"/>
              <w:right w:w="0" w:type="dxa"/>
            </w:tcMar>
          </w:tcPr>
          <w:p w14:paraId="64247026" w14:textId="77777777" w:rsidR="007C0528" w:rsidRDefault="007C0528" w:rsidP="00506C03">
            <w:pPr>
              <w:pStyle w:val="MemoHeadingLabel"/>
            </w:pPr>
            <w:r>
              <w:t>PREHEARING OFFICER:</w:t>
            </w:r>
          </w:p>
        </w:tc>
        <w:tc>
          <w:tcPr>
            <w:tcW w:w="5785" w:type="dxa"/>
            <w:tcBorders>
              <w:top w:val="nil"/>
              <w:left w:val="nil"/>
              <w:bottom w:val="nil"/>
              <w:right w:val="nil"/>
            </w:tcBorders>
          </w:tcPr>
          <w:p w14:paraId="64EF5E69" w14:textId="77777777" w:rsidR="007C0528" w:rsidRDefault="00512776">
            <w:pPr>
              <w:pStyle w:val="MemoHeading"/>
            </w:pPr>
            <w:bookmarkStart w:id="7" w:name="PrehearingOfficer"/>
            <w:r>
              <w:t>Graham</w:t>
            </w:r>
            <w:bookmarkEnd w:id="7"/>
          </w:p>
        </w:tc>
      </w:tr>
      <w:tr w:rsidR="007C0528" w14:paraId="0B49BE9F" w14:textId="77777777" w:rsidTr="0093658B">
        <w:tc>
          <w:tcPr>
            <w:tcW w:w="3690" w:type="dxa"/>
            <w:gridSpan w:val="3"/>
            <w:tcBorders>
              <w:top w:val="nil"/>
              <w:left w:val="nil"/>
              <w:bottom w:val="nil"/>
              <w:right w:val="nil"/>
            </w:tcBorders>
            <w:tcMar>
              <w:top w:w="288" w:type="dxa"/>
              <w:bottom w:w="0" w:type="dxa"/>
              <w:right w:w="0" w:type="dxa"/>
            </w:tcMar>
          </w:tcPr>
          <w:p w14:paraId="4D6E1FB1"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tcPr>
          <w:p w14:paraId="14C2ABE9" w14:textId="77777777" w:rsidR="007C0528" w:rsidRDefault="00512776">
            <w:pPr>
              <w:pStyle w:val="MemoHeading"/>
            </w:pPr>
            <w:bookmarkStart w:id="9" w:name="CriticalDates"/>
            <w:r>
              <w:t>None</w:t>
            </w:r>
            <w:bookmarkEnd w:id="9"/>
          </w:p>
        </w:tc>
      </w:tr>
      <w:tr w:rsidR="007C0528" w14:paraId="40E16943" w14:textId="77777777" w:rsidTr="0093658B">
        <w:tc>
          <w:tcPr>
            <w:tcW w:w="3690" w:type="dxa"/>
            <w:gridSpan w:val="3"/>
            <w:tcBorders>
              <w:top w:val="nil"/>
              <w:left w:val="nil"/>
              <w:bottom w:val="single" w:sz="24" w:space="0" w:color="auto"/>
              <w:right w:val="nil"/>
            </w:tcBorders>
            <w:tcMar>
              <w:top w:w="288" w:type="dxa"/>
              <w:bottom w:w="216" w:type="dxa"/>
              <w:right w:w="0" w:type="dxa"/>
            </w:tcMar>
          </w:tcPr>
          <w:p w14:paraId="27229D5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tcMar>
              <w:bottom w:w="216" w:type="dxa"/>
            </w:tcMar>
          </w:tcPr>
          <w:p w14:paraId="75FB3306" w14:textId="77777777" w:rsidR="007C0528" w:rsidRDefault="00512776">
            <w:pPr>
              <w:pStyle w:val="MemoHeading"/>
            </w:pPr>
            <w:bookmarkStart w:id="10" w:name="SpecialInstructions"/>
            <w:r>
              <w:t>None</w:t>
            </w:r>
            <w:bookmarkEnd w:id="10"/>
          </w:p>
        </w:tc>
      </w:tr>
    </w:tbl>
    <w:p w14:paraId="22900163" w14:textId="77777777" w:rsidR="007C0528" w:rsidRDefault="007C0528">
      <w:pPr>
        <w:pStyle w:val="BodyText"/>
      </w:pPr>
    </w:p>
    <w:p w14:paraId="099208D6"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997D443" w14:textId="77777777" w:rsidR="00432E21" w:rsidRDefault="00512776" w:rsidP="00512776">
      <w:pPr>
        <w:pStyle w:val="BodyText"/>
      </w:pPr>
      <w:r>
        <w:t xml:space="preserve">NC Real Estate Projects LLC d/b/a Grenelefe Utility (Grenelefe or </w:t>
      </w:r>
      <w:r w:rsidR="00024D4D">
        <w:t>u</w:t>
      </w:r>
      <w:r>
        <w:t xml:space="preserve">tility) is a Class B water and wastewater utility operating in Polk County. Grenelefe provides service to approximately </w:t>
      </w:r>
      <w:r w:rsidR="00DC71BE">
        <w:t>1,200 water and wastewater</w:t>
      </w:r>
      <w:r>
        <w:t xml:space="preserve"> customers. The utility’s service territory is located within the Southwest Florida Water Management District (SWFWMD). Grenelefe reported, in its 2024 Annual Report, net operating losses of $197,676 for water, and $397,410 for wastewater.</w:t>
      </w:r>
    </w:p>
    <w:p w14:paraId="6C12C469" w14:textId="6D3B5E26" w:rsidR="00512776" w:rsidRDefault="00505E46" w:rsidP="00512776">
      <w:pPr>
        <w:pStyle w:val="BodyText"/>
      </w:pPr>
      <w:r w:rsidRPr="00505E46">
        <w:t>Certificate Nos. 589-W (water) and 507-S (wastewater) were transferred to the uti</w:t>
      </w:r>
      <w:r>
        <w:t>lity in Docket No. 20220142-WS.</w:t>
      </w:r>
      <w:r>
        <w:rPr>
          <w:rStyle w:val="FootnoteReference"/>
        </w:rPr>
        <w:footnoteReference w:id="1"/>
      </w:r>
      <w:r w:rsidR="00B716C6">
        <w:t xml:space="preserve"> </w:t>
      </w:r>
      <w:r w:rsidR="00512776">
        <w:t xml:space="preserve">Subsequently, on September 17, 2024, Grenelefe filed an application with the </w:t>
      </w:r>
      <w:r w:rsidR="00512776">
        <w:lastRenderedPageBreak/>
        <w:t>Commission for an amendment of its water and wastewater service territories. The Commission approved Grenelefe’s certificate amendments on February 4, 2025, which included the addition of a new development of approximately 1,080 customers.</w:t>
      </w:r>
      <w:r w:rsidR="00FF3898">
        <w:t xml:space="preserve"> </w:t>
      </w:r>
      <w:r w:rsidR="00F16342">
        <w:t>Grenelefe’s</w:t>
      </w:r>
      <w:r w:rsidR="00512776">
        <w:t xml:space="preserve"> rates were last established during a staff-assisted rate case (SARC) in 2011.</w:t>
      </w:r>
      <w:r w:rsidR="004C1A3E">
        <w:rPr>
          <w:rStyle w:val="FootnoteReference"/>
        </w:rPr>
        <w:footnoteReference w:id="2"/>
      </w:r>
      <w:r w:rsidR="00512776">
        <w:t xml:space="preserve"> </w:t>
      </w:r>
    </w:p>
    <w:p w14:paraId="6B611C62" w14:textId="2AD3E4A6" w:rsidR="00697E3B" w:rsidRDefault="00512776" w:rsidP="00512776">
      <w:pPr>
        <w:pStyle w:val="BodyText"/>
      </w:pPr>
      <w:r>
        <w:t>On January 10, 2025, Grenelefe filed an application for a SARC</w:t>
      </w:r>
      <w:r w:rsidR="004C1A3E">
        <w:t>, with the</w:t>
      </w:r>
      <w:r>
        <w:t xml:space="preserve"> official filing date of this SARC established as February 4, 2025. The 12-month period end</w:t>
      </w:r>
      <w:r w:rsidR="00024D4D">
        <w:t>ed O</w:t>
      </w:r>
      <w:r>
        <w:t>ctober 31, 2024, was selected as the test year</w:t>
      </w:r>
      <w:r w:rsidR="00B716C6">
        <w:t xml:space="preserve">. </w:t>
      </w:r>
      <w:r w:rsidR="00024D4D">
        <w:t xml:space="preserve">In its application, the utility requested </w:t>
      </w:r>
      <w:r w:rsidR="00697E3B">
        <w:t>interim</w:t>
      </w:r>
      <w:r w:rsidR="00024D4D">
        <w:t xml:space="preserve"> service availability charges</w:t>
      </w:r>
      <w:r w:rsidR="00432E21">
        <w:t xml:space="preserve">. </w:t>
      </w:r>
      <w:r w:rsidR="00024D4D">
        <w:t>However, Grenelefe did not provide any proposed charges with its filing and withdrew its initial request for interim service availability charges</w:t>
      </w:r>
      <w:r w:rsidR="00B716C6">
        <w:t>.</w:t>
      </w:r>
      <w:r w:rsidR="00EF6D2E" w:rsidRPr="00EF6D2E">
        <w:rPr>
          <w:vertAlign w:val="superscript"/>
        </w:rPr>
        <w:footnoteReference w:id="3"/>
      </w:r>
      <w:r w:rsidR="00B716C6">
        <w:t xml:space="preserve"> </w:t>
      </w:r>
      <w:r w:rsidR="00697E3B">
        <w:t>Service availability charges are one-time cash contributions new customers or develop</w:t>
      </w:r>
      <w:r w:rsidR="004C1A3E">
        <w:t>er</w:t>
      </w:r>
      <w:r w:rsidR="00697E3B">
        <w:t>s make to a utility prior to connection</w:t>
      </w:r>
      <w:r w:rsidR="004C1A3E">
        <w:t xml:space="preserve"> with</w:t>
      </w:r>
      <w:r w:rsidR="00697E3B">
        <w:t xml:space="preserve"> the utility’s water or wastewater facilities. The charges are recorded as </w:t>
      </w:r>
      <w:r w:rsidR="004C1A3E">
        <w:t xml:space="preserve">a </w:t>
      </w:r>
      <w:r w:rsidR="00697E3B">
        <w:t>contribution</w:t>
      </w:r>
      <w:r w:rsidR="004C1A3E">
        <w:t>-</w:t>
      </w:r>
      <w:r w:rsidR="00697E3B">
        <w:t>in</w:t>
      </w:r>
      <w:r w:rsidR="004C1A3E">
        <w:t>-</w:t>
      </w:r>
      <w:r w:rsidR="00697E3B">
        <w:t>aid</w:t>
      </w:r>
      <w:r w:rsidR="004C1A3E">
        <w:t>-</w:t>
      </w:r>
      <w:r w:rsidR="00697E3B">
        <w:t>of</w:t>
      </w:r>
      <w:r w:rsidR="004C1A3E">
        <w:t>-</w:t>
      </w:r>
      <w:r w:rsidR="00697E3B">
        <w:t xml:space="preserve">construction (CIAC) and </w:t>
      </w:r>
      <w:r w:rsidR="004C1A3E">
        <w:t>are treated as</w:t>
      </w:r>
      <w:r w:rsidR="00462ED3">
        <w:t xml:space="preserve"> an offset to rate base</w:t>
      </w:r>
      <w:r w:rsidR="004C1A3E">
        <w:t>,</w:t>
      </w:r>
      <w:r w:rsidR="00462ED3">
        <w:t xml:space="preserve"> which </w:t>
      </w:r>
      <w:r w:rsidR="00697E3B">
        <w:t>allows the utility to recover a po</w:t>
      </w:r>
      <w:r w:rsidR="002923B4">
        <w:t xml:space="preserve">rtion of its investments, </w:t>
      </w:r>
      <w:r w:rsidR="004C1A3E">
        <w:t>thereby</w:t>
      </w:r>
      <w:r w:rsidR="007C0FC1">
        <w:t xml:space="preserve"> </w:t>
      </w:r>
      <w:r w:rsidR="00697E3B">
        <w:t xml:space="preserve">reducing rates </w:t>
      </w:r>
      <w:r w:rsidR="00276934">
        <w:t>over time.</w:t>
      </w:r>
    </w:p>
    <w:p w14:paraId="71708995" w14:textId="28FDCA0A" w:rsidR="009C18AE" w:rsidRDefault="00024D4D" w:rsidP="00512776">
      <w:pPr>
        <w:pStyle w:val="BodyText"/>
      </w:pPr>
      <w:r>
        <w:t xml:space="preserve">On March 10, 2025, the utility filed </w:t>
      </w:r>
      <w:r w:rsidR="007B047E">
        <w:t>proposed service availability charges from estimates</w:t>
      </w:r>
      <w:r w:rsidR="00BF60CF">
        <w:t xml:space="preserve"> of its pro forma plant additions</w:t>
      </w:r>
      <w:r w:rsidR="007B047E">
        <w:t xml:space="preserve"> </w:t>
      </w:r>
      <w:r w:rsidR="007C0FC1">
        <w:t>it</w:t>
      </w:r>
      <w:r w:rsidR="007B047E">
        <w:t xml:space="preserve"> had received in December of 2024</w:t>
      </w:r>
      <w:r w:rsidR="00B716C6">
        <w:t>.</w:t>
      </w:r>
      <w:r w:rsidR="00EF6D2E">
        <w:rPr>
          <w:rStyle w:val="FootnoteReference"/>
        </w:rPr>
        <w:footnoteReference w:id="4"/>
      </w:r>
      <w:r w:rsidR="00B716C6">
        <w:t xml:space="preserve"> </w:t>
      </w:r>
      <w:r w:rsidR="007B047E">
        <w:t>Subsequently, on April 25, 2025, Grenelefe update</w:t>
      </w:r>
      <w:r w:rsidR="001C3FEC">
        <w:t>d</w:t>
      </w:r>
      <w:r w:rsidR="007B047E">
        <w:t xml:space="preserve"> its requested charges to reflect actual bid proposal</w:t>
      </w:r>
      <w:r w:rsidR="00505E46">
        <w:t>s</w:t>
      </w:r>
      <w:r w:rsidR="007B047E">
        <w:t xml:space="preserve"> for </w:t>
      </w:r>
      <w:r w:rsidR="009C18AE">
        <w:t xml:space="preserve">the pro </w:t>
      </w:r>
      <w:r w:rsidR="007B047E">
        <w:t xml:space="preserve">forma </w:t>
      </w:r>
      <w:r w:rsidR="00505E46">
        <w:t>plant additions</w:t>
      </w:r>
      <w:r w:rsidR="007B047E">
        <w:t>.</w:t>
      </w:r>
      <w:r w:rsidR="00EF6D2E">
        <w:rPr>
          <w:rStyle w:val="FootnoteReference"/>
        </w:rPr>
        <w:footnoteReference w:id="5"/>
      </w:r>
      <w:r w:rsidR="009C18AE">
        <w:t xml:space="preserve"> Grenelefe expressed that time is of the essence with getting the service availability charges</w:t>
      </w:r>
      <w:r w:rsidR="00BF60CF">
        <w:t xml:space="preserve"> approved</w:t>
      </w:r>
      <w:r w:rsidR="00B716C6">
        <w:t xml:space="preserve">. </w:t>
      </w:r>
      <w:r w:rsidR="009C18AE">
        <w:t xml:space="preserve">The utility indicated that it is unable to obtain financing for the </w:t>
      </w:r>
      <w:r w:rsidR="00507A0F">
        <w:t>pro forma plant additions</w:t>
      </w:r>
      <w:r w:rsidR="009C18AE">
        <w:t xml:space="preserve"> without service availability charges</w:t>
      </w:r>
      <w:r w:rsidR="003331B1">
        <w:t xml:space="preserve"> in place</w:t>
      </w:r>
      <w:r w:rsidR="009C18AE">
        <w:t>.</w:t>
      </w:r>
    </w:p>
    <w:p w14:paraId="5CD2AF24" w14:textId="71222B0E" w:rsidR="00F544E1" w:rsidRDefault="00CE624A" w:rsidP="00512776">
      <w:pPr>
        <w:pStyle w:val="BodyText"/>
      </w:pPr>
      <w:r w:rsidRPr="00EF6D2E">
        <w:t>During the process of reviewing the service availability charges, staff</w:t>
      </w:r>
      <w:r w:rsidR="00126C32">
        <w:t xml:space="preserve"> and the utility engaged in d</w:t>
      </w:r>
      <w:r w:rsidRPr="00EF6D2E">
        <w:t>iscussion</w:t>
      </w:r>
      <w:r w:rsidR="00126C32">
        <w:t>s</w:t>
      </w:r>
      <w:r w:rsidRPr="00EF6D2E">
        <w:t xml:space="preserve"> </w:t>
      </w:r>
      <w:r w:rsidR="00126C32">
        <w:t xml:space="preserve">about the methodology </w:t>
      </w:r>
      <w:r w:rsidRPr="00EF6D2E">
        <w:t>in which service availability charges are calculated</w:t>
      </w:r>
      <w:r w:rsidR="00126C32">
        <w:t xml:space="preserve"> pursuant to Rule 25-30.580, </w:t>
      </w:r>
      <w:r w:rsidR="00667457">
        <w:t>Florida Administrative Code (</w:t>
      </w:r>
      <w:r w:rsidR="00126C32">
        <w:t>F.A.C.</w:t>
      </w:r>
      <w:r w:rsidR="00667457">
        <w:t>).</w:t>
      </w:r>
      <w:r w:rsidR="00432E21">
        <w:t xml:space="preserve"> </w:t>
      </w:r>
      <w:r w:rsidRPr="00EF6D2E">
        <w:t xml:space="preserve">Staff </w:t>
      </w:r>
      <w:r w:rsidR="00126C32">
        <w:t>explained to the utility that</w:t>
      </w:r>
      <w:r w:rsidRPr="00EF6D2E">
        <w:t xml:space="preserve"> </w:t>
      </w:r>
      <w:r w:rsidR="00F544E1" w:rsidRPr="00EF6D2E">
        <w:t>in making the determination of the appropriate service availability charges</w:t>
      </w:r>
      <w:r w:rsidR="00F544E1">
        <w:t xml:space="preserve">, </w:t>
      </w:r>
      <w:r w:rsidRPr="00EF6D2E">
        <w:t>it is Commission practice</w:t>
      </w:r>
      <w:r w:rsidR="00667457">
        <w:t>, pursuant to Rule 25-30.580, F.A.C.,</w:t>
      </w:r>
      <w:r w:rsidRPr="00EF6D2E">
        <w:t xml:space="preserve"> to use the total capacity</w:t>
      </w:r>
      <w:r w:rsidR="00EF626B" w:rsidRPr="00EF6D2E">
        <w:t xml:space="preserve"> in equivalent residential connections (ERCs) for</w:t>
      </w:r>
      <w:r w:rsidRPr="00EF6D2E">
        <w:t xml:space="preserve"> the treatment plant, transmission and distribution lines, and collection lines</w:t>
      </w:r>
      <w:r w:rsidR="00EF626B" w:rsidRPr="00EF6D2E">
        <w:t>.</w:t>
      </w:r>
      <w:r w:rsidR="00274242" w:rsidRPr="00EF6D2E">
        <w:t xml:space="preserve"> </w:t>
      </w:r>
      <w:r w:rsidR="00126C32" w:rsidRPr="00126C32">
        <w:t xml:space="preserve">The utility disputes staff’s methododly and interpretation of </w:t>
      </w:r>
      <w:r w:rsidR="00126C32">
        <w:t>Rule 25-30.580, F.A.C.,</w:t>
      </w:r>
      <w:r w:rsidR="00126C32" w:rsidRPr="00126C32">
        <w:t xml:space="preserve"> and asserts the charges should be based on the remaining (future) ERCs in determining the appropriate charge.</w:t>
      </w:r>
      <w:r w:rsidR="004E2530">
        <w:rPr>
          <w:rStyle w:val="FootnoteReference"/>
        </w:rPr>
        <w:footnoteReference w:id="6"/>
      </w:r>
      <w:r w:rsidR="00126C32" w:rsidRPr="00126C32">
        <w:t xml:space="preserve">  While Grenelefe expressed that staff’s position would place the burden on both existing and new customers through higher rates, staff believes that the costs cannot be recovered by the homebuilders pursuant </w:t>
      </w:r>
      <w:r w:rsidR="00667457">
        <w:t>to</w:t>
      </w:r>
      <w:r w:rsidR="00126C32" w:rsidRPr="00126C32">
        <w:t xml:space="preserve"> the Rule and Commission practice.</w:t>
      </w:r>
      <w:r w:rsidR="00D756D5">
        <w:t xml:space="preserve"> </w:t>
      </w:r>
    </w:p>
    <w:p w14:paraId="7FD41D8B" w14:textId="2267E667" w:rsidR="0068481F" w:rsidRDefault="007B047E" w:rsidP="00512776">
      <w:pPr>
        <w:pStyle w:val="BodyText"/>
      </w:pPr>
      <w:r>
        <w:t>This recommendation address</w:t>
      </w:r>
      <w:r w:rsidR="00F36BFF">
        <w:t>es</w:t>
      </w:r>
      <w:r>
        <w:t xml:space="preserve"> the utility’s request for</w:t>
      </w:r>
      <w:r w:rsidR="00046372">
        <w:t xml:space="preserve"> </w:t>
      </w:r>
      <w:r w:rsidR="00BF60CF">
        <w:t xml:space="preserve">interim </w:t>
      </w:r>
      <w:r>
        <w:t>service availability charges. T</w:t>
      </w:r>
      <w:r w:rsidR="00512776">
        <w:t>he Commission has jurisdiction in this case pursuant to Sections 367.011, 367.</w:t>
      </w:r>
      <w:r w:rsidR="00953D72">
        <w:t>101</w:t>
      </w:r>
      <w:r w:rsidR="00512776">
        <w:t>, 367.091, and 367.121, Florida Statu</w:t>
      </w:r>
      <w:r w:rsidR="00953D72">
        <w:t>t</w:t>
      </w:r>
      <w:r w:rsidR="00512776">
        <w:t>es (F.S.)</w:t>
      </w:r>
    </w:p>
    <w:bookmarkEnd w:id="12"/>
    <w:p w14:paraId="12EC4FA9" w14:textId="77777777"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14:paraId="0EB8C5F0" w14:textId="77777777" w:rsidR="007C0528" w:rsidRDefault="007C0528">
      <w:pPr>
        <w:pStyle w:val="RecommendationMajorSectionHeading"/>
      </w:pPr>
      <w:bookmarkStart w:id="16" w:name="DiscussionOfIssues"/>
      <w:r>
        <w:lastRenderedPageBreak/>
        <w:t>Discussion of Issues</w:t>
      </w:r>
    </w:p>
    <w:bookmarkEnd w:id="16"/>
    <w:p w14:paraId="508EEFDE" w14:textId="1C21AF7E" w:rsidR="006F798F" w:rsidRDefault="006F798F">
      <w:pPr>
        <w:rPr>
          <w:rFonts w:ascii="Arial" w:hAnsi="Arial" w:cs="Arial"/>
          <w:b/>
          <w:bCs/>
          <w:i/>
          <w:kern w:val="32"/>
          <w:szCs w:val="32"/>
        </w:rPr>
      </w:pPr>
    </w:p>
    <w:p w14:paraId="618E3CDC" w14:textId="21DB63DB" w:rsidR="00953D72" w:rsidRDefault="00953D72">
      <w:pPr>
        <w:pStyle w:val="IssueHeading"/>
        <w:rPr>
          <w:vanish/>
          <w:specVanish/>
        </w:rPr>
      </w:pPr>
      <w:r w:rsidRPr="004C3641">
        <w:t xml:space="preserve">Issue </w:t>
      </w:r>
      <w:r w:rsidR="007E4ED3">
        <w:fldChar w:fldCharType="begin"/>
      </w:r>
      <w:r w:rsidR="007E4ED3">
        <w:instrText xml:space="preserve"> SEQ Issue \* MERGEFORMAT </w:instrText>
      </w:r>
      <w:r w:rsidR="007E4ED3">
        <w:fldChar w:fldCharType="separate"/>
      </w:r>
      <w:r w:rsidR="003F432D">
        <w:rPr>
          <w:noProof/>
        </w:rPr>
        <w:t>1</w:t>
      </w:r>
      <w:r w:rsidR="007E4E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F432D">
        <w:rPr>
          <w:noProof/>
        </w:rPr>
        <w:instrText>1</w:instrText>
      </w:r>
      <w:r>
        <w:fldChar w:fldCharType="end"/>
      </w:r>
      <w:r>
        <w:tab/>
        <w:instrText xml:space="preserve">(Hudson)" \l 1 </w:instrText>
      </w:r>
      <w:r>
        <w:fldChar w:fldCharType="end"/>
      </w:r>
      <w:r>
        <w:t> </w:t>
      </w:r>
    </w:p>
    <w:p w14:paraId="28C1B85D" w14:textId="6EFAF8A9" w:rsidR="00953D72" w:rsidRDefault="00953D72">
      <w:pPr>
        <w:pStyle w:val="BodyText"/>
      </w:pPr>
      <w:r>
        <w:t xml:space="preserve"> Should Grenelefe's requested </w:t>
      </w:r>
      <w:r w:rsidR="005234F9" w:rsidRPr="00F544E1">
        <w:t>interim</w:t>
      </w:r>
      <w:r w:rsidR="005234F9">
        <w:t xml:space="preserve"> </w:t>
      </w:r>
      <w:r>
        <w:t>service availability charges be approved?</w:t>
      </w:r>
    </w:p>
    <w:p w14:paraId="2ACA859A" w14:textId="77777777" w:rsidR="00953D72" w:rsidRPr="004C3641" w:rsidRDefault="00953D72">
      <w:pPr>
        <w:pStyle w:val="IssueSubsectionHeading"/>
        <w:rPr>
          <w:vanish/>
          <w:specVanish/>
        </w:rPr>
      </w:pPr>
      <w:r w:rsidRPr="004C3641">
        <w:t>Recommendation: </w:t>
      </w:r>
    </w:p>
    <w:p w14:paraId="3674392A" w14:textId="33B39A75" w:rsidR="00953D72" w:rsidRDefault="006B3F8C" w:rsidP="006B3F8C">
      <w:pPr>
        <w:pStyle w:val="BodyText"/>
      </w:pPr>
      <w:r>
        <w:t xml:space="preserve">The </w:t>
      </w:r>
      <w:r w:rsidR="005234F9">
        <w:t xml:space="preserve">interim </w:t>
      </w:r>
      <w:r>
        <w:t>service availability charges requested by Grenelefe should not be approved.</w:t>
      </w:r>
      <w:r w:rsidR="003331B1">
        <w:t xml:space="preserve"> </w:t>
      </w:r>
      <w:r w:rsidR="00424708">
        <w:t xml:space="preserve">Staff recommends </w:t>
      </w:r>
      <w:r w:rsidR="005234F9" w:rsidRPr="00F544E1">
        <w:t>interim</w:t>
      </w:r>
      <w:r w:rsidR="00424708">
        <w:t xml:space="preserve"> </w:t>
      </w:r>
      <w:r>
        <w:t xml:space="preserve">service availability charges should be </w:t>
      </w:r>
      <w:r w:rsidR="00507A0F">
        <w:t xml:space="preserve">set as </w:t>
      </w:r>
      <w:r>
        <w:t>a plant capacity charge of $</w:t>
      </w:r>
      <w:r w:rsidR="005234F9">
        <w:t>32</w:t>
      </w:r>
      <w:r w:rsidR="004E2530">
        <w:t>0</w:t>
      </w:r>
      <w:r>
        <w:t xml:space="preserve"> for water and $</w:t>
      </w:r>
      <w:r w:rsidR="00541341">
        <w:t>4,</w:t>
      </w:r>
      <w:r w:rsidR="00BF60CF">
        <w:t>942</w:t>
      </w:r>
      <w:r>
        <w:t xml:space="preserve"> for wastewater. </w:t>
      </w:r>
      <w:r w:rsidR="005E503F" w:rsidRPr="001B5C10">
        <w:t xml:space="preserve">The utility should </w:t>
      </w:r>
      <w:r w:rsidR="001B5C10" w:rsidRPr="001B5C10">
        <w:t xml:space="preserve">file a </w:t>
      </w:r>
      <w:r w:rsidR="005E503F" w:rsidRPr="001B5C10">
        <w:t xml:space="preserve">revised tariff sheet </w:t>
      </w:r>
      <w:r w:rsidR="001B5C10" w:rsidRPr="001B5C10">
        <w:t>to reflect the</w:t>
      </w:r>
      <w:r w:rsidR="005E503F" w:rsidRPr="001B5C10">
        <w:t xml:space="preserve"> Commission-approved charges</w:t>
      </w:r>
      <w:r w:rsidR="001B5C10" w:rsidRPr="001B5C10">
        <w:t xml:space="preserve">. </w:t>
      </w:r>
      <w:r w:rsidRPr="001B5C10">
        <w:t>The approved charge</w:t>
      </w:r>
      <w:r w:rsidR="001C3FEC" w:rsidRPr="001B5C10">
        <w:t>s</w:t>
      </w:r>
      <w:r w:rsidRPr="001B5C10">
        <w:t xml:space="preserve"> shall be effective for connections made on or after the stamped approval dat</w:t>
      </w:r>
      <w:r>
        <w:t xml:space="preserve">e on the tariff sheet. </w:t>
      </w:r>
      <w:r w:rsidR="001B5C10" w:rsidRPr="00EC72D5">
        <w:rPr>
          <w:color w:val="000000"/>
        </w:rPr>
        <w:t xml:space="preserve">In addition, the approved </w:t>
      </w:r>
      <w:r w:rsidR="001B5C10">
        <w:rPr>
          <w:color w:val="000000"/>
        </w:rPr>
        <w:t>charges</w:t>
      </w:r>
      <w:r w:rsidR="001B5C10" w:rsidRPr="00EC72D5">
        <w:rPr>
          <w:color w:val="000000"/>
        </w:rPr>
        <w:t xml:space="preserve"> should not be implemented until staff has approved the proposed customer notice</w:t>
      </w:r>
      <w:r w:rsidR="001B5C10">
        <w:t xml:space="preserve"> and the notice has been received by property owners who requested service beginning 12 months prior to the establishment of this docket. </w:t>
      </w:r>
      <w:r>
        <w:t>The utility shall provide proof of noticing within 10 days of rendering the approved notice</w:t>
      </w:r>
      <w:r w:rsidR="00B716C6">
        <w:t xml:space="preserve">. </w:t>
      </w:r>
      <w:r w:rsidR="00AF2B13">
        <w:t>The approved plant capacity charges should not be implemented until the required security has been established and shall be held subject to refund, pending the Commission’s decision regarding the appropriate pro forma plant additions.</w:t>
      </w:r>
      <w:r w:rsidR="00FF3898">
        <w:t xml:space="preserve"> </w:t>
      </w:r>
      <w:r w:rsidR="00953D72">
        <w:t>(Hudson)</w:t>
      </w:r>
    </w:p>
    <w:p w14:paraId="23C1E065" w14:textId="77777777" w:rsidR="00953D72" w:rsidRPr="004C3641" w:rsidRDefault="00953D72">
      <w:pPr>
        <w:pStyle w:val="IssueSubsectionHeading"/>
        <w:rPr>
          <w:vanish/>
          <w:specVanish/>
        </w:rPr>
      </w:pPr>
      <w:r w:rsidRPr="004C3641">
        <w:t>Staff Analysis: </w:t>
      </w:r>
    </w:p>
    <w:p w14:paraId="61533AC7" w14:textId="304C093A" w:rsidR="00046372" w:rsidRDefault="00953D72">
      <w:pPr>
        <w:pStyle w:val="BodyText"/>
      </w:pPr>
      <w:r>
        <w:t> </w:t>
      </w:r>
      <w:r w:rsidR="002D452B">
        <w:t>Grenelefe</w:t>
      </w:r>
      <w:r w:rsidR="00046372">
        <w:t xml:space="preserve"> </w:t>
      </w:r>
      <w:r w:rsidR="00F544E1">
        <w:t xml:space="preserve">seeks </w:t>
      </w:r>
      <w:r w:rsidR="005234F9" w:rsidRPr="00F544E1">
        <w:t>interim</w:t>
      </w:r>
      <w:r w:rsidR="00046372">
        <w:t xml:space="preserve"> </w:t>
      </w:r>
      <w:r w:rsidR="002D452B">
        <w:t>service availability charges pending the completion of its SARC.</w:t>
      </w:r>
      <w:r w:rsidR="00625D99">
        <w:t xml:space="preserve"> </w:t>
      </w:r>
      <w:r w:rsidR="00801759">
        <w:t xml:space="preserve">Historically, </w:t>
      </w:r>
      <w:r w:rsidR="00032758">
        <w:t xml:space="preserve">the </w:t>
      </w:r>
      <w:r w:rsidR="00505E46">
        <w:t xml:space="preserve">utility’s </w:t>
      </w:r>
      <w:r w:rsidR="00032758">
        <w:t xml:space="preserve">water service availability charges consisted of a meter installation charge of $65 and a service line extension and tap-in charge at </w:t>
      </w:r>
      <w:r w:rsidR="00424708">
        <w:t>actual cost</w:t>
      </w:r>
      <w:r w:rsidR="00801759">
        <w:t>.</w:t>
      </w:r>
      <w:r w:rsidR="003331B1">
        <w:t xml:space="preserve"> </w:t>
      </w:r>
      <w:r w:rsidR="001C3FEC">
        <w:t>A</w:t>
      </w:r>
      <w:r w:rsidR="00801759">
        <w:t xml:space="preserve">s part of a certificate transfer docket, Grenelefe was approved for </w:t>
      </w:r>
      <w:r w:rsidR="00625D99">
        <w:t xml:space="preserve">an increase in its </w:t>
      </w:r>
      <w:r w:rsidR="00801759">
        <w:t>meter installation charge</w:t>
      </w:r>
      <w:r w:rsidR="00424708">
        <w:t xml:space="preserve"> to $600</w:t>
      </w:r>
      <w:r w:rsidR="00801759">
        <w:t>.</w:t>
      </w:r>
      <w:r w:rsidR="001C3FEC">
        <w:rPr>
          <w:rStyle w:val="FootnoteReference"/>
        </w:rPr>
        <w:footnoteReference w:id="7"/>
      </w:r>
      <w:r w:rsidR="00625D99">
        <w:t xml:space="preserve"> </w:t>
      </w:r>
      <w:r w:rsidR="00424708">
        <w:t xml:space="preserve">There have been no approved service availability charges for the wastewater system. </w:t>
      </w:r>
    </w:p>
    <w:p w14:paraId="0A02F4C7" w14:textId="53BDE617" w:rsidR="00F816F8" w:rsidRDefault="002D452B">
      <w:pPr>
        <w:pStyle w:val="BodyText"/>
      </w:pPr>
      <w:r>
        <w:t xml:space="preserve">In the pending </w:t>
      </w:r>
      <w:r w:rsidR="00024D4D">
        <w:t xml:space="preserve">SARC, the utility provided cost estimates for several pro forma plant additions for both </w:t>
      </w:r>
      <w:r w:rsidR="00507A0F">
        <w:t xml:space="preserve">the </w:t>
      </w:r>
      <w:r w:rsidR="00024D4D">
        <w:t>water and wastewater</w:t>
      </w:r>
      <w:r w:rsidR="003E6C58">
        <w:t xml:space="preserve"> systems</w:t>
      </w:r>
      <w:r w:rsidR="00024D4D">
        <w:t xml:space="preserve">. </w:t>
      </w:r>
      <w:r w:rsidR="003E6C58">
        <w:t xml:space="preserve">The requested pro forma </w:t>
      </w:r>
      <w:r w:rsidR="00032758">
        <w:t>additions</w:t>
      </w:r>
      <w:r w:rsidR="003E6C58">
        <w:t xml:space="preserve"> are being reviewed </w:t>
      </w:r>
      <w:r w:rsidR="00507A0F">
        <w:t xml:space="preserve">for inclusion in </w:t>
      </w:r>
      <w:r w:rsidR="003E6C58">
        <w:t xml:space="preserve">the final recommendation in the SARC. </w:t>
      </w:r>
      <w:r w:rsidR="00BB1F71">
        <w:t>Therefore, the</w:t>
      </w:r>
      <w:r w:rsidR="00507A0F">
        <w:t xml:space="preserve"> service availability</w:t>
      </w:r>
      <w:r w:rsidR="00BB1F71">
        <w:t xml:space="preserve"> charges are subject to change. </w:t>
      </w:r>
      <w:r w:rsidR="001F1D48">
        <w:t xml:space="preserve">For </w:t>
      </w:r>
      <w:r w:rsidR="00F544E1">
        <w:t xml:space="preserve">the </w:t>
      </w:r>
      <w:r w:rsidR="001F1D48">
        <w:t>water</w:t>
      </w:r>
      <w:r w:rsidR="00F544E1">
        <w:t xml:space="preserve"> system</w:t>
      </w:r>
      <w:r w:rsidR="001F1D48">
        <w:t xml:space="preserve">, the utility </w:t>
      </w:r>
      <w:r w:rsidR="00046372">
        <w:t>proposed</w:t>
      </w:r>
      <w:r w:rsidR="001F1D48">
        <w:t xml:space="preserve"> </w:t>
      </w:r>
      <w:r w:rsidR="001C3FEC">
        <w:t xml:space="preserve">to </w:t>
      </w:r>
      <w:r w:rsidR="001F1D48">
        <w:t>replac</w:t>
      </w:r>
      <w:r w:rsidR="00A47160">
        <w:t xml:space="preserve">e meters, fire hydrants, </w:t>
      </w:r>
      <w:r w:rsidR="003624E3">
        <w:t xml:space="preserve">valves, </w:t>
      </w:r>
      <w:r w:rsidR="00A47160">
        <w:t xml:space="preserve">and the hydropneumatic tank; refurbish potable wells; </w:t>
      </w:r>
      <w:r w:rsidR="003624E3">
        <w:t xml:space="preserve">and </w:t>
      </w:r>
      <w:r w:rsidR="00A47160">
        <w:t>convert irrigation non-potable wells to potable wells</w:t>
      </w:r>
      <w:r w:rsidR="003624E3">
        <w:t>. For the wastewater system, Gr</w:t>
      </w:r>
      <w:r w:rsidR="00625D99">
        <w:t>enelefe</w:t>
      </w:r>
      <w:r w:rsidR="00046372">
        <w:t xml:space="preserve"> </w:t>
      </w:r>
      <w:r w:rsidR="003624E3">
        <w:t>propo</w:t>
      </w:r>
      <w:r w:rsidR="00046372">
        <w:t xml:space="preserve">sed </w:t>
      </w:r>
      <w:r w:rsidR="003624E3">
        <w:t>modifications to the treatment plant and refurbish lift stations</w:t>
      </w:r>
      <w:r w:rsidR="00F816F8">
        <w:t>.</w:t>
      </w:r>
      <w:r w:rsidR="003624E3">
        <w:t xml:space="preserve"> </w:t>
      </w:r>
      <w:r w:rsidR="00F816F8">
        <w:t xml:space="preserve">Based on the requested pro forma </w:t>
      </w:r>
      <w:r w:rsidR="00B04820">
        <w:t>plant additions</w:t>
      </w:r>
      <w:r w:rsidR="00F816F8">
        <w:t xml:space="preserve">, the utility proposed </w:t>
      </w:r>
      <w:r w:rsidR="00625D99">
        <w:t>a service availability charge of $2,402 for water and $7,434 for wastewater.</w:t>
      </w:r>
      <w:r w:rsidR="00BF60CF">
        <w:t xml:space="preserve"> </w:t>
      </w:r>
      <w:r w:rsidR="00BF60CF" w:rsidRPr="00361561">
        <w:t xml:space="preserve">For both water and wastewater, </w:t>
      </w:r>
      <w:r w:rsidR="00BF60CF">
        <w:t>Grenelefe’s</w:t>
      </w:r>
      <w:r w:rsidR="00BF60CF" w:rsidRPr="00361561">
        <w:t xml:space="preserve"> proposed charges contemplate the ERCs for recently approved </w:t>
      </w:r>
      <w:r w:rsidR="00BF60CF">
        <w:t xml:space="preserve">housing </w:t>
      </w:r>
      <w:r w:rsidR="00BF60CF" w:rsidRPr="00361561">
        <w:t>de</w:t>
      </w:r>
      <w:r w:rsidR="00BF60CF">
        <w:t>velopments in its territory, whereas staff, as required by Rule 25-30.580, F.A.C., relied on</w:t>
      </w:r>
      <w:r w:rsidR="00BF60CF" w:rsidRPr="00361561">
        <w:t xml:space="preserve"> the design capacity of the facilitie</w:t>
      </w:r>
      <w:r w:rsidR="00BF60CF">
        <w:t>s.</w:t>
      </w:r>
    </w:p>
    <w:p w14:paraId="397DF093" w14:textId="4C29EAC5" w:rsidR="00361561" w:rsidRDefault="00C74AF5">
      <w:pPr>
        <w:pStyle w:val="BodyText"/>
      </w:pPr>
      <w:r w:rsidRPr="001E1B45">
        <w:t xml:space="preserve">Rule 25-30.580, F.A.C., establishes guidelines for designing service availability charges. Pursuant to the </w:t>
      </w:r>
      <w:r w:rsidR="00505E46">
        <w:t>R</w:t>
      </w:r>
      <w:r w:rsidRPr="001E1B45">
        <w:t xml:space="preserve">ule, the maximum amount of </w:t>
      </w:r>
      <w:r>
        <w:t>CIAC</w:t>
      </w:r>
      <w:r w:rsidRPr="001E1B45">
        <w:t xml:space="preserve">, net of amortization, should not exceed 75 percent of the total original cost, net of accumulated depreciation, of the </w:t>
      </w:r>
      <w:r>
        <w:t>u</w:t>
      </w:r>
      <w:r w:rsidRPr="001E1B45">
        <w:t>tility’s facilities and plant when the facilities and plant are at their designed capacity. The minimum amount of CIAC should not be less than the percentage of such facilities and plant that is represented by the water transmission and distribution system and sewage collection systems.</w:t>
      </w:r>
      <w:r w:rsidR="00361561">
        <w:t xml:space="preserve"> </w:t>
      </w:r>
      <w:r w:rsidR="005E503F">
        <w:t xml:space="preserve">Pursuant to the Rule, </w:t>
      </w:r>
      <w:r w:rsidR="00F544E1">
        <w:t xml:space="preserve"> staff calculated </w:t>
      </w:r>
      <w:r w:rsidR="005E503F">
        <w:t xml:space="preserve">the minimum contribution </w:t>
      </w:r>
      <w:r w:rsidR="00F544E1">
        <w:t>to be</w:t>
      </w:r>
      <w:r w:rsidR="005E503F">
        <w:t xml:space="preserve"> 50.35 percent for water and 4.82 percent for wastewater. </w:t>
      </w:r>
    </w:p>
    <w:p w14:paraId="12BC5FA3" w14:textId="263CD274" w:rsidR="009460E6" w:rsidRDefault="00361561">
      <w:pPr>
        <w:pStyle w:val="BodyText"/>
      </w:pPr>
      <w:r>
        <w:lastRenderedPageBreak/>
        <w:t xml:space="preserve">The utility did not categorize its service availability charge request </w:t>
      </w:r>
      <w:r w:rsidR="00507A0F">
        <w:t>(</w:t>
      </w:r>
      <w:r>
        <w:t>i.e., main extension or plant capacity charge</w:t>
      </w:r>
      <w:r w:rsidR="00507A0F">
        <w:t>)</w:t>
      </w:r>
      <w:r>
        <w:t xml:space="preserve">. </w:t>
      </w:r>
      <w:r w:rsidR="00390B5D" w:rsidRPr="00CC4F1A">
        <w:t xml:space="preserve">A main </w:t>
      </w:r>
      <w:r w:rsidR="00EE1080" w:rsidRPr="00CC4F1A">
        <w:t>extension</w:t>
      </w:r>
      <w:r w:rsidR="00390B5D" w:rsidRPr="00CC4F1A">
        <w:t xml:space="preserve"> charge is for the purpose of covering all or part of the utility’s capital costs in extending its off-site water or wastewater facilities to provide service to a specified property</w:t>
      </w:r>
      <w:r w:rsidR="00CC4F1A">
        <w:t>, whereas a plant capacity charge is for the purpose of covering all or a part of a utility’s capital costs in construction or expansion of treatment facilities</w:t>
      </w:r>
      <w:r w:rsidR="00390B5D" w:rsidRPr="00CC4F1A">
        <w:t xml:space="preserve">. </w:t>
      </w:r>
      <w:r w:rsidRPr="00CC4F1A">
        <w:t>I</w:t>
      </w:r>
      <w:r w:rsidR="009460E6" w:rsidRPr="00CC4F1A">
        <w:t>n a transfer of majority organizational control</w:t>
      </w:r>
      <w:r w:rsidR="00462ED3" w:rsidRPr="00CC4F1A">
        <w:t xml:space="preserve"> </w:t>
      </w:r>
      <w:r w:rsidR="007C0695">
        <w:t xml:space="preserve">docket </w:t>
      </w:r>
      <w:r w:rsidR="00462ED3" w:rsidRPr="00CC4F1A">
        <w:t>in 2003</w:t>
      </w:r>
      <w:r w:rsidR="009460E6" w:rsidRPr="00CC4F1A">
        <w:t>, the utility did not have adequate books and records to provide the CIAC balances.</w:t>
      </w:r>
      <w:r w:rsidR="000B6A12" w:rsidRPr="00CC4F1A">
        <w:t xml:space="preserve"> </w:t>
      </w:r>
      <w:r w:rsidR="007C0695">
        <w:t>As result, in that docket, t</w:t>
      </w:r>
      <w:r w:rsidR="009460E6" w:rsidRPr="00CC4F1A">
        <w:t>he Commission imputed</w:t>
      </w:r>
      <w:r w:rsidR="007C0695">
        <w:t>, per Rule 25-30.570, F.A.C.,</w:t>
      </w:r>
      <w:r w:rsidR="009460E6" w:rsidRPr="00CC4F1A">
        <w:t xml:space="preserve"> the cost of Grenelefe’s water transmission and distribution lines and wastewater collection lines to reflect </w:t>
      </w:r>
      <w:r w:rsidR="007C0695">
        <w:t xml:space="preserve">the appropriate </w:t>
      </w:r>
      <w:r w:rsidR="00DC71BE" w:rsidRPr="00CC4F1A">
        <w:t>CIAC</w:t>
      </w:r>
      <w:r w:rsidR="009460E6" w:rsidRPr="00CC4F1A">
        <w:t>.</w:t>
      </w:r>
      <w:r w:rsidR="009460E6" w:rsidRPr="00CC4F1A">
        <w:rPr>
          <w:rStyle w:val="FootnoteReference"/>
        </w:rPr>
        <w:footnoteReference w:id="8"/>
      </w:r>
      <w:r w:rsidR="006A7FF8" w:rsidRPr="00CC4F1A">
        <w:t xml:space="preserve"> </w:t>
      </w:r>
      <w:r w:rsidR="007C0695">
        <w:t xml:space="preserve">As a result, </w:t>
      </w:r>
      <w:r w:rsidR="00390B5D" w:rsidRPr="00CC4F1A">
        <w:t xml:space="preserve">the utility is unable to receive a main extension charge. </w:t>
      </w:r>
      <w:r w:rsidR="007C0695">
        <w:t xml:space="preserve">Further, </w:t>
      </w:r>
      <w:r w:rsidR="005E503F" w:rsidRPr="00CC4F1A">
        <w:t>Grenelefe did not propose an</w:t>
      </w:r>
      <w:r w:rsidR="00F16342" w:rsidRPr="00CC4F1A">
        <w:t>y</w:t>
      </w:r>
      <w:r w:rsidR="005E503F" w:rsidRPr="00CC4F1A">
        <w:t xml:space="preserve"> pro forma </w:t>
      </w:r>
      <w:r w:rsidR="008C5F20" w:rsidRPr="00CC4F1A">
        <w:t xml:space="preserve">plant </w:t>
      </w:r>
      <w:r w:rsidR="005E503F" w:rsidRPr="00CC4F1A">
        <w:t xml:space="preserve">additions </w:t>
      </w:r>
      <w:r w:rsidR="008C5F20" w:rsidRPr="00CC4F1A">
        <w:t>for lines</w:t>
      </w:r>
      <w:r w:rsidRPr="00CC4F1A">
        <w:t xml:space="preserve"> in this SARC</w:t>
      </w:r>
      <w:r w:rsidR="008C5F20" w:rsidRPr="00CC4F1A">
        <w:t>.</w:t>
      </w:r>
      <w:r w:rsidR="001D1D04" w:rsidRPr="00CC4F1A">
        <w:t xml:space="preserve"> </w:t>
      </w:r>
      <w:r w:rsidR="00462ED3" w:rsidRPr="00CC4F1A">
        <w:t>Therefore, s</w:t>
      </w:r>
      <w:r w:rsidR="001D1D04" w:rsidRPr="00CC4F1A">
        <w:t xml:space="preserve">taff has </w:t>
      </w:r>
      <w:r w:rsidR="00507A0F" w:rsidRPr="00CC4F1A">
        <w:t xml:space="preserve">conducted an </w:t>
      </w:r>
      <w:r w:rsidR="001D1D04" w:rsidRPr="00CC4F1A">
        <w:t>evaluat</w:t>
      </w:r>
      <w:r w:rsidR="005273E7" w:rsidRPr="00CC4F1A">
        <w:t>ion of Grenelefe’s request</w:t>
      </w:r>
      <w:r w:rsidR="001D1D04" w:rsidRPr="00CC4F1A">
        <w:t xml:space="preserve"> to determine whether a plant capacity charge is appropriate. </w:t>
      </w:r>
    </w:p>
    <w:p w14:paraId="64CFDD84" w14:textId="1E2A86B4" w:rsidR="00CA6BBA" w:rsidRDefault="00032758" w:rsidP="009460E6">
      <w:pPr>
        <w:pStyle w:val="BodyText"/>
      </w:pPr>
      <w:r>
        <w:t>Based on staff’s audit of Grenelefe’s rate base</w:t>
      </w:r>
      <w:r w:rsidR="005273E7">
        <w:t>,</w:t>
      </w:r>
      <w:r>
        <w:t xml:space="preserve"> and before any additions for pro forma plant, the contribution level is 72 percent for water and 78 percent for wastewater. </w:t>
      </w:r>
      <w:r w:rsidR="00F16342">
        <w:t>To</w:t>
      </w:r>
      <w:r w:rsidR="00E72A0E">
        <w:t xml:space="preserve"> evaluate the request for service availability charges, staff is using </w:t>
      </w:r>
      <w:r w:rsidR="005273E7">
        <w:t>the</w:t>
      </w:r>
      <w:r w:rsidR="00E72A0E">
        <w:t xml:space="preserve"> preliminary rate base calculated for the staff report</w:t>
      </w:r>
      <w:r w:rsidR="0040033C">
        <w:t xml:space="preserve"> dated August 22, 2025</w:t>
      </w:r>
      <w:r w:rsidR="00513D64">
        <w:t xml:space="preserve">, which includes </w:t>
      </w:r>
      <w:r w:rsidR="005273E7">
        <w:t xml:space="preserve">the requested </w:t>
      </w:r>
      <w:r w:rsidR="00513D64">
        <w:t>pro forma plant additions</w:t>
      </w:r>
      <w:r w:rsidR="00E72A0E">
        <w:t xml:space="preserve">. </w:t>
      </w:r>
      <w:r w:rsidR="00C74AF5">
        <w:t xml:space="preserve">With the pro forma additions, </w:t>
      </w:r>
      <w:r w:rsidR="00361561">
        <w:t xml:space="preserve">staff calculated </w:t>
      </w:r>
      <w:r w:rsidR="00C74AF5">
        <w:t xml:space="preserve">the contribution levels </w:t>
      </w:r>
      <w:r w:rsidR="00361561">
        <w:t xml:space="preserve">to be </w:t>
      </w:r>
      <w:r w:rsidR="00E72A0E">
        <w:t>4.8</w:t>
      </w:r>
      <w:r w:rsidR="00BF60CF">
        <w:t>3</w:t>
      </w:r>
      <w:r w:rsidR="00E72A0E">
        <w:t xml:space="preserve"> percent for water and 1.62 percent for wastewater. </w:t>
      </w:r>
    </w:p>
    <w:p w14:paraId="0AD0F1A0" w14:textId="442A71AC" w:rsidR="006A7FF8" w:rsidRPr="006A7FF8" w:rsidRDefault="006A7FF8" w:rsidP="006A7FF8">
      <w:pPr>
        <w:pStyle w:val="BodyText"/>
        <w:spacing w:after="0"/>
        <w:rPr>
          <w:rFonts w:ascii="Arial" w:hAnsi="Arial" w:cs="Arial"/>
          <w:b/>
        </w:rPr>
      </w:pPr>
      <w:r>
        <w:rPr>
          <w:rFonts w:ascii="Arial" w:hAnsi="Arial" w:cs="Arial"/>
          <w:b/>
        </w:rPr>
        <w:t>Plant Capacity Charge - Water</w:t>
      </w:r>
    </w:p>
    <w:p w14:paraId="726D83A9" w14:textId="79262F47" w:rsidR="006A7FF8" w:rsidRPr="007C0695" w:rsidRDefault="009460E6" w:rsidP="006A7FF8">
      <w:pPr>
        <w:pStyle w:val="BodyText"/>
        <w:spacing w:after="0"/>
      </w:pPr>
      <w:r>
        <w:t xml:space="preserve">The water </w:t>
      </w:r>
      <w:r w:rsidR="00846C6C">
        <w:t xml:space="preserve">treatment facilities have </w:t>
      </w:r>
      <w:r>
        <w:t>a capacity of 4,320,000</w:t>
      </w:r>
      <w:r w:rsidR="00505E46">
        <w:t xml:space="preserve"> gallons per day (gpd)</w:t>
      </w:r>
      <w:r w:rsidR="008C5F20">
        <w:t xml:space="preserve">, which equates to a design capacity of 12,342 </w:t>
      </w:r>
      <w:r>
        <w:t>equivalent residential connections (ERCs) based on an ERC of 350 gpd</w:t>
      </w:r>
      <w:r w:rsidR="00B716C6">
        <w:t xml:space="preserve">. </w:t>
      </w:r>
      <w:r w:rsidR="00680C29">
        <w:t xml:space="preserve">Grenelefe indicated that it anticipates growth of 200 ERCs per year, which would reflect the utility reaching design capacity in approximately 55 years. Due to the length of time before the water system reaches design capacity, staff believes it is </w:t>
      </w:r>
      <w:r w:rsidR="005273E7">
        <w:t>unrealistic</w:t>
      </w:r>
      <w:r w:rsidR="00680C29">
        <w:t xml:space="preserve"> to set the charges at complete design capacity</w:t>
      </w:r>
      <w:r w:rsidR="00B716C6">
        <w:t xml:space="preserve">. </w:t>
      </w:r>
      <w:r w:rsidR="00680C29">
        <w:t xml:space="preserve">In </w:t>
      </w:r>
      <w:r w:rsidR="005273E7">
        <w:t xml:space="preserve">a </w:t>
      </w:r>
      <w:r w:rsidR="00680C29">
        <w:t xml:space="preserve">similar situation, the Commission determined </w:t>
      </w:r>
      <w:r w:rsidR="001B5C10">
        <w:t xml:space="preserve">that </w:t>
      </w:r>
      <w:r w:rsidR="00680C29">
        <w:t xml:space="preserve">a </w:t>
      </w:r>
      <w:r w:rsidR="00F16342">
        <w:t>shortened</w:t>
      </w:r>
      <w:r w:rsidR="00680C29">
        <w:t xml:space="preserve"> </w:t>
      </w:r>
      <w:r w:rsidR="00F16342">
        <w:t>period</w:t>
      </w:r>
      <w:r w:rsidR="00680C29">
        <w:t xml:space="preserve"> of 10 years </w:t>
      </w:r>
      <w:r w:rsidR="007C0695">
        <w:t>was</w:t>
      </w:r>
      <w:r w:rsidR="00680C29">
        <w:t xml:space="preserve"> appropriate for calculating service availability charges.</w:t>
      </w:r>
      <w:r w:rsidR="00AB54A8">
        <w:rPr>
          <w:rStyle w:val="FootnoteReference"/>
        </w:rPr>
        <w:footnoteReference w:id="9"/>
      </w:r>
      <w:r w:rsidR="00E85DA8">
        <w:t xml:space="preserve"> </w:t>
      </w:r>
      <w:r w:rsidR="007C0695">
        <w:t xml:space="preserve"> A 10-year </w:t>
      </w:r>
      <w:r w:rsidR="00F16342">
        <w:t>shortened</w:t>
      </w:r>
      <w:r w:rsidR="002B6FF7">
        <w:t xml:space="preserve"> </w:t>
      </w:r>
      <w:r w:rsidR="00F16342">
        <w:t>period</w:t>
      </w:r>
      <w:r w:rsidR="002B6FF7">
        <w:t xml:space="preserve"> </w:t>
      </w:r>
      <w:r w:rsidR="007C0695">
        <w:t>would result</w:t>
      </w:r>
      <w:r w:rsidR="002B6FF7">
        <w:t xml:space="preserve"> in </w:t>
      </w:r>
      <w:r w:rsidR="007C0695">
        <w:t>Grenelefe foreseeably</w:t>
      </w:r>
      <w:r w:rsidR="002B6FF7">
        <w:t xml:space="preserve"> connecting </w:t>
      </w:r>
      <w:r w:rsidR="005273E7">
        <w:t xml:space="preserve">an additional </w:t>
      </w:r>
      <w:r w:rsidR="002B6FF7">
        <w:t xml:space="preserve">2,000 ERCs. </w:t>
      </w:r>
      <w:r w:rsidR="00390B5D" w:rsidRPr="007C0695">
        <w:t xml:space="preserve">As a result, </w:t>
      </w:r>
      <w:r w:rsidR="007C0695" w:rsidRPr="007C0695">
        <w:t xml:space="preserve">staff recommends that </w:t>
      </w:r>
      <w:r w:rsidR="00390B5D" w:rsidRPr="007C0695">
        <w:t xml:space="preserve">the total ERCs for calculating the appropriate plant capacity charge </w:t>
      </w:r>
      <w:r w:rsidR="007C0695" w:rsidRPr="007C0695">
        <w:t xml:space="preserve">be set at </w:t>
      </w:r>
      <w:r w:rsidR="00390B5D" w:rsidRPr="007C0695">
        <w:t xml:space="preserve"> 3,408</w:t>
      </w:r>
      <w:r w:rsidR="006A7FF8" w:rsidRPr="007C0695">
        <w:t xml:space="preserve"> (1,408 + 2,000)</w:t>
      </w:r>
      <w:r w:rsidR="00390B5D" w:rsidRPr="007C0695">
        <w:t>.</w:t>
      </w:r>
      <w:r w:rsidR="006A7FF8" w:rsidRPr="007C0695">
        <w:t xml:space="preserve"> </w:t>
      </w:r>
    </w:p>
    <w:p w14:paraId="658D5712" w14:textId="047343D0" w:rsidR="006A7FF8" w:rsidRPr="007C0695" w:rsidRDefault="006A7FF8" w:rsidP="006A7FF8">
      <w:pPr>
        <w:pStyle w:val="BodyText"/>
        <w:spacing w:after="0"/>
      </w:pPr>
    </w:p>
    <w:p w14:paraId="09E99A37" w14:textId="050C2748" w:rsidR="009460E6" w:rsidRDefault="006A7FF8" w:rsidP="009D56E5">
      <w:pPr>
        <w:pStyle w:val="BodyText"/>
        <w:spacing w:after="0"/>
      </w:pPr>
      <w:r w:rsidRPr="007C0695">
        <w:t xml:space="preserve">In order to determine </w:t>
      </w:r>
      <w:r w:rsidR="00325EF9" w:rsidRPr="007C0695">
        <w:t>the plant capacity charge,</w:t>
      </w:r>
      <w:r w:rsidRPr="007C0695">
        <w:t xml:space="preserve"> staff calculated the average cost per ERC for </w:t>
      </w:r>
      <w:r w:rsidR="00396768" w:rsidRPr="007C0695">
        <w:t xml:space="preserve">the water </w:t>
      </w:r>
      <w:r w:rsidRPr="007C0695">
        <w:t xml:space="preserve">treatment plant </w:t>
      </w:r>
      <w:r w:rsidR="007C0695" w:rsidRPr="007C0695">
        <w:t>per</w:t>
      </w:r>
      <w:r w:rsidRPr="007C0695">
        <w:t xml:space="preserve"> Commission </w:t>
      </w:r>
      <w:r w:rsidR="007C0695" w:rsidRPr="007C0695">
        <w:t>precedent</w:t>
      </w:r>
      <w:r w:rsidRPr="007C0695">
        <w:t>.</w:t>
      </w:r>
      <w:r w:rsidR="00396768" w:rsidRPr="007C0695">
        <w:rPr>
          <w:rStyle w:val="FootnoteReference"/>
        </w:rPr>
        <w:footnoteReference w:id="10"/>
      </w:r>
      <w:r w:rsidR="00396768" w:rsidRPr="007C0695">
        <w:t xml:space="preserve"> </w:t>
      </w:r>
      <w:r w:rsidRPr="007C0695">
        <w:t xml:space="preserve">Staff believes that using the average costs per ERC will result in reasonable </w:t>
      </w:r>
      <w:r w:rsidR="007C0695" w:rsidRPr="007C0695">
        <w:t xml:space="preserve">service availability </w:t>
      </w:r>
      <w:r w:rsidRPr="007C0695">
        <w:t>charges.</w:t>
      </w:r>
      <w:r w:rsidR="00396768" w:rsidRPr="007C0695">
        <w:t xml:space="preserve"> </w:t>
      </w:r>
      <w:r w:rsidRPr="007C0695">
        <w:t xml:space="preserve">Staff </w:t>
      </w:r>
      <w:r w:rsidR="00FE0BC4">
        <w:t xml:space="preserve">used </w:t>
      </w:r>
      <w:r w:rsidRPr="007C0695">
        <w:t>the total treatment plant cost of $</w:t>
      </w:r>
      <w:r w:rsidR="00FE0BC4">
        <w:t>1,089,900</w:t>
      </w:r>
      <w:r w:rsidR="00432E21">
        <w:t xml:space="preserve">. </w:t>
      </w:r>
      <w:r w:rsidRPr="007C0695">
        <w:t xml:space="preserve">Staff then divided this amount by </w:t>
      </w:r>
      <w:r w:rsidR="00325EF9" w:rsidRPr="007C0695">
        <w:t xml:space="preserve">3,408 </w:t>
      </w:r>
      <w:r w:rsidR="007C0695" w:rsidRPr="007C0695">
        <w:t>(</w:t>
      </w:r>
      <w:r w:rsidR="00325EF9" w:rsidRPr="007C0695">
        <w:t xml:space="preserve">which represents </w:t>
      </w:r>
      <w:r w:rsidRPr="007C0695">
        <w:t>total capacity</w:t>
      </w:r>
      <w:r w:rsidR="00325EF9" w:rsidRPr="007C0695">
        <w:t>, as discussed above,</w:t>
      </w:r>
      <w:r w:rsidRPr="007C0695">
        <w:t xml:space="preserve"> in ERCs of the treatment plant</w:t>
      </w:r>
      <w:r w:rsidR="007C0695" w:rsidRPr="007C0695">
        <w:t>)</w:t>
      </w:r>
      <w:r w:rsidR="00432E21">
        <w:t xml:space="preserve">. </w:t>
      </w:r>
      <w:r w:rsidRPr="007C0695">
        <w:t>This calculation results in an average plant capacity cost per ERC of approximately $</w:t>
      </w:r>
      <w:r w:rsidR="00325EF9" w:rsidRPr="007C0695">
        <w:t>32</w:t>
      </w:r>
      <w:r w:rsidR="00B52827">
        <w:t xml:space="preserve">0 </w:t>
      </w:r>
      <w:r w:rsidR="00FE0BC4">
        <w:t>($</w:t>
      </w:r>
      <w:r w:rsidR="00B52827">
        <w:t>1,089,900</w:t>
      </w:r>
      <w:r w:rsidR="00FE0BC4">
        <w:t>/3,408)</w:t>
      </w:r>
      <w:r w:rsidRPr="007C0695">
        <w:t>.</w:t>
      </w:r>
      <w:r w:rsidR="00325EF9" w:rsidRPr="007C0695">
        <w:t xml:space="preserve"> </w:t>
      </w:r>
      <w:r w:rsidRPr="007C0695">
        <w:t xml:space="preserve">The corresponding plant </w:t>
      </w:r>
      <w:r w:rsidRPr="007C0695">
        <w:lastRenderedPageBreak/>
        <w:t>capacity charge for “all others-per gallon/day” would be $</w:t>
      </w:r>
      <w:r w:rsidR="00325EF9" w:rsidRPr="007C0695">
        <w:t>.9</w:t>
      </w:r>
      <w:r w:rsidR="0031775B">
        <w:t>1</w:t>
      </w:r>
      <w:r w:rsidRPr="007C0695">
        <w:t xml:space="preserve"> ($</w:t>
      </w:r>
      <w:r w:rsidR="00325EF9" w:rsidRPr="007C0695">
        <w:t>32</w:t>
      </w:r>
      <w:r w:rsidR="0031775B">
        <w:t>0</w:t>
      </w:r>
      <w:r w:rsidRPr="007C0695">
        <w:t>/350 gpd)</w:t>
      </w:r>
      <w:r w:rsidR="00325EF9" w:rsidRPr="007C0695">
        <w:t>.</w:t>
      </w:r>
      <w:r w:rsidR="009D56E5" w:rsidRPr="007C0695">
        <w:t xml:space="preserve"> </w:t>
      </w:r>
      <w:r w:rsidR="002B6FF7" w:rsidRPr="007C0695">
        <w:t xml:space="preserve">Staff </w:t>
      </w:r>
      <w:r w:rsidR="00F16342" w:rsidRPr="007C0695">
        <w:t>recommend</w:t>
      </w:r>
      <w:r w:rsidR="00B619BB" w:rsidRPr="007C0695">
        <w:t>s</w:t>
      </w:r>
      <w:r w:rsidR="002B6FF7" w:rsidRPr="007C0695">
        <w:t xml:space="preserve"> </w:t>
      </w:r>
      <w:r w:rsidR="00846C6C" w:rsidRPr="007C0695">
        <w:t>a plant capacity charge of $</w:t>
      </w:r>
      <w:r w:rsidR="00325EF9" w:rsidRPr="007C0695">
        <w:t>32</w:t>
      </w:r>
      <w:r w:rsidR="00B52827">
        <w:t>0</w:t>
      </w:r>
      <w:r w:rsidR="00432E21">
        <w:t xml:space="preserve">. </w:t>
      </w:r>
      <w:r w:rsidR="00396768" w:rsidRPr="007C0695">
        <w:t>The plant capacity charge of $32</w:t>
      </w:r>
      <w:r w:rsidR="00B52827">
        <w:t>0</w:t>
      </w:r>
      <w:r w:rsidR="007C0695" w:rsidRPr="007C0695">
        <w:t>,</w:t>
      </w:r>
      <w:r w:rsidR="00396768" w:rsidRPr="007C0695">
        <w:t xml:space="preserve"> along with its prior approved meter installation charge of $600</w:t>
      </w:r>
      <w:r w:rsidR="007C0695" w:rsidRPr="007C0695">
        <w:t>,</w:t>
      </w:r>
      <w:r w:rsidR="005273E7" w:rsidRPr="007C0695">
        <w:t xml:space="preserve"> </w:t>
      </w:r>
      <w:r w:rsidR="007C0695" w:rsidRPr="007C0695">
        <w:t>will</w:t>
      </w:r>
      <w:r w:rsidR="005273E7" w:rsidRPr="007C0695">
        <w:t xml:space="preserve"> allow Grenelefe </w:t>
      </w:r>
      <w:r w:rsidR="00846C6C" w:rsidRPr="007C0695">
        <w:t xml:space="preserve">to be at </w:t>
      </w:r>
      <w:r w:rsidR="00DF7265">
        <w:t>approximately</w:t>
      </w:r>
      <w:r w:rsidR="00846C6C" w:rsidRPr="007C0695">
        <w:t xml:space="preserve"> </w:t>
      </w:r>
      <w:r w:rsidR="00325EF9" w:rsidRPr="007C0695">
        <w:t>25</w:t>
      </w:r>
      <w:r w:rsidR="00846C6C" w:rsidRPr="007C0695">
        <w:t xml:space="preserve"> percent contribution level in 10 years. </w:t>
      </w:r>
      <w:r w:rsidR="00325EF9" w:rsidRPr="007C0695">
        <w:t>Staff recognizes that the contribution level is below the minimum, which is the cost of lines</w:t>
      </w:r>
      <w:r w:rsidR="00432E21">
        <w:t xml:space="preserve">. </w:t>
      </w:r>
      <w:r w:rsidR="00325EF9" w:rsidRPr="007C0695">
        <w:t>However, as previously</w:t>
      </w:r>
      <w:r w:rsidR="007C0695" w:rsidRPr="007C0695">
        <w:t xml:space="preserve"> noted</w:t>
      </w:r>
      <w:r w:rsidR="00325EF9" w:rsidRPr="007C0695">
        <w:t xml:space="preserve">, the cost of the lines </w:t>
      </w:r>
      <w:r w:rsidR="007C0FC1">
        <w:t>was</w:t>
      </w:r>
      <w:r w:rsidR="00325EF9" w:rsidRPr="007C0695">
        <w:t xml:space="preserve"> imputed</w:t>
      </w:r>
      <w:r w:rsidR="007C0695" w:rsidRPr="007C0695">
        <w:t>.</w:t>
      </w:r>
    </w:p>
    <w:p w14:paraId="5C5056F5" w14:textId="77777777" w:rsidR="009D56E5" w:rsidRDefault="009D56E5" w:rsidP="009D56E5">
      <w:pPr>
        <w:pStyle w:val="BodyText"/>
        <w:spacing w:after="0"/>
      </w:pPr>
    </w:p>
    <w:p w14:paraId="414F9050" w14:textId="0CFCD836" w:rsidR="00396768" w:rsidRPr="00396768" w:rsidRDefault="00396768" w:rsidP="00396768">
      <w:pPr>
        <w:pStyle w:val="BodyText"/>
        <w:spacing w:after="0"/>
        <w:rPr>
          <w:rFonts w:ascii="Arial" w:hAnsi="Arial" w:cs="Arial"/>
          <w:b/>
        </w:rPr>
      </w:pPr>
      <w:r w:rsidRPr="00396768">
        <w:rPr>
          <w:rFonts w:ascii="Arial" w:hAnsi="Arial" w:cs="Arial"/>
          <w:b/>
        </w:rPr>
        <w:t>Plant Capacity Charge - Wastewater</w:t>
      </w:r>
    </w:p>
    <w:p w14:paraId="23DFD8C4" w14:textId="3057FD6F" w:rsidR="001E217F" w:rsidRDefault="00846C6C" w:rsidP="001E217F">
      <w:pPr>
        <w:pStyle w:val="BodyText"/>
        <w:spacing w:after="0"/>
      </w:pPr>
      <w:r>
        <w:t xml:space="preserve">The wastewater treatment facilities </w:t>
      </w:r>
      <w:r w:rsidR="00AB54A8">
        <w:t xml:space="preserve">have a capacity of 680,000 gpd, which equates to a design capacity of 2,428 ERCs based on an ERC of 280 gpd. </w:t>
      </w:r>
      <w:r w:rsidR="00E85DA8">
        <w:t>Based on the utility’s growth projections of 200 ERCs per year, the wastewater system will reach design capacity in approximately 10 years</w:t>
      </w:r>
      <w:r w:rsidR="00B716C6">
        <w:t xml:space="preserve">. </w:t>
      </w:r>
      <w:r w:rsidR="00396768" w:rsidRPr="00AF2B13">
        <w:t xml:space="preserve">In order to determine the plant capacity charge, staff </w:t>
      </w:r>
      <w:r w:rsidR="00B52827">
        <w:t>used</w:t>
      </w:r>
      <w:r w:rsidR="00396768" w:rsidRPr="00AF2B13">
        <w:t xml:space="preserve"> the total wastewater treatment plant cost of $</w:t>
      </w:r>
      <w:r w:rsidR="001E217F" w:rsidRPr="00AF2B13">
        <w:t>16,300,000</w:t>
      </w:r>
      <w:r w:rsidR="00432E21">
        <w:t xml:space="preserve">. </w:t>
      </w:r>
      <w:r w:rsidR="00396768" w:rsidRPr="00AF2B13">
        <w:t xml:space="preserve">Staff then divided this amount by </w:t>
      </w:r>
      <w:r w:rsidR="001E217F" w:rsidRPr="00AF2B13">
        <w:t>2,428</w:t>
      </w:r>
      <w:r w:rsidR="00AF2B13" w:rsidRPr="00AF2B13">
        <w:t>,</w:t>
      </w:r>
      <w:r w:rsidR="00396768" w:rsidRPr="00AF2B13">
        <w:t xml:space="preserve"> which represents the total capacity in ERCs of the treatment plant.</w:t>
      </w:r>
      <w:r w:rsidR="001E217F" w:rsidRPr="00AF2B13">
        <w:t xml:space="preserve"> </w:t>
      </w:r>
      <w:r w:rsidR="00396768" w:rsidRPr="00AF2B13">
        <w:t>This calculation results in an average plant capacity cost per ERC of approximately $</w:t>
      </w:r>
      <w:r w:rsidR="001E217F" w:rsidRPr="00AF2B13">
        <w:t>6,</w:t>
      </w:r>
      <w:r w:rsidR="00AF2B13" w:rsidRPr="00AF2B13">
        <w:t>713</w:t>
      </w:r>
      <w:r w:rsidR="00B52827">
        <w:t xml:space="preserve"> ($16,300,000/2,428)</w:t>
      </w:r>
      <w:r w:rsidR="00396768" w:rsidRPr="00AF2B13">
        <w:t>.</w:t>
      </w:r>
      <w:r w:rsidR="001E217F" w:rsidRPr="00AF2B13">
        <w:t xml:space="preserve"> However, this charge would result in the wastewater system being </w:t>
      </w:r>
      <w:r w:rsidR="00EE1080" w:rsidRPr="00AF2B13">
        <w:t>over</w:t>
      </w:r>
      <w:r w:rsidR="00AF2B13" w:rsidRPr="00AF2B13">
        <w:t>-</w:t>
      </w:r>
      <w:r w:rsidR="00EE1080" w:rsidRPr="00AF2B13">
        <w:t>contributed</w:t>
      </w:r>
      <w:r w:rsidR="001E217F" w:rsidRPr="00AF2B13">
        <w:t xml:space="preserve"> at build out</w:t>
      </w:r>
      <w:r w:rsidR="00432E21">
        <w:t xml:space="preserve">. </w:t>
      </w:r>
      <w:r w:rsidR="001E217F" w:rsidRPr="00AF2B13">
        <w:t>Therefore, staff recommends</w:t>
      </w:r>
      <w:r w:rsidR="002B6FF7" w:rsidRPr="00AF2B13">
        <w:t xml:space="preserve"> a plant capacity charge of $</w:t>
      </w:r>
      <w:r w:rsidR="00BF60CF">
        <w:t>4,942</w:t>
      </w:r>
      <w:r w:rsidR="005273E7" w:rsidRPr="00AF2B13">
        <w:t xml:space="preserve">, which would allow Grenelefe </w:t>
      </w:r>
      <w:r w:rsidR="002B6FF7" w:rsidRPr="00AF2B13">
        <w:t>to be at a 75 percent contribution level at design capacity.</w:t>
      </w:r>
      <w:r w:rsidR="001E217F" w:rsidRPr="00AF2B13">
        <w:t xml:space="preserve"> The corresponding plant capacity charge for “all others-per gallon/day” would be $</w:t>
      </w:r>
      <w:r w:rsidR="00BF60CF">
        <w:t>17.65</w:t>
      </w:r>
      <w:r w:rsidR="001E217F" w:rsidRPr="00AF2B13">
        <w:t xml:space="preserve"> ($</w:t>
      </w:r>
      <w:r w:rsidR="00BF60CF">
        <w:t>4,942</w:t>
      </w:r>
      <w:r w:rsidR="001E217F" w:rsidRPr="00AF2B13">
        <w:t>/280 gpd).</w:t>
      </w:r>
      <w:r w:rsidR="001E217F">
        <w:t xml:space="preserve"> </w:t>
      </w:r>
    </w:p>
    <w:p w14:paraId="080E7F6E" w14:textId="77777777" w:rsidR="001E217F" w:rsidRDefault="001E217F" w:rsidP="001E217F">
      <w:pPr>
        <w:pStyle w:val="BodyText"/>
        <w:spacing w:after="0"/>
      </w:pPr>
    </w:p>
    <w:p w14:paraId="1FF268AB" w14:textId="6B05734C" w:rsidR="00CA6BBA" w:rsidRDefault="008E4E39">
      <w:pPr>
        <w:pStyle w:val="BodyText"/>
      </w:pPr>
      <w:r>
        <w:t xml:space="preserve">Based on the above, </w:t>
      </w:r>
      <w:r w:rsidR="001B5C10">
        <w:t xml:space="preserve">the </w:t>
      </w:r>
      <w:r w:rsidR="00AF2B13">
        <w:t xml:space="preserve">interim </w:t>
      </w:r>
      <w:r w:rsidR="001B5C10">
        <w:t xml:space="preserve">service availability charges requested by Grenelefe should not be approved. Staff recommends </w:t>
      </w:r>
      <w:r w:rsidR="00DC71BE">
        <w:t>interim</w:t>
      </w:r>
      <w:r w:rsidR="001B5C10">
        <w:t xml:space="preserve"> service availability charges should be </w:t>
      </w:r>
      <w:r w:rsidR="009F5963">
        <w:t xml:space="preserve">set as </w:t>
      </w:r>
      <w:r w:rsidR="001B5C10">
        <w:t>a plant capacity charge of $</w:t>
      </w:r>
      <w:r w:rsidR="005234F9">
        <w:t>32</w:t>
      </w:r>
      <w:r w:rsidR="00B52827">
        <w:t xml:space="preserve">0 </w:t>
      </w:r>
      <w:r w:rsidR="001B5C10">
        <w:t>for water and $</w:t>
      </w:r>
      <w:r w:rsidR="00BF60CF">
        <w:t>4,942</w:t>
      </w:r>
      <w:r w:rsidR="001B5C10">
        <w:t xml:space="preserve"> for wastewater. </w:t>
      </w:r>
      <w:r w:rsidR="001B5C10" w:rsidRPr="001B5C10">
        <w:t>The utility should file a revised tariff sheet to reflect the Commission-approved charges. The approved charges shall be effective for connections made on or after the stamped approval dat</w:t>
      </w:r>
      <w:r w:rsidR="001B5C10">
        <w:t xml:space="preserve">e on the tariff sheet. </w:t>
      </w:r>
      <w:r w:rsidR="001B5C10" w:rsidRPr="00EC72D5">
        <w:rPr>
          <w:color w:val="000000"/>
        </w:rPr>
        <w:t xml:space="preserve">In addition, the approved </w:t>
      </w:r>
      <w:r w:rsidR="001B5C10">
        <w:rPr>
          <w:color w:val="000000"/>
        </w:rPr>
        <w:t>charges</w:t>
      </w:r>
      <w:r w:rsidR="001B5C10" w:rsidRPr="00EC72D5">
        <w:rPr>
          <w:color w:val="000000"/>
        </w:rPr>
        <w:t xml:space="preserve"> should not be implemented until staff has approved the proposed customer notice</w:t>
      </w:r>
      <w:r w:rsidR="001B5C10">
        <w:t xml:space="preserve"> and the notice has been received by property owners who requested service beginning 12 months prior to the establishment of this docket. The utility shall provide proof of noticing within 10 days of rendering the approved notice</w:t>
      </w:r>
      <w:r w:rsidR="00B716C6">
        <w:t xml:space="preserve">. </w:t>
      </w:r>
      <w:r w:rsidR="001B5C10">
        <w:t xml:space="preserve">The approved plant capacity charges should </w:t>
      </w:r>
      <w:r w:rsidR="00AF2B13">
        <w:t xml:space="preserve">not be implemented until the required security has been established and shall </w:t>
      </w:r>
      <w:r w:rsidR="001B5C10">
        <w:t>be held subject to refund</w:t>
      </w:r>
      <w:r w:rsidR="003E7951">
        <w:t>,</w:t>
      </w:r>
      <w:r w:rsidR="001B5C10">
        <w:t xml:space="preserve"> pending the Commission’s decision regarding the appropriate pro forma plant additions.</w:t>
      </w:r>
    </w:p>
    <w:p w14:paraId="567F719A" w14:textId="77777777" w:rsidR="00CA6BBA" w:rsidRDefault="00CA6BBA">
      <w:pPr>
        <w:pStyle w:val="BodyText"/>
      </w:pPr>
    </w:p>
    <w:p w14:paraId="31CFE687" w14:textId="281F3B43" w:rsidR="006F798F" w:rsidRDefault="006F798F">
      <w:pPr>
        <w:pStyle w:val="IssueHeading"/>
        <w:rPr>
          <w:vanish/>
          <w:specVanish/>
        </w:rPr>
      </w:pPr>
      <w:r w:rsidRPr="004C3641">
        <w:rPr>
          <w:b w:val="0"/>
          <w:i w:val="0"/>
        </w:rPr>
        <w:br w:type="page"/>
      </w:r>
      <w:r w:rsidRPr="004C3641">
        <w:lastRenderedPageBreak/>
        <w:t xml:space="preserve">Issue </w:t>
      </w:r>
      <w:fldSimple w:instr=" SEQ Issue \* MERGEFORMAT ">
        <w:r w:rsidR="003F432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F432D">
        <w:rPr>
          <w:noProof/>
        </w:rPr>
        <w:instrText>2</w:instrText>
      </w:r>
      <w:r>
        <w:fldChar w:fldCharType="end"/>
      </w:r>
      <w:r>
        <w:tab/>
        <w:instrText xml:space="preserve">(Folkman, Hudson)" \l 1 </w:instrText>
      </w:r>
      <w:r>
        <w:fldChar w:fldCharType="end"/>
      </w:r>
      <w:r>
        <w:t> </w:t>
      </w:r>
    </w:p>
    <w:p w14:paraId="0FCB9A6B" w14:textId="376CFA05" w:rsidR="006F798F" w:rsidRDefault="006F798F">
      <w:pPr>
        <w:pStyle w:val="BodyText"/>
      </w:pPr>
      <w:r>
        <w:t> What is the appropriate security to guarantee the interim increase?</w:t>
      </w:r>
    </w:p>
    <w:p w14:paraId="10EFB864" w14:textId="77777777" w:rsidR="006F798F" w:rsidRPr="004C3641" w:rsidRDefault="006F798F">
      <w:pPr>
        <w:pStyle w:val="IssueSubsectionHeading"/>
        <w:rPr>
          <w:vanish/>
          <w:specVanish/>
        </w:rPr>
      </w:pPr>
      <w:r w:rsidRPr="004C3641">
        <w:t>Recommendation: </w:t>
      </w:r>
    </w:p>
    <w:p w14:paraId="57818CAC" w14:textId="3E5A6F63" w:rsidR="006F798F" w:rsidRDefault="006F798F">
      <w:pPr>
        <w:pStyle w:val="BodyText"/>
      </w:pPr>
      <w:r>
        <w:t> </w:t>
      </w:r>
      <w:r w:rsidR="00356867">
        <w:t>The utility should file an escrow agreement to guarantee potential refunds of water and wastewater plant capacity charges collected under interim conditions. Pursuant to Rule 25-30.360(7), F.A.C., the utility shall provide a report by the 20</w:t>
      </w:r>
      <w:r w:rsidR="00356867" w:rsidRPr="00356867">
        <w:t>th</w:t>
      </w:r>
      <w:r w:rsidR="00356867">
        <w:t xml:space="preserve"> of each month indicating the monthly and total revenue collected subject to refund. </w:t>
      </w:r>
      <w:r>
        <w:t>(Hudson)</w:t>
      </w:r>
    </w:p>
    <w:p w14:paraId="045E2683" w14:textId="77777777" w:rsidR="006F798F" w:rsidRPr="004C3641" w:rsidRDefault="006F798F">
      <w:pPr>
        <w:pStyle w:val="IssueSubsectionHeading"/>
        <w:rPr>
          <w:vanish/>
          <w:specVanish/>
        </w:rPr>
      </w:pPr>
      <w:r w:rsidRPr="004C3641">
        <w:t>Staff Analysis: </w:t>
      </w:r>
    </w:p>
    <w:p w14:paraId="2AF82FCE" w14:textId="7345E088" w:rsidR="006F798F" w:rsidRDefault="006F798F">
      <w:pPr>
        <w:pStyle w:val="BodyText"/>
      </w:pPr>
      <w:r>
        <w:t> </w:t>
      </w:r>
      <w:r w:rsidR="00356867">
        <w:t>Pursuant to Section 367.082, F.S., the excess of interim rates over previously authorized rate shall be collected under guarantee subject to refund with interest</w:t>
      </w:r>
      <w:r w:rsidR="00432E21">
        <w:t xml:space="preserve">. </w:t>
      </w:r>
      <w:r w:rsidR="00EE1080">
        <w:t>In p</w:t>
      </w:r>
      <w:r w:rsidR="00356867">
        <w:t xml:space="preserve">ast Commission practice for service availability charges, </w:t>
      </w:r>
      <w:r w:rsidR="00EE1080">
        <w:t xml:space="preserve">the </w:t>
      </w:r>
      <w:r w:rsidR="00356867">
        <w:t xml:space="preserve">utility has been required to escrow all service availability charges collected during </w:t>
      </w:r>
      <w:r w:rsidR="00EE1080">
        <w:t>the</w:t>
      </w:r>
      <w:r w:rsidR="00356867">
        <w:t xml:space="preserve"> interim period. Grenelefe did not have plant capacity charges prior to this request, therefore, staff believes it is appropriate to require that the total amount</w:t>
      </w:r>
      <w:r w:rsidR="00CD4D72">
        <w:t xml:space="preserve"> of the plant capacity charges collected during the interim period be placed in escrow. </w:t>
      </w:r>
    </w:p>
    <w:p w14:paraId="74B88415" w14:textId="193CAE77" w:rsidR="00CD4D72" w:rsidRPr="00CD4D72" w:rsidRDefault="00CD4D72" w:rsidP="00CD4D72">
      <w:pPr>
        <w:pStyle w:val="BodyText"/>
      </w:pPr>
      <w:r w:rsidRPr="00CD4D72">
        <w:t xml:space="preserve">The utility should be authorized to collect the </w:t>
      </w:r>
      <w:r>
        <w:t>interim service availability</w:t>
      </w:r>
      <w:r w:rsidRPr="00CD4D72">
        <w:t xml:space="preserve"> charges after staff approves: the security for potential refund, the copy of the proposed customer notice, and the revised tariff sheets</w:t>
      </w:r>
      <w:r w:rsidR="00432E21">
        <w:t xml:space="preserve">. </w:t>
      </w:r>
      <w:r w:rsidRPr="00CD4D72">
        <w:t>The utility should establish an escrow agreement with an independent financial institution.</w:t>
      </w:r>
      <w:r>
        <w:t xml:space="preserve"> T</w:t>
      </w:r>
      <w:r w:rsidRPr="00CD4D72">
        <w:t>he following conditions should be part of the agreement:</w:t>
      </w:r>
    </w:p>
    <w:p w14:paraId="1176CD2A" w14:textId="77777777" w:rsidR="00AF2B13" w:rsidRPr="00AF2B13" w:rsidRDefault="00AF2B13" w:rsidP="00AF2B13">
      <w:pPr>
        <w:pStyle w:val="BodyText"/>
        <w:ind w:left="720" w:right="720"/>
      </w:pPr>
      <w:r w:rsidRPr="00AF2B13">
        <w:t>1.</w:t>
      </w:r>
      <w:r w:rsidRPr="00AF2B13">
        <w:tab/>
        <w:t>The Commission Clerk, or his or her designee, must be a signatory to the escrow agreement.</w:t>
      </w:r>
    </w:p>
    <w:p w14:paraId="15A99076" w14:textId="77777777" w:rsidR="00AF2B13" w:rsidRPr="00AF2B13" w:rsidRDefault="00AF2B13" w:rsidP="00AF2B13">
      <w:pPr>
        <w:pStyle w:val="BodyText"/>
        <w:ind w:left="720" w:right="720"/>
      </w:pPr>
      <w:r w:rsidRPr="00AF2B13">
        <w:t>2.</w:t>
      </w:r>
      <w:r w:rsidRPr="00AF2B13">
        <w:tab/>
        <w:t xml:space="preserve">No monies in the escrow account may be withdrawn by the utility without the prior written authorization of the Commission Clerk, or his or her designee. </w:t>
      </w:r>
    </w:p>
    <w:p w14:paraId="2517CE4B" w14:textId="77777777" w:rsidR="00AF2B13" w:rsidRPr="00AF2B13" w:rsidRDefault="00AF2B13" w:rsidP="00AF2B13">
      <w:pPr>
        <w:pStyle w:val="BodyText"/>
        <w:ind w:left="720" w:right="720"/>
      </w:pPr>
      <w:r w:rsidRPr="00AF2B13">
        <w:t>3.</w:t>
      </w:r>
      <w:r w:rsidRPr="00AF2B13">
        <w:tab/>
        <w:t>The escrow account shall be an interest bearing account.</w:t>
      </w:r>
    </w:p>
    <w:p w14:paraId="1D51DB68" w14:textId="77777777" w:rsidR="00AF2B13" w:rsidRPr="00AF2B13" w:rsidRDefault="00AF2B13" w:rsidP="00AF2B13">
      <w:pPr>
        <w:pStyle w:val="BodyText"/>
        <w:ind w:left="720" w:right="720"/>
      </w:pPr>
      <w:r w:rsidRPr="00AF2B13">
        <w:t>4.</w:t>
      </w:r>
      <w:r w:rsidRPr="00AF2B13">
        <w:tab/>
        <w:t>If a refund to the customers is required, all interest earned by the escrow account shall be distributed to the customers.</w:t>
      </w:r>
    </w:p>
    <w:p w14:paraId="685AD52F" w14:textId="77777777" w:rsidR="00AF2B13" w:rsidRPr="00AF2B13" w:rsidRDefault="00AF2B13" w:rsidP="00AF2B13">
      <w:pPr>
        <w:pStyle w:val="BodyText"/>
        <w:ind w:left="720" w:right="720"/>
      </w:pPr>
      <w:r w:rsidRPr="00AF2B13">
        <w:t>5.</w:t>
      </w:r>
      <w:r w:rsidRPr="00AF2B13">
        <w:tab/>
        <w:t>If a refund to the customers is not required, the interest earned by the escrow account shall revert to the utility.</w:t>
      </w:r>
    </w:p>
    <w:p w14:paraId="7FB152F2" w14:textId="77777777" w:rsidR="00AF2B13" w:rsidRPr="00AF2B13" w:rsidRDefault="00AF2B13" w:rsidP="00AF2B13">
      <w:pPr>
        <w:pStyle w:val="BodyText"/>
        <w:ind w:left="720" w:right="720"/>
      </w:pPr>
      <w:r w:rsidRPr="00AF2B13">
        <w:t>6.</w:t>
      </w:r>
      <w:r w:rsidRPr="00AF2B13">
        <w:tab/>
        <w:t>All information on the escrow account shall be available from the holder of the escrow account to a Commission representative at all times.</w:t>
      </w:r>
    </w:p>
    <w:p w14:paraId="50C81D2D" w14:textId="77777777" w:rsidR="00AF2B13" w:rsidRPr="00AF2B13" w:rsidRDefault="00AF2B13" w:rsidP="00AF2B13">
      <w:pPr>
        <w:pStyle w:val="BodyText"/>
        <w:ind w:left="720" w:right="720"/>
      </w:pPr>
      <w:r w:rsidRPr="00AF2B13">
        <w:t>7.</w:t>
      </w:r>
      <w:r w:rsidRPr="00AF2B13">
        <w:tab/>
        <w:t>The amount of revenue subject to refund shall be deposited in the escrow account within seven days of receipt.</w:t>
      </w:r>
    </w:p>
    <w:p w14:paraId="28142C94" w14:textId="77777777" w:rsidR="00AF2B13" w:rsidRPr="00AF2B13" w:rsidRDefault="00AF2B13" w:rsidP="00AF2B13">
      <w:pPr>
        <w:pStyle w:val="BodyText"/>
        <w:ind w:left="720" w:right="720"/>
      </w:pPr>
      <w:r w:rsidRPr="00AF2B13">
        <w:t>8.</w:t>
      </w:r>
      <w:r w:rsidRPr="00AF2B13">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14:paraId="28FEEC74" w14:textId="77777777" w:rsidR="00AF2B13" w:rsidRPr="00AF2B13" w:rsidRDefault="00AF2B13" w:rsidP="00AF2B13">
      <w:pPr>
        <w:pStyle w:val="BodyText"/>
        <w:ind w:left="720" w:right="720"/>
      </w:pPr>
      <w:r w:rsidRPr="00AF2B13">
        <w:t>9.</w:t>
      </w:r>
      <w:r w:rsidRPr="00AF2B13">
        <w:tab/>
        <w:t>The account must specify by whom and on whose behalf such monies were paid.</w:t>
      </w:r>
    </w:p>
    <w:p w14:paraId="1E1D3B81" w14:textId="77777777" w:rsidR="00CD4D72" w:rsidRPr="00CD4D72" w:rsidRDefault="00CD4D72" w:rsidP="00CD4D72">
      <w:pPr>
        <w:pStyle w:val="BodyText"/>
      </w:pPr>
    </w:p>
    <w:p w14:paraId="3E7439FA" w14:textId="753F00D6" w:rsidR="00CD4D72" w:rsidRDefault="00CD4D72" w:rsidP="00CD4D72">
      <w:pPr>
        <w:pStyle w:val="BodyText"/>
      </w:pPr>
      <w:r w:rsidRPr="00CD4D72">
        <w:lastRenderedPageBreak/>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0D1009DB" w14:textId="433C2BA6" w:rsidR="00CD4D72" w:rsidRDefault="00CD4D72" w:rsidP="00CD4D72">
      <w:pPr>
        <w:pStyle w:val="BodyText"/>
      </w:pPr>
      <w:r>
        <w:t>A</w:t>
      </w:r>
      <w:r w:rsidRPr="00CD4D72">
        <w:t xml:space="preserve">fter the </w:t>
      </w:r>
      <w:r>
        <w:t xml:space="preserve">plant capacity charges </w:t>
      </w:r>
      <w:r w:rsidRPr="00CD4D72">
        <w:t>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14:paraId="6BCEFE51" w14:textId="3F5EAD79" w:rsidR="00953D72" w:rsidRDefault="00953D72">
      <w:pPr>
        <w:pStyle w:val="IssueHeading"/>
        <w:rPr>
          <w:vanish/>
          <w:specVanish/>
        </w:rPr>
      </w:pPr>
      <w:r w:rsidRPr="004C3641">
        <w:rPr>
          <w:b w:val="0"/>
          <w:i w:val="0"/>
        </w:rPr>
        <w:br w:type="page"/>
      </w:r>
      <w:r w:rsidRPr="004C3641">
        <w:lastRenderedPageBreak/>
        <w:t xml:space="preserve">Issue </w:t>
      </w:r>
      <w:r w:rsidR="007E4ED3">
        <w:fldChar w:fldCharType="begin"/>
      </w:r>
      <w:r w:rsidR="007E4ED3">
        <w:instrText xml:space="preserve"> SEQ Issue \* MERGEFORMAT </w:instrText>
      </w:r>
      <w:r w:rsidR="007E4ED3">
        <w:fldChar w:fldCharType="separate"/>
      </w:r>
      <w:r w:rsidR="003F432D">
        <w:rPr>
          <w:noProof/>
        </w:rPr>
        <w:t>3</w:t>
      </w:r>
      <w:r w:rsidR="007E4E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F432D">
        <w:rPr>
          <w:noProof/>
        </w:rPr>
        <w:instrText>3</w:instrText>
      </w:r>
      <w:r>
        <w:fldChar w:fldCharType="end"/>
      </w:r>
      <w:r>
        <w:tab/>
        <w:instrText xml:space="preserve">(Ausp)" \l 1 </w:instrText>
      </w:r>
      <w:r>
        <w:fldChar w:fldCharType="end"/>
      </w:r>
      <w:r>
        <w:t> </w:t>
      </w:r>
    </w:p>
    <w:p w14:paraId="7EFF571E" w14:textId="77777777" w:rsidR="00953D72" w:rsidRDefault="00953D72">
      <w:pPr>
        <w:pStyle w:val="BodyText"/>
      </w:pPr>
      <w:r>
        <w:t> Should this docket be closed?</w:t>
      </w:r>
    </w:p>
    <w:p w14:paraId="24BE171B" w14:textId="77777777" w:rsidR="00953D72" w:rsidRPr="004C3641" w:rsidRDefault="00953D72">
      <w:pPr>
        <w:pStyle w:val="IssueSubsectionHeading"/>
        <w:rPr>
          <w:vanish/>
          <w:specVanish/>
        </w:rPr>
      </w:pPr>
      <w:r w:rsidRPr="004C3641">
        <w:t>Recommendation: </w:t>
      </w:r>
    </w:p>
    <w:p w14:paraId="2B892E5E" w14:textId="5BEAF3E9" w:rsidR="00953D72" w:rsidRDefault="00953D72">
      <w:pPr>
        <w:pStyle w:val="BodyText"/>
      </w:pPr>
      <w:r>
        <w:t> </w:t>
      </w:r>
      <w:r w:rsidR="00FD0BAC">
        <w:t xml:space="preserve">This docket should remain open pending final resolution of </w:t>
      </w:r>
      <w:r w:rsidR="00F16342">
        <w:t>SARC</w:t>
      </w:r>
      <w:r w:rsidR="00FD0BAC">
        <w:t>.</w:t>
      </w:r>
      <w:r>
        <w:t xml:space="preserve"> (</w:t>
      </w:r>
      <w:r w:rsidRPr="00953D72">
        <w:t>Imig, Augspurger</w:t>
      </w:r>
      <w:r>
        <w:t>)</w:t>
      </w:r>
    </w:p>
    <w:p w14:paraId="48C49188" w14:textId="77777777" w:rsidR="00953D72" w:rsidRPr="004C3641" w:rsidRDefault="00953D72">
      <w:pPr>
        <w:pStyle w:val="IssueSubsectionHeading"/>
        <w:rPr>
          <w:vanish/>
          <w:specVanish/>
        </w:rPr>
      </w:pPr>
      <w:r w:rsidRPr="004C3641">
        <w:t>Staff Analysis: </w:t>
      </w:r>
    </w:p>
    <w:p w14:paraId="380FEFE4" w14:textId="1FCFF7B6" w:rsidR="00953D72" w:rsidRDefault="00953D72">
      <w:pPr>
        <w:pStyle w:val="BodyText"/>
      </w:pPr>
      <w:r>
        <w:t> </w:t>
      </w:r>
      <w:r w:rsidR="00FD0BAC">
        <w:t xml:space="preserve">This docket should remain open pending final resolution of </w:t>
      </w:r>
      <w:r w:rsidR="00F16342">
        <w:t>SARC</w:t>
      </w:r>
      <w:r w:rsidR="00FD0BAC">
        <w:t>.</w:t>
      </w:r>
    </w:p>
    <w:p w14:paraId="5672BD5E" w14:textId="77777777"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CCC74" w14:textId="77777777" w:rsidR="00DB08F6" w:rsidRDefault="00DB08F6">
      <w:r>
        <w:separator/>
      </w:r>
    </w:p>
  </w:endnote>
  <w:endnote w:type="continuationSeparator" w:id="0">
    <w:p w14:paraId="56263972" w14:textId="77777777" w:rsidR="00DB08F6" w:rsidRDefault="00DB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8C16" w14:textId="77777777" w:rsidR="003F432D" w:rsidRDefault="003F4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003A" w14:textId="1C34D36E"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347CC">
      <w:rPr>
        <w:rStyle w:val="PageNumber"/>
        <w:noProof/>
      </w:rPr>
      <w:t>8</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C90F" w14:textId="77777777" w:rsidR="003F432D" w:rsidRDefault="003F43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8C2B"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0736D" w14:textId="77777777" w:rsidR="00DB08F6" w:rsidRDefault="00DB08F6">
      <w:r>
        <w:separator/>
      </w:r>
    </w:p>
  </w:footnote>
  <w:footnote w:type="continuationSeparator" w:id="0">
    <w:p w14:paraId="5E15C993" w14:textId="77777777" w:rsidR="00DB08F6" w:rsidRDefault="00DB08F6">
      <w:r>
        <w:continuationSeparator/>
      </w:r>
    </w:p>
  </w:footnote>
  <w:footnote w:id="1">
    <w:p w14:paraId="6F3D8767" w14:textId="1BA2AAA1" w:rsidR="00505E46" w:rsidRDefault="00505E46">
      <w:pPr>
        <w:pStyle w:val="FootnoteText"/>
      </w:pPr>
      <w:r>
        <w:rPr>
          <w:rStyle w:val="FootnoteReference"/>
        </w:rPr>
        <w:footnoteRef/>
      </w:r>
      <w:r w:rsidRPr="00505E46">
        <w:t xml:space="preserve">Order No. PSC-2024-0228-PAA-WS, issued July 8, 2024, in Docket No. 20220142-WS, </w:t>
      </w:r>
      <w:r w:rsidRPr="00505E46">
        <w:rPr>
          <w:i/>
        </w:rPr>
        <w:t>In re: Application for transfer of water and wastewater facilities and Certificate Nos. 589-W and 507-S from Grenelefe Resort Utility, Inc. to NC Real Estate Projects, LLC d/b/a Grenelefe Utility, in Polk County</w:t>
      </w:r>
      <w:r>
        <w:rPr>
          <w:i/>
        </w:rPr>
        <w:t>.</w:t>
      </w:r>
    </w:p>
  </w:footnote>
  <w:footnote w:id="2">
    <w:p w14:paraId="137717B2" w14:textId="58A72B2E" w:rsidR="004C1A3E" w:rsidRDefault="004C1A3E">
      <w:pPr>
        <w:pStyle w:val="FootnoteText"/>
      </w:pPr>
      <w:r>
        <w:rPr>
          <w:rStyle w:val="FootnoteReference"/>
        </w:rPr>
        <w:footnoteRef/>
      </w:r>
      <w:r>
        <w:t xml:space="preserve">Order No. PSC-2012-0433-PAA-WU, issued August 21, 2012, in Docket No. 20110141-WS, </w:t>
      </w:r>
      <w:r w:rsidRPr="004C1A3E">
        <w:rPr>
          <w:i/>
        </w:rPr>
        <w:t>In re: Application for staff-assisted rate case in Polk County by Grenelefe Resort Utility, Inc.</w:t>
      </w:r>
      <w:r>
        <w:t xml:space="preserve"> </w:t>
      </w:r>
    </w:p>
  </w:footnote>
  <w:footnote w:id="3">
    <w:p w14:paraId="56E73438" w14:textId="1EBE736F" w:rsidR="00EF6D2E" w:rsidRDefault="00EF6D2E" w:rsidP="00EF6D2E">
      <w:pPr>
        <w:pStyle w:val="FootnoteText"/>
      </w:pPr>
      <w:r>
        <w:rPr>
          <w:rStyle w:val="FootnoteReference"/>
        </w:rPr>
        <w:footnoteRef/>
      </w:r>
      <w:r>
        <w:t>Document No. 00967-2025.</w:t>
      </w:r>
    </w:p>
  </w:footnote>
  <w:footnote w:id="4">
    <w:p w14:paraId="3CCC79CC" w14:textId="303AF8CB" w:rsidR="00EF6D2E" w:rsidRDefault="00EF6D2E">
      <w:pPr>
        <w:pStyle w:val="FootnoteText"/>
      </w:pPr>
      <w:r>
        <w:rPr>
          <w:rStyle w:val="FootnoteReference"/>
        </w:rPr>
        <w:footnoteRef/>
      </w:r>
      <w:r>
        <w:t>Document No. 01438-2025.</w:t>
      </w:r>
    </w:p>
  </w:footnote>
  <w:footnote w:id="5">
    <w:p w14:paraId="649DDC6E" w14:textId="444EC95C" w:rsidR="00EF6D2E" w:rsidRDefault="00EF6D2E">
      <w:pPr>
        <w:pStyle w:val="FootnoteText"/>
      </w:pPr>
      <w:r>
        <w:rPr>
          <w:rStyle w:val="FootnoteReference"/>
        </w:rPr>
        <w:footnoteRef/>
      </w:r>
      <w:r>
        <w:t>Document No. 03150-2025.</w:t>
      </w:r>
    </w:p>
  </w:footnote>
  <w:footnote w:id="6">
    <w:p w14:paraId="07EF1989" w14:textId="6FBDEB41" w:rsidR="004E2530" w:rsidRDefault="004E2530">
      <w:pPr>
        <w:pStyle w:val="FootnoteText"/>
      </w:pPr>
      <w:r>
        <w:rPr>
          <w:rStyle w:val="FootnoteReference"/>
        </w:rPr>
        <w:footnoteRef/>
      </w:r>
      <w:r>
        <w:t>See Letter from Grenelefe dated July 25, 2025, Document No. 08018-2025.</w:t>
      </w:r>
    </w:p>
  </w:footnote>
  <w:footnote w:id="7">
    <w:p w14:paraId="6E6C69B0" w14:textId="51E0D1C3" w:rsidR="001C3FEC" w:rsidRDefault="001C3FEC">
      <w:pPr>
        <w:pStyle w:val="FootnoteText"/>
      </w:pPr>
      <w:r>
        <w:rPr>
          <w:rStyle w:val="FootnoteReference"/>
        </w:rPr>
        <w:footnoteRef/>
      </w:r>
      <w:r>
        <w:t xml:space="preserve">Order No. PSC-2024-0228-PAA-WS, issued July 8, 2024, in Docket No. 20220142-WS, </w:t>
      </w:r>
      <w:r w:rsidRPr="001C3FEC">
        <w:rPr>
          <w:i/>
        </w:rPr>
        <w:t>In re: Application for transfer of water and wastewater facilities and Certificate Nos. 589-W and 507-S from Grenelefe Resort Utility, Inc. to NC Real Estate Projects, LLC d/b/a Grenelefe Utility, in Polk County.</w:t>
      </w:r>
    </w:p>
  </w:footnote>
  <w:footnote w:id="8">
    <w:p w14:paraId="326DFB55" w14:textId="329BA2FB" w:rsidR="009460E6" w:rsidRDefault="009460E6" w:rsidP="009460E6">
      <w:pPr>
        <w:pStyle w:val="FootnoteText"/>
      </w:pPr>
      <w:r>
        <w:rPr>
          <w:rStyle w:val="FootnoteReference"/>
        </w:rPr>
        <w:footnoteRef/>
      </w:r>
      <w:r>
        <w:t xml:space="preserve">Order No. PSC-2005-0142-PAA-WS, issued February 7, 2005, in Docket No. 20030123-WS, </w:t>
      </w:r>
      <w:r w:rsidRPr="001C499B">
        <w:rPr>
          <w:i/>
        </w:rPr>
        <w:t xml:space="preserve">In re: Application for transfer of majority organizational control of Sports Shinko Utility, Inc. d/b/a Grenelefe Utilities in Polk County and for name change on Certificate Nos. 589-W and 507-S to Grenelefe Resort </w:t>
      </w:r>
      <w:r w:rsidR="000B6A12" w:rsidRPr="001C499B">
        <w:rPr>
          <w:i/>
        </w:rPr>
        <w:t>Utility</w:t>
      </w:r>
      <w:r w:rsidRPr="001C499B">
        <w:rPr>
          <w:i/>
        </w:rPr>
        <w:t>, Inc.</w:t>
      </w:r>
      <w:r>
        <w:t xml:space="preserve"> </w:t>
      </w:r>
    </w:p>
  </w:footnote>
  <w:footnote w:id="9">
    <w:p w14:paraId="39017AE4" w14:textId="21BBAAD9" w:rsidR="00AB54A8" w:rsidRDefault="00AB54A8">
      <w:pPr>
        <w:pStyle w:val="FootnoteText"/>
      </w:pPr>
      <w:r>
        <w:rPr>
          <w:rStyle w:val="FootnoteReference"/>
        </w:rPr>
        <w:footnoteRef/>
      </w:r>
      <w:r w:rsidR="002B6FF7">
        <w:t xml:space="preserve">Order No. </w:t>
      </w:r>
      <w:r w:rsidR="0015128C">
        <w:t xml:space="preserve">PSC-1993-1732-FOF-WS, issued December 1, 1993, in Docket No. </w:t>
      </w:r>
      <w:r w:rsidR="00361561">
        <w:t>19930171</w:t>
      </w:r>
      <w:r w:rsidR="00F16342">
        <w:t xml:space="preserve">, </w:t>
      </w:r>
      <w:r w:rsidR="00F16342" w:rsidRPr="00B619BB">
        <w:rPr>
          <w:i/>
        </w:rPr>
        <w:t>In re: Application for approval of service availability Charges in Martin County by Indiantown Company, Inc.</w:t>
      </w:r>
      <w:r w:rsidR="00F16342">
        <w:t xml:space="preserve"> </w:t>
      </w:r>
    </w:p>
  </w:footnote>
  <w:footnote w:id="10">
    <w:p w14:paraId="365FA745" w14:textId="77777777" w:rsidR="00396768" w:rsidRPr="00AA6277" w:rsidRDefault="00396768" w:rsidP="00396768">
      <w:pPr>
        <w:pStyle w:val="FootnoteText"/>
      </w:pPr>
      <w:r>
        <w:rPr>
          <w:rStyle w:val="FootnoteReference"/>
        </w:rPr>
        <w:footnoteRef/>
      </w:r>
      <w:r>
        <w:t xml:space="preserve">Orders Nos. PSC-2012-0435-PAA-WU, issued August 22, 2012, in Docket No. 1999143-WU, </w:t>
      </w:r>
      <w:r w:rsidRPr="00AA6277">
        <w:rPr>
          <w:i/>
        </w:rPr>
        <w:t>In re: Application for increase in water rates in Franklin County by Water Management Services, Inc.</w:t>
      </w:r>
      <w:r>
        <w:t xml:space="preserve"> and Order No. PSC-2000-1528-PAA-WU, issued August 23, 2000, in Docket No. 19991437-WU, </w:t>
      </w:r>
      <w:r w:rsidRPr="00AA6277">
        <w:rPr>
          <w:i/>
        </w:rPr>
        <w:t>In re: Application for increase in water rates in Orange County by Wedgefield Utilities, Inc.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3566" w14:textId="77777777" w:rsidR="003F432D" w:rsidRDefault="003F4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73C5" w14:textId="77777777" w:rsidR="00BC402E" w:rsidRDefault="0051277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20250023-WS</w:t>
    </w:r>
    <w:bookmarkEnd w:id="15"/>
  </w:p>
  <w:p w14:paraId="10D932EC" w14:textId="356BB62E" w:rsidR="00BC402E" w:rsidRDefault="00BC402E">
    <w:pPr>
      <w:pStyle w:val="Header"/>
    </w:pPr>
    <w:r>
      <w:t xml:space="preserve">Date: </w:t>
    </w:r>
    <w:r w:rsidR="007E4ED3">
      <w:fldChar w:fldCharType="begin"/>
    </w:r>
    <w:r w:rsidR="007E4ED3">
      <w:instrText xml:space="preserve"> REF Fili</w:instrText>
    </w:r>
    <w:r w:rsidR="007E4ED3">
      <w:instrText xml:space="preserve">ngDate </w:instrText>
    </w:r>
    <w:r w:rsidR="007E4ED3">
      <w:fldChar w:fldCharType="separate"/>
    </w:r>
    <w:r w:rsidR="003F432D">
      <w:t>August 22, 2025</w:t>
    </w:r>
    <w:r w:rsidR="007E4ED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1B07" w14:textId="77777777" w:rsidR="003F432D" w:rsidRDefault="003F43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131D" w14:textId="7FCE6B8D"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F432D">
      <w:t>Docket No.</w:t>
    </w:r>
    <w:r>
      <w:fldChar w:fldCharType="end"/>
    </w:r>
    <w:r>
      <w:t xml:space="preserve"> </w:t>
    </w:r>
    <w:r>
      <w:fldChar w:fldCharType="begin"/>
    </w:r>
    <w:r>
      <w:instrText xml:space="preserve"> REF DocketList</w:instrText>
    </w:r>
    <w:r>
      <w:fldChar w:fldCharType="separate"/>
    </w:r>
    <w:r w:rsidR="003F432D">
      <w:t>20250023-WS</w:t>
    </w:r>
    <w:r>
      <w:fldChar w:fldCharType="end"/>
    </w:r>
    <w:r>
      <w:tab/>
      <w:t xml:space="preserve">Issue </w:t>
    </w:r>
    <w:r w:rsidR="007E4ED3">
      <w:fldChar w:fldCharType="begin"/>
    </w:r>
    <w:r w:rsidR="007E4ED3">
      <w:instrText xml:space="preserve"> Seq Issue \c \* Arabic </w:instrText>
    </w:r>
    <w:r w:rsidR="007E4ED3">
      <w:fldChar w:fldCharType="separate"/>
    </w:r>
    <w:r w:rsidR="004347CC">
      <w:rPr>
        <w:noProof/>
      </w:rPr>
      <w:t>3</w:t>
    </w:r>
    <w:r w:rsidR="007E4ED3">
      <w:rPr>
        <w:noProof/>
      </w:rPr>
      <w:fldChar w:fldCharType="end"/>
    </w:r>
  </w:p>
  <w:p w14:paraId="3DA5FC27" w14:textId="02FFC41D" w:rsidR="00BC402E" w:rsidRDefault="00BC402E">
    <w:pPr>
      <w:pStyle w:val="Header"/>
    </w:pPr>
    <w:r>
      <w:t xml:space="preserve">Date: </w:t>
    </w:r>
    <w:r w:rsidR="007E4ED3">
      <w:fldChar w:fldCharType="begin"/>
    </w:r>
    <w:r w:rsidR="007E4ED3">
      <w:instrText xml:space="preserve"> REF FilingDate </w:instrText>
    </w:r>
    <w:r w:rsidR="007E4ED3">
      <w:fldChar w:fldCharType="separate"/>
    </w:r>
    <w:r w:rsidR="003F432D">
      <w:t>August 22, 2025</w:t>
    </w:r>
    <w:r w:rsidR="007E4ED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507E4"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512776"/>
    <w:rsid w:val="000043D5"/>
    <w:rsid w:val="00006170"/>
    <w:rsid w:val="00010E37"/>
    <w:rsid w:val="000172DA"/>
    <w:rsid w:val="00022008"/>
    <w:rsid w:val="00022337"/>
    <w:rsid w:val="00023A0E"/>
    <w:rsid w:val="000247C5"/>
    <w:rsid w:val="00024D4D"/>
    <w:rsid w:val="000277C2"/>
    <w:rsid w:val="00032758"/>
    <w:rsid w:val="00035B48"/>
    <w:rsid w:val="00036CE2"/>
    <w:rsid w:val="000437FE"/>
    <w:rsid w:val="00046372"/>
    <w:rsid w:val="000513BE"/>
    <w:rsid w:val="00051573"/>
    <w:rsid w:val="0005451B"/>
    <w:rsid w:val="000546EE"/>
    <w:rsid w:val="00065A06"/>
    <w:rsid w:val="000666F3"/>
    <w:rsid w:val="00066C79"/>
    <w:rsid w:val="00070DCB"/>
    <w:rsid w:val="00071CFB"/>
    <w:rsid w:val="00072CCA"/>
    <w:rsid w:val="00073120"/>
    <w:rsid w:val="000764D0"/>
    <w:rsid w:val="000828D3"/>
    <w:rsid w:val="00087A0E"/>
    <w:rsid w:val="00090DB4"/>
    <w:rsid w:val="00097804"/>
    <w:rsid w:val="000A2B57"/>
    <w:rsid w:val="000A418B"/>
    <w:rsid w:val="000B0ACE"/>
    <w:rsid w:val="000B6A12"/>
    <w:rsid w:val="000C33E1"/>
    <w:rsid w:val="000C4431"/>
    <w:rsid w:val="000C5435"/>
    <w:rsid w:val="000C6607"/>
    <w:rsid w:val="000D1C06"/>
    <w:rsid w:val="000D3043"/>
    <w:rsid w:val="000D4319"/>
    <w:rsid w:val="000D4831"/>
    <w:rsid w:val="000E24FA"/>
    <w:rsid w:val="000E338A"/>
    <w:rsid w:val="000E4392"/>
    <w:rsid w:val="000E620E"/>
    <w:rsid w:val="000F374A"/>
    <w:rsid w:val="000F4DAF"/>
    <w:rsid w:val="000F53C1"/>
    <w:rsid w:val="00105BA1"/>
    <w:rsid w:val="001066FE"/>
    <w:rsid w:val="001076AF"/>
    <w:rsid w:val="001109F6"/>
    <w:rsid w:val="00116C6B"/>
    <w:rsid w:val="00117C8C"/>
    <w:rsid w:val="001239F0"/>
    <w:rsid w:val="00124C38"/>
    <w:rsid w:val="00124E2E"/>
    <w:rsid w:val="00125ED4"/>
    <w:rsid w:val="00126C32"/>
    <w:rsid w:val="00127E1E"/>
    <w:rsid w:val="001303BF"/>
    <w:rsid w:val="001305E9"/>
    <w:rsid w:val="001307AF"/>
    <w:rsid w:val="0013347E"/>
    <w:rsid w:val="00135687"/>
    <w:rsid w:val="00136BD1"/>
    <w:rsid w:val="00144EA5"/>
    <w:rsid w:val="00146B5D"/>
    <w:rsid w:val="00150ECE"/>
    <w:rsid w:val="0015128C"/>
    <w:rsid w:val="0015506E"/>
    <w:rsid w:val="00157CCC"/>
    <w:rsid w:val="00163031"/>
    <w:rsid w:val="001654C4"/>
    <w:rsid w:val="0016701C"/>
    <w:rsid w:val="00171A90"/>
    <w:rsid w:val="00180254"/>
    <w:rsid w:val="00191E1F"/>
    <w:rsid w:val="00191EE8"/>
    <w:rsid w:val="00192943"/>
    <w:rsid w:val="00193BAF"/>
    <w:rsid w:val="00194791"/>
    <w:rsid w:val="001A206F"/>
    <w:rsid w:val="001A7406"/>
    <w:rsid w:val="001A7AE4"/>
    <w:rsid w:val="001B1EDC"/>
    <w:rsid w:val="001B4053"/>
    <w:rsid w:val="001B4FEE"/>
    <w:rsid w:val="001B51C5"/>
    <w:rsid w:val="001B5546"/>
    <w:rsid w:val="001B5C10"/>
    <w:rsid w:val="001B672A"/>
    <w:rsid w:val="001B6AD2"/>
    <w:rsid w:val="001B6F3F"/>
    <w:rsid w:val="001C13F4"/>
    <w:rsid w:val="001C3FEC"/>
    <w:rsid w:val="001C499B"/>
    <w:rsid w:val="001C52B5"/>
    <w:rsid w:val="001D0D3E"/>
    <w:rsid w:val="001D1D04"/>
    <w:rsid w:val="001D2817"/>
    <w:rsid w:val="001D2899"/>
    <w:rsid w:val="001E14A3"/>
    <w:rsid w:val="001E217F"/>
    <w:rsid w:val="001E390F"/>
    <w:rsid w:val="001E7FF4"/>
    <w:rsid w:val="001F1D48"/>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587E"/>
    <w:rsid w:val="00263D44"/>
    <w:rsid w:val="002702AD"/>
    <w:rsid w:val="00274242"/>
    <w:rsid w:val="00276934"/>
    <w:rsid w:val="00281EB4"/>
    <w:rsid w:val="002923B4"/>
    <w:rsid w:val="00292D82"/>
    <w:rsid w:val="00293EE7"/>
    <w:rsid w:val="002963CB"/>
    <w:rsid w:val="002B2DAC"/>
    <w:rsid w:val="002B4A01"/>
    <w:rsid w:val="002B6FF7"/>
    <w:rsid w:val="002C291B"/>
    <w:rsid w:val="002C746A"/>
    <w:rsid w:val="002C7E4E"/>
    <w:rsid w:val="002D226D"/>
    <w:rsid w:val="002D452B"/>
    <w:rsid w:val="002D74E3"/>
    <w:rsid w:val="002F6030"/>
    <w:rsid w:val="003001AC"/>
    <w:rsid w:val="003037E1"/>
    <w:rsid w:val="00307E51"/>
    <w:rsid w:val="003103EC"/>
    <w:rsid w:val="00312132"/>
    <w:rsid w:val="003130BA"/>
    <w:rsid w:val="003144EF"/>
    <w:rsid w:val="0031480E"/>
    <w:rsid w:val="00316877"/>
    <w:rsid w:val="0031775B"/>
    <w:rsid w:val="00322F74"/>
    <w:rsid w:val="003247BD"/>
    <w:rsid w:val="00325E15"/>
    <w:rsid w:val="00325EF9"/>
    <w:rsid w:val="003331B1"/>
    <w:rsid w:val="00335116"/>
    <w:rsid w:val="00340073"/>
    <w:rsid w:val="003411D8"/>
    <w:rsid w:val="0034192C"/>
    <w:rsid w:val="003445B0"/>
    <w:rsid w:val="00353B66"/>
    <w:rsid w:val="00355934"/>
    <w:rsid w:val="00356867"/>
    <w:rsid w:val="00357928"/>
    <w:rsid w:val="0036010E"/>
    <w:rsid w:val="00361561"/>
    <w:rsid w:val="003624E3"/>
    <w:rsid w:val="003632FD"/>
    <w:rsid w:val="00370F78"/>
    <w:rsid w:val="00372805"/>
    <w:rsid w:val="00373180"/>
    <w:rsid w:val="00375AB9"/>
    <w:rsid w:val="0037691E"/>
    <w:rsid w:val="003821A0"/>
    <w:rsid w:val="00385B04"/>
    <w:rsid w:val="003864CF"/>
    <w:rsid w:val="00390B5D"/>
    <w:rsid w:val="003948AE"/>
    <w:rsid w:val="00396768"/>
    <w:rsid w:val="003A08C0"/>
    <w:rsid w:val="003A22A6"/>
    <w:rsid w:val="003A32EB"/>
    <w:rsid w:val="003A5494"/>
    <w:rsid w:val="003B2510"/>
    <w:rsid w:val="003B4355"/>
    <w:rsid w:val="003B5D0A"/>
    <w:rsid w:val="003C0A88"/>
    <w:rsid w:val="003C2CC4"/>
    <w:rsid w:val="003C3710"/>
    <w:rsid w:val="003C42A3"/>
    <w:rsid w:val="003C48F7"/>
    <w:rsid w:val="003E0463"/>
    <w:rsid w:val="003E0EFC"/>
    <w:rsid w:val="003E4A2B"/>
    <w:rsid w:val="003E5BDD"/>
    <w:rsid w:val="003E6C58"/>
    <w:rsid w:val="003E6FE9"/>
    <w:rsid w:val="003E76C2"/>
    <w:rsid w:val="003E7951"/>
    <w:rsid w:val="003F1367"/>
    <w:rsid w:val="003F1679"/>
    <w:rsid w:val="003F21EB"/>
    <w:rsid w:val="003F432D"/>
    <w:rsid w:val="003F4A35"/>
    <w:rsid w:val="003F5F03"/>
    <w:rsid w:val="003F7FDD"/>
    <w:rsid w:val="0040033C"/>
    <w:rsid w:val="00400E4A"/>
    <w:rsid w:val="00402101"/>
    <w:rsid w:val="00402481"/>
    <w:rsid w:val="00402978"/>
    <w:rsid w:val="004042B4"/>
    <w:rsid w:val="00410DC4"/>
    <w:rsid w:val="00412DAE"/>
    <w:rsid w:val="0041302D"/>
    <w:rsid w:val="00417719"/>
    <w:rsid w:val="004242E6"/>
    <w:rsid w:val="00424708"/>
    <w:rsid w:val="00427B35"/>
    <w:rsid w:val="00431598"/>
    <w:rsid w:val="004319AD"/>
    <w:rsid w:val="00432E21"/>
    <w:rsid w:val="004339A7"/>
    <w:rsid w:val="004347CC"/>
    <w:rsid w:val="004426B8"/>
    <w:rsid w:val="00444432"/>
    <w:rsid w:val="00447D5C"/>
    <w:rsid w:val="00450202"/>
    <w:rsid w:val="004502B2"/>
    <w:rsid w:val="00455499"/>
    <w:rsid w:val="00462ED3"/>
    <w:rsid w:val="004649A7"/>
    <w:rsid w:val="00471860"/>
    <w:rsid w:val="00471DFE"/>
    <w:rsid w:val="00477026"/>
    <w:rsid w:val="00477730"/>
    <w:rsid w:val="004A19E1"/>
    <w:rsid w:val="004A4963"/>
    <w:rsid w:val="004A744D"/>
    <w:rsid w:val="004B60BD"/>
    <w:rsid w:val="004C1A3E"/>
    <w:rsid w:val="004C3150"/>
    <w:rsid w:val="004C3641"/>
    <w:rsid w:val="004C3873"/>
    <w:rsid w:val="004C4390"/>
    <w:rsid w:val="004C4AF7"/>
    <w:rsid w:val="004C7501"/>
    <w:rsid w:val="004D020C"/>
    <w:rsid w:val="004D2881"/>
    <w:rsid w:val="004D2D7D"/>
    <w:rsid w:val="004D385F"/>
    <w:rsid w:val="004D5B39"/>
    <w:rsid w:val="004D7976"/>
    <w:rsid w:val="004E0CEA"/>
    <w:rsid w:val="004E2530"/>
    <w:rsid w:val="004E330D"/>
    <w:rsid w:val="004E4985"/>
    <w:rsid w:val="004E5147"/>
    <w:rsid w:val="004E69B5"/>
    <w:rsid w:val="004F50D1"/>
    <w:rsid w:val="004F5C43"/>
    <w:rsid w:val="005050A2"/>
    <w:rsid w:val="00505510"/>
    <w:rsid w:val="00505E46"/>
    <w:rsid w:val="00506030"/>
    <w:rsid w:val="0050652D"/>
    <w:rsid w:val="00506C03"/>
    <w:rsid w:val="00507A0F"/>
    <w:rsid w:val="00511A11"/>
    <w:rsid w:val="00512776"/>
    <w:rsid w:val="00513D64"/>
    <w:rsid w:val="00516496"/>
    <w:rsid w:val="00522E7D"/>
    <w:rsid w:val="005234F9"/>
    <w:rsid w:val="00523B11"/>
    <w:rsid w:val="0052455B"/>
    <w:rsid w:val="0052572A"/>
    <w:rsid w:val="005273E7"/>
    <w:rsid w:val="00532DFB"/>
    <w:rsid w:val="00541341"/>
    <w:rsid w:val="00543CB3"/>
    <w:rsid w:val="005442E4"/>
    <w:rsid w:val="00547652"/>
    <w:rsid w:val="0055529B"/>
    <w:rsid w:val="00560FF0"/>
    <w:rsid w:val="005614BD"/>
    <w:rsid w:val="0057154F"/>
    <w:rsid w:val="00580F69"/>
    <w:rsid w:val="00581CA3"/>
    <w:rsid w:val="00585031"/>
    <w:rsid w:val="00586E8B"/>
    <w:rsid w:val="00587090"/>
    <w:rsid w:val="00587A44"/>
    <w:rsid w:val="005952B0"/>
    <w:rsid w:val="00597730"/>
    <w:rsid w:val="005977EC"/>
    <w:rsid w:val="00597DE7"/>
    <w:rsid w:val="005A1CD3"/>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E503F"/>
    <w:rsid w:val="005E79A2"/>
    <w:rsid w:val="005F468D"/>
    <w:rsid w:val="005F5556"/>
    <w:rsid w:val="005F69A3"/>
    <w:rsid w:val="005F761A"/>
    <w:rsid w:val="00604CC7"/>
    <w:rsid w:val="00613441"/>
    <w:rsid w:val="00615423"/>
    <w:rsid w:val="006165B2"/>
    <w:rsid w:val="00617276"/>
    <w:rsid w:val="00621B84"/>
    <w:rsid w:val="0062527B"/>
    <w:rsid w:val="00625D97"/>
    <w:rsid w:val="00625D99"/>
    <w:rsid w:val="00625F1C"/>
    <w:rsid w:val="0062658E"/>
    <w:rsid w:val="006279E1"/>
    <w:rsid w:val="00630CEB"/>
    <w:rsid w:val="00632264"/>
    <w:rsid w:val="006355F2"/>
    <w:rsid w:val="006470BC"/>
    <w:rsid w:val="006554D3"/>
    <w:rsid w:val="006603F4"/>
    <w:rsid w:val="00661708"/>
    <w:rsid w:val="00662E0B"/>
    <w:rsid w:val="00665419"/>
    <w:rsid w:val="00666522"/>
    <w:rsid w:val="00667036"/>
    <w:rsid w:val="00667457"/>
    <w:rsid w:val="00667B89"/>
    <w:rsid w:val="00673BDB"/>
    <w:rsid w:val="00674341"/>
    <w:rsid w:val="006771B8"/>
    <w:rsid w:val="00680C29"/>
    <w:rsid w:val="00682631"/>
    <w:rsid w:val="00683A89"/>
    <w:rsid w:val="006843B6"/>
    <w:rsid w:val="0068481F"/>
    <w:rsid w:val="00693EA1"/>
    <w:rsid w:val="0069636F"/>
    <w:rsid w:val="00696F5D"/>
    <w:rsid w:val="00697249"/>
    <w:rsid w:val="00697E3B"/>
    <w:rsid w:val="006A06F3"/>
    <w:rsid w:val="006A1A67"/>
    <w:rsid w:val="006A7FF8"/>
    <w:rsid w:val="006B09C4"/>
    <w:rsid w:val="006B3947"/>
    <w:rsid w:val="006B3F8C"/>
    <w:rsid w:val="006B4293"/>
    <w:rsid w:val="006B624F"/>
    <w:rsid w:val="006C0C95"/>
    <w:rsid w:val="006C31E3"/>
    <w:rsid w:val="006D09DA"/>
    <w:rsid w:val="006D18D3"/>
    <w:rsid w:val="006D1EE9"/>
    <w:rsid w:val="006D339D"/>
    <w:rsid w:val="006D3BD1"/>
    <w:rsid w:val="006E010E"/>
    <w:rsid w:val="006E08CB"/>
    <w:rsid w:val="006E598D"/>
    <w:rsid w:val="006E6EB7"/>
    <w:rsid w:val="006F798F"/>
    <w:rsid w:val="0070437D"/>
    <w:rsid w:val="00704CF1"/>
    <w:rsid w:val="00705B04"/>
    <w:rsid w:val="0071040E"/>
    <w:rsid w:val="00717EE9"/>
    <w:rsid w:val="0072455C"/>
    <w:rsid w:val="00724992"/>
    <w:rsid w:val="00724F64"/>
    <w:rsid w:val="00727F90"/>
    <w:rsid w:val="00734820"/>
    <w:rsid w:val="007349DC"/>
    <w:rsid w:val="0074365E"/>
    <w:rsid w:val="00744B55"/>
    <w:rsid w:val="007515FD"/>
    <w:rsid w:val="00753AB2"/>
    <w:rsid w:val="00760D80"/>
    <w:rsid w:val="00761CB4"/>
    <w:rsid w:val="00780C09"/>
    <w:rsid w:val="00780DDF"/>
    <w:rsid w:val="007834E9"/>
    <w:rsid w:val="00787DBC"/>
    <w:rsid w:val="0079019A"/>
    <w:rsid w:val="00792935"/>
    <w:rsid w:val="007A04A1"/>
    <w:rsid w:val="007A1840"/>
    <w:rsid w:val="007A41DD"/>
    <w:rsid w:val="007B047E"/>
    <w:rsid w:val="007B730C"/>
    <w:rsid w:val="007C0528"/>
    <w:rsid w:val="007C0695"/>
    <w:rsid w:val="007C08EA"/>
    <w:rsid w:val="007C0FC1"/>
    <w:rsid w:val="007C3D38"/>
    <w:rsid w:val="007D0F35"/>
    <w:rsid w:val="007D1783"/>
    <w:rsid w:val="007D4546"/>
    <w:rsid w:val="007D4FEB"/>
    <w:rsid w:val="007D6146"/>
    <w:rsid w:val="007E0CE7"/>
    <w:rsid w:val="007E5041"/>
    <w:rsid w:val="007E658C"/>
    <w:rsid w:val="007E6DAF"/>
    <w:rsid w:val="007F1193"/>
    <w:rsid w:val="007F417F"/>
    <w:rsid w:val="007F7644"/>
    <w:rsid w:val="008014C5"/>
    <w:rsid w:val="00801759"/>
    <w:rsid w:val="008042BD"/>
    <w:rsid w:val="00804E17"/>
    <w:rsid w:val="008050B3"/>
    <w:rsid w:val="00816624"/>
    <w:rsid w:val="00822427"/>
    <w:rsid w:val="00822562"/>
    <w:rsid w:val="00823663"/>
    <w:rsid w:val="00823664"/>
    <w:rsid w:val="008305B7"/>
    <w:rsid w:val="00832DDC"/>
    <w:rsid w:val="00841070"/>
    <w:rsid w:val="008426B0"/>
    <w:rsid w:val="008431BB"/>
    <w:rsid w:val="00845E34"/>
    <w:rsid w:val="00846C6C"/>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978D9"/>
    <w:rsid w:val="008B5C68"/>
    <w:rsid w:val="008B62AE"/>
    <w:rsid w:val="008C04B5"/>
    <w:rsid w:val="008C14FA"/>
    <w:rsid w:val="008C5F20"/>
    <w:rsid w:val="008C7B0B"/>
    <w:rsid w:val="008D4057"/>
    <w:rsid w:val="008E1F19"/>
    <w:rsid w:val="008E4E39"/>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36B8B"/>
    <w:rsid w:val="009429FF"/>
    <w:rsid w:val="009444D1"/>
    <w:rsid w:val="00945BD6"/>
    <w:rsid w:val="009460E6"/>
    <w:rsid w:val="009479FB"/>
    <w:rsid w:val="00951C45"/>
    <w:rsid w:val="00951DD8"/>
    <w:rsid w:val="00953D72"/>
    <w:rsid w:val="0096053F"/>
    <w:rsid w:val="00961594"/>
    <w:rsid w:val="00962F43"/>
    <w:rsid w:val="009656F2"/>
    <w:rsid w:val="00966A08"/>
    <w:rsid w:val="009701B7"/>
    <w:rsid w:val="00971207"/>
    <w:rsid w:val="00972FDC"/>
    <w:rsid w:val="00975CB4"/>
    <w:rsid w:val="009863B0"/>
    <w:rsid w:val="00987DE1"/>
    <w:rsid w:val="00990571"/>
    <w:rsid w:val="00991905"/>
    <w:rsid w:val="009926B2"/>
    <w:rsid w:val="0099673A"/>
    <w:rsid w:val="009A3291"/>
    <w:rsid w:val="009A3330"/>
    <w:rsid w:val="009A548F"/>
    <w:rsid w:val="009A7C96"/>
    <w:rsid w:val="009B0473"/>
    <w:rsid w:val="009B483E"/>
    <w:rsid w:val="009B61BF"/>
    <w:rsid w:val="009C18AE"/>
    <w:rsid w:val="009C3253"/>
    <w:rsid w:val="009C3DB9"/>
    <w:rsid w:val="009C5968"/>
    <w:rsid w:val="009D0436"/>
    <w:rsid w:val="009D46E5"/>
    <w:rsid w:val="009D568A"/>
    <w:rsid w:val="009D56E5"/>
    <w:rsid w:val="009E7956"/>
    <w:rsid w:val="009F04EC"/>
    <w:rsid w:val="009F2A7C"/>
    <w:rsid w:val="009F3B36"/>
    <w:rsid w:val="009F5963"/>
    <w:rsid w:val="00A019B9"/>
    <w:rsid w:val="00A03157"/>
    <w:rsid w:val="00A11756"/>
    <w:rsid w:val="00A12497"/>
    <w:rsid w:val="00A12508"/>
    <w:rsid w:val="00A1282B"/>
    <w:rsid w:val="00A13A27"/>
    <w:rsid w:val="00A15B7C"/>
    <w:rsid w:val="00A175B6"/>
    <w:rsid w:val="00A21835"/>
    <w:rsid w:val="00A2374B"/>
    <w:rsid w:val="00A23AAB"/>
    <w:rsid w:val="00A23D95"/>
    <w:rsid w:val="00A27D6E"/>
    <w:rsid w:val="00A328EC"/>
    <w:rsid w:val="00A33A51"/>
    <w:rsid w:val="00A41CA6"/>
    <w:rsid w:val="00A431ED"/>
    <w:rsid w:val="00A47160"/>
    <w:rsid w:val="00A47927"/>
    <w:rsid w:val="00A47FFC"/>
    <w:rsid w:val="00A5442F"/>
    <w:rsid w:val="00A54FF9"/>
    <w:rsid w:val="00A56765"/>
    <w:rsid w:val="00A675AC"/>
    <w:rsid w:val="00A7097D"/>
    <w:rsid w:val="00A7581F"/>
    <w:rsid w:val="00A81274"/>
    <w:rsid w:val="00A86ACA"/>
    <w:rsid w:val="00A90058"/>
    <w:rsid w:val="00A92439"/>
    <w:rsid w:val="00A92FB1"/>
    <w:rsid w:val="00A95980"/>
    <w:rsid w:val="00A95A0C"/>
    <w:rsid w:val="00AA2765"/>
    <w:rsid w:val="00AA6277"/>
    <w:rsid w:val="00AA77B5"/>
    <w:rsid w:val="00AB54A8"/>
    <w:rsid w:val="00AB6C5D"/>
    <w:rsid w:val="00AC3401"/>
    <w:rsid w:val="00AC51A7"/>
    <w:rsid w:val="00AC603B"/>
    <w:rsid w:val="00AD0E89"/>
    <w:rsid w:val="00AD1D87"/>
    <w:rsid w:val="00AD444B"/>
    <w:rsid w:val="00AD5614"/>
    <w:rsid w:val="00AD6C78"/>
    <w:rsid w:val="00AE03F0"/>
    <w:rsid w:val="00AE2EAB"/>
    <w:rsid w:val="00AF13D0"/>
    <w:rsid w:val="00AF2B13"/>
    <w:rsid w:val="00AF2F27"/>
    <w:rsid w:val="00AF3D9B"/>
    <w:rsid w:val="00AF5E0E"/>
    <w:rsid w:val="00AF5F89"/>
    <w:rsid w:val="00AF6FB4"/>
    <w:rsid w:val="00AF73CB"/>
    <w:rsid w:val="00B002D6"/>
    <w:rsid w:val="00B02EF0"/>
    <w:rsid w:val="00B03379"/>
    <w:rsid w:val="00B03FA5"/>
    <w:rsid w:val="00B04110"/>
    <w:rsid w:val="00B04820"/>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B45"/>
    <w:rsid w:val="00B516ED"/>
    <w:rsid w:val="00B52827"/>
    <w:rsid w:val="00B565DA"/>
    <w:rsid w:val="00B57A6A"/>
    <w:rsid w:val="00B619BB"/>
    <w:rsid w:val="00B62D0D"/>
    <w:rsid w:val="00B716C6"/>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0FB7"/>
    <w:rsid w:val="00BB1F71"/>
    <w:rsid w:val="00BB3493"/>
    <w:rsid w:val="00BB6E4C"/>
    <w:rsid w:val="00BB7468"/>
    <w:rsid w:val="00BC0514"/>
    <w:rsid w:val="00BC0EBD"/>
    <w:rsid w:val="00BC188A"/>
    <w:rsid w:val="00BC3B87"/>
    <w:rsid w:val="00BC402E"/>
    <w:rsid w:val="00BC70C6"/>
    <w:rsid w:val="00BD0F48"/>
    <w:rsid w:val="00BD14E5"/>
    <w:rsid w:val="00BE0E50"/>
    <w:rsid w:val="00BE6DDB"/>
    <w:rsid w:val="00BE6FDA"/>
    <w:rsid w:val="00BF03E0"/>
    <w:rsid w:val="00BF5010"/>
    <w:rsid w:val="00BF60CF"/>
    <w:rsid w:val="00C03009"/>
    <w:rsid w:val="00C03D5F"/>
    <w:rsid w:val="00C13791"/>
    <w:rsid w:val="00C210BD"/>
    <w:rsid w:val="00C2575A"/>
    <w:rsid w:val="00C31BB3"/>
    <w:rsid w:val="00C36977"/>
    <w:rsid w:val="00C46628"/>
    <w:rsid w:val="00C467DA"/>
    <w:rsid w:val="00C477D9"/>
    <w:rsid w:val="00C530DF"/>
    <w:rsid w:val="00C5711F"/>
    <w:rsid w:val="00C57869"/>
    <w:rsid w:val="00C6097E"/>
    <w:rsid w:val="00C60BA3"/>
    <w:rsid w:val="00C623F7"/>
    <w:rsid w:val="00C6297D"/>
    <w:rsid w:val="00C62A81"/>
    <w:rsid w:val="00C67CD7"/>
    <w:rsid w:val="00C70863"/>
    <w:rsid w:val="00C71E00"/>
    <w:rsid w:val="00C74AF5"/>
    <w:rsid w:val="00C75BC5"/>
    <w:rsid w:val="00C81670"/>
    <w:rsid w:val="00C81773"/>
    <w:rsid w:val="00C82861"/>
    <w:rsid w:val="00C8396C"/>
    <w:rsid w:val="00C83FC3"/>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A6BBA"/>
    <w:rsid w:val="00CB140C"/>
    <w:rsid w:val="00CB1777"/>
    <w:rsid w:val="00CB33E9"/>
    <w:rsid w:val="00CC10A9"/>
    <w:rsid w:val="00CC4F1A"/>
    <w:rsid w:val="00CD0655"/>
    <w:rsid w:val="00CD0660"/>
    <w:rsid w:val="00CD4D72"/>
    <w:rsid w:val="00CD7E7C"/>
    <w:rsid w:val="00CE2BF8"/>
    <w:rsid w:val="00CE484E"/>
    <w:rsid w:val="00CE4D20"/>
    <w:rsid w:val="00CE624A"/>
    <w:rsid w:val="00CE656F"/>
    <w:rsid w:val="00CE6A0B"/>
    <w:rsid w:val="00CF0854"/>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199E"/>
    <w:rsid w:val="00D64A0B"/>
    <w:rsid w:val="00D66E49"/>
    <w:rsid w:val="00D70D71"/>
    <w:rsid w:val="00D72F74"/>
    <w:rsid w:val="00D756D5"/>
    <w:rsid w:val="00D81563"/>
    <w:rsid w:val="00D837C1"/>
    <w:rsid w:val="00D85907"/>
    <w:rsid w:val="00D860AC"/>
    <w:rsid w:val="00D9073E"/>
    <w:rsid w:val="00D9221D"/>
    <w:rsid w:val="00D9253C"/>
    <w:rsid w:val="00D958DF"/>
    <w:rsid w:val="00D96598"/>
    <w:rsid w:val="00D96DA1"/>
    <w:rsid w:val="00DA51E7"/>
    <w:rsid w:val="00DB0260"/>
    <w:rsid w:val="00DB08F6"/>
    <w:rsid w:val="00DB1C78"/>
    <w:rsid w:val="00DB7D96"/>
    <w:rsid w:val="00DC23FE"/>
    <w:rsid w:val="00DC59E6"/>
    <w:rsid w:val="00DC71BE"/>
    <w:rsid w:val="00DD150B"/>
    <w:rsid w:val="00DD3356"/>
    <w:rsid w:val="00DD5025"/>
    <w:rsid w:val="00DD5464"/>
    <w:rsid w:val="00DD6F85"/>
    <w:rsid w:val="00DD748A"/>
    <w:rsid w:val="00DE254E"/>
    <w:rsid w:val="00DE2D32"/>
    <w:rsid w:val="00DE32C0"/>
    <w:rsid w:val="00DE52C0"/>
    <w:rsid w:val="00DE76A7"/>
    <w:rsid w:val="00DF1510"/>
    <w:rsid w:val="00DF7265"/>
    <w:rsid w:val="00E02F1F"/>
    <w:rsid w:val="00E05454"/>
    <w:rsid w:val="00E06484"/>
    <w:rsid w:val="00E06B24"/>
    <w:rsid w:val="00E20A7D"/>
    <w:rsid w:val="00E23FE4"/>
    <w:rsid w:val="00E275D8"/>
    <w:rsid w:val="00E30F6A"/>
    <w:rsid w:val="00E3117C"/>
    <w:rsid w:val="00E31288"/>
    <w:rsid w:val="00E3191F"/>
    <w:rsid w:val="00E34307"/>
    <w:rsid w:val="00E34511"/>
    <w:rsid w:val="00E3635B"/>
    <w:rsid w:val="00E375C3"/>
    <w:rsid w:val="00E375CA"/>
    <w:rsid w:val="00E4259D"/>
    <w:rsid w:val="00E5364F"/>
    <w:rsid w:val="00E53CDE"/>
    <w:rsid w:val="00E5629B"/>
    <w:rsid w:val="00E567E8"/>
    <w:rsid w:val="00E63766"/>
    <w:rsid w:val="00E64679"/>
    <w:rsid w:val="00E65EBC"/>
    <w:rsid w:val="00E6602E"/>
    <w:rsid w:val="00E677FE"/>
    <w:rsid w:val="00E72A0E"/>
    <w:rsid w:val="00E73432"/>
    <w:rsid w:val="00E77B0C"/>
    <w:rsid w:val="00E77FB8"/>
    <w:rsid w:val="00E838B0"/>
    <w:rsid w:val="00E85DA8"/>
    <w:rsid w:val="00E86A7C"/>
    <w:rsid w:val="00E8707A"/>
    <w:rsid w:val="00E878E1"/>
    <w:rsid w:val="00E87F2C"/>
    <w:rsid w:val="00E95278"/>
    <w:rsid w:val="00E96A42"/>
    <w:rsid w:val="00EA2273"/>
    <w:rsid w:val="00EA7C3C"/>
    <w:rsid w:val="00EB2DB3"/>
    <w:rsid w:val="00EC3FBB"/>
    <w:rsid w:val="00EC6B7A"/>
    <w:rsid w:val="00ED3A87"/>
    <w:rsid w:val="00ED5B67"/>
    <w:rsid w:val="00EE1080"/>
    <w:rsid w:val="00EE1A5C"/>
    <w:rsid w:val="00EE5F5A"/>
    <w:rsid w:val="00EE7353"/>
    <w:rsid w:val="00EF22FB"/>
    <w:rsid w:val="00EF264C"/>
    <w:rsid w:val="00EF3FEE"/>
    <w:rsid w:val="00EF626B"/>
    <w:rsid w:val="00EF6B41"/>
    <w:rsid w:val="00EF6D2E"/>
    <w:rsid w:val="00F04B59"/>
    <w:rsid w:val="00F07B69"/>
    <w:rsid w:val="00F11741"/>
    <w:rsid w:val="00F117B0"/>
    <w:rsid w:val="00F12B1C"/>
    <w:rsid w:val="00F13CF8"/>
    <w:rsid w:val="00F15855"/>
    <w:rsid w:val="00F16342"/>
    <w:rsid w:val="00F200B2"/>
    <w:rsid w:val="00F227DC"/>
    <w:rsid w:val="00F263B9"/>
    <w:rsid w:val="00F30701"/>
    <w:rsid w:val="00F32978"/>
    <w:rsid w:val="00F36BFF"/>
    <w:rsid w:val="00F45CB2"/>
    <w:rsid w:val="00F511F3"/>
    <w:rsid w:val="00F544C0"/>
    <w:rsid w:val="00F544E1"/>
    <w:rsid w:val="00F55332"/>
    <w:rsid w:val="00F6156E"/>
    <w:rsid w:val="00F6504A"/>
    <w:rsid w:val="00F65519"/>
    <w:rsid w:val="00F66D9F"/>
    <w:rsid w:val="00F713C0"/>
    <w:rsid w:val="00F75DDC"/>
    <w:rsid w:val="00F7792F"/>
    <w:rsid w:val="00F816F8"/>
    <w:rsid w:val="00F842AA"/>
    <w:rsid w:val="00F8476F"/>
    <w:rsid w:val="00F853E1"/>
    <w:rsid w:val="00F85604"/>
    <w:rsid w:val="00F91280"/>
    <w:rsid w:val="00F93809"/>
    <w:rsid w:val="00F94B7A"/>
    <w:rsid w:val="00F961B8"/>
    <w:rsid w:val="00FA17AC"/>
    <w:rsid w:val="00FA32DE"/>
    <w:rsid w:val="00FA3382"/>
    <w:rsid w:val="00FA59CD"/>
    <w:rsid w:val="00FB0CDC"/>
    <w:rsid w:val="00FB1740"/>
    <w:rsid w:val="00FB4235"/>
    <w:rsid w:val="00FC4446"/>
    <w:rsid w:val="00FC5469"/>
    <w:rsid w:val="00FC6D7D"/>
    <w:rsid w:val="00FD0BAC"/>
    <w:rsid w:val="00FD16B0"/>
    <w:rsid w:val="00FD4FED"/>
    <w:rsid w:val="00FE00C8"/>
    <w:rsid w:val="00FE0577"/>
    <w:rsid w:val="00FE0BC4"/>
    <w:rsid w:val="00FE2FF8"/>
    <w:rsid w:val="00FE346A"/>
    <w:rsid w:val="00FE59EC"/>
    <w:rsid w:val="00FE5B67"/>
    <w:rsid w:val="00FE60D6"/>
    <w:rsid w:val="00FF3898"/>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3A4A6"/>
  <w15:docId w15:val="{E2E24ABE-A3C4-4357-AD6D-A550C245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C3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1A27-3FF3-4368-A2B5-6E562633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2580</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2025-08-22T15:33:00Z</cp:lastPrinted>
  <dcterms:created xsi:type="dcterms:W3CDTF">2025-08-22T17:17:00Z</dcterms:created>
  <dcterms:modified xsi:type="dcterms:W3CDTF">2025-08-22T17:17:00Z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20250023-WS</vt:lpwstr>
  </property>
  <property fmtid="{D5CDD505-2E9C-101B-9397-08002B2CF9AE}" pid="3" name="MasterDocument">
    <vt:bool>false</vt:bool>
  </property>
</Properties>
</file>