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A0E3" w14:textId="77777777" w:rsidR="00CB5276" w:rsidRDefault="00371C46" w:rsidP="00371C46">
      <w:pPr>
        <w:pStyle w:val="OrderHeading"/>
      </w:pPr>
      <w:r>
        <w:t>BEFORE THE FLORIDA PUBLIC SERVICE COMMISSION</w:t>
      </w:r>
    </w:p>
    <w:p w14:paraId="4D7DDF35" w14:textId="77777777" w:rsidR="00371C46" w:rsidRDefault="00371C46" w:rsidP="00371C46">
      <w:pPr>
        <w:pStyle w:val="OrderBody"/>
      </w:pPr>
    </w:p>
    <w:p w14:paraId="70E8DDAD" w14:textId="77777777" w:rsidR="00371C46" w:rsidRDefault="00371C46" w:rsidP="00371C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1C46" w:rsidRPr="00C63FCF" w14:paraId="623B5E2B" w14:textId="77777777" w:rsidTr="00C63FCF">
        <w:trPr>
          <w:trHeight w:val="828"/>
        </w:trPr>
        <w:tc>
          <w:tcPr>
            <w:tcW w:w="4788" w:type="dxa"/>
            <w:tcBorders>
              <w:bottom w:val="single" w:sz="8" w:space="0" w:color="auto"/>
              <w:right w:val="double" w:sz="6" w:space="0" w:color="auto"/>
            </w:tcBorders>
            <w:shd w:val="clear" w:color="auto" w:fill="auto"/>
          </w:tcPr>
          <w:p w14:paraId="308D257E" w14:textId="77777777" w:rsidR="00371C46" w:rsidRDefault="00371C4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31E41F20" w14:textId="77777777" w:rsidR="00371C46" w:rsidRDefault="00371C46" w:rsidP="00371C46">
            <w:pPr>
              <w:pStyle w:val="OrderBody"/>
            </w:pPr>
            <w:r>
              <w:t xml:space="preserve">DOCKET NO. </w:t>
            </w:r>
            <w:bookmarkStart w:id="1" w:name="SSDocketNo"/>
            <w:bookmarkEnd w:id="1"/>
            <w:r>
              <w:t>20250011-EI</w:t>
            </w:r>
          </w:p>
          <w:p w14:paraId="178AEBFD" w14:textId="34477FF0" w:rsidR="00371C46" w:rsidRDefault="00371C46" w:rsidP="00C63FCF">
            <w:pPr>
              <w:pStyle w:val="OrderBody"/>
              <w:tabs>
                <w:tab w:val="center" w:pos="4320"/>
                <w:tab w:val="right" w:pos="8640"/>
              </w:tabs>
              <w:jc w:val="left"/>
            </w:pPr>
            <w:r>
              <w:t xml:space="preserve">ORDER NO. </w:t>
            </w:r>
            <w:bookmarkStart w:id="2" w:name="OrderNo0323"/>
            <w:r w:rsidR="000B74FB">
              <w:t>PSC-2025-0323-PCO-EI</w:t>
            </w:r>
            <w:bookmarkEnd w:id="2"/>
          </w:p>
          <w:p w14:paraId="478C08D3" w14:textId="647A951E" w:rsidR="00371C46" w:rsidRDefault="00371C46" w:rsidP="00C63FCF">
            <w:pPr>
              <w:pStyle w:val="OrderBody"/>
              <w:tabs>
                <w:tab w:val="center" w:pos="4320"/>
                <w:tab w:val="right" w:pos="8640"/>
              </w:tabs>
              <w:jc w:val="left"/>
            </w:pPr>
            <w:r>
              <w:t xml:space="preserve">ISSUED: </w:t>
            </w:r>
            <w:r w:rsidR="000B74FB">
              <w:t>August 22, 2025</w:t>
            </w:r>
          </w:p>
        </w:tc>
      </w:tr>
    </w:tbl>
    <w:p w14:paraId="1A987775" w14:textId="77777777" w:rsidR="00371C46" w:rsidRDefault="00371C46" w:rsidP="00371C46"/>
    <w:p w14:paraId="662B8331" w14:textId="77777777" w:rsidR="00371C46" w:rsidRDefault="00371C46" w:rsidP="00371C46"/>
    <w:p w14:paraId="2E54D7C7" w14:textId="6B985403" w:rsidR="00CB5276" w:rsidRDefault="00371C46" w:rsidP="00371C46">
      <w:pPr>
        <w:pStyle w:val="CenterUnderline"/>
      </w:pPr>
      <w:bookmarkStart w:id="3" w:name="Commissioners"/>
      <w:bookmarkEnd w:id="3"/>
      <w:r>
        <w:t>FIRST ORDER</w:t>
      </w:r>
      <w:bookmarkStart w:id="4" w:name="OrderTitle"/>
      <w:r>
        <w:t xml:space="preserve"> REVISING ORDER ESTABLISHING PROCEDURE </w:t>
      </w:r>
      <w:bookmarkEnd w:id="4"/>
    </w:p>
    <w:p w14:paraId="4DDBE2C3" w14:textId="77777777" w:rsidR="004B271A" w:rsidRDefault="004B271A" w:rsidP="00371C46">
      <w:pPr>
        <w:pStyle w:val="CenterUnderline"/>
      </w:pPr>
    </w:p>
    <w:p w14:paraId="4591F7AA" w14:textId="329B2899" w:rsidR="004B271A" w:rsidRPr="00223117" w:rsidRDefault="004B271A" w:rsidP="004B271A">
      <w:r w:rsidRPr="00D606D9">
        <w:rPr>
          <w:b/>
        </w:rPr>
        <w:t>I.</w:t>
      </w:r>
      <w:r w:rsidRPr="00D606D9">
        <w:rPr>
          <w:b/>
        </w:rPr>
        <w:tab/>
      </w:r>
      <w:r>
        <w:rPr>
          <w:b/>
          <w:u w:val="single"/>
        </w:rPr>
        <w:t>Case Background</w:t>
      </w:r>
    </w:p>
    <w:p w14:paraId="17413889" w14:textId="77777777" w:rsidR="004B271A" w:rsidRDefault="004B271A" w:rsidP="00263D22">
      <w:pPr>
        <w:pStyle w:val="CenterUnderline"/>
        <w:jc w:val="left"/>
      </w:pPr>
    </w:p>
    <w:p w14:paraId="11B00921" w14:textId="2EB81A36" w:rsidR="003973E8" w:rsidRDefault="00371C46" w:rsidP="00430DDC">
      <w:pPr>
        <w:autoSpaceDE w:val="0"/>
        <w:autoSpaceDN w:val="0"/>
        <w:adjustRightInd w:val="0"/>
        <w:ind w:firstLine="720"/>
        <w:jc w:val="both"/>
      </w:pPr>
      <w:r>
        <w:t>This proceeding was set for final hearing on August 11-22, 2025, by Order No. PSC-2025-0075-PCO-EI, issued March 14, 2025.</w:t>
      </w:r>
      <w:r w:rsidR="00BB2E0C">
        <w:t xml:space="preserve"> On August 8, 2025, Florida Power &amp; Light Company filed a Notic</w:t>
      </w:r>
      <w:r w:rsidR="00BB2E0C" w:rsidRPr="00CC741A">
        <w:t xml:space="preserve">e of Settlement in Principle and Joint Motion to Suspend Schedule and Amend Procedural Order. The Florida Industrial Power Users Group, Florida Retail Federation, </w:t>
      </w:r>
      <w:r w:rsidR="00FF7962">
        <w:t>Florida</w:t>
      </w:r>
      <w:r w:rsidR="00BB2E0C" w:rsidRPr="00CC741A">
        <w:t xml:space="preserve"> Energy</w:t>
      </w:r>
      <w:r w:rsidR="00FF7962">
        <w:t xml:space="preserve"> for</w:t>
      </w:r>
      <w:r w:rsidR="00BB2E0C" w:rsidRPr="00CC741A">
        <w:t xml:space="preserve"> Innovation Association, Walmart Inc., E</w:t>
      </w:r>
      <w:r w:rsidR="004B271A">
        <w:t>V</w:t>
      </w:r>
      <w:r w:rsidR="00BB2E0C" w:rsidRPr="00CC741A">
        <w:t>go</w:t>
      </w:r>
      <w:r w:rsidR="00FF7962">
        <w:t xml:space="preserve"> Services, </w:t>
      </w:r>
      <w:r w:rsidR="00BB2E0C" w:rsidRPr="00CC741A">
        <w:t>Americans for Affordable C</w:t>
      </w:r>
      <w:r w:rsidR="00CC741A">
        <w:t>lean Energy, Circle K, RaceTrac</w:t>
      </w:r>
      <w:r w:rsidR="00BB2E0C" w:rsidRPr="00CC741A">
        <w:t>, Wawa, Electrify America, Federal Executive Agencies, Armstrong World Industries, and the Sou</w:t>
      </w:r>
      <w:r w:rsidR="00655945" w:rsidRPr="00CC741A">
        <w:t xml:space="preserve">thern Alliance for Clean Energy </w:t>
      </w:r>
      <w:r w:rsidR="006E6BEF">
        <w:t>(collectively “S</w:t>
      </w:r>
      <w:r w:rsidR="00111D06">
        <w:t>ignatorie</w:t>
      </w:r>
      <w:r w:rsidR="006E6BEF">
        <w:t xml:space="preserve">s”) </w:t>
      </w:r>
      <w:r w:rsidR="00655945" w:rsidRPr="00CC741A">
        <w:t>joined in the Joint Motion to Suspend.</w:t>
      </w:r>
      <w:r w:rsidR="00CC741A" w:rsidRPr="00CC741A">
        <w:t xml:space="preserve"> </w:t>
      </w:r>
      <w:r w:rsidR="00430DDC">
        <w:t>On August 11, 2025, t</w:t>
      </w:r>
      <w:r w:rsidR="00655945" w:rsidRPr="00CC741A">
        <w:t xml:space="preserve">he Office of Public Counsel, Florida Rising, League of United Latin American Citizens Florida, </w:t>
      </w:r>
      <w:r w:rsidR="00CC741A" w:rsidRPr="00CC741A">
        <w:t xml:space="preserve">Environmental Confederation of Southwest Florida, and Floridians Against Increased Rates </w:t>
      </w:r>
      <w:r w:rsidR="006E6BEF">
        <w:t>(collectively “</w:t>
      </w:r>
      <w:r w:rsidR="00111D06">
        <w:t>Non-Signatorie</w:t>
      </w:r>
      <w:r w:rsidR="006E6BEF">
        <w:t xml:space="preserve">s”) </w:t>
      </w:r>
      <w:r w:rsidR="00CC741A" w:rsidRPr="00CC741A">
        <w:t>filed a Joint Response in Opposition</w:t>
      </w:r>
      <w:r w:rsidR="00430DDC">
        <w:t xml:space="preserve"> to the</w:t>
      </w:r>
      <w:r w:rsidR="00430DDC" w:rsidRPr="00430DDC">
        <w:t xml:space="preserve"> </w:t>
      </w:r>
      <w:r w:rsidR="00430DDC">
        <w:t>Joint Motion to Suspend</w:t>
      </w:r>
      <w:r w:rsidR="00CC741A" w:rsidRPr="00CC741A">
        <w:t>.</w:t>
      </w:r>
      <w:r w:rsidR="00430DDC">
        <w:t xml:space="preserve"> </w:t>
      </w:r>
    </w:p>
    <w:p w14:paraId="295AEFEF" w14:textId="77777777" w:rsidR="003973E8" w:rsidRDefault="003973E8" w:rsidP="00430DDC">
      <w:pPr>
        <w:autoSpaceDE w:val="0"/>
        <w:autoSpaceDN w:val="0"/>
        <w:adjustRightInd w:val="0"/>
        <w:ind w:firstLine="720"/>
        <w:jc w:val="both"/>
      </w:pPr>
    </w:p>
    <w:p w14:paraId="70F8A6B9" w14:textId="73FA0903" w:rsidR="00371C46" w:rsidRPr="00CC741A" w:rsidRDefault="00430DDC" w:rsidP="00430DDC">
      <w:pPr>
        <w:autoSpaceDE w:val="0"/>
        <w:autoSpaceDN w:val="0"/>
        <w:adjustRightInd w:val="0"/>
        <w:ind w:firstLine="720"/>
        <w:jc w:val="both"/>
      </w:pPr>
      <w:r>
        <w:t>After hearing argument from the parties, the Commission voted to grant the Joint Motion and suspend the schedule in order to allow the parties time to finalize the settlement.</w:t>
      </w:r>
      <w:r w:rsidR="003973E8">
        <w:t xml:space="preserve"> </w:t>
      </w:r>
      <w:r>
        <w:t xml:space="preserve">On </w:t>
      </w:r>
      <w:r w:rsidR="00371C46" w:rsidRPr="00CC741A">
        <w:t>August 1</w:t>
      </w:r>
      <w:r>
        <w:t>2</w:t>
      </w:r>
      <w:r w:rsidR="00371C46" w:rsidRPr="00CC741A">
        <w:t>, 2025,</w:t>
      </w:r>
      <w:r>
        <w:t xml:space="preserve"> Order </w:t>
      </w:r>
      <w:r w:rsidR="002A7197">
        <w:t>No. PSC-2025-0304-PCO-EI</w:t>
      </w:r>
      <w:r w:rsidR="003973E8">
        <w:t xml:space="preserve"> </w:t>
      </w:r>
      <w:r>
        <w:t xml:space="preserve">memorializing this vote was </w:t>
      </w:r>
      <w:r w:rsidR="003973E8">
        <w:t>issued</w:t>
      </w:r>
      <w:r>
        <w:t xml:space="preserve"> in the docket</w:t>
      </w:r>
      <w:r w:rsidR="00371C46" w:rsidRPr="00CC741A">
        <w:t>.</w:t>
      </w:r>
      <w:r w:rsidR="00E90EC6">
        <w:t xml:space="preserve"> The Order acknowledged the Notice of Settlement, granted the Motion to Suspend Schedule, and deferred ruling on the Motion to Amend Procedural Schedule.</w:t>
      </w:r>
      <w:r w:rsidR="000361CD">
        <w:t xml:space="preserve"> The Order noted that ruling on</w:t>
      </w:r>
      <w:r w:rsidR="00E90EC6">
        <w:t xml:space="preserve"> the Motion to Amend</w:t>
      </w:r>
      <w:r w:rsidR="000361CD">
        <w:t xml:space="preserve"> was</w:t>
      </w:r>
      <w:r w:rsidR="00094120">
        <w:t xml:space="preserve"> deferred</w:t>
      </w:r>
      <w:r w:rsidR="00E90EC6">
        <w:t xml:space="preserve"> “in order to allow time for the parties to finalize and file the settlement agreement, and for our staff and the Prehearing Officer to have sufficient time to review the agreement and determine an appropriate schedule consistent with ensuring due process for all parties.”</w:t>
      </w:r>
      <w:r w:rsidR="00E90EC6">
        <w:rPr>
          <w:rStyle w:val="FootnoteReference"/>
        </w:rPr>
        <w:footnoteReference w:id="1"/>
      </w:r>
    </w:p>
    <w:p w14:paraId="0E2104CA" w14:textId="77777777" w:rsidR="00371C46" w:rsidRPr="00CC741A" w:rsidRDefault="00371C46" w:rsidP="00371C46">
      <w:pPr>
        <w:autoSpaceDE w:val="0"/>
        <w:autoSpaceDN w:val="0"/>
        <w:adjustRightInd w:val="0"/>
        <w:jc w:val="both"/>
      </w:pPr>
    </w:p>
    <w:p w14:paraId="23C17D58" w14:textId="4A6FB5B1" w:rsidR="006E6BEF" w:rsidRDefault="00430DDC" w:rsidP="00BB2E0C">
      <w:pPr>
        <w:autoSpaceDE w:val="0"/>
        <w:autoSpaceDN w:val="0"/>
        <w:adjustRightInd w:val="0"/>
        <w:jc w:val="both"/>
      </w:pPr>
      <w:r>
        <w:tab/>
      </w:r>
      <w:r w:rsidR="00915D7C">
        <w:t xml:space="preserve">On August 20, 2025, FPL and </w:t>
      </w:r>
      <w:r w:rsidR="006E6BEF">
        <w:t>the S</w:t>
      </w:r>
      <w:r w:rsidR="00111D06">
        <w:t>ignatorie</w:t>
      </w:r>
      <w:r w:rsidR="006E6BEF">
        <w:t>s</w:t>
      </w:r>
      <w:r w:rsidR="00915D7C">
        <w:t xml:space="preserve"> filed </w:t>
      </w:r>
      <w:r w:rsidR="00641FE8">
        <w:t>a</w:t>
      </w:r>
      <w:r w:rsidR="00915D7C">
        <w:t xml:space="preserve"> Joint Motion for Approval of Settlement Agreement.</w:t>
      </w:r>
      <w:r w:rsidR="000361CD" w:rsidRPr="000361CD">
        <w:t xml:space="preserve"> </w:t>
      </w:r>
      <w:r w:rsidR="00111D06">
        <w:t>The Non-Signatorie</w:t>
      </w:r>
      <w:r w:rsidR="006E6BEF">
        <w:t xml:space="preserve">s did not sign or otherwise join in the Settlement Agreement. </w:t>
      </w:r>
      <w:r w:rsidR="00641FE8">
        <w:t>Accordingly,</w:t>
      </w:r>
      <w:r w:rsidR="006E6BEF">
        <w:t xml:space="preserve"> the Settlement Agreement is not unanimous, </w:t>
      </w:r>
      <w:r w:rsidR="00641FE8">
        <w:t xml:space="preserve">and </w:t>
      </w:r>
      <w:r w:rsidR="006E6BEF">
        <w:t>further proceedings under Section 120.57(1), Florida Statutes, are necessary to address the disputed issues of</w:t>
      </w:r>
      <w:r w:rsidR="00063CEC">
        <w:t xml:space="preserve"> material</w:t>
      </w:r>
      <w:r w:rsidR="006E6BEF">
        <w:t xml:space="preserve"> fact.</w:t>
      </w:r>
    </w:p>
    <w:p w14:paraId="50F26924" w14:textId="77777777" w:rsidR="003F7751" w:rsidRDefault="003F7751" w:rsidP="00BB2E0C">
      <w:pPr>
        <w:autoSpaceDE w:val="0"/>
        <w:autoSpaceDN w:val="0"/>
        <w:adjustRightInd w:val="0"/>
        <w:jc w:val="both"/>
      </w:pPr>
    </w:p>
    <w:p w14:paraId="7EB8718D" w14:textId="77777777" w:rsidR="003F7751" w:rsidRPr="00956FFF" w:rsidRDefault="003F7751" w:rsidP="00263D22">
      <w:pPr>
        <w:ind w:firstLine="720"/>
        <w:jc w:val="both"/>
      </w:pPr>
      <w:r w:rsidRPr="00956FFF">
        <w:t>Pursuant to Rule 28-106.211, F.A.C., this Prehearing Order is issued to prevent delay and to promote the just, speedy, and inexpensive determination of all aspects of this case.</w:t>
      </w:r>
      <w:r>
        <w:t xml:space="preserve"> </w:t>
      </w:r>
      <w:r w:rsidRPr="00956FFF">
        <w:t>This Commission is vested with jurisdiction over the subject mat</w:t>
      </w:r>
      <w:r>
        <w:t>ter by the provisions of Chapters 120 and 366</w:t>
      </w:r>
      <w:r w:rsidRPr="00956FFF">
        <w:t>, F.S.  This hearing will be governed by said Chapter and Chapters 25-6, 25-22, and 28-106, F.A.C., as well as any other applicable provisions of law.</w:t>
      </w:r>
    </w:p>
    <w:p w14:paraId="04E92882" w14:textId="77777777" w:rsidR="003F7751" w:rsidRPr="00956FFF" w:rsidRDefault="003F7751" w:rsidP="00263D22">
      <w:pPr>
        <w:ind w:firstLine="720"/>
        <w:jc w:val="both"/>
      </w:pPr>
    </w:p>
    <w:p w14:paraId="67682A3C" w14:textId="0FD9D272" w:rsidR="005259DC" w:rsidRPr="00223117" w:rsidRDefault="005259DC" w:rsidP="005259DC">
      <w:r w:rsidRPr="00D606D9">
        <w:rPr>
          <w:b/>
        </w:rPr>
        <w:t>II.</w:t>
      </w:r>
      <w:r w:rsidRPr="00D606D9">
        <w:rPr>
          <w:b/>
        </w:rPr>
        <w:tab/>
      </w:r>
      <w:r>
        <w:rPr>
          <w:b/>
          <w:u w:val="single"/>
        </w:rPr>
        <w:t>Discovery</w:t>
      </w:r>
    </w:p>
    <w:p w14:paraId="222934D6" w14:textId="77777777" w:rsidR="00BD56DE" w:rsidRDefault="00BD56DE" w:rsidP="00BD56DE">
      <w:pPr>
        <w:pStyle w:val="CenterUnderline"/>
        <w:jc w:val="both"/>
        <w:rPr>
          <w:u w:val="none"/>
        </w:rPr>
      </w:pPr>
    </w:p>
    <w:p w14:paraId="21DCC4F2" w14:textId="77777777" w:rsidR="00BD56DE" w:rsidRDefault="00BD56DE" w:rsidP="00263D22">
      <w:pPr>
        <w:pStyle w:val="CenterUnderline"/>
        <w:ind w:firstLine="720"/>
        <w:jc w:val="both"/>
        <w:rPr>
          <w:u w:val="none"/>
        </w:rPr>
      </w:pPr>
      <w:r>
        <w:rPr>
          <w:u w:val="none"/>
        </w:rPr>
        <w:t xml:space="preserve">Discovery shall be limited to the issues in the Settlement Agreement. </w:t>
      </w:r>
      <w:r w:rsidRPr="003D0384">
        <w:rPr>
          <w:u w:val="none"/>
        </w:rPr>
        <w:t>The following limits on discovery shall apply:</w:t>
      </w:r>
    </w:p>
    <w:p w14:paraId="2D7C2B2B" w14:textId="77777777" w:rsidR="00BD56DE" w:rsidRPr="00D60E67" w:rsidRDefault="00BD56DE" w:rsidP="00BD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73900">
        <w:tab/>
      </w:r>
    </w:p>
    <w:p w14:paraId="0F90CD64" w14:textId="636880F4" w:rsidR="00BD56DE" w:rsidRDefault="00BD56DE" w:rsidP="00BD56D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Interrogatories, including all subparts, shall be limited to</w:t>
      </w:r>
      <w:r w:rsidR="002B4DF6">
        <w:t xml:space="preserve"> </w:t>
      </w:r>
      <w:r w:rsidR="00B0478C">
        <w:t>250</w:t>
      </w:r>
      <w:r w:rsidRPr="00D60E67">
        <w:t>.</w:t>
      </w:r>
    </w:p>
    <w:p w14:paraId="412434B8" w14:textId="77777777" w:rsidR="00BD56DE" w:rsidRPr="00D60E67" w:rsidRDefault="00BD56DE" w:rsidP="00BD56D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 xml:space="preserve">Requests for production of documents, including all subparts, shall be limited to </w:t>
      </w:r>
      <w:r>
        <w:t>100</w:t>
      </w:r>
      <w:r w:rsidRPr="00D60E67">
        <w:t>.</w:t>
      </w:r>
    </w:p>
    <w:p w14:paraId="250743F2" w14:textId="77777777" w:rsidR="00BD56DE" w:rsidRDefault="00BD56DE" w:rsidP="00BD56D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60E67">
        <w:t>Requests for admissions, including all subparts, shall be limited to</w:t>
      </w:r>
      <w:r>
        <w:t xml:space="preserve"> 100</w:t>
      </w:r>
      <w:r w:rsidRPr="00D60E67">
        <w:t>.</w:t>
      </w:r>
    </w:p>
    <w:p w14:paraId="7DE96D7D" w14:textId="41EE6D19" w:rsidR="001D3BC5" w:rsidRDefault="00BD56DE" w:rsidP="00263D2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All discovery requests and responses shall be served by email</w:t>
      </w:r>
      <w:r w:rsidR="001D3BC5">
        <w:t xml:space="preserve"> except as set forth in paragraph II(5)</w:t>
      </w:r>
      <w:r w:rsidRPr="00901673">
        <w:t>. Discovery served via e-mail shall be limited to 5 MB per attachment, shall indicate how many e-mails are being sent related to the discovery (such as 1 of 6 e-mails), and shall be numbered sequentially.</w:t>
      </w:r>
    </w:p>
    <w:p w14:paraId="22C6713C" w14:textId="1427DB4A" w:rsidR="00BD56DE" w:rsidRDefault="001D3BC5" w:rsidP="001D3B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D56DE">
        <w:t xml:space="preserve">Documents provided in response to a document request may be </w:t>
      </w:r>
      <w:r w:rsidR="000F2DBA">
        <w:t>serv</w:t>
      </w:r>
      <w:r w:rsidR="000F2DBA" w:rsidRPr="00BD56DE">
        <w:t xml:space="preserve">ed </w:t>
      </w:r>
      <w:r w:rsidRPr="00BD56DE">
        <w:t xml:space="preserve">via flash or external drive if </w:t>
      </w:r>
      <w:r>
        <w:t>the response is so voluminous as to make service by email impractical</w:t>
      </w:r>
      <w:r w:rsidRPr="00BD56DE">
        <w:t>.</w:t>
      </w:r>
    </w:p>
    <w:p w14:paraId="31F2C7DD" w14:textId="73825C1F" w:rsidR="00BD56DE" w:rsidRDefault="00BD56DE" w:rsidP="0087113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Responses to discovery</w:t>
      </w:r>
      <w:r w:rsidRPr="00B73900">
        <w:t xml:space="preserve"> requests shall </w:t>
      </w:r>
      <w:r>
        <w:t xml:space="preserve">be </w:t>
      </w:r>
      <w:r w:rsidRPr="00B73900">
        <w:t>serve</w:t>
      </w:r>
      <w:r>
        <w:t>d</w:t>
      </w:r>
      <w:r w:rsidR="00B0478C">
        <w:t xml:space="preserve"> within 7</w:t>
      </w:r>
      <w:r w:rsidRPr="00B73900">
        <w:t xml:space="preserve"> days of the date of the request.</w:t>
      </w:r>
      <w:r>
        <w:t xml:space="preserve">  </w:t>
      </w:r>
      <w:r w:rsidR="0087113D" w:rsidRPr="0087113D">
        <w:t>When a discovery request is served and the respondent intends to seek clarification of any portion of the discovery request, the respondent shall request such clarification within 2 days of service of the discovery request. This procedure is intended to reduce delay in resolving discovery disputes.</w:t>
      </w:r>
    </w:p>
    <w:p w14:paraId="49EA448C" w14:textId="6B428D02" w:rsidR="00BD56DE" w:rsidRPr="00BD56DE" w:rsidRDefault="00BD56DE" w:rsidP="00263D22">
      <w:pPr>
        <w:pStyle w:val="ListParagraph"/>
        <w:numPr>
          <w:ilvl w:val="0"/>
          <w:numId w:val="1"/>
        </w:numPr>
        <w:jc w:val="both"/>
      </w:pPr>
      <w:r>
        <w:t xml:space="preserve">All discovery responses must be accompanied by an affidavit </w:t>
      </w:r>
      <w:r w:rsidRPr="00BD56DE">
        <w:t>sworn or affirmed by the person(s) providing the responses.</w:t>
      </w:r>
    </w:p>
    <w:p w14:paraId="366BBCEC" w14:textId="77777777" w:rsidR="0087113D" w:rsidRDefault="0087113D" w:rsidP="00263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E3B7F14" w14:textId="26CD3A12" w:rsidR="0087113D" w:rsidRPr="00263D22" w:rsidRDefault="003F7751" w:rsidP="00263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u w:val="single"/>
        </w:rPr>
      </w:pPr>
      <w:r>
        <w:rPr>
          <w:b/>
        </w:rPr>
        <w:t>I</w:t>
      </w:r>
      <w:r w:rsidR="00625BB8">
        <w:rPr>
          <w:b/>
        </w:rPr>
        <w:t>II</w:t>
      </w:r>
      <w:r w:rsidR="0087113D">
        <w:rPr>
          <w:b/>
        </w:rPr>
        <w:t>.</w:t>
      </w:r>
      <w:r w:rsidR="0087113D">
        <w:rPr>
          <w:b/>
        </w:rPr>
        <w:tab/>
      </w:r>
      <w:r w:rsidR="0087113D">
        <w:rPr>
          <w:b/>
          <w:u w:val="single"/>
        </w:rPr>
        <w:t>Confidentiality</w:t>
      </w:r>
    </w:p>
    <w:p w14:paraId="2B86F7D6" w14:textId="77777777" w:rsidR="005259DC" w:rsidRDefault="005259DC" w:rsidP="00525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73DE90D9" w14:textId="6C9DDF52" w:rsidR="003F7751" w:rsidRPr="00956FFF" w:rsidRDefault="003F7751" w:rsidP="00263D22">
      <w:pPr>
        <w:jc w:val="both"/>
      </w:pPr>
      <w:r w:rsidRPr="00956FFF">
        <w:tab/>
      </w:r>
      <w:r w:rsidR="00E939F5">
        <w:t xml:space="preserve">Any confidential information provided pursuant to discovery shall comply with the requirements set forth in Section V(B) of Order </w:t>
      </w:r>
      <w:r w:rsidR="00BF01D4">
        <w:t xml:space="preserve">Establishing Procedure </w:t>
      </w:r>
      <w:r w:rsidR="00E939F5">
        <w:t xml:space="preserve">No. PSC-2025-0075-PCO-EI. The use of confidential information at hearing shall comply with the requirements set forth in Section IV of </w:t>
      </w:r>
      <w:r w:rsidR="00BF01D4">
        <w:t xml:space="preserve">Prehearing </w:t>
      </w:r>
      <w:r w:rsidR="00E939F5">
        <w:t xml:space="preserve">Order No. </w:t>
      </w:r>
      <w:r w:rsidR="00E939F5" w:rsidRPr="00E939F5">
        <w:t>PSC-2025-0298-PHO-EI</w:t>
      </w:r>
      <w:r w:rsidR="00E939F5">
        <w:t>.</w:t>
      </w:r>
    </w:p>
    <w:p w14:paraId="3C67D94E" w14:textId="77777777" w:rsidR="0087113D" w:rsidRDefault="0087113D" w:rsidP="00525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77086491" w14:textId="0A0D65BC" w:rsidR="005259DC" w:rsidRPr="00D606D9" w:rsidRDefault="00625BB8" w:rsidP="00525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5259DC" w:rsidRPr="00D606D9">
        <w:rPr>
          <w:b/>
        </w:rPr>
        <w:t>V.</w:t>
      </w:r>
      <w:r w:rsidR="005259DC" w:rsidRPr="00D606D9">
        <w:rPr>
          <w:b/>
        </w:rPr>
        <w:tab/>
      </w:r>
      <w:r w:rsidR="005259DC">
        <w:rPr>
          <w:b/>
          <w:u w:val="single"/>
        </w:rPr>
        <w:t>Controlling Dates</w:t>
      </w:r>
    </w:p>
    <w:p w14:paraId="180709B6" w14:textId="77777777" w:rsidR="005259DC" w:rsidRPr="00D606D9" w:rsidRDefault="005259DC" w:rsidP="005259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5E83CA" w14:textId="349AA31D" w:rsidR="00BB2E0C" w:rsidRDefault="006E6BEF" w:rsidP="00BB2E0C">
      <w:pPr>
        <w:autoSpaceDE w:val="0"/>
        <w:autoSpaceDN w:val="0"/>
        <w:adjustRightInd w:val="0"/>
        <w:jc w:val="both"/>
      </w:pPr>
      <w:r>
        <w:tab/>
      </w:r>
      <w:r w:rsidR="00641FE8">
        <w:t>I have reviewed the</w:t>
      </w:r>
      <w:r w:rsidR="000361CD">
        <w:t xml:space="preserve"> Joint Motion and the attached Settlement Agreement</w:t>
      </w:r>
      <w:r w:rsidR="00641FE8">
        <w:t>, and hereby</w:t>
      </w:r>
      <w:r w:rsidR="000361CD">
        <w:t xml:space="preserve"> establish t</w:t>
      </w:r>
      <w:r w:rsidR="00BB2E0C" w:rsidRPr="00CC741A">
        <w:t xml:space="preserve">he following dates </w:t>
      </w:r>
      <w:r w:rsidR="007A632B">
        <w:t xml:space="preserve">for </w:t>
      </w:r>
      <w:r w:rsidR="000361CD">
        <w:t>this proceeding</w:t>
      </w:r>
      <w:r w:rsidR="00BB2E0C" w:rsidRPr="00CC741A">
        <w:t>:</w:t>
      </w:r>
    </w:p>
    <w:p w14:paraId="12719D81" w14:textId="77777777" w:rsidR="00BB2E0C" w:rsidRPr="00CC741A" w:rsidRDefault="00BB2E0C" w:rsidP="00BB2E0C">
      <w:pPr>
        <w:pStyle w:val="CenterUnderline"/>
        <w:jc w:val="both"/>
        <w:rPr>
          <w:u w:val="none"/>
        </w:rPr>
      </w:pPr>
    </w:p>
    <w:p w14:paraId="2BB40760" w14:textId="404740A9" w:rsidR="00BB2E0C" w:rsidRPr="00CC741A" w:rsidRDefault="00BB2E0C" w:rsidP="00BB2E0C">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sidR="00625BB8">
        <w:rPr>
          <w:u w:val="none"/>
        </w:rPr>
        <w:t>3</w:t>
      </w:r>
      <w:r w:rsidRPr="00CC741A">
        <w:rPr>
          <w:u w:val="none"/>
        </w:rPr>
        <w:t>, 2025</w:t>
      </w:r>
    </w:p>
    <w:p w14:paraId="348BB97B" w14:textId="4B3227A5" w:rsidR="00BB2E0C" w:rsidRPr="00CC741A" w:rsidRDefault="00BB2E0C" w:rsidP="00BB2E0C">
      <w:pPr>
        <w:pStyle w:val="CenterUnderline"/>
        <w:jc w:val="both"/>
        <w:rPr>
          <w:u w:val="none"/>
        </w:rPr>
      </w:pPr>
      <w:r w:rsidRPr="00CC741A">
        <w:rPr>
          <w:u w:val="none"/>
        </w:rPr>
        <w:tab/>
        <w:t>(</w:t>
      </w:r>
      <w:r w:rsidR="007A632B">
        <w:rPr>
          <w:i/>
          <w:u w:val="none"/>
        </w:rPr>
        <w:t xml:space="preserve">FPL &amp; </w:t>
      </w:r>
      <w:r w:rsidRPr="00CC741A">
        <w:rPr>
          <w:i/>
          <w:u w:val="none"/>
        </w:rPr>
        <w:t>S</w:t>
      </w:r>
      <w:r w:rsidR="00111D06">
        <w:rPr>
          <w:i/>
          <w:u w:val="none"/>
        </w:rPr>
        <w:t>ignatorie</w:t>
      </w:r>
      <w:r w:rsidR="007A632B">
        <w:rPr>
          <w:i/>
          <w:u w:val="none"/>
        </w:rPr>
        <w:t>s</w:t>
      </w:r>
      <w:r w:rsidRPr="00CC741A">
        <w:rPr>
          <w:u w:val="none"/>
        </w:rPr>
        <w:t>)</w:t>
      </w:r>
    </w:p>
    <w:p w14:paraId="6F5761B9" w14:textId="77777777" w:rsidR="00BB2E0C" w:rsidRPr="00CC741A" w:rsidRDefault="00BB2E0C" w:rsidP="00BB2E0C">
      <w:pPr>
        <w:pStyle w:val="CenterUnderline"/>
        <w:jc w:val="both"/>
        <w:rPr>
          <w:u w:val="none"/>
        </w:rPr>
      </w:pPr>
      <w:r w:rsidRPr="00CC741A">
        <w:rPr>
          <w:u w:val="none"/>
        </w:rPr>
        <w:tab/>
      </w:r>
    </w:p>
    <w:p w14:paraId="38BE9B71" w14:textId="17DEED99" w:rsidR="00EB62BC" w:rsidRPr="00CC741A" w:rsidRDefault="00BB2E0C" w:rsidP="00BB2E0C">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sidR="00625BB8">
        <w:rPr>
          <w:u w:val="none"/>
        </w:rPr>
        <w:t>17</w:t>
      </w:r>
      <w:r w:rsidRPr="00CC741A">
        <w:rPr>
          <w:u w:val="none"/>
        </w:rPr>
        <w:t>, 2025</w:t>
      </w:r>
    </w:p>
    <w:p w14:paraId="4E2093B9" w14:textId="6259786D" w:rsidR="00BB2E0C" w:rsidRDefault="00BB2E0C" w:rsidP="00BB2E0C">
      <w:pPr>
        <w:pStyle w:val="CenterUnderline"/>
        <w:jc w:val="both"/>
        <w:rPr>
          <w:u w:val="none"/>
        </w:rPr>
      </w:pPr>
      <w:r w:rsidRPr="00CC741A">
        <w:rPr>
          <w:u w:val="none"/>
        </w:rPr>
        <w:tab/>
        <w:t>(</w:t>
      </w:r>
      <w:r w:rsidR="00111D06">
        <w:rPr>
          <w:i/>
          <w:u w:val="none"/>
        </w:rPr>
        <w:t>Non-Signatories</w:t>
      </w:r>
      <w:r>
        <w:rPr>
          <w:u w:val="none"/>
        </w:rPr>
        <w:t>)</w:t>
      </w:r>
    </w:p>
    <w:p w14:paraId="7C4660D9" w14:textId="6C2E4720" w:rsidR="00EB62BC" w:rsidRDefault="00EB62BC" w:rsidP="00BB2E0C">
      <w:pPr>
        <w:pStyle w:val="CenterUnderline"/>
        <w:jc w:val="both"/>
        <w:rPr>
          <w:u w:val="none"/>
        </w:rPr>
      </w:pPr>
    </w:p>
    <w:p w14:paraId="26752D0F" w14:textId="19CFE079" w:rsidR="00EB62BC" w:rsidRDefault="00EB62BC" w:rsidP="00EB62BC">
      <w:pPr>
        <w:pStyle w:val="CenterUnderline"/>
        <w:jc w:val="both"/>
        <w:rPr>
          <w:u w:val="none"/>
        </w:rPr>
      </w:pPr>
      <w:r>
        <w:rPr>
          <w:u w:val="none"/>
        </w:rPr>
        <w:tab/>
        <w:t>Provision of Exhibits</w:t>
      </w:r>
      <w:r>
        <w:rPr>
          <w:u w:val="none"/>
        </w:rPr>
        <w:tab/>
      </w:r>
      <w:r>
        <w:rPr>
          <w:u w:val="none"/>
        </w:rPr>
        <w:tab/>
      </w:r>
      <w:r>
        <w:rPr>
          <w:u w:val="none"/>
        </w:rPr>
        <w:tab/>
      </w:r>
      <w:r>
        <w:rPr>
          <w:u w:val="none"/>
        </w:rPr>
        <w:tab/>
        <w:t>September 29, 2025</w:t>
      </w:r>
    </w:p>
    <w:p w14:paraId="466B8EA9" w14:textId="6D1267DD" w:rsidR="00EB62BC" w:rsidRDefault="00EB62BC" w:rsidP="00BB2E0C">
      <w:pPr>
        <w:pStyle w:val="CenterUnderline"/>
        <w:jc w:val="both"/>
        <w:rPr>
          <w:u w:val="none"/>
        </w:rPr>
      </w:pPr>
    </w:p>
    <w:p w14:paraId="7627684B" w14:textId="77777777" w:rsidR="00EB62BC" w:rsidRDefault="00EB62BC" w:rsidP="00BB2E0C">
      <w:pPr>
        <w:pStyle w:val="CenterUnderline"/>
        <w:jc w:val="both"/>
        <w:rPr>
          <w:u w:val="none"/>
        </w:rPr>
      </w:pPr>
    </w:p>
    <w:p w14:paraId="32DAEA94" w14:textId="7C18748F" w:rsidR="00EB62BC" w:rsidRDefault="00EB62BC" w:rsidP="00BB2E0C">
      <w:pPr>
        <w:pStyle w:val="CenterUnderline"/>
        <w:jc w:val="both"/>
        <w:rPr>
          <w:u w:val="none"/>
        </w:rPr>
      </w:pPr>
      <w:r>
        <w:rPr>
          <w:u w:val="none"/>
        </w:rPr>
        <w:tab/>
        <w:t>Rebuttal testimony</w:t>
      </w:r>
      <w:r>
        <w:rPr>
          <w:u w:val="none"/>
        </w:rPr>
        <w:tab/>
      </w:r>
      <w:r>
        <w:rPr>
          <w:u w:val="none"/>
        </w:rPr>
        <w:tab/>
      </w:r>
      <w:r>
        <w:rPr>
          <w:u w:val="none"/>
        </w:rPr>
        <w:tab/>
      </w:r>
      <w:r>
        <w:rPr>
          <w:u w:val="none"/>
        </w:rPr>
        <w:tab/>
        <w:t>October 1, 2025</w:t>
      </w:r>
    </w:p>
    <w:p w14:paraId="26AD4075" w14:textId="13F1975F" w:rsidR="00EB62BC" w:rsidRPr="00EB62BC" w:rsidRDefault="00EB62BC" w:rsidP="00BB2E0C">
      <w:pPr>
        <w:pStyle w:val="CenterUnderline"/>
        <w:jc w:val="both"/>
        <w:rPr>
          <w:i/>
          <w:u w:val="none"/>
        </w:rPr>
      </w:pPr>
      <w:r>
        <w:rPr>
          <w:u w:val="none"/>
        </w:rPr>
        <w:tab/>
      </w:r>
      <w:r w:rsidRPr="00EB62BC">
        <w:rPr>
          <w:i/>
          <w:u w:val="none"/>
        </w:rPr>
        <w:t>(</w:t>
      </w:r>
      <w:r w:rsidR="00111D06">
        <w:rPr>
          <w:i/>
          <w:u w:val="none"/>
        </w:rPr>
        <w:t>FPL &amp; Signatorie</w:t>
      </w:r>
      <w:r>
        <w:rPr>
          <w:i/>
          <w:u w:val="none"/>
        </w:rPr>
        <w:t>s)</w:t>
      </w:r>
    </w:p>
    <w:p w14:paraId="52D003DC" w14:textId="77777777" w:rsidR="00BB2E0C" w:rsidRDefault="00BB2E0C" w:rsidP="00BB2E0C">
      <w:pPr>
        <w:pStyle w:val="CenterUnderline"/>
        <w:jc w:val="both"/>
        <w:rPr>
          <w:u w:val="none"/>
        </w:rPr>
      </w:pPr>
      <w:r>
        <w:rPr>
          <w:u w:val="none"/>
        </w:rPr>
        <w:tab/>
      </w:r>
    </w:p>
    <w:p w14:paraId="1130FF18" w14:textId="22707673" w:rsidR="00BB2E0C" w:rsidRDefault="00633E88" w:rsidP="00BB2E0C">
      <w:pPr>
        <w:pStyle w:val="CenterUnderline"/>
        <w:jc w:val="both"/>
        <w:rPr>
          <w:u w:val="none"/>
        </w:rPr>
      </w:pPr>
      <w:r>
        <w:rPr>
          <w:u w:val="none"/>
        </w:rPr>
        <w:tab/>
      </w:r>
      <w:r w:rsidR="00BB2E0C">
        <w:rPr>
          <w:u w:val="none"/>
        </w:rPr>
        <w:t>Discovery actions completed</w:t>
      </w:r>
      <w:r w:rsidR="00BB2E0C">
        <w:rPr>
          <w:u w:val="none"/>
        </w:rPr>
        <w:tab/>
      </w:r>
      <w:r w:rsidR="00BB2E0C">
        <w:rPr>
          <w:u w:val="none"/>
        </w:rPr>
        <w:tab/>
      </w:r>
      <w:r w:rsidR="00BB2E0C">
        <w:rPr>
          <w:u w:val="none"/>
        </w:rPr>
        <w:tab/>
        <w:t xml:space="preserve">October </w:t>
      </w:r>
      <w:r w:rsidR="00901673">
        <w:rPr>
          <w:u w:val="none"/>
        </w:rPr>
        <w:t>3</w:t>
      </w:r>
      <w:r w:rsidR="00BB2E0C">
        <w:rPr>
          <w:u w:val="none"/>
        </w:rPr>
        <w:t>, 2025</w:t>
      </w:r>
    </w:p>
    <w:p w14:paraId="1FB6EBFA" w14:textId="77777777" w:rsidR="00BB2E0C" w:rsidRDefault="00BB2E0C" w:rsidP="00BB2E0C">
      <w:pPr>
        <w:pStyle w:val="CenterUnderline"/>
        <w:jc w:val="both"/>
        <w:rPr>
          <w:u w:val="none"/>
        </w:rPr>
      </w:pPr>
    </w:p>
    <w:p w14:paraId="50037EDB" w14:textId="689D7984" w:rsidR="00BB2E0C" w:rsidRDefault="00BB2E0C" w:rsidP="00BB2E0C">
      <w:pPr>
        <w:pStyle w:val="CenterUnderline"/>
        <w:jc w:val="both"/>
        <w:rPr>
          <w:u w:val="none"/>
        </w:rPr>
      </w:pPr>
      <w:r>
        <w:rPr>
          <w:u w:val="none"/>
        </w:rPr>
        <w:tab/>
        <w:t>Final Hearing</w:t>
      </w:r>
      <w:r>
        <w:rPr>
          <w:u w:val="none"/>
        </w:rPr>
        <w:tab/>
      </w:r>
      <w:r>
        <w:rPr>
          <w:u w:val="none"/>
        </w:rPr>
        <w:tab/>
      </w:r>
      <w:r>
        <w:rPr>
          <w:u w:val="none"/>
        </w:rPr>
        <w:tab/>
      </w:r>
      <w:r>
        <w:rPr>
          <w:u w:val="none"/>
        </w:rPr>
        <w:tab/>
      </w:r>
      <w:r>
        <w:rPr>
          <w:u w:val="none"/>
        </w:rPr>
        <w:tab/>
        <w:t xml:space="preserve">October </w:t>
      </w:r>
      <w:r w:rsidR="00EB62BC">
        <w:rPr>
          <w:u w:val="none"/>
        </w:rPr>
        <w:t>6</w:t>
      </w:r>
      <w:r w:rsidR="00633E88">
        <w:rPr>
          <w:u w:val="none"/>
        </w:rPr>
        <w:t>-</w:t>
      </w:r>
      <w:r w:rsidR="00EB62BC">
        <w:rPr>
          <w:u w:val="none"/>
        </w:rPr>
        <w:t>10</w:t>
      </w:r>
      <w:r>
        <w:rPr>
          <w:u w:val="none"/>
        </w:rPr>
        <w:t>, 2025</w:t>
      </w:r>
    </w:p>
    <w:p w14:paraId="639720DC" w14:textId="310EEE19" w:rsidR="00633E88" w:rsidRDefault="00633E88" w:rsidP="00BB2E0C">
      <w:pPr>
        <w:pStyle w:val="CenterUnderline"/>
        <w:jc w:val="both"/>
        <w:rPr>
          <w:u w:val="none"/>
        </w:rPr>
      </w:pPr>
      <w:r>
        <w:rPr>
          <w:u w:val="none"/>
        </w:rPr>
        <w:tab/>
      </w:r>
      <w:r>
        <w:rPr>
          <w:u w:val="none"/>
        </w:rPr>
        <w:tab/>
      </w:r>
      <w:r>
        <w:rPr>
          <w:u w:val="none"/>
        </w:rPr>
        <w:tab/>
      </w:r>
      <w:r>
        <w:rPr>
          <w:u w:val="none"/>
        </w:rPr>
        <w:tab/>
      </w:r>
      <w:r>
        <w:rPr>
          <w:u w:val="none"/>
        </w:rPr>
        <w:tab/>
      </w:r>
      <w:r>
        <w:rPr>
          <w:u w:val="none"/>
        </w:rPr>
        <w:tab/>
      </w:r>
      <w:r>
        <w:rPr>
          <w:u w:val="none"/>
        </w:rPr>
        <w:tab/>
        <w:t xml:space="preserve">October </w:t>
      </w:r>
      <w:r w:rsidR="00EB62BC">
        <w:rPr>
          <w:u w:val="none"/>
        </w:rPr>
        <w:t>13</w:t>
      </w:r>
      <w:r>
        <w:rPr>
          <w:u w:val="none"/>
        </w:rPr>
        <w:t>-</w:t>
      </w:r>
      <w:r w:rsidR="00EB62BC">
        <w:rPr>
          <w:u w:val="none"/>
        </w:rPr>
        <w:t>17</w:t>
      </w:r>
      <w:r>
        <w:rPr>
          <w:u w:val="none"/>
        </w:rPr>
        <w:t>, 2025</w:t>
      </w:r>
    </w:p>
    <w:p w14:paraId="312687A7" w14:textId="77777777" w:rsidR="00BB2E0C" w:rsidRDefault="00BB2E0C" w:rsidP="00BB2E0C">
      <w:pPr>
        <w:pStyle w:val="CenterUnderline"/>
        <w:jc w:val="both"/>
        <w:rPr>
          <w:u w:val="none"/>
        </w:rPr>
      </w:pPr>
      <w:r>
        <w:rPr>
          <w:u w:val="none"/>
        </w:rPr>
        <w:tab/>
      </w:r>
    </w:p>
    <w:p w14:paraId="2E2EE151" w14:textId="502268E3" w:rsidR="00BB2E0C" w:rsidRDefault="00BB2E0C" w:rsidP="00BB2E0C">
      <w:pPr>
        <w:pStyle w:val="CenterUnderline"/>
        <w:jc w:val="both"/>
        <w:rPr>
          <w:u w:val="none"/>
        </w:rPr>
      </w:pPr>
      <w:r>
        <w:rPr>
          <w:u w:val="none"/>
        </w:rPr>
        <w:tab/>
        <w:t>P</w:t>
      </w:r>
      <w:r w:rsidR="00387459">
        <w:rPr>
          <w:u w:val="none"/>
        </w:rPr>
        <w:t>ost-Hearing Briefs</w:t>
      </w:r>
      <w:r w:rsidR="00387459">
        <w:rPr>
          <w:u w:val="none"/>
        </w:rPr>
        <w:tab/>
      </w:r>
      <w:r w:rsidR="00387459">
        <w:rPr>
          <w:u w:val="none"/>
        </w:rPr>
        <w:tab/>
      </w:r>
      <w:r w:rsidR="00387459">
        <w:rPr>
          <w:u w:val="none"/>
        </w:rPr>
        <w:tab/>
      </w:r>
      <w:r w:rsidR="00387459">
        <w:rPr>
          <w:u w:val="none"/>
        </w:rPr>
        <w:tab/>
        <w:t xml:space="preserve">November </w:t>
      </w:r>
      <w:r w:rsidR="00EB62BC">
        <w:rPr>
          <w:u w:val="none"/>
        </w:rPr>
        <w:t>7</w:t>
      </w:r>
      <w:r>
        <w:rPr>
          <w:u w:val="none"/>
        </w:rPr>
        <w:t>, 2025</w:t>
      </w:r>
    </w:p>
    <w:p w14:paraId="5786BD7C" w14:textId="47916EA6" w:rsidR="00BB2E0C" w:rsidRDefault="00BB2E0C" w:rsidP="00BB2E0C">
      <w:pPr>
        <w:pStyle w:val="CenterUnderline"/>
        <w:jc w:val="both"/>
        <w:rPr>
          <w:u w:val="none"/>
        </w:rPr>
      </w:pPr>
    </w:p>
    <w:p w14:paraId="6BE1702D" w14:textId="77777777" w:rsidR="00625BB8" w:rsidRDefault="00BB2E0C" w:rsidP="00BB2E0C">
      <w:pPr>
        <w:pStyle w:val="CenterUnderline"/>
        <w:jc w:val="both"/>
        <w:rPr>
          <w:u w:val="none"/>
        </w:rPr>
      </w:pPr>
      <w:r>
        <w:rPr>
          <w:u w:val="none"/>
        </w:rPr>
        <w:tab/>
      </w:r>
    </w:p>
    <w:p w14:paraId="113177A7" w14:textId="791A310A" w:rsidR="00F960DE" w:rsidRDefault="00625BB8" w:rsidP="00BB2E0C">
      <w:pPr>
        <w:pStyle w:val="CenterUnderline"/>
        <w:jc w:val="both"/>
        <w:rPr>
          <w:u w:val="none"/>
        </w:rPr>
      </w:pPr>
      <w:r>
        <w:rPr>
          <w:u w:val="none"/>
        </w:rPr>
        <w:tab/>
      </w:r>
      <w:r w:rsidR="00F960DE">
        <w:rPr>
          <w:u w:val="none"/>
        </w:rPr>
        <w:t>Based on the foregoing, it is</w:t>
      </w:r>
    </w:p>
    <w:p w14:paraId="31C7E915" w14:textId="77777777" w:rsidR="00F960DE" w:rsidRDefault="00F960DE" w:rsidP="00BB2E0C">
      <w:pPr>
        <w:pStyle w:val="CenterUnderline"/>
        <w:jc w:val="both"/>
        <w:rPr>
          <w:u w:val="none"/>
        </w:rPr>
      </w:pPr>
    </w:p>
    <w:p w14:paraId="1E4F5407" w14:textId="77777777" w:rsidR="00C04CDE" w:rsidRDefault="00C04CDE" w:rsidP="00C04CDE">
      <w:pPr>
        <w:pStyle w:val="OrderBody"/>
        <w:ind w:firstLine="720"/>
      </w:pPr>
      <w:r>
        <w:t xml:space="preserve">ORDERED by Chairman Mike La Rosa, as Prehearing Officer, that Order No. PSC-2025-0075-PCO-EI is modified as set forth in the body of this order.  It is further </w:t>
      </w:r>
    </w:p>
    <w:p w14:paraId="64575733" w14:textId="77777777" w:rsidR="00C04CDE" w:rsidRDefault="00C04CDE" w:rsidP="00C04CDE">
      <w:pPr>
        <w:pStyle w:val="OrderBody"/>
      </w:pPr>
    </w:p>
    <w:p w14:paraId="05B92462" w14:textId="77777777" w:rsidR="00C04CDE" w:rsidRDefault="00C04CDE" w:rsidP="00C04CDE">
      <w:pPr>
        <w:pStyle w:val="OrderBody"/>
      </w:pPr>
      <w:r>
        <w:tab/>
        <w:t>ORDERED that Order No. PSC-2025-0075-PCO-EI is reaffirmed in all other respects.</w:t>
      </w:r>
    </w:p>
    <w:p w14:paraId="1174AB9C" w14:textId="77777777" w:rsidR="00C04CDE" w:rsidRDefault="00C04CDE" w:rsidP="00C04CDE">
      <w:pPr>
        <w:pStyle w:val="OrderBody"/>
      </w:pPr>
    </w:p>
    <w:p w14:paraId="3EC281AF" w14:textId="199E664A" w:rsidR="00C04CDE" w:rsidRDefault="00C04CDE" w:rsidP="00C04CDE">
      <w:pPr>
        <w:pStyle w:val="OrderBody"/>
        <w:keepNext/>
        <w:keepLines/>
      </w:pPr>
      <w:r>
        <w:tab/>
        <w:t xml:space="preserve">By ORDER of Chairman Mike La Rosa, as Prehearing Officer, this </w:t>
      </w:r>
      <w:bookmarkStart w:id="5" w:name="replaceDate"/>
      <w:bookmarkEnd w:id="5"/>
      <w:r w:rsidR="000B74FB">
        <w:rPr>
          <w:u w:val="single"/>
        </w:rPr>
        <w:t>22nd</w:t>
      </w:r>
      <w:r w:rsidR="000B74FB">
        <w:t xml:space="preserve"> day of </w:t>
      </w:r>
      <w:r w:rsidR="000B74FB">
        <w:rPr>
          <w:u w:val="single"/>
        </w:rPr>
        <w:t>August</w:t>
      </w:r>
      <w:r w:rsidR="000B74FB">
        <w:t xml:space="preserve">, </w:t>
      </w:r>
      <w:r w:rsidR="000B74FB">
        <w:rPr>
          <w:u w:val="single"/>
        </w:rPr>
        <w:t>2025</w:t>
      </w:r>
      <w:r w:rsidR="000B74FB">
        <w:t>.</w:t>
      </w:r>
    </w:p>
    <w:p w14:paraId="6CC6E5C5" w14:textId="77777777" w:rsidR="000B74FB" w:rsidRPr="000B74FB" w:rsidRDefault="000B74FB" w:rsidP="00C04CDE">
      <w:pPr>
        <w:pStyle w:val="OrderBody"/>
        <w:keepNext/>
        <w:keepLines/>
      </w:pPr>
    </w:p>
    <w:p w14:paraId="46F5E446" w14:textId="77777777" w:rsidR="00C04CDE" w:rsidRDefault="00C04CDE" w:rsidP="00C04CDE">
      <w:pPr>
        <w:pStyle w:val="OrderBody"/>
        <w:keepNext/>
        <w:keepLines/>
      </w:pPr>
    </w:p>
    <w:p w14:paraId="62433921" w14:textId="77777777" w:rsidR="00C04CDE" w:rsidRDefault="00C04CDE" w:rsidP="00C04CDE">
      <w:pPr>
        <w:pStyle w:val="OrderBody"/>
        <w:keepNext/>
        <w:keepLines/>
      </w:pPr>
    </w:p>
    <w:p w14:paraId="47F38FD0" w14:textId="77777777" w:rsidR="00C04CDE" w:rsidRDefault="00C04CDE" w:rsidP="00C04C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4CDE" w14:paraId="2CEF084C" w14:textId="77777777" w:rsidTr="00C04CDE">
        <w:tc>
          <w:tcPr>
            <w:tcW w:w="720" w:type="dxa"/>
            <w:shd w:val="clear" w:color="auto" w:fill="auto"/>
          </w:tcPr>
          <w:p w14:paraId="65E0FCD2" w14:textId="77777777" w:rsidR="00C04CDE" w:rsidRDefault="00C04CDE" w:rsidP="00C04CDE">
            <w:pPr>
              <w:pStyle w:val="OrderBody"/>
              <w:keepNext/>
              <w:keepLines/>
            </w:pPr>
            <w:bookmarkStart w:id="6" w:name="bkmrkSignature" w:colFirst="0" w:colLast="0"/>
          </w:p>
        </w:tc>
        <w:tc>
          <w:tcPr>
            <w:tcW w:w="4320" w:type="dxa"/>
            <w:tcBorders>
              <w:bottom w:val="single" w:sz="4" w:space="0" w:color="auto"/>
            </w:tcBorders>
            <w:shd w:val="clear" w:color="auto" w:fill="auto"/>
          </w:tcPr>
          <w:p w14:paraId="034FF177" w14:textId="2628A680" w:rsidR="00C04CDE" w:rsidRDefault="000B74FB" w:rsidP="00C04CDE">
            <w:pPr>
              <w:pStyle w:val="OrderBody"/>
              <w:keepNext/>
              <w:keepLines/>
            </w:pPr>
            <w:r>
              <w:t>/s/ Mike La Rosa</w:t>
            </w:r>
            <w:bookmarkStart w:id="7" w:name="_GoBack"/>
            <w:bookmarkEnd w:id="7"/>
          </w:p>
        </w:tc>
      </w:tr>
      <w:bookmarkEnd w:id="6"/>
      <w:tr w:rsidR="00C04CDE" w14:paraId="265B3FDA" w14:textId="77777777" w:rsidTr="00C04CDE">
        <w:tc>
          <w:tcPr>
            <w:tcW w:w="720" w:type="dxa"/>
            <w:shd w:val="clear" w:color="auto" w:fill="auto"/>
          </w:tcPr>
          <w:p w14:paraId="691E0993" w14:textId="77777777" w:rsidR="00C04CDE" w:rsidRDefault="00C04CDE" w:rsidP="00C04CDE">
            <w:pPr>
              <w:pStyle w:val="OrderBody"/>
              <w:keepNext/>
              <w:keepLines/>
            </w:pPr>
          </w:p>
        </w:tc>
        <w:tc>
          <w:tcPr>
            <w:tcW w:w="4320" w:type="dxa"/>
            <w:tcBorders>
              <w:top w:val="single" w:sz="4" w:space="0" w:color="auto"/>
            </w:tcBorders>
            <w:shd w:val="clear" w:color="auto" w:fill="auto"/>
          </w:tcPr>
          <w:p w14:paraId="40624590" w14:textId="77777777" w:rsidR="00C04CDE" w:rsidRDefault="00C04CDE" w:rsidP="00C04CDE">
            <w:pPr>
              <w:pStyle w:val="OrderBody"/>
              <w:keepNext/>
              <w:keepLines/>
            </w:pPr>
            <w:r>
              <w:t>Mike La Rosa</w:t>
            </w:r>
          </w:p>
          <w:p w14:paraId="15137424" w14:textId="77777777" w:rsidR="00C04CDE" w:rsidRDefault="00C04CDE" w:rsidP="00C04CDE">
            <w:pPr>
              <w:pStyle w:val="OrderBody"/>
              <w:keepNext/>
              <w:keepLines/>
            </w:pPr>
            <w:r>
              <w:t>Chairman and Prehearing Officer</w:t>
            </w:r>
          </w:p>
        </w:tc>
      </w:tr>
    </w:tbl>
    <w:p w14:paraId="15AD5F92" w14:textId="77777777" w:rsidR="00C04CDE" w:rsidRDefault="00C04CDE" w:rsidP="00C04CDE">
      <w:pPr>
        <w:pStyle w:val="OrderSigInfo"/>
        <w:keepNext/>
        <w:keepLines/>
      </w:pPr>
      <w:r>
        <w:t>Florida Public Service Commission</w:t>
      </w:r>
    </w:p>
    <w:p w14:paraId="3738218E" w14:textId="77777777" w:rsidR="00C04CDE" w:rsidRDefault="00C04CDE" w:rsidP="00C04CDE">
      <w:pPr>
        <w:pStyle w:val="OrderSigInfo"/>
        <w:keepNext/>
        <w:keepLines/>
      </w:pPr>
      <w:r>
        <w:t>2540 Shumard Oak Boulevard</w:t>
      </w:r>
    </w:p>
    <w:p w14:paraId="7F6C234B" w14:textId="77777777" w:rsidR="00C04CDE" w:rsidRDefault="00C04CDE" w:rsidP="00C04CDE">
      <w:pPr>
        <w:pStyle w:val="OrderSigInfo"/>
        <w:keepNext/>
        <w:keepLines/>
      </w:pPr>
      <w:r>
        <w:t>Tallahassee, Florida 32399</w:t>
      </w:r>
    </w:p>
    <w:p w14:paraId="7292E4DC" w14:textId="77777777" w:rsidR="00C04CDE" w:rsidRDefault="00C04CDE" w:rsidP="00C04CDE">
      <w:pPr>
        <w:pStyle w:val="OrderSigInfo"/>
        <w:keepNext/>
        <w:keepLines/>
      </w:pPr>
      <w:r>
        <w:t>(850) 413</w:t>
      </w:r>
      <w:r>
        <w:noBreakHyphen/>
        <w:t>6770</w:t>
      </w:r>
    </w:p>
    <w:p w14:paraId="0862CC6D" w14:textId="77777777" w:rsidR="00C04CDE" w:rsidRDefault="00C04CDE" w:rsidP="00C04CDE">
      <w:pPr>
        <w:pStyle w:val="OrderSigInfo"/>
        <w:keepNext/>
        <w:keepLines/>
      </w:pPr>
      <w:r>
        <w:t>www.floridapsc.com</w:t>
      </w:r>
    </w:p>
    <w:p w14:paraId="514938DB" w14:textId="77777777" w:rsidR="00C04CDE" w:rsidRDefault="00C04CDE" w:rsidP="00C04CDE">
      <w:pPr>
        <w:pStyle w:val="OrderSigInfo"/>
        <w:keepNext/>
        <w:keepLines/>
      </w:pPr>
    </w:p>
    <w:p w14:paraId="0116F970" w14:textId="77777777" w:rsidR="00C04CDE" w:rsidRDefault="00C04CDE" w:rsidP="00C04CDE">
      <w:pPr>
        <w:pStyle w:val="OrderSigInfo"/>
        <w:keepNext/>
        <w:keepLines/>
      </w:pPr>
      <w:r>
        <w:t>Copies furnished:  A copy of this document is provided to the parties of record at the time of issuance and, if applicable, interested persons.</w:t>
      </w:r>
    </w:p>
    <w:p w14:paraId="696BE2ED" w14:textId="77777777" w:rsidR="00C04CDE" w:rsidRDefault="00C04CDE" w:rsidP="00C04CDE">
      <w:pPr>
        <w:pStyle w:val="OrderBody"/>
        <w:keepNext/>
        <w:keepLines/>
      </w:pPr>
    </w:p>
    <w:p w14:paraId="6AED8280" w14:textId="77777777" w:rsidR="00C04CDE" w:rsidRDefault="00C04CDE" w:rsidP="00C04CDE">
      <w:pPr>
        <w:pStyle w:val="OrderBody"/>
        <w:keepNext/>
        <w:keepLines/>
      </w:pPr>
    </w:p>
    <w:p w14:paraId="34B45D17" w14:textId="77777777" w:rsidR="00C04CDE" w:rsidRDefault="00C04CDE" w:rsidP="00C04CDE">
      <w:pPr>
        <w:pStyle w:val="OrderBody"/>
        <w:keepNext/>
        <w:keepLines/>
      </w:pPr>
      <w:r>
        <w:t>SPS</w:t>
      </w:r>
    </w:p>
    <w:p w14:paraId="0664071D" w14:textId="77777777" w:rsidR="00C04CDE" w:rsidRDefault="00C04CDE" w:rsidP="00C04CDE">
      <w:pPr>
        <w:pStyle w:val="OrderBody"/>
      </w:pPr>
    </w:p>
    <w:p w14:paraId="46718926" w14:textId="15171D81" w:rsidR="00C04CDE" w:rsidRDefault="00C04CDE" w:rsidP="00C04CDE">
      <w:pPr>
        <w:pStyle w:val="OrderBody"/>
      </w:pPr>
    </w:p>
    <w:p w14:paraId="32D39829" w14:textId="0F657A5B" w:rsidR="00C913AC" w:rsidRDefault="00C913AC" w:rsidP="00C04CDE">
      <w:pPr>
        <w:pStyle w:val="OrderBody"/>
      </w:pPr>
    </w:p>
    <w:p w14:paraId="4313B220" w14:textId="77777777" w:rsidR="00C913AC" w:rsidRDefault="00C913AC" w:rsidP="00C04CDE">
      <w:pPr>
        <w:pStyle w:val="OrderBody"/>
      </w:pPr>
    </w:p>
    <w:p w14:paraId="0CA757B1" w14:textId="77777777" w:rsidR="00C04CDE" w:rsidRDefault="00C04CDE" w:rsidP="00C04CDE">
      <w:pPr>
        <w:pStyle w:val="OrderBody"/>
      </w:pPr>
    </w:p>
    <w:p w14:paraId="0ADBCF76" w14:textId="77777777" w:rsidR="00C04CDE" w:rsidRDefault="00C04CDE" w:rsidP="00C04CDE">
      <w:pPr>
        <w:pStyle w:val="CenterUnderline"/>
      </w:pPr>
      <w:r>
        <w:lastRenderedPageBreak/>
        <w:t>NOTICE OF FURTHER PROCEEDINGS OR JUDICIAL REVIEW</w:t>
      </w:r>
    </w:p>
    <w:p w14:paraId="2DB29126" w14:textId="77777777" w:rsidR="00C04CDE" w:rsidRDefault="00C04CDE" w:rsidP="00C04CDE">
      <w:pPr>
        <w:pStyle w:val="CenterUnderline"/>
        <w:rPr>
          <w:u w:val="none"/>
        </w:rPr>
      </w:pPr>
    </w:p>
    <w:p w14:paraId="367729E2" w14:textId="77777777" w:rsidR="00C04CDE" w:rsidRDefault="00C04CDE" w:rsidP="00C04C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48E9D18" w14:textId="77777777" w:rsidR="00C04CDE" w:rsidRDefault="00C04CDE" w:rsidP="00C04CDE">
      <w:pPr>
        <w:pStyle w:val="OrderBody"/>
      </w:pPr>
    </w:p>
    <w:p w14:paraId="3E2D5AF7" w14:textId="77777777" w:rsidR="00C04CDE" w:rsidRDefault="00C04CDE" w:rsidP="00C04CDE">
      <w:pPr>
        <w:pStyle w:val="OrderBody"/>
      </w:pPr>
      <w:r>
        <w:tab/>
        <w:t>Mediation may be available on a case-by-case basis.  If mediation is conducted, it does not affect a substantially interested person's right to a hearing.</w:t>
      </w:r>
    </w:p>
    <w:p w14:paraId="6D0786E0" w14:textId="77777777" w:rsidR="00C04CDE" w:rsidRDefault="00C04CDE" w:rsidP="00C04CDE">
      <w:pPr>
        <w:pStyle w:val="OrderBody"/>
      </w:pPr>
    </w:p>
    <w:p w14:paraId="54CE34B6" w14:textId="77777777" w:rsidR="00C04CDE" w:rsidRDefault="00C04CDE" w:rsidP="00C04CD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5C91558" w14:textId="77777777" w:rsidR="00C04CDE" w:rsidRDefault="00C04CDE" w:rsidP="00C04CDE"/>
    <w:p w14:paraId="0E4481AD" w14:textId="77777777" w:rsidR="00371C46" w:rsidRDefault="00371C46" w:rsidP="00371C46">
      <w:pPr>
        <w:pStyle w:val="OrderBody"/>
      </w:pPr>
    </w:p>
    <w:p w14:paraId="752F7FDE" w14:textId="77777777" w:rsidR="00CB5276" w:rsidRDefault="00CB5276">
      <w:pPr>
        <w:pStyle w:val="OrderBody"/>
      </w:pPr>
      <w:bookmarkStart w:id="8" w:name="OrderText"/>
      <w:bookmarkEnd w:id="8"/>
    </w:p>
    <w:p w14:paraId="3A49666E" w14:textId="77777777" w:rsidR="000B7AD2" w:rsidRDefault="000B7AD2">
      <w:pPr>
        <w:pStyle w:val="OrderBody"/>
      </w:pPr>
    </w:p>
    <w:sectPr w:rsidR="000B7A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60F0" w14:textId="77777777" w:rsidR="008D34CF" w:rsidRDefault="008D34CF">
      <w:r>
        <w:separator/>
      </w:r>
    </w:p>
  </w:endnote>
  <w:endnote w:type="continuationSeparator" w:id="0">
    <w:p w14:paraId="4C9473C0" w14:textId="77777777" w:rsidR="008D34CF" w:rsidRDefault="008D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A2E0" w14:textId="77777777" w:rsidR="00FA6EFD" w:rsidRDefault="00FA6EFD">
    <w:pPr>
      <w:pStyle w:val="Footer"/>
    </w:pPr>
  </w:p>
  <w:p w14:paraId="5DA06C1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100C" w14:textId="77777777" w:rsidR="008D34CF" w:rsidRDefault="008D34CF">
      <w:r>
        <w:separator/>
      </w:r>
    </w:p>
  </w:footnote>
  <w:footnote w:type="continuationSeparator" w:id="0">
    <w:p w14:paraId="1D1929AB" w14:textId="77777777" w:rsidR="008D34CF" w:rsidRDefault="008D34CF">
      <w:r>
        <w:continuationSeparator/>
      </w:r>
    </w:p>
  </w:footnote>
  <w:footnote w:id="1">
    <w:p w14:paraId="5D248D3C" w14:textId="77777777" w:rsidR="00E90EC6" w:rsidRDefault="00E90EC6">
      <w:pPr>
        <w:pStyle w:val="FootnoteText"/>
      </w:pPr>
      <w:r>
        <w:rPr>
          <w:rStyle w:val="FootnoteReference"/>
        </w:rPr>
        <w:footnoteRef/>
      </w:r>
      <w:r>
        <w:t xml:space="preserve"> Order No. PSC-2025-0304-PCO-EI at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8A44" w14:textId="5CAB0838" w:rsidR="00FA6EFD" w:rsidRDefault="00FA6EFD">
    <w:pPr>
      <w:pStyle w:val="OrderHeader"/>
    </w:pPr>
    <w:r>
      <w:t xml:space="preserve">ORDER NO. </w:t>
    </w:r>
    <w:fldSimple w:instr=" REF OrderNo0323 ">
      <w:r w:rsidR="000B74FB">
        <w:t>PSC-2025-0323-PCO-EI</w:t>
      </w:r>
    </w:fldSimple>
  </w:p>
  <w:p w14:paraId="76D6F850" w14:textId="77777777" w:rsidR="00FA6EFD" w:rsidRDefault="00371C46">
    <w:pPr>
      <w:pStyle w:val="OrderHeader"/>
    </w:pPr>
    <w:bookmarkStart w:id="9" w:name="HeaderDocketNo"/>
    <w:bookmarkEnd w:id="9"/>
    <w:r>
      <w:t>DOCKET NO. 20250011-EI</w:t>
    </w:r>
  </w:p>
  <w:p w14:paraId="30011C4F" w14:textId="7705CA1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4FB">
      <w:rPr>
        <w:rStyle w:val="PageNumber"/>
        <w:noProof/>
      </w:rPr>
      <w:t>2</w:t>
    </w:r>
    <w:r>
      <w:rPr>
        <w:rStyle w:val="PageNumber"/>
      </w:rPr>
      <w:fldChar w:fldCharType="end"/>
    </w:r>
  </w:p>
  <w:p w14:paraId="35A7D74B"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50F8"/>
    <w:multiLevelType w:val="hybridMultilevel"/>
    <w:tmpl w:val="EE98FBD8"/>
    <w:lvl w:ilvl="0" w:tplc="0FBC140E">
      <w:start w:val="1"/>
      <w:numFmt w:val="decimal"/>
      <w:lvlText w:val="(%1)"/>
      <w:lvlJc w:val="left"/>
      <w:pPr>
        <w:ind w:left="720" w:hanging="360"/>
      </w:pPr>
      <w:rPr>
        <w:rFonts w:ascii="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FFE2A65"/>
    <w:multiLevelType w:val="hybridMultilevel"/>
    <w:tmpl w:val="6C64D8C8"/>
    <w:lvl w:ilvl="0" w:tplc="372E3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92C85"/>
    <w:multiLevelType w:val="hybridMultilevel"/>
    <w:tmpl w:val="6902D816"/>
    <w:lvl w:ilvl="0" w:tplc="B650A1EC">
      <w:start w:val="6"/>
      <w:numFmt w:val="decimal"/>
      <w:lvlText w:val="(%1)"/>
      <w:lvlJc w:val="left"/>
      <w:pPr>
        <w:ind w:left="720" w:hanging="360"/>
      </w:pPr>
      <w:rPr>
        <w:rFonts w:ascii="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1491E"/>
    <w:multiLevelType w:val="hybridMultilevel"/>
    <w:tmpl w:val="0A92FA50"/>
    <w:lvl w:ilvl="0" w:tplc="47DE9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92873"/>
    <w:multiLevelType w:val="hybridMultilevel"/>
    <w:tmpl w:val="B7B403DE"/>
    <w:lvl w:ilvl="0" w:tplc="05AA9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371C46"/>
    <w:rsid w:val="000022B8"/>
    <w:rsid w:val="00003883"/>
    <w:rsid w:val="00011251"/>
    <w:rsid w:val="00025C2A"/>
    <w:rsid w:val="00025C9D"/>
    <w:rsid w:val="0003433F"/>
    <w:rsid w:val="00035A8C"/>
    <w:rsid w:val="000361CD"/>
    <w:rsid w:val="00036BDD"/>
    <w:rsid w:val="00041FFD"/>
    <w:rsid w:val="00042C99"/>
    <w:rsid w:val="00053AB9"/>
    <w:rsid w:val="00056229"/>
    <w:rsid w:val="00057AF1"/>
    <w:rsid w:val="00063CEC"/>
    <w:rsid w:val="00065FC2"/>
    <w:rsid w:val="00067685"/>
    <w:rsid w:val="00067B07"/>
    <w:rsid w:val="000730D7"/>
    <w:rsid w:val="00076E6B"/>
    <w:rsid w:val="00081AE4"/>
    <w:rsid w:val="0008247D"/>
    <w:rsid w:val="00090AFC"/>
    <w:rsid w:val="00094120"/>
    <w:rsid w:val="00096507"/>
    <w:rsid w:val="000A774F"/>
    <w:rsid w:val="000B1603"/>
    <w:rsid w:val="000B74FB"/>
    <w:rsid w:val="000B783E"/>
    <w:rsid w:val="000B7AD2"/>
    <w:rsid w:val="000B7D81"/>
    <w:rsid w:val="000C1994"/>
    <w:rsid w:val="000C6926"/>
    <w:rsid w:val="000D02B8"/>
    <w:rsid w:val="000D06E8"/>
    <w:rsid w:val="000D52C1"/>
    <w:rsid w:val="000D5CD8"/>
    <w:rsid w:val="000D6E65"/>
    <w:rsid w:val="000D78FB"/>
    <w:rsid w:val="000E050C"/>
    <w:rsid w:val="000E20F0"/>
    <w:rsid w:val="000E2593"/>
    <w:rsid w:val="000E344D"/>
    <w:rsid w:val="000E3F6D"/>
    <w:rsid w:val="000F11F1"/>
    <w:rsid w:val="000F2DBA"/>
    <w:rsid w:val="000F359F"/>
    <w:rsid w:val="000F3B2C"/>
    <w:rsid w:val="000F3F6C"/>
    <w:rsid w:val="000F63EB"/>
    <w:rsid w:val="000F648A"/>
    <w:rsid w:val="000F7BE3"/>
    <w:rsid w:val="00103190"/>
    <w:rsid w:val="00104333"/>
    <w:rsid w:val="001052BA"/>
    <w:rsid w:val="001107B3"/>
    <w:rsid w:val="001114B1"/>
    <w:rsid w:val="00111D06"/>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7808"/>
    <w:rsid w:val="001C2847"/>
    <w:rsid w:val="001C3BB5"/>
    <w:rsid w:val="001C3F8C"/>
    <w:rsid w:val="001C445C"/>
    <w:rsid w:val="001C6097"/>
    <w:rsid w:val="001C7126"/>
    <w:rsid w:val="001D008A"/>
    <w:rsid w:val="001D3BC5"/>
    <w:rsid w:val="001E0152"/>
    <w:rsid w:val="001E0FF5"/>
    <w:rsid w:val="001F0095"/>
    <w:rsid w:val="001F36B0"/>
    <w:rsid w:val="001F4CA3"/>
    <w:rsid w:val="001F502E"/>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3D22"/>
    <w:rsid w:val="0026544B"/>
    <w:rsid w:val="00270F89"/>
    <w:rsid w:val="00276CDC"/>
    <w:rsid w:val="00277655"/>
    <w:rsid w:val="002824B7"/>
    <w:rsid w:val="00282AC4"/>
    <w:rsid w:val="00293DC9"/>
    <w:rsid w:val="00297C37"/>
    <w:rsid w:val="002A11AC"/>
    <w:rsid w:val="002A1B95"/>
    <w:rsid w:val="002A6F30"/>
    <w:rsid w:val="002A7197"/>
    <w:rsid w:val="002A7884"/>
    <w:rsid w:val="002B3111"/>
    <w:rsid w:val="002B4DF6"/>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1C46"/>
    <w:rsid w:val="003744F5"/>
    <w:rsid w:val="00382C6A"/>
    <w:rsid w:val="00387459"/>
    <w:rsid w:val="003875A9"/>
    <w:rsid w:val="00387BDE"/>
    <w:rsid w:val="00390DD8"/>
    <w:rsid w:val="00394DC6"/>
    <w:rsid w:val="003973E8"/>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6DCB"/>
    <w:rsid w:val="003F7445"/>
    <w:rsid w:val="003F7751"/>
    <w:rsid w:val="00411DF2"/>
    <w:rsid w:val="00411E8F"/>
    <w:rsid w:val="004247F5"/>
    <w:rsid w:val="0042527B"/>
    <w:rsid w:val="0042705B"/>
    <w:rsid w:val="00427EAC"/>
    <w:rsid w:val="00430DDC"/>
    <w:rsid w:val="004431B4"/>
    <w:rsid w:val="00445604"/>
    <w:rsid w:val="00451158"/>
    <w:rsid w:val="0045537F"/>
    <w:rsid w:val="00457DC7"/>
    <w:rsid w:val="004640B3"/>
    <w:rsid w:val="00472BCC"/>
    <w:rsid w:val="00477699"/>
    <w:rsid w:val="004A25CD"/>
    <w:rsid w:val="004A26CC"/>
    <w:rsid w:val="004B2108"/>
    <w:rsid w:val="004B271A"/>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9DC"/>
    <w:rsid w:val="00525E93"/>
    <w:rsid w:val="0052671D"/>
    <w:rsid w:val="005300C0"/>
    <w:rsid w:val="00533EF6"/>
    <w:rsid w:val="00540E6B"/>
    <w:rsid w:val="0054109E"/>
    <w:rsid w:val="0055595D"/>
    <w:rsid w:val="00556A10"/>
    <w:rsid w:val="00557F50"/>
    <w:rsid w:val="00571D3D"/>
    <w:rsid w:val="0057221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BB8"/>
    <w:rsid w:val="0063168D"/>
    <w:rsid w:val="00633E88"/>
    <w:rsid w:val="00635C79"/>
    <w:rsid w:val="00641FE8"/>
    <w:rsid w:val="006423A7"/>
    <w:rsid w:val="006455DF"/>
    <w:rsid w:val="00645AF6"/>
    <w:rsid w:val="00647025"/>
    <w:rsid w:val="0064730A"/>
    <w:rsid w:val="006507DA"/>
    <w:rsid w:val="006531A4"/>
    <w:rsid w:val="00655945"/>
    <w:rsid w:val="00660774"/>
    <w:rsid w:val="0066389A"/>
    <w:rsid w:val="0066495C"/>
    <w:rsid w:val="00665CC7"/>
    <w:rsid w:val="00672612"/>
    <w:rsid w:val="00674ECC"/>
    <w:rsid w:val="00677F18"/>
    <w:rsid w:val="00693483"/>
    <w:rsid w:val="006A0BF3"/>
    <w:rsid w:val="006A502B"/>
    <w:rsid w:val="006B0036"/>
    <w:rsid w:val="006B0327"/>
    <w:rsid w:val="006B0DA6"/>
    <w:rsid w:val="006B3FA9"/>
    <w:rsid w:val="006C547E"/>
    <w:rsid w:val="006D2B51"/>
    <w:rsid w:val="006D5575"/>
    <w:rsid w:val="006D7191"/>
    <w:rsid w:val="006E21C4"/>
    <w:rsid w:val="006E42BE"/>
    <w:rsid w:val="006E5D4D"/>
    <w:rsid w:val="006E6BEF"/>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4B6D"/>
    <w:rsid w:val="0076669C"/>
    <w:rsid w:val="00766E46"/>
    <w:rsid w:val="00772CCB"/>
    <w:rsid w:val="00777727"/>
    <w:rsid w:val="0078166A"/>
    <w:rsid w:val="00782B79"/>
    <w:rsid w:val="00783811"/>
    <w:rsid w:val="007865E9"/>
    <w:rsid w:val="0079237D"/>
    <w:rsid w:val="00792383"/>
    <w:rsid w:val="00794D5A"/>
    <w:rsid w:val="00794DD9"/>
    <w:rsid w:val="007A060F"/>
    <w:rsid w:val="007A632B"/>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113D"/>
    <w:rsid w:val="00874429"/>
    <w:rsid w:val="00875D22"/>
    <w:rsid w:val="00883D9A"/>
    <w:rsid w:val="008919EF"/>
    <w:rsid w:val="00892B20"/>
    <w:rsid w:val="008931BC"/>
    <w:rsid w:val="0089695B"/>
    <w:rsid w:val="00897740"/>
    <w:rsid w:val="008A12EC"/>
    <w:rsid w:val="008A2BB9"/>
    <w:rsid w:val="008B14BE"/>
    <w:rsid w:val="008B19A6"/>
    <w:rsid w:val="008B4EFB"/>
    <w:rsid w:val="008B7615"/>
    <w:rsid w:val="008C21C8"/>
    <w:rsid w:val="008C41ED"/>
    <w:rsid w:val="008C6375"/>
    <w:rsid w:val="008C6A5B"/>
    <w:rsid w:val="008D34CF"/>
    <w:rsid w:val="008D441D"/>
    <w:rsid w:val="008D498D"/>
    <w:rsid w:val="008D6D36"/>
    <w:rsid w:val="008E0693"/>
    <w:rsid w:val="008E26A5"/>
    <w:rsid w:val="008E42D2"/>
    <w:rsid w:val="008E6328"/>
    <w:rsid w:val="008F578F"/>
    <w:rsid w:val="008F5D04"/>
    <w:rsid w:val="008F6B3F"/>
    <w:rsid w:val="00901673"/>
    <w:rsid w:val="009040EE"/>
    <w:rsid w:val="009057FD"/>
    <w:rsid w:val="00906FBA"/>
    <w:rsid w:val="00915D7C"/>
    <w:rsid w:val="009163E8"/>
    <w:rsid w:val="00920930"/>
    <w:rsid w:val="00921BD3"/>
    <w:rsid w:val="009228C7"/>
    <w:rsid w:val="00922A7F"/>
    <w:rsid w:val="00923A5E"/>
    <w:rsid w:val="00924458"/>
    <w:rsid w:val="00924FE7"/>
    <w:rsid w:val="00926E27"/>
    <w:rsid w:val="00931C8C"/>
    <w:rsid w:val="0094393E"/>
    <w:rsid w:val="00943D21"/>
    <w:rsid w:val="0094504B"/>
    <w:rsid w:val="00964A38"/>
    <w:rsid w:val="00965FEB"/>
    <w:rsid w:val="00966A9D"/>
    <w:rsid w:val="0096742B"/>
    <w:rsid w:val="00967C64"/>
    <w:rsid w:val="009718C5"/>
    <w:rsid w:val="00976AFF"/>
    <w:rsid w:val="00986AED"/>
    <w:rsid w:val="009924CF"/>
    <w:rsid w:val="00994100"/>
    <w:rsid w:val="009A04B7"/>
    <w:rsid w:val="009A6B17"/>
    <w:rsid w:val="009B052E"/>
    <w:rsid w:val="009B4E00"/>
    <w:rsid w:val="009D4C29"/>
    <w:rsid w:val="009E018F"/>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1612"/>
    <w:rsid w:val="00AA2BAA"/>
    <w:rsid w:val="00AA6516"/>
    <w:rsid w:val="00AA73E7"/>
    <w:rsid w:val="00AA73F1"/>
    <w:rsid w:val="00AB0E1A"/>
    <w:rsid w:val="00AB1A30"/>
    <w:rsid w:val="00AB3C36"/>
    <w:rsid w:val="00AB3D30"/>
    <w:rsid w:val="00AC1CA9"/>
    <w:rsid w:val="00AC4B09"/>
    <w:rsid w:val="00AC5A01"/>
    <w:rsid w:val="00AD10EB"/>
    <w:rsid w:val="00AD1ED3"/>
    <w:rsid w:val="00AD3717"/>
    <w:rsid w:val="00AD74F4"/>
    <w:rsid w:val="00B019C1"/>
    <w:rsid w:val="00B02001"/>
    <w:rsid w:val="00B03C50"/>
    <w:rsid w:val="00B0478C"/>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E0C"/>
    <w:rsid w:val="00BB2F4A"/>
    <w:rsid w:val="00BC786E"/>
    <w:rsid w:val="00BD56DE"/>
    <w:rsid w:val="00BD5C92"/>
    <w:rsid w:val="00BE50E6"/>
    <w:rsid w:val="00BE7A0C"/>
    <w:rsid w:val="00BF01D4"/>
    <w:rsid w:val="00BF2928"/>
    <w:rsid w:val="00BF4DAC"/>
    <w:rsid w:val="00BF5D60"/>
    <w:rsid w:val="00BF6691"/>
    <w:rsid w:val="00C028FC"/>
    <w:rsid w:val="00C037F2"/>
    <w:rsid w:val="00C0386D"/>
    <w:rsid w:val="00C04CDE"/>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2EF3"/>
    <w:rsid w:val="00C830BC"/>
    <w:rsid w:val="00C8524D"/>
    <w:rsid w:val="00C90904"/>
    <w:rsid w:val="00C91123"/>
    <w:rsid w:val="00C913AC"/>
    <w:rsid w:val="00CA1595"/>
    <w:rsid w:val="00CA6CC2"/>
    <w:rsid w:val="00CA71FF"/>
    <w:rsid w:val="00CB2393"/>
    <w:rsid w:val="00CB2456"/>
    <w:rsid w:val="00CB5276"/>
    <w:rsid w:val="00CB5BFC"/>
    <w:rsid w:val="00CB68D7"/>
    <w:rsid w:val="00CB785B"/>
    <w:rsid w:val="00CB7F8E"/>
    <w:rsid w:val="00CC741A"/>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CC1"/>
    <w:rsid w:val="00D70752"/>
    <w:rsid w:val="00D80E2D"/>
    <w:rsid w:val="00D81C36"/>
    <w:rsid w:val="00D84D5E"/>
    <w:rsid w:val="00D8560E"/>
    <w:rsid w:val="00D8758F"/>
    <w:rsid w:val="00D93A28"/>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668"/>
    <w:rsid w:val="00E72914"/>
    <w:rsid w:val="00E75AE0"/>
    <w:rsid w:val="00E76B61"/>
    <w:rsid w:val="00E83C1F"/>
    <w:rsid w:val="00E85684"/>
    <w:rsid w:val="00E8794B"/>
    <w:rsid w:val="00E90EC6"/>
    <w:rsid w:val="00E939F5"/>
    <w:rsid w:val="00E97656"/>
    <w:rsid w:val="00EA004A"/>
    <w:rsid w:val="00EA172C"/>
    <w:rsid w:val="00EA259B"/>
    <w:rsid w:val="00EA35A3"/>
    <w:rsid w:val="00EA3E6A"/>
    <w:rsid w:val="00EA69CF"/>
    <w:rsid w:val="00EB18EF"/>
    <w:rsid w:val="00EB58F4"/>
    <w:rsid w:val="00EB62BC"/>
    <w:rsid w:val="00EB7951"/>
    <w:rsid w:val="00EC3A03"/>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0344"/>
    <w:rsid w:val="00F4182A"/>
    <w:rsid w:val="00F464ED"/>
    <w:rsid w:val="00F54380"/>
    <w:rsid w:val="00F54B47"/>
    <w:rsid w:val="00F61247"/>
    <w:rsid w:val="00F61F61"/>
    <w:rsid w:val="00F63191"/>
    <w:rsid w:val="00F6702E"/>
    <w:rsid w:val="00F670D7"/>
    <w:rsid w:val="00F70E84"/>
    <w:rsid w:val="00F80685"/>
    <w:rsid w:val="00F94968"/>
    <w:rsid w:val="00F960DE"/>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2E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71C46"/>
  </w:style>
  <w:style w:type="character" w:styleId="CommentReference">
    <w:name w:val="annotation reference"/>
    <w:basedOn w:val="DefaultParagraphFont"/>
    <w:semiHidden/>
    <w:unhideWhenUsed/>
    <w:rsid w:val="002A7197"/>
    <w:rPr>
      <w:sz w:val="16"/>
      <w:szCs w:val="16"/>
    </w:rPr>
  </w:style>
  <w:style w:type="paragraph" w:styleId="CommentText">
    <w:name w:val="annotation text"/>
    <w:basedOn w:val="Normal"/>
    <w:link w:val="CommentTextChar"/>
    <w:semiHidden/>
    <w:unhideWhenUsed/>
    <w:rsid w:val="002A7197"/>
    <w:rPr>
      <w:sz w:val="20"/>
      <w:szCs w:val="20"/>
    </w:rPr>
  </w:style>
  <w:style w:type="character" w:customStyle="1" w:styleId="CommentTextChar">
    <w:name w:val="Comment Text Char"/>
    <w:basedOn w:val="DefaultParagraphFont"/>
    <w:link w:val="CommentText"/>
    <w:semiHidden/>
    <w:rsid w:val="002A7197"/>
  </w:style>
  <w:style w:type="paragraph" w:styleId="CommentSubject">
    <w:name w:val="annotation subject"/>
    <w:basedOn w:val="CommentText"/>
    <w:next w:val="CommentText"/>
    <w:link w:val="CommentSubjectChar"/>
    <w:semiHidden/>
    <w:unhideWhenUsed/>
    <w:rsid w:val="002A7197"/>
    <w:rPr>
      <w:b/>
      <w:bCs/>
    </w:rPr>
  </w:style>
  <w:style w:type="character" w:customStyle="1" w:styleId="CommentSubjectChar">
    <w:name w:val="Comment Subject Char"/>
    <w:basedOn w:val="CommentTextChar"/>
    <w:link w:val="CommentSubject"/>
    <w:semiHidden/>
    <w:rsid w:val="002A7197"/>
    <w:rPr>
      <w:b/>
      <w:bCs/>
    </w:rPr>
  </w:style>
  <w:style w:type="paragraph" w:styleId="BalloonText">
    <w:name w:val="Balloon Text"/>
    <w:basedOn w:val="Normal"/>
    <w:link w:val="BalloonTextChar"/>
    <w:semiHidden/>
    <w:unhideWhenUsed/>
    <w:rsid w:val="002A7197"/>
    <w:rPr>
      <w:rFonts w:ascii="Segoe UI" w:hAnsi="Segoe UI" w:cs="Segoe UI"/>
      <w:sz w:val="18"/>
      <w:szCs w:val="18"/>
    </w:rPr>
  </w:style>
  <w:style w:type="character" w:customStyle="1" w:styleId="BalloonTextChar">
    <w:name w:val="Balloon Text Char"/>
    <w:basedOn w:val="DefaultParagraphFont"/>
    <w:link w:val="BalloonText"/>
    <w:semiHidden/>
    <w:rsid w:val="002A7197"/>
    <w:rPr>
      <w:rFonts w:ascii="Segoe UI" w:hAnsi="Segoe UI" w:cs="Segoe UI"/>
      <w:sz w:val="18"/>
      <w:szCs w:val="18"/>
    </w:rPr>
  </w:style>
  <w:style w:type="paragraph" w:styleId="ListParagraph">
    <w:name w:val="List Paragraph"/>
    <w:basedOn w:val="Normal"/>
    <w:uiPriority w:val="34"/>
    <w:qFormat/>
    <w:rsid w:val="005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F61B-F12F-40FD-9681-2CC382D2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2025-08-22T16:41:00Z</dcterms:created>
  <dcterms:modified xsi:type="dcterms:W3CDTF">2025-08-22T17:04:00Z</dcterms:modified>
</cp:coreProperties>
</file>