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3AA84" w14:textId="77777777" w:rsidR="00CB5276" w:rsidRDefault="00E77D98" w:rsidP="00E77D98">
      <w:pPr>
        <w:pStyle w:val="OrderHeading"/>
      </w:pPr>
      <w:r>
        <w:t>BEFORE THE FLORIDA PUBLIC SERVICE COMMISSION</w:t>
      </w:r>
    </w:p>
    <w:p w14:paraId="12C16CF0" w14:textId="77777777" w:rsidR="00E77D98" w:rsidRDefault="00E77D98" w:rsidP="00E77D98">
      <w:pPr>
        <w:pStyle w:val="OrderBody"/>
      </w:pPr>
    </w:p>
    <w:p w14:paraId="217CE4A4" w14:textId="77777777" w:rsidR="00E77D98" w:rsidRDefault="00E77D98" w:rsidP="00E77D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7D98" w:rsidRPr="00C63FCF" w14:paraId="662549E9" w14:textId="77777777" w:rsidTr="00C63FCF">
        <w:trPr>
          <w:trHeight w:val="828"/>
        </w:trPr>
        <w:tc>
          <w:tcPr>
            <w:tcW w:w="4788" w:type="dxa"/>
            <w:tcBorders>
              <w:bottom w:val="single" w:sz="8" w:space="0" w:color="auto"/>
              <w:right w:val="double" w:sz="6" w:space="0" w:color="auto"/>
            </w:tcBorders>
            <w:shd w:val="clear" w:color="auto" w:fill="auto"/>
          </w:tcPr>
          <w:p w14:paraId="4F5C3CEC" w14:textId="77777777" w:rsidR="00E77D98" w:rsidRDefault="00E77D98"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14:paraId="2099FF4E" w14:textId="77777777" w:rsidR="00E77D98" w:rsidRDefault="00E77D98" w:rsidP="00E77D98">
            <w:pPr>
              <w:pStyle w:val="OrderBody"/>
            </w:pPr>
            <w:r>
              <w:t xml:space="preserve">DOCKET NO. </w:t>
            </w:r>
            <w:bookmarkStart w:id="1" w:name="SSDocketNo"/>
            <w:bookmarkEnd w:id="1"/>
            <w:r>
              <w:t>20250035-GU</w:t>
            </w:r>
          </w:p>
          <w:p w14:paraId="4EE41772" w14:textId="6A0609E8" w:rsidR="00E77D98" w:rsidRDefault="00E77D98" w:rsidP="00C63FCF">
            <w:pPr>
              <w:pStyle w:val="OrderBody"/>
              <w:tabs>
                <w:tab w:val="center" w:pos="4320"/>
                <w:tab w:val="right" w:pos="8640"/>
              </w:tabs>
              <w:jc w:val="left"/>
            </w:pPr>
            <w:r>
              <w:t xml:space="preserve">ORDER NO. </w:t>
            </w:r>
            <w:bookmarkStart w:id="2" w:name="OrderNo0442"/>
            <w:r w:rsidR="004B19EF">
              <w:t>PSC-2025-0442-PCO-GU</w:t>
            </w:r>
            <w:bookmarkEnd w:id="2"/>
          </w:p>
          <w:p w14:paraId="1F644E87" w14:textId="1941A2BC" w:rsidR="00E77D98" w:rsidRDefault="00E77D98" w:rsidP="00C63FCF">
            <w:pPr>
              <w:pStyle w:val="OrderBody"/>
              <w:tabs>
                <w:tab w:val="center" w:pos="4320"/>
                <w:tab w:val="right" w:pos="8640"/>
              </w:tabs>
              <w:jc w:val="left"/>
            </w:pPr>
            <w:r>
              <w:t xml:space="preserve">ISSUED: </w:t>
            </w:r>
            <w:r w:rsidR="004B19EF">
              <w:t>December 2, 2025</w:t>
            </w:r>
          </w:p>
        </w:tc>
      </w:tr>
    </w:tbl>
    <w:p w14:paraId="3F916AAD" w14:textId="77777777" w:rsidR="00E77D98" w:rsidRDefault="00E77D98" w:rsidP="00E77D98"/>
    <w:p w14:paraId="48B6526D" w14:textId="77777777" w:rsidR="00E77D98" w:rsidRDefault="00E77D98" w:rsidP="00E77D98"/>
    <w:p w14:paraId="22225DBF" w14:textId="77777777" w:rsidR="006C71CB" w:rsidRDefault="00E77D98" w:rsidP="0072354A">
      <w:pPr>
        <w:pStyle w:val="CenterUnderline"/>
      </w:pPr>
      <w:bookmarkStart w:id="3" w:name="Commissioners"/>
      <w:bookmarkEnd w:id="3"/>
      <w:r>
        <w:t>ORDER</w:t>
      </w:r>
      <w:bookmarkStart w:id="4" w:name="OrderTitle"/>
      <w:r>
        <w:t xml:space="preserve"> </w:t>
      </w:r>
      <w:r w:rsidR="00B054B2">
        <w:t xml:space="preserve">GRANTING IN PART </w:t>
      </w:r>
      <w:r w:rsidR="000344D5">
        <w:t xml:space="preserve">FLORIDA CITY GAS’S </w:t>
      </w:r>
    </w:p>
    <w:p w14:paraId="158508CD" w14:textId="6F4AC2DC" w:rsidR="00E77D98" w:rsidRDefault="000344D5" w:rsidP="0072354A">
      <w:pPr>
        <w:pStyle w:val="CenterUnderline"/>
      </w:pPr>
      <w:r>
        <w:t>MOTION TO STRIKE EXHIBIT TO STAFF’S TESTIMONY</w:t>
      </w:r>
      <w:r w:rsidR="00E77D98">
        <w:t xml:space="preserve"> </w:t>
      </w:r>
      <w:bookmarkEnd w:id="4"/>
    </w:p>
    <w:p w14:paraId="2BAF54D9" w14:textId="77777777" w:rsidR="00E77D98" w:rsidRDefault="00E77D98" w:rsidP="0072354A">
      <w:pPr>
        <w:pStyle w:val="CenterUnderline"/>
      </w:pPr>
    </w:p>
    <w:p w14:paraId="0056E167" w14:textId="77777777" w:rsidR="00E77D98" w:rsidRDefault="000344D5" w:rsidP="0072354A">
      <w:pPr>
        <w:pStyle w:val="CenterUnderline"/>
      </w:pPr>
      <w:r>
        <w:t>Background</w:t>
      </w:r>
    </w:p>
    <w:p w14:paraId="2011D45B" w14:textId="77777777" w:rsidR="0072354A" w:rsidRDefault="0072354A" w:rsidP="0072354A">
      <w:pPr>
        <w:pStyle w:val="CenterUnderline"/>
      </w:pPr>
    </w:p>
    <w:p w14:paraId="670C79C7" w14:textId="77777777" w:rsidR="00C33416" w:rsidRDefault="000344D5" w:rsidP="0072354A">
      <w:pPr>
        <w:pStyle w:val="CenterUnderline"/>
        <w:ind w:firstLine="720"/>
        <w:jc w:val="both"/>
        <w:rPr>
          <w:u w:val="none"/>
        </w:rPr>
      </w:pPr>
      <w:r>
        <w:rPr>
          <w:u w:val="none"/>
        </w:rPr>
        <w:t>Florida City Gas (FCG) filed a Petition for Approval of 2025 Depreciation Study and for Approval to Amortize Reserve Imbalance on February 24, 2025. On November 13, 2025, Commission Staff submitted the direct testimony of Edwin A. Kunkler, along with five exhibits. On November 14, 2025, FCG filed its Motion to Strike Exhibit to Staff’s Testimony or, in the Alternative, Motion in Limine (</w:t>
      </w:r>
      <w:r w:rsidR="00697A47">
        <w:rPr>
          <w:u w:val="none"/>
        </w:rPr>
        <w:t xml:space="preserve">FCG </w:t>
      </w:r>
      <w:r>
        <w:rPr>
          <w:u w:val="none"/>
        </w:rPr>
        <w:t xml:space="preserve">Motion). On November 19, 2025, the Office of Public Counsel (OPC) filed Citizens’ Response to FCG’s Motion to Strike Exhibit to Staff’s Testimony, or, in the Alternative, Motion in Limine (OPC Response). On November 21, 2025, Commission Staff filed its Response to FCG’s Motion to Strike Exhibit to Staff’s Testimony or, in the Alternative, Motion in Limine (Staff’s Response). </w:t>
      </w:r>
    </w:p>
    <w:p w14:paraId="64A8C3E6" w14:textId="77777777" w:rsidR="0072354A" w:rsidRDefault="0072354A" w:rsidP="0072354A">
      <w:pPr>
        <w:pStyle w:val="CenterUnderline"/>
        <w:ind w:firstLine="720"/>
        <w:jc w:val="both"/>
        <w:rPr>
          <w:u w:val="none"/>
        </w:rPr>
      </w:pPr>
    </w:p>
    <w:p w14:paraId="39702B04" w14:textId="7E90B928" w:rsidR="001A0EAB" w:rsidRDefault="00CB4462" w:rsidP="0072354A">
      <w:pPr>
        <w:pStyle w:val="CenterUnderline"/>
        <w:ind w:firstLine="720"/>
        <w:jc w:val="both"/>
        <w:rPr>
          <w:u w:val="none"/>
        </w:rPr>
      </w:pPr>
      <w:r>
        <w:rPr>
          <w:u w:val="none"/>
        </w:rPr>
        <w:t xml:space="preserve">The FCG Motion seeks to strike </w:t>
      </w:r>
      <w:r w:rsidR="00047068">
        <w:rPr>
          <w:u w:val="none"/>
        </w:rPr>
        <w:t>E</w:t>
      </w:r>
      <w:r>
        <w:rPr>
          <w:u w:val="none"/>
        </w:rPr>
        <w:t xml:space="preserve">xhibit EAK-5 from the direct testimony of Edwin A. Kunkler. Exhibit EAK-5 was a reproduction </w:t>
      </w:r>
      <w:r w:rsidR="00047068">
        <w:rPr>
          <w:u w:val="none"/>
        </w:rPr>
        <w:t xml:space="preserve">of the 2022 Depreciation Study (2022 Study or Exhibit) that was entered as an exhibit as part of </w:t>
      </w:r>
      <w:r>
        <w:rPr>
          <w:u w:val="none"/>
        </w:rPr>
        <w:t>the testimony of Ned Allis on behalf of FCG.</w:t>
      </w:r>
      <w:r w:rsidR="00047068">
        <w:rPr>
          <w:rStyle w:val="FootnoteReference"/>
          <w:u w:val="none"/>
        </w:rPr>
        <w:footnoteReference w:id="1"/>
      </w:r>
      <w:r>
        <w:rPr>
          <w:u w:val="none"/>
        </w:rPr>
        <w:t xml:space="preserve"> FCG argues that </w:t>
      </w:r>
      <w:r w:rsidR="006C71CB">
        <w:rPr>
          <w:u w:val="none"/>
        </w:rPr>
        <w:t>E</w:t>
      </w:r>
      <w:r>
        <w:rPr>
          <w:u w:val="none"/>
        </w:rPr>
        <w:t xml:space="preserve">xhibit EAK-5 is irrelevant and immaterial and that its inclusion in the instant case is unduly prejudicial to FCG. FCG also argues that </w:t>
      </w:r>
      <w:r w:rsidRPr="00185DF3">
        <w:rPr>
          <w:u w:val="none"/>
        </w:rPr>
        <w:t xml:space="preserve">the exhibit constitutes hearsay under Rule 28-106.213, </w:t>
      </w:r>
      <w:r w:rsidR="009C2F4C">
        <w:rPr>
          <w:u w:val="none"/>
        </w:rPr>
        <w:t>Florida Administrative Code (</w:t>
      </w:r>
      <w:r w:rsidRPr="00185DF3">
        <w:rPr>
          <w:u w:val="none"/>
        </w:rPr>
        <w:t>F.A.C.</w:t>
      </w:r>
      <w:r w:rsidR="009C2F4C">
        <w:rPr>
          <w:u w:val="none"/>
        </w:rPr>
        <w:t>)</w:t>
      </w:r>
      <w:r w:rsidRPr="00185DF3">
        <w:rPr>
          <w:u w:val="none"/>
        </w:rPr>
        <w:t>,</w:t>
      </w:r>
      <w:r>
        <w:rPr>
          <w:u w:val="none"/>
        </w:rPr>
        <w:t xml:space="preserve"> and</w:t>
      </w:r>
      <w:r w:rsidR="00B054B2">
        <w:rPr>
          <w:u w:val="none"/>
        </w:rPr>
        <w:t xml:space="preserve"> should therefore be excluded</w:t>
      </w:r>
      <w:r w:rsidRPr="00185DF3">
        <w:rPr>
          <w:u w:val="none"/>
        </w:rPr>
        <w:t>.</w:t>
      </w:r>
    </w:p>
    <w:p w14:paraId="1F2F17D7" w14:textId="77777777" w:rsidR="00CB4462" w:rsidRDefault="00C33416" w:rsidP="0072354A">
      <w:pPr>
        <w:pStyle w:val="CenterUnderline"/>
        <w:jc w:val="both"/>
        <w:rPr>
          <w:u w:val="none"/>
        </w:rPr>
      </w:pPr>
      <w:r>
        <w:rPr>
          <w:u w:val="none"/>
        </w:rPr>
        <w:t>This matter is currently set for hearing on December 11, 2025.</w:t>
      </w:r>
    </w:p>
    <w:p w14:paraId="0BA6383B" w14:textId="77777777" w:rsidR="002E5B53" w:rsidRDefault="002E5B53" w:rsidP="0072354A">
      <w:pPr>
        <w:pStyle w:val="CenterUnderline"/>
        <w:ind w:firstLine="720"/>
        <w:jc w:val="both"/>
        <w:rPr>
          <w:u w:val="none"/>
        </w:rPr>
      </w:pPr>
    </w:p>
    <w:p w14:paraId="0F9AE4AC" w14:textId="77777777" w:rsidR="000344D5" w:rsidRDefault="00CB4462" w:rsidP="0072354A">
      <w:pPr>
        <w:pStyle w:val="CenterUnderline"/>
      </w:pPr>
      <w:r>
        <w:t>Arguments</w:t>
      </w:r>
    </w:p>
    <w:p w14:paraId="44435E25" w14:textId="77777777" w:rsidR="0072354A" w:rsidRDefault="0072354A" w:rsidP="0072354A">
      <w:pPr>
        <w:pStyle w:val="CenterUnderline"/>
      </w:pPr>
    </w:p>
    <w:p w14:paraId="677F8C1A" w14:textId="4BE98826" w:rsidR="00D2651E" w:rsidRDefault="00D2651E" w:rsidP="0072354A">
      <w:pPr>
        <w:pStyle w:val="CenterUnderline"/>
        <w:ind w:firstLine="720"/>
        <w:jc w:val="both"/>
        <w:rPr>
          <w:u w:val="none"/>
        </w:rPr>
      </w:pPr>
      <w:r>
        <w:rPr>
          <w:u w:val="none"/>
        </w:rPr>
        <w:t>FCG argues that the study is dated, was not the preferred or primary recommendation when filed, nor was it approved or accepted by the Commission, and therefore, it is not a type of evidence commonly relied upon by reasonably prudent persons</w:t>
      </w:r>
      <w:r w:rsidR="00C97D16">
        <w:rPr>
          <w:u w:val="none"/>
        </w:rPr>
        <w:t xml:space="preserve"> as required under applicable Florida Statutes</w:t>
      </w:r>
      <w:r>
        <w:rPr>
          <w:u w:val="none"/>
        </w:rPr>
        <w:t xml:space="preserve">. </w:t>
      </w:r>
      <w:r w:rsidR="00C97D16">
        <w:rPr>
          <w:u w:val="none"/>
        </w:rPr>
        <w:t>Commission staff argues</w:t>
      </w:r>
      <w:r>
        <w:rPr>
          <w:u w:val="none"/>
        </w:rPr>
        <w:t xml:space="preserve"> the 2022 Study still offers insight into FCG’s instant Petition in this case.</w:t>
      </w:r>
      <w:r>
        <w:rPr>
          <w:rStyle w:val="FootnoteReference"/>
          <w:u w:val="none"/>
        </w:rPr>
        <w:footnoteReference w:id="2"/>
      </w:r>
      <w:r>
        <w:rPr>
          <w:u w:val="none"/>
        </w:rPr>
        <w:t xml:space="preserve"> Likewi</w:t>
      </w:r>
      <w:r w:rsidR="00C97D16">
        <w:rPr>
          <w:u w:val="none"/>
        </w:rPr>
        <w:t>se, OPC argues that,</w:t>
      </w:r>
      <w:r>
        <w:rPr>
          <w:u w:val="none"/>
        </w:rPr>
        <w:t xml:space="preserve"> </w:t>
      </w:r>
      <w:r w:rsidR="0030618F">
        <w:rPr>
          <w:u w:val="none"/>
        </w:rPr>
        <w:t>at a minimum</w:t>
      </w:r>
      <w:r w:rsidR="00C97D16">
        <w:rPr>
          <w:u w:val="none"/>
        </w:rPr>
        <w:t>,</w:t>
      </w:r>
      <w:r w:rsidR="0030618F">
        <w:rPr>
          <w:u w:val="none"/>
        </w:rPr>
        <w:t xml:space="preserve"> the contrast of the 2022 Study to the one submitted in the instant docket makes the </w:t>
      </w:r>
      <w:r w:rsidR="00C97D16">
        <w:rPr>
          <w:u w:val="none"/>
        </w:rPr>
        <w:t>2022 S</w:t>
      </w:r>
      <w:r w:rsidR="0030618F">
        <w:rPr>
          <w:u w:val="none"/>
        </w:rPr>
        <w:t>tudy relevant</w:t>
      </w:r>
      <w:r>
        <w:rPr>
          <w:u w:val="none"/>
        </w:rPr>
        <w:t>.</w:t>
      </w:r>
      <w:r>
        <w:rPr>
          <w:rStyle w:val="FootnoteReference"/>
          <w:u w:val="none"/>
        </w:rPr>
        <w:footnoteReference w:id="3"/>
      </w:r>
      <w:r>
        <w:rPr>
          <w:u w:val="none"/>
        </w:rPr>
        <w:t xml:space="preserve"> </w:t>
      </w:r>
      <w:r w:rsidR="005C5A86">
        <w:rPr>
          <w:u w:val="none"/>
        </w:rPr>
        <w:t xml:space="preserve">OPC also points to </w:t>
      </w:r>
      <w:r>
        <w:rPr>
          <w:u w:val="none"/>
        </w:rPr>
        <w:t>FCG’</w:t>
      </w:r>
      <w:r w:rsidR="00235AF5">
        <w:rPr>
          <w:u w:val="none"/>
        </w:rPr>
        <w:t>s own W</w:t>
      </w:r>
      <w:r w:rsidR="005C5A86">
        <w:rPr>
          <w:u w:val="none"/>
        </w:rPr>
        <w:t>itness Lee referencing</w:t>
      </w:r>
      <w:r>
        <w:rPr>
          <w:u w:val="none"/>
        </w:rPr>
        <w:t xml:space="preserve"> the study multiple times</w:t>
      </w:r>
      <w:r w:rsidR="00B64198">
        <w:rPr>
          <w:u w:val="none"/>
        </w:rPr>
        <w:t>,</w:t>
      </w:r>
      <w:r w:rsidR="00C97D16">
        <w:rPr>
          <w:u w:val="none"/>
        </w:rPr>
        <w:t xml:space="preserve"> therefore</w:t>
      </w:r>
      <w:r w:rsidR="00B64198">
        <w:rPr>
          <w:u w:val="none"/>
        </w:rPr>
        <w:t xml:space="preserve"> seeming to rely on it to at least some degree</w:t>
      </w:r>
      <w:r>
        <w:rPr>
          <w:u w:val="none"/>
        </w:rPr>
        <w:t>.</w:t>
      </w:r>
      <w:r w:rsidR="0030618F">
        <w:rPr>
          <w:rStyle w:val="FootnoteReference"/>
          <w:u w:val="none"/>
        </w:rPr>
        <w:footnoteReference w:id="4"/>
      </w:r>
      <w:r>
        <w:rPr>
          <w:u w:val="none"/>
        </w:rPr>
        <w:t xml:space="preserve"> FCG also argues that the acquisition of FCG by Ches</w:t>
      </w:r>
      <w:r w:rsidR="00CE3E65">
        <w:rPr>
          <w:u w:val="none"/>
        </w:rPr>
        <w:t>a</w:t>
      </w:r>
      <w:r>
        <w:rPr>
          <w:u w:val="none"/>
        </w:rPr>
        <w:t xml:space="preserve">peake Utilities </w:t>
      </w:r>
      <w:r w:rsidR="00C97D16">
        <w:rPr>
          <w:u w:val="none"/>
        </w:rPr>
        <w:lastRenderedPageBreak/>
        <w:t>Company</w:t>
      </w:r>
      <w:r>
        <w:rPr>
          <w:u w:val="none"/>
        </w:rPr>
        <w:t xml:space="preserve"> results in the 2022 Study being irrelevant, immaterial, and unduly repetitious.</w:t>
      </w:r>
      <w:r>
        <w:rPr>
          <w:rStyle w:val="FootnoteReference"/>
          <w:u w:val="none"/>
        </w:rPr>
        <w:footnoteReference w:id="5"/>
      </w:r>
      <w:r>
        <w:rPr>
          <w:u w:val="none"/>
        </w:rPr>
        <w:t xml:space="preserve"> Commission Staff argued in response that nothing about the acquisition makes the study unreliable. </w:t>
      </w:r>
      <w:r w:rsidR="00CE3E65">
        <w:rPr>
          <w:u w:val="none"/>
        </w:rPr>
        <w:t xml:space="preserve">OPC argues </w:t>
      </w:r>
      <w:r w:rsidR="00C97D16">
        <w:rPr>
          <w:u w:val="none"/>
        </w:rPr>
        <w:t>there is no basis to exclude the 2022 Depreciation Study for staleness and that “[t]he study is as fresh today as it was when filed.”</w:t>
      </w:r>
      <w:r w:rsidR="00C97D16">
        <w:rPr>
          <w:rStyle w:val="FootnoteReference"/>
          <w:u w:val="none"/>
        </w:rPr>
        <w:footnoteReference w:id="6"/>
      </w:r>
    </w:p>
    <w:p w14:paraId="232EB968" w14:textId="77777777" w:rsidR="0072354A" w:rsidRDefault="0072354A" w:rsidP="0072354A">
      <w:pPr>
        <w:pStyle w:val="CenterUnderline"/>
        <w:ind w:firstLine="720"/>
        <w:jc w:val="both"/>
        <w:rPr>
          <w:u w:val="none"/>
        </w:rPr>
      </w:pPr>
    </w:p>
    <w:p w14:paraId="528B9D34" w14:textId="666BBE6F" w:rsidR="00D2651E" w:rsidRDefault="00D2651E" w:rsidP="0072354A">
      <w:pPr>
        <w:pStyle w:val="CenterUnderline"/>
        <w:ind w:firstLine="720"/>
        <w:jc w:val="both"/>
        <w:rPr>
          <w:u w:val="none"/>
        </w:rPr>
      </w:pPr>
      <w:r>
        <w:rPr>
          <w:u w:val="none"/>
        </w:rPr>
        <w:t xml:space="preserve">FCG </w:t>
      </w:r>
      <w:r w:rsidR="00C33416">
        <w:rPr>
          <w:u w:val="none"/>
        </w:rPr>
        <w:t xml:space="preserve">additionally </w:t>
      </w:r>
      <w:r>
        <w:rPr>
          <w:u w:val="none"/>
        </w:rPr>
        <w:t xml:space="preserve">argues allowing entry of the exhibit would be prejudicial to FCG </w:t>
      </w:r>
      <w:r w:rsidR="00CB4462">
        <w:rPr>
          <w:u w:val="none"/>
        </w:rPr>
        <w:t xml:space="preserve">as there would not be any ability to conduct discovery or cross-examination of its original preparer, Ned Allis. Commission Staff argued that FCG has created the conditions which required </w:t>
      </w:r>
      <w:r w:rsidR="00230ACD">
        <w:rPr>
          <w:u w:val="none"/>
        </w:rPr>
        <w:t>Staff</w:t>
      </w:r>
      <w:r w:rsidR="00CB4462">
        <w:rPr>
          <w:u w:val="none"/>
        </w:rPr>
        <w:t xml:space="preserve"> to submit the 2022 Study, and FCG’s own witness referring to the study would prejudice other parties who are not able to introduce the 2022 Study as an exhibit. </w:t>
      </w:r>
      <w:r w:rsidR="00CE3E65">
        <w:rPr>
          <w:u w:val="none"/>
        </w:rPr>
        <w:t>OPC argues</w:t>
      </w:r>
      <w:r w:rsidR="00ED3CE3">
        <w:rPr>
          <w:u w:val="none"/>
        </w:rPr>
        <w:t>,</w:t>
      </w:r>
      <w:r w:rsidR="003F1B53">
        <w:rPr>
          <w:u w:val="none"/>
        </w:rPr>
        <w:t xml:space="preserve"> “[t]he customers of FCG who were not privy to the sale negotiations or the decision that the Company should be sold immediately after the base rates were set, should not be deprived of the benefit of the completeness of information that the Staff is rightfully providing.”</w:t>
      </w:r>
      <w:r w:rsidR="003F1B53">
        <w:rPr>
          <w:rStyle w:val="FootnoteReference"/>
          <w:u w:val="none"/>
        </w:rPr>
        <w:footnoteReference w:id="7"/>
      </w:r>
    </w:p>
    <w:p w14:paraId="511AA63C" w14:textId="77777777" w:rsidR="0072354A" w:rsidRDefault="0072354A" w:rsidP="0072354A">
      <w:pPr>
        <w:pStyle w:val="CenterUnderline"/>
        <w:ind w:firstLine="720"/>
        <w:jc w:val="both"/>
        <w:rPr>
          <w:u w:val="none"/>
        </w:rPr>
      </w:pPr>
    </w:p>
    <w:p w14:paraId="06683D8B" w14:textId="77FEC3E6" w:rsidR="004217AF" w:rsidRDefault="00CB4462" w:rsidP="0072354A">
      <w:pPr>
        <w:pStyle w:val="CenterUnderline"/>
        <w:ind w:firstLine="720"/>
        <w:jc w:val="both"/>
        <w:rPr>
          <w:u w:val="none"/>
        </w:rPr>
      </w:pPr>
      <w:r>
        <w:rPr>
          <w:u w:val="none"/>
        </w:rPr>
        <w:t xml:space="preserve">FCG </w:t>
      </w:r>
      <w:r w:rsidR="00C97D16">
        <w:rPr>
          <w:u w:val="none"/>
        </w:rPr>
        <w:t>finally</w:t>
      </w:r>
      <w:r w:rsidR="00C33416">
        <w:rPr>
          <w:u w:val="none"/>
        </w:rPr>
        <w:t xml:space="preserve"> argues </w:t>
      </w:r>
      <w:r>
        <w:rPr>
          <w:u w:val="none"/>
        </w:rPr>
        <w:t xml:space="preserve">the exhibit constitutes hearsay and therefore should be </w:t>
      </w:r>
      <w:r w:rsidR="00C97D16">
        <w:rPr>
          <w:u w:val="none"/>
        </w:rPr>
        <w:t>excluded</w:t>
      </w:r>
      <w:r>
        <w:rPr>
          <w:u w:val="none"/>
        </w:rPr>
        <w:t xml:space="preserve">. </w:t>
      </w:r>
      <w:r w:rsidR="00CE3E65">
        <w:rPr>
          <w:u w:val="none"/>
        </w:rPr>
        <w:t xml:space="preserve">Commission Staff argues, regardless of whether or not the exhibit is hearsay, it is inappropriate to strike the exhibit entirely, as hearsay evidence may be allowed to supplement or support other evidence. OPC argues </w:t>
      </w:r>
      <w:r w:rsidR="003F1B53">
        <w:rPr>
          <w:u w:val="none"/>
        </w:rPr>
        <w:t xml:space="preserve">it is not hearsay, </w:t>
      </w:r>
      <w:r w:rsidR="0072354A">
        <w:rPr>
          <w:u w:val="none"/>
        </w:rPr>
        <w:t xml:space="preserve">and </w:t>
      </w:r>
      <w:r w:rsidR="003F1B53">
        <w:rPr>
          <w:u w:val="none"/>
        </w:rPr>
        <w:t>the study has already been accepted as sworn evidence by the Commission, and that OPC and FCG had the opportunity to fully explore any basis of the study.</w:t>
      </w:r>
      <w:r w:rsidR="003F1B53">
        <w:rPr>
          <w:rStyle w:val="FootnoteReference"/>
          <w:u w:val="none"/>
        </w:rPr>
        <w:footnoteReference w:id="8"/>
      </w:r>
    </w:p>
    <w:p w14:paraId="680DA6A1" w14:textId="77777777" w:rsidR="00CB4462" w:rsidRDefault="00CB4462" w:rsidP="0072354A">
      <w:pPr>
        <w:pStyle w:val="CenterUnderline"/>
        <w:jc w:val="both"/>
        <w:rPr>
          <w:u w:val="none"/>
        </w:rPr>
      </w:pPr>
    </w:p>
    <w:p w14:paraId="6EBE63F9" w14:textId="77777777" w:rsidR="00CB4462" w:rsidRDefault="00CB4462" w:rsidP="0072354A">
      <w:pPr>
        <w:pStyle w:val="CenterUnderline"/>
      </w:pPr>
      <w:r w:rsidRPr="00CB4462">
        <w:t>Analysis and Decision</w:t>
      </w:r>
    </w:p>
    <w:p w14:paraId="190E4078" w14:textId="77777777" w:rsidR="0072354A" w:rsidRPr="00CB4462" w:rsidRDefault="0072354A" w:rsidP="0072354A">
      <w:pPr>
        <w:pStyle w:val="CenterUnderline"/>
      </w:pPr>
    </w:p>
    <w:p w14:paraId="52CBFC8E" w14:textId="77777777" w:rsidR="00CB4462" w:rsidRDefault="00CB4462" w:rsidP="0072354A">
      <w:pPr>
        <w:pStyle w:val="CenterUnderline"/>
        <w:ind w:firstLine="720"/>
        <w:jc w:val="both"/>
        <w:rPr>
          <w:u w:val="none"/>
        </w:rPr>
      </w:pPr>
      <w:r>
        <w:rPr>
          <w:u w:val="none"/>
        </w:rPr>
        <w:t>Section 120.569(2)(h), Florida Statutes</w:t>
      </w:r>
      <w:r w:rsidR="00C97D16">
        <w:rPr>
          <w:u w:val="none"/>
        </w:rPr>
        <w:t xml:space="preserve"> (F.S.)</w:t>
      </w:r>
      <w:r>
        <w:rPr>
          <w:u w:val="none"/>
        </w:rPr>
        <w:t>, states, “[i]rrelevant, immaterial, or unduly repetitious evidence shall be excluded, but all other evidence of a type commonly relied upon by reasonably prudent persons in the conduct of their affairs shall be admissible, whether or not such evidence would be admissible in a trial in the courts of Florida.”</w:t>
      </w:r>
      <w:r w:rsidR="00CE3E65">
        <w:rPr>
          <w:u w:val="none"/>
        </w:rPr>
        <w:t xml:space="preserve"> Additionally, </w:t>
      </w:r>
      <w:r>
        <w:rPr>
          <w:u w:val="none"/>
        </w:rPr>
        <w:t xml:space="preserve">Rule 28-106.213(3), </w:t>
      </w:r>
      <w:r w:rsidR="00C97D16">
        <w:rPr>
          <w:u w:val="none"/>
        </w:rPr>
        <w:t>Florida Administrative Code (</w:t>
      </w:r>
      <w:r>
        <w:rPr>
          <w:u w:val="none"/>
        </w:rPr>
        <w:t>F.A.C.</w:t>
      </w:r>
      <w:r w:rsidR="00C97D16">
        <w:rPr>
          <w:u w:val="none"/>
        </w:rPr>
        <w:t>)</w:t>
      </w:r>
      <w:r>
        <w:rPr>
          <w:u w:val="none"/>
        </w:rPr>
        <w:t xml:space="preserve">, states: </w:t>
      </w:r>
    </w:p>
    <w:p w14:paraId="76A4BFEE" w14:textId="77777777" w:rsidR="00CE3E65" w:rsidRDefault="00CE3E65" w:rsidP="0072354A">
      <w:pPr>
        <w:pStyle w:val="CenterUnderline"/>
        <w:ind w:left="720" w:right="720"/>
        <w:jc w:val="both"/>
        <w:rPr>
          <w:u w:val="none"/>
        </w:rPr>
      </w:pPr>
    </w:p>
    <w:p w14:paraId="29640054" w14:textId="77777777" w:rsidR="00CB4462" w:rsidRDefault="00CB4462" w:rsidP="0072354A">
      <w:pPr>
        <w:pStyle w:val="CenterUnderline"/>
        <w:ind w:left="720" w:right="720"/>
        <w:jc w:val="both"/>
        <w:rPr>
          <w:u w:val="none"/>
        </w:rPr>
      </w:pPr>
      <w:r>
        <w:rPr>
          <w:u w:val="none"/>
        </w:rPr>
        <w:t>Hearsay evidence, whether received in evidence over objection or not, may be used to supplement or explain other evidence, but shall not be sufficient in itself to support a finding unless the evidence falls within an exception to the hearsay rule as found in Sections 90.801-805, F.S.</w:t>
      </w:r>
    </w:p>
    <w:p w14:paraId="7C6D5B85" w14:textId="77777777" w:rsidR="00CB4462" w:rsidRDefault="00CB4462" w:rsidP="0072354A">
      <w:pPr>
        <w:pStyle w:val="CenterUnderline"/>
        <w:jc w:val="both"/>
        <w:rPr>
          <w:u w:val="none"/>
        </w:rPr>
      </w:pPr>
    </w:p>
    <w:p w14:paraId="0A5D08B0" w14:textId="28337941" w:rsidR="00E77D98" w:rsidRDefault="004217AF" w:rsidP="0072354A">
      <w:pPr>
        <w:pStyle w:val="CenterUnderline"/>
        <w:ind w:firstLine="720"/>
        <w:jc w:val="both"/>
        <w:rPr>
          <w:u w:val="none"/>
        </w:rPr>
      </w:pPr>
      <w:r w:rsidRPr="00ED3CE3">
        <w:rPr>
          <w:u w:val="none"/>
        </w:rPr>
        <w:t xml:space="preserve">Exhibit EAK-5 is relevant </w:t>
      </w:r>
      <w:r w:rsidR="00ED3CE3">
        <w:rPr>
          <w:u w:val="none"/>
        </w:rPr>
        <w:t>under Section 120.569(2)(h), F.S.</w:t>
      </w:r>
      <w:r w:rsidR="00537AF0">
        <w:rPr>
          <w:u w:val="none"/>
        </w:rPr>
        <w:t>,</w:t>
      </w:r>
      <w:r w:rsidR="00ED3CE3">
        <w:rPr>
          <w:u w:val="none"/>
        </w:rPr>
        <w:t xml:space="preserve"> where</w:t>
      </w:r>
      <w:r w:rsidR="005704A2">
        <w:rPr>
          <w:u w:val="none"/>
        </w:rPr>
        <w:t xml:space="preserve"> </w:t>
      </w:r>
      <w:r w:rsidRPr="00ED3CE3">
        <w:rPr>
          <w:u w:val="none"/>
        </w:rPr>
        <w:t>it supplements and explains the testimony of both Staff Witness Kunkler and FCG Witness Lee</w:t>
      </w:r>
      <w:r w:rsidR="00D13130">
        <w:rPr>
          <w:u w:val="none"/>
        </w:rPr>
        <w:t>.</w:t>
      </w:r>
      <w:r w:rsidRPr="00ED3CE3">
        <w:rPr>
          <w:u w:val="none"/>
        </w:rPr>
        <w:t xml:space="preserve"> </w:t>
      </w:r>
      <w:r w:rsidR="00CE3E65">
        <w:rPr>
          <w:u w:val="none"/>
        </w:rPr>
        <w:t>As</w:t>
      </w:r>
      <w:r>
        <w:rPr>
          <w:u w:val="none"/>
        </w:rPr>
        <w:t xml:space="preserve"> hearsay, however, any use of the exhibit beyond supple</w:t>
      </w:r>
      <w:r w:rsidR="00CB4462">
        <w:rPr>
          <w:u w:val="none"/>
        </w:rPr>
        <w:t>m</w:t>
      </w:r>
      <w:r>
        <w:rPr>
          <w:u w:val="none"/>
        </w:rPr>
        <w:t xml:space="preserve">enting or explaining testimony must fit within the confines of one of the exceptions to the hearsay rule as set out in Section 90.903, F.S., </w:t>
      </w:r>
      <w:r w:rsidR="00ED3CE3">
        <w:rPr>
          <w:u w:val="none"/>
        </w:rPr>
        <w:t xml:space="preserve">and </w:t>
      </w:r>
      <w:r>
        <w:rPr>
          <w:u w:val="none"/>
        </w:rPr>
        <w:t xml:space="preserve">as proscribed by Rule 28-106.213, F.A.C. </w:t>
      </w:r>
      <w:r w:rsidR="006E1C88">
        <w:rPr>
          <w:u w:val="none"/>
        </w:rPr>
        <w:t>In this case</w:t>
      </w:r>
      <w:r w:rsidR="0022619F">
        <w:rPr>
          <w:u w:val="none"/>
        </w:rPr>
        <w:t xml:space="preserve">, </w:t>
      </w:r>
      <w:r w:rsidR="00ED3CE3">
        <w:rPr>
          <w:u w:val="none"/>
        </w:rPr>
        <w:t xml:space="preserve">FCG argued that </w:t>
      </w:r>
      <w:r w:rsidR="0022619F">
        <w:rPr>
          <w:u w:val="none"/>
        </w:rPr>
        <w:t xml:space="preserve">admitting the exhibit in its entirety </w:t>
      </w:r>
      <w:r w:rsidR="00AD664B">
        <w:rPr>
          <w:u w:val="none"/>
        </w:rPr>
        <w:t xml:space="preserve">is </w:t>
      </w:r>
      <w:r w:rsidR="006929F1">
        <w:rPr>
          <w:u w:val="none"/>
        </w:rPr>
        <w:t xml:space="preserve">problematic </w:t>
      </w:r>
      <w:r w:rsidR="0022619F">
        <w:rPr>
          <w:u w:val="none"/>
        </w:rPr>
        <w:t xml:space="preserve">without a showing that </w:t>
      </w:r>
      <w:r w:rsidR="00207FDD">
        <w:rPr>
          <w:u w:val="none"/>
        </w:rPr>
        <w:t xml:space="preserve">the </w:t>
      </w:r>
      <w:r w:rsidR="006929F1">
        <w:rPr>
          <w:u w:val="none"/>
        </w:rPr>
        <w:t xml:space="preserve">entire </w:t>
      </w:r>
      <w:r w:rsidR="00207FDD">
        <w:rPr>
          <w:u w:val="none"/>
        </w:rPr>
        <w:t xml:space="preserve">exhibit supplements non-hearsay testimony or is </w:t>
      </w:r>
      <w:r w:rsidR="006E1C88">
        <w:rPr>
          <w:u w:val="none"/>
        </w:rPr>
        <w:t>relevant</w:t>
      </w:r>
      <w:r w:rsidR="00207FDD">
        <w:rPr>
          <w:u w:val="none"/>
        </w:rPr>
        <w:t>.</w:t>
      </w:r>
      <w:r w:rsidR="006E1C88">
        <w:rPr>
          <w:u w:val="none"/>
        </w:rPr>
        <w:t xml:space="preserve"> </w:t>
      </w:r>
    </w:p>
    <w:p w14:paraId="0E396D03" w14:textId="0AD78F01" w:rsidR="00207FDD" w:rsidRDefault="00207FDD" w:rsidP="0072354A">
      <w:pPr>
        <w:pStyle w:val="CenterUnderline"/>
        <w:ind w:firstLine="720"/>
        <w:jc w:val="both"/>
        <w:rPr>
          <w:u w:val="none"/>
        </w:rPr>
      </w:pPr>
      <w:r>
        <w:rPr>
          <w:u w:val="none"/>
        </w:rPr>
        <w:lastRenderedPageBreak/>
        <w:t xml:space="preserve">As an alternative to striking the entire exhibit, </w:t>
      </w:r>
      <w:r w:rsidR="00B054B2">
        <w:rPr>
          <w:u w:val="none"/>
        </w:rPr>
        <w:t>FCG requests that the admission of EAK-5 be limited to just pages 35 and 47.</w:t>
      </w:r>
      <w:r>
        <w:rPr>
          <w:u w:val="none"/>
        </w:rPr>
        <w:t xml:space="preserve"> </w:t>
      </w:r>
      <w:r w:rsidR="00B054B2">
        <w:rPr>
          <w:u w:val="none"/>
        </w:rPr>
        <w:t>In its Response</w:t>
      </w:r>
      <w:r>
        <w:rPr>
          <w:u w:val="none"/>
        </w:rPr>
        <w:t xml:space="preserve"> to this alternative request</w:t>
      </w:r>
      <w:r w:rsidR="00B054B2">
        <w:rPr>
          <w:u w:val="none"/>
        </w:rPr>
        <w:t>, Commission Staff argued, in addition to pages 35 and 47, pages 20, 57-69, and 155-156 should also be</w:t>
      </w:r>
      <w:r w:rsidR="00D029A7">
        <w:rPr>
          <w:u w:val="none"/>
        </w:rPr>
        <w:t xml:space="preserve"> </w:t>
      </w:r>
      <w:r w:rsidR="00F45670">
        <w:rPr>
          <w:u w:val="none"/>
        </w:rPr>
        <w:t>included</w:t>
      </w:r>
      <w:r w:rsidR="006929F1">
        <w:rPr>
          <w:u w:val="none"/>
        </w:rPr>
        <w:t xml:space="preserve"> as</w:t>
      </w:r>
      <w:r w:rsidR="00235AF5">
        <w:rPr>
          <w:u w:val="none"/>
        </w:rPr>
        <w:t xml:space="preserve"> these are the only pages that W</w:t>
      </w:r>
      <w:r w:rsidR="006929F1">
        <w:rPr>
          <w:u w:val="none"/>
        </w:rPr>
        <w:t>itness Kunkler relied upon in preparing his testimony, and thus,</w:t>
      </w:r>
      <w:r w:rsidR="00ED3CE3">
        <w:rPr>
          <w:u w:val="none"/>
        </w:rPr>
        <w:t xml:space="preserve"> its admission would not create </w:t>
      </w:r>
      <w:r w:rsidR="005704A2">
        <w:rPr>
          <w:u w:val="none"/>
        </w:rPr>
        <w:t>inadmissible</w:t>
      </w:r>
      <w:r w:rsidR="009F0EAF">
        <w:rPr>
          <w:u w:val="none"/>
        </w:rPr>
        <w:t xml:space="preserve"> </w:t>
      </w:r>
      <w:r w:rsidR="006929F1">
        <w:rPr>
          <w:u w:val="none"/>
        </w:rPr>
        <w:t>hearsay or relevancy issues. Moreover, there is no prejudice to allowing the entry of</w:t>
      </w:r>
      <w:r w:rsidR="00315003">
        <w:rPr>
          <w:u w:val="none"/>
        </w:rPr>
        <w:t xml:space="preserve"> </w:t>
      </w:r>
      <w:r w:rsidR="00ED3CE3">
        <w:rPr>
          <w:u w:val="none"/>
        </w:rPr>
        <w:t xml:space="preserve">only </w:t>
      </w:r>
      <w:r w:rsidR="006929F1">
        <w:rPr>
          <w:u w:val="none"/>
        </w:rPr>
        <w:t>the relevant portions of the exhibit</w:t>
      </w:r>
      <w:r w:rsidR="00B054B2">
        <w:rPr>
          <w:u w:val="none"/>
        </w:rPr>
        <w:t>.</w:t>
      </w:r>
    </w:p>
    <w:p w14:paraId="4C17C569" w14:textId="77777777" w:rsidR="0072354A" w:rsidRDefault="0072354A" w:rsidP="0072354A">
      <w:pPr>
        <w:pStyle w:val="CenterUnderline"/>
        <w:ind w:firstLine="720"/>
        <w:jc w:val="both"/>
        <w:rPr>
          <w:u w:val="none"/>
        </w:rPr>
      </w:pPr>
    </w:p>
    <w:p w14:paraId="46FD2543" w14:textId="43028243" w:rsidR="00B054B2" w:rsidRPr="00D2651E" w:rsidRDefault="000125D7" w:rsidP="0072354A">
      <w:pPr>
        <w:pStyle w:val="CenterUnderline"/>
        <w:ind w:firstLine="720"/>
        <w:jc w:val="both"/>
        <w:rPr>
          <w:u w:val="none"/>
        </w:rPr>
      </w:pPr>
      <w:r>
        <w:rPr>
          <w:u w:val="none"/>
        </w:rPr>
        <w:t xml:space="preserve">Based on the arguments and authority set forth above, </w:t>
      </w:r>
      <w:r w:rsidR="00207FDD">
        <w:rPr>
          <w:u w:val="none"/>
        </w:rPr>
        <w:t xml:space="preserve">the Motion </w:t>
      </w:r>
      <w:r w:rsidR="00D13130">
        <w:rPr>
          <w:u w:val="none"/>
        </w:rPr>
        <w:t>to</w:t>
      </w:r>
      <w:r w:rsidR="00207FDD">
        <w:rPr>
          <w:u w:val="none"/>
        </w:rPr>
        <w:t xml:space="preserve"> Strike</w:t>
      </w:r>
      <w:r w:rsidR="006929F1">
        <w:rPr>
          <w:u w:val="none"/>
        </w:rPr>
        <w:t xml:space="preserve"> is granted,</w:t>
      </w:r>
      <w:r>
        <w:rPr>
          <w:u w:val="none"/>
        </w:rPr>
        <w:t xml:space="preserve"> in part</w:t>
      </w:r>
      <w:r w:rsidR="006929F1">
        <w:rPr>
          <w:u w:val="none"/>
        </w:rPr>
        <w:t>.</w:t>
      </w:r>
      <w:r>
        <w:rPr>
          <w:u w:val="none"/>
        </w:rPr>
        <w:t xml:space="preserve"> </w:t>
      </w:r>
      <w:r w:rsidR="00207FDD">
        <w:rPr>
          <w:u w:val="none"/>
        </w:rPr>
        <w:t>Exhibit EAK-5</w:t>
      </w:r>
      <w:r w:rsidR="006929F1">
        <w:rPr>
          <w:u w:val="none"/>
        </w:rPr>
        <w:t>, attached to the testimony of Edwin A. Kunkler shall be stri</w:t>
      </w:r>
      <w:r w:rsidR="006E1C88">
        <w:rPr>
          <w:u w:val="none"/>
        </w:rPr>
        <w:t>c</w:t>
      </w:r>
      <w:r w:rsidR="006929F1">
        <w:rPr>
          <w:u w:val="none"/>
        </w:rPr>
        <w:t>ken</w:t>
      </w:r>
      <w:r w:rsidR="006E1C88">
        <w:rPr>
          <w:u w:val="none"/>
        </w:rPr>
        <w:t>,</w:t>
      </w:r>
      <w:r w:rsidR="00DC146B">
        <w:rPr>
          <w:u w:val="none"/>
        </w:rPr>
        <w:t xml:space="preserve"> </w:t>
      </w:r>
      <w:r w:rsidR="006E1C88">
        <w:rPr>
          <w:u w:val="none"/>
        </w:rPr>
        <w:t>with the exception of</w:t>
      </w:r>
      <w:r w:rsidR="00207FDD">
        <w:rPr>
          <w:u w:val="none"/>
        </w:rPr>
        <w:t xml:space="preserve"> pages 20, 35, 47, 57-69, and 155-156. These pages were relied upon by Witness Kunkler and support his testimony. The remainder of Exhibit EAK-5 </w:t>
      </w:r>
      <w:r w:rsidR="008D3803">
        <w:rPr>
          <w:u w:val="none"/>
        </w:rPr>
        <w:t xml:space="preserve">was not relied upon by Witness Kunkler and, therefore, </w:t>
      </w:r>
      <w:r w:rsidR="00207FDD">
        <w:rPr>
          <w:u w:val="none"/>
        </w:rPr>
        <w:t xml:space="preserve">is </w:t>
      </w:r>
      <w:r w:rsidR="008D3803">
        <w:rPr>
          <w:u w:val="none"/>
        </w:rPr>
        <w:t>not relevant</w:t>
      </w:r>
      <w:r w:rsidR="00207FDD">
        <w:rPr>
          <w:u w:val="none"/>
        </w:rPr>
        <w:t>.</w:t>
      </w:r>
    </w:p>
    <w:p w14:paraId="788B4631" w14:textId="77777777" w:rsidR="00E77D98" w:rsidRPr="00F23F40" w:rsidRDefault="00E77D98" w:rsidP="0072354A">
      <w:pPr>
        <w:pStyle w:val="CenterUnderline"/>
        <w:jc w:val="both"/>
        <w:rPr>
          <w:b/>
          <w:u w:val="none"/>
        </w:rPr>
      </w:pPr>
    </w:p>
    <w:p w14:paraId="1210B140" w14:textId="77777777" w:rsidR="00E77D98" w:rsidRPr="00817318" w:rsidRDefault="00E77D98" w:rsidP="0072354A">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256CAA03" w14:textId="77777777" w:rsidR="00E77D98" w:rsidRPr="00817318" w:rsidRDefault="00E77D98" w:rsidP="0072354A">
      <w:pPr>
        <w:pStyle w:val="ListParagraph"/>
        <w:ind w:left="0"/>
        <w:jc w:val="both"/>
        <w:rPr>
          <w:rFonts w:ascii="Times New Roman" w:hAnsi="Times New Roman"/>
          <w:iCs/>
          <w:color w:val="212121"/>
        </w:rPr>
      </w:pPr>
    </w:p>
    <w:p w14:paraId="54C2ECB0" w14:textId="1890C1D3" w:rsidR="00E77D98" w:rsidRPr="00C33416" w:rsidRDefault="00E77D98" w:rsidP="0072354A">
      <w:pPr>
        <w:pStyle w:val="ListParagraph"/>
        <w:ind w:left="0"/>
        <w:jc w:val="both"/>
        <w:rPr>
          <w:rFonts w:ascii="Times New Roman" w:hAnsi="Times New Roman"/>
          <w:iCs/>
          <w:color w:val="212121"/>
        </w:rPr>
      </w:pPr>
      <w:r w:rsidRPr="00C33416">
        <w:rPr>
          <w:rFonts w:ascii="Times New Roman" w:hAnsi="Times New Roman"/>
          <w:iCs/>
          <w:color w:val="212121"/>
        </w:rPr>
        <w:tab/>
        <w:t>ORDERED by Commissioner</w:t>
      </w:r>
      <w:r w:rsidRPr="00C33416">
        <w:rPr>
          <w:rFonts w:ascii="Times New Roman" w:hAnsi="Times New Roman"/>
          <w:iCs/>
        </w:rPr>
        <w:t xml:space="preserve"> Gabriella Passidomo Smith, a</w:t>
      </w:r>
      <w:r w:rsidRPr="00C33416">
        <w:rPr>
          <w:rFonts w:ascii="Times New Roman" w:hAnsi="Times New Roman"/>
          <w:iCs/>
          <w:color w:val="212121"/>
        </w:rPr>
        <w:t xml:space="preserve">s Prehearing Officer, that the </w:t>
      </w:r>
      <w:r w:rsidRPr="00D029A7">
        <w:rPr>
          <w:rFonts w:ascii="Times New Roman" w:hAnsi="Times New Roman"/>
          <w:iCs/>
          <w:color w:val="212121"/>
        </w:rPr>
        <w:t xml:space="preserve">Motion </w:t>
      </w:r>
      <w:r w:rsidR="00C33416" w:rsidRPr="00D029A7">
        <w:rPr>
          <w:rFonts w:ascii="Times New Roman" w:hAnsi="Times New Roman"/>
        </w:rPr>
        <w:t>to Strike Exhibit to Staff’s Testimony is hereby</w:t>
      </w:r>
      <w:r w:rsidR="00D029A7">
        <w:rPr>
          <w:rFonts w:ascii="Times New Roman" w:hAnsi="Times New Roman"/>
        </w:rPr>
        <w:t xml:space="preserve"> granted</w:t>
      </w:r>
      <w:r w:rsidR="00B054B2" w:rsidRPr="00D029A7">
        <w:rPr>
          <w:rFonts w:ascii="Times New Roman" w:hAnsi="Times New Roman"/>
        </w:rPr>
        <w:t xml:space="preserve"> </w:t>
      </w:r>
      <w:r w:rsidR="0008009F">
        <w:rPr>
          <w:rFonts w:ascii="Times New Roman" w:hAnsi="Times New Roman"/>
        </w:rPr>
        <w:t>in part</w:t>
      </w:r>
      <w:r w:rsidR="00235AF5">
        <w:rPr>
          <w:rFonts w:ascii="Times New Roman" w:hAnsi="Times New Roman"/>
        </w:rPr>
        <w:t>,</w:t>
      </w:r>
      <w:r w:rsidR="0008009F">
        <w:rPr>
          <w:rFonts w:ascii="Times New Roman" w:hAnsi="Times New Roman"/>
        </w:rPr>
        <w:t xml:space="preserve"> </w:t>
      </w:r>
      <w:r w:rsidR="00D029A7" w:rsidRPr="00D029A7">
        <w:rPr>
          <w:rFonts w:ascii="Times New Roman" w:hAnsi="Times New Roman"/>
        </w:rPr>
        <w:t xml:space="preserve">such that all pages from </w:t>
      </w:r>
      <w:r w:rsidR="00D13130">
        <w:rPr>
          <w:rFonts w:ascii="Times New Roman" w:hAnsi="Times New Roman"/>
        </w:rPr>
        <w:t>E</w:t>
      </w:r>
      <w:r w:rsidR="00D029A7" w:rsidRPr="00D029A7">
        <w:rPr>
          <w:rFonts w:ascii="Times New Roman" w:hAnsi="Times New Roman"/>
        </w:rPr>
        <w:t>xhibit EAK-5 with the exception of pages 20, 35, 47, 57-69, and 155-156</w:t>
      </w:r>
      <w:r w:rsidR="00F45670">
        <w:rPr>
          <w:rFonts w:ascii="Times New Roman" w:hAnsi="Times New Roman"/>
        </w:rPr>
        <w:t>,</w:t>
      </w:r>
      <w:r w:rsidR="0008009F">
        <w:rPr>
          <w:rFonts w:ascii="Times New Roman" w:hAnsi="Times New Roman"/>
        </w:rPr>
        <w:t xml:space="preserve"> are stricken</w:t>
      </w:r>
      <w:r w:rsidRPr="00D029A7">
        <w:rPr>
          <w:rFonts w:ascii="Times New Roman" w:hAnsi="Times New Roman"/>
          <w:iCs/>
          <w:color w:val="212121"/>
        </w:rPr>
        <w:t xml:space="preserve">.  </w:t>
      </w:r>
    </w:p>
    <w:p w14:paraId="54FEED3C" w14:textId="77777777" w:rsidR="00E77D98" w:rsidRDefault="00E77D98" w:rsidP="0072354A">
      <w:pPr>
        <w:pStyle w:val="ListParagraph"/>
        <w:ind w:left="0"/>
        <w:jc w:val="both"/>
        <w:rPr>
          <w:rFonts w:ascii="Times New Roman" w:hAnsi="Times New Roman"/>
          <w:iCs/>
          <w:color w:val="212121"/>
        </w:rPr>
      </w:pPr>
    </w:p>
    <w:p w14:paraId="1E34C960" w14:textId="1C464C57" w:rsidR="00E77D98" w:rsidRDefault="00E77D98" w:rsidP="00E77D98">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Gabriella Passidomo Smith, as Prehearing Officer, this </w:t>
      </w:r>
      <w:bookmarkStart w:id="5" w:name="replaceDate"/>
      <w:bookmarkEnd w:id="5"/>
      <w:r w:rsidR="004B19EF">
        <w:rPr>
          <w:rFonts w:ascii="Times New Roman" w:hAnsi="Times New Roman"/>
          <w:iCs/>
          <w:color w:val="212121"/>
          <w:u w:val="single"/>
        </w:rPr>
        <w:t>2nd</w:t>
      </w:r>
      <w:r w:rsidR="004B19EF">
        <w:rPr>
          <w:rFonts w:ascii="Times New Roman" w:hAnsi="Times New Roman"/>
          <w:iCs/>
          <w:color w:val="212121"/>
        </w:rPr>
        <w:t xml:space="preserve"> day of </w:t>
      </w:r>
      <w:r w:rsidR="004B19EF">
        <w:rPr>
          <w:rFonts w:ascii="Times New Roman" w:hAnsi="Times New Roman"/>
          <w:iCs/>
          <w:color w:val="212121"/>
          <w:u w:val="single"/>
        </w:rPr>
        <w:t>December</w:t>
      </w:r>
      <w:r w:rsidR="004B19EF">
        <w:rPr>
          <w:rFonts w:ascii="Times New Roman" w:hAnsi="Times New Roman"/>
          <w:iCs/>
          <w:color w:val="212121"/>
        </w:rPr>
        <w:t xml:space="preserve">, </w:t>
      </w:r>
      <w:r w:rsidR="004B19EF">
        <w:rPr>
          <w:rFonts w:ascii="Times New Roman" w:hAnsi="Times New Roman"/>
          <w:iCs/>
          <w:color w:val="212121"/>
          <w:u w:val="single"/>
        </w:rPr>
        <w:t>2025</w:t>
      </w:r>
      <w:r w:rsidR="004B19EF">
        <w:rPr>
          <w:rFonts w:ascii="Times New Roman" w:hAnsi="Times New Roman"/>
          <w:iCs/>
          <w:color w:val="212121"/>
        </w:rPr>
        <w:t>.</w:t>
      </w:r>
    </w:p>
    <w:p w14:paraId="4FEB62AC" w14:textId="77777777" w:rsidR="004B19EF" w:rsidRPr="004B19EF" w:rsidRDefault="004B19EF" w:rsidP="00E77D98">
      <w:pPr>
        <w:pStyle w:val="ListParagraph"/>
        <w:keepNext/>
        <w:keepLines/>
        <w:ind w:left="0"/>
        <w:jc w:val="both"/>
        <w:rPr>
          <w:rFonts w:ascii="Times New Roman" w:hAnsi="Times New Roman"/>
          <w:iCs/>
          <w:color w:val="212121"/>
        </w:rPr>
      </w:pPr>
    </w:p>
    <w:p w14:paraId="6A1E1F3F" w14:textId="77777777" w:rsidR="00E77D98" w:rsidRDefault="00E77D98" w:rsidP="00E77D98">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E77D98" w14:paraId="5CD05EE6" w14:textId="77777777" w:rsidTr="00E77D98">
        <w:tc>
          <w:tcPr>
            <w:tcW w:w="720" w:type="dxa"/>
            <w:shd w:val="clear" w:color="auto" w:fill="auto"/>
          </w:tcPr>
          <w:p w14:paraId="20A196A5" w14:textId="77777777" w:rsidR="00E77D98" w:rsidRDefault="00E77D98" w:rsidP="00E77D98">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14:paraId="721CFADA" w14:textId="3BACE977" w:rsidR="00E77D98" w:rsidRDefault="004B19EF" w:rsidP="00E77D98">
            <w:pPr>
              <w:pStyle w:val="ListParagraph"/>
              <w:keepNext/>
              <w:keepLines/>
              <w:ind w:left="0"/>
              <w:jc w:val="both"/>
              <w:rPr>
                <w:rFonts w:ascii="Times New Roman" w:hAnsi="Times New Roman"/>
                <w:iCs/>
                <w:color w:val="212121"/>
              </w:rPr>
            </w:pPr>
            <w:r>
              <w:rPr>
                <w:rFonts w:ascii="Times New Roman" w:hAnsi="Times New Roman"/>
                <w:iCs/>
                <w:color w:val="212121"/>
              </w:rPr>
              <w:t>/s/ Gabriella Passidomo Smith</w:t>
            </w:r>
            <w:bookmarkStart w:id="7" w:name="_GoBack"/>
            <w:bookmarkEnd w:id="7"/>
          </w:p>
        </w:tc>
      </w:tr>
      <w:bookmarkEnd w:id="6"/>
      <w:tr w:rsidR="00E77D98" w14:paraId="2F0851CB" w14:textId="77777777" w:rsidTr="00E77D98">
        <w:tc>
          <w:tcPr>
            <w:tcW w:w="720" w:type="dxa"/>
            <w:shd w:val="clear" w:color="auto" w:fill="auto"/>
          </w:tcPr>
          <w:p w14:paraId="40D5985D" w14:textId="77777777" w:rsidR="00E77D98" w:rsidRDefault="00E77D98" w:rsidP="00E77D98">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5D42F675" w14:textId="77777777" w:rsidR="00E77D98" w:rsidRDefault="00E77D98" w:rsidP="00E77D98">
            <w:pPr>
              <w:pStyle w:val="ListParagraph"/>
              <w:keepNext/>
              <w:keepLines/>
              <w:ind w:left="0"/>
              <w:jc w:val="both"/>
              <w:rPr>
                <w:rFonts w:ascii="Times New Roman" w:hAnsi="Times New Roman"/>
                <w:iCs/>
                <w:color w:val="212121"/>
              </w:rPr>
            </w:pPr>
            <w:r>
              <w:rPr>
                <w:rFonts w:ascii="Times New Roman" w:hAnsi="Times New Roman"/>
                <w:iCs/>
                <w:color w:val="212121"/>
              </w:rPr>
              <w:t>Gabriella Passidomo Smith</w:t>
            </w:r>
          </w:p>
          <w:p w14:paraId="6CF5DC10" w14:textId="77777777" w:rsidR="00E77D98" w:rsidRDefault="00E77D98" w:rsidP="00E77D98">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6D369583" w14:textId="77777777" w:rsidR="00E77D98" w:rsidRDefault="00E77D98" w:rsidP="00E77D98">
      <w:pPr>
        <w:pStyle w:val="OrderSigInfo"/>
        <w:keepNext/>
        <w:keepLines/>
      </w:pPr>
      <w:r>
        <w:t>Florida Public Service Commission</w:t>
      </w:r>
    </w:p>
    <w:p w14:paraId="6212A857" w14:textId="77777777" w:rsidR="00E77D98" w:rsidRDefault="00E77D98" w:rsidP="00E77D98">
      <w:pPr>
        <w:pStyle w:val="OrderSigInfo"/>
        <w:keepNext/>
        <w:keepLines/>
      </w:pPr>
      <w:r>
        <w:t>2540 Shumard Oak Boulevard</w:t>
      </w:r>
    </w:p>
    <w:p w14:paraId="00D10539" w14:textId="77777777" w:rsidR="00E77D98" w:rsidRDefault="00E77D98" w:rsidP="00E77D98">
      <w:pPr>
        <w:pStyle w:val="OrderSigInfo"/>
        <w:keepNext/>
        <w:keepLines/>
      </w:pPr>
      <w:r>
        <w:t>Tallahassee, Florida 32399</w:t>
      </w:r>
    </w:p>
    <w:p w14:paraId="6DC21998" w14:textId="77777777" w:rsidR="00E77D98" w:rsidRDefault="00E77D98" w:rsidP="00E77D98">
      <w:pPr>
        <w:pStyle w:val="OrderSigInfo"/>
        <w:keepNext/>
        <w:keepLines/>
      </w:pPr>
      <w:r>
        <w:t>(850) 413</w:t>
      </w:r>
      <w:r>
        <w:noBreakHyphen/>
        <w:t>6770</w:t>
      </w:r>
    </w:p>
    <w:p w14:paraId="4A5CDDC5" w14:textId="77777777" w:rsidR="00E77D98" w:rsidRDefault="00E77D98" w:rsidP="00E77D98">
      <w:pPr>
        <w:pStyle w:val="OrderSigInfo"/>
        <w:keepNext/>
        <w:keepLines/>
      </w:pPr>
      <w:r>
        <w:t>www.floridapsc.com</w:t>
      </w:r>
    </w:p>
    <w:p w14:paraId="67B4B631" w14:textId="77777777" w:rsidR="00E77D98" w:rsidRDefault="00E77D98" w:rsidP="00E77D98">
      <w:pPr>
        <w:pStyle w:val="OrderSigInfo"/>
        <w:keepNext/>
        <w:keepLines/>
      </w:pPr>
    </w:p>
    <w:p w14:paraId="1ABE57A9" w14:textId="77777777" w:rsidR="00E77D98" w:rsidRDefault="00E77D98" w:rsidP="00E77D98">
      <w:pPr>
        <w:pStyle w:val="OrderSigInfo"/>
        <w:keepNext/>
        <w:keepLines/>
      </w:pPr>
      <w:r>
        <w:t>Copies furnished:  A copy of this document is provided to the parties of record at the time of issuance and, if applicable, interested persons.</w:t>
      </w:r>
    </w:p>
    <w:p w14:paraId="1335AA6A" w14:textId="77777777" w:rsidR="00E77D98" w:rsidRDefault="00E77D98" w:rsidP="00E77D98">
      <w:pPr>
        <w:pStyle w:val="OrderBody"/>
        <w:keepNext/>
        <w:keepLines/>
      </w:pPr>
    </w:p>
    <w:p w14:paraId="0CD76AF2" w14:textId="77777777" w:rsidR="00E77D98" w:rsidRDefault="00E77D98" w:rsidP="00E77D98">
      <w:pPr>
        <w:pStyle w:val="ListParagraph"/>
        <w:keepNext/>
        <w:keepLines/>
        <w:ind w:left="0"/>
        <w:jc w:val="both"/>
        <w:rPr>
          <w:rFonts w:ascii="Times New Roman" w:hAnsi="Times New Roman"/>
          <w:iCs/>
          <w:color w:val="212121"/>
        </w:rPr>
      </w:pPr>
    </w:p>
    <w:p w14:paraId="3F2E6F80" w14:textId="77777777" w:rsidR="00E77D98" w:rsidRDefault="00E77D98" w:rsidP="00E77D98">
      <w:pPr>
        <w:pStyle w:val="ListParagraph"/>
        <w:keepNext/>
        <w:keepLines/>
        <w:ind w:left="0"/>
        <w:jc w:val="both"/>
        <w:rPr>
          <w:rFonts w:ascii="Times New Roman" w:hAnsi="Times New Roman"/>
          <w:iCs/>
          <w:color w:val="212121"/>
        </w:rPr>
      </w:pPr>
      <w:r>
        <w:rPr>
          <w:rFonts w:ascii="Times New Roman" w:hAnsi="Times New Roman"/>
          <w:iCs/>
          <w:color w:val="212121"/>
        </w:rPr>
        <w:t>TPS</w:t>
      </w:r>
    </w:p>
    <w:p w14:paraId="73785411" w14:textId="77777777" w:rsidR="00E77D98" w:rsidRDefault="00E77D98">
      <w:pPr>
        <w:rPr>
          <w:rFonts w:eastAsia="Calibri"/>
          <w:iCs/>
          <w:color w:val="212121"/>
        </w:rPr>
      </w:pPr>
      <w:r>
        <w:rPr>
          <w:iCs/>
          <w:color w:val="212121"/>
        </w:rPr>
        <w:br w:type="page"/>
      </w:r>
    </w:p>
    <w:p w14:paraId="6A3E16D2" w14:textId="77777777" w:rsidR="00E77D98" w:rsidRDefault="00E77D98" w:rsidP="00E77D98">
      <w:pPr>
        <w:pStyle w:val="CenterUnderline"/>
      </w:pPr>
      <w:r>
        <w:lastRenderedPageBreak/>
        <w:t>NOTICE OF FURTHER PROCEEDINGS OR JUDICIAL REVIEW</w:t>
      </w:r>
    </w:p>
    <w:p w14:paraId="6AFE5FDC" w14:textId="77777777" w:rsidR="00E77D98" w:rsidRDefault="00E77D98" w:rsidP="00E77D98">
      <w:pPr>
        <w:pStyle w:val="CenterUnderline"/>
      </w:pPr>
    </w:p>
    <w:p w14:paraId="3BB07881" w14:textId="77777777" w:rsidR="00E77D98" w:rsidRDefault="00E77D98" w:rsidP="00E77D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C0BB0D2" w14:textId="77777777" w:rsidR="00E77D98" w:rsidRDefault="00E77D98" w:rsidP="00E77D98">
      <w:pPr>
        <w:pStyle w:val="OrderBody"/>
      </w:pPr>
    </w:p>
    <w:p w14:paraId="678B5ED3" w14:textId="77777777" w:rsidR="00E77D98" w:rsidRDefault="00E77D98" w:rsidP="00E77D98">
      <w:pPr>
        <w:pStyle w:val="OrderBody"/>
      </w:pPr>
      <w:r>
        <w:tab/>
        <w:t>Mediation may be available on a case-by-case basis.  If mediation is conducted, it does not affect a substantially interested person's right to a hearing.</w:t>
      </w:r>
    </w:p>
    <w:p w14:paraId="68C1AC47" w14:textId="77777777" w:rsidR="00E77D98" w:rsidRDefault="00E77D98" w:rsidP="00E77D98">
      <w:pPr>
        <w:pStyle w:val="OrderBody"/>
      </w:pPr>
    </w:p>
    <w:p w14:paraId="68FB01A6" w14:textId="77777777" w:rsidR="00E77D98" w:rsidRDefault="00E77D98" w:rsidP="00E77D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07B1FB1" w14:textId="77777777" w:rsidR="00E77D98" w:rsidRDefault="00E77D98" w:rsidP="00E77D98">
      <w:pPr>
        <w:pStyle w:val="OrderBody"/>
      </w:pPr>
    </w:p>
    <w:p w14:paraId="0E7B6960" w14:textId="77777777" w:rsidR="00E77D98" w:rsidRDefault="00E77D98" w:rsidP="00E77D98">
      <w:pPr>
        <w:pStyle w:val="OrderBody"/>
      </w:pPr>
    </w:p>
    <w:p w14:paraId="2F863176" w14:textId="77777777" w:rsidR="00E77D98" w:rsidRPr="00E77D98" w:rsidRDefault="00E77D98" w:rsidP="00E77D98">
      <w:pPr>
        <w:pStyle w:val="OrderBody"/>
      </w:pPr>
    </w:p>
    <w:sectPr w:rsidR="00E77D98" w:rsidRPr="00E77D9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3BCC7" w14:textId="77777777" w:rsidR="00BF0012" w:rsidRDefault="00BF0012">
      <w:r>
        <w:separator/>
      </w:r>
    </w:p>
  </w:endnote>
  <w:endnote w:type="continuationSeparator" w:id="0">
    <w:p w14:paraId="41490629" w14:textId="77777777" w:rsidR="00BF0012" w:rsidRDefault="00BF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CCE6" w14:textId="77777777" w:rsidR="00FA6EFD" w:rsidRDefault="00FA6EFD">
    <w:pPr>
      <w:pStyle w:val="Footer"/>
    </w:pPr>
  </w:p>
  <w:p w14:paraId="63555C6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01808" w14:textId="77777777" w:rsidR="00BF0012" w:rsidRDefault="00BF0012">
      <w:r>
        <w:separator/>
      </w:r>
    </w:p>
  </w:footnote>
  <w:footnote w:type="continuationSeparator" w:id="0">
    <w:p w14:paraId="0F2E0288" w14:textId="77777777" w:rsidR="00BF0012" w:rsidRDefault="00BF0012">
      <w:r>
        <w:continuationSeparator/>
      </w:r>
    </w:p>
  </w:footnote>
  <w:footnote w:id="1">
    <w:p w14:paraId="10F7FDB1" w14:textId="1FFDE49E" w:rsidR="00047068" w:rsidRDefault="00047068">
      <w:pPr>
        <w:pStyle w:val="FootnoteText"/>
      </w:pPr>
      <w:r>
        <w:rPr>
          <w:rStyle w:val="FootnoteReference"/>
        </w:rPr>
        <w:footnoteRef/>
      </w:r>
      <w:r>
        <w:t xml:space="preserve"> Docket No. 20220069-GU, Petition for Rate Increase by Florida City Gas.</w:t>
      </w:r>
    </w:p>
  </w:footnote>
  <w:footnote w:id="2">
    <w:p w14:paraId="7DE3288B" w14:textId="77777777" w:rsidR="00D2651E" w:rsidRDefault="00D2651E">
      <w:pPr>
        <w:pStyle w:val="FootnoteText"/>
      </w:pPr>
      <w:r>
        <w:rPr>
          <w:rStyle w:val="FootnoteReference"/>
        </w:rPr>
        <w:footnoteRef/>
      </w:r>
      <w:r>
        <w:t xml:space="preserve"> Staff Response at page 2.</w:t>
      </w:r>
    </w:p>
  </w:footnote>
  <w:footnote w:id="3">
    <w:p w14:paraId="0E974865" w14:textId="77777777" w:rsidR="00D2651E" w:rsidRDefault="00D2651E">
      <w:pPr>
        <w:pStyle w:val="FootnoteText"/>
      </w:pPr>
      <w:r>
        <w:rPr>
          <w:rStyle w:val="FootnoteReference"/>
        </w:rPr>
        <w:footnoteRef/>
      </w:r>
      <w:r>
        <w:t xml:space="preserve"> </w:t>
      </w:r>
      <w:r w:rsidR="0030618F">
        <w:t>OPC Response at page 3</w:t>
      </w:r>
      <w:r>
        <w:t xml:space="preserve">. </w:t>
      </w:r>
    </w:p>
  </w:footnote>
  <w:footnote w:id="4">
    <w:p w14:paraId="5CC113BF" w14:textId="77777777" w:rsidR="0030618F" w:rsidRDefault="0030618F">
      <w:pPr>
        <w:pStyle w:val="FootnoteText"/>
      </w:pPr>
      <w:r>
        <w:rPr>
          <w:rStyle w:val="FootnoteReference"/>
        </w:rPr>
        <w:footnoteRef/>
      </w:r>
      <w:r>
        <w:t xml:space="preserve"> Id. at page 7.</w:t>
      </w:r>
    </w:p>
  </w:footnote>
  <w:footnote w:id="5">
    <w:p w14:paraId="761F640B" w14:textId="77777777" w:rsidR="00D2651E" w:rsidRDefault="00D2651E">
      <w:pPr>
        <w:pStyle w:val="FootnoteText"/>
      </w:pPr>
      <w:r>
        <w:rPr>
          <w:rStyle w:val="FootnoteReference"/>
        </w:rPr>
        <w:footnoteRef/>
      </w:r>
      <w:r>
        <w:t xml:space="preserve"> FCG Motion at page 4. </w:t>
      </w:r>
    </w:p>
  </w:footnote>
  <w:footnote w:id="6">
    <w:p w14:paraId="2D4DFC26" w14:textId="77777777" w:rsidR="00C97D16" w:rsidRDefault="00C97D16">
      <w:pPr>
        <w:pStyle w:val="FootnoteText"/>
      </w:pPr>
      <w:r>
        <w:rPr>
          <w:rStyle w:val="FootnoteReference"/>
        </w:rPr>
        <w:footnoteRef/>
      </w:r>
      <w:r>
        <w:t xml:space="preserve"> OPC Response at page 6.</w:t>
      </w:r>
    </w:p>
  </w:footnote>
  <w:footnote w:id="7">
    <w:p w14:paraId="23CF04EA" w14:textId="77777777" w:rsidR="003F1B53" w:rsidRDefault="003F1B53">
      <w:pPr>
        <w:pStyle w:val="FootnoteText"/>
      </w:pPr>
      <w:r>
        <w:rPr>
          <w:rStyle w:val="FootnoteReference"/>
        </w:rPr>
        <w:footnoteRef/>
      </w:r>
      <w:r>
        <w:t xml:space="preserve"> OPC Response at page 7.</w:t>
      </w:r>
    </w:p>
  </w:footnote>
  <w:footnote w:id="8">
    <w:p w14:paraId="57FC46F2" w14:textId="77777777" w:rsidR="003F1B53" w:rsidRDefault="003F1B53">
      <w:pPr>
        <w:pStyle w:val="FootnoteText"/>
      </w:pPr>
      <w:r>
        <w:rPr>
          <w:rStyle w:val="FootnoteReference"/>
        </w:rPr>
        <w:footnoteRef/>
      </w:r>
      <w:r>
        <w:t xml:space="preserve"> OPC Response at page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2D4C9" w14:textId="26916F55" w:rsidR="00FA6EFD" w:rsidRDefault="00FA6EFD">
    <w:pPr>
      <w:pStyle w:val="OrderHeader"/>
    </w:pPr>
    <w:r>
      <w:t xml:space="preserve">ORDER NO. </w:t>
    </w:r>
    <w:fldSimple w:instr=" REF OrderNo0442 ">
      <w:r w:rsidR="004B19EF">
        <w:t>PSC-2025-0442-PCO-GU</w:t>
      </w:r>
    </w:fldSimple>
  </w:p>
  <w:p w14:paraId="75DA0519" w14:textId="77777777" w:rsidR="00FA6EFD" w:rsidRDefault="00E77D98">
    <w:pPr>
      <w:pStyle w:val="OrderHeader"/>
    </w:pPr>
    <w:bookmarkStart w:id="8" w:name="HeaderDocketNo"/>
    <w:bookmarkEnd w:id="8"/>
    <w:r>
      <w:t>DOCKET NO. 20250035-GU</w:t>
    </w:r>
  </w:p>
  <w:p w14:paraId="4802875E" w14:textId="08AF175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19EF">
      <w:rPr>
        <w:rStyle w:val="PageNumber"/>
        <w:noProof/>
      </w:rPr>
      <w:t>3</w:t>
    </w:r>
    <w:r>
      <w:rPr>
        <w:rStyle w:val="PageNumber"/>
      </w:rPr>
      <w:fldChar w:fldCharType="end"/>
    </w:r>
  </w:p>
  <w:p w14:paraId="24100195"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26F30"/>
    <w:multiLevelType w:val="hybridMultilevel"/>
    <w:tmpl w:val="8FF2BC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E77D98"/>
    <w:rsid w:val="000022B8"/>
    <w:rsid w:val="00003883"/>
    <w:rsid w:val="00011251"/>
    <w:rsid w:val="000125D7"/>
    <w:rsid w:val="00025C2A"/>
    <w:rsid w:val="00025C9D"/>
    <w:rsid w:val="0003433F"/>
    <w:rsid w:val="000344D5"/>
    <w:rsid w:val="00035A8C"/>
    <w:rsid w:val="00036BDD"/>
    <w:rsid w:val="00041FFD"/>
    <w:rsid w:val="00042C99"/>
    <w:rsid w:val="00047068"/>
    <w:rsid w:val="00053AB9"/>
    <w:rsid w:val="00056229"/>
    <w:rsid w:val="00057AF1"/>
    <w:rsid w:val="00065FC2"/>
    <w:rsid w:val="00067685"/>
    <w:rsid w:val="00067B07"/>
    <w:rsid w:val="000730D7"/>
    <w:rsid w:val="00076E6B"/>
    <w:rsid w:val="0008009F"/>
    <w:rsid w:val="00081AE4"/>
    <w:rsid w:val="0008247D"/>
    <w:rsid w:val="00090AFC"/>
    <w:rsid w:val="00096507"/>
    <w:rsid w:val="000974EA"/>
    <w:rsid w:val="000A6F5A"/>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511"/>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0EAB"/>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7FDD"/>
    <w:rsid w:val="002170E5"/>
    <w:rsid w:val="002179AC"/>
    <w:rsid w:val="00220D57"/>
    <w:rsid w:val="00223B99"/>
    <w:rsid w:val="0022619F"/>
    <w:rsid w:val="0022721A"/>
    <w:rsid w:val="00230ACD"/>
    <w:rsid w:val="00230BB9"/>
    <w:rsid w:val="00235AF5"/>
    <w:rsid w:val="00241CEF"/>
    <w:rsid w:val="0025124E"/>
    <w:rsid w:val="00252B30"/>
    <w:rsid w:val="00255291"/>
    <w:rsid w:val="002613E4"/>
    <w:rsid w:val="00262C43"/>
    <w:rsid w:val="0026544B"/>
    <w:rsid w:val="00270F89"/>
    <w:rsid w:val="00276CDC"/>
    <w:rsid w:val="00277655"/>
    <w:rsid w:val="002824B7"/>
    <w:rsid w:val="00282AC4"/>
    <w:rsid w:val="0029250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5B53"/>
    <w:rsid w:val="002E78B6"/>
    <w:rsid w:val="002F04AD"/>
    <w:rsid w:val="002F0F1A"/>
    <w:rsid w:val="002F0F1C"/>
    <w:rsid w:val="002F2A9D"/>
    <w:rsid w:val="002F31C2"/>
    <w:rsid w:val="002F7BF6"/>
    <w:rsid w:val="00303FDE"/>
    <w:rsid w:val="0030618F"/>
    <w:rsid w:val="00313C5B"/>
    <w:rsid w:val="003140E8"/>
    <w:rsid w:val="00315003"/>
    <w:rsid w:val="00321702"/>
    <w:rsid w:val="003231C7"/>
    <w:rsid w:val="00323839"/>
    <w:rsid w:val="003270C4"/>
    <w:rsid w:val="00331ED0"/>
    <w:rsid w:val="00332B0A"/>
    <w:rsid w:val="00333A41"/>
    <w:rsid w:val="00341036"/>
    <w:rsid w:val="00343839"/>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B53"/>
    <w:rsid w:val="003F1D2B"/>
    <w:rsid w:val="003F49A6"/>
    <w:rsid w:val="003F518F"/>
    <w:rsid w:val="003F6BA7"/>
    <w:rsid w:val="003F7445"/>
    <w:rsid w:val="00411DF2"/>
    <w:rsid w:val="00411E8F"/>
    <w:rsid w:val="00416E43"/>
    <w:rsid w:val="004217A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19EF"/>
    <w:rsid w:val="004B2108"/>
    <w:rsid w:val="004B3A2B"/>
    <w:rsid w:val="004B70D3"/>
    <w:rsid w:val="004C312D"/>
    <w:rsid w:val="004D2D1B"/>
    <w:rsid w:val="004D5067"/>
    <w:rsid w:val="004D6838"/>
    <w:rsid w:val="004D72BC"/>
    <w:rsid w:val="004E469D"/>
    <w:rsid w:val="004E7F4F"/>
    <w:rsid w:val="004F2DDE"/>
    <w:rsid w:val="004F54B2"/>
    <w:rsid w:val="004F5A55"/>
    <w:rsid w:val="004F6426"/>
    <w:rsid w:val="004F7826"/>
    <w:rsid w:val="0050097F"/>
    <w:rsid w:val="00511881"/>
    <w:rsid w:val="00514B1F"/>
    <w:rsid w:val="00523C5C"/>
    <w:rsid w:val="00524884"/>
    <w:rsid w:val="00525E93"/>
    <w:rsid w:val="0052671D"/>
    <w:rsid w:val="005300C0"/>
    <w:rsid w:val="00533EF6"/>
    <w:rsid w:val="00537AF0"/>
    <w:rsid w:val="00540E6B"/>
    <w:rsid w:val="0054109E"/>
    <w:rsid w:val="0055595D"/>
    <w:rsid w:val="00556A10"/>
    <w:rsid w:val="00557F50"/>
    <w:rsid w:val="005704A2"/>
    <w:rsid w:val="00571D3D"/>
    <w:rsid w:val="00576AAB"/>
    <w:rsid w:val="0058264B"/>
    <w:rsid w:val="00586368"/>
    <w:rsid w:val="005868AA"/>
    <w:rsid w:val="00590845"/>
    <w:rsid w:val="0059213D"/>
    <w:rsid w:val="005963C2"/>
    <w:rsid w:val="005A0D69"/>
    <w:rsid w:val="005A31F4"/>
    <w:rsid w:val="005A73EA"/>
    <w:rsid w:val="005B45F7"/>
    <w:rsid w:val="005B63EA"/>
    <w:rsid w:val="005C1A88"/>
    <w:rsid w:val="005C5033"/>
    <w:rsid w:val="005C5A8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29F1"/>
    <w:rsid w:val="00693483"/>
    <w:rsid w:val="00697A47"/>
    <w:rsid w:val="006A0BF3"/>
    <w:rsid w:val="006A502B"/>
    <w:rsid w:val="006B0036"/>
    <w:rsid w:val="006B0DA6"/>
    <w:rsid w:val="006B3FA9"/>
    <w:rsid w:val="006C2241"/>
    <w:rsid w:val="006C547E"/>
    <w:rsid w:val="006C71CB"/>
    <w:rsid w:val="006D2B51"/>
    <w:rsid w:val="006D5575"/>
    <w:rsid w:val="006D7191"/>
    <w:rsid w:val="006E1C88"/>
    <w:rsid w:val="006E21C4"/>
    <w:rsid w:val="006E42BE"/>
    <w:rsid w:val="006E5D4D"/>
    <w:rsid w:val="006E6D16"/>
    <w:rsid w:val="00703F2A"/>
    <w:rsid w:val="00704C5D"/>
    <w:rsid w:val="007072BC"/>
    <w:rsid w:val="00715275"/>
    <w:rsid w:val="00721B44"/>
    <w:rsid w:val="007232A2"/>
    <w:rsid w:val="0072354A"/>
    <w:rsid w:val="00726366"/>
    <w:rsid w:val="00731AB6"/>
    <w:rsid w:val="00733B6B"/>
    <w:rsid w:val="00740808"/>
    <w:rsid w:val="00740A1B"/>
    <w:rsid w:val="007467C4"/>
    <w:rsid w:val="00750067"/>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506"/>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9A5"/>
    <w:rsid w:val="00846F11"/>
    <w:rsid w:val="00847B45"/>
    <w:rsid w:val="00863A66"/>
    <w:rsid w:val="008703D7"/>
    <w:rsid w:val="00874429"/>
    <w:rsid w:val="00875D22"/>
    <w:rsid w:val="00883D9A"/>
    <w:rsid w:val="008919EF"/>
    <w:rsid w:val="00892B20"/>
    <w:rsid w:val="008931BC"/>
    <w:rsid w:val="0089695B"/>
    <w:rsid w:val="00897740"/>
    <w:rsid w:val="008A12EC"/>
    <w:rsid w:val="008A4504"/>
    <w:rsid w:val="008B14BE"/>
    <w:rsid w:val="008B19A6"/>
    <w:rsid w:val="008B4EFB"/>
    <w:rsid w:val="008B7615"/>
    <w:rsid w:val="008C21C8"/>
    <w:rsid w:val="008C6375"/>
    <w:rsid w:val="008C6A5B"/>
    <w:rsid w:val="008D3803"/>
    <w:rsid w:val="008D441D"/>
    <w:rsid w:val="008D498D"/>
    <w:rsid w:val="008D6D36"/>
    <w:rsid w:val="008D6F39"/>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2F4C"/>
    <w:rsid w:val="009D4C29"/>
    <w:rsid w:val="009E58E9"/>
    <w:rsid w:val="009E6803"/>
    <w:rsid w:val="009F0EAF"/>
    <w:rsid w:val="009F6AD2"/>
    <w:rsid w:val="009F7C1B"/>
    <w:rsid w:val="00A00B5B"/>
    <w:rsid w:val="00A00D8D"/>
    <w:rsid w:val="00A01BB6"/>
    <w:rsid w:val="00A108A7"/>
    <w:rsid w:val="00A228DA"/>
    <w:rsid w:val="00A22B28"/>
    <w:rsid w:val="00A3351E"/>
    <w:rsid w:val="00A4114B"/>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664B"/>
    <w:rsid w:val="00AD74F4"/>
    <w:rsid w:val="00B019C1"/>
    <w:rsid w:val="00B02001"/>
    <w:rsid w:val="00B03C50"/>
    <w:rsid w:val="00B054B2"/>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4198"/>
    <w:rsid w:val="00B67A43"/>
    <w:rsid w:val="00B71D1F"/>
    <w:rsid w:val="00B72CFF"/>
    <w:rsid w:val="00B73DE6"/>
    <w:rsid w:val="00B761CD"/>
    <w:rsid w:val="00B76B66"/>
    <w:rsid w:val="00B82D6A"/>
    <w:rsid w:val="00B86EF0"/>
    <w:rsid w:val="00B96969"/>
    <w:rsid w:val="00B97900"/>
    <w:rsid w:val="00BA1229"/>
    <w:rsid w:val="00BA44A8"/>
    <w:rsid w:val="00BA49C5"/>
    <w:rsid w:val="00BB0182"/>
    <w:rsid w:val="00BB2F4A"/>
    <w:rsid w:val="00BC786E"/>
    <w:rsid w:val="00BD5C92"/>
    <w:rsid w:val="00BE50E6"/>
    <w:rsid w:val="00BE52B6"/>
    <w:rsid w:val="00BE7A0C"/>
    <w:rsid w:val="00BF0012"/>
    <w:rsid w:val="00BF2928"/>
    <w:rsid w:val="00BF5D60"/>
    <w:rsid w:val="00BF6691"/>
    <w:rsid w:val="00C028FC"/>
    <w:rsid w:val="00C037F2"/>
    <w:rsid w:val="00C0386D"/>
    <w:rsid w:val="00C065A1"/>
    <w:rsid w:val="00C10ED5"/>
    <w:rsid w:val="00C12574"/>
    <w:rsid w:val="00C151A6"/>
    <w:rsid w:val="00C24098"/>
    <w:rsid w:val="00C30A4E"/>
    <w:rsid w:val="00C33416"/>
    <w:rsid w:val="00C411F3"/>
    <w:rsid w:val="00C44105"/>
    <w:rsid w:val="00C523EC"/>
    <w:rsid w:val="00C55A33"/>
    <w:rsid w:val="00C641BA"/>
    <w:rsid w:val="00C64D49"/>
    <w:rsid w:val="00C66692"/>
    <w:rsid w:val="00C673B5"/>
    <w:rsid w:val="00C7063D"/>
    <w:rsid w:val="00C72339"/>
    <w:rsid w:val="00C746CF"/>
    <w:rsid w:val="00C820BC"/>
    <w:rsid w:val="00C830BC"/>
    <w:rsid w:val="00C8524D"/>
    <w:rsid w:val="00C90904"/>
    <w:rsid w:val="00C91123"/>
    <w:rsid w:val="00C97D16"/>
    <w:rsid w:val="00CA1595"/>
    <w:rsid w:val="00CA5C68"/>
    <w:rsid w:val="00CA6CC2"/>
    <w:rsid w:val="00CA71FF"/>
    <w:rsid w:val="00CB2393"/>
    <w:rsid w:val="00CB2456"/>
    <w:rsid w:val="00CB4462"/>
    <w:rsid w:val="00CB5276"/>
    <w:rsid w:val="00CB5BFC"/>
    <w:rsid w:val="00CB68D7"/>
    <w:rsid w:val="00CB785B"/>
    <w:rsid w:val="00CC7E68"/>
    <w:rsid w:val="00CD3D74"/>
    <w:rsid w:val="00CD7132"/>
    <w:rsid w:val="00CE0E6F"/>
    <w:rsid w:val="00CE3B21"/>
    <w:rsid w:val="00CE3E65"/>
    <w:rsid w:val="00CE56FC"/>
    <w:rsid w:val="00CE7A4D"/>
    <w:rsid w:val="00CF32D2"/>
    <w:rsid w:val="00CF4CFE"/>
    <w:rsid w:val="00D00E8E"/>
    <w:rsid w:val="00D029A7"/>
    <w:rsid w:val="00D02E0F"/>
    <w:rsid w:val="00D03EE8"/>
    <w:rsid w:val="00D10250"/>
    <w:rsid w:val="00D13130"/>
    <w:rsid w:val="00D13535"/>
    <w:rsid w:val="00D15497"/>
    <w:rsid w:val="00D16C5D"/>
    <w:rsid w:val="00D17B79"/>
    <w:rsid w:val="00D205F5"/>
    <w:rsid w:val="00D23FEA"/>
    <w:rsid w:val="00D2651E"/>
    <w:rsid w:val="00D269CA"/>
    <w:rsid w:val="00D30B48"/>
    <w:rsid w:val="00D3168A"/>
    <w:rsid w:val="00D350D1"/>
    <w:rsid w:val="00D4330B"/>
    <w:rsid w:val="00D46FAA"/>
    <w:rsid w:val="00D47A40"/>
    <w:rsid w:val="00D51D33"/>
    <w:rsid w:val="00D57BB2"/>
    <w:rsid w:val="00D57E57"/>
    <w:rsid w:val="00D70752"/>
    <w:rsid w:val="00D80E2D"/>
    <w:rsid w:val="00D84D5E"/>
    <w:rsid w:val="00D8560E"/>
    <w:rsid w:val="00D8758F"/>
    <w:rsid w:val="00DA4EDD"/>
    <w:rsid w:val="00DA6B78"/>
    <w:rsid w:val="00DB122B"/>
    <w:rsid w:val="00DC146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9D8"/>
    <w:rsid w:val="00E33F44"/>
    <w:rsid w:val="00E37D48"/>
    <w:rsid w:val="00E4225C"/>
    <w:rsid w:val="00E44879"/>
    <w:rsid w:val="00E575C6"/>
    <w:rsid w:val="00E72914"/>
    <w:rsid w:val="00E75AE0"/>
    <w:rsid w:val="00E76B61"/>
    <w:rsid w:val="00E77D98"/>
    <w:rsid w:val="00E83C1F"/>
    <w:rsid w:val="00E85684"/>
    <w:rsid w:val="00E8794B"/>
    <w:rsid w:val="00E97656"/>
    <w:rsid w:val="00EA004A"/>
    <w:rsid w:val="00EA172C"/>
    <w:rsid w:val="00EA259B"/>
    <w:rsid w:val="00EA35A3"/>
    <w:rsid w:val="00EA3E6A"/>
    <w:rsid w:val="00EA69CF"/>
    <w:rsid w:val="00EB18EF"/>
    <w:rsid w:val="00EB4A1B"/>
    <w:rsid w:val="00EB58F4"/>
    <w:rsid w:val="00EB7951"/>
    <w:rsid w:val="00EC28F4"/>
    <w:rsid w:val="00ED3CE3"/>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5670"/>
    <w:rsid w:val="00F464ED"/>
    <w:rsid w:val="00F54380"/>
    <w:rsid w:val="00F54B47"/>
    <w:rsid w:val="00F61247"/>
    <w:rsid w:val="00F61F61"/>
    <w:rsid w:val="00F63191"/>
    <w:rsid w:val="00F6702E"/>
    <w:rsid w:val="00F70E84"/>
    <w:rsid w:val="00F80685"/>
    <w:rsid w:val="00F94968"/>
    <w:rsid w:val="00F9518B"/>
    <w:rsid w:val="00FA092B"/>
    <w:rsid w:val="00FA1158"/>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6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77D98"/>
    <w:pPr>
      <w:ind w:left="720"/>
      <w:contextualSpacing/>
    </w:pPr>
    <w:rPr>
      <w:rFonts w:ascii="Calibri" w:eastAsia="Calibri" w:hAnsi="Calibri"/>
    </w:rPr>
  </w:style>
  <w:style w:type="paragraph" w:styleId="BalloonText">
    <w:name w:val="Balloon Text"/>
    <w:basedOn w:val="Normal"/>
    <w:link w:val="BalloonTextChar"/>
    <w:semiHidden/>
    <w:unhideWhenUsed/>
    <w:rsid w:val="00230ACD"/>
    <w:rPr>
      <w:rFonts w:ascii="Segoe UI" w:hAnsi="Segoe UI" w:cs="Segoe UI"/>
      <w:sz w:val="18"/>
      <w:szCs w:val="18"/>
    </w:rPr>
  </w:style>
  <w:style w:type="character" w:customStyle="1" w:styleId="BalloonTextChar">
    <w:name w:val="Balloon Text Char"/>
    <w:basedOn w:val="DefaultParagraphFont"/>
    <w:link w:val="BalloonText"/>
    <w:semiHidden/>
    <w:rsid w:val="00230ACD"/>
    <w:rPr>
      <w:rFonts w:ascii="Segoe UI" w:hAnsi="Segoe UI" w:cs="Segoe UI"/>
      <w:sz w:val="18"/>
      <w:szCs w:val="18"/>
    </w:rPr>
  </w:style>
  <w:style w:type="character" w:styleId="CommentReference">
    <w:name w:val="annotation reference"/>
    <w:basedOn w:val="DefaultParagraphFont"/>
    <w:semiHidden/>
    <w:unhideWhenUsed/>
    <w:rsid w:val="0072354A"/>
    <w:rPr>
      <w:sz w:val="16"/>
      <w:szCs w:val="16"/>
    </w:rPr>
  </w:style>
  <w:style w:type="paragraph" w:styleId="CommentText">
    <w:name w:val="annotation text"/>
    <w:basedOn w:val="Normal"/>
    <w:link w:val="CommentTextChar"/>
    <w:semiHidden/>
    <w:unhideWhenUsed/>
    <w:rsid w:val="0072354A"/>
    <w:rPr>
      <w:sz w:val="20"/>
      <w:szCs w:val="20"/>
    </w:rPr>
  </w:style>
  <w:style w:type="character" w:customStyle="1" w:styleId="CommentTextChar">
    <w:name w:val="Comment Text Char"/>
    <w:basedOn w:val="DefaultParagraphFont"/>
    <w:link w:val="CommentText"/>
    <w:semiHidden/>
    <w:rsid w:val="0072354A"/>
  </w:style>
  <w:style w:type="paragraph" w:styleId="CommentSubject">
    <w:name w:val="annotation subject"/>
    <w:basedOn w:val="CommentText"/>
    <w:next w:val="CommentText"/>
    <w:link w:val="CommentSubjectChar"/>
    <w:semiHidden/>
    <w:unhideWhenUsed/>
    <w:rsid w:val="0072354A"/>
    <w:rPr>
      <w:b/>
      <w:bCs/>
    </w:rPr>
  </w:style>
  <w:style w:type="character" w:customStyle="1" w:styleId="CommentSubjectChar">
    <w:name w:val="Comment Subject Char"/>
    <w:basedOn w:val="CommentTextChar"/>
    <w:link w:val="CommentSubject"/>
    <w:semiHidden/>
    <w:rsid w:val="0072354A"/>
    <w:rPr>
      <w:b/>
      <w:bCs/>
    </w:rPr>
  </w:style>
  <w:style w:type="paragraph" w:styleId="EndnoteText">
    <w:name w:val="endnote text"/>
    <w:basedOn w:val="Normal"/>
    <w:link w:val="EndnoteTextChar"/>
    <w:semiHidden/>
    <w:unhideWhenUsed/>
    <w:rsid w:val="00047068"/>
    <w:rPr>
      <w:sz w:val="20"/>
      <w:szCs w:val="20"/>
    </w:rPr>
  </w:style>
  <w:style w:type="character" w:customStyle="1" w:styleId="EndnoteTextChar">
    <w:name w:val="Endnote Text Char"/>
    <w:basedOn w:val="DefaultParagraphFont"/>
    <w:link w:val="EndnoteText"/>
    <w:semiHidden/>
    <w:rsid w:val="00047068"/>
  </w:style>
  <w:style w:type="character" w:styleId="EndnoteReference">
    <w:name w:val="endnote reference"/>
    <w:basedOn w:val="DefaultParagraphFont"/>
    <w:semiHidden/>
    <w:unhideWhenUsed/>
    <w:rsid w:val="00047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079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9462-537E-4156-9250-212F7BD3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2025-12-02T17:34:00Z</dcterms:created>
  <dcterms:modified xsi:type="dcterms:W3CDTF">2025-12-02T17:54:00Z</dcterms:modified>
</cp:coreProperties>
</file>