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3C7D8" w14:textId="77777777" w:rsidR="00CB5276" w:rsidRDefault="00605275" w:rsidP="00605275">
      <w:pPr>
        <w:pStyle w:val="OrderHeading"/>
      </w:pPr>
      <w:r>
        <w:t>BEFORE THE FLORIDA PUBLIC SERVICE COMMISSION</w:t>
      </w:r>
    </w:p>
    <w:p w14:paraId="2126A1BB" w14:textId="77777777" w:rsidR="00605275" w:rsidRDefault="00605275" w:rsidP="00605275">
      <w:pPr>
        <w:pStyle w:val="OrderBody"/>
      </w:pPr>
    </w:p>
    <w:p w14:paraId="62174ADD" w14:textId="77777777" w:rsidR="00605275" w:rsidRDefault="00605275" w:rsidP="006052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5275" w:rsidRPr="00C63FCF" w14:paraId="7751A527" w14:textId="77777777" w:rsidTr="002E101F">
        <w:trPr>
          <w:trHeight w:val="828"/>
        </w:trPr>
        <w:tc>
          <w:tcPr>
            <w:tcW w:w="4788" w:type="dxa"/>
            <w:tcBorders>
              <w:bottom w:val="single" w:sz="4" w:space="0" w:color="auto"/>
              <w:right w:val="double" w:sz="6" w:space="0" w:color="auto"/>
            </w:tcBorders>
            <w:shd w:val="clear" w:color="auto" w:fill="auto"/>
          </w:tcPr>
          <w:p w14:paraId="43244FFB" w14:textId="77777777" w:rsidR="00605275" w:rsidRDefault="00605275" w:rsidP="002E101F">
            <w:pPr>
              <w:pStyle w:val="OrderBody"/>
              <w:tabs>
                <w:tab w:val="center" w:pos="4320"/>
                <w:tab w:val="right" w:pos="8640"/>
              </w:tabs>
              <w:jc w:val="left"/>
            </w:pPr>
            <w:r>
              <w:t xml:space="preserve">In re: </w:t>
            </w:r>
            <w:bookmarkStart w:id="0" w:name="SMInRe"/>
            <w:bookmarkEnd w:id="0"/>
            <w:r>
              <w:t>Application for increase in water and wastewater rates in Brevard, Citrus, Duval, Highlands, Marion, and Volusia Counties by CSWR-Florida Utility Operating Company.</w:t>
            </w:r>
          </w:p>
          <w:p w14:paraId="3BA7B678" w14:textId="34B29C56" w:rsidR="002E101F" w:rsidRDefault="002E101F" w:rsidP="002E101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B075BAD" w14:textId="77777777" w:rsidR="00605275" w:rsidRDefault="00605275" w:rsidP="00C63FCF">
            <w:pPr>
              <w:pStyle w:val="OrderBody"/>
              <w:tabs>
                <w:tab w:val="center" w:pos="4320"/>
                <w:tab w:val="right" w:pos="8640"/>
              </w:tabs>
              <w:jc w:val="left"/>
            </w:pPr>
            <w:r>
              <w:t xml:space="preserve">DOCKET NO. </w:t>
            </w:r>
            <w:bookmarkStart w:id="1" w:name="SMDocketNo"/>
            <w:bookmarkEnd w:id="1"/>
            <w:r>
              <w:t>20250052-WS</w:t>
            </w:r>
          </w:p>
          <w:p w14:paraId="75CDC9E1" w14:textId="3E5A5F09" w:rsidR="002E101F" w:rsidRDefault="002E101F" w:rsidP="002E101F">
            <w:pPr>
              <w:pStyle w:val="OrderBody"/>
              <w:tabs>
                <w:tab w:val="center" w:pos="4320"/>
                <w:tab w:val="right" w:pos="8640"/>
              </w:tabs>
              <w:jc w:val="left"/>
            </w:pPr>
            <w:r>
              <w:t xml:space="preserve">ORDER NO. </w:t>
            </w:r>
            <w:bookmarkStart w:id="2" w:name="OrderNo0457"/>
            <w:r w:rsidR="004D3C16">
              <w:t>PSC-2025-0457-PCO-WS</w:t>
            </w:r>
            <w:bookmarkEnd w:id="2"/>
          </w:p>
          <w:p w14:paraId="72C6A975" w14:textId="2BFCB164" w:rsidR="002E101F" w:rsidRDefault="002E101F" w:rsidP="002E101F">
            <w:pPr>
              <w:pStyle w:val="OrderBody"/>
              <w:tabs>
                <w:tab w:val="center" w:pos="4320"/>
                <w:tab w:val="right" w:pos="8640"/>
              </w:tabs>
              <w:jc w:val="left"/>
            </w:pPr>
            <w:r>
              <w:t xml:space="preserve">ISSUED: </w:t>
            </w:r>
            <w:r w:rsidR="004D3C16">
              <w:t>December 16, 2025</w:t>
            </w:r>
          </w:p>
          <w:p w14:paraId="2C0FDB02" w14:textId="29D4FD54" w:rsidR="002E101F" w:rsidRDefault="002E101F" w:rsidP="00C63FCF">
            <w:pPr>
              <w:pStyle w:val="OrderBody"/>
              <w:tabs>
                <w:tab w:val="center" w:pos="4320"/>
                <w:tab w:val="right" w:pos="8640"/>
              </w:tabs>
              <w:jc w:val="left"/>
            </w:pPr>
          </w:p>
        </w:tc>
      </w:tr>
    </w:tbl>
    <w:p w14:paraId="49CF1062" w14:textId="77777777" w:rsidR="00605275" w:rsidRDefault="00605275" w:rsidP="00605275"/>
    <w:p w14:paraId="27B46821" w14:textId="77777777" w:rsidR="00605275" w:rsidRDefault="00605275" w:rsidP="00605275"/>
    <w:p w14:paraId="4F0B7C60" w14:textId="6B001FBC" w:rsidR="00CB5276" w:rsidRDefault="00605275" w:rsidP="00605275">
      <w:pPr>
        <w:pStyle w:val="CenterUnderline"/>
      </w:pPr>
      <w:bookmarkStart w:id="3" w:name="Commissioners"/>
      <w:bookmarkEnd w:id="3"/>
      <w:r>
        <w:t>ORDER</w:t>
      </w:r>
      <w:bookmarkStart w:id="4" w:name="OrderTitle"/>
      <w:r>
        <w:t xml:space="preserve"> ESTABLISHING PROCEDURE </w:t>
      </w:r>
      <w:bookmarkEnd w:id="4"/>
    </w:p>
    <w:p w14:paraId="06AF462C" w14:textId="77777777" w:rsidR="00605275" w:rsidRDefault="00605275" w:rsidP="00605275">
      <w:pPr>
        <w:pStyle w:val="CenterUnderline"/>
      </w:pPr>
    </w:p>
    <w:p w14:paraId="0D23AA8E" w14:textId="77777777" w:rsidR="00605275" w:rsidRDefault="00605275" w:rsidP="00605275">
      <w:pPr>
        <w:pStyle w:val="OrderBody"/>
      </w:pPr>
    </w:p>
    <w:p w14:paraId="2C52AF47" w14:textId="77777777" w:rsidR="00605275" w:rsidRDefault="00605275" w:rsidP="008E3A8E">
      <w:pPr>
        <w:ind w:left="720" w:hanging="720"/>
      </w:pPr>
      <w:bookmarkStart w:id="5" w:name="OrderText"/>
      <w:bookmarkEnd w:id="5"/>
      <w:r>
        <w:rPr>
          <w:b/>
          <w:bCs/>
        </w:rPr>
        <w:t>I.</w:t>
      </w:r>
      <w:r>
        <w:rPr>
          <w:b/>
          <w:bCs/>
        </w:rPr>
        <w:tab/>
      </w:r>
      <w:r>
        <w:rPr>
          <w:b/>
          <w:bCs/>
          <w:u w:val="single"/>
        </w:rPr>
        <w:t>Case Background</w:t>
      </w:r>
    </w:p>
    <w:p w14:paraId="7B1AF847" w14:textId="77777777" w:rsidR="00605275" w:rsidRDefault="00605275" w:rsidP="008E3A8E"/>
    <w:p w14:paraId="54B3B28E" w14:textId="078D6EFF" w:rsidR="00605275" w:rsidRDefault="00605275" w:rsidP="008E3A8E">
      <w:pPr>
        <w:jc w:val="both"/>
      </w:pPr>
      <w:r>
        <w:tab/>
        <w:t xml:space="preserve">On May 30, 2025, </w:t>
      </w:r>
      <w:r>
        <w:rPr>
          <w:i/>
        </w:rPr>
        <w:t xml:space="preserve"> </w:t>
      </w:r>
      <w:r>
        <w:t xml:space="preserve">Central States Water Resources-Florida Operating Company, LLC (CSWR or Utility) filed its petition requesting a base rate increase along with minimum filing requirement schedules and testimony supporting the request.  The Commission has set a hearing for </w:t>
      </w:r>
      <w:r w:rsidRPr="007E6F24">
        <w:t>June 8</w:t>
      </w:r>
      <w:r w:rsidR="00801358">
        <w:t>-12</w:t>
      </w:r>
      <w:r w:rsidRPr="007E6F24">
        <w:t>, 2026.</w:t>
      </w:r>
      <w:r>
        <w:t xml:space="preserve">  This Order sets forth the procedural requirements for all parties to this docket.  Jurisdiction over these matters is vested in the Commission through several provisions of Chapter 36</w:t>
      </w:r>
      <w:r w:rsidR="00D30C22">
        <w:t>7</w:t>
      </w:r>
      <w:r>
        <w:t>, Florida Statutes (F.S.), including Sections 367.081 and 367.082, F.S.</w:t>
      </w:r>
    </w:p>
    <w:p w14:paraId="0CD5C7AF" w14:textId="77777777" w:rsidR="00605275" w:rsidRPr="00831E67" w:rsidRDefault="00605275" w:rsidP="008E3A8E"/>
    <w:p w14:paraId="005A2CBD" w14:textId="279BE46D" w:rsidR="00CB5276" w:rsidRDefault="00605275" w:rsidP="008E3A8E">
      <w:pPr>
        <w:pStyle w:val="OrderBody"/>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2296EE16" w14:textId="77777777" w:rsidR="000F114A" w:rsidRDefault="000F114A" w:rsidP="008E3A8E">
      <w:pPr>
        <w:pStyle w:val="OrderBody"/>
      </w:pPr>
    </w:p>
    <w:p w14:paraId="5CECE11F" w14:textId="012A111B" w:rsidR="00605275" w:rsidRDefault="00605275" w:rsidP="008E3A8E">
      <w:pPr>
        <w:jc w:val="both"/>
      </w:pPr>
      <w:r>
        <w:rPr>
          <w:b/>
          <w:bCs/>
        </w:rPr>
        <w:t>II.</w:t>
      </w:r>
      <w:r>
        <w:rPr>
          <w:b/>
          <w:bCs/>
        </w:rPr>
        <w:tab/>
      </w:r>
      <w:r>
        <w:rPr>
          <w:b/>
          <w:bCs/>
          <w:u w:val="single"/>
        </w:rPr>
        <w:t>General Filing Procedures</w:t>
      </w:r>
    </w:p>
    <w:p w14:paraId="068550EF" w14:textId="77777777" w:rsidR="00605275" w:rsidRDefault="00605275" w:rsidP="008E3A8E">
      <w:pPr>
        <w:jc w:val="both"/>
      </w:pPr>
    </w:p>
    <w:p w14:paraId="437E9F2A" w14:textId="77777777" w:rsidR="00605275" w:rsidRPr="00C75702" w:rsidRDefault="00605275" w:rsidP="008E3A8E">
      <w:pPr>
        <w:numPr>
          <w:ilvl w:val="12"/>
          <w:numId w:val="0"/>
        </w:numPr>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the filing should be</w:t>
      </w:r>
      <w:r w:rsidRPr="00C75702">
        <w:t xml:space="preserve"> addressed to:</w:t>
      </w:r>
    </w:p>
    <w:p w14:paraId="6BACECE4" w14:textId="77777777" w:rsidR="00605275" w:rsidRPr="00C75702" w:rsidRDefault="00605275" w:rsidP="008E3A8E">
      <w:pPr>
        <w:numPr>
          <w:ilvl w:val="12"/>
          <w:numId w:val="0"/>
        </w:numPr>
        <w:jc w:val="both"/>
      </w:pPr>
    </w:p>
    <w:p w14:paraId="6408D07A" w14:textId="77777777" w:rsidR="00605275" w:rsidRPr="00C75702" w:rsidRDefault="00605275" w:rsidP="008E3A8E">
      <w:pPr>
        <w:numPr>
          <w:ilvl w:val="12"/>
          <w:numId w:val="0"/>
        </w:numPr>
        <w:jc w:val="both"/>
      </w:pPr>
      <w:r w:rsidRPr="00C75702">
        <w:tab/>
        <w:t xml:space="preserve">Office of Commission Clerk </w:t>
      </w:r>
    </w:p>
    <w:p w14:paraId="4132B6A8" w14:textId="77777777" w:rsidR="00605275" w:rsidRPr="00C75702" w:rsidRDefault="00605275" w:rsidP="008E3A8E">
      <w:pPr>
        <w:numPr>
          <w:ilvl w:val="12"/>
          <w:numId w:val="0"/>
        </w:numPr>
        <w:jc w:val="both"/>
      </w:pPr>
      <w:r w:rsidRPr="00C75702">
        <w:tab/>
        <w:t>Florida Public Service Commission</w:t>
      </w:r>
    </w:p>
    <w:p w14:paraId="519618CE" w14:textId="77777777" w:rsidR="00605275" w:rsidRPr="00C75702" w:rsidRDefault="00605275" w:rsidP="008E3A8E">
      <w:pPr>
        <w:numPr>
          <w:ilvl w:val="12"/>
          <w:numId w:val="0"/>
        </w:numPr>
        <w:jc w:val="both"/>
      </w:pPr>
      <w:r w:rsidRPr="00C75702">
        <w:tab/>
        <w:t>2540 Shumard Oak Boulevard</w:t>
      </w:r>
    </w:p>
    <w:p w14:paraId="06428582" w14:textId="77777777" w:rsidR="00605275" w:rsidRPr="00C75702" w:rsidRDefault="00605275" w:rsidP="008E3A8E">
      <w:pPr>
        <w:numPr>
          <w:ilvl w:val="12"/>
          <w:numId w:val="0"/>
        </w:numPr>
        <w:jc w:val="both"/>
      </w:pPr>
      <w:r w:rsidRPr="00C75702">
        <w:tab/>
        <w:t>Tallahassee, Florida  32399-0850</w:t>
      </w:r>
    </w:p>
    <w:p w14:paraId="41088A91" w14:textId="77777777" w:rsidR="00605275" w:rsidRPr="00C75702" w:rsidRDefault="00605275" w:rsidP="008E3A8E">
      <w:pPr>
        <w:numPr>
          <w:ilvl w:val="12"/>
          <w:numId w:val="0"/>
        </w:numPr>
        <w:jc w:val="both"/>
      </w:pPr>
    </w:p>
    <w:p w14:paraId="7FB8BB4F" w14:textId="77777777" w:rsidR="00605275" w:rsidRDefault="00605275" w:rsidP="008E3A8E">
      <w:pPr>
        <w:pStyle w:val="OrderBody"/>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 xml:space="preserve">staff in </w:t>
      </w:r>
      <w:r w:rsidRPr="007659C3">
        <w:lastRenderedPageBreak/>
        <w:t>Microsoft Word format and all schedules shall be provided in Microsoft Excel format with formulas intact and unlocked.</w:t>
      </w:r>
    </w:p>
    <w:p w14:paraId="6CF6AF59" w14:textId="77777777" w:rsidR="00605275" w:rsidRDefault="00605275" w:rsidP="00605275">
      <w:pPr>
        <w:pStyle w:val="OrderBody"/>
      </w:pPr>
    </w:p>
    <w:p w14:paraId="4EB1C7AB" w14:textId="25934F11" w:rsidR="00605275" w:rsidRDefault="00605275" w:rsidP="008E3A8E">
      <w:pPr>
        <w:numPr>
          <w:ilvl w:val="12"/>
          <w:numId w:val="0"/>
        </w:numPr>
        <w:jc w:val="both"/>
        <w:rPr>
          <w:b/>
        </w:rPr>
      </w:pPr>
      <w:r>
        <w:rPr>
          <w:b/>
        </w:rPr>
        <w:t>I</w:t>
      </w:r>
      <w:r w:rsidR="000F114A">
        <w:rPr>
          <w:b/>
        </w:rPr>
        <w:t>II</w:t>
      </w:r>
      <w:r>
        <w:rPr>
          <w:b/>
        </w:rPr>
        <w:t>.</w:t>
      </w:r>
      <w:r>
        <w:rPr>
          <w:b/>
        </w:rPr>
        <w:tab/>
      </w:r>
      <w:r>
        <w:rPr>
          <w:b/>
          <w:u w:val="single"/>
        </w:rPr>
        <w:t>Notice and Public Information</w:t>
      </w:r>
      <w:r>
        <w:rPr>
          <w:b/>
        </w:rPr>
        <w:t xml:space="preserve"> </w:t>
      </w:r>
    </w:p>
    <w:p w14:paraId="1545B8F9" w14:textId="77777777" w:rsidR="00605275" w:rsidRDefault="00605275" w:rsidP="008E3A8E">
      <w:pPr>
        <w:numPr>
          <w:ilvl w:val="12"/>
          <w:numId w:val="0"/>
        </w:numPr>
        <w:jc w:val="both"/>
      </w:pPr>
    </w:p>
    <w:p w14:paraId="2ED5F7BC" w14:textId="77777777" w:rsidR="00605275" w:rsidRDefault="00605275" w:rsidP="008E3A8E">
      <w:pPr>
        <w:numPr>
          <w:ilvl w:val="12"/>
          <w:numId w:val="0"/>
        </w:numPr>
        <w:jc w:val="both"/>
      </w:pPr>
      <w:r>
        <w:tab/>
        <w:t>The Utility shall comply with the requirements of Rule 25-22.0407, F.A.C.</w:t>
      </w:r>
    </w:p>
    <w:p w14:paraId="618DA184" w14:textId="77777777" w:rsidR="00605275" w:rsidRDefault="00605275" w:rsidP="008E3A8E">
      <w:pPr>
        <w:numPr>
          <w:ilvl w:val="12"/>
          <w:numId w:val="0"/>
        </w:numPr>
        <w:jc w:val="both"/>
      </w:pPr>
    </w:p>
    <w:p w14:paraId="117A23F7" w14:textId="77777777" w:rsidR="00605275" w:rsidRDefault="00605275" w:rsidP="008E3A8E">
      <w:pPr>
        <w:numPr>
          <w:ilvl w:val="12"/>
          <w:numId w:val="0"/>
        </w:numPr>
        <w:jc w:val="both"/>
      </w:pPr>
      <w:r>
        <w:tab/>
        <w:t>The notice required by Rule 25-22.0407,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w:t>
      </w:r>
      <w:r w:rsidR="008E5356">
        <w:t>s</w:t>
      </w:r>
      <w:r>
        <w:t xml:space="preserve"> assigned to this proceeding.</w:t>
      </w:r>
    </w:p>
    <w:p w14:paraId="15C27A7F" w14:textId="77777777" w:rsidR="00605275" w:rsidRDefault="00605275" w:rsidP="008E3A8E">
      <w:pPr>
        <w:numPr>
          <w:ilvl w:val="12"/>
          <w:numId w:val="0"/>
        </w:numPr>
        <w:jc w:val="both"/>
      </w:pPr>
    </w:p>
    <w:p w14:paraId="60E223B7" w14:textId="77777777" w:rsidR="00605275" w:rsidRDefault="00605275" w:rsidP="008E3A8E">
      <w:pPr>
        <w:pStyle w:val="OrderBody"/>
      </w:pPr>
      <w:r>
        <w:tab/>
        <w:t>In addition to the requirements of Rule 25-22.0407,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14:paraId="5E810B8E" w14:textId="77777777" w:rsidR="00605275" w:rsidRDefault="00605275" w:rsidP="008E3A8E">
      <w:pPr>
        <w:pStyle w:val="OrderBody"/>
      </w:pPr>
    </w:p>
    <w:p w14:paraId="17A52BE4" w14:textId="55431B4B" w:rsidR="00605275" w:rsidRDefault="000F114A" w:rsidP="008E3A8E">
      <w:pPr>
        <w:jc w:val="both"/>
        <w:rPr>
          <w:u w:val="single"/>
        </w:rPr>
      </w:pPr>
      <w:r>
        <w:rPr>
          <w:b/>
        </w:rPr>
        <w:t>I</w:t>
      </w:r>
      <w:r w:rsidR="00605275">
        <w:rPr>
          <w:b/>
        </w:rPr>
        <w:t>V.</w:t>
      </w:r>
      <w:r w:rsidR="00605275">
        <w:rPr>
          <w:b/>
        </w:rPr>
        <w:tab/>
      </w:r>
      <w:r w:rsidR="00605275">
        <w:rPr>
          <w:b/>
          <w:u w:val="single"/>
        </w:rPr>
        <w:t>Prefiled Testimony and Exhibits</w:t>
      </w:r>
    </w:p>
    <w:p w14:paraId="3691937C" w14:textId="77777777" w:rsidR="00605275" w:rsidRDefault="00605275" w:rsidP="008E3A8E">
      <w:pPr>
        <w:numPr>
          <w:ilvl w:val="12"/>
          <w:numId w:val="0"/>
        </w:numPr>
        <w:jc w:val="both"/>
      </w:pPr>
    </w:p>
    <w:p w14:paraId="09D3C4BB" w14:textId="5C0247B2" w:rsidR="00605275" w:rsidRDefault="00605275" w:rsidP="008E3A8E">
      <w:pPr>
        <w:numPr>
          <w:ilvl w:val="12"/>
          <w:numId w:val="0"/>
        </w:numPr>
        <w:jc w:val="both"/>
      </w:pPr>
      <w:r>
        <w:tab/>
      </w:r>
      <w:r w:rsidRPr="00C75702">
        <w:t xml:space="preserve">Each party shall file all testimony and exhibits that it intends to sponsor, pursuant to the schedule set forth in Section </w:t>
      </w:r>
      <w:r w:rsidR="00961A07">
        <w:t>I</w:t>
      </w:r>
      <w:r>
        <w:t>X</w:t>
      </w:r>
      <w:r w:rsidRPr="00C75702">
        <w:t xml:space="preserve"> 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14:paraId="1C2EF4C1" w14:textId="77777777" w:rsidR="00605275" w:rsidRDefault="00605275" w:rsidP="008E3A8E">
      <w:pPr>
        <w:numPr>
          <w:ilvl w:val="12"/>
          <w:numId w:val="0"/>
        </w:numPr>
        <w:jc w:val="both"/>
      </w:pPr>
    </w:p>
    <w:p w14:paraId="50705A24" w14:textId="77777777" w:rsidR="00605275" w:rsidRDefault="00605275" w:rsidP="008E3A8E">
      <w:pPr>
        <w:numPr>
          <w:ilvl w:val="12"/>
          <w:numId w:val="0"/>
        </w:numPr>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013F029B" w14:textId="77777777" w:rsidR="00605275" w:rsidRDefault="00605275" w:rsidP="008E3A8E">
      <w:pPr>
        <w:numPr>
          <w:ilvl w:val="12"/>
          <w:numId w:val="0"/>
        </w:numPr>
        <w:jc w:val="both"/>
      </w:pPr>
    </w:p>
    <w:p w14:paraId="69539A85" w14:textId="77777777" w:rsidR="00605275" w:rsidRDefault="00605275" w:rsidP="008E3A8E">
      <w:pPr>
        <w:numPr>
          <w:ilvl w:val="12"/>
          <w:numId w:val="0"/>
        </w:numPr>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475BD295" w14:textId="77777777" w:rsidR="008E3A8E" w:rsidRDefault="008E3A8E" w:rsidP="008E3A8E">
      <w:pPr>
        <w:numPr>
          <w:ilvl w:val="12"/>
          <w:numId w:val="0"/>
        </w:numPr>
        <w:jc w:val="both"/>
      </w:pPr>
    </w:p>
    <w:p w14:paraId="28AA8382" w14:textId="77777777" w:rsidR="008E3A8E" w:rsidRDefault="008E3A8E" w:rsidP="008E3A8E">
      <w:pPr>
        <w:numPr>
          <w:ilvl w:val="12"/>
          <w:numId w:val="0"/>
        </w:numPr>
        <w:jc w:val="both"/>
      </w:pPr>
      <w:r>
        <w:tab/>
        <w:t>Each exhibit sponsored by a witness in support of his or her prefiled testimony shall be:</w:t>
      </w:r>
    </w:p>
    <w:p w14:paraId="3083E2DA" w14:textId="77777777" w:rsidR="00605275" w:rsidRDefault="00605275" w:rsidP="008E3A8E">
      <w:pPr>
        <w:pStyle w:val="Level3"/>
        <w:ind w:left="0" w:firstLine="0"/>
        <w:jc w:val="both"/>
      </w:pPr>
    </w:p>
    <w:p w14:paraId="4EA289C1" w14:textId="77777777" w:rsidR="00605275" w:rsidRDefault="00605275" w:rsidP="008E3A8E">
      <w:pPr>
        <w:pStyle w:val="Level3"/>
        <w:widowControl/>
        <w:numPr>
          <w:ilvl w:val="0"/>
          <w:numId w:val="1"/>
        </w:numPr>
        <w:tabs>
          <w:tab w:val="clear" w:pos="1440"/>
        </w:tabs>
        <w:jc w:val="both"/>
        <w:outlineLvl w:val="9"/>
      </w:pPr>
      <w:r>
        <w:t>Attached to that witness’s testimony when filed;</w:t>
      </w:r>
    </w:p>
    <w:p w14:paraId="4C8B92AB" w14:textId="77777777" w:rsidR="00605275" w:rsidRPr="00C75702" w:rsidRDefault="00605275" w:rsidP="008E3A8E">
      <w:pPr>
        <w:pStyle w:val="Level3"/>
        <w:widowControl/>
        <w:numPr>
          <w:ilvl w:val="0"/>
          <w:numId w:val="1"/>
        </w:numPr>
        <w:tabs>
          <w:tab w:val="clear" w:pos="1440"/>
        </w:tabs>
        <w:jc w:val="both"/>
        <w:outlineLvl w:val="9"/>
      </w:pPr>
      <w:r w:rsidRPr="00C75702">
        <w:lastRenderedPageBreak/>
        <w:t>If filing paper copies, on three-holed paper, unbound, and without tabs;</w:t>
      </w:r>
    </w:p>
    <w:p w14:paraId="218696FE" w14:textId="77777777" w:rsidR="00605275" w:rsidRDefault="00605275" w:rsidP="008E3A8E">
      <w:pPr>
        <w:pStyle w:val="Level3"/>
        <w:widowControl/>
        <w:numPr>
          <w:ilvl w:val="0"/>
          <w:numId w:val="1"/>
        </w:numPr>
        <w:tabs>
          <w:tab w:val="clear" w:pos="1440"/>
        </w:tabs>
        <w:jc w:val="both"/>
        <w:outlineLvl w:val="9"/>
      </w:pPr>
      <w:r>
        <w:t>Sequentially numbered beginning with 1 (any exhibits attached to subsequently filed testimony of the same witness shall continue the sequential numbering system);</w:t>
      </w:r>
    </w:p>
    <w:p w14:paraId="435B6531" w14:textId="77777777" w:rsidR="00605275" w:rsidRDefault="00605275" w:rsidP="008E3A8E">
      <w:pPr>
        <w:pStyle w:val="Level3"/>
        <w:widowControl/>
        <w:numPr>
          <w:ilvl w:val="0"/>
          <w:numId w:val="1"/>
        </w:numPr>
        <w:tabs>
          <w:tab w:val="clear" w:pos="1440"/>
        </w:tabs>
        <w:jc w:val="both"/>
        <w:outlineLvl w:val="9"/>
      </w:pPr>
      <w:r>
        <w:t>Identified in the upper right-hand corner of each page by the docket number, a brief title, and the witness’s initials followed by the exhibit’s number; and</w:t>
      </w:r>
    </w:p>
    <w:p w14:paraId="2445D741" w14:textId="77777777" w:rsidR="00605275" w:rsidRDefault="00605275" w:rsidP="008E3A8E">
      <w:pPr>
        <w:pStyle w:val="Level3"/>
        <w:widowControl/>
        <w:numPr>
          <w:ilvl w:val="0"/>
          <w:numId w:val="1"/>
        </w:numPr>
        <w:tabs>
          <w:tab w:val="clear" w:pos="1440"/>
        </w:tabs>
        <w:jc w:val="both"/>
        <w:outlineLvl w:val="9"/>
      </w:pPr>
      <w:r>
        <w:t>Paginated by showing in the upper right-hand corner of each page the page number followed by the total number of pages in the exhibit.</w:t>
      </w:r>
    </w:p>
    <w:p w14:paraId="265F92E9" w14:textId="77777777" w:rsidR="008E3A8E" w:rsidRDefault="008E3A8E" w:rsidP="008E3A8E">
      <w:pPr>
        <w:pStyle w:val="Level3"/>
        <w:widowControl/>
        <w:ind w:left="0" w:firstLine="0"/>
        <w:jc w:val="both"/>
        <w:outlineLvl w:val="9"/>
      </w:pPr>
    </w:p>
    <w:p w14:paraId="3B93B442" w14:textId="77777777" w:rsidR="008E3A8E" w:rsidRDefault="008E3A8E" w:rsidP="008E3A8E">
      <w:pPr>
        <w:pStyle w:val="Level3"/>
        <w:widowControl/>
        <w:ind w:left="0" w:firstLine="0"/>
        <w:jc w:val="both"/>
        <w:outlineLvl w:val="9"/>
      </w:pPr>
      <w:r>
        <w:tab/>
        <w:t>An example of the information to appear in the upper right-hand corner of the exhibit is as follows:</w:t>
      </w:r>
    </w:p>
    <w:p w14:paraId="2C7729FC" w14:textId="77777777" w:rsidR="00605275" w:rsidRDefault="00605275" w:rsidP="008E3A8E">
      <w:pPr>
        <w:numPr>
          <w:ilvl w:val="12"/>
          <w:numId w:val="0"/>
        </w:numPr>
      </w:pPr>
    </w:p>
    <w:p w14:paraId="72927280" w14:textId="77777777" w:rsidR="00605275" w:rsidRDefault="00605275" w:rsidP="008E3A8E">
      <w:pPr>
        <w:numPr>
          <w:ilvl w:val="12"/>
          <w:numId w:val="0"/>
        </w:numPr>
      </w:pPr>
      <w:r>
        <w:tab/>
      </w:r>
      <w:r>
        <w:tab/>
        <w:t>Docket No. 20012345-EI</w:t>
      </w:r>
    </w:p>
    <w:p w14:paraId="773F7D0D" w14:textId="77777777" w:rsidR="00605275" w:rsidRDefault="00605275" w:rsidP="008E3A8E">
      <w:pPr>
        <w:numPr>
          <w:ilvl w:val="12"/>
          <w:numId w:val="0"/>
        </w:numPr>
      </w:pPr>
      <w:r>
        <w:tab/>
      </w:r>
      <w:r>
        <w:tab/>
        <w:t>Foreign Coal Shipments to Port of Tampa</w:t>
      </w:r>
    </w:p>
    <w:p w14:paraId="59AD52EF" w14:textId="77777777" w:rsidR="00605275" w:rsidRDefault="00605275" w:rsidP="008E3A8E">
      <w:pPr>
        <w:numPr>
          <w:ilvl w:val="12"/>
          <w:numId w:val="0"/>
        </w:numPr>
      </w:pPr>
      <w:r>
        <w:tab/>
      </w:r>
      <w:r>
        <w:tab/>
        <w:t>Exhibit BLW-1, Page 1 of 2</w:t>
      </w:r>
    </w:p>
    <w:p w14:paraId="6953745D" w14:textId="77777777" w:rsidR="00605275" w:rsidRDefault="00605275" w:rsidP="008E3A8E">
      <w:pPr>
        <w:numPr>
          <w:ilvl w:val="12"/>
          <w:numId w:val="0"/>
        </w:numPr>
      </w:pPr>
    </w:p>
    <w:p w14:paraId="41A3EFF2" w14:textId="77777777" w:rsidR="00605275" w:rsidRDefault="00605275" w:rsidP="008E3A8E">
      <w:pPr>
        <w:pStyle w:val="OrderBody"/>
      </w:pPr>
      <w:r>
        <w:tab/>
        <w:t>After an opportunity for opposing parties to object to introduction of the exhibits and to cross-examine the witness sponsoring them, exhibits may be offered into evidence at the hearing.</w:t>
      </w:r>
    </w:p>
    <w:p w14:paraId="493900CA" w14:textId="77777777" w:rsidR="00605275" w:rsidRDefault="00605275" w:rsidP="008E3A8E">
      <w:pPr>
        <w:pStyle w:val="OrderBody"/>
      </w:pPr>
    </w:p>
    <w:p w14:paraId="2AE0121C" w14:textId="53644C1F" w:rsidR="00605275" w:rsidRDefault="00605275" w:rsidP="008E3A8E">
      <w:pPr>
        <w:numPr>
          <w:ilvl w:val="12"/>
          <w:numId w:val="0"/>
        </w:numPr>
        <w:jc w:val="both"/>
      </w:pPr>
      <w:r>
        <w:rPr>
          <w:b/>
        </w:rPr>
        <w:t>V.</w:t>
      </w:r>
      <w:r>
        <w:rPr>
          <w:b/>
        </w:rPr>
        <w:tab/>
      </w:r>
      <w:r>
        <w:rPr>
          <w:b/>
          <w:u w:val="single"/>
        </w:rPr>
        <w:t>Discovery Procedures</w:t>
      </w:r>
    </w:p>
    <w:p w14:paraId="71239602" w14:textId="77777777" w:rsidR="00605275" w:rsidRDefault="00605275" w:rsidP="008E3A8E">
      <w:pPr>
        <w:numPr>
          <w:ilvl w:val="12"/>
          <w:numId w:val="0"/>
        </w:numPr>
        <w:jc w:val="both"/>
      </w:pPr>
    </w:p>
    <w:p w14:paraId="7D3EC2C2" w14:textId="77777777" w:rsidR="00605275" w:rsidRDefault="00605275" w:rsidP="008E3A8E">
      <w:pPr>
        <w:numPr>
          <w:ilvl w:val="12"/>
          <w:numId w:val="0"/>
        </w:numPr>
        <w:jc w:val="both"/>
      </w:pPr>
      <w:r>
        <w:tab/>
        <w:t>A.</w:t>
      </w:r>
      <w:r>
        <w:tab/>
      </w:r>
      <w:r>
        <w:rPr>
          <w:u w:val="single"/>
        </w:rPr>
        <w:t>General Requirements</w:t>
      </w:r>
    </w:p>
    <w:p w14:paraId="6BC28C60" w14:textId="77777777" w:rsidR="00605275" w:rsidRDefault="00605275" w:rsidP="008E3A8E">
      <w:pPr>
        <w:numPr>
          <w:ilvl w:val="12"/>
          <w:numId w:val="0"/>
        </w:numPr>
        <w:jc w:val="both"/>
      </w:pPr>
    </w:p>
    <w:p w14:paraId="2190417A" w14:textId="5F1717B7" w:rsidR="00605275" w:rsidRDefault="00605275" w:rsidP="008E3A8E">
      <w:pPr>
        <w:numPr>
          <w:ilvl w:val="12"/>
          <w:numId w:val="0"/>
        </w:numPr>
        <w:jc w:val="both"/>
      </w:pPr>
      <w:r>
        <w:tab/>
        <w:t xml:space="preserve">Discovery shall be conducted in accordance with the provisions of Chapter 120, F.S., and the relevant provisions of Chapter </w:t>
      </w:r>
      <w:r w:rsidRPr="00474A08">
        <w:t>367</w:t>
      </w:r>
      <w:r>
        <w:t xml:space="preserve">, F.S., </w:t>
      </w:r>
      <w:r w:rsidR="008E5356">
        <w:t>Chapters</w:t>
      </w:r>
      <w:r>
        <w:t xml:space="preserve"> 25-22, </w:t>
      </w:r>
      <w:r w:rsidR="008E5356">
        <w:t xml:space="preserve">25-30, </w:t>
      </w:r>
      <w:r>
        <w:t>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14:paraId="362CAFE0" w14:textId="77777777" w:rsidR="00605275" w:rsidRDefault="00605275" w:rsidP="008E3A8E">
      <w:pPr>
        <w:jc w:val="both"/>
        <w:rPr>
          <w:rFonts w:cs="Courier New"/>
        </w:rPr>
      </w:pPr>
    </w:p>
    <w:p w14:paraId="6B63F3F2" w14:textId="77777777" w:rsidR="00605275" w:rsidRDefault="00605275" w:rsidP="008E3A8E">
      <w:pPr>
        <w:numPr>
          <w:ilvl w:val="12"/>
          <w:numId w:val="0"/>
        </w:numPr>
        <w:jc w:val="both"/>
      </w:pPr>
      <w:r>
        <w:tab/>
        <w:t>Unless subsequently modified by the Prehearing Officer, the following shall apply:</w:t>
      </w:r>
    </w:p>
    <w:p w14:paraId="7492875E" w14:textId="77777777" w:rsidR="00605275" w:rsidRDefault="00605275" w:rsidP="008E3A8E">
      <w:pPr>
        <w:numPr>
          <w:ilvl w:val="12"/>
          <w:numId w:val="0"/>
        </w:numPr>
        <w:jc w:val="both"/>
      </w:pPr>
    </w:p>
    <w:p w14:paraId="3460161D" w14:textId="77777777" w:rsidR="00605275" w:rsidRDefault="00605275" w:rsidP="008E3A8E">
      <w:pPr>
        <w:spacing w:line="2" w:lineRule="exact"/>
        <w:jc w:val="both"/>
      </w:pPr>
    </w:p>
    <w:p w14:paraId="653D1ED7" w14:textId="79548A87" w:rsidR="00605275" w:rsidRDefault="00605275" w:rsidP="008E3A8E">
      <w:pPr>
        <w:pStyle w:val="Level1"/>
        <w:numPr>
          <w:ilvl w:val="0"/>
          <w:numId w:val="2"/>
        </w:numPr>
        <w:tabs>
          <w:tab w:val="clear" w:pos="0"/>
        </w:tabs>
        <w:jc w:val="both"/>
      </w:pPr>
      <w:r>
        <w:t xml:space="preserve">Discovery shall be completed by </w:t>
      </w:r>
      <w:r w:rsidR="00995294">
        <w:t>May 13</w:t>
      </w:r>
      <w:r w:rsidR="00474A08" w:rsidRPr="007E6F24">
        <w:t>, 2026.</w:t>
      </w:r>
    </w:p>
    <w:p w14:paraId="74D502CE" w14:textId="77777777" w:rsidR="00605275" w:rsidRPr="007659C3" w:rsidRDefault="00605275" w:rsidP="008E3A8E">
      <w:pPr>
        <w:pStyle w:val="Level1"/>
        <w:numPr>
          <w:ilvl w:val="0"/>
          <w:numId w:val="2"/>
        </w:numPr>
        <w:tabs>
          <w:tab w:val="clear" w:pos="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2AD99DD6" w14:textId="77777777" w:rsidR="00605275" w:rsidRDefault="00605275" w:rsidP="008E3A8E">
      <w:pPr>
        <w:pStyle w:val="Level1"/>
        <w:numPr>
          <w:ilvl w:val="0"/>
          <w:numId w:val="2"/>
        </w:numPr>
        <w:tabs>
          <w:tab w:val="clear" w:pos="0"/>
        </w:tabs>
        <w:jc w:val="both"/>
      </w:pPr>
      <w:r>
        <w:t>Each electronic discovery response shall be given a separate electronic file name that is no longer than 60 characters.</w:t>
      </w:r>
    </w:p>
    <w:p w14:paraId="7988DE19" w14:textId="77777777" w:rsidR="00605275" w:rsidRDefault="00605275" w:rsidP="008E3A8E">
      <w:pPr>
        <w:pStyle w:val="Level1"/>
        <w:numPr>
          <w:ilvl w:val="0"/>
          <w:numId w:val="2"/>
        </w:numPr>
        <w:tabs>
          <w:tab w:val="clear" w:pos="0"/>
        </w:tabs>
        <w:jc w:val="both"/>
      </w:pPr>
      <w:r>
        <w:t>Sets of interrogatories, requests for admissions, requests for production of documents, or other forms of discovery shall be numbered sequentially in order to facilitate identification.</w:t>
      </w:r>
    </w:p>
    <w:p w14:paraId="12BD709A" w14:textId="77777777" w:rsidR="00605275" w:rsidRDefault="00605275" w:rsidP="008E3A8E">
      <w:pPr>
        <w:pStyle w:val="Level1"/>
        <w:numPr>
          <w:ilvl w:val="0"/>
          <w:numId w:val="2"/>
        </w:numPr>
        <w:tabs>
          <w:tab w:val="clear" w:pos="0"/>
        </w:tabs>
        <w:jc w:val="both"/>
      </w:pPr>
      <w:r>
        <w:lastRenderedPageBreak/>
        <w:t>Within each set, discovery requests shall be numbered sequentially, and any discovery requests in subsequent sets shall continue the sequential numbering system.</w:t>
      </w:r>
    </w:p>
    <w:p w14:paraId="08957FD1" w14:textId="77777777" w:rsidR="00605275" w:rsidRPr="007659C3" w:rsidRDefault="00605275" w:rsidP="008E3A8E">
      <w:pPr>
        <w:pStyle w:val="Level1"/>
        <w:numPr>
          <w:ilvl w:val="0"/>
          <w:numId w:val="2"/>
        </w:numPr>
        <w:tabs>
          <w:tab w:val="clear" w:pos="0"/>
        </w:tabs>
        <w:jc w:val="both"/>
      </w:pPr>
      <w:r w:rsidRPr="007659C3">
        <w:t xml:space="preserve">Discovery responses shall be served within </w:t>
      </w:r>
      <w:r>
        <w:t>20</w:t>
      </w:r>
      <w:r w:rsidRPr="007659C3">
        <w:t xml:space="preserve"> 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14:paraId="6A552D6B" w14:textId="77777777" w:rsidR="00605275" w:rsidRDefault="00605275" w:rsidP="008E3A8E">
      <w:pPr>
        <w:pStyle w:val="Level1"/>
        <w:numPr>
          <w:ilvl w:val="0"/>
          <w:numId w:val="2"/>
        </w:numPr>
        <w:tabs>
          <w:tab w:val="clear" w:pos="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60BC606C" w14:textId="77777777" w:rsidR="00605275" w:rsidRDefault="00605275" w:rsidP="008E3A8E">
      <w:pPr>
        <w:pStyle w:val="Level1"/>
        <w:numPr>
          <w:ilvl w:val="0"/>
          <w:numId w:val="2"/>
        </w:numPr>
        <w:tabs>
          <w:tab w:val="clear" w:pos="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A001B6">
          <w:rPr>
            <w:rStyle w:val="Hyperlink"/>
          </w:rPr>
          <w:t>discovery-gcl@psc.state.fl.us</w:t>
        </w:r>
      </w:hyperlink>
      <w:r>
        <w:t xml:space="preserve"> in addition to the email address for staff counsel.</w:t>
      </w:r>
    </w:p>
    <w:p w14:paraId="35CC076C" w14:textId="77777777" w:rsidR="00605275" w:rsidRPr="00972F91" w:rsidRDefault="00605275" w:rsidP="008E3A8E">
      <w:pPr>
        <w:pStyle w:val="Level1"/>
        <w:numPr>
          <w:ilvl w:val="0"/>
          <w:numId w:val="2"/>
        </w:numPr>
        <w:tabs>
          <w:tab w:val="clear" w:pos="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6F457B32" w14:textId="77777777" w:rsidR="00605275" w:rsidRDefault="00605275" w:rsidP="008E3A8E">
      <w:pPr>
        <w:numPr>
          <w:ilvl w:val="12"/>
          <w:numId w:val="0"/>
        </w:numPr>
        <w:jc w:val="both"/>
      </w:pPr>
    </w:p>
    <w:p w14:paraId="57941982" w14:textId="77777777" w:rsidR="00605275" w:rsidRDefault="00605275" w:rsidP="008E3A8E">
      <w:pPr>
        <w:numPr>
          <w:ilvl w:val="12"/>
          <w:numId w:val="0"/>
        </w:numPr>
        <w:jc w:val="both"/>
      </w:pPr>
      <w:r>
        <w:tab/>
        <w:t>Unless subsequently modified by the Prehearing Officer, the following shall apply:</w:t>
      </w:r>
    </w:p>
    <w:p w14:paraId="67A3833D" w14:textId="77777777" w:rsidR="00605275" w:rsidRDefault="00605275" w:rsidP="008E3A8E">
      <w:pPr>
        <w:numPr>
          <w:ilvl w:val="12"/>
          <w:numId w:val="0"/>
        </w:numPr>
        <w:jc w:val="both"/>
      </w:pPr>
    </w:p>
    <w:p w14:paraId="06EEB466" w14:textId="77777777" w:rsidR="00605275" w:rsidRDefault="00605275" w:rsidP="008E3A8E">
      <w:pPr>
        <w:spacing w:line="2" w:lineRule="exact"/>
        <w:jc w:val="both"/>
      </w:pPr>
    </w:p>
    <w:p w14:paraId="0E8B5C7D" w14:textId="0540E439" w:rsidR="00605275" w:rsidRDefault="00605275" w:rsidP="008E3A8E">
      <w:pPr>
        <w:pStyle w:val="Level1"/>
        <w:numPr>
          <w:ilvl w:val="0"/>
          <w:numId w:val="3"/>
        </w:numPr>
        <w:tabs>
          <w:tab w:val="clear" w:pos="0"/>
        </w:tabs>
        <w:jc w:val="both"/>
      </w:pPr>
      <w:r>
        <w:t xml:space="preserve">Interrogatories, including all subparts, shall be limited to </w:t>
      </w:r>
      <w:r w:rsidR="00B969F9">
        <w:t>500</w:t>
      </w:r>
      <w:r w:rsidRPr="007E6F24">
        <w:t>.</w:t>
      </w:r>
    </w:p>
    <w:p w14:paraId="1367DA11" w14:textId="15578122" w:rsidR="00605275" w:rsidRDefault="00605275" w:rsidP="008E3A8E">
      <w:pPr>
        <w:pStyle w:val="Level1"/>
        <w:numPr>
          <w:ilvl w:val="0"/>
          <w:numId w:val="3"/>
        </w:numPr>
        <w:tabs>
          <w:tab w:val="clear" w:pos="0"/>
        </w:tabs>
        <w:jc w:val="both"/>
      </w:pPr>
      <w:r>
        <w:t xml:space="preserve">Requests for production of documents, including all subparts, shall be limited to  </w:t>
      </w:r>
      <w:r w:rsidR="00B969F9">
        <w:t>500</w:t>
      </w:r>
      <w:r>
        <w:t>.</w:t>
      </w:r>
    </w:p>
    <w:p w14:paraId="12256990" w14:textId="312139B5" w:rsidR="00605275" w:rsidRDefault="00605275" w:rsidP="008E3A8E">
      <w:pPr>
        <w:pStyle w:val="Level1"/>
        <w:numPr>
          <w:ilvl w:val="0"/>
          <w:numId w:val="3"/>
        </w:numPr>
        <w:tabs>
          <w:tab w:val="clear" w:pos="0"/>
        </w:tabs>
        <w:jc w:val="both"/>
      </w:pPr>
      <w:r>
        <w:t xml:space="preserve">Requests for admissions, including all subparts, shall be limited to </w:t>
      </w:r>
      <w:r w:rsidR="00B969F9">
        <w:t>500</w:t>
      </w:r>
      <w:r>
        <w:t>.</w:t>
      </w:r>
    </w:p>
    <w:p w14:paraId="404F734F" w14:textId="77777777" w:rsidR="00605275" w:rsidRDefault="00605275" w:rsidP="008E3A8E">
      <w:pPr>
        <w:pStyle w:val="Level1"/>
        <w:ind w:left="0"/>
        <w:jc w:val="both"/>
      </w:pPr>
    </w:p>
    <w:p w14:paraId="430767CE" w14:textId="77777777" w:rsidR="00605275" w:rsidRDefault="00605275" w:rsidP="008E3A8E">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5 days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cation must be requested within 2 days.  This procedure is intended to reduce delay in resolving discovery disputes.</w:t>
      </w:r>
    </w:p>
    <w:p w14:paraId="0E2615F7" w14:textId="77777777" w:rsidR="00605275" w:rsidRDefault="00605275" w:rsidP="008E3A8E">
      <w:pPr>
        <w:pStyle w:val="Level1"/>
        <w:ind w:left="0"/>
        <w:jc w:val="both"/>
      </w:pPr>
    </w:p>
    <w:p w14:paraId="66256D2F" w14:textId="77777777" w:rsidR="00605275" w:rsidRDefault="00605275" w:rsidP="008E3A8E">
      <w:pPr>
        <w:pStyle w:val="Level1"/>
        <w:ind w:left="0"/>
        <w:jc w:val="both"/>
      </w:pPr>
      <w:r>
        <w:tab/>
        <w:t>B.</w:t>
      </w:r>
      <w:r>
        <w:tab/>
      </w:r>
      <w:r>
        <w:rPr>
          <w:u w:val="single"/>
        </w:rPr>
        <w:t>Confidential Information Provided Pursuant to Discovery</w:t>
      </w:r>
    </w:p>
    <w:p w14:paraId="44DA96B7" w14:textId="77777777" w:rsidR="00605275" w:rsidRDefault="00605275" w:rsidP="008E3A8E">
      <w:pPr>
        <w:pStyle w:val="Level1"/>
        <w:ind w:left="0"/>
        <w:jc w:val="both"/>
      </w:pPr>
    </w:p>
    <w:p w14:paraId="10D4C0E0" w14:textId="77777777" w:rsidR="00605275" w:rsidRDefault="00605275" w:rsidP="008E3A8E">
      <w:pPr>
        <w:numPr>
          <w:ilvl w:val="12"/>
          <w:numId w:val="0"/>
        </w:numPr>
        <w:jc w:val="both"/>
      </w:pPr>
      <w:r>
        <w:tab/>
        <w:t xml:space="preserve">Any information provided to the Commission staff pursuant to a discovery request by the staff or any other person and for which proprietary confidential business information status is requested pursuant to Section 367.156,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w:t>
      </w:r>
      <w:r>
        <w:lastRenderedPageBreak/>
        <w:t>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367.156(4), F.S.  The Commission may determine that continued possession of the information is necessary for the Commission to conduct its business.</w:t>
      </w:r>
    </w:p>
    <w:p w14:paraId="4CF81569" w14:textId="77777777" w:rsidR="00605275" w:rsidRDefault="00605275" w:rsidP="008E3A8E">
      <w:pPr>
        <w:numPr>
          <w:ilvl w:val="12"/>
          <w:numId w:val="0"/>
        </w:numPr>
        <w:jc w:val="both"/>
      </w:pPr>
    </w:p>
    <w:p w14:paraId="645A3449" w14:textId="77777777" w:rsidR="00605275" w:rsidRPr="00AD5F83" w:rsidRDefault="00605275" w:rsidP="008E3A8E">
      <w:pPr>
        <w:numPr>
          <w:ilvl w:val="12"/>
          <w:numId w:val="0"/>
        </w:numPr>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7394B7DF" w14:textId="77777777" w:rsidR="00605275" w:rsidRDefault="00605275" w:rsidP="008E3A8E">
      <w:pPr>
        <w:numPr>
          <w:ilvl w:val="12"/>
          <w:numId w:val="0"/>
        </w:numPr>
        <w:jc w:val="both"/>
      </w:pPr>
    </w:p>
    <w:p w14:paraId="2B5EE0AC" w14:textId="77777777" w:rsidR="00605275" w:rsidRDefault="00605275" w:rsidP="008E3A8E">
      <w:pPr>
        <w:numPr>
          <w:ilvl w:val="12"/>
          <w:numId w:val="0"/>
        </w:numPr>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71DDE74B" w14:textId="77777777" w:rsidR="00605275" w:rsidRDefault="00605275" w:rsidP="008E3A8E">
      <w:pPr>
        <w:numPr>
          <w:ilvl w:val="12"/>
          <w:numId w:val="0"/>
        </w:numPr>
        <w:jc w:val="both"/>
      </w:pPr>
    </w:p>
    <w:p w14:paraId="68FF2D04" w14:textId="77777777" w:rsidR="00605275" w:rsidRDefault="00605275" w:rsidP="008E3A8E">
      <w:pPr>
        <w:pStyle w:val="OrderBody"/>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206EED90" w14:textId="77777777" w:rsidR="00605275" w:rsidRDefault="00605275" w:rsidP="008E3A8E">
      <w:pPr>
        <w:pStyle w:val="OrderBody"/>
      </w:pPr>
    </w:p>
    <w:p w14:paraId="5A9C717F" w14:textId="2E5E95E1" w:rsidR="00605275" w:rsidRDefault="00605275" w:rsidP="008E3A8E">
      <w:pPr>
        <w:numPr>
          <w:ilvl w:val="12"/>
          <w:numId w:val="0"/>
        </w:numPr>
      </w:pPr>
      <w:r>
        <w:rPr>
          <w:b/>
          <w:bCs/>
        </w:rPr>
        <w:t>VI.</w:t>
      </w:r>
      <w:r>
        <w:tab/>
      </w:r>
      <w:r>
        <w:rPr>
          <w:b/>
          <w:bCs/>
          <w:u w:val="single"/>
        </w:rPr>
        <w:t>Prehearing Procedures</w:t>
      </w:r>
    </w:p>
    <w:p w14:paraId="3EBAFA37" w14:textId="77777777" w:rsidR="00605275" w:rsidRDefault="00605275" w:rsidP="008E3A8E">
      <w:pPr>
        <w:numPr>
          <w:ilvl w:val="12"/>
          <w:numId w:val="0"/>
        </w:numPr>
      </w:pPr>
    </w:p>
    <w:p w14:paraId="261DEB18" w14:textId="77777777" w:rsidR="00605275" w:rsidRPr="00EC5600" w:rsidRDefault="00605275" w:rsidP="008E3A8E">
      <w:pPr>
        <w:numPr>
          <w:ilvl w:val="12"/>
          <w:numId w:val="0"/>
        </w:numPr>
      </w:pPr>
      <w:r>
        <w:tab/>
      </w:r>
      <w:r w:rsidRPr="00EC5600">
        <w:t>A.</w:t>
      </w:r>
      <w:r w:rsidRPr="00EC5600">
        <w:tab/>
      </w:r>
      <w:r w:rsidRPr="00EC5600">
        <w:rPr>
          <w:u w:val="single"/>
        </w:rPr>
        <w:t>Settlements</w:t>
      </w:r>
    </w:p>
    <w:p w14:paraId="64D0CCC3" w14:textId="77777777" w:rsidR="00605275" w:rsidRPr="00EC5600" w:rsidRDefault="00605275" w:rsidP="008E3A8E">
      <w:pPr>
        <w:numPr>
          <w:ilvl w:val="12"/>
          <w:numId w:val="0"/>
        </w:numPr>
      </w:pPr>
    </w:p>
    <w:p w14:paraId="394C34E6" w14:textId="77777777" w:rsidR="00605275" w:rsidRDefault="00605275" w:rsidP="008E3A8E">
      <w:pPr>
        <w:numPr>
          <w:ilvl w:val="12"/>
          <w:numId w:val="0"/>
        </w:numPr>
        <w:jc w:val="both"/>
        <w:rPr>
          <w:i/>
        </w:rPr>
      </w:pPr>
      <w:r w:rsidRPr="00EC5600">
        <w:tab/>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Because this rate case proceeding is subject to statutory deadlines, the parties should file any executed settlement agreement as soon as practicable.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Pr>
          <w:i/>
        </w:rPr>
        <w:t xml:space="preserve">Floridians Against Increased Rates, Inc. v. Clark, </w:t>
      </w:r>
      <w:r w:rsidRPr="00EC5600">
        <w:t>371 So. 3d 905, 912 (Fla. 2023)</w:t>
      </w:r>
      <w:r>
        <w:rPr>
          <w:i/>
        </w:rPr>
        <w:t>.</w:t>
      </w:r>
    </w:p>
    <w:p w14:paraId="3B963026" w14:textId="77777777" w:rsidR="00605275" w:rsidRDefault="00605275" w:rsidP="008E3A8E">
      <w:pPr>
        <w:numPr>
          <w:ilvl w:val="12"/>
          <w:numId w:val="0"/>
        </w:numPr>
        <w:jc w:val="both"/>
        <w:rPr>
          <w:i/>
        </w:rPr>
      </w:pPr>
    </w:p>
    <w:p w14:paraId="0BC1FE6B" w14:textId="3891FACD" w:rsidR="00605275" w:rsidRDefault="00605275" w:rsidP="008E3A8E">
      <w:pPr>
        <w:numPr>
          <w:ilvl w:val="12"/>
          <w:numId w:val="0"/>
        </w:numPr>
        <w:jc w:val="both"/>
      </w:pPr>
      <w:r>
        <w:rPr>
          <w:i/>
        </w:rPr>
        <w:tab/>
      </w:r>
      <w:r>
        <w:t xml:space="preserve">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w:t>
      </w:r>
      <w:r>
        <w:lastRenderedPageBreak/>
        <w:t>and exhibits.  In addition, the Prehearing Officer may schedule a prehearing conference or meeting of the parties, as necessary.</w:t>
      </w:r>
    </w:p>
    <w:p w14:paraId="534F662F" w14:textId="77777777" w:rsidR="00471383" w:rsidRPr="00EC5600" w:rsidRDefault="00471383" w:rsidP="008E3A8E">
      <w:pPr>
        <w:numPr>
          <w:ilvl w:val="12"/>
          <w:numId w:val="0"/>
        </w:numPr>
        <w:jc w:val="both"/>
      </w:pPr>
    </w:p>
    <w:p w14:paraId="31344061" w14:textId="77777777" w:rsidR="00605275" w:rsidRDefault="00605275" w:rsidP="008E3A8E">
      <w:pPr>
        <w:numPr>
          <w:ilvl w:val="12"/>
          <w:numId w:val="0"/>
        </w:numPr>
      </w:pPr>
      <w:r>
        <w:tab/>
        <w:t>B.</w:t>
      </w:r>
      <w:r>
        <w:tab/>
      </w:r>
      <w:r>
        <w:rPr>
          <w:u w:val="single"/>
        </w:rPr>
        <w:t>Prehearing Statements</w:t>
      </w:r>
    </w:p>
    <w:p w14:paraId="3C96A553" w14:textId="77777777" w:rsidR="00605275" w:rsidRDefault="00605275" w:rsidP="008E3A8E">
      <w:pPr>
        <w:numPr>
          <w:ilvl w:val="12"/>
          <w:numId w:val="0"/>
        </w:numPr>
      </w:pPr>
    </w:p>
    <w:p w14:paraId="7A51440E" w14:textId="7CB8B512" w:rsidR="00605275" w:rsidRDefault="00605275" w:rsidP="008E3A8E">
      <w:pPr>
        <w:numPr>
          <w:ilvl w:val="12"/>
          <w:numId w:val="0"/>
        </w:numPr>
        <w:jc w:val="both"/>
        <w:rPr>
          <w:u w:val="single"/>
        </w:rPr>
      </w:pPr>
      <w:r>
        <w:tab/>
        <w:t xml:space="preserve">Every party in this docket and the Commission staff shall file a Prehearing Statement pursuant to the schedule set forth in Section </w:t>
      </w:r>
      <w:r w:rsidR="00961A07">
        <w:t>I</w:t>
      </w:r>
      <w:r>
        <w:t xml:space="preserve">X 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14:paraId="1AACC44D" w14:textId="77777777" w:rsidR="00605275" w:rsidRDefault="00605275" w:rsidP="008E3A8E">
      <w:pPr>
        <w:numPr>
          <w:ilvl w:val="12"/>
          <w:numId w:val="0"/>
        </w:numPr>
        <w:jc w:val="both"/>
      </w:pPr>
    </w:p>
    <w:p w14:paraId="70F37125" w14:textId="77777777" w:rsidR="00605275" w:rsidRDefault="00605275" w:rsidP="008E3A8E">
      <w:pPr>
        <w:numPr>
          <w:ilvl w:val="12"/>
          <w:numId w:val="0"/>
        </w:numPr>
        <w:jc w:val="both"/>
      </w:pPr>
      <w:r>
        <w:tab/>
        <w:t>Each party’s Prehearing Statement shall set forth the following information in the sequence listed below:</w:t>
      </w:r>
    </w:p>
    <w:p w14:paraId="46489AF7" w14:textId="77777777" w:rsidR="00605275" w:rsidRDefault="00605275" w:rsidP="008E3A8E">
      <w:pPr>
        <w:numPr>
          <w:ilvl w:val="12"/>
          <w:numId w:val="0"/>
        </w:numPr>
        <w:jc w:val="both"/>
      </w:pPr>
    </w:p>
    <w:p w14:paraId="6A6DDFC0" w14:textId="77777777" w:rsidR="00605275" w:rsidRDefault="00605275" w:rsidP="008E3A8E">
      <w:pPr>
        <w:numPr>
          <w:ilvl w:val="12"/>
          <w:numId w:val="0"/>
        </w:numPr>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14:paraId="142DC9C8" w14:textId="77777777" w:rsidR="00605275" w:rsidRDefault="00605275" w:rsidP="008E3A8E">
      <w:pPr>
        <w:numPr>
          <w:ilvl w:val="12"/>
          <w:numId w:val="0"/>
        </w:numPr>
        <w:ind w:left="1440" w:right="720" w:hanging="720"/>
        <w:jc w:val="both"/>
      </w:pPr>
    </w:p>
    <w:p w14:paraId="3BA2A8E4" w14:textId="77777777" w:rsidR="00605275" w:rsidRDefault="00605275" w:rsidP="008E3A8E">
      <w:pPr>
        <w:numPr>
          <w:ilvl w:val="12"/>
          <w:numId w:val="0"/>
        </w:numPr>
        <w:ind w:left="1440" w:right="720" w:hanging="720"/>
        <w:jc w:val="both"/>
      </w:pPr>
      <w:r>
        <w:t>All Known Witnesses:</w:t>
      </w:r>
    </w:p>
    <w:p w14:paraId="6A36053F" w14:textId="77777777" w:rsidR="00605275" w:rsidRDefault="00605275" w:rsidP="008E3A8E">
      <w:pPr>
        <w:numPr>
          <w:ilvl w:val="12"/>
          <w:numId w:val="0"/>
        </w:numPr>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605275" w14:paraId="783A29C5" w14:textId="77777777" w:rsidTr="00E7039C">
        <w:tc>
          <w:tcPr>
            <w:tcW w:w="3060" w:type="dxa"/>
            <w:shd w:val="clear" w:color="auto" w:fill="auto"/>
          </w:tcPr>
          <w:p w14:paraId="35743A99" w14:textId="77777777" w:rsidR="00605275" w:rsidRPr="004306A8" w:rsidRDefault="00605275" w:rsidP="008E3A8E">
            <w:pPr>
              <w:numPr>
                <w:ilvl w:val="12"/>
                <w:numId w:val="0"/>
              </w:numPr>
              <w:ind w:right="720"/>
              <w:jc w:val="both"/>
              <w:rPr>
                <w:b/>
              </w:rPr>
            </w:pPr>
            <w:r w:rsidRPr="004306A8">
              <w:rPr>
                <w:b/>
              </w:rPr>
              <w:t>Witness</w:t>
            </w:r>
          </w:p>
        </w:tc>
        <w:tc>
          <w:tcPr>
            <w:tcW w:w="2919" w:type="dxa"/>
            <w:shd w:val="clear" w:color="auto" w:fill="auto"/>
          </w:tcPr>
          <w:p w14:paraId="46F8CAF6" w14:textId="77777777" w:rsidR="00605275" w:rsidRPr="004306A8" w:rsidRDefault="00605275" w:rsidP="008E3A8E">
            <w:pPr>
              <w:numPr>
                <w:ilvl w:val="12"/>
                <w:numId w:val="0"/>
              </w:numPr>
              <w:ind w:right="720"/>
              <w:jc w:val="both"/>
              <w:rPr>
                <w:b/>
              </w:rPr>
            </w:pPr>
            <w:r w:rsidRPr="004306A8">
              <w:rPr>
                <w:b/>
              </w:rPr>
              <w:t>Subject Matter</w:t>
            </w:r>
          </w:p>
        </w:tc>
        <w:tc>
          <w:tcPr>
            <w:tcW w:w="2571" w:type="dxa"/>
            <w:shd w:val="clear" w:color="auto" w:fill="auto"/>
          </w:tcPr>
          <w:p w14:paraId="518F0EDE" w14:textId="77777777" w:rsidR="00605275" w:rsidRPr="004306A8" w:rsidRDefault="00605275" w:rsidP="008E3A8E">
            <w:pPr>
              <w:numPr>
                <w:ilvl w:val="12"/>
                <w:numId w:val="0"/>
              </w:numPr>
              <w:ind w:right="720"/>
              <w:jc w:val="both"/>
              <w:rPr>
                <w:b/>
              </w:rPr>
            </w:pPr>
            <w:r>
              <w:rPr>
                <w:b/>
              </w:rPr>
              <w:t>Issue</w:t>
            </w:r>
            <w:r w:rsidRPr="004306A8">
              <w:rPr>
                <w:b/>
              </w:rPr>
              <w:t xml:space="preserve"> #</w:t>
            </w:r>
          </w:p>
        </w:tc>
      </w:tr>
      <w:tr w:rsidR="00605275" w14:paraId="73858FDF" w14:textId="77777777" w:rsidTr="00E7039C">
        <w:tc>
          <w:tcPr>
            <w:tcW w:w="3060" w:type="dxa"/>
            <w:shd w:val="clear" w:color="auto" w:fill="auto"/>
          </w:tcPr>
          <w:p w14:paraId="6A616393" w14:textId="77777777" w:rsidR="00605275" w:rsidRPr="004306A8" w:rsidRDefault="00605275" w:rsidP="008E3A8E">
            <w:pPr>
              <w:numPr>
                <w:ilvl w:val="12"/>
                <w:numId w:val="0"/>
              </w:numPr>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3535E5BB" w14:textId="77777777" w:rsidR="00605275" w:rsidRPr="00A2428E" w:rsidRDefault="00605275" w:rsidP="008E3A8E">
            <w:pPr>
              <w:numPr>
                <w:ilvl w:val="12"/>
                <w:numId w:val="0"/>
              </w:numPr>
              <w:ind w:right="720"/>
              <w:jc w:val="both"/>
            </w:pPr>
          </w:p>
        </w:tc>
        <w:tc>
          <w:tcPr>
            <w:tcW w:w="2571" w:type="dxa"/>
            <w:shd w:val="clear" w:color="auto" w:fill="auto"/>
          </w:tcPr>
          <w:p w14:paraId="6FBAFCEA" w14:textId="77777777" w:rsidR="00605275" w:rsidRPr="00A2428E" w:rsidRDefault="00605275" w:rsidP="008E3A8E">
            <w:pPr>
              <w:numPr>
                <w:ilvl w:val="12"/>
                <w:numId w:val="0"/>
              </w:numPr>
              <w:ind w:right="720"/>
              <w:jc w:val="both"/>
            </w:pPr>
          </w:p>
        </w:tc>
      </w:tr>
      <w:tr w:rsidR="00605275" w14:paraId="5A275C32" w14:textId="77777777" w:rsidTr="00E7039C">
        <w:tc>
          <w:tcPr>
            <w:tcW w:w="3060" w:type="dxa"/>
            <w:shd w:val="clear" w:color="auto" w:fill="auto"/>
          </w:tcPr>
          <w:p w14:paraId="65ED4962" w14:textId="77777777" w:rsidR="00605275" w:rsidRPr="00A2428E" w:rsidRDefault="00605275" w:rsidP="008E3A8E">
            <w:pPr>
              <w:numPr>
                <w:ilvl w:val="12"/>
                <w:numId w:val="0"/>
              </w:numPr>
              <w:ind w:right="720"/>
              <w:jc w:val="both"/>
            </w:pPr>
            <w:r w:rsidRPr="00A2428E">
              <w:t>John Smith</w:t>
            </w:r>
          </w:p>
        </w:tc>
        <w:tc>
          <w:tcPr>
            <w:tcW w:w="2919" w:type="dxa"/>
            <w:shd w:val="clear" w:color="auto" w:fill="auto"/>
          </w:tcPr>
          <w:p w14:paraId="5B2519AE" w14:textId="77777777" w:rsidR="00605275" w:rsidRPr="00A2428E" w:rsidRDefault="00605275" w:rsidP="008E3A8E">
            <w:pPr>
              <w:numPr>
                <w:ilvl w:val="12"/>
                <w:numId w:val="0"/>
              </w:numPr>
              <w:ind w:right="720"/>
              <w:jc w:val="both"/>
            </w:pPr>
            <w:r w:rsidRPr="00A2428E">
              <w:t xml:space="preserve">Subject </w:t>
            </w:r>
            <w:r>
              <w:t xml:space="preserve">. . . </w:t>
            </w:r>
          </w:p>
        </w:tc>
        <w:tc>
          <w:tcPr>
            <w:tcW w:w="2571" w:type="dxa"/>
            <w:shd w:val="clear" w:color="auto" w:fill="auto"/>
          </w:tcPr>
          <w:p w14:paraId="39570353" w14:textId="77777777" w:rsidR="00605275" w:rsidRPr="00A2428E" w:rsidRDefault="00605275" w:rsidP="008E3A8E">
            <w:pPr>
              <w:numPr>
                <w:ilvl w:val="12"/>
                <w:numId w:val="0"/>
              </w:numPr>
              <w:ind w:right="720"/>
              <w:jc w:val="both"/>
            </w:pPr>
            <w:r w:rsidRPr="00A2428E">
              <w:t>1, 3-5</w:t>
            </w:r>
          </w:p>
        </w:tc>
      </w:tr>
    </w:tbl>
    <w:p w14:paraId="3308CA39" w14:textId="77777777" w:rsidR="00605275" w:rsidRDefault="00605275" w:rsidP="008E3A8E">
      <w:pPr>
        <w:numPr>
          <w:ilvl w:val="12"/>
          <w:numId w:val="0"/>
        </w:numPr>
        <w:ind w:left="1440" w:right="720" w:hanging="720"/>
        <w:jc w:val="both"/>
      </w:pPr>
    </w:p>
    <w:p w14:paraId="7342C14C" w14:textId="77777777" w:rsidR="00605275" w:rsidRDefault="00605275" w:rsidP="008E3A8E">
      <w:pPr>
        <w:numPr>
          <w:ilvl w:val="12"/>
          <w:numId w:val="0"/>
        </w:numPr>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62FE8395" w14:textId="77777777" w:rsidR="00605275" w:rsidRDefault="00605275" w:rsidP="008E3A8E">
      <w:pPr>
        <w:numPr>
          <w:ilvl w:val="12"/>
          <w:numId w:val="0"/>
        </w:numPr>
        <w:ind w:left="1440" w:right="720" w:hanging="720"/>
        <w:jc w:val="both"/>
      </w:pPr>
    </w:p>
    <w:p w14:paraId="590AD873" w14:textId="77777777" w:rsidR="00605275" w:rsidRDefault="00605275" w:rsidP="008E3A8E">
      <w:pPr>
        <w:numPr>
          <w:ilvl w:val="12"/>
          <w:numId w:val="0"/>
        </w:numPr>
        <w:ind w:left="1440" w:right="720" w:hanging="720"/>
        <w:jc w:val="both"/>
      </w:pPr>
      <w:r>
        <w:t>All Known Exhibits:</w:t>
      </w:r>
    </w:p>
    <w:p w14:paraId="101E8E25" w14:textId="77777777" w:rsidR="00605275" w:rsidRDefault="00605275" w:rsidP="008E3A8E">
      <w:pPr>
        <w:numPr>
          <w:ilvl w:val="12"/>
          <w:numId w:val="0"/>
        </w:numPr>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605275" w:rsidRPr="00B95E83" w14:paraId="6A867DC1" w14:textId="77777777" w:rsidTr="00E7039C">
        <w:tc>
          <w:tcPr>
            <w:tcW w:w="974" w:type="dxa"/>
            <w:shd w:val="clear" w:color="auto" w:fill="auto"/>
          </w:tcPr>
          <w:p w14:paraId="7F3FD729" w14:textId="77777777" w:rsidR="00605275" w:rsidRPr="00B95E83" w:rsidRDefault="00605275" w:rsidP="008E3A8E">
            <w:pPr>
              <w:numPr>
                <w:ilvl w:val="12"/>
                <w:numId w:val="0"/>
              </w:numPr>
              <w:ind w:right="720"/>
              <w:jc w:val="both"/>
              <w:rPr>
                <w:b/>
              </w:rPr>
            </w:pPr>
            <w:r w:rsidRPr="00B95E83">
              <w:rPr>
                <w:b/>
              </w:rPr>
              <w:t>Witness</w:t>
            </w:r>
          </w:p>
        </w:tc>
        <w:tc>
          <w:tcPr>
            <w:tcW w:w="2086" w:type="dxa"/>
            <w:tcBorders>
              <w:bottom w:val="single" w:sz="4" w:space="0" w:color="auto"/>
            </w:tcBorders>
            <w:shd w:val="clear" w:color="auto" w:fill="auto"/>
          </w:tcPr>
          <w:p w14:paraId="4F2E492A" w14:textId="77777777" w:rsidR="00605275" w:rsidRPr="00B95E83" w:rsidRDefault="00605275" w:rsidP="008E3A8E">
            <w:pPr>
              <w:rPr>
                <w:b/>
              </w:rPr>
            </w:pPr>
            <w:r w:rsidRPr="00B95E83">
              <w:rPr>
                <w:b/>
              </w:rPr>
              <w:t>Proffered By</w:t>
            </w:r>
          </w:p>
        </w:tc>
        <w:tc>
          <w:tcPr>
            <w:tcW w:w="1505" w:type="dxa"/>
            <w:shd w:val="clear" w:color="auto" w:fill="auto"/>
          </w:tcPr>
          <w:p w14:paraId="3DB9A11B" w14:textId="77777777" w:rsidR="00605275" w:rsidRPr="00B95E83" w:rsidRDefault="00605275" w:rsidP="008E3A8E">
            <w:pPr>
              <w:rPr>
                <w:b/>
              </w:rPr>
            </w:pPr>
            <w:r w:rsidRPr="00B95E83">
              <w:rPr>
                <w:b/>
              </w:rPr>
              <w:t>Exhibit No.</w:t>
            </w:r>
          </w:p>
        </w:tc>
        <w:tc>
          <w:tcPr>
            <w:tcW w:w="2123" w:type="dxa"/>
            <w:shd w:val="clear" w:color="auto" w:fill="auto"/>
          </w:tcPr>
          <w:p w14:paraId="15666247" w14:textId="77777777" w:rsidR="00605275" w:rsidRPr="00B95E83" w:rsidRDefault="00605275" w:rsidP="008E3A8E">
            <w:pPr>
              <w:numPr>
                <w:ilvl w:val="12"/>
                <w:numId w:val="0"/>
              </w:numPr>
              <w:ind w:right="720"/>
              <w:jc w:val="both"/>
              <w:rPr>
                <w:b/>
              </w:rPr>
            </w:pPr>
            <w:r w:rsidRPr="00B95E83">
              <w:rPr>
                <w:b/>
              </w:rPr>
              <w:t>Description</w:t>
            </w:r>
          </w:p>
        </w:tc>
        <w:tc>
          <w:tcPr>
            <w:tcW w:w="1862" w:type="dxa"/>
            <w:shd w:val="clear" w:color="auto" w:fill="auto"/>
          </w:tcPr>
          <w:p w14:paraId="13D4ECA0" w14:textId="77777777" w:rsidR="00605275" w:rsidRPr="00B95E83" w:rsidRDefault="00605275" w:rsidP="008E3A8E">
            <w:pPr>
              <w:rPr>
                <w:b/>
              </w:rPr>
            </w:pPr>
            <w:r w:rsidRPr="00B95E83">
              <w:rPr>
                <w:b/>
              </w:rPr>
              <w:t>Issue  #</w:t>
            </w:r>
          </w:p>
        </w:tc>
      </w:tr>
      <w:tr w:rsidR="00605275" w:rsidRPr="00B95E83" w14:paraId="329061D6" w14:textId="77777777" w:rsidTr="00E7039C">
        <w:tc>
          <w:tcPr>
            <w:tcW w:w="974" w:type="dxa"/>
            <w:shd w:val="clear" w:color="auto" w:fill="auto"/>
          </w:tcPr>
          <w:p w14:paraId="449347D4" w14:textId="77777777" w:rsidR="00605275" w:rsidRPr="00B95E83" w:rsidRDefault="00605275" w:rsidP="008E3A8E">
            <w:pPr>
              <w:jc w:val="center"/>
              <w:rPr>
                <w:b/>
              </w:rPr>
            </w:pPr>
            <w:r w:rsidRPr="00B95E83">
              <w:rPr>
                <w:b/>
              </w:rPr>
              <w:t>Direct</w:t>
            </w:r>
          </w:p>
        </w:tc>
        <w:tc>
          <w:tcPr>
            <w:tcW w:w="2086" w:type="dxa"/>
            <w:tcBorders>
              <w:top w:val="single" w:sz="4" w:space="0" w:color="auto"/>
            </w:tcBorders>
            <w:shd w:val="clear" w:color="auto" w:fill="auto"/>
          </w:tcPr>
          <w:p w14:paraId="61376D60" w14:textId="77777777" w:rsidR="00605275" w:rsidRPr="00B95E83" w:rsidRDefault="00605275" w:rsidP="008E3A8E"/>
        </w:tc>
        <w:tc>
          <w:tcPr>
            <w:tcW w:w="1505" w:type="dxa"/>
            <w:shd w:val="clear" w:color="auto" w:fill="auto"/>
          </w:tcPr>
          <w:p w14:paraId="266BE227" w14:textId="77777777" w:rsidR="00605275" w:rsidRPr="00B95E83" w:rsidRDefault="00605275" w:rsidP="008E3A8E">
            <w:pPr>
              <w:numPr>
                <w:ilvl w:val="12"/>
                <w:numId w:val="0"/>
              </w:numPr>
              <w:ind w:right="720"/>
              <w:jc w:val="both"/>
            </w:pPr>
          </w:p>
        </w:tc>
        <w:tc>
          <w:tcPr>
            <w:tcW w:w="2123" w:type="dxa"/>
            <w:shd w:val="clear" w:color="auto" w:fill="auto"/>
          </w:tcPr>
          <w:p w14:paraId="13CFC9B0" w14:textId="77777777" w:rsidR="00605275" w:rsidRPr="00B95E83" w:rsidRDefault="00605275" w:rsidP="008E3A8E">
            <w:pPr>
              <w:numPr>
                <w:ilvl w:val="12"/>
                <w:numId w:val="0"/>
              </w:numPr>
              <w:ind w:right="720"/>
              <w:jc w:val="both"/>
            </w:pPr>
          </w:p>
        </w:tc>
        <w:tc>
          <w:tcPr>
            <w:tcW w:w="1862" w:type="dxa"/>
            <w:shd w:val="clear" w:color="auto" w:fill="auto"/>
          </w:tcPr>
          <w:p w14:paraId="25791E69" w14:textId="77777777" w:rsidR="00605275" w:rsidRPr="00B95E83" w:rsidRDefault="00605275" w:rsidP="008E3A8E">
            <w:pPr>
              <w:numPr>
                <w:ilvl w:val="12"/>
                <w:numId w:val="0"/>
              </w:numPr>
              <w:ind w:right="720"/>
              <w:jc w:val="both"/>
            </w:pPr>
          </w:p>
        </w:tc>
      </w:tr>
      <w:tr w:rsidR="00605275" w:rsidRPr="00B95E83" w14:paraId="6F4DEDF2" w14:textId="77777777" w:rsidTr="00E7039C">
        <w:tc>
          <w:tcPr>
            <w:tcW w:w="974" w:type="dxa"/>
            <w:shd w:val="clear" w:color="auto" w:fill="auto"/>
          </w:tcPr>
          <w:p w14:paraId="6806115A" w14:textId="77777777" w:rsidR="00605275" w:rsidRPr="00B95E83" w:rsidRDefault="00605275" w:rsidP="008E3A8E">
            <w:r w:rsidRPr="00B95E83">
              <w:t>John Smith</w:t>
            </w:r>
          </w:p>
        </w:tc>
        <w:tc>
          <w:tcPr>
            <w:tcW w:w="2086" w:type="dxa"/>
            <w:shd w:val="clear" w:color="auto" w:fill="auto"/>
          </w:tcPr>
          <w:p w14:paraId="4BD495E4" w14:textId="77777777" w:rsidR="00605275" w:rsidRPr="00B95E83" w:rsidRDefault="00605275" w:rsidP="008E3A8E">
            <w:r w:rsidRPr="00B95E83">
              <w:t>Party/Utility Name</w:t>
            </w:r>
          </w:p>
        </w:tc>
        <w:tc>
          <w:tcPr>
            <w:tcW w:w="1505" w:type="dxa"/>
            <w:shd w:val="clear" w:color="auto" w:fill="auto"/>
          </w:tcPr>
          <w:p w14:paraId="358730C2" w14:textId="77777777" w:rsidR="00605275" w:rsidRPr="00B95E83" w:rsidRDefault="00605275" w:rsidP="008E3A8E">
            <w:r w:rsidRPr="00B95E83">
              <w:t>ABC-1</w:t>
            </w:r>
          </w:p>
        </w:tc>
        <w:tc>
          <w:tcPr>
            <w:tcW w:w="2123" w:type="dxa"/>
            <w:shd w:val="clear" w:color="auto" w:fill="auto"/>
          </w:tcPr>
          <w:p w14:paraId="1E664FA8" w14:textId="77777777" w:rsidR="00605275" w:rsidRPr="00B95E83" w:rsidRDefault="00605275" w:rsidP="008E3A8E">
            <w:r w:rsidRPr="00B95E83">
              <w:t>Title ......</w:t>
            </w:r>
          </w:p>
        </w:tc>
        <w:tc>
          <w:tcPr>
            <w:tcW w:w="1862" w:type="dxa"/>
            <w:shd w:val="clear" w:color="auto" w:fill="auto"/>
          </w:tcPr>
          <w:p w14:paraId="560A96F4" w14:textId="77777777" w:rsidR="00605275" w:rsidRPr="00B95E83" w:rsidRDefault="00605275" w:rsidP="008E3A8E">
            <w:pPr>
              <w:numPr>
                <w:ilvl w:val="12"/>
                <w:numId w:val="0"/>
              </w:numPr>
              <w:ind w:right="720"/>
              <w:jc w:val="both"/>
            </w:pPr>
            <w:r w:rsidRPr="00B95E83">
              <w:t>1, 3-5</w:t>
            </w:r>
          </w:p>
        </w:tc>
      </w:tr>
    </w:tbl>
    <w:p w14:paraId="1BAE5EEB" w14:textId="77777777" w:rsidR="00605275" w:rsidRDefault="00605275" w:rsidP="008E3A8E">
      <w:pPr>
        <w:numPr>
          <w:ilvl w:val="12"/>
          <w:numId w:val="0"/>
        </w:numPr>
        <w:ind w:left="1440" w:right="720" w:hanging="720"/>
        <w:jc w:val="both"/>
      </w:pPr>
    </w:p>
    <w:p w14:paraId="0B7C168B" w14:textId="77777777" w:rsidR="00605275" w:rsidRDefault="00605275" w:rsidP="008E3A8E">
      <w:pPr>
        <w:numPr>
          <w:ilvl w:val="12"/>
          <w:numId w:val="0"/>
        </w:numPr>
        <w:ind w:left="720" w:right="720"/>
        <w:jc w:val="both"/>
      </w:pPr>
      <w:r>
        <w:t>(3)</w:t>
      </w:r>
      <w:r>
        <w:tab/>
        <w:t>A statement of the party’s basic position in the proceeding;</w:t>
      </w:r>
    </w:p>
    <w:p w14:paraId="32799CAD" w14:textId="77777777" w:rsidR="00605275" w:rsidRDefault="00605275" w:rsidP="008E3A8E">
      <w:pPr>
        <w:numPr>
          <w:ilvl w:val="12"/>
          <w:numId w:val="0"/>
        </w:numPr>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7E7C6BF1" w14:textId="77777777" w:rsidR="00605275" w:rsidRDefault="00605275" w:rsidP="008E3A8E">
      <w:pPr>
        <w:numPr>
          <w:ilvl w:val="12"/>
          <w:numId w:val="0"/>
        </w:numPr>
        <w:ind w:left="1440" w:right="720" w:hanging="720"/>
        <w:jc w:val="both"/>
      </w:pPr>
      <w:r>
        <w:lastRenderedPageBreak/>
        <w:t>(5)</w:t>
      </w:r>
      <w:r>
        <w:tab/>
        <w:t>A statement of issues to which the parties have stipulated;</w:t>
      </w:r>
    </w:p>
    <w:p w14:paraId="0645E741" w14:textId="77777777" w:rsidR="00605275" w:rsidRDefault="00605275" w:rsidP="008E3A8E">
      <w:pPr>
        <w:numPr>
          <w:ilvl w:val="12"/>
          <w:numId w:val="0"/>
        </w:numPr>
        <w:ind w:left="1440" w:right="720" w:hanging="720"/>
        <w:jc w:val="both"/>
      </w:pPr>
      <w:r>
        <w:t>(6)</w:t>
      </w:r>
      <w:r>
        <w:tab/>
        <w:t>A statement of all pending motions or other matters the party seeks action upon;</w:t>
      </w:r>
    </w:p>
    <w:p w14:paraId="42C54EE7" w14:textId="77777777" w:rsidR="00605275" w:rsidRDefault="00605275" w:rsidP="008E3A8E">
      <w:pPr>
        <w:numPr>
          <w:ilvl w:val="12"/>
          <w:numId w:val="0"/>
        </w:numPr>
        <w:ind w:left="1440" w:right="720" w:hanging="720"/>
        <w:jc w:val="both"/>
      </w:pPr>
      <w:r>
        <w:t>(7)</w:t>
      </w:r>
      <w:r>
        <w:tab/>
        <w:t>A statement identifying the party’s pending requests or claims for confidentiality;</w:t>
      </w:r>
    </w:p>
    <w:p w14:paraId="2670C6CA" w14:textId="77777777" w:rsidR="00605275" w:rsidRDefault="00605275" w:rsidP="008E3A8E">
      <w:pPr>
        <w:numPr>
          <w:ilvl w:val="12"/>
          <w:numId w:val="0"/>
        </w:numPr>
        <w:ind w:left="1440" w:right="720" w:hanging="720"/>
        <w:jc w:val="both"/>
      </w:pPr>
      <w:r>
        <w:t>(8)</w:t>
      </w:r>
      <w:r>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4F87092D" w14:textId="77777777" w:rsidR="00605275" w:rsidRDefault="00605275" w:rsidP="008E3A8E">
      <w:pPr>
        <w:spacing w:line="2" w:lineRule="exact"/>
        <w:jc w:val="both"/>
      </w:pPr>
    </w:p>
    <w:p w14:paraId="0A77DC5E" w14:textId="77777777" w:rsidR="00605275" w:rsidRDefault="00605275" w:rsidP="008E3A8E">
      <w:pPr>
        <w:numPr>
          <w:ilvl w:val="12"/>
          <w:numId w:val="0"/>
        </w:numPr>
        <w:ind w:left="1440" w:right="720" w:hanging="720"/>
        <w:jc w:val="both"/>
      </w:pPr>
      <w:r>
        <w:t>(9)</w:t>
      </w:r>
      <w:r>
        <w:tab/>
      </w:r>
      <w:r w:rsidRPr="00A8205E">
        <w:t>A request for sequestration of witnesses, so any such request may be resolved by the Prehearing Officer prior to the hearing.  Failure to make such a request shall constitute a waiver of the right to request sequestration of witnesses absent a showing of good cause</w:t>
      </w:r>
      <w:r>
        <w:t>; and</w:t>
      </w:r>
    </w:p>
    <w:p w14:paraId="334DAD88" w14:textId="77777777" w:rsidR="00605275" w:rsidRDefault="00605275" w:rsidP="008E3A8E">
      <w:pPr>
        <w:numPr>
          <w:ilvl w:val="12"/>
          <w:numId w:val="0"/>
        </w:numPr>
        <w:ind w:left="1440" w:right="720" w:hanging="720"/>
        <w:jc w:val="both"/>
      </w:pPr>
      <w:r>
        <w:t>(10)</w:t>
      </w:r>
      <w:r>
        <w:tab/>
        <w:t>A statement as to any requirement set forth in this order that cannot be complied with, and the reasons therefore.</w:t>
      </w:r>
    </w:p>
    <w:p w14:paraId="46071AC4" w14:textId="77777777" w:rsidR="00605275" w:rsidRDefault="00605275" w:rsidP="008E3A8E">
      <w:pPr>
        <w:numPr>
          <w:ilvl w:val="12"/>
          <w:numId w:val="0"/>
        </w:numPr>
        <w:ind w:left="1440" w:right="720" w:hanging="720"/>
        <w:jc w:val="both"/>
      </w:pPr>
    </w:p>
    <w:p w14:paraId="199A9B4F" w14:textId="77777777" w:rsidR="00605275" w:rsidRDefault="00605275" w:rsidP="008E3A8E">
      <w:pPr>
        <w:numPr>
          <w:ilvl w:val="12"/>
          <w:numId w:val="0"/>
        </w:numPr>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5B44F1D3" w14:textId="77777777" w:rsidR="00605275" w:rsidRDefault="00605275" w:rsidP="008E3A8E">
      <w:pPr>
        <w:numPr>
          <w:ilvl w:val="12"/>
          <w:numId w:val="0"/>
        </w:numPr>
      </w:pPr>
    </w:p>
    <w:p w14:paraId="7EFE1A78" w14:textId="77777777" w:rsidR="00605275" w:rsidRDefault="00605275" w:rsidP="008E3A8E">
      <w:pPr>
        <w:numPr>
          <w:ilvl w:val="12"/>
          <w:numId w:val="0"/>
        </w:numPr>
      </w:pPr>
      <w:r>
        <w:tab/>
        <w:t>C.</w:t>
      </w:r>
      <w:r>
        <w:tab/>
      </w:r>
      <w:r>
        <w:rPr>
          <w:u w:val="single"/>
        </w:rPr>
        <w:t>Attendance at Prehearing Conference</w:t>
      </w:r>
    </w:p>
    <w:p w14:paraId="754A603B" w14:textId="77777777" w:rsidR="00605275" w:rsidRDefault="00605275" w:rsidP="008E3A8E">
      <w:pPr>
        <w:numPr>
          <w:ilvl w:val="12"/>
          <w:numId w:val="0"/>
        </w:numPr>
      </w:pPr>
    </w:p>
    <w:p w14:paraId="415AB457" w14:textId="5E0B4C1D" w:rsidR="00605275" w:rsidRDefault="00605275" w:rsidP="008E3A8E">
      <w:pPr>
        <w:numPr>
          <w:ilvl w:val="12"/>
          <w:numId w:val="0"/>
        </w:numPr>
        <w:jc w:val="both"/>
      </w:pPr>
      <w:r>
        <w:tab/>
        <w:t xml:space="preserve">Pursuant to Rule 28-106.209, F.A.C., a Prehearing Conference will be held </w:t>
      </w:r>
      <w:r w:rsidR="00471383">
        <w:t>May 14</w:t>
      </w:r>
      <w:r w:rsidR="00474A08" w:rsidRPr="007E6F24">
        <w:t>, 2026</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4FC53FA7" w14:textId="77777777" w:rsidR="00605275" w:rsidRDefault="00605275" w:rsidP="008E3A8E">
      <w:pPr>
        <w:numPr>
          <w:ilvl w:val="12"/>
          <w:numId w:val="0"/>
        </w:numPr>
        <w:jc w:val="both"/>
      </w:pPr>
    </w:p>
    <w:p w14:paraId="5D27BF89" w14:textId="77777777" w:rsidR="00605275" w:rsidRDefault="00605275" w:rsidP="008E3A8E">
      <w:pPr>
        <w:numPr>
          <w:ilvl w:val="12"/>
          <w:numId w:val="0"/>
        </w:numPr>
        <w:jc w:val="both"/>
      </w:pPr>
      <w:r>
        <w:tab/>
        <w:t>D.</w:t>
      </w:r>
      <w:r>
        <w:tab/>
      </w:r>
      <w:r>
        <w:rPr>
          <w:u w:val="single"/>
        </w:rPr>
        <w:t>Waiver of Issues</w:t>
      </w:r>
    </w:p>
    <w:p w14:paraId="58EBCAC0" w14:textId="77777777" w:rsidR="00605275" w:rsidRDefault="00605275" w:rsidP="008E3A8E">
      <w:pPr>
        <w:numPr>
          <w:ilvl w:val="12"/>
          <w:numId w:val="0"/>
        </w:numPr>
        <w:jc w:val="both"/>
      </w:pPr>
    </w:p>
    <w:p w14:paraId="68CE1BBD" w14:textId="77777777" w:rsidR="00605275" w:rsidRDefault="00605275" w:rsidP="008E3A8E">
      <w:pPr>
        <w:numPr>
          <w:ilvl w:val="12"/>
          <w:numId w:val="0"/>
        </w:numPr>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460B0264" w14:textId="77777777" w:rsidR="00605275" w:rsidRDefault="00605275" w:rsidP="008E3A8E">
      <w:pPr>
        <w:numPr>
          <w:ilvl w:val="12"/>
          <w:numId w:val="0"/>
        </w:numPr>
        <w:jc w:val="both"/>
      </w:pPr>
    </w:p>
    <w:p w14:paraId="2F67A346" w14:textId="77777777" w:rsidR="00605275" w:rsidRDefault="00605275" w:rsidP="008E3A8E">
      <w:pPr>
        <w:spacing w:line="2" w:lineRule="exact"/>
        <w:jc w:val="both"/>
      </w:pPr>
    </w:p>
    <w:p w14:paraId="35EF9251" w14:textId="77777777" w:rsidR="00605275" w:rsidRDefault="00605275" w:rsidP="008E3A8E">
      <w:pPr>
        <w:pStyle w:val="Level1"/>
        <w:numPr>
          <w:ilvl w:val="0"/>
          <w:numId w:val="4"/>
        </w:numPr>
        <w:tabs>
          <w:tab w:val="clear" w:pos="0"/>
        </w:tabs>
        <w:jc w:val="both"/>
      </w:pPr>
      <w:r>
        <w:t>Whether the party was unable to identify the issue because of the complexity of the matter;</w:t>
      </w:r>
    </w:p>
    <w:p w14:paraId="42CCF7C1" w14:textId="77777777" w:rsidR="00605275" w:rsidRDefault="00605275" w:rsidP="008E3A8E">
      <w:pPr>
        <w:pStyle w:val="Level1"/>
        <w:numPr>
          <w:ilvl w:val="0"/>
          <w:numId w:val="4"/>
        </w:numPr>
        <w:tabs>
          <w:tab w:val="clear" w:pos="0"/>
        </w:tabs>
        <w:jc w:val="both"/>
      </w:pPr>
      <w:r>
        <w:t>Whether discovery or other prehearing procedures were not adequate to fully develop the issue;</w:t>
      </w:r>
    </w:p>
    <w:p w14:paraId="4C498825" w14:textId="77777777" w:rsidR="00605275" w:rsidRDefault="00605275" w:rsidP="008E3A8E">
      <w:pPr>
        <w:pStyle w:val="Level1"/>
        <w:numPr>
          <w:ilvl w:val="0"/>
          <w:numId w:val="4"/>
        </w:numPr>
        <w:tabs>
          <w:tab w:val="clear" w:pos="0"/>
        </w:tabs>
        <w:jc w:val="both"/>
      </w:pPr>
      <w:r>
        <w:t xml:space="preserve">Whether due diligence was exercised to obtain facts touching on the issue; </w:t>
      </w:r>
    </w:p>
    <w:p w14:paraId="3BF8D5E6" w14:textId="77777777" w:rsidR="00605275" w:rsidRDefault="00605275" w:rsidP="008E3A8E">
      <w:pPr>
        <w:pStyle w:val="Level1"/>
        <w:numPr>
          <w:ilvl w:val="0"/>
          <w:numId w:val="4"/>
        </w:numPr>
        <w:tabs>
          <w:tab w:val="clear" w:pos="0"/>
        </w:tabs>
        <w:jc w:val="both"/>
      </w:pPr>
      <w:r>
        <w:lastRenderedPageBreak/>
        <w:t>Whether information obtained subsequent to the Prehearing Conference was not previously available to enable the party to identify the issue; and</w:t>
      </w:r>
    </w:p>
    <w:p w14:paraId="5432A5F4" w14:textId="77777777" w:rsidR="00605275" w:rsidRDefault="00605275" w:rsidP="008E3A8E">
      <w:pPr>
        <w:pStyle w:val="Level1"/>
        <w:numPr>
          <w:ilvl w:val="0"/>
          <w:numId w:val="4"/>
        </w:numPr>
        <w:tabs>
          <w:tab w:val="clear" w:pos="0"/>
        </w:tabs>
        <w:jc w:val="both"/>
      </w:pPr>
      <w:r>
        <w:t>Whether introduction of the issue would not be to the prejudice or surprise of any party.</w:t>
      </w:r>
    </w:p>
    <w:p w14:paraId="361573D5" w14:textId="77777777" w:rsidR="00605275" w:rsidRDefault="00605275" w:rsidP="008E3A8E">
      <w:pPr>
        <w:numPr>
          <w:ilvl w:val="12"/>
          <w:numId w:val="0"/>
        </w:numPr>
        <w:jc w:val="both"/>
      </w:pPr>
    </w:p>
    <w:p w14:paraId="70098552" w14:textId="77777777" w:rsidR="00605275" w:rsidRDefault="00605275" w:rsidP="008E3A8E">
      <w:pPr>
        <w:numPr>
          <w:ilvl w:val="12"/>
          <w:numId w:val="0"/>
        </w:numPr>
        <w:jc w:val="both"/>
      </w:pPr>
      <w:r>
        <w:t>Specific reference shall be made to the information received and how it enabled the party to identify the issue.</w:t>
      </w:r>
    </w:p>
    <w:p w14:paraId="384C9DEA" w14:textId="77777777" w:rsidR="00605275" w:rsidRDefault="00605275" w:rsidP="008E3A8E">
      <w:pPr>
        <w:numPr>
          <w:ilvl w:val="12"/>
          <w:numId w:val="0"/>
        </w:numPr>
        <w:jc w:val="both"/>
      </w:pPr>
    </w:p>
    <w:p w14:paraId="6E52EF0D" w14:textId="77777777" w:rsidR="00605275" w:rsidRDefault="00605275" w:rsidP="008E3A8E">
      <w:pPr>
        <w:numPr>
          <w:ilvl w:val="12"/>
          <w:numId w:val="0"/>
        </w:numPr>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7EA9A5C7" w14:textId="77777777" w:rsidR="00605275" w:rsidRDefault="00605275" w:rsidP="008E3A8E">
      <w:pPr>
        <w:numPr>
          <w:ilvl w:val="12"/>
          <w:numId w:val="0"/>
        </w:numPr>
        <w:jc w:val="both"/>
      </w:pPr>
    </w:p>
    <w:p w14:paraId="4D49BE66" w14:textId="77777777" w:rsidR="00605275" w:rsidRDefault="00605275" w:rsidP="008E3A8E">
      <w:pPr>
        <w:numPr>
          <w:ilvl w:val="12"/>
          <w:numId w:val="0"/>
        </w:numPr>
        <w:jc w:val="both"/>
      </w:pPr>
      <w:r>
        <w:tab/>
        <w:t>E.</w:t>
      </w:r>
      <w:r>
        <w:tab/>
      </w:r>
      <w:r>
        <w:rPr>
          <w:u w:val="single"/>
        </w:rPr>
        <w:t>Motions to Strike Prefiled Testimony and Exhibits</w:t>
      </w:r>
    </w:p>
    <w:p w14:paraId="211A39AE" w14:textId="77777777" w:rsidR="00605275" w:rsidRDefault="00605275" w:rsidP="008E3A8E">
      <w:pPr>
        <w:jc w:val="both"/>
      </w:pPr>
    </w:p>
    <w:p w14:paraId="06238DE6" w14:textId="0666BFF6" w:rsidR="00605275" w:rsidRDefault="00605275" w:rsidP="008E3A8E">
      <w:pPr>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D30C22">
        <w:t>stricken</w:t>
      </w:r>
      <w:r>
        <w:t>.  Motions to strike any portion of prefiled testimony and related portions of exhibits at hearing shall be considered untimely, absent good cause shown.</w:t>
      </w:r>
    </w:p>
    <w:p w14:paraId="1D076130" w14:textId="77777777" w:rsidR="00605275" w:rsidRDefault="00605275" w:rsidP="008E3A8E">
      <w:pPr>
        <w:jc w:val="both"/>
      </w:pPr>
    </w:p>
    <w:p w14:paraId="3F281D7E" w14:textId="77777777" w:rsidR="00605275" w:rsidRDefault="00605275" w:rsidP="008E3A8E">
      <w:pPr>
        <w:jc w:val="both"/>
      </w:pPr>
      <w:r>
        <w:tab/>
        <w:t>F.</w:t>
      </w:r>
      <w:r>
        <w:tab/>
      </w:r>
      <w:r>
        <w:rPr>
          <w:u w:val="single"/>
        </w:rPr>
        <w:t>Demonstrative Exhibits</w:t>
      </w:r>
    </w:p>
    <w:p w14:paraId="01004750" w14:textId="77777777" w:rsidR="00605275" w:rsidRDefault="00605275" w:rsidP="008E3A8E">
      <w:pPr>
        <w:jc w:val="both"/>
      </w:pPr>
    </w:p>
    <w:p w14:paraId="02BC880E" w14:textId="77777777" w:rsidR="00605275" w:rsidRDefault="00605275" w:rsidP="008E3A8E">
      <w:pPr>
        <w:jc w:val="both"/>
      </w:pPr>
      <w:r>
        <w:tab/>
        <w:t>If a party wishes to use a demonstrative exhibit or other demonstrative tools at hearing, such materials must be identified by the time of the Prehearing Conference.</w:t>
      </w:r>
    </w:p>
    <w:p w14:paraId="15BC3936" w14:textId="77777777" w:rsidR="00605275" w:rsidRDefault="00605275" w:rsidP="008E3A8E">
      <w:pPr>
        <w:jc w:val="both"/>
      </w:pPr>
    </w:p>
    <w:p w14:paraId="70EB8D76" w14:textId="77777777" w:rsidR="00605275" w:rsidRPr="00801492" w:rsidRDefault="00605275" w:rsidP="008E3A8E">
      <w:pPr>
        <w:jc w:val="both"/>
      </w:pPr>
      <w:r>
        <w:tab/>
      </w:r>
      <w:r w:rsidRPr="00801492">
        <w:t>G.</w:t>
      </w:r>
      <w:r w:rsidRPr="00801492">
        <w:tab/>
      </w:r>
      <w:r w:rsidRPr="00801492">
        <w:rPr>
          <w:u w:val="single"/>
        </w:rPr>
        <w:t>Provision of  Exhibits</w:t>
      </w:r>
    </w:p>
    <w:p w14:paraId="179EEC4E" w14:textId="77777777" w:rsidR="00605275" w:rsidRPr="00801492" w:rsidRDefault="00605275" w:rsidP="008E3A8E">
      <w:pPr>
        <w:jc w:val="both"/>
      </w:pPr>
    </w:p>
    <w:p w14:paraId="46DC34F1" w14:textId="2EDF02D4" w:rsidR="00605275" w:rsidRPr="00801492" w:rsidRDefault="00605275" w:rsidP="008E3A8E">
      <w:pPr>
        <w:jc w:val="both"/>
      </w:pPr>
      <w:r w:rsidRPr="00801492">
        <w:tab/>
      </w:r>
      <w:r>
        <w:t xml:space="preserve">By </w:t>
      </w:r>
      <w:r w:rsidR="00474A08" w:rsidRPr="007E6F24">
        <w:t>May 29, 2026</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either USB flash drives or CDs, or e-mailed to </w:t>
      </w:r>
      <w:hyperlink r:id="rId9" w:history="1">
        <w:r w:rsidRPr="00A001B6">
          <w:rPr>
            <w:rStyle w:val="Hyperlink"/>
          </w:rPr>
          <w:t>discovery-gcl@psc.state.fl.us</w:t>
        </w:r>
      </w:hyperlink>
      <w:r w:rsidRPr="00801492">
        <w:t>.</w:t>
      </w:r>
      <w:r>
        <w:t xml:space="preserve"> </w:t>
      </w:r>
      <w:r w:rsidRPr="00801492">
        <w:t xml:space="preserve"> A</w:t>
      </w:r>
      <w:r>
        <w:t xml:space="preserve"> copy of all exhibits and the accompanying list shall also be served </w:t>
      </w:r>
      <w:r>
        <w:lastRenderedPageBreak/>
        <w:t>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14:paraId="08E7DBC5" w14:textId="77777777" w:rsidR="00605275" w:rsidRPr="00801492" w:rsidRDefault="00605275" w:rsidP="008E3A8E">
      <w:pPr>
        <w:jc w:val="both"/>
      </w:pPr>
    </w:p>
    <w:p w14:paraId="41E6BC5B" w14:textId="77777777" w:rsidR="00605275" w:rsidRDefault="00605275" w:rsidP="008E3A8E">
      <w:pPr>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4BD4B3D8" w14:textId="77777777" w:rsidR="00605275" w:rsidRDefault="00605275" w:rsidP="008E3A8E">
      <w:pPr>
        <w:jc w:val="both"/>
      </w:pPr>
    </w:p>
    <w:p w14:paraId="3A043591" w14:textId="77777777" w:rsidR="00605275" w:rsidRPr="00801492" w:rsidRDefault="00605275" w:rsidP="008E3A8E">
      <w:pPr>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14:paraId="4E87DC2F" w14:textId="77777777" w:rsidR="00605275" w:rsidRPr="00801492" w:rsidRDefault="00605275" w:rsidP="008E3A8E">
      <w:pPr>
        <w:jc w:val="both"/>
      </w:pPr>
    </w:p>
    <w:p w14:paraId="4D16CF1D" w14:textId="77777777" w:rsidR="00605275" w:rsidRPr="00801492" w:rsidRDefault="00605275" w:rsidP="008E3A8E">
      <w:pPr>
        <w:jc w:val="both"/>
      </w:pPr>
      <w:r w:rsidRPr="00801492">
        <w:tab/>
      </w:r>
      <w:r w:rsidRPr="00801492">
        <w:tab/>
        <w:t>FPL-1 – short document title, FPL-2 – short document title, etc.</w:t>
      </w:r>
    </w:p>
    <w:p w14:paraId="7F1475C8" w14:textId="77777777" w:rsidR="00605275" w:rsidRPr="00801492" w:rsidRDefault="00605275" w:rsidP="008E3A8E">
      <w:pPr>
        <w:jc w:val="both"/>
      </w:pPr>
      <w:r w:rsidRPr="00801492">
        <w:tab/>
      </w:r>
      <w:r w:rsidRPr="00801492">
        <w:tab/>
        <w:t>OPC-1 – short document title, OPC-2 – short document title, etc.</w:t>
      </w:r>
    </w:p>
    <w:p w14:paraId="4EF76939" w14:textId="77777777" w:rsidR="00605275" w:rsidRPr="00801492" w:rsidRDefault="00605275" w:rsidP="008E3A8E">
      <w:pPr>
        <w:jc w:val="both"/>
      </w:pPr>
    </w:p>
    <w:p w14:paraId="048C9B62" w14:textId="77777777" w:rsidR="00605275" w:rsidRPr="00801492" w:rsidRDefault="00605275" w:rsidP="008E3A8E">
      <w:pPr>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2131B2C1" w14:textId="77777777" w:rsidR="00605275" w:rsidRPr="00801492" w:rsidRDefault="00605275" w:rsidP="008E3A8E">
      <w:pPr>
        <w:jc w:val="both"/>
      </w:pPr>
    </w:p>
    <w:p w14:paraId="0AA359C7" w14:textId="2937B9DC" w:rsidR="00605275" w:rsidRPr="00801492" w:rsidRDefault="00605275" w:rsidP="008E3A8E">
      <w:pPr>
        <w:jc w:val="both"/>
      </w:pPr>
      <w:r w:rsidRPr="00801492">
        <w:tab/>
        <w:t xml:space="preserve">Confidential information will be handled as described below in </w:t>
      </w:r>
      <w:r>
        <w:t>Section VI</w:t>
      </w:r>
      <w:r w:rsidR="004A7C6E">
        <w:t>I</w:t>
      </w:r>
      <w:r>
        <w:t xml:space="preserve">.C. </w:t>
      </w:r>
      <w:r w:rsidRPr="00801492">
        <w:t xml:space="preserve">  However, parties must also provide an electronic, redacted, non-confidential version of each confidential exhibit they intend to use at the hearing.</w:t>
      </w:r>
    </w:p>
    <w:p w14:paraId="37B7DB98" w14:textId="77777777" w:rsidR="00605275" w:rsidRDefault="00605275" w:rsidP="008E3A8E">
      <w:pPr>
        <w:jc w:val="both"/>
      </w:pPr>
      <w:r w:rsidRPr="00351256">
        <w:rPr>
          <w:highlight w:val="cyan"/>
        </w:rPr>
        <w:t xml:space="preserve"> </w:t>
      </w:r>
    </w:p>
    <w:p w14:paraId="237027D1" w14:textId="77777777" w:rsidR="00605275" w:rsidRDefault="00605275" w:rsidP="008E3A8E">
      <w:pPr>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20B44F59" w14:textId="77777777" w:rsidR="00605275" w:rsidRDefault="00605275" w:rsidP="008E3A8E">
      <w:pPr>
        <w:jc w:val="both"/>
      </w:pPr>
    </w:p>
    <w:p w14:paraId="4054DBAE" w14:textId="77777777" w:rsidR="00605275" w:rsidRDefault="00605275" w:rsidP="008E3A8E">
      <w:pPr>
        <w:numPr>
          <w:ilvl w:val="12"/>
          <w:numId w:val="0"/>
        </w:numPr>
        <w:jc w:val="both"/>
        <w:rPr>
          <w:u w:val="single"/>
        </w:rPr>
      </w:pPr>
      <w:r>
        <w:tab/>
        <w:t>H.</w:t>
      </w:r>
      <w:r>
        <w:tab/>
      </w:r>
      <w:r>
        <w:rPr>
          <w:u w:val="single"/>
        </w:rPr>
        <w:t>Official Recognition</w:t>
      </w:r>
    </w:p>
    <w:p w14:paraId="127C6D98" w14:textId="77777777" w:rsidR="00605275" w:rsidRDefault="00605275" w:rsidP="008E3A8E">
      <w:pPr>
        <w:numPr>
          <w:ilvl w:val="12"/>
          <w:numId w:val="0"/>
        </w:numPr>
        <w:jc w:val="both"/>
      </w:pPr>
    </w:p>
    <w:p w14:paraId="6CC4B72E" w14:textId="59B16B31" w:rsidR="00605275" w:rsidRDefault="00605275" w:rsidP="008E3A8E">
      <w:pPr>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51B458B8" w14:textId="77777777" w:rsidR="00605275" w:rsidRDefault="00605275" w:rsidP="008E3A8E">
      <w:pPr>
        <w:jc w:val="both"/>
      </w:pPr>
      <w:r>
        <w:lastRenderedPageBreak/>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0EBC722C" w14:textId="77777777" w:rsidR="00605275" w:rsidRDefault="00605275" w:rsidP="008E3A8E"/>
    <w:p w14:paraId="6E74C7F7" w14:textId="77777777" w:rsidR="00605275" w:rsidRPr="00205CA9" w:rsidRDefault="00605275" w:rsidP="008E3A8E">
      <w:pPr>
        <w:jc w:val="both"/>
        <w:rPr>
          <w:u w:val="single"/>
        </w:rPr>
      </w:pPr>
      <w:r>
        <w:tab/>
        <w:t>I</w:t>
      </w:r>
      <w:r w:rsidRPr="00364D32">
        <w:t>.</w:t>
      </w:r>
      <w:r w:rsidRPr="00364D32">
        <w:tab/>
      </w:r>
      <w:r w:rsidRPr="00364D32">
        <w:rPr>
          <w:u w:val="single"/>
        </w:rPr>
        <w:t>Use of Depositions at Hearing</w:t>
      </w:r>
    </w:p>
    <w:p w14:paraId="11284199" w14:textId="77777777" w:rsidR="00605275" w:rsidRDefault="00605275" w:rsidP="008E3A8E">
      <w:pPr>
        <w:numPr>
          <w:ilvl w:val="12"/>
          <w:numId w:val="0"/>
        </w:numPr>
        <w:jc w:val="both"/>
      </w:pPr>
    </w:p>
    <w:p w14:paraId="50694F97" w14:textId="0B18E687" w:rsidR="00605275" w:rsidRDefault="00605275" w:rsidP="008E3A8E">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961A07">
        <w:t>I</w:t>
      </w:r>
      <w:r>
        <w:t>X of this Order.  The Notice shall include the following information for each deposition:</w:t>
      </w:r>
    </w:p>
    <w:p w14:paraId="731F38DB" w14:textId="77777777" w:rsidR="00605275" w:rsidRDefault="00605275" w:rsidP="008E3A8E">
      <w:pPr>
        <w:pStyle w:val="ListParagraph"/>
        <w:ind w:left="1080"/>
        <w:jc w:val="both"/>
      </w:pPr>
    </w:p>
    <w:p w14:paraId="0FD52412" w14:textId="77777777" w:rsidR="00605275" w:rsidRDefault="00605275" w:rsidP="008E3A8E">
      <w:pPr>
        <w:pStyle w:val="ListParagraph"/>
        <w:numPr>
          <w:ilvl w:val="0"/>
          <w:numId w:val="5"/>
        </w:numPr>
        <w:ind w:left="1440" w:hanging="720"/>
        <w:jc w:val="both"/>
      </w:pPr>
      <w:r>
        <w:t>Name of witness deposed;</w:t>
      </w:r>
    </w:p>
    <w:p w14:paraId="7ED57969" w14:textId="77777777" w:rsidR="00605275" w:rsidRDefault="00605275" w:rsidP="008E3A8E">
      <w:pPr>
        <w:pStyle w:val="ListParagraph"/>
        <w:numPr>
          <w:ilvl w:val="0"/>
          <w:numId w:val="5"/>
        </w:numPr>
        <w:ind w:left="1440" w:hanging="720"/>
        <w:jc w:val="both"/>
      </w:pPr>
      <w:r>
        <w:t>Date deposition was taken; and</w:t>
      </w:r>
    </w:p>
    <w:p w14:paraId="5E9FBE28" w14:textId="77777777" w:rsidR="00605275" w:rsidRPr="001F6FDB" w:rsidRDefault="00605275" w:rsidP="008E3A8E">
      <w:pPr>
        <w:pStyle w:val="ListParagraph"/>
        <w:numPr>
          <w:ilvl w:val="0"/>
          <w:numId w:val="5"/>
        </w:numPr>
        <w:ind w:left="1440" w:hanging="720"/>
        <w:jc w:val="both"/>
      </w:pPr>
      <w:r>
        <w:t xml:space="preserve">Page and line numbers of each deposition the party seeks to introduce, </w:t>
      </w:r>
      <w:r w:rsidRPr="001F6FDB">
        <w:t xml:space="preserve">when available. </w:t>
      </w:r>
    </w:p>
    <w:p w14:paraId="314EFF0A" w14:textId="77777777" w:rsidR="00605275" w:rsidRDefault="00605275" w:rsidP="008E3A8E"/>
    <w:p w14:paraId="3E9AFBCC" w14:textId="77777777" w:rsidR="00605275" w:rsidRDefault="00605275" w:rsidP="008E3A8E">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5ABAA0CB" w14:textId="77777777" w:rsidR="00605275" w:rsidRDefault="00605275" w:rsidP="008E3A8E">
      <w:pPr>
        <w:jc w:val="both"/>
      </w:pPr>
    </w:p>
    <w:p w14:paraId="44B763DD" w14:textId="77777777" w:rsidR="00605275" w:rsidRDefault="00605275" w:rsidP="008E3A8E">
      <w:pPr>
        <w:pStyle w:val="OrderBody"/>
        <w:rPr>
          <w:i/>
        </w:rPr>
      </w:pPr>
      <w:r>
        <w:tab/>
      </w:r>
      <w:r w:rsidRPr="007E6F24">
        <w:t>Parties do not need to exchange deposition transcripts that will be</w:t>
      </w:r>
      <w:r w:rsidRPr="007E6F24">
        <w:rPr>
          <w:i/>
        </w:rPr>
        <w:t xml:space="preserve"> used for impeachment purposes only.</w:t>
      </w:r>
    </w:p>
    <w:p w14:paraId="4A7EE023" w14:textId="77777777" w:rsidR="00605275" w:rsidRDefault="00605275" w:rsidP="008E3A8E">
      <w:pPr>
        <w:pStyle w:val="OrderBody"/>
        <w:rPr>
          <w:i/>
        </w:rPr>
      </w:pPr>
    </w:p>
    <w:p w14:paraId="00698A2B" w14:textId="68E6D719" w:rsidR="00605275" w:rsidRDefault="00605275" w:rsidP="008E3A8E">
      <w:pPr>
        <w:numPr>
          <w:ilvl w:val="12"/>
          <w:numId w:val="0"/>
        </w:numPr>
        <w:jc w:val="both"/>
      </w:pPr>
      <w:r>
        <w:rPr>
          <w:b/>
          <w:bCs/>
        </w:rPr>
        <w:t>VII.</w:t>
      </w:r>
      <w:r>
        <w:rPr>
          <w:b/>
          <w:bCs/>
        </w:rPr>
        <w:tab/>
      </w:r>
      <w:r>
        <w:rPr>
          <w:b/>
          <w:bCs/>
          <w:u w:val="single"/>
        </w:rPr>
        <w:t>Hearing Procedures</w:t>
      </w:r>
    </w:p>
    <w:p w14:paraId="6BE632DD" w14:textId="77777777" w:rsidR="00605275" w:rsidRDefault="00605275" w:rsidP="008E3A8E">
      <w:pPr>
        <w:numPr>
          <w:ilvl w:val="12"/>
          <w:numId w:val="0"/>
        </w:numPr>
        <w:jc w:val="both"/>
      </w:pPr>
    </w:p>
    <w:p w14:paraId="793A3EAC" w14:textId="77777777" w:rsidR="00605275" w:rsidRDefault="00605275" w:rsidP="008E3A8E">
      <w:pPr>
        <w:numPr>
          <w:ilvl w:val="12"/>
          <w:numId w:val="0"/>
        </w:numPr>
        <w:jc w:val="both"/>
      </w:pPr>
      <w:r>
        <w:tab/>
        <w:t>A.</w:t>
      </w:r>
      <w:r>
        <w:tab/>
      </w:r>
      <w:r>
        <w:rPr>
          <w:u w:val="single"/>
        </w:rPr>
        <w:t>Attendance at Hearing</w:t>
      </w:r>
    </w:p>
    <w:p w14:paraId="4A833469" w14:textId="77777777" w:rsidR="00605275" w:rsidRDefault="00605275" w:rsidP="008E3A8E">
      <w:pPr>
        <w:numPr>
          <w:ilvl w:val="12"/>
          <w:numId w:val="0"/>
        </w:numPr>
        <w:jc w:val="both"/>
      </w:pPr>
    </w:p>
    <w:p w14:paraId="267E7796" w14:textId="77777777" w:rsidR="00605275" w:rsidRDefault="00605275" w:rsidP="008E3A8E">
      <w:pPr>
        <w:numPr>
          <w:ilvl w:val="12"/>
          <w:numId w:val="0"/>
        </w:numPr>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5CBE8E5B" w14:textId="77777777" w:rsidR="00605275" w:rsidRDefault="00605275" w:rsidP="008E3A8E">
      <w:pPr>
        <w:numPr>
          <w:ilvl w:val="12"/>
          <w:numId w:val="0"/>
        </w:numPr>
        <w:jc w:val="both"/>
      </w:pPr>
    </w:p>
    <w:p w14:paraId="1568233C" w14:textId="77777777" w:rsidR="00605275" w:rsidRDefault="00605275" w:rsidP="008E3A8E">
      <w:pPr>
        <w:numPr>
          <w:ilvl w:val="12"/>
          <w:numId w:val="0"/>
        </w:numPr>
        <w:jc w:val="both"/>
      </w:pPr>
      <w:r>
        <w:tab/>
        <w:t xml:space="preserve">Likewise, all witnesses are expected to be present at the hearing at the time they are called based on the order of witnesses listed in the Prehearing Order unless excused by the Presiding Officer upon the staff attorney’s confirmation prior to the hearing date of the following: </w:t>
      </w:r>
    </w:p>
    <w:p w14:paraId="571C7708" w14:textId="77777777" w:rsidR="00605275" w:rsidRDefault="00605275" w:rsidP="008E3A8E">
      <w:pPr>
        <w:numPr>
          <w:ilvl w:val="12"/>
          <w:numId w:val="0"/>
        </w:numPr>
        <w:jc w:val="both"/>
      </w:pPr>
    </w:p>
    <w:p w14:paraId="7A0F5D9F" w14:textId="77777777" w:rsidR="00605275" w:rsidRDefault="00605275" w:rsidP="008E3A8E">
      <w:pPr>
        <w:spacing w:line="2" w:lineRule="exact"/>
        <w:jc w:val="both"/>
      </w:pPr>
    </w:p>
    <w:p w14:paraId="3A87964C" w14:textId="77777777" w:rsidR="00605275" w:rsidRDefault="00605275" w:rsidP="008E3A8E">
      <w:pPr>
        <w:pStyle w:val="Level1"/>
        <w:numPr>
          <w:ilvl w:val="0"/>
          <w:numId w:val="7"/>
        </w:numPr>
        <w:tabs>
          <w:tab w:val="clear" w:pos="0"/>
        </w:tabs>
        <w:jc w:val="both"/>
      </w:pPr>
      <w:r>
        <w:t>All parties agree that the witness will not be needed for cross examination.</w:t>
      </w:r>
    </w:p>
    <w:p w14:paraId="7E9DAD0F" w14:textId="77777777" w:rsidR="00605275" w:rsidRDefault="00605275" w:rsidP="008E3A8E">
      <w:pPr>
        <w:pStyle w:val="Level1"/>
        <w:numPr>
          <w:ilvl w:val="0"/>
          <w:numId w:val="7"/>
        </w:numPr>
        <w:tabs>
          <w:tab w:val="clear" w:pos="0"/>
        </w:tabs>
        <w:jc w:val="both"/>
      </w:pPr>
      <w:r>
        <w:t>All Commissioners assigned to the panel do not have questions for the witness.</w:t>
      </w:r>
    </w:p>
    <w:p w14:paraId="02051549" w14:textId="77777777" w:rsidR="00605275" w:rsidRDefault="00605275" w:rsidP="008E3A8E">
      <w:pPr>
        <w:numPr>
          <w:ilvl w:val="12"/>
          <w:numId w:val="0"/>
        </w:numPr>
        <w:jc w:val="both"/>
      </w:pPr>
    </w:p>
    <w:p w14:paraId="180E3650" w14:textId="77777777" w:rsidR="00605275" w:rsidRDefault="00605275" w:rsidP="008E3A8E">
      <w:pPr>
        <w:numPr>
          <w:ilvl w:val="12"/>
          <w:numId w:val="0"/>
        </w:numPr>
        <w:jc w:val="both"/>
      </w:pPr>
      <w:r>
        <w:lastRenderedPageBreak/>
        <w:tab/>
        <w:t>In the event a witness is excused in this manner, his or her testimony may be entered into the record as though read following the Commission’s approval of the proposed stipulation of that witness’s testimony.</w:t>
      </w:r>
    </w:p>
    <w:p w14:paraId="744655A8" w14:textId="77777777" w:rsidR="00605275" w:rsidRDefault="00605275" w:rsidP="008E3A8E">
      <w:pPr>
        <w:numPr>
          <w:ilvl w:val="12"/>
          <w:numId w:val="0"/>
        </w:numPr>
        <w:jc w:val="both"/>
      </w:pPr>
    </w:p>
    <w:p w14:paraId="49510085" w14:textId="77777777" w:rsidR="00605275" w:rsidRDefault="00605275" w:rsidP="008E3A8E">
      <w:pPr>
        <w:numPr>
          <w:ilvl w:val="12"/>
          <w:numId w:val="0"/>
        </w:numPr>
        <w:jc w:val="both"/>
      </w:pPr>
      <w:r>
        <w:tab/>
        <w:t>B.</w:t>
      </w:r>
      <w:r>
        <w:tab/>
      </w:r>
      <w:r>
        <w:rPr>
          <w:u w:val="single"/>
        </w:rPr>
        <w:t>Cross-Examination</w:t>
      </w:r>
    </w:p>
    <w:p w14:paraId="438DDD23" w14:textId="77777777" w:rsidR="00605275" w:rsidRDefault="00605275" w:rsidP="008E3A8E">
      <w:pPr>
        <w:numPr>
          <w:ilvl w:val="12"/>
          <w:numId w:val="0"/>
        </w:numPr>
        <w:jc w:val="both"/>
      </w:pPr>
    </w:p>
    <w:p w14:paraId="346953FE" w14:textId="77777777" w:rsidR="00605275" w:rsidRDefault="00605275" w:rsidP="008E3A8E">
      <w:pPr>
        <w:numPr>
          <w:ilvl w:val="12"/>
          <w:numId w:val="0"/>
        </w:numPr>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14:paraId="47C80DAA" w14:textId="77777777" w:rsidR="00605275" w:rsidRDefault="00605275" w:rsidP="008E3A8E">
      <w:pPr>
        <w:numPr>
          <w:ilvl w:val="12"/>
          <w:numId w:val="0"/>
        </w:numPr>
        <w:jc w:val="both"/>
      </w:pPr>
    </w:p>
    <w:p w14:paraId="60C11D28" w14:textId="77777777" w:rsidR="00605275" w:rsidRDefault="00605275" w:rsidP="008E3A8E">
      <w:pPr>
        <w:numPr>
          <w:ilvl w:val="12"/>
          <w:numId w:val="0"/>
        </w:numPr>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6B885EAC" w14:textId="77777777" w:rsidR="00605275" w:rsidRDefault="00605275" w:rsidP="008E3A8E">
      <w:pPr>
        <w:numPr>
          <w:ilvl w:val="12"/>
          <w:numId w:val="0"/>
        </w:numPr>
        <w:jc w:val="both"/>
      </w:pPr>
    </w:p>
    <w:p w14:paraId="69A4CFD6" w14:textId="254B0CC9" w:rsidR="00605275" w:rsidRDefault="00605275" w:rsidP="008E3A8E">
      <w:pPr>
        <w:ind w:firstLine="720"/>
        <w:jc w:val="both"/>
        <w:rPr>
          <w:color w:val="1F497D"/>
          <w:sz w:val="22"/>
          <w:szCs w:val="22"/>
        </w:rPr>
      </w:pPr>
      <w:r>
        <w:t xml:space="preserve">Each party shall be required to provide by </w:t>
      </w:r>
      <w:r w:rsidR="0010447B">
        <w:t>May 29, 2026</w:t>
      </w:r>
      <w:r>
        <w:t xml:space="preserve">, all exhibits (whether for substantive, corroborative, impeachment, or rebuttal purposes) </w:t>
      </w:r>
      <w:r w:rsidRPr="000F636E">
        <w:t>reasonably expected or intended</w:t>
      </w:r>
      <w:r>
        <w:rPr>
          <w:color w:val="1F497D"/>
        </w:rPr>
        <w:t xml:space="preserve"> </w:t>
      </w:r>
      <w:r w:rsidR="0010447B">
        <w:t>to be offered at the hearing as discusse</w:t>
      </w:r>
      <w:r w:rsidR="000C6F75">
        <w:t>d more fully above in Section V</w:t>
      </w:r>
      <w:r w:rsidR="0010447B">
        <w:t>I.G.</w:t>
      </w:r>
    </w:p>
    <w:p w14:paraId="72C63F8C" w14:textId="77777777" w:rsidR="00605275" w:rsidRDefault="00605275" w:rsidP="008E3A8E">
      <w:pPr>
        <w:numPr>
          <w:ilvl w:val="12"/>
          <w:numId w:val="0"/>
        </w:numPr>
        <w:jc w:val="both"/>
      </w:pPr>
    </w:p>
    <w:p w14:paraId="3A80D2E6" w14:textId="77777777" w:rsidR="00605275" w:rsidRDefault="00605275" w:rsidP="008E3A8E">
      <w:pPr>
        <w:numPr>
          <w:ilvl w:val="12"/>
          <w:numId w:val="0"/>
        </w:numPr>
        <w:jc w:val="both"/>
      </w:pPr>
      <w:r>
        <w:tab/>
        <w:t>C.</w:t>
      </w:r>
      <w:r>
        <w:tab/>
      </w:r>
      <w:r>
        <w:rPr>
          <w:u w:val="single"/>
        </w:rPr>
        <w:t>Use of Confidential Information at Hearing</w:t>
      </w:r>
    </w:p>
    <w:p w14:paraId="7B2790E7" w14:textId="77777777" w:rsidR="00605275" w:rsidRDefault="00605275" w:rsidP="008E3A8E">
      <w:pPr>
        <w:numPr>
          <w:ilvl w:val="12"/>
          <w:numId w:val="0"/>
        </w:numPr>
        <w:jc w:val="both"/>
      </w:pPr>
    </w:p>
    <w:p w14:paraId="37EED578" w14:textId="77777777" w:rsidR="00605275" w:rsidRDefault="00605275" w:rsidP="008E3A8E">
      <w:pPr>
        <w:numPr>
          <w:ilvl w:val="12"/>
          <w:numId w:val="0"/>
        </w:numPr>
        <w:jc w:val="both"/>
      </w:pPr>
      <w:r>
        <w:tab/>
        <w:t>It is the policy of this Commission that all Commission hearings be open to the public at all times. The Commission also recognizes its obligation pursuant to Section 367.156, F.S., to protect proprietary confidential business information from disclosure outside the proceeding.  Therefore, any party wishing to use at the hearing any proprietary confidential business information, as that term is defined in Section 367.156, F.S., shall adhere to the following:</w:t>
      </w:r>
    </w:p>
    <w:p w14:paraId="608037A1" w14:textId="77777777" w:rsidR="00605275" w:rsidRDefault="00605275" w:rsidP="008E3A8E">
      <w:pPr>
        <w:numPr>
          <w:ilvl w:val="12"/>
          <w:numId w:val="0"/>
        </w:numPr>
        <w:jc w:val="both"/>
      </w:pPr>
    </w:p>
    <w:p w14:paraId="31E30FEE" w14:textId="77777777" w:rsidR="00605275" w:rsidRDefault="00605275" w:rsidP="008E3A8E">
      <w:pPr>
        <w:spacing w:line="2" w:lineRule="exact"/>
        <w:jc w:val="both"/>
      </w:pPr>
    </w:p>
    <w:p w14:paraId="6EE6DB46" w14:textId="77777777" w:rsidR="00605275" w:rsidRDefault="00605275" w:rsidP="008E3A8E">
      <w:pPr>
        <w:pStyle w:val="Level2"/>
        <w:numPr>
          <w:ilvl w:val="1"/>
          <w:numId w:val="6"/>
        </w:numPr>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9770704" w14:textId="77777777" w:rsidR="00605275" w:rsidRDefault="00605275" w:rsidP="008E3A8E">
      <w:pPr>
        <w:numPr>
          <w:ilvl w:val="12"/>
          <w:numId w:val="0"/>
        </w:numPr>
        <w:jc w:val="both"/>
      </w:pPr>
    </w:p>
    <w:p w14:paraId="5654DE39" w14:textId="77777777" w:rsidR="00605275" w:rsidRDefault="00605275" w:rsidP="008E3A8E">
      <w:pPr>
        <w:pStyle w:val="Level2"/>
        <w:numPr>
          <w:ilvl w:val="1"/>
          <w:numId w:val="6"/>
        </w:numPr>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10DE0C46" w14:textId="77777777" w:rsidR="00605275" w:rsidRDefault="00605275" w:rsidP="008E3A8E">
      <w:pPr>
        <w:numPr>
          <w:ilvl w:val="12"/>
          <w:numId w:val="0"/>
        </w:numPr>
        <w:jc w:val="both"/>
      </w:pPr>
    </w:p>
    <w:p w14:paraId="31898B8F" w14:textId="77777777" w:rsidR="00605275" w:rsidRDefault="00605275" w:rsidP="008E3A8E">
      <w:pPr>
        <w:pStyle w:val="OrderBody"/>
      </w:pPr>
      <w:r>
        <w:lastRenderedPageBreak/>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4BBB449" w14:textId="77777777" w:rsidR="00605275" w:rsidRDefault="00605275" w:rsidP="008E3A8E">
      <w:pPr>
        <w:pStyle w:val="OrderBody"/>
      </w:pPr>
    </w:p>
    <w:p w14:paraId="30000500" w14:textId="4B5EC09D" w:rsidR="00605275" w:rsidRDefault="000F114A" w:rsidP="008E3A8E">
      <w:pPr>
        <w:numPr>
          <w:ilvl w:val="12"/>
          <w:numId w:val="0"/>
        </w:numPr>
        <w:jc w:val="both"/>
      </w:pPr>
      <w:r>
        <w:rPr>
          <w:b/>
          <w:bCs/>
        </w:rPr>
        <w:t>VII</w:t>
      </w:r>
      <w:r w:rsidR="00605275">
        <w:rPr>
          <w:b/>
          <w:bCs/>
        </w:rPr>
        <w:t>I.</w:t>
      </w:r>
      <w:r w:rsidR="00605275">
        <w:rPr>
          <w:b/>
          <w:bCs/>
        </w:rPr>
        <w:tab/>
      </w:r>
      <w:r w:rsidR="00605275">
        <w:rPr>
          <w:b/>
          <w:bCs/>
          <w:u w:val="single"/>
        </w:rPr>
        <w:t>Post-Hearing Procedures</w:t>
      </w:r>
    </w:p>
    <w:p w14:paraId="0BCC987C" w14:textId="77777777" w:rsidR="00605275" w:rsidRDefault="00605275" w:rsidP="008E3A8E">
      <w:pPr>
        <w:numPr>
          <w:ilvl w:val="12"/>
          <w:numId w:val="0"/>
        </w:numPr>
        <w:jc w:val="both"/>
      </w:pPr>
    </w:p>
    <w:p w14:paraId="43028B76" w14:textId="73BCAB4D" w:rsidR="00605275" w:rsidRDefault="00605275" w:rsidP="008E3A8E">
      <w:pPr>
        <w:numPr>
          <w:ilvl w:val="12"/>
          <w:numId w:val="0"/>
        </w:numPr>
        <w:jc w:val="both"/>
      </w:pPr>
      <w:r>
        <w:tab/>
        <w:t xml:space="preserve">If the Commission (or assigned panel) does not render a bench decision at the hearing, it may allow each party to file a post-hearing statement of issues and positions pursuant to the schedule set forth in Section </w:t>
      </w:r>
      <w:r w:rsidR="00961A07">
        <w:t>I</w:t>
      </w:r>
      <w:r>
        <w:t>X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53AD1378" w14:textId="77777777" w:rsidR="00605275" w:rsidRDefault="00605275" w:rsidP="008E3A8E">
      <w:pPr>
        <w:numPr>
          <w:ilvl w:val="12"/>
          <w:numId w:val="0"/>
        </w:numPr>
        <w:jc w:val="both"/>
      </w:pPr>
    </w:p>
    <w:p w14:paraId="31D0C81F" w14:textId="77777777" w:rsidR="00605275" w:rsidRDefault="00605275" w:rsidP="008E3A8E">
      <w:pPr>
        <w:pStyle w:val="OrderBody"/>
      </w:pPr>
      <w:r>
        <w:tab/>
        <w:t xml:space="preserve">Further, pursuant to Rule 28-106.215, F.A.C., a party’s proposed findings of fact and conclusions of law, if any, statement of issues and positions, and brief, shall together total no more than </w:t>
      </w:r>
      <w:r w:rsidR="00474A08" w:rsidRPr="007E6F24">
        <w:t>50</w:t>
      </w:r>
      <w:r w:rsidR="00474A08">
        <w:rPr>
          <w:b/>
          <w:i/>
        </w:rPr>
        <w:t xml:space="preserve"> </w:t>
      </w:r>
      <w:r>
        <w:t>pages and shall be filed at the same time, unless modified by the Presiding Officer.</w:t>
      </w:r>
    </w:p>
    <w:p w14:paraId="319A2BD3" w14:textId="77777777" w:rsidR="00605275" w:rsidRDefault="00605275" w:rsidP="008E3A8E">
      <w:pPr>
        <w:pStyle w:val="OrderBody"/>
      </w:pPr>
    </w:p>
    <w:p w14:paraId="028FF9F9" w14:textId="39A8AB66" w:rsidR="00605275" w:rsidRPr="007E6F24" w:rsidRDefault="00961A07" w:rsidP="008E3A8E">
      <w:pPr>
        <w:numPr>
          <w:ilvl w:val="12"/>
          <w:numId w:val="0"/>
        </w:numPr>
        <w:jc w:val="both"/>
      </w:pPr>
      <w:r>
        <w:rPr>
          <w:b/>
          <w:bCs/>
        </w:rPr>
        <w:t>I</w:t>
      </w:r>
      <w:r w:rsidR="00605275" w:rsidRPr="007E6F24">
        <w:rPr>
          <w:b/>
          <w:bCs/>
        </w:rPr>
        <w:t>X.</w:t>
      </w:r>
      <w:r w:rsidR="00605275" w:rsidRPr="007E6F24">
        <w:rPr>
          <w:b/>
          <w:bCs/>
        </w:rPr>
        <w:tab/>
      </w:r>
      <w:r w:rsidR="00605275" w:rsidRPr="007E6F24">
        <w:rPr>
          <w:b/>
          <w:bCs/>
          <w:u w:val="single"/>
        </w:rPr>
        <w:t>Controlling Dates</w:t>
      </w:r>
    </w:p>
    <w:p w14:paraId="68758166" w14:textId="77777777" w:rsidR="00605275" w:rsidRPr="007E6F24" w:rsidRDefault="00605275" w:rsidP="008E3A8E">
      <w:pPr>
        <w:numPr>
          <w:ilvl w:val="12"/>
          <w:numId w:val="0"/>
        </w:numPr>
        <w:jc w:val="both"/>
      </w:pPr>
    </w:p>
    <w:p w14:paraId="7EF20BE2" w14:textId="77777777" w:rsidR="00605275" w:rsidRPr="007E6F24" w:rsidRDefault="00605275" w:rsidP="008E3A8E">
      <w:pPr>
        <w:numPr>
          <w:ilvl w:val="12"/>
          <w:numId w:val="0"/>
        </w:numPr>
        <w:jc w:val="both"/>
      </w:pPr>
      <w:r w:rsidRPr="007E6F24">
        <w:tab/>
        <w:t>The following dates have been established to govern the key activities of this case:</w:t>
      </w:r>
    </w:p>
    <w:p w14:paraId="26BEC82D" w14:textId="77777777" w:rsidR="00605275" w:rsidRPr="007E6F24" w:rsidRDefault="00605275" w:rsidP="008E3A8E">
      <w:pPr>
        <w:numPr>
          <w:ilvl w:val="12"/>
          <w:numId w:val="0"/>
        </w:numPr>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605275" w:rsidRPr="007E6F24" w14:paraId="64107D29" w14:textId="77777777" w:rsidTr="00E7039C">
        <w:trPr>
          <w:cantSplit/>
        </w:trPr>
        <w:tc>
          <w:tcPr>
            <w:tcW w:w="720" w:type="dxa"/>
            <w:tcBorders>
              <w:top w:val="nil"/>
              <w:left w:val="nil"/>
              <w:bottom w:val="nil"/>
              <w:right w:val="nil"/>
            </w:tcBorders>
          </w:tcPr>
          <w:p w14:paraId="00122F8F" w14:textId="77777777" w:rsidR="00605275" w:rsidRPr="007E6F24" w:rsidRDefault="00605275" w:rsidP="008E3A8E">
            <w:pPr>
              <w:numPr>
                <w:ilvl w:val="12"/>
                <w:numId w:val="0"/>
              </w:numPr>
              <w:spacing w:before="120" w:after="57"/>
              <w:jc w:val="both"/>
            </w:pPr>
            <w:r w:rsidRPr="007E6F24">
              <w:t>(1)</w:t>
            </w:r>
          </w:p>
        </w:tc>
        <w:tc>
          <w:tcPr>
            <w:tcW w:w="5220" w:type="dxa"/>
            <w:tcBorders>
              <w:top w:val="nil"/>
              <w:left w:val="nil"/>
              <w:bottom w:val="nil"/>
              <w:right w:val="nil"/>
            </w:tcBorders>
          </w:tcPr>
          <w:p w14:paraId="54B71FD2" w14:textId="77777777" w:rsidR="00605275" w:rsidRPr="007E6F24" w:rsidRDefault="00605275" w:rsidP="008E3A8E">
            <w:pPr>
              <w:numPr>
                <w:ilvl w:val="12"/>
                <w:numId w:val="0"/>
              </w:numPr>
              <w:spacing w:before="120" w:after="57"/>
              <w:jc w:val="both"/>
            </w:pPr>
            <w:r w:rsidRPr="007E6F24">
              <w:t>Utility’s</w:t>
            </w:r>
            <w:r w:rsidRPr="007E6F24">
              <w:rPr>
                <w:b/>
                <w:i/>
              </w:rPr>
              <w:t xml:space="preserve"> </w:t>
            </w:r>
            <w:r w:rsidRPr="007E6F24">
              <w:t>testimony and exhibits</w:t>
            </w:r>
          </w:p>
        </w:tc>
        <w:tc>
          <w:tcPr>
            <w:tcW w:w="3420" w:type="dxa"/>
            <w:tcBorders>
              <w:top w:val="nil"/>
              <w:left w:val="nil"/>
              <w:bottom w:val="nil"/>
              <w:right w:val="nil"/>
            </w:tcBorders>
          </w:tcPr>
          <w:p w14:paraId="104C8ED7" w14:textId="3ECE37E4" w:rsidR="00605275" w:rsidRPr="007E6F24" w:rsidRDefault="0010447B" w:rsidP="004A7C6E">
            <w:pPr>
              <w:numPr>
                <w:ilvl w:val="12"/>
                <w:numId w:val="0"/>
              </w:numPr>
              <w:spacing w:before="120" w:after="57"/>
              <w:jc w:val="both"/>
            </w:pPr>
            <w:r>
              <w:t>November 24, 2025</w:t>
            </w:r>
          </w:p>
        </w:tc>
      </w:tr>
      <w:tr w:rsidR="00605275" w:rsidRPr="007E6F24" w14:paraId="63FF6992" w14:textId="77777777" w:rsidTr="00E7039C">
        <w:trPr>
          <w:cantSplit/>
        </w:trPr>
        <w:tc>
          <w:tcPr>
            <w:tcW w:w="720" w:type="dxa"/>
            <w:tcBorders>
              <w:top w:val="nil"/>
              <w:left w:val="nil"/>
              <w:bottom w:val="nil"/>
              <w:right w:val="nil"/>
            </w:tcBorders>
          </w:tcPr>
          <w:p w14:paraId="679E6A6E" w14:textId="77777777" w:rsidR="00605275" w:rsidRPr="007E6F24" w:rsidRDefault="00605275" w:rsidP="008E3A8E">
            <w:pPr>
              <w:numPr>
                <w:ilvl w:val="12"/>
                <w:numId w:val="0"/>
              </w:numPr>
              <w:spacing w:before="120" w:after="57"/>
              <w:jc w:val="both"/>
            </w:pPr>
            <w:r w:rsidRPr="007E6F24">
              <w:t>(2)</w:t>
            </w:r>
          </w:p>
        </w:tc>
        <w:tc>
          <w:tcPr>
            <w:tcW w:w="5220" w:type="dxa"/>
            <w:tcBorders>
              <w:top w:val="nil"/>
              <w:left w:val="nil"/>
              <w:bottom w:val="nil"/>
              <w:right w:val="nil"/>
            </w:tcBorders>
          </w:tcPr>
          <w:p w14:paraId="4365E450" w14:textId="77777777" w:rsidR="00605275" w:rsidRPr="007E6F24" w:rsidRDefault="00605275" w:rsidP="008E3A8E">
            <w:pPr>
              <w:numPr>
                <w:ilvl w:val="12"/>
                <w:numId w:val="0"/>
              </w:numPr>
              <w:spacing w:before="120" w:after="57"/>
              <w:jc w:val="both"/>
            </w:pPr>
            <w:r w:rsidRPr="007E6F24">
              <w:t>Intervenors’ testimony and exhibits</w:t>
            </w:r>
          </w:p>
        </w:tc>
        <w:tc>
          <w:tcPr>
            <w:tcW w:w="3420" w:type="dxa"/>
            <w:tcBorders>
              <w:top w:val="nil"/>
              <w:left w:val="nil"/>
              <w:bottom w:val="nil"/>
              <w:right w:val="nil"/>
            </w:tcBorders>
          </w:tcPr>
          <w:p w14:paraId="36F4AF8C" w14:textId="2AF3B639" w:rsidR="00605275" w:rsidRPr="007E6F24" w:rsidRDefault="00343565">
            <w:pPr>
              <w:numPr>
                <w:ilvl w:val="12"/>
                <w:numId w:val="0"/>
              </w:numPr>
              <w:spacing w:before="120" w:after="57"/>
              <w:jc w:val="both"/>
            </w:pPr>
            <w:r>
              <w:t>March 20</w:t>
            </w:r>
            <w:r w:rsidR="00605275" w:rsidRPr="007E6F24">
              <w:t>, 2026</w:t>
            </w:r>
          </w:p>
        </w:tc>
      </w:tr>
      <w:tr w:rsidR="00605275" w:rsidRPr="007E6F24" w14:paraId="4426050F" w14:textId="77777777" w:rsidTr="00E7039C">
        <w:trPr>
          <w:cantSplit/>
        </w:trPr>
        <w:tc>
          <w:tcPr>
            <w:tcW w:w="720" w:type="dxa"/>
            <w:tcBorders>
              <w:top w:val="nil"/>
              <w:left w:val="nil"/>
              <w:bottom w:val="nil"/>
              <w:right w:val="nil"/>
            </w:tcBorders>
          </w:tcPr>
          <w:p w14:paraId="5881EC77" w14:textId="77777777" w:rsidR="00605275" w:rsidRPr="007E6F24" w:rsidRDefault="00605275" w:rsidP="008E3A8E">
            <w:pPr>
              <w:numPr>
                <w:ilvl w:val="12"/>
                <w:numId w:val="0"/>
              </w:numPr>
              <w:spacing w:before="120" w:after="57"/>
              <w:jc w:val="both"/>
            </w:pPr>
            <w:r w:rsidRPr="007E6F24">
              <w:t>(3)</w:t>
            </w:r>
          </w:p>
        </w:tc>
        <w:tc>
          <w:tcPr>
            <w:tcW w:w="5220" w:type="dxa"/>
            <w:tcBorders>
              <w:top w:val="nil"/>
              <w:left w:val="nil"/>
              <w:bottom w:val="nil"/>
              <w:right w:val="nil"/>
            </w:tcBorders>
          </w:tcPr>
          <w:p w14:paraId="0B5976B0" w14:textId="77777777" w:rsidR="00605275" w:rsidRPr="007E6F24" w:rsidRDefault="00605275" w:rsidP="008E3A8E">
            <w:pPr>
              <w:numPr>
                <w:ilvl w:val="12"/>
                <w:numId w:val="0"/>
              </w:numPr>
              <w:spacing w:before="120" w:after="57"/>
              <w:jc w:val="both"/>
            </w:pPr>
            <w:r w:rsidRPr="007E6F24">
              <w:t>Staff’s testimony and exhibits, if any</w:t>
            </w:r>
          </w:p>
        </w:tc>
        <w:tc>
          <w:tcPr>
            <w:tcW w:w="3420" w:type="dxa"/>
            <w:tcBorders>
              <w:top w:val="nil"/>
              <w:left w:val="nil"/>
              <w:bottom w:val="nil"/>
              <w:right w:val="nil"/>
            </w:tcBorders>
          </w:tcPr>
          <w:p w14:paraId="022AEF2B" w14:textId="34CC6378" w:rsidR="00605275" w:rsidRPr="007E6F24" w:rsidRDefault="00F15BC2" w:rsidP="00844896">
            <w:pPr>
              <w:numPr>
                <w:ilvl w:val="12"/>
                <w:numId w:val="0"/>
              </w:numPr>
              <w:spacing w:before="120" w:after="57"/>
              <w:jc w:val="both"/>
            </w:pPr>
            <w:r>
              <w:t>March 27</w:t>
            </w:r>
            <w:r w:rsidR="00605275" w:rsidRPr="007E6F24">
              <w:t>, 2026</w:t>
            </w:r>
          </w:p>
        </w:tc>
      </w:tr>
      <w:tr w:rsidR="00605275" w:rsidRPr="007E6F24" w14:paraId="2AE87CEB" w14:textId="77777777" w:rsidTr="00E7039C">
        <w:trPr>
          <w:cantSplit/>
        </w:trPr>
        <w:tc>
          <w:tcPr>
            <w:tcW w:w="720" w:type="dxa"/>
            <w:tcBorders>
              <w:top w:val="nil"/>
              <w:left w:val="nil"/>
              <w:bottom w:val="nil"/>
              <w:right w:val="nil"/>
            </w:tcBorders>
          </w:tcPr>
          <w:p w14:paraId="019CF263" w14:textId="77777777" w:rsidR="00605275" w:rsidRPr="007E6F24" w:rsidRDefault="00605275" w:rsidP="008E3A8E">
            <w:pPr>
              <w:numPr>
                <w:ilvl w:val="12"/>
                <w:numId w:val="0"/>
              </w:numPr>
              <w:spacing w:before="120" w:after="57"/>
              <w:jc w:val="both"/>
            </w:pPr>
            <w:r w:rsidRPr="007E6F24">
              <w:t>(4)</w:t>
            </w:r>
          </w:p>
        </w:tc>
        <w:tc>
          <w:tcPr>
            <w:tcW w:w="5220" w:type="dxa"/>
            <w:tcBorders>
              <w:top w:val="nil"/>
              <w:left w:val="nil"/>
              <w:bottom w:val="nil"/>
              <w:right w:val="nil"/>
            </w:tcBorders>
          </w:tcPr>
          <w:p w14:paraId="7D0B7396" w14:textId="77777777" w:rsidR="00605275" w:rsidRPr="007E6F24" w:rsidRDefault="00605275" w:rsidP="008E3A8E">
            <w:pPr>
              <w:numPr>
                <w:ilvl w:val="12"/>
                <w:numId w:val="0"/>
              </w:numPr>
              <w:spacing w:before="120" w:after="57"/>
              <w:jc w:val="both"/>
            </w:pPr>
            <w:r w:rsidRPr="007E6F24">
              <w:t xml:space="preserve">Rebuttal testimony and exhibits </w:t>
            </w:r>
          </w:p>
        </w:tc>
        <w:tc>
          <w:tcPr>
            <w:tcW w:w="3420" w:type="dxa"/>
            <w:tcBorders>
              <w:top w:val="nil"/>
              <w:left w:val="nil"/>
              <w:bottom w:val="nil"/>
              <w:right w:val="nil"/>
            </w:tcBorders>
          </w:tcPr>
          <w:p w14:paraId="3B5E4777" w14:textId="1EF8E7A1" w:rsidR="00605275" w:rsidRPr="007E6F24" w:rsidRDefault="00605275" w:rsidP="00844896">
            <w:pPr>
              <w:numPr>
                <w:ilvl w:val="12"/>
                <w:numId w:val="0"/>
              </w:numPr>
              <w:spacing w:before="120" w:after="57"/>
              <w:jc w:val="both"/>
            </w:pPr>
            <w:r w:rsidRPr="007E6F24">
              <w:t xml:space="preserve">April </w:t>
            </w:r>
            <w:r w:rsidR="00F15BC2">
              <w:t>17</w:t>
            </w:r>
            <w:r w:rsidRPr="007E6F24">
              <w:t>, 2026</w:t>
            </w:r>
          </w:p>
        </w:tc>
      </w:tr>
      <w:tr w:rsidR="00605275" w:rsidRPr="007E6F24" w14:paraId="285D2D91" w14:textId="77777777" w:rsidTr="00E7039C">
        <w:trPr>
          <w:cantSplit/>
        </w:trPr>
        <w:tc>
          <w:tcPr>
            <w:tcW w:w="720" w:type="dxa"/>
            <w:tcBorders>
              <w:top w:val="nil"/>
              <w:left w:val="nil"/>
              <w:bottom w:val="nil"/>
              <w:right w:val="nil"/>
            </w:tcBorders>
          </w:tcPr>
          <w:p w14:paraId="340D114C" w14:textId="77777777" w:rsidR="00605275" w:rsidRPr="007E6F24" w:rsidRDefault="00605275" w:rsidP="008E3A8E">
            <w:pPr>
              <w:numPr>
                <w:ilvl w:val="12"/>
                <w:numId w:val="0"/>
              </w:numPr>
              <w:spacing w:before="120" w:after="57"/>
              <w:jc w:val="both"/>
            </w:pPr>
            <w:r w:rsidRPr="007E6F24">
              <w:t>(5)</w:t>
            </w:r>
          </w:p>
        </w:tc>
        <w:tc>
          <w:tcPr>
            <w:tcW w:w="5220" w:type="dxa"/>
            <w:tcBorders>
              <w:top w:val="nil"/>
              <w:left w:val="nil"/>
              <w:bottom w:val="nil"/>
              <w:right w:val="nil"/>
            </w:tcBorders>
          </w:tcPr>
          <w:p w14:paraId="745D66D9" w14:textId="77777777" w:rsidR="00605275" w:rsidRPr="007E6F24" w:rsidRDefault="00605275" w:rsidP="008E3A8E">
            <w:pPr>
              <w:numPr>
                <w:ilvl w:val="12"/>
                <w:numId w:val="0"/>
              </w:numPr>
              <w:spacing w:before="120" w:after="57"/>
              <w:jc w:val="both"/>
            </w:pPr>
            <w:r w:rsidRPr="007E6F24">
              <w:t>Prehearing Statements</w:t>
            </w:r>
          </w:p>
        </w:tc>
        <w:tc>
          <w:tcPr>
            <w:tcW w:w="3420" w:type="dxa"/>
            <w:tcBorders>
              <w:top w:val="nil"/>
              <w:left w:val="nil"/>
              <w:bottom w:val="nil"/>
              <w:right w:val="nil"/>
            </w:tcBorders>
          </w:tcPr>
          <w:p w14:paraId="3E3F95A8" w14:textId="5F1A85F3" w:rsidR="00605275" w:rsidRPr="007E6F24" w:rsidRDefault="00F15BC2" w:rsidP="00844896">
            <w:pPr>
              <w:numPr>
                <w:ilvl w:val="12"/>
                <w:numId w:val="0"/>
              </w:numPr>
              <w:spacing w:before="120" w:after="57"/>
              <w:jc w:val="both"/>
            </w:pPr>
            <w:r>
              <w:t>May 1</w:t>
            </w:r>
            <w:r w:rsidR="00605275" w:rsidRPr="007E6F24">
              <w:t>, 2026</w:t>
            </w:r>
          </w:p>
        </w:tc>
      </w:tr>
      <w:tr w:rsidR="00605275" w:rsidRPr="007E6F24" w14:paraId="5A8C84CC" w14:textId="77777777" w:rsidTr="00E7039C">
        <w:trPr>
          <w:cantSplit/>
        </w:trPr>
        <w:tc>
          <w:tcPr>
            <w:tcW w:w="720" w:type="dxa"/>
            <w:tcBorders>
              <w:top w:val="nil"/>
              <w:left w:val="nil"/>
              <w:bottom w:val="nil"/>
              <w:right w:val="nil"/>
            </w:tcBorders>
          </w:tcPr>
          <w:p w14:paraId="19A9DDDC" w14:textId="77777777" w:rsidR="00605275" w:rsidRPr="007E6F24" w:rsidRDefault="00605275" w:rsidP="008E3A8E">
            <w:pPr>
              <w:numPr>
                <w:ilvl w:val="12"/>
                <w:numId w:val="0"/>
              </w:numPr>
              <w:spacing w:before="120" w:after="57"/>
              <w:jc w:val="both"/>
            </w:pPr>
            <w:r w:rsidRPr="007E6F24">
              <w:t>(6)</w:t>
            </w:r>
          </w:p>
        </w:tc>
        <w:tc>
          <w:tcPr>
            <w:tcW w:w="5220" w:type="dxa"/>
            <w:tcBorders>
              <w:top w:val="nil"/>
              <w:left w:val="nil"/>
              <w:bottom w:val="nil"/>
              <w:right w:val="nil"/>
            </w:tcBorders>
          </w:tcPr>
          <w:p w14:paraId="24B0EDA8" w14:textId="77777777" w:rsidR="00605275" w:rsidRPr="007E6F24" w:rsidRDefault="00605275" w:rsidP="008E3A8E">
            <w:pPr>
              <w:numPr>
                <w:ilvl w:val="12"/>
                <w:numId w:val="0"/>
              </w:numPr>
              <w:spacing w:before="120" w:after="57"/>
              <w:jc w:val="both"/>
            </w:pPr>
            <w:r w:rsidRPr="007E6F24">
              <w:t>Discovery Deadline</w:t>
            </w:r>
          </w:p>
        </w:tc>
        <w:tc>
          <w:tcPr>
            <w:tcW w:w="3420" w:type="dxa"/>
            <w:tcBorders>
              <w:top w:val="nil"/>
              <w:left w:val="nil"/>
              <w:bottom w:val="nil"/>
              <w:right w:val="nil"/>
            </w:tcBorders>
          </w:tcPr>
          <w:p w14:paraId="329A0A5E" w14:textId="7481ECBB" w:rsidR="00605275" w:rsidRPr="007E6F24" w:rsidRDefault="00F15BC2" w:rsidP="00844896">
            <w:pPr>
              <w:numPr>
                <w:ilvl w:val="12"/>
                <w:numId w:val="0"/>
              </w:numPr>
              <w:spacing w:before="120" w:after="57"/>
              <w:jc w:val="both"/>
            </w:pPr>
            <w:r>
              <w:t>May 13</w:t>
            </w:r>
            <w:r w:rsidR="00605275" w:rsidRPr="007E6F24">
              <w:t>, 2026</w:t>
            </w:r>
          </w:p>
        </w:tc>
      </w:tr>
      <w:tr w:rsidR="00605275" w:rsidRPr="007E6F24" w14:paraId="0360384F" w14:textId="77777777" w:rsidTr="00E7039C">
        <w:trPr>
          <w:cantSplit/>
        </w:trPr>
        <w:tc>
          <w:tcPr>
            <w:tcW w:w="720" w:type="dxa"/>
            <w:tcBorders>
              <w:top w:val="nil"/>
              <w:left w:val="nil"/>
              <w:bottom w:val="nil"/>
              <w:right w:val="nil"/>
            </w:tcBorders>
          </w:tcPr>
          <w:p w14:paraId="5BCF7F58" w14:textId="77777777" w:rsidR="00605275" w:rsidRPr="007E6F24" w:rsidRDefault="00605275" w:rsidP="008E3A8E">
            <w:pPr>
              <w:numPr>
                <w:ilvl w:val="12"/>
                <w:numId w:val="0"/>
              </w:numPr>
              <w:spacing w:before="120" w:after="57"/>
              <w:jc w:val="both"/>
            </w:pPr>
            <w:r w:rsidRPr="007E6F24">
              <w:t>(7)</w:t>
            </w:r>
          </w:p>
        </w:tc>
        <w:tc>
          <w:tcPr>
            <w:tcW w:w="5220" w:type="dxa"/>
            <w:tcBorders>
              <w:top w:val="nil"/>
              <w:left w:val="nil"/>
              <w:bottom w:val="nil"/>
              <w:right w:val="nil"/>
            </w:tcBorders>
          </w:tcPr>
          <w:p w14:paraId="425528C3" w14:textId="77777777" w:rsidR="00605275" w:rsidRPr="007E6F24" w:rsidRDefault="00605275" w:rsidP="008E3A8E">
            <w:pPr>
              <w:numPr>
                <w:ilvl w:val="12"/>
                <w:numId w:val="0"/>
              </w:numPr>
              <w:spacing w:before="120" w:after="57"/>
              <w:jc w:val="both"/>
            </w:pPr>
            <w:r w:rsidRPr="007E6F24">
              <w:t>Prehearing Conference</w:t>
            </w:r>
          </w:p>
        </w:tc>
        <w:tc>
          <w:tcPr>
            <w:tcW w:w="3420" w:type="dxa"/>
            <w:tcBorders>
              <w:top w:val="nil"/>
              <w:left w:val="nil"/>
              <w:bottom w:val="nil"/>
              <w:right w:val="nil"/>
            </w:tcBorders>
          </w:tcPr>
          <w:p w14:paraId="580999DA" w14:textId="37F74416" w:rsidR="00605275" w:rsidRPr="007E6F24" w:rsidRDefault="00F15BC2" w:rsidP="008E3A8E">
            <w:pPr>
              <w:numPr>
                <w:ilvl w:val="12"/>
                <w:numId w:val="0"/>
              </w:numPr>
              <w:spacing w:before="120" w:after="57"/>
              <w:jc w:val="both"/>
            </w:pPr>
            <w:r>
              <w:t>May 14</w:t>
            </w:r>
            <w:r w:rsidR="00605275" w:rsidRPr="007E6F24">
              <w:t>, 2026</w:t>
            </w:r>
          </w:p>
        </w:tc>
      </w:tr>
      <w:tr w:rsidR="00605275" w:rsidRPr="007E6F24" w14:paraId="1FB7101F" w14:textId="77777777" w:rsidTr="00E7039C">
        <w:trPr>
          <w:cantSplit/>
        </w:trPr>
        <w:tc>
          <w:tcPr>
            <w:tcW w:w="720" w:type="dxa"/>
            <w:tcBorders>
              <w:top w:val="nil"/>
              <w:left w:val="nil"/>
              <w:bottom w:val="nil"/>
              <w:right w:val="nil"/>
            </w:tcBorders>
          </w:tcPr>
          <w:p w14:paraId="1D5CE8B2" w14:textId="77777777" w:rsidR="00605275" w:rsidRPr="007E6F24" w:rsidRDefault="00605275" w:rsidP="008E3A8E">
            <w:pPr>
              <w:numPr>
                <w:ilvl w:val="12"/>
                <w:numId w:val="0"/>
              </w:numPr>
              <w:spacing w:before="120" w:after="57"/>
              <w:jc w:val="both"/>
            </w:pPr>
            <w:r w:rsidRPr="007E6F24">
              <w:t>(8)</w:t>
            </w:r>
          </w:p>
        </w:tc>
        <w:tc>
          <w:tcPr>
            <w:tcW w:w="5220" w:type="dxa"/>
            <w:tcBorders>
              <w:top w:val="nil"/>
              <w:left w:val="nil"/>
              <w:bottom w:val="nil"/>
              <w:right w:val="nil"/>
            </w:tcBorders>
          </w:tcPr>
          <w:p w14:paraId="1057BEC5" w14:textId="77777777" w:rsidR="00605275" w:rsidRPr="007E6F24" w:rsidRDefault="00605275" w:rsidP="008E3A8E">
            <w:pPr>
              <w:numPr>
                <w:ilvl w:val="12"/>
                <w:numId w:val="0"/>
              </w:numPr>
              <w:spacing w:before="120" w:after="57"/>
              <w:jc w:val="both"/>
            </w:pPr>
            <w:r w:rsidRPr="007E6F24">
              <w:t>Provision of Exhibits</w:t>
            </w:r>
          </w:p>
        </w:tc>
        <w:tc>
          <w:tcPr>
            <w:tcW w:w="3420" w:type="dxa"/>
            <w:tcBorders>
              <w:top w:val="nil"/>
              <w:left w:val="nil"/>
              <w:bottom w:val="nil"/>
              <w:right w:val="nil"/>
            </w:tcBorders>
          </w:tcPr>
          <w:p w14:paraId="113E57B2" w14:textId="77777777" w:rsidR="00605275" w:rsidRPr="007E6F24" w:rsidRDefault="00605275" w:rsidP="008E3A8E">
            <w:pPr>
              <w:numPr>
                <w:ilvl w:val="12"/>
                <w:numId w:val="0"/>
              </w:numPr>
              <w:spacing w:before="120" w:after="57"/>
              <w:jc w:val="both"/>
            </w:pPr>
            <w:r w:rsidRPr="007E6F24">
              <w:t>May 29, 2026</w:t>
            </w:r>
          </w:p>
        </w:tc>
      </w:tr>
      <w:tr w:rsidR="00605275" w:rsidRPr="007E6F24" w14:paraId="3A2E6268" w14:textId="77777777" w:rsidTr="00E7039C">
        <w:trPr>
          <w:cantSplit/>
          <w:trHeight w:val="454"/>
        </w:trPr>
        <w:tc>
          <w:tcPr>
            <w:tcW w:w="720" w:type="dxa"/>
            <w:tcBorders>
              <w:top w:val="nil"/>
              <w:left w:val="nil"/>
              <w:bottom w:val="nil"/>
              <w:right w:val="nil"/>
            </w:tcBorders>
          </w:tcPr>
          <w:p w14:paraId="4CF2418A" w14:textId="77777777" w:rsidR="00605275" w:rsidRPr="007E6F24" w:rsidRDefault="00605275" w:rsidP="008E3A8E">
            <w:pPr>
              <w:numPr>
                <w:ilvl w:val="12"/>
                <w:numId w:val="0"/>
              </w:numPr>
              <w:spacing w:before="120" w:after="57"/>
              <w:jc w:val="both"/>
            </w:pPr>
            <w:r w:rsidRPr="007E6F24">
              <w:t>(9)</w:t>
            </w:r>
          </w:p>
        </w:tc>
        <w:tc>
          <w:tcPr>
            <w:tcW w:w="5220" w:type="dxa"/>
            <w:tcBorders>
              <w:top w:val="nil"/>
              <w:left w:val="nil"/>
              <w:bottom w:val="nil"/>
              <w:right w:val="nil"/>
            </w:tcBorders>
          </w:tcPr>
          <w:p w14:paraId="04C92187" w14:textId="77777777" w:rsidR="00605275" w:rsidRPr="007E6F24" w:rsidRDefault="00605275" w:rsidP="008E3A8E">
            <w:pPr>
              <w:numPr>
                <w:ilvl w:val="12"/>
                <w:numId w:val="0"/>
              </w:numPr>
              <w:spacing w:before="120" w:after="57"/>
              <w:jc w:val="both"/>
            </w:pPr>
            <w:r w:rsidRPr="007E6F24">
              <w:t>Hearing</w:t>
            </w:r>
          </w:p>
        </w:tc>
        <w:tc>
          <w:tcPr>
            <w:tcW w:w="3420" w:type="dxa"/>
            <w:tcBorders>
              <w:top w:val="nil"/>
              <w:left w:val="nil"/>
              <w:bottom w:val="nil"/>
              <w:right w:val="nil"/>
            </w:tcBorders>
          </w:tcPr>
          <w:p w14:paraId="3317FC14" w14:textId="3AC9B7FB" w:rsidR="00605275" w:rsidRPr="007E6F24" w:rsidRDefault="00605275" w:rsidP="008E3A8E">
            <w:pPr>
              <w:numPr>
                <w:ilvl w:val="12"/>
                <w:numId w:val="0"/>
              </w:numPr>
              <w:spacing w:before="120" w:after="57"/>
              <w:jc w:val="both"/>
            </w:pPr>
            <w:r w:rsidRPr="007E6F24">
              <w:t>June 8</w:t>
            </w:r>
            <w:r w:rsidR="00A960A7">
              <w:t>-12</w:t>
            </w:r>
            <w:r w:rsidRPr="007E6F24">
              <w:t>, 2026</w:t>
            </w:r>
          </w:p>
        </w:tc>
      </w:tr>
      <w:tr w:rsidR="00605275" w14:paraId="15246D76" w14:textId="77777777" w:rsidTr="00E7039C">
        <w:trPr>
          <w:cantSplit/>
        </w:trPr>
        <w:tc>
          <w:tcPr>
            <w:tcW w:w="720" w:type="dxa"/>
            <w:tcBorders>
              <w:top w:val="nil"/>
              <w:left w:val="nil"/>
              <w:bottom w:val="nil"/>
              <w:right w:val="nil"/>
            </w:tcBorders>
          </w:tcPr>
          <w:p w14:paraId="20821323" w14:textId="77777777" w:rsidR="00605275" w:rsidRPr="007E6F24" w:rsidRDefault="00605275" w:rsidP="008E3A8E">
            <w:pPr>
              <w:numPr>
                <w:ilvl w:val="12"/>
                <w:numId w:val="0"/>
              </w:numPr>
              <w:spacing w:before="120" w:after="57"/>
              <w:jc w:val="both"/>
            </w:pPr>
            <w:r w:rsidRPr="007E6F24">
              <w:t>(10)</w:t>
            </w:r>
          </w:p>
        </w:tc>
        <w:tc>
          <w:tcPr>
            <w:tcW w:w="5220" w:type="dxa"/>
            <w:tcBorders>
              <w:top w:val="nil"/>
              <w:left w:val="nil"/>
              <w:bottom w:val="nil"/>
              <w:right w:val="nil"/>
            </w:tcBorders>
          </w:tcPr>
          <w:p w14:paraId="3924FA03" w14:textId="77777777" w:rsidR="00605275" w:rsidRPr="007E6F24" w:rsidRDefault="00605275" w:rsidP="008E3A8E">
            <w:pPr>
              <w:numPr>
                <w:ilvl w:val="12"/>
                <w:numId w:val="0"/>
              </w:numPr>
              <w:spacing w:before="120" w:after="57"/>
              <w:jc w:val="both"/>
            </w:pPr>
            <w:r w:rsidRPr="007E6F24">
              <w:t>Briefs</w:t>
            </w:r>
          </w:p>
        </w:tc>
        <w:tc>
          <w:tcPr>
            <w:tcW w:w="3420" w:type="dxa"/>
            <w:tcBorders>
              <w:top w:val="nil"/>
              <w:left w:val="nil"/>
              <w:bottom w:val="nil"/>
              <w:right w:val="nil"/>
            </w:tcBorders>
          </w:tcPr>
          <w:p w14:paraId="5A9805D4" w14:textId="77777777" w:rsidR="00605275" w:rsidRDefault="00605275" w:rsidP="008E3A8E">
            <w:pPr>
              <w:numPr>
                <w:ilvl w:val="12"/>
                <w:numId w:val="0"/>
              </w:numPr>
              <w:spacing w:before="120" w:after="57"/>
              <w:jc w:val="both"/>
            </w:pPr>
            <w:r w:rsidRPr="007E6F24">
              <w:t>July 10, 2026</w:t>
            </w:r>
          </w:p>
        </w:tc>
      </w:tr>
    </w:tbl>
    <w:p w14:paraId="3187FA5F" w14:textId="77777777" w:rsidR="00605275" w:rsidRDefault="00605275" w:rsidP="008E3A8E">
      <w:pPr>
        <w:numPr>
          <w:ilvl w:val="12"/>
          <w:numId w:val="0"/>
        </w:numPr>
        <w:jc w:val="both"/>
      </w:pPr>
    </w:p>
    <w:p w14:paraId="489CD252" w14:textId="107C6CE9" w:rsidR="00605275" w:rsidRDefault="00605275" w:rsidP="008E3A8E">
      <w:pPr>
        <w:pStyle w:val="OrderBody"/>
      </w:pPr>
      <w:r>
        <w:tab/>
        <w:t>In addition, all parties should be on notice that the Prehearing Officer may exercise the discretion to schedule additional Prehearing Conferences or meetings of the</w:t>
      </w:r>
      <w:r w:rsidR="006C38C8">
        <w:t xml:space="preserve"> parties as deemed appropriate.</w:t>
      </w:r>
      <w:r>
        <w:t xml:space="preserve"> Such meetings will be properly noticed to afford the parties an opportunity to attend.</w:t>
      </w:r>
    </w:p>
    <w:p w14:paraId="433D7C64" w14:textId="77777777" w:rsidR="00605275" w:rsidRDefault="00605275" w:rsidP="008E3A8E">
      <w:pPr>
        <w:pStyle w:val="OrderBody"/>
      </w:pPr>
    </w:p>
    <w:p w14:paraId="28D9D1AF" w14:textId="77777777" w:rsidR="00605275" w:rsidRDefault="00605275" w:rsidP="00605275">
      <w:pPr>
        <w:pStyle w:val="OrderBody"/>
      </w:pPr>
      <w:r>
        <w:tab/>
        <w:t>Based on the foregoing, it is</w:t>
      </w:r>
    </w:p>
    <w:p w14:paraId="474DF9BF" w14:textId="77777777" w:rsidR="00605275" w:rsidRDefault="00605275" w:rsidP="00605275">
      <w:pPr>
        <w:pStyle w:val="OrderBody"/>
      </w:pPr>
    </w:p>
    <w:p w14:paraId="1572DFB1" w14:textId="77777777" w:rsidR="00605275" w:rsidRDefault="00605275" w:rsidP="00605275">
      <w:pPr>
        <w:pStyle w:val="OrderBody"/>
      </w:pPr>
      <w:r>
        <w:tab/>
        <w:t>ORDERED by Commissioner Gary Clark, as Prehearing Officer, that the provisions of this Order shall govern this proceeding unless modified by the Commission.</w:t>
      </w:r>
    </w:p>
    <w:p w14:paraId="72FC51D4" w14:textId="77777777" w:rsidR="00605275" w:rsidRDefault="00605275" w:rsidP="00605275">
      <w:pPr>
        <w:pStyle w:val="OrderBody"/>
      </w:pPr>
    </w:p>
    <w:p w14:paraId="1D826B79" w14:textId="251C967C" w:rsidR="00605275" w:rsidRDefault="00605275" w:rsidP="00605275">
      <w:pPr>
        <w:pStyle w:val="OrderBody"/>
        <w:keepNext/>
        <w:keepLines/>
      </w:pPr>
      <w:r>
        <w:tab/>
        <w:t xml:space="preserve">By ORDER of Commissioner Gary F. Clark, as Prehearing Officer, this </w:t>
      </w:r>
      <w:bookmarkStart w:id="6" w:name="replaceDate"/>
      <w:bookmarkEnd w:id="6"/>
      <w:r w:rsidR="004D3C16">
        <w:rPr>
          <w:u w:val="single"/>
        </w:rPr>
        <w:t>16th</w:t>
      </w:r>
      <w:r w:rsidR="004D3C16">
        <w:t xml:space="preserve"> day of </w:t>
      </w:r>
      <w:r w:rsidR="004D3C16">
        <w:rPr>
          <w:u w:val="single"/>
        </w:rPr>
        <w:t>December</w:t>
      </w:r>
      <w:r w:rsidR="004D3C16">
        <w:t xml:space="preserve">, </w:t>
      </w:r>
      <w:r w:rsidR="004D3C16">
        <w:rPr>
          <w:u w:val="single"/>
        </w:rPr>
        <w:t>2025</w:t>
      </w:r>
      <w:r w:rsidR="004D3C16">
        <w:t>.</w:t>
      </w:r>
    </w:p>
    <w:p w14:paraId="54C5D97B" w14:textId="77777777" w:rsidR="004D3C16" w:rsidRPr="004D3C16" w:rsidRDefault="004D3C16" w:rsidP="00605275">
      <w:pPr>
        <w:pStyle w:val="OrderBody"/>
        <w:keepNext/>
        <w:keepLines/>
      </w:pPr>
    </w:p>
    <w:p w14:paraId="2F61CC56" w14:textId="1C808D5F" w:rsidR="00605275" w:rsidRDefault="00605275" w:rsidP="00605275">
      <w:pPr>
        <w:pStyle w:val="OrderBody"/>
        <w:keepNext/>
        <w:keepLines/>
      </w:pPr>
    </w:p>
    <w:p w14:paraId="0ABC36A1" w14:textId="77777777" w:rsidR="004D3C16" w:rsidRDefault="004D3C16" w:rsidP="00605275">
      <w:pPr>
        <w:pStyle w:val="OrderBody"/>
        <w:keepNext/>
        <w:keepLines/>
      </w:pPr>
    </w:p>
    <w:p w14:paraId="55E8CEBD" w14:textId="77777777" w:rsidR="00605275" w:rsidRDefault="00605275" w:rsidP="00605275">
      <w:pPr>
        <w:pStyle w:val="OrderBody"/>
        <w:keepNext/>
        <w:keepLines/>
      </w:pPr>
    </w:p>
    <w:p w14:paraId="5F501E25" w14:textId="77777777" w:rsidR="00605275" w:rsidRDefault="00605275" w:rsidP="006052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05275" w14:paraId="0530E2ED" w14:textId="77777777" w:rsidTr="00605275">
        <w:tc>
          <w:tcPr>
            <w:tcW w:w="720" w:type="dxa"/>
            <w:shd w:val="clear" w:color="auto" w:fill="auto"/>
          </w:tcPr>
          <w:p w14:paraId="1FA16A74" w14:textId="77777777" w:rsidR="00605275" w:rsidRDefault="00605275" w:rsidP="00605275">
            <w:pPr>
              <w:pStyle w:val="OrderBody"/>
              <w:keepNext/>
              <w:keepLines/>
            </w:pPr>
            <w:bookmarkStart w:id="7" w:name="bkmrkSignature" w:colFirst="0" w:colLast="0"/>
          </w:p>
        </w:tc>
        <w:tc>
          <w:tcPr>
            <w:tcW w:w="4320" w:type="dxa"/>
            <w:tcBorders>
              <w:bottom w:val="single" w:sz="4" w:space="0" w:color="auto"/>
            </w:tcBorders>
            <w:shd w:val="clear" w:color="auto" w:fill="auto"/>
          </w:tcPr>
          <w:p w14:paraId="0E7DA508" w14:textId="5A465A7C" w:rsidR="00605275" w:rsidRDefault="002915F4" w:rsidP="00605275">
            <w:pPr>
              <w:pStyle w:val="OrderBody"/>
              <w:keepNext/>
              <w:keepLines/>
            </w:pPr>
            <w:r>
              <w:t>/s/ Gary F. Clark</w:t>
            </w:r>
            <w:bookmarkStart w:id="8" w:name="_GoBack"/>
            <w:bookmarkEnd w:id="8"/>
          </w:p>
        </w:tc>
      </w:tr>
      <w:bookmarkEnd w:id="7"/>
      <w:tr w:rsidR="00605275" w14:paraId="4DDE2288" w14:textId="77777777" w:rsidTr="00605275">
        <w:tc>
          <w:tcPr>
            <w:tcW w:w="720" w:type="dxa"/>
            <w:shd w:val="clear" w:color="auto" w:fill="auto"/>
          </w:tcPr>
          <w:p w14:paraId="3F7E485C" w14:textId="77777777" w:rsidR="00605275" w:rsidRDefault="00605275" w:rsidP="00605275">
            <w:pPr>
              <w:pStyle w:val="OrderBody"/>
              <w:keepNext/>
              <w:keepLines/>
            </w:pPr>
          </w:p>
        </w:tc>
        <w:tc>
          <w:tcPr>
            <w:tcW w:w="4320" w:type="dxa"/>
            <w:tcBorders>
              <w:top w:val="single" w:sz="4" w:space="0" w:color="auto"/>
            </w:tcBorders>
            <w:shd w:val="clear" w:color="auto" w:fill="auto"/>
          </w:tcPr>
          <w:p w14:paraId="6AAAB5FB" w14:textId="77777777" w:rsidR="00605275" w:rsidRDefault="00605275" w:rsidP="00605275">
            <w:pPr>
              <w:pStyle w:val="OrderBody"/>
              <w:keepNext/>
              <w:keepLines/>
            </w:pPr>
            <w:r>
              <w:t>GARY F. CLARK</w:t>
            </w:r>
          </w:p>
          <w:p w14:paraId="32143FBE" w14:textId="77777777" w:rsidR="00605275" w:rsidRDefault="00605275" w:rsidP="00605275">
            <w:pPr>
              <w:pStyle w:val="OrderBody"/>
              <w:keepNext/>
              <w:keepLines/>
            </w:pPr>
            <w:r>
              <w:t>Commissioner and Prehearing Officer</w:t>
            </w:r>
          </w:p>
        </w:tc>
      </w:tr>
    </w:tbl>
    <w:p w14:paraId="5DDF9252" w14:textId="77777777" w:rsidR="00605275" w:rsidRDefault="00605275" w:rsidP="00605275">
      <w:pPr>
        <w:pStyle w:val="OrderSigInfo"/>
        <w:keepNext/>
        <w:keepLines/>
      </w:pPr>
      <w:r>
        <w:t>Florida Public Service Commission</w:t>
      </w:r>
    </w:p>
    <w:p w14:paraId="64FD489A" w14:textId="77777777" w:rsidR="00605275" w:rsidRDefault="00605275" w:rsidP="00605275">
      <w:pPr>
        <w:pStyle w:val="OrderSigInfo"/>
        <w:keepNext/>
        <w:keepLines/>
      </w:pPr>
      <w:r>
        <w:t>2540 Shumard Oak Boulevard</w:t>
      </w:r>
    </w:p>
    <w:p w14:paraId="63D71C9A" w14:textId="77777777" w:rsidR="00605275" w:rsidRDefault="00605275" w:rsidP="00605275">
      <w:pPr>
        <w:pStyle w:val="OrderSigInfo"/>
        <w:keepNext/>
        <w:keepLines/>
      </w:pPr>
      <w:r>
        <w:t>Tallahassee, Florida 32399</w:t>
      </w:r>
    </w:p>
    <w:p w14:paraId="4E7125EC" w14:textId="77777777" w:rsidR="00605275" w:rsidRDefault="00605275" w:rsidP="00605275">
      <w:pPr>
        <w:pStyle w:val="OrderSigInfo"/>
        <w:keepNext/>
        <w:keepLines/>
      </w:pPr>
      <w:r>
        <w:t>(850) 413</w:t>
      </w:r>
      <w:r>
        <w:noBreakHyphen/>
        <w:t>6770</w:t>
      </w:r>
    </w:p>
    <w:p w14:paraId="65C8B0BD" w14:textId="77777777" w:rsidR="00605275" w:rsidRDefault="00605275" w:rsidP="00605275">
      <w:pPr>
        <w:pStyle w:val="OrderSigInfo"/>
        <w:keepNext/>
        <w:keepLines/>
      </w:pPr>
      <w:r>
        <w:t>www.floridapsc.com</w:t>
      </w:r>
    </w:p>
    <w:p w14:paraId="5F3132FA" w14:textId="77777777" w:rsidR="00605275" w:rsidRDefault="00605275" w:rsidP="00605275">
      <w:pPr>
        <w:pStyle w:val="OrderSigInfo"/>
        <w:keepNext/>
        <w:keepLines/>
      </w:pPr>
    </w:p>
    <w:p w14:paraId="7D7D855F" w14:textId="77777777" w:rsidR="00605275" w:rsidRDefault="00605275" w:rsidP="00605275">
      <w:pPr>
        <w:pStyle w:val="OrderSigInfo"/>
        <w:keepNext/>
        <w:keepLines/>
      </w:pPr>
      <w:r>
        <w:t>Copies furnished:  A copy of this document is provided to the parties of record at the time of issuance and, if applicable, interested persons.</w:t>
      </w:r>
    </w:p>
    <w:p w14:paraId="53728492" w14:textId="77777777" w:rsidR="00605275" w:rsidRDefault="00605275" w:rsidP="00605275">
      <w:pPr>
        <w:pStyle w:val="OrderBody"/>
        <w:keepNext/>
        <w:keepLines/>
      </w:pPr>
    </w:p>
    <w:p w14:paraId="6B54C701" w14:textId="77777777" w:rsidR="00605275" w:rsidRDefault="00605275" w:rsidP="00605275">
      <w:pPr>
        <w:pStyle w:val="OrderBody"/>
        <w:keepNext/>
        <w:keepLines/>
      </w:pPr>
    </w:p>
    <w:p w14:paraId="2E6355C5" w14:textId="77777777" w:rsidR="00605275" w:rsidRDefault="00605275" w:rsidP="00605275">
      <w:pPr>
        <w:pStyle w:val="OrderBody"/>
        <w:keepNext/>
        <w:keepLines/>
      </w:pPr>
      <w:r>
        <w:t>DD</w:t>
      </w:r>
    </w:p>
    <w:p w14:paraId="33DE2954" w14:textId="77777777" w:rsidR="00605275" w:rsidRDefault="00605275" w:rsidP="00605275">
      <w:pPr>
        <w:pStyle w:val="OrderBody"/>
      </w:pPr>
    </w:p>
    <w:p w14:paraId="6CE44F48" w14:textId="3CE059CE" w:rsidR="00605275" w:rsidRDefault="00605275" w:rsidP="00605275">
      <w:pPr>
        <w:pStyle w:val="OrderBody"/>
      </w:pPr>
    </w:p>
    <w:p w14:paraId="05E2031D" w14:textId="1F469B59" w:rsidR="00441AE7" w:rsidRDefault="00441AE7" w:rsidP="00605275">
      <w:pPr>
        <w:pStyle w:val="OrderBody"/>
      </w:pPr>
    </w:p>
    <w:p w14:paraId="72C263AB" w14:textId="77777777" w:rsidR="00441AE7" w:rsidRDefault="00441AE7" w:rsidP="00605275">
      <w:pPr>
        <w:pStyle w:val="OrderBody"/>
      </w:pPr>
    </w:p>
    <w:p w14:paraId="0DC28036" w14:textId="77777777" w:rsidR="008E3A8E" w:rsidRDefault="008E3A8E" w:rsidP="00605275">
      <w:pPr>
        <w:pStyle w:val="OrderBody"/>
      </w:pPr>
    </w:p>
    <w:p w14:paraId="79BD3F40" w14:textId="77777777" w:rsidR="008E3A8E" w:rsidRDefault="008E3A8E" w:rsidP="00605275">
      <w:pPr>
        <w:pStyle w:val="OrderBody"/>
      </w:pPr>
    </w:p>
    <w:p w14:paraId="6C307DD2" w14:textId="22BF1E47" w:rsidR="008E3A8E" w:rsidRDefault="008E3A8E" w:rsidP="00605275">
      <w:pPr>
        <w:pStyle w:val="OrderBody"/>
      </w:pPr>
    </w:p>
    <w:p w14:paraId="18F947C3" w14:textId="22669694" w:rsidR="00C718C0" w:rsidRDefault="00C718C0" w:rsidP="00605275">
      <w:pPr>
        <w:pStyle w:val="OrderBody"/>
      </w:pPr>
    </w:p>
    <w:p w14:paraId="54AB610A" w14:textId="522305F7" w:rsidR="00C718C0" w:rsidRDefault="00C718C0" w:rsidP="00605275">
      <w:pPr>
        <w:pStyle w:val="OrderBody"/>
      </w:pPr>
    </w:p>
    <w:p w14:paraId="24A8A954" w14:textId="01C2814A" w:rsidR="00C718C0" w:rsidRDefault="00C718C0" w:rsidP="00605275">
      <w:pPr>
        <w:pStyle w:val="OrderBody"/>
      </w:pPr>
    </w:p>
    <w:p w14:paraId="1DE6A45D" w14:textId="282E723A" w:rsidR="00C718C0" w:rsidRDefault="00C718C0" w:rsidP="00605275">
      <w:pPr>
        <w:pStyle w:val="OrderBody"/>
      </w:pPr>
    </w:p>
    <w:p w14:paraId="18E0E3E7" w14:textId="04616E62" w:rsidR="00C718C0" w:rsidRDefault="00C718C0" w:rsidP="00605275">
      <w:pPr>
        <w:pStyle w:val="OrderBody"/>
      </w:pPr>
    </w:p>
    <w:p w14:paraId="28D44573" w14:textId="77777777" w:rsidR="00C718C0" w:rsidRDefault="00C718C0" w:rsidP="00605275">
      <w:pPr>
        <w:pStyle w:val="OrderBody"/>
      </w:pPr>
    </w:p>
    <w:p w14:paraId="1B57DFFF" w14:textId="77777777" w:rsidR="00605275" w:rsidRDefault="00605275" w:rsidP="00605275">
      <w:pPr>
        <w:pStyle w:val="CenterUnderline"/>
      </w:pPr>
      <w:r>
        <w:lastRenderedPageBreak/>
        <w:t>NOTICE OF FURTHER PROCEEDINGS OR JUDICIAL REVIEW</w:t>
      </w:r>
    </w:p>
    <w:p w14:paraId="1538F31C" w14:textId="77777777" w:rsidR="00605275" w:rsidRDefault="00605275" w:rsidP="00605275">
      <w:pPr>
        <w:pStyle w:val="CenterUnderline"/>
      </w:pPr>
    </w:p>
    <w:p w14:paraId="44D338DC" w14:textId="77777777" w:rsidR="00605275" w:rsidRDefault="00605275" w:rsidP="0060527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63938E5" w14:textId="77777777" w:rsidR="00605275" w:rsidRDefault="00605275" w:rsidP="00605275">
      <w:pPr>
        <w:pStyle w:val="OrderBody"/>
      </w:pPr>
    </w:p>
    <w:p w14:paraId="0C489564" w14:textId="77777777" w:rsidR="00605275" w:rsidRDefault="00605275" w:rsidP="00605275">
      <w:pPr>
        <w:pStyle w:val="OrderBody"/>
      </w:pPr>
      <w:r>
        <w:tab/>
        <w:t>Mediation may be available on a case-by-case basis.  If mediation is conducted, it does not affect a substantially interested person's right to a hearing.</w:t>
      </w:r>
    </w:p>
    <w:p w14:paraId="5797DBE4" w14:textId="77777777" w:rsidR="00605275" w:rsidRDefault="00605275" w:rsidP="00605275">
      <w:pPr>
        <w:pStyle w:val="OrderBody"/>
      </w:pPr>
    </w:p>
    <w:p w14:paraId="77DBAD5D" w14:textId="77777777" w:rsidR="00605275" w:rsidRDefault="00605275" w:rsidP="0060527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196CC6F" w14:textId="77777777" w:rsidR="00605275" w:rsidRDefault="00605275" w:rsidP="00605275">
      <w:pPr>
        <w:pStyle w:val="OrderBody"/>
      </w:pPr>
    </w:p>
    <w:p w14:paraId="3384B072" w14:textId="77777777" w:rsidR="00605275" w:rsidRDefault="00605275" w:rsidP="006052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71C2B6" w14:textId="77777777" w:rsidR="00605275" w:rsidRDefault="00605275" w:rsidP="00605275">
      <w:pPr>
        <w:pStyle w:val="OrderBody"/>
      </w:pPr>
    </w:p>
    <w:p w14:paraId="1B476390" w14:textId="77777777" w:rsidR="00605275" w:rsidRDefault="00605275" w:rsidP="00605275">
      <w:pPr>
        <w:pStyle w:val="OrderBody"/>
      </w:pPr>
    </w:p>
    <w:sectPr w:rsidR="00605275">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599E3" w14:textId="77777777" w:rsidR="00605275" w:rsidRDefault="00605275">
      <w:r>
        <w:separator/>
      </w:r>
    </w:p>
  </w:endnote>
  <w:endnote w:type="continuationSeparator" w:id="0">
    <w:p w14:paraId="4D34CA81" w14:textId="77777777" w:rsidR="00605275" w:rsidRDefault="0060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41973" w14:textId="77777777" w:rsidR="00605275" w:rsidRDefault="00605275">
      <w:r>
        <w:separator/>
      </w:r>
    </w:p>
  </w:footnote>
  <w:footnote w:type="continuationSeparator" w:id="0">
    <w:p w14:paraId="2BBA7263" w14:textId="77777777" w:rsidR="00605275" w:rsidRDefault="0060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479C" w14:textId="69DB27F5" w:rsidR="00FA6EFD" w:rsidRDefault="00FA6EFD">
    <w:pPr>
      <w:pStyle w:val="OrderHeader"/>
    </w:pPr>
    <w:r>
      <w:t xml:space="preserve">ORDER NO. </w:t>
    </w:r>
    <w:r w:rsidR="002915F4">
      <w:fldChar w:fldCharType="begin"/>
    </w:r>
    <w:r w:rsidR="002915F4">
      <w:instrText xml:space="preserve"> REF OrderNo0457 </w:instrText>
    </w:r>
    <w:r w:rsidR="002915F4">
      <w:fldChar w:fldCharType="separate"/>
    </w:r>
    <w:r w:rsidR="002915F4">
      <w:t>PSC-2025-0457-PCO-WS</w:t>
    </w:r>
    <w:r w:rsidR="002915F4">
      <w:fldChar w:fldCharType="end"/>
    </w:r>
  </w:p>
  <w:p w14:paraId="3609EEE2" w14:textId="2D025F27" w:rsidR="00FA6EFD" w:rsidRDefault="00605275">
    <w:pPr>
      <w:pStyle w:val="OrderHeader"/>
    </w:pPr>
    <w:bookmarkStart w:id="9" w:name="HeaderDocketNo"/>
    <w:bookmarkEnd w:id="9"/>
    <w:r>
      <w:t>DOCKET NO. 20250052-WS</w:t>
    </w:r>
  </w:p>
  <w:p w14:paraId="361E2B52" w14:textId="38A8BC8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15F4">
      <w:rPr>
        <w:rStyle w:val="PageNumber"/>
        <w:noProof/>
      </w:rPr>
      <w:t>14</w:t>
    </w:r>
    <w:r>
      <w:rPr>
        <w:rStyle w:val="PageNumber"/>
      </w:rPr>
      <w:fldChar w:fldCharType="end"/>
    </w:r>
  </w:p>
  <w:p w14:paraId="3E70ACC0"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20250136-WS, 20250130-WS, 20250047-WS, 20250043-WS, 20250038-WS"/>
  </w:docVars>
  <w:rsids>
    <w:rsidRoot w:val="0060527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65C7"/>
    <w:rsid w:val="000B783E"/>
    <w:rsid w:val="000B7AD2"/>
    <w:rsid w:val="000B7D81"/>
    <w:rsid w:val="000C1994"/>
    <w:rsid w:val="000C6926"/>
    <w:rsid w:val="000C6F75"/>
    <w:rsid w:val="000D02B8"/>
    <w:rsid w:val="000D06E8"/>
    <w:rsid w:val="000D52C1"/>
    <w:rsid w:val="000D6E65"/>
    <w:rsid w:val="000D78FB"/>
    <w:rsid w:val="000E050C"/>
    <w:rsid w:val="000E20F0"/>
    <w:rsid w:val="000E2593"/>
    <w:rsid w:val="000E344D"/>
    <w:rsid w:val="000E3F6D"/>
    <w:rsid w:val="000F114A"/>
    <w:rsid w:val="000F11F1"/>
    <w:rsid w:val="000F359F"/>
    <w:rsid w:val="000F3B2C"/>
    <w:rsid w:val="000F3F6C"/>
    <w:rsid w:val="000F63EB"/>
    <w:rsid w:val="000F648A"/>
    <w:rsid w:val="000F7BE3"/>
    <w:rsid w:val="00103190"/>
    <w:rsid w:val="00104333"/>
    <w:rsid w:val="0010447B"/>
    <w:rsid w:val="001052BA"/>
    <w:rsid w:val="001107B3"/>
    <w:rsid w:val="001108EE"/>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1DE7"/>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5F4"/>
    <w:rsid w:val="00293DC9"/>
    <w:rsid w:val="00297C37"/>
    <w:rsid w:val="002A11AC"/>
    <w:rsid w:val="002A1B95"/>
    <w:rsid w:val="002A6F30"/>
    <w:rsid w:val="002A7884"/>
    <w:rsid w:val="002B3111"/>
    <w:rsid w:val="002C09F5"/>
    <w:rsid w:val="002C118E"/>
    <w:rsid w:val="002C2096"/>
    <w:rsid w:val="002C2266"/>
    <w:rsid w:val="002C7908"/>
    <w:rsid w:val="002D391B"/>
    <w:rsid w:val="002D4B1F"/>
    <w:rsid w:val="002D7D15"/>
    <w:rsid w:val="002E101F"/>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3565"/>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1AE7"/>
    <w:rsid w:val="004431B4"/>
    <w:rsid w:val="00445604"/>
    <w:rsid w:val="00451158"/>
    <w:rsid w:val="0045537F"/>
    <w:rsid w:val="00457DC7"/>
    <w:rsid w:val="004640B3"/>
    <w:rsid w:val="00471383"/>
    <w:rsid w:val="00472BCC"/>
    <w:rsid w:val="00474A08"/>
    <w:rsid w:val="00477699"/>
    <w:rsid w:val="004A25CD"/>
    <w:rsid w:val="004A26CC"/>
    <w:rsid w:val="004A7C6E"/>
    <w:rsid w:val="004B2108"/>
    <w:rsid w:val="004B3A2B"/>
    <w:rsid w:val="004B70D3"/>
    <w:rsid w:val="004C312D"/>
    <w:rsid w:val="004D2D1B"/>
    <w:rsid w:val="004D3C16"/>
    <w:rsid w:val="004D5067"/>
    <w:rsid w:val="004D6838"/>
    <w:rsid w:val="004D72BC"/>
    <w:rsid w:val="004E306B"/>
    <w:rsid w:val="004E469D"/>
    <w:rsid w:val="004E7F4F"/>
    <w:rsid w:val="004F0C1C"/>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275"/>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38C8"/>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15A"/>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CBA"/>
    <w:rsid w:val="007C7ECF"/>
    <w:rsid w:val="007D3D20"/>
    <w:rsid w:val="007D44F9"/>
    <w:rsid w:val="007D742E"/>
    <w:rsid w:val="007E3AFD"/>
    <w:rsid w:val="007E542E"/>
    <w:rsid w:val="007E6F24"/>
    <w:rsid w:val="00801358"/>
    <w:rsid w:val="00801DAD"/>
    <w:rsid w:val="00803189"/>
    <w:rsid w:val="00804E7A"/>
    <w:rsid w:val="00805FBB"/>
    <w:rsid w:val="00814292"/>
    <w:rsid w:val="008169A4"/>
    <w:rsid w:val="00822500"/>
    <w:rsid w:val="008278FE"/>
    <w:rsid w:val="00832598"/>
    <w:rsid w:val="0083397E"/>
    <w:rsid w:val="0083534B"/>
    <w:rsid w:val="00842035"/>
    <w:rsid w:val="00842602"/>
    <w:rsid w:val="00844896"/>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50B6"/>
    <w:rsid w:val="008D6D36"/>
    <w:rsid w:val="008E0693"/>
    <w:rsid w:val="008E26A5"/>
    <w:rsid w:val="008E3A8E"/>
    <w:rsid w:val="008E42D2"/>
    <w:rsid w:val="008E5356"/>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1A07"/>
    <w:rsid w:val="00964A38"/>
    <w:rsid w:val="00966A9D"/>
    <w:rsid w:val="0096742B"/>
    <w:rsid w:val="00967C64"/>
    <w:rsid w:val="009718C5"/>
    <w:rsid w:val="00976AFF"/>
    <w:rsid w:val="00986AED"/>
    <w:rsid w:val="009924CF"/>
    <w:rsid w:val="00994100"/>
    <w:rsid w:val="00995294"/>
    <w:rsid w:val="009A04B7"/>
    <w:rsid w:val="009A6B17"/>
    <w:rsid w:val="009B052E"/>
    <w:rsid w:val="009B4E00"/>
    <w:rsid w:val="009D2F93"/>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2B7"/>
    <w:rsid w:val="00A62DAB"/>
    <w:rsid w:val="00A6757A"/>
    <w:rsid w:val="00A726A6"/>
    <w:rsid w:val="00A74842"/>
    <w:rsid w:val="00A81440"/>
    <w:rsid w:val="00A8269A"/>
    <w:rsid w:val="00A86A50"/>
    <w:rsid w:val="00A9178A"/>
    <w:rsid w:val="00A9515B"/>
    <w:rsid w:val="00A960A7"/>
    <w:rsid w:val="00A97535"/>
    <w:rsid w:val="00AA2BAA"/>
    <w:rsid w:val="00AA2F2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A06"/>
    <w:rsid w:val="00B86EF0"/>
    <w:rsid w:val="00B96969"/>
    <w:rsid w:val="00B969F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00A"/>
    <w:rsid w:val="00C523EC"/>
    <w:rsid w:val="00C55A33"/>
    <w:rsid w:val="00C64D49"/>
    <w:rsid w:val="00C66692"/>
    <w:rsid w:val="00C673B5"/>
    <w:rsid w:val="00C7063D"/>
    <w:rsid w:val="00C718C0"/>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0C22"/>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5BC2"/>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F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605275"/>
    <w:rPr>
      <w:color w:val="0000FF"/>
      <w:u w:val="single"/>
    </w:rPr>
  </w:style>
  <w:style w:type="paragraph" w:customStyle="1" w:styleId="Level1">
    <w:name w:val="Level 1"/>
    <w:rsid w:val="00605275"/>
    <w:pPr>
      <w:autoSpaceDE w:val="0"/>
      <w:autoSpaceDN w:val="0"/>
      <w:adjustRightInd w:val="0"/>
      <w:ind w:left="720"/>
    </w:pPr>
    <w:rPr>
      <w:sz w:val="24"/>
      <w:szCs w:val="24"/>
    </w:rPr>
  </w:style>
  <w:style w:type="paragraph" w:styleId="ListParagraph">
    <w:name w:val="List Paragraph"/>
    <w:basedOn w:val="Normal"/>
    <w:uiPriority w:val="34"/>
    <w:qFormat/>
    <w:rsid w:val="00605275"/>
    <w:pPr>
      <w:ind w:left="720"/>
      <w:contextualSpacing/>
    </w:pPr>
  </w:style>
  <w:style w:type="paragraph" w:customStyle="1" w:styleId="Level2">
    <w:name w:val="Level 2"/>
    <w:rsid w:val="00605275"/>
    <w:pPr>
      <w:autoSpaceDE w:val="0"/>
      <w:autoSpaceDN w:val="0"/>
      <w:adjustRightInd w:val="0"/>
      <w:ind w:left="1440"/>
    </w:pPr>
    <w:rPr>
      <w:sz w:val="24"/>
      <w:szCs w:val="24"/>
    </w:rPr>
  </w:style>
  <w:style w:type="character" w:styleId="CommentReference">
    <w:name w:val="annotation reference"/>
    <w:basedOn w:val="DefaultParagraphFont"/>
    <w:semiHidden/>
    <w:unhideWhenUsed/>
    <w:rsid w:val="004A7C6E"/>
    <w:rPr>
      <w:sz w:val="16"/>
      <w:szCs w:val="16"/>
    </w:rPr>
  </w:style>
  <w:style w:type="paragraph" w:styleId="CommentText">
    <w:name w:val="annotation text"/>
    <w:basedOn w:val="Normal"/>
    <w:link w:val="CommentTextChar"/>
    <w:semiHidden/>
    <w:unhideWhenUsed/>
    <w:rsid w:val="004A7C6E"/>
    <w:rPr>
      <w:sz w:val="20"/>
      <w:szCs w:val="20"/>
    </w:rPr>
  </w:style>
  <w:style w:type="character" w:customStyle="1" w:styleId="CommentTextChar">
    <w:name w:val="Comment Text Char"/>
    <w:basedOn w:val="DefaultParagraphFont"/>
    <w:link w:val="CommentText"/>
    <w:semiHidden/>
    <w:rsid w:val="004A7C6E"/>
  </w:style>
  <w:style w:type="paragraph" w:styleId="CommentSubject">
    <w:name w:val="annotation subject"/>
    <w:basedOn w:val="CommentText"/>
    <w:next w:val="CommentText"/>
    <w:link w:val="CommentSubjectChar"/>
    <w:semiHidden/>
    <w:unhideWhenUsed/>
    <w:rsid w:val="004A7C6E"/>
    <w:rPr>
      <w:b/>
      <w:bCs/>
    </w:rPr>
  </w:style>
  <w:style w:type="character" w:customStyle="1" w:styleId="CommentSubjectChar">
    <w:name w:val="Comment Subject Char"/>
    <w:basedOn w:val="CommentTextChar"/>
    <w:link w:val="CommentSubject"/>
    <w:semiHidden/>
    <w:rsid w:val="004A7C6E"/>
    <w:rPr>
      <w:b/>
      <w:bCs/>
    </w:rPr>
  </w:style>
  <w:style w:type="paragraph" w:styleId="BalloonText">
    <w:name w:val="Balloon Text"/>
    <w:basedOn w:val="Normal"/>
    <w:link w:val="BalloonTextChar"/>
    <w:semiHidden/>
    <w:unhideWhenUsed/>
    <w:rsid w:val="004A7C6E"/>
    <w:rPr>
      <w:rFonts w:ascii="Segoe UI" w:hAnsi="Segoe UI" w:cs="Segoe UI"/>
      <w:sz w:val="18"/>
      <w:szCs w:val="18"/>
    </w:rPr>
  </w:style>
  <w:style w:type="character" w:customStyle="1" w:styleId="BalloonTextChar">
    <w:name w:val="Balloon Text Char"/>
    <w:basedOn w:val="DefaultParagraphFont"/>
    <w:link w:val="BalloonText"/>
    <w:semiHidden/>
    <w:rsid w:val="004A7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14</Pages>
  <Words>5070</Words>
  <Characters>28902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2025-12-16T14:59:00Z</dcterms:created>
  <dcterms:modified xsi:type="dcterms:W3CDTF">2025-12-16T15:38:00Z</dcterms:modified>
</cp:coreProperties>
</file>