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9B9" w:rsidRDefault="007619B9" w:rsidP="007619B9">
      <w:pPr>
        <w:pStyle w:val="OrderHeading"/>
      </w:pPr>
      <w:r>
        <w:t>BEFORE THE FLORIDA PUBLIC SERVICE COMMISSION</w:t>
      </w:r>
    </w:p>
    <w:p w:rsidR="007619B9" w:rsidRDefault="007619B9" w:rsidP="007619B9">
      <w:pPr>
        <w:pStyle w:val="OrderBody"/>
      </w:pPr>
    </w:p>
    <w:p w:rsidR="007619B9" w:rsidRDefault="007619B9" w:rsidP="007619B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619B9" w:rsidRPr="00C63FCF" w:rsidTr="00C63FCF">
        <w:trPr>
          <w:trHeight w:val="828"/>
        </w:trPr>
        <w:tc>
          <w:tcPr>
            <w:tcW w:w="4788" w:type="dxa"/>
            <w:tcBorders>
              <w:bottom w:val="single" w:sz="8" w:space="0" w:color="auto"/>
              <w:right w:val="double" w:sz="6" w:space="0" w:color="auto"/>
            </w:tcBorders>
            <w:shd w:val="clear" w:color="auto" w:fill="auto"/>
          </w:tcPr>
          <w:p w:rsidR="007619B9" w:rsidRDefault="007619B9" w:rsidP="00C63FCF">
            <w:pPr>
              <w:pStyle w:val="OrderBody"/>
              <w:tabs>
                <w:tab w:val="center" w:pos="4320"/>
                <w:tab w:val="right" w:pos="8640"/>
              </w:tabs>
              <w:jc w:val="left"/>
            </w:pPr>
            <w:r>
              <w:t xml:space="preserve">In re: </w:t>
            </w:r>
            <w:bookmarkStart w:id="0" w:name="SSInRe"/>
            <w:bookmarkEnd w:id="0"/>
            <w:r>
              <w:t>Natural gas facilities relocation cost recovery clause.</w:t>
            </w:r>
          </w:p>
        </w:tc>
        <w:tc>
          <w:tcPr>
            <w:tcW w:w="4788" w:type="dxa"/>
            <w:tcBorders>
              <w:left w:val="double" w:sz="6" w:space="0" w:color="auto"/>
            </w:tcBorders>
            <w:shd w:val="clear" w:color="auto" w:fill="auto"/>
          </w:tcPr>
          <w:p w:rsidR="007619B9" w:rsidRDefault="007619B9" w:rsidP="007619B9">
            <w:pPr>
              <w:pStyle w:val="OrderBody"/>
            </w:pPr>
            <w:r>
              <w:t xml:space="preserve">DOCKET NO. </w:t>
            </w:r>
            <w:bookmarkStart w:id="1" w:name="SSDocketNo"/>
            <w:bookmarkEnd w:id="1"/>
            <w:r>
              <w:t>20260011-GU</w:t>
            </w:r>
          </w:p>
          <w:p w:rsidR="007619B9" w:rsidRDefault="007619B9" w:rsidP="00C63FCF">
            <w:pPr>
              <w:pStyle w:val="OrderBody"/>
              <w:tabs>
                <w:tab w:val="center" w:pos="4320"/>
                <w:tab w:val="right" w:pos="8640"/>
              </w:tabs>
              <w:jc w:val="left"/>
            </w:pPr>
            <w:r>
              <w:t xml:space="preserve">ORDER NO. </w:t>
            </w:r>
            <w:bookmarkStart w:id="2" w:name="OrderNo0035"/>
            <w:r w:rsidR="00DE196C">
              <w:t>PSC-2026-0035-PCO-GU</w:t>
            </w:r>
            <w:bookmarkEnd w:id="2"/>
          </w:p>
          <w:p w:rsidR="007619B9" w:rsidRDefault="007619B9" w:rsidP="00C63FCF">
            <w:pPr>
              <w:pStyle w:val="OrderBody"/>
              <w:tabs>
                <w:tab w:val="center" w:pos="4320"/>
                <w:tab w:val="right" w:pos="8640"/>
              </w:tabs>
              <w:jc w:val="left"/>
            </w:pPr>
            <w:r>
              <w:t xml:space="preserve">ISSUED: </w:t>
            </w:r>
            <w:r w:rsidR="00DE196C">
              <w:t>February 6, 2026</w:t>
            </w:r>
          </w:p>
        </w:tc>
      </w:tr>
    </w:tbl>
    <w:p w:rsidR="007619B9" w:rsidRDefault="007619B9" w:rsidP="007619B9"/>
    <w:p w:rsidR="00CB5276" w:rsidRDefault="00CB5276" w:rsidP="007619B9"/>
    <w:p w:rsidR="007619B9" w:rsidRPr="00C9203C" w:rsidRDefault="007619B9" w:rsidP="007619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Cs/>
          <w:u w:val="single"/>
        </w:rPr>
      </w:pPr>
      <w:bookmarkStart w:id="3" w:name="Commissioners"/>
      <w:bookmarkEnd w:id="3"/>
      <w:r w:rsidRPr="00C9203C">
        <w:rPr>
          <w:bCs/>
          <w:u w:val="single"/>
        </w:rPr>
        <w:t>ORDER ESTABLISHING PROCEDURE</w:t>
      </w:r>
    </w:p>
    <w:p w:rsidR="007619B9" w:rsidRPr="00944326" w:rsidRDefault="007619B9" w:rsidP="007619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Cs/>
          <w:u w:val="single"/>
        </w:rPr>
      </w:pPr>
    </w:p>
    <w:p w:rsidR="007619B9" w:rsidRPr="00944326" w:rsidRDefault="007619B9" w:rsidP="007619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p w:rsidR="007619B9" w:rsidRDefault="007619B9" w:rsidP="007619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Pr>
          <w:b/>
          <w:bCs/>
        </w:rPr>
        <w:t>I.</w:t>
      </w:r>
      <w:r>
        <w:rPr>
          <w:b/>
          <w:bCs/>
        </w:rPr>
        <w:tab/>
      </w:r>
      <w:r>
        <w:rPr>
          <w:b/>
          <w:bCs/>
          <w:u w:val="single"/>
        </w:rPr>
        <w:t>Case Background</w:t>
      </w:r>
    </w:p>
    <w:p w:rsidR="007619B9" w:rsidRDefault="007619B9" w:rsidP="007619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63D41" w:rsidRDefault="0089336B" w:rsidP="00563D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563D41">
        <w:t>In 2024, the Florida Legislature passed House Bill 1645 which enacted Section 366.99, Florida Statutes (F.S.), entitled “Natural gas facilities relocation costs.” The statute permits investor-owned gas utilities to seek approval from the Florida Public Service Commission (Commission) to recover natural gas facilities relocation costs. Section 366.99(3), F.S., requires the Commission to conduct an annual proceeding to determine allowable costs (reasonable projected costs and prudently incurred actual costs), which may be recovered through a charge</w:t>
      </w:r>
      <w:r w:rsidR="00017B71">
        <w:t xml:space="preserve"> </w:t>
      </w:r>
      <w:r w:rsidR="00563D41">
        <w:t>separate and apart from base rates. Section 366.99(1)(d), F.S., defines “natural gas facilities relocation costs” as “the costs to relocate or reconstruct facilities as required by a mandate, a statute, a law, an ordinance, or an agreement between the utility and an authority, including, but not limited to, costs associated with reviewing plans provided by an authority. The term does not include any costs recovered through the public utility’s base rates.” Furthermore, only costs incurred on or after July 1, 2024, may be included. Section 366.99(1)(a), F.S., defines “authority” by reference to Section 337.401(1)(a), F.S., which definition includes the Florida Department of Transportation and local government entities that have jurisdiction and control over public roads or publicly owned rail corridors.</w:t>
      </w:r>
    </w:p>
    <w:p w:rsidR="00563D41" w:rsidRDefault="00563D41" w:rsidP="00563D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63D41" w:rsidRDefault="00ED6BDA" w:rsidP="00563D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563D41">
        <w:t xml:space="preserve">Section 366.99(3), F.S., limits the Commission’s review to the prudence of costs already incurred and the reasonableness of projected costs. Rule 25-7.150, Florida Administrative Code (F.A.C.), </w:t>
      </w:r>
      <w:r w:rsidR="002C5B66">
        <w:t>implements the statute and</w:t>
      </w:r>
      <w:r w:rsidR="00563D41">
        <w:t xml:space="preserve"> sets forth the process and requirements for a utility to file </w:t>
      </w:r>
      <w:r w:rsidR="00F61827">
        <w:t xml:space="preserve">its </w:t>
      </w:r>
      <w:r w:rsidR="00563D41">
        <w:t>petition for recovery of natural gas facilities relocation costs through the annual Natural Gas Facilities Relocation Cost Recovery Clause. The rule contemplates a process similar to other cost recovery clauses, with filings addressing a final true-up and prudence review of the previous year’s actual costs, actual/estimated costs for the current year, and projected costs for the subsequent year. The rule also sets forth eligibility requirements for</w:t>
      </w:r>
      <w:r w:rsidR="005B47FB">
        <w:t xml:space="preserve"> costs to be allowed through this proceeding</w:t>
      </w:r>
      <w:r w:rsidR="00563D41">
        <w:t>, namely proof that each facility relocation project was required by an authority. Also, pursuant to Section 366.99(1)(d), F.S., a utility filing cannot include costs that are being recovered through the utility’s base rates</w:t>
      </w:r>
      <w:r w:rsidR="0089336B">
        <w:t xml:space="preserve"> </w:t>
      </w:r>
    </w:p>
    <w:p w:rsidR="00563D41" w:rsidRDefault="00563D41" w:rsidP="008933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619B9" w:rsidRDefault="001D739C" w:rsidP="008933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89336B">
        <w:t xml:space="preserve">As part of the Commission’s continuing </w:t>
      </w:r>
      <w:r w:rsidR="00256718">
        <w:t>natural gas facilities relocation</w:t>
      </w:r>
      <w:r w:rsidR="0089336B">
        <w:t xml:space="preserve"> cost recovery proceeding, an administrative hearing in this docket is set for </w:t>
      </w:r>
      <w:r w:rsidR="00422323" w:rsidRPr="00422323">
        <w:t>September 15–17</w:t>
      </w:r>
      <w:r w:rsidR="0089336B" w:rsidRPr="00422323">
        <w:t>, 2026</w:t>
      </w:r>
      <w:r w:rsidR="0089336B">
        <w:t>.</w:t>
      </w:r>
      <w:r>
        <w:t xml:space="preserve"> </w:t>
      </w:r>
      <w:r w:rsidR="0089336B">
        <w:t xml:space="preserve">This Order sets forth the procedural requirements for all parties to this docket. It is issued pursuant to the authority granted by Rule 28-106.211, F.A.C., which provides that the presiding officer before whom a case is pending may issue any orders necessary to effectuate discovery, prevent </w:t>
      </w:r>
      <w:r w:rsidR="0089336B">
        <w:lastRenderedPageBreak/>
        <w:t xml:space="preserve">delay, and promote the just, speedy, and inexpensive determination of all aspects of the case. The Commission is vested with subject matter jurisdiction to approve </w:t>
      </w:r>
      <w:r w:rsidR="00CA2FA2">
        <w:t>natural gas facilities relocation</w:t>
      </w:r>
      <w:r w:rsidR="0089336B">
        <w:t xml:space="preserve"> cost recovery pursuant to Section 366.</w:t>
      </w:r>
      <w:r w:rsidR="00A916AA">
        <w:t>99</w:t>
      </w:r>
      <w:r w:rsidR="0089336B">
        <w:t>, F.S.</w:t>
      </w:r>
    </w:p>
    <w:p w:rsidR="0089336B" w:rsidRPr="0089336B" w:rsidRDefault="0089336B" w:rsidP="008933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619B9" w:rsidRDefault="007619B9" w:rsidP="007619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II.</w:t>
      </w:r>
      <w:r>
        <w:rPr>
          <w:b/>
          <w:bCs/>
        </w:rPr>
        <w:tab/>
      </w:r>
      <w:r>
        <w:rPr>
          <w:b/>
          <w:bCs/>
          <w:u w:val="single"/>
        </w:rPr>
        <w:t>General Filing Procedures</w:t>
      </w:r>
    </w:p>
    <w:p w:rsidR="007619B9" w:rsidRDefault="007619B9" w:rsidP="007619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619B9" w:rsidRPr="00C75702"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98727B" w:rsidRPr="0098727B">
        <w:t xml:space="preserve">Filings pertaining to this docket must comply with Rule 28-106.104, F.A.C. Filing may be accomplished electronically as provided in the Commission’s Statement of Agency Organization and Operation and the E-Filing Requirements link, posted on our website, </w:t>
      </w:r>
      <w:hyperlink r:id="rId8" w:history="1">
        <w:r w:rsidR="0098727B" w:rsidRPr="0098727B">
          <w:rPr>
            <w:rStyle w:val="Hyperlink"/>
          </w:rPr>
          <w:t>www.floridapsc.com</w:t>
        </w:r>
      </w:hyperlink>
      <w:r w:rsidR="0098727B" w:rsidRPr="0098727B">
        <w:t>. If filing via mail, hand delivery, or courier service, the filing should be</w:t>
      </w:r>
      <w:r w:rsidR="00061429">
        <w:t xml:space="preserve"> </w:t>
      </w:r>
      <w:r w:rsidR="0098727B" w:rsidRPr="0098727B">
        <w:t>addressed to</w:t>
      </w:r>
      <w:r w:rsidRPr="00C75702">
        <w:t>:</w:t>
      </w:r>
    </w:p>
    <w:p w:rsidR="007619B9" w:rsidRPr="00C75702"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619B9" w:rsidRPr="00C75702"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 xml:space="preserve">Office of Commission Clerk </w:t>
      </w:r>
    </w:p>
    <w:p w:rsidR="007619B9" w:rsidRPr="00C75702"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Florida Public Service Commission</w:t>
      </w:r>
    </w:p>
    <w:p w:rsidR="007619B9" w:rsidRPr="00C75702"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2540 Shumard Oak Boulevard</w:t>
      </w:r>
    </w:p>
    <w:p w:rsidR="007619B9" w:rsidRPr="00C75702"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Tallahassee, Florida  32399-0850</w:t>
      </w:r>
    </w:p>
    <w:p w:rsidR="007619B9" w:rsidRPr="00C75702"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6A4BD2" w:rsidRPr="006A4BD2">
        <w:t>The Commission strongly encourages electronic filing, which is available from the Commission’s Home Page under the Clerk’s Office menu and Electronic Filing web form. The filing party is responsible for ensuring that no information protected by privacy or confidentiality laws is contained in any electronic document. To the extent possible, when making an electronic filing, an electronic copy of all filings shall also be provided to parties and Commission staff in Microsoft Word format and all schedules shall be provided in Microsoft Excel format with formulas intact and unlocked</w:t>
      </w:r>
      <w:r w:rsidRPr="007659C3">
        <w:t>.</w:t>
      </w: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619B9" w:rsidRDefault="00D14653" w:rsidP="007619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III</w:t>
      </w:r>
      <w:r w:rsidR="007619B9">
        <w:rPr>
          <w:b/>
        </w:rPr>
        <w:t>.</w:t>
      </w:r>
      <w:r w:rsidR="007619B9">
        <w:rPr>
          <w:b/>
        </w:rPr>
        <w:tab/>
      </w:r>
      <w:r w:rsidR="007619B9">
        <w:rPr>
          <w:b/>
          <w:u w:val="single"/>
        </w:rPr>
        <w:t>Tentative List of Issues</w:t>
      </w:r>
    </w:p>
    <w:p w:rsidR="007619B9" w:rsidRDefault="007619B9" w:rsidP="007619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7619B9" w:rsidRDefault="002F0088" w:rsidP="007619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F0088">
        <w:tab/>
        <w:t>A list of the issues identified thus far in this proceeding is attached hereto as Appendix A. The scope of this proceeding will be based upon these issues as well as other issues raised by the parties up to, and during, the Prehearing Conference, unless modified by the Commission</w:t>
      </w:r>
      <w:r w:rsidR="007619B9">
        <w:t>.</w:t>
      </w:r>
    </w:p>
    <w:p w:rsidR="007619B9" w:rsidRDefault="007619B9" w:rsidP="007619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7619B9" w:rsidRDefault="00D14653" w:rsidP="007619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w:t>
      </w:r>
      <w:r w:rsidR="007619B9">
        <w:rPr>
          <w:b/>
        </w:rPr>
        <w:t>V.</w:t>
      </w:r>
      <w:r w:rsidR="007619B9">
        <w:rPr>
          <w:b/>
        </w:rPr>
        <w:tab/>
      </w:r>
      <w:r w:rsidR="007619B9">
        <w:rPr>
          <w:b/>
          <w:u w:val="single"/>
        </w:rPr>
        <w:t>Prefiled Testimony and Exhibits</w:t>
      </w: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EE5B6F" w:rsidRPr="00EE5B6F">
        <w:t>Each party shall file all testimony and exhibits that it intends to sponsor, pursuant to the schedule set forth in Section IX of this Order. Testimony and exhibits may be filed electronically. If filing electronically, each set of testimony and accompanying exhibits must be saved as distinct and separate electronic files; multiple sets of testimony and exhibits combined in a single electronic file are not acceptable. If filing paper copies, an original and 15 copies of all testimony and exhibits shall be filed with the Office of Commission Clerk by 5:00 p.m. on the date due. A copy of all prefiled testimony and exhibits shall be served electronically or by regular mail, overnight mail, or hand delivery to all other parties and Commission staff no later than the date filed with the Commission. Failure of a party to timely prefile exhibits and testimony from any witness in accordance with the foregoing requirements may bar admission of such exhibits and testimony</w:t>
      </w:r>
      <w:r w:rsidRPr="00C75702">
        <w:t>.</w:t>
      </w: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r>
      <w:r w:rsidR="00477DA6" w:rsidRPr="00477DA6">
        <w:t>Parties may use exhibits in their native Excel format for demonstrative purposes; however, any exhibits created in Excel that a party seeks to admit into the record must be converted to Adobe Portable Document format (PDF) and provided to the Commission as a separate electronic file</w:t>
      </w:r>
      <w:r w:rsidRPr="00867C69">
        <w:t>.</w:t>
      </w: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7659C3">
        <w:t>The dimensions of each page of testimony shall be 8 ½ x 11 inches.</w:t>
      </w:r>
      <w:r>
        <w:t xml:space="preserve"> </w:t>
      </w:r>
      <w:r w:rsidRPr="007659C3">
        <w:t>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rsidR="007619B9" w:rsidRDefault="007619B9" w:rsidP="007619B9">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pPr>
    </w:p>
    <w:p w:rsidR="007619B9" w:rsidRDefault="007619B9" w:rsidP="007619B9">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r>
      <w:r w:rsidR="00B52D11">
        <w:tab/>
      </w:r>
      <w:r>
        <w:t>Each exhibit sponsored by a witness in support of his or her prefiled testimony shall be:</w:t>
      </w:r>
    </w:p>
    <w:p w:rsidR="007619B9" w:rsidRDefault="007619B9" w:rsidP="007619B9">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7619B9" w:rsidRDefault="007619B9" w:rsidP="007619B9">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Attached to that witness’ testimony when filed;</w:t>
      </w:r>
    </w:p>
    <w:p w:rsidR="007619B9" w:rsidRPr="00C75702" w:rsidRDefault="007619B9" w:rsidP="007619B9">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rsidRPr="00C75702">
        <w:t>If filing paper copies, on three-holed paper, unbound, and without tabs;</w:t>
      </w:r>
    </w:p>
    <w:p w:rsidR="007619B9" w:rsidRDefault="007619B9" w:rsidP="007619B9">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Sequentially numbered beginning with 1 (any exhibits attached to subsequently filed testimony of the same witness shall continue the sequential numbering system);</w:t>
      </w:r>
    </w:p>
    <w:p w:rsidR="007619B9" w:rsidRDefault="007619B9" w:rsidP="007619B9">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Identified in the upper right-hand corner of each page by the docket number, a brief title, and the witness’ initials followed by the exhibit’s number; and</w:t>
      </w:r>
    </w:p>
    <w:p w:rsidR="007619B9" w:rsidRDefault="007619B9" w:rsidP="007619B9">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Paginated by showing in the upper right-hand corner of each page the page number followed by the total number of pages in the exhibit.</w:t>
      </w:r>
    </w:p>
    <w:p w:rsidR="007619B9" w:rsidRDefault="007619B9" w:rsidP="007619B9">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7619B9" w:rsidRDefault="007619B9" w:rsidP="007619B9">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r>
      <w:r w:rsidR="00721B56">
        <w:tab/>
      </w:r>
      <w:r>
        <w:t>An example of the information to appear in the upper right-hand corner of the exhibit is as follows:</w:t>
      </w: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Docket No. 20012345-EI</w:t>
      </w: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Foreign Coal Shipments to Port of Tampa</w:t>
      </w: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Exhibit BLW-1, Page 1 of 2</w:t>
      </w: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After an opportunity for opposing parties to object to introduction of the exhibits and to cross-examine the witness sponsoring them, exhibits may be offered into evidence at the hearing.</w:t>
      </w: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V.</w:t>
      </w:r>
      <w:r>
        <w:rPr>
          <w:b/>
        </w:rPr>
        <w:tab/>
      </w:r>
      <w:r>
        <w:rPr>
          <w:b/>
          <w:u w:val="single"/>
        </w:rPr>
        <w:t>Discovery Procedures</w:t>
      </w: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General Requirements</w:t>
      </w: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7D478A" w:rsidRPr="007D478A">
        <w:t xml:space="preserve">Discovery shall be conducted in accordance with the provisions of Chapter 120, F.S., and the relevant provisions of Chapter 366, F.S., Rules 25-22, 25-40, and 28-106, F.A.C., and the Florida Rules of Civil Procedure </w:t>
      </w:r>
      <w:r w:rsidR="007D478A" w:rsidRPr="009E3417">
        <w:t>(as amended January 1, 2025),</w:t>
      </w:r>
      <w:r w:rsidR="007D478A" w:rsidRPr="007D478A">
        <w:t xml:space="preserve"> as modified herein or as may be subsequently modified by the Prehearing Officer. Unless otherwise ordered, Florida Rule of Civil Procedure 1.280(a) (Initial Discovery Disclosure) shall not apply to this proceeding</w:t>
      </w:r>
      <w:r>
        <w:t>.</w:t>
      </w:r>
    </w:p>
    <w:p w:rsidR="007619B9" w:rsidRDefault="007619B9" w:rsidP="007619B9">
      <w:pPr>
        <w:jc w:val="both"/>
        <w:rPr>
          <w:rFonts w:cs="Courier New"/>
        </w:rPr>
      </w:pPr>
    </w:p>
    <w:p w:rsidR="004216C8" w:rsidRDefault="004216C8" w:rsidP="007619B9">
      <w:pPr>
        <w:jc w:val="both"/>
        <w:rPr>
          <w:rFonts w:cs="Courier New"/>
        </w:rPr>
      </w:pPr>
    </w:p>
    <w:p w:rsidR="004216C8" w:rsidRDefault="004216C8" w:rsidP="007619B9">
      <w:pPr>
        <w:jc w:val="both"/>
        <w:rPr>
          <w:rFonts w:cs="Courier New"/>
        </w:rPr>
      </w:pPr>
    </w:p>
    <w:p w:rsidR="004216C8" w:rsidRDefault="004216C8" w:rsidP="007619B9">
      <w:pPr>
        <w:jc w:val="both"/>
        <w:rPr>
          <w:rFonts w:cs="Courier New"/>
        </w:rPr>
      </w:pP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Unless subsequently modified by the Prehearing Officer, the following shall apply:</w:t>
      </w: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619B9" w:rsidRDefault="007619B9" w:rsidP="007619B9">
      <w:pPr>
        <w:spacing w:line="2" w:lineRule="exact"/>
        <w:jc w:val="both"/>
      </w:pPr>
    </w:p>
    <w:p w:rsidR="007619B9" w:rsidRDefault="007619B9" w:rsidP="007619B9">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Discovery shall be completed by </w:t>
      </w:r>
      <w:r w:rsidR="00353E73" w:rsidRPr="00003CB8">
        <w:t xml:space="preserve">August </w:t>
      </w:r>
      <w:r w:rsidR="00456CF2" w:rsidRPr="00003CB8">
        <w:t>7</w:t>
      </w:r>
      <w:r w:rsidR="00353E73" w:rsidRPr="00003CB8">
        <w:t>, 2026</w:t>
      </w:r>
      <w:r>
        <w:t>.</w:t>
      </w:r>
    </w:p>
    <w:p w:rsidR="007619B9" w:rsidRPr="007659C3" w:rsidRDefault="007619B9" w:rsidP="007619B9">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shall be numbered sequentially.</w:t>
      </w:r>
      <w:r>
        <w:t xml:space="preserve"> </w:t>
      </w:r>
      <w:r w:rsidRPr="007659C3">
        <w:t>Documents provided in response to a document request may be provided via flash</w:t>
      </w:r>
      <w:r>
        <w:t xml:space="preserve"> or external</w:t>
      </w:r>
      <w:r w:rsidRPr="007659C3">
        <w:t xml:space="preserve"> drive if not served electronically.</w:t>
      </w:r>
    </w:p>
    <w:p w:rsidR="007619B9" w:rsidRDefault="007619B9" w:rsidP="007619B9">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electronic discovery response shall be given a separate electronic file name that is no longer than 60 characters.</w:t>
      </w:r>
    </w:p>
    <w:p w:rsidR="007619B9" w:rsidRDefault="007619B9" w:rsidP="007619B9">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Sets of interrogatories, requests for admission, requests for production of documents, or other forms of discovery shall be numbered sequentially in order to facilitate identification.</w:t>
      </w:r>
    </w:p>
    <w:p w:rsidR="007619B9" w:rsidRDefault="007619B9" w:rsidP="007619B9">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Within each set, discovery requests shall be numbered sequentially, and any discovery requests in subsequent sets shall continue the sequential numbering system.</w:t>
      </w:r>
    </w:p>
    <w:p w:rsidR="007619B9" w:rsidRPr="007659C3" w:rsidRDefault="007619B9" w:rsidP="007619B9">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659C3">
        <w:t xml:space="preserve">Discovery responses shall be served within </w:t>
      </w:r>
      <w:r w:rsidR="00F43B73">
        <w:t xml:space="preserve">20 </w:t>
      </w:r>
      <w:r w:rsidRPr="007659C3">
        <w:t>days (inclusive of mailing) of receipt of the discovery request.</w:t>
      </w:r>
      <w:r>
        <w:t xml:space="preserve"> </w:t>
      </w:r>
      <w:r w:rsidRPr="007659C3">
        <w:t>For discovery</w:t>
      </w:r>
      <w:r>
        <w:t xml:space="preserve"> requests </w:t>
      </w:r>
      <w:r w:rsidRPr="007659C3">
        <w:t>related to matters addressed in the utility’s rebuttal testimony, discovery responses shall be served within</w:t>
      </w:r>
      <w:r w:rsidRPr="007475AE">
        <w:rPr>
          <w:b/>
        </w:rPr>
        <w:t xml:space="preserve"> </w:t>
      </w:r>
      <w:r w:rsidRPr="00CB2123">
        <w:t xml:space="preserve">10 days of receipt of the </w:t>
      </w:r>
      <w:r w:rsidRPr="007659C3">
        <w:t>discovery request.</w:t>
      </w:r>
    </w:p>
    <w:p w:rsidR="007619B9" w:rsidRDefault="007619B9" w:rsidP="007619B9">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page of every document produced pursuant to requests for production of documents shall be identified individually through the use of a Bates Stamp or other equivalent method of sequential identification except for Excel files in their native format. Parties should number produced documents in an unbroken sequence through the final hearing.</w:t>
      </w:r>
    </w:p>
    <w:p w:rsidR="007619B9" w:rsidRDefault="007619B9" w:rsidP="007619B9">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Copie</w:t>
      </w:r>
      <w:r w:rsidRPr="0015392D">
        <w:t>s, whether hard copies or electronic,</w:t>
      </w:r>
      <w:r>
        <w:t xml:space="preserve"> of discovery requests and responses shall be served on </w:t>
      </w:r>
      <w:r w:rsidRPr="0015392D">
        <w:t>all</w:t>
      </w:r>
      <w:r>
        <w:t xml:space="preserve"> parties </w:t>
      </w:r>
      <w:r w:rsidRPr="0015392D">
        <w:t xml:space="preserve">and </w:t>
      </w:r>
      <w:r>
        <w:t xml:space="preserve">Commission </w:t>
      </w:r>
      <w:r w:rsidRPr="0015392D">
        <w:t>staff</w:t>
      </w:r>
      <w:r>
        <w:t>.</w:t>
      </w:r>
      <w:r w:rsidRPr="0015392D">
        <w:t xml:space="preserve"> </w:t>
      </w:r>
      <w:r>
        <w:t>In addition, copies of all responses to requests for production of documents shall be provided to the Commission staff at its Tallahassee office unless otherwise agreed. The address block for Commission staff shall include the e</w:t>
      </w:r>
      <w:r w:rsidR="00E57073">
        <w:t>-</w:t>
      </w:r>
      <w:r>
        <w:t xml:space="preserve">mail address </w:t>
      </w:r>
      <w:hyperlink r:id="rId9" w:history="1">
        <w:r w:rsidRPr="00A001B6">
          <w:rPr>
            <w:rStyle w:val="Hyperlink"/>
          </w:rPr>
          <w:t>discovery-gcl@psc.state.fl.us</w:t>
        </w:r>
      </w:hyperlink>
      <w:r>
        <w:t xml:space="preserve"> in addition to the e</w:t>
      </w:r>
      <w:r w:rsidR="00E57073">
        <w:t>-</w:t>
      </w:r>
      <w:r>
        <w:t>mail address for staff counsel.</w:t>
      </w:r>
    </w:p>
    <w:p w:rsidR="007619B9" w:rsidRPr="00972F91" w:rsidRDefault="007619B9" w:rsidP="007619B9">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72F91">
        <w:t>Parties shall file in the Commission Clerk’s Office a notice of service of any interrogatories or request</w:t>
      </w:r>
      <w:r>
        <w:t>s</w:t>
      </w:r>
      <w:r w:rsidRPr="00972F91">
        <w:t xml:space="preserve"> for production of documents propounded</w:t>
      </w:r>
      <w:r>
        <w:t xml:space="preserve"> and associated responses</w:t>
      </w:r>
      <w:r w:rsidRPr="00972F91">
        <w:t xml:space="preserve"> in this docket, giving the date of service and the name of the party to whom the discovery was directed.  </w:t>
      </w: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619B9" w:rsidRDefault="00AB4F47"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7619B9">
        <w:t>Unless subsequently modified by the Prehearing Officer, the following shall apply:</w:t>
      </w: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619B9" w:rsidRDefault="007619B9" w:rsidP="007619B9">
      <w:pPr>
        <w:spacing w:line="2" w:lineRule="exact"/>
        <w:jc w:val="both"/>
      </w:pPr>
    </w:p>
    <w:p w:rsidR="007619B9" w:rsidRDefault="007619B9" w:rsidP="007619B9">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Interrogatories, including all subparts, shall be limited to </w:t>
      </w:r>
      <w:r w:rsidR="00372763" w:rsidRPr="004B427E">
        <w:t>200</w:t>
      </w:r>
      <w:r>
        <w:t>.</w:t>
      </w:r>
    </w:p>
    <w:p w:rsidR="007619B9" w:rsidRDefault="007619B9" w:rsidP="007619B9">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Requests for production of documents, including all subparts, shall be limited to</w:t>
      </w:r>
      <w:r w:rsidR="00D5359F">
        <w:t xml:space="preserve"> </w:t>
      </w:r>
      <w:r w:rsidR="00D5359F" w:rsidRPr="004B427E">
        <w:t>200</w:t>
      </w:r>
      <w:r>
        <w:t>.</w:t>
      </w:r>
    </w:p>
    <w:p w:rsidR="007619B9" w:rsidRDefault="007619B9" w:rsidP="007619B9">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Requests for admission, including all subparts, shall be limited to </w:t>
      </w:r>
      <w:r w:rsidR="00D5359F" w:rsidRPr="004B427E">
        <w:t>100</w:t>
      </w:r>
      <w:r>
        <w:t>.</w:t>
      </w:r>
    </w:p>
    <w:p w:rsidR="007619B9" w:rsidRDefault="007619B9" w:rsidP="007619B9">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7619B9" w:rsidRDefault="00F47512" w:rsidP="007619B9">
      <w:pPr>
        <w:ind w:firstLine="720"/>
        <w:jc w:val="both"/>
        <w:rPr>
          <w:rFonts w:cs="Courier New"/>
        </w:rPr>
      </w:pPr>
      <w:r w:rsidRPr="00F47512">
        <w:rPr>
          <w:rFonts w:cs="Courier New"/>
        </w:rPr>
        <w:lastRenderedPageBreak/>
        <w:t xml:space="preserve">When a discovery request is served and the respondent intends to seek clarification of any portion of the discovery request, the respondent shall request such clarification within </w:t>
      </w:r>
      <w:r w:rsidRPr="00281AF1">
        <w:rPr>
          <w:rFonts w:cs="Courier New"/>
        </w:rPr>
        <w:t>10</w:t>
      </w:r>
      <w:r w:rsidRPr="00F47512">
        <w:rPr>
          <w:rFonts w:cs="Courier New"/>
        </w:rPr>
        <w:t xml:space="preserve"> days of service of the discovery request. For discovery requests served after the filing of rebuttal testimony, such clarification must be requested within </w:t>
      </w:r>
      <w:r w:rsidRPr="00281AF1">
        <w:rPr>
          <w:rFonts w:cs="Courier New"/>
        </w:rPr>
        <w:t>5</w:t>
      </w:r>
      <w:r w:rsidRPr="00F47512">
        <w:rPr>
          <w:rFonts w:cs="Courier New"/>
        </w:rPr>
        <w:t xml:space="preserve"> days. This procedure is intended to reduce delay in resolving discovery dispute</w:t>
      </w:r>
      <w:r>
        <w:rPr>
          <w:rFonts w:cs="Courier New"/>
        </w:rPr>
        <w:t>s</w:t>
      </w:r>
      <w:r w:rsidR="007619B9">
        <w:rPr>
          <w:rFonts w:cs="Courier New"/>
        </w:rPr>
        <w:t>.</w:t>
      </w:r>
    </w:p>
    <w:p w:rsidR="007619B9" w:rsidRDefault="007619B9" w:rsidP="007619B9">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7619B9" w:rsidRDefault="007619B9" w:rsidP="007619B9">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B.</w:t>
      </w:r>
      <w:r>
        <w:tab/>
      </w:r>
      <w:r>
        <w:rPr>
          <w:u w:val="single"/>
        </w:rPr>
        <w:t>Confidential Information Provided Pursuant to Discovery</w:t>
      </w:r>
      <w:r>
        <w:tab/>
      </w:r>
    </w:p>
    <w:p w:rsidR="007619B9" w:rsidRDefault="007619B9" w:rsidP="007619B9">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7D28F2" w:rsidRPr="007D28F2">
        <w:t>Any information provided to the Commission staff pursuant to a discovery request by the staff or any other person and for which proprietary confidential business information status is requested pursuant to Section 366.093, F.S., and Rule 25-22.006, F.A.C., shall be treated by the Commission as confidential. The information shall be exempt from Section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366.093, F.S. The Commission may determine that continued possession of the information is necessary for the Commission to conduct its busines</w:t>
      </w:r>
      <w:r w:rsidR="007D28F2">
        <w:t>s</w:t>
      </w:r>
      <w:r>
        <w:t>.</w:t>
      </w: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619B9" w:rsidRPr="00AD5F83"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AD5F83">
        <w:t xml:space="preserve">Redacted versions of confidential filings may be served electronically, but in no instance may confidential information be electronically submitted. </w:t>
      </w:r>
      <w:r w:rsidRPr="007659C3">
        <w:t xml:space="preserve">If the redacted version is served electronically, the confidential information (which may be on a </w:t>
      </w:r>
      <w:r>
        <w:t>f</w:t>
      </w:r>
      <w:r w:rsidRPr="007659C3">
        <w:t xml:space="preserve">lash </w:t>
      </w:r>
      <w:r>
        <w:t xml:space="preserve">or external </w:t>
      </w:r>
      <w:r w:rsidRPr="007659C3">
        <w:t>drive) shall be filed with the Commission Clerk via hand-delivery, U.S. Mail, or overnight mail on the day that the redacted version was served via e-mail.</w:t>
      </w: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VI.</w:t>
      </w:r>
      <w:r>
        <w:tab/>
      </w:r>
      <w:r>
        <w:rPr>
          <w:b/>
          <w:bCs/>
          <w:u w:val="single"/>
        </w:rPr>
        <w:t>Prehearing Procedures</w:t>
      </w: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619B9" w:rsidRDefault="004437EA"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A</w:t>
      </w:r>
      <w:r w:rsidR="007619B9">
        <w:t>.</w:t>
      </w:r>
      <w:r w:rsidR="007619B9">
        <w:tab/>
      </w:r>
      <w:r w:rsidR="007619B9">
        <w:rPr>
          <w:u w:val="single"/>
        </w:rPr>
        <w:t>Prehearing Statements</w:t>
      </w: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r>
      <w:r w:rsidR="00FB2E21" w:rsidRPr="00FB2E21">
        <w:t xml:space="preserve">Every party in this docket and the Commission staff shall file a Prehearing Statement pursuant to the schedule set forth in Section IX of this Order. Each Prehearing Statement shall be </w:t>
      </w:r>
      <w:r w:rsidR="00FB2E21" w:rsidRPr="00FB2E21">
        <w:lastRenderedPageBreak/>
        <w:t>filed with the Office of Commission Clerk by 5:00 p.m. on the date due. Every party shall contemporaneously provide a copy of its Prehearing Statement to all other parties and the Commission staff in Microsoft Word forma</w:t>
      </w:r>
      <w:r w:rsidR="00FB2E21">
        <w:t>t</w:t>
      </w:r>
      <w:r>
        <w:t>.</w:t>
      </w: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Each party’s Prehearing Statement shall set forth the following information in the sequence listed below:</w:t>
      </w: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w:t>
      </w:r>
      <w:r>
        <w:tab/>
        <w:t>The name of all known witnesses whose testimony has been prefiled or who may be called by the party, along with subject matter of each such witness’ testimony and the corresponding issue numbers in the following format:</w:t>
      </w: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All Known Witnesses:</w:t>
      </w: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7619B9" w:rsidTr="00114037">
        <w:tc>
          <w:tcPr>
            <w:tcW w:w="3060" w:type="dxa"/>
            <w:shd w:val="clear" w:color="auto" w:fill="auto"/>
          </w:tcPr>
          <w:p w:rsidR="007619B9" w:rsidRPr="004306A8" w:rsidRDefault="007619B9" w:rsidP="001140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Witness</w:t>
            </w:r>
          </w:p>
        </w:tc>
        <w:tc>
          <w:tcPr>
            <w:tcW w:w="2919" w:type="dxa"/>
            <w:shd w:val="clear" w:color="auto" w:fill="auto"/>
          </w:tcPr>
          <w:p w:rsidR="007619B9" w:rsidRPr="004306A8" w:rsidRDefault="007619B9" w:rsidP="001140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Subject Matter</w:t>
            </w:r>
          </w:p>
        </w:tc>
        <w:tc>
          <w:tcPr>
            <w:tcW w:w="2571" w:type="dxa"/>
            <w:shd w:val="clear" w:color="auto" w:fill="auto"/>
          </w:tcPr>
          <w:p w:rsidR="007619B9" w:rsidRPr="004306A8" w:rsidRDefault="007619B9" w:rsidP="001140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Issue</w:t>
            </w:r>
            <w:r w:rsidRPr="004306A8">
              <w:rPr>
                <w:b/>
              </w:rPr>
              <w:t xml:space="preserve"> #</w:t>
            </w:r>
          </w:p>
        </w:tc>
      </w:tr>
      <w:tr w:rsidR="007619B9" w:rsidTr="00114037">
        <w:tc>
          <w:tcPr>
            <w:tcW w:w="3060" w:type="dxa"/>
            <w:shd w:val="clear" w:color="auto" w:fill="auto"/>
          </w:tcPr>
          <w:p w:rsidR="007619B9" w:rsidRPr="004306A8" w:rsidRDefault="007619B9" w:rsidP="001140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A2428E">
              <w:t xml:space="preserve">     </w:t>
            </w:r>
            <w:r>
              <w:t xml:space="preserve"> </w:t>
            </w:r>
            <w:r w:rsidRPr="00A2428E">
              <w:t xml:space="preserve"> </w:t>
            </w:r>
            <w:r w:rsidRPr="004306A8">
              <w:rPr>
                <w:b/>
              </w:rPr>
              <w:t xml:space="preserve"> Direct</w:t>
            </w:r>
          </w:p>
        </w:tc>
        <w:tc>
          <w:tcPr>
            <w:tcW w:w="2919" w:type="dxa"/>
            <w:shd w:val="clear" w:color="auto" w:fill="auto"/>
          </w:tcPr>
          <w:p w:rsidR="007619B9" w:rsidRPr="00A2428E" w:rsidRDefault="007619B9" w:rsidP="001140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7619B9" w:rsidRPr="00A2428E" w:rsidRDefault="007619B9" w:rsidP="001140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7619B9" w:rsidTr="00114037">
        <w:tc>
          <w:tcPr>
            <w:tcW w:w="3060" w:type="dxa"/>
            <w:shd w:val="clear" w:color="auto" w:fill="auto"/>
          </w:tcPr>
          <w:p w:rsidR="007619B9" w:rsidRPr="00A2428E" w:rsidRDefault="007619B9" w:rsidP="001140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John Smith</w:t>
            </w:r>
          </w:p>
        </w:tc>
        <w:tc>
          <w:tcPr>
            <w:tcW w:w="2919" w:type="dxa"/>
            <w:shd w:val="clear" w:color="auto" w:fill="auto"/>
          </w:tcPr>
          <w:p w:rsidR="007619B9" w:rsidRPr="00A2428E" w:rsidRDefault="007619B9" w:rsidP="001140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 xml:space="preserve">Subject </w:t>
            </w:r>
            <w:r>
              <w:t xml:space="preserve">. . . </w:t>
            </w:r>
          </w:p>
        </w:tc>
        <w:tc>
          <w:tcPr>
            <w:tcW w:w="2571" w:type="dxa"/>
            <w:shd w:val="clear" w:color="auto" w:fill="auto"/>
          </w:tcPr>
          <w:p w:rsidR="007619B9" w:rsidRPr="00A2428E" w:rsidRDefault="007C0D87" w:rsidP="001140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t>1, 3–</w:t>
            </w:r>
            <w:r w:rsidR="007619B9" w:rsidRPr="00A2428E">
              <w:t>5</w:t>
            </w:r>
          </w:p>
        </w:tc>
      </w:tr>
    </w:tbl>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(2)</w:t>
      </w:r>
      <w:r>
        <w:tab/>
        <w:t>A description of all prefiled exhibits and other exhibits that may be used by the party in presenting its direct case (including individual components of a composite exhibit) and the witness sponsoring each in the following format:</w:t>
      </w: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All Known Exhibits:</w:t>
      </w: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848"/>
        <w:gridCol w:w="1318"/>
        <w:gridCol w:w="2123"/>
        <w:gridCol w:w="1619"/>
      </w:tblGrid>
      <w:tr w:rsidR="007619B9" w:rsidRPr="00B95E83" w:rsidTr="00114037">
        <w:tc>
          <w:tcPr>
            <w:tcW w:w="974" w:type="dxa"/>
            <w:shd w:val="clear" w:color="auto" w:fill="auto"/>
          </w:tcPr>
          <w:p w:rsidR="007619B9" w:rsidRPr="00B95E83" w:rsidRDefault="007619B9" w:rsidP="001140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B95E83">
              <w:rPr>
                <w:b/>
              </w:rPr>
              <w:t>Witness</w:t>
            </w:r>
          </w:p>
        </w:tc>
        <w:tc>
          <w:tcPr>
            <w:tcW w:w="2086" w:type="dxa"/>
            <w:tcBorders>
              <w:bottom w:val="single" w:sz="4" w:space="0" w:color="auto"/>
            </w:tcBorders>
            <w:shd w:val="clear" w:color="auto" w:fill="auto"/>
          </w:tcPr>
          <w:p w:rsidR="007619B9" w:rsidRPr="00B95E83" w:rsidRDefault="007619B9" w:rsidP="00114037">
            <w:pPr>
              <w:rPr>
                <w:b/>
              </w:rPr>
            </w:pPr>
            <w:r w:rsidRPr="00B95E83">
              <w:rPr>
                <w:b/>
              </w:rPr>
              <w:t>Proffered By</w:t>
            </w:r>
          </w:p>
        </w:tc>
        <w:tc>
          <w:tcPr>
            <w:tcW w:w="1505" w:type="dxa"/>
            <w:shd w:val="clear" w:color="auto" w:fill="auto"/>
          </w:tcPr>
          <w:p w:rsidR="007619B9" w:rsidRPr="00B95E83" w:rsidRDefault="007619B9" w:rsidP="00114037">
            <w:pPr>
              <w:rPr>
                <w:b/>
              </w:rPr>
            </w:pPr>
            <w:r w:rsidRPr="00B95E83">
              <w:rPr>
                <w:b/>
              </w:rPr>
              <w:t>Exhibit No.</w:t>
            </w:r>
          </w:p>
        </w:tc>
        <w:tc>
          <w:tcPr>
            <w:tcW w:w="2123" w:type="dxa"/>
            <w:shd w:val="clear" w:color="auto" w:fill="auto"/>
          </w:tcPr>
          <w:p w:rsidR="007619B9" w:rsidRPr="00B95E83" w:rsidRDefault="007619B9" w:rsidP="001140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B95E83">
              <w:rPr>
                <w:b/>
              </w:rPr>
              <w:t>Description</w:t>
            </w:r>
          </w:p>
        </w:tc>
        <w:tc>
          <w:tcPr>
            <w:tcW w:w="1862" w:type="dxa"/>
            <w:shd w:val="clear" w:color="auto" w:fill="auto"/>
          </w:tcPr>
          <w:p w:rsidR="007619B9" w:rsidRPr="00B95E83" w:rsidRDefault="007619B9" w:rsidP="00114037">
            <w:pPr>
              <w:rPr>
                <w:b/>
              </w:rPr>
            </w:pPr>
            <w:r w:rsidRPr="00B95E83">
              <w:rPr>
                <w:b/>
              </w:rPr>
              <w:t>Issue  #</w:t>
            </w:r>
          </w:p>
        </w:tc>
      </w:tr>
      <w:tr w:rsidR="007619B9" w:rsidRPr="00B95E83" w:rsidTr="00114037">
        <w:tc>
          <w:tcPr>
            <w:tcW w:w="974" w:type="dxa"/>
            <w:shd w:val="clear" w:color="auto" w:fill="auto"/>
          </w:tcPr>
          <w:p w:rsidR="007619B9" w:rsidRPr="00B95E83" w:rsidRDefault="007619B9" w:rsidP="00114037">
            <w:pPr>
              <w:jc w:val="center"/>
              <w:rPr>
                <w:b/>
              </w:rPr>
            </w:pPr>
            <w:r w:rsidRPr="00B95E83">
              <w:rPr>
                <w:b/>
              </w:rPr>
              <w:t>Direct</w:t>
            </w:r>
          </w:p>
        </w:tc>
        <w:tc>
          <w:tcPr>
            <w:tcW w:w="2086" w:type="dxa"/>
            <w:tcBorders>
              <w:top w:val="single" w:sz="4" w:space="0" w:color="auto"/>
            </w:tcBorders>
            <w:shd w:val="clear" w:color="auto" w:fill="auto"/>
          </w:tcPr>
          <w:p w:rsidR="007619B9" w:rsidRPr="00B95E83" w:rsidRDefault="007619B9" w:rsidP="00114037"/>
        </w:tc>
        <w:tc>
          <w:tcPr>
            <w:tcW w:w="1505" w:type="dxa"/>
            <w:shd w:val="clear" w:color="auto" w:fill="auto"/>
          </w:tcPr>
          <w:p w:rsidR="007619B9" w:rsidRPr="00B95E83" w:rsidRDefault="007619B9" w:rsidP="001140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123" w:type="dxa"/>
            <w:shd w:val="clear" w:color="auto" w:fill="auto"/>
          </w:tcPr>
          <w:p w:rsidR="007619B9" w:rsidRPr="00B95E83" w:rsidRDefault="007619B9" w:rsidP="001140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862" w:type="dxa"/>
            <w:shd w:val="clear" w:color="auto" w:fill="auto"/>
          </w:tcPr>
          <w:p w:rsidR="007619B9" w:rsidRPr="00B95E83" w:rsidRDefault="007619B9" w:rsidP="001140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7619B9" w:rsidRPr="00B95E83" w:rsidTr="00114037">
        <w:tc>
          <w:tcPr>
            <w:tcW w:w="974" w:type="dxa"/>
            <w:shd w:val="clear" w:color="auto" w:fill="auto"/>
          </w:tcPr>
          <w:p w:rsidR="007619B9" w:rsidRPr="00B95E83" w:rsidRDefault="007619B9" w:rsidP="00114037">
            <w:r w:rsidRPr="00B95E83">
              <w:t>John Smith</w:t>
            </w:r>
          </w:p>
        </w:tc>
        <w:tc>
          <w:tcPr>
            <w:tcW w:w="2086" w:type="dxa"/>
            <w:shd w:val="clear" w:color="auto" w:fill="auto"/>
          </w:tcPr>
          <w:p w:rsidR="007619B9" w:rsidRPr="00B95E83" w:rsidRDefault="007619B9" w:rsidP="00114037">
            <w:r w:rsidRPr="00B95E83">
              <w:t>Party/Utility Name</w:t>
            </w:r>
          </w:p>
        </w:tc>
        <w:tc>
          <w:tcPr>
            <w:tcW w:w="1505" w:type="dxa"/>
            <w:shd w:val="clear" w:color="auto" w:fill="auto"/>
          </w:tcPr>
          <w:p w:rsidR="007619B9" w:rsidRPr="00B95E83" w:rsidRDefault="007619B9" w:rsidP="00114037">
            <w:r w:rsidRPr="00B95E83">
              <w:t>ABC-1</w:t>
            </w:r>
          </w:p>
        </w:tc>
        <w:tc>
          <w:tcPr>
            <w:tcW w:w="2123" w:type="dxa"/>
            <w:shd w:val="clear" w:color="auto" w:fill="auto"/>
          </w:tcPr>
          <w:p w:rsidR="007619B9" w:rsidRPr="00B95E83" w:rsidRDefault="00E9733A" w:rsidP="00E9733A">
            <w:r>
              <w:t xml:space="preserve">Title . . . </w:t>
            </w:r>
          </w:p>
        </w:tc>
        <w:tc>
          <w:tcPr>
            <w:tcW w:w="1862" w:type="dxa"/>
            <w:shd w:val="clear" w:color="auto" w:fill="auto"/>
          </w:tcPr>
          <w:p w:rsidR="007619B9" w:rsidRPr="00B95E83" w:rsidRDefault="0042029A" w:rsidP="001140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t>1, 3–</w:t>
            </w:r>
            <w:r w:rsidR="007619B9" w:rsidRPr="00B95E83">
              <w:t>5</w:t>
            </w:r>
          </w:p>
        </w:tc>
      </w:tr>
    </w:tbl>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t>(3)</w:t>
      </w:r>
      <w:r>
        <w:tab/>
        <w:t>A statement of the party’s basic position in the proceeding;</w:t>
      </w: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(4)</w:t>
      </w:r>
      <w:r>
        <w:tab/>
        <w:t>A statement of each question of fact, question of law, and policy question that the party considers at issue, along with the party’s position on each  issue, and, where app</w:t>
      </w:r>
      <w:r w:rsidR="00482B73">
        <w:t>licable, the names of the party’</w:t>
      </w:r>
      <w:r>
        <w:t xml:space="preserve">s witness(es) who will address each issue. Parties who wish to maintain “no position at this time” on any particular issue or issues should refer to the requirements of </w:t>
      </w:r>
      <w:r w:rsidR="00682BA9">
        <w:t>S</w:t>
      </w:r>
      <w:r>
        <w:t>ubsection C, below;</w:t>
      </w: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(5)</w:t>
      </w:r>
      <w:r>
        <w:tab/>
        <w:t>A statement of issues to which the parties have stipulated;</w:t>
      </w: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(6)</w:t>
      </w:r>
      <w:r>
        <w:tab/>
        <w:t>A statement of all pending motions or other matters the party seeks action upon;</w:t>
      </w: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(7)</w:t>
      </w:r>
      <w:r>
        <w:tab/>
        <w:t>A statement identifying the party’s pending requests or claims for confidentiality;</w:t>
      </w: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(8)</w:t>
      </w:r>
      <w:r>
        <w:tab/>
        <w:t xml:space="preserve">Any objections to a witness’ qualifications as an expert. The objection shall identify each witness the party wishes to voir dire as well as state </w:t>
      </w:r>
      <w:r>
        <w:lastRenderedPageBreak/>
        <w:t>with specificity the portions of that witness’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rsidR="007619B9" w:rsidRDefault="007619B9" w:rsidP="007619B9">
      <w:pPr>
        <w:spacing w:line="2" w:lineRule="exact"/>
        <w:jc w:val="both"/>
      </w:pP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(9)</w:t>
      </w:r>
      <w:r>
        <w:tab/>
        <w:t xml:space="preserve">A request for sequestration of witnesses, </w:t>
      </w:r>
      <w:r w:rsidRPr="003D49E3">
        <w:t xml:space="preserve">so any such request may be resolved by the </w:t>
      </w:r>
      <w:r>
        <w:t>P</w:t>
      </w:r>
      <w:r w:rsidRPr="003D49E3">
        <w:t xml:space="preserve">rehearing </w:t>
      </w:r>
      <w:r>
        <w:t>O</w:t>
      </w:r>
      <w:r w:rsidRPr="003D49E3">
        <w:t>fficer prior to the hearing</w:t>
      </w:r>
      <w:r>
        <w:t>. Failure to make such a request shall constitute a waiver of the right to request sequestration of witnesses absent a showing of good cause; and</w:t>
      </w: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(10)</w:t>
      </w:r>
      <w:r>
        <w:tab/>
        <w:t xml:space="preserve">A statement as to any requirement set forth in this </w:t>
      </w:r>
      <w:r w:rsidR="00D9358A">
        <w:t>O</w:t>
      </w:r>
      <w:r>
        <w:t>rder that cannot be complied with, and the reasons therefore.</w:t>
      </w: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rsidR="001170FA">
        <w:t>B</w:t>
      </w:r>
      <w:r>
        <w:t>.</w:t>
      </w:r>
      <w:r>
        <w:tab/>
      </w:r>
      <w:r>
        <w:rPr>
          <w:u w:val="single"/>
        </w:rPr>
        <w:t>Attendance at Prehearing Conference</w:t>
      </w: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Pursuant to Rule 28-106.209, F.A.C., a Prehearing Conference will be held</w:t>
      </w:r>
      <w:r w:rsidR="00C049B8">
        <w:t xml:space="preserve"> August 27, 2026, </w:t>
      </w:r>
      <w:r>
        <w:t>at the Betty Easley Conference Center, 4075 Esplanade Way, Tallahassee, Florida. 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1170FA">
        <w:t>C</w:t>
      </w:r>
      <w:r>
        <w:t>.</w:t>
      </w:r>
      <w:r>
        <w:tab/>
      </w:r>
      <w:r>
        <w:rPr>
          <w:u w:val="single"/>
        </w:rPr>
        <w:t>Waiver of Issues</w:t>
      </w: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619B9" w:rsidRDefault="007619B9" w:rsidP="007619B9">
      <w:pPr>
        <w:spacing w:line="2" w:lineRule="exact"/>
        <w:jc w:val="both"/>
      </w:pPr>
    </w:p>
    <w:p w:rsidR="007619B9" w:rsidRDefault="007619B9" w:rsidP="007619B9">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the party was unable to identify the issue because of the complexity of the matter;</w:t>
      </w:r>
    </w:p>
    <w:p w:rsidR="007619B9" w:rsidRDefault="007619B9" w:rsidP="007619B9">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discovery or other prehearing procedures were not adequate to fully develop the issue;</w:t>
      </w:r>
    </w:p>
    <w:p w:rsidR="007619B9" w:rsidRDefault="007619B9" w:rsidP="007619B9">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Whether due diligence was exercised to obtain facts touching on the issue; </w:t>
      </w:r>
    </w:p>
    <w:p w:rsidR="007619B9" w:rsidRDefault="007619B9" w:rsidP="007619B9">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information obtained subsequent to the Prehearing Conference was not previously available to enable the party to identify the issue; and</w:t>
      </w:r>
    </w:p>
    <w:p w:rsidR="007619B9" w:rsidRDefault="007619B9" w:rsidP="007619B9">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introduction of the issue would not be to the prejudice or surprise of any party.</w:t>
      </w: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619B9" w:rsidRDefault="00E2149E"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7619B9">
        <w:t>Specific reference shall be made to the information received and how it enabled the party to identify the issue.</w:t>
      </w: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r>
      <w:r w:rsidR="00822EC8" w:rsidRPr="00822EC8">
        <w:t>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A party who takes no position on an issue by the time of the Prehearing Conference, or by such later time as may be permitted by the Prehearing Officer, waives its opportunity to conduct cross-examination on the issue as well as file a post-hearing brief on the issue. Commission staff may take “no position at this time” or a similar position on any issue without having to make the showing described above and without waiver of cross-examinatio</w:t>
      </w:r>
      <w:r>
        <w:t>n.</w:t>
      </w: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1170FA">
        <w:t>D</w:t>
      </w:r>
      <w:r>
        <w:t>.</w:t>
      </w:r>
      <w:r>
        <w:tab/>
      </w:r>
      <w:r>
        <w:rPr>
          <w:u w:val="single"/>
        </w:rPr>
        <w:t>Motions to Strike Prefiled Testimony and Exhibits</w:t>
      </w:r>
    </w:p>
    <w:p w:rsidR="007619B9" w:rsidRDefault="007619B9" w:rsidP="007619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619B9" w:rsidRDefault="007619B9" w:rsidP="007619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Motions to strike any portion of the prefiled testimony and related portions of exhibits of any witness shall be made in writing no later than seven days prior to the Prehearing Conference, and identify with specificity the page and line numbers of the information to be striken. Motions to strike any portion of prefiled testimony and related portions of exhibits at hearing shall be considered untimely, absent good cause shown.</w:t>
      </w:r>
    </w:p>
    <w:p w:rsidR="000E03B1" w:rsidRDefault="000E03B1" w:rsidP="007619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619B9" w:rsidRDefault="001170FA" w:rsidP="007619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E</w:t>
      </w:r>
      <w:r w:rsidR="007619B9">
        <w:t>.</w:t>
      </w:r>
      <w:r w:rsidR="007619B9">
        <w:tab/>
      </w:r>
      <w:r w:rsidR="007619B9">
        <w:rPr>
          <w:u w:val="single"/>
        </w:rPr>
        <w:t>Demonstrative Exhibits</w:t>
      </w:r>
    </w:p>
    <w:p w:rsidR="007619B9" w:rsidRDefault="007619B9" w:rsidP="007619B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619B9" w:rsidRDefault="007619B9" w:rsidP="007619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a party wishes to use a demonstrative exhibit or other demonstrative tools at hearing, such materials must be identified by the time of the Prehearing Conference.</w:t>
      </w:r>
    </w:p>
    <w:p w:rsidR="007619B9" w:rsidRDefault="007619B9" w:rsidP="007619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619B9" w:rsidRPr="00801492" w:rsidRDefault="007619B9" w:rsidP="007619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1170FA">
        <w:t>F</w:t>
      </w:r>
      <w:r w:rsidRPr="00801492">
        <w:t>.</w:t>
      </w:r>
      <w:r w:rsidRPr="00801492">
        <w:tab/>
      </w:r>
      <w:r w:rsidRPr="00801492">
        <w:rPr>
          <w:u w:val="single"/>
        </w:rPr>
        <w:t>Provision of  Exhibits</w:t>
      </w:r>
    </w:p>
    <w:p w:rsidR="007619B9" w:rsidRPr="00801492" w:rsidRDefault="007619B9" w:rsidP="007619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619B9" w:rsidRPr="00801492" w:rsidRDefault="007619B9" w:rsidP="007619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01492">
        <w:tab/>
      </w:r>
      <w:r>
        <w:t xml:space="preserve">By </w:t>
      </w:r>
      <w:r w:rsidR="00B00EF1" w:rsidRPr="00D97D18">
        <w:t>September 3, 2026</w:t>
      </w:r>
      <w:r w:rsidRPr="00801492">
        <w:t>, each party must provide an electronic copy of all exhibits that the party plans to offer into evidence or use for demonstrative purposes during the hearing, except for exhibits that have already been prefiled with witness testimony that are in the docket file. Each party shall also provide a list of the exhibits it has electronically submitted</w:t>
      </w:r>
      <w:r>
        <w:t xml:space="preserve"> to the Commission Office of the General Counsel on a flash or external drive, or e-mailed to </w:t>
      </w:r>
      <w:hyperlink r:id="rId10" w:history="1">
        <w:r w:rsidRPr="00A001B6">
          <w:rPr>
            <w:rStyle w:val="Hyperlink"/>
          </w:rPr>
          <w:t>discovery-gcl@psc.state.fl.us</w:t>
        </w:r>
      </w:hyperlink>
      <w:r w:rsidRPr="00801492">
        <w:t>.</w:t>
      </w:r>
      <w:r>
        <w:t xml:space="preserve"> </w:t>
      </w:r>
      <w:r w:rsidRPr="00801492">
        <w:t>A</w:t>
      </w:r>
      <w:r>
        <w:t xml:space="preserve"> copy of all exhibits and the accompanying list shall also be served electronically or by regular mail, overnight mail, or hand delivery to all other parties no later than the date provided to the Commission’s Office of the General Counsel. A</w:t>
      </w:r>
      <w:r w:rsidRPr="00801492">
        <w:t xml:space="preserve">bsent a showing of good cause, the failure of a party to timely provide exhibits in compliance with this </w:t>
      </w:r>
      <w:r w:rsidR="00D01955">
        <w:t>O</w:t>
      </w:r>
      <w:r w:rsidRPr="00801492">
        <w:t>rder may bar admission of such exhibits.</w:t>
      </w:r>
    </w:p>
    <w:p w:rsidR="007619B9" w:rsidRPr="00801492" w:rsidRDefault="007619B9" w:rsidP="007619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619B9" w:rsidRDefault="007619B9" w:rsidP="007619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01492">
        <w:tab/>
      </w:r>
      <w:r w:rsidR="00E56321" w:rsidRPr="00E56321">
        <w:t xml:space="preserve">Each exhibit must be saved as a distinct and separate electronic file; multiple exhibits combined in a single electronic file are not acceptable. Parties are not required to create a separate Adobe PDF file or exhibit for each interrogatory response. Several responses and </w:t>
      </w:r>
      <w:r w:rsidR="00E56321" w:rsidRPr="00E56321">
        <w:lastRenderedPageBreak/>
        <w:t>attachments can be combined into one Adobe PDF document and submitted as one composite exhibit. If a party submits an attachment separately, the attachment must be numbered as a separate exhib</w:t>
      </w:r>
      <w:r w:rsidR="00E56321">
        <w:t>it</w:t>
      </w:r>
      <w:r>
        <w:t xml:space="preserve">. </w:t>
      </w:r>
    </w:p>
    <w:p w:rsidR="007619B9" w:rsidRDefault="007619B9" w:rsidP="007619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619B9" w:rsidRPr="00801492" w:rsidRDefault="007619B9" w:rsidP="007619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801492">
        <w:t>No cover pages are required; however, as with all exhibits, a top margin of not less than one inch is required for stamping purposes. Each exhibit shall be named with the party’s acronym</w:t>
      </w:r>
      <w:r w:rsidR="007D5C63">
        <w:t>/initialism</w:t>
      </w:r>
      <w:r w:rsidRPr="00801492">
        <w:t xml:space="preserve"> and sequential numbering as follows:</w:t>
      </w:r>
    </w:p>
    <w:p w:rsidR="007619B9" w:rsidRPr="00801492" w:rsidRDefault="007619B9" w:rsidP="007619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619B9" w:rsidRPr="00801492" w:rsidRDefault="007619B9" w:rsidP="007619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01492">
        <w:tab/>
      </w:r>
      <w:r w:rsidRPr="00801492">
        <w:tab/>
        <w:t>FPL-1 – short document title, FPL-2 – short document title, etc.</w:t>
      </w:r>
    </w:p>
    <w:p w:rsidR="007619B9" w:rsidRPr="00801492" w:rsidRDefault="007619B9" w:rsidP="007619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01492">
        <w:tab/>
      </w:r>
      <w:r w:rsidRPr="00801492">
        <w:tab/>
        <w:t>OPC-1 – short document title, OPC-2 – short document title, etc.</w:t>
      </w:r>
    </w:p>
    <w:p w:rsidR="007619B9" w:rsidRPr="00801492" w:rsidRDefault="007619B9" w:rsidP="007619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619B9" w:rsidRPr="00801492" w:rsidRDefault="007619B9" w:rsidP="007619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01492">
        <w:tab/>
      </w:r>
      <w:r w:rsidR="002C014D" w:rsidRPr="002C014D">
        <w:t>Parties may use exhibits in their native Excel format for demonstrative purposes; however, any exhibits created in Excel that a party seeks to admit into the record must be converted to Adobe PDF and provided to the Commission as a separate electronic file. Any attachment to a discovery response that a party wishes to offer as an exhibit must be provided as a separate electronic file to be marked as a separate exhibit. Cumulative or irrelevant attachme</w:t>
      </w:r>
      <w:r w:rsidR="002C014D">
        <w:t>nts are not appropriate exhibits</w:t>
      </w:r>
      <w:r w:rsidRPr="00801492">
        <w:t>.</w:t>
      </w:r>
    </w:p>
    <w:p w:rsidR="007619B9" w:rsidRPr="00801492" w:rsidRDefault="007619B9" w:rsidP="007619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619B9" w:rsidRPr="00801492" w:rsidRDefault="007619B9" w:rsidP="007619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01492">
        <w:tab/>
        <w:t xml:space="preserve">Confidential information will be handled as described below in </w:t>
      </w:r>
      <w:r>
        <w:t xml:space="preserve">Section VII.C. </w:t>
      </w:r>
      <w:r w:rsidRPr="00801492">
        <w:t>However, parties must also provide an electronic, redacted, non-confidential version of each confidential exhibit they intend to use at the hearing.</w:t>
      </w:r>
    </w:p>
    <w:p w:rsidR="007619B9" w:rsidRDefault="007619B9" w:rsidP="007619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51256">
        <w:rPr>
          <w:highlight w:val="cyan"/>
        </w:rPr>
        <w:t xml:space="preserve"> </w:t>
      </w:r>
    </w:p>
    <w:p w:rsidR="007619B9" w:rsidRDefault="007619B9" w:rsidP="007619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parties are encouraged to stipulate to the introduction of as many exhibits as possible to minimize the time spent at the final hearing laying a foundation for exhibits. Issues of authenticity of documents must be resolved between the parties to the greatest extent practicable before the hearing.</w:t>
      </w:r>
    </w:p>
    <w:p w:rsidR="007619B9" w:rsidRDefault="007619B9" w:rsidP="007619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r>
      <w:r w:rsidR="00B422D8">
        <w:t>G</w:t>
      </w:r>
      <w:r>
        <w:t>.</w:t>
      </w:r>
      <w:r>
        <w:tab/>
      </w:r>
      <w:r>
        <w:rPr>
          <w:u w:val="single"/>
        </w:rPr>
        <w:t>Official Recognition</w:t>
      </w: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619B9" w:rsidRDefault="007619B9" w:rsidP="007619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F616FA" w:rsidRPr="00F616FA">
        <w:t>Official recognition is hereby taken of decisional, constitutional, and public statutory law and resolutions of the Florida Legislature; special, local, and private acts and resolutions of the Florida Legislature; rules promulgated by Florida governmental agencies which are published in the Florida Administrative Code; final orders, including recommended and proposed agency action orders ruled upon therein, issued by Florida governmental entities; judgements and records of Florida courts; and duly enacted ordinances and resolutions of Florida municipalities and counties, without the necessity of a motion requesting the Commission to take official recognitio</w:t>
      </w:r>
      <w:r>
        <w:t>n.</w:t>
      </w:r>
    </w:p>
    <w:p w:rsidR="007619B9" w:rsidRDefault="007619B9" w:rsidP="007619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619B9" w:rsidRDefault="007619B9" w:rsidP="007619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2914A3" w:rsidRPr="002914A3">
        <w:t>Parties seeking official recognition of any other materials pursuant to Section 120.569(2)(i), F.S., shall notify all other parties and Commission staff in writing no later than one week prior to the first scheduled hearing date. Such notification shall identify all materials for which the party seeks official recognition, and such materials shall be provided along with the notificatio</w:t>
      </w:r>
      <w:r>
        <w:t>n.</w:t>
      </w:r>
    </w:p>
    <w:p w:rsidR="007619B9" w:rsidRDefault="007619B9" w:rsidP="007619B9"/>
    <w:p w:rsidR="00A67C42" w:rsidRDefault="00A67C42" w:rsidP="007619B9"/>
    <w:p w:rsidR="007619B9" w:rsidRPr="00205CA9" w:rsidRDefault="00B422D8" w:rsidP="007619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lastRenderedPageBreak/>
        <w:tab/>
        <w:t>H</w:t>
      </w:r>
      <w:r w:rsidR="007619B9" w:rsidRPr="00364D32">
        <w:t>.</w:t>
      </w:r>
      <w:r w:rsidR="007619B9" w:rsidRPr="00364D32">
        <w:tab/>
      </w:r>
      <w:r w:rsidR="007619B9" w:rsidRPr="00364D32">
        <w:rPr>
          <w:u w:val="single"/>
        </w:rPr>
        <w:t>Use of Depositions at Hearing</w:t>
      </w: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619B9" w:rsidRDefault="007619B9" w:rsidP="007619B9">
      <w:pPr>
        <w:jc w:val="both"/>
      </w:pPr>
      <w:r>
        <w:tab/>
      </w:r>
      <w:r w:rsidR="000217D6" w:rsidRPr="000217D6">
        <w:t>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Section IX of this Order. The Notice shall include the following information for each depositi</w:t>
      </w:r>
      <w:r>
        <w:t>on:</w:t>
      </w:r>
    </w:p>
    <w:p w:rsidR="007619B9" w:rsidRDefault="007619B9" w:rsidP="007619B9">
      <w:pPr>
        <w:pStyle w:val="ListParagraph"/>
        <w:ind w:left="1080"/>
        <w:jc w:val="both"/>
      </w:pPr>
    </w:p>
    <w:p w:rsidR="007619B9" w:rsidRDefault="007619B9" w:rsidP="007619B9">
      <w:pPr>
        <w:pStyle w:val="ListParagraph"/>
        <w:numPr>
          <w:ilvl w:val="0"/>
          <w:numId w:val="7"/>
        </w:numPr>
        <w:jc w:val="both"/>
      </w:pPr>
      <w:r>
        <w:t>Name of witness deposed;</w:t>
      </w:r>
    </w:p>
    <w:p w:rsidR="007619B9" w:rsidRDefault="007619B9" w:rsidP="007619B9">
      <w:pPr>
        <w:pStyle w:val="ListParagraph"/>
        <w:numPr>
          <w:ilvl w:val="0"/>
          <w:numId w:val="7"/>
        </w:numPr>
        <w:jc w:val="both"/>
      </w:pPr>
      <w:r>
        <w:t>Date deposition was taken; and</w:t>
      </w:r>
    </w:p>
    <w:p w:rsidR="007619B9" w:rsidRPr="001F6FDB" w:rsidRDefault="007619B9" w:rsidP="007619B9">
      <w:pPr>
        <w:pStyle w:val="ListParagraph"/>
        <w:numPr>
          <w:ilvl w:val="0"/>
          <w:numId w:val="7"/>
        </w:numPr>
        <w:jc w:val="both"/>
      </w:pPr>
      <w:r>
        <w:t xml:space="preserve">Page and line numbers of each deposition the party seeks to introduce, </w:t>
      </w:r>
      <w:r w:rsidRPr="001F6FDB">
        <w:t xml:space="preserve">when available. </w:t>
      </w:r>
    </w:p>
    <w:p w:rsidR="007619B9" w:rsidRDefault="007619B9" w:rsidP="007619B9"/>
    <w:p w:rsidR="007619B9" w:rsidRDefault="007619B9" w:rsidP="007619B9">
      <w:pPr>
        <w:ind w:firstLine="720"/>
        <w:jc w:val="both"/>
      </w:pPr>
      <w:r>
        <w:t>Objection(s) to the entry into the record of a deposition or portion thereof at hearing for purposes other than impeachment must be made in writing within three days of filing a Notice of Intent to use Deposition for resolution by the Prehearing Officer.</w:t>
      </w:r>
    </w:p>
    <w:p w:rsidR="007619B9" w:rsidRDefault="007619B9" w:rsidP="007619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619B9" w:rsidRPr="00257CA8" w:rsidRDefault="007619B9" w:rsidP="007619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Parties do not need to exchange deposition transcripts that will </w:t>
      </w:r>
      <w:r w:rsidR="00257CA8" w:rsidRPr="00257CA8">
        <w:rPr>
          <w:i/>
        </w:rPr>
        <w:t>only</w:t>
      </w:r>
      <w:r w:rsidR="00257CA8">
        <w:t xml:space="preserve"> </w:t>
      </w:r>
      <w:r>
        <w:t>be</w:t>
      </w:r>
      <w:r w:rsidRPr="001F6FDB">
        <w:rPr>
          <w:i/>
        </w:rPr>
        <w:t xml:space="preserve"> </w:t>
      </w:r>
      <w:r w:rsidRPr="00257CA8">
        <w:t>used for impeachment purposes.</w:t>
      </w:r>
    </w:p>
    <w:p w:rsidR="007619B9" w:rsidRDefault="007619B9" w:rsidP="007619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w:t>
      </w:r>
      <w:r>
        <w:rPr>
          <w:b/>
          <w:bCs/>
        </w:rPr>
        <w:tab/>
      </w:r>
      <w:r>
        <w:rPr>
          <w:b/>
          <w:bCs/>
          <w:u w:val="single"/>
        </w:rPr>
        <w:t>Hearing Procedures</w:t>
      </w: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Attendance at Hearing</w:t>
      </w: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w:t>
      </w: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Likewise, all witnesses are expected to be present at the hearing at the time they are called based on the order of witnesses unless excused by the Presiding Officer upon the </w:t>
      </w:r>
      <w:r w:rsidR="00856F8E">
        <w:t xml:space="preserve">Commission </w:t>
      </w:r>
      <w:r>
        <w:t xml:space="preserve">staff attorney’s confirmation prior to the hearing date of the following: </w:t>
      </w: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619B9" w:rsidRDefault="007619B9" w:rsidP="007619B9">
      <w:pPr>
        <w:spacing w:line="2" w:lineRule="exact"/>
        <w:jc w:val="both"/>
      </w:pPr>
    </w:p>
    <w:p w:rsidR="007619B9" w:rsidRDefault="007619B9" w:rsidP="007619B9">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All parties agree that the witness will not </w:t>
      </w:r>
      <w:r w:rsidR="00554018">
        <w:t>be needed for cross-</w:t>
      </w:r>
      <w:r w:rsidR="007929F6">
        <w:t>examination; and</w:t>
      </w:r>
    </w:p>
    <w:p w:rsidR="007619B9" w:rsidRDefault="007619B9" w:rsidP="007619B9">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Commissioners assigned to the panel do not have questions for the witness.</w:t>
      </w: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In the event a witness is excused in this manner, his or her testimony may be entered into the record as though read following the Commission’s approval of the proposed stipulation of that witness’ testimony.</w:t>
      </w: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w:t>
      </w:r>
      <w:r>
        <w:tab/>
      </w:r>
      <w:r>
        <w:rPr>
          <w:u w:val="single"/>
        </w:rPr>
        <w:t>Cross-Examination</w:t>
      </w: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FC684A" w:rsidRPr="00FC684A">
        <w:t xml:space="preserve">The parties shall avoid duplicative or repetitious cross-examination. Further, friendly cross-examination will not be allowed. Cross-examination shall be limited to witnesses whose testimony is adverse to the party desiring to cross-examine. Any party conducting what appears </w:t>
      </w:r>
      <w:r w:rsidR="00FC684A" w:rsidRPr="00FC684A">
        <w:lastRenderedPageBreak/>
        <w:t>to be a friendly cross-examination of a witness should be prepared to indicate why that witness’ direct testimony is adverse to its interests. Parties may use the exhibits identified by Commission staff on the Comprehensive Exhibit List for cross-examination purposes without listing them on the party’s exhibit list or exchanging the exhibit with the other parti</w:t>
      </w:r>
      <w:r w:rsidR="00FC684A">
        <w:t>es</w:t>
      </w:r>
      <w:r>
        <w:t>.</w:t>
      </w: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C.</w:t>
      </w:r>
      <w:r>
        <w:tab/>
      </w:r>
      <w:r>
        <w:rPr>
          <w:u w:val="single"/>
        </w:rPr>
        <w:t>Use of Confidential Information at Hearing</w:t>
      </w: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80735C" w:rsidRPr="0080735C">
        <w:t>It is the policy of the Commission that all Commission hearings be open to the public at all times. The Commission also recognizes its obligation pursuant to Section 366.093, F.S., to protect proprietary confidential business information from disclosure outside the proceeding. Therefore, any party wishing to use at the hearing any proprietary confidential business information, as that term is defined in Section 366.093(3), F.S., shall adhere to the followi</w:t>
      </w:r>
      <w:r w:rsidR="0080735C">
        <w:t>ng</w:t>
      </w:r>
      <w:r>
        <w:t>:</w:t>
      </w: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619B9" w:rsidRDefault="007619B9" w:rsidP="007619B9">
      <w:pPr>
        <w:spacing w:line="2" w:lineRule="exact"/>
        <w:jc w:val="both"/>
      </w:pPr>
    </w:p>
    <w:p w:rsidR="007619B9" w:rsidRDefault="007619B9" w:rsidP="007619B9">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619B9" w:rsidRDefault="007619B9" w:rsidP="007619B9">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7619B9" w:rsidRDefault="00D14653"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007619B9">
        <w:rPr>
          <w:b/>
          <w:bCs/>
        </w:rPr>
        <w:t>.</w:t>
      </w:r>
      <w:r w:rsidR="007619B9">
        <w:rPr>
          <w:b/>
          <w:bCs/>
        </w:rPr>
        <w:tab/>
      </w:r>
      <w:r w:rsidR="007619B9">
        <w:rPr>
          <w:b/>
          <w:bCs/>
          <w:u w:val="single"/>
        </w:rPr>
        <w:t>Post-Hearing Procedures</w:t>
      </w: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336DE8" w:rsidRPr="00336DE8">
        <w:t xml:space="preserve">If the Commission (or assigned panel) does not render a bench decision at the hearing, it may allow each party to file a post-hearing statement of issues and positions pursuant to the schedule set forth in Section IX of this Order. In such event, a summary of each position of no </w:t>
      </w:r>
      <w:r w:rsidR="00336DE8" w:rsidRPr="00336DE8">
        <w:lastRenderedPageBreak/>
        <w:t>more than 75 words, set off with asterisks, shall be included in that statement. If a party’s position has not changed since the issuance of the Prehearing Order, the post-hearing statement may simply restate the prehearing position. However, the position must be reduced to no more than 75 words. If a post-hearing statement is required and a party fails to file in conformance with Rule 28-106.215, F.A.C., that party shall have waived all issues and may be dismissed from the proceedin</w:t>
      </w:r>
      <w:r w:rsidR="00336DE8">
        <w:t>g</w:t>
      </w:r>
      <w:r>
        <w:t>.</w:t>
      </w: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Further, pursuant to Rule 28-106.215, F.A.C., a party’s proposed findings of fact and conclusions of law, if any, statement of issues and positions, and brief, shall together total no more than</w:t>
      </w:r>
      <w:r w:rsidR="00ED484F">
        <w:t xml:space="preserve"> 40 </w:t>
      </w:r>
      <w:r>
        <w:t xml:space="preserve">pages and shall be filed at the same time, unless modified by the Presiding Officer. </w:t>
      </w: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619B9" w:rsidRDefault="00D14653"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w:t>
      </w:r>
      <w:r w:rsidR="007619B9">
        <w:rPr>
          <w:b/>
          <w:bCs/>
        </w:rPr>
        <w:t>X.</w:t>
      </w:r>
      <w:r w:rsidR="007619B9">
        <w:rPr>
          <w:b/>
          <w:bCs/>
        </w:rPr>
        <w:tab/>
      </w:r>
      <w:r w:rsidR="007619B9">
        <w:rPr>
          <w:b/>
          <w:bCs/>
          <w:u w:val="single"/>
        </w:rPr>
        <w:t>Controlling Dates</w:t>
      </w: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The following dates </w:t>
      </w:r>
      <w:r w:rsidR="00A323AA">
        <w:t xml:space="preserve">are </w:t>
      </w:r>
      <w:r>
        <w:t>established to govern the key activities of this case:</w:t>
      </w: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5220"/>
        <w:gridCol w:w="3420"/>
      </w:tblGrid>
      <w:tr w:rsidR="007619B9" w:rsidTr="00114037">
        <w:trPr>
          <w:cantSplit/>
        </w:trPr>
        <w:tc>
          <w:tcPr>
            <w:tcW w:w="720" w:type="dxa"/>
            <w:tcBorders>
              <w:top w:val="nil"/>
              <w:left w:val="nil"/>
              <w:bottom w:val="nil"/>
              <w:right w:val="nil"/>
            </w:tcBorders>
          </w:tcPr>
          <w:p w:rsidR="007619B9" w:rsidRDefault="007619B9" w:rsidP="00114037">
            <w:pPr>
              <w:numPr>
                <w:ilvl w:val="12"/>
                <w:numId w:val="0"/>
              </w:numPr>
              <w:tabs>
                <w:tab w:val="left" w:pos="0"/>
              </w:tabs>
              <w:spacing w:before="120" w:after="57"/>
              <w:jc w:val="both"/>
            </w:pPr>
            <w:r>
              <w:t>(1)</w:t>
            </w:r>
          </w:p>
        </w:tc>
        <w:tc>
          <w:tcPr>
            <w:tcW w:w="5220" w:type="dxa"/>
            <w:tcBorders>
              <w:top w:val="nil"/>
              <w:left w:val="nil"/>
              <w:bottom w:val="nil"/>
              <w:right w:val="nil"/>
            </w:tcBorders>
          </w:tcPr>
          <w:p w:rsidR="007619B9" w:rsidRDefault="007619B9" w:rsidP="00FE45B8">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Utility’s</w:t>
            </w:r>
            <w:r w:rsidR="007263FF">
              <w:t xml:space="preserve"> </w:t>
            </w:r>
            <w:r w:rsidR="00FE45B8">
              <w:t xml:space="preserve">Project Eligibility and </w:t>
            </w:r>
            <w:r w:rsidR="007263FF">
              <w:t>Final True-Up Testimony and Exhibits</w:t>
            </w:r>
          </w:p>
        </w:tc>
        <w:tc>
          <w:tcPr>
            <w:tcW w:w="3420" w:type="dxa"/>
            <w:tcBorders>
              <w:top w:val="nil"/>
              <w:left w:val="nil"/>
              <w:bottom w:val="nil"/>
              <w:right w:val="nil"/>
            </w:tcBorders>
          </w:tcPr>
          <w:p w:rsidR="007619B9" w:rsidRDefault="00431253" w:rsidP="00114037">
            <w:pPr>
              <w:numPr>
                <w:ilvl w:val="12"/>
                <w:numId w:val="0"/>
              </w:numPr>
              <w:tabs>
                <w:tab w:val="left" w:pos="0"/>
                <w:tab w:val="left" w:pos="720"/>
                <w:tab w:val="left" w:pos="1440"/>
                <w:tab w:val="left" w:pos="2160"/>
                <w:tab w:val="left" w:pos="2880"/>
              </w:tabs>
              <w:spacing w:before="120" w:after="57"/>
              <w:jc w:val="both"/>
            </w:pPr>
            <w:r>
              <w:t>March 31, 2026</w:t>
            </w:r>
          </w:p>
        </w:tc>
      </w:tr>
      <w:tr w:rsidR="007263FF" w:rsidTr="00114037">
        <w:trPr>
          <w:cantSplit/>
        </w:trPr>
        <w:tc>
          <w:tcPr>
            <w:tcW w:w="720" w:type="dxa"/>
            <w:tcBorders>
              <w:top w:val="nil"/>
              <w:left w:val="nil"/>
              <w:bottom w:val="nil"/>
              <w:right w:val="nil"/>
            </w:tcBorders>
          </w:tcPr>
          <w:p w:rsidR="007263FF" w:rsidRDefault="007263FF" w:rsidP="00114037">
            <w:pPr>
              <w:numPr>
                <w:ilvl w:val="12"/>
                <w:numId w:val="0"/>
              </w:numPr>
              <w:tabs>
                <w:tab w:val="left" w:pos="0"/>
              </w:tabs>
              <w:spacing w:before="120" w:after="57"/>
              <w:jc w:val="both"/>
            </w:pPr>
            <w:r>
              <w:t>(2)</w:t>
            </w:r>
          </w:p>
        </w:tc>
        <w:tc>
          <w:tcPr>
            <w:tcW w:w="5220" w:type="dxa"/>
            <w:tcBorders>
              <w:top w:val="nil"/>
              <w:left w:val="nil"/>
              <w:bottom w:val="nil"/>
              <w:right w:val="nil"/>
            </w:tcBorders>
          </w:tcPr>
          <w:p w:rsidR="007263FF" w:rsidRDefault="007263FF" w:rsidP="007263FF">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Utility’s Actual/Estimated Testimony and Exhibits</w:t>
            </w:r>
          </w:p>
        </w:tc>
        <w:tc>
          <w:tcPr>
            <w:tcW w:w="3420" w:type="dxa"/>
            <w:tcBorders>
              <w:top w:val="nil"/>
              <w:left w:val="nil"/>
              <w:bottom w:val="nil"/>
              <w:right w:val="nil"/>
            </w:tcBorders>
          </w:tcPr>
          <w:p w:rsidR="007263FF" w:rsidRDefault="00990957" w:rsidP="00990957">
            <w:pPr>
              <w:numPr>
                <w:ilvl w:val="12"/>
                <w:numId w:val="0"/>
              </w:numPr>
              <w:tabs>
                <w:tab w:val="left" w:pos="0"/>
                <w:tab w:val="left" w:pos="720"/>
                <w:tab w:val="left" w:pos="1440"/>
                <w:tab w:val="left" w:pos="2160"/>
                <w:tab w:val="left" w:pos="2880"/>
              </w:tabs>
              <w:spacing w:before="120" w:after="57"/>
              <w:jc w:val="both"/>
            </w:pPr>
            <w:r>
              <w:t>April</w:t>
            </w:r>
            <w:r w:rsidR="00431253">
              <w:t xml:space="preserve"> </w:t>
            </w:r>
            <w:r>
              <w:t>30</w:t>
            </w:r>
            <w:r w:rsidR="00431253">
              <w:t>, 2026</w:t>
            </w:r>
          </w:p>
        </w:tc>
      </w:tr>
      <w:tr w:rsidR="007263FF" w:rsidTr="00114037">
        <w:trPr>
          <w:cantSplit/>
        </w:trPr>
        <w:tc>
          <w:tcPr>
            <w:tcW w:w="720" w:type="dxa"/>
            <w:tcBorders>
              <w:top w:val="nil"/>
              <w:left w:val="nil"/>
              <w:bottom w:val="nil"/>
              <w:right w:val="nil"/>
            </w:tcBorders>
          </w:tcPr>
          <w:p w:rsidR="007263FF" w:rsidRDefault="007263FF" w:rsidP="00114037">
            <w:pPr>
              <w:numPr>
                <w:ilvl w:val="12"/>
                <w:numId w:val="0"/>
              </w:numPr>
              <w:tabs>
                <w:tab w:val="left" w:pos="0"/>
              </w:tabs>
              <w:spacing w:before="120" w:after="57"/>
              <w:jc w:val="both"/>
            </w:pPr>
            <w:r>
              <w:t>(3)</w:t>
            </w:r>
          </w:p>
        </w:tc>
        <w:tc>
          <w:tcPr>
            <w:tcW w:w="5220" w:type="dxa"/>
            <w:tcBorders>
              <w:top w:val="nil"/>
              <w:left w:val="nil"/>
              <w:bottom w:val="nil"/>
              <w:right w:val="nil"/>
            </w:tcBorders>
          </w:tcPr>
          <w:p w:rsidR="007263FF" w:rsidRDefault="007263FF" w:rsidP="007263FF">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Utility’s Projection Testimony and Exhibits</w:t>
            </w:r>
          </w:p>
        </w:tc>
        <w:tc>
          <w:tcPr>
            <w:tcW w:w="3420" w:type="dxa"/>
            <w:tcBorders>
              <w:top w:val="nil"/>
              <w:left w:val="nil"/>
              <w:bottom w:val="nil"/>
              <w:right w:val="nil"/>
            </w:tcBorders>
          </w:tcPr>
          <w:p w:rsidR="007263FF" w:rsidRDefault="00990957" w:rsidP="00990957">
            <w:pPr>
              <w:numPr>
                <w:ilvl w:val="12"/>
                <w:numId w:val="0"/>
              </w:numPr>
              <w:tabs>
                <w:tab w:val="left" w:pos="0"/>
                <w:tab w:val="left" w:pos="720"/>
                <w:tab w:val="left" w:pos="1440"/>
                <w:tab w:val="left" w:pos="2160"/>
                <w:tab w:val="left" w:pos="2880"/>
              </w:tabs>
              <w:spacing w:before="120" w:after="57"/>
              <w:jc w:val="both"/>
            </w:pPr>
            <w:r>
              <w:t>April 30</w:t>
            </w:r>
            <w:r w:rsidR="00431253">
              <w:t>, 2026</w:t>
            </w:r>
          </w:p>
        </w:tc>
      </w:tr>
      <w:tr w:rsidR="007619B9" w:rsidTr="00114037">
        <w:trPr>
          <w:cantSplit/>
        </w:trPr>
        <w:tc>
          <w:tcPr>
            <w:tcW w:w="720" w:type="dxa"/>
            <w:tcBorders>
              <w:top w:val="nil"/>
              <w:left w:val="nil"/>
              <w:bottom w:val="nil"/>
              <w:right w:val="nil"/>
            </w:tcBorders>
          </w:tcPr>
          <w:p w:rsidR="007619B9" w:rsidRDefault="007619B9" w:rsidP="009178C6">
            <w:pPr>
              <w:numPr>
                <w:ilvl w:val="12"/>
                <w:numId w:val="0"/>
              </w:numPr>
              <w:tabs>
                <w:tab w:val="left" w:pos="0"/>
              </w:tabs>
              <w:spacing w:before="120" w:after="57"/>
              <w:jc w:val="both"/>
            </w:pPr>
            <w:r>
              <w:t>(</w:t>
            </w:r>
            <w:r w:rsidR="009178C6">
              <w:t>4</w:t>
            </w:r>
            <w:r>
              <w:t>)</w:t>
            </w:r>
          </w:p>
        </w:tc>
        <w:tc>
          <w:tcPr>
            <w:tcW w:w="5220" w:type="dxa"/>
            <w:tcBorders>
              <w:top w:val="nil"/>
              <w:left w:val="nil"/>
              <w:bottom w:val="nil"/>
              <w:right w:val="nil"/>
            </w:tcBorders>
          </w:tcPr>
          <w:p w:rsidR="007619B9" w:rsidRDefault="007619B9" w:rsidP="007263FF">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 xml:space="preserve">Intervenors’ </w:t>
            </w:r>
            <w:r w:rsidR="007263FF">
              <w:t>T</w:t>
            </w:r>
            <w:r>
              <w:t xml:space="preserve">estimony and </w:t>
            </w:r>
            <w:r w:rsidR="007263FF">
              <w:t>E</w:t>
            </w:r>
            <w:r>
              <w:t>xhibits</w:t>
            </w:r>
          </w:p>
        </w:tc>
        <w:tc>
          <w:tcPr>
            <w:tcW w:w="3420" w:type="dxa"/>
            <w:tcBorders>
              <w:top w:val="nil"/>
              <w:left w:val="nil"/>
              <w:bottom w:val="nil"/>
              <w:right w:val="nil"/>
            </w:tcBorders>
          </w:tcPr>
          <w:p w:rsidR="007619B9" w:rsidRDefault="00990957">
            <w:pPr>
              <w:numPr>
                <w:ilvl w:val="12"/>
                <w:numId w:val="0"/>
              </w:numPr>
              <w:tabs>
                <w:tab w:val="left" w:pos="0"/>
                <w:tab w:val="left" w:pos="720"/>
                <w:tab w:val="left" w:pos="1440"/>
                <w:tab w:val="left" w:pos="2160"/>
                <w:tab w:val="left" w:pos="2880"/>
              </w:tabs>
              <w:spacing w:before="120" w:after="57"/>
              <w:jc w:val="both"/>
            </w:pPr>
            <w:r>
              <w:t xml:space="preserve">June </w:t>
            </w:r>
            <w:r w:rsidR="008B2D03">
              <w:t>1</w:t>
            </w:r>
            <w:r w:rsidR="007F6AB9">
              <w:t>5</w:t>
            </w:r>
            <w:r>
              <w:t>, 2026</w:t>
            </w:r>
          </w:p>
        </w:tc>
      </w:tr>
      <w:tr w:rsidR="007619B9" w:rsidTr="00114037">
        <w:trPr>
          <w:cantSplit/>
        </w:trPr>
        <w:tc>
          <w:tcPr>
            <w:tcW w:w="720" w:type="dxa"/>
            <w:tcBorders>
              <w:top w:val="nil"/>
              <w:left w:val="nil"/>
              <w:bottom w:val="nil"/>
              <w:right w:val="nil"/>
            </w:tcBorders>
          </w:tcPr>
          <w:p w:rsidR="007619B9" w:rsidRDefault="007619B9" w:rsidP="009178C6">
            <w:pPr>
              <w:numPr>
                <w:ilvl w:val="12"/>
                <w:numId w:val="0"/>
              </w:numPr>
              <w:tabs>
                <w:tab w:val="left" w:pos="0"/>
              </w:tabs>
              <w:spacing w:before="120" w:after="57"/>
              <w:jc w:val="both"/>
            </w:pPr>
            <w:r>
              <w:t>(</w:t>
            </w:r>
            <w:r w:rsidR="009178C6">
              <w:t>5</w:t>
            </w:r>
            <w:r>
              <w:t>)</w:t>
            </w:r>
          </w:p>
        </w:tc>
        <w:tc>
          <w:tcPr>
            <w:tcW w:w="5220" w:type="dxa"/>
            <w:tcBorders>
              <w:top w:val="nil"/>
              <w:left w:val="nil"/>
              <w:bottom w:val="nil"/>
              <w:right w:val="nil"/>
            </w:tcBorders>
          </w:tcPr>
          <w:p w:rsidR="007619B9" w:rsidRDefault="007263FF" w:rsidP="007263FF">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Commission Staff’s Testimony and E</w:t>
            </w:r>
            <w:r w:rsidR="007619B9">
              <w:t>xhibits</w:t>
            </w:r>
          </w:p>
        </w:tc>
        <w:tc>
          <w:tcPr>
            <w:tcW w:w="3420" w:type="dxa"/>
            <w:tcBorders>
              <w:top w:val="nil"/>
              <w:left w:val="nil"/>
              <w:bottom w:val="nil"/>
              <w:right w:val="nil"/>
            </w:tcBorders>
          </w:tcPr>
          <w:p w:rsidR="007619B9" w:rsidRDefault="008B2D03" w:rsidP="008B2D03">
            <w:pPr>
              <w:numPr>
                <w:ilvl w:val="12"/>
                <w:numId w:val="0"/>
              </w:numPr>
              <w:tabs>
                <w:tab w:val="left" w:pos="0"/>
                <w:tab w:val="left" w:pos="720"/>
                <w:tab w:val="left" w:pos="1440"/>
                <w:tab w:val="left" w:pos="2160"/>
                <w:tab w:val="left" w:pos="2880"/>
              </w:tabs>
              <w:spacing w:before="120" w:after="57"/>
              <w:jc w:val="both"/>
            </w:pPr>
            <w:r>
              <w:t>June</w:t>
            </w:r>
            <w:r w:rsidR="00581051">
              <w:t xml:space="preserve"> </w:t>
            </w:r>
            <w:r>
              <w:t>26</w:t>
            </w:r>
            <w:r w:rsidR="00581051">
              <w:t>, 2026</w:t>
            </w:r>
          </w:p>
        </w:tc>
      </w:tr>
      <w:tr w:rsidR="007619B9" w:rsidTr="00114037">
        <w:trPr>
          <w:cantSplit/>
        </w:trPr>
        <w:tc>
          <w:tcPr>
            <w:tcW w:w="720" w:type="dxa"/>
            <w:tcBorders>
              <w:top w:val="nil"/>
              <w:left w:val="nil"/>
              <w:bottom w:val="nil"/>
              <w:right w:val="nil"/>
            </w:tcBorders>
          </w:tcPr>
          <w:p w:rsidR="007619B9" w:rsidRDefault="007619B9" w:rsidP="009178C6">
            <w:pPr>
              <w:numPr>
                <w:ilvl w:val="12"/>
                <w:numId w:val="0"/>
              </w:numPr>
              <w:tabs>
                <w:tab w:val="left" w:pos="0"/>
              </w:tabs>
              <w:spacing w:before="120" w:after="57"/>
              <w:jc w:val="both"/>
            </w:pPr>
            <w:r>
              <w:t>(</w:t>
            </w:r>
            <w:r w:rsidR="009178C6">
              <w:t>6</w:t>
            </w:r>
            <w:r>
              <w:t>)</w:t>
            </w:r>
          </w:p>
        </w:tc>
        <w:tc>
          <w:tcPr>
            <w:tcW w:w="5220" w:type="dxa"/>
            <w:tcBorders>
              <w:top w:val="nil"/>
              <w:left w:val="nil"/>
              <w:bottom w:val="nil"/>
              <w:right w:val="nil"/>
            </w:tcBorders>
          </w:tcPr>
          <w:p w:rsidR="007619B9" w:rsidRDefault="007263FF" w:rsidP="007263FF">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 xml:space="preserve">Utility’s </w:t>
            </w:r>
            <w:r w:rsidR="007619B9">
              <w:t xml:space="preserve">Rebuttal </w:t>
            </w:r>
            <w:r>
              <w:t>T</w:t>
            </w:r>
            <w:r w:rsidR="007619B9">
              <w:t xml:space="preserve">estimony and </w:t>
            </w:r>
            <w:r>
              <w:t>E</w:t>
            </w:r>
            <w:r w:rsidR="007619B9">
              <w:t xml:space="preserve">xhibits </w:t>
            </w:r>
          </w:p>
        </w:tc>
        <w:tc>
          <w:tcPr>
            <w:tcW w:w="3420" w:type="dxa"/>
            <w:tcBorders>
              <w:top w:val="nil"/>
              <w:left w:val="nil"/>
              <w:bottom w:val="nil"/>
              <w:right w:val="nil"/>
            </w:tcBorders>
          </w:tcPr>
          <w:p w:rsidR="007619B9" w:rsidRDefault="008B2D03" w:rsidP="008B5CD3">
            <w:pPr>
              <w:numPr>
                <w:ilvl w:val="12"/>
                <w:numId w:val="0"/>
              </w:numPr>
              <w:tabs>
                <w:tab w:val="left" w:pos="0"/>
                <w:tab w:val="left" w:pos="720"/>
                <w:tab w:val="left" w:pos="1440"/>
                <w:tab w:val="left" w:pos="2160"/>
                <w:tab w:val="left" w:pos="2880"/>
              </w:tabs>
              <w:spacing w:before="120" w:after="57"/>
              <w:jc w:val="both"/>
            </w:pPr>
            <w:r>
              <w:t>July</w:t>
            </w:r>
            <w:r w:rsidR="00581051">
              <w:t xml:space="preserve"> 1</w:t>
            </w:r>
            <w:r w:rsidR="008B5CD3">
              <w:t>0</w:t>
            </w:r>
            <w:r w:rsidR="00581051">
              <w:t>, 2026</w:t>
            </w:r>
          </w:p>
        </w:tc>
      </w:tr>
      <w:tr w:rsidR="007619B9" w:rsidTr="00114037">
        <w:trPr>
          <w:cantSplit/>
        </w:trPr>
        <w:tc>
          <w:tcPr>
            <w:tcW w:w="720" w:type="dxa"/>
            <w:tcBorders>
              <w:top w:val="nil"/>
              <w:left w:val="nil"/>
              <w:bottom w:val="nil"/>
              <w:right w:val="nil"/>
            </w:tcBorders>
          </w:tcPr>
          <w:p w:rsidR="007619B9" w:rsidRDefault="007619B9" w:rsidP="009178C6">
            <w:pPr>
              <w:numPr>
                <w:ilvl w:val="12"/>
                <w:numId w:val="0"/>
              </w:numPr>
              <w:tabs>
                <w:tab w:val="left" w:pos="0"/>
              </w:tabs>
              <w:spacing w:before="120" w:after="57"/>
              <w:jc w:val="both"/>
            </w:pPr>
            <w:r>
              <w:t>(</w:t>
            </w:r>
            <w:r w:rsidR="009178C6">
              <w:t>7</w:t>
            </w:r>
            <w:r>
              <w:t>)</w:t>
            </w:r>
          </w:p>
        </w:tc>
        <w:tc>
          <w:tcPr>
            <w:tcW w:w="5220" w:type="dxa"/>
            <w:tcBorders>
              <w:top w:val="nil"/>
              <w:left w:val="nil"/>
              <w:bottom w:val="nil"/>
              <w:right w:val="nil"/>
            </w:tcBorders>
          </w:tcPr>
          <w:p w:rsidR="007619B9" w:rsidRDefault="00CF3D02" w:rsidP="00CF3D02">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Discovery Deadline</w:t>
            </w:r>
          </w:p>
        </w:tc>
        <w:tc>
          <w:tcPr>
            <w:tcW w:w="3420" w:type="dxa"/>
            <w:tcBorders>
              <w:top w:val="nil"/>
              <w:left w:val="nil"/>
              <w:bottom w:val="nil"/>
              <w:right w:val="nil"/>
            </w:tcBorders>
          </w:tcPr>
          <w:p w:rsidR="007619B9" w:rsidRDefault="00007C84" w:rsidP="00CF3D02">
            <w:pPr>
              <w:numPr>
                <w:ilvl w:val="12"/>
                <w:numId w:val="0"/>
              </w:numPr>
              <w:tabs>
                <w:tab w:val="left" w:pos="0"/>
                <w:tab w:val="left" w:pos="720"/>
                <w:tab w:val="left" w:pos="1440"/>
                <w:tab w:val="left" w:pos="2160"/>
                <w:tab w:val="left" w:pos="2880"/>
              </w:tabs>
              <w:spacing w:before="120" w:after="57"/>
              <w:jc w:val="both"/>
            </w:pPr>
            <w:r>
              <w:t xml:space="preserve">August </w:t>
            </w:r>
            <w:r w:rsidR="00CF3D02">
              <w:t>7</w:t>
            </w:r>
            <w:r>
              <w:t>, 2026</w:t>
            </w:r>
          </w:p>
        </w:tc>
      </w:tr>
      <w:tr w:rsidR="007619B9" w:rsidTr="00114037">
        <w:trPr>
          <w:cantSplit/>
        </w:trPr>
        <w:tc>
          <w:tcPr>
            <w:tcW w:w="720" w:type="dxa"/>
            <w:tcBorders>
              <w:top w:val="nil"/>
              <w:left w:val="nil"/>
              <w:bottom w:val="nil"/>
              <w:right w:val="nil"/>
            </w:tcBorders>
          </w:tcPr>
          <w:p w:rsidR="007619B9" w:rsidRDefault="007619B9" w:rsidP="009178C6">
            <w:pPr>
              <w:numPr>
                <w:ilvl w:val="12"/>
                <w:numId w:val="0"/>
              </w:numPr>
              <w:tabs>
                <w:tab w:val="left" w:pos="0"/>
              </w:tabs>
              <w:spacing w:before="120" w:after="57"/>
              <w:jc w:val="both"/>
            </w:pPr>
            <w:r>
              <w:t>(</w:t>
            </w:r>
            <w:r w:rsidR="009178C6">
              <w:t>8</w:t>
            </w:r>
            <w:r>
              <w:t>)</w:t>
            </w:r>
          </w:p>
        </w:tc>
        <w:tc>
          <w:tcPr>
            <w:tcW w:w="5220" w:type="dxa"/>
            <w:tcBorders>
              <w:top w:val="nil"/>
              <w:left w:val="nil"/>
              <w:bottom w:val="nil"/>
              <w:right w:val="nil"/>
            </w:tcBorders>
          </w:tcPr>
          <w:p w:rsidR="007619B9" w:rsidRDefault="00CF3D02" w:rsidP="00CF3D02">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Statements</w:t>
            </w:r>
          </w:p>
        </w:tc>
        <w:tc>
          <w:tcPr>
            <w:tcW w:w="3420" w:type="dxa"/>
            <w:tcBorders>
              <w:top w:val="nil"/>
              <w:left w:val="nil"/>
              <w:bottom w:val="nil"/>
              <w:right w:val="nil"/>
            </w:tcBorders>
          </w:tcPr>
          <w:p w:rsidR="007619B9" w:rsidRDefault="00007C84" w:rsidP="00CF3D02">
            <w:pPr>
              <w:numPr>
                <w:ilvl w:val="12"/>
                <w:numId w:val="0"/>
              </w:numPr>
              <w:tabs>
                <w:tab w:val="left" w:pos="0"/>
                <w:tab w:val="left" w:pos="720"/>
                <w:tab w:val="left" w:pos="1440"/>
                <w:tab w:val="left" w:pos="2160"/>
                <w:tab w:val="left" w:pos="2880"/>
              </w:tabs>
              <w:spacing w:before="120" w:after="57"/>
              <w:jc w:val="both"/>
            </w:pPr>
            <w:r>
              <w:t xml:space="preserve">August </w:t>
            </w:r>
            <w:r w:rsidR="00CF3D02">
              <w:t>13</w:t>
            </w:r>
            <w:r>
              <w:t>, 2026</w:t>
            </w:r>
          </w:p>
        </w:tc>
      </w:tr>
      <w:tr w:rsidR="007619B9" w:rsidTr="00114037">
        <w:trPr>
          <w:cantSplit/>
        </w:trPr>
        <w:tc>
          <w:tcPr>
            <w:tcW w:w="720" w:type="dxa"/>
            <w:tcBorders>
              <w:top w:val="nil"/>
              <w:left w:val="nil"/>
              <w:bottom w:val="nil"/>
              <w:right w:val="nil"/>
            </w:tcBorders>
          </w:tcPr>
          <w:p w:rsidR="007619B9" w:rsidRDefault="007619B9" w:rsidP="009178C6">
            <w:pPr>
              <w:numPr>
                <w:ilvl w:val="12"/>
                <w:numId w:val="0"/>
              </w:numPr>
              <w:tabs>
                <w:tab w:val="left" w:pos="0"/>
              </w:tabs>
              <w:spacing w:before="120" w:after="57"/>
              <w:jc w:val="both"/>
            </w:pPr>
            <w:r>
              <w:t>(</w:t>
            </w:r>
            <w:r w:rsidR="009178C6">
              <w:t>9</w:t>
            </w:r>
            <w:r>
              <w:t>)</w:t>
            </w:r>
          </w:p>
        </w:tc>
        <w:tc>
          <w:tcPr>
            <w:tcW w:w="5220" w:type="dxa"/>
            <w:tcBorders>
              <w:top w:val="nil"/>
              <w:left w:val="nil"/>
              <w:bottom w:val="nil"/>
              <w:right w:val="nil"/>
            </w:tcBorders>
          </w:tcPr>
          <w:p w:rsidR="007619B9" w:rsidRDefault="00581051" w:rsidP="007263FF">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Conference</w:t>
            </w:r>
          </w:p>
        </w:tc>
        <w:tc>
          <w:tcPr>
            <w:tcW w:w="3420" w:type="dxa"/>
            <w:tcBorders>
              <w:top w:val="nil"/>
              <w:left w:val="nil"/>
              <w:bottom w:val="nil"/>
              <w:right w:val="nil"/>
            </w:tcBorders>
          </w:tcPr>
          <w:p w:rsidR="007619B9" w:rsidRDefault="00581051" w:rsidP="00114037">
            <w:pPr>
              <w:numPr>
                <w:ilvl w:val="12"/>
                <w:numId w:val="0"/>
              </w:numPr>
              <w:tabs>
                <w:tab w:val="left" w:pos="0"/>
                <w:tab w:val="left" w:pos="720"/>
                <w:tab w:val="left" w:pos="1440"/>
                <w:tab w:val="left" w:pos="2160"/>
                <w:tab w:val="left" w:pos="2880"/>
              </w:tabs>
              <w:spacing w:before="120" w:after="57"/>
              <w:jc w:val="both"/>
            </w:pPr>
            <w:r>
              <w:t>August 27, 2026</w:t>
            </w:r>
          </w:p>
        </w:tc>
      </w:tr>
      <w:tr w:rsidR="007619B9" w:rsidTr="00114037">
        <w:trPr>
          <w:cantSplit/>
        </w:trPr>
        <w:tc>
          <w:tcPr>
            <w:tcW w:w="720" w:type="dxa"/>
            <w:tcBorders>
              <w:top w:val="nil"/>
              <w:left w:val="nil"/>
              <w:bottom w:val="nil"/>
              <w:right w:val="nil"/>
            </w:tcBorders>
          </w:tcPr>
          <w:p w:rsidR="007619B9" w:rsidRPr="007263FF" w:rsidRDefault="007619B9" w:rsidP="009178C6">
            <w:pPr>
              <w:numPr>
                <w:ilvl w:val="12"/>
                <w:numId w:val="0"/>
              </w:numPr>
              <w:tabs>
                <w:tab w:val="left" w:pos="0"/>
              </w:tabs>
              <w:spacing w:before="120" w:after="57"/>
              <w:jc w:val="both"/>
            </w:pPr>
            <w:r w:rsidRPr="007263FF">
              <w:t>(</w:t>
            </w:r>
            <w:r w:rsidR="009178C6">
              <w:t>10</w:t>
            </w:r>
            <w:r w:rsidRPr="007263FF">
              <w:t>)</w:t>
            </w:r>
          </w:p>
        </w:tc>
        <w:tc>
          <w:tcPr>
            <w:tcW w:w="5220" w:type="dxa"/>
            <w:tcBorders>
              <w:top w:val="nil"/>
              <w:left w:val="nil"/>
              <w:bottom w:val="nil"/>
              <w:right w:val="nil"/>
            </w:tcBorders>
          </w:tcPr>
          <w:p w:rsidR="007619B9" w:rsidRPr="007263FF" w:rsidRDefault="007619B9" w:rsidP="0011403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7263FF">
              <w:t>Provision of Exhibits</w:t>
            </w:r>
          </w:p>
        </w:tc>
        <w:tc>
          <w:tcPr>
            <w:tcW w:w="3420" w:type="dxa"/>
            <w:tcBorders>
              <w:top w:val="nil"/>
              <w:left w:val="nil"/>
              <w:bottom w:val="nil"/>
              <w:right w:val="nil"/>
            </w:tcBorders>
          </w:tcPr>
          <w:p w:rsidR="007619B9" w:rsidRDefault="00007C84" w:rsidP="00114037">
            <w:pPr>
              <w:numPr>
                <w:ilvl w:val="12"/>
                <w:numId w:val="0"/>
              </w:numPr>
              <w:tabs>
                <w:tab w:val="left" w:pos="0"/>
                <w:tab w:val="left" w:pos="720"/>
                <w:tab w:val="left" w:pos="1440"/>
                <w:tab w:val="left" w:pos="2160"/>
                <w:tab w:val="left" w:pos="2880"/>
              </w:tabs>
              <w:spacing w:before="120" w:after="57"/>
              <w:jc w:val="both"/>
            </w:pPr>
            <w:r>
              <w:t>September 3, 2026</w:t>
            </w:r>
          </w:p>
        </w:tc>
      </w:tr>
      <w:tr w:rsidR="007619B9" w:rsidTr="00114037">
        <w:trPr>
          <w:cantSplit/>
          <w:trHeight w:val="454"/>
        </w:trPr>
        <w:tc>
          <w:tcPr>
            <w:tcW w:w="720" w:type="dxa"/>
            <w:tcBorders>
              <w:top w:val="nil"/>
              <w:left w:val="nil"/>
              <w:bottom w:val="nil"/>
              <w:right w:val="nil"/>
            </w:tcBorders>
          </w:tcPr>
          <w:p w:rsidR="007619B9" w:rsidRDefault="007619B9" w:rsidP="009178C6">
            <w:pPr>
              <w:numPr>
                <w:ilvl w:val="12"/>
                <w:numId w:val="0"/>
              </w:numPr>
              <w:tabs>
                <w:tab w:val="left" w:pos="0"/>
              </w:tabs>
              <w:spacing w:before="120" w:after="57"/>
              <w:jc w:val="both"/>
            </w:pPr>
            <w:r>
              <w:t>(</w:t>
            </w:r>
            <w:r w:rsidR="009178C6">
              <w:t>11</w:t>
            </w:r>
            <w:r>
              <w:t>)</w:t>
            </w:r>
          </w:p>
        </w:tc>
        <w:tc>
          <w:tcPr>
            <w:tcW w:w="5220" w:type="dxa"/>
            <w:tcBorders>
              <w:top w:val="nil"/>
              <w:left w:val="nil"/>
              <w:bottom w:val="nil"/>
              <w:right w:val="nil"/>
            </w:tcBorders>
          </w:tcPr>
          <w:p w:rsidR="007619B9" w:rsidRDefault="007619B9" w:rsidP="0011403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Hearing</w:t>
            </w:r>
          </w:p>
        </w:tc>
        <w:tc>
          <w:tcPr>
            <w:tcW w:w="3420" w:type="dxa"/>
            <w:tcBorders>
              <w:top w:val="nil"/>
              <w:left w:val="nil"/>
              <w:bottom w:val="nil"/>
              <w:right w:val="nil"/>
            </w:tcBorders>
          </w:tcPr>
          <w:p w:rsidR="007619B9" w:rsidRDefault="00431253" w:rsidP="00114037">
            <w:pPr>
              <w:numPr>
                <w:ilvl w:val="12"/>
                <w:numId w:val="0"/>
              </w:numPr>
              <w:tabs>
                <w:tab w:val="left" w:pos="0"/>
                <w:tab w:val="left" w:pos="720"/>
                <w:tab w:val="left" w:pos="1440"/>
                <w:tab w:val="left" w:pos="2160"/>
                <w:tab w:val="left" w:pos="2880"/>
              </w:tabs>
              <w:spacing w:before="120" w:after="57"/>
              <w:jc w:val="both"/>
            </w:pPr>
            <w:r>
              <w:t>September 15–17, 2026</w:t>
            </w:r>
          </w:p>
        </w:tc>
      </w:tr>
      <w:tr w:rsidR="007619B9" w:rsidTr="00114037">
        <w:trPr>
          <w:cantSplit/>
        </w:trPr>
        <w:tc>
          <w:tcPr>
            <w:tcW w:w="720" w:type="dxa"/>
            <w:tcBorders>
              <w:top w:val="nil"/>
              <w:left w:val="nil"/>
              <w:bottom w:val="nil"/>
              <w:right w:val="nil"/>
            </w:tcBorders>
          </w:tcPr>
          <w:p w:rsidR="007619B9" w:rsidRDefault="007619B9" w:rsidP="009178C6">
            <w:pPr>
              <w:numPr>
                <w:ilvl w:val="12"/>
                <w:numId w:val="0"/>
              </w:numPr>
              <w:tabs>
                <w:tab w:val="left" w:pos="0"/>
              </w:tabs>
              <w:spacing w:before="120" w:after="57"/>
              <w:jc w:val="both"/>
            </w:pPr>
            <w:r>
              <w:t>(1</w:t>
            </w:r>
            <w:r w:rsidR="009178C6">
              <w:t>2</w:t>
            </w:r>
            <w:r>
              <w:t>)</w:t>
            </w:r>
          </w:p>
        </w:tc>
        <w:tc>
          <w:tcPr>
            <w:tcW w:w="5220" w:type="dxa"/>
            <w:tcBorders>
              <w:top w:val="nil"/>
              <w:left w:val="nil"/>
              <w:bottom w:val="nil"/>
              <w:right w:val="nil"/>
            </w:tcBorders>
          </w:tcPr>
          <w:p w:rsidR="007619B9" w:rsidRDefault="007619B9" w:rsidP="0011403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Briefs</w:t>
            </w:r>
          </w:p>
        </w:tc>
        <w:tc>
          <w:tcPr>
            <w:tcW w:w="3420" w:type="dxa"/>
            <w:tcBorders>
              <w:top w:val="nil"/>
              <w:left w:val="nil"/>
              <w:bottom w:val="nil"/>
              <w:right w:val="nil"/>
            </w:tcBorders>
          </w:tcPr>
          <w:p w:rsidR="007619B9" w:rsidRDefault="00D97AE8" w:rsidP="001A5B24">
            <w:pPr>
              <w:numPr>
                <w:ilvl w:val="12"/>
                <w:numId w:val="0"/>
              </w:numPr>
              <w:tabs>
                <w:tab w:val="left" w:pos="0"/>
                <w:tab w:val="left" w:pos="720"/>
                <w:tab w:val="left" w:pos="1440"/>
                <w:tab w:val="left" w:pos="2160"/>
                <w:tab w:val="left" w:pos="2880"/>
              </w:tabs>
              <w:spacing w:before="120" w:after="57"/>
              <w:jc w:val="both"/>
            </w:pPr>
            <w:r>
              <w:t>September 2</w:t>
            </w:r>
            <w:r w:rsidR="001A5B24">
              <w:t>5</w:t>
            </w:r>
            <w:r>
              <w:t>, 2026</w:t>
            </w:r>
          </w:p>
        </w:tc>
      </w:tr>
    </w:tbl>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In addition, all parties should be on notice that the Prehearing Officer may exercise the discretion to schedule additional Prehearing Conferences or meetings of the parties as deemed appropriate. Such meetings will be properly noticed to afford the parti</w:t>
      </w:r>
      <w:r w:rsidR="00EF551E">
        <w:t>es an opportunity to attend.</w:t>
      </w:r>
    </w:p>
    <w:p w:rsidR="0026795D" w:rsidRDefault="0026795D"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Based upon the foregoing, it is</w:t>
      </w: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619B9" w:rsidRPr="00CC78B8"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ORDERED by Commissio</w:t>
      </w:r>
      <w:r w:rsidRPr="00CC78B8">
        <w:t>ner Gary F. Clark, as Prehearing Officer, that the provisions of this Order shall govern this proceeding unless modified by the Commission.</w:t>
      </w:r>
    </w:p>
    <w:p w:rsidR="007619B9" w:rsidRPr="00CC78B8" w:rsidRDefault="007619B9" w:rsidP="007619B9">
      <w:pPr>
        <w:jc w:val="both"/>
      </w:pPr>
    </w:p>
    <w:p w:rsidR="007619B9" w:rsidRDefault="007619B9" w:rsidP="007619B9">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C78B8">
        <w:tab/>
        <w:t>By ORDER of Commissioner Gary F</w:t>
      </w:r>
      <w:r>
        <w:t xml:space="preserve">. Clark, as Prehearing Officer, this </w:t>
      </w:r>
      <w:bookmarkStart w:id="4" w:name="replaceDate"/>
      <w:bookmarkEnd w:id="4"/>
      <w:r w:rsidR="00DE196C">
        <w:rPr>
          <w:u w:val="single"/>
        </w:rPr>
        <w:t>6th</w:t>
      </w:r>
      <w:r w:rsidR="00DE196C">
        <w:t xml:space="preserve"> day of </w:t>
      </w:r>
      <w:r w:rsidR="00DE196C">
        <w:rPr>
          <w:u w:val="single"/>
        </w:rPr>
        <w:t>February</w:t>
      </w:r>
      <w:r w:rsidR="00DE196C">
        <w:t xml:space="preserve">, </w:t>
      </w:r>
      <w:r w:rsidR="00DE196C">
        <w:rPr>
          <w:u w:val="single"/>
        </w:rPr>
        <w:t>2026</w:t>
      </w:r>
      <w:r w:rsidR="00DE196C">
        <w:t>.</w:t>
      </w:r>
    </w:p>
    <w:p w:rsidR="00DE196C" w:rsidRPr="00DE196C" w:rsidRDefault="00DE196C" w:rsidP="007619B9">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619B9" w:rsidRDefault="007619B9" w:rsidP="007619B9">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42A2F" w:rsidRDefault="00842A2F" w:rsidP="007619B9">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42A2F" w:rsidRDefault="00842A2F" w:rsidP="007619B9">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619B9" w:rsidRDefault="007619B9" w:rsidP="007619B9">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4720" w:type="dxa"/>
        <w:tblInd w:w="3800" w:type="dxa"/>
        <w:tblLayout w:type="fixed"/>
        <w:tblLook w:val="0000" w:firstRow="0" w:lastRow="0" w:firstColumn="0" w:lastColumn="0" w:noHBand="0" w:noVBand="0"/>
      </w:tblPr>
      <w:tblGrid>
        <w:gridCol w:w="686"/>
        <w:gridCol w:w="4034"/>
      </w:tblGrid>
      <w:tr w:rsidR="007619B9" w:rsidTr="007619B9">
        <w:tc>
          <w:tcPr>
            <w:tcW w:w="720" w:type="dxa"/>
            <w:shd w:val="clear" w:color="auto" w:fill="auto"/>
          </w:tcPr>
          <w:p w:rsidR="007619B9" w:rsidRDefault="007619B9" w:rsidP="007619B9">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bkmrkSignature" w:colFirst="0" w:colLast="0"/>
          </w:p>
        </w:tc>
        <w:tc>
          <w:tcPr>
            <w:tcW w:w="4320" w:type="dxa"/>
            <w:tcBorders>
              <w:bottom w:val="single" w:sz="4" w:space="0" w:color="auto"/>
            </w:tcBorders>
            <w:shd w:val="clear" w:color="auto" w:fill="auto"/>
          </w:tcPr>
          <w:p w:rsidR="007619B9" w:rsidRDefault="00652A03" w:rsidP="007619B9">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 Gary F. Clark</w:t>
            </w:r>
            <w:bookmarkStart w:id="6" w:name="_GoBack"/>
            <w:bookmarkEnd w:id="6"/>
          </w:p>
        </w:tc>
      </w:tr>
      <w:bookmarkEnd w:id="5"/>
      <w:tr w:rsidR="007619B9" w:rsidTr="007619B9">
        <w:tc>
          <w:tcPr>
            <w:tcW w:w="720" w:type="dxa"/>
            <w:shd w:val="clear" w:color="auto" w:fill="auto"/>
          </w:tcPr>
          <w:p w:rsidR="007619B9" w:rsidRDefault="007619B9" w:rsidP="007619B9">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c>
        <w:tc>
          <w:tcPr>
            <w:tcW w:w="4320" w:type="dxa"/>
            <w:tcBorders>
              <w:top w:val="single" w:sz="4" w:space="0" w:color="auto"/>
            </w:tcBorders>
            <w:shd w:val="clear" w:color="auto" w:fill="auto"/>
          </w:tcPr>
          <w:p w:rsidR="007619B9" w:rsidRDefault="007619B9" w:rsidP="007619B9">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GARY F. CLARK</w:t>
            </w:r>
          </w:p>
          <w:p w:rsidR="007619B9" w:rsidRDefault="007619B9" w:rsidP="007619B9">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Commissioner and Prehearing Officer</w:t>
            </w:r>
          </w:p>
        </w:tc>
      </w:tr>
    </w:tbl>
    <w:p w:rsidR="007619B9" w:rsidRDefault="007619B9" w:rsidP="007619B9">
      <w:pPr>
        <w:pStyle w:val="OrderSigInfo"/>
        <w:keepNext/>
        <w:keepLines/>
      </w:pPr>
      <w:r>
        <w:t>Florida Public Service Commission</w:t>
      </w:r>
    </w:p>
    <w:p w:rsidR="007619B9" w:rsidRDefault="007619B9" w:rsidP="007619B9">
      <w:pPr>
        <w:pStyle w:val="OrderSigInfo"/>
        <w:keepNext/>
        <w:keepLines/>
      </w:pPr>
      <w:r>
        <w:t>2540 Shumard Oak Boulevard</w:t>
      </w:r>
    </w:p>
    <w:p w:rsidR="007619B9" w:rsidRDefault="007619B9" w:rsidP="007619B9">
      <w:pPr>
        <w:pStyle w:val="OrderSigInfo"/>
        <w:keepNext/>
        <w:keepLines/>
      </w:pPr>
      <w:r>
        <w:t>Tallahassee, Florida 32399</w:t>
      </w:r>
    </w:p>
    <w:p w:rsidR="007619B9" w:rsidRDefault="007619B9" w:rsidP="007619B9">
      <w:pPr>
        <w:pStyle w:val="OrderSigInfo"/>
        <w:keepNext/>
        <w:keepLines/>
      </w:pPr>
      <w:r>
        <w:t>(850) 413</w:t>
      </w:r>
      <w:r>
        <w:noBreakHyphen/>
        <w:t>6770</w:t>
      </w:r>
    </w:p>
    <w:p w:rsidR="007619B9" w:rsidRDefault="007619B9" w:rsidP="007619B9">
      <w:pPr>
        <w:pStyle w:val="OrderSigInfo"/>
        <w:keepNext/>
        <w:keepLines/>
      </w:pPr>
      <w:r>
        <w:t>www.floridapsc.com</w:t>
      </w:r>
    </w:p>
    <w:p w:rsidR="007619B9" w:rsidRDefault="007619B9" w:rsidP="007619B9">
      <w:pPr>
        <w:pStyle w:val="OrderSigInfo"/>
        <w:keepNext/>
        <w:keepLines/>
      </w:pPr>
    </w:p>
    <w:p w:rsidR="007619B9" w:rsidRDefault="007619B9" w:rsidP="007619B9">
      <w:pPr>
        <w:pStyle w:val="OrderSigInfo"/>
        <w:keepNext/>
        <w:keepLines/>
      </w:pPr>
      <w:r>
        <w:t>Copies furnished: A copy of this document is provided to the parties of record at the time of issuance and, if applicable, interested persons.</w:t>
      </w:r>
    </w:p>
    <w:p w:rsidR="007619B9" w:rsidRDefault="007619B9" w:rsidP="007619B9">
      <w:pPr>
        <w:pStyle w:val="OrderBody"/>
        <w:keepNext/>
        <w:keepLines/>
      </w:pPr>
    </w:p>
    <w:p w:rsidR="007619B9" w:rsidRDefault="007619B9" w:rsidP="007619B9">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619B9" w:rsidRDefault="007619B9" w:rsidP="007619B9">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CMM</w:t>
      </w:r>
    </w:p>
    <w:p w:rsidR="007619B9" w:rsidRDefault="007619B9" w:rsidP="007619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619B9" w:rsidRDefault="007619B9">
      <w:r>
        <w:br w:type="page"/>
      </w:r>
    </w:p>
    <w:p w:rsidR="007619B9" w:rsidRDefault="007619B9" w:rsidP="007619B9">
      <w:pPr>
        <w:pStyle w:val="CenterUnderline"/>
      </w:pPr>
      <w:r>
        <w:lastRenderedPageBreak/>
        <w:t>NOTICE OF FURTHER PROCEEDINGS OR JUDICIAL REVIEW</w:t>
      </w:r>
    </w:p>
    <w:p w:rsidR="00CB5276" w:rsidRDefault="00CB5276" w:rsidP="007619B9">
      <w:pPr>
        <w:pStyle w:val="CenterUnderline"/>
      </w:pPr>
    </w:p>
    <w:p w:rsidR="007619B9" w:rsidRDefault="007619B9" w:rsidP="007619B9">
      <w:pPr>
        <w:pStyle w:val="OrderBody"/>
      </w:pPr>
      <w:r>
        <w:tab/>
        <w:t xml:space="preserve">The Florida Public Service Commission </w:t>
      </w:r>
      <w:r w:rsidR="00F343C0">
        <w:t xml:space="preserve">(Commission) </w:t>
      </w:r>
      <w:r>
        <w:t>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619B9" w:rsidRDefault="007619B9" w:rsidP="007619B9">
      <w:pPr>
        <w:pStyle w:val="OrderBody"/>
      </w:pPr>
    </w:p>
    <w:p w:rsidR="007619B9" w:rsidRDefault="007619B9" w:rsidP="007619B9">
      <w:pPr>
        <w:pStyle w:val="OrderBody"/>
      </w:pPr>
      <w:r>
        <w:tab/>
        <w:t>Mediation may be available on a case-by-case basis. If mediation is conducted, it does not affect a substantially interested person</w:t>
      </w:r>
      <w:r w:rsidR="00071A9E">
        <w:t>’</w:t>
      </w:r>
      <w:r>
        <w:t>s right to a hearing.</w:t>
      </w:r>
    </w:p>
    <w:p w:rsidR="007619B9" w:rsidRDefault="007619B9" w:rsidP="007619B9">
      <w:pPr>
        <w:pStyle w:val="OrderBody"/>
      </w:pPr>
    </w:p>
    <w:p w:rsidR="007619B9" w:rsidRDefault="007619B9" w:rsidP="007619B9">
      <w:pPr>
        <w:pStyle w:val="OrderBody"/>
      </w:pPr>
      <w:r>
        <w:tab/>
        <w:t xml:space="preserve">Any party adversely affected by this </w:t>
      </w:r>
      <w:r w:rsidR="006B3AED">
        <w:t>O</w:t>
      </w:r>
      <w:r>
        <w:t>rder, which is preliminary, procedural</w:t>
      </w:r>
      <w:r w:rsidR="006B3AED">
        <w:t>,</w:t>
      </w:r>
      <w:r>
        <w:t xml:space="preserve"> or intermediate in nature, may request: (1) reconsideration within 10 days pursuant to Rule 25-22.0376, Florida Administrative Code; or (2) judicial review by the Florida Supreme Court, in the case of an electric, gas</w:t>
      </w:r>
      <w:r w:rsidR="006B3AED">
        <w:t>,</w:t>
      </w:r>
      <w:r>
        <w:t xml:space="preserve"> or telephone utility. A motion for reconsideration shall be filed with the Office of Commission Clerk, in the form prescribed by Rule 25-22.0376, Florida Administrative Code. Judicial review of a preliminary, procedural</w:t>
      </w:r>
      <w:r w:rsidR="00A91BAF">
        <w:t>,</w:t>
      </w:r>
      <w:r>
        <w:t xml:space="preserve"> or intermediate ruling or order is available if review of the final action will not provide an adequate remedy. Such review may be requested from the appropriate court, as described above, pursuant to Rule 9.100, Florida Rules of Appellate Procedure.</w:t>
      </w:r>
    </w:p>
    <w:p w:rsidR="007619B9" w:rsidRDefault="007619B9" w:rsidP="007619B9">
      <w:pPr>
        <w:pStyle w:val="OrderBody"/>
      </w:pPr>
    </w:p>
    <w:p w:rsidR="007619B9" w:rsidRDefault="007619B9" w:rsidP="007619B9">
      <w:pPr>
        <w:pStyle w:val="OrderBody"/>
      </w:pPr>
    </w:p>
    <w:p w:rsidR="007619B9" w:rsidRDefault="007619B9" w:rsidP="007619B9">
      <w:pPr>
        <w:pStyle w:val="OrderBody"/>
      </w:pPr>
    </w:p>
    <w:p w:rsidR="00CB5276" w:rsidRDefault="00CB5276">
      <w:pPr>
        <w:pStyle w:val="OrderBody"/>
      </w:pPr>
      <w:bookmarkStart w:id="7" w:name="OrderText"/>
      <w:bookmarkEnd w:id="7"/>
    </w:p>
    <w:p w:rsidR="00A005A5" w:rsidRDefault="00A005A5">
      <w:r>
        <w:br w:type="page"/>
      </w:r>
    </w:p>
    <w:p w:rsidR="00B055D7" w:rsidRPr="00B22241" w:rsidRDefault="00A005A5" w:rsidP="00B22241">
      <w:pPr>
        <w:pStyle w:val="OrderBody"/>
        <w:jc w:val="center"/>
        <w:rPr>
          <w:b/>
          <w:u w:val="single"/>
        </w:rPr>
      </w:pPr>
      <w:r w:rsidRPr="00B22241">
        <w:rPr>
          <w:b/>
          <w:u w:val="single"/>
        </w:rPr>
        <w:lastRenderedPageBreak/>
        <w:t>APPENDIX A</w:t>
      </w:r>
    </w:p>
    <w:p w:rsidR="00A005A5" w:rsidRDefault="00A005A5">
      <w:pPr>
        <w:pStyle w:val="OrderBody"/>
      </w:pPr>
    </w:p>
    <w:p w:rsidR="00A005A5" w:rsidRPr="00B22241" w:rsidRDefault="00A005A5" w:rsidP="00B22241">
      <w:pPr>
        <w:pStyle w:val="OrderBody"/>
        <w:jc w:val="center"/>
        <w:rPr>
          <w:b/>
        </w:rPr>
      </w:pPr>
      <w:r w:rsidRPr="00B22241">
        <w:rPr>
          <w:b/>
        </w:rPr>
        <w:t>TENTATIVE LIST OF ISSUES</w:t>
      </w:r>
    </w:p>
    <w:p w:rsidR="00A005A5" w:rsidRDefault="00A005A5">
      <w:pPr>
        <w:pStyle w:val="OrderBody"/>
      </w:pPr>
    </w:p>
    <w:p w:rsidR="00A005A5" w:rsidRDefault="00A005A5">
      <w:pPr>
        <w:pStyle w:val="OrderBody"/>
        <w:rPr>
          <w:u w:val="single"/>
        </w:rPr>
      </w:pPr>
      <w:r w:rsidRPr="00B22241">
        <w:rPr>
          <w:u w:val="single"/>
        </w:rPr>
        <w:t>Generic Natural Gas Facilities Relocation Cost Recovery Issues</w:t>
      </w:r>
    </w:p>
    <w:p w:rsidR="00B22241" w:rsidRDefault="00B22241">
      <w:pPr>
        <w:pStyle w:val="OrderBody"/>
      </w:pPr>
    </w:p>
    <w:p w:rsidR="0009757F" w:rsidRDefault="007347E2" w:rsidP="0009757F">
      <w:pPr>
        <w:pStyle w:val="OrderBody"/>
        <w:ind w:left="1440" w:hanging="1440"/>
      </w:pPr>
      <w:r w:rsidRPr="0009757F">
        <w:rPr>
          <w:b/>
          <w:u w:val="single"/>
        </w:rPr>
        <w:t>ISSUE 1</w:t>
      </w:r>
      <w:r w:rsidRPr="0009757F">
        <w:rPr>
          <w:b/>
        </w:rPr>
        <w:t>:</w:t>
      </w:r>
      <w:r w:rsidRPr="0009757F">
        <w:tab/>
      </w:r>
      <w:r w:rsidR="0009757F" w:rsidRPr="0084637A">
        <w:t>What natural gas facilities relocation projects and associated costs are eligible for recovery through the Natu</w:t>
      </w:r>
      <w:r w:rsidR="0009757F" w:rsidRPr="00077ADE">
        <w:t>ral Gas Facilities Relocation Cost Recovery Cl</w:t>
      </w:r>
      <w:r w:rsidR="0009757F" w:rsidRPr="0084637A">
        <w:t>ause?</w:t>
      </w:r>
    </w:p>
    <w:p w:rsidR="007347E2" w:rsidRDefault="007347E2">
      <w:pPr>
        <w:pStyle w:val="OrderBody"/>
      </w:pPr>
    </w:p>
    <w:p w:rsidR="0066747B" w:rsidRPr="00077ADE" w:rsidRDefault="0066747B" w:rsidP="0066747B">
      <w:pPr>
        <w:ind w:left="1440" w:hanging="1440"/>
        <w:jc w:val="both"/>
      </w:pPr>
      <w:r w:rsidRPr="00077ADE">
        <w:rPr>
          <w:b/>
          <w:bCs/>
          <w:u w:val="single"/>
        </w:rPr>
        <w:t xml:space="preserve">ISSUE </w:t>
      </w:r>
      <w:r w:rsidR="007347E2">
        <w:rPr>
          <w:b/>
          <w:bCs/>
          <w:u w:val="single"/>
        </w:rPr>
        <w:t>2</w:t>
      </w:r>
      <w:r w:rsidRPr="00077ADE">
        <w:rPr>
          <w:b/>
          <w:bCs/>
        </w:rPr>
        <w:t>:</w:t>
      </w:r>
      <w:r w:rsidRPr="00077ADE">
        <w:tab/>
      </w:r>
      <w:r w:rsidR="003B2124" w:rsidRPr="003B2124">
        <w:t>What amounts should the Commission approve as [</w:t>
      </w:r>
      <w:r w:rsidR="00EA5C11">
        <w:t>U</w:t>
      </w:r>
      <w:r w:rsidR="003B2124" w:rsidRPr="003B2124">
        <w:t>tility’s] final prudently incurred costs and final true-up revenue requirement amounts for the Natural Gas Facilities Relocation Cost Recovery Clause for the period July 2024 through December 2025</w:t>
      </w:r>
      <w:r w:rsidR="003B2124">
        <w:t>?</w:t>
      </w:r>
    </w:p>
    <w:p w:rsidR="0066747B" w:rsidRPr="00707AF5" w:rsidRDefault="0066747B" w:rsidP="0066747B">
      <w:pPr>
        <w:ind w:left="1440" w:hanging="1440"/>
        <w:jc w:val="both"/>
      </w:pPr>
    </w:p>
    <w:p w:rsidR="0066747B" w:rsidRPr="00077ADE" w:rsidRDefault="0066747B" w:rsidP="0066747B">
      <w:pPr>
        <w:ind w:left="1440" w:hanging="1440"/>
        <w:jc w:val="both"/>
      </w:pPr>
      <w:r w:rsidRPr="00077ADE">
        <w:rPr>
          <w:b/>
          <w:bCs/>
          <w:u w:val="single"/>
        </w:rPr>
        <w:t xml:space="preserve">ISSUE </w:t>
      </w:r>
      <w:r w:rsidR="007347E2">
        <w:rPr>
          <w:b/>
          <w:bCs/>
          <w:u w:val="single"/>
        </w:rPr>
        <w:t>3</w:t>
      </w:r>
      <w:r w:rsidRPr="00077ADE">
        <w:rPr>
          <w:b/>
          <w:bCs/>
        </w:rPr>
        <w:t>:</w:t>
      </w:r>
      <w:r w:rsidRPr="00077ADE">
        <w:tab/>
      </w:r>
      <w:r w:rsidR="00575693" w:rsidRPr="00575693">
        <w:t>What amounts should the Commission approve as [</w:t>
      </w:r>
      <w:r w:rsidR="00575693">
        <w:t>U</w:t>
      </w:r>
      <w:r w:rsidR="00575693" w:rsidRPr="00575693">
        <w:t>tility’s] reasonably estimated 2026 costs and estimated true-up revenue requirement amounts for the Natural Gas Facilities Relocation Cost Recovery Clause</w:t>
      </w:r>
      <w:r w:rsidR="00B507B5">
        <w:t>?</w:t>
      </w:r>
    </w:p>
    <w:p w:rsidR="0066747B" w:rsidRPr="00077ADE" w:rsidRDefault="0066747B" w:rsidP="0066747B">
      <w:pPr>
        <w:ind w:left="1440" w:hanging="1440"/>
        <w:jc w:val="both"/>
      </w:pPr>
    </w:p>
    <w:p w:rsidR="0066747B" w:rsidRPr="00077ADE" w:rsidRDefault="0066747B" w:rsidP="0066747B">
      <w:pPr>
        <w:ind w:left="1440" w:hanging="1440"/>
        <w:jc w:val="both"/>
      </w:pPr>
      <w:r w:rsidRPr="00077ADE">
        <w:rPr>
          <w:b/>
          <w:bCs/>
          <w:u w:val="single"/>
        </w:rPr>
        <w:t xml:space="preserve">ISSUE </w:t>
      </w:r>
      <w:r w:rsidR="007347E2">
        <w:rPr>
          <w:b/>
          <w:bCs/>
          <w:u w:val="single"/>
        </w:rPr>
        <w:t>4</w:t>
      </w:r>
      <w:r w:rsidRPr="00077ADE">
        <w:rPr>
          <w:b/>
          <w:bCs/>
        </w:rPr>
        <w:t>:</w:t>
      </w:r>
      <w:r w:rsidRPr="00077ADE">
        <w:tab/>
      </w:r>
      <w:r w:rsidR="00575693" w:rsidRPr="00575693">
        <w:t>What amounts should the Commission approve as [</w:t>
      </w:r>
      <w:r w:rsidR="00BA03BE">
        <w:t>U</w:t>
      </w:r>
      <w:r w:rsidR="00575693" w:rsidRPr="00575693">
        <w:t>tility’s] reasonably projected 2027 costs and projected revenue requirement amounts for the Natural Gas Facilities Relocation Cost Recovery Clause</w:t>
      </w:r>
      <w:r w:rsidRPr="00077ADE">
        <w:t>?</w:t>
      </w:r>
    </w:p>
    <w:p w:rsidR="0066747B" w:rsidRPr="00077ADE" w:rsidRDefault="0066747B" w:rsidP="0066747B">
      <w:pPr>
        <w:ind w:left="1440" w:hanging="1440"/>
        <w:jc w:val="both"/>
        <w:rPr>
          <w:b/>
        </w:rPr>
      </w:pPr>
    </w:p>
    <w:p w:rsidR="0066747B" w:rsidRPr="00077ADE" w:rsidRDefault="0066747B" w:rsidP="0066747B">
      <w:pPr>
        <w:ind w:left="1440" w:hanging="1440"/>
        <w:jc w:val="both"/>
      </w:pPr>
      <w:r w:rsidRPr="00077ADE">
        <w:rPr>
          <w:b/>
          <w:bCs/>
          <w:u w:val="single"/>
        </w:rPr>
        <w:t xml:space="preserve">ISSUE </w:t>
      </w:r>
      <w:r w:rsidR="007347E2">
        <w:rPr>
          <w:b/>
          <w:bCs/>
          <w:u w:val="single"/>
        </w:rPr>
        <w:t>5</w:t>
      </w:r>
      <w:r w:rsidRPr="00077ADE">
        <w:rPr>
          <w:b/>
          <w:bCs/>
        </w:rPr>
        <w:t>:</w:t>
      </w:r>
      <w:r w:rsidRPr="00077ADE">
        <w:tab/>
      </w:r>
      <w:r w:rsidR="0033251F" w:rsidRPr="0033251F">
        <w:t>What are the Natural Gas Facilities Relocation Cost Recovery Clause total cost recovery amounts, including true-ups, to be included in establishing 2027 Natural Gas Facilities Relocation Cost Recovery factors for [</w:t>
      </w:r>
      <w:r w:rsidR="0033251F">
        <w:t>U</w:t>
      </w:r>
      <w:r w:rsidR="0033251F" w:rsidRPr="0033251F">
        <w:t>tility]</w:t>
      </w:r>
      <w:r w:rsidR="001C3EF8">
        <w:t>?</w:t>
      </w:r>
    </w:p>
    <w:p w:rsidR="0066747B" w:rsidRPr="00077ADE" w:rsidRDefault="0066747B" w:rsidP="0066747B">
      <w:pPr>
        <w:ind w:left="1440" w:hanging="1440"/>
        <w:jc w:val="both"/>
        <w:rPr>
          <w:b/>
        </w:rPr>
      </w:pPr>
    </w:p>
    <w:p w:rsidR="0066747B" w:rsidRPr="00077ADE" w:rsidRDefault="0066747B" w:rsidP="0066747B">
      <w:pPr>
        <w:autoSpaceDE w:val="0"/>
        <w:autoSpaceDN w:val="0"/>
        <w:adjustRightInd w:val="0"/>
        <w:ind w:left="1440" w:hanging="1440"/>
        <w:jc w:val="both"/>
      </w:pPr>
      <w:r w:rsidRPr="00077ADE">
        <w:rPr>
          <w:b/>
          <w:bCs/>
          <w:u w:val="single"/>
        </w:rPr>
        <w:t xml:space="preserve">ISSUE </w:t>
      </w:r>
      <w:r w:rsidR="007347E2">
        <w:rPr>
          <w:b/>
          <w:bCs/>
          <w:u w:val="single"/>
        </w:rPr>
        <w:t>6</w:t>
      </w:r>
      <w:r w:rsidRPr="00077ADE">
        <w:rPr>
          <w:b/>
          <w:bCs/>
        </w:rPr>
        <w:t>:</w:t>
      </w:r>
      <w:r w:rsidRPr="00077ADE">
        <w:tab/>
      </w:r>
      <w:r w:rsidR="00513E9D" w:rsidRPr="00513E9D">
        <w:t>What depreciation rates should be used to develop the depreciation expense included in the total 2027 Natural Gas Facilities Relocation Cost Recovery Clause amounts for [</w:t>
      </w:r>
      <w:r w:rsidR="00513E9D">
        <w:t>U</w:t>
      </w:r>
      <w:r w:rsidR="00513E9D" w:rsidRPr="00513E9D">
        <w:t>tility]</w:t>
      </w:r>
      <w:r w:rsidR="001C3EF8">
        <w:t>?</w:t>
      </w:r>
    </w:p>
    <w:p w:rsidR="0066747B" w:rsidRPr="00297FBA" w:rsidRDefault="0066747B" w:rsidP="0066747B">
      <w:pPr>
        <w:autoSpaceDE w:val="0"/>
        <w:autoSpaceDN w:val="0"/>
        <w:adjustRightInd w:val="0"/>
        <w:ind w:left="1440" w:hanging="1440"/>
        <w:jc w:val="both"/>
        <w:rPr>
          <w:b/>
          <w:u w:val="single"/>
        </w:rPr>
      </w:pPr>
    </w:p>
    <w:p w:rsidR="0066747B" w:rsidRPr="00077ADE" w:rsidRDefault="0066747B" w:rsidP="0066747B">
      <w:pPr>
        <w:ind w:left="1440" w:hanging="1440"/>
        <w:jc w:val="both"/>
      </w:pPr>
      <w:r w:rsidRPr="00077ADE">
        <w:rPr>
          <w:b/>
          <w:bCs/>
          <w:u w:val="single"/>
        </w:rPr>
        <w:t xml:space="preserve">ISSUE </w:t>
      </w:r>
      <w:r w:rsidR="007347E2">
        <w:rPr>
          <w:b/>
          <w:bCs/>
          <w:u w:val="single"/>
        </w:rPr>
        <w:t>7</w:t>
      </w:r>
      <w:r w:rsidRPr="007347E2">
        <w:rPr>
          <w:b/>
          <w:bCs/>
        </w:rPr>
        <w:t>:</w:t>
      </w:r>
      <w:r w:rsidRPr="00077ADE">
        <w:tab/>
      </w:r>
      <w:r w:rsidR="00BA658D" w:rsidRPr="00BA658D">
        <w:t>What are the appropriate 2027 Natural Gas Facilities Relocation Cost Recovery Clause factors for each rate class for [</w:t>
      </w:r>
      <w:r w:rsidR="00BA658D">
        <w:t>U</w:t>
      </w:r>
      <w:r w:rsidR="00BA658D" w:rsidRPr="00BA658D">
        <w:t>tility]</w:t>
      </w:r>
      <w:r w:rsidR="002351D0">
        <w:t>?</w:t>
      </w:r>
    </w:p>
    <w:p w:rsidR="0066747B" w:rsidRPr="00077ADE" w:rsidRDefault="0066747B" w:rsidP="0066747B">
      <w:pPr>
        <w:ind w:left="1440" w:hanging="1440"/>
        <w:jc w:val="both"/>
      </w:pPr>
    </w:p>
    <w:p w:rsidR="0066747B" w:rsidRPr="00077ADE" w:rsidRDefault="0066747B" w:rsidP="0066747B">
      <w:pPr>
        <w:autoSpaceDE w:val="0"/>
        <w:autoSpaceDN w:val="0"/>
        <w:adjustRightInd w:val="0"/>
        <w:ind w:left="1440" w:hanging="1440"/>
        <w:jc w:val="both"/>
        <w:rPr>
          <w:rFonts w:eastAsia="Calibri"/>
          <w:bCs/>
        </w:rPr>
      </w:pPr>
      <w:r w:rsidRPr="00077ADE">
        <w:rPr>
          <w:b/>
          <w:bCs/>
          <w:u w:val="single"/>
        </w:rPr>
        <w:t xml:space="preserve">ISSUE </w:t>
      </w:r>
      <w:r w:rsidR="007347E2">
        <w:rPr>
          <w:b/>
          <w:bCs/>
          <w:u w:val="single"/>
        </w:rPr>
        <w:t>8</w:t>
      </w:r>
      <w:r w:rsidRPr="00077ADE">
        <w:rPr>
          <w:b/>
          <w:bCs/>
        </w:rPr>
        <w:t>:</w:t>
      </w:r>
      <w:r w:rsidRPr="00077ADE">
        <w:tab/>
      </w:r>
      <w:r w:rsidR="00FD0B58" w:rsidRPr="00FD0B58">
        <w:rPr>
          <w:rFonts w:eastAsia="Calibri"/>
          <w:bCs/>
        </w:rPr>
        <w:t>What should be the effective date of the 2027 Natural Gas Facilities Relocation Cost Recovery Clause factors for billing purposes for [</w:t>
      </w:r>
      <w:r w:rsidR="00FD0B58">
        <w:rPr>
          <w:rFonts w:eastAsia="Calibri"/>
          <w:bCs/>
        </w:rPr>
        <w:t>U</w:t>
      </w:r>
      <w:r w:rsidR="00FD0B58" w:rsidRPr="00FD0B58">
        <w:rPr>
          <w:rFonts w:eastAsia="Calibri"/>
          <w:bCs/>
        </w:rPr>
        <w:t>tility]</w:t>
      </w:r>
      <w:r w:rsidRPr="00077ADE">
        <w:rPr>
          <w:rFonts w:eastAsia="Calibri"/>
          <w:bCs/>
        </w:rPr>
        <w:t>?</w:t>
      </w:r>
    </w:p>
    <w:p w:rsidR="0066747B" w:rsidRPr="00077ADE" w:rsidRDefault="0066747B" w:rsidP="0066747B">
      <w:pPr>
        <w:autoSpaceDE w:val="0"/>
        <w:autoSpaceDN w:val="0"/>
        <w:adjustRightInd w:val="0"/>
        <w:ind w:left="1440" w:hanging="1440"/>
        <w:jc w:val="both"/>
        <w:rPr>
          <w:rFonts w:eastAsia="Calibri"/>
          <w:bCs/>
        </w:rPr>
      </w:pPr>
    </w:p>
    <w:p w:rsidR="0066747B" w:rsidRPr="00077ADE" w:rsidRDefault="0066747B" w:rsidP="0066747B">
      <w:pPr>
        <w:ind w:left="1440" w:hanging="1440"/>
        <w:jc w:val="both"/>
        <w:rPr>
          <w:bCs/>
        </w:rPr>
      </w:pPr>
      <w:r w:rsidRPr="00077ADE">
        <w:rPr>
          <w:b/>
          <w:bCs/>
          <w:u w:val="single"/>
        </w:rPr>
        <w:t xml:space="preserve">ISSUE </w:t>
      </w:r>
      <w:r w:rsidR="007347E2">
        <w:rPr>
          <w:b/>
          <w:bCs/>
          <w:u w:val="single"/>
        </w:rPr>
        <w:t>9</w:t>
      </w:r>
      <w:r w:rsidRPr="00077ADE">
        <w:rPr>
          <w:b/>
          <w:bCs/>
        </w:rPr>
        <w:t>:</w:t>
      </w:r>
      <w:r w:rsidRPr="00077ADE">
        <w:tab/>
      </w:r>
      <w:r w:rsidR="00D17142" w:rsidRPr="00D17142">
        <w:rPr>
          <w:bCs/>
        </w:rPr>
        <w:t>Should the Commission approve revised tariffs reflecting the 2027 Natural Gas Facilities Relocation Cost Recovery Clause factors determined to be appropriate in this proceeding</w:t>
      </w:r>
      <w:r w:rsidR="00D17142">
        <w:rPr>
          <w:bCs/>
        </w:rPr>
        <w:t>?</w:t>
      </w:r>
    </w:p>
    <w:p w:rsidR="0066747B" w:rsidRPr="00077ADE" w:rsidRDefault="0066747B" w:rsidP="0066747B">
      <w:pPr>
        <w:ind w:left="1440" w:hanging="1440"/>
        <w:jc w:val="both"/>
        <w:rPr>
          <w:bCs/>
        </w:rPr>
      </w:pPr>
    </w:p>
    <w:p w:rsidR="0066747B" w:rsidRPr="000408A7" w:rsidRDefault="0066747B" w:rsidP="0066747B">
      <w:pPr>
        <w:autoSpaceDE w:val="0"/>
        <w:autoSpaceDN w:val="0"/>
        <w:adjustRightInd w:val="0"/>
        <w:rPr>
          <w:rFonts w:eastAsia="Calibri"/>
          <w:b/>
          <w:color w:val="000000"/>
        </w:rPr>
      </w:pPr>
      <w:r w:rsidRPr="00077ADE">
        <w:rPr>
          <w:b/>
          <w:bCs/>
          <w:u w:val="single"/>
        </w:rPr>
        <w:t xml:space="preserve">ISSUE </w:t>
      </w:r>
      <w:r w:rsidR="007347E2">
        <w:rPr>
          <w:b/>
          <w:bCs/>
          <w:u w:val="single"/>
        </w:rPr>
        <w:t>10</w:t>
      </w:r>
      <w:r w:rsidRPr="00077ADE">
        <w:rPr>
          <w:b/>
          <w:bCs/>
        </w:rPr>
        <w:t>:</w:t>
      </w:r>
      <w:r w:rsidRPr="00077ADE">
        <w:tab/>
      </w:r>
      <w:r w:rsidRPr="00077ADE">
        <w:rPr>
          <w:rFonts w:eastAsia="Calibri"/>
          <w:color w:val="000000"/>
        </w:rPr>
        <w:t>Should this docket be closed?</w:t>
      </w:r>
    </w:p>
    <w:p w:rsidR="00B22241" w:rsidRPr="00B22241" w:rsidRDefault="00B22241">
      <w:pPr>
        <w:pStyle w:val="OrderBody"/>
      </w:pPr>
    </w:p>
    <w:p w:rsidR="00A005A5" w:rsidRPr="00A005A5" w:rsidRDefault="00A005A5">
      <w:pPr>
        <w:pStyle w:val="OrderBody"/>
        <w:rPr>
          <w:u w:val="single"/>
        </w:rPr>
      </w:pPr>
      <w:r w:rsidRPr="00A005A5">
        <w:rPr>
          <w:u w:val="single"/>
        </w:rPr>
        <w:t>Company-Specific Natural Gas Facilities Relocation Cost Recovery Issues</w:t>
      </w:r>
    </w:p>
    <w:p w:rsidR="00A005A5" w:rsidRDefault="00A005A5">
      <w:pPr>
        <w:pStyle w:val="OrderBody"/>
      </w:pPr>
    </w:p>
    <w:p w:rsidR="00A005A5" w:rsidRDefault="00A005A5">
      <w:pPr>
        <w:pStyle w:val="OrderBody"/>
      </w:pPr>
      <w:r>
        <w:tab/>
        <w:t>These issues will be added as they are developed.</w:t>
      </w:r>
    </w:p>
    <w:sectPr w:rsidR="00A005A5">
      <w:headerReference w:type="defaul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9B9" w:rsidRDefault="007619B9">
      <w:r>
        <w:separator/>
      </w:r>
    </w:p>
  </w:endnote>
  <w:endnote w:type="continuationSeparator" w:id="0">
    <w:p w:rsidR="007619B9" w:rsidRDefault="00761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9B9" w:rsidRDefault="007619B9">
      <w:r>
        <w:separator/>
      </w:r>
    </w:p>
  </w:footnote>
  <w:footnote w:type="continuationSeparator" w:id="0">
    <w:p w:rsidR="007619B9" w:rsidRDefault="00761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35 ">
      <w:r w:rsidR="00652A03">
        <w:t>PSC-2026-0035-PCO-GU</w:t>
      </w:r>
    </w:fldSimple>
  </w:p>
  <w:p w:rsidR="00FA6EFD" w:rsidRDefault="007619B9">
    <w:pPr>
      <w:pStyle w:val="OrderHeader"/>
    </w:pPr>
    <w:bookmarkStart w:id="8" w:name="HeaderDocketNo"/>
    <w:bookmarkEnd w:id="8"/>
    <w:r>
      <w:t>DOCKET NO. 20260011-GU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52A03">
      <w:rPr>
        <w:rStyle w:val="PageNumber"/>
        <w:noProof/>
      </w:rPr>
      <w:t>14</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15:restartNumberingAfterBreak="0">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4"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6"/>
  </w:num>
  <w:num w:numId="4">
    <w:abstractNumId w:val="5"/>
  </w:num>
  <w:num w:numId="5">
    <w:abstractNumId w:val="2"/>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60011-GU"/>
  </w:docVars>
  <w:rsids>
    <w:rsidRoot w:val="007619B9"/>
    <w:rsid w:val="000003EA"/>
    <w:rsid w:val="000022B8"/>
    <w:rsid w:val="00003883"/>
    <w:rsid w:val="00003CB8"/>
    <w:rsid w:val="0000401B"/>
    <w:rsid w:val="000048E2"/>
    <w:rsid w:val="00007C84"/>
    <w:rsid w:val="00011251"/>
    <w:rsid w:val="00012B32"/>
    <w:rsid w:val="00017B71"/>
    <w:rsid w:val="000217D6"/>
    <w:rsid w:val="00022EFA"/>
    <w:rsid w:val="00025C2A"/>
    <w:rsid w:val="00025C9D"/>
    <w:rsid w:val="000310B5"/>
    <w:rsid w:val="000327DC"/>
    <w:rsid w:val="0003433F"/>
    <w:rsid w:val="00035A8C"/>
    <w:rsid w:val="00036BDD"/>
    <w:rsid w:val="000372A2"/>
    <w:rsid w:val="0004190B"/>
    <w:rsid w:val="00041FFD"/>
    <w:rsid w:val="00042108"/>
    <w:rsid w:val="00042C99"/>
    <w:rsid w:val="0005058A"/>
    <w:rsid w:val="00051893"/>
    <w:rsid w:val="000530EB"/>
    <w:rsid w:val="00053AB9"/>
    <w:rsid w:val="00056229"/>
    <w:rsid w:val="00057AF1"/>
    <w:rsid w:val="00061429"/>
    <w:rsid w:val="00064171"/>
    <w:rsid w:val="00065FC2"/>
    <w:rsid w:val="00066009"/>
    <w:rsid w:val="00067685"/>
    <w:rsid w:val="00067B07"/>
    <w:rsid w:val="00071A9E"/>
    <w:rsid w:val="000730D7"/>
    <w:rsid w:val="000736B1"/>
    <w:rsid w:val="00076E6B"/>
    <w:rsid w:val="00081AE4"/>
    <w:rsid w:val="0008247D"/>
    <w:rsid w:val="00090AFC"/>
    <w:rsid w:val="00096025"/>
    <w:rsid w:val="00096507"/>
    <w:rsid w:val="00097328"/>
    <w:rsid w:val="0009757F"/>
    <w:rsid w:val="000A3E1A"/>
    <w:rsid w:val="000A774F"/>
    <w:rsid w:val="000B12BB"/>
    <w:rsid w:val="000B1603"/>
    <w:rsid w:val="000B3ABA"/>
    <w:rsid w:val="000B783E"/>
    <w:rsid w:val="000B7AD2"/>
    <w:rsid w:val="000B7D81"/>
    <w:rsid w:val="000C1994"/>
    <w:rsid w:val="000C1A44"/>
    <w:rsid w:val="000C3236"/>
    <w:rsid w:val="000C6926"/>
    <w:rsid w:val="000D02B8"/>
    <w:rsid w:val="000D06E8"/>
    <w:rsid w:val="000D1CAB"/>
    <w:rsid w:val="000D2D94"/>
    <w:rsid w:val="000D52C1"/>
    <w:rsid w:val="000D6E65"/>
    <w:rsid w:val="000D78FB"/>
    <w:rsid w:val="000E03B1"/>
    <w:rsid w:val="000E050C"/>
    <w:rsid w:val="000E20F0"/>
    <w:rsid w:val="000E2593"/>
    <w:rsid w:val="000E344D"/>
    <w:rsid w:val="000E36EF"/>
    <w:rsid w:val="000E3F6D"/>
    <w:rsid w:val="000F0C25"/>
    <w:rsid w:val="000F11F1"/>
    <w:rsid w:val="000F359F"/>
    <w:rsid w:val="000F3B2C"/>
    <w:rsid w:val="000F3F6C"/>
    <w:rsid w:val="000F48D7"/>
    <w:rsid w:val="000F63EB"/>
    <w:rsid w:val="000F648A"/>
    <w:rsid w:val="000F7BE3"/>
    <w:rsid w:val="00103190"/>
    <w:rsid w:val="00104333"/>
    <w:rsid w:val="001052BA"/>
    <w:rsid w:val="00110712"/>
    <w:rsid w:val="001107B3"/>
    <w:rsid w:val="001114B1"/>
    <w:rsid w:val="00112D55"/>
    <w:rsid w:val="001139D8"/>
    <w:rsid w:val="00114270"/>
    <w:rsid w:val="00116AD3"/>
    <w:rsid w:val="001170FA"/>
    <w:rsid w:val="001172F7"/>
    <w:rsid w:val="00121957"/>
    <w:rsid w:val="0012387E"/>
    <w:rsid w:val="0012393B"/>
    <w:rsid w:val="001259EC"/>
    <w:rsid w:val="00126593"/>
    <w:rsid w:val="00126C01"/>
    <w:rsid w:val="00127217"/>
    <w:rsid w:val="001274C3"/>
    <w:rsid w:val="00134177"/>
    <w:rsid w:val="00136087"/>
    <w:rsid w:val="00142A96"/>
    <w:rsid w:val="00146A7F"/>
    <w:rsid w:val="001513DE"/>
    <w:rsid w:val="00151A95"/>
    <w:rsid w:val="00154A71"/>
    <w:rsid w:val="001562B9"/>
    <w:rsid w:val="00156403"/>
    <w:rsid w:val="0015765C"/>
    <w:rsid w:val="00157ED6"/>
    <w:rsid w:val="0016515B"/>
    <w:rsid w:val="001655D4"/>
    <w:rsid w:val="00165803"/>
    <w:rsid w:val="00182422"/>
    <w:rsid w:val="00185F09"/>
    <w:rsid w:val="00187E32"/>
    <w:rsid w:val="001918FF"/>
    <w:rsid w:val="00194420"/>
    <w:rsid w:val="00194A97"/>
    <w:rsid w:val="00194B4B"/>
    <w:rsid w:val="00194E81"/>
    <w:rsid w:val="001A0513"/>
    <w:rsid w:val="001A15E7"/>
    <w:rsid w:val="001A33C9"/>
    <w:rsid w:val="001A58F3"/>
    <w:rsid w:val="001A5B24"/>
    <w:rsid w:val="001B034E"/>
    <w:rsid w:val="001C05E6"/>
    <w:rsid w:val="001C2847"/>
    <w:rsid w:val="001C3BB5"/>
    <w:rsid w:val="001C3EF8"/>
    <w:rsid w:val="001C3F8C"/>
    <w:rsid w:val="001C445C"/>
    <w:rsid w:val="001C5338"/>
    <w:rsid w:val="001C6097"/>
    <w:rsid w:val="001C7126"/>
    <w:rsid w:val="001D008A"/>
    <w:rsid w:val="001D0794"/>
    <w:rsid w:val="001D739C"/>
    <w:rsid w:val="001D7777"/>
    <w:rsid w:val="001E0152"/>
    <w:rsid w:val="001E0FF5"/>
    <w:rsid w:val="001F0095"/>
    <w:rsid w:val="001F19C6"/>
    <w:rsid w:val="001F36B0"/>
    <w:rsid w:val="001F4CA3"/>
    <w:rsid w:val="001F59E0"/>
    <w:rsid w:val="001F5B31"/>
    <w:rsid w:val="002002ED"/>
    <w:rsid w:val="00200828"/>
    <w:rsid w:val="00200E00"/>
    <w:rsid w:val="002044DD"/>
    <w:rsid w:val="002044F8"/>
    <w:rsid w:val="00211C2D"/>
    <w:rsid w:val="002170E5"/>
    <w:rsid w:val="002179AC"/>
    <w:rsid w:val="00220D57"/>
    <w:rsid w:val="00221925"/>
    <w:rsid w:val="00223B99"/>
    <w:rsid w:val="00226935"/>
    <w:rsid w:val="0022721A"/>
    <w:rsid w:val="00230BB9"/>
    <w:rsid w:val="00233830"/>
    <w:rsid w:val="002351D0"/>
    <w:rsid w:val="00236E4C"/>
    <w:rsid w:val="00241CEF"/>
    <w:rsid w:val="0024275D"/>
    <w:rsid w:val="00244000"/>
    <w:rsid w:val="0025124E"/>
    <w:rsid w:val="00252B30"/>
    <w:rsid w:val="00253927"/>
    <w:rsid w:val="002546FD"/>
    <w:rsid w:val="00255291"/>
    <w:rsid w:val="00256718"/>
    <w:rsid w:val="00257CA8"/>
    <w:rsid w:val="002613E4"/>
    <w:rsid w:val="00262C43"/>
    <w:rsid w:val="0026544B"/>
    <w:rsid w:val="0026671C"/>
    <w:rsid w:val="0026795D"/>
    <w:rsid w:val="00270F89"/>
    <w:rsid w:val="002723CA"/>
    <w:rsid w:val="0027501C"/>
    <w:rsid w:val="002750C2"/>
    <w:rsid w:val="00276CDC"/>
    <w:rsid w:val="00277655"/>
    <w:rsid w:val="00281AF1"/>
    <w:rsid w:val="002824B7"/>
    <w:rsid w:val="00282AC4"/>
    <w:rsid w:val="002914A3"/>
    <w:rsid w:val="00292F02"/>
    <w:rsid w:val="00293DC9"/>
    <w:rsid w:val="00294DAA"/>
    <w:rsid w:val="002960DA"/>
    <w:rsid w:val="00296AA7"/>
    <w:rsid w:val="00297C37"/>
    <w:rsid w:val="002A019B"/>
    <w:rsid w:val="002A11AC"/>
    <w:rsid w:val="002A1B95"/>
    <w:rsid w:val="002A6F30"/>
    <w:rsid w:val="002A7884"/>
    <w:rsid w:val="002B144E"/>
    <w:rsid w:val="002B3111"/>
    <w:rsid w:val="002C014D"/>
    <w:rsid w:val="002C09F5"/>
    <w:rsid w:val="002C118E"/>
    <w:rsid w:val="002C2096"/>
    <w:rsid w:val="002C3126"/>
    <w:rsid w:val="002C3C71"/>
    <w:rsid w:val="002C53D2"/>
    <w:rsid w:val="002C5B66"/>
    <w:rsid w:val="002C7908"/>
    <w:rsid w:val="002D0328"/>
    <w:rsid w:val="002D129A"/>
    <w:rsid w:val="002D391B"/>
    <w:rsid w:val="002D4B1F"/>
    <w:rsid w:val="002D6263"/>
    <w:rsid w:val="002D7D15"/>
    <w:rsid w:val="002E09F3"/>
    <w:rsid w:val="002E1B2E"/>
    <w:rsid w:val="002E27EB"/>
    <w:rsid w:val="002E4EF4"/>
    <w:rsid w:val="002E6F50"/>
    <w:rsid w:val="002E78B6"/>
    <w:rsid w:val="002E7CB2"/>
    <w:rsid w:val="002F0088"/>
    <w:rsid w:val="002F04AD"/>
    <w:rsid w:val="002F0F1A"/>
    <w:rsid w:val="002F0F1C"/>
    <w:rsid w:val="002F2A9D"/>
    <w:rsid w:val="002F31C2"/>
    <w:rsid w:val="002F5E05"/>
    <w:rsid w:val="002F62EF"/>
    <w:rsid w:val="002F7BF6"/>
    <w:rsid w:val="00303FDE"/>
    <w:rsid w:val="00313C5B"/>
    <w:rsid w:val="003140E8"/>
    <w:rsid w:val="003144B7"/>
    <w:rsid w:val="00321702"/>
    <w:rsid w:val="003231C7"/>
    <w:rsid w:val="00323839"/>
    <w:rsid w:val="003270C4"/>
    <w:rsid w:val="00327A46"/>
    <w:rsid w:val="00331ED0"/>
    <w:rsid w:val="0033251F"/>
    <w:rsid w:val="00332B0A"/>
    <w:rsid w:val="00333A41"/>
    <w:rsid w:val="00336DE8"/>
    <w:rsid w:val="00341036"/>
    <w:rsid w:val="00345434"/>
    <w:rsid w:val="0035158A"/>
    <w:rsid w:val="00351C22"/>
    <w:rsid w:val="00353E73"/>
    <w:rsid w:val="0035495B"/>
    <w:rsid w:val="0035598F"/>
    <w:rsid w:val="00355A93"/>
    <w:rsid w:val="00356209"/>
    <w:rsid w:val="00360778"/>
    <w:rsid w:val="00360F30"/>
    <w:rsid w:val="00361522"/>
    <w:rsid w:val="0036362B"/>
    <w:rsid w:val="00367F4E"/>
    <w:rsid w:val="0037196E"/>
    <w:rsid w:val="00372763"/>
    <w:rsid w:val="00374392"/>
    <w:rsid w:val="0037442E"/>
    <w:rsid w:val="003744F5"/>
    <w:rsid w:val="00382C6A"/>
    <w:rsid w:val="003832BA"/>
    <w:rsid w:val="00385D0B"/>
    <w:rsid w:val="003875A9"/>
    <w:rsid w:val="00387BDE"/>
    <w:rsid w:val="00390DD8"/>
    <w:rsid w:val="00391228"/>
    <w:rsid w:val="00394DC6"/>
    <w:rsid w:val="00397C3E"/>
    <w:rsid w:val="003A001A"/>
    <w:rsid w:val="003A5F8B"/>
    <w:rsid w:val="003B1A09"/>
    <w:rsid w:val="003B2124"/>
    <w:rsid w:val="003B3581"/>
    <w:rsid w:val="003B3B09"/>
    <w:rsid w:val="003B3C1C"/>
    <w:rsid w:val="003B4F77"/>
    <w:rsid w:val="003B6F02"/>
    <w:rsid w:val="003C0431"/>
    <w:rsid w:val="003C29BB"/>
    <w:rsid w:val="003C3EF2"/>
    <w:rsid w:val="003D3989"/>
    <w:rsid w:val="003D44A1"/>
    <w:rsid w:val="003D4CCA"/>
    <w:rsid w:val="003D52A6"/>
    <w:rsid w:val="003D6416"/>
    <w:rsid w:val="003D74D3"/>
    <w:rsid w:val="003E0250"/>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17AB1"/>
    <w:rsid w:val="0042029A"/>
    <w:rsid w:val="004216C8"/>
    <w:rsid w:val="00422323"/>
    <w:rsid w:val="004225E3"/>
    <w:rsid w:val="004247F5"/>
    <w:rsid w:val="00425154"/>
    <w:rsid w:val="0042527B"/>
    <w:rsid w:val="0042705B"/>
    <w:rsid w:val="00427EAC"/>
    <w:rsid w:val="00430406"/>
    <w:rsid w:val="00430E8F"/>
    <w:rsid w:val="00431253"/>
    <w:rsid w:val="00434368"/>
    <w:rsid w:val="004431B4"/>
    <w:rsid w:val="004437EA"/>
    <w:rsid w:val="00445604"/>
    <w:rsid w:val="00447BDA"/>
    <w:rsid w:val="00451158"/>
    <w:rsid w:val="00451804"/>
    <w:rsid w:val="0045234A"/>
    <w:rsid w:val="00453C21"/>
    <w:rsid w:val="0045537F"/>
    <w:rsid w:val="004557F6"/>
    <w:rsid w:val="00456CF2"/>
    <w:rsid w:val="00457DC7"/>
    <w:rsid w:val="004616A5"/>
    <w:rsid w:val="004640B3"/>
    <w:rsid w:val="00466B00"/>
    <w:rsid w:val="00467A2F"/>
    <w:rsid w:val="004704F4"/>
    <w:rsid w:val="00470F90"/>
    <w:rsid w:val="00472BCC"/>
    <w:rsid w:val="00477699"/>
    <w:rsid w:val="00477DA6"/>
    <w:rsid w:val="00480710"/>
    <w:rsid w:val="004812DE"/>
    <w:rsid w:val="00482B73"/>
    <w:rsid w:val="0049394C"/>
    <w:rsid w:val="004A25CD"/>
    <w:rsid w:val="004A26CC"/>
    <w:rsid w:val="004B0B13"/>
    <w:rsid w:val="004B2108"/>
    <w:rsid w:val="004B212A"/>
    <w:rsid w:val="004B3A2B"/>
    <w:rsid w:val="004B427E"/>
    <w:rsid w:val="004B70D3"/>
    <w:rsid w:val="004C0219"/>
    <w:rsid w:val="004C312D"/>
    <w:rsid w:val="004C6319"/>
    <w:rsid w:val="004D2C87"/>
    <w:rsid w:val="004D2D1B"/>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3D92"/>
    <w:rsid w:val="00505D83"/>
    <w:rsid w:val="00507A8F"/>
    <w:rsid w:val="00511872"/>
    <w:rsid w:val="00512879"/>
    <w:rsid w:val="00513E9D"/>
    <w:rsid w:val="00514B1F"/>
    <w:rsid w:val="00523C5C"/>
    <w:rsid w:val="00524884"/>
    <w:rsid w:val="00525E93"/>
    <w:rsid w:val="0052671D"/>
    <w:rsid w:val="005300C0"/>
    <w:rsid w:val="00533EF6"/>
    <w:rsid w:val="00534258"/>
    <w:rsid w:val="00535418"/>
    <w:rsid w:val="005368BD"/>
    <w:rsid w:val="00540B41"/>
    <w:rsid w:val="00540E6B"/>
    <w:rsid w:val="0054109E"/>
    <w:rsid w:val="00542800"/>
    <w:rsid w:val="00542DCB"/>
    <w:rsid w:val="00554018"/>
    <w:rsid w:val="0055595D"/>
    <w:rsid w:val="00556A10"/>
    <w:rsid w:val="00557349"/>
    <w:rsid w:val="005573B1"/>
    <w:rsid w:val="00557F50"/>
    <w:rsid w:val="00562B41"/>
    <w:rsid w:val="00563211"/>
    <w:rsid w:val="00563D41"/>
    <w:rsid w:val="005645FC"/>
    <w:rsid w:val="00571D3D"/>
    <w:rsid w:val="00573194"/>
    <w:rsid w:val="00573B3A"/>
    <w:rsid w:val="00574379"/>
    <w:rsid w:val="00575693"/>
    <w:rsid w:val="00581051"/>
    <w:rsid w:val="00581B8A"/>
    <w:rsid w:val="00582030"/>
    <w:rsid w:val="0058264B"/>
    <w:rsid w:val="00583F81"/>
    <w:rsid w:val="005850DF"/>
    <w:rsid w:val="00586368"/>
    <w:rsid w:val="005868AA"/>
    <w:rsid w:val="00590845"/>
    <w:rsid w:val="005944A0"/>
    <w:rsid w:val="00594726"/>
    <w:rsid w:val="005963C2"/>
    <w:rsid w:val="005A0D69"/>
    <w:rsid w:val="005A2CBF"/>
    <w:rsid w:val="005A31F4"/>
    <w:rsid w:val="005A5899"/>
    <w:rsid w:val="005A73EA"/>
    <w:rsid w:val="005A7BA6"/>
    <w:rsid w:val="005B45F7"/>
    <w:rsid w:val="005B47FB"/>
    <w:rsid w:val="005B531A"/>
    <w:rsid w:val="005B63EA"/>
    <w:rsid w:val="005C15A7"/>
    <w:rsid w:val="005C1A88"/>
    <w:rsid w:val="005C5033"/>
    <w:rsid w:val="005D4E1B"/>
    <w:rsid w:val="005D6710"/>
    <w:rsid w:val="005E1D22"/>
    <w:rsid w:val="005E2371"/>
    <w:rsid w:val="005E751B"/>
    <w:rsid w:val="005F05CF"/>
    <w:rsid w:val="005F0DC5"/>
    <w:rsid w:val="005F2751"/>
    <w:rsid w:val="005F3354"/>
    <w:rsid w:val="005F4AD6"/>
    <w:rsid w:val="005F643D"/>
    <w:rsid w:val="005F79AB"/>
    <w:rsid w:val="0060005E"/>
    <w:rsid w:val="00600219"/>
    <w:rsid w:val="0060095B"/>
    <w:rsid w:val="00601266"/>
    <w:rsid w:val="00603479"/>
    <w:rsid w:val="00610221"/>
    <w:rsid w:val="00610543"/>
    <w:rsid w:val="00610C67"/>
    <w:rsid w:val="00610E73"/>
    <w:rsid w:val="006110C6"/>
    <w:rsid w:val="00615F17"/>
    <w:rsid w:val="00615F9B"/>
    <w:rsid w:val="00616DF2"/>
    <w:rsid w:val="006226B2"/>
    <w:rsid w:val="0062385D"/>
    <w:rsid w:val="00624A5E"/>
    <w:rsid w:val="006250E2"/>
    <w:rsid w:val="0062578E"/>
    <w:rsid w:val="0062690B"/>
    <w:rsid w:val="0063168D"/>
    <w:rsid w:val="006327AD"/>
    <w:rsid w:val="0063406C"/>
    <w:rsid w:val="00635C79"/>
    <w:rsid w:val="006423A7"/>
    <w:rsid w:val="006455DF"/>
    <w:rsid w:val="00645AF6"/>
    <w:rsid w:val="00647025"/>
    <w:rsid w:val="0064730A"/>
    <w:rsid w:val="006507DA"/>
    <w:rsid w:val="00652A03"/>
    <w:rsid w:val="006531A4"/>
    <w:rsid w:val="00660774"/>
    <w:rsid w:val="0066389A"/>
    <w:rsid w:val="0066495C"/>
    <w:rsid w:val="00665CC7"/>
    <w:rsid w:val="0066747B"/>
    <w:rsid w:val="00672612"/>
    <w:rsid w:val="00674ECC"/>
    <w:rsid w:val="00677F18"/>
    <w:rsid w:val="00682BA9"/>
    <w:rsid w:val="00684AE3"/>
    <w:rsid w:val="00692E1A"/>
    <w:rsid w:val="00693483"/>
    <w:rsid w:val="00695682"/>
    <w:rsid w:val="00695EFF"/>
    <w:rsid w:val="00696892"/>
    <w:rsid w:val="006A0A0A"/>
    <w:rsid w:val="006A0BF3"/>
    <w:rsid w:val="006A0CD5"/>
    <w:rsid w:val="006A4BD2"/>
    <w:rsid w:val="006A502B"/>
    <w:rsid w:val="006A5CF1"/>
    <w:rsid w:val="006B0036"/>
    <w:rsid w:val="006B0DA6"/>
    <w:rsid w:val="006B3AED"/>
    <w:rsid w:val="006B3FA9"/>
    <w:rsid w:val="006C01A5"/>
    <w:rsid w:val="006C1E9B"/>
    <w:rsid w:val="006C3055"/>
    <w:rsid w:val="006C547E"/>
    <w:rsid w:val="006C6A11"/>
    <w:rsid w:val="006D1898"/>
    <w:rsid w:val="006D2B51"/>
    <w:rsid w:val="006D5575"/>
    <w:rsid w:val="006D7191"/>
    <w:rsid w:val="006E21C4"/>
    <w:rsid w:val="006E42BE"/>
    <w:rsid w:val="006E5D4D"/>
    <w:rsid w:val="006E6D16"/>
    <w:rsid w:val="006E77DA"/>
    <w:rsid w:val="00703F2A"/>
    <w:rsid w:val="0070426E"/>
    <w:rsid w:val="00704C5D"/>
    <w:rsid w:val="007072BC"/>
    <w:rsid w:val="00707AF5"/>
    <w:rsid w:val="00715275"/>
    <w:rsid w:val="00721B44"/>
    <w:rsid w:val="00721B56"/>
    <w:rsid w:val="007232A2"/>
    <w:rsid w:val="00726366"/>
    <w:rsid w:val="007263FF"/>
    <w:rsid w:val="00731AB6"/>
    <w:rsid w:val="00733B6B"/>
    <w:rsid w:val="007347E2"/>
    <w:rsid w:val="00734836"/>
    <w:rsid w:val="00737019"/>
    <w:rsid w:val="00740808"/>
    <w:rsid w:val="00740A1B"/>
    <w:rsid w:val="00742478"/>
    <w:rsid w:val="00743757"/>
    <w:rsid w:val="007467C4"/>
    <w:rsid w:val="00753C7F"/>
    <w:rsid w:val="007541A9"/>
    <w:rsid w:val="00755702"/>
    <w:rsid w:val="007560DE"/>
    <w:rsid w:val="0076170F"/>
    <w:rsid w:val="007619B9"/>
    <w:rsid w:val="00761F52"/>
    <w:rsid w:val="007643B1"/>
    <w:rsid w:val="0076669C"/>
    <w:rsid w:val="00766E46"/>
    <w:rsid w:val="00771018"/>
    <w:rsid w:val="00772CCB"/>
    <w:rsid w:val="00777193"/>
    <w:rsid w:val="00777727"/>
    <w:rsid w:val="00777F15"/>
    <w:rsid w:val="00781087"/>
    <w:rsid w:val="0078166A"/>
    <w:rsid w:val="00782B79"/>
    <w:rsid w:val="00783811"/>
    <w:rsid w:val="007865E9"/>
    <w:rsid w:val="0079237D"/>
    <w:rsid w:val="00792383"/>
    <w:rsid w:val="007929F6"/>
    <w:rsid w:val="00794D5A"/>
    <w:rsid w:val="00794DD9"/>
    <w:rsid w:val="007965EF"/>
    <w:rsid w:val="007A060F"/>
    <w:rsid w:val="007A37DC"/>
    <w:rsid w:val="007B00A2"/>
    <w:rsid w:val="007B1C5E"/>
    <w:rsid w:val="007B350E"/>
    <w:rsid w:val="007B4FFC"/>
    <w:rsid w:val="007C014B"/>
    <w:rsid w:val="007C0D87"/>
    <w:rsid w:val="007C0FBC"/>
    <w:rsid w:val="007C29C9"/>
    <w:rsid w:val="007C35B8"/>
    <w:rsid w:val="007C36E3"/>
    <w:rsid w:val="007C3ABB"/>
    <w:rsid w:val="007C7134"/>
    <w:rsid w:val="007C7ECF"/>
    <w:rsid w:val="007D28F2"/>
    <w:rsid w:val="007D3D20"/>
    <w:rsid w:val="007D44F9"/>
    <w:rsid w:val="007D478A"/>
    <w:rsid w:val="007D5C63"/>
    <w:rsid w:val="007D742E"/>
    <w:rsid w:val="007E3AFD"/>
    <w:rsid w:val="007E542E"/>
    <w:rsid w:val="007F589D"/>
    <w:rsid w:val="007F6738"/>
    <w:rsid w:val="007F6AB9"/>
    <w:rsid w:val="007F7943"/>
    <w:rsid w:val="008007A9"/>
    <w:rsid w:val="00801DAD"/>
    <w:rsid w:val="00802885"/>
    <w:rsid w:val="00802F9C"/>
    <w:rsid w:val="00803189"/>
    <w:rsid w:val="00804E7A"/>
    <w:rsid w:val="00805FBB"/>
    <w:rsid w:val="0080735C"/>
    <w:rsid w:val="00814292"/>
    <w:rsid w:val="008169A4"/>
    <w:rsid w:val="00820DD0"/>
    <w:rsid w:val="00822500"/>
    <w:rsid w:val="00822EC8"/>
    <w:rsid w:val="008235DB"/>
    <w:rsid w:val="00823F83"/>
    <w:rsid w:val="008278FE"/>
    <w:rsid w:val="00832598"/>
    <w:rsid w:val="008334D9"/>
    <w:rsid w:val="0083397E"/>
    <w:rsid w:val="0083534B"/>
    <w:rsid w:val="008361DD"/>
    <w:rsid w:val="00837A07"/>
    <w:rsid w:val="008405DE"/>
    <w:rsid w:val="00842035"/>
    <w:rsid w:val="00842602"/>
    <w:rsid w:val="00842A2F"/>
    <w:rsid w:val="008449F0"/>
    <w:rsid w:val="00846F11"/>
    <w:rsid w:val="00847B45"/>
    <w:rsid w:val="00851E6D"/>
    <w:rsid w:val="008524DB"/>
    <w:rsid w:val="00856F8E"/>
    <w:rsid w:val="00863A66"/>
    <w:rsid w:val="008703D7"/>
    <w:rsid w:val="00870D47"/>
    <w:rsid w:val="008715E8"/>
    <w:rsid w:val="00874429"/>
    <w:rsid w:val="00875D22"/>
    <w:rsid w:val="00880D38"/>
    <w:rsid w:val="00883D9A"/>
    <w:rsid w:val="00886A62"/>
    <w:rsid w:val="00890578"/>
    <w:rsid w:val="008919EF"/>
    <w:rsid w:val="00892B20"/>
    <w:rsid w:val="008931BC"/>
    <w:rsid w:val="0089336B"/>
    <w:rsid w:val="008956F0"/>
    <w:rsid w:val="0089695B"/>
    <w:rsid w:val="00897740"/>
    <w:rsid w:val="008A12EC"/>
    <w:rsid w:val="008A1DF5"/>
    <w:rsid w:val="008B14BE"/>
    <w:rsid w:val="008B19A6"/>
    <w:rsid w:val="008B2D03"/>
    <w:rsid w:val="008B4EFB"/>
    <w:rsid w:val="008B5CD3"/>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3976"/>
    <w:rsid w:val="009040EE"/>
    <w:rsid w:val="009057FD"/>
    <w:rsid w:val="00906FBA"/>
    <w:rsid w:val="009163E8"/>
    <w:rsid w:val="00916EA4"/>
    <w:rsid w:val="009178C6"/>
    <w:rsid w:val="00921BD3"/>
    <w:rsid w:val="009228C7"/>
    <w:rsid w:val="00922A7F"/>
    <w:rsid w:val="00923A5E"/>
    <w:rsid w:val="00924FE7"/>
    <w:rsid w:val="00926E27"/>
    <w:rsid w:val="00931C8C"/>
    <w:rsid w:val="0093271F"/>
    <w:rsid w:val="00932DC9"/>
    <w:rsid w:val="009430BF"/>
    <w:rsid w:val="00943CD1"/>
    <w:rsid w:val="00943D21"/>
    <w:rsid w:val="00944326"/>
    <w:rsid w:val="0094504B"/>
    <w:rsid w:val="0095664B"/>
    <w:rsid w:val="00964A38"/>
    <w:rsid w:val="00966A9D"/>
    <w:rsid w:val="0096742B"/>
    <w:rsid w:val="00967C64"/>
    <w:rsid w:val="00970CD1"/>
    <w:rsid w:val="009718C5"/>
    <w:rsid w:val="00976AFF"/>
    <w:rsid w:val="0097723F"/>
    <w:rsid w:val="009823BE"/>
    <w:rsid w:val="00982E4C"/>
    <w:rsid w:val="009839C1"/>
    <w:rsid w:val="00986AED"/>
    <w:rsid w:val="0098727B"/>
    <w:rsid w:val="00990957"/>
    <w:rsid w:val="009924CF"/>
    <w:rsid w:val="00993130"/>
    <w:rsid w:val="00994100"/>
    <w:rsid w:val="009A04B7"/>
    <w:rsid w:val="009A2304"/>
    <w:rsid w:val="009A439A"/>
    <w:rsid w:val="009A6B17"/>
    <w:rsid w:val="009A7E5C"/>
    <w:rsid w:val="009B052E"/>
    <w:rsid w:val="009B0AE4"/>
    <w:rsid w:val="009B253D"/>
    <w:rsid w:val="009B37D8"/>
    <w:rsid w:val="009B4E00"/>
    <w:rsid w:val="009B4FCF"/>
    <w:rsid w:val="009C4300"/>
    <w:rsid w:val="009D4C29"/>
    <w:rsid w:val="009D523C"/>
    <w:rsid w:val="009E3417"/>
    <w:rsid w:val="009E58E9"/>
    <w:rsid w:val="009E6803"/>
    <w:rsid w:val="009F0FC8"/>
    <w:rsid w:val="009F100D"/>
    <w:rsid w:val="009F6AD2"/>
    <w:rsid w:val="009F7C1B"/>
    <w:rsid w:val="00A005A5"/>
    <w:rsid w:val="00A00B5B"/>
    <w:rsid w:val="00A00D8D"/>
    <w:rsid w:val="00A01BB6"/>
    <w:rsid w:val="00A03E74"/>
    <w:rsid w:val="00A108A7"/>
    <w:rsid w:val="00A15990"/>
    <w:rsid w:val="00A228DA"/>
    <w:rsid w:val="00A22B28"/>
    <w:rsid w:val="00A24B32"/>
    <w:rsid w:val="00A26DC0"/>
    <w:rsid w:val="00A323AA"/>
    <w:rsid w:val="00A3351E"/>
    <w:rsid w:val="00A34672"/>
    <w:rsid w:val="00A34CBE"/>
    <w:rsid w:val="00A36867"/>
    <w:rsid w:val="00A41789"/>
    <w:rsid w:val="00A4303C"/>
    <w:rsid w:val="00A46CAF"/>
    <w:rsid w:val="00A47099"/>
    <w:rsid w:val="00A470FD"/>
    <w:rsid w:val="00A50B5E"/>
    <w:rsid w:val="00A511B9"/>
    <w:rsid w:val="00A52B5D"/>
    <w:rsid w:val="00A571FA"/>
    <w:rsid w:val="00A62DAB"/>
    <w:rsid w:val="00A6757A"/>
    <w:rsid w:val="00A67C42"/>
    <w:rsid w:val="00A726A6"/>
    <w:rsid w:val="00A736E9"/>
    <w:rsid w:val="00A74842"/>
    <w:rsid w:val="00A81440"/>
    <w:rsid w:val="00A818AD"/>
    <w:rsid w:val="00A8269A"/>
    <w:rsid w:val="00A86A50"/>
    <w:rsid w:val="00A916AA"/>
    <w:rsid w:val="00A9178A"/>
    <w:rsid w:val="00A91BAF"/>
    <w:rsid w:val="00A91FCA"/>
    <w:rsid w:val="00A92DEC"/>
    <w:rsid w:val="00A9515B"/>
    <w:rsid w:val="00A97535"/>
    <w:rsid w:val="00AA2BAA"/>
    <w:rsid w:val="00AA3A12"/>
    <w:rsid w:val="00AA6516"/>
    <w:rsid w:val="00AA73E7"/>
    <w:rsid w:val="00AA73F1"/>
    <w:rsid w:val="00AA7E78"/>
    <w:rsid w:val="00AB0E1A"/>
    <w:rsid w:val="00AB1874"/>
    <w:rsid w:val="00AB1A30"/>
    <w:rsid w:val="00AB3C36"/>
    <w:rsid w:val="00AB3D30"/>
    <w:rsid w:val="00AB4F47"/>
    <w:rsid w:val="00AC42D0"/>
    <w:rsid w:val="00AC4B09"/>
    <w:rsid w:val="00AC5A01"/>
    <w:rsid w:val="00AC6449"/>
    <w:rsid w:val="00AD10EB"/>
    <w:rsid w:val="00AD1846"/>
    <w:rsid w:val="00AD1E21"/>
    <w:rsid w:val="00AD1ED3"/>
    <w:rsid w:val="00AD35F4"/>
    <w:rsid w:val="00AD3717"/>
    <w:rsid w:val="00AD7037"/>
    <w:rsid w:val="00AD74F4"/>
    <w:rsid w:val="00AE204F"/>
    <w:rsid w:val="00AE2741"/>
    <w:rsid w:val="00AE3FDF"/>
    <w:rsid w:val="00AE7982"/>
    <w:rsid w:val="00AF37DA"/>
    <w:rsid w:val="00AF5890"/>
    <w:rsid w:val="00B00EF1"/>
    <w:rsid w:val="00B019C1"/>
    <w:rsid w:val="00B02001"/>
    <w:rsid w:val="00B0234D"/>
    <w:rsid w:val="00B03C50"/>
    <w:rsid w:val="00B055D7"/>
    <w:rsid w:val="00B0777D"/>
    <w:rsid w:val="00B07DDF"/>
    <w:rsid w:val="00B11576"/>
    <w:rsid w:val="00B1195F"/>
    <w:rsid w:val="00B139F4"/>
    <w:rsid w:val="00B14D10"/>
    <w:rsid w:val="00B15401"/>
    <w:rsid w:val="00B15F13"/>
    <w:rsid w:val="00B209C7"/>
    <w:rsid w:val="00B22241"/>
    <w:rsid w:val="00B2364B"/>
    <w:rsid w:val="00B26480"/>
    <w:rsid w:val="00B3644F"/>
    <w:rsid w:val="00B36C55"/>
    <w:rsid w:val="00B4057A"/>
    <w:rsid w:val="00B40894"/>
    <w:rsid w:val="00B41039"/>
    <w:rsid w:val="00B415EC"/>
    <w:rsid w:val="00B41F37"/>
    <w:rsid w:val="00B422D8"/>
    <w:rsid w:val="00B42987"/>
    <w:rsid w:val="00B444AE"/>
    <w:rsid w:val="00B45E75"/>
    <w:rsid w:val="00B507B5"/>
    <w:rsid w:val="00B50876"/>
    <w:rsid w:val="00B51074"/>
    <w:rsid w:val="00B52D11"/>
    <w:rsid w:val="00B54DAA"/>
    <w:rsid w:val="00B55192"/>
    <w:rsid w:val="00B552E0"/>
    <w:rsid w:val="00B55AB0"/>
    <w:rsid w:val="00B55EE5"/>
    <w:rsid w:val="00B61D42"/>
    <w:rsid w:val="00B67A43"/>
    <w:rsid w:val="00B67F9F"/>
    <w:rsid w:val="00B71D1F"/>
    <w:rsid w:val="00B72071"/>
    <w:rsid w:val="00B72B25"/>
    <w:rsid w:val="00B72CFF"/>
    <w:rsid w:val="00B73DE6"/>
    <w:rsid w:val="00B761CD"/>
    <w:rsid w:val="00B76B66"/>
    <w:rsid w:val="00B84241"/>
    <w:rsid w:val="00B86EF0"/>
    <w:rsid w:val="00B96969"/>
    <w:rsid w:val="00B97900"/>
    <w:rsid w:val="00BA03BE"/>
    <w:rsid w:val="00BA1229"/>
    <w:rsid w:val="00BA44A8"/>
    <w:rsid w:val="00BA49C5"/>
    <w:rsid w:val="00BA658D"/>
    <w:rsid w:val="00BB0182"/>
    <w:rsid w:val="00BB2F4A"/>
    <w:rsid w:val="00BB4784"/>
    <w:rsid w:val="00BB4AF5"/>
    <w:rsid w:val="00BB637C"/>
    <w:rsid w:val="00BB7788"/>
    <w:rsid w:val="00BC786E"/>
    <w:rsid w:val="00BD5C92"/>
    <w:rsid w:val="00BD645C"/>
    <w:rsid w:val="00BE50E6"/>
    <w:rsid w:val="00BE7A0C"/>
    <w:rsid w:val="00BF0AB6"/>
    <w:rsid w:val="00BF2111"/>
    <w:rsid w:val="00BF2928"/>
    <w:rsid w:val="00BF5D60"/>
    <w:rsid w:val="00BF63DB"/>
    <w:rsid w:val="00BF6691"/>
    <w:rsid w:val="00C028FC"/>
    <w:rsid w:val="00C037F2"/>
    <w:rsid w:val="00C0386D"/>
    <w:rsid w:val="00C049B8"/>
    <w:rsid w:val="00C04ABA"/>
    <w:rsid w:val="00C0602A"/>
    <w:rsid w:val="00C065A1"/>
    <w:rsid w:val="00C06FB1"/>
    <w:rsid w:val="00C10ED5"/>
    <w:rsid w:val="00C12574"/>
    <w:rsid w:val="00C12CB3"/>
    <w:rsid w:val="00C151A6"/>
    <w:rsid w:val="00C24098"/>
    <w:rsid w:val="00C30A4E"/>
    <w:rsid w:val="00C30E9C"/>
    <w:rsid w:val="00C346D3"/>
    <w:rsid w:val="00C3483B"/>
    <w:rsid w:val="00C3641C"/>
    <w:rsid w:val="00C411F3"/>
    <w:rsid w:val="00C44105"/>
    <w:rsid w:val="00C52004"/>
    <w:rsid w:val="00C523EC"/>
    <w:rsid w:val="00C5491C"/>
    <w:rsid w:val="00C55A33"/>
    <w:rsid w:val="00C563A9"/>
    <w:rsid w:val="00C57598"/>
    <w:rsid w:val="00C62191"/>
    <w:rsid w:val="00C62755"/>
    <w:rsid w:val="00C63099"/>
    <w:rsid w:val="00C63EA3"/>
    <w:rsid w:val="00C64B8B"/>
    <w:rsid w:val="00C64D49"/>
    <w:rsid w:val="00C66692"/>
    <w:rsid w:val="00C66849"/>
    <w:rsid w:val="00C673B5"/>
    <w:rsid w:val="00C7063D"/>
    <w:rsid w:val="00C72339"/>
    <w:rsid w:val="00C73B8C"/>
    <w:rsid w:val="00C7403C"/>
    <w:rsid w:val="00C820BC"/>
    <w:rsid w:val="00C82247"/>
    <w:rsid w:val="00C830BC"/>
    <w:rsid w:val="00C8524D"/>
    <w:rsid w:val="00C86637"/>
    <w:rsid w:val="00C90904"/>
    <w:rsid w:val="00C90E90"/>
    <w:rsid w:val="00C91123"/>
    <w:rsid w:val="00C9203C"/>
    <w:rsid w:val="00C94AC9"/>
    <w:rsid w:val="00C96CB0"/>
    <w:rsid w:val="00CA1595"/>
    <w:rsid w:val="00CA21C4"/>
    <w:rsid w:val="00CA2FA2"/>
    <w:rsid w:val="00CA3B1E"/>
    <w:rsid w:val="00CA409B"/>
    <w:rsid w:val="00CA5C68"/>
    <w:rsid w:val="00CA5DBF"/>
    <w:rsid w:val="00CA6CC2"/>
    <w:rsid w:val="00CA71FF"/>
    <w:rsid w:val="00CB178C"/>
    <w:rsid w:val="00CB2393"/>
    <w:rsid w:val="00CB2456"/>
    <w:rsid w:val="00CB5276"/>
    <w:rsid w:val="00CB5BFC"/>
    <w:rsid w:val="00CB6711"/>
    <w:rsid w:val="00CB68D7"/>
    <w:rsid w:val="00CB785B"/>
    <w:rsid w:val="00CC24CC"/>
    <w:rsid w:val="00CC78B8"/>
    <w:rsid w:val="00CC7E68"/>
    <w:rsid w:val="00CD15D5"/>
    <w:rsid w:val="00CD19D5"/>
    <w:rsid w:val="00CD1D32"/>
    <w:rsid w:val="00CD24D6"/>
    <w:rsid w:val="00CD3366"/>
    <w:rsid w:val="00CD3D74"/>
    <w:rsid w:val="00CD7132"/>
    <w:rsid w:val="00CE0E6F"/>
    <w:rsid w:val="00CE36BA"/>
    <w:rsid w:val="00CE3B21"/>
    <w:rsid w:val="00CE56FC"/>
    <w:rsid w:val="00CE7A4D"/>
    <w:rsid w:val="00CF32D2"/>
    <w:rsid w:val="00CF3D02"/>
    <w:rsid w:val="00CF4CFE"/>
    <w:rsid w:val="00D008CA"/>
    <w:rsid w:val="00D00965"/>
    <w:rsid w:val="00D00E8E"/>
    <w:rsid w:val="00D01955"/>
    <w:rsid w:val="00D02E0F"/>
    <w:rsid w:val="00D02F79"/>
    <w:rsid w:val="00D03AEB"/>
    <w:rsid w:val="00D03EE8"/>
    <w:rsid w:val="00D10250"/>
    <w:rsid w:val="00D13535"/>
    <w:rsid w:val="00D14653"/>
    <w:rsid w:val="00D1476E"/>
    <w:rsid w:val="00D15497"/>
    <w:rsid w:val="00D17142"/>
    <w:rsid w:val="00D17B79"/>
    <w:rsid w:val="00D205F5"/>
    <w:rsid w:val="00D21B76"/>
    <w:rsid w:val="00D23FEA"/>
    <w:rsid w:val="00D269CA"/>
    <w:rsid w:val="00D277C9"/>
    <w:rsid w:val="00D30B48"/>
    <w:rsid w:val="00D31633"/>
    <w:rsid w:val="00D3168A"/>
    <w:rsid w:val="00D324D9"/>
    <w:rsid w:val="00D34DFC"/>
    <w:rsid w:val="00D350D1"/>
    <w:rsid w:val="00D46FAA"/>
    <w:rsid w:val="00D47A40"/>
    <w:rsid w:val="00D51D33"/>
    <w:rsid w:val="00D5282A"/>
    <w:rsid w:val="00D5359F"/>
    <w:rsid w:val="00D56000"/>
    <w:rsid w:val="00D57132"/>
    <w:rsid w:val="00D57BB2"/>
    <w:rsid w:val="00D57E57"/>
    <w:rsid w:val="00D611DF"/>
    <w:rsid w:val="00D65405"/>
    <w:rsid w:val="00D70752"/>
    <w:rsid w:val="00D80E2D"/>
    <w:rsid w:val="00D824A6"/>
    <w:rsid w:val="00D827AD"/>
    <w:rsid w:val="00D83F9D"/>
    <w:rsid w:val="00D84D5E"/>
    <w:rsid w:val="00D8560E"/>
    <w:rsid w:val="00D8758F"/>
    <w:rsid w:val="00D9358A"/>
    <w:rsid w:val="00D97AE8"/>
    <w:rsid w:val="00D97D18"/>
    <w:rsid w:val="00D97E2F"/>
    <w:rsid w:val="00DA0BCA"/>
    <w:rsid w:val="00DA4EDD"/>
    <w:rsid w:val="00DA6B78"/>
    <w:rsid w:val="00DB0671"/>
    <w:rsid w:val="00DB122B"/>
    <w:rsid w:val="00DC1D94"/>
    <w:rsid w:val="00DC25B9"/>
    <w:rsid w:val="00DC42CF"/>
    <w:rsid w:val="00DC4D2A"/>
    <w:rsid w:val="00DC60C3"/>
    <w:rsid w:val="00DC6191"/>
    <w:rsid w:val="00DC738A"/>
    <w:rsid w:val="00DC77A2"/>
    <w:rsid w:val="00DC7E55"/>
    <w:rsid w:val="00DD382A"/>
    <w:rsid w:val="00DD592E"/>
    <w:rsid w:val="00DE057F"/>
    <w:rsid w:val="00DE196C"/>
    <w:rsid w:val="00DE2082"/>
    <w:rsid w:val="00DE2289"/>
    <w:rsid w:val="00DE4346"/>
    <w:rsid w:val="00DE499C"/>
    <w:rsid w:val="00DE69DB"/>
    <w:rsid w:val="00DF09A7"/>
    <w:rsid w:val="00DF0DE8"/>
    <w:rsid w:val="00DF19B6"/>
    <w:rsid w:val="00DF2B51"/>
    <w:rsid w:val="00E001D6"/>
    <w:rsid w:val="00E00897"/>
    <w:rsid w:val="00E03A76"/>
    <w:rsid w:val="00E04410"/>
    <w:rsid w:val="00E07484"/>
    <w:rsid w:val="00E11351"/>
    <w:rsid w:val="00E114ED"/>
    <w:rsid w:val="00E17915"/>
    <w:rsid w:val="00E2149E"/>
    <w:rsid w:val="00E33F44"/>
    <w:rsid w:val="00E37D48"/>
    <w:rsid w:val="00E4225C"/>
    <w:rsid w:val="00E4441E"/>
    <w:rsid w:val="00E44879"/>
    <w:rsid w:val="00E50E1B"/>
    <w:rsid w:val="00E56321"/>
    <w:rsid w:val="00E57073"/>
    <w:rsid w:val="00E61530"/>
    <w:rsid w:val="00E61C1B"/>
    <w:rsid w:val="00E64067"/>
    <w:rsid w:val="00E72914"/>
    <w:rsid w:val="00E75AE0"/>
    <w:rsid w:val="00E76B61"/>
    <w:rsid w:val="00E77B42"/>
    <w:rsid w:val="00E82E69"/>
    <w:rsid w:val="00E831AB"/>
    <w:rsid w:val="00E8325F"/>
    <w:rsid w:val="00E83C1F"/>
    <w:rsid w:val="00E85684"/>
    <w:rsid w:val="00E86008"/>
    <w:rsid w:val="00E868F8"/>
    <w:rsid w:val="00E8794B"/>
    <w:rsid w:val="00E9339E"/>
    <w:rsid w:val="00E9733A"/>
    <w:rsid w:val="00E97656"/>
    <w:rsid w:val="00EA004A"/>
    <w:rsid w:val="00EA172C"/>
    <w:rsid w:val="00EA259B"/>
    <w:rsid w:val="00EA35A3"/>
    <w:rsid w:val="00EA3E6A"/>
    <w:rsid w:val="00EA5C11"/>
    <w:rsid w:val="00EA69CF"/>
    <w:rsid w:val="00EA7200"/>
    <w:rsid w:val="00EB0B22"/>
    <w:rsid w:val="00EB18EF"/>
    <w:rsid w:val="00EB2D66"/>
    <w:rsid w:val="00EB47A7"/>
    <w:rsid w:val="00EB58F4"/>
    <w:rsid w:val="00EB7951"/>
    <w:rsid w:val="00ED484F"/>
    <w:rsid w:val="00ED653B"/>
    <w:rsid w:val="00ED6A79"/>
    <w:rsid w:val="00ED6BDA"/>
    <w:rsid w:val="00EE17DF"/>
    <w:rsid w:val="00EE5B6F"/>
    <w:rsid w:val="00EF1482"/>
    <w:rsid w:val="00EF4621"/>
    <w:rsid w:val="00EF4D52"/>
    <w:rsid w:val="00EF551E"/>
    <w:rsid w:val="00EF6312"/>
    <w:rsid w:val="00F00C4B"/>
    <w:rsid w:val="00F038B0"/>
    <w:rsid w:val="00F04F34"/>
    <w:rsid w:val="00F05F34"/>
    <w:rsid w:val="00F06121"/>
    <w:rsid w:val="00F138AA"/>
    <w:rsid w:val="00F22B27"/>
    <w:rsid w:val="00F22D13"/>
    <w:rsid w:val="00F234A7"/>
    <w:rsid w:val="00F26545"/>
    <w:rsid w:val="00F277B6"/>
    <w:rsid w:val="00F27DA5"/>
    <w:rsid w:val="00F3433D"/>
    <w:rsid w:val="00F343C0"/>
    <w:rsid w:val="00F37E07"/>
    <w:rsid w:val="00F4182A"/>
    <w:rsid w:val="00F43226"/>
    <w:rsid w:val="00F43B73"/>
    <w:rsid w:val="00F449C6"/>
    <w:rsid w:val="00F464ED"/>
    <w:rsid w:val="00F47512"/>
    <w:rsid w:val="00F54380"/>
    <w:rsid w:val="00F54B47"/>
    <w:rsid w:val="00F5538C"/>
    <w:rsid w:val="00F5558F"/>
    <w:rsid w:val="00F61247"/>
    <w:rsid w:val="00F616FA"/>
    <w:rsid w:val="00F61730"/>
    <w:rsid w:val="00F61827"/>
    <w:rsid w:val="00F61F61"/>
    <w:rsid w:val="00F63191"/>
    <w:rsid w:val="00F63920"/>
    <w:rsid w:val="00F6702E"/>
    <w:rsid w:val="00F70E84"/>
    <w:rsid w:val="00F8046F"/>
    <w:rsid w:val="00F80685"/>
    <w:rsid w:val="00F81877"/>
    <w:rsid w:val="00F90D09"/>
    <w:rsid w:val="00F9408F"/>
    <w:rsid w:val="00F94968"/>
    <w:rsid w:val="00FA092B"/>
    <w:rsid w:val="00FA4F6C"/>
    <w:rsid w:val="00FA5F21"/>
    <w:rsid w:val="00FA6EFD"/>
    <w:rsid w:val="00FB18E2"/>
    <w:rsid w:val="00FB2A8E"/>
    <w:rsid w:val="00FB2E21"/>
    <w:rsid w:val="00FB3791"/>
    <w:rsid w:val="00FB57E2"/>
    <w:rsid w:val="00FB6780"/>
    <w:rsid w:val="00FB74EA"/>
    <w:rsid w:val="00FC1262"/>
    <w:rsid w:val="00FC45DC"/>
    <w:rsid w:val="00FC684A"/>
    <w:rsid w:val="00FD0ADB"/>
    <w:rsid w:val="00FD0B58"/>
    <w:rsid w:val="00FD1424"/>
    <w:rsid w:val="00FD2C9E"/>
    <w:rsid w:val="00FD334A"/>
    <w:rsid w:val="00FD4786"/>
    <w:rsid w:val="00FD616C"/>
    <w:rsid w:val="00FE2E0C"/>
    <w:rsid w:val="00FE45B8"/>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156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7619B9"/>
    <w:pPr>
      <w:autoSpaceDE w:val="0"/>
      <w:autoSpaceDN w:val="0"/>
      <w:adjustRightInd w:val="0"/>
      <w:ind w:left="720"/>
    </w:pPr>
    <w:rPr>
      <w:sz w:val="24"/>
      <w:szCs w:val="24"/>
    </w:rPr>
  </w:style>
  <w:style w:type="paragraph" w:customStyle="1" w:styleId="Level2">
    <w:name w:val="Level 2"/>
    <w:rsid w:val="007619B9"/>
    <w:pPr>
      <w:autoSpaceDE w:val="0"/>
      <w:autoSpaceDN w:val="0"/>
      <w:adjustRightInd w:val="0"/>
      <w:ind w:left="1440"/>
    </w:pPr>
    <w:rPr>
      <w:sz w:val="24"/>
      <w:szCs w:val="24"/>
    </w:rPr>
  </w:style>
  <w:style w:type="character" w:styleId="Hyperlink">
    <w:name w:val="Hyperlink"/>
    <w:uiPriority w:val="99"/>
    <w:unhideWhenUsed/>
    <w:rsid w:val="007619B9"/>
    <w:rPr>
      <w:color w:val="0000FF"/>
      <w:u w:val="single"/>
    </w:rPr>
  </w:style>
  <w:style w:type="paragraph" w:styleId="ListParagraph">
    <w:name w:val="List Paragraph"/>
    <w:basedOn w:val="Normal"/>
    <w:uiPriority w:val="34"/>
    <w:qFormat/>
    <w:rsid w:val="007619B9"/>
    <w:pPr>
      <w:ind w:left="720"/>
      <w:contextualSpacing/>
    </w:pPr>
  </w:style>
  <w:style w:type="character" w:styleId="FollowedHyperlink">
    <w:name w:val="FollowedHyperlink"/>
    <w:basedOn w:val="DefaultParagraphFont"/>
    <w:semiHidden/>
    <w:unhideWhenUsed/>
    <w:rsid w:val="00B00EF1"/>
    <w:rPr>
      <w:color w:val="800080" w:themeColor="followedHyperlink"/>
      <w:u w:val="single"/>
    </w:rPr>
  </w:style>
  <w:style w:type="paragraph" w:styleId="BalloonText">
    <w:name w:val="Balloon Text"/>
    <w:basedOn w:val="Normal"/>
    <w:link w:val="BalloonTextChar"/>
    <w:semiHidden/>
    <w:unhideWhenUsed/>
    <w:rsid w:val="007F589D"/>
    <w:rPr>
      <w:rFonts w:ascii="Segoe UI" w:hAnsi="Segoe UI" w:cs="Segoe UI"/>
      <w:sz w:val="18"/>
      <w:szCs w:val="18"/>
    </w:rPr>
  </w:style>
  <w:style w:type="character" w:customStyle="1" w:styleId="BalloonTextChar">
    <w:name w:val="Balloon Text Char"/>
    <w:basedOn w:val="DefaultParagraphFont"/>
    <w:link w:val="BalloonText"/>
    <w:semiHidden/>
    <w:rsid w:val="007F58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211756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iscovery-gcl@psc.state.fl.us" TargetMode="External"/><Relationship Id="rId4" Type="http://schemas.openxmlformats.org/officeDocument/2006/relationships/settings" Target="settings.xml"/><Relationship Id="rId9" Type="http://schemas.openxmlformats.org/officeDocument/2006/relationships/hyperlink" Target="mailto:discovery-gcl@psc.state.fl.u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B5D28-9DDF-4BE6-BA93-9A95CC84D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15</Pages>
  <Words>5334</Words>
  <Characters>30404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2026-02-06T14:04:00Z</dcterms:created>
  <dcterms:modified xsi:type="dcterms:W3CDTF">2026-02-06T14:17:00Z</dcterms:modified>
</cp:coreProperties>
</file>