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7678C" w14:textId="77777777" w:rsidR="001901C7" w:rsidRDefault="001901C7" w:rsidP="001901C7">
      <w:pPr>
        <w:pStyle w:val="OrderHeading"/>
      </w:pPr>
      <w:r>
        <w:t>BEFORE THE FLORIDA PUBLIC SERVICE COMMISSION</w:t>
      </w:r>
    </w:p>
    <w:p w14:paraId="3F9C1BBC" w14:textId="77777777" w:rsidR="001901C7" w:rsidRDefault="001901C7" w:rsidP="001901C7">
      <w:pPr>
        <w:pStyle w:val="OrderBody"/>
      </w:pPr>
    </w:p>
    <w:p w14:paraId="62E0C5C6" w14:textId="77777777" w:rsidR="001901C7" w:rsidRDefault="001901C7" w:rsidP="001901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01C7" w:rsidRPr="00C63FCF" w14:paraId="4AED6696" w14:textId="77777777" w:rsidTr="00874424">
        <w:trPr>
          <w:trHeight w:val="828"/>
        </w:trPr>
        <w:tc>
          <w:tcPr>
            <w:tcW w:w="4788" w:type="dxa"/>
            <w:tcBorders>
              <w:bottom w:val="single" w:sz="8" w:space="0" w:color="auto"/>
              <w:right w:val="double" w:sz="6" w:space="0" w:color="auto"/>
            </w:tcBorders>
            <w:shd w:val="clear" w:color="auto" w:fill="auto"/>
          </w:tcPr>
          <w:p w14:paraId="64102BE6" w14:textId="77777777" w:rsidR="001901C7" w:rsidRDefault="001901C7" w:rsidP="00874424">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5B70F0C4" w14:textId="77777777" w:rsidR="001901C7" w:rsidRDefault="001901C7" w:rsidP="001901C7">
            <w:pPr>
              <w:pStyle w:val="OrderBody"/>
            </w:pPr>
            <w:r>
              <w:t xml:space="preserve">DOCKET NO. </w:t>
            </w:r>
            <w:bookmarkStart w:id="1" w:name="SSDocketNo"/>
            <w:bookmarkEnd w:id="1"/>
            <w:r>
              <w:t>20260001-EI</w:t>
            </w:r>
          </w:p>
          <w:p w14:paraId="16D183B8" w14:textId="66CC453B" w:rsidR="001901C7" w:rsidRDefault="001901C7" w:rsidP="00874424">
            <w:pPr>
              <w:pStyle w:val="OrderBody"/>
              <w:tabs>
                <w:tab w:val="center" w:pos="4320"/>
                <w:tab w:val="right" w:pos="8640"/>
              </w:tabs>
              <w:jc w:val="left"/>
            </w:pPr>
            <w:r>
              <w:t xml:space="preserve">ORDER NO. </w:t>
            </w:r>
            <w:bookmarkStart w:id="2" w:name="OrderNo0037"/>
            <w:r w:rsidR="001700CC">
              <w:t>PSC-2026-0037-PCO-EI</w:t>
            </w:r>
            <w:bookmarkEnd w:id="2"/>
          </w:p>
          <w:p w14:paraId="7EB6EEA0" w14:textId="1DF83278" w:rsidR="001901C7" w:rsidRDefault="001901C7" w:rsidP="00874424">
            <w:pPr>
              <w:pStyle w:val="OrderBody"/>
              <w:tabs>
                <w:tab w:val="center" w:pos="4320"/>
                <w:tab w:val="right" w:pos="8640"/>
              </w:tabs>
              <w:jc w:val="left"/>
            </w:pPr>
            <w:r>
              <w:t xml:space="preserve">ISSUED: </w:t>
            </w:r>
            <w:r w:rsidR="001700CC">
              <w:t>February 6, 2026</w:t>
            </w:r>
          </w:p>
        </w:tc>
      </w:tr>
    </w:tbl>
    <w:p w14:paraId="10856914" w14:textId="77777777" w:rsidR="001901C7" w:rsidRDefault="001901C7" w:rsidP="001901C7"/>
    <w:p w14:paraId="1353BCC6" w14:textId="77777777" w:rsidR="00CB5276" w:rsidRDefault="001901C7" w:rsidP="001901C7">
      <w:pPr>
        <w:pStyle w:val="CenterUnderline"/>
      </w:pPr>
      <w:bookmarkStart w:id="3" w:name="Commissioners"/>
      <w:bookmarkEnd w:id="3"/>
      <w:r>
        <w:t>ORDER</w:t>
      </w:r>
      <w:bookmarkStart w:id="4" w:name="OrderTitle"/>
      <w:r>
        <w:t xml:space="preserve"> </w:t>
      </w:r>
      <w:r w:rsidR="00493A92">
        <w:t>ESTABLISHING PROCEDURE</w:t>
      </w:r>
      <w:r>
        <w:t xml:space="preserve"> </w:t>
      </w:r>
      <w:bookmarkEnd w:id="4"/>
    </w:p>
    <w:p w14:paraId="0E7DC183" w14:textId="77777777" w:rsidR="001901C7" w:rsidRDefault="001901C7" w:rsidP="001901C7">
      <w:pPr>
        <w:pStyle w:val="CenterUnderline"/>
      </w:pPr>
    </w:p>
    <w:p w14:paraId="7BC7EF46"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493A92">
        <w:rPr>
          <w:b/>
          <w:bCs/>
        </w:rPr>
        <w:t>I.</w:t>
      </w:r>
      <w:r w:rsidRPr="00493A92">
        <w:rPr>
          <w:b/>
          <w:bCs/>
        </w:rPr>
        <w:tab/>
      </w:r>
      <w:r w:rsidRPr="00493A92">
        <w:rPr>
          <w:b/>
          <w:bCs/>
          <w:u w:val="single"/>
        </w:rPr>
        <w:t>Case Background</w:t>
      </w:r>
    </w:p>
    <w:p w14:paraId="40334073"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93C4489" w14:textId="19C25A48"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r>
      <w:r w:rsidR="007912F4" w:rsidRPr="007912F4">
        <w:t>As part of the Florida Public Service Commission’s (Commission) continuing fuel and purchased power cost recovery clause and generating performance incentive factor proceedings, the Commission has set a hearing in this docket f</w:t>
      </w:r>
      <w:r w:rsidR="007912F4" w:rsidRPr="004A1707">
        <w:t>or November 3-6, 2026. This Or</w:t>
      </w:r>
      <w:r w:rsidR="007912F4" w:rsidRPr="007912F4">
        <w:t>der sets forth the procedural requirements for all parties to this docket. Jurisdiction over these matters is vested in the Commission through several provisions of Chapter 366, Florida Statutes (F.S.), including Sections 366.04, 366.05, and 366.06, F.S.</w:t>
      </w:r>
    </w:p>
    <w:p w14:paraId="681DFD8E"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951CDB"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3080E975"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5C88F68F"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rPr>
          <w:b/>
          <w:bCs/>
        </w:rPr>
        <w:t>II.</w:t>
      </w:r>
      <w:r w:rsidRPr="00493A92">
        <w:rPr>
          <w:b/>
          <w:bCs/>
        </w:rPr>
        <w:tab/>
      </w:r>
      <w:r w:rsidRPr="00493A92">
        <w:rPr>
          <w:b/>
          <w:bCs/>
          <w:u w:val="single"/>
        </w:rPr>
        <w:t>General Filing Procedures</w:t>
      </w:r>
    </w:p>
    <w:p w14:paraId="0D67A99D"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E2A175" w14:textId="6F2F213B"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Filings pertaining to this docket must comply with Rule 28-106.104, F.A.C.</w:t>
      </w:r>
      <w:r w:rsidR="00D87ADC">
        <w:t xml:space="preserve"> </w:t>
      </w:r>
      <w:r w:rsidRPr="00493A92">
        <w:t xml:space="preserve">Filing may be accomplished electronically as provided in the Commission’s Statement of Agency Organization and Operation and the E-Filing Requirements link, posted on our website, </w:t>
      </w:r>
      <w:hyperlink r:id="rId8" w:history="1">
        <w:r w:rsidRPr="00493A92">
          <w:rPr>
            <w:color w:val="0000FF"/>
            <w:u w:val="single"/>
          </w:rPr>
          <w:t>www.floridapsc.com</w:t>
        </w:r>
      </w:hyperlink>
      <w:r w:rsidRPr="00493A92">
        <w:t>.</w:t>
      </w:r>
      <w:r w:rsidR="00D87ADC">
        <w:t xml:space="preserve"> </w:t>
      </w:r>
      <w:r w:rsidRPr="00493A92">
        <w:t>If filing via mail, hand delivery, or courier service, the filing should be</w:t>
      </w:r>
      <w:r w:rsidR="00D87ADC">
        <w:t xml:space="preserve"> </w:t>
      </w:r>
      <w:r w:rsidRPr="00493A92">
        <w:t>addressed to:</w:t>
      </w:r>
    </w:p>
    <w:p w14:paraId="7D58F2E5"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6B42E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Office of Commission Clerk </w:t>
      </w:r>
    </w:p>
    <w:p w14:paraId="25F1D682"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Florida Public Service Commission</w:t>
      </w:r>
    </w:p>
    <w:p w14:paraId="49BEFD1D"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2540 Shumard Oak Boulevard</w:t>
      </w:r>
    </w:p>
    <w:p w14:paraId="3F010ABE" w14:textId="709F0DBE"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Tallahassee, Florida</w:t>
      </w:r>
      <w:r w:rsidR="00D87ADC">
        <w:t xml:space="preserve"> </w:t>
      </w:r>
      <w:r w:rsidRPr="00493A92">
        <w:t>32399-0850</w:t>
      </w:r>
    </w:p>
    <w:p w14:paraId="2605E042"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791785" w14:textId="734C2F82"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The Commission strongly encourages electronic filing, which is available from the Commission’s Home Page under the Clerk’s Office menu and Electronic Filing web form.</w:t>
      </w:r>
      <w:r w:rsidR="00D87ADC">
        <w:t xml:space="preserve"> </w:t>
      </w:r>
      <w:r w:rsidRPr="00493A92">
        <w:t>The filing party is responsible for ensuring that no information protected by privacy or confidentiality laws is contained in any electronic document.</w:t>
      </w:r>
      <w:r w:rsidR="00D87ADC">
        <w:t xml:space="preserve"> </w:t>
      </w:r>
      <w:r w:rsidRPr="00493A92">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22883777" w14:textId="5A5C06FA" w:rsidR="00C40239" w:rsidRDefault="00C40239">
      <w:r>
        <w:br w:type="page"/>
      </w:r>
    </w:p>
    <w:p w14:paraId="5EC48427"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rPr>
          <w:b/>
        </w:rPr>
        <w:lastRenderedPageBreak/>
        <w:t>I</w:t>
      </w:r>
      <w:r w:rsidR="00E74BB4">
        <w:rPr>
          <w:b/>
        </w:rPr>
        <w:t>II</w:t>
      </w:r>
      <w:r w:rsidRPr="00493A92">
        <w:rPr>
          <w:b/>
        </w:rPr>
        <w:t>.</w:t>
      </w:r>
      <w:r w:rsidRPr="00493A92">
        <w:rPr>
          <w:b/>
        </w:rPr>
        <w:tab/>
      </w:r>
      <w:r w:rsidRPr="00493A92">
        <w:rPr>
          <w:b/>
          <w:u w:val="single"/>
        </w:rPr>
        <w:t>Tentative List of Issues</w:t>
      </w:r>
    </w:p>
    <w:p w14:paraId="340EC7A7"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360E1255" w14:textId="4A52CEB3"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A list of the issues identified thus far in this proceeding is attached hereto as </w:t>
      </w:r>
      <w:r w:rsidR="00C40239">
        <w:t>Attachment A.</w:t>
      </w:r>
      <w:r w:rsidRPr="00493A92">
        <w:t xml:space="preserve"> The scope of this proceeding will be based upon these issues as well as other issues raised by the parties up to and during the Prehearing Conference, unless modified by the Commission.</w:t>
      </w:r>
    </w:p>
    <w:p w14:paraId="54E2175A"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00A6B4AF" w14:textId="77777777" w:rsidR="00493A92" w:rsidRPr="00493A92" w:rsidRDefault="00E74BB4"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493A92" w:rsidRPr="00493A92">
        <w:rPr>
          <w:b/>
        </w:rPr>
        <w:t>V.</w:t>
      </w:r>
      <w:r w:rsidR="00493A92" w:rsidRPr="00493A92">
        <w:rPr>
          <w:b/>
        </w:rPr>
        <w:tab/>
      </w:r>
      <w:r w:rsidR="00493A92" w:rsidRPr="00493A92">
        <w:rPr>
          <w:b/>
          <w:u w:val="single"/>
        </w:rPr>
        <w:t>Prefiled Testimony and Exhibits</w:t>
      </w:r>
    </w:p>
    <w:p w14:paraId="166E610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8C75DA" w14:textId="16AB8B3D" w:rsid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Each party </w:t>
      </w:r>
      <w:r w:rsidRPr="00D87ADC">
        <w:t>shall file all testimony and exhibits that it intends to sponsor, pursuant to the schedule set forth in Section</w:t>
      </w:r>
      <w:r w:rsidR="000E39A2" w:rsidRPr="00D87ADC">
        <w:t xml:space="preserve"> IX </w:t>
      </w:r>
      <w:r w:rsidRPr="00D87ADC">
        <w:t>of this Order. Testimony and exhibits may be filed electronically. If filing electronically, each set of testimony and accompanying exhibits must be saved as distinct and separate electronic fil</w:t>
      </w:r>
      <w:r w:rsidRPr="00493A92">
        <w:t>es; multiple sets of testimony and exhibits combined in a single electronic file are not acceptable. If filing paper copies, an original and 15 copies of all testimony and exhibits shall be filed with the Office of Commission Clerk</w:t>
      </w:r>
      <w:r w:rsidR="00C40239">
        <w:t xml:space="preserve"> by 5:00 p.m. on the date due. </w:t>
      </w:r>
      <w:r w:rsidRPr="00493A92">
        <w:t>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14:paraId="4E095403" w14:textId="73E4CFD2" w:rsidR="00C40239" w:rsidRDefault="00C40239"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05B11D" w14:textId="7136FD14" w:rsidR="00C40239" w:rsidRPr="00493A92" w:rsidRDefault="00C40239"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actual/estimated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14:paraId="5E91EF4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95F032" w14:textId="3AF98B1E"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Parties may use exhibits in their native Excel format for demonstrative purposes; however, any exhibits created in Excel that a party seeks to admit into the record must be converted to Adobe </w:t>
      </w:r>
      <w:r w:rsidR="004B7DB2">
        <w:t>P</w:t>
      </w:r>
      <w:r w:rsidRPr="00493A92">
        <w:t xml:space="preserve">ortable </w:t>
      </w:r>
      <w:r w:rsidR="004B7DB2">
        <w:t>D</w:t>
      </w:r>
      <w:r w:rsidRPr="00493A92">
        <w:t xml:space="preserve">ocument </w:t>
      </w:r>
      <w:r w:rsidR="004B7DB2">
        <w:t>F</w:t>
      </w:r>
      <w:r w:rsidRPr="00493A92">
        <w:t>ormat (</w:t>
      </w:r>
      <w:r w:rsidR="004B7DB2">
        <w:t>PDF</w:t>
      </w:r>
      <w:r w:rsidRPr="00493A92">
        <w:t>) and provided to the Commission as a separate electronic file.</w:t>
      </w:r>
    </w:p>
    <w:p w14:paraId="562C6529"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31BC2D" w14:textId="2BFBCE7B"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The dimensions of each page of testimony shall be 8 ½ x 11 inches.</w:t>
      </w:r>
      <w:r w:rsidR="00D87ADC">
        <w:t xml:space="preserve"> </w:t>
      </w:r>
      <w:r w:rsidRPr="00493A92">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0F0CBB81"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681FD55"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ab/>
        <w:t>Each exhibit sponsored by a witness in support of his or her prefiled testimony shall be:</w:t>
      </w:r>
    </w:p>
    <w:p w14:paraId="73E09A4C"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A8C41BC" w14:textId="77777777" w:rsidR="00493A92" w:rsidRPr="00493A92" w:rsidRDefault="00493A92" w:rsidP="00493A9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Attached to that witness’s testimony when filed;</w:t>
      </w:r>
    </w:p>
    <w:p w14:paraId="41C280F8" w14:textId="77777777" w:rsidR="00493A92" w:rsidRPr="00493A92" w:rsidRDefault="00493A92" w:rsidP="00493A9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If filing paper copies, on three-holed paper, unbound, and without tabs;</w:t>
      </w:r>
    </w:p>
    <w:p w14:paraId="5DDA825C" w14:textId="77777777" w:rsidR="00493A92" w:rsidRPr="00493A92" w:rsidRDefault="00493A92" w:rsidP="00493A9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Sequentially numbered beginning with 1 (any exhibits attached to subsequently filed testimony of the same witness shall continue the sequential numbering system);</w:t>
      </w:r>
    </w:p>
    <w:p w14:paraId="22C7DC37" w14:textId="77777777" w:rsidR="00493A92" w:rsidRPr="00493A92" w:rsidRDefault="00493A92" w:rsidP="00493A9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lastRenderedPageBreak/>
        <w:t>Identified in the upper right-hand corner of each page by the docket number, a brief title, and the witness’s initials followed by the exhibit’s number; and</w:t>
      </w:r>
    </w:p>
    <w:p w14:paraId="6857E6D2" w14:textId="77777777" w:rsidR="00493A92" w:rsidRPr="00493A92" w:rsidRDefault="00493A92" w:rsidP="00493A9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Paginated by showing in the upper right-hand corner of each page the page number followed by the total number of pages in the exhibit.</w:t>
      </w:r>
    </w:p>
    <w:p w14:paraId="0F3EF303"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CFD8311"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ab/>
        <w:t>An example of the information to appear in the upper right-hand corner of the exhibit is as follows:</w:t>
      </w:r>
    </w:p>
    <w:p w14:paraId="249A203C"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D3576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93A92">
        <w:tab/>
      </w:r>
      <w:r w:rsidRPr="00493A92">
        <w:tab/>
        <w:t>Docket No. 20012345-EI</w:t>
      </w:r>
    </w:p>
    <w:p w14:paraId="11CD7180"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93A92">
        <w:tab/>
      </w:r>
      <w:r w:rsidRPr="00493A92">
        <w:tab/>
        <w:t>Foreign Coal Shipments to Port of Tampa</w:t>
      </w:r>
    </w:p>
    <w:p w14:paraId="1187F5D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93A92">
        <w:tab/>
      </w:r>
      <w:r w:rsidRPr="00493A92">
        <w:tab/>
        <w:t>Exhibit BLW-1, Page 1 of 2</w:t>
      </w:r>
    </w:p>
    <w:p w14:paraId="27F03299"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4D1CF1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After an opportunity for opposing parties to object to introduction of the exhibits and to cross-examine the witness sponsoring them, exhibits may be offered into evidence at the hearing.</w:t>
      </w:r>
    </w:p>
    <w:p w14:paraId="4003092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8264B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rPr>
          <w:b/>
        </w:rPr>
        <w:t>V.</w:t>
      </w:r>
      <w:r w:rsidRPr="00493A92">
        <w:rPr>
          <w:b/>
        </w:rPr>
        <w:tab/>
      </w:r>
      <w:r w:rsidRPr="00493A92">
        <w:rPr>
          <w:b/>
          <w:u w:val="single"/>
        </w:rPr>
        <w:t>Discovery Procedures</w:t>
      </w:r>
    </w:p>
    <w:p w14:paraId="585FD5D7"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9B8CDE"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A.</w:t>
      </w:r>
      <w:r w:rsidRPr="00493A92">
        <w:tab/>
      </w:r>
      <w:r w:rsidRPr="00493A92">
        <w:rPr>
          <w:u w:val="single"/>
        </w:rPr>
        <w:t>General Requirements</w:t>
      </w:r>
    </w:p>
    <w:p w14:paraId="3D7812D7"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77950D" w14:textId="3B3F0A9E"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Discovery shall be conducted in accordance with the provisions </w:t>
      </w:r>
      <w:r w:rsidR="004B7DB2">
        <w:t>of Chapter 120, F.</w:t>
      </w:r>
      <w:r w:rsidRPr="00493A92">
        <w:t>S., the relevant provisions of Chapter</w:t>
      </w:r>
      <w:r w:rsidR="00E74BB4">
        <w:t xml:space="preserve"> 366, F.S.,</w:t>
      </w:r>
      <w:r w:rsidRPr="00493A92">
        <w:t xml:space="preserve"> Rules 25-22, 25-40, and 28-106, F.A.C., and the</w:t>
      </w:r>
      <w:r w:rsidR="00E74BB4">
        <w:t xml:space="preserve"> applicable</w:t>
      </w:r>
      <w:r w:rsidRPr="00493A92">
        <w:t xml:space="preserve"> Florida Rules of Civil Procedure </w:t>
      </w:r>
      <w:r w:rsidRPr="00555CF6">
        <w:t>(as amended January 1, 202</w:t>
      </w:r>
      <w:r w:rsidR="00555CF6">
        <w:t>6</w:t>
      </w:r>
      <w:r w:rsidRPr="00555CF6">
        <w:t>)</w:t>
      </w:r>
      <w:r w:rsidRPr="00493A92">
        <w:t>, as modified herein or as may be subsequently modified by the Prehearing Officer. Unless otherwise ordered, Florida Rule of Civil Procedure 1.280(a) (Initial Discovery Disclosure) shall not apply to this proceeding.</w:t>
      </w:r>
    </w:p>
    <w:p w14:paraId="009DF07D" w14:textId="77777777" w:rsidR="00493A92" w:rsidRPr="00493A92" w:rsidRDefault="00493A92" w:rsidP="00493A92">
      <w:pPr>
        <w:jc w:val="both"/>
        <w:rPr>
          <w:rFonts w:cs="Courier New"/>
        </w:rPr>
      </w:pPr>
    </w:p>
    <w:p w14:paraId="461F99F1"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Unless subsequently modified by the Prehearing Officer, the following shall apply:</w:t>
      </w:r>
    </w:p>
    <w:p w14:paraId="456184AC"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2BA2C9" w14:textId="77777777" w:rsidR="00493A92" w:rsidRPr="00493A92" w:rsidRDefault="00493A92" w:rsidP="00493A92">
      <w:pPr>
        <w:spacing w:line="2" w:lineRule="exact"/>
        <w:jc w:val="both"/>
      </w:pPr>
    </w:p>
    <w:p w14:paraId="2A10CCDE" w14:textId="7CCB70A9" w:rsidR="00493A92" w:rsidRPr="00493A92"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Discovery shall be completed by</w:t>
      </w:r>
      <w:r w:rsidR="009447B7">
        <w:t xml:space="preserve"> O</w:t>
      </w:r>
      <w:r w:rsidR="004D766C">
        <w:t>ctober 14</w:t>
      </w:r>
      <w:r w:rsidR="009447B7">
        <w:t>, 2026.</w:t>
      </w:r>
    </w:p>
    <w:p w14:paraId="61901DF0" w14:textId="6104C329" w:rsidR="00493A92" w:rsidRPr="00493A92"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Discovery requests and responses shall be served by e-mail, hand delivery, or overnight mail, and electronic se</w:t>
      </w:r>
      <w:r w:rsidR="004D766C">
        <w:t xml:space="preserve">rvice is encouraged. </w:t>
      </w:r>
      <w:r w:rsidRPr="00493A92">
        <w:t xml:space="preserve">Discovery served via e-mail shall be limited to 5 MB per attachment, shall indicate how many e-mails are being sent related to the discovery (such as 1 of 6 e-mails), and </w:t>
      </w:r>
      <w:r w:rsidR="004D766C">
        <w:t>shall be numbered sequentially.</w:t>
      </w:r>
      <w:r w:rsidRPr="00493A92">
        <w:t xml:space="preserve"> Documents provided in response to a document request may be provided via flash or external drive if not served electronically.</w:t>
      </w:r>
    </w:p>
    <w:p w14:paraId="70D9705A" w14:textId="77777777" w:rsidR="00493A92" w:rsidRPr="00493A92"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Each electronic discovery response shall be given a separate electronic file name that is no longer than 60 characters.</w:t>
      </w:r>
    </w:p>
    <w:p w14:paraId="60B829AD" w14:textId="77777777" w:rsidR="00493A92" w:rsidRPr="00493A92"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Sets of interrogatories, requests for admissions, requests for production of documents, or other forms of discovery shall be numbered sequentially in order to facilitate identification.</w:t>
      </w:r>
    </w:p>
    <w:p w14:paraId="1423AACA" w14:textId="77777777" w:rsidR="00493A92" w:rsidRPr="00493A92"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Within each set, discovery requests shall be numbered sequentially, and any discovery requests in subsequent sets shall continue the sequential numbering system.</w:t>
      </w:r>
    </w:p>
    <w:p w14:paraId="28422F6B" w14:textId="77777777" w:rsidR="001305D3"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 xml:space="preserve">Discovery </w:t>
      </w:r>
      <w:r w:rsidR="004D766C">
        <w:t xml:space="preserve">made prior to the filing of a utility’s actual/estimated testimony and exhibits in this docket shall be made within 30 days in the manner provided in </w:t>
      </w:r>
      <w:r w:rsidR="004D766C">
        <w:lastRenderedPageBreak/>
        <w:t>Rules 1.280 through 1.400, Florida Rules of Civil Procedure, except as modified by this Order and any subsequent procedural orders issued in this docket.</w:t>
      </w:r>
    </w:p>
    <w:p w14:paraId="54955253" w14:textId="3A963F6E" w:rsidR="001305D3" w:rsidRDefault="001305D3"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responses to the requesting party via electronic mail within 20 days of the date of the request. For discovery requests related to matters addressed in a utility’s rebuttal testimony, the utility shall serve its responses to the requesting party via electronic mail within 10 days of the request. A hard copy of responses shall also be served by hand-delivery, U.S. Mail, or overnight mail on the day that responses are served electronically.</w:t>
      </w:r>
    </w:p>
    <w:p w14:paraId="589A535F" w14:textId="0C6D13D5" w:rsidR="00493A92" w:rsidRPr="00493A92"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14:paraId="337D539B" w14:textId="611DAB8E" w:rsidR="00493A92" w:rsidRPr="00493A92"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Copies, whether hard copies or electronic, of discovery requests and responses shall be served on all parties and Commission staff.</w:t>
      </w:r>
      <w:r w:rsidR="00D87ADC">
        <w:t xml:space="preserve"> </w:t>
      </w:r>
      <w:r w:rsidRPr="00493A92">
        <w:t>In addition, copies of all responses to requests for production of documents shall be provided to the Commission staff at its Tallahassee office unless otherwise agreed.</w:t>
      </w:r>
      <w:r w:rsidR="00D87ADC">
        <w:t xml:space="preserve"> </w:t>
      </w:r>
      <w:r w:rsidRPr="00493A92">
        <w:t xml:space="preserve">The address block for Commission staff shall include the email address </w:t>
      </w:r>
      <w:hyperlink r:id="rId9" w:history="1">
        <w:r w:rsidRPr="00493A92">
          <w:rPr>
            <w:color w:val="0000FF"/>
            <w:u w:val="single"/>
          </w:rPr>
          <w:t>discovery-gcl@psc.state.fl.us</w:t>
        </w:r>
      </w:hyperlink>
      <w:r w:rsidRPr="00493A92">
        <w:t xml:space="preserve"> in addition to the email address for staff counsel.</w:t>
      </w:r>
    </w:p>
    <w:p w14:paraId="69FD30F5" w14:textId="28EF232E" w:rsidR="00493A92" w:rsidRPr="00493A92" w:rsidRDefault="00493A92" w:rsidP="00493A9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Parties shall file in the Commission Clerk’s Office a notice of service of any interrogatories or requests for production of documents propounded and associated responses in this docket, giving the date of service and the name of the party to whom the discovery was directed.</w:t>
      </w:r>
      <w:r w:rsidR="00D87ADC">
        <w:t xml:space="preserve"> </w:t>
      </w:r>
    </w:p>
    <w:p w14:paraId="314C0411"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44CA94"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Unless subsequently modified by the Prehearing Officer, the following shall apply:</w:t>
      </w:r>
    </w:p>
    <w:p w14:paraId="061C77C5"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2B788B" w14:textId="77777777" w:rsidR="00493A92" w:rsidRPr="00493A92" w:rsidRDefault="00493A92" w:rsidP="00493A92">
      <w:pPr>
        <w:spacing w:line="2" w:lineRule="exact"/>
        <w:jc w:val="both"/>
      </w:pPr>
    </w:p>
    <w:p w14:paraId="57BC13E8" w14:textId="77777777" w:rsidR="00493A92" w:rsidRPr="00544479" w:rsidRDefault="00493A92" w:rsidP="00493A9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Interrogatories, including all subparts, shall be limited to</w:t>
      </w:r>
      <w:r w:rsidR="00555CF6">
        <w:t xml:space="preserve"> </w:t>
      </w:r>
      <w:r w:rsidR="00555CF6" w:rsidRPr="00544479">
        <w:t>300</w:t>
      </w:r>
      <w:r w:rsidRPr="00544479">
        <w:t>.</w:t>
      </w:r>
    </w:p>
    <w:p w14:paraId="655499F3" w14:textId="0AA7A105" w:rsidR="00493A92" w:rsidRPr="00544479" w:rsidRDefault="00493A92" w:rsidP="00493A9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44479">
        <w:t>Requests for production of documents, including all subparts, shall be limited to</w:t>
      </w:r>
      <w:r w:rsidR="00D87ADC">
        <w:t xml:space="preserve"> </w:t>
      </w:r>
      <w:r w:rsidR="003539EB" w:rsidRPr="00544479">
        <w:t>300</w:t>
      </w:r>
      <w:r w:rsidRPr="00544479">
        <w:t>.</w:t>
      </w:r>
    </w:p>
    <w:p w14:paraId="79A2E3FA" w14:textId="77777777" w:rsidR="00493A92" w:rsidRPr="00544479" w:rsidRDefault="00493A92" w:rsidP="00493A9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44479">
        <w:t>Requests for admissions, including all subparts, shall be limited to</w:t>
      </w:r>
      <w:r w:rsidR="003539EB" w:rsidRPr="00544479">
        <w:t xml:space="preserve"> 300</w:t>
      </w:r>
      <w:r w:rsidRPr="00544479">
        <w:t>.</w:t>
      </w:r>
    </w:p>
    <w:p w14:paraId="7910F2D1"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1A4025A7" w14:textId="0A2FC107" w:rsidR="00493A92" w:rsidRPr="00493A92" w:rsidRDefault="00E74BB4" w:rsidP="00493A92">
      <w:pPr>
        <w:ind w:firstLine="720"/>
        <w:jc w:val="both"/>
        <w:rPr>
          <w:rFonts w:cs="Courier New"/>
        </w:rPr>
      </w:pPr>
      <w:r w:rsidRPr="00E74BB4">
        <w:rPr>
          <w:rFonts w:cs="Courier New"/>
        </w:rPr>
        <w:t>When a discovery request is served prior to the filing of a utility’s actual/estimated testimony and exhibits and the respondent intends to seek clarification of any portion of the discovery request, the respondent shall request such clarification within 10 days of service of the discovery request.</w:t>
      </w:r>
      <w:r w:rsidR="00D87ADC">
        <w:rPr>
          <w:rFonts w:cs="Courier New"/>
        </w:rPr>
        <w:t xml:space="preserve"> </w:t>
      </w:r>
      <w:r w:rsidRPr="00E74BB4">
        <w:rPr>
          <w:rFonts w:cs="Courier New"/>
        </w:rPr>
        <w:t>Further, any specific objections to a discovery request served prior to the filing of a utility’s actual/estimated testimony and exhibits shall be made within 20 days of service of the discovery request.</w:t>
      </w:r>
      <w:r w:rsidR="00D87ADC">
        <w:rPr>
          <w:rFonts w:cs="Courier New"/>
        </w:rPr>
        <w:t xml:space="preserve"> </w:t>
      </w:r>
      <w:r w:rsidRPr="00E74BB4">
        <w:rPr>
          <w:rFonts w:cs="Courier New"/>
        </w:rPr>
        <w:t xml:space="preserve">When a discovery request is served related to matters raised in a utility’s actual/estimated, projection, or rebuttal testimony and exhibits, or in a utility’s risk management plan for fuel procurement or hedging activity supplemental report, or matters raised in the intervenors’ or staff’s testimony and exhibits, and the respondent intends to seek clarification of any portion of the discovery request, the respondent shall request such </w:t>
      </w:r>
      <w:r w:rsidRPr="00E74BB4">
        <w:rPr>
          <w:rFonts w:cs="Courier New"/>
        </w:rPr>
        <w:lastRenderedPageBreak/>
        <w:t>clarification within five days of service of the discovery request.</w:t>
      </w:r>
      <w:r w:rsidR="00D87ADC">
        <w:rPr>
          <w:rFonts w:cs="Courier New"/>
        </w:rPr>
        <w:t xml:space="preserve"> </w:t>
      </w:r>
      <w:r w:rsidRPr="00E74BB4">
        <w:rPr>
          <w:rFonts w:cs="Courier New"/>
        </w:rPr>
        <w:t>Further, any specific objections to a discovery request related to matters raised in a utility’s actual/estimated, projection, or rebuttal testimony and exhibits, or in a utility’s risk management plan for fuel procurement or hedging activity supplemental report, or matters raised in the intervenors’ or staff’s testimony and exhibits, shall be made within five days of se</w:t>
      </w:r>
      <w:r w:rsidR="00544479">
        <w:rPr>
          <w:rFonts w:cs="Courier New"/>
        </w:rPr>
        <w:t xml:space="preserve">rvice of the discovery request. </w:t>
      </w:r>
      <w:r w:rsidRPr="00E74BB4">
        <w:rPr>
          <w:rFonts w:cs="Courier New"/>
        </w:rPr>
        <w:t>These procedures are intended to reduce delay in resolving discovery disputes.</w:t>
      </w:r>
    </w:p>
    <w:p w14:paraId="29F13689"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5C5E875"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ab/>
        <w:t>B.</w:t>
      </w:r>
      <w:r w:rsidRPr="00493A92">
        <w:tab/>
      </w:r>
      <w:r w:rsidRPr="00493A92">
        <w:rPr>
          <w:u w:val="single"/>
        </w:rPr>
        <w:t>Confidential Information Provided Pursuant to Discovery</w:t>
      </w:r>
    </w:p>
    <w:p w14:paraId="34739D4E" w14:textId="77777777" w:rsidR="00493A92" w:rsidRPr="00493A92" w:rsidRDefault="00493A92" w:rsidP="00493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2669A24" w14:textId="30702B03"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Any information provided to the Commission staff pursuant to a discovery request by the staff or any other person and for which proprietary confidential business information status is requested pursuant to Section</w:t>
      </w:r>
      <w:r w:rsidR="0011245E">
        <w:t xml:space="preserve"> 366.093, F.S.,</w:t>
      </w:r>
      <w:r w:rsidRPr="00493A92">
        <w:t xml:space="preserve"> and Rule 25-22.006, F.A.C., shall be treated by the Commission as confidential.</w:t>
      </w:r>
      <w:r w:rsidR="00D87ADC">
        <w:t xml:space="preserve"> </w:t>
      </w:r>
      <w:r w:rsidRPr="00493A92">
        <w:t>The information shall be exempt from Section 119.07(1), F.S., pending a formal ruling on such request by the Commission or pending return of the information to the person providing the information.</w:t>
      </w:r>
      <w:r w:rsidR="00D87ADC">
        <w:t xml:space="preserve"> </w:t>
      </w:r>
      <w:r w:rsidRPr="00493A92">
        <w:t>If no determination of confidentiality has been made and the information has not been made a part of the evidentiary record in this proceeding, it shall be returned to the person providing the information.</w:t>
      </w:r>
      <w:r w:rsidR="00D87ADC">
        <w:t xml:space="preserve"> </w:t>
      </w:r>
      <w:r w:rsidRPr="00493A92">
        <w:t xml:space="preserve">If a determination of confidentiality has been made and the information was not entered into the record of this proceeding, it shall be returned to the person providing the information within the time period set forth in Section </w:t>
      </w:r>
      <w:r w:rsidR="0011245E">
        <w:t>366.093,</w:t>
      </w:r>
      <w:r w:rsidRPr="00493A92">
        <w:t xml:space="preserve"> F.S.</w:t>
      </w:r>
      <w:r w:rsidR="00D87ADC">
        <w:t xml:space="preserve"> </w:t>
      </w:r>
      <w:r w:rsidRPr="00493A92">
        <w:t>The Commission may determine that continued possession of the information is necessary for the Commission to conduct its business.</w:t>
      </w:r>
    </w:p>
    <w:p w14:paraId="45344AFE"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2DCC0B" w14:textId="45766FCD"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Redacted versions of confidential filings may be served electronically, but in no instance may confidential information be electronically submitted.</w:t>
      </w:r>
      <w:r w:rsidR="00D87ADC">
        <w:t xml:space="preserve"> </w:t>
      </w:r>
      <w:r w:rsidRPr="00493A92">
        <w:t>If the redacted version is served electronically, the confidential information (which may be on a flash or external drive) shall be filed with the Commission Clerk via hand-delivery, U.S. Mail, or overnight mail on the day that the redacted version was served via e-mail.</w:t>
      </w:r>
    </w:p>
    <w:p w14:paraId="31F96656"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D7CEC1"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3D23A6F8"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C93E4E"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1267F162" w14:textId="6A5CA9E7" w:rsidR="00544479" w:rsidRDefault="00544479">
      <w:r>
        <w:br w:type="page"/>
      </w:r>
    </w:p>
    <w:p w14:paraId="38A3F52C"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93A92">
        <w:rPr>
          <w:b/>
          <w:bCs/>
        </w:rPr>
        <w:lastRenderedPageBreak/>
        <w:t>VI.</w:t>
      </w:r>
      <w:r w:rsidRPr="00493A92">
        <w:tab/>
      </w:r>
      <w:r w:rsidRPr="00493A92">
        <w:rPr>
          <w:b/>
          <w:bCs/>
          <w:u w:val="single"/>
        </w:rPr>
        <w:t>Prehearing Procedures</w:t>
      </w:r>
    </w:p>
    <w:p w14:paraId="05017826"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EC9238D" w14:textId="1583EEEF"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93A92">
        <w:tab/>
      </w:r>
      <w:r w:rsidR="00544479">
        <w:t>A</w:t>
      </w:r>
      <w:r w:rsidRPr="00493A92">
        <w:t>.</w:t>
      </w:r>
      <w:r w:rsidRPr="00493A92">
        <w:tab/>
      </w:r>
      <w:r w:rsidRPr="00493A92">
        <w:rPr>
          <w:u w:val="single"/>
        </w:rPr>
        <w:t>Prehearing Statements</w:t>
      </w:r>
    </w:p>
    <w:p w14:paraId="4565BB34"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CB91B4" w14:textId="62251D20"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93A92">
        <w:tab/>
        <w:t>Every party in this docket and the Commission staff shall file a Prehearing Statement pursuant to the schedule set forth in Section</w:t>
      </w:r>
      <w:r w:rsidR="00AC054C">
        <w:t xml:space="preserve"> IX </w:t>
      </w:r>
      <w:r w:rsidRPr="00493A92">
        <w:t>of this Order. Each Prehearing Statement shall be filed with the Office of Commission Clerk by 5:00 p.m. on the date due. Every party shall contemporaneously provide a copy of its Prehearing Statement to all other parties and the Commission staff in Microsoft Word format.</w:t>
      </w:r>
    </w:p>
    <w:p w14:paraId="1EA1A219"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D46EBA"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Each party’s Prehearing Statement shall set forth the following information in the sequence listed below:</w:t>
      </w:r>
    </w:p>
    <w:p w14:paraId="25A8A0A7"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27DA4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(1)</w:t>
      </w:r>
      <w:r w:rsidRPr="00493A92">
        <w:tab/>
        <w:t>The name of all known witnesses whose testimony has been prefiled or who may be called by the party, along with subject matter of each such witness’s testimony and the corresponding issue numbers in the following format:</w:t>
      </w:r>
    </w:p>
    <w:p w14:paraId="00EE4EDC"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153F8B5"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All Known Witnesses:</w:t>
      </w:r>
    </w:p>
    <w:p w14:paraId="1D7906B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493A92" w:rsidRPr="00493A92" w14:paraId="5CC1C64F" w14:textId="77777777" w:rsidTr="00874424">
        <w:tc>
          <w:tcPr>
            <w:tcW w:w="3060" w:type="dxa"/>
            <w:shd w:val="clear" w:color="auto" w:fill="auto"/>
          </w:tcPr>
          <w:p w14:paraId="4704041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93A92">
              <w:rPr>
                <w:b/>
              </w:rPr>
              <w:t>Witness</w:t>
            </w:r>
          </w:p>
        </w:tc>
        <w:tc>
          <w:tcPr>
            <w:tcW w:w="2919" w:type="dxa"/>
            <w:shd w:val="clear" w:color="auto" w:fill="auto"/>
          </w:tcPr>
          <w:p w14:paraId="001E674A"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93A92">
              <w:rPr>
                <w:b/>
              </w:rPr>
              <w:t>Subject Matter</w:t>
            </w:r>
          </w:p>
        </w:tc>
        <w:tc>
          <w:tcPr>
            <w:tcW w:w="2571" w:type="dxa"/>
            <w:shd w:val="clear" w:color="auto" w:fill="auto"/>
          </w:tcPr>
          <w:p w14:paraId="296D2F71"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93A92">
              <w:rPr>
                <w:b/>
              </w:rPr>
              <w:t>Issue #</w:t>
            </w:r>
          </w:p>
        </w:tc>
      </w:tr>
      <w:tr w:rsidR="00493A92" w:rsidRPr="00493A92" w14:paraId="2CDB6C80" w14:textId="77777777" w:rsidTr="00874424">
        <w:tc>
          <w:tcPr>
            <w:tcW w:w="3060" w:type="dxa"/>
            <w:shd w:val="clear" w:color="auto" w:fill="auto"/>
          </w:tcPr>
          <w:p w14:paraId="10E1BF2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93A92">
              <w:t xml:space="preserve">       </w:t>
            </w:r>
            <w:r w:rsidRPr="00493A92">
              <w:rPr>
                <w:b/>
              </w:rPr>
              <w:t xml:space="preserve"> Direct</w:t>
            </w:r>
          </w:p>
        </w:tc>
        <w:tc>
          <w:tcPr>
            <w:tcW w:w="2919" w:type="dxa"/>
            <w:shd w:val="clear" w:color="auto" w:fill="auto"/>
          </w:tcPr>
          <w:p w14:paraId="3F6E4D8C"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05A1D7A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93A92" w:rsidRPr="00493A92" w14:paraId="47047A26" w14:textId="77777777" w:rsidTr="00874424">
        <w:tc>
          <w:tcPr>
            <w:tcW w:w="3060" w:type="dxa"/>
            <w:shd w:val="clear" w:color="auto" w:fill="auto"/>
          </w:tcPr>
          <w:p w14:paraId="78DE38D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93A92">
              <w:t>John Smith</w:t>
            </w:r>
          </w:p>
        </w:tc>
        <w:tc>
          <w:tcPr>
            <w:tcW w:w="2919" w:type="dxa"/>
            <w:shd w:val="clear" w:color="auto" w:fill="auto"/>
          </w:tcPr>
          <w:p w14:paraId="0038C312"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93A92">
              <w:t xml:space="preserve">Subject . . . </w:t>
            </w:r>
          </w:p>
        </w:tc>
        <w:tc>
          <w:tcPr>
            <w:tcW w:w="2571" w:type="dxa"/>
            <w:shd w:val="clear" w:color="auto" w:fill="auto"/>
          </w:tcPr>
          <w:p w14:paraId="1CA026FD"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93A92">
              <w:t>1, 3-5</w:t>
            </w:r>
          </w:p>
        </w:tc>
      </w:tr>
    </w:tbl>
    <w:p w14:paraId="11CEDB8D"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7C9583C"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(2)</w:t>
      </w:r>
      <w:r w:rsidRPr="00493A92">
        <w:tab/>
        <w:t>A description of all prefiled exhibits and other exhibits that may be used by the party in presenting its direct case (including individual components of a composite exhibit) and the witness sponsoring each in the following format:</w:t>
      </w:r>
    </w:p>
    <w:p w14:paraId="124ACF7D"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B06B225"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All Known Exhibits:</w:t>
      </w:r>
    </w:p>
    <w:p w14:paraId="2AED171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2120"/>
        <w:gridCol w:w="1440"/>
        <w:gridCol w:w="1980"/>
        <w:gridCol w:w="1260"/>
      </w:tblGrid>
      <w:tr w:rsidR="00493A92" w:rsidRPr="00493A92" w14:paraId="4A3A1657" w14:textId="77777777" w:rsidTr="00E550BE">
        <w:tc>
          <w:tcPr>
            <w:tcW w:w="1750" w:type="dxa"/>
            <w:shd w:val="clear" w:color="auto" w:fill="auto"/>
          </w:tcPr>
          <w:p w14:paraId="649B0160"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93A92">
              <w:rPr>
                <w:b/>
              </w:rPr>
              <w:t>Witness</w:t>
            </w:r>
          </w:p>
        </w:tc>
        <w:tc>
          <w:tcPr>
            <w:tcW w:w="2120" w:type="dxa"/>
            <w:tcBorders>
              <w:bottom w:val="single" w:sz="4" w:space="0" w:color="auto"/>
            </w:tcBorders>
            <w:shd w:val="clear" w:color="auto" w:fill="auto"/>
          </w:tcPr>
          <w:p w14:paraId="2990B909" w14:textId="77777777" w:rsidR="00493A92" w:rsidRPr="00493A92" w:rsidRDefault="00493A92" w:rsidP="00493A92">
            <w:pPr>
              <w:rPr>
                <w:b/>
              </w:rPr>
            </w:pPr>
            <w:r w:rsidRPr="00493A92">
              <w:rPr>
                <w:b/>
              </w:rPr>
              <w:t>Proffered By</w:t>
            </w:r>
          </w:p>
        </w:tc>
        <w:tc>
          <w:tcPr>
            <w:tcW w:w="1440" w:type="dxa"/>
            <w:shd w:val="clear" w:color="auto" w:fill="auto"/>
          </w:tcPr>
          <w:p w14:paraId="30175D18" w14:textId="77777777" w:rsidR="00493A92" w:rsidRPr="00493A92" w:rsidRDefault="00493A92" w:rsidP="00493A92">
            <w:pPr>
              <w:rPr>
                <w:b/>
              </w:rPr>
            </w:pPr>
            <w:r w:rsidRPr="00493A92">
              <w:rPr>
                <w:b/>
              </w:rPr>
              <w:t>Exhibit No.</w:t>
            </w:r>
          </w:p>
        </w:tc>
        <w:tc>
          <w:tcPr>
            <w:tcW w:w="1980" w:type="dxa"/>
            <w:shd w:val="clear" w:color="auto" w:fill="auto"/>
          </w:tcPr>
          <w:p w14:paraId="0B5B3EDC" w14:textId="77777777" w:rsidR="00493A92" w:rsidRPr="00493A92" w:rsidRDefault="00493A92" w:rsidP="00E550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493A92">
              <w:rPr>
                <w:b/>
              </w:rPr>
              <w:t>Description</w:t>
            </w:r>
          </w:p>
        </w:tc>
        <w:tc>
          <w:tcPr>
            <w:tcW w:w="1260" w:type="dxa"/>
            <w:shd w:val="clear" w:color="auto" w:fill="auto"/>
          </w:tcPr>
          <w:p w14:paraId="468728EE" w14:textId="40138DA8" w:rsidR="00493A92" w:rsidRPr="00493A92" w:rsidRDefault="00E550BE" w:rsidP="00493A92">
            <w:pPr>
              <w:rPr>
                <w:b/>
              </w:rPr>
            </w:pPr>
            <w:r>
              <w:rPr>
                <w:b/>
              </w:rPr>
              <w:t>Issue</w:t>
            </w:r>
            <w:r w:rsidR="00493A92" w:rsidRPr="00493A92">
              <w:rPr>
                <w:b/>
              </w:rPr>
              <w:t xml:space="preserve"> #</w:t>
            </w:r>
          </w:p>
        </w:tc>
      </w:tr>
      <w:tr w:rsidR="00493A92" w:rsidRPr="00493A92" w14:paraId="425A6076" w14:textId="77777777" w:rsidTr="00E550BE">
        <w:tc>
          <w:tcPr>
            <w:tcW w:w="1750" w:type="dxa"/>
            <w:shd w:val="clear" w:color="auto" w:fill="auto"/>
          </w:tcPr>
          <w:p w14:paraId="3177E651" w14:textId="77777777" w:rsidR="00493A92" w:rsidRPr="00493A92" w:rsidRDefault="00493A92" w:rsidP="00493A92">
            <w:pPr>
              <w:jc w:val="center"/>
              <w:rPr>
                <w:b/>
              </w:rPr>
            </w:pPr>
            <w:r w:rsidRPr="00493A92">
              <w:rPr>
                <w:b/>
              </w:rPr>
              <w:t>Direct</w:t>
            </w:r>
          </w:p>
        </w:tc>
        <w:tc>
          <w:tcPr>
            <w:tcW w:w="2120" w:type="dxa"/>
            <w:tcBorders>
              <w:top w:val="single" w:sz="4" w:space="0" w:color="auto"/>
            </w:tcBorders>
            <w:shd w:val="clear" w:color="auto" w:fill="auto"/>
          </w:tcPr>
          <w:p w14:paraId="5FCB7BAE" w14:textId="77777777" w:rsidR="00493A92" w:rsidRPr="00493A92" w:rsidRDefault="00493A92" w:rsidP="00493A92"/>
        </w:tc>
        <w:tc>
          <w:tcPr>
            <w:tcW w:w="1440" w:type="dxa"/>
            <w:shd w:val="clear" w:color="auto" w:fill="auto"/>
          </w:tcPr>
          <w:p w14:paraId="1C549C47"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980" w:type="dxa"/>
            <w:shd w:val="clear" w:color="auto" w:fill="auto"/>
          </w:tcPr>
          <w:p w14:paraId="74FC1001"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260" w:type="dxa"/>
            <w:shd w:val="clear" w:color="auto" w:fill="auto"/>
          </w:tcPr>
          <w:p w14:paraId="04FEE9C2"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93A92" w:rsidRPr="00493A92" w14:paraId="4EF8A473" w14:textId="77777777" w:rsidTr="00E550BE">
        <w:tc>
          <w:tcPr>
            <w:tcW w:w="1750" w:type="dxa"/>
            <w:shd w:val="clear" w:color="auto" w:fill="auto"/>
          </w:tcPr>
          <w:p w14:paraId="2033766C" w14:textId="77777777" w:rsidR="00493A92" w:rsidRPr="00493A92" w:rsidRDefault="00493A92" w:rsidP="00493A92">
            <w:r w:rsidRPr="00493A92">
              <w:t>John Smith</w:t>
            </w:r>
          </w:p>
        </w:tc>
        <w:tc>
          <w:tcPr>
            <w:tcW w:w="2120" w:type="dxa"/>
            <w:shd w:val="clear" w:color="auto" w:fill="auto"/>
          </w:tcPr>
          <w:p w14:paraId="7152C1C2" w14:textId="77777777" w:rsidR="00493A92" w:rsidRPr="00493A92" w:rsidRDefault="00493A92" w:rsidP="00493A92">
            <w:r w:rsidRPr="00493A92">
              <w:t>Party/Utility Name</w:t>
            </w:r>
          </w:p>
        </w:tc>
        <w:tc>
          <w:tcPr>
            <w:tcW w:w="1440" w:type="dxa"/>
            <w:shd w:val="clear" w:color="auto" w:fill="auto"/>
          </w:tcPr>
          <w:p w14:paraId="0EE015FB" w14:textId="77777777" w:rsidR="00493A92" w:rsidRPr="00493A92" w:rsidRDefault="00493A92" w:rsidP="00493A92">
            <w:r w:rsidRPr="00493A92">
              <w:t>ABC-1</w:t>
            </w:r>
          </w:p>
        </w:tc>
        <w:tc>
          <w:tcPr>
            <w:tcW w:w="1980" w:type="dxa"/>
            <w:shd w:val="clear" w:color="auto" w:fill="auto"/>
          </w:tcPr>
          <w:p w14:paraId="45B8043E" w14:textId="77777777" w:rsidR="00493A92" w:rsidRPr="00493A92" w:rsidRDefault="00493A92" w:rsidP="00493A92">
            <w:r w:rsidRPr="00493A92">
              <w:t>Title ......</w:t>
            </w:r>
          </w:p>
        </w:tc>
        <w:tc>
          <w:tcPr>
            <w:tcW w:w="1260" w:type="dxa"/>
            <w:shd w:val="clear" w:color="auto" w:fill="auto"/>
          </w:tcPr>
          <w:p w14:paraId="3F8791FE" w14:textId="77777777" w:rsidR="00493A92" w:rsidRPr="00493A92" w:rsidRDefault="00493A92" w:rsidP="00E550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
              <w:jc w:val="both"/>
            </w:pPr>
            <w:r w:rsidRPr="00493A92">
              <w:t>1, 3-5</w:t>
            </w:r>
          </w:p>
        </w:tc>
      </w:tr>
    </w:tbl>
    <w:p w14:paraId="33C9AE30"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B2C3C2E"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493A92">
        <w:t>(3)</w:t>
      </w:r>
      <w:r w:rsidRPr="00493A92">
        <w:tab/>
        <w:t>A statement of the party’s basic position in the proceeding;</w:t>
      </w:r>
    </w:p>
    <w:p w14:paraId="4B0D9B42" w14:textId="53E73E48"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(4)</w:t>
      </w:r>
      <w:r w:rsidRPr="00493A92">
        <w:tab/>
        <w:t>A statement of each question of fact, question of law, and policy question that the party considers at issue, along with the party’s position on each</w:t>
      </w:r>
      <w:r w:rsidR="00D87ADC">
        <w:t xml:space="preserve"> </w:t>
      </w:r>
      <w:r w:rsidRPr="00493A92">
        <w:t>issue, and, where applicable, the names of the party's witness(es) who will address each issue. Parties who wish to maintain “no position at this time” on any particular issue or issues should refer to the requirements of subsection C, below;</w:t>
      </w:r>
    </w:p>
    <w:p w14:paraId="640A180E"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(5)</w:t>
      </w:r>
      <w:r w:rsidRPr="00493A92">
        <w:tab/>
        <w:t>A statement of issues to which the parties have stipulated;</w:t>
      </w:r>
    </w:p>
    <w:p w14:paraId="7249AC32"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(6)</w:t>
      </w:r>
      <w:r w:rsidRPr="00493A92">
        <w:tab/>
        <w:t>A statement of all pending motions or other matters the party seeks action upon;</w:t>
      </w:r>
    </w:p>
    <w:p w14:paraId="0F5FF59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lastRenderedPageBreak/>
        <w:t>(7)</w:t>
      </w:r>
      <w:r w:rsidRPr="00493A92">
        <w:tab/>
        <w:t>A statement identifying the party’s pending requests or claims for confidentiality;</w:t>
      </w:r>
    </w:p>
    <w:p w14:paraId="6F5CC22B" w14:textId="50B70C8A"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(8)</w:t>
      </w:r>
      <w:r w:rsidRPr="00493A92">
        <w:tab/>
        <w:t>Any objections to a witness’s qualifications as an expert.</w:t>
      </w:r>
      <w:r w:rsidR="00D87ADC">
        <w:t xml:space="preserve"> </w:t>
      </w:r>
      <w:r w:rsidRPr="00493A92">
        <w:t>The objection shall identify each witness the party wishes to voir dire as well as state with specificity the portions of that witness’s prefiled testimony, by page and line number, and/or exhibits, by page and line number, to which the party objects.</w:t>
      </w:r>
      <w:r w:rsidR="00D87ADC">
        <w:t xml:space="preserve"> </w:t>
      </w:r>
      <w:r w:rsidRPr="00493A92">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5491ED8C" w14:textId="77777777" w:rsidR="00493A92" w:rsidRPr="00493A92" w:rsidRDefault="00493A92" w:rsidP="00493A92">
      <w:pPr>
        <w:spacing w:line="2" w:lineRule="exact"/>
        <w:jc w:val="both"/>
      </w:pPr>
    </w:p>
    <w:p w14:paraId="7D52EC7F" w14:textId="3AFBB949"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(9)</w:t>
      </w:r>
      <w:r w:rsidRPr="00493A92">
        <w:tab/>
        <w:t>A request for sequestration of witnesses, so any such request may be resolved by the Prehearing Officer prior to the hearing.</w:t>
      </w:r>
      <w:r w:rsidR="00D87ADC">
        <w:t xml:space="preserve"> </w:t>
      </w:r>
      <w:r w:rsidRPr="00493A92">
        <w:t>Failure to make such a request shall constitute a waiver of the right to request sequestration of witnesses absent a showing of good cause; and</w:t>
      </w:r>
    </w:p>
    <w:p w14:paraId="7147BFC4" w14:textId="1844689D"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93A92">
        <w:t>(10)</w:t>
      </w:r>
      <w:r w:rsidRPr="00493A92">
        <w:tab/>
        <w:t xml:space="preserve">A statement as to any requirement set forth in this </w:t>
      </w:r>
      <w:r w:rsidR="00C6484D">
        <w:t>O</w:t>
      </w:r>
      <w:r w:rsidRPr="00493A92">
        <w:t>rder that cannot be complied with, and the reasons therefore.</w:t>
      </w:r>
    </w:p>
    <w:p w14:paraId="6894B750"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4974AB" w14:textId="2605E184"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Failure of a party to timely file a Prehearing Statement shall be a waiver of any issue not raised by other parties or by the Commission.</w:t>
      </w:r>
      <w:r w:rsidR="00D87ADC">
        <w:t xml:space="preserve"> </w:t>
      </w:r>
      <w:r w:rsidRPr="00493A92">
        <w:t>In addition, such failure shall preclude the party from presenting testimony in support of its position on each such issue.</w:t>
      </w:r>
      <w:r w:rsidR="00D87ADC">
        <w:t xml:space="preserve"> </w:t>
      </w:r>
    </w:p>
    <w:p w14:paraId="190DA096"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AD65383" w14:textId="01F0DB3A"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93A92">
        <w:tab/>
      </w:r>
      <w:r w:rsidR="00A04DA3">
        <w:t>B</w:t>
      </w:r>
      <w:r w:rsidRPr="00493A92">
        <w:t>.</w:t>
      </w:r>
      <w:r w:rsidRPr="00493A92">
        <w:tab/>
      </w:r>
      <w:r w:rsidRPr="00493A92">
        <w:rPr>
          <w:u w:val="single"/>
        </w:rPr>
        <w:t>Attendance at Prehearing Conference</w:t>
      </w:r>
    </w:p>
    <w:p w14:paraId="4B4EAB32"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0A7881" w14:textId="1497C24E"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Pursuant to Rule 28-106.209, F.A.C., a Prehearing Conference will be held </w:t>
      </w:r>
      <w:r w:rsidR="009B019F" w:rsidRPr="009C5274">
        <w:t>October 20, 2026</w:t>
      </w:r>
      <w:r w:rsidRPr="009C5274">
        <w:t>, at the Betty Easley Conference Center, 4075 Esplanade Way, Tallahassee, Florida</w:t>
      </w:r>
      <w:r w:rsidR="009C5274">
        <w:t>, following the Internal Affairs meeting</w:t>
      </w:r>
      <w:r w:rsidRPr="009C5274">
        <w:t>. Unless excused by the Prehearing Officer for good cause shown, each party (or desi</w:t>
      </w:r>
      <w:r w:rsidRPr="00493A92">
        <w:t>gnated representative) shall personally appear at the Prehearing Conference.</w:t>
      </w:r>
      <w:r w:rsidR="00D87ADC">
        <w:t xml:space="preserve"> </w:t>
      </w:r>
      <w:r w:rsidRPr="00493A92">
        <w:t>Failure of a party (or that party’s representative) to appear shall constitute waiver of that party’s issues and positions, and that party may be dismissed from the proceeding.</w:t>
      </w:r>
    </w:p>
    <w:p w14:paraId="40BDB07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26FF79" w14:textId="2BC336F7" w:rsidR="00493A92" w:rsidRPr="00493A92" w:rsidRDefault="00A04DA3"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rsidR="00493A92" w:rsidRPr="00493A92">
        <w:t>.</w:t>
      </w:r>
      <w:r w:rsidR="00493A92" w:rsidRPr="00493A92">
        <w:tab/>
      </w:r>
      <w:r w:rsidR="00493A92" w:rsidRPr="00493A92">
        <w:rPr>
          <w:u w:val="single"/>
        </w:rPr>
        <w:t>Waiver of Issues</w:t>
      </w:r>
    </w:p>
    <w:p w14:paraId="1B239AAD"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F1B0E5" w14:textId="2A9507B4"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Any issue not raised by a party either before or during the Prehearing Conference shall be waived by that party, except for good cause shown.</w:t>
      </w:r>
      <w:r w:rsidR="00D87ADC">
        <w:t xml:space="preserve"> </w:t>
      </w:r>
      <w:r w:rsidRPr="00493A92">
        <w:t xml:space="preserve">A party seeking to raise a new issue after the Prehearing Conference shall address each of the following: </w:t>
      </w:r>
    </w:p>
    <w:p w14:paraId="361C170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AD7A6E" w14:textId="77777777" w:rsidR="00493A92" w:rsidRPr="00493A92" w:rsidRDefault="00493A92" w:rsidP="00493A92">
      <w:pPr>
        <w:spacing w:line="2" w:lineRule="exact"/>
        <w:jc w:val="both"/>
      </w:pPr>
    </w:p>
    <w:p w14:paraId="103EC1F4" w14:textId="77777777" w:rsidR="00493A92" w:rsidRPr="00493A92" w:rsidRDefault="00493A92" w:rsidP="00493A9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Whether the party was unable to identify the issue because of the complexity of the matter;</w:t>
      </w:r>
    </w:p>
    <w:p w14:paraId="52A36802" w14:textId="77777777" w:rsidR="00493A92" w:rsidRPr="00493A92" w:rsidRDefault="00493A92" w:rsidP="00493A9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Whether discovery or other prehearing procedures were not adequate to fully develop the issue;</w:t>
      </w:r>
    </w:p>
    <w:p w14:paraId="61DA01AC" w14:textId="77777777" w:rsidR="00493A92" w:rsidRPr="00493A92" w:rsidRDefault="00493A92" w:rsidP="00493A9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 xml:space="preserve">Whether due diligence was exercised to obtain facts touching on the issue; </w:t>
      </w:r>
    </w:p>
    <w:p w14:paraId="037F0160" w14:textId="77777777" w:rsidR="00493A92" w:rsidRPr="00493A92" w:rsidRDefault="00493A92" w:rsidP="00493A9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Whether information obtained subsequent to the Prehearing Conference was not previously available to enable the party to identify the issue; and</w:t>
      </w:r>
    </w:p>
    <w:p w14:paraId="3A6463D7" w14:textId="77777777" w:rsidR="00493A92" w:rsidRPr="00493A92" w:rsidRDefault="00493A92" w:rsidP="00493A9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Whether introduction of the issue would not be to the prejudice or surprise of any party.</w:t>
      </w:r>
    </w:p>
    <w:p w14:paraId="3857102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12F12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Specific reference shall be made to the information received and how it enabled the party to identify the issue.</w:t>
      </w:r>
    </w:p>
    <w:p w14:paraId="14BAF26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F18BDE" w14:textId="0C0980E3"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Unless a matter is not at issue for that party, each party shall take a position on each issue by the time of the Prehearing Conference or by such later time as may be permitted by the Prehearing Officer.</w:t>
      </w:r>
      <w:r w:rsidR="00D87ADC">
        <w:t xml:space="preserve"> </w:t>
      </w:r>
      <w:r w:rsidRPr="00493A92">
        <w:t>If a party is unable through diligence and good faith efforts to take a position on a matter at issue for that party, it shall explicitly state in its Prehearing Statement why it cannot take a position.</w:t>
      </w:r>
      <w:r w:rsidR="00D87ADC">
        <w:t xml:space="preserve"> </w:t>
      </w:r>
      <w:r w:rsidRPr="00493A92">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D87ADC">
        <w:t xml:space="preserve"> </w:t>
      </w:r>
      <w:r w:rsidRPr="00493A92">
        <w:t>In the absence of such a finding by the Prehearing Officer, the party shall have waived the entire issue, and the party’s position shall be shown as “no position” in the Prehearing Order.</w:t>
      </w:r>
      <w:r w:rsidR="00D87ADC">
        <w:t xml:space="preserve"> </w:t>
      </w:r>
      <w:r w:rsidRPr="00493A92">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D87ADC">
        <w:t xml:space="preserve"> </w:t>
      </w:r>
      <w:r w:rsidRPr="00493A92">
        <w:t>Commission staff may take “no position at this time” or a similar position on any issue without having to make the showing described above and without waiver of cross-examination.</w:t>
      </w:r>
    </w:p>
    <w:p w14:paraId="678F9D8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9C75F5" w14:textId="4DBD4CA4" w:rsidR="00493A92" w:rsidRPr="00493A92" w:rsidRDefault="00A04DA3"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rsidR="00493A92" w:rsidRPr="00493A92">
        <w:t>.</w:t>
      </w:r>
      <w:r w:rsidR="00493A92" w:rsidRPr="00493A92">
        <w:tab/>
      </w:r>
      <w:r w:rsidR="00493A92" w:rsidRPr="00493A92">
        <w:rPr>
          <w:u w:val="single"/>
        </w:rPr>
        <w:t>Motions to Strike Prefiled Testimony and Exhibits</w:t>
      </w:r>
    </w:p>
    <w:p w14:paraId="0C65E6EA"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58473F" w14:textId="47C9C861"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9C5274">
        <w:t>c</w:t>
      </w:r>
      <w:r w:rsidRPr="00493A92">
        <w:t>ken.</w:t>
      </w:r>
      <w:r w:rsidR="00D87ADC">
        <w:t xml:space="preserve"> </w:t>
      </w:r>
      <w:r w:rsidRPr="00493A92">
        <w:t>Motions to strike any portion of prefiled testimony and related portions of exhibits at hearing shall be considered untimely, absent good cause shown.</w:t>
      </w:r>
    </w:p>
    <w:p w14:paraId="21B2041F"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54D0A2" w14:textId="37028091" w:rsidR="00493A92" w:rsidRPr="00493A92" w:rsidRDefault="00A04DA3"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rsidR="00493A92" w:rsidRPr="00493A92">
        <w:t>.</w:t>
      </w:r>
      <w:r w:rsidR="00493A92" w:rsidRPr="00493A92">
        <w:tab/>
      </w:r>
      <w:r w:rsidR="00493A92" w:rsidRPr="00493A92">
        <w:rPr>
          <w:u w:val="single"/>
        </w:rPr>
        <w:t>Demonstrative Exhibits</w:t>
      </w:r>
    </w:p>
    <w:p w14:paraId="61D4B99B" w14:textId="77777777" w:rsidR="00493A92" w:rsidRPr="00493A92" w:rsidRDefault="00493A92" w:rsidP="00493A9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8E15895"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If a party wishes to use a demonstrative exhibit or other demonstrative tools at hearing, such materials must be identified by the time of the Prehearing Conference.</w:t>
      </w:r>
    </w:p>
    <w:p w14:paraId="38102DD6"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BB3F2F" w14:textId="26B539D5" w:rsidR="00493A92" w:rsidRPr="00493A92" w:rsidRDefault="00A04DA3"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rsidR="00493A92" w:rsidRPr="00493A92">
        <w:t>.</w:t>
      </w:r>
      <w:r w:rsidR="00493A92" w:rsidRPr="00493A92">
        <w:tab/>
      </w:r>
      <w:r w:rsidR="00493A92" w:rsidRPr="00493A92">
        <w:rPr>
          <w:u w:val="single"/>
        </w:rPr>
        <w:t>Provision of</w:t>
      </w:r>
      <w:r w:rsidR="00D87ADC">
        <w:rPr>
          <w:u w:val="single"/>
        </w:rPr>
        <w:t xml:space="preserve"> </w:t>
      </w:r>
      <w:r w:rsidR="00493A92" w:rsidRPr="00493A92">
        <w:rPr>
          <w:u w:val="single"/>
        </w:rPr>
        <w:t>Exhibits</w:t>
      </w:r>
    </w:p>
    <w:p w14:paraId="2D73E31D"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DC9EBC" w14:textId="66FE0BEF"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By</w:t>
      </w:r>
      <w:r w:rsidR="009C5274">
        <w:t xml:space="preserve"> October 2</w:t>
      </w:r>
      <w:r w:rsidR="00B6017D">
        <w:t>6</w:t>
      </w:r>
      <w:r w:rsidR="009C5274">
        <w:t>, 2026,</w:t>
      </w:r>
      <w:r w:rsidRPr="00493A92">
        <w:t xml:space="preserve"> each party must provide an electronic copy of all exhibits that the party plans to offer into evidence or use for demonstrative purposes during the hearing, except for exhibits that have already been prefiled with witness testimony that are in the docket file.</w:t>
      </w:r>
      <w:r w:rsidR="00D87ADC">
        <w:t xml:space="preserve"> </w:t>
      </w:r>
      <w:r w:rsidRPr="00493A92">
        <w:t xml:space="preserve">Each party shall also provide a list of the exhibits it has electronically submitted to the Commission Office of the General Counsel on a flash or external drive, or e-mailed to </w:t>
      </w:r>
      <w:hyperlink r:id="rId10" w:history="1">
        <w:r w:rsidRPr="00493A92">
          <w:rPr>
            <w:color w:val="0000FF"/>
            <w:u w:val="single"/>
          </w:rPr>
          <w:t>discovery-gcl@psc.state.fl.us</w:t>
        </w:r>
      </w:hyperlink>
      <w:r w:rsidRPr="00493A92">
        <w:t>. A copy of all exhibits and the accompanying list shall also be served electronically or by regular mail, overnight mail, or hand delivery to all other parties no later than the date provided to the Commission’s Office of the General Counsel.</w:t>
      </w:r>
      <w:r w:rsidR="00D87ADC">
        <w:t xml:space="preserve"> </w:t>
      </w:r>
      <w:r w:rsidRPr="00493A92">
        <w:t xml:space="preserve">Absent a showing of good cause, the failure of a party to timely provide exhibits in compliance with </w:t>
      </w:r>
      <w:r w:rsidR="00C6484D">
        <w:t>this Order</w:t>
      </w:r>
      <w:r w:rsidRPr="00493A92">
        <w:t xml:space="preserve"> may bar admission of such exhibits.</w:t>
      </w:r>
    </w:p>
    <w:p w14:paraId="17C26BEA"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B2ACC7" w14:textId="13F684C1"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Each exhibit must be saved as a distinct and separate electronic file; multiple exhibits combined in a single electronic fi</w:t>
      </w:r>
      <w:r w:rsidR="00DC25D2">
        <w:t xml:space="preserve">le are not acceptable. </w:t>
      </w:r>
      <w:r w:rsidRPr="00493A92">
        <w:t>Parties are not required to create a separate Adobe PDF file or exhibit fo</w:t>
      </w:r>
      <w:r w:rsidR="00DC25D2">
        <w:t xml:space="preserve">r each interrogatory response. </w:t>
      </w:r>
      <w:r w:rsidRPr="00493A92">
        <w:t xml:space="preserve">Several responses and attachments can be combined into one Adobe PDF document and submitted as one composite exhibit. If a party submits an attachment separately, the attachment must be numbered as a separate exhibit. </w:t>
      </w:r>
    </w:p>
    <w:p w14:paraId="199B0DAF"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68BFAC"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No cover pages are required; however, as with all exhibits, a top margin of not less than one inch is required for stamping purposes. Each exhibit shall be named with the party’s acronym and sequential numbering as follows:</w:t>
      </w:r>
    </w:p>
    <w:p w14:paraId="098E262B"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5AFCB0"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r>
      <w:r w:rsidRPr="00493A92">
        <w:tab/>
        <w:t>FPL-1 – short document title, FPL-2 – short document title, etc.</w:t>
      </w:r>
    </w:p>
    <w:p w14:paraId="169CC734"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r>
      <w:r w:rsidRPr="00493A92">
        <w:tab/>
        <w:t>OPC-1 – short document title, OPC-2 – short document title, etc.</w:t>
      </w:r>
    </w:p>
    <w:p w14:paraId="1792D283"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A29D0A" w14:textId="3B3E883F" w:rsidR="00493A92" w:rsidRPr="00DC25D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Parties may use exhibits in their native Excel format for demonstrative purposes; however, any exhibits created in Excel that a party seeks to admit into the record must be converted to Adobe PDF and provided to the Commission </w:t>
      </w:r>
      <w:r w:rsidR="00DC25D2">
        <w:t xml:space="preserve">as a separate electronic file. </w:t>
      </w:r>
      <w:r w:rsidRPr="00493A92">
        <w:t>Any attachment to a discovery response that a party wishes to offer as an exhibit must be provided as a separate electronic file to be marked as a separate exhibit. Cumul</w:t>
      </w:r>
      <w:r w:rsidRPr="00DC25D2">
        <w:t>ative or irrelevant attachments are not appropriate exhibits.</w:t>
      </w:r>
    </w:p>
    <w:p w14:paraId="576F8457" w14:textId="77777777" w:rsidR="00493A92" w:rsidRPr="00DC25D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34D33F" w14:textId="003C87FE"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C25D2">
        <w:tab/>
        <w:t>Confidential information will be handled as described below in Section VII. However, parties must also provide an electronic, redacted, non-confidential version of each confidenti</w:t>
      </w:r>
      <w:r w:rsidRPr="00493A92">
        <w:t>al exhibit they intend to use at the hearing.</w:t>
      </w:r>
    </w:p>
    <w:p w14:paraId="41990954"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rPr>
          <w:highlight w:val="cyan"/>
        </w:rPr>
        <w:t xml:space="preserve"> </w:t>
      </w:r>
    </w:p>
    <w:p w14:paraId="2707B5A8" w14:textId="147E8B54"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6DD0B536"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C4C7E2" w14:textId="6BB3E3DE"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93A92">
        <w:tab/>
      </w:r>
      <w:r w:rsidR="00A04DA3">
        <w:t>G</w:t>
      </w:r>
      <w:r w:rsidRPr="00493A92">
        <w:t>.</w:t>
      </w:r>
      <w:r w:rsidRPr="00493A92">
        <w:tab/>
      </w:r>
      <w:r w:rsidRPr="00493A92">
        <w:rPr>
          <w:u w:val="single"/>
        </w:rPr>
        <w:t>Official Recognition</w:t>
      </w:r>
    </w:p>
    <w:p w14:paraId="6A351F4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FD386A"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176A03A4"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1A68D8" w14:textId="0CD6CE4E"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Parties seeking official recognition of any other materials pursuant to Section 120.569(2)(i), F.S., shall notify all other parties and Commission staff in writing no later than one week prior to the first scheduled hearing date. Such notification shall identify all materials </w:t>
      </w:r>
      <w:r w:rsidRPr="00493A92">
        <w:lastRenderedPageBreak/>
        <w:t>for which the party seeks official recognition, and such materials shall be provided along with the notification.</w:t>
      </w:r>
    </w:p>
    <w:p w14:paraId="6534FE22" w14:textId="77777777" w:rsidR="00493A92" w:rsidRPr="00493A92" w:rsidRDefault="00493A92" w:rsidP="00493A92"/>
    <w:p w14:paraId="3D064C1F" w14:textId="2E686765"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93A92">
        <w:tab/>
      </w:r>
      <w:r w:rsidR="00A04DA3">
        <w:t>H</w:t>
      </w:r>
      <w:r w:rsidRPr="00493A92">
        <w:t>.</w:t>
      </w:r>
      <w:r w:rsidRPr="00493A92">
        <w:tab/>
      </w:r>
      <w:r w:rsidRPr="00493A92">
        <w:rPr>
          <w:u w:val="single"/>
        </w:rPr>
        <w:t>Use of Depositions at Hearing</w:t>
      </w:r>
    </w:p>
    <w:p w14:paraId="35A31F1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EBDF43" w14:textId="6E67A48A" w:rsidR="00493A92" w:rsidRPr="00493A92" w:rsidRDefault="00493A92" w:rsidP="00493A92">
      <w:pPr>
        <w:jc w:val="both"/>
      </w:pPr>
      <w:r w:rsidRPr="00493A92">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discovery </w:t>
      </w:r>
      <w:r w:rsidR="00A04DA3">
        <w:t xml:space="preserve">deadline </w:t>
      </w:r>
      <w:r w:rsidRPr="00493A92">
        <w:t>in this docket as set forth in Section</w:t>
      </w:r>
      <w:r w:rsidR="0069674A">
        <w:t xml:space="preserve"> IX</w:t>
      </w:r>
      <w:r w:rsidRPr="00493A92">
        <w:t xml:space="preserve"> of this Order</w:t>
      </w:r>
      <w:r w:rsidR="00A04DA3">
        <w:t xml:space="preserve">. </w:t>
      </w:r>
      <w:r w:rsidRPr="00493A92">
        <w:t>The Notice shall include the following information for each deposition:</w:t>
      </w:r>
    </w:p>
    <w:p w14:paraId="6CE0F27E" w14:textId="77777777" w:rsidR="00493A92" w:rsidRPr="00493A92" w:rsidRDefault="00493A92" w:rsidP="00493A92">
      <w:pPr>
        <w:ind w:left="1080"/>
        <w:contextualSpacing/>
        <w:jc w:val="both"/>
      </w:pPr>
    </w:p>
    <w:p w14:paraId="0CC3ADDC" w14:textId="77777777" w:rsidR="00493A92" w:rsidRPr="00493A92" w:rsidRDefault="00493A92" w:rsidP="00493A92">
      <w:pPr>
        <w:numPr>
          <w:ilvl w:val="0"/>
          <w:numId w:val="7"/>
        </w:numPr>
        <w:contextualSpacing/>
        <w:jc w:val="both"/>
      </w:pPr>
      <w:r w:rsidRPr="00493A92">
        <w:t>Name of witness deposed;</w:t>
      </w:r>
    </w:p>
    <w:p w14:paraId="49F17B8E" w14:textId="77777777" w:rsidR="00493A92" w:rsidRPr="00493A92" w:rsidRDefault="00493A92" w:rsidP="00493A92">
      <w:pPr>
        <w:numPr>
          <w:ilvl w:val="0"/>
          <w:numId w:val="7"/>
        </w:numPr>
        <w:contextualSpacing/>
        <w:jc w:val="both"/>
      </w:pPr>
      <w:r w:rsidRPr="00493A92">
        <w:t>Date deposition was taken; and</w:t>
      </w:r>
    </w:p>
    <w:p w14:paraId="501DDDFC" w14:textId="77777777" w:rsidR="00493A92" w:rsidRPr="00493A92" w:rsidRDefault="00493A92" w:rsidP="00493A92">
      <w:pPr>
        <w:numPr>
          <w:ilvl w:val="0"/>
          <w:numId w:val="7"/>
        </w:numPr>
        <w:contextualSpacing/>
        <w:jc w:val="both"/>
      </w:pPr>
      <w:r w:rsidRPr="00493A92">
        <w:t xml:space="preserve">Page and line numbers of each deposition the party seeks to introduce, when available. </w:t>
      </w:r>
    </w:p>
    <w:p w14:paraId="24D9FFDD" w14:textId="77777777" w:rsidR="00493A92" w:rsidRPr="00493A92" w:rsidRDefault="00493A92" w:rsidP="00493A92"/>
    <w:p w14:paraId="5A3989AA" w14:textId="77777777" w:rsidR="00493A92" w:rsidRPr="00493A92" w:rsidRDefault="00493A92" w:rsidP="00493A92">
      <w:pPr>
        <w:ind w:firstLine="720"/>
        <w:jc w:val="both"/>
      </w:pPr>
      <w:r w:rsidRPr="00493A92">
        <w:t>Objection(s) to the entry into the record of a deposition or portion thereof at hearing for purposes other than impeachment must be made in writing within three days of filing a Notice of Intent to use Deposition for resolution by the Prehearing Officer.</w:t>
      </w:r>
    </w:p>
    <w:p w14:paraId="6C632A6D"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5F987A"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493A92">
        <w:tab/>
        <w:t>Parties do not need to exchange deposition transcripts that will be</w:t>
      </w:r>
      <w:r w:rsidRPr="00493A92">
        <w:rPr>
          <w:i/>
        </w:rPr>
        <w:t xml:space="preserve"> used for impeachment purposes only.</w:t>
      </w:r>
    </w:p>
    <w:p w14:paraId="756943FA" w14:textId="77777777" w:rsidR="00493A92" w:rsidRPr="00493A92" w:rsidRDefault="00493A92" w:rsidP="0049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61CED8"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rPr>
          <w:b/>
          <w:bCs/>
        </w:rPr>
        <w:t>VII.</w:t>
      </w:r>
      <w:r w:rsidRPr="00493A92">
        <w:rPr>
          <w:b/>
          <w:bCs/>
        </w:rPr>
        <w:tab/>
      </w:r>
      <w:r w:rsidRPr="00493A92">
        <w:rPr>
          <w:b/>
          <w:bCs/>
          <w:u w:val="single"/>
        </w:rPr>
        <w:t>Hearing Procedures</w:t>
      </w:r>
    </w:p>
    <w:p w14:paraId="5D492C94"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400A1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A.</w:t>
      </w:r>
      <w:r w:rsidRPr="00493A92">
        <w:tab/>
      </w:r>
      <w:r w:rsidRPr="00493A92">
        <w:rPr>
          <w:u w:val="single"/>
        </w:rPr>
        <w:t>Attendance at Hearing</w:t>
      </w:r>
    </w:p>
    <w:p w14:paraId="42D137B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53CD0F" w14:textId="1E126EE2"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7CEEA744"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93CE6B" w14:textId="0B2D950E"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Likewise, all witnesses are expected to be present at the hearing at the time they are called based on the order of witnesses unless excused by the Presiding Officer upon the </w:t>
      </w:r>
      <w:r w:rsidR="00A04DA3">
        <w:t xml:space="preserve">Commission </w:t>
      </w:r>
      <w:r w:rsidRPr="00493A92">
        <w:t xml:space="preserve">staff attorney’s confirmation prior to the hearing date of the following: </w:t>
      </w:r>
    </w:p>
    <w:p w14:paraId="4362BC4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DEE995" w14:textId="77777777" w:rsidR="00493A92" w:rsidRPr="00493A92" w:rsidRDefault="00493A92" w:rsidP="00493A92">
      <w:pPr>
        <w:spacing w:line="2" w:lineRule="exact"/>
        <w:jc w:val="both"/>
      </w:pPr>
    </w:p>
    <w:p w14:paraId="2BB3CC87" w14:textId="77777777" w:rsidR="00493A92" w:rsidRPr="00493A92" w:rsidRDefault="00493A92" w:rsidP="00493A9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All parties agree that the witness will not be needed for cross examination.</w:t>
      </w:r>
    </w:p>
    <w:p w14:paraId="2BBA10E4" w14:textId="77777777" w:rsidR="00493A92" w:rsidRPr="00493A92" w:rsidRDefault="00493A92" w:rsidP="00493A9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93A92">
        <w:t>All Commissioners assigned to the panel do not have questions for the witness.</w:t>
      </w:r>
    </w:p>
    <w:p w14:paraId="1C26B700"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472902"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In the event a witness is excused in this manner, his or her testimony may be entered into the record as though read following the Commission’s approval of the proposed stipulation of that witness’s testimony.</w:t>
      </w:r>
    </w:p>
    <w:p w14:paraId="08FCF970" w14:textId="6F37E41B" w:rsidR="00A04DA3" w:rsidRDefault="00A04DA3">
      <w:r>
        <w:br w:type="page"/>
      </w:r>
    </w:p>
    <w:p w14:paraId="6BF9EAA4"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lastRenderedPageBreak/>
        <w:tab/>
        <w:t>B.</w:t>
      </w:r>
      <w:r w:rsidRPr="00493A92">
        <w:tab/>
      </w:r>
      <w:r w:rsidRPr="00493A92">
        <w:rPr>
          <w:u w:val="single"/>
        </w:rPr>
        <w:t>Cross-Examination</w:t>
      </w:r>
    </w:p>
    <w:p w14:paraId="6DAB952E"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86EC6F" w14:textId="104887DF"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The parties shall avoid duplicative or repetitious cross-examination.</w:t>
      </w:r>
      <w:r w:rsidR="00D87ADC">
        <w:t xml:space="preserve"> </w:t>
      </w:r>
      <w:r w:rsidRPr="00493A92">
        <w:t>Further, friendly cross-examination will not be allowed. Cross-examination shall be limited to witnesses whose testimony is adverse to the party desiring to cross-examine.</w:t>
      </w:r>
      <w:r w:rsidR="00D87ADC">
        <w:t xml:space="preserve"> </w:t>
      </w:r>
      <w:r w:rsidRPr="00493A92">
        <w:t>Any party conducting what appears to be a friendly cross-examination of a witness should be prepared to indicate why that witness’s direct testimony is adverse to its interests. Parties may use the exhibits identified by Commission staff on the C</w:t>
      </w:r>
      <w:r w:rsidR="00A04DA3">
        <w:t xml:space="preserve">omprehensive </w:t>
      </w:r>
      <w:r w:rsidRPr="00493A92">
        <w:t>E</w:t>
      </w:r>
      <w:r w:rsidR="00A04DA3">
        <w:t>xhibit List</w:t>
      </w:r>
      <w:r w:rsidRPr="00493A92">
        <w:t xml:space="preserve"> for cross-examination purposes without listing them on the party’s exhibit list or exchanging the exhibit with the other parties.</w:t>
      </w:r>
    </w:p>
    <w:p w14:paraId="55295FB9"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4A30A6"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4C390E1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39CA7E"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C.</w:t>
      </w:r>
      <w:r w:rsidRPr="00493A92">
        <w:tab/>
      </w:r>
      <w:r w:rsidRPr="00493A92">
        <w:rPr>
          <w:u w:val="single"/>
        </w:rPr>
        <w:t>Use of Confidential Information at Hearing</w:t>
      </w:r>
    </w:p>
    <w:p w14:paraId="7B19F60C"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0125FE" w14:textId="11D2B650"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It is the policy of this Commission that all Commission hearings be open to the public at all times. The Commission also recognizes its obligation pursuant to Section</w:t>
      </w:r>
      <w:r w:rsidR="00AC054C">
        <w:t xml:space="preserve"> 366.093,</w:t>
      </w:r>
      <w:r w:rsidRPr="00493A92">
        <w:t xml:space="preserve"> F.S., to protect proprietary confidential business information from disclosure outside the proceeding.</w:t>
      </w:r>
      <w:r w:rsidR="00D87ADC">
        <w:t xml:space="preserve"> </w:t>
      </w:r>
      <w:r w:rsidRPr="00493A92">
        <w:t>Therefore, any party wishing to use at the hearing any proprietary confidential business information, as that term is defined in Section</w:t>
      </w:r>
      <w:r w:rsidR="000B4679">
        <w:t xml:space="preserve"> 366.093,</w:t>
      </w:r>
      <w:r w:rsidRPr="00493A92">
        <w:t xml:space="preserve"> F.S., shall adhere to the following:</w:t>
      </w:r>
    </w:p>
    <w:p w14:paraId="7D1B5005"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D9CC5A" w14:textId="77777777" w:rsidR="00493A92" w:rsidRPr="00493A92" w:rsidRDefault="00493A92" w:rsidP="00493A92">
      <w:pPr>
        <w:spacing w:line="2" w:lineRule="exact"/>
        <w:jc w:val="both"/>
      </w:pPr>
    </w:p>
    <w:p w14:paraId="0D8147FA" w14:textId="3BD7DCB6" w:rsidR="00493A92" w:rsidRPr="00493A92" w:rsidRDefault="00493A92" w:rsidP="00493A9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493A92">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D87ADC">
        <w:t xml:space="preserve"> </w:t>
      </w:r>
      <w:r w:rsidRPr="00493A92">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33B30CE6"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02AD8A" w14:textId="1A6DC34C" w:rsidR="00493A92" w:rsidRPr="00493A92" w:rsidRDefault="00493A92" w:rsidP="00493A9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493A92">
        <w:t>Counsel and witnesses are cautioned to avoid verbalizing confidential information in such a way that would compromise confidentiality.</w:t>
      </w:r>
      <w:r w:rsidR="00D87ADC">
        <w:t xml:space="preserve"> </w:t>
      </w:r>
      <w:r w:rsidRPr="00493A92">
        <w:t>Therefore, confidential information should be presented by written exhibit when reasonably possible.</w:t>
      </w:r>
    </w:p>
    <w:p w14:paraId="3CC88D1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DA15F4" w14:textId="09011596"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At the conclusion of that portion of the hearing that involves confidential information, all copies of confidential exhibits shall be returned to the proffering party.</w:t>
      </w:r>
      <w:r w:rsidR="00D87ADC">
        <w:t xml:space="preserve"> </w:t>
      </w:r>
      <w:r w:rsidRPr="00493A92">
        <w:t>If a confidential exhibit has been admitted into evidence, the copy provided to the court reporter shall be retained in the Office of Commission Clerk’s confidential files.</w:t>
      </w:r>
      <w:r w:rsidR="00D87ADC">
        <w:t xml:space="preserve"> </w:t>
      </w:r>
      <w:r w:rsidRPr="00493A92">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D8926FA"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41A9300B" w14:textId="77777777" w:rsidR="00493A92" w:rsidRPr="00493A92" w:rsidRDefault="000B4679"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493A92" w:rsidRPr="00493A92">
        <w:rPr>
          <w:b/>
          <w:bCs/>
        </w:rPr>
        <w:t>.</w:t>
      </w:r>
      <w:r w:rsidR="00493A92" w:rsidRPr="00493A92">
        <w:rPr>
          <w:b/>
          <w:bCs/>
        </w:rPr>
        <w:tab/>
      </w:r>
      <w:r w:rsidR="00493A92" w:rsidRPr="00493A92">
        <w:rPr>
          <w:b/>
          <w:bCs/>
          <w:u w:val="single"/>
        </w:rPr>
        <w:t>Post-Hearing Procedures</w:t>
      </w:r>
    </w:p>
    <w:p w14:paraId="12A4ED24"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2A3B12" w14:textId="6DAE657B"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If the Commission (or assigned panel) does not render a bench decision at the hearing, it may allow each party to file a post-hearing statement of issues and positions pursuant to the schedule set forth in Section</w:t>
      </w:r>
      <w:r w:rsidR="004C68E9">
        <w:t xml:space="preserve"> IX </w:t>
      </w:r>
      <w:r w:rsidRPr="00493A92">
        <w:t>of t</w:t>
      </w:r>
      <w:r w:rsidR="00D87ADC">
        <w:t>his Order.</w:t>
      </w:r>
      <w:r w:rsidRPr="00493A92">
        <w:t xml:space="preserve"> In such event, a summary of each position of no more than 75 words, set off with asterisks, shall be included in that statement.</w:t>
      </w:r>
      <w:r w:rsidR="00D87ADC">
        <w:t xml:space="preserve"> </w:t>
      </w:r>
      <w:r w:rsidRPr="00493A92">
        <w:t>If a party’s position has not changed since the issuance of the Prehearing Order, the post-hearing statement may simply restate the prehearing position.</w:t>
      </w:r>
      <w:r w:rsidR="00D87ADC">
        <w:t xml:space="preserve"> </w:t>
      </w:r>
      <w:r w:rsidRPr="00493A92">
        <w:t>However, the position must be re</w:t>
      </w:r>
      <w:r w:rsidR="00D87ADC">
        <w:t>duced to no more than 75 words.</w:t>
      </w:r>
      <w:r w:rsidRPr="00493A92">
        <w:t xml:space="preserve"> If a post-hearing statement is required and a party fails to file in conformance with Rule 28-106.215, F.A.C., that party shall have waived all issues and may be dismissed from the proceeding.</w:t>
      </w:r>
    </w:p>
    <w:p w14:paraId="5B28F5D5"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6BD37B" w14:textId="75F468E9"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Further, pursuant to Rule 28-106.215, F.A.C., a party’s proposed findings of fact and conclusions of law, if any, statement of issues and positions, and brief, shall together total no mor</w:t>
      </w:r>
      <w:r w:rsidRPr="00D87ADC">
        <w:t xml:space="preserve">e than </w:t>
      </w:r>
      <w:r w:rsidR="0022049B" w:rsidRPr="00D87ADC">
        <w:t>40</w:t>
      </w:r>
      <w:r w:rsidR="0022049B" w:rsidRPr="00D87ADC">
        <w:rPr>
          <w:b/>
          <w:i/>
        </w:rPr>
        <w:t xml:space="preserve"> </w:t>
      </w:r>
      <w:r w:rsidRPr="00D87ADC">
        <w:t>pages and shall be filed at the same time, unless modified by the Presiding Officer.</w:t>
      </w:r>
      <w:r w:rsidRPr="00493A92">
        <w:t xml:space="preserve"> </w:t>
      </w:r>
    </w:p>
    <w:p w14:paraId="3C9CED20"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41BD7D" w14:textId="77777777" w:rsidR="00493A92" w:rsidRPr="00493A92" w:rsidRDefault="004C68E9"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493A92" w:rsidRPr="00493A92">
        <w:rPr>
          <w:b/>
          <w:bCs/>
        </w:rPr>
        <w:t>X.</w:t>
      </w:r>
      <w:r w:rsidR="00493A92" w:rsidRPr="00493A92">
        <w:rPr>
          <w:b/>
          <w:bCs/>
        </w:rPr>
        <w:tab/>
      </w:r>
      <w:r w:rsidR="00493A92" w:rsidRPr="00493A92">
        <w:rPr>
          <w:b/>
          <w:bCs/>
          <w:u w:val="single"/>
        </w:rPr>
        <w:t>Controlling Dates</w:t>
      </w:r>
    </w:p>
    <w:p w14:paraId="540F4E95"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4692CD"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The following dates have been established to govern the key activities of this case:</w:t>
      </w:r>
    </w:p>
    <w:p w14:paraId="307AB929"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bottom w:w="72" w:type="dxa"/>
          <w:right w:w="120" w:type="dxa"/>
        </w:tblCellMar>
        <w:tblLook w:val="0000" w:firstRow="0" w:lastRow="0" w:firstColumn="0" w:lastColumn="0" w:noHBand="0" w:noVBand="0"/>
      </w:tblPr>
      <w:tblGrid>
        <w:gridCol w:w="720"/>
        <w:gridCol w:w="5220"/>
        <w:gridCol w:w="3420"/>
      </w:tblGrid>
      <w:tr w:rsidR="00F35362" w:rsidRPr="006A7E11" w14:paraId="333BC0E4" w14:textId="77777777" w:rsidTr="004D766C">
        <w:trPr>
          <w:cantSplit/>
          <w:trHeight w:val="720"/>
        </w:trPr>
        <w:tc>
          <w:tcPr>
            <w:tcW w:w="720" w:type="dxa"/>
            <w:shd w:val="clear" w:color="auto" w:fill="auto"/>
          </w:tcPr>
          <w:p w14:paraId="6F1E28F1" w14:textId="77777777" w:rsidR="00F35362" w:rsidRPr="006A7E11" w:rsidRDefault="00F35362" w:rsidP="00F35362">
            <w:pPr>
              <w:numPr>
                <w:ilvl w:val="12"/>
                <w:numId w:val="0"/>
              </w:numPr>
              <w:tabs>
                <w:tab w:val="left" w:pos="0"/>
              </w:tabs>
              <w:jc w:val="both"/>
            </w:pPr>
            <w:r w:rsidRPr="006A7E11">
              <w:t>(1)</w:t>
            </w:r>
          </w:p>
        </w:tc>
        <w:tc>
          <w:tcPr>
            <w:tcW w:w="5220" w:type="dxa"/>
            <w:shd w:val="clear" w:color="auto" w:fill="auto"/>
          </w:tcPr>
          <w:p w14:paraId="4E0B4063" w14:textId="77777777" w:rsidR="004D766C" w:rsidRDefault="00F35362" w:rsidP="00F35362">
            <w:pPr>
              <w:numPr>
                <w:ilvl w:val="12"/>
                <w:numId w:val="0"/>
              </w:numPr>
              <w:tabs>
                <w:tab w:val="left" w:pos="0"/>
                <w:tab w:val="left" w:pos="720"/>
                <w:tab w:val="left" w:pos="1440"/>
                <w:tab w:val="left" w:pos="2160"/>
                <w:tab w:val="left" w:pos="2880"/>
                <w:tab w:val="left" w:pos="3600"/>
                <w:tab w:val="left" w:pos="4320"/>
                <w:tab w:val="left" w:pos="5040"/>
              </w:tabs>
              <w:jc w:val="both"/>
            </w:pPr>
            <w:r w:rsidRPr="006A7E11">
              <w:t>Utilities’ T</w:t>
            </w:r>
            <w:r w:rsidR="004D766C">
              <w:t>estimony and GPIF Schedules for</w:t>
            </w:r>
          </w:p>
          <w:p w14:paraId="73159797" w14:textId="684584F9" w:rsidR="00F35362" w:rsidRPr="006A7E11" w:rsidRDefault="00F35362" w:rsidP="004D766C">
            <w:pPr>
              <w:numPr>
                <w:ilvl w:val="12"/>
                <w:numId w:val="0"/>
              </w:numPr>
              <w:tabs>
                <w:tab w:val="left" w:pos="0"/>
                <w:tab w:val="left" w:pos="720"/>
                <w:tab w:val="left" w:pos="1440"/>
                <w:tab w:val="left" w:pos="2160"/>
                <w:tab w:val="left" w:pos="2880"/>
                <w:tab w:val="left" w:pos="3600"/>
                <w:tab w:val="left" w:pos="4320"/>
                <w:tab w:val="left" w:pos="5040"/>
              </w:tabs>
              <w:spacing w:after="240"/>
              <w:jc w:val="both"/>
            </w:pPr>
            <w:r w:rsidRPr="006A7E11">
              <w:t xml:space="preserve">the period January through December, </w:t>
            </w:r>
            <w:r>
              <w:t>2025</w:t>
            </w:r>
          </w:p>
        </w:tc>
        <w:tc>
          <w:tcPr>
            <w:tcW w:w="3420" w:type="dxa"/>
            <w:shd w:val="clear" w:color="auto" w:fill="auto"/>
          </w:tcPr>
          <w:p w14:paraId="1E656761" w14:textId="14854B62" w:rsidR="00F35362" w:rsidRPr="006A7E11" w:rsidRDefault="009D0520" w:rsidP="00F35362">
            <w:pPr>
              <w:numPr>
                <w:ilvl w:val="12"/>
                <w:numId w:val="0"/>
              </w:numPr>
              <w:tabs>
                <w:tab w:val="left" w:pos="0"/>
                <w:tab w:val="left" w:pos="720"/>
                <w:tab w:val="left" w:pos="1440"/>
                <w:tab w:val="left" w:pos="2160"/>
                <w:tab w:val="left" w:pos="2880"/>
              </w:tabs>
              <w:jc w:val="both"/>
            </w:pPr>
            <w:r>
              <w:t>March 13, 2026</w:t>
            </w:r>
          </w:p>
        </w:tc>
      </w:tr>
      <w:tr w:rsidR="00F35362" w:rsidRPr="006A7E11" w14:paraId="21FD8816" w14:textId="77777777" w:rsidTr="004D766C">
        <w:trPr>
          <w:cantSplit/>
        </w:trPr>
        <w:tc>
          <w:tcPr>
            <w:tcW w:w="720" w:type="dxa"/>
          </w:tcPr>
          <w:p w14:paraId="1663BDB4" w14:textId="77777777" w:rsidR="00F35362" w:rsidRPr="006A7E11" w:rsidRDefault="00F35362" w:rsidP="00F35362">
            <w:pPr>
              <w:numPr>
                <w:ilvl w:val="12"/>
                <w:numId w:val="0"/>
              </w:numPr>
              <w:tabs>
                <w:tab w:val="left" w:pos="0"/>
              </w:tabs>
              <w:jc w:val="both"/>
            </w:pPr>
            <w:r w:rsidRPr="006A7E11">
              <w:t>(2)</w:t>
            </w:r>
          </w:p>
        </w:tc>
        <w:tc>
          <w:tcPr>
            <w:tcW w:w="5220" w:type="dxa"/>
          </w:tcPr>
          <w:p w14:paraId="3165FA58" w14:textId="77777777" w:rsidR="004D766C" w:rsidRDefault="00F35362" w:rsidP="00F35362">
            <w:pPr>
              <w:numPr>
                <w:ilvl w:val="12"/>
                <w:numId w:val="0"/>
              </w:numPr>
              <w:tabs>
                <w:tab w:val="left" w:pos="0"/>
                <w:tab w:val="left" w:pos="720"/>
                <w:tab w:val="left" w:pos="1440"/>
                <w:tab w:val="left" w:pos="2160"/>
                <w:tab w:val="left" w:pos="2880"/>
                <w:tab w:val="left" w:pos="3600"/>
                <w:tab w:val="left" w:pos="4320"/>
                <w:tab w:val="left" w:pos="5040"/>
              </w:tabs>
              <w:jc w:val="both"/>
            </w:pPr>
            <w:r>
              <w:t>Utilities’ 2025</w:t>
            </w:r>
            <w:r w:rsidR="004D766C">
              <w:t xml:space="preserve"> Final True-Up Testimony</w:t>
            </w:r>
          </w:p>
          <w:p w14:paraId="60FC7556" w14:textId="77777777" w:rsidR="004D766C" w:rsidRDefault="00F35362" w:rsidP="00F35362">
            <w:pPr>
              <w:numPr>
                <w:ilvl w:val="12"/>
                <w:numId w:val="0"/>
              </w:numPr>
              <w:tabs>
                <w:tab w:val="left" w:pos="0"/>
                <w:tab w:val="left" w:pos="720"/>
                <w:tab w:val="left" w:pos="1440"/>
                <w:tab w:val="left" w:pos="2160"/>
                <w:tab w:val="left" w:pos="2880"/>
                <w:tab w:val="left" w:pos="3600"/>
                <w:tab w:val="left" w:pos="4320"/>
                <w:tab w:val="left" w:pos="5040"/>
              </w:tabs>
              <w:jc w:val="both"/>
            </w:pPr>
            <w:r w:rsidRPr="006A7E11">
              <w:t xml:space="preserve">and Exhibits for the period January </w:t>
            </w:r>
          </w:p>
          <w:p w14:paraId="0B7151D3" w14:textId="63C6E999" w:rsidR="00F35362" w:rsidRPr="00F35362" w:rsidRDefault="00F35362" w:rsidP="004D766C">
            <w:pPr>
              <w:numPr>
                <w:ilvl w:val="12"/>
                <w:numId w:val="0"/>
              </w:numPr>
              <w:tabs>
                <w:tab w:val="left" w:pos="0"/>
                <w:tab w:val="left" w:pos="720"/>
                <w:tab w:val="left" w:pos="1440"/>
                <w:tab w:val="left" w:pos="2160"/>
                <w:tab w:val="left" w:pos="2880"/>
                <w:tab w:val="left" w:pos="3600"/>
                <w:tab w:val="left" w:pos="4320"/>
                <w:tab w:val="left" w:pos="5040"/>
              </w:tabs>
              <w:spacing w:after="240"/>
              <w:jc w:val="both"/>
            </w:pPr>
            <w:r w:rsidRPr="006A7E11">
              <w:t>through December, 202</w:t>
            </w:r>
            <w:r>
              <w:t>5</w:t>
            </w:r>
          </w:p>
        </w:tc>
        <w:tc>
          <w:tcPr>
            <w:tcW w:w="3420" w:type="dxa"/>
          </w:tcPr>
          <w:p w14:paraId="155CBE4F" w14:textId="08EA850F" w:rsidR="00F35362" w:rsidRPr="006A7E11" w:rsidRDefault="009D0520" w:rsidP="00AC570F">
            <w:pPr>
              <w:numPr>
                <w:ilvl w:val="12"/>
                <w:numId w:val="0"/>
              </w:numPr>
              <w:tabs>
                <w:tab w:val="left" w:pos="0"/>
                <w:tab w:val="left" w:pos="720"/>
                <w:tab w:val="left" w:pos="1440"/>
                <w:tab w:val="left" w:pos="2160"/>
                <w:tab w:val="left" w:pos="2880"/>
              </w:tabs>
              <w:jc w:val="both"/>
            </w:pPr>
            <w:r>
              <w:t xml:space="preserve">April </w:t>
            </w:r>
            <w:r w:rsidR="00AC570F">
              <w:t>3</w:t>
            </w:r>
            <w:r>
              <w:t>, 2026</w:t>
            </w:r>
          </w:p>
        </w:tc>
      </w:tr>
      <w:tr w:rsidR="00F35362" w:rsidRPr="006A7E11" w14:paraId="6D9E4295" w14:textId="77777777" w:rsidTr="004D766C">
        <w:trPr>
          <w:cantSplit/>
        </w:trPr>
        <w:tc>
          <w:tcPr>
            <w:tcW w:w="720" w:type="dxa"/>
            <w:shd w:val="clear" w:color="auto" w:fill="auto"/>
          </w:tcPr>
          <w:p w14:paraId="165A6DFD" w14:textId="77777777" w:rsidR="00F35362" w:rsidRPr="006A7E11" w:rsidRDefault="00F35362" w:rsidP="00F35362">
            <w:pPr>
              <w:numPr>
                <w:ilvl w:val="12"/>
                <w:numId w:val="0"/>
              </w:numPr>
              <w:tabs>
                <w:tab w:val="left" w:pos="0"/>
              </w:tabs>
              <w:jc w:val="both"/>
            </w:pPr>
            <w:r w:rsidRPr="006A7E11">
              <w:t>(3)</w:t>
            </w:r>
          </w:p>
        </w:tc>
        <w:tc>
          <w:tcPr>
            <w:tcW w:w="5220" w:type="dxa"/>
            <w:shd w:val="clear" w:color="auto" w:fill="auto"/>
          </w:tcPr>
          <w:p w14:paraId="354337DC" w14:textId="77777777" w:rsidR="004D766C" w:rsidRDefault="00F35362" w:rsidP="00F35362">
            <w:pPr>
              <w:numPr>
                <w:ilvl w:val="12"/>
                <w:numId w:val="0"/>
              </w:numPr>
              <w:tabs>
                <w:tab w:val="left" w:pos="0"/>
                <w:tab w:val="left" w:pos="720"/>
                <w:tab w:val="left" w:pos="1440"/>
                <w:tab w:val="left" w:pos="2160"/>
                <w:tab w:val="left" w:pos="2880"/>
                <w:tab w:val="left" w:pos="3600"/>
                <w:tab w:val="left" w:pos="4320"/>
                <w:tab w:val="left" w:pos="5040"/>
              </w:tabs>
              <w:jc w:val="both"/>
            </w:pPr>
            <w:r w:rsidRPr="006A7E11">
              <w:t>Utilities’</w:t>
            </w:r>
            <w:r w:rsidR="004D766C">
              <w:t xml:space="preserve"> Testimony and Hedging Activity</w:t>
            </w:r>
          </w:p>
          <w:p w14:paraId="6C1180D5" w14:textId="77777777" w:rsidR="004D766C" w:rsidRDefault="00F35362" w:rsidP="00F35362">
            <w:pPr>
              <w:numPr>
                <w:ilvl w:val="12"/>
                <w:numId w:val="0"/>
              </w:numPr>
              <w:tabs>
                <w:tab w:val="left" w:pos="0"/>
                <w:tab w:val="left" w:pos="720"/>
                <w:tab w:val="left" w:pos="1440"/>
                <w:tab w:val="left" w:pos="2160"/>
                <w:tab w:val="left" w:pos="2880"/>
                <w:tab w:val="left" w:pos="3600"/>
                <w:tab w:val="left" w:pos="4320"/>
                <w:tab w:val="left" w:pos="5040"/>
              </w:tabs>
              <w:jc w:val="both"/>
            </w:pPr>
            <w:r w:rsidRPr="006A7E11">
              <w:t xml:space="preserve">True-Up Report </w:t>
            </w:r>
            <w:r w:rsidR="004D766C">
              <w:t>for the period August</w:t>
            </w:r>
          </w:p>
          <w:p w14:paraId="263A4D04" w14:textId="00BCF50C" w:rsidR="00F35362" w:rsidRPr="006A7E11" w:rsidRDefault="00F35362" w:rsidP="004D766C">
            <w:pPr>
              <w:numPr>
                <w:ilvl w:val="12"/>
                <w:numId w:val="0"/>
              </w:numPr>
              <w:tabs>
                <w:tab w:val="left" w:pos="0"/>
                <w:tab w:val="left" w:pos="720"/>
                <w:tab w:val="left" w:pos="1440"/>
                <w:tab w:val="left" w:pos="2160"/>
                <w:tab w:val="left" w:pos="2880"/>
                <w:tab w:val="left" w:pos="3600"/>
                <w:tab w:val="left" w:pos="4320"/>
                <w:tab w:val="left" w:pos="5040"/>
              </w:tabs>
              <w:spacing w:after="240"/>
              <w:jc w:val="both"/>
            </w:pPr>
            <w:r w:rsidRPr="006A7E11">
              <w:t>through December, 202</w:t>
            </w:r>
            <w:r>
              <w:t>5</w:t>
            </w:r>
          </w:p>
        </w:tc>
        <w:tc>
          <w:tcPr>
            <w:tcW w:w="3420" w:type="dxa"/>
            <w:shd w:val="clear" w:color="auto" w:fill="auto"/>
          </w:tcPr>
          <w:p w14:paraId="25A95E95" w14:textId="2061E878" w:rsidR="00F35362" w:rsidRPr="006A7E11" w:rsidRDefault="00AC570F" w:rsidP="00F35362">
            <w:pPr>
              <w:numPr>
                <w:ilvl w:val="12"/>
                <w:numId w:val="0"/>
              </w:numPr>
              <w:tabs>
                <w:tab w:val="left" w:pos="0"/>
                <w:tab w:val="left" w:pos="720"/>
                <w:tab w:val="left" w:pos="1440"/>
                <w:tab w:val="left" w:pos="2160"/>
                <w:tab w:val="left" w:pos="2880"/>
              </w:tabs>
              <w:jc w:val="both"/>
            </w:pPr>
            <w:r>
              <w:t>April 3</w:t>
            </w:r>
            <w:r w:rsidR="009D0520">
              <w:t>, 2026</w:t>
            </w:r>
          </w:p>
        </w:tc>
      </w:tr>
      <w:tr w:rsidR="00F35362" w:rsidRPr="006A7E11" w14:paraId="682C2A36" w14:textId="77777777" w:rsidTr="004D766C">
        <w:trPr>
          <w:cantSplit/>
        </w:trPr>
        <w:tc>
          <w:tcPr>
            <w:tcW w:w="720" w:type="dxa"/>
          </w:tcPr>
          <w:p w14:paraId="6B6D40C4" w14:textId="77777777" w:rsidR="00F35362" w:rsidRPr="006A7E11" w:rsidRDefault="00F35362" w:rsidP="00F35362">
            <w:pPr>
              <w:numPr>
                <w:ilvl w:val="12"/>
                <w:numId w:val="0"/>
              </w:numPr>
              <w:tabs>
                <w:tab w:val="left" w:pos="0"/>
              </w:tabs>
              <w:jc w:val="both"/>
            </w:pPr>
            <w:r w:rsidRPr="006A7E11">
              <w:t>(4)</w:t>
            </w:r>
          </w:p>
        </w:tc>
        <w:tc>
          <w:tcPr>
            <w:tcW w:w="5220" w:type="dxa"/>
          </w:tcPr>
          <w:p w14:paraId="0C217A07" w14:textId="77777777" w:rsidR="004D766C" w:rsidRDefault="00F35362" w:rsidP="004D766C">
            <w:pPr>
              <w:numPr>
                <w:ilvl w:val="12"/>
                <w:numId w:val="0"/>
              </w:numPr>
              <w:tabs>
                <w:tab w:val="left" w:pos="0"/>
                <w:tab w:val="left" w:pos="720"/>
                <w:tab w:val="left" w:pos="1440"/>
                <w:tab w:val="left" w:pos="2160"/>
                <w:tab w:val="left" w:pos="2880"/>
                <w:tab w:val="left" w:pos="3600"/>
                <w:tab w:val="left" w:pos="4320"/>
                <w:tab w:val="left" w:pos="5040"/>
              </w:tabs>
              <w:jc w:val="both"/>
            </w:pPr>
            <w:r w:rsidRPr="006A7E11">
              <w:t>Utilities’ Actual/Estimated True-Up Testimony</w:t>
            </w:r>
          </w:p>
          <w:p w14:paraId="5E0CA5A5" w14:textId="77777777" w:rsidR="004D766C" w:rsidRDefault="00F35362" w:rsidP="004D766C">
            <w:pPr>
              <w:numPr>
                <w:ilvl w:val="12"/>
                <w:numId w:val="0"/>
              </w:numPr>
              <w:tabs>
                <w:tab w:val="left" w:pos="0"/>
                <w:tab w:val="left" w:pos="720"/>
                <w:tab w:val="left" w:pos="1440"/>
                <w:tab w:val="left" w:pos="2160"/>
                <w:tab w:val="left" w:pos="2880"/>
                <w:tab w:val="left" w:pos="3600"/>
                <w:tab w:val="left" w:pos="4320"/>
                <w:tab w:val="left" w:pos="5040"/>
              </w:tabs>
              <w:jc w:val="both"/>
            </w:pPr>
            <w:r w:rsidRPr="006A7E11">
              <w:t>and Exhibits for the period January</w:t>
            </w:r>
          </w:p>
          <w:p w14:paraId="595A9C1B" w14:textId="70C559A3" w:rsidR="00F35362" w:rsidRPr="00F35362" w:rsidRDefault="00F35362" w:rsidP="004D766C">
            <w:pPr>
              <w:numPr>
                <w:ilvl w:val="12"/>
                <w:numId w:val="0"/>
              </w:numPr>
              <w:tabs>
                <w:tab w:val="left" w:pos="0"/>
                <w:tab w:val="left" w:pos="720"/>
                <w:tab w:val="left" w:pos="1440"/>
                <w:tab w:val="left" w:pos="2160"/>
                <w:tab w:val="left" w:pos="2880"/>
                <w:tab w:val="left" w:pos="3600"/>
                <w:tab w:val="left" w:pos="4320"/>
                <w:tab w:val="left" w:pos="5040"/>
              </w:tabs>
              <w:spacing w:after="240"/>
              <w:jc w:val="both"/>
            </w:pPr>
            <w:r w:rsidRPr="006A7E11">
              <w:t>through December, 202</w:t>
            </w:r>
            <w:r>
              <w:t>6</w:t>
            </w:r>
          </w:p>
        </w:tc>
        <w:tc>
          <w:tcPr>
            <w:tcW w:w="3420" w:type="dxa"/>
          </w:tcPr>
          <w:p w14:paraId="0423B039" w14:textId="36340C2C" w:rsidR="00F35362" w:rsidRPr="006A7E11" w:rsidRDefault="009D0520" w:rsidP="00F35362">
            <w:pPr>
              <w:numPr>
                <w:ilvl w:val="12"/>
                <w:numId w:val="0"/>
              </w:numPr>
              <w:tabs>
                <w:tab w:val="left" w:pos="0"/>
                <w:tab w:val="left" w:pos="720"/>
                <w:tab w:val="left" w:pos="1440"/>
                <w:tab w:val="left" w:pos="2160"/>
                <w:tab w:val="left" w:pos="2880"/>
              </w:tabs>
              <w:jc w:val="both"/>
            </w:pPr>
            <w:r>
              <w:t>July 24, 2026</w:t>
            </w:r>
          </w:p>
        </w:tc>
      </w:tr>
      <w:tr w:rsidR="00F35362" w:rsidRPr="006A7E11" w14:paraId="590E60FA" w14:textId="77777777" w:rsidTr="004D766C">
        <w:trPr>
          <w:cantSplit/>
        </w:trPr>
        <w:tc>
          <w:tcPr>
            <w:tcW w:w="720" w:type="dxa"/>
          </w:tcPr>
          <w:p w14:paraId="015C399B" w14:textId="77777777" w:rsidR="00F35362" w:rsidRPr="006A7E11" w:rsidRDefault="00F35362" w:rsidP="00F35362">
            <w:pPr>
              <w:numPr>
                <w:ilvl w:val="12"/>
                <w:numId w:val="0"/>
              </w:numPr>
              <w:tabs>
                <w:tab w:val="left" w:pos="0"/>
              </w:tabs>
              <w:jc w:val="both"/>
            </w:pPr>
            <w:r w:rsidRPr="006A7E11">
              <w:t>(5)</w:t>
            </w:r>
          </w:p>
        </w:tc>
        <w:tc>
          <w:tcPr>
            <w:tcW w:w="5220" w:type="dxa"/>
          </w:tcPr>
          <w:p w14:paraId="7C9268B2" w14:textId="77777777" w:rsidR="004D766C" w:rsidRDefault="00F35362" w:rsidP="004D766C">
            <w:pPr>
              <w:numPr>
                <w:ilvl w:val="12"/>
                <w:numId w:val="0"/>
              </w:numPr>
              <w:tabs>
                <w:tab w:val="left" w:pos="0"/>
                <w:tab w:val="left" w:pos="720"/>
                <w:tab w:val="left" w:pos="1440"/>
                <w:tab w:val="left" w:pos="2160"/>
                <w:tab w:val="left" w:pos="2880"/>
                <w:tab w:val="left" w:pos="3600"/>
                <w:tab w:val="left" w:pos="4320"/>
                <w:tab w:val="left" w:pos="5040"/>
              </w:tabs>
              <w:jc w:val="both"/>
            </w:pPr>
            <w:r w:rsidRPr="006A7E11">
              <w:t>Utilities</w:t>
            </w:r>
            <w:r>
              <w:t>’</w:t>
            </w:r>
            <w:r w:rsidRPr="006A7E11">
              <w:t xml:space="preserve"> Risk Management Plans January</w:t>
            </w:r>
          </w:p>
          <w:p w14:paraId="4A1A9692" w14:textId="294CA63E" w:rsidR="00F35362" w:rsidRPr="006A7E11" w:rsidRDefault="00F35362" w:rsidP="004D766C">
            <w:pPr>
              <w:numPr>
                <w:ilvl w:val="12"/>
                <w:numId w:val="0"/>
              </w:numPr>
              <w:tabs>
                <w:tab w:val="left" w:pos="0"/>
                <w:tab w:val="left" w:pos="720"/>
                <w:tab w:val="left" w:pos="1440"/>
                <w:tab w:val="left" w:pos="2160"/>
                <w:tab w:val="left" w:pos="2880"/>
                <w:tab w:val="left" w:pos="3600"/>
                <w:tab w:val="left" w:pos="4320"/>
                <w:tab w:val="left" w:pos="5040"/>
              </w:tabs>
              <w:spacing w:after="240"/>
              <w:jc w:val="both"/>
            </w:pPr>
            <w:r w:rsidRPr="006A7E11">
              <w:t>through December, 202</w:t>
            </w:r>
            <w:r>
              <w:t>7</w:t>
            </w:r>
          </w:p>
        </w:tc>
        <w:tc>
          <w:tcPr>
            <w:tcW w:w="3420" w:type="dxa"/>
          </w:tcPr>
          <w:p w14:paraId="790F3FC5" w14:textId="2841A2EE" w:rsidR="00F35362" w:rsidRPr="006A7E11" w:rsidRDefault="009D0520" w:rsidP="00F35362">
            <w:pPr>
              <w:numPr>
                <w:ilvl w:val="12"/>
                <w:numId w:val="0"/>
              </w:numPr>
              <w:tabs>
                <w:tab w:val="left" w:pos="0"/>
                <w:tab w:val="left" w:pos="720"/>
                <w:tab w:val="left" w:pos="1440"/>
                <w:tab w:val="left" w:pos="2160"/>
                <w:tab w:val="left" w:pos="2880"/>
              </w:tabs>
              <w:jc w:val="both"/>
            </w:pPr>
            <w:r>
              <w:t>July 24, 2026</w:t>
            </w:r>
          </w:p>
        </w:tc>
      </w:tr>
      <w:tr w:rsidR="00F35362" w:rsidRPr="006A7E11" w14:paraId="6653EC5B" w14:textId="77777777" w:rsidTr="004D766C">
        <w:trPr>
          <w:cantSplit/>
        </w:trPr>
        <w:tc>
          <w:tcPr>
            <w:tcW w:w="720" w:type="dxa"/>
          </w:tcPr>
          <w:p w14:paraId="17AB2CC4" w14:textId="77777777" w:rsidR="00F35362" w:rsidRPr="006A7E11" w:rsidRDefault="00F35362" w:rsidP="00F35362">
            <w:pPr>
              <w:numPr>
                <w:ilvl w:val="12"/>
                <w:numId w:val="0"/>
              </w:numPr>
              <w:tabs>
                <w:tab w:val="left" w:pos="0"/>
              </w:tabs>
              <w:jc w:val="both"/>
            </w:pPr>
            <w:r w:rsidRPr="006A7E11">
              <w:t>(6)</w:t>
            </w:r>
          </w:p>
        </w:tc>
        <w:tc>
          <w:tcPr>
            <w:tcW w:w="5220" w:type="dxa"/>
          </w:tcPr>
          <w:p w14:paraId="71A17C04" w14:textId="77777777" w:rsidR="004D766C" w:rsidRDefault="00F35362" w:rsidP="00F35362">
            <w:pPr>
              <w:numPr>
                <w:ilvl w:val="12"/>
                <w:numId w:val="0"/>
              </w:numPr>
              <w:tabs>
                <w:tab w:val="left" w:pos="0"/>
                <w:tab w:val="left" w:pos="720"/>
                <w:tab w:val="left" w:pos="1440"/>
                <w:tab w:val="left" w:pos="2160"/>
                <w:tab w:val="left" w:pos="2880"/>
                <w:tab w:val="left" w:pos="3600"/>
                <w:tab w:val="left" w:pos="4320"/>
                <w:tab w:val="left" w:pos="5040"/>
              </w:tabs>
              <w:jc w:val="both"/>
            </w:pPr>
            <w:r w:rsidRPr="006A7E11">
              <w:t xml:space="preserve">Utilities’ Hedging </w:t>
            </w:r>
            <w:r w:rsidR="004D766C">
              <w:t>Activity Supplemental</w:t>
            </w:r>
          </w:p>
          <w:p w14:paraId="1CE11BCB" w14:textId="2D9CC0E9" w:rsidR="00F35362" w:rsidRPr="006A7E11" w:rsidRDefault="00F35362" w:rsidP="00D6417E">
            <w:pPr>
              <w:numPr>
                <w:ilvl w:val="12"/>
                <w:numId w:val="0"/>
              </w:numPr>
              <w:tabs>
                <w:tab w:val="left" w:pos="0"/>
                <w:tab w:val="left" w:pos="720"/>
                <w:tab w:val="left" w:pos="1440"/>
                <w:tab w:val="left" w:pos="2160"/>
                <w:tab w:val="left" w:pos="2880"/>
                <w:tab w:val="left" w:pos="3600"/>
                <w:tab w:val="left" w:pos="4320"/>
                <w:tab w:val="left" w:pos="5040"/>
              </w:tabs>
              <w:spacing w:after="240"/>
              <w:jc w:val="both"/>
            </w:pPr>
            <w:r w:rsidRPr="006A7E11">
              <w:t>Report for the period January through July, 202</w:t>
            </w:r>
            <w:r>
              <w:t>6</w:t>
            </w:r>
          </w:p>
        </w:tc>
        <w:tc>
          <w:tcPr>
            <w:tcW w:w="3420" w:type="dxa"/>
          </w:tcPr>
          <w:p w14:paraId="02F40441" w14:textId="2F8530CE" w:rsidR="00F35362" w:rsidRPr="006A7E11" w:rsidRDefault="009D0520" w:rsidP="00F35362">
            <w:pPr>
              <w:numPr>
                <w:ilvl w:val="12"/>
                <w:numId w:val="0"/>
              </w:numPr>
              <w:tabs>
                <w:tab w:val="left" w:pos="0"/>
                <w:tab w:val="left" w:pos="720"/>
                <w:tab w:val="left" w:pos="1440"/>
                <w:tab w:val="left" w:pos="2160"/>
                <w:tab w:val="left" w:pos="2880"/>
              </w:tabs>
              <w:jc w:val="both"/>
            </w:pPr>
            <w:r>
              <w:t>August 7, 2026</w:t>
            </w:r>
          </w:p>
        </w:tc>
      </w:tr>
      <w:tr w:rsidR="00F35362" w:rsidRPr="006A7E11" w14:paraId="03C12EB5" w14:textId="77777777" w:rsidTr="004D766C">
        <w:trPr>
          <w:cantSplit/>
        </w:trPr>
        <w:tc>
          <w:tcPr>
            <w:tcW w:w="720" w:type="dxa"/>
          </w:tcPr>
          <w:p w14:paraId="3C9F487C" w14:textId="77777777" w:rsidR="00F35362" w:rsidRPr="006A7E11" w:rsidRDefault="00F35362" w:rsidP="00F35362">
            <w:pPr>
              <w:numPr>
                <w:ilvl w:val="12"/>
                <w:numId w:val="0"/>
              </w:numPr>
              <w:tabs>
                <w:tab w:val="left" w:pos="0"/>
              </w:tabs>
              <w:jc w:val="both"/>
            </w:pPr>
            <w:r w:rsidRPr="006A7E11">
              <w:t>(7)</w:t>
            </w:r>
          </w:p>
        </w:tc>
        <w:tc>
          <w:tcPr>
            <w:tcW w:w="5220" w:type="dxa"/>
          </w:tcPr>
          <w:p w14:paraId="45AC9D54" w14:textId="77777777" w:rsidR="00F35362" w:rsidRPr="006A7E11" w:rsidRDefault="00F35362" w:rsidP="00F35362">
            <w:pPr>
              <w:numPr>
                <w:ilvl w:val="12"/>
                <w:numId w:val="0"/>
              </w:numPr>
              <w:tabs>
                <w:tab w:val="left" w:pos="0"/>
                <w:tab w:val="left" w:pos="720"/>
                <w:tab w:val="left" w:pos="1440"/>
                <w:tab w:val="left" w:pos="2160"/>
                <w:tab w:val="left" w:pos="2880"/>
                <w:tab w:val="left" w:pos="3600"/>
                <w:tab w:val="left" w:pos="4320"/>
                <w:tab w:val="left" w:pos="5040"/>
              </w:tabs>
              <w:jc w:val="both"/>
            </w:pPr>
            <w:r w:rsidRPr="006A7E11">
              <w:t>Utilities</w:t>
            </w:r>
            <w:r>
              <w:t>’</w:t>
            </w:r>
            <w:r w:rsidRPr="006A7E11">
              <w:t xml:space="preserve"> 202</w:t>
            </w:r>
            <w:r>
              <w:t>7</w:t>
            </w:r>
            <w:r w:rsidRPr="006A7E11">
              <w:t xml:space="preserve"> Projection Testimony and Exhibits</w:t>
            </w:r>
          </w:p>
        </w:tc>
        <w:tc>
          <w:tcPr>
            <w:tcW w:w="3420" w:type="dxa"/>
          </w:tcPr>
          <w:p w14:paraId="0A1C8905" w14:textId="6D5FE3AE" w:rsidR="00F35362" w:rsidRPr="006A7E11" w:rsidRDefault="009D0520" w:rsidP="00F35362">
            <w:pPr>
              <w:numPr>
                <w:ilvl w:val="12"/>
                <w:numId w:val="0"/>
              </w:numPr>
              <w:tabs>
                <w:tab w:val="left" w:pos="0"/>
                <w:tab w:val="left" w:pos="720"/>
                <w:tab w:val="left" w:pos="1440"/>
                <w:tab w:val="left" w:pos="2160"/>
                <w:tab w:val="left" w:pos="2880"/>
              </w:tabs>
              <w:jc w:val="both"/>
            </w:pPr>
            <w:r>
              <w:t>September 3, 2026</w:t>
            </w:r>
          </w:p>
        </w:tc>
      </w:tr>
      <w:tr w:rsidR="00493A92" w:rsidRPr="00493A92" w14:paraId="552DC1B2" w14:textId="77777777" w:rsidTr="004D766C">
        <w:trPr>
          <w:cantSplit/>
        </w:trPr>
        <w:tc>
          <w:tcPr>
            <w:tcW w:w="720" w:type="dxa"/>
          </w:tcPr>
          <w:p w14:paraId="25297779" w14:textId="77777777" w:rsidR="00493A92" w:rsidRPr="00493A92" w:rsidRDefault="00493A92" w:rsidP="00F47AB5">
            <w:pPr>
              <w:numPr>
                <w:ilvl w:val="12"/>
                <w:numId w:val="0"/>
              </w:numPr>
              <w:tabs>
                <w:tab w:val="left" w:pos="0"/>
              </w:tabs>
              <w:spacing w:before="120" w:after="57"/>
              <w:jc w:val="both"/>
            </w:pPr>
            <w:r w:rsidRPr="00493A92">
              <w:t>(</w:t>
            </w:r>
            <w:r w:rsidR="00F47AB5">
              <w:t>8</w:t>
            </w:r>
            <w:r w:rsidRPr="00493A92">
              <w:t>)</w:t>
            </w:r>
          </w:p>
        </w:tc>
        <w:tc>
          <w:tcPr>
            <w:tcW w:w="5220" w:type="dxa"/>
          </w:tcPr>
          <w:p w14:paraId="42D92CC1"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3A92">
              <w:t>Intervenors’ testimony and exhibits</w:t>
            </w:r>
          </w:p>
        </w:tc>
        <w:tc>
          <w:tcPr>
            <w:tcW w:w="3420" w:type="dxa"/>
          </w:tcPr>
          <w:p w14:paraId="2096D31D" w14:textId="7E2281AB" w:rsidR="00493A92" w:rsidRPr="00493A92" w:rsidRDefault="009D0520" w:rsidP="009D0520">
            <w:pPr>
              <w:numPr>
                <w:ilvl w:val="12"/>
                <w:numId w:val="0"/>
              </w:numPr>
              <w:tabs>
                <w:tab w:val="left" w:pos="0"/>
                <w:tab w:val="left" w:pos="720"/>
                <w:tab w:val="left" w:pos="1440"/>
                <w:tab w:val="left" w:pos="2160"/>
                <w:tab w:val="left" w:pos="2880"/>
              </w:tabs>
              <w:spacing w:before="120" w:after="57"/>
              <w:jc w:val="both"/>
            </w:pPr>
            <w:r>
              <w:t>September 11, 2026</w:t>
            </w:r>
          </w:p>
        </w:tc>
      </w:tr>
      <w:tr w:rsidR="00493A92" w:rsidRPr="00493A92" w14:paraId="4AAE8D79" w14:textId="77777777" w:rsidTr="004D766C">
        <w:trPr>
          <w:cantSplit/>
        </w:trPr>
        <w:tc>
          <w:tcPr>
            <w:tcW w:w="720" w:type="dxa"/>
          </w:tcPr>
          <w:p w14:paraId="576CB26A" w14:textId="77777777" w:rsidR="00493A92" w:rsidRPr="00493A92" w:rsidRDefault="00493A92" w:rsidP="00F47AB5">
            <w:pPr>
              <w:numPr>
                <w:ilvl w:val="12"/>
                <w:numId w:val="0"/>
              </w:numPr>
              <w:tabs>
                <w:tab w:val="left" w:pos="0"/>
              </w:tabs>
              <w:spacing w:before="120" w:after="57"/>
              <w:jc w:val="both"/>
            </w:pPr>
            <w:r w:rsidRPr="00493A92">
              <w:lastRenderedPageBreak/>
              <w:t>(</w:t>
            </w:r>
            <w:r w:rsidR="00F47AB5">
              <w:t>9</w:t>
            </w:r>
            <w:r w:rsidRPr="00493A92">
              <w:t>)</w:t>
            </w:r>
          </w:p>
        </w:tc>
        <w:tc>
          <w:tcPr>
            <w:tcW w:w="5220" w:type="dxa"/>
          </w:tcPr>
          <w:p w14:paraId="000563CE"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3A92">
              <w:t>Staff’s testimony and exhibits, if any</w:t>
            </w:r>
          </w:p>
        </w:tc>
        <w:tc>
          <w:tcPr>
            <w:tcW w:w="3420" w:type="dxa"/>
          </w:tcPr>
          <w:p w14:paraId="69D27A66" w14:textId="6658C6F1" w:rsidR="00493A92" w:rsidRPr="00493A92" w:rsidRDefault="009D0520" w:rsidP="00493A92">
            <w:pPr>
              <w:numPr>
                <w:ilvl w:val="12"/>
                <w:numId w:val="0"/>
              </w:numPr>
              <w:tabs>
                <w:tab w:val="left" w:pos="0"/>
                <w:tab w:val="left" w:pos="720"/>
                <w:tab w:val="left" w:pos="1440"/>
                <w:tab w:val="left" w:pos="2160"/>
                <w:tab w:val="left" w:pos="2880"/>
              </w:tabs>
              <w:spacing w:before="120" w:after="57"/>
              <w:jc w:val="both"/>
            </w:pPr>
            <w:r>
              <w:t>September 16, 2026</w:t>
            </w:r>
          </w:p>
        </w:tc>
      </w:tr>
      <w:tr w:rsidR="00493A92" w:rsidRPr="00493A92" w14:paraId="3123C733" w14:textId="77777777" w:rsidTr="004D766C">
        <w:trPr>
          <w:cantSplit/>
        </w:trPr>
        <w:tc>
          <w:tcPr>
            <w:tcW w:w="720" w:type="dxa"/>
          </w:tcPr>
          <w:p w14:paraId="25762A4F" w14:textId="77777777" w:rsidR="00493A92" w:rsidRPr="00493A92" w:rsidRDefault="00493A92" w:rsidP="00F47AB5">
            <w:pPr>
              <w:numPr>
                <w:ilvl w:val="12"/>
                <w:numId w:val="0"/>
              </w:numPr>
              <w:tabs>
                <w:tab w:val="left" w:pos="0"/>
              </w:tabs>
              <w:spacing w:before="120" w:after="57"/>
              <w:jc w:val="both"/>
            </w:pPr>
            <w:r w:rsidRPr="00493A92">
              <w:t>(</w:t>
            </w:r>
            <w:r w:rsidR="00F47AB5">
              <w:t>10</w:t>
            </w:r>
            <w:r w:rsidRPr="00493A92">
              <w:t>)</w:t>
            </w:r>
          </w:p>
        </w:tc>
        <w:tc>
          <w:tcPr>
            <w:tcW w:w="5220" w:type="dxa"/>
          </w:tcPr>
          <w:p w14:paraId="4141D9E3"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3A92">
              <w:t xml:space="preserve">Rebuttal testimony and exhibits </w:t>
            </w:r>
          </w:p>
        </w:tc>
        <w:tc>
          <w:tcPr>
            <w:tcW w:w="3420" w:type="dxa"/>
          </w:tcPr>
          <w:p w14:paraId="1650B45B" w14:textId="73395F86" w:rsidR="00493A92" w:rsidRPr="00493A92" w:rsidRDefault="009D0520" w:rsidP="00493A92">
            <w:pPr>
              <w:numPr>
                <w:ilvl w:val="12"/>
                <w:numId w:val="0"/>
              </w:numPr>
              <w:tabs>
                <w:tab w:val="left" w:pos="0"/>
                <w:tab w:val="left" w:pos="720"/>
                <w:tab w:val="left" w:pos="1440"/>
                <w:tab w:val="left" w:pos="2160"/>
                <w:tab w:val="left" w:pos="2880"/>
              </w:tabs>
              <w:spacing w:before="120" w:after="57"/>
              <w:jc w:val="both"/>
            </w:pPr>
            <w:r>
              <w:t>September 25, 2026</w:t>
            </w:r>
          </w:p>
        </w:tc>
      </w:tr>
      <w:tr w:rsidR="00493A92" w:rsidRPr="00493A92" w14:paraId="6C5AE4FA" w14:textId="77777777" w:rsidTr="004D766C">
        <w:trPr>
          <w:cantSplit/>
        </w:trPr>
        <w:tc>
          <w:tcPr>
            <w:tcW w:w="720" w:type="dxa"/>
          </w:tcPr>
          <w:p w14:paraId="449DB596" w14:textId="77777777" w:rsidR="00493A92" w:rsidRPr="00493A92" w:rsidRDefault="00493A92" w:rsidP="00F47AB5">
            <w:pPr>
              <w:numPr>
                <w:ilvl w:val="12"/>
                <w:numId w:val="0"/>
              </w:numPr>
              <w:tabs>
                <w:tab w:val="left" w:pos="0"/>
              </w:tabs>
              <w:spacing w:before="120" w:after="57"/>
              <w:jc w:val="both"/>
            </w:pPr>
            <w:r w:rsidRPr="00493A92">
              <w:t>(</w:t>
            </w:r>
            <w:r w:rsidR="00F47AB5">
              <w:t>11</w:t>
            </w:r>
            <w:r w:rsidRPr="00493A92">
              <w:t>)</w:t>
            </w:r>
          </w:p>
        </w:tc>
        <w:tc>
          <w:tcPr>
            <w:tcW w:w="5220" w:type="dxa"/>
          </w:tcPr>
          <w:p w14:paraId="714C0EF6"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3A92">
              <w:t>Prehearing Statements</w:t>
            </w:r>
          </w:p>
        </w:tc>
        <w:tc>
          <w:tcPr>
            <w:tcW w:w="3420" w:type="dxa"/>
          </w:tcPr>
          <w:p w14:paraId="0DE6DA8C" w14:textId="188250E1" w:rsidR="00493A92" w:rsidRPr="00493A92" w:rsidRDefault="009D0520" w:rsidP="00493A92">
            <w:pPr>
              <w:numPr>
                <w:ilvl w:val="12"/>
                <w:numId w:val="0"/>
              </w:numPr>
              <w:tabs>
                <w:tab w:val="left" w:pos="0"/>
                <w:tab w:val="left" w:pos="720"/>
                <w:tab w:val="left" w:pos="1440"/>
                <w:tab w:val="left" w:pos="2160"/>
                <w:tab w:val="left" w:pos="2880"/>
              </w:tabs>
              <w:spacing w:before="120" w:after="57"/>
              <w:jc w:val="both"/>
            </w:pPr>
            <w:r>
              <w:t>October 5, 2026</w:t>
            </w:r>
          </w:p>
        </w:tc>
      </w:tr>
      <w:tr w:rsidR="00F47AB5" w:rsidRPr="00493A92" w14:paraId="077F17A9" w14:textId="77777777" w:rsidTr="004D766C">
        <w:trPr>
          <w:cantSplit/>
        </w:trPr>
        <w:tc>
          <w:tcPr>
            <w:tcW w:w="720" w:type="dxa"/>
          </w:tcPr>
          <w:p w14:paraId="760F4CE5" w14:textId="77777777" w:rsidR="00F47AB5" w:rsidRPr="00493A92" w:rsidRDefault="00F47AB5" w:rsidP="00F47AB5">
            <w:pPr>
              <w:numPr>
                <w:ilvl w:val="12"/>
                <w:numId w:val="0"/>
              </w:numPr>
              <w:tabs>
                <w:tab w:val="left" w:pos="0"/>
              </w:tabs>
              <w:spacing w:before="120" w:after="57"/>
              <w:jc w:val="both"/>
            </w:pPr>
            <w:r w:rsidRPr="00493A92">
              <w:t>(</w:t>
            </w:r>
            <w:r>
              <w:t>12</w:t>
            </w:r>
            <w:r w:rsidRPr="00493A92">
              <w:t>)</w:t>
            </w:r>
          </w:p>
        </w:tc>
        <w:tc>
          <w:tcPr>
            <w:tcW w:w="5220" w:type="dxa"/>
          </w:tcPr>
          <w:p w14:paraId="4405D39E" w14:textId="77777777" w:rsidR="00F47AB5" w:rsidRPr="00493A92" w:rsidRDefault="00F47AB5" w:rsidP="0087442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3A92">
              <w:t>Discovery deadline</w:t>
            </w:r>
          </w:p>
        </w:tc>
        <w:tc>
          <w:tcPr>
            <w:tcW w:w="3420" w:type="dxa"/>
          </w:tcPr>
          <w:p w14:paraId="2E9439ED" w14:textId="75D0996F" w:rsidR="00F47AB5" w:rsidRPr="00493A92" w:rsidRDefault="009447B7" w:rsidP="00874424">
            <w:pPr>
              <w:numPr>
                <w:ilvl w:val="12"/>
                <w:numId w:val="0"/>
              </w:numPr>
              <w:tabs>
                <w:tab w:val="left" w:pos="0"/>
                <w:tab w:val="left" w:pos="720"/>
                <w:tab w:val="left" w:pos="1440"/>
                <w:tab w:val="left" w:pos="2160"/>
                <w:tab w:val="left" w:pos="2880"/>
              </w:tabs>
              <w:spacing w:before="120" w:after="57"/>
              <w:jc w:val="both"/>
            </w:pPr>
            <w:r>
              <w:t>October 14, 2026</w:t>
            </w:r>
          </w:p>
        </w:tc>
      </w:tr>
      <w:tr w:rsidR="00493A92" w:rsidRPr="00493A92" w14:paraId="574654F5" w14:textId="77777777" w:rsidTr="004D766C">
        <w:trPr>
          <w:cantSplit/>
        </w:trPr>
        <w:tc>
          <w:tcPr>
            <w:tcW w:w="720" w:type="dxa"/>
          </w:tcPr>
          <w:p w14:paraId="31BB6AB7" w14:textId="77777777" w:rsidR="00493A92" w:rsidRPr="00493A92" w:rsidRDefault="00493A92" w:rsidP="00F47AB5">
            <w:pPr>
              <w:numPr>
                <w:ilvl w:val="12"/>
                <w:numId w:val="0"/>
              </w:numPr>
              <w:tabs>
                <w:tab w:val="left" w:pos="0"/>
              </w:tabs>
              <w:spacing w:before="120" w:after="57"/>
              <w:jc w:val="both"/>
            </w:pPr>
            <w:r w:rsidRPr="00493A92">
              <w:t>(</w:t>
            </w:r>
            <w:r w:rsidR="00F47AB5">
              <w:t>13</w:t>
            </w:r>
            <w:r w:rsidRPr="00493A92">
              <w:t>)</w:t>
            </w:r>
          </w:p>
        </w:tc>
        <w:tc>
          <w:tcPr>
            <w:tcW w:w="5220" w:type="dxa"/>
          </w:tcPr>
          <w:p w14:paraId="7DF9AA6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3A92">
              <w:t>Prehearing Conference</w:t>
            </w:r>
          </w:p>
        </w:tc>
        <w:tc>
          <w:tcPr>
            <w:tcW w:w="3420" w:type="dxa"/>
          </w:tcPr>
          <w:p w14:paraId="6E0BD70F" w14:textId="1A5D8A41" w:rsidR="00493A92" w:rsidRPr="00493A92" w:rsidRDefault="009447B7" w:rsidP="00493A92">
            <w:pPr>
              <w:numPr>
                <w:ilvl w:val="12"/>
                <w:numId w:val="0"/>
              </w:numPr>
              <w:tabs>
                <w:tab w:val="left" w:pos="0"/>
                <w:tab w:val="left" w:pos="720"/>
                <w:tab w:val="left" w:pos="1440"/>
                <w:tab w:val="left" w:pos="2160"/>
                <w:tab w:val="left" w:pos="2880"/>
              </w:tabs>
              <w:spacing w:before="120" w:after="57"/>
              <w:jc w:val="both"/>
            </w:pPr>
            <w:r>
              <w:t>October 20, 2026</w:t>
            </w:r>
          </w:p>
        </w:tc>
      </w:tr>
      <w:tr w:rsidR="00493A92" w:rsidRPr="00493A92" w14:paraId="0B29E246" w14:textId="77777777" w:rsidTr="004D766C">
        <w:trPr>
          <w:cantSplit/>
        </w:trPr>
        <w:tc>
          <w:tcPr>
            <w:tcW w:w="720" w:type="dxa"/>
          </w:tcPr>
          <w:p w14:paraId="4036143E" w14:textId="77777777" w:rsidR="00493A92" w:rsidRPr="00493A92" w:rsidRDefault="00493A92" w:rsidP="00F47AB5">
            <w:pPr>
              <w:numPr>
                <w:ilvl w:val="12"/>
                <w:numId w:val="0"/>
              </w:numPr>
              <w:tabs>
                <w:tab w:val="left" w:pos="0"/>
              </w:tabs>
              <w:spacing w:before="120" w:after="57"/>
              <w:jc w:val="both"/>
            </w:pPr>
            <w:r w:rsidRPr="00493A92">
              <w:t>(</w:t>
            </w:r>
            <w:r w:rsidR="00F47AB5">
              <w:t>14</w:t>
            </w:r>
            <w:r w:rsidRPr="00493A92">
              <w:t>)</w:t>
            </w:r>
          </w:p>
        </w:tc>
        <w:tc>
          <w:tcPr>
            <w:tcW w:w="5220" w:type="dxa"/>
          </w:tcPr>
          <w:p w14:paraId="75B3752C"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3A92">
              <w:t>Provision of Exhibits</w:t>
            </w:r>
          </w:p>
        </w:tc>
        <w:tc>
          <w:tcPr>
            <w:tcW w:w="3420" w:type="dxa"/>
          </w:tcPr>
          <w:p w14:paraId="00A31359" w14:textId="34F14793" w:rsidR="00493A92" w:rsidRPr="00493A92" w:rsidRDefault="009447B7" w:rsidP="00B6017D">
            <w:pPr>
              <w:numPr>
                <w:ilvl w:val="12"/>
                <w:numId w:val="0"/>
              </w:numPr>
              <w:tabs>
                <w:tab w:val="left" w:pos="0"/>
                <w:tab w:val="left" w:pos="720"/>
                <w:tab w:val="left" w:pos="1440"/>
                <w:tab w:val="left" w:pos="2160"/>
                <w:tab w:val="left" w:pos="2880"/>
              </w:tabs>
              <w:spacing w:before="120" w:after="57"/>
              <w:jc w:val="both"/>
            </w:pPr>
            <w:r>
              <w:t>October 2</w:t>
            </w:r>
            <w:r w:rsidR="00B6017D">
              <w:t>6</w:t>
            </w:r>
            <w:r>
              <w:t>, 2026</w:t>
            </w:r>
          </w:p>
        </w:tc>
      </w:tr>
      <w:tr w:rsidR="00493A92" w:rsidRPr="00493A92" w14:paraId="202BE943" w14:textId="77777777" w:rsidTr="004D766C">
        <w:trPr>
          <w:cantSplit/>
          <w:trHeight w:val="454"/>
        </w:trPr>
        <w:tc>
          <w:tcPr>
            <w:tcW w:w="720" w:type="dxa"/>
          </w:tcPr>
          <w:p w14:paraId="60DA5FF6" w14:textId="77777777" w:rsidR="00493A92" w:rsidRPr="00493A92" w:rsidRDefault="00493A92" w:rsidP="00F47AB5">
            <w:pPr>
              <w:numPr>
                <w:ilvl w:val="12"/>
                <w:numId w:val="0"/>
              </w:numPr>
              <w:tabs>
                <w:tab w:val="left" w:pos="0"/>
              </w:tabs>
              <w:spacing w:before="120" w:after="57"/>
              <w:jc w:val="both"/>
            </w:pPr>
            <w:r w:rsidRPr="00493A92">
              <w:t>(</w:t>
            </w:r>
            <w:r w:rsidR="00F47AB5">
              <w:t>15</w:t>
            </w:r>
            <w:r w:rsidRPr="00493A92">
              <w:t>)</w:t>
            </w:r>
          </w:p>
        </w:tc>
        <w:tc>
          <w:tcPr>
            <w:tcW w:w="5220" w:type="dxa"/>
          </w:tcPr>
          <w:p w14:paraId="34A03F1D"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3A92">
              <w:t>Hearing</w:t>
            </w:r>
          </w:p>
        </w:tc>
        <w:tc>
          <w:tcPr>
            <w:tcW w:w="3420" w:type="dxa"/>
          </w:tcPr>
          <w:p w14:paraId="02A21C7F" w14:textId="77777777" w:rsidR="00493A92" w:rsidRPr="00493A92" w:rsidRDefault="001B6DF2" w:rsidP="00493A92">
            <w:pPr>
              <w:numPr>
                <w:ilvl w:val="12"/>
                <w:numId w:val="0"/>
              </w:numPr>
              <w:tabs>
                <w:tab w:val="left" w:pos="0"/>
                <w:tab w:val="left" w:pos="720"/>
                <w:tab w:val="left" w:pos="1440"/>
                <w:tab w:val="left" w:pos="2160"/>
                <w:tab w:val="left" w:pos="2880"/>
              </w:tabs>
              <w:spacing w:before="120" w:after="57"/>
              <w:jc w:val="both"/>
            </w:pPr>
            <w:r>
              <w:t>November 3-6, 2026</w:t>
            </w:r>
          </w:p>
        </w:tc>
      </w:tr>
      <w:tr w:rsidR="00493A92" w:rsidRPr="00493A92" w14:paraId="58C00F6D" w14:textId="77777777" w:rsidTr="004D766C">
        <w:trPr>
          <w:cantSplit/>
        </w:trPr>
        <w:tc>
          <w:tcPr>
            <w:tcW w:w="720" w:type="dxa"/>
          </w:tcPr>
          <w:p w14:paraId="4FA080DD" w14:textId="77777777" w:rsidR="00493A92" w:rsidRPr="00493A92" w:rsidRDefault="00493A92" w:rsidP="00F47AB5">
            <w:pPr>
              <w:numPr>
                <w:ilvl w:val="12"/>
                <w:numId w:val="0"/>
              </w:numPr>
              <w:tabs>
                <w:tab w:val="left" w:pos="0"/>
              </w:tabs>
              <w:spacing w:before="120" w:after="57"/>
              <w:jc w:val="both"/>
            </w:pPr>
            <w:r w:rsidRPr="00493A92">
              <w:t>(1</w:t>
            </w:r>
            <w:r w:rsidR="00F47AB5">
              <w:t>6</w:t>
            </w:r>
            <w:r w:rsidRPr="00493A92">
              <w:t>)</w:t>
            </w:r>
          </w:p>
        </w:tc>
        <w:tc>
          <w:tcPr>
            <w:tcW w:w="5220" w:type="dxa"/>
          </w:tcPr>
          <w:p w14:paraId="1719ED24" w14:textId="77777777" w:rsidR="004D766C" w:rsidRDefault="00F47AB5" w:rsidP="004D766C">
            <w:pPr>
              <w:numPr>
                <w:ilvl w:val="12"/>
                <w:numId w:val="0"/>
              </w:numPr>
              <w:tabs>
                <w:tab w:val="left" w:pos="0"/>
                <w:tab w:val="left" w:pos="720"/>
                <w:tab w:val="left" w:pos="1440"/>
                <w:tab w:val="left" w:pos="2160"/>
                <w:tab w:val="left" w:pos="2880"/>
                <w:tab w:val="left" w:pos="3600"/>
                <w:tab w:val="left" w:pos="4320"/>
                <w:tab w:val="left" w:pos="5040"/>
              </w:tabs>
              <w:spacing w:before="120"/>
              <w:jc w:val="both"/>
            </w:pPr>
            <w:r w:rsidRPr="00F47AB5">
              <w:t>Post-H</w:t>
            </w:r>
            <w:r w:rsidR="004D766C">
              <w:t>earing Statements of Issues and</w:t>
            </w:r>
          </w:p>
          <w:p w14:paraId="5B7C80BD" w14:textId="48E51315" w:rsidR="00493A92" w:rsidRPr="00493A92" w:rsidRDefault="00F47AB5" w:rsidP="004D766C">
            <w:pPr>
              <w:numPr>
                <w:ilvl w:val="12"/>
                <w:numId w:val="0"/>
              </w:numPr>
              <w:tabs>
                <w:tab w:val="left" w:pos="0"/>
                <w:tab w:val="left" w:pos="720"/>
                <w:tab w:val="left" w:pos="1440"/>
                <w:tab w:val="left" w:pos="2160"/>
                <w:tab w:val="left" w:pos="2880"/>
                <w:tab w:val="left" w:pos="3600"/>
                <w:tab w:val="left" w:pos="4320"/>
                <w:tab w:val="left" w:pos="5040"/>
              </w:tabs>
              <w:spacing w:after="57"/>
              <w:jc w:val="both"/>
            </w:pPr>
            <w:r w:rsidRPr="00F47AB5">
              <w:t>Positions,</w:t>
            </w:r>
            <w:r>
              <w:t xml:space="preserve"> </w:t>
            </w:r>
            <w:r w:rsidRPr="00F47AB5">
              <w:t>and Briefs, if any</w:t>
            </w:r>
          </w:p>
        </w:tc>
        <w:tc>
          <w:tcPr>
            <w:tcW w:w="3420" w:type="dxa"/>
          </w:tcPr>
          <w:p w14:paraId="5263C66C" w14:textId="05776CFA" w:rsidR="00493A92" w:rsidRPr="00493A92" w:rsidRDefault="009447B7" w:rsidP="00493A92">
            <w:pPr>
              <w:numPr>
                <w:ilvl w:val="12"/>
                <w:numId w:val="0"/>
              </w:numPr>
              <w:tabs>
                <w:tab w:val="left" w:pos="0"/>
                <w:tab w:val="left" w:pos="720"/>
                <w:tab w:val="left" w:pos="1440"/>
                <w:tab w:val="left" w:pos="2160"/>
                <w:tab w:val="left" w:pos="2880"/>
              </w:tabs>
              <w:spacing w:before="120" w:after="57"/>
              <w:jc w:val="both"/>
            </w:pPr>
            <w:r>
              <w:t>November 13, 2026</w:t>
            </w:r>
          </w:p>
        </w:tc>
      </w:tr>
    </w:tbl>
    <w:p w14:paraId="5B1C9B8B"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880041" w14:textId="5F922C1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 xml:space="preserve">In addition, all parties should be on notice that the Prehearing Officer may exercise the discretion to schedule additional Prehearing Conferences or meetings of the </w:t>
      </w:r>
      <w:r w:rsidR="00D87ADC">
        <w:t xml:space="preserve">parties as deemed appropriate. </w:t>
      </w:r>
      <w:r w:rsidRPr="00493A92">
        <w:t>Such meetings will be properly noticed to afford the parti</w:t>
      </w:r>
      <w:r w:rsidR="00D87ADC">
        <w:t xml:space="preserve">es an opportunity to attend. </w:t>
      </w:r>
    </w:p>
    <w:p w14:paraId="437EB8D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871535"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3A92">
        <w:tab/>
        <w:t>Based upon the foregoing, it is</w:t>
      </w:r>
    </w:p>
    <w:p w14:paraId="2C45760F" w14:textId="77777777" w:rsidR="00493A92" w:rsidRPr="00493A92" w:rsidRDefault="00493A92" w:rsidP="00493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FCEF530" w14:textId="77777777" w:rsidR="00CB5276" w:rsidRDefault="00493A92" w:rsidP="00493A92">
      <w:pPr>
        <w:pStyle w:val="OrderBody"/>
      </w:pPr>
      <w:r w:rsidRPr="00493A92">
        <w:tab/>
        <w:t>ORDERED by Commissioner</w:t>
      </w:r>
      <w:r w:rsidR="00185AFE">
        <w:t xml:space="preserve"> Gary </w:t>
      </w:r>
      <w:r w:rsidR="007034B5">
        <w:t xml:space="preserve">F. </w:t>
      </w:r>
      <w:r w:rsidR="00185AFE">
        <w:t>Clark</w:t>
      </w:r>
      <w:r w:rsidR="007034B5">
        <w:t>,</w:t>
      </w:r>
      <w:r w:rsidRPr="00493A92">
        <w:t xml:space="preserve"> as Prehearing Officer, that the provisions of this Order shall govern this proceeding unless modified by the Commission.</w:t>
      </w:r>
    </w:p>
    <w:p w14:paraId="41A1272D" w14:textId="77777777" w:rsidR="00493A92" w:rsidRDefault="00493A92" w:rsidP="00493A92">
      <w:pPr>
        <w:pStyle w:val="OrderBody"/>
      </w:pPr>
    </w:p>
    <w:p w14:paraId="7414DA1B" w14:textId="017BCF4B" w:rsidR="00493A92" w:rsidRDefault="00493A92" w:rsidP="00493A92">
      <w:pPr>
        <w:pStyle w:val="OrderBody"/>
        <w:keepNext/>
        <w:keepLines/>
      </w:pPr>
      <w:r>
        <w:lastRenderedPageBreak/>
        <w:tab/>
        <w:t xml:space="preserve">By ORDER of Commissioner Gary F. Clark, as Prehearing Officer, this </w:t>
      </w:r>
      <w:bookmarkStart w:id="6" w:name="replaceDate"/>
      <w:bookmarkEnd w:id="6"/>
      <w:r w:rsidR="001700CC">
        <w:rPr>
          <w:u w:val="single"/>
        </w:rPr>
        <w:t>6th</w:t>
      </w:r>
      <w:r w:rsidR="001700CC">
        <w:t xml:space="preserve"> day of </w:t>
      </w:r>
      <w:r w:rsidR="001700CC">
        <w:rPr>
          <w:u w:val="single"/>
        </w:rPr>
        <w:t>February</w:t>
      </w:r>
      <w:r w:rsidR="001700CC">
        <w:t xml:space="preserve">, </w:t>
      </w:r>
      <w:r w:rsidR="001700CC">
        <w:rPr>
          <w:u w:val="single"/>
        </w:rPr>
        <w:t>2026</w:t>
      </w:r>
      <w:r w:rsidR="001700CC">
        <w:t>.</w:t>
      </w:r>
    </w:p>
    <w:p w14:paraId="05CC33D6" w14:textId="77777777" w:rsidR="001700CC" w:rsidRPr="001700CC" w:rsidRDefault="001700CC" w:rsidP="00493A92">
      <w:pPr>
        <w:pStyle w:val="OrderBody"/>
        <w:keepNext/>
        <w:keepLines/>
      </w:pPr>
    </w:p>
    <w:p w14:paraId="5F003D8F" w14:textId="77777777" w:rsidR="00493A92" w:rsidRDefault="00493A92" w:rsidP="00493A92">
      <w:pPr>
        <w:pStyle w:val="OrderBody"/>
        <w:keepNext/>
        <w:keepLines/>
      </w:pPr>
    </w:p>
    <w:p w14:paraId="3D95B9B3" w14:textId="13836335" w:rsidR="008C7C5C" w:rsidRDefault="008C7C5C" w:rsidP="00493A92">
      <w:pPr>
        <w:pStyle w:val="OrderBody"/>
        <w:keepNext/>
        <w:keepLines/>
      </w:pPr>
    </w:p>
    <w:p w14:paraId="32819C68" w14:textId="77777777" w:rsidR="008C7C5C" w:rsidRDefault="008C7C5C" w:rsidP="00493A92">
      <w:pPr>
        <w:pStyle w:val="OrderBody"/>
        <w:keepNext/>
        <w:keepLines/>
      </w:pPr>
    </w:p>
    <w:p w14:paraId="5866D8C1" w14:textId="77777777" w:rsidR="00493A92" w:rsidRDefault="00493A92" w:rsidP="00493A9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3A92" w14:paraId="3B64D7DD" w14:textId="77777777" w:rsidTr="00493A92">
        <w:tc>
          <w:tcPr>
            <w:tcW w:w="720" w:type="dxa"/>
            <w:shd w:val="clear" w:color="auto" w:fill="auto"/>
          </w:tcPr>
          <w:p w14:paraId="7C965254" w14:textId="77777777" w:rsidR="00493A92" w:rsidRDefault="00493A92" w:rsidP="00493A92">
            <w:pPr>
              <w:pStyle w:val="OrderBody"/>
              <w:keepNext/>
              <w:keepLines/>
            </w:pPr>
            <w:bookmarkStart w:id="7" w:name="bkmrkSignature" w:colFirst="0" w:colLast="0"/>
          </w:p>
        </w:tc>
        <w:tc>
          <w:tcPr>
            <w:tcW w:w="4320" w:type="dxa"/>
            <w:tcBorders>
              <w:bottom w:val="single" w:sz="4" w:space="0" w:color="auto"/>
            </w:tcBorders>
            <w:shd w:val="clear" w:color="auto" w:fill="auto"/>
          </w:tcPr>
          <w:p w14:paraId="2DE16823" w14:textId="23947DA6" w:rsidR="00493A92" w:rsidRDefault="000F44D8" w:rsidP="00493A92">
            <w:pPr>
              <w:pStyle w:val="OrderBody"/>
              <w:keepNext/>
              <w:keepLines/>
            </w:pPr>
            <w:r>
              <w:t>/s/ Gary F. Clark</w:t>
            </w:r>
            <w:bookmarkStart w:id="8" w:name="_GoBack"/>
            <w:bookmarkEnd w:id="8"/>
          </w:p>
        </w:tc>
      </w:tr>
      <w:bookmarkEnd w:id="7"/>
      <w:tr w:rsidR="00493A92" w14:paraId="5BE72DD3" w14:textId="77777777" w:rsidTr="00493A92">
        <w:tc>
          <w:tcPr>
            <w:tcW w:w="720" w:type="dxa"/>
            <w:shd w:val="clear" w:color="auto" w:fill="auto"/>
          </w:tcPr>
          <w:p w14:paraId="26BA0843" w14:textId="77777777" w:rsidR="00493A92" w:rsidRDefault="00493A92" w:rsidP="00493A92">
            <w:pPr>
              <w:pStyle w:val="OrderBody"/>
              <w:keepNext/>
              <w:keepLines/>
            </w:pPr>
          </w:p>
        </w:tc>
        <w:tc>
          <w:tcPr>
            <w:tcW w:w="4320" w:type="dxa"/>
            <w:tcBorders>
              <w:top w:val="single" w:sz="4" w:space="0" w:color="auto"/>
            </w:tcBorders>
            <w:shd w:val="clear" w:color="auto" w:fill="auto"/>
          </w:tcPr>
          <w:p w14:paraId="49DBB70C" w14:textId="77777777" w:rsidR="00493A92" w:rsidRDefault="00493A92" w:rsidP="00493A92">
            <w:pPr>
              <w:pStyle w:val="OrderBody"/>
              <w:keepNext/>
              <w:keepLines/>
            </w:pPr>
            <w:r>
              <w:t>GARY F. CLARK</w:t>
            </w:r>
          </w:p>
          <w:p w14:paraId="0D0A36DB" w14:textId="77777777" w:rsidR="00493A92" w:rsidRDefault="00493A92" w:rsidP="00493A92">
            <w:pPr>
              <w:pStyle w:val="OrderBody"/>
              <w:keepNext/>
              <w:keepLines/>
            </w:pPr>
            <w:r>
              <w:t>Commissioner and Prehearing Officer</w:t>
            </w:r>
          </w:p>
        </w:tc>
      </w:tr>
    </w:tbl>
    <w:p w14:paraId="4ED5CF51" w14:textId="77777777" w:rsidR="00493A92" w:rsidRDefault="00493A92" w:rsidP="00493A92">
      <w:pPr>
        <w:pStyle w:val="OrderSigInfo"/>
        <w:keepNext/>
        <w:keepLines/>
      </w:pPr>
      <w:r>
        <w:t>Florida Public Service Commission</w:t>
      </w:r>
    </w:p>
    <w:p w14:paraId="7B7F4431" w14:textId="77777777" w:rsidR="00493A92" w:rsidRDefault="00493A92" w:rsidP="00493A92">
      <w:pPr>
        <w:pStyle w:val="OrderSigInfo"/>
        <w:keepNext/>
        <w:keepLines/>
      </w:pPr>
      <w:r>
        <w:t>2540 Shumard Oak Boulevard</w:t>
      </w:r>
    </w:p>
    <w:p w14:paraId="5C680FF9" w14:textId="77777777" w:rsidR="00493A92" w:rsidRDefault="00493A92" w:rsidP="00493A92">
      <w:pPr>
        <w:pStyle w:val="OrderSigInfo"/>
        <w:keepNext/>
        <w:keepLines/>
      </w:pPr>
      <w:r>
        <w:t>Tallahassee, Florida 32399</w:t>
      </w:r>
    </w:p>
    <w:p w14:paraId="1F39AD2F" w14:textId="77777777" w:rsidR="00493A92" w:rsidRDefault="00493A92" w:rsidP="00493A92">
      <w:pPr>
        <w:pStyle w:val="OrderSigInfo"/>
        <w:keepNext/>
        <w:keepLines/>
      </w:pPr>
      <w:r>
        <w:t>(850) 413</w:t>
      </w:r>
      <w:r>
        <w:noBreakHyphen/>
        <w:t>6770</w:t>
      </w:r>
    </w:p>
    <w:p w14:paraId="02B5A2DE" w14:textId="77777777" w:rsidR="00493A92" w:rsidRDefault="00493A92" w:rsidP="00493A92">
      <w:pPr>
        <w:pStyle w:val="OrderSigInfo"/>
        <w:keepNext/>
        <w:keepLines/>
      </w:pPr>
      <w:r>
        <w:t>www.floridapsc.com</w:t>
      </w:r>
    </w:p>
    <w:p w14:paraId="0D35DA5F" w14:textId="77777777" w:rsidR="00493A92" w:rsidRDefault="00493A92" w:rsidP="00493A92">
      <w:pPr>
        <w:pStyle w:val="OrderSigInfo"/>
        <w:keepNext/>
        <w:keepLines/>
      </w:pPr>
    </w:p>
    <w:p w14:paraId="66071912" w14:textId="77777777" w:rsidR="00493A92" w:rsidRDefault="00493A92" w:rsidP="00493A92">
      <w:pPr>
        <w:pStyle w:val="OrderSigInfo"/>
        <w:keepNext/>
        <w:keepLines/>
      </w:pPr>
      <w:r>
        <w:t>Copies furnished:  A copy of this document is provided to the parties of record at the time of issuance and, if applicable, interested persons.</w:t>
      </w:r>
    </w:p>
    <w:p w14:paraId="3959BEF7" w14:textId="77777777" w:rsidR="00493A92" w:rsidRDefault="00493A92" w:rsidP="00493A92">
      <w:pPr>
        <w:pStyle w:val="OrderBody"/>
        <w:keepNext/>
        <w:keepLines/>
      </w:pPr>
    </w:p>
    <w:p w14:paraId="42FFE8D1" w14:textId="77777777" w:rsidR="00493A92" w:rsidRDefault="00493A92" w:rsidP="00493A92">
      <w:pPr>
        <w:pStyle w:val="OrderBody"/>
        <w:keepNext/>
        <w:keepLines/>
      </w:pPr>
    </w:p>
    <w:p w14:paraId="6E9360A8" w14:textId="525856D2" w:rsidR="00493A92" w:rsidRDefault="00D87ADC" w:rsidP="00493A92">
      <w:pPr>
        <w:pStyle w:val="OrderBody"/>
        <w:keepNext/>
        <w:keepLines/>
      </w:pPr>
      <w:r>
        <w:t>MRT</w:t>
      </w:r>
    </w:p>
    <w:p w14:paraId="26EFF8DB" w14:textId="77777777" w:rsidR="00493A92" w:rsidRDefault="00493A92" w:rsidP="00493A92">
      <w:pPr>
        <w:pStyle w:val="OrderBody"/>
      </w:pPr>
    </w:p>
    <w:p w14:paraId="5F2AABB8" w14:textId="77777777" w:rsidR="00493A92" w:rsidRDefault="00493A92" w:rsidP="00493A92">
      <w:pPr>
        <w:pStyle w:val="OrderBody"/>
      </w:pPr>
    </w:p>
    <w:p w14:paraId="030A9A99" w14:textId="77777777" w:rsidR="00493A92" w:rsidRDefault="00493A92" w:rsidP="00493A92">
      <w:pPr>
        <w:pStyle w:val="CenterUnderline"/>
      </w:pPr>
      <w:r>
        <w:t>NOTICE OF FURTHER PROCEEDINGS OR JUDICIAL REVIEW</w:t>
      </w:r>
    </w:p>
    <w:p w14:paraId="48D99083" w14:textId="77777777" w:rsidR="00493A92" w:rsidRDefault="00493A92" w:rsidP="00493A92">
      <w:pPr>
        <w:pStyle w:val="CenterUnderline"/>
      </w:pPr>
    </w:p>
    <w:p w14:paraId="5D89BC85" w14:textId="77777777" w:rsidR="00493A92" w:rsidRDefault="00493A92" w:rsidP="00493A9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8121D60" w14:textId="77777777" w:rsidR="00493A92" w:rsidRDefault="00493A92" w:rsidP="00493A92">
      <w:pPr>
        <w:pStyle w:val="OrderBody"/>
      </w:pPr>
    </w:p>
    <w:p w14:paraId="39FDA44C" w14:textId="77777777" w:rsidR="00493A92" w:rsidRDefault="00493A92" w:rsidP="00493A92">
      <w:pPr>
        <w:pStyle w:val="OrderBody"/>
      </w:pPr>
      <w:r>
        <w:tab/>
        <w:t>Mediation may be available on a case-by-case basis.  If mediation is conducted, it does not affect a substantially interested person's right to a hearing.</w:t>
      </w:r>
    </w:p>
    <w:p w14:paraId="5294C8D5" w14:textId="77777777" w:rsidR="00493A92" w:rsidRDefault="00493A92" w:rsidP="00493A92">
      <w:pPr>
        <w:pStyle w:val="OrderBody"/>
      </w:pPr>
    </w:p>
    <w:p w14:paraId="30E96953" w14:textId="77777777" w:rsidR="00493A92" w:rsidRDefault="00493A92" w:rsidP="00493A9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4162E83" w14:textId="77777777" w:rsidR="00F44A61" w:rsidRDefault="00F44A61">
      <w:pPr>
        <w:sectPr w:rsidR="00F44A61">
          <w:headerReference w:type="default" r:id="rId11"/>
          <w:pgSz w:w="12240" w:h="15840" w:code="1"/>
          <w:pgMar w:top="1440" w:right="1440" w:bottom="1440" w:left="1440" w:header="720" w:footer="720" w:gutter="0"/>
          <w:cols w:space="720"/>
          <w:titlePg/>
          <w:docGrid w:linePitch="360"/>
        </w:sectPr>
      </w:pPr>
    </w:p>
    <w:p w14:paraId="5C8EE770" w14:textId="77777777" w:rsidR="00AE38CB" w:rsidRPr="00AE38CB" w:rsidRDefault="00AE38CB" w:rsidP="00AE38CB">
      <w:pPr>
        <w:autoSpaceDE w:val="0"/>
        <w:autoSpaceDN w:val="0"/>
        <w:adjustRightInd w:val="0"/>
        <w:ind w:left="1440" w:hanging="1440"/>
        <w:jc w:val="center"/>
        <w:rPr>
          <w:b/>
        </w:rPr>
      </w:pPr>
      <w:r w:rsidRPr="00AE38CB">
        <w:rPr>
          <w:b/>
        </w:rPr>
        <w:lastRenderedPageBreak/>
        <w:t>DOCKET NO. 20260001-EI</w:t>
      </w:r>
    </w:p>
    <w:p w14:paraId="715197A4" w14:textId="77777777" w:rsidR="00AE38CB" w:rsidRPr="00AE38CB" w:rsidRDefault="00AE38CB" w:rsidP="00AE38CB">
      <w:pPr>
        <w:autoSpaceDE w:val="0"/>
        <w:autoSpaceDN w:val="0"/>
        <w:adjustRightInd w:val="0"/>
        <w:ind w:left="1440" w:hanging="1440"/>
        <w:jc w:val="center"/>
        <w:rPr>
          <w:b/>
        </w:rPr>
      </w:pPr>
      <w:r w:rsidRPr="00AE38CB">
        <w:rPr>
          <w:b/>
        </w:rPr>
        <w:t>DRAFT STAFF ISSUES</w:t>
      </w:r>
    </w:p>
    <w:p w14:paraId="62335441" w14:textId="7E40AD0C" w:rsidR="00AE38CB" w:rsidRPr="00AE38CB" w:rsidRDefault="008D634B" w:rsidP="00AE38CB">
      <w:pPr>
        <w:autoSpaceDE w:val="0"/>
        <w:autoSpaceDN w:val="0"/>
        <w:adjustRightInd w:val="0"/>
        <w:ind w:left="1440" w:hanging="1440"/>
        <w:jc w:val="center"/>
        <w:rPr>
          <w:b/>
          <w:u w:val="single"/>
        </w:rPr>
      </w:pPr>
      <w:r>
        <w:rPr>
          <w:b/>
          <w:u w:val="single"/>
        </w:rPr>
        <w:t>January 26. 2026</w:t>
      </w:r>
    </w:p>
    <w:p w14:paraId="66342E2F" w14:textId="77777777" w:rsidR="00AE38CB" w:rsidRPr="00AE38CB" w:rsidRDefault="00AE38CB" w:rsidP="00AE38CB">
      <w:pPr>
        <w:autoSpaceDE w:val="0"/>
        <w:autoSpaceDN w:val="0"/>
        <w:adjustRightInd w:val="0"/>
        <w:ind w:left="1440" w:hanging="1440"/>
        <w:jc w:val="center"/>
        <w:rPr>
          <w:b/>
        </w:rPr>
      </w:pPr>
    </w:p>
    <w:p w14:paraId="7ADCA27A" w14:textId="77777777" w:rsidR="00AE38CB" w:rsidRPr="00AE38CB" w:rsidRDefault="00AE38CB" w:rsidP="00AE38CB">
      <w:pPr>
        <w:autoSpaceDE w:val="0"/>
        <w:autoSpaceDN w:val="0"/>
        <w:adjustRightInd w:val="0"/>
        <w:ind w:left="1440" w:hanging="1440"/>
        <w:jc w:val="center"/>
        <w:rPr>
          <w:b/>
        </w:rPr>
      </w:pPr>
    </w:p>
    <w:p w14:paraId="7D52279D" w14:textId="77777777" w:rsidR="00AE38CB" w:rsidRPr="00AE38CB" w:rsidRDefault="00AE38CB" w:rsidP="00AE38CB">
      <w:pPr>
        <w:jc w:val="both"/>
        <w:rPr>
          <w:b/>
          <w:u w:val="single"/>
        </w:rPr>
      </w:pPr>
      <w:r w:rsidRPr="00AE38CB">
        <w:rPr>
          <w:b/>
          <w:u w:val="single"/>
        </w:rPr>
        <w:t>I.</w:t>
      </w:r>
      <w:r w:rsidRPr="00AE38CB">
        <w:rPr>
          <w:b/>
        </w:rPr>
        <w:tab/>
      </w:r>
      <w:r w:rsidRPr="00AE38CB">
        <w:rPr>
          <w:b/>
          <w:u w:val="single"/>
        </w:rPr>
        <w:t>COMPANY-SPECIFIC FUEL ISSUES</w:t>
      </w:r>
    </w:p>
    <w:p w14:paraId="53C6B7A2" w14:textId="77777777" w:rsidR="00AE38CB" w:rsidRPr="00AE38CB" w:rsidRDefault="00AE38CB" w:rsidP="00AE38CB">
      <w:pPr>
        <w:autoSpaceDE w:val="0"/>
        <w:autoSpaceDN w:val="0"/>
        <w:adjustRightInd w:val="0"/>
        <w:ind w:left="1440" w:hanging="1440"/>
        <w:jc w:val="both"/>
        <w:rPr>
          <w:b/>
        </w:rPr>
      </w:pPr>
    </w:p>
    <w:p w14:paraId="097F9699" w14:textId="400189A9" w:rsidR="00AE38CB" w:rsidRPr="00AE38CB" w:rsidRDefault="008D634B" w:rsidP="00AE38CB">
      <w:pPr>
        <w:autoSpaceDE w:val="0"/>
        <w:autoSpaceDN w:val="0"/>
        <w:adjustRightInd w:val="0"/>
        <w:ind w:left="1440" w:hanging="1440"/>
        <w:jc w:val="both"/>
        <w:rPr>
          <w:b/>
        </w:rPr>
      </w:pPr>
      <w:r>
        <w:rPr>
          <w:b/>
        </w:rPr>
        <w:t>Duke Energy Florida, LLC</w:t>
      </w:r>
    </w:p>
    <w:p w14:paraId="7EC12FC3" w14:textId="77777777" w:rsidR="00AE38CB" w:rsidRPr="00AE38CB" w:rsidRDefault="00AE38CB" w:rsidP="00AE38CB">
      <w:pPr>
        <w:tabs>
          <w:tab w:val="left" w:pos="8571"/>
        </w:tabs>
        <w:autoSpaceDE w:val="0"/>
        <w:autoSpaceDN w:val="0"/>
        <w:adjustRightInd w:val="0"/>
        <w:ind w:left="1440" w:hanging="1440"/>
        <w:jc w:val="both"/>
      </w:pPr>
    </w:p>
    <w:p w14:paraId="54525748" w14:textId="77777777" w:rsidR="00AE38CB" w:rsidRPr="00AE38CB" w:rsidRDefault="00AE38CB" w:rsidP="00AE38CB">
      <w:pPr>
        <w:autoSpaceDE w:val="0"/>
        <w:autoSpaceDN w:val="0"/>
        <w:adjustRightInd w:val="0"/>
        <w:ind w:left="1440" w:hanging="1440"/>
        <w:jc w:val="both"/>
      </w:pPr>
      <w:r w:rsidRPr="00AE38CB">
        <w:rPr>
          <w:b/>
          <w:u w:val="single"/>
        </w:rPr>
        <w:t>ISSUE 1A</w:t>
      </w:r>
      <w:r w:rsidRPr="00AE38CB">
        <w:rPr>
          <w:b/>
        </w:rPr>
        <w:t>:</w:t>
      </w:r>
      <w:r w:rsidRPr="00AE38CB">
        <w:rPr>
          <w:b/>
        </w:rPr>
        <w:tab/>
      </w:r>
      <w:r w:rsidRPr="00AE38CB">
        <w:t>Should the Commission approve DEF’s 2027 Risk Management Plan?</w:t>
      </w:r>
    </w:p>
    <w:p w14:paraId="449B3151" w14:textId="77777777" w:rsidR="00610D12" w:rsidRPr="00610D12" w:rsidRDefault="00610D12" w:rsidP="00AE38CB">
      <w:pPr>
        <w:autoSpaceDE w:val="0"/>
        <w:autoSpaceDN w:val="0"/>
        <w:adjustRightInd w:val="0"/>
        <w:jc w:val="both"/>
      </w:pPr>
    </w:p>
    <w:p w14:paraId="68EBE1ED" w14:textId="0DE87B3A" w:rsidR="00AE38CB" w:rsidRDefault="00AE38CB" w:rsidP="008D634B">
      <w:pPr>
        <w:autoSpaceDE w:val="0"/>
        <w:autoSpaceDN w:val="0"/>
        <w:adjustRightInd w:val="0"/>
        <w:ind w:left="1440" w:hanging="1440"/>
        <w:jc w:val="both"/>
      </w:pPr>
      <w:r w:rsidRPr="00AE38CB">
        <w:rPr>
          <w:b/>
          <w:u w:val="single"/>
        </w:rPr>
        <w:t>ISSUE 1B</w:t>
      </w:r>
      <w:r w:rsidRPr="00AE38CB">
        <w:rPr>
          <w:b/>
        </w:rPr>
        <w:t>:</w:t>
      </w:r>
      <w:r w:rsidRPr="00AE38CB">
        <w:rPr>
          <w:b/>
        </w:rPr>
        <w:tab/>
      </w:r>
      <w:r w:rsidRPr="00AE38CB">
        <w:t>What is the appropriate subscription bill credit associated with DEF’s Clean Energy Connection Program, approved by Order No. PSC-2021-0059-S-EI, to be included for recovery in 2027?</w:t>
      </w:r>
      <w:r w:rsidR="008D634B">
        <w:t xml:space="preserve"> </w:t>
      </w:r>
    </w:p>
    <w:p w14:paraId="7DB52621" w14:textId="77777777" w:rsidR="00610D12" w:rsidRPr="00AE38CB" w:rsidRDefault="00610D12" w:rsidP="00AE38CB">
      <w:pPr>
        <w:autoSpaceDE w:val="0"/>
        <w:autoSpaceDN w:val="0"/>
        <w:adjustRightInd w:val="0"/>
        <w:jc w:val="both"/>
      </w:pPr>
    </w:p>
    <w:p w14:paraId="7C3CC0BD" w14:textId="627B7494" w:rsidR="00AE38CB" w:rsidRDefault="00AE38CB" w:rsidP="008D634B">
      <w:pPr>
        <w:autoSpaceDE w:val="0"/>
        <w:autoSpaceDN w:val="0"/>
        <w:adjustRightInd w:val="0"/>
        <w:ind w:left="1440" w:hanging="1440"/>
        <w:jc w:val="both"/>
      </w:pPr>
      <w:r w:rsidRPr="00AE38CB">
        <w:rPr>
          <w:b/>
          <w:bCs/>
          <w:u w:val="single"/>
        </w:rPr>
        <w:t>ISSUE 1C:</w:t>
      </w:r>
      <w:r w:rsidR="00874424">
        <w:tab/>
      </w:r>
      <w:r w:rsidRPr="00AE38CB">
        <w:t>What is the appropriate Clean Energy Impact (CEI) credit, approved by Order No. PSC-2023-0191-TRF-EI, to be included in the fuel clause in 2027?</w:t>
      </w:r>
      <w:r w:rsidR="008D634B">
        <w:t xml:space="preserve"> </w:t>
      </w:r>
    </w:p>
    <w:p w14:paraId="625182D7" w14:textId="77777777" w:rsidR="00610D12" w:rsidRPr="00AE38CB" w:rsidRDefault="00610D12" w:rsidP="00AE38CB">
      <w:pPr>
        <w:autoSpaceDE w:val="0"/>
        <w:autoSpaceDN w:val="0"/>
        <w:adjustRightInd w:val="0"/>
        <w:jc w:val="both"/>
      </w:pPr>
    </w:p>
    <w:p w14:paraId="6237E94C" w14:textId="469D228F" w:rsidR="00AE38CB" w:rsidRDefault="00AE38CB" w:rsidP="008D634B">
      <w:pPr>
        <w:autoSpaceDE w:val="0"/>
        <w:autoSpaceDN w:val="0"/>
        <w:adjustRightInd w:val="0"/>
        <w:ind w:left="1440" w:hanging="1440"/>
        <w:jc w:val="both"/>
      </w:pPr>
      <w:r w:rsidRPr="00AE38CB">
        <w:rPr>
          <w:b/>
          <w:bCs/>
          <w:u w:val="single"/>
        </w:rPr>
        <w:t>ISSUE 1D:</w:t>
      </w:r>
      <w:r w:rsidR="00874424">
        <w:tab/>
      </w:r>
      <w:r w:rsidRPr="00AE38CB">
        <w:t>What is the appropriate amount of the storm cost recovery true-up to be credited to the fuel clause in the period January 2026 through December 2026 per Order No. PSC-2025-0204-FOF-EI?</w:t>
      </w:r>
      <w:r w:rsidR="008D634B">
        <w:t xml:space="preserve"> </w:t>
      </w:r>
    </w:p>
    <w:p w14:paraId="3A8ABB22" w14:textId="03DD0426" w:rsidR="00610D12" w:rsidRDefault="00610D12" w:rsidP="00AE38CB">
      <w:pPr>
        <w:autoSpaceDE w:val="0"/>
        <w:autoSpaceDN w:val="0"/>
        <w:adjustRightInd w:val="0"/>
        <w:jc w:val="both"/>
      </w:pPr>
    </w:p>
    <w:p w14:paraId="50F4E87D" w14:textId="77777777" w:rsidR="008D634B" w:rsidRPr="00AE38CB" w:rsidRDefault="008D634B" w:rsidP="00AE38CB">
      <w:pPr>
        <w:autoSpaceDE w:val="0"/>
        <w:autoSpaceDN w:val="0"/>
        <w:adjustRightInd w:val="0"/>
        <w:jc w:val="both"/>
      </w:pPr>
    </w:p>
    <w:p w14:paraId="15FDFF4C" w14:textId="77777777" w:rsidR="00AE38CB" w:rsidRPr="00AE38CB" w:rsidRDefault="00AE38CB" w:rsidP="00AE38CB">
      <w:pPr>
        <w:autoSpaceDE w:val="0"/>
        <w:autoSpaceDN w:val="0"/>
        <w:adjustRightInd w:val="0"/>
        <w:ind w:left="1440" w:hanging="1440"/>
        <w:jc w:val="both"/>
        <w:rPr>
          <w:b/>
          <w:u w:val="single"/>
        </w:rPr>
      </w:pPr>
      <w:r w:rsidRPr="00AE38CB">
        <w:rPr>
          <w:b/>
        </w:rPr>
        <w:t>Florida Power &amp; Light Company</w:t>
      </w:r>
    </w:p>
    <w:p w14:paraId="4C37D5A9" w14:textId="77777777" w:rsidR="00AE38CB" w:rsidRPr="00550DE8" w:rsidRDefault="00AE38CB" w:rsidP="00AE38CB">
      <w:pPr>
        <w:autoSpaceDE w:val="0"/>
        <w:autoSpaceDN w:val="0"/>
        <w:adjustRightInd w:val="0"/>
        <w:ind w:left="1440" w:hanging="1440"/>
        <w:jc w:val="both"/>
      </w:pPr>
    </w:p>
    <w:p w14:paraId="150C8013" w14:textId="53BE2E39" w:rsidR="00AE38CB" w:rsidRDefault="00AE38CB" w:rsidP="00AE38CB">
      <w:pPr>
        <w:autoSpaceDE w:val="0"/>
        <w:autoSpaceDN w:val="0"/>
        <w:adjustRightInd w:val="0"/>
        <w:ind w:left="1440" w:hanging="1440"/>
        <w:jc w:val="both"/>
      </w:pPr>
      <w:r w:rsidRPr="00AE38CB">
        <w:rPr>
          <w:b/>
          <w:u w:val="single"/>
        </w:rPr>
        <w:t>ISSUE 2A:</w:t>
      </w:r>
      <w:r w:rsidRPr="00AE38CB">
        <w:tab/>
        <w:t>What was the total gain under FPL’s Incentive Mechanism approved by Order No. PSC-2021-0446A-S-EI that FPL may recover for the period January 2025 through December 2025, and how should that gain to be shared between FPL and its customers?</w:t>
      </w:r>
    </w:p>
    <w:p w14:paraId="42002EA1" w14:textId="77777777" w:rsidR="008D634B" w:rsidRPr="00AE38CB" w:rsidRDefault="008D634B" w:rsidP="00AE38CB">
      <w:pPr>
        <w:autoSpaceDE w:val="0"/>
        <w:autoSpaceDN w:val="0"/>
        <w:adjustRightInd w:val="0"/>
        <w:ind w:left="1440" w:hanging="1440"/>
        <w:jc w:val="both"/>
      </w:pPr>
    </w:p>
    <w:p w14:paraId="71BD5E9E" w14:textId="14C91F96" w:rsidR="00AE38CB" w:rsidRDefault="00AE38CB" w:rsidP="008D634B">
      <w:pPr>
        <w:autoSpaceDE w:val="0"/>
        <w:autoSpaceDN w:val="0"/>
        <w:adjustRightInd w:val="0"/>
        <w:ind w:left="1440" w:hanging="1440"/>
        <w:jc w:val="both"/>
      </w:pPr>
      <w:r w:rsidRPr="00AE38CB">
        <w:rPr>
          <w:b/>
          <w:u w:val="single"/>
        </w:rPr>
        <w:t>ISSUE 2B:</w:t>
      </w:r>
      <w:r w:rsidRPr="00AE38CB">
        <w:tab/>
        <w:t>What is the appropriate amount of Incremental Optimization Costs under FPL’s Incentive Mechanism approved by Order No. PSC-2021-0446A-S-EI that FPL should be allowed to recover through the fuel clause for Personnel, Software, and Hardware costs for the period January 2025 through December 2025?</w:t>
      </w:r>
      <w:r w:rsidR="008D634B">
        <w:t xml:space="preserve"> </w:t>
      </w:r>
    </w:p>
    <w:p w14:paraId="5ED3BFF5" w14:textId="77777777" w:rsidR="00610D12" w:rsidRPr="00AE38CB" w:rsidRDefault="00610D12" w:rsidP="00AE38CB"/>
    <w:p w14:paraId="5B4292CF" w14:textId="77777777" w:rsidR="008D634B" w:rsidRDefault="00AE38CB" w:rsidP="008D634B">
      <w:pPr>
        <w:autoSpaceDE w:val="0"/>
        <w:autoSpaceDN w:val="0"/>
        <w:adjustRightInd w:val="0"/>
        <w:ind w:left="1440" w:hanging="1440"/>
        <w:jc w:val="both"/>
      </w:pPr>
      <w:r w:rsidRPr="00AE38CB">
        <w:rPr>
          <w:b/>
          <w:u w:val="single"/>
        </w:rPr>
        <w:t>ISSUE 2C:</w:t>
      </w:r>
      <w:r w:rsidRPr="00AE38CB">
        <w:tab/>
        <w:t>What is the appropriate amount of Variable Power Plant O&amp;M Attributable to Off-System Sales under FPL’s Incentive Mechanism approved by Order No. PSC-2021-0446A-S-EI that FPL should be allowed to recover through the fuel clause for the period January 2025 through December 2025?</w:t>
      </w:r>
    </w:p>
    <w:p w14:paraId="61F3C670" w14:textId="25341CD3" w:rsidR="00610D12" w:rsidRPr="00AE38CB" w:rsidRDefault="008D634B" w:rsidP="008D634B">
      <w:pPr>
        <w:autoSpaceDE w:val="0"/>
        <w:autoSpaceDN w:val="0"/>
        <w:adjustRightInd w:val="0"/>
        <w:ind w:left="1440" w:hanging="1440"/>
        <w:jc w:val="both"/>
      </w:pPr>
      <w:r w:rsidRPr="00AE38CB">
        <w:t xml:space="preserve"> </w:t>
      </w:r>
    </w:p>
    <w:p w14:paraId="7668CC70" w14:textId="10D06B03" w:rsidR="00610D12" w:rsidRDefault="00AE38CB" w:rsidP="008D634B">
      <w:pPr>
        <w:autoSpaceDE w:val="0"/>
        <w:autoSpaceDN w:val="0"/>
        <w:adjustRightInd w:val="0"/>
        <w:ind w:left="1440" w:hanging="1440"/>
        <w:jc w:val="both"/>
      </w:pPr>
      <w:r w:rsidRPr="00AE38CB">
        <w:rPr>
          <w:b/>
          <w:u w:val="single"/>
        </w:rPr>
        <w:t>ISSUE 2D:</w:t>
      </w:r>
      <w:r w:rsidRPr="00AE38CB">
        <w:tab/>
        <w:t>What is the appropriate amount of Variable Power Plant O&amp;M Avoided due to Economy Purchases under FPL’s Incentive Mechanism approved by Order No. PSC-2021-0446A-S-EI that FPL should be allowed to recover through the fuel clause for the period Janu</w:t>
      </w:r>
      <w:r w:rsidR="008D634B">
        <w:t>ary 2025 through December 2025?</w:t>
      </w:r>
    </w:p>
    <w:p w14:paraId="26A60305" w14:textId="77777777" w:rsidR="008D634B" w:rsidRPr="00AE38CB" w:rsidRDefault="008D634B" w:rsidP="008D634B">
      <w:pPr>
        <w:autoSpaceDE w:val="0"/>
        <w:autoSpaceDN w:val="0"/>
        <w:adjustRightInd w:val="0"/>
        <w:ind w:left="1440" w:hanging="1440"/>
        <w:jc w:val="both"/>
      </w:pPr>
    </w:p>
    <w:p w14:paraId="6C913E54" w14:textId="63189E65" w:rsidR="00AE38CB" w:rsidRDefault="00AE38CB" w:rsidP="008D634B">
      <w:pPr>
        <w:autoSpaceDE w:val="0"/>
        <w:autoSpaceDN w:val="0"/>
        <w:adjustRightInd w:val="0"/>
        <w:ind w:left="1440" w:hanging="1440"/>
        <w:jc w:val="both"/>
      </w:pPr>
      <w:r w:rsidRPr="00AE38CB">
        <w:rPr>
          <w:b/>
          <w:u w:val="single"/>
        </w:rPr>
        <w:lastRenderedPageBreak/>
        <w:t>ISSUE 2E</w:t>
      </w:r>
      <w:r w:rsidRPr="00AE38CB">
        <w:rPr>
          <w:b/>
        </w:rPr>
        <w:t>:</w:t>
      </w:r>
      <w:r w:rsidRPr="00AE38CB">
        <w:rPr>
          <w:b/>
        </w:rPr>
        <w:tab/>
      </w:r>
      <w:r w:rsidRPr="00AE38CB">
        <w:t>What is the appropriate subscription credit associated with FPL’s SolarTogether Program approved by Order No. PSC-2020-0084-S-EI, to be included for recovery in 2027?</w:t>
      </w:r>
    </w:p>
    <w:p w14:paraId="4F1DCF14" w14:textId="77777777" w:rsidR="00610D12" w:rsidRPr="00AE38CB" w:rsidRDefault="00610D12" w:rsidP="00AE38CB">
      <w:pPr>
        <w:autoSpaceDE w:val="0"/>
        <w:autoSpaceDN w:val="0"/>
        <w:adjustRightInd w:val="0"/>
        <w:ind w:left="1440"/>
        <w:jc w:val="both"/>
      </w:pPr>
    </w:p>
    <w:p w14:paraId="79C9129F" w14:textId="1200452B" w:rsidR="00AE38CB" w:rsidRDefault="00AE38CB" w:rsidP="008D634B">
      <w:pPr>
        <w:autoSpaceDE w:val="0"/>
        <w:autoSpaceDN w:val="0"/>
        <w:adjustRightInd w:val="0"/>
        <w:ind w:left="1440" w:hanging="1440"/>
        <w:jc w:val="both"/>
      </w:pPr>
      <w:r w:rsidRPr="00AE38CB">
        <w:rPr>
          <w:b/>
          <w:u w:val="single"/>
        </w:rPr>
        <w:t>ISSUE 2F</w:t>
      </w:r>
      <w:r w:rsidRPr="00AE38CB">
        <w:rPr>
          <w:b/>
        </w:rPr>
        <w:t>:</w:t>
      </w:r>
      <w:r w:rsidRPr="00AE38CB">
        <w:tab/>
        <w:t>Should the Commission approve FPL’s 2027 Risk Management Plan?</w:t>
      </w:r>
    </w:p>
    <w:p w14:paraId="2F6A3B45" w14:textId="699CBDE2" w:rsidR="008D634B" w:rsidRDefault="008D634B" w:rsidP="008D634B">
      <w:pPr>
        <w:autoSpaceDE w:val="0"/>
        <w:autoSpaceDN w:val="0"/>
        <w:adjustRightInd w:val="0"/>
        <w:ind w:left="1440" w:hanging="1440"/>
        <w:jc w:val="both"/>
      </w:pPr>
    </w:p>
    <w:p w14:paraId="3D2D66EF" w14:textId="5FAFA9C2" w:rsidR="008D634B" w:rsidRDefault="008D634B" w:rsidP="008D634B">
      <w:pPr>
        <w:autoSpaceDE w:val="0"/>
        <w:autoSpaceDN w:val="0"/>
        <w:adjustRightInd w:val="0"/>
        <w:ind w:left="1440" w:hanging="1440"/>
        <w:jc w:val="both"/>
      </w:pPr>
      <w:r>
        <w:rPr>
          <w:b/>
          <w:u w:val="single"/>
        </w:rPr>
        <w:t>ISSUE 2G</w:t>
      </w:r>
      <w:r w:rsidRPr="008D634B">
        <w:rPr>
          <w:b/>
        </w:rPr>
        <w:t>:</w:t>
      </w:r>
      <w:r>
        <w:tab/>
      </w:r>
      <w:r w:rsidRPr="008D634B">
        <w:t>Were FPL’s actions related to the forced outage event(s) that occurred at St. Lucie Nuclear Unit No. 1 in July 2024 prudent?  If not, what actions should the Commission take?</w:t>
      </w:r>
    </w:p>
    <w:p w14:paraId="5DD731E1" w14:textId="57D1AF0E" w:rsidR="008D634B" w:rsidRDefault="008D634B" w:rsidP="008D634B">
      <w:pPr>
        <w:autoSpaceDE w:val="0"/>
        <w:autoSpaceDN w:val="0"/>
        <w:adjustRightInd w:val="0"/>
        <w:ind w:left="1440" w:hanging="1440"/>
        <w:jc w:val="both"/>
      </w:pPr>
    </w:p>
    <w:p w14:paraId="223582A1" w14:textId="54076FE7" w:rsidR="008D634B" w:rsidRPr="008D634B" w:rsidRDefault="008D634B" w:rsidP="008D634B">
      <w:pPr>
        <w:autoSpaceDE w:val="0"/>
        <w:autoSpaceDN w:val="0"/>
        <w:adjustRightInd w:val="0"/>
        <w:ind w:left="1440" w:hanging="1440"/>
        <w:jc w:val="both"/>
      </w:pPr>
      <w:r>
        <w:rPr>
          <w:b/>
          <w:u w:val="single"/>
        </w:rPr>
        <w:t>ISSUE 2H</w:t>
      </w:r>
      <w:r>
        <w:rPr>
          <w:b/>
        </w:rPr>
        <w:t>:</w:t>
      </w:r>
      <w:r>
        <w:tab/>
      </w:r>
      <w:r w:rsidRPr="008D634B">
        <w:t>How much replacement power cost did FPL incur due to the forced outage event(s) that occurred at St. Lucie Nuclear Unit No. 1 in July 2024?</w:t>
      </w:r>
    </w:p>
    <w:p w14:paraId="325B0087" w14:textId="110C4074" w:rsidR="00610D12" w:rsidRDefault="00610D12" w:rsidP="00AE38CB">
      <w:pPr>
        <w:ind w:left="1440" w:hanging="1440"/>
        <w:jc w:val="both"/>
      </w:pPr>
    </w:p>
    <w:p w14:paraId="7ABF030C" w14:textId="7847DA64" w:rsidR="008D634B" w:rsidRPr="008D634B" w:rsidRDefault="008D634B" w:rsidP="008D634B">
      <w:pPr>
        <w:ind w:left="1440" w:hanging="1440"/>
        <w:jc w:val="both"/>
      </w:pPr>
      <w:r>
        <w:rPr>
          <w:b/>
          <w:u w:val="single"/>
        </w:rPr>
        <w:t>ISSUE 2I</w:t>
      </w:r>
      <w:r>
        <w:rPr>
          <w:b/>
        </w:rPr>
        <w:t>:</w:t>
      </w:r>
      <w:r>
        <w:rPr>
          <w:b/>
        </w:rPr>
        <w:tab/>
      </w:r>
      <w:r w:rsidRPr="008D634B">
        <w:t>Were FPL’s actions related to the forced outage event(s) that occurred at St. Lucie Nuclear Unit No. 2 in May/June 2024 prudent?  If not, what actions should the Commission take?</w:t>
      </w:r>
    </w:p>
    <w:p w14:paraId="7B834991" w14:textId="241CBB45" w:rsidR="008D634B" w:rsidRDefault="008D634B" w:rsidP="008D634B">
      <w:pPr>
        <w:ind w:left="1440" w:hanging="1440"/>
        <w:jc w:val="both"/>
        <w:rPr>
          <w:b/>
        </w:rPr>
      </w:pPr>
    </w:p>
    <w:p w14:paraId="7D4907ED" w14:textId="5F0D98BE" w:rsidR="008D634B" w:rsidRDefault="008D634B" w:rsidP="008D634B">
      <w:pPr>
        <w:ind w:left="1440" w:hanging="1440"/>
        <w:jc w:val="both"/>
      </w:pPr>
      <w:r>
        <w:rPr>
          <w:b/>
          <w:u w:val="single"/>
        </w:rPr>
        <w:t>ISSUE 2J</w:t>
      </w:r>
      <w:r>
        <w:rPr>
          <w:b/>
        </w:rPr>
        <w:t>:</w:t>
      </w:r>
      <w:r>
        <w:rPr>
          <w:b/>
        </w:rPr>
        <w:tab/>
      </w:r>
      <w:r w:rsidRPr="008D634B">
        <w:t>How much replacement power cost did FPL incur due to the forced outage event(s) that occurred at St. Lucie Nuclear Unit No. 2 in July 2024?</w:t>
      </w:r>
    </w:p>
    <w:p w14:paraId="27A98D43" w14:textId="2367FBBE" w:rsidR="008D634B" w:rsidRDefault="008D634B" w:rsidP="008D634B">
      <w:pPr>
        <w:ind w:left="1440" w:hanging="1440"/>
        <w:jc w:val="both"/>
      </w:pPr>
    </w:p>
    <w:p w14:paraId="6731653D" w14:textId="250A630E" w:rsidR="008D634B" w:rsidRPr="008D634B" w:rsidRDefault="008D634B" w:rsidP="008D634B">
      <w:pPr>
        <w:ind w:left="1440" w:hanging="1440"/>
        <w:jc w:val="both"/>
      </w:pPr>
      <w:r>
        <w:rPr>
          <w:b/>
          <w:u w:val="single"/>
        </w:rPr>
        <w:t>ISSUE 2K</w:t>
      </w:r>
      <w:r>
        <w:rPr>
          <w:b/>
        </w:rPr>
        <w:t>:</w:t>
      </w:r>
      <w:r>
        <w:tab/>
      </w:r>
      <w:r w:rsidR="00493C9C">
        <w:t>Has FPL implemented the accounting changes with respect to its Asset Optimization Program as authorized by Order No. PSC-2026-0022-S-EI?</w:t>
      </w:r>
    </w:p>
    <w:p w14:paraId="3C77B2F3" w14:textId="0860DB49" w:rsidR="008D634B" w:rsidRDefault="008D634B" w:rsidP="00AE38CB">
      <w:pPr>
        <w:ind w:left="1440" w:hanging="1440"/>
        <w:jc w:val="both"/>
      </w:pPr>
    </w:p>
    <w:p w14:paraId="06C93911" w14:textId="77777777" w:rsidR="008D634B" w:rsidRPr="00AE38CB" w:rsidRDefault="008D634B" w:rsidP="00AE38CB">
      <w:pPr>
        <w:ind w:left="1440" w:hanging="1440"/>
        <w:jc w:val="both"/>
      </w:pPr>
    </w:p>
    <w:p w14:paraId="31DC5BCB" w14:textId="77777777" w:rsidR="00AE38CB" w:rsidRPr="00AE38CB" w:rsidRDefault="00AE38CB" w:rsidP="00AE38CB">
      <w:pPr>
        <w:jc w:val="both"/>
        <w:rPr>
          <w:b/>
          <w:bCs/>
        </w:rPr>
      </w:pPr>
      <w:r w:rsidRPr="00AE38CB">
        <w:rPr>
          <w:b/>
        </w:rPr>
        <w:t>F</w:t>
      </w:r>
      <w:r w:rsidRPr="00AE38CB">
        <w:rPr>
          <w:b/>
          <w:bCs/>
        </w:rPr>
        <w:t>lorida Public Utilities Company</w:t>
      </w:r>
    </w:p>
    <w:p w14:paraId="6DBA424D" w14:textId="77777777" w:rsidR="00AE38CB" w:rsidRPr="00AE38CB" w:rsidRDefault="00AE38CB" w:rsidP="00AE38CB">
      <w:pPr>
        <w:autoSpaceDE w:val="0"/>
        <w:autoSpaceDN w:val="0"/>
        <w:adjustRightInd w:val="0"/>
        <w:jc w:val="both"/>
      </w:pPr>
    </w:p>
    <w:p w14:paraId="1D8E6FB9" w14:textId="77777777" w:rsidR="00AE38CB" w:rsidRPr="00AE38CB" w:rsidRDefault="00AE38CB" w:rsidP="00274B4F">
      <w:pPr>
        <w:autoSpaceDE w:val="0"/>
        <w:autoSpaceDN w:val="0"/>
        <w:adjustRightInd w:val="0"/>
        <w:ind w:left="1440"/>
        <w:jc w:val="both"/>
        <w:rPr>
          <w:b/>
          <w:bCs/>
        </w:rPr>
      </w:pPr>
      <w:r w:rsidRPr="00AE38CB">
        <w:rPr>
          <w:bCs/>
        </w:rPr>
        <w:t>No company-specific fuel issues for Florida Public Utilities Company have been identified at this time. If such issues are identified, they shall be numbered 3A, 3B, 3C, and so forth, as appropriate.</w:t>
      </w:r>
    </w:p>
    <w:p w14:paraId="50F0A134" w14:textId="76730C38" w:rsidR="00610D12" w:rsidRDefault="00610D12" w:rsidP="00AE38CB">
      <w:pPr>
        <w:autoSpaceDE w:val="0"/>
        <w:autoSpaceDN w:val="0"/>
        <w:adjustRightInd w:val="0"/>
        <w:jc w:val="both"/>
        <w:rPr>
          <w:bCs/>
        </w:rPr>
      </w:pPr>
    </w:p>
    <w:p w14:paraId="54D0DB93" w14:textId="1AF2274F" w:rsidR="00610D12" w:rsidRDefault="00610D12" w:rsidP="00AE38CB">
      <w:pPr>
        <w:autoSpaceDE w:val="0"/>
        <w:autoSpaceDN w:val="0"/>
        <w:adjustRightInd w:val="0"/>
        <w:jc w:val="both"/>
        <w:rPr>
          <w:bCs/>
        </w:rPr>
      </w:pPr>
    </w:p>
    <w:p w14:paraId="27D160CC" w14:textId="77777777" w:rsidR="00AE38CB" w:rsidRPr="00AE38CB" w:rsidRDefault="00AE38CB" w:rsidP="00AE38CB">
      <w:pPr>
        <w:autoSpaceDE w:val="0"/>
        <w:autoSpaceDN w:val="0"/>
        <w:adjustRightInd w:val="0"/>
        <w:jc w:val="both"/>
        <w:rPr>
          <w:bCs/>
        </w:rPr>
      </w:pPr>
      <w:r w:rsidRPr="00AE38CB">
        <w:rPr>
          <w:b/>
          <w:bCs/>
        </w:rPr>
        <w:t xml:space="preserve">Tampa Electric Company </w:t>
      </w:r>
    </w:p>
    <w:p w14:paraId="267B450F" w14:textId="77777777" w:rsidR="00AE38CB" w:rsidRPr="00AE38CB" w:rsidRDefault="00AE38CB" w:rsidP="00AE38CB">
      <w:pPr>
        <w:autoSpaceDE w:val="0"/>
        <w:autoSpaceDN w:val="0"/>
        <w:adjustRightInd w:val="0"/>
        <w:jc w:val="both"/>
        <w:rPr>
          <w:bCs/>
        </w:rPr>
      </w:pPr>
    </w:p>
    <w:p w14:paraId="621506D8" w14:textId="74679813" w:rsidR="00AE38CB" w:rsidRPr="00AE38CB" w:rsidRDefault="00AE38CB" w:rsidP="00AE38CB">
      <w:pPr>
        <w:autoSpaceDE w:val="0"/>
        <w:autoSpaceDN w:val="0"/>
        <w:adjustRightInd w:val="0"/>
        <w:ind w:left="1440" w:hanging="1440"/>
        <w:jc w:val="both"/>
      </w:pPr>
      <w:r w:rsidRPr="00AE38CB">
        <w:rPr>
          <w:b/>
          <w:u w:val="single"/>
        </w:rPr>
        <w:t>ISSUE 4A</w:t>
      </w:r>
      <w:r w:rsidRPr="00AE38CB">
        <w:rPr>
          <w:b/>
        </w:rPr>
        <w:t>:</w:t>
      </w:r>
      <w:r w:rsidRPr="00AE38CB">
        <w:t xml:space="preserve"> </w:t>
      </w:r>
      <w:r w:rsidRPr="00AE38CB">
        <w:tab/>
        <w:t xml:space="preserve">What was the total gain under TECO’s Optimization Mechanism approved by Order No. PSC-2021-0423-S-EI that TECO may recover for the period January 2025 through December </w:t>
      </w:r>
      <w:r w:rsidR="00493C9C">
        <w:t>2025, and how should that gain</w:t>
      </w:r>
      <w:r w:rsidRPr="00AE38CB">
        <w:t xml:space="preserve"> be shared between TECO and its customers?</w:t>
      </w:r>
    </w:p>
    <w:p w14:paraId="4CE86D13" w14:textId="77777777" w:rsidR="00610D12" w:rsidRPr="00AE38CB" w:rsidRDefault="00610D12" w:rsidP="00AE38CB">
      <w:pPr>
        <w:autoSpaceDE w:val="0"/>
        <w:autoSpaceDN w:val="0"/>
        <w:adjustRightInd w:val="0"/>
        <w:ind w:left="1440"/>
        <w:contextualSpacing/>
        <w:jc w:val="both"/>
      </w:pPr>
    </w:p>
    <w:p w14:paraId="795B4069" w14:textId="38F764A2" w:rsidR="00AE38CB" w:rsidRDefault="00AE38CB" w:rsidP="008D634B">
      <w:pPr>
        <w:tabs>
          <w:tab w:val="left" w:pos="8571"/>
        </w:tabs>
        <w:autoSpaceDE w:val="0"/>
        <w:autoSpaceDN w:val="0"/>
        <w:adjustRightInd w:val="0"/>
        <w:ind w:left="1440" w:hanging="1440"/>
        <w:jc w:val="both"/>
      </w:pPr>
      <w:r w:rsidRPr="00AE38CB">
        <w:rPr>
          <w:b/>
          <w:u w:val="single"/>
        </w:rPr>
        <w:t>ISSUE 4B</w:t>
      </w:r>
      <w:r w:rsidRPr="00AE38CB">
        <w:rPr>
          <w:b/>
        </w:rPr>
        <w:t>:</w:t>
      </w:r>
      <w:r w:rsidRPr="00AE38CB">
        <w:rPr>
          <w:b/>
        </w:rPr>
        <w:tab/>
      </w:r>
      <w:r w:rsidRPr="00AE38CB">
        <w:t xml:space="preserve">Should the Commission approve TECO’s 2027 Risk Management Plan? </w:t>
      </w:r>
    </w:p>
    <w:p w14:paraId="6AEA9E2D" w14:textId="66ADB45F" w:rsidR="00610D12" w:rsidRDefault="00610D12" w:rsidP="00AE38CB">
      <w:pPr>
        <w:tabs>
          <w:tab w:val="left" w:pos="8571"/>
        </w:tabs>
        <w:autoSpaceDE w:val="0"/>
        <w:autoSpaceDN w:val="0"/>
        <w:adjustRightInd w:val="0"/>
        <w:jc w:val="both"/>
      </w:pPr>
    </w:p>
    <w:p w14:paraId="30ED93AE" w14:textId="77777777" w:rsidR="008D634B" w:rsidRPr="00AE38CB" w:rsidRDefault="008D634B" w:rsidP="00AE38CB">
      <w:pPr>
        <w:tabs>
          <w:tab w:val="left" w:pos="8571"/>
        </w:tabs>
        <w:autoSpaceDE w:val="0"/>
        <w:autoSpaceDN w:val="0"/>
        <w:adjustRightInd w:val="0"/>
        <w:jc w:val="both"/>
      </w:pPr>
    </w:p>
    <w:p w14:paraId="1F1E36AB" w14:textId="77777777" w:rsidR="00AE38CB" w:rsidRPr="00AE38CB" w:rsidRDefault="00AE38CB" w:rsidP="00AE38CB">
      <w:pPr>
        <w:tabs>
          <w:tab w:val="left" w:pos="8571"/>
        </w:tabs>
        <w:autoSpaceDE w:val="0"/>
        <w:autoSpaceDN w:val="0"/>
        <w:adjustRightInd w:val="0"/>
        <w:ind w:left="1440" w:hanging="1440"/>
        <w:jc w:val="both"/>
        <w:rPr>
          <w:b/>
          <w:u w:val="single"/>
        </w:rPr>
      </w:pPr>
      <w:r w:rsidRPr="00AE38CB">
        <w:rPr>
          <w:b/>
          <w:u w:val="single"/>
        </w:rPr>
        <w:t>GENERIC FUEL ADJUSTMENT ISSUES</w:t>
      </w:r>
    </w:p>
    <w:p w14:paraId="6523FDCF" w14:textId="77777777" w:rsidR="00AE38CB" w:rsidRPr="00AE38CB" w:rsidRDefault="00AE38CB" w:rsidP="00AE38CB">
      <w:pPr>
        <w:autoSpaceDE w:val="0"/>
        <w:autoSpaceDN w:val="0"/>
        <w:adjustRightInd w:val="0"/>
        <w:ind w:left="1440" w:hanging="1440"/>
        <w:jc w:val="both"/>
        <w:rPr>
          <w:bCs/>
        </w:rPr>
      </w:pPr>
    </w:p>
    <w:p w14:paraId="4D3484E2" w14:textId="47D4C8D4" w:rsidR="00AE38CB" w:rsidRDefault="00AE38CB" w:rsidP="008D634B">
      <w:pPr>
        <w:autoSpaceDE w:val="0"/>
        <w:autoSpaceDN w:val="0"/>
        <w:adjustRightInd w:val="0"/>
        <w:ind w:left="1440" w:hanging="1440"/>
        <w:jc w:val="both"/>
        <w:rPr>
          <w:highlight w:val="yellow"/>
        </w:rPr>
      </w:pPr>
      <w:r w:rsidRPr="00AE38CB">
        <w:rPr>
          <w:b/>
          <w:bCs/>
          <w:u w:val="single"/>
        </w:rPr>
        <w:t>ISSUE 5</w:t>
      </w:r>
      <w:r w:rsidRPr="00AE38CB">
        <w:rPr>
          <w:b/>
          <w:bCs/>
        </w:rPr>
        <w:t>:</w:t>
      </w:r>
      <w:r w:rsidRPr="00AE38CB">
        <w:tab/>
        <w:t>What are the appropriate final fuel adjustment true-up amounts for the period January 2025 through December 2025?</w:t>
      </w:r>
    </w:p>
    <w:p w14:paraId="04ABB3E2" w14:textId="77777777" w:rsidR="00610D12" w:rsidRPr="00AE38CB" w:rsidRDefault="00610D12" w:rsidP="00AE38CB">
      <w:pPr>
        <w:autoSpaceDE w:val="0"/>
        <w:autoSpaceDN w:val="0"/>
        <w:adjustRightInd w:val="0"/>
        <w:jc w:val="both"/>
        <w:rPr>
          <w:highlight w:val="yellow"/>
        </w:rPr>
      </w:pPr>
    </w:p>
    <w:p w14:paraId="72DAB993" w14:textId="77777777" w:rsidR="00AE38CB" w:rsidRPr="00AE38CB" w:rsidRDefault="00AE38CB" w:rsidP="00AE38CB">
      <w:pPr>
        <w:ind w:left="720" w:hanging="720"/>
        <w:jc w:val="both"/>
      </w:pPr>
      <w:r w:rsidRPr="00AE38CB">
        <w:rPr>
          <w:b/>
          <w:bCs/>
          <w:u w:val="single"/>
        </w:rPr>
        <w:t>ISSUE 6</w:t>
      </w:r>
      <w:r w:rsidRPr="00AE38CB">
        <w:rPr>
          <w:b/>
          <w:bCs/>
        </w:rPr>
        <w:t>:</w:t>
      </w:r>
      <w:r w:rsidRPr="00AE38CB">
        <w:rPr>
          <w:bCs/>
        </w:rPr>
        <w:tab/>
      </w:r>
      <w:r w:rsidRPr="00AE38CB">
        <w:t>What are the appropriate fuel adjustment actual/estimated true-up amounts for the</w:t>
      </w:r>
    </w:p>
    <w:p w14:paraId="185F7F9F" w14:textId="69AAD85D" w:rsidR="00AE38CB" w:rsidRPr="00AE38CB" w:rsidRDefault="00AE38CB" w:rsidP="008D634B">
      <w:pPr>
        <w:ind w:left="720" w:firstLine="720"/>
        <w:jc w:val="both"/>
      </w:pPr>
      <w:r w:rsidRPr="00AE38CB">
        <w:t>period January 2026 through December 2026?</w:t>
      </w:r>
    </w:p>
    <w:p w14:paraId="22AFAEBC" w14:textId="77777777" w:rsidR="00AE38CB" w:rsidRPr="00AE38CB" w:rsidRDefault="00AE38CB" w:rsidP="00AE38CB">
      <w:pPr>
        <w:autoSpaceDE w:val="0"/>
        <w:autoSpaceDN w:val="0"/>
        <w:adjustRightInd w:val="0"/>
        <w:ind w:left="1440"/>
        <w:jc w:val="both"/>
      </w:pPr>
    </w:p>
    <w:p w14:paraId="32C502F5" w14:textId="77777777" w:rsidR="00AE38CB" w:rsidRPr="00AE38CB" w:rsidRDefault="00AE38CB" w:rsidP="00274B4F">
      <w:pPr>
        <w:autoSpaceDE w:val="0"/>
        <w:autoSpaceDN w:val="0"/>
        <w:adjustRightInd w:val="0"/>
        <w:ind w:left="1440" w:hanging="1440"/>
        <w:jc w:val="both"/>
      </w:pPr>
      <w:r w:rsidRPr="00AE38CB">
        <w:rPr>
          <w:b/>
          <w:bCs/>
          <w:u w:val="single"/>
        </w:rPr>
        <w:t>ISSUE 7</w:t>
      </w:r>
      <w:r w:rsidRPr="00AE38CB">
        <w:rPr>
          <w:b/>
          <w:bCs/>
        </w:rPr>
        <w:t>:</w:t>
      </w:r>
      <w:r w:rsidRPr="00AE38CB">
        <w:tab/>
        <w:t>What are the appropriate total fuel adjustment true-up amounts to be collected/refunded from January 2027 through December 2027?</w:t>
      </w:r>
    </w:p>
    <w:p w14:paraId="6D8DEEF1" w14:textId="77777777" w:rsidR="00610D12" w:rsidRPr="00AE38CB" w:rsidRDefault="00610D12" w:rsidP="00AE38CB">
      <w:pPr>
        <w:autoSpaceDE w:val="0"/>
        <w:autoSpaceDN w:val="0"/>
        <w:adjustRightInd w:val="0"/>
        <w:ind w:left="1440"/>
        <w:jc w:val="both"/>
      </w:pPr>
    </w:p>
    <w:p w14:paraId="496F1F04" w14:textId="0190BEB8" w:rsidR="00AE38CB" w:rsidRDefault="00AE38CB" w:rsidP="008D634B">
      <w:pPr>
        <w:ind w:left="1440" w:hanging="1440"/>
        <w:jc w:val="both"/>
        <w:rPr>
          <w:bCs/>
        </w:rPr>
      </w:pPr>
      <w:r w:rsidRPr="00AE38CB">
        <w:rPr>
          <w:b/>
          <w:bCs/>
          <w:u w:val="single"/>
        </w:rPr>
        <w:t>ISSUE 8</w:t>
      </w:r>
      <w:r w:rsidRPr="00AE38CB">
        <w:rPr>
          <w:b/>
          <w:bCs/>
        </w:rPr>
        <w:t>:</w:t>
      </w:r>
      <w:r w:rsidRPr="00AE38CB">
        <w:rPr>
          <w:b/>
          <w:bCs/>
        </w:rPr>
        <w:tab/>
      </w:r>
      <w:r w:rsidRPr="00AE38CB">
        <w:t>What are the appropriate projected total fuel and purchased power cost recovery amounts for the period January 2027 through December 2027?</w:t>
      </w:r>
      <w:r w:rsidR="008D634B">
        <w:rPr>
          <w:bCs/>
        </w:rPr>
        <w:t xml:space="preserve"> </w:t>
      </w:r>
    </w:p>
    <w:p w14:paraId="68132691" w14:textId="11200DF2" w:rsidR="00610D12" w:rsidRDefault="00610D12" w:rsidP="00AE38CB">
      <w:pPr>
        <w:jc w:val="both"/>
        <w:rPr>
          <w:bCs/>
        </w:rPr>
      </w:pPr>
    </w:p>
    <w:p w14:paraId="15C3C3CD" w14:textId="77777777" w:rsidR="008D634B" w:rsidRPr="00AE38CB" w:rsidRDefault="008D634B" w:rsidP="00AE38CB">
      <w:pPr>
        <w:jc w:val="both"/>
        <w:rPr>
          <w:bCs/>
        </w:rPr>
      </w:pPr>
    </w:p>
    <w:p w14:paraId="4705CAE6" w14:textId="77777777" w:rsidR="00AE38CB" w:rsidRPr="00AE38CB" w:rsidRDefault="00AE38CB" w:rsidP="00AE38CB">
      <w:pPr>
        <w:jc w:val="both"/>
        <w:rPr>
          <w:b/>
          <w:bCs/>
          <w:u w:val="single"/>
        </w:rPr>
      </w:pPr>
      <w:r w:rsidRPr="00AE38CB">
        <w:rPr>
          <w:b/>
          <w:bCs/>
          <w:u w:val="single"/>
        </w:rPr>
        <w:t>COMPANY-SPECIFIC GENERATING PERFORMANCE INCENTIVE FACTOR ISSUES</w:t>
      </w:r>
    </w:p>
    <w:p w14:paraId="4445A95A" w14:textId="77777777" w:rsidR="00AE38CB" w:rsidRPr="00550DE8" w:rsidRDefault="00AE38CB" w:rsidP="00AE38CB">
      <w:pPr>
        <w:jc w:val="both"/>
        <w:rPr>
          <w:bCs/>
        </w:rPr>
      </w:pPr>
    </w:p>
    <w:p w14:paraId="3F7ECCB1" w14:textId="5777174A" w:rsidR="00AE38CB" w:rsidRPr="00AE38CB" w:rsidRDefault="008D634B" w:rsidP="00AE38CB">
      <w:pPr>
        <w:jc w:val="both"/>
        <w:rPr>
          <w:b/>
          <w:bCs/>
        </w:rPr>
      </w:pPr>
      <w:r>
        <w:rPr>
          <w:b/>
          <w:bCs/>
        </w:rPr>
        <w:t>Duke Energy Florida, LLC</w:t>
      </w:r>
    </w:p>
    <w:p w14:paraId="7E7F8AD2" w14:textId="77777777" w:rsidR="00AE38CB" w:rsidRPr="00AE38CB" w:rsidRDefault="00AE38CB" w:rsidP="00AE38CB">
      <w:pPr>
        <w:autoSpaceDE w:val="0"/>
        <w:autoSpaceDN w:val="0"/>
        <w:adjustRightInd w:val="0"/>
      </w:pPr>
    </w:p>
    <w:p w14:paraId="7DFDA966" w14:textId="77777777" w:rsidR="00AE38CB" w:rsidRPr="00AE38CB" w:rsidRDefault="00AE38CB" w:rsidP="00274B4F">
      <w:pPr>
        <w:autoSpaceDE w:val="0"/>
        <w:autoSpaceDN w:val="0"/>
        <w:adjustRightInd w:val="0"/>
        <w:ind w:left="1440"/>
        <w:jc w:val="both"/>
      </w:pPr>
      <w:r w:rsidRPr="00AE38CB">
        <w:t>No company-specific GPIF issues for Duke Energy Florida, Inc. have been identified at this time. If such issues are identified, they shall be numbered 9A, 9B, 9C, and so forth, as appropriate.</w:t>
      </w:r>
    </w:p>
    <w:p w14:paraId="0758ABDD" w14:textId="0624BD0F" w:rsidR="00AE38CB" w:rsidRDefault="00AE38CB" w:rsidP="00AE38CB">
      <w:pPr>
        <w:autoSpaceDE w:val="0"/>
        <w:autoSpaceDN w:val="0"/>
        <w:adjustRightInd w:val="0"/>
        <w:jc w:val="both"/>
        <w:rPr>
          <w:bCs/>
        </w:rPr>
      </w:pPr>
    </w:p>
    <w:p w14:paraId="4A75A896" w14:textId="77777777" w:rsidR="00610D12" w:rsidRPr="00610D12" w:rsidRDefault="00610D12" w:rsidP="00AE38CB">
      <w:pPr>
        <w:autoSpaceDE w:val="0"/>
        <w:autoSpaceDN w:val="0"/>
        <w:adjustRightInd w:val="0"/>
        <w:jc w:val="both"/>
        <w:rPr>
          <w:bCs/>
        </w:rPr>
      </w:pPr>
    </w:p>
    <w:p w14:paraId="002E9672" w14:textId="77777777" w:rsidR="00AE38CB" w:rsidRPr="00AE38CB" w:rsidRDefault="00AE38CB" w:rsidP="00AE38CB">
      <w:pPr>
        <w:jc w:val="both"/>
        <w:rPr>
          <w:b/>
          <w:bCs/>
        </w:rPr>
      </w:pPr>
      <w:r w:rsidRPr="00AE38CB">
        <w:rPr>
          <w:b/>
          <w:bCs/>
        </w:rPr>
        <w:t>Florida Power &amp; Light Company</w:t>
      </w:r>
    </w:p>
    <w:p w14:paraId="164E44B8" w14:textId="77777777" w:rsidR="00AE38CB" w:rsidRPr="00AE38CB" w:rsidRDefault="00AE38CB" w:rsidP="00AE38CB">
      <w:pPr>
        <w:autoSpaceDE w:val="0"/>
        <w:autoSpaceDN w:val="0"/>
        <w:adjustRightInd w:val="0"/>
        <w:jc w:val="both"/>
      </w:pPr>
    </w:p>
    <w:p w14:paraId="53AF0E40" w14:textId="77777777" w:rsidR="00AE38CB" w:rsidRPr="00AE38CB" w:rsidRDefault="00AE38CB" w:rsidP="00274B4F">
      <w:pPr>
        <w:autoSpaceDE w:val="0"/>
        <w:autoSpaceDN w:val="0"/>
        <w:adjustRightInd w:val="0"/>
        <w:ind w:left="1440"/>
        <w:jc w:val="both"/>
      </w:pPr>
      <w:r w:rsidRPr="00AE38CB">
        <w:t>No company-specific GPIF issues for Florida Power and Light Company have been identified at this time. If such issues are identified, they shall be numbered 10A, 10B, 10C, and so forth, as appropriate.</w:t>
      </w:r>
    </w:p>
    <w:p w14:paraId="7DC2996D" w14:textId="68548262" w:rsidR="00AE38CB" w:rsidRDefault="00AE38CB" w:rsidP="00AE38CB">
      <w:pPr>
        <w:autoSpaceDE w:val="0"/>
        <w:autoSpaceDN w:val="0"/>
        <w:adjustRightInd w:val="0"/>
        <w:jc w:val="both"/>
      </w:pPr>
    </w:p>
    <w:p w14:paraId="0D1AD534" w14:textId="77777777" w:rsidR="008D634B" w:rsidRDefault="008D634B" w:rsidP="00AE38CB">
      <w:pPr>
        <w:autoSpaceDE w:val="0"/>
        <w:autoSpaceDN w:val="0"/>
        <w:adjustRightInd w:val="0"/>
        <w:jc w:val="both"/>
      </w:pPr>
    </w:p>
    <w:p w14:paraId="2D84D765" w14:textId="77777777" w:rsidR="00AE38CB" w:rsidRPr="00AE38CB" w:rsidRDefault="00AE38CB" w:rsidP="00AE38CB">
      <w:pPr>
        <w:rPr>
          <w:b/>
          <w:bCs/>
        </w:rPr>
      </w:pPr>
      <w:r w:rsidRPr="00AE38CB">
        <w:rPr>
          <w:b/>
          <w:bCs/>
        </w:rPr>
        <w:t>Tampa Electric Company</w:t>
      </w:r>
    </w:p>
    <w:p w14:paraId="5C480DA3" w14:textId="77777777" w:rsidR="00AE38CB" w:rsidRPr="00AE38CB" w:rsidRDefault="00AE38CB" w:rsidP="00AE38CB">
      <w:pPr>
        <w:autoSpaceDE w:val="0"/>
        <w:autoSpaceDN w:val="0"/>
        <w:adjustRightInd w:val="0"/>
        <w:jc w:val="both"/>
      </w:pPr>
    </w:p>
    <w:p w14:paraId="53401F26" w14:textId="77777777" w:rsidR="00AE38CB" w:rsidRPr="00AE38CB" w:rsidRDefault="00AE38CB" w:rsidP="00274B4F">
      <w:pPr>
        <w:autoSpaceDE w:val="0"/>
        <w:autoSpaceDN w:val="0"/>
        <w:adjustRightInd w:val="0"/>
        <w:ind w:left="1440"/>
        <w:jc w:val="both"/>
      </w:pPr>
      <w:r w:rsidRPr="00AE38CB">
        <w:t xml:space="preserve">No company-specific </w:t>
      </w:r>
      <w:r w:rsidRPr="00274B4F">
        <w:rPr>
          <w:bCs/>
        </w:rPr>
        <w:t>GPIF</w:t>
      </w:r>
      <w:r w:rsidRPr="00AE38CB">
        <w:t xml:space="preserve"> issues for Tampa Electric Company have been identified at this time. If such issues are identified, they shall be numbered 11A, 11B, 11C, and so forth, as appropriate.</w:t>
      </w:r>
    </w:p>
    <w:p w14:paraId="07B6967F" w14:textId="16B47FD3" w:rsidR="00AE38CB" w:rsidRDefault="00AE38CB" w:rsidP="00AE38CB">
      <w:pPr>
        <w:rPr>
          <w:bCs/>
        </w:rPr>
      </w:pPr>
    </w:p>
    <w:p w14:paraId="25987774" w14:textId="77777777" w:rsidR="00610D12" w:rsidRPr="00AE38CB" w:rsidRDefault="00610D12" w:rsidP="00AE38CB">
      <w:pPr>
        <w:rPr>
          <w:bCs/>
        </w:rPr>
      </w:pPr>
    </w:p>
    <w:p w14:paraId="02B83007" w14:textId="77777777" w:rsidR="00AE38CB" w:rsidRPr="00AE38CB" w:rsidRDefault="00AE38CB" w:rsidP="00AE38CB">
      <w:pPr>
        <w:rPr>
          <w:b/>
          <w:bCs/>
          <w:u w:val="single"/>
        </w:rPr>
      </w:pPr>
      <w:r w:rsidRPr="00AE38CB">
        <w:rPr>
          <w:b/>
          <w:bCs/>
          <w:u w:val="single"/>
        </w:rPr>
        <w:t>GENERIC GPIF ISSUES</w:t>
      </w:r>
    </w:p>
    <w:p w14:paraId="6F171E42" w14:textId="77777777" w:rsidR="00AE38CB" w:rsidRPr="00AE38CB" w:rsidRDefault="00AE38CB" w:rsidP="00AE38CB">
      <w:pPr>
        <w:autoSpaceDE w:val="0"/>
        <w:autoSpaceDN w:val="0"/>
        <w:adjustRightInd w:val="0"/>
        <w:jc w:val="both"/>
      </w:pPr>
    </w:p>
    <w:p w14:paraId="45333CA5" w14:textId="65076339" w:rsidR="00AE38CB" w:rsidRPr="00644367" w:rsidRDefault="00AE38CB" w:rsidP="008D634B">
      <w:pPr>
        <w:autoSpaceDE w:val="0"/>
        <w:autoSpaceDN w:val="0"/>
        <w:adjustRightInd w:val="0"/>
        <w:ind w:left="1440" w:hanging="1440"/>
        <w:jc w:val="both"/>
        <w:rPr>
          <w:sz w:val="22"/>
          <w:szCs w:val="22"/>
        </w:rPr>
      </w:pPr>
      <w:r w:rsidRPr="00AE38CB">
        <w:rPr>
          <w:b/>
          <w:bCs/>
          <w:u w:val="single"/>
        </w:rPr>
        <w:t>ISSUE 12</w:t>
      </w:r>
      <w:r w:rsidRPr="00AE38CB">
        <w:t>:</w:t>
      </w:r>
      <w:r w:rsidRPr="00AE38CB">
        <w:tab/>
        <w:t>What is the appropriate GPIF reward or penalty for performance achieved during the period January 2025 through December 2025 for each investor-owned electric utility subject to the GPIF?</w:t>
      </w:r>
    </w:p>
    <w:p w14:paraId="76660AC9" w14:textId="77777777" w:rsidR="00644367" w:rsidRPr="001772E8" w:rsidRDefault="00644367" w:rsidP="00AE38CB">
      <w:pPr>
        <w:autoSpaceDE w:val="0"/>
        <w:autoSpaceDN w:val="0"/>
        <w:adjustRightInd w:val="0"/>
        <w:ind w:left="1440" w:hanging="1440"/>
        <w:jc w:val="both"/>
      </w:pPr>
    </w:p>
    <w:p w14:paraId="79799E32" w14:textId="5B2052B1" w:rsidR="00AE38CB" w:rsidRDefault="00AE38CB" w:rsidP="00AE38CB">
      <w:pPr>
        <w:autoSpaceDE w:val="0"/>
        <w:autoSpaceDN w:val="0"/>
        <w:adjustRightInd w:val="0"/>
        <w:ind w:left="1440" w:hanging="1440"/>
        <w:jc w:val="both"/>
      </w:pPr>
      <w:r w:rsidRPr="00AE38CB">
        <w:rPr>
          <w:b/>
          <w:bCs/>
          <w:u w:val="single"/>
        </w:rPr>
        <w:t>ISSUE 13</w:t>
      </w:r>
      <w:r w:rsidRPr="00AE38CB">
        <w:t>:</w:t>
      </w:r>
      <w:r w:rsidRPr="00AE38CB">
        <w:tab/>
        <w:t>What should the GPIF targets/ranges be for the period January 2027 through December 2027 for each investor-owned electric utility subject to the GPIF?</w:t>
      </w:r>
    </w:p>
    <w:p w14:paraId="021138C1" w14:textId="782AD959" w:rsidR="008D634B" w:rsidRDefault="008D634B" w:rsidP="00AE38CB">
      <w:pPr>
        <w:autoSpaceDE w:val="0"/>
        <w:autoSpaceDN w:val="0"/>
        <w:adjustRightInd w:val="0"/>
        <w:ind w:left="1440" w:hanging="1440"/>
        <w:jc w:val="both"/>
      </w:pPr>
    </w:p>
    <w:p w14:paraId="1EE11655" w14:textId="3318135B" w:rsidR="008D634B" w:rsidRDefault="008D634B">
      <w:r>
        <w:br w:type="page"/>
      </w:r>
    </w:p>
    <w:p w14:paraId="55B36C4C" w14:textId="77777777" w:rsidR="00AE38CB" w:rsidRPr="00AE38CB" w:rsidRDefault="00AE38CB" w:rsidP="00AE38CB">
      <w:pPr>
        <w:autoSpaceDE w:val="0"/>
        <w:autoSpaceDN w:val="0"/>
        <w:adjustRightInd w:val="0"/>
        <w:rPr>
          <w:b/>
          <w:bCs/>
          <w:u w:val="single"/>
        </w:rPr>
      </w:pPr>
      <w:r w:rsidRPr="00AE38CB">
        <w:rPr>
          <w:b/>
          <w:bCs/>
          <w:caps/>
          <w:u w:val="single"/>
        </w:rPr>
        <w:lastRenderedPageBreak/>
        <w:t xml:space="preserve">Fuel Factor Calculation ISSUES </w:t>
      </w:r>
    </w:p>
    <w:p w14:paraId="5F4E8848" w14:textId="77777777" w:rsidR="00AE38CB" w:rsidRPr="00AE38CB" w:rsidRDefault="00AE38CB" w:rsidP="00AE38CB">
      <w:pPr>
        <w:autoSpaceDE w:val="0"/>
        <w:autoSpaceDN w:val="0"/>
        <w:adjustRightInd w:val="0"/>
        <w:jc w:val="both"/>
        <w:rPr>
          <w:bCs/>
        </w:rPr>
      </w:pPr>
    </w:p>
    <w:p w14:paraId="62CF28D7" w14:textId="77777777" w:rsidR="00AE38CB" w:rsidRPr="00AE38CB" w:rsidRDefault="00AE38CB" w:rsidP="00AE38CB">
      <w:pPr>
        <w:autoSpaceDE w:val="0"/>
        <w:autoSpaceDN w:val="0"/>
        <w:adjustRightInd w:val="0"/>
        <w:ind w:left="1440" w:hanging="1440"/>
        <w:jc w:val="both"/>
      </w:pPr>
      <w:r w:rsidRPr="00AE38CB">
        <w:rPr>
          <w:b/>
          <w:bCs/>
          <w:u w:val="single"/>
        </w:rPr>
        <w:t>ISSUE 14</w:t>
      </w:r>
      <w:r w:rsidRPr="00AE38CB">
        <w:t>:</w:t>
      </w:r>
      <w:r w:rsidRPr="00AE38CB">
        <w:tab/>
        <w:t>What are the appropriate projected net fuel and purchased power cost recovery and Generating Performance Incentive amounts to be included in the recovery factor for the period January 2027 through December 2027?</w:t>
      </w:r>
    </w:p>
    <w:p w14:paraId="5F119419" w14:textId="77777777" w:rsidR="00644367" w:rsidRPr="00AE38CB" w:rsidRDefault="00644367" w:rsidP="00AE38CB"/>
    <w:p w14:paraId="07338218" w14:textId="77777777" w:rsidR="00AE38CB" w:rsidRPr="00AE38CB" w:rsidRDefault="00AE38CB" w:rsidP="00AE38CB">
      <w:pPr>
        <w:ind w:left="1440" w:hanging="1440"/>
        <w:jc w:val="both"/>
      </w:pPr>
      <w:r w:rsidRPr="00AE38CB">
        <w:rPr>
          <w:b/>
          <w:bCs/>
          <w:u w:val="single"/>
        </w:rPr>
        <w:t>ISSUE 15</w:t>
      </w:r>
      <w:r w:rsidRPr="00AE38CB">
        <w:rPr>
          <w:b/>
          <w:bCs/>
        </w:rPr>
        <w:t>:</w:t>
      </w:r>
      <w:r w:rsidRPr="00AE38CB">
        <w:rPr>
          <w:b/>
          <w:bCs/>
        </w:rPr>
        <w:tab/>
      </w:r>
      <w:r w:rsidRPr="00AE38CB">
        <w:t>What is the appropriate revenue tax factor to be applied in calculating each investor-owned electric utility’s levelized fuel factor for the projection period January 2027 through December 2027?</w:t>
      </w:r>
    </w:p>
    <w:p w14:paraId="6383F46C" w14:textId="77777777" w:rsidR="00644367" w:rsidRPr="00AE38CB" w:rsidRDefault="00644367" w:rsidP="00AE38CB"/>
    <w:p w14:paraId="30ABCB7E" w14:textId="77777777" w:rsidR="00AE38CB" w:rsidRPr="00AE38CB" w:rsidRDefault="00AE38CB" w:rsidP="00AE38CB">
      <w:pPr>
        <w:autoSpaceDE w:val="0"/>
        <w:autoSpaceDN w:val="0"/>
        <w:adjustRightInd w:val="0"/>
        <w:ind w:left="1440" w:hanging="1440"/>
        <w:jc w:val="both"/>
      </w:pPr>
      <w:r w:rsidRPr="00AE38CB">
        <w:rPr>
          <w:b/>
          <w:bCs/>
          <w:u w:val="single"/>
        </w:rPr>
        <w:t>ISSUE 16</w:t>
      </w:r>
      <w:r w:rsidRPr="00AE38CB">
        <w:t>:</w:t>
      </w:r>
      <w:r w:rsidRPr="00AE38CB">
        <w:tab/>
        <w:t>What are the appropriate levelized fuel cost recovery factors for the period January 2027 through December 2027?</w:t>
      </w:r>
    </w:p>
    <w:p w14:paraId="698AEC22" w14:textId="5128B0EF" w:rsidR="00AD5F67" w:rsidRDefault="00AD5F67" w:rsidP="00AE38CB"/>
    <w:p w14:paraId="3F1D7EC9" w14:textId="73007210" w:rsidR="00AE38CB" w:rsidRDefault="00AE38CB" w:rsidP="00AE38CB">
      <w:pPr>
        <w:autoSpaceDE w:val="0"/>
        <w:autoSpaceDN w:val="0"/>
        <w:adjustRightInd w:val="0"/>
        <w:ind w:left="1440" w:hanging="1440"/>
        <w:jc w:val="both"/>
      </w:pPr>
      <w:r w:rsidRPr="00AE38CB">
        <w:rPr>
          <w:b/>
          <w:bCs/>
          <w:u w:val="single"/>
        </w:rPr>
        <w:t>ISSUE 17</w:t>
      </w:r>
      <w:r w:rsidRPr="00AE38CB">
        <w:t>:</w:t>
      </w:r>
      <w:r w:rsidRPr="00AE38CB">
        <w:tab/>
        <w:t>What are the appropriate fuel recovery line loss multipliers to be used in calculating the fuel cost recovery factors charged to each rate class/delivery voltage level class?</w:t>
      </w:r>
    </w:p>
    <w:p w14:paraId="7324CBBE" w14:textId="77777777" w:rsidR="008D634B" w:rsidRPr="00AE38CB" w:rsidRDefault="008D634B" w:rsidP="00AE38CB">
      <w:pPr>
        <w:autoSpaceDE w:val="0"/>
        <w:autoSpaceDN w:val="0"/>
        <w:adjustRightInd w:val="0"/>
        <w:ind w:left="1440" w:hanging="1440"/>
        <w:jc w:val="both"/>
      </w:pPr>
    </w:p>
    <w:p w14:paraId="25CC6991" w14:textId="77777777" w:rsidR="00AE38CB" w:rsidRPr="00596BCE" w:rsidRDefault="00AE38CB" w:rsidP="00AE38CB">
      <w:pPr>
        <w:ind w:left="1440" w:hanging="1440"/>
        <w:jc w:val="both"/>
        <w:rPr>
          <w:bCs/>
          <w:caps/>
        </w:rPr>
      </w:pPr>
      <w:r w:rsidRPr="00AE38CB">
        <w:rPr>
          <w:b/>
          <w:bCs/>
          <w:u w:val="single"/>
        </w:rPr>
        <w:t>ISSUE 18</w:t>
      </w:r>
      <w:r w:rsidRPr="00AE38CB">
        <w:t>:</w:t>
      </w:r>
      <w:r w:rsidRPr="00AE38CB">
        <w:tab/>
        <w:t xml:space="preserve">What are the appropriate fuel cost recovery factors for each rate class/delivery voltage level class adjusted for line losses? </w:t>
      </w:r>
    </w:p>
    <w:p w14:paraId="1A9780CC" w14:textId="23D521AE" w:rsidR="00367C98" w:rsidRPr="001772E8" w:rsidRDefault="00367C98" w:rsidP="00AE38CB"/>
    <w:p w14:paraId="4279DD63" w14:textId="77777777" w:rsidR="008D634B" w:rsidRPr="001772E8" w:rsidRDefault="008D634B" w:rsidP="00AE38CB"/>
    <w:p w14:paraId="5A9111CE" w14:textId="77777777" w:rsidR="00AE38CB" w:rsidRPr="00AE38CB" w:rsidRDefault="00AE38CB" w:rsidP="00AE38CB">
      <w:pPr>
        <w:jc w:val="both"/>
        <w:rPr>
          <w:bCs/>
          <w:caps/>
        </w:rPr>
      </w:pPr>
      <w:r w:rsidRPr="00AE38CB">
        <w:rPr>
          <w:b/>
          <w:bCs/>
          <w:caps/>
          <w:u w:val="single"/>
        </w:rPr>
        <w:t>II.</w:t>
      </w:r>
      <w:r w:rsidRPr="00AE38CB">
        <w:rPr>
          <w:b/>
          <w:bCs/>
          <w:caps/>
        </w:rPr>
        <w:tab/>
      </w:r>
      <w:r w:rsidRPr="00AE38CB">
        <w:rPr>
          <w:b/>
          <w:bCs/>
          <w:caps/>
          <w:u w:val="single"/>
        </w:rPr>
        <w:t>Capacity Issues</w:t>
      </w:r>
    </w:p>
    <w:p w14:paraId="0A64FF01" w14:textId="77777777" w:rsidR="00AE38CB" w:rsidRPr="00367C98" w:rsidRDefault="00AE38CB" w:rsidP="00AE38CB">
      <w:pPr>
        <w:autoSpaceDE w:val="0"/>
        <w:autoSpaceDN w:val="0"/>
        <w:adjustRightInd w:val="0"/>
        <w:rPr>
          <w:bCs/>
        </w:rPr>
      </w:pPr>
    </w:p>
    <w:p w14:paraId="5F9783CE" w14:textId="77777777" w:rsidR="00AE38CB" w:rsidRPr="00AE38CB" w:rsidRDefault="00AE38CB" w:rsidP="00AE38CB">
      <w:pPr>
        <w:autoSpaceDE w:val="0"/>
        <w:autoSpaceDN w:val="0"/>
        <w:adjustRightInd w:val="0"/>
        <w:rPr>
          <w:b/>
          <w:bCs/>
        </w:rPr>
      </w:pPr>
      <w:r w:rsidRPr="00AE38CB">
        <w:rPr>
          <w:b/>
          <w:bCs/>
        </w:rPr>
        <w:t>COMPANY-SPECIFIC CAPACITY COST RECOVERY FACTOR ISSUES</w:t>
      </w:r>
    </w:p>
    <w:p w14:paraId="52A869C0" w14:textId="77777777" w:rsidR="00AE38CB" w:rsidRPr="00367C98" w:rsidRDefault="00AE38CB" w:rsidP="00AE38CB">
      <w:pPr>
        <w:autoSpaceDE w:val="0"/>
        <w:autoSpaceDN w:val="0"/>
        <w:adjustRightInd w:val="0"/>
        <w:rPr>
          <w:bCs/>
        </w:rPr>
      </w:pPr>
    </w:p>
    <w:p w14:paraId="21EDC484" w14:textId="15F247B1" w:rsidR="00AE38CB" w:rsidRPr="00AE38CB" w:rsidRDefault="008D634B" w:rsidP="00AE38CB">
      <w:pPr>
        <w:autoSpaceDE w:val="0"/>
        <w:autoSpaceDN w:val="0"/>
        <w:adjustRightInd w:val="0"/>
        <w:rPr>
          <w:b/>
          <w:bCs/>
        </w:rPr>
      </w:pPr>
      <w:r>
        <w:rPr>
          <w:b/>
          <w:bCs/>
        </w:rPr>
        <w:t>Duke Energy Florida, LLC</w:t>
      </w:r>
    </w:p>
    <w:p w14:paraId="3998C6A8" w14:textId="77777777" w:rsidR="00AE38CB" w:rsidRPr="00367C98" w:rsidRDefault="00AE38CB" w:rsidP="00AE38CB">
      <w:pPr>
        <w:autoSpaceDE w:val="0"/>
        <w:autoSpaceDN w:val="0"/>
        <w:adjustRightInd w:val="0"/>
        <w:rPr>
          <w:bCs/>
        </w:rPr>
      </w:pPr>
    </w:p>
    <w:p w14:paraId="3509F88B" w14:textId="77777777" w:rsidR="00AE38CB" w:rsidRPr="00AE38CB" w:rsidRDefault="00AE38CB" w:rsidP="00AE38CB">
      <w:pPr>
        <w:autoSpaceDE w:val="0"/>
        <w:autoSpaceDN w:val="0"/>
        <w:adjustRightInd w:val="0"/>
        <w:ind w:left="1440" w:hanging="1440"/>
      </w:pPr>
      <w:r w:rsidRPr="00AE38CB">
        <w:rPr>
          <w:b/>
          <w:u w:val="single"/>
        </w:rPr>
        <w:t>ISSUE 19A</w:t>
      </w:r>
      <w:r w:rsidRPr="00AE38CB">
        <w:rPr>
          <w:b/>
        </w:rPr>
        <w:t>:</w:t>
      </w:r>
      <w:r w:rsidRPr="00AE38CB">
        <w:rPr>
          <w:b/>
        </w:rPr>
        <w:tab/>
      </w:r>
      <w:r w:rsidRPr="00AE38CB">
        <w:t>What is the appropriate amount of costs for the Independent Spent Fuel Storage Installation (ISFSI) that DEF should be allowed to recover through the capacity cost recovery clause pursuant to DEF’s 2017 Settlement for 2027?</w:t>
      </w:r>
    </w:p>
    <w:p w14:paraId="2F0261D3" w14:textId="77777777" w:rsidR="008D634B" w:rsidRDefault="008D634B" w:rsidP="008D634B">
      <w:pPr>
        <w:autoSpaceDE w:val="0"/>
        <w:autoSpaceDN w:val="0"/>
        <w:adjustRightInd w:val="0"/>
        <w:ind w:left="1440" w:hanging="1440"/>
      </w:pPr>
    </w:p>
    <w:p w14:paraId="53F13901" w14:textId="77777777" w:rsidR="008D634B" w:rsidRDefault="008D634B" w:rsidP="008D634B">
      <w:pPr>
        <w:autoSpaceDE w:val="0"/>
        <w:autoSpaceDN w:val="0"/>
        <w:adjustRightInd w:val="0"/>
        <w:ind w:left="1440" w:hanging="1440"/>
      </w:pPr>
    </w:p>
    <w:p w14:paraId="27242AEA" w14:textId="50AE90AE" w:rsidR="00AE38CB" w:rsidRPr="00AE38CB" w:rsidRDefault="00AE38CB" w:rsidP="008D634B">
      <w:pPr>
        <w:autoSpaceDE w:val="0"/>
        <w:autoSpaceDN w:val="0"/>
        <w:adjustRightInd w:val="0"/>
        <w:ind w:left="1440" w:hanging="1440"/>
        <w:rPr>
          <w:b/>
          <w:bCs/>
        </w:rPr>
      </w:pPr>
      <w:r w:rsidRPr="00AE38CB">
        <w:rPr>
          <w:b/>
          <w:bCs/>
        </w:rPr>
        <w:t>Florida Power &amp; Light Company</w:t>
      </w:r>
    </w:p>
    <w:p w14:paraId="318F19BE" w14:textId="77777777" w:rsidR="00AE38CB" w:rsidRPr="00AE38CB" w:rsidRDefault="00AE38CB" w:rsidP="00AE38CB">
      <w:pPr>
        <w:autoSpaceDE w:val="0"/>
        <w:autoSpaceDN w:val="0"/>
        <w:adjustRightInd w:val="0"/>
        <w:jc w:val="both"/>
        <w:rPr>
          <w:bCs/>
        </w:rPr>
      </w:pPr>
    </w:p>
    <w:p w14:paraId="320DD58A" w14:textId="77777777" w:rsidR="00493C9C" w:rsidRPr="00E82F49" w:rsidRDefault="00493C9C" w:rsidP="00493C9C">
      <w:pPr>
        <w:autoSpaceDE w:val="0"/>
        <w:autoSpaceDN w:val="0"/>
        <w:adjustRightInd w:val="0"/>
        <w:ind w:left="1440" w:hanging="1440"/>
        <w:jc w:val="both"/>
        <w:rPr>
          <w:bCs/>
        </w:rPr>
      </w:pPr>
      <w:r>
        <w:rPr>
          <w:b/>
          <w:bCs/>
          <w:u w:val="single"/>
        </w:rPr>
        <w:t>ISSUE 20A</w:t>
      </w:r>
      <w:r>
        <w:rPr>
          <w:b/>
          <w:bCs/>
        </w:rPr>
        <w:t>:</w:t>
      </w:r>
      <w:r>
        <w:rPr>
          <w:b/>
          <w:bCs/>
        </w:rPr>
        <w:tab/>
      </w:r>
      <w:r>
        <w:rPr>
          <w:bCs/>
        </w:rPr>
        <w:t>Has FPL calculated its capacity factors using the 4 CP and 12% average demand methodology for production plant and 4 CP for transmission plant consistent with Order No. PSC-2026-0022-S-EI?</w:t>
      </w:r>
    </w:p>
    <w:p w14:paraId="4E1E7E22" w14:textId="0CD06705" w:rsidR="00AE38CB" w:rsidRDefault="00AE38CB" w:rsidP="00AE38CB">
      <w:pPr>
        <w:autoSpaceDE w:val="0"/>
        <w:autoSpaceDN w:val="0"/>
        <w:adjustRightInd w:val="0"/>
        <w:jc w:val="both"/>
        <w:rPr>
          <w:bCs/>
        </w:rPr>
      </w:pPr>
    </w:p>
    <w:p w14:paraId="320CDAFF" w14:textId="77777777" w:rsidR="00480D08" w:rsidRPr="00AE38CB" w:rsidRDefault="00480D08" w:rsidP="00AE38CB">
      <w:pPr>
        <w:autoSpaceDE w:val="0"/>
        <w:autoSpaceDN w:val="0"/>
        <w:adjustRightInd w:val="0"/>
        <w:jc w:val="both"/>
        <w:rPr>
          <w:bCs/>
        </w:rPr>
      </w:pPr>
    </w:p>
    <w:p w14:paraId="02D9C023" w14:textId="77777777" w:rsidR="00AE38CB" w:rsidRPr="00AE38CB" w:rsidRDefault="00AE38CB" w:rsidP="00AE38CB">
      <w:pPr>
        <w:rPr>
          <w:b/>
          <w:bCs/>
        </w:rPr>
      </w:pPr>
      <w:r w:rsidRPr="00AE38CB">
        <w:rPr>
          <w:b/>
          <w:bCs/>
        </w:rPr>
        <w:t>Tampa Electric Company</w:t>
      </w:r>
    </w:p>
    <w:p w14:paraId="76ACB3C3" w14:textId="77777777" w:rsidR="00AE38CB" w:rsidRPr="00AE38CB" w:rsidRDefault="00AE38CB" w:rsidP="00AE38CB">
      <w:pPr>
        <w:autoSpaceDE w:val="0"/>
        <w:autoSpaceDN w:val="0"/>
        <w:adjustRightInd w:val="0"/>
        <w:jc w:val="both"/>
      </w:pPr>
    </w:p>
    <w:p w14:paraId="5A7930C2" w14:textId="77777777" w:rsidR="00AE38CB" w:rsidRPr="00AE38CB" w:rsidRDefault="00AE38CB" w:rsidP="00274B4F">
      <w:pPr>
        <w:autoSpaceDE w:val="0"/>
        <w:autoSpaceDN w:val="0"/>
        <w:adjustRightInd w:val="0"/>
        <w:ind w:left="1440"/>
        <w:jc w:val="both"/>
      </w:pPr>
      <w:r w:rsidRPr="00AE38CB">
        <w:t xml:space="preserve">No company-specific capacity cost recovery factor issues for Tampa </w:t>
      </w:r>
      <w:r w:rsidRPr="00274B4F">
        <w:t>Electric Company have been identified at this time. If such issues are identified, they will be numbered 21A, 21B, 21C, and so forth, as appropriate.</w:t>
      </w:r>
    </w:p>
    <w:p w14:paraId="7650690D" w14:textId="0DF0A957" w:rsidR="00AE38CB" w:rsidRDefault="00AE38CB" w:rsidP="00AE38CB">
      <w:pPr>
        <w:jc w:val="both"/>
        <w:rPr>
          <w:bCs/>
        </w:rPr>
      </w:pPr>
    </w:p>
    <w:p w14:paraId="05DB0B1E" w14:textId="77777777" w:rsidR="00AE38CB" w:rsidRPr="00AE38CB" w:rsidRDefault="00AE38CB" w:rsidP="00AE38CB">
      <w:pPr>
        <w:rPr>
          <w:b/>
          <w:bCs/>
        </w:rPr>
      </w:pPr>
      <w:r w:rsidRPr="00AE38CB">
        <w:rPr>
          <w:b/>
          <w:bCs/>
        </w:rPr>
        <w:lastRenderedPageBreak/>
        <w:t>GENERIC CAPACITY COST RECOVERY FACTOR ISSUES</w:t>
      </w:r>
    </w:p>
    <w:p w14:paraId="3F4626E2" w14:textId="77777777" w:rsidR="00AE38CB" w:rsidRPr="00AE38CB" w:rsidRDefault="00AE38CB" w:rsidP="00AE38CB">
      <w:pPr>
        <w:autoSpaceDE w:val="0"/>
        <w:autoSpaceDN w:val="0"/>
        <w:adjustRightInd w:val="0"/>
      </w:pPr>
    </w:p>
    <w:p w14:paraId="014E93A8" w14:textId="77777777" w:rsidR="00AE38CB" w:rsidRPr="00AE38CB" w:rsidRDefault="00AE38CB" w:rsidP="00AE38CB">
      <w:pPr>
        <w:autoSpaceDE w:val="0"/>
        <w:autoSpaceDN w:val="0"/>
        <w:adjustRightInd w:val="0"/>
        <w:ind w:left="1440" w:hanging="1440"/>
        <w:jc w:val="both"/>
      </w:pPr>
      <w:r w:rsidRPr="00AE38CB">
        <w:rPr>
          <w:b/>
          <w:bCs/>
          <w:u w:val="single"/>
        </w:rPr>
        <w:t>ISSUE 22:</w:t>
      </w:r>
      <w:r w:rsidRPr="00AE38CB">
        <w:tab/>
        <w:t>What are the appropriate final capacity cost recovery true-up amounts for the period January 2025 through December 2025?</w:t>
      </w:r>
    </w:p>
    <w:p w14:paraId="61F03B00" w14:textId="187DE17D" w:rsidR="00480D08" w:rsidRDefault="00480D08" w:rsidP="00AE38CB">
      <w:pPr>
        <w:autoSpaceDE w:val="0"/>
        <w:autoSpaceDN w:val="0"/>
        <w:adjustRightInd w:val="0"/>
        <w:jc w:val="both"/>
      </w:pPr>
    </w:p>
    <w:p w14:paraId="34E5FA0E" w14:textId="77777777" w:rsidR="00AE38CB" w:rsidRPr="00AE38CB" w:rsidRDefault="00AE38CB" w:rsidP="00AE38CB">
      <w:pPr>
        <w:autoSpaceDE w:val="0"/>
        <w:autoSpaceDN w:val="0"/>
        <w:adjustRightInd w:val="0"/>
        <w:ind w:left="1440" w:hanging="1440"/>
        <w:jc w:val="both"/>
      </w:pPr>
      <w:r w:rsidRPr="00AE38CB">
        <w:rPr>
          <w:b/>
          <w:bCs/>
          <w:u w:val="single"/>
        </w:rPr>
        <w:t>ISSUE 23</w:t>
      </w:r>
      <w:r w:rsidRPr="00AE38CB">
        <w:t>:</w:t>
      </w:r>
      <w:r w:rsidRPr="00AE38CB">
        <w:tab/>
        <w:t>What are the appropriate capacity cost recovery actual/estimated true-up amounts for the period January 2026 through December 2026?</w:t>
      </w:r>
    </w:p>
    <w:p w14:paraId="75B6B599" w14:textId="77777777" w:rsidR="00AE38CB" w:rsidRPr="00034BC6" w:rsidRDefault="00AE38CB" w:rsidP="00AE38CB">
      <w:pPr>
        <w:autoSpaceDE w:val="0"/>
        <w:autoSpaceDN w:val="0"/>
        <w:adjustRightInd w:val="0"/>
        <w:ind w:left="1440" w:hanging="1440"/>
        <w:jc w:val="both"/>
      </w:pPr>
    </w:p>
    <w:p w14:paraId="0752ADE4" w14:textId="77777777" w:rsidR="00AE38CB" w:rsidRPr="00034BC6" w:rsidRDefault="00AE38CB" w:rsidP="00AE38CB">
      <w:pPr>
        <w:autoSpaceDE w:val="0"/>
        <w:autoSpaceDN w:val="0"/>
        <w:adjustRightInd w:val="0"/>
        <w:ind w:left="1440" w:hanging="1440"/>
        <w:jc w:val="both"/>
      </w:pPr>
      <w:r w:rsidRPr="00034BC6">
        <w:rPr>
          <w:b/>
          <w:bCs/>
          <w:u w:val="single"/>
        </w:rPr>
        <w:t>ISSUE 24</w:t>
      </w:r>
      <w:r w:rsidRPr="00034BC6">
        <w:t>:</w:t>
      </w:r>
      <w:r w:rsidRPr="00034BC6">
        <w:tab/>
        <w:t>What are the appropriate total capacity cost recovery true-up amounts to be collected/refunded during the period January 2027 through December 2027?</w:t>
      </w:r>
    </w:p>
    <w:p w14:paraId="5AEF9F74" w14:textId="77777777" w:rsidR="00274B4F" w:rsidRPr="001772E8" w:rsidRDefault="00274B4F" w:rsidP="00AE38CB">
      <w:pPr>
        <w:autoSpaceDE w:val="0"/>
        <w:autoSpaceDN w:val="0"/>
        <w:adjustRightInd w:val="0"/>
        <w:ind w:left="1440" w:hanging="1440"/>
        <w:jc w:val="both"/>
        <w:rPr>
          <w:bCs/>
          <w:caps/>
        </w:rPr>
      </w:pPr>
    </w:p>
    <w:p w14:paraId="39EC3120" w14:textId="6900B369" w:rsidR="00AE38CB" w:rsidRPr="00034BC6" w:rsidRDefault="00AE38CB" w:rsidP="00AE38CB">
      <w:pPr>
        <w:autoSpaceDE w:val="0"/>
        <w:autoSpaceDN w:val="0"/>
        <w:adjustRightInd w:val="0"/>
        <w:ind w:left="1440" w:hanging="1440"/>
        <w:jc w:val="both"/>
      </w:pPr>
      <w:r w:rsidRPr="00034BC6">
        <w:rPr>
          <w:b/>
          <w:bCs/>
          <w:caps/>
          <w:u w:val="single"/>
        </w:rPr>
        <w:t>Issue</w:t>
      </w:r>
      <w:r w:rsidRPr="00034BC6">
        <w:rPr>
          <w:b/>
          <w:bCs/>
          <w:u w:val="single"/>
        </w:rPr>
        <w:t xml:space="preserve"> 25</w:t>
      </w:r>
      <w:r w:rsidRPr="00034BC6">
        <w:rPr>
          <w:b/>
          <w:bCs/>
        </w:rPr>
        <w:t>:</w:t>
      </w:r>
      <w:r w:rsidRPr="00034BC6">
        <w:tab/>
        <w:t>What are the appropriate projected total capacity cost recovery amounts for the period January 2027 through December 2027?</w:t>
      </w:r>
    </w:p>
    <w:p w14:paraId="7019B8DD" w14:textId="77777777" w:rsidR="00274B4F" w:rsidRPr="001772E8" w:rsidRDefault="00274B4F" w:rsidP="00AE38CB">
      <w:pPr>
        <w:ind w:left="1440" w:hanging="1440"/>
        <w:jc w:val="both"/>
        <w:rPr>
          <w:bCs/>
        </w:rPr>
      </w:pPr>
    </w:p>
    <w:p w14:paraId="50F6C910" w14:textId="5B8DF5C0" w:rsidR="00AE38CB" w:rsidRPr="00034BC6" w:rsidRDefault="00AE38CB" w:rsidP="00AE38CB">
      <w:pPr>
        <w:ind w:left="1440" w:hanging="1440"/>
        <w:jc w:val="both"/>
      </w:pPr>
      <w:r w:rsidRPr="00034BC6">
        <w:rPr>
          <w:b/>
          <w:bCs/>
          <w:u w:val="single"/>
        </w:rPr>
        <w:t>ISSUE 26</w:t>
      </w:r>
      <w:r w:rsidRPr="00034BC6">
        <w:t>:</w:t>
      </w:r>
      <w:r w:rsidRPr="00034BC6">
        <w:tab/>
        <w:t>What are the appropriate projected net purchased power capacity cost recovery amounts to be included in the recovery factor for the period January 2027 through December 2027?</w:t>
      </w:r>
    </w:p>
    <w:p w14:paraId="14ED6863" w14:textId="77777777" w:rsidR="00367C98" w:rsidRPr="00034BC6" w:rsidRDefault="00367C98" w:rsidP="00274B4F">
      <w:pPr>
        <w:autoSpaceDE w:val="0"/>
        <w:autoSpaceDN w:val="0"/>
        <w:adjustRightInd w:val="0"/>
        <w:jc w:val="both"/>
      </w:pPr>
    </w:p>
    <w:p w14:paraId="70FF6CB1" w14:textId="0DFDEC3E" w:rsidR="00AE38CB" w:rsidRDefault="00AE38CB" w:rsidP="00AE38CB">
      <w:pPr>
        <w:autoSpaceDE w:val="0"/>
        <w:autoSpaceDN w:val="0"/>
        <w:adjustRightInd w:val="0"/>
        <w:ind w:left="1440" w:hanging="1440"/>
        <w:jc w:val="both"/>
      </w:pPr>
      <w:r w:rsidRPr="00AE38CB">
        <w:rPr>
          <w:b/>
          <w:bCs/>
          <w:u w:val="single"/>
        </w:rPr>
        <w:t>ISSUE 27</w:t>
      </w:r>
      <w:r w:rsidRPr="00AE38CB">
        <w:t>:</w:t>
      </w:r>
      <w:r w:rsidRPr="00AE38CB">
        <w:tab/>
        <w:t>What are the appropriate jurisdictional separation factors for capacity revenues and costs to be included in the recovery factor for the period January 2027 through December 2027?</w:t>
      </w:r>
    </w:p>
    <w:p w14:paraId="5DEB1A38" w14:textId="77777777" w:rsidR="001778B1" w:rsidRPr="00AE38CB" w:rsidRDefault="001778B1" w:rsidP="00AE38CB">
      <w:pPr>
        <w:autoSpaceDE w:val="0"/>
        <w:autoSpaceDN w:val="0"/>
        <w:adjustRightInd w:val="0"/>
        <w:ind w:left="1440" w:hanging="1440"/>
        <w:jc w:val="both"/>
      </w:pPr>
    </w:p>
    <w:p w14:paraId="062CCB66" w14:textId="2B3F89F5" w:rsidR="00AE38CB" w:rsidRPr="00AE38CB" w:rsidRDefault="00AE38CB" w:rsidP="00274B4F">
      <w:pPr>
        <w:ind w:left="1440" w:hanging="1440"/>
        <w:jc w:val="both"/>
      </w:pPr>
      <w:r w:rsidRPr="00AE38CB">
        <w:rPr>
          <w:b/>
          <w:bCs/>
          <w:u w:val="single"/>
        </w:rPr>
        <w:t>ISSUE 28</w:t>
      </w:r>
      <w:r w:rsidRPr="00AE38CB">
        <w:rPr>
          <w:u w:val="single"/>
        </w:rPr>
        <w:t>:</w:t>
      </w:r>
      <w:r w:rsidRPr="00AE38CB">
        <w:tab/>
        <w:t>What are the appropriate capacity cost recovery factors for the period January 2027 through December 2027?</w:t>
      </w:r>
      <w:r w:rsidR="00274B4F" w:rsidRPr="00AE38CB">
        <w:t xml:space="preserve"> </w:t>
      </w:r>
    </w:p>
    <w:p w14:paraId="7F83C438" w14:textId="223A883A" w:rsidR="00AE38CB" w:rsidRDefault="00AE38CB" w:rsidP="00AE38CB">
      <w:pPr>
        <w:autoSpaceDE w:val="0"/>
        <w:autoSpaceDN w:val="0"/>
        <w:adjustRightInd w:val="0"/>
        <w:ind w:left="1440" w:hanging="1440"/>
        <w:jc w:val="both"/>
      </w:pPr>
    </w:p>
    <w:p w14:paraId="3A88E7F8" w14:textId="77777777" w:rsidR="00274B4F" w:rsidRPr="00AE38CB" w:rsidRDefault="00274B4F" w:rsidP="00AE38CB">
      <w:pPr>
        <w:autoSpaceDE w:val="0"/>
        <w:autoSpaceDN w:val="0"/>
        <w:adjustRightInd w:val="0"/>
        <w:ind w:left="1440" w:hanging="1440"/>
        <w:jc w:val="both"/>
      </w:pPr>
    </w:p>
    <w:p w14:paraId="2DF43C98" w14:textId="77777777" w:rsidR="00AE38CB" w:rsidRPr="00AE38CB" w:rsidRDefault="00AE38CB" w:rsidP="00AE3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AE38CB">
        <w:rPr>
          <w:b/>
          <w:bCs/>
          <w:caps/>
          <w:u w:val="single"/>
        </w:rPr>
        <w:t>III.</w:t>
      </w:r>
      <w:r w:rsidRPr="00AE38CB">
        <w:rPr>
          <w:b/>
          <w:bCs/>
          <w:caps/>
        </w:rPr>
        <w:tab/>
      </w:r>
      <w:r w:rsidRPr="00AE38CB">
        <w:rPr>
          <w:b/>
          <w:bCs/>
          <w:caps/>
          <w:u w:val="single"/>
        </w:rPr>
        <w:t>Effective Date</w:t>
      </w:r>
    </w:p>
    <w:p w14:paraId="0DC56B30" w14:textId="77777777" w:rsidR="00AE38CB" w:rsidRPr="00AE38CB" w:rsidRDefault="00AE38CB" w:rsidP="00AE3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14:paraId="69ADCD5A" w14:textId="77777777" w:rsidR="00AE38CB" w:rsidRPr="00AE38CB" w:rsidRDefault="00AE38CB" w:rsidP="00AE38CB">
      <w:pPr>
        <w:autoSpaceDE w:val="0"/>
        <w:autoSpaceDN w:val="0"/>
        <w:adjustRightInd w:val="0"/>
        <w:ind w:left="1440" w:hanging="1440"/>
        <w:jc w:val="both"/>
      </w:pPr>
      <w:r w:rsidRPr="00AE38CB">
        <w:rPr>
          <w:b/>
          <w:bCs/>
          <w:u w:val="single"/>
        </w:rPr>
        <w:t>ISSUE 29</w:t>
      </w:r>
      <w:r w:rsidRPr="00AE38CB">
        <w:t>:</w:t>
      </w:r>
      <w:r w:rsidRPr="00AE38CB">
        <w:tab/>
        <w:t>What should be the effective date of the fuel adjustment factors and capacity cost recovery factors for billing purposes?</w:t>
      </w:r>
    </w:p>
    <w:p w14:paraId="18919BA1" w14:textId="77777777" w:rsidR="00274B4F" w:rsidRPr="001772E8" w:rsidRDefault="00274B4F" w:rsidP="00AE38CB">
      <w:pPr>
        <w:autoSpaceDE w:val="0"/>
        <w:autoSpaceDN w:val="0"/>
        <w:adjustRightInd w:val="0"/>
        <w:ind w:left="1440" w:hanging="1440"/>
        <w:jc w:val="both"/>
      </w:pPr>
    </w:p>
    <w:p w14:paraId="766E673A" w14:textId="3D9BAEE7" w:rsidR="00AE38CB" w:rsidRPr="00AE38CB" w:rsidRDefault="00AE38CB" w:rsidP="00AE38CB">
      <w:pPr>
        <w:autoSpaceDE w:val="0"/>
        <w:autoSpaceDN w:val="0"/>
        <w:adjustRightInd w:val="0"/>
        <w:ind w:left="1440" w:hanging="1440"/>
        <w:jc w:val="both"/>
      </w:pPr>
      <w:r w:rsidRPr="00AE38CB">
        <w:rPr>
          <w:b/>
          <w:u w:val="single"/>
        </w:rPr>
        <w:t>ISSUE 30:</w:t>
      </w:r>
      <w:r w:rsidRPr="00AE38CB">
        <w:rPr>
          <w:b/>
        </w:rPr>
        <w:tab/>
      </w:r>
      <w:r w:rsidRPr="00AE38CB">
        <w:t>Should the Commission approve revised tariffs reflecting the fuel adjustment factors and capacity cost recovery factors determined to be appropriate in this proceeding?</w:t>
      </w:r>
    </w:p>
    <w:p w14:paraId="6782BE3F" w14:textId="77777777" w:rsidR="00274B4F" w:rsidRPr="001772E8" w:rsidRDefault="00274B4F" w:rsidP="00AE38CB">
      <w:pPr>
        <w:autoSpaceDE w:val="0"/>
        <w:autoSpaceDN w:val="0"/>
        <w:adjustRightInd w:val="0"/>
        <w:ind w:left="1440" w:hanging="1440"/>
        <w:jc w:val="both"/>
      </w:pPr>
    </w:p>
    <w:p w14:paraId="140B902E" w14:textId="6DE0359A" w:rsidR="00493A92" w:rsidRDefault="00AE38CB" w:rsidP="00274B4F">
      <w:pPr>
        <w:autoSpaceDE w:val="0"/>
        <w:autoSpaceDN w:val="0"/>
        <w:adjustRightInd w:val="0"/>
        <w:ind w:left="1440" w:hanging="1440"/>
        <w:jc w:val="both"/>
      </w:pPr>
      <w:r w:rsidRPr="00AE38CB">
        <w:rPr>
          <w:b/>
          <w:u w:val="single"/>
        </w:rPr>
        <w:t>ISSUE 31</w:t>
      </w:r>
      <w:r w:rsidRPr="00AE38CB">
        <w:rPr>
          <w:b/>
        </w:rPr>
        <w:t>:</w:t>
      </w:r>
      <w:r w:rsidRPr="00AE38CB">
        <w:rPr>
          <w:b/>
        </w:rPr>
        <w:tab/>
      </w:r>
      <w:r w:rsidRPr="00AE38CB">
        <w:t>Should this docket be closed?</w:t>
      </w:r>
    </w:p>
    <w:sectPr w:rsidR="00493A92">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93FCC" w14:textId="77777777" w:rsidR="008D634B" w:rsidRDefault="008D634B">
      <w:r>
        <w:separator/>
      </w:r>
    </w:p>
  </w:endnote>
  <w:endnote w:type="continuationSeparator" w:id="0">
    <w:p w14:paraId="1614FFBC" w14:textId="77777777" w:rsidR="008D634B" w:rsidRDefault="008D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0727" w14:textId="77777777" w:rsidR="008D634B" w:rsidRDefault="008D634B">
      <w:r>
        <w:separator/>
      </w:r>
    </w:p>
  </w:footnote>
  <w:footnote w:type="continuationSeparator" w:id="0">
    <w:p w14:paraId="69DF2AA2" w14:textId="77777777" w:rsidR="008D634B" w:rsidRDefault="008D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B692" w14:textId="5D3BCFC3" w:rsidR="008D634B" w:rsidRDefault="001700CC">
    <w:pPr>
      <w:pStyle w:val="OrderHeader"/>
    </w:pPr>
    <w:r>
      <w:t>O</w:t>
    </w:r>
    <w:r w:rsidR="004F110D">
      <w:t xml:space="preserve">RDER NO. PSC-2026-0037-PCO-EI </w:t>
    </w:r>
  </w:p>
  <w:p w14:paraId="1DAFB776" w14:textId="77777777" w:rsidR="008D634B" w:rsidRDefault="008D634B">
    <w:pPr>
      <w:pStyle w:val="OrderHeader"/>
    </w:pPr>
    <w:bookmarkStart w:id="9" w:name="HeaderDocketNo"/>
    <w:bookmarkEnd w:id="9"/>
    <w:r>
      <w:t>DOCKET NO. 20260001-EI</w:t>
    </w:r>
  </w:p>
  <w:p w14:paraId="791DFB16" w14:textId="5A23A0E8" w:rsidR="008D634B" w:rsidRDefault="008D63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14E">
      <w:rPr>
        <w:rStyle w:val="PageNumber"/>
        <w:noProof/>
      </w:rPr>
      <w:t>14</w:t>
    </w:r>
    <w:r>
      <w:rPr>
        <w:rStyle w:val="PageNumber"/>
      </w:rPr>
      <w:fldChar w:fldCharType="end"/>
    </w:r>
  </w:p>
  <w:p w14:paraId="0E36774D" w14:textId="77777777" w:rsidR="008D634B" w:rsidRDefault="008D634B">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BB6E" w14:textId="5EF916F3" w:rsidR="00C716D3" w:rsidRDefault="00C716D3" w:rsidP="00F44A61">
    <w:pPr>
      <w:pStyle w:val="OrderHeader"/>
    </w:pPr>
    <w:r>
      <w:t xml:space="preserve">ORDER NO. </w:t>
    </w:r>
    <w:r w:rsidR="00FA514E">
      <w:t>PSC-2026-0037-PCO-EI</w:t>
    </w:r>
    <w:r>
      <w:tab/>
    </w:r>
    <w:r>
      <w:tab/>
      <w:t>Attachment A</w:t>
    </w:r>
  </w:p>
  <w:p w14:paraId="044216CC" w14:textId="77777777" w:rsidR="00C716D3" w:rsidRDefault="00C716D3" w:rsidP="00F44A61">
    <w:pPr>
      <w:pStyle w:val="OrderHeader"/>
    </w:pPr>
    <w:r>
      <w:t>DOCKET NO. 20260001-EI</w:t>
    </w:r>
  </w:p>
  <w:p w14:paraId="76714D8C" w14:textId="702C4CDA" w:rsidR="00C716D3" w:rsidRDefault="00C716D3" w:rsidP="00F44A6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14E">
      <w:rPr>
        <w:rStyle w:val="PageNumber"/>
        <w:noProof/>
      </w:rPr>
      <w:t>15</w:t>
    </w:r>
    <w:r>
      <w:rPr>
        <w:rStyle w:val="PageNumber"/>
      </w:rPr>
      <w:fldChar w:fldCharType="end"/>
    </w:r>
  </w:p>
  <w:p w14:paraId="73B8F1F6" w14:textId="77777777" w:rsidR="00C716D3" w:rsidRDefault="00C71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4C44"/>
    <w:multiLevelType w:val="hybridMultilevel"/>
    <w:tmpl w:val="ED1260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664686C"/>
    <w:multiLevelType w:val="hybridMultilevel"/>
    <w:tmpl w:val="0952E41E"/>
    <w:lvl w:ilvl="0" w:tplc="3064C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1-EI"/>
  </w:docVars>
  <w:rsids>
    <w:rsidRoot w:val="001901C7"/>
    <w:rsid w:val="000003EA"/>
    <w:rsid w:val="000022B8"/>
    <w:rsid w:val="00003883"/>
    <w:rsid w:val="000048E2"/>
    <w:rsid w:val="00011251"/>
    <w:rsid w:val="00012B32"/>
    <w:rsid w:val="00025C2A"/>
    <w:rsid w:val="00025C9D"/>
    <w:rsid w:val="0003433F"/>
    <w:rsid w:val="00034BC6"/>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4679"/>
    <w:rsid w:val="000B71A5"/>
    <w:rsid w:val="000B783E"/>
    <w:rsid w:val="000B7AD2"/>
    <w:rsid w:val="000B7D81"/>
    <w:rsid w:val="000C1994"/>
    <w:rsid w:val="000C3236"/>
    <w:rsid w:val="000C6926"/>
    <w:rsid w:val="000D02B8"/>
    <w:rsid w:val="000D06E8"/>
    <w:rsid w:val="000D1CAB"/>
    <w:rsid w:val="000D39FD"/>
    <w:rsid w:val="000D52C1"/>
    <w:rsid w:val="000D6E65"/>
    <w:rsid w:val="000D78FB"/>
    <w:rsid w:val="000E050C"/>
    <w:rsid w:val="000E20F0"/>
    <w:rsid w:val="000E2593"/>
    <w:rsid w:val="000E344D"/>
    <w:rsid w:val="000E39A2"/>
    <w:rsid w:val="000E3F6D"/>
    <w:rsid w:val="000F0C25"/>
    <w:rsid w:val="000F11F1"/>
    <w:rsid w:val="000F359F"/>
    <w:rsid w:val="000F3B2C"/>
    <w:rsid w:val="000F3F6C"/>
    <w:rsid w:val="000F44D8"/>
    <w:rsid w:val="000F48D7"/>
    <w:rsid w:val="000F63EB"/>
    <w:rsid w:val="000F648A"/>
    <w:rsid w:val="000F7BE3"/>
    <w:rsid w:val="00103190"/>
    <w:rsid w:val="00104333"/>
    <w:rsid w:val="001052BA"/>
    <w:rsid w:val="001107B3"/>
    <w:rsid w:val="001114B1"/>
    <w:rsid w:val="0011245E"/>
    <w:rsid w:val="00112D55"/>
    <w:rsid w:val="001139D8"/>
    <w:rsid w:val="00116AD3"/>
    <w:rsid w:val="00121957"/>
    <w:rsid w:val="0012387E"/>
    <w:rsid w:val="0012393B"/>
    <w:rsid w:val="001259EC"/>
    <w:rsid w:val="00126593"/>
    <w:rsid w:val="00126C01"/>
    <w:rsid w:val="001305D3"/>
    <w:rsid w:val="00132769"/>
    <w:rsid w:val="00134177"/>
    <w:rsid w:val="00136087"/>
    <w:rsid w:val="0014242D"/>
    <w:rsid w:val="00142A96"/>
    <w:rsid w:val="00146A7F"/>
    <w:rsid w:val="001513DE"/>
    <w:rsid w:val="00154A71"/>
    <w:rsid w:val="001562B9"/>
    <w:rsid w:val="001607CB"/>
    <w:rsid w:val="001655D4"/>
    <w:rsid w:val="00165803"/>
    <w:rsid w:val="001700CC"/>
    <w:rsid w:val="001772E8"/>
    <w:rsid w:val="001778B1"/>
    <w:rsid w:val="00185AFE"/>
    <w:rsid w:val="00185F09"/>
    <w:rsid w:val="00187E32"/>
    <w:rsid w:val="001901C7"/>
    <w:rsid w:val="001918FF"/>
    <w:rsid w:val="00194420"/>
    <w:rsid w:val="00194A97"/>
    <w:rsid w:val="00194E81"/>
    <w:rsid w:val="001A15E7"/>
    <w:rsid w:val="001A33C9"/>
    <w:rsid w:val="001A58F3"/>
    <w:rsid w:val="001B034E"/>
    <w:rsid w:val="001B09A2"/>
    <w:rsid w:val="001B6DF2"/>
    <w:rsid w:val="001C2847"/>
    <w:rsid w:val="001C3BB5"/>
    <w:rsid w:val="001C3F8C"/>
    <w:rsid w:val="001C445C"/>
    <w:rsid w:val="001C5338"/>
    <w:rsid w:val="001C5E6F"/>
    <w:rsid w:val="001C6097"/>
    <w:rsid w:val="001C7126"/>
    <w:rsid w:val="001D008A"/>
    <w:rsid w:val="001D0794"/>
    <w:rsid w:val="001D1280"/>
    <w:rsid w:val="001D7777"/>
    <w:rsid w:val="001E0152"/>
    <w:rsid w:val="001E0FF5"/>
    <w:rsid w:val="001F0095"/>
    <w:rsid w:val="001F36B0"/>
    <w:rsid w:val="001F4CA3"/>
    <w:rsid w:val="001F59E0"/>
    <w:rsid w:val="002002ED"/>
    <w:rsid w:val="002044DD"/>
    <w:rsid w:val="002170E5"/>
    <w:rsid w:val="002179AC"/>
    <w:rsid w:val="0022049B"/>
    <w:rsid w:val="00220D57"/>
    <w:rsid w:val="00223B99"/>
    <w:rsid w:val="0022721A"/>
    <w:rsid w:val="00230BB9"/>
    <w:rsid w:val="00233830"/>
    <w:rsid w:val="00236E4C"/>
    <w:rsid w:val="00241CEF"/>
    <w:rsid w:val="0024275D"/>
    <w:rsid w:val="00244000"/>
    <w:rsid w:val="0025124E"/>
    <w:rsid w:val="00252B30"/>
    <w:rsid w:val="00255291"/>
    <w:rsid w:val="002574DB"/>
    <w:rsid w:val="002613E4"/>
    <w:rsid w:val="00262C43"/>
    <w:rsid w:val="0026544B"/>
    <w:rsid w:val="00270F89"/>
    <w:rsid w:val="00274B4F"/>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2ADA"/>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39EB"/>
    <w:rsid w:val="0035495B"/>
    <w:rsid w:val="00355A93"/>
    <w:rsid w:val="00360F30"/>
    <w:rsid w:val="00361522"/>
    <w:rsid w:val="0036362B"/>
    <w:rsid w:val="00367C98"/>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0D08"/>
    <w:rsid w:val="00493A92"/>
    <w:rsid w:val="00493C9C"/>
    <w:rsid w:val="004A1707"/>
    <w:rsid w:val="004A25CD"/>
    <w:rsid w:val="004A26CC"/>
    <w:rsid w:val="004B2108"/>
    <w:rsid w:val="004B212A"/>
    <w:rsid w:val="004B3A2B"/>
    <w:rsid w:val="004B70D3"/>
    <w:rsid w:val="004B7DB2"/>
    <w:rsid w:val="004C0219"/>
    <w:rsid w:val="004C312D"/>
    <w:rsid w:val="004C68E9"/>
    <w:rsid w:val="004C7798"/>
    <w:rsid w:val="004D2C87"/>
    <w:rsid w:val="004D2D1B"/>
    <w:rsid w:val="004D5067"/>
    <w:rsid w:val="004D6838"/>
    <w:rsid w:val="004D72BC"/>
    <w:rsid w:val="004D766C"/>
    <w:rsid w:val="004E469D"/>
    <w:rsid w:val="004E7F4F"/>
    <w:rsid w:val="004F03B2"/>
    <w:rsid w:val="004F094F"/>
    <w:rsid w:val="004F0AF7"/>
    <w:rsid w:val="004F110D"/>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44479"/>
    <w:rsid w:val="00550DE8"/>
    <w:rsid w:val="0055595D"/>
    <w:rsid w:val="00555CF6"/>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96BCE"/>
    <w:rsid w:val="005A0D69"/>
    <w:rsid w:val="005A2CBF"/>
    <w:rsid w:val="005A31F4"/>
    <w:rsid w:val="005A4F9F"/>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D12"/>
    <w:rsid w:val="00610E73"/>
    <w:rsid w:val="00615F9B"/>
    <w:rsid w:val="00616DF2"/>
    <w:rsid w:val="0062385D"/>
    <w:rsid w:val="0063168D"/>
    <w:rsid w:val="0063406C"/>
    <w:rsid w:val="00635C79"/>
    <w:rsid w:val="006423A7"/>
    <w:rsid w:val="00644367"/>
    <w:rsid w:val="006455DF"/>
    <w:rsid w:val="00645AF6"/>
    <w:rsid w:val="00647025"/>
    <w:rsid w:val="0064730A"/>
    <w:rsid w:val="006507DA"/>
    <w:rsid w:val="006531A4"/>
    <w:rsid w:val="00660774"/>
    <w:rsid w:val="0066389A"/>
    <w:rsid w:val="0066495C"/>
    <w:rsid w:val="00665AD1"/>
    <w:rsid w:val="00665CC7"/>
    <w:rsid w:val="00672612"/>
    <w:rsid w:val="00674ECC"/>
    <w:rsid w:val="00677F18"/>
    <w:rsid w:val="00684AE3"/>
    <w:rsid w:val="006875A1"/>
    <w:rsid w:val="00692E1A"/>
    <w:rsid w:val="00693483"/>
    <w:rsid w:val="00695682"/>
    <w:rsid w:val="0069674A"/>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4B5"/>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12F4"/>
    <w:rsid w:val="0079237D"/>
    <w:rsid w:val="00792383"/>
    <w:rsid w:val="00794D5A"/>
    <w:rsid w:val="00794DD9"/>
    <w:rsid w:val="007965EF"/>
    <w:rsid w:val="007A060F"/>
    <w:rsid w:val="007A37DC"/>
    <w:rsid w:val="007B1C5E"/>
    <w:rsid w:val="007B350E"/>
    <w:rsid w:val="007B5187"/>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18FB"/>
    <w:rsid w:val="00863A66"/>
    <w:rsid w:val="008703D7"/>
    <w:rsid w:val="00870D47"/>
    <w:rsid w:val="008715E8"/>
    <w:rsid w:val="00874424"/>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6B6D"/>
    <w:rsid w:val="008B7615"/>
    <w:rsid w:val="008B78ED"/>
    <w:rsid w:val="008C21C8"/>
    <w:rsid w:val="008C6375"/>
    <w:rsid w:val="008C6A5B"/>
    <w:rsid w:val="008C7C5C"/>
    <w:rsid w:val="008D441D"/>
    <w:rsid w:val="008D498D"/>
    <w:rsid w:val="008D634B"/>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47B7"/>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19F"/>
    <w:rsid w:val="009B052E"/>
    <w:rsid w:val="009B0AE4"/>
    <w:rsid w:val="009B253D"/>
    <w:rsid w:val="009B4E00"/>
    <w:rsid w:val="009B4FCF"/>
    <w:rsid w:val="009C4300"/>
    <w:rsid w:val="009C5274"/>
    <w:rsid w:val="009D0520"/>
    <w:rsid w:val="009D4C29"/>
    <w:rsid w:val="009E58E9"/>
    <w:rsid w:val="009E6803"/>
    <w:rsid w:val="009F6AD2"/>
    <w:rsid w:val="009F7C1B"/>
    <w:rsid w:val="00A00B5B"/>
    <w:rsid w:val="00A00D8D"/>
    <w:rsid w:val="00A01BB6"/>
    <w:rsid w:val="00A04DA3"/>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095"/>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054C"/>
    <w:rsid w:val="00AC4B09"/>
    <w:rsid w:val="00AC570F"/>
    <w:rsid w:val="00AC5A01"/>
    <w:rsid w:val="00AC6449"/>
    <w:rsid w:val="00AD10EB"/>
    <w:rsid w:val="00AD1ED3"/>
    <w:rsid w:val="00AD35F4"/>
    <w:rsid w:val="00AD3717"/>
    <w:rsid w:val="00AD5F67"/>
    <w:rsid w:val="00AD74F4"/>
    <w:rsid w:val="00AE204F"/>
    <w:rsid w:val="00AE2741"/>
    <w:rsid w:val="00AE38CB"/>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41E6"/>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AB0"/>
    <w:rsid w:val="00B55EE5"/>
    <w:rsid w:val="00B6017D"/>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586A"/>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0239"/>
    <w:rsid w:val="00C411F3"/>
    <w:rsid w:val="00C44105"/>
    <w:rsid w:val="00C52004"/>
    <w:rsid w:val="00C523EC"/>
    <w:rsid w:val="00C55A33"/>
    <w:rsid w:val="00C563A9"/>
    <w:rsid w:val="00C62191"/>
    <w:rsid w:val="00C62755"/>
    <w:rsid w:val="00C6484D"/>
    <w:rsid w:val="00C64D49"/>
    <w:rsid w:val="00C66692"/>
    <w:rsid w:val="00C66849"/>
    <w:rsid w:val="00C673B5"/>
    <w:rsid w:val="00C7063D"/>
    <w:rsid w:val="00C716D3"/>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15D5"/>
    <w:rsid w:val="00CD19D5"/>
    <w:rsid w:val="00CD3D74"/>
    <w:rsid w:val="00CD7132"/>
    <w:rsid w:val="00CE0E6F"/>
    <w:rsid w:val="00CE36BA"/>
    <w:rsid w:val="00CE3B21"/>
    <w:rsid w:val="00CE56FC"/>
    <w:rsid w:val="00CE7A4D"/>
    <w:rsid w:val="00CF32D2"/>
    <w:rsid w:val="00CF4CFE"/>
    <w:rsid w:val="00D00E8E"/>
    <w:rsid w:val="00D02E0F"/>
    <w:rsid w:val="00D02F79"/>
    <w:rsid w:val="00D03EE8"/>
    <w:rsid w:val="00D10250"/>
    <w:rsid w:val="00D13535"/>
    <w:rsid w:val="00D1476E"/>
    <w:rsid w:val="00D147E6"/>
    <w:rsid w:val="00D15497"/>
    <w:rsid w:val="00D17B79"/>
    <w:rsid w:val="00D205F5"/>
    <w:rsid w:val="00D23050"/>
    <w:rsid w:val="00D23FEA"/>
    <w:rsid w:val="00D269CA"/>
    <w:rsid w:val="00D30B48"/>
    <w:rsid w:val="00D3168A"/>
    <w:rsid w:val="00D350D1"/>
    <w:rsid w:val="00D46FAA"/>
    <w:rsid w:val="00D47A40"/>
    <w:rsid w:val="00D51D33"/>
    <w:rsid w:val="00D57132"/>
    <w:rsid w:val="00D57BB2"/>
    <w:rsid w:val="00D57E57"/>
    <w:rsid w:val="00D611DF"/>
    <w:rsid w:val="00D6417E"/>
    <w:rsid w:val="00D65405"/>
    <w:rsid w:val="00D70752"/>
    <w:rsid w:val="00D80E2D"/>
    <w:rsid w:val="00D824A6"/>
    <w:rsid w:val="00D84D5E"/>
    <w:rsid w:val="00D8560E"/>
    <w:rsid w:val="00D8758F"/>
    <w:rsid w:val="00D87ADC"/>
    <w:rsid w:val="00DA4EDD"/>
    <w:rsid w:val="00DA6B78"/>
    <w:rsid w:val="00DB0671"/>
    <w:rsid w:val="00DB122B"/>
    <w:rsid w:val="00DB7715"/>
    <w:rsid w:val="00DC1D94"/>
    <w:rsid w:val="00DC25D2"/>
    <w:rsid w:val="00DC42CF"/>
    <w:rsid w:val="00DC4D2A"/>
    <w:rsid w:val="00DC6191"/>
    <w:rsid w:val="00DC738A"/>
    <w:rsid w:val="00DC77A2"/>
    <w:rsid w:val="00DD382A"/>
    <w:rsid w:val="00DD592E"/>
    <w:rsid w:val="00DE057F"/>
    <w:rsid w:val="00DE2082"/>
    <w:rsid w:val="00DE2289"/>
    <w:rsid w:val="00DE44B6"/>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550BE"/>
    <w:rsid w:val="00E61530"/>
    <w:rsid w:val="00E671DE"/>
    <w:rsid w:val="00E72914"/>
    <w:rsid w:val="00E74BB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5362"/>
    <w:rsid w:val="00F37E07"/>
    <w:rsid w:val="00F40A78"/>
    <w:rsid w:val="00F4182A"/>
    <w:rsid w:val="00F449C6"/>
    <w:rsid w:val="00F44A61"/>
    <w:rsid w:val="00F464ED"/>
    <w:rsid w:val="00F469B8"/>
    <w:rsid w:val="00F47AB5"/>
    <w:rsid w:val="00F54380"/>
    <w:rsid w:val="00F54B47"/>
    <w:rsid w:val="00F5538C"/>
    <w:rsid w:val="00F61247"/>
    <w:rsid w:val="00F61F61"/>
    <w:rsid w:val="00F63191"/>
    <w:rsid w:val="00F6702E"/>
    <w:rsid w:val="00F70E84"/>
    <w:rsid w:val="00F80685"/>
    <w:rsid w:val="00F94968"/>
    <w:rsid w:val="00FA092B"/>
    <w:rsid w:val="00FA4F6C"/>
    <w:rsid w:val="00FA514E"/>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1B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93A92"/>
    <w:pPr>
      <w:autoSpaceDE w:val="0"/>
      <w:autoSpaceDN w:val="0"/>
      <w:adjustRightInd w:val="0"/>
      <w:ind w:left="1440"/>
    </w:pPr>
    <w:rPr>
      <w:sz w:val="24"/>
      <w:szCs w:val="24"/>
    </w:rPr>
  </w:style>
  <w:style w:type="paragraph" w:styleId="BalloonText">
    <w:name w:val="Balloon Text"/>
    <w:basedOn w:val="Normal"/>
    <w:link w:val="BalloonTextChar"/>
    <w:uiPriority w:val="99"/>
    <w:semiHidden/>
    <w:unhideWhenUsed/>
    <w:rsid w:val="00555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CF6"/>
    <w:rPr>
      <w:rFonts w:ascii="Segoe UI" w:hAnsi="Segoe UI" w:cs="Segoe UI"/>
      <w:sz w:val="18"/>
      <w:szCs w:val="18"/>
    </w:rPr>
  </w:style>
  <w:style w:type="character" w:styleId="CommentReference">
    <w:name w:val="annotation reference"/>
    <w:basedOn w:val="DefaultParagraphFont"/>
    <w:uiPriority w:val="99"/>
    <w:semiHidden/>
    <w:unhideWhenUsed/>
    <w:rsid w:val="00555CF6"/>
    <w:rPr>
      <w:sz w:val="16"/>
      <w:szCs w:val="16"/>
    </w:rPr>
  </w:style>
  <w:style w:type="paragraph" w:styleId="CommentText">
    <w:name w:val="annotation text"/>
    <w:basedOn w:val="Normal"/>
    <w:link w:val="CommentTextChar"/>
    <w:uiPriority w:val="99"/>
    <w:semiHidden/>
    <w:unhideWhenUsed/>
    <w:rsid w:val="00555CF6"/>
    <w:rPr>
      <w:sz w:val="20"/>
      <w:szCs w:val="20"/>
    </w:rPr>
  </w:style>
  <w:style w:type="character" w:customStyle="1" w:styleId="CommentTextChar">
    <w:name w:val="Comment Text Char"/>
    <w:basedOn w:val="DefaultParagraphFont"/>
    <w:link w:val="CommentText"/>
    <w:uiPriority w:val="99"/>
    <w:semiHidden/>
    <w:rsid w:val="00555CF6"/>
  </w:style>
  <w:style w:type="paragraph" w:styleId="CommentSubject">
    <w:name w:val="annotation subject"/>
    <w:basedOn w:val="CommentText"/>
    <w:next w:val="CommentText"/>
    <w:link w:val="CommentSubjectChar"/>
    <w:uiPriority w:val="99"/>
    <w:semiHidden/>
    <w:unhideWhenUsed/>
    <w:rsid w:val="00555CF6"/>
    <w:rPr>
      <w:b/>
      <w:bCs/>
    </w:rPr>
  </w:style>
  <w:style w:type="character" w:customStyle="1" w:styleId="CommentSubjectChar">
    <w:name w:val="Comment Subject Char"/>
    <w:basedOn w:val="CommentTextChar"/>
    <w:link w:val="CommentSubject"/>
    <w:uiPriority w:val="99"/>
    <w:semiHidden/>
    <w:rsid w:val="00555CF6"/>
    <w:rPr>
      <w:b/>
      <w:bCs/>
    </w:rPr>
  </w:style>
  <w:style w:type="character" w:styleId="Strong">
    <w:name w:val="Strong"/>
    <w:basedOn w:val="DefaultParagraphFont"/>
    <w:uiPriority w:val="22"/>
    <w:qFormat/>
    <w:rsid w:val="00AE38CB"/>
    <w:rPr>
      <w:b/>
      <w:bCs/>
    </w:rPr>
  </w:style>
  <w:style w:type="paragraph" w:styleId="NoSpacing">
    <w:name w:val="No Spacing"/>
    <w:basedOn w:val="Normal"/>
    <w:uiPriority w:val="1"/>
    <w:qFormat/>
    <w:rsid w:val="00AE38CB"/>
    <w:rPr>
      <w:rFonts w:asciiTheme="minorHAnsi" w:eastAsiaTheme="minorHAnsi" w:hAnsiTheme="minorHAnsi"/>
      <w:szCs w:val="32"/>
    </w:rPr>
  </w:style>
  <w:style w:type="character" w:customStyle="1" w:styleId="FootnoteTextChar">
    <w:name w:val="Footnote Text Char"/>
    <w:basedOn w:val="DefaultParagraphFont"/>
    <w:link w:val="FootnoteText"/>
    <w:uiPriority w:val="99"/>
    <w:rsid w:val="00AE38CB"/>
  </w:style>
  <w:style w:type="character" w:customStyle="1" w:styleId="HeaderChar">
    <w:name w:val="Header Char"/>
    <w:basedOn w:val="DefaultParagraphFont"/>
    <w:link w:val="Header"/>
    <w:uiPriority w:val="99"/>
    <w:rsid w:val="00AE38CB"/>
    <w:rPr>
      <w:sz w:val="24"/>
      <w:szCs w:val="24"/>
    </w:rPr>
  </w:style>
  <w:style w:type="character" w:customStyle="1" w:styleId="FooterChar">
    <w:name w:val="Footer Char"/>
    <w:basedOn w:val="DefaultParagraphFont"/>
    <w:link w:val="Footer"/>
    <w:uiPriority w:val="99"/>
    <w:rsid w:val="00AE38CB"/>
    <w:rPr>
      <w:sz w:val="24"/>
      <w:szCs w:val="24"/>
    </w:rPr>
  </w:style>
  <w:style w:type="paragraph" w:styleId="ListParagraph">
    <w:name w:val="List Paragraph"/>
    <w:basedOn w:val="Normal"/>
    <w:uiPriority w:val="34"/>
    <w:qFormat/>
    <w:rsid w:val="00AE38CB"/>
    <w:pPr>
      <w:ind w:left="720"/>
      <w:contextualSpacing/>
    </w:pPr>
  </w:style>
  <w:style w:type="table" w:customStyle="1" w:styleId="TableGrid1">
    <w:name w:val="Table Grid1"/>
    <w:basedOn w:val="TableNormal"/>
    <w:next w:val="TableGrid"/>
    <w:rsid w:val="00AE38CB"/>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E3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covery-gcl@psc.state.fl.us" TargetMode="External"/><Relationship Id="rId4" Type="http://schemas.openxmlformats.org/officeDocument/2006/relationships/settings" Target="settings.xml"/><Relationship Id="rId9" Type="http://schemas.openxmlformats.org/officeDocument/2006/relationships/hyperlink" Target="mailto:discovery-gcl@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486C5-AFF0-4111-AE65-2AFBC05A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19</Pages>
  <Words>6445</Words>
  <Characters>36743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2026-02-06T14:58:00Z</dcterms:created>
  <dcterms:modified xsi:type="dcterms:W3CDTF">2026-02-06T15:06:00Z</dcterms:modified>
</cp:coreProperties>
</file>