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3DA" w:rsidRDefault="007A03DA" w:rsidP="007A03DA">
      <w:pPr>
        <w:pStyle w:val="OrderHeading"/>
      </w:pPr>
      <w:r>
        <w:t>BEFORE THE FLORIDA PUBLIC SERVICE COMMISSION</w:t>
      </w:r>
    </w:p>
    <w:p w:rsidR="007A03DA" w:rsidRDefault="007A03DA" w:rsidP="007A03DA">
      <w:pPr>
        <w:pStyle w:val="OrderBody"/>
      </w:pPr>
    </w:p>
    <w:p w:rsidR="007A03DA" w:rsidRDefault="007A03DA" w:rsidP="007A03D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A03DA" w:rsidRPr="00C63FCF" w:rsidTr="00C63FCF">
        <w:trPr>
          <w:trHeight w:val="828"/>
        </w:trPr>
        <w:tc>
          <w:tcPr>
            <w:tcW w:w="4788" w:type="dxa"/>
            <w:tcBorders>
              <w:bottom w:val="single" w:sz="8" w:space="0" w:color="auto"/>
              <w:right w:val="double" w:sz="6" w:space="0" w:color="auto"/>
            </w:tcBorders>
            <w:shd w:val="clear" w:color="auto" w:fill="auto"/>
          </w:tcPr>
          <w:p w:rsidR="007A03DA" w:rsidRDefault="007A03DA" w:rsidP="00C63FCF">
            <w:pPr>
              <w:pStyle w:val="OrderBody"/>
              <w:tabs>
                <w:tab w:val="center" w:pos="4320"/>
                <w:tab w:val="right" w:pos="8640"/>
              </w:tabs>
              <w:jc w:val="left"/>
            </w:pPr>
            <w:r>
              <w:t xml:space="preserve">In re: </w:t>
            </w:r>
            <w:bookmarkStart w:id="0" w:name="SSInRe"/>
            <w:bookmarkEnd w:id="0"/>
            <w:r>
              <w:t>Joint petition for approval of actual, estimated, and projected relocation costs and approval to establish a recovery surcharge, by Florida City Gas and Florida Public Utilities Company.</w:t>
            </w:r>
          </w:p>
        </w:tc>
        <w:tc>
          <w:tcPr>
            <w:tcW w:w="4788" w:type="dxa"/>
            <w:tcBorders>
              <w:left w:val="double" w:sz="6" w:space="0" w:color="auto"/>
            </w:tcBorders>
            <w:shd w:val="clear" w:color="auto" w:fill="auto"/>
          </w:tcPr>
          <w:p w:rsidR="007A03DA" w:rsidRDefault="007A03DA" w:rsidP="007A03DA">
            <w:pPr>
              <w:pStyle w:val="OrderBody"/>
            </w:pPr>
            <w:r>
              <w:t xml:space="preserve">DOCKET NO. </w:t>
            </w:r>
            <w:bookmarkStart w:id="1" w:name="SSDocketNo"/>
            <w:bookmarkEnd w:id="1"/>
            <w:r>
              <w:t>20250121-GU</w:t>
            </w:r>
          </w:p>
          <w:p w:rsidR="007A03DA" w:rsidRDefault="007A03DA" w:rsidP="00C63FCF">
            <w:pPr>
              <w:pStyle w:val="OrderBody"/>
              <w:tabs>
                <w:tab w:val="center" w:pos="4320"/>
                <w:tab w:val="right" w:pos="8640"/>
              </w:tabs>
              <w:jc w:val="left"/>
            </w:pPr>
            <w:r>
              <w:t xml:space="preserve">ORDER NO. </w:t>
            </w:r>
            <w:bookmarkStart w:id="2" w:name="OrderNo0052"/>
            <w:r w:rsidR="00785FF7">
              <w:t>PSC-2026-0052-TRF-GU</w:t>
            </w:r>
            <w:bookmarkEnd w:id="2"/>
          </w:p>
          <w:p w:rsidR="007A03DA" w:rsidRDefault="007A03DA" w:rsidP="00C63FCF">
            <w:pPr>
              <w:pStyle w:val="OrderBody"/>
              <w:tabs>
                <w:tab w:val="center" w:pos="4320"/>
                <w:tab w:val="right" w:pos="8640"/>
              </w:tabs>
              <w:jc w:val="left"/>
            </w:pPr>
            <w:r>
              <w:t xml:space="preserve">ISSUED: </w:t>
            </w:r>
            <w:r w:rsidR="00785FF7">
              <w:t>February 23, 2026</w:t>
            </w:r>
          </w:p>
        </w:tc>
      </w:tr>
    </w:tbl>
    <w:p w:rsidR="007A03DA" w:rsidRDefault="007A03DA" w:rsidP="007A03DA"/>
    <w:p w:rsidR="00CB5276" w:rsidRDefault="00D611DF" w:rsidP="007A03DA">
      <w:r>
        <w:t xml:space="preserve"> </w:t>
      </w:r>
    </w:p>
    <w:p w:rsidR="007A03DA" w:rsidRPr="008D1D5C" w:rsidRDefault="007A03DA" w:rsidP="008D1D5C">
      <w:pPr>
        <w:spacing w:line="276" w:lineRule="auto"/>
        <w:jc w:val="center"/>
        <w:rPr>
          <w:rFonts w:eastAsiaTheme="minorHAnsi" w:cstheme="minorBidi"/>
          <w:szCs w:val="22"/>
        </w:rPr>
      </w:pPr>
      <w:bookmarkStart w:id="3" w:name="Commissioners"/>
      <w:bookmarkEnd w:id="3"/>
      <w:r w:rsidRPr="008D1D5C">
        <w:rPr>
          <w:rFonts w:eastAsiaTheme="minorHAnsi" w:cstheme="minorBidi"/>
          <w:szCs w:val="22"/>
        </w:rPr>
        <w:t xml:space="preserve">The following Commissioners participated in the disposition of this matter: </w:t>
      </w:r>
    </w:p>
    <w:p w:rsidR="007A03DA" w:rsidRPr="008D1D5C" w:rsidRDefault="007A03DA" w:rsidP="008D1D5C">
      <w:pPr>
        <w:spacing w:line="276" w:lineRule="auto"/>
        <w:jc w:val="center"/>
        <w:rPr>
          <w:rFonts w:eastAsiaTheme="minorHAnsi" w:cstheme="minorBidi"/>
          <w:szCs w:val="22"/>
        </w:rPr>
      </w:pPr>
    </w:p>
    <w:p w:rsidR="007A03DA" w:rsidRPr="008D1D5C" w:rsidRDefault="007A03DA" w:rsidP="008D1D5C">
      <w:pPr>
        <w:spacing w:line="276" w:lineRule="auto"/>
        <w:jc w:val="center"/>
        <w:rPr>
          <w:rFonts w:eastAsiaTheme="minorHAnsi" w:cstheme="minorBidi"/>
          <w:szCs w:val="22"/>
        </w:rPr>
      </w:pPr>
      <w:r>
        <w:rPr>
          <w:rFonts w:eastAsiaTheme="minorHAnsi" w:cstheme="minorBidi"/>
          <w:szCs w:val="22"/>
        </w:rPr>
        <w:t>GABRIELLA PASSIDOMO SMITH</w:t>
      </w:r>
      <w:r w:rsidRPr="008D1D5C">
        <w:rPr>
          <w:rFonts w:eastAsiaTheme="minorHAnsi" w:cstheme="minorBidi"/>
          <w:szCs w:val="22"/>
        </w:rPr>
        <w:t>, Chairman</w:t>
      </w:r>
    </w:p>
    <w:p w:rsidR="007A03DA" w:rsidRPr="008D1D5C" w:rsidRDefault="007A03DA" w:rsidP="008D1D5C">
      <w:pPr>
        <w:spacing w:line="276" w:lineRule="auto"/>
        <w:jc w:val="center"/>
        <w:rPr>
          <w:rFonts w:eastAsiaTheme="minorHAnsi" w:cstheme="minorBidi"/>
          <w:szCs w:val="22"/>
        </w:rPr>
      </w:pPr>
      <w:r>
        <w:rPr>
          <w:rFonts w:eastAsiaTheme="minorHAnsi" w:cstheme="minorBidi"/>
          <w:szCs w:val="22"/>
        </w:rPr>
        <w:t>GARY F. CLARK</w:t>
      </w:r>
    </w:p>
    <w:p w:rsidR="007A03DA" w:rsidRPr="008D1D5C" w:rsidRDefault="007A03DA" w:rsidP="008D1D5C">
      <w:pPr>
        <w:spacing w:line="276" w:lineRule="auto"/>
        <w:jc w:val="center"/>
        <w:rPr>
          <w:rFonts w:eastAsiaTheme="minorHAnsi" w:cstheme="minorBidi"/>
          <w:szCs w:val="22"/>
        </w:rPr>
      </w:pPr>
      <w:r>
        <w:rPr>
          <w:rFonts w:eastAsiaTheme="minorHAnsi" w:cstheme="minorBidi"/>
          <w:szCs w:val="22"/>
        </w:rPr>
        <w:t>MIKE LA ROSA</w:t>
      </w:r>
    </w:p>
    <w:p w:rsidR="007A03DA" w:rsidRPr="008D1D5C" w:rsidRDefault="007A03DA" w:rsidP="008D1D5C">
      <w:pPr>
        <w:spacing w:line="276" w:lineRule="auto"/>
        <w:jc w:val="center"/>
        <w:rPr>
          <w:rFonts w:eastAsiaTheme="minorHAnsi" w:cstheme="minorBidi"/>
          <w:szCs w:val="22"/>
        </w:rPr>
      </w:pPr>
      <w:r>
        <w:rPr>
          <w:rFonts w:eastAsiaTheme="minorHAnsi" w:cstheme="minorBidi"/>
          <w:szCs w:val="22"/>
        </w:rPr>
        <w:t>BOBBY PAYNE</w:t>
      </w:r>
    </w:p>
    <w:p w:rsidR="007A03DA" w:rsidRPr="008D1D5C" w:rsidRDefault="007A03DA" w:rsidP="008D1D5C">
      <w:pPr>
        <w:spacing w:line="276" w:lineRule="auto"/>
        <w:jc w:val="center"/>
        <w:rPr>
          <w:rFonts w:eastAsiaTheme="minorHAnsi" w:cstheme="minorBidi"/>
          <w:szCs w:val="22"/>
        </w:rPr>
      </w:pPr>
      <w:r>
        <w:rPr>
          <w:rFonts w:eastAsiaTheme="minorHAnsi" w:cstheme="minorBidi"/>
          <w:szCs w:val="22"/>
        </w:rPr>
        <w:t>ANA ORTEGA</w:t>
      </w:r>
    </w:p>
    <w:p w:rsidR="007A03DA" w:rsidRPr="008D1D5C" w:rsidRDefault="007A03DA" w:rsidP="008D1D5C">
      <w:pPr>
        <w:spacing w:line="276" w:lineRule="auto"/>
        <w:rPr>
          <w:rFonts w:eastAsiaTheme="minorHAnsi" w:cstheme="minorBidi"/>
          <w:szCs w:val="22"/>
        </w:rPr>
      </w:pPr>
    </w:p>
    <w:p w:rsidR="00CB5276" w:rsidRDefault="00CB5276">
      <w:pPr>
        <w:pStyle w:val="OrderBody"/>
      </w:pPr>
    </w:p>
    <w:p w:rsidR="007A03DA" w:rsidRDefault="007A03DA" w:rsidP="007A03DA">
      <w:pPr>
        <w:pStyle w:val="CenterUnderline"/>
      </w:pPr>
      <w:r>
        <w:t>ORDER</w:t>
      </w:r>
      <w:bookmarkStart w:id="4" w:name="OrderTitle"/>
      <w:r>
        <w:t xml:space="preserve"> </w:t>
      </w:r>
      <w:r w:rsidR="00B71A90">
        <w:t xml:space="preserve">APPROVING </w:t>
      </w:r>
      <w:r w:rsidR="00B05FAB">
        <w:t xml:space="preserve">NATURAL GAS FACILITIES RELOCATION </w:t>
      </w:r>
      <w:r w:rsidR="00B71A90">
        <w:t>TARIFF FOR FLORIDA CITY GAS AND</w:t>
      </w:r>
      <w:r w:rsidR="00B05FAB">
        <w:t xml:space="preserve"> </w:t>
      </w:r>
      <w:r w:rsidR="00B71A90">
        <w:t xml:space="preserve">DENYING </w:t>
      </w:r>
      <w:r w:rsidR="00B05FAB">
        <w:t xml:space="preserve">NATURAL GAS FACILITIES RELOCATION </w:t>
      </w:r>
      <w:r w:rsidR="00B71A90">
        <w:t>TARIFF FOR FLORIDA PUBLIC UTILITIES COMPANY</w:t>
      </w:r>
      <w:r>
        <w:t xml:space="preserve"> </w:t>
      </w:r>
      <w:bookmarkEnd w:id="4"/>
    </w:p>
    <w:p w:rsidR="007A03DA" w:rsidRDefault="007A03DA" w:rsidP="007A03DA">
      <w:pPr>
        <w:pStyle w:val="CenterUnderline"/>
      </w:pPr>
    </w:p>
    <w:p w:rsidR="007A03DA" w:rsidRDefault="007A03DA" w:rsidP="007A03DA">
      <w:pPr>
        <w:pStyle w:val="OrderBody"/>
      </w:pPr>
      <w:r>
        <w:t>BY THE COMMISSION:</w:t>
      </w:r>
    </w:p>
    <w:p w:rsidR="007A03DA" w:rsidRDefault="007A03DA" w:rsidP="007A03DA">
      <w:pPr>
        <w:pStyle w:val="OrderBody"/>
      </w:pPr>
    </w:p>
    <w:p w:rsidR="00777906" w:rsidRDefault="00777906" w:rsidP="00777906">
      <w:pPr>
        <w:pStyle w:val="RecommendationMajorSectionHeading"/>
        <w:spacing w:after="0"/>
        <w:rPr>
          <w:rFonts w:ascii="Times New Roman" w:hAnsi="Times New Roman" w:cs="Times New Roman"/>
          <w:b w:val="0"/>
          <w:u w:val="single"/>
        </w:rPr>
      </w:pPr>
      <w:bookmarkStart w:id="5" w:name="OrderText"/>
      <w:bookmarkEnd w:id="5"/>
      <w:r w:rsidRPr="00CD394A">
        <w:rPr>
          <w:rFonts w:ascii="Times New Roman" w:hAnsi="Times New Roman" w:cs="Times New Roman"/>
          <w:b w:val="0"/>
          <w:u w:val="single"/>
        </w:rPr>
        <w:t>Background</w:t>
      </w:r>
    </w:p>
    <w:p w:rsidR="00CB5276" w:rsidRDefault="00CB5276" w:rsidP="005D4936">
      <w:pPr>
        <w:pStyle w:val="OrderBody"/>
      </w:pPr>
    </w:p>
    <w:p w:rsidR="00777906" w:rsidRDefault="00A019A7" w:rsidP="005D4936">
      <w:pPr>
        <w:pStyle w:val="BodyText"/>
        <w:spacing w:after="0"/>
        <w:ind w:firstLine="720"/>
        <w:jc w:val="both"/>
      </w:pPr>
      <w:r>
        <w:t>I</w:t>
      </w:r>
      <w:r w:rsidR="00777906" w:rsidRPr="00E82A12">
        <w:t>n 2024, the Florida Legislature passed H</w:t>
      </w:r>
      <w:r w:rsidR="00777906">
        <w:t xml:space="preserve">ouse </w:t>
      </w:r>
      <w:r w:rsidR="00777906" w:rsidRPr="00E82A12">
        <w:t>B</w:t>
      </w:r>
      <w:r w:rsidR="00777906">
        <w:t>ill</w:t>
      </w:r>
      <w:r w:rsidR="00777906" w:rsidRPr="00E82A12">
        <w:t xml:space="preserve"> 1645 </w:t>
      </w:r>
      <w:r w:rsidR="00777906">
        <w:t>which</w:t>
      </w:r>
      <w:r w:rsidR="00777906" w:rsidRPr="00E82A12">
        <w:t xml:space="preserve"> enacted</w:t>
      </w:r>
      <w:r w:rsidR="00777906">
        <w:t xml:space="preserve"> </w:t>
      </w:r>
      <w:r w:rsidR="00777906" w:rsidRPr="00E82A12">
        <w:t>Section 366.99, Florida Statutes (F.S.), entitled “Natural gas facilities relocation costs.” The statute permits a public utility</w:t>
      </w:r>
      <w:r w:rsidR="00777906" w:rsidRPr="00451296">
        <w:rPr>
          <w:vertAlign w:val="superscript"/>
        </w:rPr>
        <w:footnoteReference w:id="1"/>
      </w:r>
      <w:r w:rsidR="00777906" w:rsidRPr="00451296">
        <w:t xml:space="preserve"> </w:t>
      </w:r>
      <w:r w:rsidR="00777906" w:rsidRPr="00E82A12">
        <w:t xml:space="preserve">that supplies gas to seek approval from </w:t>
      </w:r>
      <w:r w:rsidR="00B6367C">
        <w:t xml:space="preserve">this Florida Public Service Commission (Commission) </w:t>
      </w:r>
      <w:r w:rsidR="00777906" w:rsidRPr="00E82A12">
        <w:t>to recover natural gas facilities relocation costs. Se</w:t>
      </w:r>
      <w:r w:rsidR="00B6367C">
        <w:t xml:space="preserve">ction 366.99(3), F.S., requires us </w:t>
      </w:r>
      <w:r w:rsidR="00777906" w:rsidRPr="00E82A12">
        <w:t>to conduct an annual proceeding to determine allowable costs (reasonable projected costs and prudently incurred actual costs), which may be recovered through a charge</w:t>
      </w:r>
      <w:r w:rsidR="00777906">
        <w:t xml:space="preserve"> </w:t>
      </w:r>
      <w:r w:rsidR="00777906" w:rsidRPr="00E82A12">
        <w:t>separate and apart from base rates. Section 366.99(1)(d), F.S., defines “natural gas facilities relocation costs” as</w:t>
      </w:r>
      <w:r w:rsidR="00777906">
        <w:t xml:space="preserve"> “</w:t>
      </w:r>
      <w:r w:rsidR="00777906" w:rsidRPr="00E82A12">
        <w:t>the costs to relocate or reconstruct facilities as required by a mandate, a statute, a law, an ordinance, or an agreement between the utility and an authority, including, but not limited to, costs associated with reviewing plans provided by an authority. The term does not include any costs recovered through the public utility’s base rates.</w:t>
      </w:r>
      <w:r w:rsidR="00777906">
        <w:t xml:space="preserve">” Furthermore, only costs incurred on or after July 1, 2024, may be included. </w:t>
      </w:r>
      <w:r w:rsidR="00777906" w:rsidRPr="00E82A12">
        <w:t xml:space="preserve">Section 366.99(1)(a), F.S., defines “authority” by reference to Section 337.401(1)(a), F.S., which definition includes the Florida Department of Transportation (FDOT) and </w:t>
      </w:r>
      <w:r w:rsidR="00777906">
        <w:t>local</w:t>
      </w:r>
      <w:r w:rsidR="00777906" w:rsidRPr="00E82A12">
        <w:t xml:space="preserve"> government entities that have jurisdiction </w:t>
      </w:r>
      <w:r w:rsidR="00777906">
        <w:t xml:space="preserve">and control </w:t>
      </w:r>
      <w:r w:rsidR="00777906" w:rsidRPr="00E82A12">
        <w:t>over public roads</w:t>
      </w:r>
      <w:r w:rsidR="00777906">
        <w:t xml:space="preserve"> or publicly owned rail corridors</w:t>
      </w:r>
      <w:r w:rsidR="00777906" w:rsidRPr="00E82A12">
        <w:t>.</w:t>
      </w:r>
    </w:p>
    <w:p w:rsidR="005D4936" w:rsidRPr="00E82A12" w:rsidRDefault="005D4936" w:rsidP="005D4936">
      <w:pPr>
        <w:pStyle w:val="BodyText"/>
        <w:spacing w:after="0"/>
        <w:jc w:val="both"/>
      </w:pPr>
    </w:p>
    <w:p w:rsidR="00777906" w:rsidRDefault="00777906" w:rsidP="005D4936">
      <w:pPr>
        <w:pStyle w:val="BodyText"/>
        <w:spacing w:after="0"/>
        <w:ind w:firstLine="720"/>
        <w:jc w:val="both"/>
      </w:pPr>
      <w:r w:rsidRPr="00E82A12">
        <w:lastRenderedPageBreak/>
        <w:t xml:space="preserve">Section 366.99(3), F.S., limits </w:t>
      </w:r>
      <w:r w:rsidR="00D70142">
        <w:t xml:space="preserve">our </w:t>
      </w:r>
      <w:r w:rsidRPr="00E82A12">
        <w:t>review to the prudence of costs already incurred and the reasonableness of projected costs.</w:t>
      </w:r>
      <w:r>
        <w:t xml:space="preserve"> </w:t>
      </w:r>
      <w:r w:rsidR="00D70142">
        <w:t xml:space="preserve">We </w:t>
      </w:r>
      <w:r w:rsidRPr="000E2372">
        <w:t>adopted Rule 25-7.150, Florida Administrative Code (F.A.C.), which implements Section 366.99, F.S.</w:t>
      </w:r>
      <w:r w:rsidR="002F42F4">
        <w:t xml:space="preserve">, and </w:t>
      </w:r>
      <w:r w:rsidRPr="000E2372">
        <w:t>sets forth the process and requirements for a utility to file a petition for recovery of natu</w:t>
      </w:r>
      <w:r>
        <w:t>ral gas facilities relocation costs through the annual Natural Gas Facilities Relocation Cost Recovery Clause (NGFRCRC).</w:t>
      </w:r>
      <w:r w:rsidR="002F42F4" w:rsidRPr="000E2372">
        <w:rPr>
          <w:rStyle w:val="FootnoteReference"/>
        </w:rPr>
        <w:footnoteReference w:id="2"/>
      </w:r>
      <w:r>
        <w:t xml:space="preserve"> The rule contemplates a process similar to other cost recovery clauses, with filings addressing a final true-up and prudence review of the previous year’s actual costs, actual/estimated costs for the current year, and projected costs for the subsequent year. The rule also sets forth eligibility requirements for costs to be allowed through the NGFRCRC, namely proof that each facility relocation project was required by an authority. Also, pursuant to Section 366.99(1)(d), F.S., a utility filing cannot include costs that are being recovered through the utility’s base rates.</w:t>
      </w:r>
    </w:p>
    <w:p w:rsidR="00CD300B" w:rsidRDefault="00CD300B" w:rsidP="00CD300B">
      <w:pPr>
        <w:pStyle w:val="BodyText"/>
        <w:spacing w:after="0"/>
        <w:jc w:val="both"/>
      </w:pPr>
    </w:p>
    <w:p w:rsidR="00CD300B" w:rsidRDefault="00777906" w:rsidP="008F57EF">
      <w:pPr>
        <w:pStyle w:val="BodyText"/>
        <w:spacing w:after="0"/>
        <w:ind w:firstLine="720"/>
        <w:jc w:val="both"/>
      </w:pPr>
      <w:r>
        <w:t xml:space="preserve">On October 1, 2025, Florida City Gas (FCG) and Florida Public Utilities Company (FPUC) (collectively </w:t>
      </w:r>
      <w:r w:rsidR="005E210A">
        <w:t xml:space="preserve">hereinafter </w:t>
      </w:r>
      <w:r>
        <w:t>the Utilities) filed a joint petition for approval of actual, estimated, and projected relocation costs and approval to establish a recovery surcharge, effective January 1, 2026. The petition included revisions to FCG’s and FPUC’s natural gas tariffs reflecting proposed terms and surcharges for each company. On November 2</w:t>
      </w:r>
      <w:r w:rsidR="00470AB0">
        <w:t>4</w:t>
      </w:r>
      <w:r>
        <w:t xml:space="preserve">, 2025, </w:t>
      </w:r>
      <w:r w:rsidR="0034383A">
        <w:t xml:space="preserve">we </w:t>
      </w:r>
      <w:r>
        <w:t>issued an Order suspending the proposed tariffs</w:t>
      </w:r>
      <w:r w:rsidR="00452B8D">
        <w:t xml:space="preserve"> to a</w:t>
      </w:r>
      <w:r>
        <w:t xml:space="preserve">llow </w:t>
      </w:r>
      <w:r w:rsidR="00452B8D">
        <w:t xml:space="preserve">our </w:t>
      </w:r>
      <w:r>
        <w:t>staff sufficient time to review the proposed modifications and gather all pertinent information on the tariff proposals.</w:t>
      </w:r>
      <w:r>
        <w:rPr>
          <w:rStyle w:val="FootnoteReference"/>
        </w:rPr>
        <w:footnoteReference w:id="3"/>
      </w:r>
      <w:r w:rsidR="006E6FD2">
        <w:t xml:space="preserve"> </w:t>
      </w:r>
      <w:r w:rsidR="006E6FD2" w:rsidRPr="006E6FD2">
        <w:t xml:space="preserve">During the review process of the Utilities’ </w:t>
      </w:r>
      <w:r w:rsidR="009F48B8">
        <w:t xml:space="preserve">joint </w:t>
      </w:r>
      <w:r w:rsidR="006E6FD2" w:rsidRPr="006E6FD2">
        <w:t xml:space="preserve">petition, </w:t>
      </w:r>
      <w:r w:rsidR="009F48B8">
        <w:t xml:space="preserve">our </w:t>
      </w:r>
      <w:r w:rsidR="006E6FD2" w:rsidRPr="006E6FD2">
        <w:t>staff issued four data requests, for which responses were received for the first data request on November 20, 2025, the second data request on January 5, 2026, and the third and fourth data requests on January 12, 2026.</w:t>
      </w:r>
    </w:p>
    <w:p w:rsidR="00777906" w:rsidRDefault="00777906" w:rsidP="005D4936">
      <w:pPr>
        <w:pStyle w:val="BodyText"/>
        <w:spacing w:after="0"/>
        <w:jc w:val="both"/>
      </w:pPr>
    </w:p>
    <w:p w:rsidR="00777906" w:rsidRDefault="00777906" w:rsidP="001F0149">
      <w:pPr>
        <w:pStyle w:val="OrderBody"/>
        <w:ind w:firstLine="720"/>
      </w:pPr>
      <w:r>
        <w:t xml:space="preserve">The recurring docket for the NGFRCRC (Docket No. 20260011-GU) was opened in January 2026. Because any new tariffs resulting from the recurring docket will not take effect until 2027, </w:t>
      </w:r>
      <w:r w:rsidR="006E6FD2">
        <w:t xml:space="preserve">we </w:t>
      </w:r>
      <w:r w:rsidR="00647047">
        <w:t xml:space="preserve">previously </w:t>
      </w:r>
      <w:r>
        <w:t>found that there would be no conflict between those tariffs and any surcharges approved for 2026 in the instant docket.</w:t>
      </w:r>
      <w:r>
        <w:rPr>
          <w:rStyle w:val="FootnoteReference"/>
        </w:rPr>
        <w:footnoteReference w:id="4"/>
      </w:r>
      <w:r w:rsidR="006E6FD2">
        <w:t xml:space="preserve"> Our decision</w:t>
      </w:r>
      <w:r>
        <w:t xml:space="preserve"> addresses the Utilities’ joint request to implement an initial natural gas facilities relocation cost recovery charge for 2026. The final true-up and prudence review of the actual natural gas facilities relocation costs included in this initial charge </w:t>
      </w:r>
      <w:r w:rsidR="003B2753">
        <w:t>shall</w:t>
      </w:r>
      <w:r>
        <w:t xml:space="preserve"> </w:t>
      </w:r>
      <w:r w:rsidR="003B2753">
        <w:t xml:space="preserve">occur </w:t>
      </w:r>
      <w:r>
        <w:t>in the 2026 NGFRCRC proceeding.</w:t>
      </w:r>
      <w:r w:rsidR="00042D2B">
        <w:t xml:space="preserve"> </w:t>
      </w:r>
    </w:p>
    <w:p w:rsidR="00B055D7" w:rsidRDefault="00B055D7" w:rsidP="001F0149">
      <w:pPr>
        <w:pStyle w:val="OrderBody"/>
      </w:pPr>
    </w:p>
    <w:p w:rsidR="00777906" w:rsidRDefault="005A7661" w:rsidP="001F0149">
      <w:pPr>
        <w:pStyle w:val="OrderBody"/>
        <w:ind w:firstLine="720"/>
      </w:pPr>
      <w:r>
        <w:t xml:space="preserve">We have </w:t>
      </w:r>
      <w:r w:rsidR="00777906">
        <w:t>jurisdiction over this matter pursuant to Sections 366.03, 366.04, 366.05, 366.06, and 366.99, F.S.</w:t>
      </w:r>
    </w:p>
    <w:p w:rsidR="00777906" w:rsidRDefault="00777906" w:rsidP="001F0149">
      <w:pPr>
        <w:pStyle w:val="OrderBody"/>
      </w:pPr>
    </w:p>
    <w:p w:rsidR="00D554F2" w:rsidRDefault="00D554F2" w:rsidP="001F0149">
      <w:pPr>
        <w:pStyle w:val="OrderBody"/>
      </w:pPr>
    </w:p>
    <w:p w:rsidR="00D554F2" w:rsidRDefault="00D554F2" w:rsidP="001F0149">
      <w:pPr>
        <w:pStyle w:val="OrderBody"/>
      </w:pPr>
    </w:p>
    <w:p w:rsidR="00D554F2" w:rsidRDefault="00D554F2" w:rsidP="001F0149">
      <w:pPr>
        <w:pStyle w:val="OrderBody"/>
      </w:pPr>
    </w:p>
    <w:p w:rsidR="00D554F2" w:rsidRDefault="00D554F2" w:rsidP="001F0149">
      <w:pPr>
        <w:pStyle w:val="OrderBody"/>
      </w:pPr>
    </w:p>
    <w:p w:rsidR="00D554F2" w:rsidRDefault="00D554F2" w:rsidP="001F0149">
      <w:pPr>
        <w:pStyle w:val="OrderBody"/>
      </w:pPr>
    </w:p>
    <w:p w:rsidR="00777906" w:rsidRPr="00AF0B22" w:rsidRDefault="00906310" w:rsidP="001F0149">
      <w:pPr>
        <w:pStyle w:val="OrderBody"/>
        <w:jc w:val="center"/>
        <w:rPr>
          <w:u w:val="single"/>
        </w:rPr>
      </w:pPr>
      <w:r w:rsidRPr="00AF0B22">
        <w:rPr>
          <w:u w:val="single"/>
        </w:rPr>
        <w:lastRenderedPageBreak/>
        <w:t>Decision</w:t>
      </w:r>
    </w:p>
    <w:p w:rsidR="001F0149" w:rsidRDefault="001F0149" w:rsidP="001F0149">
      <w:pPr>
        <w:pStyle w:val="BodyText"/>
        <w:spacing w:after="0"/>
        <w:jc w:val="both"/>
      </w:pPr>
    </w:p>
    <w:p w:rsidR="00AF3946" w:rsidRPr="00AF3946" w:rsidRDefault="00AF3946" w:rsidP="00AF3946">
      <w:pPr>
        <w:pStyle w:val="BodyText"/>
        <w:numPr>
          <w:ilvl w:val="0"/>
          <w:numId w:val="1"/>
        </w:numPr>
        <w:spacing w:after="0"/>
        <w:jc w:val="both"/>
        <w:rPr>
          <w:u w:val="single"/>
        </w:rPr>
      </w:pPr>
      <w:r w:rsidRPr="00AF3946">
        <w:rPr>
          <w:u w:val="single"/>
        </w:rPr>
        <w:t>Project Eligibility</w:t>
      </w:r>
    </w:p>
    <w:p w:rsidR="007B546D" w:rsidRDefault="007B546D" w:rsidP="007B546D">
      <w:pPr>
        <w:pStyle w:val="BodyText"/>
        <w:spacing w:after="0"/>
        <w:jc w:val="both"/>
      </w:pPr>
    </w:p>
    <w:p w:rsidR="00777906" w:rsidRDefault="00777906" w:rsidP="008B394F">
      <w:pPr>
        <w:pStyle w:val="BodyText"/>
        <w:spacing w:after="0"/>
        <w:ind w:firstLine="720"/>
        <w:jc w:val="both"/>
      </w:pPr>
      <w:r>
        <w:t>Per the requirements of Rule 25-7.150(2), F.A.C., a utility must seek a determination that natural gas facilities relocation costs are eligible for recovery through the NGFRCRC by providing: (1) the notification by the authority requiring the facilities relocation per Section 366.99(1), F.S.; (2) a description of the scope of the facilities relocation to be undertaken per the requirements imposed by the authority; and (3) an estimate of the costs associated with the relocation of the natural gas facilities.</w:t>
      </w:r>
    </w:p>
    <w:p w:rsidR="001F0149" w:rsidRDefault="001F0149" w:rsidP="008B394F">
      <w:pPr>
        <w:pStyle w:val="BodyText"/>
        <w:spacing w:after="0"/>
        <w:jc w:val="both"/>
      </w:pPr>
    </w:p>
    <w:p w:rsidR="00777906" w:rsidRDefault="00777906" w:rsidP="008B394F">
      <w:pPr>
        <w:pStyle w:val="BodyText"/>
        <w:spacing w:after="0"/>
        <w:ind w:firstLine="720"/>
        <w:jc w:val="both"/>
      </w:pPr>
      <w:r>
        <w:t>On October 1, 2025, the Utilities filed a joint petition for approval of actual, estimated, and projected relocation costs and approval to establish a recovery surcharge in connection with the NGFRCRC. In their joint petition, FCG requested recovery for eight relocation projects for an approximate total investment cost of $12.5 million. FPUC requested recovery for twenty relocation projects for an approximate total investment cost o</w:t>
      </w:r>
      <w:r w:rsidRPr="00975594">
        <w:t>f $3.</w:t>
      </w:r>
      <w:r>
        <w:t>3</w:t>
      </w:r>
      <w:r w:rsidRPr="00975594">
        <w:t xml:space="preserve"> milli</w:t>
      </w:r>
      <w:r>
        <w:t>on.</w:t>
      </w:r>
    </w:p>
    <w:p w:rsidR="008B394F" w:rsidRDefault="008B394F" w:rsidP="008B394F">
      <w:pPr>
        <w:pStyle w:val="BodyText"/>
        <w:spacing w:after="0"/>
        <w:jc w:val="both"/>
      </w:pPr>
    </w:p>
    <w:p w:rsidR="00777906" w:rsidRDefault="00777906" w:rsidP="008B394F">
      <w:pPr>
        <w:pStyle w:val="BodyText"/>
        <w:spacing w:after="0"/>
        <w:ind w:firstLine="720"/>
        <w:jc w:val="both"/>
      </w:pPr>
      <w:r>
        <w:t xml:space="preserve">After reviewing the information and documentation provided by the Utilities, </w:t>
      </w:r>
      <w:r w:rsidR="00652AFA">
        <w:t xml:space="preserve">we find that </w:t>
      </w:r>
      <w:r>
        <w:t>all of the proposed eight FCG projects and sixteen of the proposed twenty FPUC projects are eligible for recovery through the NGFRCRC. For these projects, the Utilities provided documentation of the governmental request, scope of facilities to be relocated, and cost estimates pursuant to Rule 25-7.150(2), F.A.C</w:t>
      </w:r>
      <w:r w:rsidRPr="005D16B0">
        <w:t xml:space="preserve">. </w:t>
      </w:r>
      <w:r w:rsidR="000D0531">
        <w:t xml:space="preserve">We find that </w:t>
      </w:r>
      <w:r w:rsidRPr="005D16B0">
        <w:t>the Utilities adequately supported the request for recovery of these projects by the totality of documentation provided, which included FDOT Forms with formal binding agreements and informal communications and requests that represent a clear governmental request for relocation services. In a</w:t>
      </w:r>
      <w:r>
        <w:t>ddition, the Utilities expressed that they had not recovered any project costs directly from the authority or federal government pursuant to Section 337.403(1)(a), (d), (e), (i), or (j), F.S.</w:t>
      </w:r>
    </w:p>
    <w:p w:rsidR="008B394F" w:rsidRDefault="008B394F" w:rsidP="008B394F">
      <w:pPr>
        <w:pStyle w:val="BodyText"/>
        <w:spacing w:after="0"/>
        <w:jc w:val="both"/>
      </w:pPr>
    </w:p>
    <w:p w:rsidR="00203497" w:rsidRDefault="00146FF5" w:rsidP="00146FF5">
      <w:pPr>
        <w:pStyle w:val="BodyText"/>
        <w:spacing w:after="0"/>
        <w:ind w:firstLine="720"/>
        <w:jc w:val="both"/>
      </w:pPr>
      <w:r>
        <w:t>However, t</w:t>
      </w:r>
      <w:r w:rsidR="00777906">
        <w:t>he documentation provided for the four remaining FPUC projects do</w:t>
      </w:r>
      <w:r>
        <w:t>es</w:t>
      </w:r>
      <w:r w:rsidR="00777906">
        <w:t xml:space="preserve"> not meet all the requirements of Rule 25-7.150(2), F.A.C. For these projects, </w:t>
      </w:r>
      <w:r w:rsidR="002B664C">
        <w:t xml:space="preserve">we find that </w:t>
      </w:r>
      <w:r w:rsidR="00777906">
        <w:t xml:space="preserve">the documentation provided is insufficient for reasons including: (1) no notice or communication involving a representative of the requesting governmental authority; (2) missing signatures from a representative of the requesting authority on the forms provided to indicate formal agreement; and/or, (3) the relocation is stated by the </w:t>
      </w:r>
      <w:r w:rsidR="00502CF9">
        <w:t>u</w:t>
      </w:r>
      <w:r w:rsidR="00777906">
        <w:t xml:space="preserve">tility to no longer </w:t>
      </w:r>
      <w:r w:rsidR="00BB0DB3">
        <w:t xml:space="preserve">be </w:t>
      </w:r>
      <w:r w:rsidR="00777906">
        <w:t xml:space="preserve">required. </w:t>
      </w:r>
      <w:r w:rsidR="00502CF9">
        <w:t>Our s</w:t>
      </w:r>
      <w:r w:rsidR="00777906" w:rsidRPr="004B37E7">
        <w:t xml:space="preserve">taff </w:t>
      </w:r>
      <w:r w:rsidR="00502CF9">
        <w:t>permitted</w:t>
      </w:r>
      <w:r w:rsidR="00777906" w:rsidRPr="004B37E7">
        <w:t xml:space="preserve"> FPUC until January 12, 2026, to supplement its discovery responses to cure these deficiencies; however, FPUC did not provide additional materials by that de</w:t>
      </w:r>
      <w:r w:rsidR="0045138C">
        <w:t xml:space="preserve">adline for these four projects. </w:t>
      </w:r>
      <w:r w:rsidR="00203497">
        <w:t xml:space="preserve">We note that </w:t>
      </w:r>
      <w:r w:rsidR="00777906" w:rsidRPr="004B37E7">
        <w:t>FPUC may seek approval for these projects in a subsequent petition for cost recovery if it can provide appropriate documentation of eligibility. Otherwise, cost recovery must be sought through a base rate proceeding.</w:t>
      </w:r>
    </w:p>
    <w:p w:rsidR="00203497" w:rsidRDefault="00203497" w:rsidP="00203497">
      <w:pPr>
        <w:pStyle w:val="BodyText"/>
        <w:spacing w:after="0"/>
        <w:jc w:val="both"/>
      </w:pPr>
    </w:p>
    <w:p w:rsidR="00777906" w:rsidRDefault="00A11578" w:rsidP="000B2A43">
      <w:pPr>
        <w:pStyle w:val="BodyText"/>
        <w:spacing w:after="0"/>
        <w:ind w:firstLine="720"/>
        <w:jc w:val="both"/>
      </w:pPr>
      <w:r>
        <w:t>Furthermore</w:t>
      </w:r>
      <w:r w:rsidR="00777906">
        <w:t xml:space="preserve">, two projects included 2027 costs, which are not eligible for recovery in </w:t>
      </w:r>
      <w:r w:rsidR="004A7CE1">
        <w:t xml:space="preserve">this </w:t>
      </w:r>
      <w:r w:rsidR="00777906">
        <w:t>docket. The Utilities may include these 2027 costs in their projection filing during this year’s NGFRCRC proceeding.</w:t>
      </w:r>
      <w:r w:rsidR="00777906" w:rsidRPr="004B37E7">
        <w:t xml:space="preserve"> </w:t>
      </w:r>
      <w:r w:rsidR="0041547E">
        <w:t>We have</w:t>
      </w:r>
      <w:r w:rsidR="00777906">
        <w:t xml:space="preserve"> subtracted 2024 through 2026 costs from the total requested costs of projects to determine the 2027 costs, which are </w:t>
      </w:r>
      <w:r w:rsidR="002C4718">
        <w:t xml:space="preserve">excluded from the eligible costs </w:t>
      </w:r>
      <w:r w:rsidR="00777906">
        <w:t xml:space="preserve">listed below. Tables 1 and 2 list all the proposed relocation projects for </w:t>
      </w:r>
      <w:r w:rsidR="002C4718">
        <w:t xml:space="preserve">FCG and FPUC respectively, </w:t>
      </w:r>
      <w:r w:rsidR="00777906">
        <w:lastRenderedPageBreak/>
        <w:t xml:space="preserve">and </w:t>
      </w:r>
      <w:r w:rsidR="002C4718">
        <w:t>they</w:t>
      </w:r>
      <w:r w:rsidR="00777906">
        <w:t xml:space="preserve"> include total project cost, eligible support for recovery through the NGFRCRC, and the reason or reasons some projects </w:t>
      </w:r>
      <w:r w:rsidR="002C4718">
        <w:t>are</w:t>
      </w:r>
      <w:r w:rsidR="00777906">
        <w:t xml:space="preserve"> </w:t>
      </w:r>
      <w:r w:rsidR="002C4718">
        <w:t>found</w:t>
      </w:r>
      <w:r w:rsidR="00777906">
        <w:t xml:space="preserve"> ineligible.</w:t>
      </w:r>
    </w:p>
    <w:p w:rsidR="000B2A43" w:rsidRDefault="000B2A43" w:rsidP="000B2A43">
      <w:pPr>
        <w:pStyle w:val="BodyText"/>
        <w:spacing w:after="0"/>
        <w:jc w:val="both"/>
      </w:pPr>
    </w:p>
    <w:p w:rsidR="00777906" w:rsidRPr="00003FA3" w:rsidRDefault="00777906" w:rsidP="000B2A43">
      <w:pPr>
        <w:pStyle w:val="TableNumber"/>
        <w:keepNext/>
        <w:spacing w:before="0"/>
        <w:rPr>
          <w:rFonts w:ascii="Times New Roman" w:hAnsi="Times New Roman"/>
        </w:rPr>
      </w:pPr>
      <w:r w:rsidRPr="00003FA3">
        <w:rPr>
          <w:rFonts w:ascii="Times New Roman" w:hAnsi="Times New Roman"/>
        </w:rPr>
        <w:t>Table</w:t>
      </w:r>
      <w:r w:rsidR="00003FA3">
        <w:rPr>
          <w:rFonts w:ascii="Times New Roman" w:hAnsi="Times New Roman"/>
        </w:rPr>
        <w:t xml:space="preserve"> 1</w:t>
      </w:r>
    </w:p>
    <w:p w:rsidR="00777906" w:rsidRPr="00003FA3" w:rsidRDefault="00777906" w:rsidP="000B2A43">
      <w:pPr>
        <w:pStyle w:val="TableTitle"/>
        <w:keepNext/>
        <w:rPr>
          <w:rFonts w:ascii="Times New Roman" w:hAnsi="Times New Roman"/>
        </w:rPr>
      </w:pPr>
      <w:r w:rsidRPr="00003FA3">
        <w:rPr>
          <w:rFonts w:ascii="Times New Roman" w:hAnsi="Times New Roman"/>
        </w:rPr>
        <w:t xml:space="preserve">FCG Project List </w:t>
      </w:r>
    </w:p>
    <w:tbl>
      <w:tblPr>
        <w:tblStyle w:val="TableGrid"/>
        <w:tblW w:w="9719" w:type="dxa"/>
        <w:jc w:val="center"/>
        <w:tblLayout w:type="fixed"/>
        <w:tblLook w:val="04A0" w:firstRow="1" w:lastRow="0" w:firstColumn="1" w:lastColumn="0" w:noHBand="0" w:noVBand="1"/>
      </w:tblPr>
      <w:tblGrid>
        <w:gridCol w:w="1884"/>
        <w:gridCol w:w="4170"/>
        <w:gridCol w:w="1224"/>
        <w:gridCol w:w="1449"/>
        <w:gridCol w:w="992"/>
      </w:tblGrid>
      <w:tr w:rsidR="00777906" w:rsidRPr="00727C03" w:rsidTr="0007308C">
        <w:trPr>
          <w:jc w:val="center"/>
        </w:trPr>
        <w:tc>
          <w:tcPr>
            <w:tcW w:w="1884" w:type="dxa"/>
            <w:vAlign w:val="center"/>
          </w:tcPr>
          <w:p w:rsidR="00777906" w:rsidRPr="00727C03" w:rsidRDefault="00777906" w:rsidP="0007308C">
            <w:pPr>
              <w:jc w:val="center"/>
              <w:rPr>
                <w:sz w:val="20"/>
                <w:szCs w:val="20"/>
              </w:rPr>
            </w:pPr>
            <w:r w:rsidRPr="00727C03">
              <w:rPr>
                <w:sz w:val="20"/>
                <w:szCs w:val="20"/>
              </w:rPr>
              <w:t>Requesting</w:t>
            </w:r>
          </w:p>
          <w:p w:rsidR="00777906" w:rsidRPr="00727C03" w:rsidRDefault="00777906" w:rsidP="0007308C">
            <w:pPr>
              <w:jc w:val="center"/>
              <w:rPr>
                <w:sz w:val="20"/>
                <w:szCs w:val="20"/>
              </w:rPr>
            </w:pPr>
            <w:r w:rsidRPr="00727C03">
              <w:rPr>
                <w:sz w:val="20"/>
                <w:szCs w:val="20"/>
              </w:rPr>
              <w:t>Authority</w:t>
            </w:r>
          </w:p>
        </w:tc>
        <w:tc>
          <w:tcPr>
            <w:tcW w:w="4170" w:type="dxa"/>
            <w:vAlign w:val="center"/>
          </w:tcPr>
          <w:p w:rsidR="00777906" w:rsidRPr="00727C03" w:rsidRDefault="00777906" w:rsidP="0007308C">
            <w:pPr>
              <w:jc w:val="center"/>
              <w:rPr>
                <w:sz w:val="20"/>
                <w:szCs w:val="20"/>
              </w:rPr>
            </w:pPr>
            <w:r w:rsidRPr="00727C03">
              <w:rPr>
                <w:sz w:val="20"/>
                <w:szCs w:val="20"/>
              </w:rPr>
              <w:t>Project Name</w:t>
            </w:r>
            <w:r>
              <w:rPr>
                <w:sz w:val="20"/>
                <w:szCs w:val="20"/>
              </w:rPr>
              <w:t xml:space="preserve"> (As Identified by Utility)</w:t>
            </w:r>
          </w:p>
        </w:tc>
        <w:tc>
          <w:tcPr>
            <w:tcW w:w="1224" w:type="dxa"/>
            <w:vAlign w:val="center"/>
          </w:tcPr>
          <w:p w:rsidR="00777906" w:rsidRPr="00727C03" w:rsidRDefault="00777906" w:rsidP="0007308C">
            <w:pPr>
              <w:jc w:val="center"/>
              <w:rPr>
                <w:sz w:val="20"/>
                <w:szCs w:val="20"/>
              </w:rPr>
            </w:pPr>
            <w:r>
              <w:rPr>
                <w:sz w:val="20"/>
                <w:szCs w:val="20"/>
              </w:rPr>
              <w:t>Requested</w:t>
            </w:r>
            <w:r w:rsidRPr="00727C03">
              <w:rPr>
                <w:sz w:val="20"/>
                <w:szCs w:val="20"/>
              </w:rPr>
              <w:t xml:space="preserve"> Cost</w:t>
            </w:r>
          </w:p>
        </w:tc>
        <w:tc>
          <w:tcPr>
            <w:tcW w:w="1449" w:type="dxa"/>
            <w:vAlign w:val="center"/>
          </w:tcPr>
          <w:p w:rsidR="00777906" w:rsidRDefault="00743CF1" w:rsidP="0007308C">
            <w:pPr>
              <w:jc w:val="center"/>
              <w:rPr>
                <w:sz w:val="20"/>
                <w:szCs w:val="20"/>
              </w:rPr>
            </w:pPr>
            <w:r>
              <w:rPr>
                <w:sz w:val="20"/>
                <w:szCs w:val="20"/>
              </w:rPr>
              <w:t>Eligible</w:t>
            </w:r>
          </w:p>
          <w:p w:rsidR="00777906" w:rsidRPr="00727C03" w:rsidRDefault="00777906" w:rsidP="0007308C">
            <w:pPr>
              <w:jc w:val="center"/>
              <w:rPr>
                <w:sz w:val="20"/>
                <w:szCs w:val="20"/>
              </w:rPr>
            </w:pPr>
            <w:r>
              <w:rPr>
                <w:sz w:val="20"/>
                <w:szCs w:val="20"/>
              </w:rPr>
              <w:t>Cost</w:t>
            </w:r>
          </w:p>
        </w:tc>
        <w:tc>
          <w:tcPr>
            <w:tcW w:w="992" w:type="dxa"/>
            <w:vAlign w:val="center"/>
          </w:tcPr>
          <w:p w:rsidR="00777906" w:rsidRPr="00727C03" w:rsidRDefault="00777906" w:rsidP="0007308C">
            <w:pPr>
              <w:jc w:val="center"/>
              <w:rPr>
                <w:sz w:val="20"/>
                <w:szCs w:val="20"/>
              </w:rPr>
            </w:pPr>
            <w:r w:rsidRPr="00727C03">
              <w:rPr>
                <w:sz w:val="20"/>
                <w:szCs w:val="20"/>
              </w:rPr>
              <w:t>Reason</w:t>
            </w:r>
            <w:r>
              <w:rPr>
                <w:sz w:val="20"/>
                <w:szCs w:val="20"/>
              </w:rPr>
              <w:t xml:space="preserve"> if Ineligible</w:t>
            </w:r>
          </w:p>
        </w:tc>
      </w:tr>
      <w:tr w:rsidR="00777906" w:rsidRPr="00727C03" w:rsidTr="0007308C">
        <w:trPr>
          <w:jc w:val="center"/>
        </w:trPr>
        <w:tc>
          <w:tcPr>
            <w:tcW w:w="1884" w:type="dxa"/>
          </w:tcPr>
          <w:p w:rsidR="00777906" w:rsidRPr="00727C03" w:rsidRDefault="00777906" w:rsidP="0007308C">
            <w:pPr>
              <w:rPr>
                <w:sz w:val="20"/>
                <w:szCs w:val="20"/>
              </w:rPr>
            </w:pPr>
            <w:r>
              <w:rPr>
                <w:sz w:val="20"/>
                <w:szCs w:val="20"/>
              </w:rPr>
              <w:t>FDOT</w:t>
            </w:r>
          </w:p>
        </w:tc>
        <w:tc>
          <w:tcPr>
            <w:tcW w:w="4170" w:type="dxa"/>
          </w:tcPr>
          <w:p w:rsidR="00777906" w:rsidRPr="00727C03" w:rsidRDefault="00777906" w:rsidP="0007308C">
            <w:pPr>
              <w:rPr>
                <w:sz w:val="20"/>
                <w:szCs w:val="20"/>
              </w:rPr>
            </w:pPr>
            <w:r w:rsidRPr="00363A67">
              <w:rPr>
                <w:sz w:val="20"/>
                <w:szCs w:val="20"/>
              </w:rPr>
              <w:t>DOT RELOC SR932 W 49TH ST W 16TH AV 414167</w:t>
            </w:r>
          </w:p>
        </w:tc>
        <w:tc>
          <w:tcPr>
            <w:tcW w:w="1224" w:type="dxa"/>
            <w:vAlign w:val="center"/>
          </w:tcPr>
          <w:p w:rsidR="00777906" w:rsidRPr="00727C03" w:rsidRDefault="00777906" w:rsidP="0007308C">
            <w:pPr>
              <w:jc w:val="center"/>
              <w:rPr>
                <w:sz w:val="20"/>
                <w:szCs w:val="20"/>
              </w:rPr>
            </w:pPr>
            <w:r w:rsidRPr="00363A67">
              <w:rPr>
                <w:sz w:val="20"/>
                <w:szCs w:val="20"/>
              </w:rPr>
              <w:t>$72,885</w:t>
            </w:r>
          </w:p>
        </w:tc>
        <w:tc>
          <w:tcPr>
            <w:tcW w:w="1449" w:type="dxa"/>
            <w:vAlign w:val="center"/>
          </w:tcPr>
          <w:p w:rsidR="00777906" w:rsidRDefault="00777906" w:rsidP="0007308C">
            <w:pPr>
              <w:jc w:val="center"/>
              <w:rPr>
                <w:sz w:val="20"/>
                <w:szCs w:val="20"/>
              </w:rPr>
            </w:pPr>
            <w:r w:rsidRPr="007167E1">
              <w:rPr>
                <w:sz w:val="20"/>
                <w:szCs w:val="20"/>
              </w:rPr>
              <w:t>$72,885</w:t>
            </w:r>
          </w:p>
        </w:tc>
        <w:tc>
          <w:tcPr>
            <w:tcW w:w="992" w:type="dxa"/>
            <w:vAlign w:val="center"/>
          </w:tcPr>
          <w:p w:rsidR="00777906" w:rsidRDefault="00777906" w:rsidP="0007308C">
            <w:pPr>
              <w:jc w:val="center"/>
              <w:rPr>
                <w:sz w:val="20"/>
                <w:szCs w:val="20"/>
              </w:rPr>
            </w:pPr>
          </w:p>
        </w:tc>
      </w:tr>
      <w:tr w:rsidR="00777906" w:rsidRPr="00727C03" w:rsidTr="0007308C">
        <w:trPr>
          <w:jc w:val="center"/>
        </w:trPr>
        <w:tc>
          <w:tcPr>
            <w:tcW w:w="1884" w:type="dxa"/>
          </w:tcPr>
          <w:p w:rsidR="00777906" w:rsidRPr="00727C03" w:rsidRDefault="00777906" w:rsidP="0007308C">
            <w:pPr>
              <w:rPr>
                <w:sz w:val="20"/>
                <w:szCs w:val="20"/>
              </w:rPr>
            </w:pPr>
            <w:r>
              <w:rPr>
                <w:sz w:val="20"/>
                <w:szCs w:val="20"/>
              </w:rPr>
              <w:t>Miami-Dade County</w:t>
            </w:r>
          </w:p>
        </w:tc>
        <w:tc>
          <w:tcPr>
            <w:tcW w:w="4170" w:type="dxa"/>
          </w:tcPr>
          <w:p w:rsidR="00777906" w:rsidRPr="00727C03" w:rsidRDefault="00777906" w:rsidP="0007308C">
            <w:pPr>
              <w:rPr>
                <w:sz w:val="20"/>
                <w:szCs w:val="20"/>
              </w:rPr>
            </w:pPr>
            <w:r w:rsidRPr="00363A67">
              <w:rPr>
                <w:sz w:val="20"/>
                <w:szCs w:val="20"/>
              </w:rPr>
              <w:t>DOT NW 37TH AV RELOC NW46ST TO NW62</w:t>
            </w:r>
          </w:p>
        </w:tc>
        <w:tc>
          <w:tcPr>
            <w:tcW w:w="1224" w:type="dxa"/>
            <w:vAlign w:val="center"/>
          </w:tcPr>
          <w:p w:rsidR="00777906" w:rsidRPr="00727C03" w:rsidRDefault="00777906" w:rsidP="0007308C">
            <w:pPr>
              <w:jc w:val="center"/>
              <w:rPr>
                <w:sz w:val="20"/>
                <w:szCs w:val="20"/>
              </w:rPr>
            </w:pPr>
            <w:r w:rsidRPr="00363A67">
              <w:rPr>
                <w:sz w:val="20"/>
                <w:szCs w:val="20"/>
              </w:rPr>
              <w:t>$115,003</w:t>
            </w:r>
          </w:p>
        </w:tc>
        <w:tc>
          <w:tcPr>
            <w:tcW w:w="1449" w:type="dxa"/>
            <w:vAlign w:val="center"/>
          </w:tcPr>
          <w:p w:rsidR="00777906" w:rsidRDefault="00777906" w:rsidP="0007308C">
            <w:pPr>
              <w:jc w:val="center"/>
              <w:rPr>
                <w:sz w:val="20"/>
                <w:szCs w:val="20"/>
              </w:rPr>
            </w:pPr>
            <w:r w:rsidRPr="007167E1">
              <w:rPr>
                <w:sz w:val="20"/>
                <w:szCs w:val="20"/>
              </w:rPr>
              <w:t>$115,003</w:t>
            </w:r>
          </w:p>
        </w:tc>
        <w:tc>
          <w:tcPr>
            <w:tcW w:w="992" w:type="dxa"/>
            <w:vAlign w:val="center"/>
          </w:tcPr>
          <w:p w:rsidR="00777906" w:rsidRDefault="00777906" w:rsidP="0007308C">
            <w:pPr>
              <w:jc w:val="center"/>
              <w:rPr>
                <w:sz w:val="20"/>
                <w:szCs w:val="20"/>
              </w:rPr>
            </w:pPr>
          </w:p>
        </w:tc>
      </w:tr>
      <w:tr w:rsidR="00777906" w:rsidRPr="00727C03" w:rsidTr="0007308C">
        <w:trPr>
          <w:jc w:val="center"/>
        </w:trPr>
        <w:tc>
          <w:tcPr>
            <w:tcW w:w="1884" w:type="dxa"/>
          </w:tcPr>
          <w:p w:rsidR="00777906" w:rsidRPr="00727C03" w:rsidRDefault="00777906" w:rsidP="0007308C">
            <w:pPr>
              <w:rPr>
                <w:sz w:val="20"/>
                <w:szCs w:val="20"/>
              </w:rPr>
            </w:pPr>
            <w:r>
              <w:rPr>
                <w:sz w:val="20"/>
                <w:szCs w:val="20"/>
              </w:rPr>
              <w:t>FDOT</w:t>
            </w:r>
          </w:p>
        </w:tc>
        <w:tc>
          <w:tcPr>
            <w:tcW w:w="4170" w:type="dxa"/>
          </w:tcPr>
          <w:p w:rsidR="00777906" w:rsidRPr="00727C03" w:rsidRDefault="00777906" w:rsidP="0007308C">
            <w:pPr>
              <w:rPr>
                <w:sz w:val="20"/>
                <w:szCs w:val="20"/>
              </w:rPr>
            </w:pPr>
            <w:r w:rsidRPr="00363A67">
              <w:rPr>
                <w:sz w:val="20"/>
                <w:szCs w:val="20"/>
              </w:rPr>
              <w:t>RELOC SR5 LINDSEY RD BCA416035</w:t>
            </w:r>
          </w:p>
        </w:tc>
        <w:tc>
          <w:tcPr>
            <w:tcW w:w="1224" w:type="dxa"/>
            <w:vAlign w:val="center"/>
          </w:tcPr>
          <w:p w:rsidR="00777906" w:rsidRPr="00727C03" w:rsidRDefault="00777906" w:rsidP="0007308C">
            <w:pPr>
              <w:jc w:val="center"/>
              <w:rPr>
                <w:sz w:val="20"/>
                <w:szCs w:val="20"/>
              </w:rPr>
            </w:pPr>
            <w:r w:rsidRPr="00363A67">
              <w:rPr>
                <w:sz w:val="20"/>
                <w:szCs w:val="20"/>
              </w:rPr>
              <w:t>$209,382</w:t>
            </w:r>
          </w:p>
        </w:tc>
        <w:tc>
          <w:tcPr>
            <w:tcW w:w="1449" w:type="dxa"/>
            <w:vAlign w:val="center"/>
          </w:tcPr>
          <w:p w:rsidR="00777906" w:rsidRDefault="00777906" w:rsidP="0007308C">
            <w:pPr>
              <w:jc w:val="center"/>
              <w:rPr>
                <w:sz w:val="20"/>
                <w:szCs w:val="20"/>
              </w:rPr>
            </w:pPr>
            <w:r w:rsidRPr="007167E1">
              <w:rPr>
                <w:sz w:val="20"/>
                <w:szCs w:val="20"/>
              </w:rPr>
              <w:t>$209,382</w:t>
            </w:r>
          </w:p>
        </w:tc>
        <w:tc>
          <w:tcPr>
            <w:tcW w:w="992" w:type="dxa"/>
            <w:vAlign w:val="center"/>
          </w:tcPr>
          <w:p w:rsidR="00777906" w:rsidRDefault="00777906" w:rsidP="0007308C">
            <w:pPr>
              <w:jc w:val="center"/>
              <w:rPr>
                <w:sz w:val="20"/>
                <w:szCs w:val="20"/>
              </w:rPr>
            </w:pPr>
          </w:p>
        </w:tc>
      </w:tr>
      <w:tr w:rsidR="00777906" w:rsidRPr="00727C03" w:rsidTr="0007308C">
        <w:trPr>
          <w:jc w:val="center"/>
        </w:trPr>
        <w:tc>
          <w:tcPr>
            <w:tcW w:w="1884" w:type="dxa"/>
          </w:tcPr>
          <w:p w:rsidR="00777906" w:rsidRPr="00727C03" w:rsidRDefault="00777906" w:rsidP="0007308C">
            <w:pPr>
              <w:rPr>
                <w:sz w:val="20"/>
                <w:szCs w:val="20"/>
              </w:rPr>
            </w:pPr>
            <w:r>
              <w:rPr>
                <w:sz w:val="20"/>
                <w:szCs w:val="20"/>
              </w:rPr>
              <w:t>City of Cocoa</w:t>
            </w:r>
          </w:p>
        </w:tc>
        <w:tc>
          <w:tcPr>
            <w:tcW w:w="4170" w:type="dxa"/>
          </w:tcPr>
          <w:p w:rsidR="00777906" w:rsidRPr="00727C03" w:rsidRDefault="00777906" w:rsidP="0007308C">
            <w:pPr>
              <w:rPr>
                <w:sz w:val="20"/>
                <w:szCs w:val="20"/>
              </w:rPr>
            </w:pPr>
            <w:r w:rsidRPr="00363A67">
              <w:rPr>
                <w:sz w:val="20"/>
                <w:szCs w:val="20"/>
              </w:rPr>
              <w:t>BCA 417545 City of Cocoa Relo Kentucky &amp; Mitchell</w:t>
            </w:r>
          </w:p>
        </w:tc>
        <w:tc>
          <w:tcPr>
            <w:tcW w:w="1224" w:type="dxa"/>
            <w:vAlign w:val="center"/>
          </w:tcPr>
          <w:p w:rsidR="00777906" w:rsidRPr="00727C03" w:rsidRDefault="00777906" w:rsidP="0007308C">
            <w:pPr>
              <w:jc w:val="center"/>
              <w:rPr>
                <w:sz w:val="20"/>
                <w:szCs w:val="20"/>
              </w:rPr>
            </w:pPr>
            <w:r w:rsidRPr="00363A67">
              <w:rPr>
                <w:sz w:val="20"/>
                <w:szCs w:val="20"/>
              </w:rPr>
              <w:t>$6,831</w:t>
            </w:r>
          </w:p>
        </w:tc>
        <w:tc>
          <w:tcPr>
            <w:tcW w:w="1449" w:type="dxa"/>
            <w:vAlign w:val="center"/>
          </w:tcPr>
          <w:p w:rsidR="00777906" w:rsidRDefault="00777906" w:rsidP="0007308C">
            <w:pPr>
              <w:jc w:val="center"/>
              <w:rPr>
                <w:sz w:val="20"/>
                <w:szCs w:val="20"/>
              </w:rPr>
            </w:pPr>
            <w:r w:rsidRPr="007167E1">
              <w:rPr>
                <w:sz w:val="20"/>
                <w:szCs w:val="20"/>
              </w:rPr>
              <w:t>$6,831</w:t>
            </w:r>
          </w:p>
        </w:tc>
        <w:tc>
          <w:tcPr>
            <w:tcW w:w="992" w:type="dxa"/>
            <w:vAlign w:val="center"/>
          </w:tcPr>
          <w:p w:rsidR="00777906" w:rsidRDefault="00777906" w:rsidP="0007308C">
            <w:pPr>
              <w:jc w:val="center"/>
              <w:rPr>
                <w:sz w:val="20"/>
                <w:szCs w:val="20"/>
              </w:rPr>
            </w:pPr>
          </w:p>
        </w:tc>
      </w:tr>
      <w:tr w:rsidR="00777906" w:rsidRPr="00727C03" w:rsidTr="0007308C">
        <w:trPr>
          <w:jc w:val="center"/>
        </w:trPr>
        <w:tc>
          <w:tcPr>
            <w:tcW w:w="1884" w:type="dxa"/>
          </w:tcPr>
          <w:p w:rsidR="00777906" w:rsidRPr="00727C03" w:rsidRDefault="00777906" w:rsidP="0007308C">
            <w:pPr>
              <w:rPr>
                <w:sz w:val="20"/>
                <w:szCs w:val="20"/>
              </w:rPr>
            </w:pPr>
            <w:r w:rsidRPr="00727C03">
              <w:rPr>
                <w:sz w:val="20"/>
                <w:szCs w:val="20"/>
              </w:rPr>
              <w:t>FDOT</w:t>
            </w:r>
          </w:p>
        </w:tc>
        <w:tc>
          <w:tcPr>
            <w:tcW w:w="4170" w:type="dxa"/>
          </w:tcPr>
          <w:p w:rsidR="00777906" w:rsidRPr="00727C03" w:rsidRDefault="00777906" w:rsidP="0007308C">
            <w:pPr>
              <w:rPr>
                <w:sz w:val="20"/>
                <w:szCs w:val="20"/>
              </w:rPr>
            </w:pPr>
            <w:r w:rsidRPr="00727C03">
              <w:rPr>
                <w:sz w:val="20"/>
                <w:szCs w:val="20"/>
              </w:rPr>
              <w:t>0361-RELO-405606 SEBASTIAN</w:t>
            </w:r>
          </w:p>
        </w:tc>
        <w:tc>
          <w:tcPr>
            <w:tcW w:w="1224" w:type="dxa"/>
            <w:vAlign w:val="center"/>
          </w:tcPr>
          <w:p w:rsidR="00777906" w:rsidRPr="00727C03" w:rsidRDefault="00777906" w:rsidP="0007308C">
            <w:pPr>
              <w:jc w:val="center"/>
              <w:rPr>
                <w:sz w:val="20"/>
                <w:szCs w:val="20"/>
              </w:rPr>
            </w:pPr>
            <w:r w:rsidRPr="00727C03">
              <w:rPr>
                <w:sz w:val="20"/>
                <w:szCs w:val="20"/>
              </w:rPr>
              <w:t>$107,562</w:t>
            </w:r>
          </w:p>
        </w:tc>
        <w:tc>
          <w:tcPr>
            <w:tcW w:w="1449" w:type="dxa"/>
            <w:vAlign w:val="center"/>
          </w:tcPr>
          <w:p w:rsidR="00777906" w:rsidRDefault="00777906" w:rsidP="0007308C">
            <w:pPr>
              <w:jc w:val="center"/>
              <w:rPr>
                <w:sz w:val="20"/>
                <w:szCs w:val="20"/>
              </w:rPr>
            </w:pPr>
            <w:r w:rsidRPr="007167E1">
              <w:rPr>
                <w:sz w:val="20"/>
                <w:szCs w:val="20"/>
              </w:rPr>
              <w:t>$107,562</w:t>
            </w:r>
          </w:p>
        </w:tc>
        <w:tc>
          <w:tcPr>
            <w:tcW w:w="992" w:type="dxa"/>
            <w:vAlign w:val="center"/>
          </w:tcPr>
          <w:p w:rsidR="00777906" w:rsidRPr="00C82BC7" w:rsidRDefault="00777906" w:rsidP="0007308C">
            <w:pPr>
              <w:jc w:val="center"/>
              <w:rPr>
                <w:sz w:val="20"/>
                <w:szCs w:val="20"/>
              </w:rPr>
            </w:pPr>
          </w:p>
        </w:tc>
      </w:tr>
      <w:tr w:rsidR="00777906" w:rsidRPr="00727C03" w:rsidTr="0007308C">
        <w:trPr>
          <w:jc w:val="center"/>
        </w:trPr>
        <w:tc>
          <w:tcPr>
            <w:tcW w:w="1884" w:type="dxa"/>
          </w:tcPr>
          <w:p w:rsidR="00777906" w:rsidRPr="00727C03" w:rsidRDefault="00777906" w:rsidP="0007308C">
            <w:pPr>
              <w:rPr>
                <w:sz w:val="20"/>
                <w:szCs w:val="20"/>
              </w:rPr>
            </w:pPr>
            <w:r w:rsidRPr="00727C03">
              <w:rPr>
                <w:sz w:val="20"/>
                <w:szCs w:val="20"/>
              </w:rPr>
              <w:t>FDOT</w:t>
            </w:r>
          </w:p>
        </w:tc>
        <w:tc>
          <w:tcPr>
            <w:tcW w:w="4170" w:type="dxa"/>
          </w:tcPr>
          <w:p w:rsidR="00777906" w:rsidRPr="00727C03" w:rsidRDefault="00777906" w:rsidP="0007308C">
            <w:pPr>
              <w:rPr>
                <w:sz w:val="20"/>
                <w:szCs w:val="20"/>
              </w:rPr>
            </w:pPr>
            <w:r w:rsidRPr="00727C03">
              <w:rPr>
                <w:sz w:val="20"/>
                <w:szCs w:val="20"/>
              </w:rPr>
              <w:t>0361-DOT-OSLO RD RELO</w:t>
            </w:r>
          </w:p>
        </w:tc>
        <w:tc>
          <w:tcPr>
            <w:tcW w:w="1224" w:type="dxa"/>
            <w:vAlign w:val="center"/>
          </w:tcPr>
          <w:p w:rsidR="00777906" w:rsidRPr="00727C03" w:rsidRDefault="00777906" w:rsidP="0007308C">
            <w:pPr>
              <w:jc w:val="center"/>
              <w:rPr>
                <w:sz w:val="20"/>
                <w:szCs w:val="20"/>
              </w:rPr>
            </w:pPr>
            <w:r w:rsidRPr="00727C03">
              <w:rPr>
                <w:sz w:val="20"/>
                <w:szCs w:val="20"/>
              </w:rPr>
              <w:t>$149,957</w:t>
            </w:r>
          </w:p>
        </w:tc>
        <w:tc>
          <w:tcPr>
            <w:tcW w:w="1449" w:type="dxa"/>
            <w:vAlign w:val="center"/>
          </w:tcPr>
          <w:p w:rsidR="00777906" w:rsidRPr="00C82BC7" w:rsidRDefault="00777906" w:rsidP="0007308C">
            <w:pPr>
              <w:jc w:val="center"/>
              <w:rPr>
                <w:sz w:val="20"/>
                <w:szCs w:val="20"/>
              </w:rPr>
            </w:pPr>
            <w:r w:rsidRPr="007167E1">
              <w:rPr>
                <w:sz w:val="20"/>
                <w:szCs w:val="20"/>
              </w:rPr>
              <w:t>$149,957</w:t>
            </w:r>
          </w:p>
        </w:tc>
        <w:tc>
          <w:tcPr>
            <w:tcW w:w="992" w:type="dxa"/>
            <w:vAlign w:val="center"/>
          </w:tcPr>
          <w:p w:rsidR="00777906" w:rsidRPr="00C82BC7" w:rsidRDefault="00777906" w:rsidP="0007308C">
            <w:pPr>
              <w:jc w:val="center"/>
              <w:rPr>
                <w:sz w:val="20"/>
                <w:szCs w:val="20"/>
              </w:rPr>
            </w:pPr>
          </w:p>
        </w:tc>
      </w:tr>
      <w:tr w:rsidR="00777906" w:rsidRPr="00727C03" w:rsidTr="0007308C">
        <w:trPr>
          <w:jc w:val="center"/>
        </w:trPr>
        <w:tc>
          <w:tcPr>
            <w:tcW w:w="1884" w:type="dxa"/>
          </w:tcPr>
          <w:p w:rsidR="00777906" w:rsidRPr="00727C03" w:rsidRDefault="00777906" w:rsidP="0007308C">
            <w:pPr>
              <w:rPr>
                <w:sz w:val="20"/>
                <w:szCs w:val="20"/>
              </w:rPr>
            </w:pPr>
            <w:r w:rsidRPr="00727C03">
              <w:rPr>
                <w:sz w:val="20"/>
                <w:szCs w:val="20"/>
              </w:rPr>
              <w:t>FDOT</w:t>
            </w:r>
          </w:p>
        </w:tc>
        <w:tc>
          <w:tcPr>
            <w:tcW w:w="4170" w:type="dxa"/>
          </w:tcPr>
          <w:p w:rsidR="00777906" w:rsidRPr="00727C03" w:rsidRDefault="00777906" w:rsidP="0007308C">
            <w:pPr>
              <w:rPr>
                <w:sz w:val="20"/>
                <w:szCs w:val="20"/>
              </w:rPr>
            </w:pPr>
            <w:r w:rsidRPr="00727C03">
              <w:rPr>
                <w:sz w:val="20"/>
                <w:szCs w:val="20"/>
              </w:rPr>
              <w:t>Okeechobee Rd Relocation FDOT</w:t>
            </w:r>
          </w:p>
        </w:tc>
        <w:tc>
          <w:tcPr>
            <w:tcW w:w="1224" w:type="dxa"/>
            <w:vAlign w:val="center"/>
          </w:tcPr>
          <w:p w:rsidR="00777906" w:rsidRPr="00727C03" w:rsidRDefault="00777906" w:rsidP="0007308C">
            <w:pPr>
              <w:jc w:val="center"/>
              <w:rPr>
                <w:sz w:val="20"/>
                <w:szCs w:val="20"/>
              </w:rPr>
            </w:pPr>
            <w:r w:rsidRPr="00727C03">
              <w:rPr>
                <w:sz w:val="20"/>
                <w:szCs w:val="20"/>
              </w:rPr>
              <w:t>$11,740,782</w:t>
            </w:r>
          </w:p>
        </w:tc>
        <w:tc>
          <w:tcPr>
            <w:tcW w:w="1449" w:type="dxa"/>
            <w:vAlign w:val="center"/>
          </w:tcPr>
          <w:p w:rsidR="00777906" w:rsidRPr="00C82BC7" w:rsidRDefault="00777906" w:rsidP="0007308C">
            <w:pPr>
              <w:jc w:val="center"/>
              <w:rPr>
                <w:sz w:val="20"/>
                <w:szCs w:val="20"/>
              </w:rPr>
            </w:pPr>
            <w:r w:rsidRPr="007167E1">
              <w:rPr>
                <w:sz w:val="20"/>
                <w:szCs w:val="20"/>
              </w:rPr>
              <w:t>$11,740,782</w:t>
            </w:r>
          </w:p>
        </w:tc>
        <w:tc>
          <w:tcPr>
            <w:tcW w:w="992" w:type="dxa"/>
            <w:vAlign w:val="center"/>
          </w:tcPr>
          <w:p w:rsidR="00777906" w:rsidRPr="00C82BC7" w:rsidRDefault="00777906" w:rsidP="0007308C">
            <w:pPr>
              <w:jc w:val="center"/>
              <w:rPr>
                <w:sz w:val="20"/>
                <w:szCs w:val="20"/>
              </w:rPr>
            </w:pPr>
          </w:p>
        </w:tc>
      </w:tr>
      <w:tr w:rsidR="00777906" w:rsidRPr="00727C03" w:rsidTr="0007308C">
        <w:trPr>
          <w:jc w:val="center"/>
        </w:trPr>
        <w:tc>
          <w:tcPr>
            <w:tcW w:w="1884" w:type="dxa"/>
          </w:tcPr>
          <w:p w:rsidR="00777906" w:rsidRPr="00727C03" w:rsidRDefault="00777906" w:rsidP="0007308C">
            <w:pPr>
              <w:rPr>
                <w:sz w:val="20"/>
                <w:szCs w:val="20"/>
              </w:rPr>
            </w:pPr>
            <w:r>
              <w:rPr>
                <w:sz w:val="20"/>
                <w:szCs w:val="20"/>
              </w:rPr>
              <w:t>City of Melbourne</w:t>
            </w:r>
          </w:p>
        </w:tc>
        <w:tc>
          <w:tcPr>
            <w:tcW w:w="4170" w:type="dxa"/>
          </w:tcPr>
          <w:p w:rsidR="00777906" w:rsidRPr="00727C03" w:rsidRDefault="00777906" w:rsidP="0007308C">
            <w:pPr>
              <w:rPr>
                <w:sz w:val="20"/>
                <w:szCs w:val="20"/>
              </w:rPr>
            </w:pPr>
            <w:r w:rsidRPr="001D1531">
              <w:rPr>
                <w:sz w:val="20"/>
                <w:szCs w:val="20"/>
              </w:rPr>
              <w:t>BCA417007 Nicklaus Dr. Culvert</w:t>
            </w:r>
          </w:p>
        </w:tc>
        <w:tc>
          <w:tcPr>
            <w:tcW w:w="1224" w:type="dxa"/>
            <w:vAlign w:val="center"/>
          </w:tcPr>
          <w:p w:rsidR="00777906" w:rsidRPr="00727C03" w:rsidRDefault="00777906" w:rsidP="0007308C">
            <w:pPr>
              <w:jc w:val="center"/>
              <w:rPr>
                <w:sz w:val="20"/>
                <w:szCs w:val="20"/>
              </w:rPr>
            </w:pPr>
            <w:r>
              <w:rPr>
                <w:sz w:val="20"/>
                <w:szCs w:val="20"/>
              </w:rPr>
              <w:t>$56,917</w:t>
            </w:r>
          </w:p>
        </w:tc>
        <w:tc>
          <w:tcPr>
            <w:tcW w:w="1449" w:type="dxa"/>
            <w:vAlign w:val="center"/>
          </w:tcPr>
          <w:p w:rsidR="00777906" w:rsidRPr="00C82BC7" w:rsidRDefault="00777906" w:rsidP="0007308C">
            <w:pPr>
              <w:jc w:val="center"/>
              <w:rPr>
                <w:sz w:val="20"/>
                <w:szCs w:val="20"/>
              </w:rPr>
            </w:pPr>
            <w:r w:rsidRPr="007167E1">
              <w:rPr>
                <w:sz w:val="20"/>
                <w:szCs w:val="20"/>
              </w:rPr>
              <w:t>$56,917</w:t>
            </w:r>
          </w:p>
        </w:tc>
        <w:tc>
          <w:tcPr>
            <w:tcW w:w="992" w:type="dxa"/>
            <w:vAlign w:val="center"/>
          </w:tcPr>
          <w:p w:rsidR="00777906" w:rsidRPr="00C82BC7" w:rsidRDefault="00777906" w:rsidP="0007308C">
            <w:pPr>
              <w:jc w:val="center"/>
              <w:rPr>
                <w:sz w:val="20"/>
                <w:szCs w:val="20"/>
              </w:rPr>
            </w:pPr>
          </w:p>
        </w:tc>
      </w:tr>
      <w:tr w:rsidR="00777906" w:rsidRPr="00727C03" w:rsidTr="0007308C">
        <w:trPr>
          <w:jc w:val="center"/>
        </w:trPr>
        <w:tc>
          <w:tcPr>
            <w:tcW w:w="1884" w:type="dxa"/>
          </w:tcPr>
          <w:p w:rsidR="00777906" w:rsidRDefault="00777906" w:rsidP="0007308C">
            <w:pPr>
              <w:rPr>
                <w:sz w:val="20"/>
                <w:szCs w:val="20"/>
              </w:rPr>
            </w:pPr>
            <w:r>
              <w:rPr>
                <w:sz w:val="20"/>
                <w:szCs w:val="20"/>
              </w:rPr>
              <w:t>Total</w:t>
            </w:r>
          </w:p>
        </w:tc>
        <w:tc>
          <w:tcPr>
            <w:tcW w:w="4170" w:type="dxa"/>
          </w:tcPr>
          <w:p w:rsidR="00777906" w:rsidRPr="001D1531" w:rsidRDefault="00777906" w:rsidP="0007308C">
            <w:pPr>
              <w:rPr>
                <w:sz w:val="20"/>
                <w:szCs w:val="20"/>
              </w:rPr>
            </w:pPr>
          </w:p>
        </w:tc>
        <w:tc>
          <w:tcPr>
            <w:tcW w:w="1224" w:type="dxa"/>
            <w:vAlign w:val="center"/>
          </w:tcPr>
          <w:p w:rsidR="00777906" w:rsidRDefault="00777906" w:rsidP="0007308C">
            <w:pPr>
              <w:jc w:val="center"/>
              <w:rPr>
                <w:sz w:val="20"/>
                <w:szCs w:val="20"/>
              </w:rPr>
            </w:pPr>
            <w:r w:rsidRPr="00B90F6C">
              <w:rPr>
                <w:sz w:val="20"/>
                <w:szCs w:val="20"/>
              </w:rPr>
              <w:t>$12,459,319</w:t>
            </w:r>
          </w:p>
        </w:tc>
        <w:tc>
          <w:tcPr>
            <w:tcW w:w="1449" w:type="dxa"/>
            <w:vAlign w:val="center"/>
          </w:tcPr>
          <w:p w:rsidR="00777906" w:rsidRPr="007167E1" w:rsidRDefault="00777906" w:rsidP="0007308C">
            <w:pPr>
              <w:jc w:val="center"/>
              <w:rPr>
                <w:sz w:val="20"/>
                <w:szCs w:val="20"/>
              </w:rPr>
            </w:pPr>
            <w:r>
              <w:rPr>
                <w:sz w:val="20"/>
                <w:szCs w:val="20"/>
              </w:rPr>
              <w:t xml:space="preserve">$12,459,319 </w:t>
            </w:r>
          </w:p>
        </w:tc>
        <w:tc>
          <w:tcPr>
            <w:tcW w:w="992" w:type="dxa"/>
            <w:vAlign w:val="center"/>
          </w:tcPr>
          <w:p w:rsidR="00777906" w:rsidRPr="00C82BC7" w:rsidRDefault="00777906" w:rsidP="0007308C">
            <w:pPr>
              <w:jc w:val="center"/>
              <w:rPr>
                <w:sz w:val="20"/>
                <w:szCs w:val="20"/>
              </w:rPr>
            </w:pPr>
          </w:p>
        </w:tc>
      </w:tr>
    </w:tbl>
    <w:p w:rsidR="00606280" w:rsidRDefault="00777906" w:rsidP="00777906">
      <w:pPr>
        <w:pStyle w:val="BodyText"/>
        <w:spacing w:after="0"/>
        <w:rPr>
          <w:sz w:val="20"/>
          <w:szCs w:val="20"/>
        </w:rPr>
      </w:pPr>
      <w:r w:rsidRPr="002B20E6">
        <w:rPr>
          <w:sz w:val="20"/>
          <w:szCs w:val="20"/>
        </w:rPr>
        <w:t xml:space="preserve">Source: Exhibit SM-1 CG </w:t>
      </w:r>
    </w:p>
    <w:p w:rsidR="002A4BBD" w:rsidRPr="002A4BBD" w:rsidRDefault="002A4BBD" w:rsidP="00777906">
      <w:pPr>
        <w:pStyle w:val="BodyText"/>
        <w:spacing w:after="0"/>
      </w:pPr>
    </w:p>
    <w:p w:rsidR="00777906" w:rsidRPr="00606280" w:rsidRDefault="00777906" w:rsidP="002A4BBD">
      <w:pPr>
        <w:pStyle w:val="TableNumber"/>
        <w:keepNext/>
        <w:spacing w:before="0"/>
        <w:rPr>
          <w:rFonts w:ascii="Times New Roman" w:hAnsi="Times New Roman"/>
        </w:rPr>
      </w:pPr>
      <w:r w:rsidRPr="00606280">
        <w:rPr>
          <w:rFonts w:ascii="Times New Roman" w:hAnsi="Times New Roman"/>
        </w:rPr>
        <w:t>Table</w:t>
      </w:r>
      <w:r w:rsidR="00606280" w:rsidRPr="00606280">
        <w:rPr>
          <w:rFonts w:ascii="Times New Roman" w:hAnsi="Times New Roman"/>
        </w:rPr>
        <w:t xml:space="preserve"> 2</w:t>
      </w:r>
    </w:p>
    <w:p w:rsidR="00777906" w:rsidRPr="00606280" w:rsidRDefault="00777906" w:rsidP="00777906">
      <w:pPr>
        <w:pStyle w:val="TableTitle"/>
        <w:keepNext/>
        <w:rPr>
          <w:rFonts w:ascii="Times New Roman" w:hAnsi="Times New Roman"/>
        </w:rPr>
      </w:pPr>
      <w:r w:rsidRPr="00606280">
        <w:rPr>
          <w:rFonts w:ascii="Times New Roman" w:hAnsi="Times New Roman"/>
        </w:rPr>
        <w:t xml:space="preserve">FPUC Project List </w:t>
      </w:r>
    </w:p>
    <w:tbl>
      <w:tblPr>
        <w:tblStyle w:val="TableGrid"/>
        <w:tblW w:w="9786" w:type="dxa"/>
        <w:jc w:val="center"/>
        <w:tblLayout w:type="fixed"/>
        <w:tblLook w:val="04A0" w:firstRow="1" w:lastRow="0" w:firstColumn="1" w:lastColumn="0" w:noHBand="0" w:noVBand="1"/>
      </w:tblPr>
      <w:tblGrid>
        <w:gridCol w:w="1428"/>
        <w:gridCol w:w="4626"/>
        <w:gridCol w:w="1140"/>
        <w:gridCol w:w="1488"/>
        <w:gridCol w:w="1104"/>
      </w:tblGrid>
      <w:tr w:rsidR="00777906" w:rsidRPr="00727C03" w:rsidTr="0007308C">
        <w:trPr>
          <w:jc w:val="center"/>
        </w:trPr>
        <w:tc>
          <w:tcPr>
            <w:tcW w:w="1428" w:type="dxa"/>
            <w:vAlign w:val="center"/>
          </w:tcPr>
          <w:p w:rsidR="00777906" w:rsidRPr="00727C03" w:rsidRDefault="00777906" w:rsidP="0007308C">
            <w:pPr>
              <w:jc w:val="center"/>
              <w:rPr>
                <w:sz w:val="20"/>
                <w:szCs w:val="20"/>
              </w:rPr>
            </w:pPr>
            <w:r w:rsidRPr="00727C03">
              <w:rPr>
                <w:sz w:val="20"/>
                <w:szCs w:val="20"/>
              </w:rPr>
              <w:t>Requesting</w:t>
            </w:r>
          </w:p>
          <w:p w:rsidR="00777906" w:rsidRPr="00727C03" w:rsidRDefault="00777906" w:rsidP="0007308C">
            <w:pPr>
              <w:jc w:val="center"/>
              <w:rPr>
                <w:sz w:val="20"/>
                <w:szCs w:val="20"/>
              </w:rPr>
            </w:pPr>
            <w:r w:rsidRPr="00727C03">
              <w:rPr>
                <w:sz w:val="20"/>
                <w:szCs w:val="20"/>
              </w:rPr>
              <w:t>Authority</w:t>
            </w:r>
          </w:p>
        </w:tc>
        <w:tc>
          <w:tcPr>
            <w:tcW w:w="4626" w:type="dxa"/>
            <w:vAlign w:val="center"/>
          </w:tcPr>
          <w:p w:rsidR="00777906" w:rsidRPr="00727C03" w:rsidRDefault="00777906" w:rsidP="0007308C">
            <w:pPr>
              <w:jc w:val="center"/>
              <w:rPr>
                <w:sz w:val="20"/>
                <w:szCs w:val="20"/>
              </w:rPr>
            </w:pPr>
            <w:r w:rsidRPr="00727C03">
              <w:rPr>
                <w:sz w:val="20"/>
                <w:szCs w:val="20"/>
              </w:rPr>
              <w:t>Project Name</w:t>
            </w:r>
            <w:r>
              <w:rPr>
                <w:sz w:val="20"/>
                <w:szCs w:val="20"/>
              </w:rPr>
              <w:t xml:space="preserve"> (As Identified by Utility)</w:t>
            </w:r>
          </w:p>
        </w:tc>
        <w:tc>
          <w:tcPr>
            <w:tcW w:w="1140" w:type="dxa"/>
            <w:vAlign w:val="center"/>
          </w:tcPr>
          <w:p w:rsidR="00777906" w:rsidRPr="00727C03" w:rsidRDefault="00777906" w:rsidP="0007308C">
            <w:pPr>
              <w:jc w:val="center"/>
              <w:rPr>
                <w:sz w:val="20"/>
                <w:szCs w:val="20"/>
              </w:rPr>
            </w:pPr>
            <w:r>
              <w:rPr>
                <w:sz w:val="20"/>
                <w:szCs w:val="20"/>
              </w:rPr>
              <w:t xml:space="preserve">Requested </w:t>
            </w:r>
            <w:r w:rsidRPr="00727C03">
              <w:rPr>
                <w:sz w:val="20"/>
                <w:szCs w:val="20"/>
              </w:rPr>
              <w:t>Cost</w:t>
            </w:r>
          </w:p>
        </w:tc>
        <w:tc>
          <w:tcPr>
            <w:tcW w:w="1488" w:type="dxa"/>
            <w:vAlign w:val="center"/>
          </w:tcPr>
          <w:p w:rsidR="00777906" w:rsidRDefault="00366CC8" w:rsidP="0007308C">
            <w:pPr>
              <w:jc w:val="center"/>
              <w:rPr>
                <w:sz w:val="20"/>
                <w:szCs w:val="20"/>
              </w:rPr>
            </w:pPr>
            <w:r>
              <w:rPr>
                <w:sz w:val="20"/>
                <w:szCs w:val="20"/>
              </w:rPr>
              <w:t>Eligible</w:t>
            </w:r>
            <w:r w:rsidR="00777906">
              <w:rPr>
                <w:sz w:val="20"/>
                <w:szCs w:val="20"/>
              </w:rPr>
              <w:t xml:space="preserve"> </w:t>
            </w:r>
          </w:p>
          <w:p w:rsidR="00777906" w:rsidRPr="00727C03" w:rsidRDefault="00777906" w:rsidP="0007308C">
            <w:pPr>
              <w:jc w:val="center"/>
              <w:rPr>
                <w:sz w:val="20"/>
                <w:szCs w:val="20"/>
              </w:rPr>
            </w:pPr>
            <w:r>
              <w:rPr>
                <w:sz w:val="20"/>
                <w:szCs w:val="20"/>
              </w:rPr>
              <w:t>Cost</w:t>
            </w:r>
          </w:p>
        </w:tc>
        <w:tc>
          <w:tcPr>
            <w:tcW w:w="1104" w:type="dxa"/>
            <w:vAlign w:val="center"/>
          </w:tcPr>
          <w:p w:rsidR="00777906" w:rsidRPr="00727C03" w:rsidRDefault="00777906" w:rsidP="0007308C">
            <w:pPr>
              <w:jc w:val="center"/>
              <w:rPr>
                <w:sz w:val="20"/>
                <w:szCs w:val="20"/>
              </w:rPr>
            </w:pPr>
            <w:r w:rsidRPr="00727C03">
              <w:rPr>
                <w:sz w:val="20"/>
                <w:szCs w:val="20"/>
              </w:rPr>
              <w:t>Reason</w:t>
            </w:r>
            <w:r>
              <w:rPr>
                <w:sz w:val="20"/>
                <w:szCs w:val="20"/>
              </w:rPr>
              <w:t xml:space="preserve"> if Ineligible</w:t>
            </w:r>
          </w:p>
        </w:tc>
      </w:tr>
      <w:tr w:rsidR="00777906" w:rsidRPr="00727C03" w:rsidTr="0007308C">
        <w:trPr>
          <w:jc w:val="center"/>
        </w:trPr>
        <w:tc>
          <w:tcPr>
            <w:tcW w:w="1428" w:type="dxa"/>
          </w:tcPr>
          <w:p w:rsidR="00777906" w:rsidRPr="00727C03" w:rsidRDefault="00777906" w:rsidP="0007308C">
            <w:pPr>
              <w:rPr>
                <w:sz w:val="20"/>
                <w:szCs w:val="20"/>
              </w:rPr>
            </w:pPr>
            <w:r>
              <w:rPr>
                <w:sz w:val="20"/>
                <w:szCs w:val="20"/>
              </w:rPr>
              <w:t>Palm Beach County</w:t>
            </w:r>
          </w:p>
        </w:tc>
        <w:tc>
          <w:tcPr>
            <w:tcW w:w="4626" w:type="dxa"/>
          </w:tcPr>
          <w:p w:rsidR="00777906" w:rsidRPr="00727C03" w:rsidRDefault="00777906" w:rsidP="0007308C">
            <w:pPr>
              <w:rPr>
                <w:sz w:val="20"/>
                <w:szCs w:val="20"/>
              </w:rPr>
            </w:pPr>
            <w:r w:rsidRPr="00363A67">
              <w:rPr>
                <w:sz w:val="20"/>
                <w:szCs w:val="20"/>
              </w:rPr>
              <w:t>Australian Ave (Steel GM Replaced with PE GM)</w:t>
            </w:r>
          </w:p>
        </w:tc>
        <w:tc>
          <w:tcPr>
            <w:tcW w:w="1140" w:type="dxa"/>
            <w:vAlign w:val="center"/>
          </w:tcPr>
          <w:p w:rsidR="00777906" w:rsidRPr="00727C03" w:rsidRDefault="00777906" w:rsidP="0007308C">
            <w:pPr>
              <w:jc w:val="center"/>
              <w:rPr>
                <w:sz w:val="20"/>
                <w:szCs w:val="20"/>
              </w:rPr>
            </w:pPr>
            <w:r>
              <w:rPr>
                <w:sz w:val="20"/>
                <w:szCs w:val="20"/>
              </w:rPr>
              <w:t>$782,120*</w:t>
            </w:r>
          </w:p>
        </w:tc>
        <w:tc>
          <w:tcPr>
            <w:tcW w:w="1488" w:type="dxa"/>
            <w:vAlign w:val="center"/>
          </w:tcPr>
          <w:p w:rsidR="00777906" w:rsidRPr="00C82BC7" w:rsidRDefault="00777906" w:rsidP="0007308C">
            <w:pPr>
              <w:jc w:val="center"/>
              <w:rPr>
                <w:sz w:val="20"/>
                <w:szCs w:val="20"/>
              </w:rPr>
            </w:pPr>
            <w:r>
              <w:rPr>
                <w:sz w:val="20"/>
                <w:szCs w:val="20"/>
              </w:rPr>
              <w:t>$484,629</w:t>
            </w:r>
          </w:p>
        </w:tc>
        <w:tc>
          <w:tcPr>
            <w:tcW w:w="1104" w:type="dxa"/>
            <w:vAlign w:val="center"/>
          </w:tcPr>
          <w:p w:rsidR="00777906" w:rsidRPr="00C82BC7" w:rsidRDefault="00777906" w:rsidP="0007308C">
            <w:pPr>
              <w:jc w:val="center"/>
              <w:rPr>
                <w:sz w:val="20"/>
                <w:szCs w:val="20"/>
              </w:rPr>
            </w:pPr>
          </w:p>
        </w:tc>
      </w:tr>
      <w:tr w:rsidR="00777906" w:rsidRPr="00727C03" w:rsidTr="0007308C">
        <w:trPr>
          <w:jc w:val="center"/>
        </w:trPr>
        <w:tc>
          <w:tcPr>
            <w:tcW w:w="1428" w:type="dxa"/>
          </w:tcPr>
          <w:p w:rsidR="00777906" w:rsidRPr="00727C03" w:rsidRDefault="00777906" w:rsidP="0007308C">
            <w:pPr>
              <w:rPr>
                <w:sz w:val="20"/>
                <w:szCs w:val="20"/>
              </w:rPr>
            </w:pPr>
            <w:r>
              <w:rPr>
                <w:sz w:val="20"/>
                <w:szCs w:val="20"/>
              </w:rPr>
              <w:t>FDOT</w:t>
            </w:r>
          </w:p>
        </w:tc>
        <w:tc>
          <w:tcPr>
            <w:tcW w:w="4626" w:type="dxa"/>
          </w:tcPr>
          <w:p w:rsidR="00777906" w:rsidRPr="00727C03" w:rsidRDefault="00777906" w:rsidP="0007308C">
            <w:pPr>
              <w:rPr>
                <w:sz w:val="20"/>
                <w:szCs w:val="20"/>
              </w:rPr>
            </w:pPr>
            <w:r w:rsidRPr="00363A67">
              <w:rPr>
                <w:sz w:val="20"/>
                <w:szCs w:val="20"/>
              </w:rPr>
              <w:t>MR US 98 and Western Ave (4" PE installed)</w:t>
            </w:r>
          </w:p>
        </w:tc>
        <w:tc>
          <w:tcPr>
            <w:tcW w:w="1140" w:type="dxa"/>
            <w:vAlign w:val="center"/>
          </w:tcPr>
          <w:p w:rsidR="00777906" w:rsidRPr="00727C03" w:rsidRDefault="00777906" w:rsidP="0007308C">
            <w:pPr>
              <w:jc w:val="center"/>
              <w:rPr>
                <w:sz w:val="20"/>
                <w:szCs w:val="20"/>
              </w:rPr>
            </w:pPr>
            <w:r>
              <w:rPr>
                <w:sz w:val="20"/>
                <w:szCs w:val="20"/>
              </w:rPr>
              <w:t>$49,074</w:t>
            </w:r>
          </w:p>
        </w:tc>
        <w:tc>
          <w:tcPr>
            <w:tcW w:w="1488" w:type="dxa"/>
            <w:vAlign w:val="center"/>
          </w:tcPr>
          <w:p w:rsidR="00777906" w:rsidRPr="00C82BC7" w:rsidRDefault="00777906" w:rsidP="0007308C">
            <w:pPr>
              <w:jc w:val="center"/>
              <w:rPr>
                <w:sz w:val="20"/>
                <w:szCs w:val="20"/>
              </w:rPr>
            </w:pPr>
            <w:r w:rsidRPr="007167E1">
              <w:rPr>
                <w:sz w:val="20"/>
                <w:szCs w:val="20"/>
              </w:rPr>
              <w:t>$49,074</w:t>
            </w:r>
          </w:p>
        </w:tc>
        <w:tc>
          <w:tcPr>
            <w:tcW w:w="1104" w:type="dxa"/>
            <w:vAlign w:val="center"/>
          </w:tcPr>
          <w:p w:rsidR="00777906" w:rsidRPr="00C82BC7" w:rsidRDefault="00777906" w:rsidP="0007308C">
            <w:pPr>
              <w:jc w:val="center"/>
              <w:rPr>
                <w:sz w:val="20"/>
                <w:szCs w:val="20"/>
              </w:rPr>
            </w:pPr>
          </w:p>
        </w:tc>
      </w:tr>
      <w:tr w:rsidR="00777906" w:rsidRPr="00727C03" w:rsidTr="0007308C">
        <w:trPr>
          <w:jc w:val="center"/>
        </w:trPr>
        <w:tc>
          <w:tcPr>
            <w:tcW w:w="1428" w:type="dxa"/>
          </w:tcPr>
          <w:p w:rsidR="00777906" w:rsidRPr="00727C03" w:rsidRDefault="00777906" w:rsidP="0007308C">
            <w:pPr>
              <w:rPr>
                <w:sz w:val="20"/>
                <w:szCs w:val="20"/>
              </w:rPr>
            </w:pPr>
            <w:r>
              <w:rPr>
                <w:sz w:val="20"/>
                <w:szCs w:val="20"/>
              </w:rPr>
              <w:t>FDOT</w:t>
            </w:r>
          </w:p>
        </w:tc>
        <w:tc>
          <w:tcPr>
            <w:tcW w:w="4626" w:type="dxa"/>
          </w:tcPr>
          <w:p w:rsidR="00777906" w:rsidRPr="00727C03" w:rsidRDefault="00777906" w:rsidP="0007308C">
            <w:pPr>
              <w:rPr>
                <w:sz w:val="20"/>
                <w:szCs w:val="20"/>
              </w:rPr>
            </w:pPr>
            <w:r w:rsidRPr="00363A67">
              <w:rPr>
                <w:sz w:val="20"/>
                <w:szCs w:val="20"/>
              </w:rPr>
              <w:t>MR Forest Hill &amp; Military Trl WPB  (Steel GM Replaced with PE GM)</w:t>
            </w:r>
          </w:p>
        </w:tc>
        <w:tc>
          <w:tcPr>
            <w:tcW w:w="1140" w:type="dxa"/>
            <w:vAlign w:val="center"/>
          </w:tcPr>
          <w:p w:rsidR="00777906" w:rsidRPr="00727C03" w:rsidRDefault="00777906" w:rsidP="0007308C">
            <w:pPr>
              <w:jc w:val="center"/>
              <w:rPr>
                <w:sz w:val="20"/>
                <w:szCs w:val="20"/>
              </w:rPr>
            </w:pPr>
            <w:r>
              <w:rPr>
                <w:sz w:val="20"/>
                <w:szCs w:val="20"/>
              </w:rPr>
              <w:t>$216,804</w:t>
            </w:r>
          </w:p>
        </w:tc>
        <w:tc>
          <w:tcPr>
            <w:tcW w:w="1488" w:type="dxa"/>
            <w:vAlign w:val="center"/>
          </w:tcPr>
          <w:p w:rsidR="00777906" w:rsidRPr="00C82BC7" w:rsidRDefault="00777906" w:rsidP="0007308C">
            <w:pPr>
              <w:jc w:val="center"/>
              <w:rPr>
                <w:sz w:val="20"/>
                <w:szCs w:val="20"/>
              </w:rPr>
            </w:pPr>
            <w:r w:rsidRPr="007167E1">
              <w:rPr>
                <w:sz w:val="20"/>
                <w:szCs w:val="20"/>
              </w:rPr>
              <w:t>$216,804</w:t>
            </w:r>
          </w:p>
        </w:tc>
        <w:tc>
          <w:tcPr>
            <w:tcW w:w="1104" w:type="dxa"/>
            <w:vAlign w:val="center"/>
          </w:tcPr>
          <w:p w:rsidR="00777906" w:rsidRPr="00C82BC7" w:rsidRDefault="00777906" w:rsidP="0007308C">
            <w:pPr>
              <w:jc w:val="center"/>
              <w:rPr>
                <w:sz w:val="20"/>
                <w:szCs w:val="20"/>
              </w:rPr>
            </w:pPr>
          </w:p>
        </w:tc>
      </w:tr>
      <w:tr w:rsidR="00777906" w:rsidRPr="00727C03" w:rsidTr="0007308C">
        <w:trPr>
          <w:jc w:val="center"/>
        </w:trPr>
        <w:tc>
          <w:tcPr>
            <w:tcW w:w="1428" w:type="dxa"/>
          </w:tcPr>
          <w:p w:rsidR="00777906" w:rsidRPr="00727C03" w:rsidRDefault="00777906" w:rsidP="0007308C">
            <w:pPr>
              <w:rPr>
                <w:sz w:val="20"/>
                <w:szCs w:val="20"/>
              </w:rPr>
            </w:pPr>
            <w:r w:rsidRPr="00727C03">
              <w:rPr>
                <w:sz w:val="20"/>
                <w:szCs w:val="20"/>
              </w:rPr>
              <w:t>Polk County</w:t>
            </w:r>
          </w:p>
        </w:tc>
        <w:tc>
          <w:tcPr>
            <w:tcW w:w="4626" w:type="dxa"/>
          </w:tcPr>
          <w:p w:rsidR="00777906" w:rsidRPr="00727C03" w:rsidRDefault="00777906" w:rsidP="0007308C">
            <w:pPr>
              <w:rPr>
                <w:sz w:val="20"/>
                <w:szCs w:val="20"/>
              </w:rPr>
            </w:pPr>
            <w:r w:rsidRPr="00727C03">
              <w:rPr>
                <w:sz w:val="20"/>
                <w:szCs w:val="20"/>
              </w:rPr>
              <w:t>Cameron RD Eagle Lake, Abandon 4” PE, no install</w:t>
            </w:r>
          </w:p>
        </w:tc>
        <w:tc>
          <w:tcPr>
            <w:tcW w:w="1140" w:type="dxa"/>
            <w:vAlign w:val="center"/>
          </w:tcPr>
          <w:p w:rsidR="00777906" w:rsidRPr="00727C03" w:rsidRDefault="00777906" w:rsidP="0007308C">
            <w:pPr>
              <w:jc w:val="center"/>
              <w:rPr>
                <w:sz w:val="20"/>
                <w:szCs w:val="20"/>
              </w:rPr>
            </w:pPr>
            <w:r w:rsidRPr="00727C03">
              <w:rPr>
                <w:sz w:val="20"/>
                <w:szCs w:val="20"/>
              </w:rPr>
              <w:t>$193,265</w:t>
            </w:r>
          </w:p>
        </w:tc>
        <w:tc>
          <w:tcPr>
            <w:tcW w:w="1488" w:type="dxa"/>
            <w:vAlign w:val="center"/>
          </w:tcPr>
          <w:p w:rsidR="00777906" w:rsidRPr="00C82BC7" w:rsidRDefault="00777906" w:rsidP="0007308C">
            <w:pPr>
              <w:jc w:val="center"/>
              <w:rPr>
                <w:sz w:val="20"/>
                <w:szCs w:val="20"/>
              </w:rPr>
            </w:pPr>
            <w:r>
              <w:rPr>
                <w:sz w:val="20"/>
                <w:szCs w:val="20"/>
              </w:rPr>
              <w:t>$0</w:t>
            </w:r>
          </w:p>
        </w:tc>
        <w:tc>
          <w:tcPr>
            <w:tcW w:w="1104" w:type="dxa"/>
            <w:vAlign w:val="center"/>
          </w:tcPr>
          <w:p w:rsidR="00777906" w:rsidRPr="00C82BC7" w:rsidRDefault="00777906" w:rsidP="0007308C">
            <w:pPr>
              <w:jc w:val="center"/>
              <w:rPr>
                <w:sz w:val="20"/>
                <w:szCs w:val="20"/>
              </w:rPr>
            </w:pPr>
            <w:r w:rsidRPr="00C82BC7">
              <w:rPr>
                <w:sz w:val="20"/>
                <w:szCs w:val="20"/>
              </w:rPr>
              <w:t>(1),</w:t>
            </w:r>
            <w:r>
              <w:rPr>
                <w:sz w:val="20"/>
                <w:szCs w:val="20"/>
              </w:rPr>
              <w:t xml:space="preserve"> (2)</w:t>
            </w:r>
          </w:p>
        </w:tc>
      </w:tr>
      <w:tr w:rsidR="00777906" w:rsidRPr="00727C03" w:rsidTr="0007308C">
        <w:trPr>
          <w:jc w:val="center"/>
        </w:trPr>
        <w:tc>
          <w:tcPr>
            <w:tcW w:w="1428" w:type="dxa"/>
          </w:tcPr>
          <w:p w:rsidR="00777906" w:rsidRPr="00727C03" w:rsidRDefault="00777906" w:rsidP="0007308C">
            <w:pPr>
              <w:rPr>
                <w:sz w:val="20"/>
                <w:szCs w:val="20"/>
              </w:rPr>
            </w:pPr>
            <w:r>
              <w:rPr>
                <w:sz w:val="20"/>
                <w:szCs w:val="20"/>
              </w:rPr>
              <w:t>Delray Beach</w:t>
            </w:r>
          </w:p>
        </w:tc>
        <w:tc>
          <w:tcPr>
            <w:tcW w:w="4626" w:type="dxa"/>
          </w:tcPr>
          <w:p w:rsidR="00777906" w:rsidRPr="00727C03" w:rsidRDefault="00777906" w:rsidP="0007308C">
            <w:pPr>
              <w:rPr>
                <w:sz w:val="20"/>
                <w:szCs w:val="20"/>
              </w:rPr>
            </w:pPr>
            <w:r>
              <w:rPr>
                <w:sz w:val="20"/>
                <w:szCs w:val="20"/>
              </w:rPr>
              <w:t xml:space="preserve">203 SW 14th Ave (Steel GM </w:t>
            </w:r>
            <w:r w:rsidRPr="00363A67">
              <w:rPr>
                <w:sz w:val="20"/>
                <w:szCs w:val="20"/>
              </w:rPr>
              <w:t>replaced with PE GM)</w:t>
            </w:r>
          </w:p>
        </w:tc>
        <w:tc>
          <w:tcPr>
            <w:tcW w:w="1140" w:type="dxa"/>
            <w:vAlign w:val="center"/>
          </w:tcPr>
          <w:p w:rsidR="00777906" w:rsidRPr="00727C03" w:rsidRDefault="00777906" w:rsidP="0007308C">
            <w:pPr>
              <w:jc w:val="center"/>
              <w:rPr>
                <w:sz w:val="20"/>
                <w:szCs w:val="20"/>
              </w:rPr>
            </w:pPr>
            <w:r>
              <w:rPr>
                <w:sz w:val="20"/>
                <w:szCs w:val="20"/>
              </w:rPr>
              <w:t>$41,920</w:t>
            </w:r>
          </w:p>
        </w:tc>
        <w:tc>
          <w:tcPr>
            <w:tcW w:w="1488" w:type="dxa"/>
            <w:vAlign w:val="center"/>
          </w:tcPr>
          <w:p w:rsidR="00777906" w:rsidRDefault="00777906" w:rsidP="0007308C">
            <w:pPr>
              <w:jc w:val="center"/>
              <w:rPr>
                <w:sz w:val="20"/>
                <w:szCs w:val="20"/>
              </w:rPr>
            </w:pPr>
            <w:r w:rsidRPr="007167E1">
              <w:rPr>
                <w:sz w:val="20"/>
                <w:szCs w:val="20"/>
              </w:rPr>
              <w:t>$41,920</w:t>
            </w:r>
          </w:p>
        </w:tc>
        <w:tc>
          <w:tcPr>
            <w:tcW w:w="1104" w:type="dxa"/>
            <w:vAlign w:val="center"/>
          </w:tcPr>
          <w:p w:rsidR="00777906" w:rsidRPr="00C82BC7" w:rsidRDefault="00777906" w:rsidP="0007308C">
            <w:pPr>
              <w:jc w:val="center"/>
              <w:rPr>
                <w:sz w:val="20"/>
                <w:szCs w:val="20"/>
              </w:rPr>
            </w:pPr>
          </w:p>
        </w:tc>
      </w:tr>
      <w:tr w:rsidR="00777906" w:rsidRPr="00727C03" w:rsidTr="0007308C">
        <w:trPr>
          <w:jc w:val="center"/>
        </w:trPr>
        <w:tc>
          <w:tcPr>
            <w:tcW w:w="1428" w:type="dxa"/>
          </w:tcPr>
          <w:p w:rsidR="00777906" w:rsidRPr="00727C03" w:rsidRDefault="00777906" w:rsidP="0007308C">
            <w:pPr>
              <w:rPr>
                <w:sz w:val="20"/>
                <w:szCs w:val="20"/>
              </w:rPr>
            </w:pPr>
            <w:r w:rsidRPr="00727C03">
              <w:rPr>
                <w:sz w:val="20"/>
                <w:szCs w:val="20"/>
              </w:rPr>
              <w:t>Citrus County</w:t>
            </w:r>
          </w:p>
        </w:tc>
        <w:tc>
          <w:tcPr>
            <w:tcW w:w="4626" w:type="dxa"/>
          </w:tcPr>
          <w:p w:rsidR="00777906" w:rsidRPr="00727C03" w:rsidRDefault="00777906" w:rsidP="0007308C">
            <w:pPr>
              <w:rPr>
                <w:sz w:val="20"/>
                <w:szCs w:val="20"/>
              </w:rPr>
            </w:pPr>
            <w:r w:rsidRPr="00727C03">
              <w:rPr>
                <w:sz w:val="20"/>
                <w:szCs w:val="20"/>
              </w:rPr>
              <w:t>MR PH1 CR491 Wide Road Prjt</w:t>
            </w:r>
          </w:p>
        </w:tc>
        <w:tc>
          <w:tcPr>
            <w:tcW w:w="1140" w:type="dxa"/>
            <w:vAlign w:val="center"/>
          </w:tcPr>
          <w:p w:rsidR="00777906" w:rsidRPr="00727C03" w:rsidRDefault="00777906" w:rsidP="0007308C">
            <w:pPr>
              <w:jc w:val="center"/>
              <w:rPr>
                <w:sz w:val="20"/>
                <w:szCs w:val="20"/>
              </w:rPr>
            </w:pPr>
            <w:r w:rsidRPr="00727C03">
              <w:rPr>
                <w:sz w:val="20"/>
                <w:szCs w:val="20"/>
              </w:rPr>
              <w:t>$74,416</w:t>
            </w:r>
          </w:p>
        </w:tc>
        <w:tc>
          <w:tcPr>
            <w:tcW w:w="1488" w:type="dxa"/>
            <w:vAlign w:val="center"/>
          </w:tcPr>
          <w:p w:rsidR="00777906" w:rsidRDefault="00777906" w:rsidP="0007308C">
            <w:pPr>
              <w:jc w:val="center"/>
              <w:rPr>
                <w:sz w:val="20"/>
                <w:szCs w:val="20"/>
              </w:rPr>
            </w:pPr>
            <w:r w:rsidRPr="007167E1">
              <w:rPr>
                <w:sz w:val="20"/>
                <w:szCs w:val="20"/>
              </w:rPr>
              <w:t>$74,416</w:t>
            </w:r>
          </w:p>
        </w:tc>
        <w:tc>
          <w:tcPr>
            <w:tcW w:w="1104" w:type="dxa"/>
            <w:vAlign w:val="center"/>
          </w:tcPr>
          <w:p w:rsidR="00777906" w:rsidRPr="00C82BC7" w:rsidRDefault="00777906" w:rsidP="0007308C">
            <w:pPr>
              <w:jc w:val="center"/>
              <w:rPr>
                <w:sz w:val="20"/>
                <w:szCs w:val="20"/>
              </w:rPr>
            </w:pPr>
          </w:p>
        </w:tc>
      </w:tr>
      <w:tr w:rsidR="00777906" w:rsidRPr="00727C03" w:rsidTr="0007308C">
        <w:trPr>
          <w:jc w:val="center"/>
        </w:trPr>
        <w:tc>
          <w:tcPr>
            <w:tcW w:w="1428" w:type="dxa"/>
          </w:tcPr>
          <w:p w:rsidR="00777906" w:rsidRPr="00727C03" w:rsidRDefault="00777906" w:rsidP="0007308C">
            <w:pPr>
              <w:rPr>
                <w:sz w:val="20"/>
                <w:szCs w:val="20"/>
              </w:rPr>
            </w:pPr>
            <w:r w:rsidRPr="00727C03">
              <w:rPr>
                <w:sz w:val="20"/>
                <w:szCs w:val="20"/>
              </w:rPr>
              <w:t>Citrus County</w:t>
            </w:r>
          </w:p>
        </w:tc>
        <w:tc>
          <w:tcPr>
            <w:tcW w:w="4626" w:type="dxa"/>
          </w:tcPr>
          <w:p w:rsidR="00777906" w:rsidRPr="00727C03" w:rsidRDefault="00777906" w:rsidP="0007308C">
            <w:pPr>
              <w:rPr>
                <w:sz w:val="20"/>
                <w:szCs w:val="20"/>
              </w:rPr>
            </w:pPr>
            <w:r w:rsidRPr="00727C03">
              <w:rPr>
                <w:sz w:val="20"/>
                <w:szCs w:val="20"/>
              </w:rPr>
              <w:t>MR PH2 CR491 Wide Road Prjt</w:t>
            </w:r>
          </w:p>
        </w:tc>
        <w:tc>
          <w:tcPr>
            <w:tcW w:w="1140" w:type="dxa"/>
            <w:vAlign w:val="center"/>
          </w:tcPr>
          <w:p w:rsidR="00777906" w:rsidRPr="00727C03" w:rsidRDefault="00777906" w:rsidP="0007308C">
            <w:pPr>
              <w:jc w:val="center"/>
              <w:rPr>
                <w:sz w:val="20"/>
                <w:szCs w:val="20"/>
              </w:rPr>
            </w:pPr>
            <w:r w:rsidRPr="00727C03">
              <w:rPr>
                <w:sz w:val="20"/>
                <w:szCs w:val="20"/>
              </w:rPr>
              <w:t>$143,335</w:t>
            </w:r>
          </w:p>
        </w:tc>
        <w:tc>
          <w:tcPr>
            <w:tcW w:w="1488" w:type="dxa"/>
            <w:vAlign w:val="center"/>
          </w:tcPr>
          <w:p w:rsidR="00777906" w:rsidRDefault="00777906" w:rsidP="0007308C">
            <w:pPr>
              <w:jc w:val="center"/>
              <w:rPr>
                <w:sz w:val="20"/>
                <w:szCs w:val="20"/>
              </w:rPr>
            </w:pPr>
            <w:r w:rsidRPr="007167E1">
              <w:rPr>
                <w:sz w:val="20"/>
                <w:szCs w:val="20"/>
              </w:rPr>
              <w:t>$143,335</w:t>
            </w:r>
          </w:p>
        </w:tc>
        <w:tc>
          <w:tcPr>
            <w:tcW w:w="1104" w:type="dxa"/>
            <w:vAlign w:val="center"/>
          </w:tcPr>
          <w:p w:rsidR="00777906" w:rsidRPr="00C82BC7" w:rsidRDefault="00777906" w:rsidP="0007308C">
            <w:pPr>
              <w:jc w:val="center"/>
              <w:rPr>
                <w:sz w:val="20"/>
                <w:szCs w:val="20"/>
              </w:rPr>
            </w:pPr>
          </w:p>
        </w:tc>
      </w:tr>
      <w:tr w:rsidR="00777906" w:rsidRPr="00727C03" w:rsidTr="0007308C">
        <w:trPr>
          <w:jc w:val="center"/>
        </w:trPr>
        <w:tc>
          <w:tcPr>
            <w:tcW w:w="1428" w:type="dxa"/>
          </w:tcPr>
          <w:p w:rsidR="00777906" w:rsidRPr="00727C03" w:rsidRDefault="00777906" w:rsidP="0007308C">
            <w:pPr>
              <w:rPr>
                <w:sz w:val="20"/>
                <w:szCs w:val="20"/>
              </w:rPr>
            </w:pPr>
            <w:r w:rsidRPr="00727C03">
              <w:rPr>
                <w:sz w:val="20"/>
                <w:szCs w:val="20"/>
              </w:rPr>
              <w:t>Citrus County</w:t>
            </w:r>
          </w:p>
        </w:tc>
        <w:tc>
          <w:tcPr>
            <w:tcW w:w="4626" w:type="dxa"/>
          </w:tcPr>
          <w:p w:rsidR="00777906" w:rsidRPr="00727C03" w:rsidRDefault="00777906" w:rsidP="0007308C">
            <w:pPr>
              <w:rPr>
                <w:sz w:val="20"/>
                <w:szCs w:val="20"/>
              </w:rPr>
            </w:pPr>
            <w:r w:rsidRPr="00727C03">
              <w:rPr>
                <w:sz w:val="20"/>
                <w:szCs w:val="20"/>
              </w:rPr>
              <w:t>MR PH3 CR491 Wide Road Prjt (Herna</w:t>
            </w:r>
            <w:r>
              <w:rPr>
                <w:sz w:val="20"/>
                <w:szCs w:val="20"/>
              </w:rPr>
              <w:t>n</w:t>
            </w:r>
            <w:r w:rsidRPr="00727C03">
              <w:rPr>
                <w:sz w:val="20"/>
                <w:szCs w:val="20"/>
              </w:rPr>
              <w:t>do)</w:t>
            </w:r>
          </w:p>
        </w:tc>
        <w:tc>
          <w:tcPr>
            <w:tcW w:w="1140" w:type="dxa"/>
            <w:vAlign w:val="center"/>
          </w:tcPr>
          <w:p w:rsidR="00777906" w:rsidRPr="00727C03" w:rsidRDefault="00777906" w:rsidP="0007308C">
            <w:pPr>
              <w:jc w:val="center"/>
              <w:rPr>
                <w:sz w:val="20"/>
                <w:szCs w:val="20"/>
              </w:rPr>
            </w:pPr>
            <w:r w:rsidRPr="00727C03">
              <w:rPr>
                <w:sz w:val="20"/>
                <w:szCs w:val="20"/>
              </w:rPr>
              <w:t>$104,296</w:t>
            </w:r>
          </w:p>
        </w:tc>
        <w:tc>
          <w:tcPr>
            <w:tcW w:w="1488" w:type="dxa"/>
            <w:vAlign w:val="center"/>
          </w:tcPr>
          <w:p w:rsidR="00777906" w:rsidRDefault="00777906" w:rsidP="0007308C">
            <w:pPr>
              <w:jc w:val="center"/>
              <w:rPr>
                <w:sz w:val="20"/>
                <w:szCs w:val="20"/>
              </w:rPr>
            </w:pPr>
            <w:r w:rsidRPr="007167E1">
              <w:rPr>
                <w:sz w:val="20"/>
                <w:szCs w:val="20"/>
              </w:rPr>
              <w:t>$104,296</w:t>
            </w:r>
          </w:p>
        </w:tc>
        <w:tc>
          <w:tcPr>
            <w:tcW w:w="1104" w:type="dxa"/>
            <w:vAlign w:val="center"/>
          </w:tcPr>
          <w:p w:rsidR="00777906" w:rsidRPr="00C82BC7" w:rsidRDefault="00777906" w:rsidP="0007308C">
            <w:pPr>
              <w:jc w:val="center"/>
              <w:rPr>
                <w:sz w:val="20"/>
                <w:szCs w:val="20"/>
              </w:rPr>
            </w:pPr>
          </w:p>
        </w:tc>
      </w:tr>
      <w:tr w:rsidR="00777906" w:rsidRPr="00727C03" w:rsidTr="0007308C">
        <w:trPr>
          <w:jc w:val="center"/>
        </w:trPr>
        <w:tc>
          <w:tcPr>
            <w:tcW w:w="1428" w:type="dxa"/>
          </w:tcPr>
          <w:p w:rsidR="00777906" w:rsidRPr="00727C03" w:rsidRDefault="00777906" w:rsidP="0007308C">
            <w:pPr>
              <w:rPr>
                <w:sz w:val="20"/>
                <w:szCs w:val="20"/>
              </w:rPr>
            </w:pPr>
            <w:r w:rsidRPr="00727C03">
              <w:rPr>
                <w:sz w:val="20"/>
                <w:szCs w:val="20"/>
              </w:rPr>
              <w:t>Citrus County</w:t>
            </w:r>
          </w:p>
        </w:tc>
        <w:tc>
          <w:tcPr>
            <w:tcW w:w="4626" w:type="dxa"/>
          </w:tcPr>
          <w:p w:rsidR="00777906" w:rsidRPr="00727C03" w:rsidRDefault="00777906" w:rsidP="0007308C">
            <w:pPr>
              <w:rPr>
                <w:sz w:val="20"/>
                <w:szCs w:val="20"/>
              </w:rPr>
            </w:pPr>
            <w:r w:rsidRPr="00727C03">
              <w:rPr>
                <w:sz w:val="20"/>
                <w:szCs w:val="20"/>
              </w:rPr>
              <w:t>MR PH4 CR491 Wide Road Prjt</w:t>
            </w:r>
          </w:p>
        </w:tc>
        <w:tc>
          <w:tcPr>
            <w:tcW w:w="1140" w:type="dxa"/>
            <w:vAlign w:val="center"/>
          </w:tcPr>
          <w:p w:rsidR="00777906" w:rsidRPr="00727C03" w:rsidRDefault="00777906" w:rsidP="0007308C">
            <w:pPr>
              <w:jc w:val="center"/>
              <w:rPr>
                <w:sz w:val="20"/>
                <w:szCs w:val="20"/>
              </w:rPr>
            </w:pPr>
            <w:r w:rsidRPr="00727C03">
              <w:rPr>
                <w:sz w:val="20"/>
                <w:szCs w:val="20"/>
              </w:rPr>
              <w:t>$111,143</w:t>
            </w:r>
          </w:p>
        </w:tc>
        <w:tc>
          <w:tcPr>
            <w:tcW w:w="1488" w:type="dxa"/>
            <w:vAlign w:val="center"/>
          </w:tcPr>
          <w:p w:rsidR="00777906" w:rsidRDefault="00777906" w:rsidP="0007308C">
            <w:pPr>
              <w:jc w:val="center"/>
              <w:rPr>
                <w:sz w:val="20"/>
                <w:szCs w:val="20"/>
              </w:rPr>
            </w:pPr>
            <w:r w:rsidRPr="007167E1">
              <w:rPr>
                <w:sz w:val="20"/>
                <w:szCs w:val="20"/>
              </w:rPr>
              <w:t>$111,143</w:t>
            </w:r>
          </w:p>
        </w:tc>
        <w:tc>
          <w:tcPr>
            <w:tcW w:w="1104" w:type="dxa"/>
            <w:vAlign w:val="center"/>
          </w:tcPr>
          <w:p w:rsidR="00777906" w:rsidRPr="00C82BC7" w:rsidRDefault="00777906" w:rsidP="0007308C">
            <w:pPr>
              <w:jc w:val="center"/>
              <w:rPr>
                <w:sz w:val="20"/>
                <w:szCs w:val="20"/>
              </w:rPr>
            </w:pPr>
          </w:p>
        </w:tc>
      </w:tr>
      <w:tr w:rsidR="00777906" w:rsidRPr="00727C03" w:rsidTr="0007308C">
        <w:trPr>
          <w:jc w:val="center"/>
        </w:trPr>
        <w:tc>
          <w:tcPr>
            <w:tcW w:w="1428" w:type="dxa"/>
          </w:tcPr>
          <w:p w:rsidR="00777906" w:rsidRPr="00727C03" w:rsidRDefault="00777906" w:rsidP="0007308C">
            <w:pPr>
              <w:rPr>
                <w:sz w:val="20"/>
                <w:szCs w:val="20"/>
              </w:rPr>
            </w:pPr>
            <w:r w:rsidRPr="00727C03">
              <w:rPr>
                <w:sz w:val="20"/>
                <w:szCs w:val="20"/>
              </w:rPr>
              <w:t>FDOT</w:t>
            </w:r>
          </w:p>
        </w:tc>
        <w:tc>
          <w:tcPr>
            <w:tcW w:w="4626" w:type="dxa"/>
          </w:tcPr>
          <w:p w:rsidR="00777906" w:rsidRDefault="00777906" w:rsidP="0007308C">
            <w:pPr>
              <w:rPr>
                <w:sz w:val="20"/>
                <w:szCs w:val="20"/>
              </w:rPr>
            </w:pPr>
            <w:r w:rsidRPr="00727C03">
              <w:rPr>
                <w:sz w:val="20"/>
                <w:szCs w:val="20"/>
              </w:rPr>
              <w:t>A</w:t>
            </w:r>
            <w:r>
              <w:rPr>
                <w:sz w:val="20"/>
                <w:szCs w:val="20"/>
              </w:rPr>
              <w:t>tlantic Ave from SR 7 to US 441</w:t>
            </w:r>
          </w:p>
          <w:p w:rsidR="00777906" w:rsidRPr="00727C03" w:rsidRDefault="00777906" w:rsidP="0007308C">
            <w:pPr>
              <w:rPr>
                <w:sz w:val="20"/>
                <w:szCs w:val="20"/>
              </w:rPr>
            </w:pPr>
            <w:r w:rsidRPr="00727C03">
              <w:rPr>
                <w:sz w:val="20"/>
                <w:szCs w:val="20"/>
              </w:rPr>
              <w:t>(PE Gas Main Relocation)</w:t>
            </w:r>
          </w:p>
        </w:tc>
        <w:tc>
          <w:tcPr>
            <w:tcW w:w="1140" w:type="dxa"/>
            <w:vAlign w:val="center"/>
          </w:tcPr>
          <w:p w:rsidR="00777906" w:rsidRPr="00727C03" w:rsidRDefault="00777906" w:rsidP="0007308C">
            <w:pPr>
              <w:jc w:val="center"/>
              <w:rPr>
                <w:sz w:val="20"/>
                <w:szCs w:val="20"/>
              </w:rPr>
            </w:pPr>
            <w:r w:rsidRPr="00727C03">
              <w:rPr>
                <w:sz w:val="20"/>
                <w:szCs w:val="20"/>
              </w:rPr>
              <w:t>$116,858</w:t>
            </w:r>
          </w:p>
        </w:tc>
        <w:tc>
          <w:tcPr>
            <w:tcW w:w="1488" w:type="dxa"/>
            <w:vAlign w:val="center"/>
          </w:tcPr>
          <w:p w:rsidR="00777906" w:rsidRDefault="00777906" w:rsidP="0007308C">
            <w:pPr>
              <w:jc w:val="center"/>
              <w:rPr>
                <w:sz w:val="20"/>
                <w:szCs w:val="20"/>
              </w:rPr>
            </w:pPr>
            <w:r w:rsidRPr="007167E1">
              <w:rPr>
                <w:sz w:val="20"/>
                <w:szCs w:val="20"/>
              </w:rPr>
              <w:t>$116,858</w:t>
            </w:r>
          </w:p>
        </w:tc>
        <w:tc>
          <w:tcPr>
            <w:tcW w:w="1104" w:type="dxa"/>
            <w:vAlign w:val="center"/>
          </w:tcPr>
          <w:p w:rsidR="00777906" w:rsidRPr="00C82BC7" w:rsidRDefault="00777906" w:rsidP="0007308C">
            <w:pPr>
              <w:jc w:val="center"/>
              <w:rPr>
                <w:sz w:val="20"/>
                <w:szCs w:val="20"/>
              </w:rPr>
            </w:pPr>
          </w:p>
        </w:tc>
      </w:tr>
      <w:tr w:rsidR="00777906" w:rsidRPr="00727C03" w:rsidTr="0007308C">
        <w:trPr>
          <w:jc w:val="center"/>
        </w:trPr>
        <w:tc>
          <w:tcPr>
            <w:tcW w:w="1428" w:type="dxa"/>
          </w:tcPr>
          <w:p w:rsidR="00777906" w:rsidRPr="00727C03" w:rsidRDefault="00777906" w:rsidP="0007308C">
            <w:pPr>
              <w:rPr>
                <w:sz w:val="20"/>
                <w:szCs w:val="20"/>
              </w:rPr>
            </w:pPr>
            <w:r>
              <w:rPr>
                <w:sz w:val="20"/>
                <w:szCs w:val="20"/>
              </w:rPr>
              <w:t>FDOT</w:t>
            </w:r>
          </w:p>
        </w:tc>
        <w:tc>
          <w:tcPr>
            <w:tcW w:w="4626" w:type="dxa"/>
          </w:tcPr>
          <w:p w:rsidR="00777906" w:rsidRPr="00727C03" w:rsidRDefault="00777906" w:rsidP="0007308C">
            <w:pPr>
              <w:rPr>
                <w:sz w:val="20"/>
                <w:szCs w:val="20"/>
              </w:rPr>
            </w:pPr>
            <w:r w:rsidRPr="00363A67">
              <w:rPr>
                <w:sz w:val="20"/>
                <w:szCs w:val="20"/>
              </w:rPr>
              <w:t>MR Harvest Time Dr Offset (W SR 46 and N Kennel Rd)</w:t>
            </w:r>
          </w:p>
        </w:tc>
        <w:tc>
          <w:tcPr>
            <w:tcW w:w="1140" w:type="dxa"/>
            <w:vAlign w:val="center"/>
          </w:tcPr>
          <w:p w:rsidR="00777906" w:rsidRPr="00727C03" w:rsidRDefault="00777906" w:rsidP="0007308C">
            <w:pPr>
              <w:jc w:val="center"/>
              <w:rPr>
                <w:sz w:val="20"/>
                <w:szCs w:val="20"/>
              </w:rPr>
            </w:pPr>
            <w:r>
              <w:rPr>
                <w:sz w:val="20"/>
                <w:szCs w:val="20"/>
              </w:rPr>
              <w:t>$5,352</w:t>
            </w:r>
          </w:p>
        </w:tc>
        <w:tc>
          <w:tcPr>
            <w:tcW w:w="1488" w:type="dxa"/>
            <w:vAlign w:val="center"/>
          </w:tcPr>
          <w:p w:rsidR="00777906" w:rsidRDefault="00777906" w:rsidP="0007308C">
            <w:pPr>
              <w:jc w:val="center"/>
              <w:rPr>
                <w:sz w:val="20"/>
                <w:szCs w:val="20"/>
              </w:rPr>
            </w:pPr>
            <w:r w:rsidRPr="007167E1">
              <w:rPr>
                <w:sz w:val="20"/>
                <w:szCs w:val="20"/>
              </w:rPr>
              <w:t>$5,352</w:t>
            </w:r>
          </w:p>
        </w:tc>
        <w:tc>
          <w:tcPr>
            <w:tcW w:w="1104" w:type="dxa"/>
            <w:vAlign w:val="center"/>
          </w:tcPr>
          <w:p w:rsidR="00777906" w:rsidRDefault="00777906" w:rsidP="0007308C">
            <w:pPr>
              <w:jc w:val="center"/>
              <w:rPr>
                <w:sz w:val="20"/>
                <w:szCs w:val="20"/>
              </w:rPr>
            </w:pPr>
          </w:p>
        </w:tc>
      </w:tr>
      <w:tr w:rsidR="00777906" w:rsidRPr="00727C03" w:rsidTr="0007308C">
        <w:trPr>
          <w:jc w:val="center"/>
        </w:trPr>
        <w:tc>
          <w:tcPr>
            <w:tcW w:w="1428" w:type="dxa"/>
          </w:tcPr>
          <w:p w:rsidR="00777906" w:rsidRPr="00727C03" w:rsidRDefault="00777906" w:rsidP="0007308C">
            <w:pPr>
              <w:rPr>
                <w:sz w:val="20"/>
                <w:szCs w:val="20"/>
              </w:rPr>
            </w:pPr>
            <w:r w:rsidRPr="00727C03">
              <w:rPr>
                <w:sz w:val="20"/>
                <w:szCs w:val="20"/>
              </w:rPr>
              <w:t>FDOT</w:t>
            </w:r>
          </w:p>
        </w:tc>
        <w:tc>
          <w:tcPr>
            <w:tcW w:w="4626" w:type="dxa"/>
          </w:tcPr>
          <w:p w:rsidR="00777906" w:rsidRDefault="00777906" w:rsidP="0007308C">
            <w:pPr>
              <w:rPr>
                <w:sz w:val="20"/>
                <w:szCs w:val="20"/>
              </w:rPr>
            </w:pPr>
            <w:r>
              <w:rPr>
                <w:sz w:val="20"/>
                <w:szCs w:val="20"/>
              </w:rPr>
              <w:t>SR 434 and Winding Hollow Trl</w:t>
            </w:r>
            <w:r w:rsidR="00B43B23">
              <w:rPr>
                <w:sz w:val="20"/>
                <w:szCs w:val="20"/>
              </w:rPr>
              <w:t xml:space="preserve"> </w:t>
            </w:r>
          </w:p>
          <w:p w:rsidR="00777906" w:rsidRPr="00727C03" w:rsidRDefault="00777906" w:rsidP="0007308C">
            <w:pPr>
              <w:rPr>
                <w:sz w:val="20"/>
                <w:szCs w:val="20"/>
              </w:rPr>
            </w:pPr>
            <w:r w:rsidRPr="00727C03">
              <w:rPr>
                <w:sz w:val="20"/>
                <w:szCs w:val="20"/>
              </w:rPr>
              <w:t>(Steel GM Repl with PE GM)</w:t>
            </w:r>
          </w:p>
        </w:tc>
        <w:tc>
          <w:tcPr>
            <w:tcW w:w="1140" w:type="dxa"/>
            <w:vAlign w:val="center"/>
          </w:tcPr>
          <w:p w:rsidR="00777906" w:rsidRPr="00727C03" w:rsidRDefault="00777906" w:rsidP="0007308C">
            <w:pPr>
              <w:jc w:val="center"/>
              <w:rPr>
                <w:sz w:val="20"/>
                <w:szCs w:val="20"/>
              </w:rPr>
            </w:pPr>
            <w:r w:rsidRPr="00727C03">
              <w:rPr>
                <w:sz w:val="20"/>
                <w:szCs w:val="20"/>
              </w:rPr>
              <w:t>$109,059</w:t>
            </w:r>
          </w:p>
        </w:tc>
        <w:tc>
          <w:tcPr>
            <w:tcW w:w="1488" w:type="dxa"/>
            <w:vAlign w:val="center"/>
          </w:tcPr>
          <w:p w:rsidR="00777906" w:rsidRDefault="00777906" w:rsidP="0007308C">
            <w:pPr>
              <w:jc w:val="center"/>
              <w:rPr>
                <w:sz w:val="20"/>
                <w:szCs w:val="20"/>
              </w:rPr>
            </w:pPr>
            <w:r>
              <w:rPr>
                <w:sz w:val="20"/>
                <w:szCs w:val="20"/>
              </w:rPr>
              <w:t>$0</w:t>
            </w:r>
          </w:p>
        </w:tc>
        <w:tc>
          <w:tcPr>
            <w:tcW w:w="1104" w:type="dxa"/>
            <w:vAlign w:val="center"/>
          </w:tcPr>
          <w:p w:rsidR="00777906" w:rsidRPr="00C82BC7" w:rsidRDefault="00777906" w:rsidP="0007308C">
            <w:pPr>
              <w:jc w:val="center"/>
              <w:rPr>
                <w:sz w:val="20"/>
                <w:szCs w:val="20"/>
              </w:rPr>
            </w:pPr>
            <w:r>
              <w:rPr>
                <w:sz w:val="20"/>
                <w:szCs w:val="20"/>
              </w:rPr>
              <w:t>(2)</w:t>
            </w:r>
          </w:p>
        </w:tc>
      </w:tr>
      <w:tr w:rsidR="00777906" w:rsidRPr="00727C03" w:rsidTr="0007308C">
        <w:trPr>
          <w:jc w:val="center"/>
        </w:trPr>
        <w:tc>
          <w:tcPr>
            <w:tcW w:w="1428" w:type="dxa"/>
          </w:tcPr>
          <w:p w:rsidR="00777906" w:rsidRPr="00727C03" w:rsidRDefault="00777906" w:rsidP="0007308C">
            <w:pPr>
              <w:rPr>
                <w:sz w:val="20"/>
                <w:szCs w:val="20"/>
              </w:rPr>
            </w:pPr>
            <w:r>
              <w:rPr>
                <w:sz w:val="20"/>
                <w:szCs w:val="20"/>
              </w:rPr>
              <w:t>Lake Clarke Shores</w:t>
            </w:r>
          </w:p>
        </w:tc>
        <w:tc>
          <w:tcPr>
            <w:tcW w:w="4626" w:type="dxa"/>
          </w:tcPr>
          <w:p w:rsidR="00777906" w:rsidRDefault="00777906" w:rsidP="0007308C">
            <w:pPr>
              <w:rPr>
                <w:sz w:val="20"/>
                <w:szCs w:val="20"/>
              </w:rPr>
            </w:pPr>
            <w:r w:rsidRPr="00363A67">
              <w:rPr>
                <w:sz w:val="20"/>
                <w:szCs w:val="20"/>
              </w:rPr>
              <w:t>Pine Tree Lake Clarke Shore Bridge (PE GM Reloc)</w:t>
            </w:r>
          </w:p>
        </w:tc>
        <w:tc>
          <w:tcPr>
            <w:tcW w:w="1140" w:type="dxa"/>
            <w:vAlign w:val="center"/>
          </w:tcPr>
          <w:p w:rsidR="00777906" w:rsidRPr="00727C03" w:rsidRDefault="00777906" w:rsidP="0007308C">
            <w:pPr>
              <w:jc w:val="center"/>
              <w:rPr>
                <w:sz w:val="20"/>
                <w:szCs w:val="20"/>
              </w:rPr>
            </w:pPr>
            <w:r>
              <w:rPr>
                <w:sz w:val="20"/>
                <w:szCs w:val="20"/>
              </w:rPr>
              <w:t>$73,820</w:t>
            </w:r>
          </w:p>
        </w:tc>
        <w:tc>
          <w:tcPr>
            <w:tcW w:w="1488" w:type="dxa"/>
            <w:vAlign w:val="center"/>
          </w:tcPr>
          <w:p w:rsidR="00777906" w:rsidRDefault="00777906" w:rsidP="0007308C">
            <w:pPr>
              <w:jc w:val="center"/>
              <w:rPr>
                <w:sz w:val="20"/>
                <w:szCs w:val="20"/>
              </w:rPr>
            </w:pPr>
            <w:r w:rsidRPr="007167E1">
              <w:rPr>
                <w:sz w:val="20"/>
                <w:szCs w:val="20"/>
              </w:rPr>
              <w:t>$73,820</w:t>
            </w:r>
          </w:p>
        </w:tc>
        <w:tc>
          <w:tcPr>
            <w:tcW w:w="1104" w:type="dxa"/>
            <w:vAlign w:val="center"/>
          </w:tcPr>
          <w:p w:rsidR="00777906" w:rsidRDefault="00777906" w:rsidP="0007308C">
            <w:pPr>
              <w:jc w:val="center"/>
              <w:rPr>
                <w:sz w:val="20"/>
                <w:szCs w:val="20"/>
              </w:rPr>
            </w:pPr>
          </w:p>
        </w:tc>
      </w:tr>
      <w:tr w:rsidR="00777906" w:rsidRPr="00727C03" w:rsidTr="0007308C">
        <w:trPr>
          <w:jc w:val="center"/>
        </w:trPr>
        <w:tc>
          <w:tcPr>
            <w:tcW w:w="1428" w:type="dxa"/>
          </w:tcPr>
          <w:p w:rsidR="00777906" w:rsidRPr="00727C03" w:rsidRDefault="00777906" w:rsidP="0007308C">
            <w:pPr>
              <w:rPr>
                <w:sz w:val="20"/>
                <w:szCs w:val="20"/>
              </w:rPr>
            </w:pPr>
            <w:r>
              <w:rPr>
                <w:sz w:val="20"/>
                <w:szCs w:val="20"/>
              </w:rPr>
              <w:t>Palm Beach County</w:t>
            </w:r>
          </w:p>
        </w:tc>
        <w:tc>
          <w:tcPr>
            <w:tcW w:w="4626" w:type="dxa"/>
          </w:tcPr>
          <w:p w:rsidR="00777906" w:rsidRDefault="00777906" w:rsidP="0007308C">
            <w:pPr>
              <w:rPr>
                <w:sz w:val="20"/>
                <w:szCs w:val="20"/>
              </w:rPr>
            </w:pPr>
            <w:r w:rsidRPr="00363A67">
              <w:rPr>
                <w:sz w:val="20"/>
                <w:szCs w:val="20"/>
              </w:rPr>
              <w:t>Florida Mango Relocation 10th to Nemec (Steel GM relocation)</w:t>
            </w:r>
          </w:p>
        </w:tc>
        <w:tc>
          <w:tcPr>
            <w:tcW w:w="1140" w:type="dxa"/>
            <w:vAlign w:val="center"/>
          </w:tcPr>
          <w:p w:rsidR="00777906" w:rsidRPr="00727C03" w:rsidRDefault="00777906" w:rsidP="0007308C">
            <w:pPr>
              <w:jc w:val="center"/>
              <w:rPr>
                <w:sz w:val="20"/>
                <w:szCs w:val="20"/>
              </w:rPr>
            </w:pPr>
            <w:r>
              <w:rPr>
                <w:sz w:val="20"/>
                <w:szCs w:val="20"/>
              </w:rPr>
              <w:t>$923,358</w:t>
            </w:r>
          </w:p>
        </w:tc>
        <w:tc>
          <w:tcPr>
            <w:tcW w:w="1488" w:type="dxa"/>
            <w:vAlign w:val="center"/>
          </w:tcPr>
          <w:p w:rsidR="00777906" w:rsidRDefault="00777906" w:rsidP="0007308C">
            <w:pPr>
              <w:jc w:val="center"/>
              <w:rPr>
                <w:sz w:val="20"/>
                <w:szCs w:val="20"/>
              </w:rPr>
            </w:pPr>
            <w:r w:rsidRPr="007167E1">
              <w:rPr>
                <w:sz w:val="20"/>
                <w:szCs w:val="20"/>
              </w:rPr>
              <w:t>$923,358</w:t>
            </w:r>
          </w:p>
        </w:tc>
        <w:tc>
          <w:tcPr>
            <w:tcW w:w="1104" w:type="dxa"/>
            <w:vAlign w:val="center"/>
          </w:tcPr>
          <w:p w:rsidR="00777906" w:rsidRDefault="00777906" w:rsidP="0007308C">
            <w:pPr>
              <w:jc w:val="center"/>
              <w:rPr>
                <w:sz w:val="20"/>
                <w:szCs w:val="20"/>
              </w:rPr>
            </w:pPr>
          </w:p>
        </w:tc>
      </w:tr>
      <w:tr w:rsidR="00777906" w:rsidRPr="00727C03" w:rsidTr="0007308C">
        <w:trPr>
          <w:jc w:val="center"/>
        </w:trPr>
        <w:tc>
          <w:tcPr>
            <w:tcW w:w="1428" w:type="dxa"/>
          </w:tcPr>
          <w:p w:rsidR="00777906" w:rsidRPr="00727C03" w:rsidRDefault="00777906" w:rsidP="0007308C">
            <w:pPr>
              <w:rPr>
                <w:sz w:val="20"/>
                <w:szCs w:val="20"/>
              </w:rPr>
            </w:pPr>
            <w:r>
              <w:rPr>
                <w:sz w:val="20"/>
                <w:szCs w:val="20"/>
              </w:rPr>
              <w:t>FDOT</w:t>
            </w:r>
          </w:p>
        </w:tc>
        <w:tc>
          <w:tcPr>
            <w:tcW w:w="4626" w:type="dxa"/>
          </w:tcPr>
          <w:p w:rsidR="00777906" w:rsidRDefault="00777906" w:rsidP="0007308C">
            <w:pPr>
              <w:rPr>
                <w:sz w:val="20"/>
                <w:szCs w:val="20"/>
              </w:rPr>
            </w:pPr>
            <w:r w:rsidRPr="00363A67">
              <w:rPr>
                <w:sz w:val="20"/>
                <w:szCs w:val="20"/>
              </w:rPr>
              <w:t>Earman River Bridget Over the C-17 Canal Bridge #930003 (PE GM Reloc)</w:t>
            </w:r>
          </w:p>
        </w:tc>
        <w:tc>
          <w:tcPr>
            <w:tcW w:w="1140" w:type="dxa"/>
            <w:vAlign w:val="center"/>
          </w:tcPr>
          <w:p w:rsidR="00777906" w:rsidRPr="00727C03" w:rsidRDefault="00777906" w:rsidP="0007308C">
            <w:pPr>
              <w:jc w:val="center"/>
              <w:rPr>
                <w:sz w:val="20"/>
                <w:szCs w:val="20"/>
              </w:rPr>
            </w:pPr>
            <w:r>
              <w:rPr>
                <w:sz w:val="20"/>
                <w:szCs w:val="20"/>
              </w:rPr>
              <w:t>$200,000</w:t>
            </w:r>
          </w:p>
        </w:tc>
        <w:tc>
          <w:tcPr>
            <w:tcW w:w="1488" w:type="dxa"/>
            <w:vAlign w:val="center"/>
          </w:tcPr>
          <w:p w:rsidR="00777906" w:rsidRDefault="00777906" w:rsidP="0007308C">
            <w:pPr>
              <w:jc w:val="center"/>
              <w:rPr>
                <w:sz w:val="20"/>
                <w:szCs w:val="20"/>
              </w:rPr>
            </w:pPr>
            <w:r w:rsidRPr="007167E1">
              <w:rPr>
                <w:sz w:val="20"/>
                <w:szCs w:val="20"/>
              </w:rPr>
              <w:t>$200,000</w:t>
            </w:r>
          </w:p>
        </w:tc>
        <w:tc>
          <w:tcPr>
            <w:tcW w:w="1104" w:type="dxa"/>
            <w:vAlign w:val="center"/>
          </w:tcPr>
          <w:p w:rsidR="00777906" w:rsidRDefault="00777906" w:rsidP="0007308C">
            <w:pPr>
              <w:jc w:val="center"/>
              <w:rPr>
                <w:sz w:val="20"/>
                <w:szCs w:val="20"/>
              </w:rPr>
            </w:pPr>
          </w:p>
        </w:tc>
      </w:tr>
      <w:tr w:rsidR="00777906" w:rsidRPr="00727C03" w:rsidTr="0007308C">
        <w:trPr>
          <w:jc w:val="center"/>
        </w:trPr>
        <w:tc>
          <w:tcPr>
            <w:tcW w:w="1428" w:type="dxa"/>
          </w:tcPr>
          <w:p w:rsidR="00777906" w:rsidRPr="00727C03" w:rsidRDefault="00777906" w:rsidP="0007308C">
            <w:pPr>
              <w:rPr>
                <w:sz w:val="20"/>
                <w:szCs w:val="20"/>
              </w:rPr>
            </w:pPr>
            <w:r>
              <w:rPr>
                <w:sz w:val="20"/>
                <w:szCs w:val="20"/>
              </w:rPr>
              <w:t>FDOT</w:t>
            </w:r>
          </w:p>
        </w:tc>
        <w:tc>
          <w:tcPr>
            <w:tcW w:w="4626" w:type="dxa"/>
          </w:tcPr>
          <w:p w:rsidR="00777906" w:rsidRDefault="00777906" w:rsidP="0007308C">
            <w:pPr>
              <w:rPr>
                <w:sz w:val="20"/>
                <w:szCs w:val="20"/>
              </w:rPr>
            </w:pPr>
            <w:r w:rsidRPr="00363A67">
              <w:rPr>
                <w:sz w:val="20"/>
                <w:szCs w:val="20"/>
              </w:rPr>
              <w:t>SR39 James Redman Pkwy FR s of Rayburn RD to N of Golden Rule LN  (Install 4</w:t>
            </w:r>
            <w:r w:rsidR="00B44DB2" w:rsidRPr="00363A67">
              <w:rPr>
                <w:sz w:val="20"/>
                <w:szCs w:val="20"/>
              </w:rPr>
              <w:t>"</w:t>
            </w:r>
            <w:r w:rsidRPr="00363A67">
              <w:rPr>
                <w:sz w:val="20"/>
                <w:szCs w:val="20"/>
              </w:rPr>
              <w:t xml:space="preserve"> PE)</w:t>
            </w:r>
          </w:p>
          <w:p w:rsidR="00470F7F" w:rsidRDefault="00470F7F" w:rsidP="0007308C">
            <w:pPr>
              <w:rPr>
                <w:sz w:val="20"/>
                <w:szCs w:val="20"/>
              </w:rPr>
            </w:pPr>
          </w:p>
        </w:tc>
        <w:tc>
          <w:tcPr>
            <w:tcW w:w="1140" w:type="dxa"/>
            <w:vAlign w:val="center"/>
          </w:tcPr>
          <w:p w:rsidR="00777906" w:rsidRPr="00727C03" w:rsidRDefault="00777906" w:rsidP="0007308C">
            <w:pPr>
              <w:jc w:val="center"/>
              <w:rPr>
                <w:sz w:val="20"/>
                <w:szCs w:val="20"/>
              </w:rPr>
            </w:pPr>
            <w:r>
              <w:rPr>
                <w:sz w:val="20"/>
                <w:szCs w:val="20"/>
              </w:rPr>
              <w:t>$10,000</w:t>
            </w:r>
          </w:p>
        </w:tc>
        <w:tc>
          <w:tcPr>
            <w:tcW w:w="1488" w:type="dxa"/>
            <w:vAlign w:val="center"/>
          </w:tcPr>
          <w:p w:rsidR="00777906" w:rsidRDefault="00777906" w:rsidP="0007308C">
            <w:pPr>
              <w:jc w:val="center"/>
              <w:rPr>
                <w:sz w:val="20"/>
                <w:szCs w:val="20"/>
              </w:rPr>
            </w:pPr>
            <w:r w:rsidRPr="007167E1">
              <w:rPr>
                <w:sz w:val="20"/>
                <w:szCs w:val="20"/>
              </w:rPr>
              <w:t>$10,000</w:t>
            </w:r>
          </w:p>
        </w:tc>
        <w:tc>
          <w:tcPr>
            <w:tcW w:w="1104" w:type="dxa"/>
            <w:vAlign w:val="center"/>
          </w:tcPr>
          <w:p w:rsidR="00777906" w:rsidRDefault="00777906" w:rsidP="0007308C">
            <w:pPr>
              <w:jc w:val="center"/>
              <w:rPr>
                <w:sz w:val="20"/>
                <w:szCs w:val="20"/>
              </w:rPr>
            </w:pPr>
          </w:p>
        </w:tc>
      </w:tr>
      <w:tr w:rsidR="00777906" w:rsidRPr="00727C03" w:rsidTr="0007308C">
        <w:trPr>
          <w:jc w:val="center"/>
        </w:trPr>
        <w:tc>
          <w:tcPr>
            <w:tcW w:w="1428" w:type="dxa"/>
            <w:tcBorders>
              <w:bottom w:val="single" w:sz="4" w:space="0" w:color="auto"/>
            </w:tcBorders>
          </w:tcPr>
          <w:p w:rsidR="00777906" w:rsidRPr="00727C03" w:rsidRDefault="00777906" w:rsidP="0007308C">
            <w:pPr>
              <w:rPr>
                <w:sz w:val="20"/>
                <w:szCs w:val="20"/>
              </w:rPr>
            </w:pPr>
            <w:r w:rsidRPr="00727C03">
              <w:rPr>
                <w:sz w:val="20"/>
                <w:szCs w:val="20"/>
              </w:rPr>
              <w:lastRenderedPageBreak/>
              <w:t>FDOT</w:t>
            </w:r>
          </w:p>
        </w:tc>
        <w:tc>
          <w:tcPr>
            <w:tcW w:w="4626" w:type="dxa"/>
            <w:tcBorders>
              <w:bottom w:val="single" w:sz="4" w:space="0" w:color="auto"/>
            </w:tcBorders>
          </w:tcPr>
          <w:p w:rsidR="00B43B23" w:rsidRDefault="00777906" w:rsidP="00470F7F">
            <w:pPr>
              <w:rPr>
                <w:sz w:val="20"/>
                <w:szCs w:val="20"/>
              </w:rPr>
            </w:pPr>
            <w:r w:rsidRPr="00727C03">
              <w:rPr>
                <w:sz w:val="20"/>
                <w:szCs w:val="20"/>
              </w:rPr>
              <w:t>SR</w:t>
            </w:r>
            <w:r>
              <w:rPr>
                <w:sz w:val="20"/>
                <w:szCs w:val="20"/>
              </w:rPr>
              <w:t>80 (Southern Blvd) @ SR7 US 441</w:t>
            </w:r>
          </w:p>
          <w:p w:rsidR="00606280" w:rsidRPr="00727C03" w:rsidRDefault="00777906" w:rsidP="00470F7F">
            <w:pPr>
              <w:rPr>
                <w:sz w:val="20"/>
                <w:szCs w:val="20"/>
              </w:rPr>
            </w:pPr>
            <w:r w:rsidRPr="00727C03">
              <w:rPr>
                <w:sz w:val="20"/>
                <w:szCs w:val="20"/>
              </w:rPr>
              <w:t>(Install 1.25</w:t>
            </w:r>
            <w:r w:rsidR="00622B2B" w:rsidRPr="00363A67">
              <w:rPr>
                <w:sz w:val="20"/>
                <w:szCs w:val="20"/>
              </w:rPr>
              <w:t>"</w:t>
            </w:r>
            <w:r w:rsidR="00E16585">
              <w:rPr>
                <w:sz w:val="20"/>
                <w:szCs w:val="20"/>
              </w:rPr>
              <w:t xml:space="preserve"> </w:t>
            </w:r>
            <w:r w:rsidRPr="00727C03">
              <w:rPr>
                <w:sz w:val="20"/>
                <w:szCs w:val="20"/>
              </w:rPr>
              <w:t>PE Gas Service)</w:t>
            </w:r>
          </w:p>
        </w:tc>
        <w:tc>
          <w:tcPr>
            <w:tcW w:w="1140" w:type="dxa"/>
            <w:tcBorders>
              <w:bottom w:val="single" w:sz="4" w:space="0" w:color="auto"/>
            </w:tcBorders>
            <w:vAlign w:val="center"/>
          </w:tcPr>
          <w:p w:rsidR="00777906" w:rsidRPr="00727C03" w:rsidRDefault="00777906" w:rsidP="0007308C">
            <w:pPr>
              <w:jc w:val="center"/>
              <w:rPr>
                <w:sz w:val="20"/>
                <w:szCs w:val="20"/>
              </w:rPr>
            </w:pPr>
            <w:r w:rsidRPr="00727C03">
              <w:rPr>
                <w:sz w:val="20"/>
                <w:szCs w:val="20"/>
              </w:rPr>
              <w:t>$10,000</w:t>
            </w:r>
          </w:p>
        </w:tc>
        <w:tc>
          <w:tcPr>
            <w:tcW w:w="1488" w:type="dxa"/>
            <w:tcBorders>
              <w:bottom w:val="single" w:sz="4" w:space="0" w:color="auto"/>
            </w:tcBorders>
            <w:vAlign w:val="center"/>
          </w:tcPr>
          <w:p w:rsidR="00777906" w:rsidRDefault="00777906" w:rsidP="0007308C">
            <w:pPr>
              <w:jc w:val="center"/>
              <w:rPr>
                <w:sz w:val="20"/>
                <w:szCs w:val="20"/>
              </w:rPr>
            </w:pPr>
            <w:r>
              <w:rPr>
                <w:sz w:val="20"/>
                <w:szCs w:val="20"/>
              </w:rPr>
              <w:t>$0</w:t>
            </w:r>
          </w:p>
        </w:tc>
        <w:tc>
          <w:tcPr>
            <w:tcW w:w="1104" w:type="dxa"/>
            <w:tcBorders>
              <w:bottom w:val="single" w:sz="4" w:space="0" w:color="auto"/>
            </w:tcBorders>
            <w:vAlign w:val="center"/>
          </w:tcPr>
          <w:p w:rsidR="00777906" w:rsidRPr="00C82BC7" w:rsidRDefault="00777906" w:rsidP="0007308C">
            <w:pPr>
              <w:jc w:val="center"/>
              <w:rPr>
                <w:sz w:val="20"/>
                <w:szCs w:val="20"/>
              </w:rPr>
            </w:pPr>
            <w:r>
              <w:rPr>
                <w:sz w:val="20"/>
                <w:szCs w:val="20"/>
              </w:rPr>
              <w:t>(2), (3)</w:t>
            </w:r>
          </w:p>
        </w:tc>
      </w:tr>
      <w:tr w:rsidR="00777906" w:rsidRPr="00727C03" w:rsidTr="0007308C">
        <w:trPr>
          <w:jc w:val="center"/>
        </w:trPr>
        <w:tc>
          <w:tcPr>
            <w:tcW w:w="1428" w:type="dxa"/>
          </w:tcPr>
          <w:p w:rsidR="00777906" w:rsidRPr="00727C03" w:rsidRDefault="00777906" w:rsidP="0007308C">
            <w:pPr>
              <w:rPr>
                <w:sz w:val="20"/>
                <w:szCs w:val="20"/>
              </w:rPr>
            </w:pPr>
            <w:r w:rsidRPr="00727C03">
              <w:rPr>
                <w:sz w:val="20"/>
                <w:szCs w:val="20"/>
              </w:rPr>
              <w:t>FDOT</w:t>
            </w:r>
          </w:p>
        </w:tc>
        <w:tc>
          <w:tcPr>
            <w:tcW w:w="4626" w:type="dxa"/>
          </w:tcPr>
          <w:p w:rsidR="00777906" w:rsidRDefault="00777906" w:rsidP="0007308C">
            <w:pPr>
              <w:rPr>
                <w:sz w:val="20"/>
                <w:szCs w:val="20"/>
              </w:rPr>
            </w:pPr>
            <w:r w:rsidRPr="00727C03">
              <w:rPr>
                <w:sz w:val="20"/>
                <w:szCs w:val="20"/>
              </w:rPr>
              <w:t>SR806 (Atlantic AVE) Homewood Blvd and SR 7</w:t>
            </w:r>
            <w:r>
              <w:rPr>
                <w:sz w:val="20"/>
                <w:szCs w:val="20"/>
              </w:rPr>
              <w:t>04 Okeechobee Blvd/Haverhill RD</w:t>
            </w:r>
          </w:p>
          <w:p w:rsidR="00777906" w:rsidRPr="00727C03" w:rsidRDefault="00777906" w:rsidP="0007308C">
            <w:pPr>
              <w:rPr>
                <w:sz w:val="20"/>
                <w:szCs w:val="20"/>
              </w:rPr>
            </w:pPr>
            <w:r w:rsidRPr="00727C03">
              <w:rPr>
                <w:sz w:val="20"/>
                <w:szCs w:val="20"/>
              </w:rPr>
              <w:t>(GM Reloc)</w:t>
            </w:r>
          </w:p>
        </w:tc>
        <w:tc>
          <w:tcPr>
            <w:tcW w:w="1140" w:type="dxa"/>
            <w:vAlign w:val="center"/>
          </w:tcPr>
          <w:p w:rsidR="00777906" w:rsidRPr="00727C03" w:rsidRDefault="00777906" w:rsidP="0007308C">
            <w:pPr>
              <w:jc w:val="center"/>
              <w:rPr>
                <w:sz w:val="20"/>
                <w:szCs w:val="20"/>
              </w:rPr>
            </w:pPr>
            <w:r w:rsidRPr="00727C03">
              <w:rPr>
                <w:sz w:val="20"/>
                <w:szCs w:val="20"/>
              </w:rPr>
              <w:t>$20,000</w:t>
            </w:r>
          </w:p>
        </w:tc>
        <w:tc>
          <w:tcPr>
            <w:tcW w:w="1488" w:type="dxa"/>
            <w:vAlign w:val="center"/>
          </w:tcPr>
          <w:p w:rsidR="00777906" w:rsidRDefault="00777906" w:rsidP="0007308C">
            <w:pPr>
              <w:jc w:val="center"/>
              <w:rPr>
                <w:sz w:val="20"/>
                <w:szCs w:val="20"/>
              </w:rPr>
            </w:pPr>
            <w:r>
              <w:rPr>
                <w:sz w:val="20"/>
                <w:szCs w:val="20"/>
              </w:rPr>
              <w:t>$0</w:t>
            </w:r>
          </w:p>
        </w:tc>
        <w:tc>
          <w:tcPr>
            <w:tcW w:w="1104" w:type="dxa"/>
            <w:vAlign w:val="center"/>
          </w:tcPr>
          <w:p w:rsidR="00777906" w:rsidRPr="00C82BC7" w:rsidRDefault="00777906" w:rsidP="0007308C">
            <w:pPr>
              <w:jc w:val="center"/>
              <w:rPr>
                <w:sz w:val="20"/>
                <w:szCs w:val="20"/>
              </w:rPr>
            </w:pPr>
            <w:r>
              <w:rPr>
                <w:sz w:val="20"/>
                <w:szCs w:val="20"/>
              </w:rPr>
              <w:t>(2), (3)</w:t>
            </w:r>
          </w:p>
        </w:tc>
      </w:tr>
      <w:tr w:rsidR="00777906" w:rsidRPr="00727C03" w:rsidTr="0007308C">
        <w:trPr>
          <w:jc w:val="center"/>
        </w:trPr>
        <w:tc>
          <w:tcPr>
            <w:tcW w:w="1428" w:type="dxa"/>
          </w:tcPr>
          <w:p w:rsidR="00777906" w:rsidRPr="00727C03" w:rsidRDefault="00777906" w:rsidP="0007308C">
            <w:pPr>
              <w:rPr>
                <w:sz w:val="20"/>
                <w:szCs w:val="20"/>
              </w:rPr>
            </w:pPr>
            <w:r>
              <w:rPr>
                <w:sz w:val="20"/>
                <w:szCs w:val="20"/>
              </w:rPr>
              <w:t>Polk County</w:t>
            </w:r>
          </w:p>
        </w:tc>
        <w:tc>
          <w:tcPr>
            <w:tcW w:w="4626" w:type="dxa"/>
          </w:tcPr>
          <w:p w:rsidR="00777906" w:rsidRPr="00727C03" w:rsidRDefault="00777906" w:rsidP="0007308C">
            <w:pPr>
              <w:rPr>
                <w:sz w:val="20"/>
                <w:szCs w:val="20"/>
              </w:rPr>
            </w:pPr>
            <w:r w:rsidRPr="00363A67">
              <w:rPr>
                <w:sz w:val="20"/>
                <w:szCs w:val="20"/>
              </w:rPr>
              <w:t>Spirit Lake Rd at Sheffield Rd (Install PE)</w:t>
            </w:r>
          </w:p>
        </w:tc>
        <w:tc>
          <w:tcPr>
            <w:tcW w:w="1140" w:type="dxa"/>
            <w:vAlign w:val="center"/>
          </w:tcPr>
          <w:p w:rsidR="00777906" w:rsidRPr="00727C03" w:rsidRDefault="00777906" w:rsidP="0007308C">
            <w:pPr>
              <w:jc w:val="center"/>
              <w:rPr>
                <w:sz w:val="20"/>
                <w:szCs w:val="20"/>
              </w:rPr>
            </w:pPr>
            <w:r>
              <w:rPr>
                <w:sz w:val="20"/>
                <w:szCs w:val="20"/>
              </w:rPr>
              <w:t>$100,000*</w:t>
            </w:r>
          </w:p>
        </w:tc>
        <w:tc>
          <w:tcPr>
            <w:tcW w:w="1488" w:type="dxa"/>
            <w:vAlign w:val="center"/>
          </w:tcPr>
          <w:p w:rsidR="00777906" w:rsidRDefault="00777906" w:rsidP="0007308C">
            <w:pPr>
              <w:jc w:val="center"/>
              <w:rPr>
                <w:sz w:val="20"/>
                <w:szCs w:val="20"/>
              </w:rPr>
            </w:pPr>
            <w:r>
              <w:rPr>
                <w:sz w:val="20"/>
                <w:szCs w:val="20"/>
              </w:rPr>
              <w:t>$66,667</w:t>
            </w:r>
          </w:p>
        </w:tc>
        <w:tc>
          <w:tcPr>
            <w:tcW w:w="1104" w:type="dxa"/>
            <w:vAlign w:val="center"/>
          </w:tcPr>
          <w:p w:rsidR="00777906" w:rsidRDefault="00777906" w:rsidP="0007308C">
            <w:pPr>
              <w:jc w:val="center"/>
              <w:rPr>
                <w:sz w:val="20"/>
                <w:szCs w:val="20"/>
              </w:rPr>
            </w:pPr>
          </w:p>
        </w:tc>
      </w:tr>
      <w:tr w:rsidR="00777906" w:rsidRPr="00727C03" w:rsidTr="0007308C">
        <w:trPr>
          <w:jc w:val="center"/>
        </w:trPr>
        <w:tc>
          <w:tcPr>
            <w:tcW w:w="1428" w:type="dxa"/>
          </w:tcPr>
          <w:p w:rsidR="00777906" w:rsidRPr="00727C03" w:rsidRDefault="00777906" w:rsidP="0007308C">
            <w:pPr>
              <w:rPr>
                <w:sz w:val="20"/>
                <w:szCs w:val="20"/>
              </w:rPr>
            </w:pPr>
            <w:r>
              <w:rPr>
                <w:sz w:val="20"/>
                <w:szCs w:val="20"/>
              </w:rPr>
              <w:t>FDOT</w:t>
            </w:r>
          </w:p>
        </w:tc>
        <w:tc>
          <w:tcPr>
            <w:tcW w:w="4626" w:type="dxa"/>
          </w:tcPr>
          <w:p w:rsidR="00777906" w:rsidRPr="00727C03" w:rsidRDefault="00777906" w:rsidP="0007308C">
            <w:pPr>
              <w:rPr>
                <w:sz w:val="20"/>
                <w:szCs w:val="20"/>
              </w:rPr>
            </w:pPr>
            <w:r w:rsidRPr="00363A67">
              <w:rPr>
                <w:sz w:val="20"/>
                <w:szCs w:val="20"/>
              </w:rPr>
              <w:t>Fort Fraser Trail over SR 60 (Install 4" PE)</w:t>
            </w:r>
          </w:p>
        </w:tc>
        <w:tc>
          <w:tcPr>
            <w:tcW w:w="1140" w:type="dxa"/>
            <w:vAlign w:val="center"/>
          </w:tcPr>
          <w:p w:rsidR="00777906" w:rsidRPr="00727C03" w:rsidRDefault="00777906" w:rsidP="0007308C">
            <w:pPr>
              <w:jc w:val="center"/>
              <w:rPr>
                <w:sz w:val="20"/>
                <w:szCs w:val="20"/>
              </w:rPr>
            </w:pPr>
            <w:r>
              <w:rPr>
                <w:sz w:val="20"/>
                <w:szCs w:val="20"/>
              </w:rPr>
              <w:t>$10,000</w:t>
            </w:r>
          </w:p>
        </w:tc>
        <w:tc>
          <w:tcPr>
            <w:tcW w:w="1488" w:type="dxa"/>
            <w:vAlign w:val="center"/>
          </w:tcPr>
          <w:p w:rsidR="00777906" w:rsidRDefault="00777906" w:rsidP="0007308C">
            <w:pPr>
              <w:jc w:val="center"/>
              <w:rPr>
                <w:sz w:val="20"/>
                <w:szCs w:val="20"/>
              </w:rPr>
            </w:pPr>
            <w:r w:rsidRPr="007167E1">
              <w:rPr>
                <w:sz w:val="20"/>
                <w:szCs w:val="20"/>
              </w:rPr>
              <w:t>$10,000</w:t>
            </w:r>
          </w:p>
        </w:tc>
        <w:tc>
          <w:tcPr>
            <w:tcW w:w="1104" w:type="dxa"/>
            <w:vAlign w:val="center"/>
          </w:tcPr>
          <w:p w:rsidR="00777906" w:rsidRDefault="00777906" w:rsidP="0007308C">
            <w:pPr>
              <w:jc w:val="center"/>
              <w:rPr>
                <w:sz w:val="20"/>
                <w:szCs w:val="20"/>
              </w:rPr>
            </w:pPr>
          </w:p>
        </w:tc>
      </w:tr>
      <w:tr w:rsidR="00777906" w:rsidRPr="00727C03" w:rsidTr="0007308C">
        <w:trPr>
          <w:jc w:val="center"/>
        </w:trPr>
        <w:tc>
          <w:tcPr>
            <w:tcW w:w="1428" w:type="dxa"/>
            <w:tcBorders>
              <w:bottom w:val="single" w:sz="4" w:space="0" w:color="auto"/>
            </w:tcBorders>
          </w:tcPr>
          <w:p w:rsidR="00777906" w:rsidRDefault="00777906" w:rsidP="0007308C">
            <w:pPr>
              <w:rPr>
                <w:sz w:val="20"/>
                <w:szCs w:val="20"/>
              </w:rPr>
            </w:pPr>
            <w:r>
              <w:rPr>
                <w:sz w:val="20"/>
                <w:szCs w:val="20"/>
              </w:rPr>
              <w:t>Total</w:t>
            </w:r>
          </w:p>
        </w:tc>
        <w:tc>
          <w:tcPr>
            <w:tcW w:w="4626" w:type="dxa"/>
            <w:tcBorders>
              <w:bottom w:val="single" w:sz="4" w:space="0" w:color="auto"/>
            </w:tcBorders>
          </w:tcPr>
          <w:p w:rsidR="00777906" w:rsidRPr="00363A67" w:rsidRDefault="00777906" w:rsidP="0007308C">
            <w:pPr>
              <w:rPr>
                <w:sz w:val="20"/>
                <w:szCs w:val="20"/>
              </w:rPr>
            </w:pPr>
          </w:p>
        </w:tc>
        <w:tc>
          <w:tcPr>
            <w:tcW w:w="1140" w:type="dxa"/>
            <w:tcBorders>
              <w:bottom w:val="single" w:sz="4" w:space="0" w:color="auto"/>
            </w:tcBorders>
            <w:vAlign w:val="center"/>
          </w:tcPr>
          <w:p w:rsidR="00777906" w:rsidRDefault="00777906" w:rsidP="0007308C">
            <w:pPr>
              <w:jc w:val="center"/>
              <w:rPr>
                <w:sz w:val="20"/>
                <w:szCs w:val="20"/>
              </w:rPr>
            </w:pPr>
            <w:r>
              <w:rPr>
                <w:sz w:val="20"/>
                <w:szCs w:val="20"/>
              </w:rPr>
              <w:t>$3,294,820</w:t>
            </w:r>
          </w:p>
        </w:tc>
        <w:tc>
          <w:tcPr>
            <w:tcW w:w="1488" w:type="dxa"/>
            <w:tcBorders>
              <w:bottom w:val="single" w:sz="4" w:space="0" w:color="auto"/>
            </w:tcBorders>
            <w:vAlign w:val="center"/>
          </w:tcPr>
          <w:p w:rsidR="00777906" w:rsidRPr="007167E1" w:rsidRDefault="00777906" w:rsidP="0007308C">
            <w:pPr>
              <w:jc w:val="center"/>
              <w:rPr>
                <w:sz w:val="20"/>
                <w:szCs w:val="20"/>
              </w:rPr>
            </w:pPr>
            <w:r w:rsidRPr="00B90F6C">
              <w:rPr>
                <w:sz w:val="20"/>
                <w:szCs w:val="20"/>
              </w:rPr>
              <w:t>$2,631,671</w:t>
            </w:r>
          </w:p>
        </w:tc>
        <w:tc>
          <w:tcPr>
            <w:tcW w:w="1104" w:type="dxa"/>
            <w:tcBorders>
              <w:bottom w:val="single" w:sz="4" w:space="0" w:color="auto"/>
            </w:tcBorders>
            <w:vAlign w:val="center"/>
          </w:tcPr>
          <w:p w:rsidR="00777906" w:rsidRDefault="00777906" w:rsidP="0007308C">
            <w:pPr>
              <w:jc w:val="center"/>
              <w:rPr>
                <w:sz w:val="20"/>
                <w:szCs w:val="20"/>
              </w:rPr>
            </w:pPr>
          </w:p>
        </w:tc>
      </w:tr>
    </w:tbl>
    <w:p w:rsidR="00606280" w:rsidRDefault="00777906" w:rsidP="00606280">
      <w:pPr>
        <w:pStyle w:val="BodyText"/>
        <w:spacing w:after="0"/>
        <w:rPr>
          <w:sz w:val="20"/>
          <w:szCs w:val="20"/>
        </w:rPr>
      </w:pPr>
      <w:r>
        <w:rPr>
          <w:sz w:val="20"/>
          <w:szCs w:val="20"/>
        </w:rPr>
        <w:t xml:space="preserve"> </w:t>
      </w:r>
      <w:r w:rsidRPr="00344231">
        <w:rPr>
          <w:sz w:val="20"/>
          <w:szCs w:val="20"/>
        </w:rPr>
        <w:t>* FPUC projects Australian Ave (Steel GM Replaced with PE GM) and Spirit L</w:t>
      </w:r>
      <w:r>
        <w:rPr>
          <w:sz w:val="20"/>
          <w:szCs w:val="20"/>
        </w:rPr>
        <w:t>ake Rd at Sheffield Rd (Install</w:t>
      </w:r>
      <w:r w:rsidRPr="00344231">
        <w:rPr>
          <w:sz w:val="20"/>
          <w:szCs w:val="20"/>
        </w:rPr>
        <w:t xml:space="preserve"> PE) include a combined total of $330,825 in 2027 estimated costs. These costs are not included in the </w:t>
      </w:r>
      <w:r w:rsidR="00192552">
        <w:rPr>
          <w:sz w:val="20"/>
          <w:szCs w:val="20"/>
        </w:rPr>
        <w:t>eligible</w:t>
      </w:r>
      <w:r>
        <w:rPr>
          <w:sz w:val="20"/>
          <w:szCs w:val="20"/>
        </w:rPr>
        <w:t xml:space="preserve"> costs</w:t>
      </w:r>
      <w:r w:rsidRPr="00344231">
        <w:rPr>
          <w:sz w:val="20"/>
          <w:szCs w:val="20"/>
        </w:rPr>
        <w:t xml:space="preserve"> for recovery in this docket.</w:t>
      </w:r>
    </w:p>
    <w:p w:rsidR="00777906" w:rsidRDefault="00777906" w:rsidP="00606280">
      <w:pPr>
        <w:pStyle w:val="BodyText"/>
        <w:spacing w:after="0"/>
        <w:rPr>
          <w:sz w:val="20"/>
          <w:szCs w:val="20"/>
        </w:rPr>
      </w:pPr>
      <w:r w:rsidRPr="002B20E6">
        <w:rPr>
          <w:sz w:val="20"/>
          <w:szCs w:val="20"/>
        </w:rPr>
        <w:t>Source: Exhibit SM-1 FPU</w:t>
      </w:r>
    </w:p>
    <w:p w:rsidR="00777906" w:rsidRDefault="00777906" w:rsidP="00777906">
      <w:pPr>
        <w:pStyle w:val="OrderBody"/>
        <w:rPr>
          <w:sz w:val="20"/>
          <w:szCs w:val="20"/>
        </w:rPr>
      </w:pPr>
    </w:p>
    <w:p w:rsidR="00777906" w:rsidRDefault="00C46717" w:rsidP="00606280">
      <w:pPr>
        <w:pStyle w:val="OrderBody"/>
        <w:ind w:firstLine="720"/>
      </w:pPr>
      <w:r>
        <w:t>T</w:t>
      </w:r>
      <w:r w:rsidR="00777906" w:rsidRPr="003C16A6">
        <w:t xml:space="preserve">he eligible projects mentioned above have not been recovered through base rates, surcharges, or any other riders. </w:t>
      </w:r>
      <w:r w:rsidR="00777906">
        <w:t>The Utilities</w:t>
      </w:r>
      <w:r w:rsidR="00777906" w:rsidRPr="003C16A6">
        <w:t xml:space="preserve"> stated that all relocation projects in </w:t>
      </w:r>
      <w:r w:rsidR="00777906">
        <w:t>their</w:t>
      </w:r>
      <w:r w:rsidR="00777906" w:rsidRPr="003C16A6">
        <w:t xml:space="preserve"> </w:t>
      </w:r>
      <w:r w:rsidR="00777906">
        <w:t xml:space="preserve">joint </w:t>
      </w:r>
      <w:r w:rsidR="00777906" w:rsidRPr="003C16A6">
        <w:t xml:space="preserve">petition began after the projected test year from the last rate case for both FCG and FPUC. Therefore, the relocation projects were not previously included in base rates. Additionally, </w:t>
      </w:r>
      <w:r w:rsidR="00777906">
        <w:t>the Utilities</w:t>
      </w:r>
      <w:r w:rsidR="00777906" w:rsidRPr="003C16A6">
        <w:t xml:space="preserve"> did not include recovery of the requested relocation projects</w:t>
      </w:r>
      <w:r w:rsidR="00777906">
        <w:t xml:space="preserve"> in their</w:t>
      </w:r>
      <w:r w:rsidR="00777906" w:rsidRPr="003C16A6">
        <w:t xml:space="preserve"> G</w:t>
      </w:r>
      <w:r w:rsidR="00777906">
        <w:t xml:space="preserve">as </w:t>
      </w:r>
      <w:r w:rsidR="00777906" w:rsidRPr="003C16A6">
        <w:t>U</w:t>
      </w:r>
      <w:r w:rsidR="00777906">
        <w:t xml:space="preserve">tility </w:t>
      </w:r>
      <w:r w:rsidR="00777906" w:rsidRPr="003C16A6">
        <w:t>A</w:t>
      </w:r>
      <w:r w:rsidR="00777906">
        <w:t xml:space="preserve">ccess and </w:t>
      </w:r>
      <w:r w:rsidR="00777906" w:rsidRPr="003C16A6">
        <w:t>R</w:t>
      </w:r>
      <w:r w:rsidR="00777906">
        <w:t xml:space="preserve">eplacement </w:t>
      </w:r>
      <w:r w:rsidR="00777906" w:rsidRPr="003C16A6">
        <w:t>D</w:t>
      </w:r>
      <w:r w:rsidR="00777906">
        <w:t>irective (GUARD)</w:t>
      </w:r>
      <w:r w:rsidR="00777906" w:rsidRPr="003C16A6">
        <w:t xml:space="preserve"> or </w:t>
      </w:r>
      <w:r w:rsidR="00777906" w:rsidRPr="00D22288">
        <w:t>Safety, Access, and Facility Enhancement (SAFE)</w:t>
      </w:r>
      <w:r w:rsidR="00777906" w:rsidRPr="003C16A6">
        <w:t xml:space="preserve"> programs. FCG</w:t>
      </w:r>
      <w:r w:rsidR="00777906">
        <w:t xml:space="preserve"> and </w:t>
      </w:r>
      <w:r w:rsidR="00777906" w:rsidRPr="003C16A6">
        <w:t xml:space="preserve">FPUC explained if relocation costs were to be transferred into base rates in a future proceeding, the </w:t>
      </w:r>
      <w:r w:rsidR="00777906">
        <w:t>NGFRCRC</w:t>
      </w:r>
      <w:r w:rsidR="00777906" w:rsidRPr="003C16A6">
        <w:t xml:space="preserve"> investment would be reset to zero.</w:t>
      </w:r>
    </w:p>
    <w:p w:rsidR="00AE3790" w:rsidRDefault="00AE3790" w:rsidP="00AE3790">
      <w:pPr>
        <w:pStyle w:val="OrderBody"/>
      </w:pPr>
    </w:p>
    <w:p w:rsidR="00777906" w:rsidRDefault="00465E21" w:rsidP="00AE3790">
      <w:pPr>
        <w:pStyle w:val="OrderBody"/>
        <w:ind w:firstLine="720"/>
      </w:pPr>
      <w:r>
        <w:t>Therefore, b</w:t>
      </w:r>
      <w:r w:rsidR="00777906" w:rsidRPr="00183E26">
        <w:t xml:space="preserve">ased </w:t>
      </w:r>
      <w:r w:rsidR="00777906" w:rsidRPr="00E72EA0">
        <w:t xml:space="preserve">on the </w:t>
      </w:r>
      <w:r w:rsidR="00777906">
        <w:t xml:space="preserve">information and </w:t>
      </w:r>
      <w:r w:rsidR="00777906" w:rsidRPr="00E72EA0">
        <w:t xml:space="preserve">documentation provided by the </w:t>
      </w:r>
      <w:r w:rsidR="00777906">
        <w:t>U</w:t>
      </w:r>
      <w:r w:rsidR="00777906" w:rsidRPr="00E72EA0">
        <w:t xml:space="preserve">tilities, </w:t>
      </w:r>
      <w:r w:rsidR="00777906">
        <w:t>eight</w:t>
      </w:r>
      <w:r w:rsidR="00777906" w:rsidRPr="00E72EA0">
        <w:t xml:space="preserve"> FCG projects, totaling an estimated $</w:t>
      </w:r>
      <w:r w:rsidR="00777906" w:rsidRPr="00F442F5">
        <w:t>12,459,319</w:t>
      </w:r>
      <w:r w:rsidR="00777906">
        <w:t>,</w:t>
      </w:r>
      <w:r w:rsidR="00777906" w:rsidRPr="00E72EA0">
        <w:t xml:space="preserve"> and </w:t>
      </w:r>
      <w:r w:rsidR="00777906">
        <w:t>sixteen</w:t>
      </w:r>
      <w:r w:rsidR="00777906" w:rsidRPr="00E72EA0">
        <w:t xml:space="preserve"> FPUC projects</w:t>
      </w:r>
      <w:r w:rsidR="00777906">
        <w:t>,</w:t>
      </w:r>
      <w:r w:rsidR="00777906" w:rsidRPr="00E72EA0">
        <w:t xml:space="preserve"> </w:t>
      </w:r>
      <w:r w:rsidR="00777906">
        <w:t>totaling an estimat</w:t>
      </w:r>
      <w:r w:rsidR="00777906" w:rsidRPr="002B20E6">
        <w:t>ed $2,631,671,</w:t>
      </w:r>
      <w:r>
        <w:t xml:space="preserve"> </w:t>
      </w:r>
      <w:r w:rsidR="00C92591">
        <w:t>shall be</w:t>
      </w:r>
      <w:r>
        <w:t xml:space="preserve"> eligible for recovery for the reasons set forth above.</w:t>
      </w:r>
    </w:p>
    <w:p w:rsidR="00FF02F1" w:rsidRDefault="00FF02F1" w:rsidP="00FF02F1">
      <w:pPr>
        <w:pStyle w:val="OrderBody"/>
      </w:pPr>
    </w:p>
    <w:p w:rsidR="00FF02F1" w:rsidRPr="00FF02F1" w:rsidRDefault="00FF02F1" w:rsidP="00FF02F1">
      <w:pPr>
        <w:pStyle w:val="OrderBody"/>
        <w:numPr>
          <w:ilvl w:val="0"/>
          <w:numId w:val="1"/>
        </w:numPr>
        <w:rPr>
          <w:u w:val="single"/>
        </w:rPr>
      </w:pPr>
      <w:r w:rsidRPr="00FF02F1">
        <w:rPr>
          <w:u w:val="single"/>
        </w:rPr>
        <w:t>FCG’s Natural Gas Facilities Relocation Tariff</w:t>
      </w:r>
    </w:p>
    <w:p w:rsidR="00777906" w:rsidRDefault="00777906" w:rsidP="00423344">
      <w:pPr>
        <w:pStyle w:val="OrderBody"/>
      </w:pPr>
    </w:p>
    <w:p w:rsidR="00777906" w:rsidRDefault="00D7346D" w:rsidP="00423344">
      <w:pPr>
        <w:pStyle w:val="BodyText"/>
        <w:spacing w:after="0"/>
        <w:ind w:firstLine="720"/>
        <w:jc w:val="both"/>
      </w:pPr>
      <w:r>
        <w:t>E</w:t>
      </w:r>
      <w:r w:rsidR="00777906" w:rsidRPr="00BF2975">
        <w:t>xhibit DW-1 to witness Williams’ pre-filed direct</w:t>
      </w:r>
      <w:r w:rsidR="00777906">
        <w:t xml:space="preserve"> testimony</w:t>
      </w:r>
      <w:r w:rsidR="00777906" w:rsidRPr="00BF2975">
        <w:t xml:space="preserve"> provides the revenue requirement and 2026 surcharge calculation, based on the proposed relocation costs for FCG. Specifically, </w:t>
      </w:r>
      <w:r w:rsidR="00D5430A">
        <w:t xml:space="preserve">FCG </w:t>
      </w:r>
      <w:r w:rsidR="00777906" w:rsidRPr="00BF2975">
        <w:t>identified relocation costs incurred since July 2024; therefore, Exhibit DW-1 shows revenue requirement calculations for 2024, 2025, and 2026. The revenue requirement includes a return on investment, depreciation expense, general public and customer notification expense, and property taxes. For FCG, the proposed total revenue requirement to be recovered for 2026 is $971,338.</w:t>
      </w:r>
    </w:p>
    <w:p w:rsidR="00423344" w:rsidRDefault="00423344" w:rsidP="00423344">
      <w:pPr>
        <w:pStyle w:val="BodyText"/>
        <w:spacing w:after="0"/>
        <w:jc w:val="both"/>
      </w:pPr>
    </w:p>
    <w:p w:rsidR="00777906" w:rsidRDefault="00777906" w:rsidP="00423344">
      <w:pPr>
        <w:pStyle w:val="BodyText"/>
        <w:spacing w:after="0"/>
        <w:ind w:firstLine="720"/>
        <w:jc w:val="both"/>
      </w:pPr>
      <w:r w:rsidRPr="00BF2975">
        <w:t>FCG used a similar methodology and schedules to that of the GUARD program and the proposed relocation surcharge factors present similar recovery mechanisms.</w:t>
      </w:r>
      <w:r w:rsidRPr="00BF2975">
        <w:rPr>
          <w:vertAlign w:val="superscript"/>
        </w:rPr>
        <w:footnoteReference w:id="5"/>
      </w:r>
    </w:p>
    <w:p w:rsidR="00423344" w:rsidRDefault="00423344" w:rsidP="00423344">
      <w:pPr>
        <w:pStyle w:val="BodyText"/>
        <w:spacing w:after="0"/>
        <w:jc w:val="both"/>
      </w:pPr>
    </w:p>
    <w:p w:rsidR="00777906" w:rsidRDefault="00C02DC0" w:rsidP="00423344">
      <w:pPr>
        <w:pStyle w:val="BodyText"/>
        <w:spacing w:after="0"/>
        <w:ind w:firstLine="720"/>
        <w:jc w:val="both"/>
      </w:pPr>
      <w:r>
        <w:t>Our s</w:t>
      </w:r>
      <w:r w:rsidR="00777906" w:rsidRPr="00BF2975">
        <w:t xml:space="preserve">taff verified that FCG used the Commission-approved depreciation rates for plastic mains and steel mains used on Schedule C of Exhibit DW-1 for each company. Additionally, the depreciation expense for these accounts as recorded by witness Williams are correct. FCG allocated the proposed NGFRCRC revenue requirement to the rate classes based on revenue allocation factors. FCG calculated the revenue allocation factors using the projected revenues by </w:t>
      </w:r>
      <w:r w:rsidR="00777906" w:rsidRPr="00BF2975">
        <w:lastRenderedPageBreak/>
        <w:t>rate class from its most recent rate case as a percent of total revenue. The respective percentages were multiplied by the 2026 revenue requirement and divided by each rate class’ projected therm sales to provide the surcharge for each rate class.</w:t>
      </w:r>
    </w:p>
    <w:p w:rsidR="00423344" w:rsidRPr="00BF2975" w:rsidRDefault="00423344" w:rsidP="00423344">
      <w:pPr>
        <w:pStyle w:val="BodyText"/>
        <w:spacing w:after="0"/>
        <w:jc w:val="both"/>
      </w:pPr>
    </w:p>
    <w:p w:rsidR="00777906" w:rsidRDefault="00777906" w:rsidP="006D3352">
      <w:pPr>
        <w:pStyle w:val="OrderBody"/>
        <w:ind w:firstLine="720"/>
      </w:pPr>
      <w:r w:rsidRPr="00BF2975">
        <w:t xml:space="preserve">The proposed tariffs in the petition include Third Revised Sheet No. 2 (index) and Original Sheet No. 83 (NGFRCRC factors). The NGFRCRC factors were based on a 12-month recovery period (January 1 through December 31, 2026). </w:t>
      </w:r>
      <w:r w:rsidR="00F87A21">
        <w:t>However, i</w:t>
      </w:r>
      <w:r w:rsidRPr="00BF2975">
        <w:t xml:space="preserve">n response to staff’s First Data Request No. 15, </w:t>
      </w:r>
      <w:r>
        <w:t>FCG</w:t>
      </w:r>
      <w:r w:rsidRPr="00BF2975">
        <w:t xml:space="preserve"> provided recalculated surcharges based on a 10-month recovery period (March 1 through December 31, 2026).</w:t>
      </w:r>
      <w:r>
        <w:rPr>
          <w:rStyle w:val="FootnoteReference"/>
        </w:rPr>
        <w:footnoteReference w:id="6"/>
      </w:r>
      <w:r w:rsidRPr="00BF2975">
        <w:t xml:space="preserve"> </w:t>
      </w:r>
      <w:r w:rsidR="0043515B">
        <w:t>FCG</w:t>
      </w:r>
      <w:r w:rsidRPr="00BF2975">
        <w:t xml:space="preserve"> stated that </w:t>
      </w:r>
      <w:r w:rsidR="0043515B">
        <w:t>it</w:t>
      </w:r>
      <w:r w:rsidRPr="00BF2975">
        <w:t xml:space="preserve"> would provide customer notification of the proposed surcharges with the February bills. Specifically, the bills would include a link to </w:t>
      </w:r>
      <w:r w:rsidR="00F87A21">
        <w:t xml:space="preserve">its </w:t>
      </w:r>
      <w:r w:rsidRPr="00BF2975">
        <w:t xml:space="preserve">website and show the requested surcharges. </w:t>
      </w:r>
      <w:r w:rsidRPr="004B37E7">
        <w:t>For a residential customer on the RS-100 rate schedule, the monthly bill impact for 20 therms would be $0.43.</w:t>
      </w:r>
    </w:p>
    <w:p w:rsidR="00777906" w:rsidRDefault="00777906" w:rsidP="00423344">
      <w:pPr>
        <w:pStyle w:val="OrderBody"/>
      </w:pPr>
    </w:p>
    <w:p w:rsidR="00777906" w:rsidRDefault="00A00F82" w:rsidP="00D20069">
      <w:pPr>
        <w:pStyle w:val="OrderBody"/>
        <w:ind w:firstLine="720"/>
      </w:pPr>
      <w:r>
        <w:t xml:space="preserve">Consistent with </w:t>
      </w:r>
      <w:r w:rsidR="006F57EB">
        <w:t xml:space="preserve">our </w:t>
      </w:r>
      <w:r>
        <w:t xml:space="preserve">earlier </w:t>
      </w:r>
      <w:r w:rsidR="006F57EB">
        <w:t>project eligibility determination</w:t>
      </w:r>
      <w:r>
        <w:t xml:space="preserve">, we </w:t>
      </w:r>
      <w:r w:rsidR="00777906" w:rsidRPr="004B37E7">
        <w:t xml:space="preserve">approve FCG’s natural gas facilities relocation surcharge and associated tariff sheets, included as Attachment A to </w:t>
      </w:r>
      <w:r>
        <w:t xml:space="preserve">this Order. </w:t>
      </w:r>
      <w:r w:rsidR="0096638E">
        <w:t xml:space="preserve">We find that the surcharge calculations will </w:t>
      </w:r>
      <w:r w:rsidR="00777906" w:rsidRPr="004B37E7">
        <w:t>result in the proposed</w:t>
      </w:r>
      <w:r w:rsidR="00777906">
        <w:t xml:space="preserve"> </w:t>
      </w:r>
      <w:r w:rsidR="00777906" w:rsidRPr="004B37E7">
        <w:t xml:space="preserve">revenue requirement, using a 10-month recovery period. The proposed tariff </w:t>
      </w:r>
      <w:r w:rsidR="002F4CAC">
        <w:t>shall</w:t>
      </w:r>
      <w:r w:rsidR="00777906" w:rsidRPr="004B37E7">
        <w:t xml:space="preserve"> be effective the first billing cycle of March 2026.</w:t>
      </w:r>
    </w:p>
    <w:p w:rsidR="00F35E08" w:rsidRDefault="00F35E08" w:rsidP="00F35E08">
      <w:pPr>
        <w:pStyle w:val="OrderBody"/>
      </w:pPr>
    </w:p>
    <w:p w:rsidR="00F35E08" w:rsidRPr="00F35E08" w:rsidRDefault="00F35E08" w:rsidP="00F35E08">
      <w:pPr>
        <w:pStyle w:val="OrderBody"/>
        <w:numPr>
          <w:ilvl w:val="0"/>
          <w:numId w:val="1"/>
        </w:numPr>
        <w:rPr>
          <w:u w:val="single"/>
        </w:rPr>
      </w:pPr>
      <w:r w:rsidRPr="00F35E08">
        <w:rPr>
          <w:u w:val="single"/>
        </w:rPr>
        <w:t>FPUC’s Natural Gas Facilities Relocation Tariff</w:t>
      </w:r>
    </w:p>
    <w:p w:rsidR="00777906" w:rsidRDefault="00777906" w:rsidP="002E4E70">
      <w:pPr>
        <w:pStyle w:val="OrderBody"/>
      </w:pPr>
    </w:p>
    <w:p w:rsidR="00777906" w:rsidRDefault="00777906" w:rsidP="00D41F53">
      <w:pPr>
        <w:pStyle w:val="BodyText"/>
        <w:spacing w:after="0"/>
        <w:ind w:firstLine="720"/>
        <w:jc w:val="both"/>
      </w:pPr>
      <w:r w:rsidRPr="00FB46A0">
        <w:t xml:space="preserve">Exhibit DW-1 to witness Williams’ pre-filed direct </w:t>
      </w:r>
      <w:r>
        <w:t xml:space="preserve">testimony </w:t>
      </w:r>
      <w:r w:rsidRPr="00FB46A0">
        <w:t xml:space="preserve">provides the revenue requirement and 2026 surcharge calculation, based on the proposed relocation costs for FPUC. Specifically, </w:t>
      </w:r>
      <w:r>
        <w:t>FPUC</w:t>
      </w:r>
      <w:r w:rsidRPr="00FB46A0">
        <w:t xml:space="preserve"> identified relocation costs incurred since July 2024; therefore, Exhibit DW-1 shows revenue requirement calculations for 2024, 2025, and 2026. The revenue requirement includes a return on investment, depreciation expense, general public and customer notification expense, and property taxes. For FPUC, the proposed total revenue requirement to be recovered in 2026 is $531,984.</w:t>
      </w:r>
    </w:p>
    <w:p w:rsidR="002E4E70" w:rsidRDefault="002E4E70" w:rsidP="002E4E70">
      <w:pPr>
        <w:pStyle w:val="BodyText"/>
        <w:spacing w:after="0"/>
        <w:jc w:val="both"/>
      </w:pPr>
    </w:p>
    <w:p w:rsidR="00777906" w:rsidRDefault="00777906" w:rsidP="00832D62">
      <w:pPr>
        <w:pStyle w:val="BodyText"/>
        <w:spacing w:after="0"/>
        <w:ind w:firstLine="720"/>
        <w:jc w:val="both"/>
      </w:pPr>
      <w:r>
        <w:t>FPUC</w:t>
      </w:r>
      <w:r w:rsidRPr="00FB46A0">
        <w:t xml:space="preserve"> used a similar methodology and schedules to that of the GUARD program and the proposed relocation surcharge factors present similar recovery mechanisms.</w:t>
      </w:r>
      <w:r w:rsidRPr="00FB46A0">
        <w:rPr>
          <w:vertAlign w:val="superscript"/>
        </w:rPr>
        <w:footnoteReference w:id="7"/>
      </w:r>
    </w:p>
    <w:p w:rsidR="002E4E70" w:rsidRDefault="002E4E70" w:rsidP="002E4E70">
      <w:pPr>
        <w:pStyle w:val="BodyText"/>
        <w:spacing w:after="0"/>
        <w:jc w:val="both"/>
      </w:pPr>
    </w:p>
    <w:p w:rsidR="00777906" w:rsidRDefault="00620396" w:rsidP="000138E4">
      <w:pPr>
        <w:pStyle w:val="BodyText"/>
        <w:spacing w:after="0"/>
        <w:ind w:firstLine="720"/>
        <w:jc w:val="both"/>
      </w:pPr>
      <w:r>
        <w:t>Our s</w:t>
      </w:r>
      <w:r w:rsidR="00777906" w:rsidRPr="00FB46A0">
        <w:t xml:space="preserve">taff verified that FPUC used the Commission-approved depreciation rates for </w:t>
      </w:r>
      <w:r w:rsidR="00777906">
        <w:t>plastic mains and steel m</w:t>
      </w:r>
      <w:r w:rsidR="00777906" w:rsidRPr="00FB46A0">
        <w:t>ains used on Schedule C of Exhibit DW-1 for each company. Additionally, the depreciation expense for these accounts as recorded by witness Williams are correct. FPUC allocated the proposed NGFRCRC revenue requirement to the rate classes based on revenue allocation factors. FPUC calculated the revenue allocation factors using the projected revenues by rate class from its most recent rate case as a percent of total revenue. The respective percentages were multiplied by the 2026 revenue requirement and divided by each rate class’ projected therm sales to provide the surcharge for each rate class.</w:t>
      </w:r>
    </w:p>
    <w:p w:rsidR="00777906" w:rsidRDefault="00777906" w:rsidP="00AA5C9E">
      <w:pPr>
        <w:pStyle w:val="BodyText"/>
        <w:spacing w:after="0"/>
        <w:ind w:firstLine="720"/>
        <w:jc w:val="both"/>
      </w:pPr>
      <w:r w:rsidRPr="00FB46A0">
        <w:lastRenderedPageBreak/>
        <w:t>The proposed tariffs in the petition include Second Revised Sheet No. 7.001 (index) and Or</w:t>
      </w:r>
      <w:r>
        <w:t>i</w:t>
      </w:r>
      <w:r w:rsidRPr="00FB46A0">
        <w:t xml:space="preserve">ginal Sheet No. 7.413 (NGFRCRC factors). The </w:t>
      </w:r>
      <w:r w:rsidR="00B905CA">
        <w:t xml:space="preserve">NGFRCRC factors </w:t>
      </w:r>
      <w:r w:rsidRPr="00FB46A0">
        <w:t xml:space="preserve">were based on a 12-month recovery period (January 1 through December 31, 2026). In response to staff’s First Data Request No. 15, </w:t>
      </w:r>
      <w:r>
        <w:t>FPUC</w:t>
      </w:r>
      <w:r w:rsidRPr="00FB46A0">
        <w:t xml:space="preserve"> provided recalculated surcharges based on a 10-month recovery period (March 1 through December 31, 2026). Furthermore, in response to staff’s Fourth Data Request</w:t>
      </w:r>
      <w:r>
        <w:t xml:space="preserve"> </w:t>
      </w:r>
      <w:r w:rsidRPr="00FB46A0">
        <w:t xml:space="preserve">No. 1, </w:t>
      </w:r>
      <w:r>
        <w:t>FPUC</w:t>
      </w:r>
      <w:r w:rsidRPr="00FB46A0">
        <w:t xml:space="preserve"> provided a revised surcharge calculation and tariff. FPUC explained that it inadvertently used only the customer charge revenue and not the combination of the customer and volumetric charge revenues to determine the revenue allocation factor. </w:t>
      </w:r>
      <w:r w:rsidRPr="00A6573F">
        <w:t xml:space="preserve">This error was corrected as part of the revised surcharge calculation and tariff. </w:t>
      </w:r>
      <w:r w:rsidR="006F33AF">
        <w:t>FPUC</w:t>
      </w:r>
      <w:r w:rsidRPr="00FB46A0">
        <w:t xml:space="preserve"> stated that </w:t>
      </w:r>
      <w:r w:rsidR="00690B43">
        <w:t>it</w:t>
      </w:r>
      <w:r w:rsidRPr="00FB46A0">
        <w:t xml:space="preserve"> would provide customer notification of the proposed surcharges with the February bills. Specifically, the bills would include a link to </w:t>
      </w:r>
      <w:r w:rsidR="00690B43">
        <w:t>its</w:t>
      </w:r>
      <w:r w:rsidRPr="00FB46A0">
        <w:t xml:space="preserve"> website and show the requested surcharges.</w:t>
      </w:r>
    </w:p>
    <w:p w:rsidR="00FC7A43" w:rsidRDefault="00FC7A43" w:rsidP="00FC7A43">
      <w:pPr>
        <w:pStyle w:val="BodyText"/>
        <w:spacing w:after="0"/>
        <w:jc w:val="both"/>
      </w:pPr>
    </w:p>
    <w:p w:rsidR="00777906" w:rsidRDefault="00FC7A43" w:rsidP="002E4E70">
      <w:pPr>
        <w:pStyle w:val="BodyText"/>
        <w:spacing w:after="0"/>
        <w:jc w:val="both"/>
      </w:pPr>
      <w:r>
        <w:tab/>
      </w:r>
      <w:r w:rsidR="00750EBB">
        <w:t xml:space="preserve">However, </w:t>
      </w:r>
      <w:r>
        <w:t>FPUC’s proposed natural gas facilities relocation surcharge and associated tariff sheets</w:t>
      </w:r>
      <w:r w:rsidR="00E62BE7">
        <w:t xml:space="preserve"> </w:t>
      </w:r>
      <w:r w:rsidR="008E38E6">
        <w:t>are designed to recover c</w:t>
      </w:r>
      <w:r w:rsidR="00E62BE7">
        <w:t xml:space="preserve">osts for projects </w:t>
      </w:r>
      <w:r w:rsidR="00C66586">
        <w:t xml:space="preserve">that </w:t>
      </w:r>
      <w:r w:rsidR="00E62BE7">
        <w:t xml:space="preserve">we </w:t>
      </w:r>
      <w:r w:rsidR="00C66586">
        <w:t>determined</w:t>
      </w:r>
      <w:r w:rsidR="00E62BE7">
        <w:t xml:space="preserve"> </w:t>
      </w:r>
      <w:r w:rsidR="00D24C64">
        <w:t xml:space="preserve">to be </w:t>
      </w:r>
      <w:r w:rsidR="00E62BE7">
        <w:t>ineligible.</w:t>
      </w:r>
      <w:r w:rsidR="00FB387B">
        <w:t xml:space="preserve"> </w:t>
      </w:r>
      <w:r w:rsidR="00205342">
        <w:t xml:space="preserve">Therefore, we deny </w:t>
      </w:r>
      <w:r w:rsidR="00777906">
        <w:t>FPUC’s</w:t>
      </w:r>
      <w:r w:rsidR="00777906" w:rsidRPr="006E608B">
        <w:t xml:space="preserve"> surcharge and associated tariff sheets.</w:t>
      </w:r>
      <w:r w:rsidR="00777906">
        <w:t xml:space="preserve"> </w:t>
      </w:r>
      <w:r w:rsidR="006C320D">
        <w:t xml:space="preserve">Within </w:t>
      </w:r>
      <w:r w:rsidR="00B5450B">
        <w:t>seven</w:t>
      </w:r>
      <w:r w:rsidR="006C320D">
        <w:t xml:space="preserve"> days of our vote, </w:t>
      </w:r>
      <w:r w:rsidR="00777906">
        <w:t xml:space="preserve">FPUC </w:t>
      </w:r>
      <w:r w:rsidR="00FB387B">
        <w:t xml:space="preserve">may </w:t>
      </w:r>
      <w:r w:rsidR="00777906">
        <w:t xml:space="preserve">file revised tariff sheets and supporting documentation that result in </w:t>
      </w:r>
      <w:r w:rsidR="00056C8A">
        <w:t xml:space="preserve">the </w:t>
      </w:r>
      <w:r w:rsidR="00777906">
        <w:t xml:space="preserve">Commission-approved </w:t>
      </w:r>
      <w:r w:rsidR="00056C8A">
        <w:t xml:space="preserve">eligible </w:t>
      </w:r>
      <w:r w:rsidR="00777906">
        <w:t>relocation projects and associated program revenue requirement</w:t>
      </w:r>
      <w:r w:rsidR="00E225D2">
        <w:t xml:space="preserve"> as discussed herein</w:t>
      </w:r>
      <w:r w:rsidR="00777906">
        <w:t xml:space="preserve">. </w:t>
      </w:r>
      <w:r w:rsidR="00D51E7A">
        <w:t xml:space="preserve">Our </w:t>
      </w:r>
      <w:r w:rsidR="00777906">
        <w:t xml:space="preserve">staff </w:t>
      </w:r>
      <w:r w:rsidR="00D51E7A">
        <w:t xml:space="preserve">shall have </w:t>
      </w:r>
      <w:r w:rsidR="00777906">
        <w:t xml:space="preserve">administrative authority to approve the revised tariffs after reviewing the supporting documentation. </w:t>
      </w:r>
      <w:r w:rsidR="00B537B4">
        <w:t>Those</w:t>
      </w:r>
      <w:r w:rsidR="00777906">
        <w:t xml:space="preserve"> revised tariffs sh</w:t>
      </w:r>
      <w:r w:rsidR="00894A49">
        <w:t xml:space="preserve">all </w:t>
      </w:r>
      <w:r w:rsidR="00777906">
        <w:t>be effective the first billing cycle of March 2026.</w:t>
      </w:r>
    </w:p>
    <w:p w:rsidR="002E4E70" w:rsidRDefault="002E4E70" w:rsidP="00A019A7">
      <w:pPr>
        <w:pStyle w:val="OrderBody"/>
      </w:pPr>
    </w:p>
    <w:p w:rsidR="00906310" w:rsidRDefault="00906310" w:rsidP="00582544">
      <w:pPr>
        <w:pStyle w:val="OrderBody"/>
      </w:pPr>
      <w:r>
        <w:tab/>
        <w:t>Based on the foregoing, it is</w:t>
      </w:r>
    </w:p>
    <w:p w:rsidR="00261FFA" w:rsidRDefault="00261FFA" w:rsidP="00582544">
      <w:pPr>
        <w:pStyle w:val="OrderBody"/>
      </w:pPr>
    </w:p>
    <w:p w:rsidR="00B478F7" w:rsidRDefault="00B478F7" w:rsidP="00582544">
      <w:pPr>
        <w:pStyle w:val="OrderBody"/>
      </w:pPr>
      <w:r>
        <w:tab/>
        <w:t>ORDERED by the Florida Public Service Commission that Florida City Gas’ and Florida Public Utilities Company’s Joint Petition for Approval of Actual, Estimated, and Projected Relocation Costs and Approval to Establish a Recovery Surcharge is GRANTED IN PART and DENIED IN PART as set forth herein. It is further</w:t>
      </w:r>
    </w:p>
    <w:p w:rsidR="00B478F7" w:rsidRDefault="00B478F7" w:rsidP="00582544">
      <w:pPr>
        <w:pStyle w:val="OrderBody"/>
      </w:pPr>
    </w:p>
    <w:p w:rsidR="00906310" w:rsidRDefault="00261FFA" w:rsidP="00582544">
      <w:pPr>
        <w:pStyle w:val="OrderBody"/>
      </w:pPr>
      <w:r>
        <w:tab/>
        <w:t xml:space="preserve">ORDERED that </w:t>
      </w:r>
      <w:r w:rsidR="00F32BDB">
        <w:t xml:space="preserve">all </w:t>
      </w:r>
      <w:r w:rsidR="008B444B">
        <w:t>eight</w:t>
      </w:r>
      <w:r>
        <w:t xml:space="preserve"> </w:t>
      </w:r>
      <w:r w:rsidR="00F32BDB">
        <w:t xml:space="preserve">of </w:t>
      </w:r>
      <w:r w:rsidR="00A41195">
        <w:t>Florida City Gas</w:t>
      </w:r>
      <w:r w:rsidR="00F32BDB">
        <w:t xml:space="preserve">’ </w:t>
      </w:r>
      <w:r w:rsidR="00831E32">
        <w:t xml:space="preserve">proposed </w:t>
      </w:r>
      <w:r w:rsidR="00F32BDB">
        <w:t xml:space="preserve">natural gas facilities relocation </w:t>
      </w:r>
      <w:r w:rsidR="00906310" w:rsidRPr="00906310">
        <w:t xml:space="preserve">projects, totaling an estimated $12,459,319, </w:t>
      </w:r>
      <w:r w:rsidR="00B825DA">
        <w:t>shall be</w:t>
      </w:r>
      <w:r w:rsidR="00906310" w:rsidRPr="00906310">
        <w:t xml:space="preserve"> eligible for</w:t>
      </w:r>
      <w:r w:rsidR="00B825DA">
        <w:t xml:space="preserve"> cost</w:t>
      </w:r>
      <w:r w:rsidR="00906310" w:rsidRPr="00906310">
        <w:t xml:space="preserve"> recovery. </w:t>
      </w:r>
      <w:r w:rsidR="00B825DA">
        <w:t>It is further</w:t>
      </w:r>
    </w:p>
    <w:p w:rsidR="007978CA" w:rsidRDefault="007978CA" w:rsidP="007978CA">
      <w:pPr>
        <w:pStyle w:val="OrderBody"/>
      </w:pPr>
    </w:p>
    <w:p w:rsidR="007978CA" w:rsidRDefault="007978CA" w:rsidP="007978CA">
      <w:pPr>
        <w:pStyle w:val="OrderBody"/>
      </w:pPr>
      <w:r>
        <w:tab/>
        <w:t xml:space="preserve">ORDERED that </w:t>
      </w:r>
      <w:r w:rsidRPr="00D27E0A">
        <w:t>F</w:t>
      </w:r>
      <w:r>
        <w:t xml:space="preserve">lorida City Gas’ proposed </w:t>
      </w:r>
      <w:r w:rsidRPr="00D27E0A">
        <w:t xml:space="preserve">natural gas facilities relocation surcharge and associated tariff sheets, included as Attachment A to </w:t>
      </w:r>
      <w:r>
        <w:t>this Order, are approved</w:t>
      </w:r>
      <w:r w:rsidRPr="00D27E0A">
        <w:t xml:space="preserve">. The </w:t>
      </w:r>
      <w:r>
        <w:t>tariff</w:t>
      </w:r>
      <w:r w:rsidR="003E06C8">
        <w:t>s</w:t>
      </w:r>
      <w:r>
        <w:t xml:space="preserve"> shall be </w:t>
      </w:r>
      <w:r w:rsidRPr="00D27E0A">
        <w:t>effective the first billing cycle of March 2026</w:t>
      </w:r>
      <w:r>
        <w:t>, for</w:t>
      </w:r>
      <w:r w:rsidRPr="00D27E0A">
        <w:t xml:space="preserve"> a 10-month recovery period.</w:t>
      </w:r>
      <w:r>
        <w:t xml:space="preserve"> It is further </w:t>
      </w:r>
    </w:p>
    <w:p w:rsidR="00B825DA" w:rsidRDefault="00B825DA" w:rsidP="00582544">
      <w:pPr>
        <w:pStyle w:val="OrderBody"/>
      </w:pPr>
    </w:p>
    <w:p w:rsidR="00B825DA" w:rsidRDefault="00B825DA" w:rsidP="00582544">
      <w:pPr>
        <w:pStyle w:val="OrderBody"/>
      </w:pPr>
      <w:r>
        <w:tab/>
        <w:t>ORDERED that sixteen</w:t>
      </w:r>
      <w:r w:rsidRPr="00906310">
        <w:t xml:space="preserve"> </w:t>
      </w:r>
      <w:r w:rsidR="007621B2">
        <w:t xml:space="preserve">of Florida Public Utilities Company’s </w:t>
      </w:r>
      <w:r w:rsidR="00451457">
        <w:t xml:space="preserve">twenty </w:t>
      </w:r>
      <w:r w:rsidR="00734434">
        <w:t xml:space="preserve">proposed </w:t>
      </w:r>
      <w:r w:rsidR="007621B2">
        <w:t xml:space="preserve">natural gas facilities relocation projects, </w:t>
      </w:r>
      <w:r w:rsidRPr="00906310">
        <w:t>t</w:t>
      </w:r>
      <w:r w:rsidR="007621B2">
        <w:t>otaling an estimated $2,631,671, shal</w:t>
      </w:r>
      <w:r w:rsidR="00204909">
        <w:t>l be eligible for cost recovery</w:t>
      </w:r>
      <w:r w:rsidR="00451457">
        <w:t xml:space="preserve"> as set forth herein</w:t>
      </w:r>
      <w:r w:rsidR="00204909">
        <w:t>. It is further</w:t>
      </w:r>
    </w:p>
    <w:p w:rsidR="00F7735B" w:rsidRDefault="00F7735B" w:rsidP="00A019A7">
      <w:pPr>
        <w:pStyle w:val="OrderBody"/>
      </w:pPr>
    </w:p>
    <w:p w:rsidR="00CD17B9" w:rsidRDefault="00F7735B" w:rsidP="00A019A7">
      <w:pPr>
        <w:pStyle w:val="OrderBody"/>
      </w:pPr>
      <w:r>
        <w:tab/>
        <w:t xml:space="preserve">ORDERED that </w:t>
      </w:r>
      <w:r w:rsidR="00345588">
        <w:t xml:space="preserve">Florida Public Utilities Company’s </w:t>
      </w:r>
      <w:r w:rsidR="008860AE">
        <w:t xml:space="preserve">proposed </w:t>
      </w:r>
      <w:r w:rsidR="003726B7" w:rsidRPr="003726B7">
        <w:t>natural gas facilities relocation surcharge and associated tariff sheets</w:t>
      </w:r>
      <w:r w:rsidR="005B0063">
        <w:t xml:space="preserve"> are denied</w:t>
      </w:r>
      <w:r w:rsidR="003726B7" w:rsidRPr="003726B7">
        <w:t xml:space="preserve">. </w:t>
      </w:r>
      <w:r w:rsidR="00CD17B9">
        <w:t>Within seven</w:t>
      </w:r>
      <w:r w:rsidR="00A269EE">
        <w:t xml:space="preserve"> days of our vote, Florida Public Utilities Company </w:t>
      </w:r>
      <w:r w:rsidR="00CD17B9">
        <w:t xml:space="preserve">may file revised tariff sheets and supporting documentation that result in the Commission-approved eligible relocation projects and associated program revenue requirement. </w:t>
      </w:r>
      <w:r w:rsidR="00176F9C">
        <w:t>Our</w:t>
      </w:r>
      <w:r w:rsidR="00CD17B9">
        <w:t xml:space="preserve"> staff shall have administrative authority to approve the revised tariffs </w:t>
      </w:r>
      <w:r w:rsidR="00CD17B9">
        <w:lastRenderedPageBreak/>
        <w:t>after reviewing the supporting documentation. Th</w:t>
      </w:r>
      <w:r w:rsidR="003E06C8">
        <w:t>e</w:t>
      </w:r>
      <w:r w:rsidR="00CD17B9">
        <w:t xml:space="preserve"> revised tariff</w:t>
      </w:r>
      <w:r w:rsidR="003E06C8">
        <w:t>s</w:t>
      </w:r>
      <w:r w:rsidR="00CD17B9">
        <w:t xml:space="preserve"> shall be effective the first billing c</w:t>
      </w:r>
      <w:r w:rsidR="00F542C5">
        <w:t>ycle of March 2026, for</w:t>
      </w:r>
      <w:r w:rsidR="004275D4">
        <w:t xml:space="preserve"> a 10-month recovery period. It is further</w:t>
      </w:r>
    </w:p>
    <w:p w:rsidR="004275D4" w:rsidRDefault="004275D4" w:rsidP="00A019A7">
      <w:pPr>
        <w:pStyle w:val="OrderBody"/>
      </w:pPr>
    </w:p>
    <w:p w:rsidR="004F0181" w:rsidRDefault="004275D4" w:rsidP="00A019A7">
      <w:pPr>
        <w:pStyle w:val="OrderBody"/>
      </w:pPr>
      <w:r>
        <w:tab/>
        <w:t xml:space="preserve">ORDERED that </w:t>
      </w:r>
      <w:r w:rsidR="002A5B91">
        <w:t>i</w:t>
      </w:r>
      <w:r w:rsidR="00840467" w:rsidRPr="00840467">
        <w:t xml:space="preserve">f a protest is filed within 21 days of the issuance of </w:t>
      </w:r>
      <w:r w:rsidR="0010558F">
        <w:t>this</w:t>
      </w:r>
      <w:r w:rsidR="00840467" w:rsidRPr="00840467">
        <w:t xml:space="preserve"> Order by a person whose substantial interests are affected, the tariff </w:t>
      </w:r>
      <w:r w:rsidR="0010558F">
        <w:t>shall</w:t>
      </w:r>
      <w:r w:rsidR="00840467" w:rsidRPr="00840467">
        <w:t xml:space="preserve"> remain in effect, with any revenues held subject to refund, pending resolution of the protest. </w:t>
      </w:r>
      <w:r w:rsidR="004F0181">
        <w:t>It is further</w:t>
      </w:r>
    </w:p>
    <w:p w:rsidR="004F0181" w:rsidRDefault="004F0181" w:rsidP="00A019A7">
      <w:pPr>
        <w:pStyle w:val="OrderBody"/>
      </w:pPr>
    </w:p>
    <w:p w:rsidR="00906310" w:rsidRDefault="004F0181" w:rsidP="004F0181">
      <w:pPr>
        <w:pStyle w:val="OrderBody"/>
        <w:ind w:firstLine="720"/>
      </w:pPr>
      <w:r>
        <w:t>ORDERED that i</w:t>
      </w:r>
      <w:r w:rsidR="00840467" w:rsidRPr="00840467">
        <w:t xml:space="preserve">f no timely protest is filed, this docket </w:t>
      </w:r>
      <w:r w:rsidR="00DA475D">
        <w:t>shall</w:t>
      </w:r>
      <w:r w:rsidR="00840467" w:rsidRPr="00840467">
        <w:t xml:space="preserve"> be closed upon the issuance of a Consummating Order or administratively by </w:t>
      </w:r>
      <w:r w:rsidR="00883101">
        <w:t xml:space="preserve">our </w:t>
      </w:r>
      <w:r w:rsidR="00840467" w:rsidRPr="00840467">
        <w:t>staff</w:t>
      </w:r>
      <w:r w:rsidR="00840467">
        <w:t>.</w:t>
      </w:r>
    </w:p>
    <w:p w:rsidR="00777906" w:rsidRDefault="00777906" w:rsidP="00777906">
      <w:pPr>
        <w:pStyle w:val="OrderBody"/>
      </w:pPr>
    </w:p>
    <w:p w:rsidR="00777906" w:rsidRDefault="00777906" w:rsidP="00777906">
      <w:pPr>
        <w:pStyle w:val="OrderBody"/>
        <w:keepNext/>
        <w:keepLines/>
      </w:pPr>
      <w:r>
        <w:tab/>
        <w:t xml:space="preserve">By ORDER of the Florida Public Service Commission this </w:t>
      </w:r>
      <w:bookmarkStart w:id="6" w:name="replaceDate"/>
      <w:bookmarkEnd w:id="6"/>
      <w:r w:rsidR="00785FF7">
        <w:rPr>
          <w:u w:val="single"/>
        </w:rPr>
        <w:t>23rd</w:t>
      </w:r>
      <w:r w:rsidR="00785FF7">
        <w:t xml:space="preserve"> day of </w:t>
      </w:r>
      <w:r w:rsidR="00785FF7">
        <w:rPr>
          <w:u w:val="single"/>
        </w:rPr>
        <w:t>February</w:t>
      </w:r>
      <w:r w:rsidR="00785FF7">
        <w:t xml:space="preserve">, </w:t>
      </w:r>
      <w:r w:rsidR="00785FF7">
        <w:rPr>
          <w:u w:val="single"/>
        </w:rPr>
        <w:t>2026</w:t>
      </w:r>
      <w:r w:rsidR="00785FF7">
        <w:t>.</w:t>
      </w:r>
    </w:p>
    <w:p w:rsidR="00785FF7" w:rsidRPr="00785FF7" w:rsidRDefault="00785FF7" w:rsidP="00777906">
      <w:pPr>
        <w:pStyle w:val="OrderBody"/>
        <w:keepNext/>
        <w:keepLines/>
      </w:pPr>
    </w:p>
    <w:p w:rsidR="00777906" w:rsidRDefault="00777906" w:rsidP="00777906">
      <w:pPr>
        <w:pStyle w:val="OrderBody"/>
        <w:keepNext/>
        <w:keepLines/>
      </w:pPr>
    </w:p>
    <w:p w:rsidR="00777906" w:rsidRDefault="00777906" w:rsidP="00777906">
      <w:pPr>
        <w:pStyle w:val="OrderBody"/>
        <w:keepNext/>
        <w:keepLines/>
      </w:pPr>
    </w:p>
    <w:p w:rsidR="00785FF7" w:rsidRDefault="00785FF7" w:rsidP="00777906">
      <w:pPr>
        <w:pStyle w:val="OrderBody"/>
        <w:keepNext/>
        <w:keepLines/>
      </w:pPr>
    </w:p>
    <w:p w:rsidR="00785FF7" w:rsidRDefault="00785FF7" w:rsidP="0077790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77906" w:rsidTr="00777906">
        <w:tc>
          <w:tcPr>
            <w:tcW w:w="720" w:type="dxa"/>
            <w:shd w:val="clear" w:color="auto" w:fill="auto"/>
          </w:tcPr>
          <w:p w:rsidR="00777906" w:rsidRDefault="00777906" w:rsidP="00777906">
            <w:pPr>
              <w:pStyle w:val="OrderBody"/>
              <w:keepNext/>
              <w:keepLines/>
            </w:pPr>
            <w:bookmarkStart w:id="7" w:name="bkmrkSignature" w:colFirst="0" w:colLast="0"/>
          </w:p>
        </w:tc>
        <w:tc>
          <w:tcPr>
            <w:tcW w:w="4320" w:type="dxa"/>
            <w:tcBorders>
              <w:bottom w:val="single" w:sz="4" w:space="0" w:color="auto"/>
            </w:tcBorders>
            <w:shd w:val="clear" w:color="auto" w:fill="auto"/>
          </w:tcPr>
          <w:p w:rsidR="00777906" w:rsidRDefault="00AC112D" w:rsidP="00777906">
            <w:pPr>
              <w:pStyle w:val="OrderBody"/>
              <w:keepNext/>
              <w:keepLines/>
            </w:pPr>
            <w:r>
              <w:t>/s/ Adam J. Teitzman</w:t>
            </w:r>
            <w:bookmarkStart w:id="8" w:name="_GoBack"/>
            <w:bookmarkEnd w:id="8"/>
          </w:p>
        </w:tc>
      </w:tr>
      <w:bookmarkEnd w:id="7"/>
      <w:tr w:rsidR="00777906" w:rsidTr="00777906">
        <w:tc>
          <w:tcPr>
            <w:tcW w:w="720" w:type="dxa"/>
            <w:shd w:val="clear" w:color="auto" w:fill="auto"/>
          </w:tcPr>
          <w:p w:rsidR="00777906" w:rsidRDefault="00777906" w:rsidP="00777906">
            <w:pPr>
              <w:pStyle w:val="OrderBody"/>
              <w:keepNext/>
              <w:keepLines/>
            </w:pPr>
          </w:p>
        </w:tc>
        <w:tc>
          <w:tcPr>
            <w:tcW w:w="4320" w:type="dxa"/>
            <w:tcBorders>
              <w:top w:val="single" w:sz="4" w:space="0" w:color="auto"/>
            </w:tcBorders>
            <w:shd w:val="clear" w:color="auto" w:fill="auto"/>
          </w:tcPr>
          <w:p w:rsidR="00777906" w:rsidRDefault="00777906" w:rsidP="00777906">
            <w:pPr>
              <w:pStyle w:val="OrderBody"/>
              <w:keepNext/>
              <w:keepLines/>
            </w:pPr>
            <w:r>
              <w:t>ADAM TEITZMAN</w:t>
            </w:r>
          </w:p>
          <w:p w:rsidR="00777906" w:rsidRDefault="00777906" w:rsidP="00777906">
            <w:pPr>
              <w:pStyle w:val="OrderBody"/>
              <w:keepNext/>
              <w:keepLines/>
            </w:pPr>
            <w:r>
              <w:t>Commission Clerk</w:t>
            </w:r>
          </w:p>
        </w:tc>
      </w:tr>
    </w:tbl>
    <w:p w:rsidR="00777906" w:rsidRDefault="00777906" w:rsidP="00777906">
      <w:pPr>
        <w:pStyle w:val="OrderSigInfo"/>
        <w:keepNext/>
        <w:keepLines/>
      </w:pPr>
      <w:r>
        <w:t>Florida Public Service Commission</w:t>
      </w:r>
    </w:p>
    <w:p w:rsidR="00777906" w:rsidRDefault="00777906" w:rsidP="00777906">
      <w:pPr>
        <w:pStyle w:val="OrderSigInfo"/>
        <w:keepNext/>
        <w:keepLines/>
      </w:pPr>
      <w:r>
        <w:t>2540 Shumard Oak Boulevard</w:t>
      </w:r>
    </w:p>
    <w:p w:rsidR="00777906" w:rsidRDefault="00777906" w:rsidP="00777906">
      <w:pPr>
        <w:pStyle w:val="OrderSigInfo"/>
        <w:keepNext/>
        <w:keepLines/>
      </w:pPr>
      <w:r>
        <w:t>Tallahassee, Florida 32399</w:t>
      </w:r>
    </w:p>
    <w:p w:rsidR="00777906" w:rsidRDefault="00777906" w:rsidP="00777906">
      <w:pPr>
        <w:pStyle w:val="OrderSigInfo"/>
        <w:keepNext/>
        <w:keepLines/>
      </w:pPr>
      <w:r>
        <w:t>(850) 413</w:t>
      </w:r>
      <w:r>
        <w:noBreakHyphen/>
        <w:t>6770</w:t>
      </w:r>
    </w:p>
    <w:p w:rsidR="00777906" w:rsidRDefault="00777906" w:rsidP="00777906">
      <w:pPr>
        <w:pStyle w:val="OrderSigInfo"/>
        <w:keepNext/>
        <w:keepLines/>
      </w:pPr>
      <w:r>
        <w:t>www.floridapsc.com</w:t>
      </w:r>
    </w:p>
    <w:p w:rsidR="00777906" w:rsidRDefault="00777906" w:rsidP="00777906">
      <w:pPr>
        <w:pStyle w:val="OrderSigInfo"/>
        <w:keepNext/>
        <w:keepLines/>
      </w:pPr>
    </w:p>
    <w:p w:rsidR="00777906" w:rsidRDefault="00777906" w:rsidP="00777906">
      <w:pPr>
        <w:pStyle w:val="OrderSigInfo"/>
        <w:keepNext/>
        <w:keepLines/>
      </w:pPr>
      <w:r>
        <w:t>Copies furnished: A copy of this document is provided to the parties of record at the time of issuance and, if applicable, interested persons.</w:t>
      </w:r>
    </w:p>
    <w:p w:rsidR="00777906" w:rsidRDefault="00777906" w:rsidP="00777906">
      <w:pPr>
        <w:pStyle w:val="OrderBody"/>
        <w:keepNext/>
        <w:keepLines/>
      </w:pPr>
    </w:p>
    <w:p w:rsidR="00777906" w:rsidRDefault="00777906" w:rsidP="00777906">
      <w:pPr>
        <w:pStyle w:val="OrderBody"/>
        <w:keepNext/>
        <w:keepLines/>
      </w:pPr>
    </w:p>
    <w:p w:rsidR="00777906" w:rsidRDefault="00777906" w:rsidP="00777906">
      <w:pPr>
        <w:pStyle w:val="OrderBody"/>
        <w:keepNext/>
        <w:keepLines/>
      </w:pPr>
      <w:r>
        <w:t>CMM</w:t>
      </w:r>
    </w:p>
    <w:p w:rsidR="00777906" w:rsidRDefault="00777906" w:rsidP="00777906">
      <w:pPr>
        <w:pStyle w:val="OrderBody"/>
      </w:pPr>
    </w:p>
    <w:p w:rsidR="00777906" w:rsidRDefault="00777906" w:rsidP="00777906">
      <w:pPr>
        <w:pStyle w:val="OrderBody"/>
      </w:pPr>
    </w:p>
    <w:p w:rsidR="00777906" w:rsidRDefault="00777906" w:rsidP="00777906">
      <w:pPr>
        <w:pStyle w:val="OrderBody"/>
      </w:pPr>
    </w:p>
    <w:p w:rsidR="00777906" w:rsidRDefault="00777906">
      <w:r>
        <w:br w:type="page"/>
      </w:r>
    </w:p>
    <w:p w:rsidR="00777906" w:rsidRDefault="00777906" w:rsidP="00777906">
      <w:pPr>
        <w:pStyle w:val="CenterUnderline"/>
      </w:pPr>
      <w:r>
        <w:lastRenderedPageBreak/>
        <w:t>NOTICE OF FURTHER PROCEEDINGS</w:t>
      </w:r>
    </w:p>
    <w:p w:rsidR="00777906" w:rsidRDefault="00777906" w:rsidP="00777906">
      <w:pPr>
        <w:pStyle w:val="CenterUnderline"/>
      </w:pPr>
    </w:p>
    <w:p w:rsidR="00777906" w:rsidRDefault="00777906" w:rsidP="00777906">
      <w:pPr>
        <w:pStyle w:val="OrderBody"/>
      </w:pPr>
      <w:r>
        <w:tab/>
        <w:t xml:space="preserve">The Florida Public Service Commission </w:t>
      </w:r>
      <w:r w:rsidR="00B9010E">
        <w:t xml:space="preserve">(Commission) </w:t>
      </w:r>
      <w:r>
        <w:t>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77906" w:rsidRDefault="00777906" w:rsidP="00777906">
      <w:pPr>
        <w:pStyle w:val="OrderBody"/>
      </w:pPr>
    </w:p>
    <w:p w:rsidR="00777906" w:rsidRDefault="00777906" w:rsidP="00777906">
      <w:pPr>
        <w:pStyle w:val="OrderBody"/>
      </w:pPr>
      <w:r>
        <w:tab/>
        <w:t>Mediation may be available on a case-by-case basis. If mediation is conducted, it does not affect a substantially interested person's right to a hearing.</w:t>
      </w:r>
    </w:p>
    <w:p w:rsidR="00777906" w:rsidRDefault="00777906" w:rsidP="00777906">
      <w:pPr>
        <w:pStyle w:val="OrderBody"/>
      </w:pPr>
    </w:p>
    <w:p w:rsidR="00777906" w:rsidRDefault="002D47B0" w:rsidP="00777906">
      <w:pPr>
        <w:pStyle w:val="OrderBody"/>
      </w:pPr>
      <w:r>
        <w:tab/>
        <w:t>The Commission’</w:t>
      </w:r>
      <w:r w:rsidR="00777906">
        <w:t>s decision on th</w:t>
      </w:r>
      <w:r w:rsidR="00823C4F">
        <w:t>ese</w:t>
      </w:r>
      <w:r w:rsidR="00777906">
        <w:t xml:space="preserve"> tariff</w:t>
      </w:r>
      <w:r w:rsidR="00823C4F">
        <w:t>s</w:t>
      </w:r>
      <w:r w:rsidR="00777906">
        <w:t xml:space="preserve"> is interim in nature and will become final, unless a person whose substantial interests are affected by the proposed action files a petition for a formal proceeding, in the form provided by Rule 28-106.201,</w:t>
      </w:r>
      <w:r w:rsidR="00DA475D">
        <w:t xml:space="preserve"> Florida Administrative Code. </w:t>
      </w:r>
      <w:r w:rsidR="00777906">
        <w:t xml:space="preserve">This petition must be received by the Office of Commission Clerk, 2540 Shumard Oak Boulevard, Tallahassee, Florida 32399-0850, by the close of business on </w:t>
      </w:r>
      <w:r w:rsidR="00017C03" w:rsidRPr="00017C03">
        <w:rPr>
          <w:u w:val="single"/>
        </w:rPr>
        <w:t>March 16, 2026</w:t>
      </w:r>
      <w:r w:rsidR="00777906">
        <w:t xml:space="preserve">. </w:t>
      </w:r>
    </w:p>
    <w:p w:rsidR="00777906" w:rsidRDefault="00777906" w:rsidP="00777906">
      <w:pPr>
        <w:pStyle w:val="OrderBody"/>
      </w:pPr>
    </w:p>
    <w:p w:rsidR="00777906" w:rsidRDefault="00777906" w:rsidP="00777906">
      <w:pPr>
        <w:pStyle w:val="OrderBody"/>
      </w:pPr>
      <w:r>
        <w:tab/>
        <w:t>In the absence of such a petition, this Order shall become final and effective upon the issuance of a Consummating Order.</w:t>
      </w:r>
    </w:p>
    <w:p w:rsidR="00777906" w:rsidRDefault="00777906" w:rsidP="00777906">
      <w:pPr>
        <w:pStyle w:val="OrderBody"/>
      </w:pPr>
    </w:p>
    <w:p w:rsidR="00777906" w:rsidRDefault="00777906" w:rsidP="00777906">
      <w:pPr>
        <w:pStyle w:val="OrderBody"/>
      </w:pPr>
      <w:r>
        <w:tab/>
        <w:t xml:space="preserve">Any objection or protest filed in this docket before the issuance date of this </w:t>
      </w:r>
      <w:r w:rsidR="009C1903">
        <w:t>O</w:t>
      </w:r>
      <w:r>
        <w:t>rder is considered abandoned unless it satisfies the foregoing conditions and is renewed within the specified protest period.</w:t>
      </w:r>
    </w:p>
    <w:p w:rsidR="00777906" w:rsidRDefault="00777906" w:rsidP="00777906">
      <w:pPr>
        <w:pStyle w:val="OrderBody"/>
      </w:pPr>
    </w:p>
    <w:p w:rsidR="00777906" w:rsidRDefault="00777906" w:rsidP="00777906">
      <w:pPr>
        <w:pStyle w:val="OrderBody"/>
      </w:pPr>
    </w:p>
    <w:p w:rsidR="00422432" w:rsidRDefault="00422432" w:rsidP="00777906">
      <w:pPr>
        <w:pStyle w:val="OrderBody"/>
        <w:sectPr w:rsidR="00422432">
          <w:headerReference w:type="default" r:id="rId7"/>
          <w:footerReference w:type="first" r:id="rId8"/>
          <w:pgSz w:w="12240" w:h="15840" w:code="1"/>
          <w:pgMar w:top="1440" w:right="1440" w:bottom="1440" w:left="1440" w:header="720" w:footer="720" w:gutter="0"/>
          <w:cols w:space="720"/>
          <w:titlePg/>
          <w:docGrid w:linePitch="360"/>
        </w:sectPr>
      </w:pPr>
    </w:p>
    <w:p w:rsidR="00777906" w:rsidRDefault="00422432" w:rsidP="00777906">
      <w:pPr>
        <w:pStyle w:val="OrderBody"/>
      </w:pPr>
      <w:r>
        <w:object w:dxaOrig="9180" w:dyaOrig="11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pt;height:594.75pt" o:ole="">
            <v:imagedata r:id="rId9" o:title=""/>
          </v:shape>
          <o:OLEObject Type="Embed" ProgID="Acrobat.Document.DC" ShapeID="_x0000_i1025" DrawAspect="Content" ObjectID="_1833346093" r:id="rId10"/>
        </w:object>
      </w:r>
    </w:p>
    <w:p w:rsidR="00422432" w:rsidRDefault="00422432" w:rsidP="00777906">
      <w:pPr>
        <w:pStyle w:val="OrderBody"/>
      </w:pPr>
    </w:p>
    <w:p w:rsidR="00422432" w:rsidRDefault="00422432" w:rsidP="00777906">
      <w:pPr>
        <w:pStyle w:val="OrderBody"/>
        <w:sectPr w:rsidR="00422432">
          <w:headerReference w:type="first" r:id="rId11"/>
          <w:pgSz w:w="12240" w:h="15840" w:code="1"/>
          <w:pgMar w:top="1440" w:right="1440" w:bottom="1440" w:left="1440" w:header="720" w:footer="720" w:gutter="0"/>
          <w:cols w:space="720"/>
          <w:titlePg/>
          <w:docGrid w:linePitch="360"/>
        </w:sectPr>
      </w:pPr>
    </w:p>
    <w:p w:rsidR="00422432" w:rsidRDefault="00422432" w:rsidP="00777906">
      <w:pPr>
        <w:pStyle w:val="OrderBody"/>
      </w:pPr>
      <w:r>
        <w:object w:dxaOrig="9180" w:dyaOrig="11880">
          <v:shape id="_x0000_i1026" type="#_x0000_t75" style="width:460.5pt;height:594.75pt" o:ole="">
            <v:imagedata r:id="rId12" o:title=""/>
          </v:shape>
          <o:OLEObject Type="Embed" ProgID="Acrobat.Document.DC" ShapeID="_x0000_i1026" DrawAspect="Content" ObjectID="_1833346094" r:id="rId13"/>
        </w:object>
      </w:r>
    </w:p>
    <w:p w:rsidR="00422432" w:rsidRDefault="00422432" w:rsidP="00777906">
      <w:pPr>
        <w:pStyle w:val="OrderBody"/>
      </w:pPr>
    </w:p>
    <w:p w:rsidR="00422432" w:rsidRPr="00777906" w:rsidRDefault="00422432" w:rsidP="00777906">
      <w:pPr>
        <w:pStyle w:val="OrderBody"/>
      </w:pPr>
    </w:p>
    <w:sectPr w:rsidR="00422432" w:rsidRPr="00777906">
      <w:head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3DA" w:rsidRDefault="007A03DA">
      <w:r>
        <w:separator/>
      </w:r>
    </w:p>
  </w:endnote>
  <w:endnote w:type="continuationSeparator" w:id="0">
    <w:p w:rsidR="007A03DA" w:rsidRDefault="007A0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3DA" w:rsidRDefault="007A03DA">
      <w:r>
        <w:separator/>
      </w:r>
    </w:p>
  </w:footnote>
  <w:footnote w:type="continuationSeparator" w:id="0">
    <w:p w:rsidR="007A03DA" w:rsidRDefault="007A03DA">
      <w:r>
        <w:continuationSeparator/>
      </w:r>
    </w:p>
  </w:footnote>
  <w:footnote w:id="1">
    <w:p w:rsidR="00777906" w:rsidRDefault="00777906" w:rsidP="00777906">
      <w:pPr>
        <w:pStyle w:val="FootnoteText"/>
      </w:pPr>
      <w:r>
        <w:rPr>
          <w:rStyle w:val="FootnoteReference"/>
        </w:rPr>
        <w:footnoteRef/>
      </w:r>
      <w:r>
        <w:t xml:space="preserve"> As defined in Section 366.02(8), F.S.</w:t>
      </w:r>
    </w:p>
  </w:footnote>
  <w:footnote w:id="2">
    <w:p w:rsidR="002F42F4" w:rsidRDefault="002F42F4" w:rsidP="002F42F4">
      <w:pPr>
        <w:pStyle w:val="FootnoteText"/>
      </w:pPr>
      <w:r>
        <w:rPr>
          <w:rStyle w:val="FootnoteReference"/>
        </w:rPr>
        <w:footnoteRef/>
      </w:r>
      <w:r>
        <w:t xml:space="preserve"> </w:t>
      </w:r>
      <w:r w:rsidRPr="0030130A">
        <w:t xml:space="preserve">Order No. PSC-2025-0112-FOF-GU, issued April 4, 2025, in Docket No. 20250020-GU, </w:t>
      </w:r>
      <w:r w:rsidRPr="0030130A">
        <w:rPr>
          <w:i/>
        </w:rPr>
        <w:t>In re: Adoption of new Rule 25-7.150, F.A.C., Natural Gas Facilities Relocation Cost Recovery Clause</w:t>
      </w:r>
      <w:r w:rsidRPr="0030130A">
        <w:t>.</w:t>
      </w:r>
    </w:p>
  </w:footnote>
  <w:footnote w:id="3">
    <w:p w:rsidR="00777906" w:rsidRDefault="00777906" w:rsidP="00777906">
      <w:pPr>
        <w:pStyle w:val="FootnoteText"/>
      </w:pPr>
      <w:r>
        <w:rPr>
          <w:rStyle w:val="FootnoteReference"/>
        </w:rPr>
        <w:footnoteRef/>
      </w:r>
      <w:r>
        <w:t xml:space="preserve"> </w:t>
      </w:r>
      <w:r w:rsidRPr="0030130A">
        <w:t xml:space="preserve">Order No. PSC-2025- 0433-PCO-GU, issued November 24, 2025, in Docket No. 20250121-GU, </w:t>
      </w:r>
      <w:r w:rsidRPr="0030130A">
        <w:rPr>
          <w:i/>
        </w:rPr>
        <w:t>Joint petition for approval of actual, estimated, and projected relocation costs and approval to establish a recovery surcharge, by Florida City Gas and Florida Public Utilities Company</w:t>
      </w:r>
      <w:r w:rsidRPr="0030130A">
        <w:t>.</w:t>
      </w:r>
    </w:p>
  </w:footnote>
  <w:footnote w:id="4">
    <w:p w:rsidR="00777906" w:rsidRDefault="00777906" w:rsidP="00777906">
      <w:pPr>
        <w:pStyle w:val="FootnoteText"/>
      </w:pPr>
      <w:r>
        <w:rPr>
          <w:rStyle w:val="FootnoteReference"/>
        </w:rPr>
        <w:footnoteRef/>
      </w:r>
      <w:r>
        <w:t xml:space="preserve"> </w:t>
      </w:r>
      <w:r w:rsidR="00156AB2" w:rsidRPr="00156AB2">
        <w:rPr>
          <w:i/>
        </w:rPr>
        <w:t>Id.</w:t>
      </w:r>
      <w:r w:rsidR="00156AB2">
        <w:t xml:space="preserve"> at </w:t>
      </w:r>
      <w:r>
        <w:t>1</w:t>
      </w:r>
      <w:r w:rsidRPr="00156AB2">
        <w:t>.</w:t>
      </w:r>
    </w:p>
  </w:footnote>
  <w:footnote w:id="5">
    <w:p w:rsidR="00777906" w:rsidRPr="005D32C2" w:rsidRDefault="00777906" w:rsidP="00777906">
      <w:pPr>
        <w:pStyle w:val="FootnoteText"/>
        <w:rPr>
          <w:i/>
        </w:rPr>
      </w:pPr>
      <w:r>
        <w:rPr>
          <w:rStyle w:val="FootnoteReference"/>
        </w:rPr>
        <w:footnoteRef/>
      </w:r>
      <w:r>
        <w:t xml:space="preserve"> Order No. PSC- 2025-0450-TRF-GU, issued December 11, 2025, in Docket No. 20250109-GU, </w:t>
      </w:r>
      <w:r>
        <w:rPr>
          <w:i/>
        </w:rPr>
        <w:t>In re: Petition for approval of gas utility access and replacement directive cost recovery factors for January 2026 through December 2026, by Florida Public Utilities Company</w:t>
      </w:r>
      <w:r w:rsidRPr="00C75497">
        <w:t>.</w:t>
      </w:r>
    </w:p>
  </w:footnote>
  <w:footnote w:id="6">
    <w:p w:rsidR="00777906" w:rsidRDefault="00777906" w:rsidP="00777906">
      <w:pPr>
        <w:pStyle w:val="FootnoteText"/>
      </w:pPr>
      <w:r>
        <w:rPr>
          <w:rStyle w:val="FootnoteReference"/>
        </w:rPr>
        <w:footnoteRef/>
      </w:r>
      <w:r>
        <w:t xml:space="preserve"> </w:t>
      </w:r>
      <w:r w:rsidRPr="009F3DD6">
        <w:t xml:space="preserve">FCG provided a revised tariff sheet to </w:t>
      </w:r>
      <w:r w:rsidR="00B55108">
        <w:t xml:space="preserve">our </w:t>
      </w:r>
      <w:r w:rsidRPr="009F3DD6">
        <w:t>staff</w:t>
      </w:r>
      <w:r w:rsidR="00510602">
        <w:t xml:space="preserve"> on January 16, 2026</w:t>
      </w:r>
      <w:r w:rsidRPr="009F3DD6">
        <w:t>, included as Attachment A</w:t>
      </w:r>
      <w:r w:rsidR="00B55108">
        <w:t xml:space="preserve"> to this Order</w:t>
      </w:r>
      <w:r w:rsidRPr="009F3DD6">
        <w:t>, to correct a scrivener’s error.</w:t>
      </w:r>
    </w:p>
  </w:footnote>
  <w:footnote w:id="7">
    <w:p w:rsidR="00777906" w:rsidRDefault="00777906" w:rsidP="00777906">
      <w:pPr>
        <w:pStyle w:val="FootnoteText"/>
      </w:pPr>
      <w:r>
        <w:rPr>
          <w:rStyle w:val="FootnoteReference"/>
        </w:rPr>
        <w:footnoteRef/>
      </w:r>
      <w:r>
        <w:t xml:space="preserve"> Order No. PSC- 2025-0450-TRF-GU, issued December 11, 2025, in Docket No. 20250109-GU, </w:t>
      </w:r>
      <w:r>
        <w:rPr>
          <w:i/>
        </w:rPr>
        <w:t>In re: Petition for approval of gas utility access and replacement directive cost recovery factors for January 2026 through December 2026, by Florida Public Utilities Company</w:t>
      </w:r>
      <w:r w:rsidRPr="00832D62">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785FF7">
    <w:pPr>
      <w:pStyle w:val="OrderHeader"/>
    </w:pPr>
    <w:r>
      <w:t xml:space="preserve">ORDER NO. PSC-2026-0052-TRF-GU </w:t>
    </w:r>
  </w:p>
  <w:p w:rsidR="00FA6EFD" w:rsidRDefault="007A03DA">
    <w:pPr>
      <w:pStyle w:val="OrderHeader"/>
    </w:pPr>
    <w:bookmarkStart w:id="9" w:name="HeaderDocketNo"/>
    <w:bookmarkEnd w:id="9"/>
    <w:r>
      <w:t>DOCKET NO. 20250121-GU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C112D">
      <w:rPr>
        <w:rStyle w:val="PageNumber"/>
        <w:noProof/>
      </w:rPr>
      <w:t>9</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432" w:rsidRDefault="00422432" w:rsidP="00422432">
    <w:pPr>
      <w:pStyle w:val="OrderHeader"/>
    </w:pPr>
    <w:r>
      <w:t xml:space="preserve">ORDER NO. </w:t>
    </w:r>
    <w:r w:rsidR="00785FF7">
      <w:t>PSC-2026-0052-TRF-GU</w:t>
    </w:r>
    <w:r>
      <w:tab/>
    </w:r>
    <w:r>
      <w:tab/>
      <w:t>Attachment A</w:t>
    </w:r>
  </w:p>
  <w:p w:rsidR="00422432" w:rsidRDefault="00422432" w:rsidP="00422432">
    <w:pPr>
      <w:pStyle w:val="OrderHeader"/>
    </w:pPr>
    <w:r>
      <w:t>DOCKET NO. 20250121-GU</w:t>
    </w:r>
    <w:r>
      <w:tab/>
    </w:r>
    <w:r>
      <w:tab/>
      <w:t>Page 1 of 2</w:t>
    </w:r>
  </w:p>
  <w:p w:rsidR="00422432" w:rsidRDefault="00422432" w:rsidP="0042243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C112D">
      <w:rPr>
        <w:rStyle w:val="PageNumber"/>
        <w:noProof/>
      </w:rPr>
      <w:t>10</w:t>
    </w:r>
    <w:r>
      <w:rPr>
        <w:rStyle w:val="PageNumber"/>
      </w:rPr>
      <w:fldChar w:fldCharType="end"/>
    </w:r>
  </w:p>
  <w:p w:rsidR="00422432" w:rsidRDefault="004224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432" w:rsidRDefault="00422432" w:rsidP="00422432">
    <w:pPr>
      <w:pStyle w:val="OrderHeader"/>
    </w:pPr>
    <w:r>
      <w:t xml:space="preserve">ORDER NO. </w:t>
    </w:r>
    <w:r w:rsidR="00785FF7">
      <w:t>PSC-2026-0052-TRF-GU</w:t>
    </w:r>
    <w:r>
      <w:tab/>
    </w:r>
    <w:r>
      <w:tab/>
      <w:t>Attachment A</w:t>
    </w:r>
  </w:p>
  <w:p w:rsidR="00422432" w:rsidRDefault="00422432" w:rsidP="00422432">
    <w:pPr>
      <w:pStyle w:val="OrderHeader"/>
    </w:pPr>
    <w:r>
      <w:t>DOCKET NO. 20250121-GU</w:t>
    </w:r>
    <w:r>
      <w:tab/>
    </w:r>
    <w:r>
      <w:tab/>
      <w:t>Page 2 of 2</w:t>
    </w:r>
  </w:p>
  <w:p w:rsidR="00422432" w:rsidRDefault="00422432" w:rsidP="0042243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C112D">
      <w:rPr>
        <w:rStyle w:val="PageNumber"/>
        <w:noProof/>
      </w:rPr>
      <w:t>11</w:t>
    </w:r>
    <w:r>
      <w:rPr>
        <w:rStyle w:val="PageNumber"/>
      </w:rPr>
      <w:fldChar w:fldCharType="end"/>
    </w:r>
  </w:p>
  <w:p w:rsidR="00422432" w:rsidRDefault="004224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5702FA"/>
    <w:multiLevelType w:val="hybridMultilevel"/>
    <w:tmpl w:val="264ECE42"/>
    <w:lvl w:ilvl="0" w:tplc="34DC4FC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21-GU"/>
  </w:docVars>
  <w:rsids>
    <w:rsidRoot w:val="007A03DA"/>
    <w:rsid w:val="000002BE"/>
    <w:rsid w:val="000003EA"/>
    <w:rsid w:val="00001594"/>
    <w:rsid w:val="000022B8"/>
    <w:rsid w:val="00003883"/>
    <w:rsid w:val="00003FA3"/>
    <w:rsid w:val="000048E2"/>
    <w:rsid w:val="00011251"/>
    <w:rsid w:val="00012B32"/>
    <w:rsid w:val="000138E4"/>
    <w:rsid w:val="00017C03"/>
    <w:rsid w:val="00025C2A"/>
    <w:rsid w:val="00025C9D"/>
    <w:rsid w:val="0003433F"/>
    <w:rsid w:val="00035A8C"/>
    <w:rsid w:val="00035BA5"/>
    <w:rsid w:val="00036BDD"/>
    <w:rsid w:val="000372A2"/>
    <w:rsid w:val="0004190B"/>
    <w:rsid w:val="00041FFD"/>
    <w:rsid w:val="00042C99"/>
    <w:rsid w:val="00042D2B"/>
    <w:rsid w:val="00053AB9"/>
    <w:rsid w:val="00056229"/>
    <w:rsid w:val="00056C8A"/>
    <w:rsid w:val="00057AF1"/>
    <w:rsid w:val="00065E2C"/>
    <w:rsid w:val="00065FC2"/>
    <w:rsid w:val="00066009"/>
    <w:rsid w:val="00067685"/>
    <w:rsid w:val="00067B07"/>
    <w:rsid w:val="000730D7"/>
    <w:rsid w:val="000736B1"/>
    <w:rsid w:val="00076E6B"/>
    <w:rsid w:val="00081AE4"/>
    <w:rsid w:val="0008247D"/>
    <w:rsid w:val="000842B0"/>
    <w:rsid w:val="00085E11"/>
    <w:rsid w:val="00090AFC"/>
    <w:rsid w:val="00091FA7"/>
    <w:rsid w:val="00096025"/>
    <w:rsid w:val="00096507"/>
    <w:rsid w:val="00097328"/>
    <w:rsid w:val="000A774F"/>
    <w:rsid w:val="000B12BB"/>
    <w:rsid w:val="000B1603"/>
    <w:rsid w:val="000B2A43"/>
    <w:rsid w:val="000B783E"/>
    <w:rsid w:val="000B7AD2"/>
    <w:rsid w:val="000B7D81"/>
    <w:rsid w:val="000C1994"/>
    <w:rsid w:val="000C3236"/>
    <w:rsid w:val="000C6926"/>
    <w:rsid w:val="000D02B8"/>
    <w:rsid w:val="000D0531"/>
    <w:rsid w:val="000D06E8"/>
    <w:rsid w:val="000D1CAB"/>
    <w:rsid w:val="000D1E5D"/>
    <w:rsid w:val="000D52C1"/>
    <w:rsid w:val="000D6E65"/>
    <w:rsid w:val="000D78FB"/>
    <w:rsid w:val="000E0078"/>
    <w:rsid w:val="000E050C"/>
    <w:rsid w:val="000E20F0"/>
    <w:rsid w:val="000E2593"/>
    <w:rsid w:val="000E344D"/>
    <w:rsid w:val="000E3F6D"/>
    <w:rsid w:val="000E6F99"/>
    <w:rsid w:val="000F0C25"/>
    <w:rsid w:val="000F11F1"/>
    <w:rsid w:val="000F1350"/>
    <w:rsid w:val="000F359F"/>
    <w:rsid w:val="000F3B2C"/>
    <w:rsid w:val="000F3F6C"/>
    <w:rsid w:val="000F48D7"/>
    <w:rsid w:val="000F63EB"/>
    <w:rsid w:val="000F648A"/>
    <w:rsid w:val="000F7BE3"/>
    <w:rsid w:val="00103190"/>
    <w:rsid w:val="00104333"/>
    <w:rsid w:val="001052BA"/>
    <w:rsid w:val="0010558F"/>
    <w:rsid w:val="001107B3"/>
    <w:rsid w:val="001114B1"/>
    <w:rsid w:val="00112D55"/>
    <w:rsid w:val="001139D8"/>
    <w:rsid w:val="00116AD3"/>
    <w:rsid w:val="00121957"/>
    <w:rsid w:val="0012387E"/>
    <w:rsid w:val="0012393B"/>
    <w:rsid w:val="001259EC"/>
    <w:rsid w:val="00126593"/>
    <w:rsid w:val="00126C01"/>
    <w:rsid w:val="00130D5B"/>
    <w:rsid w:val="00134177"/>
    <w:rsid w:val="00134370"/>
    <w:rsid w:val="00135EA7"/>
    <w:rsid w:val="00136087"/>
    <w:rsid w:val="00142A96"/>
    <w:rsid w:val="001434F1"/>
    <w:rsid w:val="00146A7F"/>
    <w:rsid w:val="00146FF5"/>
    <w:rsid w:val="001513DE"/>
    <w:rsid w:val="00154A71"/>
    <w:rsid w:val="001562B9"/>
    <w:rsid w:val="00156AB2"/>
    <w:rsid w:val="001655D4"/>
    <w:rsid w:val="00165803"/>
    <w:rsid w:val="00176F9C"/>
    <w:rsid w:val="001807F5"/>
    <w:rsid w:val="00185F09"/>
    <w:rsid w:val="00186859"/>
    <w:rsid w:val="00187E32"/>
    <w:rsid w:val="001918FF"/>
    <w:rsid w:val="00192552"/>
    <w:rsid w:val="00194420"/>
    <w:rsid w:val="00194A97"/>
    <w:rsid w:val="00194E81"/>
    <w:rsid w:val="001A15E7"/>
    <w:rsid w:val="001A33C9"/>
    <w:rsid w:val="001A58F3"/>
    <w:rsid w:val="001B034E"/>
    <w:rsid w:val="001B4607"/>
    <w:rsid w:val="001B66AF"/>
    <w:rsid w:val="001C2847"/>
    <w:rsid w:val="001C2E7A"/>
    <w:rsid w:val="001C3BB5"/>
    <w:rsid w:val="001C3F8C"/>
    <w:rsid w:val="001C445C"/>
    <w:rsid w:val="001C5338"/>
    <w:rsid w:val="001C6097"/>
    <w:rsid w:val="001C7126"/>
    <w:rsid w:val="001D008A"/>
    <w:rsid w:val="001D0794"/>
    <w:rsid w:val="001D7777"/>
    <w:rsid w:val="001E0152"/>
    <w:rsid w:val="001E0FF5"/>
    <w:rsid w:val="001E3A03"/>
    <w:rsid w:val="001E4D8A"/>
    <w:rsid w:val="001F0095"/>
    <w:rsid w:val="001F0149"/>
    <w:rsid w:val="001F36B0"/>
    <w:rsid w:val="001F39A1"/>
    <w:rsid w:val="001F4CA3"/>
    <w:rsid w:val="001F59E0"/>
    <w:rsid w:val="002002ED"/>
    <w:rsid w:val="00203497"/>
    <w:rsid w:val="002044DD"/>
    <w:rsid w:val="00204909"/>
    <w:rsid w:val="00205342"/>
    <w:rsid w:val="002170E5"/>
    <w:rsid w:val="002179AC"/>
    <w:rsid w:val="00220D57"/>
    <w:rsid w:val="00223B99"/>
    <w:rsid w:val="0022721A"/>
    <w:rsid w:val="00230BB9"/>
    <w:rsid w:val="00233830"/>
    <w:rsid w:val="00236E4C"/>
    <w:rsid w:val="00241CEF"/>
    <w:rsid w:val="00241EE9"/>
    <w:rsid w:val="0024275D"/>
    <w:rsid w:val="00244000"/>
    <w:rsid w:val="002453D7"/>
    <w:rsid w:val="0025124E"/>
    <w:rsid w:val="00252B30"/>
    <w:rsid w:val="00255291"/>
    <w:rsid w:val="002613E4"/>
    <w:rsid w:val="00261FFA"/>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25D7"/>
    <w:rsid w:val="002A4BBD"/>
    <w:rsid w:val="002A5B91"/>
    <w:rsid w:val="002A5FE1"/>
    <w:rsid w:val="002A6F30"/>
    <w:rsid w:val="002A7884"/>
    <w:rsid w:val="002B3111"/>
    <w:rsid w:val="002B664C"/>
    <w:rsid w:val="002C09F5"/>
    <w:rsid w:val="002C118E"/>
    <w:rsid w:val="002C2096"/>
    <w:rsid w:val="002C3C71"/>
    <w:rsid w:val="002C4718"/>
    <w:rsid w:val="002C60A5"/>
    <w:rsid w:val="002C774D"/>
    <w:rsid w:val="002C7908"/>
    <w:rsid w:val="002D0328"/>
    <w:rsid w:val="002D391B"/>
    <w:rsid w:val="002D423E"/>
    <w:rsid w:val="002D47B0"/>
    <w:rsid w:val="002D4B1F"/>
    <w:rsid w:val="002D7D15"/>
    <w:rsid w:val="002E09F3"/>
    <w:rsid w:val="002E1B2E"/>
    <w:rsid w:val="002E27EB"/>
    <w:rsid w:val="002E4E70"/>
    <w:rsid w:val="002E4EF4"/>
    <w:rsid w:val="002E78B6"/>
    <w:rsid w:val="002E7CB2"/>
    <w:rsid w:val="002F04AD"/>
    <w:rsid w:val="002F0F1A"/>
    <w:rsid w:val="002F0F1C"/>
    <w:rsid w:val="002F2A9D"/>
    <w:rsid w:val="002F31C2"/>
    <w:rsid w:val="002F42F4"/>
    <w:rsid w:val="002F4CAC"/>
    <w:rsid w:val="002F7BF6"/>
    <w:rsid w:val="00303FDE"/>
    <w:rsid w:val="00313C5B"/>
    <w:rsid w:val="003140E8"/>
    <w:rsid w:val="003144B7"/>
    <w:rsid w:val="003168B5"/>
    <w:rsid w:val="00321702"/>
    <w:rsid w:val="003219FD"/>
    <w:rsid w:val="003231C7"/>
    <w:rsid w:val="00323839"/>
    <w:rsid w:val="003270C4"/>
    <w:rsid w:val="00331ED0"/>
    <w:rsid w:val="00332671"/>
    <w:rsid w:val="00332B0A"/>
    <w:rsid w:val="00333A41"/>
    <w:rsid w:val="00341036"/>
    <w:rsid w:val="0034383A"/>
    <w:rsid w:val="00345434"/>
    <w:rsid w:val="00345588"/>
    <w:rsid w:val="00351C22"/>
    <w:rsid w:val="0035495B"/>
    <w:rsid w:val="0035520D"/>
    <w:rsid w:val="00355545"/>
    <w:rsid w:val="00355A93"/>
    <w:rsid w:val="00360F30"/>
    <w:rsid w:val="00361522"/>
    <w:rsid w:val="0036362B"/>
    <w:rsid w:val="00366CC8"/>
    <w:rsid w:val="003702F0"/>
    <w:rsid w:val="0037196E"/>
    <w:rsid w:val="003726B7"/>
    <w:rsid w:val="0037442E"/>
    <w:rsid w:val="003744F5"/>
    <w:rsid w:val="003813E5"/>
    <w:rsid w:val="00382325"/>
    <w:rsid w:val="00382C6A"/>
    <w:rsid w:val="00385D0B"/>
    <w:rsid w:val="003875A9"/>
    <w:rsid w:val="00387BDE"/>
    <w:rsid w:val="00390DD8"/>
    <w:rsid w:val="00394DC6"/>
    <w:rsid w:val="00397C3E"/>
    <w:rsid w:val="003A081D"/>
    <w:rsid w:val="003A5F8B"/>
    <w:rsid w:val="003B1A09"/>
    <w:rsid w:val="003B2753"/>
    <w:rsid w:val="003B3B09"/>
    <w:rsid w:val="003B4F77"/>
    <w:rsid w:val="003B6F02"/>
    <w:rsid w:val="003C0431"/>
    <w:rsid w:val="003C29BB"/>
    <w:rsid w:val="003C3EF2"/>
    <w:rsid w:val="003D3989"/>
    <w:rsid w:val="003D4CCA"/>
    <w:rsid w:val="003D52A6"/>
    <w:rsid w:val="003D6416"/>
    <w:rsid w:val="003E06C8"/>
    <w:rsid w:val="003E0CCA"/>
    <w:rsid w:val="003E18FC"/>
    <w:rsid w:val="003E1D48"/>
    <w:rsid w:val="003E2CF4"/>
    <w:rsid w:val="003E31AB"/>
    <w:rsid w:val="003E57A2"/>
    <w:rsid w:val="003E65EA"/>
    <w:rsid w:val="003E711F"/>
    <w:rsid w:val="003F1D2B"/>
    <w:rsid w:val="003F49A6"/>
    <w:rsid w:val="003F518F"/>
    <w:rsid w:val="003F5DD0"/>
    <w:rsid w:val="003F6BA7"/>
    <w:rsid w:val="003F7445"/>
    <w:rsid w:val="00405881"/>
    <w:rsid w:val="00411C5F"/>
    <w:rsid w:val="00411DF2"/>
    <w:rsid w:val="00411E8F"/>
    <w:rsid w:val="0041412B"/>
    <w:rsid w:val="0041547E"/>
    <w:rsid w:val="004173BA"/>
    <w:rsid w:val="00422432"/>
    <w:rsid w:val="00423344"/>
    <w:rsid w:val="004236B5"/>
    <w:rsid w:val="004247F5"/>
    <w:rsid w:val="00425154"/>
    <w:rsid w:val="0042527B"/>
    <w:rsid w:val="00425A59"/>
    <w:rsid w:val="0042705B"/>
    <w:rsid w:val="004275D4"/>
    <w:rsid w:val="00427EAC"/>
    <w:rsid w:val="0043515B"/>
    <w:rsid w:val="004431B4"/>
    <w:rsid w:val="00445604"/>
    <w:rsid w:val="00445E3A"/>
    <w:rsid w:val="00447BDA"/>
    <w:rsid w:val="00451158"/>
    <w:rsid w:val="00451296"/>
    <w:rsid w:val="0045138C"/>
    <w:rsid w:val="00451457"/>
    <w:rsid w:val="00451804"/>
    <w:rsid w:val="00452B8D"/>
    <w:rsid w:val="00453C21"/>
    <w:rsid w:val="0045537F"/>
    <w:rsid w:val="0045762C"/>
    <w:rsid w:val="00457DC7"/>
    <w:rsid w:val="00461A57"/>
    <w:rsid w:val="00463B66"/>
    <w:rsid w:val="004640B3"/>
    <w:rsid w:val="00465E21"/>
    <w:rsid w:val="00467A2F"/>
    <w:rsid w:val="004704F4"/>
    <w:rsid w:val="00470AB0"/>
    <w:rsid w:val="00470F7F"/>
    <w:rsid w:val="00472BCC"/>
    <w:rsid w:val="004767A2"/>
    <w:rsid w:val="00477699"/>
    <w:rsid w:val="00480710"/>
    <w:rsid w:val="004850B9"/>
    <w:rsid w:val="004A25CD"/>
    <w:rsid w:val="004A26CC"/>
    <w:rsid w:val="004A7CE1"/>
    <w:rsid w:val="004B2108"/>
    <w:rsid w:val="004B212A"/>
    <w:rsid w:val="004B3A2B"/>
    <w:rsid w:val="004B70D3"/>
    <w:rsid w:val="004C0219"/>
    <w:rsid w:val="004C118C"/>
    <w:rsid w:val="004C312D"/>
    <w:rsid w:val="004C60FE"/>
    <w:rsid w:val="004D2C87"/>
    <w:rsid w:val="004D2D1B"/>
    <w:rsid w:val="004D4679"/>
    <w:rsid w:val="004D5067"/>
    <w:rsid w:val="004D6838"/>
    <w:rsid w:val="004D6CC9"/>
    <w:rsid w:val="004D72BC"/>
    <w:rsid w:val="004D7E20"/>
    <w:rsid w:val="004E469D"/>
    <w:rsid w:val="004E7F4F"/>
    <w:rsid w:val="004F0181"/>
    <w:rsid w:val="004F03B2"/>
    <w:rsid w:val="004F094F"/>
    <w:rsid w:val="004F0AF7"/>
    <w:rsid w:val="004F2DDE"/>
    <w:rsid w:val="004F3AA8"/>
    <w:rsid w:val="004F4E53"/>
    <w:rsid w:val="004F4F15"/>
    <w:rsid w:val="004F5A55"/>
    <w:rsid w:val="004F6426"/>
    <w:rsid w:val="004F7826"/>
    <w:rsid w:val="0050097F"/>
    <w:rsid w:val="00502CF9"/>
    <w:rsid w:val="00502F8F"/>
    <w:rsid w:val="00505D83"/>
    <w:rsid w:val="00507A8F"/>
    <w:rsid w:val="00510602"/>
    <w:rsid w:val="00511872"/>
    <w:rsid w:val="00512879"/>
    <w:rsid w:val="00514B1F"/>
    <w:rsid w:val="00523C5C"/>
    <w:rsid w:val="00524884"/>
    <w:rsid w:val="00525E93"/>
    <w:rsid w:val="0052671D"/>
    <w:rsid w:val="005300C0"/>
    <w:rsid w:val="00531703"/>
    <w:rsid w:val="00533CEC"/>
    <w:rsid w:val="00533EF6"/>
    <w:rsid w:val="00536099"/>
    <w:rsid w:val="00536DC3"/>
    <w:rsid w:val="00540B41"/>
    <w:rsid w:val="00540E6B"/>
    <w:rsid w:val="0054109E"/>
    <w:rsid w:val="00542DCB"/>
    <w:rsid w:val="0055595D"/>
    <w:rsid w:val="00556A10"/>
    <w:rsid w:val="00557F50"/>
    <w:rsid w:val="005645FC"/>
    <w:rsid w:val="00571D3D"/>
    <w:rsid w:val="00573194"/>
    <w:rsid w:val="00574379"/>
    <w:rsid w:val="00582544"/>
    <w:rsid w:val="0058264B"/>
    <w:rsid w:val="00583F81"/>
    <w:rsid w:val="005850DF"/>
    <w:rsid w:val="00586368"/>
    <w:rsid w:val="0058636E"/>
    <w:rsid w:val="005868AA"/>
    <w:rsid w:val="00590845"/>
    <w:rsid w:val="005944A0"/>
    <w:rsid w:val="00594726"/>
    <w:rsid w:val="00595F18"/>
    <w:rsid w:val="005963C2"/>
    <w:rsid w:val="005A0D69"/>
    <w:rsid w:val="005A2CBF"/>
    <w:rsid w:val="005A31F4"/>
    <w:rsid w:val="005A480A"/>
    <w:rsid w:val="005A73EA"/>
    <w:rsid w:val="005A7661"/>
    <w:rsid w:val="005B0063"/>
    <w:rsid w:val="005B45F7"/>
    <w:rsid w:val="005B63EA"/>
    <w:rsid w:val="005C15A7"/>
    <w:rsid w:val="005C1A88"/>
    <w:rsid w:val="005C5033"/>
    <w:rsid w:val="005D4936"/>
    <w:rsid w:val="005D4E1B"/>
    <w:rsid w:val="005E210A"/>
    <w:rsid w:val="005E751B"/>
    <w:rsid w:val="005F2751"/>
    <w:rsid w:val="005F3354"/>
    <w:rsid w:val="005F4AD6"/>
    <w:rsid w:val="0060005E"/>
    <w:rsid w:val="0060095B"/>
    <w:rsid w:val="00601266"/>
    <w:rsid w:val="00604FFF"/>
    <w:rsid w:val="00606280"/>
    <w:rsid w:val="00610221"/>
    <w:rsid w:val="00610543"/>
    <w:rsid w:val="00610E73"/>
    <w:rsid w:val="00615F9B"/>
    <w:rsid w:val="00616DF2"/>
    <w:rsid w:val="00620396"/>
    <w:rsid w:val="00622B2B"/>
    <w:rsid w:val="0062385D"/>
    <w:rsid w:val="0063168D"/>
    <w:rsid w:val="0063406C"/>
    <w:rsid w:val="00635C79"/>
    <w:rsid w:val="006423A7"/>
    <w:rsid w:val="006455DF"/>
    <w:rsid w:val="00645AF6"/>
    <w:rsid w:val="00647025"/>
    <w:rsid w:val="00647047"/>
    <w:rsid w:val="0064730A"/>
    <w:rsid w:val="006507DA"/>
    <w:rsid w:val="00652AFA"/>
    <w:rsid w:val="006531A4"/>
    <w:rsid w:val="0065571F"/>
    <w:rsid w:val="006558C5"/>
    <w:rsid w:val="006578D5"/>
    <w:rsid w:val="00660774"/>
    <w:rsid w:val="00661B6D"/>
    <w:rsid w:val="0066389A"/>
    <w:rsid w:val="0066495C"/>
    <w:rsid w:val="00665CC7"/>
    <w:rsid w:val="00670BB9"/>
    <w:rsid w:val="00672612"/>
    <w:rsid w:val="00674ECC"/>
    <w:rsid w:val="00677F18"/>
    <w:rsid w:val="00684AE3"/>
    <w:rsid w:val="00690B43"/>
    <w:rsid w:val="00692E1A"/>
    <w:rsid w:val="00693483"/>
    <w:rsid w:val="00695682"/>
    <w:rsid w:val="006959FD"/>
    <w:rsid w:val="00696892"/>
    <w:rsid w:val="006A0A0A"/>
    <w:rsid w:val="006A0BF3"/>
    <w:rsid w:val="006A502B"/>
    <w:rsid w:val="006B0036"/>
    <w:rsid w:val="006B0DA6"/>
    <w:rsid w:val="006B26ED"/>
    <w:rsid w:val="006B3FA9"/>
    <w:rsid w:val="006C3055"/>
    <w:rsid w:val="006C320D"/>
    <w:rsid w:val="006C547E"/>
    <w:rsid w:val="006C6A11"/>
    <w:rsid w:val="006D1898"/>
    <w:rsid w:val="006D2639"/>
    <w:rsid w:val="006D2B51"/>
    <w:rsid w:val="006D3352"/>
    <w:rsid w:val="006D3491"/>
    <w:rsid w:val="006D5575"/>
    <w:rsid w:val="006D7191"/>
    <w:rsid w:val="006E21C4"/>
    <w:rsid w:val="006E42BE"/>
    <w:rsid w:val="006E5D4D"/>
    <w:rsid w:val="006E6D16"/>
    <w:rsid w:val="006E6FD2"/>
    <w:rsid w:val="006F33AF"/>
    <w:rsid w:val="006F57EB"/>
    <w:rsid w:val="0070172B"/>
    <w:rsid w:val="00703F2A"/>
    <w:rsid w:val="0070426E"/>
    <w:rsid w:val="00704C5D"/>
    <w:rsid w:val="007072BC"/>
    <w:rsid w:val="007107D7"/>
    <w:rsid w:val="00712E31"/>
    <w:rsid w:val="00715275"/>
    <w:rsid w:val="00721B44"/>
    <w:rsid w:val="007232A2"/>
    <w:rsid w:val="00725909"/>
    <w:rsid w:val="00726366"/>
    <w:rsid w:val="00731AB6"/>
    <w:rsid w:val="00731AE6"/>
    <w:rsid w:val="00733358"/>
    <w:rsid w:val="00733B6B"/>
    <w:rsid w:val="00734434"/>
    <w:rsid w:val="00740808"/>
    <w:rsid w:val="00740A1B"/>
    <w:rsid w:val="00742478"/>
    <w:rsid w:val="007426C3"/>
    <w:rsid w:val="00743CF1"/>
    <w:rsid w:val="007467C4"/>
    <w:rsid w:val="00750EBB"/>
    <w:rsid w:val="00755702"/>
    <w:rsid w:val="007560DE"/>
    <w:rsid w:val="0076170F"/>
    <w:rsid w:val="007621B2"/>
    <w:rsid w:val="0076669C"/>
    <w:rsid w:val="00766E46"/>
    <w:rsid w:val="00767924"/>
    <w:rsid w:val="00771018"/>
    <w:rsid w:val="00772CCB"/>
    <w:rsid w:val="00777193"/>
    <w:rsid w:val="00777727"/>
    <w:rsid w:val="00777906"/>
    <w:rsid w:val="00781087"/>
    <w:rsid w:val="0078166A"/>
    <w:rsid w:val="00782B79"/>
    <w:rsid w:val="00783811"/>
    <w:rsid w:val="00785FF7"/>
    <w:rsid w:val="007865E9"/>
    <w:rsid w:val="0079237D"/>
    <w:rsid w:val="00792383"/>
    <w:rsid w:val="00792768"/>
    <w:rsid w:val="00794D5A"/>
    <w:rsid w:val="00794DD9"/>
    <w:rsid w:val="007965EF"/>
    <w:rsid w:val="007978CA"/>
    <w:rsid w:val="007A03DA"/>
    <w:rsid w:val="007A060F"/>
    <w:rsid w:val="007A37DC"/>
    <w:rsid w:val="007B1C5E"/>
    <w:rsid w:val="007B350E"/>
    <w:rsid w:val="007B546D"/>
    <w:rsid w:val="007C0FBC"/>
    <w:rsid w:val="007C29C9"/>
    <w:rsid w:val="007C35B8"/>
    <w:rsid w:val="007C36E3"/>
    <w:rsid w:val="007C3ABB"/>
    <w:rsid w:val="007C4EF7"/>
    <w:rsid w:val="007C7134"/>
    <w:rsid w:val="007C7ECF"/>
    <w:rsid w:val="007D12A2"/>
    <w:rsid w:val="007D3D20"/>
    <w:rsid w:val="007D44F9"/>
    <w:rsid w:val="007D742E"/>
    <w:rsid w:val="007E36C7"/>
    <w:rsid w:val="007E3AFD"/>
    <w:rsid w:val="007E41A4"/>
    <w:rsid w:val="007E542E"/>
    <w:rsid w:val="007F7943"/>
    <w:rsid w:val="00801DAD"/>
    <w:rsid w:val="00803189"/>
    <w:rsid w:val="00804E11"/>
    <w:rsid w:val="00804E7A"/>
    <w:rsid w:val="00805FBB"/>
    <w:rsid w:val="00806009"/>
    <w:rsid w:val="00807E28"/>
    <w:rsid w:val="00810EE0"/>
    <w:rsid w:val="00814292"/>
    <w:rsid w:val="008169A4"/>
    <w:rsid w:val="00822500"/>
    <w:rsid w:val="00823C4F"/>
    <w:rsid w:val="00826E6D"/>
    <w:rsid w:val="008278FE"/>
    <w:rsid w:val="00831101"/>
    <w:rsid w:val="00831E32"/>
    <w:rsid w:val="00832598"/>
    <w:rsid w:val="00832D62"/>
    <w:rsid w:val="008334D9"/>
    <w:rsid w:val="0083397E"/>
    <w:rsid w:val="0083534B"/>
    <w:rsid w:val="00840467"/>
    <w:rsid w:val="00842035"/>
    <w:rsid w:val="00842602"/>
    <w:rsid w:val="008449F0"/>
    <w:rsid w:val="00846F11"/>
    <w:rsid w:val="00847B45"/>
    <w:rsid w:val="008524DB"/>
    <w:rsid w:val="008613E1"/>
    <w:rsid w:val="00863A66"/>
    <w:rsid w:val="008703D7"/>
    <w:rsid w:val="00870D47"/>
    <w:rsid w:val="008715E8"/>
    <w:rsid w:val="00874429"/>
    <w:rsid w:val="008754FF"/>
    <w:rsid w:val="00875D22"/>
    <w:rsid w:val="008768B9"/>
    <w:rsid w:val="00880D38"/>
    <w:rsid w:val="008813BE"/>
    <w:rsid w:val="00883101"/>
    <w:rsid w:val="00883D9A"/>
    <w:rsid w:val="008860AE"/>
    <w:rsid w:val="00886A62"/>
    <w:rsid w:val="00890578"/>
    <w:rsid w:val="008919EF"/>
    <w:rsid w:val="00892B20"/>
    <w:rsid w:val="008931BC"/>
    <w:rsid w:val="00893D1A"/>
    <w:rsid w:val="00894A49"/>
    <w:rsid w:val="008956F0"/>
    <w:rsid w:val="0089695B"/>
    <w:rsid w:val="00897740"/>
    <w:rsid w:val="008A0CC4"/>
    <w:rsid w:val="008A12EC"/>
    <w:rsid w:val="008A1DF5"/>
    <w:rsid w:val="008A29D0"/>
    <w:rsid w:val="008B14BE"/>
    <w:rsid w:val="008B19A6"/>
    <w:rsid w:val="008B394F"/>
    <w:rsid w:val="008B444B"/>
    <w:rsid w:val="008B4EFB"/>
    <w:rsid w:val="008B7615"/>
    <w:rsid w:val="008B78ED"/>
    <w:rsid w:val="008C21C8"/>
    <w:rsid w:val="008C5C27"/>
    <w:rsid w:val="008C6375"/>
    <w:rsid w:val="008C6A5B"/>
    <w:rsid w:val="008D058E"/>
    <w:rsid w:val="008D441D"/>
    <w:rsid w:val="008D498D"/>
    <w:rsid w:val="008D6D36"/>
    <w:rsid w:val="008D7001"/>
    <w:rsid w:val="008D791F"/>
    <w:rsid w:val="008E0582"/>
    <w:rsid w:val="008E0693"/>
    <w:rsid w:val="008E26A5"/>
    <w:rsid w:val="008E38E6"/>
    <w:rsid w:val="008E42D2"/>
    <w:rsid w:val="008E6328"/>
    <w:rsid w:val="008E67DB"/>
    <w:rsid w:val="008F0C50"/>
    <w:rsid w:val="008F1765"/>
    <w:rsid w:val="008F578F"/>
    <w:rsid w:val="008F57EF"/>
    <w:rsid w:val="008F5D04"/>
    <w:rsid w:val="008F6B3F"/>
    <w:rsid w:val="00902F40"/>
    <w:rsid w:val="009038D3"/>
    <w:rsid w:val="009040EE"/>
    <w:rsid w:val="009057FD"/>
    <w:rsid w:val="00906310"/>
    <w:rsid w:val="009068D3"/>
    <w:rsid w:val="00906FBA"/>
    <w:rsid w:val="00910C0F"/>
    <w:rsid w:val="009163E8"/>
    <w:rsid w:val="00921BD3"/>
    <w:rsid w:val="009228C7"/>
    <w:rsid w:val="00922A7F"/>
    <w:rsid w:val="009234C6"/>
    <w:rsid w:val="00923A5E"/>
    <w:rsid w:val="009242D9"/>
    <w:rsid w:val="00924FE7"/>
    <w:rsid w:val="00926E27"/>
    <w:rsid w:val="00931C8C"/>
    <w:rsid w:val="00932A9B"/>
    <w:rsid w:val="009430BF"/>
    <w:rsid w:val="00943D21"/>
    <w:rsid w:val="0094504B"/>
    <w:rsid w:val="00964A38"/>
    <w:rsid w:val="0096638E"/>
    <w:rsid w:val="00966A9D"/>
    <w:rsid w:val="0096742B"/>
    <w:rsid w:val="00967C64"/>
    <w:rsid w:val="009718C5"/>
    <w:rsid w:val="00975131"/>
    <w:rsid w:val="009751B6"/>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1903"/>
    <w:rsid w:val="009C220E"/>
    <w:rsid w:val="009C4300"/>
    <w:rsid w:val="009C58AB"/>
    <w:rsid w:val="009D4C29"/>
    <w:rsid w:val="009E1690"/>
    <w:rsid w:val="009E58E9"/>
    <w:rsid w:val="009E6803"/>
    <w:rsid w:val="009F48B8"/>
    <w:rsid w:val="009F6AD2"/>
    <w:rsid w:val="009F7C1B"/>
    <w:rsid w:val="00A00B5B"/>
    <w:rsid w:val="00A00D8D"/>
    <w:rsid w:val="00A00F82"/>
    <w:rsid w:val="00A019A7"/>
    <w:rsid w:val="00A01BB6"/>
    <w:rsid w:val="00A108A7"/>
    <w:rsid w:val="00A10D9D"/>
    <w:rsid w:val="00A11578"/>
    <w:rsid w:val="00A13C02"/>
    <w:rsid w:val="00A228DA"/>
    <w:rsid w:val="00A22B28"/>
    <w:rsid w:val="00A26417"/>
    <w:rsid w:val="00A269EE"/>
    <w:rsid w:val="00A26DC0"/>
    <w:rsid w:val="00A3351E"/>
    <w:rsid w:val="00A35BA7"/>
    <w:rsid w:val="00A36867"/>
    <w:rsid w:val="00A41195"/>
    <w:rsid w:val="00A4303C"/>
    <w:rsid w:val="00A4579E"/>
    <w:rsid w:val="00A46CAF"/>
    <w:rsid w:val="00A47099"/>
    <w:rsid w:val="00A470FD"/>
    <w:rsid w:val="00A5002B"/>
    <w:rsid w:val="00A50B5E"/>
    <w:rsid w:val="00A52B5D"/>
    <w:rsid w:val="00A571FA"/>
    <w:rsid w:val="00A62DAB"/>
    <w:rsid w:val="00A6757A"/>
    <w:rsid w:val="00A726A6"/>
    <w:rsid w:val="00A74842"/>
    <w:rsid w:val="00A75830"/>
    <w:rsid w:val="00A81440"/>
    <w:rsid w:val="00A818AD"/>
    <w:rsid w:val="00A8269A"/>
    <w:rsid w:val="00A86A50"/>
    <w:rsid w:val="00A9178A"/>
    <w:rsid w:val="00A92DEC"/>
    <w:rsid w:val="00A9515B"/>
    <w:rsid w:val="00A97535"/>
    <w:rsid w:val="00AA2BAA"/>
    <w:rsid w:val="00AA5C9E"/>
    <w:rsid w:val="00AA6516"/>
    <w:rsid w:val="00AA73E7"/>
    <w:rsid w:val="00AA73F1"/>
    <w:rsid w:val="00AB0E1A"/>
    <w:rsid w:val="00AB1A30"/>
    <w:rsid w:val="00AB3C36"/>
    <w:rsid w:val="00AB3D30"/>
    <w:rsid w:val="00AC112D"/>
    <w:rsid w:val="00AC2754"/>
    <w:rsid w:val="00AC4B09"/>
    <w:rsid w:val="00AC5A01"/>
    <w:rsid w:val="00AC6449"/>
    <w:rsid w:val="00AC6742"/>
    <w:rsid w:val="00AD10EB"/>
    <w:rsid w:val="00AD1ED3"/>
    <w:rsid w:val="00AD286F"/>
    <w:rsid w:val="00AD35F4"/>
    <w:rsid w:val="00AD3717"/>
    <w:rsid w:val="00AD74F4"/>
    <w:rsid w:val="00AE204F"/>
    <w:rsid w:val="00AE2741"/>
    <w:rsid w:val="00AE3790"/>
    <w:rsid w:val="00AE3FDF"/>
    <w:rsid w:val="00AE52F2"/>
    <w:rsid w:val="00AE7982"/>
    <w:rsid w:val="00AF0B22"/>
    <w:rsid w:val="00AF37DA"/>
    <w:rsid w:val="00AF3946"/>
    <w:rsid w:val="00AF5890"/>
    <w:rsid w:val="00B019C1"/>
    <w:rsid w:val="00B02001"/>
    <w:rsid w:val="00B03C50"/>
    <w:rsid w:val="00B03FB9"/>
    <w:rsid w:val="00B04657"/>
    <w:rsid w:val="00B055D7"/>
    <w:rsid w:val="00B05FAB"/>
    <w:rsid w:val="00B0777D"/>
    <w:rsid w:val="00B07DDF"/>
    <w:rsid w:val="00B11576"/>
    <w:rsid w:val="00B1195F"/>
    <w:rsid w:val="00B11C74"/>
    <w:rsid w:val="00B14D10"/>
    <w:rsid w:val="00B209C7"/>
    <w:rsid w:val="00B26480"/>
    <w:rsid w:val="00B3644F"/>
    <w:rsid w:val="00B36C55"/>
    <w:rsid w:val="00B4057A"/>
    <w:rsid w:val="00B40894"/>
    <w:rsid w:val="00B41039"/>
    <w:rsid w:val="00B41F37"/>
    <w:rsid w:val="00B42987"/>
    <w:rsid w:val="00B42BCC"/>
    <w:rsid w:val="00B43B23"/>
    <w:rsid w:val="00B444AE"/>
    <w:rsid w:val="00B44DB2"/>
    <w:rsid w:val="00B45E75"/>
    <w:rsid w:val="00B478F7"/>
    <w:rsid w:val="00B50876"/>
    <w:rsid w:val="00B51074"/>
    <w:rsid w:val="00B537B4"/>
    <w:rsid w:val="00B5450B"/>
    <w:rsid w:val="00B54DAA"/>
    <w:rsid w:val="00B55108"/>
    <w:rsid w:val="00B552E0"/>
    <w:rsid w:val="00B558EA"/>
    <w:rsid w:val="00B55AB0"/>
    <w:rsid w:val="00B55EE5"/>
    <w:rsid w:val="00B572DD"/>
    <w:rsid w:val="00B61D42"/>
    <w:rsid w:val="00B6367C"/>
    <w:rsid w:val="00B67A43"/>
    <w:rsid w:val="00B67F9F"/>
    <w:rsid w:val="00B71A90"/>
    <w:rsid w:val="00B71D1F"/>
    <w:rsid w:val="00B72B25"/>
    <w:rsid w:val="00B72CFF"/>
    <w:rsid w:val="00B7302C"/>
    <w:rsid w:val="00B73DE6"/>
    <w:rsid w:val="00B761CD"/>
    <w:rsid w:val="00B76B66"/>
    <w:rsid w:val="00B81F5F"/>
    <w:rsid w:val="00B825DA"/>
    <w:rsid w:val="00B84241"/>
    <w:rsid w:val="00B86EF0"/>
    <w:rsid w:val="00B9010E"/>
    <w:rsid w:val="00B905CA"/>
    <w:rsid w:val="00B96969"/>
    <w:rsid w:val="00B97900"/>
    <w:rsid w:val="00BA1229"/>
    <w:rsid w:val="00BA44A8"/>
    <w:rsid w:val="00BA49C5"/>
    <w:rsid w:val="00BA5510"/>
    <w:rsid w:val="00BB0182"/>
    <w:rsid w:val="00BB030C"/>
    <w:rsid w:val="00BB0DB3"/>
    <w:rsid w:val="00BB2F4A"/>
    <w:rsid w:val="00BB637C"/>
    <w:rsid w:val="00BC1006"/>
    <w:rsid w:val="00BC786E"/>
    <w:rsid w:val="00BD00F4"/>
    <w:rsid w:val="00BD2A0C"/>
    <w:rsid w:val="00BD4365"/>
    <w:rsid w:val="00BD5C92"/>
    <w:rsid w:val="00BE50E6"/>
    <w:rsid w:val="00BE658D"/>
    <w:rsid w:val="00BE7A0C"/>
    <w:rsid w:val="00BF2928"/>
    <w:rsid w:val="00BF5D60"/>
    <w:rsid w:val="00BF6691"/>
    <w:rsid w:val="00C028FC"/>
    <w:rsid w:val="00C02DC0"/>
    <w:rsid w:val="00C037F2"/>
    <w:rsid w:val="00C0386D"/>
    <w:rsid w:val="00C052A6"/>
    <w:rsid w:val="00C065A1"/>
    <w:rsid w:val="00C06FB1"/>
    <w:rsid w:val="00C10ED5"/>
    <w:rsid w:val="00C12574"/>
    <w:rsid w:val="00C12CB3"/>
    <w:rsid w:val="00C151A6"/>
    <w:rsid w:val="00C23C95"/>
    <w:rsid w:val="00C24098"/>
    <w:rsid w:val="00C30A4E"/>
    <w:rsid w:val="00C3483B"/>
    <w:rsid w:val="00C3641C"/>
    <w:rsid w:val="00C36C5C"/>
    <w:rsid w:val="00C411F3"/>
    <w:rsid w:val="00C44105"/>
    <w:rsid w:val="00C46717"/>
    <w:rsid w:val="00C52004"/>
    <w:rsid w:val="00C523EC"/>
    <w:rsid w:val="00C55A33"/>
    <w:rsid w:val="00C563A9"/>
    <w:rsid w:val="00C62191"/>
    <w:rsid w:val="00C62755"/>
    <w:rsid w:val="00C630B7"/>
    <w:rsid w:val="00C64D49"/>
    <w:rsid w:val="00C66586"/>
    <w:rsid w:val="00C66692"/>
    <w:rsid w:val="00C66849"/>
    <w:rsid w:val="00C673B5"/>
    <w:rsid w:val="00C7063D"/>
    <w:rsid w:val="00C70EEB"/>
    <w:rsid w:val="00C71754"/>
    <w:rsid w:val="00C72339"/>
    <w:rsid w:val="00C75497"/>
    <w:rsid w:val="00C820BC"/>
    <w:rsid w:val="00C82247"/>
    <w:rsid w:val="00C826F2"/>
    <w:rsid w:val="00C830BC"/>
    <w:rsid w:val="00C8524D"/>
    <w:rsid w:val="00C90904"/>
    <w:rsid w:val="00C91123"/>
    <w:rsid w:val="00C92591"/>
    <w:rsid w:val="00C95DB2"/>
    <w:rsid w:val="00C96CB0"/>
    <w:rsid w:val="00CA1595"/>
    <w:rsid w:val="00CA21C4"/>
    <w:rsid w:val="00CA5C68"/>
    <w:rsid w:val="00CA5DBF"/>
    <w:rsid w:val="00CA6CC2"/>
    <w:rsid w:val="00CA71FF"/>
    <w:rsid w:val="00CB2393"/>
    <w:rsid w:val="00CB2456"/>
    <w:rsid w:val="00CB3101"/>
    <w:rsid w:val="00CB5276"/>
    <w:rsid w:val="00CB5BFC"/>
    <w:rsid w:val="00CB68D7"/>
    <w:rsid w:val="00CB785B"/>
    <w:rsid w:val="00CB7C9C"/>
    <w:rsid w:val="00CC24CC"/>
    <w:rsid w:val="00CC366D"/>
    <w:rsid w:val="00CC5441"/>
    <w:rsid w:val="00CC7E68"/>
    <w:rsid w:val="00CD0F05"/>
    <w:rsid w:val="00CD15D5"/>
    <w:rsid w:val="00CD17B9"/>
    <w:rsid w:val="00CD19D5"/>
    <w:rsid w:val="00CD300B"/>
    <w:rsid w:val="00CD3D74"/>
    <w:rsid w:val="00CD6008"/>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17D80"/>
    <w:rsid w:val="00D20069"/>
    <w:rsid w:val="00D205F5"/>
    <w:rsid w:val="00D23FEA"/>
    <w:rsid w:val="00D24C64"/>
    <w:rsid w:val="00D269CA"/>
    <w:rsid w:val="00D27E0A"/>
    <w:rsid w:val="00D30B48"/>
    <w:rsid w:val="00D3168A"/>
    <w:rsid w:val="00D350D1"/>
    <w:rsid w:val="00D41F53"/>
    <w:rsid w:val="00D466F6"/>
    <w:rsid w:val="00D46FAA"/>
    <w:rsid w:val="00D47A40"/>
    <w:rsid w:val="00D50257"/>
    <w:rsid w:val="00D51D33"/>
    <w:rsid w:val="00D51E7A"/>
    <w:rsid w:val="00D522C6"/>
    <w:rsid w:val="00D5430A"/>
    <w:rsid w:val="00D54D7B"/>
    <w:rsid w:val="00D554F2"/>
    <w:rsid w:val="00D57132"/>
    <w:rsid w:val="00D57BB2"/>
    <w:rsid w:val="00D57E57"/>
    <w:rsid w:val="00D611DF"/>
    <w:rsid w:val="00D65405"/>
    <w:rsid w:val="00D70142"/>
    <w:rsid w:val="00D70752"/>
    <w:rsid w:val="00D7346D"/>
    <w:rsid w:val="00D75A73"/>
    <w:rsid w:val="00D809DA"/>
    <w:rsid w:val="00D80E2D"/>
    <w:rsid w:val="00D824A6"/>
    <w:rsid w:val="00D84D5E"/>
    <w:rsid w:val="00D8560E"/>
    <w:rsid w:val="00D8758F"/>
    <w:rsid w:val="00D940A6"/>
    <w:rsid w:val="00DA235F"/>
    <w:rsid w:val="00DA475D"/>
    <w:rsid w:val="00DA4EDD"/>
    <w:rsid w:val="00DA6B78"/>
    <w:rsid w:val="00DB0671"/>
    <w:rsid w:val="00DB122B"/>
    <w:rsid w:val="00DC1D94"/>
    <w:rsid w:val="00DC42CF"/>
    <w:rsid w:val="00DC4D2A"/>
    <w:rsid w:val="00DC6191"/>
    <w:rsid w:val="00DC738A"/>
    <w:rsid w:val="00DC77A2"/>
    <w:rsid w:val="00DD3476"/>
    <w:rsid w:val="00DD382A"/>
    <w:rsid w:val="00DD4A43"/>
    <w:rsid w:val="00DD592E"/>
    <w:rsid w:val="00DE057F"/>
    <w:rsid w:val="00DE1C73"/>
    <w:rsid w:val="00DE2082"/>
    <w:rsid w:val="00DE2289"/>
    <w:rsid w:val="00DE2818"/>
    <w:rsid w:val="00DE499C"/>
    <w:rsid w:val="00DE69DB"/>
    <w:rsid w:val="00DE779E"/>
    <w:rsid w:val="00DF09A7"/>
    <w:rsid w:val="00DF0DE8"/>
    <w:rsid w:val="00DF2B51"/>
    <w:rsid w:val="00E001D6"/>
    <w:rsid w:val="00E00897"/>
    <w:rsid w:val="00E025A5"/>
    <w:rsid w:val="00E03A76"/>
    <w:rsid w:val="00E04410"/>
    <w:rsid w:val="00E07484"/>
    <w:rsid w:val="00E11351"/>
    <w:rsid w:val="00E114ED"/>
    <w:rsid w:val="00E16585"/>
    <w:rsid w:val="00E17915"/>
    <w:rsid w:val="00E225D2"/>
    <w:rsid w:val="00E30E32"/>
    <w:rsid w:val="00E33F44"/>
    <w:rsid w:val="00E37D48"/>
    <w:rsid w:val="00E4225C"/>
    <w:rsid w:val="00E434CC"/>
    <w:rsid w:val="00E44319"/>
    <w:rsid w:val="00E44879"/>
    <w:rsid w:val="00E44E9B"/>
    <w:rsid w:val="00E61530"/>
    <w:rsid w:val="00E62BE7"/>
    <w:rsid w:val="00E72914"/>
    <w:rsid w:val="00E75AE0"/>
    <w:rsid w:val="00E76B61"/>
    <w:rsid w:val="00E77042"/>
    <w:rsid w:val="00E83C1F"/>
    <w:rsid w:val="00E85684"/>
    <w:rsid w:val="00E86008"/>
    <w:rsid w:val="00E868F8"/>
    <w:rsid w:val="00E8794B"/>
    <w:rsid w:val="00E97656"/>
    <w:rsid w:val="00EA004A"/>
    <w:rsid w:val="00EA172C"/>
    <w:rsid w:val="00EA259B"/>
    <w:rsid w:val="00EA35A3"/>
    <w:rsid w:val="00EA3E6A"/>
    <w:rsid w:val="00EA473E"/>
    <w:rsid w:val="00EA69CF"/>
    <w:rsid w:val="00EB0B22"/>
    <w:rsid w:val="00EB18EF"/>
    <w:rsid w:val="00EB2D66"/>
    <w:rsid w:val="00EB58F4"/>
    <w:rsid w:val="00EB7951"/>
    <w:rsid w:val="00EC32F2"/>
    <w:rsid w:val="00ED0AEA"/>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2BDB"/>
    <w:rsid w:val="00F3433D"/>
    <w:rsid w:val="00F35E08"/>
    <w:rsid w:val="00F37E07"/>
    <w:rsid w:val="00F4182A"/>
    <w:rsid w:val="00F449C6"/>
    <w:rsid w:val="00F464ED"/>
    <w:rsid w:val="00F52C3A"/>
    <w:rsid w:val="00F542C5"/>
    <w:rsid w:val="00F54380"/>
    <w:rsid w:val="00F54B47"/>
    <w:rsid w:val="00F5538C"/>
    <w:rsid w:val="00F61247"/>
    <w:rsid w:val="00F61F61"/>
    <w:rsid w:val="00F63191"/>
    <w:rsid w:val="00F6702E"/>
    <w:rsid w:val="00F70E84"/>
    <w:rsid w:val="00F7735B"/>
    <w:rsid w:val="00F80685"/>
    <w:rsid w:val="00F8258E"/>
    <w:rsid w:val="00F87A21"/>
    <w:rsid w:val="00F94968"/>
    <w:rsid w:val="00FA092B"/>
    <w:rsid w:val="00FA4F6C"/>
    <w:rsid w:val="00FA6EFD"/>
    <w:rsid w:val="00FB2A8E"/>
    <w:rsid w:val="00FB3791"/>
    <w:rsid w:val="00FB387B"/>
    <w:rsid w:val="00FB6780"/>
    <w:rsid w:val="00FB74EA"/>
    <w:rsid w:val="00FC1262"/>
    <w:rsid w:val="00FC7A43"/>
    <w:rsid w:val="00FD0ADB"/>
    <w:rsid w:val="00FD1424"/>
    <w:rsid w:val="00FD2C9E"/>
    <w:rsid w:val="00FD334A"/>
    <w:rsid w:val="00FD4786"/>
    <w:rsid w:val="00FD616C"/>
    <w:rsid w:val="00FD7249"/>
    <w:rsid w:val="00FE0DB9"/>
    <w:rsid w:val="00FE11A1"/>
    <w:rsid w:val="00FE4BA2"/>
    <w:rsid w:val="00FE53F2"/>
    <w:rsid w:val="00FF02F1"/>
    <w:rsid w:val="00FF0A00"/>
    <w:rsid w:val="00FF1C57"/>
    <w:rsid w:val="00FF2581"/>
    <w:rsid w:val="00FF6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B79E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777906"/>
    <w:pPr>
      <w:jc w:val="center"/>
    </w:pPr>
    <w:rPr>
      <w:rFonts w:ascii="Arial" w:hAnsi="Arial"/>
      <w:b/>
    </w:rPr>
  </w:style>
  <w:style w:type="paragraph" w:customStyle="1" w:styleId="IssueHeading">
    <w:name w:val="Issue Heading"/>
    <w:basedOn w:val="Heading1"/>
    <w:next w:val="BodyText"/>
    <w:link w:val="IssueHeadingChar"/>
    <w:qFormat/>
    <w:rsid w:val="00777906"/>
    <w:pPr>
      <w:keepNext w:val="0"/>
    </w:pPr>
    <w:rPr>
      <w:rFonts w:ascii="Arial" w:hAnsi="Arial"/>
      <w:b/>
      <w:i/>
    </w:rPr>
  </w:style>
  <w:style w:type="character" w:customStyle="1" w:styleId="IssueHeadingChar">
    <w:name w:val="Issue Heading Char"/>
    <w:link w:val="IssueHeading"/>
    <w:rsid w:val="00777906"/>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777906"/>
    <w:pPr>
      <w:keepNext w:val="0"/>
    </w:pPr>
    <w:rPr>
      <w:rFonts w:ascii="Arial" w:hAnsi="Arial"/>
      <w:b/>
      <w:i/>
    </w:rPr>
  </w:style>
  <w:style w:type="character" w:customStyle="1" w:styleId="IssueSubsectionHeadingChar">
    <w:name w:val="Issue Subsection Heading Char"/>
    <w:link w:val="IssueSubsectionHeading"/>
    <w:rsid w:val="00777906"/>
    <w:rPr>
      <w:rFonts w:ascii="Arial" w:hAnsi="Arial" w:cs="Arial"/>
      <w:b/>
      <w:bCs/>
      <w:i/>
      <w:iCs/>
      <w:sz w:val="24"/>
      <w:szCs w:val="28"/>
    </w:rPr>
  </w:style>
  <w:style w:type="paragraph" w:customStyle="1" w:styleId="TableNumber">
    <w:name w:val="Table Number"/>
    <w:basedOn w:val="BodyText"/>
    <w:next w:val="BodyText"/>
    <w:qFormat/>
    <w:rsid w:val="00777906"/>
    <w:pPr>
      <w:spacing w:before="480" w:after="0"/>
      <w:jc w:val="center"/>
    </w:pPr>
    <w:rPr>
      <w:rFonts w:ascii="Arial" w:hAnsi="Arial"/>
      <w:b/>
    </w:rPr>
  </w:style>
  <w:style w:type="paragraph" w:customStyle="1" w:styleId="TableTitle">
    <w:name w:val="Table Title"/>
    <w:basedOn w:val="BodyText"/>
    <w:next w:val="BodyText"/>
    <w:qFormat/>
    <w:rsid w:val="00777906"/>
    <w:pPr>
      <w:spacing w:after="0"/>
      <w:jc w:val="center"/>
    </w:pPr>
    <w:rPr>
      <w:rFonts w:ascii="Arial" w:hAnsi="Arial"/>
      <w:b/>
    </w:rPr>
  </w:style>
  <w:style w:type="paragraph" w:customStyle="1" w:styleId="First-LevelSubheading">
    <w:name w:val="First-Level Subheading"/>
    <w:basedOn w:val="IssueSubsectionHeading"/>
    <w:next w:val="BodyText"/>
    <w:qFormat/>
    <w:rsid w:val="00777906"/>
    <w:pPr>
      <w:spacing w:after="0"/>
      <w:outlineLvl w:val="2"/>
    </w:pPr>
    <w:rPr>
      <w:i w:val="0"/>
    </w:rPr>
  </w:style>
  <w:style w:type="paragraph" w:styleId="BalloonText">
    <w:name w:val="Balloon Text"/>
    <w:basedOn w:val="Normal"/>
    <w:link w:val="BalloonTextChar"/>
    <w:semiHidden/>
    <w:unhideWhenUsed/>
    <w:rsid w:val="00AC112D"/>
    <w:rPr>
      <w:rFonts w:ascii="Segoe UI" w:hAnsi="Segoe UI" w:cs="Segoe UI"/>
      <w:sz w:val="18"/>
      <w:szCs w:val="18"/>
    </w:rPr>
  </w:style>
  <w:style w:type="character" w:customStyle="1" w:styleId="BalloonTextChar">
    <w:name w:val="Balloon Text Char"/>
    <w:basedOn w:val="DefaultParagraphFont"/>
    <w:link w:val="BalloonText"/>
    <w:semiHidden/>
    <w:rsid w:val="00AC11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11</Pages>
  <Words>3248</Words>
  <Characters>18519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2026-02-23T14:48:00Z</dcterms:created>
  <dcterms:modified xsi:type="dcterms:W3CDTF">2026-02-23T15:02:00Z</dcterms:modified>
</cp:coreProperties>
</file>