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B6CE" w14:textId="77777777" w:rsidR="0045691E" w:rsidRPr="0003089D" w:rsidRDefault="0045691E" w:rsidP="0045691E">
      <w:pPr>
        <w:pStyle w:val="OrderHeading"/>
      </w:pPr>
      <w:r w:rsidRPr="0003089D">
        <w:t>BEFORE THE FLORIDA PUBLIC SERVICE COMMISSION</w:t>
      </w:r>
    </w:p>
    <w:p w14:paraId="41AFD613" w14:textId="77777777" w:rsidR="0045691E" w:rsidRPr="0003089D" w:rsidRDefault="0045691E" w:rsidP="0045691E">
      <w:pPr>
        <w:pStyle w:val="OrderBody"/>
      </w:pPr>
    </w:p>
    <w:p w14:paraId="11B47D8F" w14:textId="77777777" w:rsidR="0045691E" w:rsidRPr="0003089D" w:rsidRDefault="0045691E" w:rsidP="004569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691E" w:rsidRPr="0003089D" w14:paraId="7FA96DC6" w14:textId="77777777" w:rsidTr="00D36A5C">
        <w:trPr>
          <w:trHeight w:val="828"/>
        </w:trPr>
        <w:tc>
          <w:tcPr>
            <w:tcW w:w="4788" w:type="dxa"/>
            <w:tcBorders>
              <w:bottom w:val="single" w:sz="8" w:space="0" w:color="auto"/>
              <w:right w:val="double" w:sz="6" w:space="0" w:color="auto"/>
            </w:tcBorders>
            <w:shd w:val="clear" w:color="auto" w:fill="auto"/>
          </w:tcPr>
          <w:p w14:paraId="54418494" w14:textId="77777777" w:rsidR="0045691E" w:rsidRPr="0003089D" w:rsidRDefault="0045691E" w:rsidP="00D36A5C">
            <w:pPr>
              <w:pStyle w:val="OrderBody"/>
              <w:tabs>
                <w:tab w:val="center" w:pos="4320"/>
                <w:tab w:val="right" w:pos="8640"/>
              </w:tabs>
              <w:jc w:val="left"/>
            </w:pPr>
            <w:r w:rsidRPr="0003089D">
              <w:t xml:space="preserve">In re: </w:t>
            </w:r>
            <w:bookmarkStart w:id="0" w:name="SSInRe"/>
            <w:bookmarkEnd w:id="0"/>
            <w:r w:rsidRPr="0003089D">
              <w:t>Application for staff-assisted rate case in Polk County, by NC Real Estate Projects, LLC d/b/a Grenelefe Utility.</w:t>
            </w:r>
          </w:p>
        </w:tc>
        <w:tc>
          <w:tcPr>
            <w:tcW w:w="4788" w:type="dxa"/>
            <w:tcBorders>
              <w:left w:val="double" w:sz="6" w:space="0" w:color="auto"/>
            </w:tcBorders>
            <w:shd w:val="clear" w:color="auto" w:fill="auto"/>
          </w:tcPr>
          <w:p w14:paraId="7088135B" w14:textId="77777777" w:rsidR="0045691E" w:rsidRPr="0003089D" w:rsidRDefault="0045691E" w:rsidP="0045691E">
            <w:pPr>
              <w:pStyle w:val="OrderBody"/>
            </w:pPr>
            <w:r w:rsidRPr="0003089D">
              <w:t xml:space="preserve">DOCKET NO. </w:t>
            </w:r>
            <w:bookmarkStart w:id="1" w:name="SSDocketNo"/>
            <w:bookmarkEnd w:id="1"/>
            <w:r w:rsidRPr="0003089D">
              <w:t>20250023-WS</w:t>
            </w:r>
          </w:p>
          <w:p w14:paraId="2F5B71FC" w14:textId="290A16BE" w:rsidR="0045691E" w:rsidRPr="0003089D" w:rsidRDefault="0045691E" w:rsidP="00D36A5C">
            <w:pPr>
              <w:pStyle w:val="OrderBody"/>
              <w:tabs>
                <w:tab w:val="center" w:pos="4320"/>
                <w:tab w:val="right" w:pos="8640"/>
              </w:tabs>
              <w:jc w:val="left"/>
            </w:pPr>
            <w:r w:rsidRPr="0003089D">
              <w:t xml:space="preserve">ORDER NO. </w:t>
            </w:r>
            <w:bookmarkStart w:id="2" w:name="OrderNo0054"/>
            <w:r w:rsidR="00241450">
              <w:t>PSC-2026-0054-PAA-WS</w:t>
            </w:r>
            <w:bookmarkEnd w:id="2"/>
          </w:p>
          <w:p w14:paraId="6230A7FD" w14:textId="020AF23C" w:rsidR="0045691E" w:rsidRPr="0003089D" w:rsidRDefault="0045691E" w:rsidP="00D36A5C">
            <w:pPr>
              <w:pStyle w:val="OrderBody"/>
              <w:tabs>
                <w:tab w:val="center" w:pos="4320"/>
                <w:tab w:val="right" w:pos="8640"/>
              </w:tabs>
              <w:jc w:val="left"/>
            </w:pPr>
            <w:r w:rsidRPr="0003089D">
              <w:t xml:space="preserve">ISSUED: </w:t>
            </w:r>
            <w:r w:rsidR="00241450">
              <w:t>February 25, 2026</w:t>
            </w:r>
          </w:p>
        </w:tc>
      </w:tr>
    </w:tbl>
    <w:p w14:paraId="21E52F1B" w14:textId="77777777" w:rsidR="0045691E" w:rsidRPr="0003089D" w:rsidRDefault="0045691E" w:rsidP="0045691E"/>
    <w:p w14:paraId="704CE11E" w14:textId="77777777" w:rsidR="00CB5276" w:rsidRPr="0003089D" w:rsidRDefault="00D611DF" w:rsidP="0045691E">
      <w:r w:rsidRPr="0003089D">
        <w:t xml:space="preserve"> </w:t>
      </w:r>
    </w:p>
    <w:p w14:paraId="50653296" w14:textId="77777777" w:rsidR="0045691E" w:rsidRPr="0003089D" w:rsidRDefault="0045691E" w:rsidP="00D36A5C">
      <w:pPr>
        <w:spacing w:line="276" w:lineRule="auto"/>
        <w:jc w:val="center"/>
        <w:rPr>
          <w:rFonts w:eastAsiaTheme="minorHAnsi"/>
          <w:szCs w:val="22"/>
        </w:rPr>
      </w:pPr>
      <w:bookmarkStart w:id="3" w:name="Commissioners"/>
      <w:bookmarkEnd w:id="3"/>
      <w:r w:rsidRPr="0003089D">
        <w:rPr>
          <w:rFonts w:eastAsiaTheme="minorHAnsi"/>
          <w:szCs w:val="22"/>
        </w:rPr>
        <w:t xml:space="preserve">The following Commissioners participated in the disposition of this matter: </w:t>
      </w:r>
    </w:p>
    <w:p w14:paraId="5552738A" w14:textId="77777777" w:rsidR="0045691E" w:rsidRPr="0003089D" w:rsidRDefault="0045691E" w:rsidP="00D36A5C">
      <w:pPr>
        <w:spacing w:line="276" w:lineRule="auto"/>
        <w:jc w:val="center"/>
        <w:rPr>
          <w:rFonts w:eastAsiaTheme="minorHAnsi"/>
          <w:szCs w:val="22"/>
        </w:rPr>
      </w:pPr>
    </w:p>
    <w:p w14:paraId="5727672C" w14:textId="77777777" w:rsidR="0045691E" w:rsidRPr="0003089D" w:rsidRDefault="0045691E" w:rsidP="00D36A5C">
      <w:pPr>
        <w:spacing w:line="276" w:lineRule="auto"/>
        <w:jc w:val="center"/>
        <w:rPr>
          <w:rFonts w:eastAsiaTheme="minorHAnsi"/>
          <w:szCs w:val="22"/>
        </w:rPr>
      </w:pPr>
      <w:r w:rsidRPr="0003089D">
        <w:rPr>
          <w:rFonts w:eastAsiaTheme="minorHAnsi"/>
          <w:szCs w:val="22"/>
        </w:rPr>
        <w:t>GABRIELLA PASSIDOMO SMITH, Chairman</w:t>
      </w:r>
    </w:p>
    <w:p w14:paraId="1DADEE5C" w14:textId="77777777" w:rsidR="0045691E" w:rsidRPr="0003089D" w:rsidRDefault="0045691E" w:rsidP="00D36A5C">
      <w:pPr>
        <w:spacing w:line="276" w:lineRule="auto"/>
        <w:jc w:val="center"/>
        <w:rPr>
          <w:rFonts w:eastAsiaTheme="minorHAnsi"/>
          <w:szCs w:val="22"/>
        </w:rPr>
      </w:pPr>
      <w:r w:rsidRPr="0003089D">
        <w:rPr>
          <w:rFonts w:eastAsiaTheme="minorHAnsi"/>
          <w:szCs w:val="22"/>
        </w:rPr>
        <w:t>GARY F. CLARK</w:t>
      </w:r>
    </w:p>
    <w:p w14:paraId="349DFE10" w14:textId="77777777" w:rsidR="0045691E" w:rsidRPr="0003089D" w:rsidRDefault="0045691E" w:rsidP="00D36A5C">
      <w:pPr>
        <w:spacing w:line="276" w:lineRule="auto"/>
        <w:jc w:val="center"/>
        <w:rPr>
          <w:rFonts w:eastAsiaTheme="minorHAnsi"/>
          <w:szCs w:val="22"/>
        </w:rPr>
      </w:pPr>
      <w:r w:rsidRPr="0003089D">
        <w:rPr>
          <w:rFonts w:eastAsiaTheme="minorHAnsi"/>
          <w:szCs w:val="22"/>
        </w:rPr>
        <w:t>MIKE LA ROSA</w:t>
      </w:r>
    </w:p>
    <w:p w14:paraId="2C287FF5" w14:textId="77777777" w:rsidR="0045691E" w:rsidRPr="0003089D" w:rsidRDefault="0045691E" w:rsidP="00D36A5C">
      <w:pPr>
        <w:spacing w:line="276" w:lineRule="auto"/>
        <w:jc w:val="center"/>
        <w:rPr>
          <w:rFonts w:eastAsiaTheme="minorHAnsi"/>
          <w:szCs w:val="22"/>
        </w:rPr>
      </w:pPr>
      <w:r w:rsidRPr="0003089D">
        <w:rPr>
          <w:rFonts w:eastAsiaTheme="minorHAnsi"/>
          <w:szCs w:val="22"/>
        </w:rPr>
        <w:t>BOBBY PAYNE</w:t>
      </w:r>
    </w:p>
    <w:p w14:paraId="28C1B32C" w14:textId="77777777" w:rsidR="0045691E" w:rsidRPr="0003089D" w:rsidRDefault="0045691E" w:rsidP="00D36A5C">
      <w:pPr>
        <w:spacing w:line="276" w:lineRule="auto"/>
        <w:jc w:val="center"/>
        <w:rPr>
          <w:rFonts w:eastAsiaTheme="minorHAnsi"/>
          <w:szCs w:val="22"/>
        </w:rPr>
      </w:pPr>
      <w:r w:rsidRPr="0003089D">
        <w:rPr>
          <w:rFonts w:eastAsiaTheme="minorHAnsi"/>
          <w:szCs w:val="22"/>
        </w:rPr>
        <w:t>ANA ORTEGA</w:t>
      </w:r>
    </w:p>
    <w:p w14:paraId="2A03584E" w14:textId="77777777" w:rsidR="0045691E" w:rsidRPr="0003089D" w:rsidRDefault="0045691E" w:rsidP="00D36A5C">
      <w:pPr>
        <w:spacing w:line="276" w:lineRule="auto"/>
        <w:rPr>
          <w:rFonts w:eastAsiaTheme="minorHAnsi"/>
          <w:szCs w:val="22"/>
        </w:rPr>
      </w:pPr>
    </w:p>
    <w:bookmarkStart w:id="4" w:name="OrderText"/>
    <w:bookmarkEnd w:id="4"/>
    <w:p w14:paraId="5D5F8073" w14:textId="27BB0371" w:rsidR="0045691E" w:rsidRPr="0003089D" w:rsidRDefault="0045691E">
      <w:pPr>
        <w:pStyle w:val="OrderBody"/>
        <w:jc w:val="center"/>
        <w:rPr>
          <w:u w:val="single"/>
        </w:rPr>
      </w:pPr>
      <w:r w:rsidRPr="0003089D">
        <w:rPr>
          <w:lang w:val="en-CA"/>
        </w:rPr>
        <w:fldChar w:fldCharType="begin"/>
      </w:r>
      <w:r w:rsidRPr="0003089D">
        <w:rPr>
          <w:lang w:val="en-CA"/>
        </w:rPr>
        <w:instrText xml:space="preserve"> SEQ CHAPTER \h \r 1</w:instrText>
      </w:r>
      <w:r w:rsidRPr="0003089D">
        <w:fldChar w:fldCharType="end"/>
      </w:r>
      <w:r w:rsidRPr="0003089D">
        <w:rPr>
          <w:u w:val="single"/>
        </w:rPr>
        <w:t>NOTICE OF PROPOSED AGENCY ACTION</w:t>
      </w:r>
    </w:p>
    <w:p w14:paraId="33CFACFF" w14:textId="77777777" w:rsidR="00932C34" w:rsidRDefault="0045691E">
      <w:pPr>
        <w:pStyle w:val="OrderBody"/>
        <w:jc w:val="center"/>
        <w:rPr>
          <w:u w:val="single"/>
        </w:rPr>
      </w:pPr>
      <w:r w:rsidRPr="0003089D">
        <w:rPr>
          <w:u w:val="single"/>
        </w:rPr>
        <w:t>ORDER</w:t>
      </w:r>
      <w:bookmarkStart w:id="5" w:name="OrderTitle"/>
      <w:r w:rsidR="00932C34">
        <w:rPr>
          <w:u w:val="single"/>
        </w:rPr>
        <w:t xml:space="preserve"> APPROVING RATE INCREASE FOR</w:t>
      </w:r>
    </w:p>
    <w:p w14:paraId="412C77B9" w14:textId="77777777" w:rsidR="0045691E" w:rsidRPr="0003089D" w:rsidRDefault="00932C34">
      <w:pPr>
        <w:pStyle w:val="OrderBody"/>
        <w:jc w:val="center"/>
        <w:rPr>
          <w:u w:val="single"/>
        </w:rPr>
      </w:pPr>
      <w:r>
        <w:rPr>
          <w:u w:val="single"/>
        </w:rPr>
        <w:t>NC REAL ESTATE PROJECTS, LLC.</w:t>
      </w:r>
      <w:r w:rsidR="0045691E" w:rsidRPr="0003089D">
        <w:rPr>
          <w:u w:val="single"/>
        </w:rPr>
        <w:t xml:space="preserve"> </w:t>
      </w:r>
      <w:bookmarkEnd w:id="5"/>
    </w:p>
    <w:p w14:paraId="61F9B9D0" w14:textId="77777777" w:rsidR="0045691E" w:rsidRPr="0003089D" w:rsidRDefault="0045691E">
      <w:pPr>
        <w:pStyle w:val="OrderBody"/>
      </w:pPr>
    </w:p>
    <w:p w14:paraId="445A56F3" w14:textId="77777777" w:rsidR="0045691E" w:rsidRPr="0003089D" w:rsidRDefault="0045691E">
      <w:pPr>
        <w:pStyle w:val="OrderBody"/>
      </w:pPr>
    </w:p>
    <w:p w14:paraId="58C681D1" w14:textId="77777777" w:rsidR="0045691E" w:rsidRPr="0003089D" w:rsidRDefault="0045691E">
      <w:pPr>
        <w:pStyle w:val="OrderBody"/>
      </w:pPr>
      <w:r w:rsidRPr="0003089D">
        <w:t>BY THE COMMISSION:</w:t>
      </w:r>
    </w:p>
    <w:p w14:paraId="526F0B16" w14:textId="77777777" w:rsidR="0045691E" w:rsidRPr="0003089D" w:rsidRDefault="0045691E">
      <w:pPr>
        <w:pStyle w:val="OrderBody"/>
      </w:pPr>
    </w:p>
    <w:p w14:paraId="090934DF" w14:textId="1BEF5C72" w:rsidR="0045691E" w:rsidRPr="0003089D" w:rsidRDefault="0045691E" w:rsidP="00D36A5C">
      <w:pPr>
        <w:pStyle w:val="OrderBody"/>
      </w:pPr>
      <w:r w:rsidRPr="0003089D">
        <w:tab/>
        <w:t xml:space="preserve">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become final unless a person whose interests are substantially affected files a petition for a formal proceeding, pursuant to Rule 25-22.029, Florida Administrative Code (F.A.C.). </w:t>
      </w:r>
    </w:p>
    <w:p w14:paraId="413DF560" w14:textId="77777777" w:rsidR="00CB5276" w:rsidRPr="0003089D" w:rsidRDefault="00CB5276" w:rsidP="0045691E"/>
    <w:p w14:paraId="00FB3DB8" w14:textId="199FA185" w:rsidR="00D36A5C" w:rsidRPr="0003089D" w:rsidRDefault="00D36A5C" w:rsidP="00D36A5C">
      <w:pPr>
        <w:pStyle w:val="RecommendationMajorSectionHeading"/>
        <w:rPr>
          <w:rFonts w:ascii="Times New Roman" w:hAnsi="Times New Roman" w:cs="Times New Roman"/>
          <w:b w:val="0"/>
          <w:u w:val="single"/>
        </w:rPr>
      </w:pPr>
      <w:r w:rsidRPr="0003089D">
        <w:rPr>
          <w:rFonts w:ascii="Times New Roman" w:hAnsi="Times New Roman" w:cs="Times New Roman"/>
          <w:b w:val="0"/>
          <w:u w:val="single"/>
        </w:rPr>
        <w:t>Background</w:t>
      </w:r>
      <w:r w:rsidRPr="0003089D">
        <w:rPr>
          <w:rFonts w:ascii="Times New Roman" w:hAnsi="Times New Roman" w:cs="Times New Roman"/>
          <w:b w:val="0"/>
          <w:u w:val="single"/>
        </w:rPr>
        <w:fldChar w:fldCharType="begin"/>
      </w:r>
      <w:r w:rsidRPr="0003089D">
        <w:rPr>
          <w:rFonts w:ascii="Times New Roman" w:hAnsi="Times New Roman" w:cs="Times New Roman"/>
          <w:b w:val="0"/>
          <w:u w:val="single"/>
        </w:rPr>
        <w:fldChar w:fldCharType="end"/>
      </w:r>
    </w:p>
    <w:p w14:paraId="417B6727" w14:textId="47AF4FB5" w:rsidR="00D36A5C" w:rsidRDefault="00D36A5C" w:rsidP="0017668B">
      <w:pPr>
        <w:pStyle w:val="BodyText"/>
        <w:spacing w:after="0"/>
        <w:ind w:firstLine="720"/>
        <w:jc w:val="both"/>
      </w:pPr>
      <w:r w:rsidRPr="0003089D">
        <w:t>NC Real Estate Projects, LLC d/b/a Grenelefe Utility (Grenelefe or Utility) is a Class B water and wastewater utility operating in Polk County. Grenelefe provides service to approximately 1,400 water and wastewater customers. The Utility’s service territory is located within the Southwest Florida Water Management District (SWFWMD). In its 2024 Annual Report, Grenelefe reported net operating losses of $197,676 for water and $397,410 for wastewater.</w:t>
      </w:r>
    </w:p>
    <w:p w14:paraId="2B91ADB8" w14:textId="77777777" w:rsidR="0017668B" w:rsidRPr="0003089D" w:rsidRDefault="0017668B" w:rsidP="0017668B">
      <w:pPr>
        <w:pStyle w:val="BodyText"/>
        <w:spacing w:after="0"/>
        <w:ind w:firstLine="720"/>
        <w:jc w:val="both"/>
      </w:pPr>
    </w:p>
    <w:p w14:paraId="36311C8F" w14:textId="3A7A6AF3" w:rsidR="00D36A5C" w:rsidRDefault="00D36A5C" w:rsidP="0017668B">
      <w:pPr>
        <w:pStyle w:val="BodyText"/>
        <w:spacing w:after="0"/>
        <w:ind w:firstLine="720"/>
        <w:jc w:val="both"/>
      </w:pPr>
      <w:r w:rsidRPr="0003089D">
        <w:t>On July 8, 2024, Certificate Nos. 589-W and 507-S were transferred to the Utility.</w:t>
      </w:r>
      <w:r w:rsidRPr="0003089D">
        <w:rPr>
          <w:rStyle w:val="FootnoteReference"/>
        </w:rPr>
        <w:footnoteReference w:id="1"/>
      </w:r>
      <w:r w:rsidRPr="0003089D">
        <w:t xml:space="preserve"> On September 17, 2024, Grenelefe filed an application with </w:t>
      </w:r>
      <w:r w:rsidR="00BC2408" w:rsidRPr="0003089D">
        <w:t>us</w:t>
      </w:r>
      <w:r w:rsidRPr="0003089D">
        <w:t xml:space="preserve"> for an amendment of its water and wastewater service territories, which included the proposed addition of a new development of </w:t>
      </w:r>
      <w:r w:rsidRPr="0003089D">
        <w:lastRenderedPageBreak/>
        <w:t xml:space="preserve">approximately 1,080 customers. </w:t>
      </w:r>
      <w:r w:rsidR="00BC2408" w:rsidRPr="0003089D">
        <w:t>We</w:t>
      </w:r>
      <w:r w:rsidRPr="0003089D">
        <w:t xml:space="preserve"> approved Grenelefe’s certificate amendments on February 4, 2025.</w:t>
      </w:r>
      <w:r w:rsidRPr="0003089D">
        <w:rPr>
          <w:rStyle w:val="FootnoteReference"/>
        </w:rPr>
        <w:footnoteReference w:id="2"/>
      </w:r>
      <w:r w:rsidRPr="0003089D">
        <w:t xml:space="preserve"> The Utility’s rates were last established during a staff-assisted rate case (SARC) in 2011.</w:t>
      </w:r>
      <w:r w:rsidRPr="0003089D">
        <w:rPr>
          <w:rStyle w:val="FootnoteReference"/>
        </w:rPr>
        <w:footnoteReference w:id="3"/>
      </w:r>
    </w:p>
    <w:p w14:paraId="0565BD0E" w14:textId="77777777" w:rsidR="002638D8" w:rsidRDefault="002638D8" w:rsidP="002638D8">
      <w:pPr>
        <w:pStyle w:val="BodyText"/>
        <w:spacing w:after="0"/>
        <w:ind w:firstLine="720"/>
        <w:jc w:val="both"/>
      </w:pPr>
    </w:p>
    <w:p w14:paraId="70309A13" w14:textId="77777777" w:rsidR="009663E5" w:rsidRDefault="009663E5" w:rsidP="009663E5">
      <w:pPr>
        <w:pStyle w:val="BodyText"/>
        <w:spacing w:after="0"/>
        <w:ind w:firstLine="720"/>
        <w:jc w:val="both"/>
      </w:pPr>
      <w:r w:rsidRPr="0003089D">
        <w:t>On January 10, 2025, Grenelefe filed an application for a SARC. The official filing date was established as March 3, 2025. The 12-month period ended October 31, 2024, was selected as the test year. As part of its SARC application, the Utility requested both interim rates and service availability charges. However, on February 11, 2025, the Utility withdrew its request for interim service availability charges.</w:t>
      </w:r>
      <w:r w:rsidRPr="0003089D">
        <w:rPr>
          <w:rStyle w:val="FootnoteReference"/>
        </w:rPr>
        <w:footnoteReference w:id="4"/>
      </w:r>
      <w:r w:rsidRPr="0003089D">
        <w:t xml:space="preserve"> We approved the Utility’s interim rates on March 11, 2025.</w:t>
      </w:r>
      <w:r w:rsidRPr="0003089D">
        <w:rPr>
          <w:rStyle w:val="FootnoteReference"/>
        </w:rPr>
        <w:footnoteReference w:id="5"/>
      </w:r>
      <w:r w:rsidRPr="0003089D">
        <w:t xml:space="preserve"> Subsequently, Grenelefe reinstated its request for interim service availability charges.</w:t>
      </w:r>
      <w:r w:rsidRPr="0003089D">
        <w:rPr>
          <w:rStyle w:val="FootnoteReference"/>
        </w:rPr>
        <w:footnoteReference w:id="6"/>
      </w:r>
      <w:r w:rsidRPr="0003089D">
        <w:t xml:space="preserve"> On September 24, 2025, we approved the Utility’s interim service availability charges</w:t>
      </w:r>
      <w:r>
        <w:t>. As of January 22, 2026</w:t>
      </w:r>
      <w:r w:rsidRPr="0003089D">
        <w:t xml:space="preserve">, </w:t>
      </w:r>
      <w:r>
        <w:t>the Utility has not implemented</w:t>
      </w:r>
      <w:r w:rsidRPr="0003089D">
        <w:t xml:space="preserve"> these charges.</w:t>
      </w:r>
      <w:r w:rsidRPr="0003089D">
        <w:rPr>
          <w:rStyle w:val="FootnoteReference"/>
        </w:rPr>
        <w:footnoteReference w:id="7"/>
      </w:r>
      <w:r w:rsidRPr="0003089D">
        <w:t xml:space="preserve"> A virtual customer meeting was held on September 15, 2025.</w:t>
      </w:r>
    </w:p>
    <w:p w14:paraId="64C2D470" w14:textId="77777777" w:rsidR="009663E5" w:rsidRDefault="009663E5" w:rsidP="005026AF">
      <w:pPr>
        <w:pStyle w:val="BodyText"/>
        <w:spacing w:after="0"/>
        <w:ind w:firstLine="720"/>
        <w:jc w:val="both"/>
      </w:pPr>
    </w:p>
    <w:p w14:paraId="3F5E1E50" w14:textId="774B42B5" w:rsidR="005026AF" w:rsidRDefault="009663E5" w:rsidP="005026AF">
      <w:pPr>
        <w:pStyle w:val="BodyText"/>
        <w:spacing w:after="0"/>
        <w:ind w:firstLine="720"/>
        <w:jc w:val="both"/>
      </w:pPr>
      <w:r>
        <w:t>At the February 3, 2026 Agenda Conference, an attorney appeared on behalf of the Grenelefe Country Homeowners’ Association, which is comprised of Grenelefe customers. He voiced the Associations’ general support for the staff recommendation and presented their objections to Grenelefe’s proposal. To resolve these objections, the Association requested that we order the Utility to conduct a customer meeting, file quarterly reports on project progress, and report all line breaks and boil water notices. A Grenelefe customer who serves as president of Grenelefe Condos, a 781-unit condominium development, was also present at the Agenda Conference. This customer voiced concerns about the rate increase as well as the quality of service provided by Grenelefe. The attorney representing Grenelefe addressed several matters regarding rate base and the rate request, provided additional information regarding quality of service, and argued that the staff recommendation was incorrect in numerous respects</w:t>
      </w:r>
      <w:r w:rsidR="00514024">
        <w:t>.</w:t>
      </w:r>
    </w:p>
    <w:p w14:paraId="45BE0C09" w14:textId="77777777" w:rsidR="009663E5" w:rsidRPr="0003089D" w:rsidRDefault="009663E5" w:rsidP="005026AF">
      <w:pPr>
        <w:pStyle w:val="BodyText"/>
        <w:spacing w:after="0"/>
        <w:ind w:firstLine="720"/>
        <w:jc w:val="both"/>
      </w:pPr>
    </w:p>
    <w:p w14:paraId="18BDC4B2" w14:textId="62B0451D" w:rsidR="00D36A5C" w:rsidRDefault="00BC2408" w:rsidP="005026AF">
      <w:pPr>
        <w:ind w:firstLine="720"/>
        <w:jc w:val="both"/>
      </w:pPr>
      <w:r w:rsidRPr="0003089D">
        <w:t>We have</w:t>
      </w:r>
      <w:r w:rsidR="00D36A5C" w:rsidRPr="0003089D">
        <w:t xml:space="preserve"> jurisdiction in this case pursuant to Sections 367.011, 367.081, 367.0812, 367.0814, 367.091, and 367.121, Florida Statutes (F.S.).</w:t>
      </w:r>
    </w:p>
    <w:p w14:paraId="1F5857FB" w14:textId="2B8ED21F" w:rsidR="00F9792D" w:rsidRDefault="00F9792D" w:rsidP="005026AF">
      <w:pPr>
        <w:ind w:firstLine="720"/>
        <w:jc w:val="both"/>
      </w:pPr>
    </w:p>
    <w:p w14:paraId="211FAD74" w14:textId="41968624" w:rsidR="00F9792D" w:rsidRDefault="00F9792D" w:rsidP="005026AF">
      <w:pPr>
        <w:ind w:firstLine="720"/>
        <w:jc w:val="both"/>
      </w:pPr>
    </w:p>
    <w:p w14:paraId="46A4EF04" w14:textId="77777777" w:rsidR="00F9792D" w:rsidRPr="0003089D" w:rsidRDefault="00F9792D" w:rsidP="005026AF">
      <w:pPr>
        <w:ind w:firstLine="720"/>
        <w:jc w:val="both"/>
        <w:rPr>
          <w:b/>
        </w:rPr>
      </w:pPr>
    </w:p>
    <w:p w14:paraId="432FAE24" w14:textId="77777777" w:rsidR="00D36A5C" w:rsidRPr="0003089D" w:rsidRDefault="00D36A5C" w:rsidP="00D36A5C">
      <w:pPr>
        <w:rPr>
          <w:b/>
        </w:rPr>
      </w:pPr>
    </w:p>
    <w:p w14:paraId="17386DE0" w14:textId="77777777" w:rsidR="00D36A5C" w:rsidRPr="0003089D" w:rsidRDefault="00B2057D" w:rsidP="00D36A5C">
      <w:pPr>
        <w:pStyle w:val="RecommendationMajorSectionHeading"/>
        <w:rPr>
          <w:rFonts w:ascii="Times New Roman" w:hAnsi="Times New Roman" w:cs="Times New Roman"/>
        </w:rPr>
      </w:pPr>
      <w:bookmarkStart w:id="6" w:name="DiscussionOfIssues"/>
      <w:r w:rsidRPr="0003089D">
        <w:rPr>
          <w:rFonts w:ascii="Times New Roman" w:hAnsi="Times New Roman" w:cs="Times New Roman"/>
        </w:rPr>
        <w:lastRenderedPageBreak/>
        <w:t>Decision and Analysis</w:t>
      </w:r>
    </w:p>
    <w:bookmarkEnd w:id="6"/>
    <w:p w14:paraId="6ADBF933" w14:textId="77777777" w:rsidR="00D36A5C" w:rsidRPr="0003089D" w:rsidRDefault="00D83F67" w:rsidP="007B125E">
      <w:pPr>
        <w:pStyle w:val="BodyText"/>
        <w:spacing w:after="0"/>
        <w:jc w:val="both"/>
      </w:pPr>
      <w:r w:rsidRPr="0003089D">
        <w:t xml:space="preserve">1. </w:t>
      </w:r>
      <w:r w:rsidRPr="0003089D">
        <w:rPr>
          <w:u w:val="single"/>
        </w:rPr>
        <w:t>Q</w:t>
      </w:r>
      <w:r w:rsidR="00D36A5C" w:rsidRPr="0003089D">
        <w:rPr>
          <w:u w:val="single"/>
        </w:rPr>
        <w:t xml:space="preserve">uality of </w:t>
      </w:r>
      <w:r w:rsidRPr="0003089D">
        <w:rPr>
          <w:u w:val="single"/>
        </w:rPr>
        <w:t>S</w:t>
      </w:r>
      <w:r w:rsidR="00D36A5C" w:rsidRPr="0003089D">
        <w:rPr>
          <w:u w:val="single"/>
        </w:rPr>
        <w:t>ervice</w:t>
      </w:r>
      <w:r w:rsidR="00D36A5C" w:rsidRPr="0003089D">
        <w:t xml:space="preserve"> </w:t>
      </w:r>
    </w:p>
    <w:p w14:paraId="13F3F6AB" w14:textId="77777777" w:rsidR="007B125E" w:rsidRPr="0003089D" w:rsidRDefault="007B125E" w:rsidP="007B125E">
      <w:pPr>
        <w:pStyle w:val="BodyText"/>
        <w:spacing w:after="0"/>
        <w:jc w:val="both"/>
      </w:pPr>
    </w:p>
    <w:p w14:paraId="114AA935" w14:textId="79B8B7DB" w:rsidR="00D36A5C" w:rsidRPr="0003089D" w:rsidRDefault="00D36A5C" w:rsidP="007B125E">
      <w:pPr>
        <w:pStyle w:val="BodyText"/>
        <w:spacing w:after="0"/>
        <w:ind w:firstLine="720"/>
        <w:jc w:val="both"/>
      </w:pPr>
      <w:r w:rsidRPr="0003089D">
        <w:t>Pursuant to Section 367.081(2)(a)1, F.S., and Rule 25-30.433(1), F.A.C., in wate</w:t>
      </w:r>
      <w:r w:rsidR="003727B5">
        <w:t>r and wastewater rate cases,</w:t>
      </w:r>
      <w:r w:rsidRPr="0003089D">
        <w:t xml:space="preserve"> </w:t>
      </w:r>
      <w:r w:rsidR="003727B5">
        <w:t>w</w:t>
      </w:r>
      <w:r w:rsidR="00BC2408" w:rsidRPr="0003089D">
        <w:t>e</w:t>
      </w:r>
      <w:r w:rsidRPr="0003089D">
        <w:t xml:space="preserve"> shall determine the overall quality of service provided by the utility. This determination is made from an evaluation of the quality of the utility’s product (water) and the utility’s attempt to address customer satisfacti</w:t>
      </w:r>
      <w:r w:rsidR="0063786D">
        <w:t>on (water and wastewater). The r</w:t>
      </w:r>
      <w:r w:rsidRPr="0003089D">
        <w:t xml:space="preserve">ule further states that the most recent chemical analyses for the water system, outstanding citations, violations, and consent orders on file with the </w:t>
      </w:r>
      <w:r w:rsidR="0063786D">
        <w:t>Florida Department of Environmental Protection (</w:t>
      </w:r>
      <w:r w:rsidRPr="0003089D">
        <w:t>DEP</w:t>
      </w:r>
      <w:r w:rsidR="0063786D">
        <w:t>)</w:t>
      </w:r>
      <w:r w:rsidRPr="0003089D">
        <w:t xml:space="preserve"> and the County health department, as well as any DEP and county health department officials’ testimony concerning quality of service, shall be considered. In addition, any customer testimony, comments, or complaints received by </w:t>
      </w:r>
      <w:r w:rsidR="00BC2408" w:rsidRPr="0003089D">
        <w:t>us</w:t>
      </w:r>
      <w:r w:rsidRPr="0003089D">
        <w:t xml:space="preserve"> are to be reviewed. The operating conditions of the water and wastewater systems are addressed</w:t>
      </w:r>
      <w:r w:rsidR="00514024">
        <w:t xml:space="preserve"> below</w:t>
      </w:r>
      <w:r w:rsidRPr="0003089D">
        <w:t xml:space="preserve"> in </w:t>
      </w:r>
      <w:r w:rsidR="00BC2408" w:rsidRPr="0003089D">
        <w:t>Section</w:t>
      </w:r>
      <w:r w:rsidRPr="0003089D">
        <w:t xml:space="preserve"> 2</w:t>
      </w:r>
      <w:r w:rsidR="00514024">
        <w:t xml:space="preserve"> Infrastructure and Operating Conditions</w:t>
      </w:r>
      <w:r w:rsidRPr="0003089D">
        <w:t>.</w:t>
      </w:r>
    </w:p>
    <w:p w14:paraId="784A1ABC" w14:textId="77777777" w:rsidR="007B125E" w:rsidRPr="0003089D" w:rsidRDefault="007B125E" w:rsidP="007B125E">
      <w:pPr>
        <w:pStyle w:val="BodyText"/>
        <w:spacing w:after="0"/>
        <w:ind w:firstLine="720"/>
        <w:jc w:val="both"/>
      </w:pPr>
    </w:p>
    <w:p w14:paraId="4DF09F3F" w14:textId="77777777" w:rsidR="00D36A5C" w:rsidRPr="0003089D" w:rsidRDefault="007B125E" w:rsidP="007B125E">
      <w:pPr>
        <w:pStyle w:val="First-LevelSubheading"/>
        <w:ind w:firstLine="720"/>
        <w:rPr>
          <w:rFonts w:ascii="Times New Roman" w:hAnsi="Times New Roman" w:cs="Times New Roman"/>
          <w:b w:val="0"/>
          <w:i/>
        </w:rPr>
      </w:pPr>
      <w:r w:rsidRPr="0003089D">
        <w:rPr>
          <w:rFonts w:ascii="Times New Roman" w:hAnsi="Times New Roman" w:cs="Times New Roman"/>
          <w:b w:val="0"/>
          <w:i/>
        </w:rPr>
        <w:t xml:space="preserve">A.   </w:t>
      </w:r>
      <w:r w:rsidR="00D36A5C" w:rsidRPr="0003089D">
        <w:rPr>
          <w:rFonts w:ascii="Times New Roman" w:hAnsi="Times New Roman" w:cs="Times New Roman"/>
          <w:b w:val="0"/>
          <w:i/>
        </w:rPr>
        <w:t>Quality of Utility’s Product</w:t>
      </w:r>
    </w:p>
    <w:p w14:paraId="231A24F5" w14:textId="77777777" w:rsidR="007B125E" w:rsidRPr="0003089D" w:rsidRDefault="007B125E" w:rsidP="00026519">
      <w:pPr>
        <w:pStyle w:val="BodyText"/>
        <w:spacing w:after="0"/>
      </w:pPr>
    </w:p>
    <w:p w14:paraId="3D088227" w14:textId="14466DA1" w:rsidR="00D36A5C" w:rsidRPr="0003089D" w:rsidRDefault="00514024" w:rsidP="007B125E">
      <w:pPr>
        <w:pStyle w:val="BodyText"/>
        <w:spacing w:after="0"/>
        <w:ind w:firstLine="720"/>
        <w:jc w:val="both"/>
      </w:pPr>
      <w:r>
        <w:t>To evaluate</w:t>
      </w:r>
      <w:r w:rsidR="00D36A5C" w:rsidRPr="0003089D">
        <w:t xml:space="preserve"> Grenelefe’s product quality, </w:t>
      </w:r>
      <w:r w:rsidR="00B2057D" w:rsidRPr="0003089D">
        <w:t>we</w:t>
      </w:r>
      <w:r w:rsidR="00D36A5C" w:rsidRPr="0003089D">
        <w:t xml:space="preserve"> reviewed the Utility’s compliance with the DEP’s primary and secondary drinking water standards. Primary standards protect public health, while secondary standards regulate contaminants that may impact taste, odor, and color of drinking water. In the DEP’s last Sanitary Survey Report, dated May 10, 2023, no chemical or bacteriological exceedances were noted for the previous 12 months and the Utility was determined to be in compliance with DEP standards. </w:t>
      </w:r>
      <w:r w:rsidR="00B2057D" w:rsidRPr="0003089D">
        <w:t>We</w:t>
      </w:r>
      <w:r w:rsidR="00D36A5C" w:rsidRPr="0003089D">
        <w:t xml:space="preserve"> also reviewed the DEP’s triennial Safe Drinking Water Program chemical analysis of samples taken at the point of entry on February 26, 2025. The results were in compliance with DEP standards.</w:t>
      </w:r>
    </w:p>
    <w:p w14:paraId="0A75E006" w14:textId="77777777" w:rsidR="007B125E" w:rsidRPr="0003089D" w:rsidRDefault="007B125E" w:rsidP="007B125E">
      <w:pPr>
        <w:pStyle w:val="BodyText"/>
        <w:spacing w:after="0"/>
        <w:ind w:firstLine="720"/>
        <w:jc w:val="both"/>
      </w:pPr>
    </w:p>
    <w:p w14:paraId="671FEF17" w14:textId="77777777" w:rsidR="00D36A5C" w:rsidRPr="0003089D" w:rsidRDefault="007B125E" w:rsidP="007B125E">
      <w:pPr>
        <w:pStyle w:val="First-LevelSubheading"/>
        <w:ind w:firstLine="720"/>
        <w:rPr>
          <w:rFonts w:ascii="Times New Roman" w:hAnsi="Times New Roman" w:cs="Times New Roman"/>
          <w:b w:val="0"/>
          <w:i/>
        </w:rPr>
      </w:pPr>
      <w:r w:rsidRPr="0003089D">
        <w:rPr>
          <w:rFonts w:ascii="Times New Roman" w:hAnsi="Times New Roman" w:cs="Times New Roman"/>
          <w:b w:val="0"/>
          <w:i/>
        </w:rPr>
        <w:t xml:space="preserve">B.   </w:t>
      </w:r>
      <w:r w:rsidR="00D36A5C" w:rsidRPr="0003089D">
        <w:rPr>
          <w:rFonts w:ascii="Times New Roman" w:hAnsi="Times New Roman" w:cs="Times New Roman"/>
          <w:b w:val="0"/>
          <w:i/>
        </w:rPr>
        <w:t>The Utility’s Attempt to Address Customer Satisfaction</w:t>
      </w:r>
    </w:p>
    <w:p w14:paraId="4F2425F0" w14:textId="77777777" w:rsidR="007B125E" w:rsidRPr="0003089D" w:rsidRDefault="007B125E" w:rsidP="007B125E">
      <w:pPr>
        <w:pStyle w:val="BodyText"/>
        <w:spacing w:after="0"/>
      </w:pPr>
    </w:p>
    <w:p w14:paraId="38D04733" w14:textId="4E6790C1" w:rsidR="00D36A5C" w:rsidRDefault="00B2057D" w:rsidP="002638D8">
      <w:pPr>
        <w:pStyle w:val="BodyText"/>
        <w:spacing w:after="0"/>
        <w:ind w:firstLine="720"/>
        <w:jc w:val="both"/>
      </w:pPr>
      <w:r w:rsidRPr="0003089D">
        <w:t>We</w:t>
      </w:r>
      <w:r w:rsidR="00D36A5C" w:rsidRPr="0003089D">
        <w:t xml:space="preserve"> reviewed the complaints filed in the Commission’s Consumer Activity Tracking System (CATS) records, those received by the Utility, and those filed wi</w:t>
      </w:r>
      <w:r w:rsidR="00514024">
        <w:t>th the DEP since 2022 when the u</w:t>
      </w:r>
      <w:r w:rsidR="00D36A5C" w:rsidRPr="0003089D">
        <w:t>tility transferred to the current owner. For the analyzed time period, there was one complaint recorded in CATS under the current owner, which related to a delay in establishing service.</w:t>
      </w:r>
    </w:p>
    <w:p w14:paraId="0521C97C" w14:textId="77777777" w:rsidR="002638D8" w:rsidRPr="0003089D" w:rsidRDefault="002638D8" w:rsidP="002638D8">
      <w:pPr>
        <w:pStyle w:val="BodyText"/>
        <w:spacing w:after="0"/>
        <w:ind w:firstLine="720"/>
        <w:jc w:val="both"/>
      </w:pPr>
    </w:p>
    <w:p w14:paraId="29482F4B" w14:textId="7B99D3C2" w:rsidR="00D36A5C" w:rsidRDefault="00D36A5C" w:rsidP="002638D8">
      <w:pPr>
        <w:autoSpaceDE w:val="0"/>
        <w:autoSpaceDN w:val="0"/>
        <w:adjustRightInd w:val="0"/>
        <w:ind w:firstLine="720"/>
        <w:jc w:val="both"/>
      </w:pPr>
      <w:r w:rsidRPr="0003089D">
        <w:t>In its first data request,</w:t>
      </w:r>
      <w:r w:rsidR="00B2057D" w:rsidRPr="0003089D">
        <w:t xml:space="preserve"> our</w:t>
      </w:r>
      <w:r w:rsidRPr="0003089D">
        <w:t xml:space="preserve"> staff asked the Utility to provide a list of all service complaints received during the test year and four years prior to the test year and also requested an explanation of how each complaint was resolved. In response, the Utility indicated it had received 215 complaints over nine broad categories since taking ownership and provided generalized responses for each category on how the complaints were addressed.</w:t>
      </w:r>
      <w:r w:rsidRPr="0003089D">
        <w:rPr>
          <w:rStyle w:val="FootnoteReference"/>
        </w:rPr>
        <w:footnoteReference w:id="8"/>
      </w:r>
      <w:r w:rsidRPr="0003089D">
        <w:t xml:space="preserve"> As this question was not fully answered, </w:t>
      </w:r>
      <w:r w:rsidR="00B2057D" w:rsidRPr="0003089D">
        <w:t xml:space="preserve">our </w:t>
      </w:r>
      <w:r w:rsidRPr="0003089D">
        <w:t>staff asked the question again in its fourth data request. Grenelefe responded that it was unaware of its obligation to record every service complaint prior to</w:t>
      </w:r>
      <w:r w:rsidR="004F71CC">
        <w:t xml:space="preserve"> our</w:t>
      </w:r>
      <w:r w:rsidRPr="0003089D">
        <w:t xml:space="preserve"> staff’s first data request and therefore the Utility did not have the complaint records to provide.</w:t>
      </w:r>
      <w:r w:rsidRPr="0003089D">
        <w:rPr>
          <w:rStyle w:val="FootnoteReference"/>
        </w:rPr>
        <w:footnoteReference w:id="9"/>
      </w:r>
      <w:r w:rsidRPr="0003089D">
        <w:t xml:space="preserve"> </w:t>
      </w:r>
      <w:r w:rsidRPr="0003089D">
        <w:lastRenderedPageBreak/>
        <w:t>Based on the information available to</w:t>
      </w:r>
      <w:r w:rsidR="00B2057D" w:rsidRPr="0003089D">
        <w:t xml:space="preserve"> us</w:t>
      </w:r>
      <w:r w:rsidRPr="0003089D">
        <w:t xml:space="preserve">, the accuracy of which is uncertain, the majority of the 215 complaints were related to improper billing and quality of service issues, such as minerals in the water, smell, pipe leaks, water pressure, and lift </w:t>
      </w:r>
      <w:r w:rsidR="00B2057D" w:rsidRPr="0003089D">
        <w:t>station alarm noise. While we were</w:t>
      </w:r>
      <w:r w:rsidRPr="0003089D">
        <w:t xml:space="preserve"> unable to analyze the Utility’s complaints, they have been included in the summary table below.</w:t>
      </w:r>
    </w:p>
    <w:p w14:paraId="575DB422" w14:textId="77777777" w:rsidR="002638D8" w:rsidRPr="0003089D" w:rsidRDefault="002638D8" w:rsidP="002638D8">
      <w:pPr>
        <w:autoSpaceDE w:val="0"/>
        <w:autoSpaceDN w:val="0"/>
        <w:adjustRightInd w:val="0"/>
        <w:ind w:firstLine="720"/>
        <w:jc w:val="both"/>
      </w:pPr>
    </w:p>
    <w:p w14:paraId="514B19D3" w14:textId="77777777" w:rsidR="00D36A5C" w:rsidRPr="0003089D" w:rsidRDefault="00D36A5C" w:rsidP="007B125E">
      <w:pPr>
        <w:ind w:firstLine="720"/>
        <w:jc w:val="both"/>
        <w:rPr>
          <w:b/>
        </w:rPr>
      </w:pPr>
      <w:r w:rsidRPr="0003089D">
        <w:t xml:space="preserve">The DEP reported that it received three water complaints under the current owner regarding the number of Boil Water Notices (BWN) issued and reports of cloudy water, but did not receive any wastewater complaints. A review of the customer complaints indicates the Utility has resolved all complaints filed with </w:t>
      </w:r>
      <w:r w:rsidR="00BC2408" w:rsidRPr="0003089D">
        <w:t>us</w:t>
      </w:r>
      <w:r w:rsidRPr="0003089D">
        <w:t xml:space="preserve"> and with the DEP. Specific disposition of complaints received by t</w:t>
      </w:r>
      <w:r w:rsidR="006800FA">
        <w:t>he Utility is unknown. Table 1</w:t>
      </w:r>
      <w:r w:rsidRPr="0003089D">
        <w:t xml:space="preserve"> summarizes the complaints from May 31, 2022, through the end of the test year recorded with CATS, the DEP, and the Utility.</w:t>
      </w:r>
    </w:p>
    <w:p w14:paraId="35C10F27" w14:textId="77777777" w:rsidR="00514024" w:rsidRDefault="00514024" w:rsidP="00D36A5C">
      <w:pPr>
        <w:pStyle w:val="TableTitle"/>
        <w:keepNext/>
        <w:rPr>
          <w:rFonts w:ascii="Times New Roman" w:hAnsi="Times New Roman"/>
        </w:rPr>
      </w:pPr>
    </w:p>
    <w:p w14:paraId="55C6DB71" w14:textId="435BDC26" w:rsidR="00514024" w:rsidRDefault="00514024" w:rsidP="00D36A5C">
      <w:pPr>
        <w:pStyle w:val="TableTitle"/>
        <w:keepNext/>
        <w:rPr>
          <w:rFonts w:ascii="Times New Roman" w:hAnsi="Times New Roman"/>
        </w:rPr>
      </w:pPr>
      <w:r>
        <w:rPr>
          <w:rFonts w:ascii="Times New Roman" w:hAnsi="Times New Roman"/>
        </w:rPr>
        <w:t>Table 1</w:t>
      </w:r>
    </w:p>
    <w:p w14:paraId="02A513E1" w14:textId="19225941" w:rsidR="00D36A5C" w:rsidRPr="0003089D" w:rsidRDefault="00D36A5C" w:rsidP="00D36A5C">
      <w:pPr>
        <w:pStyle w:val="TableTitle"/>
        <w:keepNext/>
        <w:rPr>
          <w:rFonts w:ascii="Times New Roman" w:hAnsi="Times New Roman"/>
        </w:rPr>
      </w:pPr>
      <w:r w:rsidRPr="0003089D">
        <w:rPr>
          <w:rFonts w:ascii="Times New Roman" w:hAnsi="Times New Roman"/>
        </w:rPr>
        <w:t>Number of Complaints by Source and Subject</w:t>
      </w:r>
    </w:p>
    <w:tbl>
      <w:tblPr>
        <w:tblStyle w:val="TableGrid"/>
        <w:tblW w:w="6486" w:type="dxa"/>
        <w:jc w:val="center"/>
        <w:tblLook w:val="04A0" w:firstRow="1" w:lastRow="0" w:firstColumn="1" w:lastColumn="0" w:noHBand="0" w:noVBand="1"/>
      </w:tblPr>
      <w:tblGrid>
        <w:gridCol w:w="2192"/>
        <w:gridCol w:w="1107"/>
        <w:gridCol w:w="1112"/>
        <w:gridCol w:w="1243"/>
        <w:gridCol w:w="832"/>
      </w:tblGrid>
      <w:tr w:rsidR="00D36A5C" w:rsidRPr="0003089D" w14:paraId="1823FA3D" w14:textId="77777777" w:rsidTr="00D36A5C">
        <w:trPr>
          <w:jc w:val="center"/>
        </w:trPr>
        <w:tc>
          <w:tcPr>
            <w:tcW w:w="2192" w:type="dxa"/>
          </w:tcPr>
          <w:p w14:paraId="11F84208" w14:textId="77777777" w:rsidR="00D36A5C" w:rsidRPr="0003089D" w:rsidRDefault="00D36A5C" w:rsidP="00D36A5C"/>
        </w:tc>
        <w:tc>
          <w:tcPr>
            <w:tcW w:w="1107" w:type="dxa"/>
            <w:vAlign w:val="center"/>
          </w:tcPr>
          <w:p w14:paraId="7C09F596" w14:textId="77777777" w:rsidR="00D36A5C" w:rsidRPr="0003089D" w:rsidRDefault="00D36A5C" w:rsidP="00D36A5C">
            <w:pPr>
              <w:jc w:val="center"/>
            </w:pPr>
            <w:r w:rsidRPr="0003089D">
              <w:t xml:space="preserve">Current </w:t>
            </w:r>
          </w:p>
          <w:p w14:paraId="251F73AE" w14:textId="77777777" w:rsidR="00D36A5C" w:rsidRPr="0003089D" w:rsidRDefault="00D36A5C" w:rsidP="00D36A5C">
            <w:pPr>
              <w:jc w:val="center"/>
            </w:pPr>
            <w:r w:rsidRPr="0003089D">
              <w:t xml:space="preserve">Owner </w:t>
            </w:r>
          </w:p>
          <w:p w14:paraId="42A59B2D" w14:textId="77777777" w:rsidR="00D36A5C" w:rsidRPr="0003089D" w:rsidRDefault="00D36A5C" w:rsidP="00D36A5C">
            <w:pPr>
              <w:jc w:val="center"/>
            </w:pPr>
            <w:r w:rsidRPr="0003089D">
              <w:t>(CATS)</w:t>
            </w:r>
          </w:p>
        </w:tc>
        <w:tc>
          <w:tcPr>
            <w:tcW w:w="1112" w:type="dxa"/>
            <w:vAlign w:val="center"/>
          </w:tcPr>
          <w:p w14:paraId="663ED354" w14:textId="77777777" w:rsidR="00D36A5C" w:rsidRPr="0003089D" w:rsidRDefault="00D36A5C" w:rsidP="00D36A5C">
            <w:pPr>
              <w:jc w:val="center"/>
            </w:pPr>
            <w:r w:rsidRPr="0003089D">
              <w:t>DEP</w:t>
            </w:r>
          </w:p>
          <w:p w14:paraId="133E3062" w14:textId="77777777" w:rsidR="00D36A5C" w:rsidRPr="0003089D" w:rsidRDefault="00D36A5C" w:rsidP="00D36A5C">
            <w:pPr>
              <w:jc w:val="center"/>
            </w:pPr>
            <w:r w:rsidRPr="0003089D">
              <w:t>Records</w:t>
            </w:r>
          </w:p>
        </w:tc>
        <w:tc>
          <w:tcPr>
            <w:tcW w:w="1243" w:type="dxa"/>
            <w:vAlign w:val="center"/>
          </w:tcPr>
          <w:p w14:paraId="53D2E489" w14:textId="77777777" w:rsidR="00D36A5C" w:rsidRPr="0003089D" w:rsidRDefault="00D36A5C" w:rsidP="00D36A5C">
            <w:pPr>
              <w:jc w:val="center"/>
            </w:pPr>
            <w:r w:rsidRPr="0003089D">
              <w:t>Utility</w:t>
            </w:r>
          </w:p>
          <w:p w14:paraId="5C9639CE" w14:textId="77777777" w:rsidR="00D36A5C" w:rsidRPr="0003089D" w:rsidRDefault="00D36A5C" w:rsidP="00D36A5C">
            <w:pPr>
              <w:jc w:val="center"/>
            </w:pPr>
            <w:r w:rsidRPr="0003089D">
              <w:t>Records</w:t>
            </w:r>
          </w:p>
        </w:tc>
        <w:tc>
          <w:tcPr>
            <w:tcW w:w="832" w:type="dxa"/>
            <w:vAlign w:val="center"/>
          </w:tcPr>
          <w:p w14:paraId="0A346C1B" w14:textId="77777777" w:rsidR="00D36A5C" w:rsidRPr="0003089D" w:rsidRDefault="00D36A5C" w:rsidP="00D36A5C">
            <w:pPr>
              <w:jc w:val="center"/>
            </w:pPr>
            <w:r w:rsidRPr="0003089D">
              <w:t>Total</w:t>
            </w:r>
          </w:p>
        </w:tc>
      </w:tr>
      <w:tr w:rsidR="00D36A5C" w:rsidRPr="0003089D" w14:paraId="414C6036" w14:textId="77777777" w:rsidTr="00D36A5C">
        <w:trPr>
          <w:jc w:val="center"/>
        </w:trPr>
        <w:tc>
          <w:tcPr>
            <w:tcW w:w="2192" w:type="dxa"/>
          </w:tcPr>
          <w:p w14:paraId="3743B301" w14:textId="77777777" w:rsidR="00D36A5C" w:rsidRPr="0003089D" w:rsidRDefault="00D36A5C" w:rsidP="00D36A5C">
            <w:r w:rsidRPr="0003089D">
              <w:t>Delay in Connection</w:t>
            </w:r>
          </w:p>
        </w:tc>
        <w:tc>
          <w:tcPr>
            <w:tcW w:w="1107" w:type="dxa"/>
            <w:vAlign w:val="center"/>
          </w:tcPr>
          <w:p w14:paraId="3B36F3B9" w14:textId="77777777" w:rsidR="00D36A5C" w:rsidRPr="0003089D" w:rsidRDefault="00D36A5C" w:rsidP="00D36A5C">
            <w:pPr>
              <w:jc w:val="center"/>
            </w:pPr>
            <w:r w:rsidRPr="0003089D">
              <w:t>1</w:t>
            </w:r>
          </w:p>
        </w:tc>
        <w:tc>
          <w:tcPr>
            <w:tcW w:w="1112" w:type="dxa"/>
            <w:vAlign w:val="center"/>
          </w:tcPr>
          <w:p w14:paraId="4630C930" w14:textId="77777777" w:rsidR="00D36A5C" w:rsidRPr="0003089D" w:rsidRDefault="00D36A5C" w:rsidP="00D36A5C">
            <w:pPr>
              <w:jc w:val="center"/>
            </w:pPr>
            <w:r w:rsidRPr="0003089D">
              <w:t>-</w:t>
            </w:r>
          </w:p>
        </w:tc>
        <w:tc>
          <w:tcPr>
            <w:tcW w:w="1243" w:type="dxa"/>
            <w:vAlign w:val="center"/>
          </w:tcPr>
          <w:p w14:paraId="58A30D21" w14:textId="77777777" w:rsidR="00D36A5C" w:rsidRPr="0003089D" w:rsidRDefault="00D36A5C" w:rsidP="00D36A5C">
            <w:pPr>
              <w:jc w:val="center"/>
            </w:pPr>
            <w:r w:rsidRPr="0003089D">
              <w:t>-</w:t>
            </w:r>
          </w:p>
        </w:tc>
        <w:tc>
          <w:tcPr>
            <w:tcW w:w="832" w:type="dxa"/>
            <w:vAlign w:val="center"/>
          </w:tcPr>
          <w:p w14:paraId="023B8AE7" w14:textId="77777777" w:rsidR="00D36A5C" w:rsidRPr="0003089D" w:rsidRDefault="00D36A5C" w:rsidP="00D36A5C">
            <w:pPr>
              <w:jc w:val="center"/>
            </w:pPr>
            <w:r w:rsidRPr="0003089D">
              <w:t>1</w:t>
            </w:r>
          </w:p>
        </w:tc>
      </w:tr>
      <w:tr w:rsidR="00D36A5C" w:rsidRPr="0003089D" w14:paraId="77A77BD9" w14:textId="77777777" w:rsidTr="00D36A5C">
        <w:trPr>
          <w:jc w:val="center"/>
        </w:trPr>
        <w:tc>
          <w:tcPr>
            <w:tcW w:w="2192" w:type="dxa"/>
          </w:tcPr>
          <w:p w14:paraId="2A13DC7A" w14:textId="77777777" w:rsidR="00D36A5C" w:rsidRPr="0003089D" w:rsidRDefault="00D36A5C" w:rsidP="00D36A5C">
            <w:r w:rsidRPr="0003089D">
              <w:t>Improper Billing</w:t>
            </w:r>
          </w:p>
        </w:tc>
        <w:tc>
          <w:tcPr>
            <w:tcW w:w="1107" w:type="dxa"/>
            <w:vAlign w:val="center"/>
          </w:tcPr>
          <w:p w14:paraId="56FDEB2B" w14:textId="77777777" w:rsidR="00D36A5C" w:rsidRPr="0003089D" w:rsidRDefault="00D36A5C" w:rsidP="00D36A5C">
            <w:pPr>
              <w:jc w:val="center"/>
            </w:pPr>
          </w:p>
        </w:tc>
        <w:tc>
          <w:tcPr>
            <w:tcW w:w="1112" w:type="dxa"/>
            <w:vAlign w:val="center"/>
          </w:tcPr>
          <w:p w14:paraId="6633A8F6" w14:textId="77777777" w:rsidR="00D36A5C" w:rsidRPr="0003089D" w:rsidRDefault="00D36A5C" w:rsidP="00D36A5C">
            <w:pPr>
              <w:jc w:val="center"/>
            </w:pPr>
            <w:r w:rsidRPr="0003089D">
              <w:t>-</w:t>
            </w:r>
          </w:p>
        </w:tc>
        <w:tc>
          <w:tcPr>
            <w:tcW w:w="1243" w:type="dxa"/>
            <w:vAlign w:val="center"/>
          </w:tcPr>
          <w:p w14:paraId="66E5C520" w14:textId="77777777" w:rsidR="00D36A5C" w:rsidRPr="0003089D" w:rsidRDefault="00D36A5C" w:rsidP="00D36A5C">
            <w:pPr>
              <w:jc w:val="center"/>
            </w:pPr>
            <w:r w:rsidRPr="0003089D">
              <w:t>153</w:t>
            </w:r>
          </w:p>
        </w:tc>
        <w:tc>
          <w:tcPr>
            <w:tcW w:w="832" w:type="dxa"/>
            <w:vAlign w:val="center"/>
          </w:tcPr>
          <w:p w14:paraId="17C83BB6" w14:textId="77777777" w:rsidR="00D36A5C" w:rsidRPr="0003089D" w:rsidRDefault="00D36A5C" w:rsidP="00D36A5C">
            <w:pPr>
              <w:jc w:val="center"/>
            </w:pPr>
            <w:r w:rsidRPr="0003089D">
              <w:t>153</w:t>
            </w:r>
          </w:p>
        </w:tc>
      </w:tr>
      <w:tr w:rsidR="00D36A5C" w:rsidRPr="0003089D" w14:paraId="70E1CE5B" w14:textId="77777777" w:rsidTr="00D36A5C">
        <w:trPr>
          <w:jc w:val="center"/>
        </w:trPr>
        <w:tc>
          <w:tcPr>
            <w:tcW w:w="2192" w:type="dxa"/>
          </w:tcPr>
          <w:p w14:paraId="6F471FA7" w14:textId="77777777" w:rsidR="00D36A5C" w:rsidRPr="0003089D" w:rsidRDefault="00D36A5C" w:rsidP="00D36A5C">
            <w:r w:rsidRPr="0003089D">
              <w:t>Improper Disconnects</w:t>
            </w:r>
          </w:p>
        </w:tc>
        <w:tc>
          <w:tcPr>
            <w:tcW w:w="1107" w:type="dxa"/>
            <w:vAlign w:val="center"/>
          </w:tcPr>
          <w:p w14:paraId="16963232" w14:textId="77777777" w:rsidR="00D36A5C" w:rsidRPr="0003089D" w:rsidRDefault="00D36A5C" w:rsidP="00D36A5C">
            <w:pPr>
              <w:jc w:val="center"/>
            </w:pPr>
            <w:r w:rsidRPr="0003089D">
              <w:t>-</w:t>
            </w:r>
          </w:p>
        </w:tc>
        <w:tc>
          <w:tcPr>
            <w:tcW w:w="1112" w:type="dxa"/>
            <w:vAlign w:val="center"/>
          </w:tcPr>
          <w:p w14:paraId="1B106AA1" w14:textId="77777777" w:rsidR="00D36A5C" w:rsidRPr="0003089D" w:rsidRDefault="00D36A5C" w:rsidP="00D36A5C">
            <w:pPr>
              <w:jc w:val="center"/>
            </w:pPr>
            <w:r w:rsidRPr="0003089D">
              <w:t>-</w:t>
            </w:r>
          </w:p>
        </w:tc>
        <w:tc>
          <w:tcPr>
            <w:tcW w:w="1243" w:type="dxa"/>
            <w:vAlign w:val="center"/>
          </w:tcPr>
          <w:p w14:paraId="5FD75A62" w14:textId="77777777" w:rsidR="00D36A5C" w:rsidRPr="0003089D" w:rsidRDefault="00D36A5C" w:rsidP="00D36A5C">
            <w:pPr>
              <w:jc w:val="center"/>
            </w:pPr>
            <w:r w:rsidRPr="0003089D">
              <w:t>-</w:t>
            </w:r>
          </w:p>
        </w:tc>
        <w:tc>
          <w:tcPr>
            <w:tcW w:w="832" w:type="dxa"/>
            <w:vAlign w:val="center"/>
          </w:tcPr>
          <w:p w14:paraId="63B34EC5" w14:textId="77777777" w:rsidR="00D36A5C" w:rsidRPr="0003089D" w:rsidRDefault="00D36A5C" w:rsidP="00D36A5C">
            <w:pPr>
              <w:jc w:val="center"/>
            </w:pPr>
            <w:r w:rsidRPr="0003089D">
              <w:t>-</w:t>
            </w:r>
          </w:p>
        </w:tc>
      </w:tr>
      <w:tr w:rsidR="00D36A5C" w:rsidRPr="0003089D" w14:paraId="3175DDFD" w14:textId="77777777" w:rsidTr="00D36A5C">
        <w:trPr>
          <w:jc w:val="center"/>
        </w:trPr>
        <w:tc>
          <w:tcPr>
            <w:tcW w:w="2192" w:type="dxa"/>
          </w:tcPr>
          <w:p w14:paraId="21B65D64" w14:textId="77777777" w:rsidR="00D36A5C" w:rsidRPr="0003089D" w:rsidRDefault="00D36A5C" w:rsidP="00D36A5C">
            <w:r w:rsidRPr="0003089D">
              <w:t>Outages</w:t>
            </w:r>
          </w:p>
        </w:tc>
        <w:tc>
          <w:tcPr>
            <w:tcW w:w="1107" w:type="dxa"/>
            <w:vAlign w:val="center"/>
          </w:tcPr>
          <w:p w14:paraId="6C298132" w14:textId="77777777" w:rsidR="00D36A5C" w:rsidRPr="0003089D" w:rsidRDefault="00D36A5C" w:rsidP="00D36A5C">
            <w:pPr>
              <w:jc w:val="center"/>
            </w:pPr>
            <w:r w:rsidRPr="0003089D">
              <w:t>-</w:t>
            </w:r>
          </w:p>
        </w:tc>
        <w:tc>
          <w:tcPr>
            <w:tcW w:w="1112" w:type="dxa"/>
            <w:vAlign w:val="center"/>
          </w:tcPr>
          <w:p w14:paraId="0F4E3A07" w14:textId="77777777" w:rsidR="00D36A5C" w:rsidRPr="0003089D" w:rsidRDefault="00D36A5C" w:rsidP="00D36A5C">
            <w:pPr>
              <w:jc w:val="center"/>
            </w:pPr>
            <w:r w:rsidRPr="0003089D">
              <w:t>-</w:t>
            </w:r>
          </w:p>
        </w:tc>
        <w:tc>
          <w:tcPr>
            <w:tcW w:w="1243" w:type="dxa"/>
            <w:vAlign w:val="center"/>
          </w:tcPr>
          <w:p w14:paraId="4714D085" w14:textId="77777777" w:rsidR="00D36A5C" w:rsidRPr="0003089D" w:rsidRDefault="00D36A5C" w:rsidP="00D36A5C">
            <w:pPr>
              <w:jc w:val="center"/>
            </w:pPr>
            <w:r w:rsidRPr="0003089D">
              <w:t>-</w:t>
            </w:r>
          </w:p>
        </w:tc>
        <w:tc>
          <w:tcPr>
            <w:tcW w:w="832" w:type="dxa"/>
            <w:vAlign w:val="center"/>
          </w:tcPr>
          <w:p w14:paraId="04905E14" w14:textId="77777777" w:rsidR="00D36A5C" w:rsidRPr="0003089D" w:rsidRDefault="00D36A5C" w:rsidP="00D36A5C">
            <w:pPr>
              <w:jc w:val="center"/>
            </w:pPr>
            <w:r w:rsidRPr="0003089D">
              <w:t>-</w:t>
            </w:r>
          </w:p>
        </w:tc>
      </w:tr>
      <w:tr w:rsidR="00D36A5C" w:rsidRPr="0003089D" w14:paraId="6AD21D9D" w14:textId="77777777" w:rsidTr="00D36A5C">
        <w:trPr>
          <w:jc w:val="center"/>
        </w:trPr>
        <w:tc>
          <w:tcPr>
            <w:tcW w:w="2192" w:type="dxa"/>
          </w:tcPr>
          <w:p w14:paraId="11D1F9A5" w14:textId="77777777" w:rsidR="00D36A5C" w:rsidRPr="0003089D" w:rsidRDefault="00D36A5C" w:rsidP="00D36A5C">
            <w:r w:rsidRPr="0003089D">
              <w:t>Quality of Service</w:t>
            </w:r>
          </w:p>
        </w:tc>
        <w:tc>
          <w:tcPr>
            <w:tcW w:w="1107" w:type="dxa"/>
            <w:vAlign w:val="center"/>
          </w:tcPr>
          <w:p w14:paraId="3F62F466" w14:textId="77777777" w:rsidR="00D36A5C" w:rsidRPr="0003089D" w:rsidRDefault="00D36A5C" w:rsidP="00D36A5C">
            <w:pPr>
              <w:jc w:val="center"/>
            </w:pPr>
            <w:r w:rsidRPr="0003089D">
              <w:t>-</w:t>
            </w:r>
          </w:p>
        </w:tc>
        <w:tc>
          <w:tcPr>
            <w:tcW w:w="1112" w:type="dxa"/>
            <w:vAlign w:val="center"/>
          </w:tcPr>
          <w:p w14:paraId="5246D581" w14:textId="77777777" w:rsidR="00D36A5C" w:rsidRPr="0003089D" w:rsidRDefault="00D36A5C" w:rsidP="00D36A5C">
            <w:pPr>
              <w:jc w:val="center"/>
            </w:pPr>
            <w:r w:rsidRPr="0003089D">
              <w:t>3</w:t>
            </w:r>
          </w:p>
        </w:tc>
        <w:tc>
          <w:tcPr>
            <w:tcW w:w="1243" w:type="dxa"/>
            <w:vAlign w:val="center"/>
          </w:tcPr>
          <w:p w14:paraId="027997A6" w14:textId="77777777" w:rsidR="00D36A5C" w:rsidRPr="0003089D" w:rsidRDefault="00D36A5C" w:rsidP="00D36A5C">
            <w:pPr>
              <w:jc w:val="center"/>
            </w:pPr>
            <w:r w:rsidRPr="0003089D">
              <w:t>62</w:t>
            </w:r>
          </w:p>
        </w:tc>
        <w:tc>
          <w:tcPr>
            <w:tcW w:w="832" w:type="dxa"/>
            <w:vAlign w:val="center"/>
          </w:tcPr>
          <w:p w14:paraId="0DBB705B" w14:textId="77777777" w:rsidR="00D36A5C" w:rsidRPr="0003089D" w:rsidRDefault="00D36A5C" w:rsidP="00D36A5C">
            <w:pPr>
              <w:jc w:val="center"/>
            </w:pPr>
            <w:r w:rsidRPr="0003089D">
              <w:t>65</w:t>
            </w:r>
          </w:p>
        </w:tc>
      </w:tr>
      <w:tr w:rsidR="00D36A5C" w:rsidRPr="0003089D" w14:paraId="40C54CFD" w14:textId="77777777" w:rsidTr="00D36A5C">
        <w:trPr>
          <w:jc w:val="center"/>
        </w:trPr>
        <w:tc>
          <w:tcPr>
            <w:tcW w:w="2192" w:type="dxa"/>
          </w:tcPr>
          <w:p w14:paraId="19C6F69D" w14:textId="77777777" w:rsidR="00D36A5C" w:rsidRPr="0003089D" w:rsidRDefault="00D36A5C" w:rsidP="00D36A5C">
            <w:r w:rsidRPr="0003089D">
              <w:t>Total</w:t>
            </w:r>
          </w:p>
        </w:tc>
        <w:tc>
          <w:tcPr>
            <w:tcW w:w="1107" w:type="dxa"/>
            <w:vAlign w:val="center"/>
          </w:tcPr>
          <w:p w14:paraId="00EFB224" w14:textId="77777777" w:rsidR="00D36A5C" w:rsidRPr="0003089D" w:rsidRDefault="00D36A5C" w:rsidP="00D36A5C">
            <w:pPr>
              <w:jc w:val="center"/>
            </w:pPr>
            <w:r w:rsidRPr="0003089D">
              <w:t>1</w:t>
            </w:r>
          </w:p>
        </w:tc>
        <w:tc>
          <w:tcPr>
            <w:tcW w:w="1112" w:type="dxa"/>
            <w:vAlign w:val="center"/>
          </w:tcPr>
          <w:p w14:paraId="0691BF09" w14:textId="77777777" w:rsidR="00D36A5C" w:rsidRPr="0003089D" w:rsidRDefault="00D36A5C" w:rsidP="00D36A5C">
            <w:pPr>
              <w:jc w:val="center"/>
            </w:pPr>
            <w:r w:rsidRPr="0003089D">
              <w:t>3</w:t>
            </w:r>
          </w:p>
        </w:tc>
        <w:tc>
          <w:tcPr>
            <w:tcW w:w="1243" w:type="dxa"/>
            <w:vAlign w:val="center"/>
          </w:tcPr>
          <w:p w14:paraId="205A7957" w14:textId="77777777" w:rsidR="00D36A5C" w:rsidRPr="0003089D" w:rsidRDefault="00D36A5C" w:rsidP="00D36A5C">
            <w:pPr>
              <w:jc w:val="center"/>
            </w:pPr>
            <w:r w:rsidRPr="0003089D">
              <w:t>215</w:t>
            </w:r>
          </w:p>
        </w:tc>
        <w:tc>
          <w:tcPr>
            <w:tcW w:w="832" w:type="dxa"/>
            <w:vAlign w:val="center"/>
          </w:tcPr>
          <w:p w14:paraId="49EDBF00" w14:textId="77777777" w:rsidR="00D36A5C" w:rsidRPr="0003089D" w:rsidRDefault="00D36A5C" w:rsidP="00D36A5C">
            <w:pPr>
              <w:jc w:val="center"/>
            </w:pPr>
            <w:r w:rsidRPr="0003089D">
              <w:t>219</w:t>
            </w:r>
          </w:p>
        </w:tc>
      </w:tr>
    </w:tbl>
    <w:p w14:paraId="6C2749F1" w14:textId="77777777" w:rsidR="00D36A5C" w:rsidRPr="0003089D" w:rsidRDefault="00D36A5C" w:rsidP="00D36A5C">
      <w:pPr>
        <w:pStyle w:val="TableSource"/>
        <w:spacing w:after="0"/>
      </w:pPr>
    </w:p>
    <w:p w14:paraId="358123C8" w14:textId="6D854149" w:rsidR="009663E5" w:rsidRDefault="009663E5" w:rsidP="002638D8">
      <w:pPr>
        <w:pStyle w:val="BodyText"/>
        <w:spacing w:after="0"/>
        <w:ind w:firstLine="720"/>
        <w:jc w:val="both"/>
      </w:pPr>
      <w:r w:rsidRPr="0003089D">
        <w:t xml:space="preserve">We performed a supplemental review of the complaints filed in CATS following the </w:t>
      </w:r>
      <w:r w:rsidR="0063786D">
        <w:t>c</w:t>
      </w:r>
      <w:r w:rsidRPr="0003089D">
        <w:t xml:space="preserve">ustomer </w:t>
      </w:r>
      <w:r w:rsidR="0063786D">
        <w:t>m</w:t>
      </w:r>
      <w:r w:rsidRPr="0003089D">
        <w:t xml:space="preserve">eeting held on September 15, 2025. This review found two additional complaints. These two CATS complaints addressed a sewer main line back up and improper billing. </w:t>
      </w:r>
      <w:r>
        <w:t xml:space="preserve">The utility did not respond to </w:t>
      </w:r>
      <w:r w:rsidRPr="0003089D">
        <w:t>one of the CATS complaints</w:t>
      </w:r>
      <w:r>
        <w:t xml:space="preserve"> within the required 15 days, which is</w:t>
      </w:r>
      <w:r w:rsidRPr="0003089D">
        <w:t xml:space="preserve"> an apparent violation of Rule 25-22.032(6)(b), F.A.C.</w:t>
      </w:r>
      <w:r w:rsidRPr="0003089D" w:rsidDel="00271626">
        <w:t xml:space="preserve"> </w:t>
      </w:r>
    </w:p>
    <w:p w14:paraId="2C269225" w14:textId="77777777" w:rsidR="002638D8" w:rsidRDefault="002638D8" w:rsidP="002638D8">
      <w:pPr>
        <w:pStyle w:val="BodyText"/>
        <w:spacing w:after="0"/>
        <w:ind w:firstLine="720"/>
        <w:jc w:val="both"/>
      </w:pPr>
    </w:p>
    <w:p w14:paraId="76C5384E" w14:textId="6ECA8B28" w:rsidR="009663E5" w:rsidRDefault="009663E5" w:rsidP="002638D8">
      <w:pPr>
        <w:pStyle w:val="BodyText"/>
        <w:spacing w:after="0"/>
        <w:ind w:firstLine="720"/>
        <w:jc w:val="both"/>
      </w:pPr>
      <w:r>
        <w:t>Twenty customers provided comments a</w:t>
      </w:r>
      <w:r w:rsidRPr="0003089D">
        <w:t xml:space="preserve">t </w:t>
      </w:r>
      <w:r w:rsidR="0063786D">
        <w:t xml:space="preserve">the </w:t>
      </w:r>
      <w:r>
        <w:t xml:space="preserve">September 15, 2025, </w:t>
      </w:r>
      <w:r w:rsidRPr="0003089D">
        <w:t>virtual customer meeting</w:t>
      </w:r>
      <w:r>
        <w:t>. These</w:t>
      </w:r>
      <w:r w:rsidRPr="0003089D">
        <w:t xml:space="preserve"> customers echoed the concerns discussed above </w:t>
      </w:r>
      <w:r>
        <w:t>and</w:t>
      </w:r>
      <w:r w:rsidRPr="0003089D">
        <w:t xml:space="preserve"> oppos</w:t>
      </w:r>
      <w:r>
        <w:t>ed</w:t>
      </w:r>
      <w:r w:rsidRPr="0003089D">
        <w:t xml:space="preserve"> the rate increase. </w:t>
      </w:r>
      <w:r>
        <w:t>E</w:t>
      </w:r>
      <w:r w:rsidRPr="0003089D">
        <w:t xml:space="preserve">ight customers specifically commented on the number of BWNs issued and one customer had outage concerns. </w:t>
      </w:r>
      <w:r>
        <w:t>O</w:t>
      </w:r>
      <w:r w:rsidRPr="0003089D">
        <w:t>ne customer discussed multiple sewage overflows he experienced in his upstairs condominium unit that emanated from line breaks underneath the customer’s landing. The DEP investigated the sewer overflow issues on October 22, 2025, upon receiving a customer complaint from the Department of Health. After a facility inspection, the DEP determined Grenelefe to be in compliance by letter dated December 12, 2025.</w:t>
      </w:r>
    </w:p>
    <w:p w14:paraId="6B496BC0" w14:textId="77777777" w:rsidR="002638D8" w:rsidRPr="0003089D" w:rsidRDefault="002638D8" w:rsidP="002638D8">
      <w:pPr>
        <w:pStyle w:val="BodyText"/>
        <w:spacing w:after="0"/>
        <w:ind w:firstLine="720"/>
        <w:jc w:val="both"/>
      </w:pPr>
    </w:p>
    <w:p w14:paraId="3DCDD671" w14:textId="02E5FE98" w:rsidR="002638D8" w:rsidRDefault="00264C4D" w:rsidP="002638D8">
      <w:pPr>
        <w:pStyle w:val="BodyText"/>
        <w:spacing w:after="0"/>
        <w:ind w:firstLine="720"/>
        <w:jc w:val="both"/>
      </w:pPr>
      <w:r w:rsidRPr="0003089D">
        <w:t>There were approximately 209 customer comments filed in the docket file as of December 12, 2025.</w:t>
      </w:r>
      <w:r w:rsidRPr="0003089D">
        <w:rPr>
          <w:rStyle w:val="FootnoteReference"/>
        </w:rPr>
        <w:footnoteReference w:id="10"/>
      </w:r>
      <w:r w:rsidRPr="0003089D">
        <w:t xml:space="preserve"> The majority of these comments expressed concerns with the rate increase </w:t>
      </w:r>
      <w:r w:rsidRPr="0003089D">
        <w:lastRenderedPageBreak/>
        <w:t>and argued that the water service is not reliable enough to justify such an increase. Other comments addressed quality of service for both the water and wastewater systems (13)</w:t>
      </w:r>
      <w:r>
        <w:t>,</w:t>
      </w:r>
      <w:r w:rsidRPr="0003089D">
        <w:t xml:space="preserve"> outages (11)</w:t>
      </w:r>
      <w:r>
        <w:t>,</w:t>
      </w:r>
      <w:r w:rsidRPr="0003089D">
        <w:t xml:space="preserve"> and improper billing (3). In addition, customers expressed their dissatisfaction with the frequency and length of service interruptions. With respect to these service interruptions, customers also expressed communication concerns in regard to the Utility not providing comprehensive information as to the location of the areas affected by BWNs and when the BWNs were rescinded. Further, customers also identified communication issues regarding irrigation water services and not being notified of the discontinuation of those irrigation services.</w:t>
      </w:r>
    </w:p>
    <w:p w14:paraId="63FB7B72" w14:textId="2DA8BFAB" w:rsidR="00264C4D" w:rsidRPr="0003089D" w:rsidRDefault="00264C4D" w:rsidP="002638D8">
      <w:pPr>
        <w:pStyle w:val="BodyText"/>
        <w:spacing w:after="0"/>
        <w:ind w:firstLine="720"/>
        <w:jc w:val="both"/>
      </w:pPr>
      <w:r w:rsidRPr="0003089D">
        <w:t xml:space="preserve"> </w:t>
      </w:r>
    </w:p>
    <w:p w14:paraId="12A8801E" w14:textId="723389C1" w:rsidR="00837A39" w:rsidRDefault="00837A39" w:rsidP="002638D8">
      <w:pPr>
        <w:pStyle w:val="BodyText"/>
        <w:spacing w:after="0"/>
        <w:ind w:firstLine="720"/>
        <w:jc w:val="both"/>
      </w:pPr>
      <w:r w:rsidRPr="0003089D">
        <w:t xml:space="preserve">On December 15, 2025, the Utility filed a letter in the docket file addressing </w:t>
      </w:r>
      <w:r>
        <w:t xml:space="preserve">certain matters raised by </w:t>
      </w:r>
      <w:r w:rsidRPr="0003089D">
        <w:t xml:space="preserve">the Office of Public Counsel (OPC) </w:t>
      </w:r>
      <w:r>
        <w:t>in a</w:t>
      </w:r>
      <w:r w:rsidRPr="0003089D">
        <w:t xml:space="preserve"> letter dated</w:t>
      </w:r>
      <w:r>
        <w:t xml:space="preserve"> and filed</w:t>
      </w:r>
      <w:r w:rsidRPr="0003089D">
        <w:t xml:space="preserve"> October 3, 2025. The Utility’s letter stated that it had received 17 service-related complaints during this proceeding, the majority</w:t>
      </w:r>
      <w:r>
        <w:t xml:space="preserve"> of which</w:t>
      </w:r>
      <w:r w:rsidRPr="0003089D">
        <w:t xml:space="preserve"> were related to BWNs and service interruptions</w:t>
      </w:r>
      <w:r>
        <w:t>. T</w:t>
      </w:r>
      <w:r w:rsidRPr="0003089D">
        <w:t xml:space="preserve">wo customer complaints concerned sewer backups, which </w:t>
      </w:r>
      <w:r>
        <w:t>the Utility</w:t>
      </w:r>
      <w:r w:rsidRPr="0003089D">
        <w:t xml:space="preserve"> determined were not </w:t>
      </w:r>
      <w:r>
        <w:t>its fault.</w:t>
      </w:r>
      <w:r w:rsidR="005B48C7">
        <w:t xml:space="preserve"> On December 18, 2025,</w:t>
      </w:r>
      <w:r w:rsidRPr="0003089D">
        <w:t xml:space="preserve"> OPC filed a subsequent letter detailing the level of customer participation in this proceeding</w:t>
      </w:r>
      <w:r>
        <w:t xml:space="preserve">, </w:t>
      </w:r>
      <w:r w:rsidRPr="0003089D">
        <w:t xml:space="preserve">noting </w:t>
      </w:r>
      <w:r>
        <w:t xml:space="preserve">comments from </w:t>
      </w:r>
      <w:r w:rsidRPr="0003089D">
        <w:t>an unprecedented 16 percent of the customer base,</w:t>
      </w:r>
      <w:r w:rsidR="00F262E4">
        <w:t xml:space="preserve"> and also expressing concerns about</w:t>
      </w:r>
      <w:r w:rsidRPr="0003089D">
        <w:t xml:space="preserve"> the amount of the overall rate increase. </w:t>
      </w:r>
    </w:p>
    <w:p w14:paraId="1224C7E6" w14:textId="77777777" w:rsidR="002638D8" w:rsidRPr="0003089D" w:rsidRDefault="002638D8" w:rsidP="002638D8">
      <w:pPr>
        <w:pStyle w:val="BodyText"/>
        <w:spacing w:after="0"/>
        <w:ind w:firstLine="720"/>
        <w:jc w:val="both"/>
      </w:pPr>
    </w:p>
    <w:p w14:paraId="7D3A590B" w14:textId="7F2FA9E0" w:rsidR="00837A39" w:rsidRDefault="00837A39" w:rsidP="002638D8">
      <w:pPr>
        <w:ind w:firstLine="720"/>
        <w:jc w:val="both"/>
      </w:pPr>
      <w:r w:rsidRPr="0003089D">
        <w:t xml:space="preserve">After the customer meeting, we asked the Utility to explain how it addressed the </w:t>
      </w:r>
      <w:r>
        <w:t xml:space="preserve">customer </w:t>
      </w:r>
      <w:r w:rsidRPr="0003089D">
        <w:t>concerns. Grenelefe stated that sewage overflows into customer homes are a rare event and, when they occur, the homeowner must attempt to clear their line to the Utility first. If the plumber hired by the customer is unable to clear the line, then the Utility will investigate to see if the blockage is the responsibility of the customer or the Utility. Grenelefe also stated that the Utility responded to each customer who provided comment</w:t>
      </w:r>
      <w:r>
        <w:t>s</w:t>
      </w:r>
      <w:r w:rsidRPr="0003089D">
        <w:t xml:space="preserve"> at the customer meeting and that these responses were provided to us. We requested copies of the Utility’s responses to its customers in its seventh data request and the Utility provided copies of two different letters it sent to the customers that spoke at the customer meeting. One of the letters summarized service-related issues while the other summarized the reasons for the Utility’s rate increase requests.</w:t>
      </w:r>
      <w:r w:rsidRPr="0003089D">
        <w:rPr>
          <w:rStyle w:val="FootnoteReference"/>
        </w:rPr>
        <w:footnoteReference w:id="11"/>
      </w:r>
    </w:p>
    <w:p w14:paraId="6294E485" w14:textId="77777777" w:rsidR="002638D8" w:rsidRPr="0003089D" w:rsidRDefault="002638D8" w:rsidP="002638D8">
      <w:pPr>
        <w:ind w:firstLine="720"/>
        <w:jc w:val="both"/>
      </w:pPr>
    </w:p>
    <w:p w14:paraId="7486C658" w14:textId="4991A899" w:rsidR="00837A39" w:rsidRDefault="00837A39" w:rsidP="0017668B">
      <w:pPr>
        <w:pStyle w:val="TableSource"/>
        <w:spacing w:after="0"/>
        <w:ind w:firstLine="720"/>
      </w:pPr>
      <w:r w:rsidRPr="0003089D">
        <w:t xml:space="preserve">As noted above, several customers expressed concerns with service interruptions and BWNs. </w:t>
      </w:r>
      <w:r>
        <w:t>C</w:t>
      </w:r>
      <w:r w:rsidRPr="0003089D">
        <w:t>ustomers reported confusion when receiving BWNs via text, uncertainty about whether the notices had been rescinded, and frustration with the frequency of the interruptions. The Utility indicated that the number of BWNs and service interruptions are due to the age of the system and the corresponding needs to replace its outdated meters and equipment, repair its lift stations, and replace the valves used to isolate the areas of the system that caused the BWNs.</w:t>
      </w:r>
      <w:r w:rsidRPr="0003089D">
        <w:rPr>
          <w:rStyle w:val="FootnoteReference"/>
        </w:rPr>
        <w:footnoteReference w:id="12"/>
      </w:r>
      <w:r w:rsidRPr="0003089D">
        <w:t xml:space="preserve"> These pro forma projects are discussed </w:t>
      </w:r>
      <w:r w:rsidR="00F262E4">
        <w:t xml:space="preserve">below </w:t>
      </w:r>
      <w:r w:rsidRPr="0003089D">
        <w:t>in Section</w:t>
      </w:r>
      <w:r>
        <w:t xml:space="preserve"> 4</w:t>
      </w:r>
      <w:r w:rsidR="00F262E4">
        <w:t xml:space="preserve"> Average Test Year Water Rate Base and Wastewater Rate Base</w:t>
      </w:r>
      <w:r>
        <w:t>.</w:t>
      </w:r>
    </w:p>
    <w:p w14:paraId="7450B72D" w14:textId="77777777" w:rsidR="002638D8" w:rsidRPr="002638D8" w:rsidRDefault="002638D8" w:rsidP="0017668B">
      <w:pPr>
        <w:pStyle w:val="BodyText"/>
        <w:spacing w:after="0"/>
      </w:pPr>
    </w:p>
    <w:p w14:paraId="57BEA293" w14:textId="71A0BE49" w:rsidR="00194892" w:rsidRDefault="00194892" w:rsidP="0017668B">
      <w:pPr>
        <w:pStyle w:val="TableSource"/>
        <w:spacing w:after="0"/>
        <w:ind w:firstLine="720"/>
      </w:pPr>
      <w:r w:rsidRPr="0003089D">
        <w:t xml:space="preserve">While the quality of the Utility’s product passes DEP drinking water standards, we find </w:t>
      </w:r>
      <w:r>
        <w:t xml:space="preserve">that </w:t>
      </w:r>
      <w:r w:rsidRPr="0003089D">
        <w:t xml:space="preserve">the </w:t>
      </w:r>
      <w:r>
        <w:t xml:space="preserve">quality of the </w:t>
      </w:r>
      <w:r w:rsidRPr="0003089D">
        <w:t xml:space="preserve">Utility’s customer </w:t>
      </w:r>
      <w:r>
        <w:t xml:space="preserve">service, particularly in the area of communication, needs to </w:t>
      </w:r>
      <w:r w:rsidRPr="0003089D">
        <w:t xml:space="preserve">be improved. CATS and the DEP recorded a minimal number of customer complaints since the transfer of ownership in 2022. Unfortunately, </w:t>
      </w:r>
      <w:r>
        <w:t xml:space="preserve">due to incomplete recordkeeping, </w:t>
      </w:r>
      <w:r w:rsidRPr="0003089D">
        <w:t xml:space="preserve">the number </w:t>
      </w:r>
      <w:r w:rsidRPr="0003089D">
        <w:lastRenderedPageBreak/>
        <w:t xml:space="preserve">of complaints received by the Utility is unclear, </w:t>
      </w:r>
      <w:r>
        <w:t xml:space="preserve">and </w:t>
      </w:r>
      <w:r w:rsidRPr="0003089D">
        <w:t xml:space="preserve">we </w:t>
      </w:r>
      <w:r>
        <w:t>are unable to</w:t>
      </w:r>
      <w:r w:rsidRPr="0003089D">
        <w:t xml:space="preserve"> analyze the</w:t>
      </w:r>
      <w:r>
        <w:t xml:space="preserve"> complaints by</w:t>
      </w:r>
      <w:r w:rsidRPr="0003089D">
        <w:t xml:space="preserve"> type, frequency, or resolution. Based on the customers who spoke at the customer meeting and comments filed in the docket file, there is a common theme of communication issues from the Utility to its customers. In addition to communication issues, customers also complained about the frequency and duration of service interruptions.</w:t>
      </w:r>
    </w:p>
    <w:p w14:paraId="3EB0DCA6" w14:textId="77777777" w:rsidR="002638D8" w:rsidRPr="002638D8" w:rsidRDefault="002638D8" w:rsidP="0017668B">
      <w:pPr>
        <w:pStyle w:val="BodyText"/>
        <w:spacing w:after="0"/>
      </w:pPr>
    </w:p>
    <w:p w14:paraId="0CA5805B" w14:textId="3BDA1AEB" w:rsidR="00194892" w:rsidRDefault="00194892" w:rsidP="0017668B">
      <w:pPr>
        <w:pStyle w:val="TableSource"/>
        <w:spacing w:after="0"/>
        <w:ind w:firstLine="720"/>
        <w:rPr>
          <w:color w:val="000000"/>
        </w:rPr>
      </w:pPr>
      <w:r>
        <w:t>To address the historic lack of communication from Utility to customers and the resulting negative impacts on customer satisfaction</w:t>
      </w:r>
      <w:r w:rsidR="00F262E4">
        <w:t xml:space="preserve">, </w:t>
      </w:r>
      <w:r w:rsidRPr="0003089D">
        <w:t>the Utility</w:t>
      </w:r>
      <w:r w:rsidR="00F262E4">
        <w:t xml:space="preserve"> must</w:t>
      </w:r>
      <w:r w:rsidRPr="0003089D">
        <w:t xml:space="preserve"> meet with its customers within </w:t>
      </w:r>
      <w:r w:rsidRPr="0003089D">
        <w:rPr>
          <w:color w:val="000000"/>
        </w:rPr>
        <w:t>three months of issuance of the Consummati</w:t>
      </w:r>
      <w:r w:rsidR="008A44CC">
        <w:rPr>
          <w:color w:val="000000"/>
        </w:rPr>
        <w:t>ng or Final Order to discuss the Utility’s</w:t>
      </w:r>
      <w:r w:rsidRPr="0003089D">
        <w:rPr>
          <w:color w:val="000000"/>
        </w:rPr>
        <w:t xml:space="preserve"> quality of service.</w:t>
      </w:r>
      <w:r w:rsidRPr="00F13EF8">
        <w:rPr>
          <w:color w:val="000000"/>
        </w:rPr>
        <w:t xml:space="preserve"> </w:t>
      </w:r>
      <w:r w:rsidR="008A44CC">
        <w:rPr>
          <w:color w:val="000000"/>
        </w:rPr>
        <w:t>OPC</w:t>
      </w:r>
      <w:r w:rsidRPr="0003089D">
        <w:rPr>
          <w:color w:val="000000"/>
        </w:rPr>
        <w:t xml:space="preserve"> and our staff shall be made aware of the meeting date, place, and time</w:t>
      </w:r>
      <w:r>
        <w:rPr>
          <w:color w:val="000000"/>
        </w:rPr>
        <w:t xml:space="preserve"> at least three weeks in advance</w:t>
      </w:r>
      <w:r w:rsidRPr="0003089D">
        <w:rPr>
          <w:color w:val="000000"/>
        </w:rPr>
        <w:t xml:space="preserve">. </w:t>
      </w:r>
      <w:r>
        <w:rPr>
          <w:color w:val="000000"/>
        </w:rPr>
        <w:t>A member of our staff shall be present at the customer meeting. W</w:t>
      </w:r>
      <w:r w:rsidRPr="0003089D">
        <w:rPr>
          <w:color w:val="000000"/>
        </w:rPr>
        <w:t>ithin one month after meeting with its customers, the Utility shall file a report in this docket summarizing the results of the meeting</w:t>
      </w:r>
      <w:r>
        <w:rPr>
          <w:color w:val="000000"/>
        </w:rPr>
        <w:t>.</w:t>
      </w:r>
    </w:p>
    <w:p w14:paraId="36333F3D" w14:textId="77777777" w:rsidR="002638D8" w:rsidRPr="002638D8" w:rsidRDefault="002638D8" w:rsidP="0017668B">
      <w:pPr>
        <w:pStyle w:val="BodyText"/>
        <w:spacing w:after="0"/>
      </w:pPr>
    </w:p>
    <w:p w14:paraId="0091111F" w14:textId="77777777" w:rsidR="00D36A5C" w:rsidRPr="0003089D" w:rsidRDefault="007B125E" w:rsidP="0017668B">
      <w:pPr>
        <w:pStyle w:val="First-LevelSubheading"/>
        <w:ind w:firstLine="720"/>
        <w:rPr>
          <w:rFonts w:ascii="Times New Roman" w:hAnsi="Times New Roman" w:cs="Times New Roman"/>
          <w:b w:val="0"/>
          <w:i/>
        </w:rPr>
      </w:pPr>
      <w:r w:rsidRPr="0003089D">
        <w:rPr>
          <w:rFonts w:ascii="Times New Roman" w:hAnsi="Times New Roman" w:cs="Times New Roman"/>
          <w:b w:val="0"/>
          <w:i/>
        </w:rPr>
        <w:t xml:space="preserve">C.   </w:t>
      </w:r>
      <w:r w:rsidR="00D36A5C" w:rsidRPr="0003089D">
        <w:rPr>
          <w:rFonts w:ascii="Times New Roman" w:hAnsi="Times New Roman" w:cs="Times New Roman"/>
          <w:b w:val="0"/>
          <w:i/>
        </w:rPr>
        <w:t>Managerial Concerns</w:t>
      </w:r>
    </w:p>
    <w:p w14:paraId="584A710E" w14:textId="77777777" w:rsidR="007B125E" w:rsidRPr="0003089D" w:rsidRDefault="007B125E" w:rsidP="0017668B">
      <w:pPr>
        <w:pStyle w:val="BodyText"/>
        <w:spacing w:after="0"/>
        <w:rPr>
          <w:i/>
        </w:rPr>
      </w:pPr>
    </w:p>
    <w:p w14:paraId="3AE01907" w14:textId="34425A8E" w:rsidR="00D36A5C" w:rsidRDefault="00B2057D" w:rsidP="0017668B">
      <w:pPr>
        <w:pStyle w:val="TableSource"/>
        <w:spacing w:after="0"/>
        <w:ind w:firstLine="720"/>
      </w:pPr>
      <w:r w:rsidRPr="0003089D">
        <w:t>Our</w:t>
      </w:r>
      <w:r w:rsidR="00D36A5C" w:rsidRPr="0003089D">
        <w:t xml:space="preserve"> investigation into the Utility’s attempt to address its customer service revealed several managerial issues related to poor recordkeeping and reporting. Such actions negatively impact the customer service provided by Grenelefe as well as the Utility’s obligation to provide timely and accurate information to </w:t>
      </w:r>
      <w:r w:rsidR="00BC2408" w:rsidRPr="0003089D">
        <w:t>us</w:t>
      </w:r>
      <w:r w:rsidR="00D36A5C" w:rsidRPr="0003089D">
        <w:t>.</w:t>
      </w:r>
    </w:p>
    <w:p w14:paraId="7098D48C" w14:textId="77777777" w:rsidR="002638D8" w:rsidRPr="002638D8" w:rsidRDefault="002638D8" w:rsidP="0017668B">
      <w:pPr>
        <w:pStyle w:val="BodyText"/>
        <w:spacing w:after="0"/>
      </w:pPr>
    </w:p>
    <w:p w14:paraId="241FF41B" w14:textId="414D53C1" w:rsidR="00194892" w:rsidRDefault="00194892" w:rsidP="0017668B">
      <w:pPr>
        <w:pStyle w:val="TableSource"/>
        <w:spacing w:after="0"/>
        <w:ind w:firstLine="720"/>
      </w:pPr>
      <w:r w:rsidRPr="0003089D">
        <w:t>First, as discussed above, customers raised concerns regarding several service interruptions and BWNs. We first attempted to review any records the Utility filed with us pursuant to Rule 25-30.251, F.A.C.</w:t>
      </w:r>
      <w:r>
        <w:t xml:space="preserve">, which requires </w:t>
      </w:r>
      <w:r w:rsidRPr="0003089D">
        <w:t>each utility to maintain a record of al</w:t>
      </w:r>
      <w:r w:rsidR="00F262E4">
        <w:t>l interruptions in service that</w:t>
      </w:r>
      <w:r w:rsidRPr="0003089D">
        <w:t xml:space="preserve"> affect 10 percent or more of its customers</w:t>
      </w:r>
      <w:r>
        <w:t>.</w:t>
      </w:r>
      <w:r w:rsidRPr="0003089D">
        <w:t>, and to notify us of these interruptions.</w:t>
      </w:r>
      <w:r>
        <w:t xml:space="preserve"> </w:t>
      </w:r>
      <w:r w:rsidRPr="0003089D">
        <w:t>Grenelefe has not filed any such reports with us.</w:t>
      </w:r>
    </w:p>
    <w:p w14:paraId="20D91FC3" w14:textId="77777777" w:rsidR="002638D8" w:rsidRPr="002638D8" w:rsidRDefault="002638D8" w:rsidP="0017668B">
      <w:pPr>
        <w:pStyle w:val="BodyText"/>
        <w:spacing w:after="0"/>
      </w:pPr>
    </w:p>
    <w:p w14:paraId="4103C766" w14:textId="5E921DDB" w:rsidR="00194892" w:rsidRDefault="00194892" w:rsidP="0017668B">
      <w:pPr>
        <w:pStyle w:val="TableSource"/>
        <w:spacing w:after="0"/>
        <w:ind w:firstLine="720"/>
      </w:pPr>
      <w:r>
        <w:t>W</w:t>
      </w:r>
      <w:r w:rsidRPr="0003089D">
        <w:t xml:space="preserve">e </w:t>
      </w:r>
      <w:r>
        <w:t xml:space="preserve">then </w:t>
      </w:r>
      <w:r w:rsidRPr="0003089D">
        <w:t>analyzed BWNs received from the Utility and Department of Health/DEP</w:t>
      </w:r>
      <w:r>
        <w:t>. I</w:t>
      </w:r>
      <w:r w:rsidRPr="0003089D">
        <w:t>t appears that the Utility has issued at least seven BWNs since taking ownership in 2022.</w:t>
      </w:r>
      <w:r w:rsidRPr="0003089D">
        <w:rPr>
          <w:rStyle w:val="FootnoteReference"/>
        </w:rPr>
        <w:footnoteReference w:id="13"/>
      </w:r>
      <w:r w:rsidRPr="0003089D">
        <w:t xml:space="preserve"> Additionally, in response to our staff’s seventh data request, Grenelefe stated it has not maintained records in accordance with Rule 25-30.251(1), F.A.C.; however, it estimated approximately 10 service interruptions that may have affected 10 percent or more of its customers since taking ownership. The provided information</w:t>
      </w:r>
      <w:r w:rsidR="00F262E4">
        <w:t xml:space="preserve"> in the response to the data request</w:t>
      </w:r>
      <w:r w:rsidRPr="0003089D">
        <w:t xml:space="preserve"> did not add</w:t>
      </w:r>
      <w:r w:rsidR="008A44CC">
        <w:t>ress all items required by the r</w:t>
      </w:r>
      <w:r w:rsidRPr="0003089D">
        <w:t>ule, nor did the Utility notify us of the interruptions.</w:t>
      </w:r>
      <w:r w:rsidRPr="0003089D">
        <w:rPr>
          <w:vertAlign w:val="superscript"/>
        </w:rPr>
        <w:footnoteReference w:id="14"/>
      </w:r>
      <w:r w:rsidRPr="0003089D">
        <w:t xml:space="preserve"> </w:t>
      </w:r>
      <w:r>
        <w:t>We again direct</w:t>
      </w:r>
      <w:r w:rsidR="00F262E4">
        <w:t>ed</w:t>
      </w:r>
      <w:r w:rsidRPr="0003089D">
        <w:t xml:space="preserve"> the Utility </w:t>
      </w:r>
      <w:r>
        <w:t xml:space="preserve">to </w:t>
      </w:r>
      <w:r w:rsidRPr="0003089D">
        <w:t>maintain its service interruption records meeting the 10 percent threshold in the manner outlined in Rule 25-30.251(1), F.A.C., and notify us of any such interruptions on a going-forward basis.</w:t>
      </w:r>
    </w:p>
    <w:p w14:paraId="1A835187" w14:textId="77777777" w:rsidR="002638D8" w:rsidRPr="002638D8" w:rsidRDefault="002638D8" w:rsidP="0017668B">
      <w:pPr>
        <w:pStyle w:val="BodyText"/>
        <w:spacing w:after="0"/>
      </w:pPr>
    </w:p>
    <w:p w14:paraId="68A0633F" w14:textId="48111D8F" w:rsidR="00194892" w:rsidRDefault="00194892" w:rsidP="0017668B">
      <w:pPr>
        <w:pStyle w:val="TableSource"/>
        <w:spacing w:after="0"/>
        <w:ind w:firstLine="720"/>
      </w:pPr>
      <w:r w:rsidRPr="0003089D">
        <w:t xml:space="preserve">Second, as the Utility acknowledged, it was unaware of its obligation to maintain a record of all complaints received </w:t>
      </w:r>
      <w:r>
        <w:t>with the name and</w:t>
      </w:r>
      <w:r w:rsidRPr="0003089D">
        <w:t xml:space="preserve"> address of the complainant, the nature of the complaint, the date received, the result of any investigation, the disposition of the complaint, and the date of the disposition</w:t>
      </w:r>
      <w:r>
        <w:t>, as</w:t>
      </w:r>
      <w:r w:rsidRPr="0003089D">
        <w:t xml:space="preserve"> required </w:t>
      </w:r>
      <w:r>
        <w:t>by</w:t>
      </w:r>
      <w:r w:rsidRPr="0003089D">
        <w:t xml:space="preserve"> Rules 25-30.130 and 25-30.355, F.A.C. Not </w:t>
      </w:r>
      <w:r w:rsidRPr="0003089D">
        <w:lastRenderedPageBreak/>
        <w:t xml:space="preserve">maintaining </w:t>
      </w:r>
      <w:r w:rsidR="008A44CC">
        <w:t>this information is not only a r</w:t>
      </w:r>
      <w:r w:rsidRPr="0003089D">
        <w:t>ule violation, it also hampers our ability to conduct a complete and accurate quality of service evaluation. Further, the Utility did not timely respon</w:t>
      </w:r>
      <w:r w:rsidR="00C125C3">
        <w:t>d to a CATS complaint, in violation of</w:t>
      </w:r>
      <w:r w:rsidRPr="0003089D">
        <w:t xml:space="preserve"> Rule 25-22.032(6)(b), F.A.C. Other issues with the managerial concerns for this Utility are listed below: </w:t>
      </w:r>
    </w:p>
    <w:p w14:paraId="53A7CAB8" w14:textId="77777777" w:rsidR="0017668B" w:rsidRPr="0017668B" w:rsidRDefault="0017668B" w:rsidP="0017668B">
      <w:pPr>
        <w:pStyle w:val="BodyText"/>
        <w:spacing w:after="0"/>
      </w:pPr>
    </w:p>
    <w:p w14:paraId="4A9F6C20" w14:textId="77BC7CEE" w:rsidR="00194892" w:rsidRDefault="00194892" w:rsidP="007D38CF">
      <w:pPr>
        <w:pStyle w:val="BodyText"/>
        <w:numPr>
          <w:ilvl w:val="1"/>
          <w:numId w:val="1"/>
        </w:numPr>
        <w:spacing w:after="0"/>
        <w:jc w:val="both"/>
      </w:pPr>
      <w:r w:rsidRPr="0003089D">
        <w:t>Pursuant to Rule 25-30.110, F.A.C., Record</w:t>
      </w:r>
      <w:r w:rsidR="00F262E4">
        <w:t>s and Reports; Annual Reports, t</w:t>
      </w:r>
      <w:r w:rsidRPr="0003089D">
        <w:t>he Utility is required to report any recorded accounted for water loss through flushing or other uses. The Utility</w:t>
      </w:r>
      <w:r>
        <w:t xml:space="preserve"> did not maintain these reports and</w:t>
      </w:r>
      <w:r w:rsidRPr="0003089D">
        <w:t xml:space="preserve"> also did not provide this information regarding other uses for water when prompted through data requests. </w:t>
      </w:r>
    </w:p>
    <w:p w14:paraId="15119FAA" w14:textId="77777777" w:rsidR="007D38CF" w:rsidRPr="0003089D" w:rsidRDefault="007D38CF" w:rsidP="007D38CF">
      <w:pPr>
        <w:pStyle w:val="BodyText"/>
        <w:spacing w:after="0"/>
        <w:ind w:left="1440"/>
        <w:jc w:val="both"/>
      </w:pPr>
    </w:p>
    <w:p w14:paraId="32B63488" w14:textId="0072968C" w:rsidR="00D36A5C" w:rsidRDefault="00D36A5C" w:rsidP="007D38CF">
      <w:pPr>
        <w:pStyle w:val="BodyText"/>
        <w:numPr>
          <w:ilvl w:val="1"/>
          <w:numId w:val="1"/>
        </w:numPr>
        <w:spacing w:after="0"/>
        <w:jc w:val="both"/>
      </w:pPr>
      <w:r w:rsidRPr="0003089D">
        <w:t xml:space="preserve">In its first, second, and fourth data requests, as well as in two separate emails and a call to the Utility, </w:t>
      </w:r>
      <w:r w:rsidR="00B2057D" w:rsidRPr="0003089D">
        <w:t>we</w:t>
      </w:r>
      <w:r w:rsidRPr="0003089D">
        <w:t xml:space="preserve"> requested copies of the failed fire hydrant inspections. The Utility did not respond to those inquiries. The Utility did provide copies of its failed fire hydrant inspections on December 29, 2025; however, this information was both late and incomplete.</w:t>
      </w:r>
    </w:p>
    <w:p w14:paraId="470626DE" w14:textId="77777777" w:rsidR="007D38CF" w:rsidRPr="0003089D" w:rsidRDefault="007D38CF" w:rsidP="007D38CF">
      <w:pPr>
        <w:pStyle w:val="BodyText"/>
        <w:spacing w:after="0"/>
        <w:ind w:left="1440"/>
        <w:jc w:val="both"/>
      </w:pPr>
    </w:p>
    <w:p w14:paraId="130A06D2" w14:textId="6FFF2EDC" w:rsidR="00D36A5C" w:rsidRDefault="00D36A5C" w:rsidP="007D38CF">
      <w:pPr>
        <w:pStyle w:val="BodyText"/>
        <w:numPr>
          <w:ilvl w:val="1"/>
          <w:numId w:val="1"/>
        </w:numPr>
        <w:spacing w:after="0"/>
        <w:jc w:val="both"/>
      </w:pPr>
      <w:r w:rsidRPr="0003089D">
        <w:t xml:space="preserve">Grenelefe did not provide copies of the lift station inspection reports requested by </w:t>
      </w:r>
      <w:r w:rsidR="00B2057D" w:rsidRPr="0003089D">
        <w:t xml:space="preserve">our </w:t>
      </w:r>
      <w:r w:rsidRPr="0003089D">
        <w:t>staff in its fourth and fifth data requests.</w:t>
      </w:r>
    </w:p>
    <w:p w14:paraId="2BB58E0E" w14:textId="77777777" w:rsidR="007D38CF" w:rsidRPr="0003089D" w:rsidRDefault="007D38CF" w:rsidP="007D38CF">
      <w:pPr>
        <w:pStyle w:val="BodyText"/>
        <w:spacing w:after="0"/>
        <w:ind w:left="1440"/>
        <w:jc w:val="both"/>
      </w:pPr>
    </w:p>
    <w:p w14:paraId="02B46FB9" w14:textId="5A1D76CE" w:rsidR="00D36A5C" w:rsidRDefault="00D36A5C" w:rsidP="007D38CF">
      <w:pPr>
        <w:pStyle w:val="BodyText"/>
        <w:numPr>
          <w:ilvl w:val="1"/>
          <w:numId w:val="1"/>
        </w:numPr>
        <w:spacing w:after="0"/>
        <w:jc w:val="both"/>
      </w:pPr>
      <w:r w:rsidRPr="0003089D">
        <w:t>The Utility only provided one inspection report for the two hydropneumatic (hydro) storage tanks.</w:t>
      </w:r>
      <w:r w:rsidRPr="0003089D">
        <w:rPr>
          <w:rStyle w:val="FootnoteReference"/>
        </w:rPr>
        <w:footnoteReference w:id="15"/>
      </w:r>
      <w:r w:rsidRPr="0003089D">
        <w:t xml:space="preserve"> </w:t>
      </w:r>
      <w:r w:rsidR="00B2057D" w:rsidRPr="0003089D">
        <w:t>We</w:t>
      </w:r>
      <w:r w:rsidRPr="0003089D">
        <w:t xml:space="preserve"> located the inspection report for the second hydro storage tank on the DEP’s website. That report stated that the inspection was done on September 5, 2025, even though the Utility had previously stated it was done prior to April 25, 2025.</w:t>
      </w:r>
      <w:r w:rsidRPr="0003089D">
        <w:rPr>
          <w:rStyle w:val="FootnoteReference"/>
        </w:rPr>
        <w:footnoteReference w:id="16"/>
      </w:r>
      <w:r w:rsidRPr="0003089D">
        <w:t xml:space="preserve"> In addition, the Utility did not provide a standalone cost breakdown of the hydro storage tanks inspection cost as requested in the second and third data requests. </w:t>
      </w:r>
    </w:p>
    <w:p w14:paraId="3763A463" w14:textId="77777777" w:rsidR="007D38CF" w:rsidRPr="0003089D" w:rsidRDefault="007D38CF" w:rsidP="007D38CF">
      <w:pPr>
        <w:pStyle w:val="BodyText"/>
        <w:spacing w:after="0"/>
        <w:ind w:left="1440"/>
        <w:jc w:val="both"/>
      </w:pPr>
    </w:p>
    <w:p w14:paraId="5F2EBFFB" w14:textId="169E9E6A" w:rsidR="00D36A5C" w:rsidRPr="0003089D" w:rsidRDefault="00B2057D" w:rsidP="007D38CF">
      <w:pPr>
        <w:pStyle w:val="BodyText"/>
        <w:numPr>
          <w:ilvl w:val="1"/>
          <w:numId w:val="1"/>
        </w:numPr>
        <w:spacing w:after="0"/>
        <w:jc w:val="both"/>
      </w:pPr>
      <w:r w:rsidRPr="0003089D">
        <w:t>We</w:t>
      </w:r>
      <w:r w:rsidR="00D36A5C" w:rsidRPr="0003089D">
        <w:t xml:space="preserve"> contacted the Utility multiple times, both in writing and via telephone, regarding billing information and there have been billing inconsistencies throughou</w:t>
      </w:r>
      <w:r w:rsidR="00194892">
        <w:t>t the rate case</w:t>
      </w:r>
      <w:r w:rsidR="00D36A5C" w:rsidRPr="0003089D">
        <w:t>.</w:t>
      </w:r>
    </w:p>
    <w:p w14:paraId="1F87EDBC" w14:textId="77777777" w:rsidR="007B125E" w:rsidRPr="0003089D" w:rsidRDefault="007B125E" w:rsidP="007B125E">
      <w:pPr>
        <w:pStyle w:val="BodyText"/>
        <w:spacing w:after="0"/>
        <w:ind w:left="1440"/>
        <w:jc w:val="both"/>
      </w:pPr>
    </w:p>
    <w:p w14:paraId="3CB7FED8" w14:textId="77777777" w:rsidR="00D36A5C" w:rsidRPr="0003089D" w:rsidRDefault="007B125E" w:rsidP="007B125E">
      <w:pPr>
        <w:pStyle w:val="First-LevelSubheading"/>
        <w:ind w:firstLine="720"/>
        <w:rPr>
          <w:rFonts w:ascii="Times New Roman" w:hAnsi="Times New Roman" w:cs="Times New Roman"/>
          <w:b w:val="0"/>
          <w:i/>
        </w:rPr>
      </w:pPr>
      <w:r w:rsidRPr="0003089D">
        <w:rPr>
          <w:rFonts w:ascii="Times New Roman" w:hAnsi="Times New Roman" w:cs="Times New Roman"/>
          <w:b w:val="0"/>
          <w:i/>
        </w:rPr>
        <w:t xml:space="preserve">D.   </w:t>
      </w:r>
      <w:r w:rsidR="00D36A5C" w:rsidRPr="0003089D">
        <w:rPr>
          <w:rFonts w:ascii="Times New Roman" w:hAnsi="Times New Roman" w:cs="Times New Roman"/>
          <w:b w:val="0"/>
          <w:i/>
        </w:rPr>
        <w:t>Conclusion</w:t>
      </w:r>
    </w:p>
    <w:p w14:paraId="79B86B1F" w14:textId="77777777" w:rsidR="007B125E" w:rsidRPr="0003089D" w:rsidRDefault="007B125E" w:rsidP="007B125E">
      <w:pPr>
        <w:pStyle w:val="BodyText"/>
        <w:spacing w:after="0"/>
      </w:pPr>
    </w:p>
    <w:p w14:paraId="2CAE7458" w14:textId="72D7B1B0" w:rsidR="00194892" w:rsidRPr="0003089D" w:rsidRDefault="00194892" w:rsidP="00194892">
      <w:pPr>
        <w:ind w:firstLine="720"/>
        <w:jc w:val="both"/>
        <w:rPr>
          <w:b/>
        </w:rPr>
      </w:pPr>
      <w:r w:rsidRPr="0003089D">
        <w:t>T</w:t>
      </w:r>
      <w:r w:rsidRPr="0003089D">
        <w:rPr>
          <w:color w:val="000000"/>
        </w:rPr>
        <w:t>he U</w:t>
      </w:r>
      <w:r w:rsidR="004C2786">
        <w:rPr>
          <w:color w:val="000000"/>
        </w:rPr>
        <w:t>tility is in compliance with</w:t>
      </w:r>
      <w:r w:rsidRPr="0003089D">
        <w:rPr>
          <w:color w:val="000000"/>
        </w:rPr>
        <w:t xml:space="preserve"> DEP standards; however, several customer </w:t>
      </w:r>
      <w:r>
        <w:rPr>
          <w:color w:val="000000"/>
        </w:rPr>
        <w:t>complaints</w:t>
      </w:r>
      <w:r w:rsidRPr="0003089D">
        <w:rPr>
          <w:color w:val="000000"/>
        </w:rPr>
        <w:t xml:space="preserve"> regarding service interruptions, BWNs, and billing issues have been received. In addition, </w:t>
      </w:r>
      <w:r>
        <w:rPr>
          <w:color w:val="000000"/>
        </w:rPr>
        <w:t>we have</w:t>
      </w:r>
      <w:r w:rsidRPr="0003089D">
        <w:rPr>
          <w:color w:val="000000"/>
        </w:rPr>
        <w:t xml:space="preserve"> identified </w:t>
      </w:r>
      <w:r w:rsidRPr="0003089D">
        <w:t xml:space="preserve">managerial issues, such as the Utility’s failure to maintain required complaint and service interruption records. </w:t>
      </w:r>
      <w:r>
        <w:t>For the reasons set forth above</w:t>
      </w:r>
      <w:r w:rsidRPr="0003089D">
        <w:rPr>
          <w:color w:val="000000"/>
        </w:rPr>
        <w:t xml:space="preserve">, we find Grenelefe’s quality of service </w:t>
      </w:r>
      <w:r>
        <w:rPr>
          <w:color w:val="000000"/>
        </w:rPr>
        <w:t xml:space="preserve">to </w:t>
      </w:r>
      <w:r w:rsidRPr="0003089D">
        <w:rPr>
          <w:color w:val="000000"/>
        </w:rPr>
        <w:t xml:space="preserve">be </w:t>
      </w:r>
      <w:r>
        <w:rPr>
          <w:color w:val="000000"/>
        </w:rPr>
        <w:t>marginal. Accordingly, there shall be a 25 percent reduction in salary of the owner for both</w:t>
      </w:r>
      <w:r w:rsidR="004C2786">
        <w:rPr>
          <w:color w:val="000000"/>
        </w:rPr>
        <w:t xml:space="preserve"> the</w:t>
      </w:r>
      <w:r>
        <w:rPr>
          <w:color w:val="000000"/>
        </w:rPr>
        <w:t xml:space="preserve"> water and wastewater</w:t>
      </w:r>
      <w:r w:rsidR="004C2786">
        <w:rPr>
          <w:color w:val="000000"/>
        </w:rPr>
        <w:t xml:space="preserve"> systems</w:t>
      </w:r>
      <w:r w:rsidR="00676858">
        <w:rPr>
          <w:color w:val="000000"/>
        </w:rPr>
        <w:t>. As referenced above, w</w:t>
      </w:r>
      <w:r w:rsidRPr="0003089D">
        <w:rPr>
          <w:color w:val="000000"/>
        </w:rPr>
        <w:t xml:space="preserve">e further </w:t>
      </w:r>
      <w:r>
        <w:rPr>
          <w:color w:val="000000"/>
        </w:rPr>
        <w:t>direct</w:t>
      </w:r>
      <w:r w:rsidRPr="0003089D">
        <w:rPr>
          <w:color w:val="000000"/>
        </w:rPr>
        <w:t xml:space="preserve"> the Utility </w:t>
      </w:r>
      <w:r>
        <w:rPr>
          <w:color w:val="000000"/>
        </w:rPr>
        <w:t xml:space="preserve">to </w:t>
      </w:r>
      <w:r w:rsidRPr="0003089D">
        <w:rPr>
          <w:color w:val="000000"/>
        </w:rPr>
        <w:t>meet with its customers within three months of issuance of the Consummating or Final Order to discuss its quality of service issu</w:t>
      </w:r>
      <w:r w:rsidR="00B679C0">
        <w:rPr>
          <w:color w:val="000000"/>
        </w:rPr>
        <w:t>es. OPC</w:t>
      </w:r>
      <w:r w:rsidRPr="0003089D">
        <w:rPr>
          <w:color w:val="000000"/>
        </w:rPr>
        <w:t xml:space="preserve"> and our staff shall be made aware of the meeting date, </w:t>
      </w:r>
      <w:r w:rsidRPr="0003089D">
        <w:rPr>
          <w:color w:val="000000"/>
        </w:rPr>
        <w:lastRenderedPageBreak/>
        <w:t>place, and time</w:t>
      </w:r>
      <w:r w:rsidR="007244A6">
        <w:rPr>
          <w:color w:val="000000"/>
        </w:rPr>
        <w:t xml:space="preserve"> at least three weeks in advance of the meeting</w:t>
      </w:r>
      <w:r w:rsidRPr="0003089D">
        <w:rPr>
          <w:color w:val="000000"/>
        </w:rPr>
        <w:t xml:space="preserve">. </w:t>
      </w:r>
      <w:r>
        <w:rPr>
          <w:color w:val="000000"/>
        </w:rPr>
        <w:t>A member of our staff shall be present at the customer meeting. W</w:t>
      </w:r>
      <w:r w:rsidRPr="0003089D">
        <w:rPr>
          <w:color w:val="000000"/>
        </w:rPr>
        <w:t>ithin one month after meeting with its customers, the Utility shall file a report in this docket summarizing the results of the meeting.</w:t>
      </w:r>
      <w:r w:rsidR="00F90AA4">
        <w:rPr>
          <w:color w:val="000000"/>
        </w:rPr>
        <w:t xml:space="preserve"> </w:t>
      </w:r>
      <w:r>
        <w:rPr>
          <w:color w:val="000000"/>
        </w:rPr>
        <w:t>Grenelefe shall timely report all line breakages and boil water notices to us, and timely report the resolutions of these problems to us for a period of two years following issuance of this Order.</w:t>
      </w:r>
    </w:p>
    <w:p w14:paraId="1E77280B" w14:textId="77777777" w:rsidR="0003089D" w:rsidRPr="0003089D" w:rsidRDefault="0003089D" w:rsidP="0003089D">
      <w:pPr>
        <w:pStyle w:val="BodyText"/>
        <w:spacing w:after="0"/>
        <w:jc w:val="both"/>
        <w:rPr>
          <w:b/>
          <w:bCs/>
          <w:i/>
          <w:kern w:val="32"/>
          <w:szCs w:val="32"/>
        </w:rPr>
      </w:pPr>
    </w:p>
    <w:p w14:paraId="5C47F6FA" w14:textId="77777777" w:rsidR="00D36A5C" w:rsidRPr="0003089D" w:rsidRDefault="0003089D" w:rsidP="0003089D">
      <w:pPr>
        <w:pStyle w:val="BodyText"/>
        <w:spacing w:after="0"/>
        <w:jc w:val="both"/>
      </w:pPr>
      <w:r w:rsidRPr="0003089D">
        <w:t>2.</w:t>
      </w:r>
      <w:r w:rsidRPr="0003089D">
        <w:tab/>
      </w:r>
      <w:r w:rsidRPr="0003089D">
        <w:rPr>
          <w:u w:val="single"/>
        </w:rPr>
        <w:t>I</w:t>
      </w:r>
      <w:r w:rsidR="00D36A5C" w:rsidRPr="0003089D">
        <w:rPr>
          <w:u w:val="single"/>
        </w:rPr>
        <w:t>n</w:t>
      </w:r>
      <w:r w:rsidRPr="0003089D">
        <w:rPr>
          <w:u w:val="single"/>
        </w:rPr>
        <w:t>frastructure and O</w:t>
      </w:r>
      <w:r w:rsidR="00D36A5C" w:rsidRPr="0003089D">
        <w:rPr>
          <w:u w:val="single"/>
        </w:rPr>
        <w:t xml:space="preserve">perating </w:t>
      </w:r>
      <w:r w:rsidRPr="0003089D">
        <w:rPr>
          <w:u w:val="single"/>
        </w:rPr>
        <w:t>C</w:t>
      </w:r>
      <w:r w:rsidR="00D36A5C" w:rsidRPr="0003089D">
        <w:rPr>
          <w:u w:val="single"/>
        </w:rPr>
        <w:t>onditions</w:t>
      </w:r>
      <w:r w:rsidR="00D36A5C" w:rsidRPr="0003089D">
        <w:t xml:space="preserve"> </w:t>
      </w:r>
    </w:p>
    <w:p w14:paraId="4FDAAB83" w14:textId="77777777" w:rsidR="0003089D" w:rsidRPr="0003089D" w:rsidRDefault="0003089D" w:rsidP="0003089D">
      <w:pPr>
        <w:pStyle w:val="BodyText"/>
        <w:spacing w:after="0"/>
        <w:jc w:val="both"/>
      </w:pPr>
    </w:p>
    <w:p w14:paraId="12F2A080" w14:textId="77777777" w:rsidR="00D36A5C" w:rsidRPr="0003089D" w:rsidRDefault="00D36A5C" w:rsidP="0003089D">
      <w:pPr>
        <w:pStyle w:val="BodyText"/>
        <w:spacing w:after="0"/>
        <w:ind w:firstLine="720"/>
        <w:jc w:val="both"/>
      </w:pPr>
      <w:r w:rsidRPr="0003089D">
        <w:t xml:space="preserve">Rule 25-30.225(2), F.A.C., requires each water and wastewater utility to maintain and operate its plant and facility by employing qualified operators in accordance with the DEP Rules. Rule 25-30.433(2), F.A.C., requires consideration of whether the infrastructure and operating conditions of the plant and facilities are in compliance with Rule 25-30.225, F.A.C. In making this determination, </w:t>
      </w:r>
      <w:r w:rsidR="00BC2408" w:rsidRPr="0003089D">
        <w:t>we</w:t>
      </w:r>
      <w:r w:rsidRPr="0003089D">
        <w:t xml:space="preserve"> must consider testimony of the DEP and county health department officials, sanitary surveys for water and compliance evaluation inspections for wastewater systems, citations, violations, consent orders issued to the utility, customer testimony, comments, complaints, utility testimony, and responses to the aforementioned items. </w:t>
      </w:r>
    </w:p>
    <w:p w14:paraId="01041529" w14:textId="77777777" w:rsidR="0003089D" w:rsidRPr="0003089D" w:rsidRDefault="0003089D" w:rsidP="0003089D">
      <w:pPr>
        <w:pStyle w:val="BodyText"/>
        <w:spacing w:after="0"/>
        <w:ind w:firstLine="720"/>
        <w:jc w:val="both"/>
      </w:pPr>
    </w:p>
    <w:p w14:paraId="14AC8463" w14:textId="77777777" w:rsidR="00D36A5C" w:rsidRPr="0003089D" w:rsidRDefault="0003089D" w:rsidP="0003089D">
      <w:pPr>
        <w:pStyle w:val="First-LevelSubheading"/>
        <w:ind w:firstLine="720"/>
        <w:rPr>
          <w:rFonts w:ascii="Times New Roman" w:hAnsi="Times New Roman" w:cs="Times New Roman"/>
          <w:b w:val="0"/>
          <w:i/>
        </w:rPr>
      </w:pPr>
      <w:r>
        <w:rPr>
          <w:rFonts w:ascii="Times New Roman" w:hAnsi="Times New Roman" w:cs="Times New Roman"/>
          <w:b w:val="0"/>
          <w:i/>
        </w:rPr>
        <w:t xml:space="preserve">A.   </w:t>
      </w:r>
      <w:r w:rsidR="00D36A5C" w:rsidRPr="0003089D">
        <w:rPr>
          <w:rFonts w:ascii="Times New Roman" w:hAnsi="Times New Roman" w:cs="Times New Roman"/>
          <w:b w:val="0"/>
          <w:i/>
        </w:rPr>
        <w:t>Water and Wastewater Operating Conditions</w:t>
      </w:r>
    </w:p>
    <w:p w14:paraId="395F902D" w14:textId="77777777" w:rsidR="0003089D" w:rsidRPr="0003089D" w:rsidRDefault="0003089D" w:rsidP="0003089D">
      <w:pPr>
        <w:pStyle w:val="BodyText"/>
        <w:spacing w:after="0"/>
      </w:pPr>
    </w:p>
    <w:p w14:paraId="222AD4E5" w14:textId="208C0997" w:rsidR="00D36A5C" w:rsidRDefault="00D36A5C" w:rsidP="002638D8">
      <w:pPr>
        <w:pStyle w:val="BodyText"/>
        <w:spacing w:after="0"/>
        <w:ind w:firstLine="720"/>
        <w:jc w:val="both"/>
      </w:pPr>
      <w:r w:rsidRPr="0003089D">
        <w:t xml:space="preserve">Grenelefe’s water system has a permitted capacity of 2,160,000 gallons per day (gpd) and a design capacity of 4,320,000 gpd. The system has two wells with pumping capacities of 1,500 gallons per minute (gpm) each, and two hydro storage tanks with capacities of 25,000 gallons each. There are 75 fire hydrants located throughout the service area. Groundwater from the wells is treated through liquid chlorination. </w:t>
      </w:r>
      <w:r w:rsidR="00B2057D" w:rsidRPr="0003089D">
        <w:t>We</w:t>
      </w:r>
      <w:r w:rsidRPr="0003089D">
        <w:t xml:space="preserve"> reviewed the Utility’s most recent Sanitary Survey Report conducted by the DEP on May 10, 2023. The DEP noted seven deficiencies which included: nonfunctioning air release valves for a hydro tank and both wells; one well concrete pad was cracked; seals on both wells were leaking; and no corrosion control on either plant. The DEP received a letter f</w:t>
      </w:r>
      <w:r w:rsidR="004C2786">
        <w:t>rom the Utility that stated it</w:t>
      </w:r>
      <w:r w:rsidRPr="0003089D">
        <w:t xml:space="preserve"> had corrected all the deficiencies within 30 days of the Sanitary Survey Report.</w:t>
      </w:r>
    </w:p>
    <w:p w14:paraId="5A044352" w14:textId="77777777" w:rsidR="002638D8" w:rsidRPr="0003089D" w:rsidRDefault="002638D8" w:rsidP="002638D8">
      <w:pPr>
        <w:pStyle w:val="BodyText"/>
        <w:spacing w:after="0"/>
        <w:ind w:firstLine="720"/>
        <w:jc w:val="both"/>
      </w:pPr>
    </w:p>
    <w:p w14:paraId="60361C5F" w14:textId="13B04071" w:rsidR="00D36A5C" w:rsidRDefault="00D36A5C" w:rsidP="002638D8">
      <w:pPr>
        <w:pStyle w:val="BodyText"/>
        <w:spacing w:after="0"/>
        <w:ind w:firstLine="720"/>
        <w:jc w:val="both"/>
      </w:pPr>
      <w:r w:rsidRPr="0003089D">
        <w:t xml:space="preserve">Grenelefe’s wastewater system consists of an existing 0.680 million gallons per day (MGD) Three-Month Rolling Average Daily Flow design capacity extended aeration domestic wastewater facility, with disposal to an existing 0.340 MGD annual average daily flow permitted capacity rapid infiltration basin system. </w:t>
      </w:r>
      <w:r w:rsidR="00B2057D" w:rsidRPr="0003089D">
        <w:t>We</w:t>
      </w:r>
      <w:r w:rsidRPr="0003089D">
        <w:t xml:space="preserve"> reviewed the Utility’s last DEP Compliance Evaluation Inspection report, dated December 6, 2022. The DEP noted two deficiencies: 1) three of the four groundwater monitoring wells were not labeled or secured; and 2) alarm malfunctions at all three lift stations. The DEP subsequently determined that all non-compliance items identified at the time of the inspection had been corrected and deemed the Utility to be in compliance as of March 15, 2023. </w:t>
      </w:r>
    </w:p>
    <w:p w14:paraId="6BA4EFA3" w14:textId="77777777" w:rsidR="002638D8" w:rsidRPr="0003089D" w:rsidRDefault="002638D8" w:rsidP="002638D8">
      <w:pPr>
        <w:pStyle w:val="BodyText"/>
        <w:spacing w:after="0"/>
        <w:ind w:firstLine="720"/>
        <w:jc w:val="both"/>
      </w:pPr>
    </w:p>
    <w:p w14:paraId="1C8AC53C" w14:textId="31896178" w:rsidR="00194892" w:rsidRDefault="00194892" w:rsidP="00194892">
      <w:pPr>
        <w:pStyle w:val="BodyText"/>
        <w:spacing w:after="0"/>
        <w:ind w:firstLine="720"/>
        <w:jc w:val="both"/>
      </w:pPr>
      <w:r w:rsidRPr="0003089D">
        <w:t xml:space="preserve">The DEP renewed Grenelefe’s operations permit on November 16, 2022, and also issued the Utility an Administrative Order (AO), which was accompanied by a schedule of compliance. The schedule of compliance noted that the Utility will not meet specific conditions of its permit relating to total nitrogen (TN) and total phosphorus (TP) limits of its reclaimed water with its current wastewater system. Grenelefe’s wastewater treatment plant (WWTP) is located in the </w:t>
      </w:r>
      <w:r w:rsidRPr="0003089D">
        <w:lastRenderedPageBreak/>
        <w:t>Lake Okeechobee Basin Management Action Plan (BMAP) area. TN and TP limits for wastewater effluent must be met for wastewater facilities located in the BMAP area. As part of the instant docket, the Utility requested cost recovery for Project No. 10 (wastewater treatment plant modifications) to help address the TN and TP limits, as discussed further</w:t>
      </w:r>
      <w:r w:rsidR="00262274">
        <w:t xml:space="preserve"> below</w:t>
      </w:r>
      <w:r w:rsidRPr="0003089D">
        <w:t xml:space="preserve"> in Section 4</w:t>
      </w:r>
      <w:r w:rsidR="00262274">
        <w:t xml:space="preserve"> Average Test Year Water Rate Base and Wastewater Rate Base</w:t>
      </w:r>
      <w:r w:rsidRPr="0003089D">
        <w:t xml:space="preserve">. The AO ordered the Utility </w:t>
      </w:r>
      <w:r>
        <w:t>to</w:t>
      </w:r>
      <w:r w:rsidRPr="0003089D">
        <w:t xml:space="preserve"> submit a proposal with the most feasible option to meet the TN and TP requirements and </w:t>
      </w:r>
      <w:r>
        <w:t>to</w:t>
      </w:r>
      <w:r w:rsidRPr="0003089D">
        <w:t xml:space="preserve"> obtain the DEP’s approval of the proposal prior to September 30, 2025. On November 12, 2025, the DEP issued a Compliance Assistance Offer and Complaint Inspection Report letters to the Utility; however, both of these items have been closed and the Utility is currently in compliance with the DEP.</w:t>
      </w:r>
    </w:p>
    <w:p w14:paraId="5D936361" w14:textId="33E44404" w:rsidR="0003089D" w:rsidRDefault="0003089D" w:rsidP="0003089D">
      <w:pPr>
        <w:pStyle w:val="BodyText"/>
        <w:spacing w:after="0"/>
        <w:ind w:firstLine="720"/>
        <w:jc w:val="both"/>
      </w:pPr>
    </w:p>
    <w:p w14:paraId="7A586444" w14:textId="77777777" w:rsidR="00D36A5C" w:rsidRDefault="0003089D" w:rsidP="0003089D">
      <w:pPr>
        <w:pStyle w:val="First-LevelSubheading"/>
        <w:ind w:firstLine="720"/>
        <w:rPr>
          <w:rFonts w:ascii="Times New Roman" w:hAnsi="Times New Roman" w:cs="Times New Roman"/>
          <w:b w:val="0"/>
          <w:i/>
        </w:rPr>
      </w:pPr>
      <w:r>
        <w:rPr>
          <w:rFonts w:ascii="Times New Roman" w:hAnsi="Times New Roman" w:cs="Times New Roman"/>
          <w:b w:val="0"/>
          <w:i/>
        </w:rPr>
        <w:t xml:space="preserve">B.   </w:t>
      </w:r>
      <w:r w:rsidR="00D36A5C" w:rsidRPr="0003089D">
        <w:rPr>
          <w:rFonts w:ascii="Times New Roman" w:hAnsi="Times New Roman" w:cs="Times New Roman"/>
          <w:b w:val="0"/>
          <w:i/>
        </w:rPr>
        <w:t>Conclusion</w:t>
      </w:r>
    </w:p>
    <w:p w14:paraId="2C0B715A" w14:textId="77777777" w:rsidR="0003089D" w:rsidRPr="0003089D" w:rsidRDefault="0003089D" w:rsidP="0003089D">
      <w:pPr>
        <w:pStyle w:val="BodyText"/>
        <w:spacing w:after="0"/>
      </w:pPr>
    </w:p>
    <w:p w14:paraId="4E084BDB" w14:textId="77777777" w:rsidR="00D36A5C" w:rsidRPr="0003089D" w:rsidRDefault="00D36A5C" w:rsidP="0003089D">
      <w:pPr>
        <w:ind w:firstLine="720"/>
        <w:jc w:val="both"/>
      </w:pPr>
      <w:r w:rsidRPr="0003089D">
        <w:t xml:space="preserve">Grenelefe’s water and wastewater treatment facilities are </w:t>
      </w:r>
      <w:r w:rsidR="00654852">
        <w:t xml:space="preserve">currently </w:t>
      </w:r>
      <w:r w:rsidRPr="0003089D">
        <w:t>in compliance with DEP regulations.</w:t>
      </w:r>
    </w:p>
    <w:p w14:paraId="2F52F94F" w14:textId="77777777" w:rsidR="00D36A5C" w:rsidRPr="0003089D" w:rsidRDefault="00D36A5C" w:rsidP="006D1A91">
      <w:pPr>
        <w:jc w:val="both"/>
      </w:pPr>
    </w:p>
    <w:p w14:paraId="1D3322FE" w14:textId="77777777" w:rsidR="00D36A5C" w:rsidRDefault="0003089D" w:rsidP="005F2571">
      <w:pPr>
        <w:pStyle w:val="BodyText"/>
        <w:spacing w:after="0"/>
        <w:jc w:val="both"/>
      </w:pPr>
      <w:r>
        <w:t>3.</w:t>
      </w:r>
      <w:r>
        <w:tab/>
      </w:r>
      <w:r w:rsidRPr="005F2571">
        <w:rPr>
          <w:u w:val="single"/>
        </w:rPr>
        <w:t>Used and U</w:t>
      </w:r>
      <w:r w:rsidR="00D36A5C" w:rsidRPr="005F2571">
        <w:rPr>
          <w:u w:val="single"/>
        </w:rPr>
        <w:t>seful (U&amp;U)</w:t>
      </w:r>
      <w:r w:rsidR="00D36A5C" w:rsidRPr="0003089D">
        <w:t xml:space="preserve"> </w:t>
      </w:r>
    </w:p>
    <w:p w14:paraId="4DD23534" w14:textId="77777777" w:rsidR="005F2571" w:rsidRPr="0003089D" w:rsidRDefault="005F2571" w:rsidP="005F2571">
      <w:pPr>
        <w:pStyle w:val="BodyText"/>
        <w:spacing w:after="0"/>
        <w:jc w:val="both"/>
      </w:pPr>
    </w:p>
    <w:p w14:paraId="144FD7F2" w14:textId="14353A18" w:rsidR="00D36A5C" w:rsidRDefault="00D36A5C" w:rsidP="0017668B">
      <w:pPr>
        <w:pStyle w:val="BodyText"/>
        <w:spacing w:after="0"/>
        <w:ind w:firstLine="720"/>
        <w:jc w:val="both"/>
      </w:pPr>
      <w:r w:rsidRPr="0003089D">
        <w:t xml:space="preserve">As stated in </w:t>
      </w:r>
      <w:r w:rsidR="00BC2408" w:rsidRPr="0003089D">
        <w:t>Section</w:t>
      </w:r>
      <w:r w:rsidRPr="0003089D">
        <w:t xml:space="preserve"> 2, the Utility’s water system has two wells with pumping capacities of 1,500 gpm each and two hydro storage tanks with capacities of 25,000 gallons each. Grenelefe’s water distribution system is comprised of 214,368 feet of 4 inch to 10 inch polyvinyl chloride (PVC) pipe. There are 75 fire hydrants throughout the water distribution system. </w:t>
      </w:r>
    </w:p>
    <w:p w14:paraId="59027263" w14:textId="77777777" w:rsidR="0017668B" w:rsidRPr="0003089D" w:rsidRDefault="0017668B" w:rsidP="0017668B">
      <w:pPr>
        <w:pStyle w:val="BodyText"/>
        <w:spacing w:after="0"/>
        <w:ind w:firstLine="720"/>
        <w:jc w:val="both"/>
      </w:pPr>
    </w:p>
    <w:p w14:paraId="69BB57CF" w14:textId="77777777" w:rsidR="00A944C1" w:rsidRDefault="00A944C1" w:rsidP="0017668B">
      <w:pPr>
        <w:pStyle w:val="BodyText"/>
        <w:spacing w:after="0"/>
        <w:ind w:firstLine="720"/>
        <w:jc w:val="both"/>
      </w:pPr>
      <w:r w:rsidRPr="0003089D">
        <w:t xml:space="preserve">Grenelefe’s wastewater </w:t>
      </w:r>
      <w:r>
        <w:t>is treated by</w:t>
      </w:r>
      <w:r w:rsidRPr="0003089D">
        <w:t xml:space="preserve"> a 0.340 MGD extended aeration system, consisting of ten aeration basins, four clarifiers, seven deep bed automatic backwash filters, three prefilter chlorine contact chambers, one post chlorine contact chamber, one fluent pump wet well, and three digesters. The Utility’s wastewater collection system is composed of 67,584 feet of 8 inch to 10 inch PVC pipe. There are five duplex</w:t>
      </w:r>
      <w:r w:rsidRPr="0003089D">
        <w:rPr>
          <w:rStyle w:val="FootnoteReference"/>
        </w:rPr>
        <w:footnoteReference w:id="17"/>
      </w:r>
      <w:r w:rsidRPr="0003089D">
        <w:t xml:space="preserve"> lift stations throughout the wastewater collection system.</w:t>
      </w:r>
    </w:p>
    <w:p w14:paraId="1013DFD2" w14:textId="77777777" w:rsidR="005F2571" w:rsidRPr="0003089D" w:rsidRDefault="005F2571" w:rsidP="005F2571">
      <w:pPr>
        <w:pStyle w:val="BodyText"/>
        <w:spacing w:after="0"/>
        <w:ind w:firstLine="720"/>
        <w:jc w:val="both"/>
      </w:pPr>
    </w:p>
    <w:p w14:paraId="657E2AF1" w14:textId="77777777" w:rsidR="00D36A5C" w:rsidRPr="005F2571" w:rsidRDefault="005F2571" w:rsidP="005F2571">
      <w:pPr>
        <w:pStyle w:val="First-LevelSubheading"/>
        <w:ind w:firstLine="720"/>
        <w:rPr>
          <w:rFonts w:ascii="Times New Roman" w:hAnsi="Times New Roman" w:cs="Times New Roman"/>
          <w:b w:val="0"/>
          <w:i/>
        </w:rPr>
      </w:pPr>
      <w:r>
        <w:rPr>
          <w:rFonts w:ascii="Times New Roman" w:hAnsi="Times New Roman" w:cs="Times New Roman"/>
          <w:b w:val="0"/>
          <w:i/>
        </w:rPr>
        <w:t xml:space="preserve">A.   </w:t>
      </w:r>
      <w:r w:rsidR="00D36A5C" w:rsidRPr="005F2571">
        <w:rPr>
          <w:rFonts w:ascii="Times New Roman" w:hAnsi="Times New Roman" w:cs="Times New Roman"/>
          <w:b w:val="0"/>
          <w:i/>
        </w:rPr>
        <w:t>Used and Useful Percentages</w:t>
      </w:r>
    </w:p>
    <w:p w14:paraId="34424D79" w14:textId="77777777" w:rsidR="005F2571" w:rsidRPr="005F2571" w:rsidRDefault="005F2571" w:rsidP="005F2571">
      <w:pPr>
        <w:pStyle w:val="BodyText"/>
        <w:spacing w:after="0"/>
      </w:pPr>
    </w:p>
    <w:p w14:paraId="6EA2E057" w14:textId="0C4694E7" w:rsidR="00D36A5C" w:rsidRDefault="00D36A5C" w:rsidP="005F2571">
      <w:pPr>
        <w:pStyle w:val="BodyText"/>
        <w:spacing w:after="0"/>
        <w:ind w:firstLine="720"/>
        <w:jc w:val="both"/>
      </w:pPr>
      <w:r w:rsidRPr="0003089D">
        <w:t>Rules 25-30.432 and 25-30.4325, F.A.C., address the method by which the U&amp;U of a wastewater and water system is determined, respectively. Grenelefe’s U&amp;U percentages were last determined in Docket No. 20110141-WS.</w:t>
      </w:r>
      <w:r w:rsidRPr="0003089D">
        <w:rPr>
          <w:rStyle w:val="FootnoteReference"/>
        </w:rPr>
        <w:footnoteReference w:id="18"/>
      </w:r>
      <w:r w:rsidRPr="0003089D">
        <w:t xml:space="preserve"> In that docket, </w:t>
      </w:r>
      <w:r w:rsidR="00BC2408" w:rsidRPr="0003089D">
        <w:t>we</w:t>
      </w:r>
      <w:r w:rsidRPr="0003089D">
        <w:t xml:space="preserve"> determined the Utility’s WTP, WWTP, water distribution, and wastewater collection system to be 100 percen</w:t>
      </w:r>
      <w:r w:rsidR="00F90AA4">
        <w:t xml:space="preserve">t U&amp;U. As discussed in the </w:t>
      </w:r>
      <w:r w:rsidRPr="0003089D">
        <w:t xml:space="preserve">Background, </w:t>
      </w:r>
      <w:r w:rsidR="00BC2408" w:rsidRPr="0003089D">
        <w:t>we</w:t>
      </w:r>
      <w:r w:rsidRPr="0003089D">
        <w:t xml:space="preserve"> recently approved amendments to the Utility’s water and wastewater service territories.</w:t>
      </w:r>
      <w:r w:rsidRPr="0003089D">
        <w:rPr>
          <w:rStyle w:val="FootnoteReference"/>
        </w:rPr>
        <w:footnoteReference w:id="19"/>
      </w:r>
      <w:r w:rsidRPr="0003089D">
        <w:t xml:space="preserve"> The Utility has requested an increase to the permitted capacity of its WWTP with the DEP. This project, along with other WWTP upgrades, is discussed further in </w:t>
      </w:r>
      <w:r w:rsidR="00BC2408" w:rsidRPr="0003089D">
        <w:lastRenderedPageBreak/>
        <w:t>Section</w:t>
      </w:r>
      <w:r w:rsidRPr="0003089D">
        <w:t xml:space="preserve"> 4.</w:t>
      </w:r>
      <w:r w:rsidR="00BC2408" w:rsidRPr="0003089D">
        <w:t xml:space="preserve"> Consistent with our</w:t>
      </w:r>
      <w:r w:rsidRPr="0003089D">
        <w:t xml:space="preserve"> previous decision, </w:t>
      </w:r>
      <w:r w:rsidR="00B2057D" w:rsidRPr="0003089D">
        <w:t>we</w:t>
      </w:r>
      <w:r w:rsidRPr="0003089D">
        <w:t xml:space="preserve"> </w:t>
      </w:r>
      <w:r w:rsidR="00B2057D" w:rsidRPr="0003089D">
        <w:t>find</w:t>
      </w:r>
      <w:r w:rsidRPr="0003089D">
        <w:t xml:space="preserve"> that the Utility’s WTP, WWTP, water distribution, and wastewater collections systems be considered 100 percent U&amp;U. The U&amp;U of the WWTP and collections systems may be reevaluated in a future proceeding pending the final modifications to the Utility’s WWTP which may increase its permitted capacity.</w:t>
      </w:r>
    </w:p>
    <w:p w14:paraId="79854B16" w14:textId="77777777" w:rsidR="005F2571" w:rsidRPr="0003089D" w:rsidRDefault="005F2571" w:rsidP="005F2571">
      <w:pPr>
        <w:pStyle w:val="BodyText"/>
        <w:spacing w:after="0"/>
        <w:ind w:firstLine="720"/>
        <w:jc w:val="both"/>
      </w:pPr>
    </w:p>
    <w:p w14:paraId="099E70F9" w14:textId="77777777" w:rsidR="00D36A5C" w:rsidRPr="005F2571" w:rsidRDefault="005F2571" w:rsidP="005F2571">
      <w:pPr>
        <w:pStyle w:val="First-LevelSubheading"/>
        <w:ind w:firstLine="720"/>
        <w:rPr>
          <w:rFonts w:ascii="Times New Roman" w:hAnsi="Times New Roman" w:cs="Times New Roman"/>
          <w:b w:val="0"/>
          <w:i/>
        </w:rPr>
      </w:pPr>
      <w:r>
        <w:rPr>
          <w:rFonts w:ascii="Times New Roman" w:hAnsi="Times New Roman" w:cs="Times New Roman"/>
          <w:b w:val="0"/>
          <w:i/>
        </w:rPr>
        <w:t xml:space="preserve">B.   </w:t>
      </w:r>
      <w:r w:rsidR="00D36A5C" w:rsidRPr="005F2571">
        <w:rPr>
          <w:rFonts w:ascii="Times New Roman" w:hAnsi="Times New Roman" w:cs="Times New Roman"/>
          <w:b w:val="0"/>
          <w:i/>
        </w:rPr>
        <w:t>Excessive Unaccounted for Water</w:t>
      </w:r>
      <w:r w:rsidR="00654852">
        <w:rPr>
          <w:rFonts w:ascii="Times New Roman" w:hAnsi="Times New Roman" w:cs="Times New Roman"/>
          <w:b w:val="0"/>
          <w:i/>
        </w:rPr>
        <w:t xml:space="preserve"> (EUW)</w:t>
      </w:r>
    </w:p>
    <w:p w14:paraId="1E60BC2D" w14:textId="77777777" w:rsidR="005F2571" w:rsidRPr="005F2571" w:rsidRDefault="005F2571" w:rsidP="005F2571">
      <w:pPr>
        <w:pStyle w:val="BodyText"/>
        <w:spacing w:after="0"/>
      </w:pPr>
    </w:p>
    <w:p w14:paraId="001FDB46" w14:textId="17A5B5B8" w:rsidR="00D36A5C" w:rsidRDefault="00F259E7" w:rsidP="002638D8">
      <w:pPr>
        <w:pStyle w:val="BodyText"/>
        <w:spacing w:after="0"/>
        <w:ind w:firstLine="720"/>
        <w:jc w:val="both"/>
      </w:pPr>
      <w:r w:rsidRPr="0003089D">
        <w:t>Unaccounted for water is all water produced that is not sold, metered, or accounted for in the records of the utility. EUW is defined as “unaccounted for water in excess of 10 percent of the amount produced.”</w:t>
      </w:r>
      <w:r w:rsidRPr="0003089D">
        <w:rPr>
          <w:rStyle w:val="FootnoteReference"/>
        </w:rPr>
        <w:footnoteReference w:id="20"/>
      </w:r>
      <w:r w:rsidRPr="0003089D">
        <w:t xml:space="preserve"> Rule 25-30.4325, F.A.C., provides factors </w:t>
      </w:r>
      <w:r>
        <w:t>for us to</w:t>
      </w:r>
      <w:r w:rsidRPr="0003089D">
        <w:t xml:space="preserve"> consider in determining whether adjustments to operating expenses are necessary for EUW</w:t>
      </w:r>
      <w:r>
        <w:t>. These factors include</w:t>
      </w:r>
      <w:r w:rsidRPr="0003089D">
        <w:t xml:space="preserve"> the causes of EUW, any corrective action taken, or the economic feasibility of a proposed solution. EUW is calculated by subtracting both the gallons sold to customers and the gallons used for other services, such as flushing, from the total gallons pumped for the test year.</w:t>
      </w:r>
    </w:p>
    <w:p w14:paraId="4B390A3E" w14:textId="77777777" w:rsidR="002638D8" w:rsidRPr="0003089D" w:rsidRDefault="002638D8" w:rsidP="002638D8">
      <w:pPr>
        <w:pStyle w:val="BodyText"/>
        <w:spacing w:after="0"/>
        <w:ind w:firstLine="720"/>
        <w:jc w:val="both"/>
      </w:pPr>
    </w:p>
    <w:p w14:paraId="0B2515B5" w14:textId="10E3F245" w:rsidR="00F259E7" w:rsidRDefault="00F259E7" w:rsidP="00F259E7">
      <w:pPr>
        <w:pStyle w:val="BodyText"/>
        <w:spacing w:after="0"/>
        <w:ind w:firstLine="720"/>
        <w:jc w:val="both"/>
      </w:pPr>
      <w:r w:rsidRPr="0003089D">
        <w:t>The Monthly Operating Reports that the Utility files with the DEP indicate that the Utility treated 116,252,434 gallons during the test year. In response to a staff data request, the Utility indicated that it purchased no water and did not provide water for other uses during the test year. We determined that the Utility sold 42,020,392 gallons of water for the test year. When both gallons sold and water used for other uses are subtracted from the total gallons pumped, there are 77,405,258 gallons that are unaccounted for. The formula for determining EUW as a percentage is given by gallons of unaccounted water / (total gallons pumped + gallons purchased). The resulting unaccounted for water is 63.9 percent and the excessive unaccounted for water is 53.9 percent. Regarding the cause, the Utility stated that the amount of EUW can be attributed to line breaks, lost water due to the age of the Utility infrastructure, and poor recordkeeping by the previous owner.</w:t>
      </w:r>
      <w:r w:rsidRPr="0003089D">
        <w:rPr>
          <w:rStyle w:val="FootnoteReference"/>
        </w:rPr>
        <w:footnoteReference w:id="21"/>
      </w:r>
      <w:r w:rsidRPr="0003089D">
        <w:t xml:space="preserve"> However, as discussed in Section 1</w:t>
      </w:r>
      <w:r w:rsidR="00262274">
        <w:t xml:space="preserve"> Quality of Service</w:t>
      </w:r>
      <w:r w:rsidRPr="0003089D">
        <w:t>, the Utility did not provide any record</w:t>
      </w:r>
      <w:r>
        <w:t xml:space="preserve"> of the</w:t>
      </w:r>
      <w:r w:rsidRPr="0003089D">
        <w:t xml:space="preserve"> amount </w:t>
      </w:r>
      <w:r>
        <w:t>of</w:t>
      </w:r>
      <w:r w:rsidRPr="0003089D">
        <w:t xml:space="preserve"> water loss through flushing or other uses pursuant to Rule 25-30.110, F.A.C.</w:t>
      </w:r>
    </w:p>
    <w:p w14:paraId="676AED92" w14:textId="77777777" w:rsidR="005F2571" w:rsidRPr="0003089D" w:rsidRDefault="005F2571" w:rsidP="005F2571">
      <w:pPr>
        <w:pStyle w:val="BodyText"/>
        <w:spacing w:after="0"/>
        <w:ind w:firstLine="720"/>
        <w:jc w:val="both"/>
      </w:pPr>
    </w:p>
    <w:p w14:paraId="0C28F6CC" w14:textId="77777777" w:rsidR="00D36A5C" w:rsidRPr="005F2571" w:rsidRDefault="005F2571" w:rsidP="005F2571">
      <w:pPr>
        <w:pStyle w:val="First-LevelSubheading"/>
        <w:ind w:firstLine="720"/>
        <w:rPr>
          <w:rFonts w:ascii="Times New Roman" w:hAnsi="Times New Roman" w:cs="Times New Roman"/>
          <w:b w:val="0"/>
          <w:i/>
        </w:rPr>
      </w:pPr>
      <w:r>
        <w:rPr>
          <w:rFonts w:ascii="Times New Roman" w:hAnsi="Times New Roman" w:cs="Times New Roman"/>
          <w:b w:val="0"/>
          <w:i/>
        </w:rPr>
        <w:t xml:space="preserve">C.   </w:t>
      </w:r>
      <w:r w:rsidR="00D36A5C" w:rsidRPr="005F2571">
        <w:rPr>
          <w:rFonts w:ascii="Times New Roman" w:hAnsi="Times New Roman" w:cs="Times New Roman"/>
          <w:b w:val="0"/>
          <w:i/>
        </w:rPr>
        <w:t>Infiltration and Inflow</w:t>
      </w:r>
      <w:r w:rsidR="00654852">
        <w:rPr>
          <w:rFonts w:ascii="Times New Roman" w:hAnsi="Times New Roman" w:cs="Times New Roman"/>
          <w:b w:val="0"/>
          <w:i/>
        </w:rPr>
        <w:t xml:space="preserve"> (I&amp;I)</w:t>
      </w:r>
    </w:p>
    <w:p w14:paraId="1A90B426" w14:textId="77777777" w:rsidR="005F2571" w:rsidRPr="005F2571" w:rsidRDefault="005F2571" w:rsidP="005F2571">
      <w:pPr>
        <w:pStyle w:val="BodyText"/>
        <w:spacing w:after="0"/>
        <w:rPr>
          <w:i/>
        </w:rPr>
      </w:pPr>
    </w:p>
    <w:p w14:paraId="09646A95" w14:textId="08447C18" w:rsidR="002638D8" w:rsidRDefault="00F259E7" w:rsidP="00310946">
      <w:pPr>
        <w:pStyle w:val="BodyText"/>
        <w:spacing w:after="0"/>
        <w:ind w:firstLine="720"/>
        <w:jc w:val="both"/>
      </w:pPr>
      <w:r w:rsidRPr="0003089D">
        <w:t xml:space="preserve">Rule 25-30.432, F.A.C., provides that in determining the amount of U&amp;U plant, we will consider I&amp;I. Excessive I&amp;I is a calculation that is based on a comparison of the allowable wastewater treated to the actual amount of wastewater treated. We calculated the allowable infiltration based on system parameters and calculated that allowable inflow based on the water sold to customers. The sum of these amounts is allowable I&amp;I. We next calculated the estimated amount of wastewater returned from customers. The estimated return is determined by summing 80 percent of the water sold to residential customers with 90 percent of the water sold to non-residential customers. Adding the estimated return to the allowable I&amp;I yields the maximum amount of wastewater that should be treated by the wastewater system without incurring an adjustment to operating expenses. If this amount exceeds the actual amount of wastewater treated, no adjustments are made. If it is less than the gallons treated, then the difference is the </w:t>
      </w:r>
      <w:r w:rsidRPr="0003089D">
        <w:lastRenderedPageBreak/>
        <w:t>excessive amount of I&amp;I. By convention, the allowance for infiltration is 500 gpd per inch diameter pipe per mile</w:t>
      </w:r>
      <w:r>
        <w:t>. A</w:t>
      </w:r>
      <w:r w:rsidRPr="0003089D">
        <w:t xml:space="preserve">n additional 10 percent of residential water billed is allowed for inflow. </w:t>
      </w:r>
    </w:p>
    <w:p w14:paraId="4659580B" w14:textId="77777777" w:rsidR="007D38CF" w:rsidRPr="0003089D" w:rsidRDefault="007D38CF" w:rsidP="00310946">
      <w:pPr>
        <w:pStyle w:val="BodyText"/>
        <w:spacing w:after="0"/>
        <w:ind w:firstLine="720"/>
        <w:jc w:val="both"/>
      </w:pPr>
    </w:p>
    <w:p w14:paraId="27DE257C" w14:textId="77777777" w:rsidR="00D36A5C" w:rsidRDefault="00D36A5C" w:rsidP="0014217D">
      <w:pPr>
        <w:ind w:firstLine="720"/>
        <w:jc w:val="both"/>
      </w:pPr>
      <w:r w:rsidRPr="0003089D">
        <w:t>Using the pipe lengths of Grenelefe’s collection system, the infiltration allowance is calculated to be 21,024,000 gallons per year. Ten percent of the total gallons sold to customers is allowed for inflow, which totals 3,897,718 gallons. The sum of these amounts is the total allowable I&amp;I, which is 24,915,718 gallons per year. The amount calculated for estimated return is 31,348,410 gallons per year. To find the total amount of wastewater allowed, the total allowable I&amp;I and the estimated return are summed, yielding 56,264,427 gallons per year. Finally, this total is compared to the total treated during the test year, which is 46,296,700 gallons according to the Utility’s daily flow report. This is less than the estimated maximum amount allowed. Therefore, there is no excessive I&amp;I, and no adjustment to operating expenses is necessary.</w:t>
      </w:r>
    </w:p>
    <w:p w14:paraId="1050DA58" w14:textId="77777777" w:rsidR="00D36A5C" w:rsidRPr="0003089D" w:rsidRDefault="00D36A5C" w:rsidP="006D1A91">
      <w:pPr>
        <w:jc w:val="both"/>
        <w:rPr>
          <w:b/>
        </w:rPr>
      </w:pPr>
    </w:p>
    <w:p w14:paraId="08D522B6" w14:textId="77777777" w:rsidR="00D36A5C" w:rsidRPr="005F2571" w:rsidRDefault="005F2571" w:rsidP="005F2571">
      <w:pPr>
        <w:pStyle w:val="First-LevelSubheading"/>
        <w:ind w:firstLine="720"/>
        <w:rPr>
          <w:rFonts w:ascii="Times New Roman" w:hAnsi="Times New Roman" w:cs="Times New Roman"/>
          <w:b w:val="0"/>
          <w:i/>
        </w:rPr>
      </w:pPr>
      <w:r>
        <w:rPr>
          <w:rFonts w:ascii="Times New Roman" w:hAnsi="Times New Roman" w:cs="Times New Roman"/>
          <w:b w:val="0"/>
          <w:i/>
        </w:rPr>
        <w:t xml:space="preserve">D.   </w:t>
      </w:r>
      <w:r w:rsidR="00D36A5C" w:rsidRPr="005F2571">
        <w:rPr>
          <w:rFonts w:ascii="Times New Roman" w:hAnsi="Times New Roman" w:cs="Times New Roman"/>
          <w:b w:val="0"/>
          <w:i/>
        </w:rPr>
        <w:t>Conclusion</w:t>
      </w:r>
    </w:p>
    <w:p w14:paraId="73A15131" w14:textId="77777777" w:rsidR="005F2571" w:rsidRPr="005F2571" w:rsidRDefault="005F2571" w:rsidP="005F2571">
      <w:pPr>
        <w:pStyle w:val="BodyText"/>
        <w:spacing w:after="0"/>
      </w:pPr>
    </w:p>
    <w:p w14:paraId="2ED5A66F" w14:textId="77777777" w:rsidR="00192776" w:rsidRPr="0003089D" w:rsidRDefault="00192776" w:rsidP="00192776">
      <w:pPr>
        <w:ind w:firstLine="720"/>
        <w:jc w:val="both"/>
      </w:pPr>
      <w:r w:rsidRPr="0003089D">
        <w:t xml:space="preserve">Grenelefe’s WTP, WWTP, water distribution, and wastewater collections system shall be considered 100 percent U&amp;U. We find there is 53.9 percent EUW, therefore, an adjustment to purchased power and chemicals shall be made. Additionally, no adjustment is </w:t>
      </w:r>
      <w:r>
        <w:t>necessary</w:t>
      </w:r>
      <w:r w:rsidRPr="0003089D">
        <w:t xml:space="preserve"> for excessive I&amp;I.</w:t>
      </w:r>
    </w:p>
    <w:p w14:paraId="47D12ADE" w14:textId="77777777" w:rsidR="00D36A5C" w:rsidRPr="0003089D" w:rsidRDefault="00D36A5C" w:rsidP="006D1A91">
      <w:pPr>
        <w:jc w:val="both"/>
      </w:pPr>
    </w:p>
    <w:p w14:paraId="3E6656D2" w14:textId="77777777" w:rsidR="00D36A5C" w:rsidRDefault="005F2571" w:rsidP="005F2571">
      <w:pPr>
        <w:pStyle w:val="BodyText"/>
        <w:spacing w:after="0"/>
        <w:jc w:val="both"/>
      </w:pPr>
      <w:r>
        <w:t>4.</w:t>
      </w:r>
      <w:r>
        <w:tab/>
      </w:r>
      <w:r w:rsidRPr="005F2571">
        <w:rPr>
          <w:u w:val="single"/>
        </w:rPr>
        <w:t>Average T</w:t>
      </w:r>
      <w:r w:rsidR="00D36A5C" w:rsidRPr="005F2571">
        <w:rPr>
          <w:u w:val="single"/>
        </w:rPr>
        <w:t>e</w:t>
      </w:r>
      <w:r w:rsidRPr="005F2571">
        <w:rPr>
          <w:u w:val="single"/>
        </w:rPr>
        <w:t>st Year Water Rate Base and Wastewater Rate Base</w:t>
      </w:r>
      <w:r>
        <w:t xml:space="preserve"> </w:t>
      </w:r>
    </w:p>
    <w:p w14:paraId="771D9DC3" w14:textId="77777777" w:rsidR="005F2571" w:rsidRPr="0003089D" w:rsidRDefault="005F2571" w:rsidP="005F2571">
      <w:pPr>
        <w:pStyle w:val="BodyText"/>
        <w:spacing w:after="0"/>
        <w:jc w:val="both"/>
      </w:pPr>
    </w:p>
    <w:p w14:paraId="5B193B1B" w14:textId="77777777" w:rsidR="00192776" w:rsidRDefault="00192776" w:rsidP="00192776">
      <w:pPr>
        <w:pStyle w:val="First-LevelSubheading"/>
        <w:ind w:firstLine="720"/>
        <w:rPr>
          <w:rFonts w:ascii="Times New Roman" w:hAnsi="Times New Roman" w:cs="Times New Roman"/>
          <w:b w:val="0"/>
        </w:rPr>
      </w:pPr>
      <w:r w:rsidRPr="0003089D">
        <w:rPr>
          <w:rFonts w:ascii="Times New Roman" w:hAnsi="Times New Roman" w:cs="Times New Roman"/>
          <w:b w:val="0"/>
        </w:rPr>
        <w:t>The appropriate components of the Utility’s rate base include utility plant in service (UPIS), land and land rights, accumulated depreciation, contributions-in-aid of construction (CIAC), accumulated amortization of CIAC, capital recovery, accumulated capital recovery, and working capital. We selected the test year ended October 31, 2024, for the instant rate case. A summary of each component and</w:t>
      </w:r>
      <w:r>
        <w:rPr>
          <w:rFonts w:ascii="Times New Roman" w:hAnsi="Times New Roman" w:cs="Times New Roman"/>
          <w:b w:val="0"/>
        </w:rPr>
        <w:t xml:space="preserve"> our</w:t>
      </w:r>
      <w:r w:rsidRPr="0003089D">
        <w:rPr>
          <w:rFonts w:ascii="Times New Roman" w:hAnsi="Times New Roman" w:cs="Times New Roman"/>
          <w:b w:val="0"/>
        </w:rPr>
        <w:t xml:space="preserve"> adjustments are discussed below.</w:t>
      </w:r>
    </w:p>
    <w:p w14:paraId="43215BE3" w14:textId="77777777" w:rsidR="005F2571" w:rsidRPr="005F2571" w:rsidRDefault="005F2571" w:rsidP="005F2571">
      <w:pPr>
        <w:pStyle w:val="BodyText"/>
        <w:spacing w:after="0"/>
      </w:pPr>
    </w:p>
    <w:p w14:paraId="71CED925" w14:textId="77777777" w:rsidR="00D36A5C" w:rsidRPr="005F2571" w:rsidRDefault="005F2571" w:rsidP="005F2571">
      <w:pPr>
        <w:ind w:firstLine="720"/>
        <w:jc w:val="both"/>
        <w:rPr>
          <w:i/>
        </w:rPr>
      </w:pPr>
      <w:r>
        <w:rPr>
          <w:i/>
        </w:rPr>
        <w:t xml:space="preserve">A.   </w:t>
      </w:r>
      <w:r w:rsidR="00D36A5C" w:rsidRPr="005F2571">
        <w:rPr>
          <w:i/>
        </w:rPr>
        <w:t>Utility Plant in Service</w:t>
      </w:r>
    </w:p>
    <w:p w14:paraId="276D5DCC" w14:textId="77777777" w:rsidR="005F2571" w:rsidRPr="0003089D" w:rsidRDefault="005F2571" w:rsidP="006D1A91">
      <w:pPr>
        <w:jc w:val="both"/>
        <w:rPr>
          <w:b/>
        </w:rPr>
      </w:pPr>
    </w:p>
    <w:p w14:paraId="29B4309B" w14:textId="77777777" w:rsidR="00D36A5C" w:rsidRDefault="00D36A5C" w:rsidP="005F2571">
      <w:pPr>
        <w:pStyle w:val="BodyText"/>
        <w:spacing w:after="0"/>
        <w:ind w:firstLine="720"/>
        <w:jc w:val="both"/>
      </w:pPr>
      <w:r w:rsidRPr="0003089D">
        <w:t xml:space="preserve">The Utility recorded UPIS of $3,212,594 for water and $3,290,936 for wastewater. </w:t>
      </w:r>
      <w:r w:rsidR="004F71CC">
        <w:t>Based on o</w:t>
      </w:r>
      <w:r w:rsidR="00B2057D" w:rsidRPr="0003089D">
        <w:t>ur a</w:t>
      </w:r>
      <w:r w:rsidRPr="0003089D">
        <w:t>udit</w:t>
      </w:r>
      <w:r w:rsidR="004F71CC">
        <w:t>,</w:t>
      </w:r>
      <w:r w:rsidRPr="0003089D">
        <w:t xml:space="preserve"> </w:t>
      </w:r>
      <w:r w:rsidR="00B2057D" w:rsidRPr="0003089D">
        <w:t>we</w:t>
      </w:r>
      <w:r w:rsidRPr="0003089D">
        <w:t xml:space="preserve"> decreased these amounts by $85,059 for water and $187,115 for wastewater to reflect adjustments from a prior Commission order, reclassify amounts from WWTP, and to reflect plant retirements.</w:t>
      </w:r>
      <w:r w:rsidRPr="0003089D">
        <w:rPr>
          <w:rStyle w:val="FootnoteReference"/>
        </w:rPr>
        <w:footnoteReference w:id="22"/>
      </w:r>
      <w:r w:rsidRPr="0003089D">
        <w:t xml:space="preserve"> </w:t>
      </w:r>
      <w:r w:rsidR="00B2057D" w:rsidRPr="0003089D">
        <w:t>We</w:t>
      </w:r>
      <w:r w:rsidRPr="0003089D">
        <w:t xml:space="preserve"> reduced water UPIS by an additional $9,386 to reflect an averaging adjustment. Additionally, </w:t>
      </w:r>
      <w:r w:rsidR="00B2057D" w:rsidRPr="0003089D">
        <w:t>we</w:t>
      </w:r>
      <w:r w:rsidRPr="0003089D">
        <w:t xml:space="preserve"> increased water UPIS by $1,758,389 and wastewater UPIS by $949,844 to reflect pro forma additions. </w:t>
      </w:r>
      <w:r w:rsidR="00B2057D" w:rsidRPr="0003089D">
        <w:t>We</w:t>
      </w:r>
      <w:r w:rsidRPr="0003089D">
        <w:t xml:space="preserve"> then made subsequent adjustments to reflect pro forma-related retirements, reducing water UPIS by $543,861 and reducing wastewater UPIS by $131,852. These adjustments result in a net increase to UPIS of $1,120,084 for water and $630,877 for wastewater. Therefore, </w:t>
      </w:r>
      <w:r w:rsidR="00B2057D" w:rsidRPr="0003089D">
        <w:t>we</w:t>
      </w:r>
      <w:r w:rsidRPr="0003089D">
        <w:t xml:space="preserve"> </w:t>
      </w:r>
      <w:r w:rsidR="00B2057D" w:rsidRPr="0003089D">
        <w:t>find</w:t>
      </w:r>
      <w:r w:rsidRPr="0003089D">
        <w:t xml:space="preserve"> a UPIS of $4,332,678 for water and $3,921,813 for wastewater.</w:t>
      </w:r>
    </w:p>
    <w:p w14:paraId="00B96774" w14:textId="2B181E92" w:rsidR="005F2571" w:rsidRDefault="005F2571" w:rsidP="005F2571">
      <w:pPr>
        <w:pStyle w:val="BodyText"/>
        <w:spacing w:after="0"/>
        <w:ind w:firstLine="720"/>
        <w:jc w:val="both"/>
      </w:pPr>
    </w:p>
    <w:p w14:paraId="63C28902" w14:textId="77777777" w:rsidR="00D36A5C" w:rsidRPr="005F2571" w:rsidRDefault="005F2571" w:rsidP="005F2571">
      <w:pPr>
        <w:pStyle w:val="First-LevelSubheading"/>
        <w:ind w:firstLine="720"/>
        <w:rPr>
          <w:rFonts w:ascii="Times New Roman" w:hAnsi="Times New Roman" w:cs="Times New Roman"/>
          <w:b w:val="0"/>
          <w:i/>
        </w:rPr>
      </w:pPr>
      <w:r>
        <w:rPr>
          <w:rFonts w:ascii="Times New Roman" w:hAnsi="Times New Roman" w:cs="Times New Roman"/>
          <w:b w:val="0"/>
          <w:i/>
        </w:rPr>
        <w:lastRenderedPageBreak/>
        <w:t xml:space="preserve">B.   </w:t>
      </w:r>
      <w:r w:rsidR="00D36A5C" w:rsidRPr="005F2571">
        <w:rPr>
          <w:rFonts w:ascii="Times New Roman" w:hAnsi="Times New Roman" w:cs="Times New Roman"/>
          <w:b w:val="0"/>
          <w:i/>
        </w:rPr>
        <w:t>Pro Forma Plant Additions</w:t>
      </w:r>
    </w:p>
    <w:p w14:paraId="390EF096" w14:textId="77777777" w:rsidR="005F2571" w:rsidRPr="005F2571" w:rsidRDefault="005F2571" w:rsidP="005F2571">
      <w:pPr>
        <w:pStyle w:val="BodyText"/>
        <w:spacing w:after="0"/>
      </w:pPr>
    </w:p>
    <w:p w14:paraId="3E85A3E0" w14:textId="54796272" w:rsidR="005F2571" w:rsidRPr="0003089D" w:rsidRDefault="00192776" w:rsidP="00192776">
      <w:pPr>
        <w:ind w:firstLine="720"/>
        <w:jc w:val="both"/>
      </w:pPr>
      <w:r w:rsidRPr="0003089D">
        <w:t xml:space="preserve">Grenelefe requested pro forma projects for both its water and wastewater systems. </w:t>
      </w:r>
      <w:r>
        <w:t>Because</w:t>
      </w:r>
      <w:r w:rsidRPr="0003089D">
        <w:t xml:space="preserve"> some items are not system specific, like a replacement vehicle, those costs would be allocated to both the water and wastewater systems. The pro forma projects</w:t>
      </w:r>
      <w:r>
        <w:t xml:space="preserve"> are shown </w:t>
      </w:r>
      <w:r w:rsidR="00262274">
        <w:t xml:space="preserve">below </w:t>
      </w:r>
      <w:r>
        <w:t>in Table 2</w:t>
      </w:r>
      <w:r w:rsidRPr="0003089D">
        <w:t xml:space="preserve"> and each pro forma project is described below. </w:t>
      </w:r>
      <w:r>
        <w:t>We have also</w:t>
      </w:r>
      <w:r w:rsidRPr="0003089D">
        <w:t xml:space="preserve"> evaluate</w:t>
      </w:r>
      <w:r>
        <w:t>d</w:t>
      </w:r>
      <w:r w:rsidRPr="0003089D">
        <w:t xml:space="preserve"> whether a minimum of three bids were solicited for each project </w:t>
      </w:r>
      <w:r>
        <w:t>and, if not,</w:t>
      </w:r>
      <w:r w:rsidRPr="0003089D">
        <w:t xml:space="preserve"> the utility’s reasoning as to why three could not be obtained.</w:t>
      </w:r>
      <w:r w:rsidRPr="0003089D">
        <w:rPr>
          <w:rStyle w:val="FootnoteReference"/>
        </w:rPr>
        <w:footnoteReference w:id="23"/>
      </w:r>
    </w:p>
    <w:p w14:paraId="27EC921B" w14:textId="77777777" w:rsidR="00D36A5C" w:rsidRPr="0003089D" w:rsidRDefault="005F2571" w:rsidP="005F2571">
      <w:pPr>
        <w:pStyle w:val="TableNumber"/>
        <w:keepNext/>
        <w:spacing w:before="0"/>
        <w:rPr>
          <w:rFonts w:ascii="Times New Roman" w:hAnsi="Times New Roman"/>
        </w:rPr>
      </w:pPr>
      <w:r>
        <w:rPr>
          <w:rFonts w:ascii="Times New Roman" w:hAnsi="Times New Roman"/>
        </w:rPr>
        <w:t>Table 2</w:t>
      </w:r>
    </w:p>
    <w:p w14:paraId="39ADE575" w14:textId="77777777" w:rsidR="00D36A5C" w:rsidRPr="0003089D" w:rsidRDefault="00D36A5C" w:rsidP="00D36A5C">
      <w:pPr>
        <w:pStyle w:val="TableTitle"/>
        <w:keepNext/>
        <w:rPr>
          <w:rFonts w:ascii="Times New Roman" w:hAnsi="Times New Roman"/>
        </w:rPr>
      </w:pPr>
      <w:r w:rsidRPr="0003089D">
        <w:rPr>
          <w:rFonts w:ascii="Times New Roman" w:hAnsi="Times New Roman"/>
        </w:rPr>
        <w:t>Pro-Forma Plant Projects</w:t>
      </w:r>
    </w:p>
    <w:tbl>
      <w:tblPr>
        <w:tblStyle w:val="TableGrid"/>
        <w:tblW w:w="9576" w:type="dxa"/>
        <w:jc w:val="center"/>
        <w:tblLook w:val="04A0" w:firstRow="1" w:lastRow="0" w:firstColumn="1" w:lastColumn="0" w:noHBand="0" w:noVBand="1"/>
      </w:tblPr>
      <w:tblGrid>
        <w:gridCol w:w="666"/>
        <w:gridCol w:w="3313"/>
        <w:gridCol w:w="1030"/>
        <w:gridCol w:w="1416"/>
        <w:gridCol w:w="1656"/>
        <w:gridCol w:w="1495"/>
      </w:tblGrid>
      <w:tr w:rsidR="00D36A5C" w:rsidRPr="0003089D" w14:paraId="40BDDF3D" w14:textId="77777777" w:rsidTr="00D36A5C">
        <w:trPr>
          <w:jc w:val="center"/>
        </w:trPr>
        <w:tc>
          <w:tcPr>
            <w:tcW w:w="666" w:type="dxa"/>
          </w:tcPr>
          <w:p w14:paraId="5F489690" w14:textId="77777777" w:rsidR="00D36A5C" w:rsidRPr="0017668B" w:rsidRDefault="00D36A5C" w:rsidP="00D36A5C">
            <w:pPr>
              <w:jc w:val="center"/>
              <w:rPr>
                <w:sz w:val="23"/>
                <w:szCs w:val="23"/>
              </w:rPr>
            </w:pPr>
          </w:p>
        </w:tc>
        <w:tc>
          <w:tcPr>
            <w:tcW w:w="3313" w:type="dxa"/>
            <w:vAlign w:val="center"/>
          </w:tcPr>
          <w:p w14:paraId="7EC50313" w14:textId="77777777" w:rsidR="00D36A5C" w:rsidRPr="0017668B" w:rsidRDefault="00D36A5C" w:rsidP="00D36A5C">
            <w:pPr>
              <w:jc w:val="center"/>
              <w:rPr>
                <w:sz w:val="23"/>
                <w:szCs w:val="23"/>
              </w:rPr>
            </w:pPr>
            <w:r w:rsidRPr="0017668B">
              <w:rPr>
                <w:sz w:val="23"/>
                <w:szCs w:val="23"/>
              </w:rPr>
              <w:t>Project</w:t>
            </w:r>
          </w:p>
        </w:tc>
        <w:tc>
          <w:tcPr>
            <w:tcW w:w="1030" w:type="dxa"/>
            <w:vAlign w:val="center"/>
          </w:tcPr>
          <w:p w14:paraId="6713FE44" w14:textId="77777777" w:rsidR="00D36A5C" w:rsidRPr="0017668B" w:rsidRDefault="00D36A5C" w:rsidP="00D36A5C">
            <w:pPr>
              <w:jc w:val="center"/>
              <w:rPr>
                <w:sz w:val="23"/>
                <w:szCs w:val="23"/>
              </w:rPr>
            </w:pPr>
            <w:r w:rsidRPr="0017668B">
              <w:rPr>
                <w:sz w:val="23"/>
                <w:szCs w:val="23"/>
              </w:rPr>
              <w:t>Account</w:t>
            </w:r>
          </w:p>
          <w:p w14:paraId="050E550B" w14:textId="77777777" w:rsidR="00D36A5C" w:rsidRPr="0017668B" w:rsidRDefault="00D36A5C" w:rsidP="00D36A5C">
            <w:pPr>
              <w:jc w:val="center"/>
              <w:rPr>
                <w:sz w:val="23"/>
                <w:szCs w:val="23"/>
              </w:rPr>
            </w:pPr>
            <w:r w:rsidRPr="0017668B">
              <w:rPr>
                <w:sz w:val="23"/>
                <w:szCs w:val="23"/>
              </w:rPr>
              <w:t>Number</w:t>
            </w:r>
          </w:p>
        </w:tc>
        <w:tc>
          <w:tcPr>
            <w:tcW w:w="1416" w:type="dxa"/>
          </w:tcPr>
          <w:p w14:paraId="11E12E69" w14:textId="77777777" w:rsidR="00D36A5C" w:rsidRPr="0017668B" w:rsidRDefault="00D36A5C" w:rsidP="00D36A5C">
            <w:pPr>
              <w:jc w:val="center"/>
              <w:rPr>
                <w:sz w:val="23"/>
                <w:szCs w:val="23"/>
              </w:rPr>
            </w:pPr>
            <w:r w:rsidRPr="0017668B">
              <w:rPr>
                <w:sz w:val="23"/>
                <w:szCs w:val="23"/>
              </w:rPr>
              <w:t>Utility</w:t>
            </w:r>
          </w:p>
          <w:p w14:paraId="06BE3A74" w14:textId="77777777" w:rsidR="00D36A5C" w:rsidRPr="0017668B" w:rsidRDefault="00D36A5C" w:rsidP="00D36A5C">
            <w:pPr>
              <w:jc w:val="center"/>
              <w:rPr>
                <w:sz w:val="23"/>
                <w:szCs w:val="23"/>
              </w:rPr>
            </w:pPr>
            <w:r w:rsidRPr="0017668B">
              <w:rPr>
                <w:sz w:val="23"/>
                <w:szCs w:val="23"/>
              </w:rPr>
              <w:t>Requested</w:t>
            </w:r>
          </w:p>
        </w:tc>
        <w:tc>
          <w:tcPr>
            <w:tcW w:w="1656" w:type="dxa"/>
            <w:vAlign w:val="center"/>
          </w:tcPr>
          <w:p w14:paraId="4AD5327B" w14:textId="77777777" w:rsidR="00B2057D" w:rsidRPr="0017668B" w:rsidRDefault="00B2057D" w:rsidP="00D36A5C">
            <w:pPr>
              <w:jc w:val="center"/>
              <w:rPr>
                <w:sz w:val="23"/>
                <w:szCs w:val="23"/>
              </w:rPr>
            </w:pPr>
            <w:r w:rsidRPr="0017668B">
              <w:rPr>
                <w:sz w:val="23"/>
                <w:szCs w:val="23"/>
              </w:rPr>
              <w:t>Commission</w:t>
            </w:r>
          </w:p>
          <w:p w14:paraId="6FFE7751" w14:textId="77777777" w:rsidR="00D36A5C" w:rsidRPr="0017668B" w:rsidRDefault="00D36A5C" w:rsidP="00D36A5C">
            <w:pPr>
              <w:jc w:val="center"/>
              <w:rPr>
                <w:sz w:val="23"/>
                <w:szCs w:val="23"/>
              </w:rPr>
            </w:pPr>
            <w:r w:rsidRPr="0017668B">
              <w:rPr>
                <w:sz w:val="23"/>
                <w:szCs w:val="23"/>
              </w:rPr>
              <w:t xml:space="preserve"> </w:t>
            </w:r>
            <w:r w:rsidR="00B2057D" w:rsidRPr="0017668B">
              <w:rPr>
                <w:sz w:val="23"/>
                <w:szCs w:val="23"/>
              </w:rPr>
              <w:t>Approved</w:t>
            </w:r>
          </w:p>
        </w:tc>
        <w:tc>
          <w:tcPr>
            <w:tcW w:w="1495" w:type="dxa"/>
            <w:vAlign w:val="center"/>
          </w:tcPr>
          <w:p w14:paraId="10344814" w14:textId="77777777" w:rsidR="00D36A5C" w:rsidRPr="0017668B" w:rsidRDefault="00D36A5C" w:rsidP="00D36A5C">
            <w:pPr>
              <w:jc w:val="center"/>
              <w:rPr>
                <w:sz w:val="23"/>
                <w:szCs w:val="23"/>
              </w:rPr>
            </w:pPr>
            <w:r w:rsidRPr="0017668B">
              <w:rPr>
                <w:sz w:val="23"/>
                <w:szCs w:val="23"/>
              </w:rPr>
              <w:t>Retirement*</w:t>
            </w:r>
          </w:p>
        </w:tc>
      </w:tr>
      <w:tr w:rsidR="00D36A5C" w:rsidRPr="0003089D" w14:paraId="17A6637F" w14:textId="77777777" w:rsidTr="00D36A5C">
        <w:trPr>
          <w:jc w:val="center"/>
        </w:trPr>
        <w:tc>
          <w:tcPr>
            <w:tcW w:w="9576" w:type="dxa"/>
            <w:gridSpan w:val="6"/>
          </w:tcPr>
          <w:p w14:paraId="4F29F4EF" w14:textId="77777777" w:rsidR="00D36A5C" w:rsidRPr="0017668B" w:rsidRDefault="00D36A5C" w:rsidP="00D36A5C">
            <w:pPr>
              <w:jc w:val="center"/>
              <w:rPr>
                <w:sz w:val="23"/>
                <w:szCs w:val="23"/>
              </w:rPr>
            </w:pPr>
            <w:r w:rsidRPr="0017668B">
              <w:rPr>
                <w:sz w:val="23"/>
                <w:szCs w:val="23"/>
              </w:rPr>
              <w:t>Water</w:t>
            </w:r>
          </w:p>
        </w:tc>
      </w:tr>
      <w:tr w:rsidR="00D36A5C" w:rsidRPr="0003089D" w14:paraId="35798061" w14:textId="77777777" w:rsidTr="00D36A5C">
        <w:trPr>
          <w:jc w:val="center"/>
        </w:trPr>
        <w:tc>
          <w:tcPr>
            <w:tcW w:w="666" w:type="dxa"/>
          </w:tcPr>
          <w:p w14:paraId="6543BD7A" w14:textId="77777777" w:rsidR="00D36A5C" w:rsidRPr="0017668B" w:rsidRDefault="00D36A5C" w:rsidP="00D36A5C">
            <w:pPr>
              <w:rPr>
                <w:sz w:val="23"/>
                <w:szCs w:val="23"/>
              </w:rPr>
            </w:pPr>
            <w:r w:rsidRPr="0017668B">
              <w:rPr>
                <w:sz w:val="23"/>
                <w:szCs w:val="23"/>
              </w:rPr>
              <w:t>1.</w:t>
            </w:r>
          </w:p>
        </w:tc>
        <w:tc>
          <w:tcPr>
            <w:tcW w:w="3313" w:type="dxa"/>
            <w:vAlign w:val="center"/>
          </w:tcPr>
          <w:p w14:paraId="72C8CFF4" w14:textId="77777777" w:rsidR="00D36A5C" w:rsidRPr="0017668B" w:rsidRDefault="00D36A5C" w:rsidP="00D36A5C">
            <w:pPr>
              <w:rPr>
                <w:sz w:val="23"/>
                <w:szCs w:val="23"/>
              </w:rPr>
            </w:pPr>
            <w:r w:rsidRPr="0017668B">
              <w:rPr>
                <w:sz w:val="23"/>
                <w:szCs w:val="23"/>
              </w:rPr>
              <w:t xml:space="preserve">Neptune 5/8 by 3/4 T10 P/C R900i cellular USG meters (Meters and Meter boxes) </w:t>
            </w:r>
          </w:p>
        </w:tc>
        <w:tc>
          <w:tcPr>
            <w:tcW w:w="1030" w:type="dxa"/>
            <w:vAlign w:val="center"/>
          </w:tcPr>
          <w:p w14:paraId="1CDEAD4B" w14:textId="77777777" w:rsidR="00D36A5C" w:rsidRPr="0017668B" w:rsidRDefault="00D36A5C" w:rsidP="00D36A5C">
            <w:pPr>
              <w:jc w:val="center"/>
              <w:rPr>
                <w:sz w:val="23"/>
                <w:szCs w:val="23"/>
              </w:rPr>
            </w:pPr>
            <w:r w:rsidRPr="0017668B">
              <w:rPr>
                <w:sz w:val="23"/>
                <w:szCs w:val="23"/>
              </w:rPr>
              <w:t>334</w:t>
            </w:r>
          </w:p>
        </w:tc>
        <w:tc>
          <w:tcPr>
            <w:tcW w:w="1416" w:type="dxa"/>
            <w:vAlign w:val="center"/>
          </w:tcPr>
          <w:p w14:paraId="25AACE38" w14:textId="77777777" w:rsidR="00D36A5C" w:rsidRPr="0017668B" w:rsidRDefault="00D36A5C" w:rsidP="00D36A5C">
            <w:pPr>
              <w:jc w:val="right"/>
              <w:rPr>
                <w:sz w:val="23"/>
                <w:szCs w:val="23"/>
              </w:rPr>
            </w:pPr>
            <w:r w:rsidRPr="0017668B">
              <w:rPr>
                <w:sz w:val="23"/>
                <w:szCs w:val="23"/>
              </w:rPr>
              <w:t>$823,643</w:t>
            </w:r>
          </w:p>
        </w:tc>
        <w:tc>
          <w:tcPr>
            <w:tcW w:w="1656" w:type="dxa"/>
            <w:vAlign w:val="center"/>
          </w:tcPr>
          <w:p w14:paraId="24B6081F" w14:textId="77777777" w:rsidR="00D36A5C" w:rsidRPr="0017668B" w:rsidRDefault="00D36A5C" w:rsidP="00D36A5C">
            <w:pPr>
              <w:jc w:val="right"/>
              <w:rPr>
                <w:sz w:val="23"/>
                <w:szCs w:val="23"/>
              </w:rPr>
            </w:pPr>
            <w:r w:rsidRPr="0017668B">
              <w:rPr>
                <w:sz w:val="23"/>
                <w:szCs w:val="23"/>
              </w:rPr>
              <w:t>$758,838</w:t>
            </w:r>
          </w:p>
        </w:tc>
        <w:tc>
          <w:tcPr>
            <w:tcW w:w="1495" w:type="dxa"/>
            <w:vAlign w:val="center"/>
          </w:tcPr>
          <w:p w14:paraId="76625591" w14:textId="77777777" w:rsidR="00D36A5C" w:rsidRPr="0017668B" w:rsidRDefault="00D36A5C" w:rsidP="00D36A5C">
            <w:pPr>
              <w:jc w:val="right"/>
              <w:rPr>
                <w:sz w:val="23"/>
                <w:szCs w:val="23"/>
              </w:rPr>
            </w:pPr>
            <w:r w:rsidRPr="0017668B">
              <w:rPr>
                <w:sz w:val="23"/>
                <w:szCs w:val="23"/>
              </w:rPr>
              <w:t>($167,461)*</w:t>
            </w:r>
          </w:p>
        </w:tc>
      </w:tr>
      <w:tr w:rsidR="00D36A5C" w:rsidRPr="0003089D" w14:paraId="220B7F3C" w14:textId="77777777" w:rsidTr="00D36A5C">
        <w:trPr>
          <w:jc w:val="center"/>
        </w:trPr>
        <w:tc>
          <w:tcPr>
            <w:tcW w:w="666" w:type="dxa"/>
          </w:tcPr>
          <w:p w14:paraId="113EE7E0" w14:textId="77777777" w:rsidR="00D36A5C" w:rsidRPr="0017668B" w:rsidRDefault="00D36A5C" w:rsidP="00D36A5C">
            <w:pPr>
              <w:rPr>
                <w:sz w:val="23"/>
                <w:szCs w:val="23"/>
              </w:rPr>
            </w:pPr>
            <w:r w:rsidRPr="0017668B">
              <w:rPr>
                <w:sz w:val="23"/>
                <w:szCs w:val="23"/>
              </w:rPr>
              <w:t>2.</w:t>
            </w:r>
          </w:p>
        </w:tc>
        <w:tc>
          <w:tcPr>
            <w:tcW w:w="3313" w:type="dxa"/>
            <w:vAlign w:val="center"/>
          </w:tcPr>
          <w:p w14:paraId="35523FA9" w14:textId="77777777" w:rsidR="00D36A5C" w:rsidRPr="0017668B" w:rsidRDefault="00D36A5C" w:rsidP="00D36A5C">
            <w:pPr>
              <w:rPr>
                <w:sz w:val="23"/>
                <w:szCs w:val="23"/>
              </w:rPr>
            </w:pPr>
            <w:r w:rsidRPr="0017668B">
              <w:rPr>
                <w:sz w:val="23"/>
                <w:szCs w:val="23"/>
              </w:rPr>
              <w:t>Radio Read Meter Installations</w:t>
            </w:r>
          </w:p>
        </w:tc>
        <w:tc>
          <w:tcPr>
            <w:tcW w:w="1030" w:type="dxa"/>
            <w:vAlign w:val="center"/>
          </w:tcPr>
          <w:p w14:paraId="2F611495" w14:textId="77777777" w:rsidR="00D36A5C" w:rsidRPr="0017668B" w:rsidRDefault="00D36A5C" w:rsidP="00D36A5C">
            <w:pPr>
              <w:jc w:val="center"/>
              <w:rPr>
                <w:sz w:val="23"/>
                <w:szCs w:val="23"/>
              </w:rPr>
            </w:pPr>
            <w:r w:rsidRPr="0017668B">
              <w:rPr>
                <w:sz w:val="23"/>
                <w:szCs w:val="23"/>
              </w:rPr>
              <w:t>334</w:t>
            </w:r>
          </w:p>
        </w:tc>
        <w:tc>
          <w:tcPr>
            <w:tcW w:w="1416" w:type="dxa"/>
          </w:tcPr>
          <w:p w14:paraId="3A5F57F8" w14:textId="77777777" w:rsidR="00D36A5C" w:rsidRPr="0017668B" w:rsidRDefault="00D36A5C" w:rsidP="00D36A5C">
            <w:pPr>
              <w:jc w:val="right"/>
              <w:rPr>
                <w:sz w:val="23"/>
                <w:szCs w:val="23"/>
              </w:rPr>
            </w:pPr>
            <w:r w:rsidRPr="0017668B">
              <w:rPr>
                <w:sz w:val="23"/>
                <w:szCs w:val="23"/>
              </w:rPr>
              <w:t>$271,800</w:t>
            </w:r>
          </w:p>
        </w:tc>
        <w:tc>
          <w:tcPr>
            <w:tcW w:w="1656" w:type="dxa"/>
            <w:vAlign w:val="center"/>
          </w:tcPr>
          <w:p w14:paraId="76BE95A3" w14:textId="77777777" w:rsidR="00D36A5C" w:rsidRPr="0017668B" w:rsidRDefault="00D36A5C" w:rsidP="00D36A5C">
            <w:pPr>
              <w:jc w:val="right"/>
              <w:rPr>
                <w:sz w:val="23"/>
                <w:szCs w:val="23"/>
              </w:rPr>
            </w:pPr>
            <w:r w:rsidRPr="0017668B">
              <w:rPr>
                <w:sz w:val="23"/>
                <w:szCs w:val="23"/>
              </w:rPr>
              <w:t>$242,385</w:t>
            </w:r>
          </w:p>
        </w:tc>
        <w:tc>
          <w:tcPr>
            <w:tcW w:w="1495" w:type="dxa"/>
            <w:vAlign w:val="center"/>
          </w:tcPr>
          <w:p w14:paraId="087F9889" w14:textId="77777777" w:rsidR="00D36A5C" w:rsidRPr="0017668B" w:rsidRDefault="00D36A5C" w:rsidP="00D36A5C">
            <w:pPr>
              <w:jc w:val="right"/>
              <w:rPr>
                <w:sz w:val="23"/>
                <w:szCs w:val="23"/>
              </w:rPr>
            </w:pPr>
            <w:r w:rsidRPr="0017668B">
              <w:rPr>
                <w:sz w:val="23"/>
                <w:szCs w:val="23"/>
              </w:rPr>
              <w:t>($53,493)*</w:t>
            </w:r>
          </w:p>
        </w:tc>
      </w:tr>
      <w:tr w:rsidR="00D36A5C" w:rsidRPr="0003089D" w14:paraId="3C039029" w14:textId="77777777" w:rsidTr="00D36A5C">
        <w:trPr>
          <w:jc w:val="center"/>
        </w:trPr>
        <w:tc>
          <w:tcPr>
            <w:tcW w:w="666" w:type="dxa"/>
            <w:shd w:val="clear" w:color="auto" w:fill="auto"/>
          </w:tcPr>
          <w:p w14:paraId="2E1CF4DE" w14:textId="77777777" w:rsidR="00D36A5C" w:rsidRPr="0017668B" w:rsidRDefault="00D36A5C" w:rsidP="00D36A5C">
            <w:pPr>
              <w:rPr>
                <w:sz w:val="23"/>
                <w:szCs w:val="23"/>
              </w:rPr>
            </w:pPr>
            <w:r w:rsidRPr="0017668B">
              <w:rPr>
                <w:sz w:val="23"/>
                <w:szCs w:val="23"/>
              </w:rPr>
              <w:t>3.</w:t>
            </w:r>
          </w:p>
        </w:tc>
        <w:tc>
          <w:tcPr>
            <w:tcW w:w="3313" w:type="dxa"/>
            <w:shd w:val="clear" w:color="auto" w:fill="auto"/>
            <w:vAlign w:val="center"/>
          </w:tcPr>
          <w:p w14:paraId="27EABAD9" w14:textId="77777777" w:rsidR="00D36A5C" w:rsidRPr="0017668B" w:rsidRDefault="00D36A5C" w:rsidP="00D36A5C">
            <w:pPr>
              <w:rPr>
                <w:sz w:val="23"/>
                <w:szCs w:val="23"/>
              </w:rPr>
            </w:pPr>
            <w:r w:rsidRPr="0017668B">
              <w:rPr>
                <w:sz w:val="23"/>
                <w:szCs w:val="23"/>
              </w:rPr>
              <w:t>Replacing 15 Fire Hydrants</w:t>
            </w:r>
          </w:p>
        </w:tc>
        <w:tc>
          <w:tcPr>
            <w:tcW w:w="1030" w:type="dxa"/>
            <w:shd w:val="clear" w:color="auto" w:fill="auto"/>
            <w:vAlign w:val="center"/>
          </w:tcPr>
          <w:p w14:paraId="730ED445" w14:textId="77777777" w:rsidR="00D36A5C" w:rsidRPr="0017668B" w:rsidRDefault="00D36A5C" w:rsidP="00D36A5C">
            <w:pPr>
              <w:jc w:val="center"/>
              <w:rPr>
                <w:sz w:val="23"/>
                <w:szCs w:val="23"/>
              </w:rPr>
            </w:pPr>
            <w:r w:rsidRPr="0017668B">
              <w:rPr>
                <w:sz w:val="23"/>
                <w:szCs w:val="23"/>
              </w:rPr>
              <w:t>-</w:t>
            </w:r>
          </w:p>
        </w:tc>
        <w:tc>
          <w:tcPr>
            <w:tcW w:w="1416" w:type="dxa"/>
            <w:shd w:val="clear" w:color="auto" w:fill="auto"/>
          </w:tcPr>
          <w:p w14:paraId="1AF2592C" w14:textId="77777777" w:rsidR="00D36A5C" w:rsidRPr="0017668B" w:rsidRDefault="00D36A5C" w:rsidP="00D36A5C">
            <w:pPr>
              <w:jc w:val="right"/>
              <w:rPr>
                <w:sz w:val="23"/>
                <w:szCs w:val="23"/>
              </w:rPr>
            </w:pPr>
            <w:r w:rsidRPr="0017668B">
              <w:rPr>
                <w:sz w:val="23"/>
                <w:szCs w:val="23"/>
              </w:rPr>
              <w:t>$234,000</w:t>
            </w:r>
          </w:p>
        </w:tc>
        <w:tc>
          <w:tcPr>
            <w:tcW w:w="1656" w:type="dxa"/>
            <w:shd w:val="clear" w:color="auto" w:fill="auto"/>
            <w:vAlign w:val="center"/>
          </w:tcPr>
          <w:p w14:paraId="5E53BB6F" w14:textId="77777777" w:rsidR="00D36A5C" w:rsidRPr="0017668B" w:rsidRDefault="00D36A5C" w:rsidP="00D36A5C">
            <w:pPr>
              <w:jc w:val="right"/>
              <w:rPr>
                <w:sz w:val="23"/>
                <w:szCs w:val="23"/>
              </w:rPr>
            </w:pPr>
            <w:r w:rsidRPr="0017668B">
              <w:rPr>
                <w:sz w:val="23"/>
                <w:szCs w:val="23"/>
              </w:rPr>
              <w:t>$0</w:t>
            </w:r>
          </w:p>
        </w:tc>
        <w:tc>
          <w:tcPr>
            <w:tcW w:w="1495" w:type="dxa"/>
            <w:vAlign w:val="center"/>
          </w:tcPr>
          <w:p w14:paraId="4D4A71FB" w14:textId="77777777" w:rsidR="00D36A5C" w:rsidRPr="0017668B" w:rsidRDefault="00D36A5C" w:rsidP="00D36A5C">
            <w:pPr>
              <w:jc w:val="center"/>
              <w:rPr>
                <w:sz w:val="23"/>
                <w:szCs w:val="23"/>
              </w:rPr>
            </w:pPr>
            <w:r w:rsidRPr="0017668B">
              <w:rPr>
                <w:sz w:val="23"/>
                <w:szCs w:val="23"/>
              </w:rPr>
              <w:t>-</w:t>
            </w:r>
          </w:p>
        </w:tc>
      </w:tr>
      <w:tr w:rsidR="00D36A5C" w:rsidRPr="0003089D" w14:paraId="4D16DAE8" w14:textId="77777777" w:rsidTr="00D36A5C">
        <w:trPr>
          <w:jc w:val="center"/>
        </w:trPr>
        <w:tc>
          <w:tcPr>
            <w:tcW w:w="666" w:type="dxa"/>
          </w:tcPr>
          <w:p w14:paraId="6FBE56E6" w14:textId="77777777" w:rsidR="00D36A5C" w:rsidRPr="0017668B" w:rsidRDefault="00D36A5C" w:rsidP="00D36A5C">
            <w:pPr>
              <w:rPr>
                <w:sz w:val="23"/>
                <w:szCs w:val="23"/>
              </w:rPr>
            </w:pPr>
            <w:r w:rsidRPr="0017668B">
              <w:rPr>
                <w:sz w:val="23"/>
                <w:szCs w:val="23"/>
              </w:rPr>
              <w:t>4.</w:t>
            </w:r>
          </w:p>
        </w:tc>
        <w:tc>
          <w:tcPr>
            <w:tcW w:w="3313" w:type="dxa"/>
            <w:vAlign w:val="center"/>
          </w:tcPr>
          <w:p w14:paraId="7418A5DF" w14:textId="77777777" w:rsidR="00D36A5C" w:rsidRPr="0017668B" w:rsidRDefault="00D36A5C" w:rsidP="00D36A5C">
            <w:pPr>
              <w:rPr>
                <w:sz w:val="23"/>
                <w:szCs w:val="23"/>
              </w:rPr>
            </w:pPr>
            <w:r w:rsidRPr="0017668B">
              <w:rPr>
                <w:sz w:val="23"/>
                <w:szCs w:val="23"/>
              </w:rPr>
              <w:t>Hydro Tank #6 Rehabilitation</w:t>
            </w:r>
          </w:p>
        </w:tc>
        <w:tc>
          <w:tcPr>
            <w:tcW w:w="1030" w:type="dxa"/>
            <w:vAlign w:val="center"/>
          </w:tcPr>
          <w:p w14:paraId="70A040A3" w14:textId="77777777" w:rsidR="00D36A5C" w:rsidRPr="0017668B" w:rsidRDefault="00D36A5C" w:rsidP="00D36A5C">
            <w:pPr>
              <w:jc w:val="center"/>
              <w:rPr>
                <w:sz w:val="23"/>
                <w:szCs w:val="23"/>
              </w:rPr>
            </w:pPr>
            <w:r w:rsidRPr="0017668B">
              <w:rPr>
                <w:sz w:val="23"/>
                <w:szCs w:val="23"/>
              </w:rPr>
              <w:t>330</w:t>
            </w:r>
          </w:p>
        </w:tc>
        <w:tc>
          <w:tcPr>
            <w:tcW w:w="1416" w:type="dxa"/>
          </w:tcPr>
          <w:p w14:paraId="4EDCAB52" w14:textId="77777777" w:rsidR="00D36A5C" w:rsidRPr="0017668B" w:rsidRDefault="00D36A5C" w:rsidP="00D36A5C">
            <w:pPr>
              <w:jc w:val="right"/>
              <w:rPr>
                <w:sz w:val="23"/>
                <w:szCs w:val="23"/>
              </w:rPr>
            </w:pPr>
            <w:r w:rsidRPr="0017668B">
              <w:rPr>
                <w:sz w:val="23"/>
                <w:szCs w:val="23"/>
              </w:rPr>
              <w:t>$413,000</w:t>
            </w:r>
          </w:p>
        </w:tc>
        <w:tc>
          <w:tcPr>
            <w:tcW w:w="1656" w:type="dxa"/>
            <w:vAlign w:val="center"/>
          </w:tcPr>
          <w:p w14:paraId="02A5373E" w14:textId="77777777" w:rsidR="00D36A5C" w:rsidRPr="0017668B" w:rsidRDefault="00D36A5C" w:rsidP="00D36A5C">
            <w:pPr>
              <w:jc w:val="right"/>
              <w:rPr>
                <w:sz w:val="23"/>
                <w:szCs w:val="23"/>
              </w:rPr>
            </w:pPr>
            <w:r w:rsidRPr="0017668B">
              <w:rPr>
                <w:sz w:val="23"/>
                <w:szCs w:val="23"/>
              </w:rPr>
              <w:t>$66,786</w:t>
            </w:r>
          </w:p>
        </w:tc>
        <w:tc>
          <w:tcPr>
            <w:tcW w:w="1495" w:type="dxa"/>
            <w:vAlign w:val="center"/>
          </w:tcPr>
          <w:p w14:paraId="1744FFD2" w14:textId="77777777" w:rsidR="00D36A5C" w:rsidRPr="0017668B" w:rsidRDefault="00D36A5C" w:rsidP="00D36A5C">
            <w:pPr>
              <w:jc w:val="right"/>
              <w:rPr>
                <w:sz w:val="23"/>
                <w:szCs w:val="23"/>
              </w:rPr>
            </w:pPr>
            <w:r w:rsidRPr="0017668B">
              <w:rPr>
                <w:sz w:val="23"/>
                <w:szCs w:val="23"/>
              </w:rPr>
              <w:t>($11,547)*</w:t>
            </w:r>
          </w:p>
        </w:tc>
      </w:tr>
      <w:tr w:rsidR="00D36A5C" w:rsidRPr="0003089D" w14:paraId="50B1E360" w14:textId="77777777" w:rsidTr="00D36A5C">
        <w:trPr>
          <w:jc w:val="center"/>
        </w:trPr>
        <w:tc>
          <w:tcPr>
            <w:tcW w:w="666" w:type="dxa"/>
          </w:tcPr>
          <w:p w14:paraId="00D8C8EE" w14:textId="77777777" w:rsidR="00D36A5C" w:rsidRPr="0017668B" w:rsidRDefault="00D36A5C" w:rsidP="00D36A5C">
            <w:pPr>
              <w:rPr>
                <w:sz w:val="23"/>
                <w:szCs w:val="23"/>
              </w:rPr>
            </w:pPr>
            <w:r w:rsidRPr="0017668B">
              <w:rPr>
                <w:sz w:val="23"/>
                <w:szCs w:val="23"/>
              </w:rPr>
              <w:t>5.</w:t>
            </w:r>
          </w:p>
        </w:tc>
        <w:tc>
          <w:tcPr>
            <w:tcW w:w="3313" w:type="dxa"/>
            <w:vAlign w:val="center"/>
          </w:tcPr>
          <w:p w14:paraId="17A1135A" w14:textId="77777777" w:rsidR="00D36A5C" w:rsidRPr="0017668B" w:rsidRDefault="00D36A5C" w:rsidP="00D36A5C">
            <w:pPr>
              <w:rPr>
                <w:sz w:val="23"/>
                <w:szCs w:val="23"/>
              </w:rPr>
            </w:pPr>
            <w:r w:rsidRPr="0017668B">
              <w:rPr>
                <w:sz w:val="23"/>
                <w:szCs w:val="23"/>
              </w:rPr>
              <w:t>Hydro Tank #10 Rehabilitation</w:t>
            </w:r>
          </w:p>
        </w:tc>
        <w:tc>
          <w:tcPr>
            <w:tcW w:w="1030" w:type="dxa"/>
            <w:vAlign w:val="center"/>
          </w:tcPr>
          <w:p w14:paraId="197022B7" w14:textId="77777777" w:rsidR="00D36A5C" w:rsidRPr="0017668B" w:rsidRDefault="00D36A5C" w:rsidP="00D36A5C">
            <w:pPr>
              <w:jc w:val="center"/>
              <w:rPr>
                <w:sz w:val="23"/>
                <w:szCs w:val="23"/>
              </w:rPr>
            </w:pPr>
            <w:r w:rsidRPr="0017668B">
              <w:rPr>
                <w:sz w:val="23"/>
                <w:szCs w:val="23"/>
              </w:rPr>
              <w:t>330</w:t>
            </w:r>
          </w:p>
        </w:tc>
        <w:tc>
          <w:tcPr>
            <w:tcW w:w="1416" w:type="dxa"/>
          </w:tcPr>
          <w:p w14:paraId="7DF07C3D" w14:textId="77777777" w:rsidR="00D36A5C" w:rsidRPr="0017668B" w:rsidRDefault="00D36A5C" w:rsidP="00D36A5C">
            <w:pPr>
              <w:jc w:val="right"/>
              <w:rPr>
                <w:sz w:val="23"/>
                <w:szCs w:val="23"/>
              </w:rPr>
            </w:pPr>
            <w:r w:rsidRPr="0017668B">
              <w:rPr>
                <w:sz w:val="23"/>
                <w:szCs w:val="23"/>
              </w:rPr>
              <w:t>$66,786</w:t>
            </w:r>
          </w:p>
        </w:tc>
        <w:tc>
          <w:tcPr>
            <w:tcW w:w="1656" w:type="dxa"/>
            <w:vAlign w:val="center"/>
          </w:tcPr>
          <w:p w14:paraId="0DDB29BC" w14:textId="77777777" w:rsidR="00D36A5C" w:rsidRPr="0017668B" w:rsidRDefault="00D36A5C" w:rsidP="00D36A5C">
            <w:pPr>
              <w:jc w:val="right"/>
              <w:rPr>
                <w:sz w:val="23"/>
                <w:szCs w:val="23"/>
              </w:rPr>
            </w:pPr>
            <w:r w:rsidRPr="0017668B">
              <w:rPr>
                <w:sz w:val="23"/>
                <w:szCs w:val="23"/>
              </w:rPr>
              <w:t>$66,786</w:t>
            </w:r>
          </w:p>
        </w:tc>
        <w:tc>
          <w:tcPr>
            <w:tcW w:w="1495" w:type="dxa"/>
            <w:vAlign w:val="center"/>
          </w:tcPr>
          <w:p w14:paraId="2BDCCD04" w14:textId="77777777" w:rsidR="00D36A5C" w:rsidRPr="0017668B" w:rsidRDefault="00D36A5C" w:rsidP="00D36A5C">
            <w:pPr>
              <w:jc w:val="right"/>
              <w:rPr>
                <w:sz w:val="23"/>
                <w:szCs w:val="23"/>
              </w:rPr>
            </w:pPr>
            <w:r w:rsidRPr="0017668B">
              <w:rPr>
                <w:sz w:val="23"/>
                <w:szCs w:val="23"/>
              </w:rPr>
              <w:t>($11,547)*</w:t>
            </w:r>
          </w:p>
        </w:tc>
      </w:tr>
      <w:tr w:rsidR="00D36A5C" w:rsidRPr="0003089D" w14:paraId="24AA52B6" w14:textId="77777777" w:rsidTr="00D36A5C">
        <w:trPr>
          <w:jc w:val="center"/>
        </w:trPr>
        <w:tc>
          <w:tcPr>
            <w:tcW w:w="666" w:type="dxa"/>
          </w:tcPr>
          <w:p w14:paraId="536CBA4F" w14:textId="77777777" w:rsidR="00D36A5C" w:rsidRPr="0017668B" w:rsidRDefault="00D36A5C" w:rsidP="00D36A5C">
            <w:pPr>
              <w:rPr>
                <w:sz w:val="23"/>
                <w:szCs w:val="23"/>
              </w:rPr>
            </w:pPr>
            <w:r w:rsidRPr="0017668B">
              <w:rPr>
                <w:sz w:val="23"/>
                <w:szCs w:val="23"/>
              </w:rPr>
              <w:t>6.</w:t>
            </w:r>
          </w:p>
        </w:tc>
        <w:tc>
          <w:tcPr>
            <w:tcW w:w="3313" w:type="dxa"/>
            <w:vAlign w:val="center"/>
          </w:tcPr>
          <w:p w14:paraId="0D3439C6" w14:textId="77777777" w:rsidR="00D36A5C" w:rsidRPr="0017668B" w:rsidRDefault="00D36A5C" w:rsidP="00D36A5C">
            <w:pPr>
              <w:rPr>
                <w:sz w:val="23"/>
                <w:szCs w:val="23"/>
              </w:rPr>
            </w:pPr>
            <w:r w:rsidRPr="0017668B">
              <w:rPr>
                <w:sz w:val="23"/>
                <w:szCs w:val="23"/>
              </w:rPr>
              <w:t>Potable Well #6 Refurbishment</w:t>
            </w:r>
          </w:p>
        </w:tc>
        <w:tc>
          <w:tcPr>
            <w:tcW w:w="1030" w:type="dxa"/>
            <w:vAlign w:val="center"/>
          </w:tcPr>
          <w:p w14:paraId="279928F0" w14:textId="77777777" w:rsidR="00D36A5C" w:rsidRPr="0017668B" w:rsidRDefault="00D36A5C" w:rsidP="00D36A5C">
            <w:pPr>
              <w:jc w:val="center"/>
              <w:rPr>
                <w:sz w:val="23"/>
                <w:szCs w:val="23"/>
              </w:rPr>
            </w:pPr>
            <w:r w:rsidRPr="0017668B">
              <w:rPr>
                <w:sz w:val="23"/>
                <w:szCs w:val="23"/>
              </w:rPr>
              <w:t>311</w:t>
            </w:r>
          </w:p>
        </w:tc>
        <w:tc>
          <w:tcPr>
            <w:tcW w:w="1416" w:type="dxa"/>
          </w:tcPr>
          <w:p w14:paraId="39C44805" w14:textId="77777777" w:rsidR="00D36A5C" w:rsidRPr="0017668B" w:rsidRDefault="00D36A5C" w:rsidP="00D36A5C">
            <w:pPr>
              <w:jc w:val="right"/>
              <w:rPr>
                <w:sz w:val="23"/>
                <w:szCs w:val="23"/>
              </w:rPr>
            </w:pPr>
            <w:r w:rsidRPr="0017668B">
              <w:rPr>
                <w:sz w:val="23"/>
                <w:szCs w:val="23"/>
              </w:rPr>
              <w:t>$121,000</w:t>
            </w:r>
          </w:p>
        </w:tc>
        <w:tc>
          <w:tcPr>
            <w:tcW w:w="1656" w:type="dxa"/>
            <w:vAlign w:val="center"/>
          </w:tcPr>
          <w:p w14:paraId="3A0BB093" w14:textId="77777777" w:rsidR="00D36A5C" w:rsidRPr="0017668B" w:rsidRDefault="00D36A5C" w:rsidP="00D36A5C">
            <w:pPr>
              <w:jc w:val="right"/>
              <w:rPr>
                <w:sz w:val="23"/>
                <w:szCs w:val="23"/>
              </w:rPr>
            </w:pPr>
            <w:r w:rsidRPr="0017668B">
              <w:rPr>
                <w:sz w:val="23"/>
                <w:szCs w:val="23"/>
              </w:rPr>
              <w:t>$115,000</w:t>
            </w:r>
          </w:p>
        </w:tc>
        <w:tc>
          <w:tcPr>
            <w:tcW w:w="1495" w:type="dxa"/>
            <w:vAlign w:val="center"/>
          </w:tcPr>
          <w:p w14:paraId="6D81B930" w14:textId="77777777" w:rsidR="00D36A5C" w:rsidRPr="0017668B" w:rsidRDefault="00D36A5C" w:rsidP="00D36A5C">
            <w:pPr>
              <w:jc w:val="right"/>
              <w:rPr>
                <w:sz w:val="23"/>
                <w:szCs w:val="23"/>
              </w:rPr>
            </w:pPr>
            <w:r w:rsidRPr="0017668B">
              <w:rPr>
                <w:sz w:val="23"/>
                <w:szCs w:val="23"/>
              </w:rPr>
              <w:t>($10,421)*</w:t>
            </w:r>
          </w:p>
        </w:tc>
      </w:tr>
      <w:tr w:rsidR="00D36A5C" w:rsidRPr="0003089D" w14:paraId="60EF1B3F" w14:textId="77777777" w:rsidTr="00D36A5C">
        <w:trPr>
          <w:jc w:val="center"/>
        </w:trPr>
        <w:tc>
          <w:tcPr>
            <w:tcW w:w="666" w:type="dxa"/>
          </w:tcPr>
          <w:p w14:paraId="3533D5BA" w14:textId="77777777" w:rsidR="00D36A5C" w:rsidRPr="0017668B" w:rsidRDefault="00D36A5C" w:rsidP="00D36A5C">
            <w:pPr>
              <w:rPr>
                <w:sz w:val="23"/>
                <w:szCs w:val="23"/>
              </w:rPr>
            </w:pPr>
            <w:r w:rsidRPr="0017668B">
              <w:rPr>
                <w:sz w:val="23"/>
                <w:szCs w:val="23"/>
              </w:rPr>
              <w:t>7.</w:t>
            </w:r>
          </w:p>
        </w:tc>
        <w:tc>
          <w:tcPr>
            <w:tcW w:w="3313" w:type="dxa"/>
            <w:vAlign w:val="center"/>
          </w:tcPr>
          <w:p w14:paraId="209B1099" w14:textId="77777777" w:rsidR="00D36A5C" w:rsidRPr="0017668B" w:rsidRDefault="00D36A5C" w:rsidP="00D36A5C">
            <w:pPr>
              <w:rPr>
                <w:sz w:val="23"/>
                <w:szCs w:val="23"/>
              </w:rPr>
            </w:pPr>
            <w:r w:rsidRPr="0017668B">
              <w:rPr>
                <w:sz w:val="23"/>
                <w:szCs w:val="23"/>
              </w:rPr>
              <w:t xml:space="preserve">Potable Well #10 Refurbishment </w:t>
            </w:r>
          </w:p>
        </w:tc>
        <w:tc>
          <w:tcPr>
            <w:tcW w:w="1030" w:type="dxa"/>
            <w:vAlign w:val="center"/>
          </w:tcPr>
          <w:p w14:paraId="77D870C1" w14:textId="77777777" w:rsidR="00D36A5C" w:rsidRPr="0017668B" w:rsidRDefault="00D36A5C" w:rsidP="00D36A5C">
            <w:pPr>
              <w:jc w:val="center"/>
              <w:rPr>
                <w:sz w:val="23"/>
                <w:szCs w:val="23"/>
              </w:rPr>
            </w:pPr>
            <w:r w:rsidRPr="0017668B">
              <w:rPr>
                <w:sz w:val="23"/>
                <w:szCs w:val="23"/>
              </w:rPr>
              <w:t>311</w:t>
            </w:r>
          </w:p>
        </w:tc>
        <w:tc>
          <w:tcPr>
            <w:tcW w:w="1416" w:type="dxa"/>
          </w:tcPr>
          <w:p w14:paraId="456A9EA3" w14:textId="77777777" w:rsidR="00D36A5C" w:rsidRPr="0017668B" w:rsidRDefault="00D36A5C" w:rsidP="00D36A5C">
            <w:pPr>
              <w:jc w:val="right"/>
              <w:rPr>
                <w:sz w:val="23"/>
                <w:szCs w:val="23"/>
              </w:rPr>
            </w:pPr>
            <w:r w:rsidRPr="0017668B">
              <w:rPr>
                <w:sz w:val="23"/>
                <w:szCs w:val="23"/>
              </w:rPr>
              <w:t>$121,000</w:t>
            </w:r>
          </w:p>
        </w:tc>
        <w:tc>
          <w:tcPr>
            <w:tcW w:w="1656" w:type="dxa"/>
            <w:vAlign w:val="center"/>
          </w:tcPr>
          <w:p w14:paraId="2654BD3E" w14:textId="77777777" w:rsidR="00D36A5C" w:rsidRPr="0017668B" w:rsidRDefault="00D36A5C" w:rsidP="00D36A5C">
            <w:pPr>
              <w:jc w:val="right"/>
              <w:rPr>
                <w:sz w:val="23"/>
                <w:szCs w:val="23"/>
              </w:rPr>
            </w:pPr>
            <w:r w:rsidRPr="0017668B">
              <w:rPr>
                <w:sz w:val="23"/>
                <w:szCs w:val="23"/>
              </w:rPr>
              <w:t>$115,000</w:t>
            </w:r>
          </w:p>
        </w:tc>
        <w:tc>
          <w:tcPr>
            <w:tcW w:w="1495" w:type="dxa"/>
            <w:vAlign w:val="center"/>
          </w:tcPr>
          <w:p w14:paraId="1BECA7D3" w14:textId="77777777" w:rsidR="00D36A5C" w:rsidRPr="0017668B" w:rsidRDefault="00D36A5C" w:rsidP="00D36A5C">
            <w:pPr>
              <w:jc w:val="right"/>
              <w:rPr>
                <w:sz w:val="23"/>
                <w:szCs w:val="23"/>
              </w:rPr>
            </w:pPr>
            <w:r w:rsidRPr="0017668B">
              <w:rPr>
                <w:sz w:val="23"/>
                <w:szCs w:val="23"/>
              </w:rPr>
              <w:t>($10,421)*</w:t>
            </w:r>
          </w:p>
        </w:tc>
      </w:tr>
      <w:tr w:rsidR="00D36A5C" w:rsidRPr="0003089D" w14:paraId="45C5AB33" w14:textId="77777777" w:rsidTr="00D36A5C">
        <w:trPr>
          <w:jc w:val="center"/>
        </w:trPr>
        <w:tc>
          <w:tcPr>
            <w:tcW w:w="666" w:type="dxa"/>
          </w:tcPr>
          <w:p w14:paraId="4FF538AC" w14:textId="77777777" w:rsidR="00D36A5C" w:rsidRPr="0017668B" w:rsidRDefault="00D36A5C" w:rsidP="00D36A5C">
            <w:pPr>
              <w:rPr>
                <w:sz w:val="23"/>
                <w:szCs w:val="23"/>
              </w:rPr>
            </w:pPr>
            <w:r w:rsidRPr="0017668B">
              <w:rPr>
                <w:sz w:val="23"/>
                <w:szCs w:val="23"/>
              </w:rPr>
              <w:t>8.</w:t>
            </w:r>
          </w:p>
        </w:tc>
        <w:tc>
          <w:tcPr>
            <w:tcW w:w="3313" w:type="dxa"/>
            <w:vAlign w:val="center"/>
          </w:tcPr>
          <w:p w14:paraId="0D8BF0D5" w14:textId="77777777" w:rsidR="00D36A5C" w:rsidRPr="0017668B" w:rsidRDefault="00D36A5C" w:rsidP="00D36A5C">
            <w:pPr>
              <w:rPr>
                <w:sz w:val="23"/>
                <w:szCs w:val="23"/>
              </w:rPr>
            </w:pPr>
            <w:r w:rsidRPr="0017668B">
              <w:rPr>
                <w:sz w:val="23"/>
                <w:szCs w:val="23"/>
              </w:rPr>
              <w:t>Irrigation/Non-potable Wells</w:t>
            </w:r>
          </w:p>
        </w:tc>
        <w:tc>
          <w:tcPr>
            <w:tcW w:w="1030" w:type="dxa"/>
            <w:vAlign w:val="center"/>
          </w:tcPr>
          <w:p w14:paraId="4CA2E6C2" w14:textId="77777777" w:rsidR="00D36A5C" w:rsidRPr="0017668B" w:rsidRDefault="00D36A5C" w:rsidP="00D36A5C">
            <w:pPr>
              <w:jc w:val="center"/>
              <w:rPr>
                <w:sz w:val="23"/>
                <w:szCs w:val="23"/>
              </w:rPr>
            </w:pPr>
            <w:r w:rsidRPr="0017668B">
              <w:rPr>
                <w:sz w:val="23"/>
                <w:szCs w:val="23"/>
              </w:rPr>
              <w:t>-</w:t>
            </w:r>
          </w:p>
        </w:tc>
        <w:tc>
          <w:tcPr>
            <w:tcW w:w="1416" w:type="dxa"/>
          </w:tcPr>
          <w:p w14:paraId="207B6FFA" w14:textId="77777777" w:rsidR="00D36A5C" w:rsidRPr="0017668B" w:rsidRDefault="00D36A5C" w:rsidP="00D36A5C">
            <w:pPr>
              <w:jc w:val="right"/>
              <w:rPr>
                <w:sz w:val="23"/>
                <w:szCs w:val="23"/>
              </w:rPr>
            </w:pPr>
            <w:r w:rsidRPr="0017668B">
              <w:rPr>
                <w:sz w:val="23"/>
                <w:szCs w:val="23"/>
              </w:rPr>
              <w:t>$840,000</w:t>
            </w:r>
          </w:p>
        </w:tc>
        <w:tc>
          <w:tcPr>
            <w:tcW w:w="1656" w:type="dxa"/>
            <w:vAlign w:val="center"/>
          </w:tcPr>
          <w:p w14:paraId="3A8398F2" w14:textId="77777777" w:rsidR="00D36A5C" w:rsidRPr="0017668B" w:rsidRDefault="00D36A5C" w:rsidP="00D36A5C">
            <w:pPr>
              <w:jc w:val="right"/>
              <w:rPr>
                <w:sz w:val="23"/>
                <w:szCs w:val="23"/>
              </w:rPr>
            </w:pPr>
            <w:r w:rsidRPr="0017668B">
              <w:rPr>
                <w:sz w:val="23"/>
                <w:szCs w:val="23"/>
              </w:rPr>
              <w:t>$0</w:t>
            </w:r>
          </w:p>
        </w:tc>
        <w:tc>
          <w:tcPr>
            <w:tcW w:w="1495" w:type="dxa"/>
            <w:vAlign w:val="center"/>
          </w:tcPr>
          <w:p w14:paraId="658F4E8F" w14:textId="77777777" w:rsidR="00D36A5C" w:rsidRPr="0017668B" w:rsidRDefault="00D36A5C" w:rsidP="00D36A5C">
            <w:pPr>
              <w:jc w:val="right"/>
              <w:rPr>
                <w:sz w:val="23"/>
                <w:szCs w:val="23"/>
              </w:rPr>
            </w:pPr>
            <w:r w:rsidRPr="0017668B">
              <w:rPr>
                <w:sz w:val="23"/>
                <w:szCs w:val="23"/>
              </w:rPr>
              <w:t>-</w:t>
            </w:r>
          </w:p>
        </w:tc>
      </w:tr>
      <w:tr w:rsidR="00D36A5C" w:rsidRPr="0003089D" w14:paraId="49CD5E36" w14:textId="77777777" w:rsidTr="00D36A5C">
        <w:trPr>
          <w:jc w:val="center"/>
        </w:trPr>
        <w:tc>
          <w:tcPr>
            <w:tcW w:w="666" w:type="dxa"/>
          </w:tcPr>
          <w:p w14:paraId="4B45A8E8" w14:textId="77777777" w:rsidR="00D36A5C" w:rsidRPr="0017668B" w:rsidRDefault="00D36A5C" w:rsidP="00D36A5C">
            <w:pPr>
              <w:rPr>
                <w:sz w:val="23"/>
                <w:szCs w:val="23"/>
              </w:rPr>
            </w:pPr>
            <w:r w:rsidRPr="0017668B">
              <w:rPr>
                <w:sz w:val="23"/>
                <w:szCs w:val="23"/>
              </w:rPr>
              <w:t>9.</w:t>
            </w:r>
          </w:p>
        </w:tc>
        <w:tc>
          <w:tcPr>
            <w:tcW w:w="3313" w:type="dxa"/>
            <w:vAlign w:val="center"/>
          </w:tcPr>
          <w:p w14:paraId="4A6D9CE7" w14:textId="77777777" w:rsidR="00D36A5C" w:rsidRPr="0017668B" w:rsidRDefault="00D36A5C" w:rsidP="00D36A5C">
            <w:pPr>
              <w:rPr>
                <w:sz w:val="23"/>
                <w:szCs w:val="23"/>
              </w:rPr>
            </w:pPr>
            <w:r w:rsidRPr="0017668B">
              <w:rPr>
                <w:sz w:val="23"/>
                <w:szCs w:val="23"/>
              </w:rPr>
              <w:t>20 Valve Replacements</w:t>
            </w:r>
          </w:p>
        </w:tc>
        <w:tc>
          <w:tcPr>
            <w:tcW w:w="1030" w:type="dxa"/>
            <w:vAlign w:val="center"/>
          </w:tcPr>
          <w:p w14:paraId="6A2934D7" w14:textId="77777777" w:rsidR="00D36A5C" w:rsidRPr="0017668B" w:rsidRDefault="00D36A5C" w:rsidP="00D36A5C">
            <w:pPr>
              <w:jc w:val="center"/>
              <w:rPr>
                <w:sz w:val="23"/>
                <w:szCs w:val="23"/>
              </w:rPr>
            </w:pPr>
            <w:r w:rsidRPr="0017668B">
              <w:rPr>
                <w:sz w:val="23"/>
                <w:szCs w:val="23"/>
              </w:rPr>
              <w:t>331</w:t>
            </w:r>
          </w:p>
        </w:tc>
        <w:tc>
          <w:tcPr>
            <w:tcW w:w="1416" w:type="dxa"/>
          </w:tcPr>
          <w:p w14:paraId="49DCFDA9" w14:textId="77777777" w:rsidR="00D36A5C" w:rsidRPr="0017668B" w:rsidRDefault="00D36A5C" w:rsidP="00D36A5C">
            <w:pPr>
              <w:jc w:val="right"/>
              <w:rPr>
                <w:sz w:val="23"/>
                <w:szCs w:val="23"/>
              </w:rPr>
            </w:pPr>
            <w:r w:rsidRPr="0017668B">
              <w:rPr>
                <w:sz w:val="23"/>
                <w:szCs w:val="23"/>
              </w:rPr>
              <w:t>$1,897,176</w:t>
            </w:r>
          </w:p>
        </w:tc>
        <w:tc>
          <w:tcPr>
            <w:tcW w:w="1656" w:type="dxa"/>
            <w:vAlign w:val="center"/>
          </w:tcPr>
          <w:p w14:paraId="3DFC2944" w14:textId="77777777" w:rsidR="00D36A5C" w:rsidRPr="0017668B" w:rsidRDefault="00D36A5C" w:rsidP="00D36A5C">
            <w:pPr>
              <w:jc w:val="right"/>
              <w:rPr>
                <w:sz w:val="23"/>
                <w:szCs w:val="23"/>
              </w:rPr>
            </w:pPr>
            <w:r w:rsidRPr="0017668B">
              <w:rPr>
                <w:sz w:val="23"/>
                <w:szCs w:val="23"/>
              </w:rPr>
              <w:t>$363,200</w:t>
            </w:r>
          </w:p>
        </w:tc>
        <w:tc>
          <w:tcPr>
            <w:tcW w:w="1495" w:type="dxa"/>
            <w:vAlign w:val="center"/>
          </w:tcPr>
          <w:p w14:paraId="0DC7ECA0" w14:textId="77777777" w:rsidR="00D36A5C" w:rsidRPr="0017668B" w:rsidRDefault="00D36A5C" w:rsidP="00D36A5C">
            <w:pPr>
              <w:jc w:val="right"/>
              <w:rPr>
                <w:sz w:val="23"/>
                <w:szCs w:val="23"/>
              </w:rPr>
            </w:pPr>
            <w:r w:rsidRPr="0017668B">
              <w:rPr>
                <w:sz w:val="23"/>
                <w:szCs w:val="23"/>
              </w:rPr>
              <w:t>($272,400)</w:t>
            </w:r>
          </w:p>
        </w:tc>
      </w:tr>
      <w:tr w:rsidR="00D36A5C" w:rsidRPr="0003089D" w14:paraId="412A4968" w14:textId="77777777" w:rsidTr="00D36A5C">
        <w:trPr>
          <w:jc w:val="center"/>
        </w:trPr>
        <w:tc>
          <w:tcPr>
            <w:tcW w:w="9576" w:type="dxa"/>
            <w:gridSpan w:val="6"/>
          </w:tcPr>
          <w:p w14:paraId="66A41E46" w14:textId="77777777" w:rsidR="00D36A5C" w:rsidRPr="0017668B" w:rsidRDefault="00D36A5C" w:rsidP="00D36A5C">
            <w:pPr>
              <w:jc w:val="center"/>
              <w:rPr>
                <w:sz w:val="23"/>
                <w:szCs w:val="23"/>
              </w:rPr>
            </w:pPr>
            <w:r w:rsidRPr="0017668B">
              <w:rPr>
                <w:sz w:val="23"/>
                <w:szCs w:val="23"/>
              </w:rPr>
              <w:t>Wastewater</w:t>
            </w:r>
          </w:p>
        </w:tc>
      </w:tr>
      <w:tr w:rsidR="00D36A5C" w:rsidRPr="0003089D" w14:paraId="59015680" w14:textId="77777777" w:rsidTr="00D36A5C">
        <w:trPr>
          <w:jc w:val="center"/>
        </w:trPr>
        <w:tc>
          <w:tcPr>
            <w:tcW w:w="666" w:type="dxa"/>
          </w:tcPr>
          <w:p w14:paraId="0E4EFCCA" w14:textId="77777777" w:rsidR="00D36A5C" w:rsidRPr="0017668B" w:rsidRDefault="00D36A5C" w:rsidP="00D36A5C">
            <w:pPr>
              <w:rPr>
                <w:sz w:val="23"/>
                <w:szCs w:val="23"/>
              </w:rPr>
            </w:pPr>
            <w:r w:rsidRPr="0017668B">
              <w:rPr>
                <w:sz w:val="23"/>
                <w:szCs w:val="23"/>
              </w:rPr>
              <w:t>10.</w:t>
            </w:r>
          </w:p>
        </w:tc>
        <w:tc>
          <w:tcPr>
            <w:tcW w:w="3313" w:type="dxa"/>
            <w:vAlign w:val="center"/>
          </w:tcPr>
          <w:p w14:paraId="07449B57" w14:textId="77777777" w:rsidR="00D36A5C" w:rsidRPr="0017668B" w:rsidRDefault="00D36A5C" w:rsidP="00D36A5C">
            <w:pPr>
              <w:rPr>
                <w:sz w:val="23"/>
                <w:szCs w:val="23"/>
              </w:rPr>
            </w:pPr>
            <w:r w:rsidRPr="0017668B">
              <w:rPr>
                <w:sz w:val="23"/>
                <w:szCs w:val="23"/>
              </w:rPr>
              <w:t>Wastewater Treatment Plant Modifications</w:t>
            </w:r>
          </w:p>
        </w:tc>
        <w:tc>
          <w:tcPr>
            <w:tcW w:w="1030" w:type="dxa"/>
            <w:vAlign w:val="center"/>
          </w:tcPr>
          <w:p w14:paraId="6E0816CB" w14:textId="77777777" w:rsidR="00D36A5C" w:rsidRPr="0017668B" w:rsidRDefault="00D36A5C" w:rsidP="00D36A5C">
            <w:pPr>
              <w:jc w:val="center"/>
              <w:rPr>
                <w:sz w:val="23"/>
                <w:szCs w:val="23"/>
              </w:rPr>
            </w:pPr>
            <w:r w:rsidRPr="0017668B">
              <w:rPr>
                <w:sz w:val="23"/>
                <w:szCs w:val="23"/>
              </w:rPr>
              <w:t>-</w:t>
            </w:r>
          </w:p>
        </w:tc>
        <w:tc>
          <w:tcPr>
            <w:tcW w:w="1416" w:type="dxa"/>
            <w:vAlign w:val="center"/>
          </w:tcPr>
          <w:p w14:paraId="475F60CF" w14:textId="77777777" w:rsidR="00D36A5C" w:rsidRPr="0017668B" w:rsidRDefault="00D36A5C" w:rsidP="00D36A5C">
            <w:pPr>
              <w:jc w:val="right"/>
              <w:rPr>
                <w:sz w:val="23"/>
                <w:szCs w:val="23"/>
              </w:rPr>
            </w:pPr>
            <w:r w:rsidRPr="0017668B">
              <w:rPr>
                <w:sz w:val="23"/>
                <w:szCs w:val="23"/>
              </w:rPr>
              <w:t>$16,300,000</w:t>
            </w:r>
          </w:p>
        </w:tc>
        <w:tc>
          <w:tcPr>
            <w:tcW w:w="1656" w:type="dxa"/>
            <w:vAlign w:val="center"/>
          </w:tcPr>
          <w:p w14:paraId="3111B0CE" w14:textId="77777777" w:rsidR="00D36A5C" w:rsidRPr="0017668B" w:rsidRDefault="00D36A5C" w:rsidP="00D36A5C">
            <w:pPr>
              <w:jc w:val="right"/>
              <w:rPr>
                <w:sz w:val="23"/>
                <w:szCs w:val="23"/>
              </w:rPr>
            </w:pPr>
            <w:r w:rsidRPr="0017668B">
              <w:rPr>
                <w:sz w:val="23"/>
                <w:szCs w:val="23"/>
              </w:rPr>
              <w:t>$0</w:t>
            </w:r>
          </w:p>
        </w:tc>
        <w:tc>
          <w:tcPr>
            <w:tcW w:w="1495" w:type="dxa"/>
            <w:vAlign w:val="center"/>
          </w:tcPr>
          <w:p w14:paraId="0EB88CE1" w14:textId="77777777" w:rsidR="00D36A5C" w:rsidRPr="0017668B" w:rsidRDefault="00D36A5C" w:rsidP="00D36A5C">
            <w:pPr>
              <w:jc w:val="center"/>
              <w:rPr>
                <w:sz w:val="23"/>
                <w:szCs w:val="23"/>
              </w:rPr>
            </w:pPr>
            <w:r w:rsidRPr="0017668B">
              <w:rPr>
                <w:sz w:val="23"/>
                <w:szCs w:val="23"/>
              </w:rPr>
              <w:t>-</w:t>
            </w:r>
          </w:p>
        </w:tc>
      </w:tr>
      <w:tr w:rsidR="00D36A5C" w:rsidRPr="0003089D" w14:paraId="3549341F" w14:textId="77777777" w:rsidTr="00D36A5C">
        <w:trPr>
          <w:jc w:val="center"/>
        </w:trPr>
        <w:tc>
          <w:tcPr>
            <w:tcW w:w="666" w:type="dxa"/>
            <w:shd w:val="clear" w:color="auto" w:fill="auto"/>
          </w:tcPr>
          <w:p w14:paraId="23604046" w14:textId="77777777" w:rsidR="00D36A5C" w:rsidRPr="0017668B" w:rsidRDefault="00D36A5C" w:rsidP="00D36A5C">
            <w:pPr>
              <w:rPr>
                <w:sz w:val="23"/>
                <w:szCs w:val="23"/>
              </w:rPr>
            </w:pPr>
            <w:r w:rsidRPr="0017668B">
              <w:rPr>
                <w:sz w:val="23"/>
                <w:szCs w:val="23"/>
              </w:rPr>
              <w:t>11.</w:t>
            </w:r>
          </w:p>
        </w:tc>
        <w:tc>
          <w:tcPr>
            <w:tcW w:w="3313" w:type="dxa"/>
            <w:shd w:val="clear" w:color="auto" w:fill="auto"/>
          </w:tcPr>
          <w:p w14:paraId="3E8E73C1" w14:textId="77777777" w:rsidR="00D36A5C" w:rsidRPr="0017668B" w:rsidRDefault="00D36A5C" w:rsidP="00D36A5C">
            <w:pPr>
              <w:rPr>
                <w:sz w:val="23"/>
                <w:szCs w:val="23"/>
              </w:rPr>
            </w:pPr>
            <w:r w:rsidRPr="0017668B">
              <w:rPr>
                <w:sz w:val="23"/>
                <w:szCs w:val="23"/>
              </w:rPr>
              <w:t>Lift Station #1 Refurbishment</w:t>
            </w:r>
          </w:p>
        </w:tc>
        <w:tc>
          <w:tcPr>
            <w:tcW w:w="1030" w:type="dxa"/>
            <w:shd w:val="clear" w:color="auto" w:fill="auto"/>
          </w:tcPr>
          <w:p w14:paraId="79FB8109" w14:textId="77777777" w:rsidR="00D36A5C" w:rsidRPr="0017668B" w:rsidRDefault="00D36A5C" w:rsidP="00D36A5C">
            <w:pPr>
              <w:jc w:val="center"/>
              <w:rPr>
                <w:sz w:val="23"/>
                <w:szCs w:val="23"/>
              </w:rPr>
            </w:pPr>
            <w:r w:rsidRPr="0017668B">
              <w:rPr>
                <w:sz w:val="23"/>
                <w:szCs w:val="23"/>
              </w:rPr>
              <w:t>371</w:t>
            </w:r>
          </w:p>
        </w:tc>
        <w:tc>
          <w:tcPr>
            <w:tcW w:w="1416" w:type="dxa"/>
            <w:shd w:val="clear" w:color="auto" w:fill="auto"/>
          </w:tcPr>
          <w:p w14:paraId="409232E0" w14:textId="77777777" w:rsidR="00D36A5C" w:rsidRPr="0017668B" w:rsidRDefault="00D36A5C" w:rsidP="00D36A5C">
            <w:pPr>
              <w:jc w:val="right"/>
              <w:rPr>
                <w:sz w:val="23"/>
                <w:szCs w:val="23"/>
              </w:rPr>
            </w:pPr>
            <w:r w:rsidRPr="0017668B">
              <w:rPr>
                <w:sz w:val="23"/>
                <w:szCs w:val="23"/>
              </w:rPr>
              <w:t>$198,672</w:t>
            </w:r>
          </w:p>
        </w:tc>
        <w:tc>
          <w:tcPr>
            <w:tcW w:w="1656" w:type="dxa"/>
            <w:shd w:val="clear" w:color="auto" w:fill="auto"/>
          </w:tcPr>
          <w:p w14:paraId="43B697E9" w14:textId="77777777" w:rsidR="00D36A5C" w:rsidRPr="0017668B" w:rsidRDefault="00D36A5C" w:rsidP="00D36A5C">
            <w:pPr>
              <w:jc w:val="right"/>
              <w:rPr>
                <w:sz w:val="23"/>
                <w:szCs w:val="23"/>
              </w:rPr>
            </w:pPr>
            <w:r w:rsidRPr="0017668B">
              <w:rPr>
                <w:sz w:val="23"/>
                <w:szCs w:val="23"/>
              </w:rPr>
              <w:t>$197,433</w:t>
            </w:r>
          </w:p>
        </w:tc>
        <w:tc>
          <w:tcPr>
            <w:tcW w:w="1495" w:type="dxa"/>
          </w:tcPr>
          <w:p w14:paraId="4EEEABFF" w14:textId="77777777" w:rsidR="00D36A5C" w:rsidRPr="0017668B" w:rsidRDefault="00D36A5C" w:rsidP="00D36A5C">
            <w:pPr>
              <w:jc w:val="right"/>
              <w:rPr>
                <w:sz w:val="23"/>
                <w:szCs w:val="23"/>
              </w:rPr>
            </w:pPr>
            <w:r w:rsidRPr="0017668B">
              <w:rPr>
                <w:sz w:val="23"/>
                <w:szCs w:val="23"/>
              </w:rPr>
              <w:t>($26,901)*</w:t>
            </w:r>
          </w:p>
        </w:tc>
      </w:tr>
      <w:tr w:rsidR="00D36A5C" w:rsidRPr="0003089D" w14:paraId="436399A5" w14:textId="77777777" w:rsidTr="00D36A5C">
        <w:trPr>
          <w:jc w:val="center"/>
        </w:trPr>
        <w:tc>
          <w:tcPr>
            <w:tcW w:w="666" w:type="dxa"/>
            <w:shd w:val="clear" w:color="auto" w:fill="auto"/>
          </w:tcPr>
          <w:p w14:paraId="546164F9" w14:textId="77777777" w:rsidR="00D36A5C" w:rsidRPr="0017668B" w:rsidRDefault="00D36A5C" w:rsidP="00D36A5C">
            <w:pPr>
              <w:rPr>
                <w:sz w:val="23"/>
                <w:szCs w:val="23"/>
              </w:rPr>
            </w:pPr>
            <w:r w:rsidRPr="0017668B">
              <w:rPr>
                <w:sz w:val="23"/>
                <w:szCs w:val="23"/>
              </w:rPr>
              <w:t>12.</w:t>
            </w:r>
          </w:p>
        </w:tc>
        <w:tc>
          <w:tcPr>
            <w:tcW w:w="3313" w:type="dxa"/>
            <w:shd w:val="clear" w:color="auto" w:fill="auto"/>
          </w:tcPr>
          <w:p w14:paraId="376B8AE3" w14:textId="77777777" w:rsidR="00D36A5C" w:rsidRPr="0017668B" w:rsidRDefault="00D36A5C" w:rsidP="00D36A5C">
            <w:pPr>
              <w:rPr>
                <w:sz w:val="23"/>
                <w:szCs w:val="23"/>
              </w:rPr>
            </w:pPr>
            <w:r w:rsidRPr="0017668B">
              <w:rPr>
                <w:sz w:val="23"/>
                <w:szCs w:val="23"/>
              </w:rPr>
              <w:t>Lift Station #2 Refurbishment</w:t>
            </w:r>
          </w:p>
        </w:tc>
        <w:tc>
          <w:tcPr>
            <w:tcW w:w="1030" w:type="dxa"/>
            <w:shd w:val="clear" w:color="auto" w:fill="auto"/>
          </w:tcPr>
          <w:p w14:paraId="33BBE58E" w14:textId="77777777" w:rsidR="00D36A5C" w:rsidRPr="0017668B" w:rsidRDefault="00D36A5C" w:rsidP="00D36A5C">
            <w:pPr>
              <w:jc w:val="center"/>
              <w:rPr>
                <w:sz w:val="23"/>
                <w:szCs w:val="23"/>
              </w:rPr>
            </w:pPr>
            <w:r w:rsidRPr="0017668B">
              <w:rPr>
                <w:sz w:val="23"/>
                <w:szCs w:val="23"/>
              </w:rPr>
              <w:t>371</w:t>
            </w:r>
          </w:p>
        </w:tc>
        <w:tc>
          <w:tcPr>
            <w:tcW w:w="1416" w:type="dxa"/>
            <w:shd w:val="clear" w:color="auto" w:fill="auto"/>
          </w:tcPr>
          <w:p w14:paraId="4A62502D" w14:textId="77777777" w:rsidR="00D36A5C" w:rsidRPr="0017668B" w:rsidRDefault="00D36A5C" w:rsidP="00D36A5C">
            <w:pPr>
              <w:jc w:val="right"/>
              <w:rPr>
                <w:sz w:val="23"/>
                <w:szCs w:val="23"/>
              </w:rPr>
            </w:pPr>
            <w:r w:rsidRPr="0017668B">
              <w:rPr>
                <w:sz w:val="23"/>
                <w:szCs w:val="23"/>
              </w:rPr>
              <w:t>$195,000</w:t>
            </w:r>
          </w:p>
        </w:tc>
        <w:tc>
          <w:tcPr>
            <w:tcW w:w="1656" w:type="dxa"/>
            <w:shd w:val="clear" w:color="auto" w:fill="auto"/>
          </w:tcPr>
          <w:p w14:paraId="38AAB526" w14:textId="77777777" w:rsidR="00D36A5C" w:rsidRPr="0017668B" w:rsidRDefault="00D36A5C" w:rsidP="00D36A5C">
            <w:pPr>
              <w:jc w:val="right"/>
              <w:rPr>
                <w:sz w:val="23"/>
                <w:szCs w:val="23"/>
              </w:rPr>
            </w:pPr>
            <w:r w:rsidRPr="0017668B">
              <w:rPr>
                <w:sz w:val="23"/>
                <w:szCs w:val="23"/>
              </w:rPr>
              <w:t>$195,000</w:t>
            </w:r>
          </w:p>
        </w:tc>
        <w:tc>
          <w:tcPr>
            <w:tcW w:w="1495" w:type="dxa"/>
          </w:tcPr>
          <w:p w14:paraId="07F454BD" w14:textId="77777777" w:rsidR="00D36A5C" w:rsidRPr="0017668B" w:rsidRDefault="00D36A5C" w:rsidP="00D36A5C">
            <w:pPr>
              <w:jc w:val="right"/>
              <w:rPr>
                <w:sz w:val="23"/>
                <w:szCs w:val="23"/>
              </w:rPr>
            </w:pPr>
            <w:r w:rsidRPr="0017668B">
              <w:rPr>
                <w:sz w:val="23"/>
                <w:szCs w:val="23"/>
              </w:rPr>
              <w:t>($26,570)*</w:t>
            </w:r>
          </w:p>
        </w:tc>
      </w:tr>
      <w:tr w:rsidR="00D36A5C" w:rsidRPr="0003089D" w14:paraId="76E8225B" w14:textId="77777777" w:rsidTr="00D36A5C">
        <w:trPr>
          <w:jc w:val="center"/>
        </w:trPr>
        <w:tc>
          <w:tcPr>
            <w:tcW w:w="666" w:type="dxa"/>
            <w:shd w:val="clear" w:color="auto" w:fill="auto"/>
          </w:tcPr>
          <w:p w14:paraId="5F0A379D" w14:textId="77777777" w:rsidR="00D36A5C" w:rsidRPr="0017668B" w:rsidRDefault="00D36A5C" w:rsidP="00D36A5C">
            <w:pPr>
              <w:rPr>
                <w:sz w:val="23"/>
                <w:szCs w:val="23"/>
              </w:rPr>
            </w:pPr>
            <w:r w:rsidRPr="0017668B">
              <w:rPr>
                <w:sz w:val="23"/>
                <w:szCs w:val="23"/>
              </w:rPr>
              <w:t>13.</w:t>
            </w:r>
          </w:p>
        </w:tc>
        <w:tc>
          <w:tcPr>
            <w:tcW w:w="3313" w:type="dxa"/>
            <w:shd w:val="clear" w:color="auto" w:fill="auto"/>
          </w:tcPr>
          <w:p w14:paraId="260478B9" w14:textId="77777777" w:rsidR="00D36A5C" w:rsidRPr="0017668B" w:rsidRDefault="00D36A5C" w:rsidP="00D36A5C">
            <w:pPr>
              <w:rPr>
                <w:sz w:val="23"/>
                <w:szCs w:val="23"/>
              </w:rPr>
            </w:pPr>
            <w:r w:rsidRPr="0017668B">
              <w:rPr>
                <w:sz w:val="23"/>
                <w:szCs w:val="23"/>
              </w:rPr>
              <w:t>Lift Station #3 Refurbishment</w:t>
            </w:r>
          </w:p>
        </w:tc>
        <w:tc>
          <w:tcPr>
            <w:tcW w:w="1030" w:type="dxa"/>
            <w:shd w:val="clear" w:color="auto" w:fill="auto"/>
          </w:tcPr>
          <w:p w14:paraId="14982042" w14:textId="77777777" w:rsidR="00D36A5C" w:rsidRPr="0017668B" w:rsidRDefault="00D36A5C" w:rsidP="00D36A5C">
            <w:pPr>
              <w:jc w:val="center"/>
              <w:rPr>
                <w:sz w:val="23"/>
                <w:szCs w:val="23"/>
              </w:rPr>
            </w:pPr>
            <w:r w:rsidRPr="0017668B">
              <w:rPr>
                <w:sz w:val="23"/>
                <w:szCs w:val="23"/>
              </w:rPr>
              <w:t>371</w:t>
            </w:r>
          </w:p>
        </w:tc>
        <w:tc>
          <w:tcPr>
            <w:tcW w:w="1416" w:type="dxa"/>
            <w:shd w:val="clear" w:color="auto" w:fill="auto"/>
          </w:tcPr>
          <w:p w14:paraId="2B1A4FA8" w14:textId="77777777" w:rsidR="00D36A5C" w:rsidRPr="0017668B" w:rsidRDefault="00D36A5C" w:rsidP="00D36A5C">
            <w:pPr>
              <w:jc w:val="right"/>
              <w:rPr>
                <w:sz w:val="23"/>
                <w:szCs w:val="23"/>
              </w:rPr>
            </w:pPr>
            <w:r w:rsidRPr="0017668B">
              <w:rPr>
                <w:sz w:val="23"/>
                <w:szCs w:val="23"/>
              </w:rPr>
              <w:t>$170,545</w:t>
            </w:r>
          </w:p>
        </w:tc>
        <w:tc>
          <w:tcPr>
            <w:tcW w:w="1656" w:type="dxa"/>
            <w:shd w:val="clear" w:color="auto" w:fill="auto"/>
          </w:tcPr>
          <w:p w14:paraId="2B6EA50B" w14:textId="77777777" w:rsidR="00D36A5C" w:rsidRPr="0017668B" w:rsidRDefault="00D36A5C" w:rsidP="00D36A5C">
            <w:pPr>
              <w:jc w:val="right"/>
              <w:rPr>
                <w:sz w:val="23"/>
                <w:szCs w:val="23"/>
              </w:rPr>
            </w:pPr>
            <w:r w:rsidRPr="0017668B">
              <w:rPr>
                <w:sz w:val="23"/>
                <w:szCs w:val="23"/>
              </w:rPr>
              <w:t>$166,992</w:t>
            </w:r>
          </w:p>
        </w:tc>
        <w:tc>
          <w:tcPr>
            <w:tcW w:w="1495" w:type="dxa"/>
          </w:tcPr>
          <w:p w14:paraId="4EBE55A3" w14:textId="77777777" w:rsidR="00D36A5C" w:rsidRPr="0017668B" w:rsidRDefault="00D36A5C" w:rsidP="00D36A5C">
            <w:pPr>
              <w:jc w:val="right"/>
              <w:rPr>
                <w:sz w:val="23"/>
                <w:szCs w:val="23"/>
              </w:rPr>
            </w:pPr>
            <w:r w:rsidRPr="0017668B">
              <w:rPr>
                <w:sz w:val="23"/>
                <w:szCs w:val="23"/>
              </w:rPr>
              <w:t>($22,754)*</w:t>
            </w:r>
          </w:p>
        </w:tc>
      </w:tr>
      <w:tr w:rsidR="00D36A5C" w:rsidRPr="0003089D" w14:paraId="0AEDF4A6" w14:textId="77777777" w:rsidTr="00D36A5C">
        <w:trPr>
          <w:jc w:val="center"/>
        </w:trPr>
        <w:tc>
          <w:tcPr>
            <w:tcW w:w="666" w:type="dxa"/>
            <w:shd w:val="clear" w:color="auto" w:fill="auto"/>
          </w:tcPr>
          <w:p w14:paraId="427AFC96" w14:textId="77777777" w:rsidR="00D36A5C" w:rsidRPr="0017668B" w:rsidRDefault="00D36A5C" w:rsidP="00D36A5C">
            <w:pPr>
              <w:rPr>
                <w:sz w:val="23"/>
                <w:szCs w:val="23"/>
              </w:rPr>
            </w:pPr>
            <w:r w:rsidRPr="0017668B">
              <w:rPr>
                <w:sz w:val="23"/>
                <w:szCs w:val="23"/>
              </w:rPr>
              <w:t>14</w:t>
            </w:r>
          </w:p>
        </w:tc>
        <w:tc>
          <w:tcPr>
            <w:tcW w:w="3313" w:type="dxa"/>
            <w:shd w:val="clear" w:color="auto" w:fill="auto"/>
          </w:tcPr>
          <w:p w14:paraId="0338E654" w14:textId="77777777" w:rsidR="00D36A5C" w:rsidRPr="0017668B" w:rsidRDefault="00D36A5C" w:rsidP="00D36A5C">
            <w:pPr>
              <w:rPr>
                <w:sz w:val="23"/>
                <w:szCs w:val="23"/>
              </w:rPr>
            </w:pPr>
            <w:r w:rsidRPr="0017668B">
              <w:rPr>
                <w:sz w:val="23"/>
                <w:szCs w:val="23"/>
              </w:rPr>
              <w:t>Lift Station #4 Refurbishment</w:t>
            </w:r>
          </w:p>
        </w:tc>
        <w:tc>
          <w:tcPr>
            <w:tcW w:w="1030" w:type="dxa"/>
            <w:shd w:val="clear" w:color="auto" w:fill="auto"/>
          </w:tcPr>
          <w:p w14:paraId="38E8E435" w14:textId="77777777" w:rsidR="00D36A5C" w:rsidRPr="0017668B" w:rsidRDefault="00D36A5C" w:rsidP="00D36A5C">
            <w:pPr>
              <w:jc w:val="center"/>
              <w:rPr>
                <w:sz w:val="23"/>
                <w:szCs w:val="23"/>
              </w:rPr>
            </w:pPr>
            <w:r w:rsidRPr="0017668B">
              <w:rPr>
                <w:sz w:val="23"/>
                <w:szCs w:val="23"/>
              </w:rPr>
              <w:t>371</w:t>
            </w:r>
          </w:p>
        </w:tc>
        <w:tc>
          <w:tcPr>
            <w:tcW w:w="1416" w:type="dxa"/>
            <w:shd w:val="clear" w:color="auto" w:fill="auto"/>
          </w:tcPr>
          <w:p w14:paraId="598787DE" w14:textId="77777777" w:rsidR="00D36A5C" w:rsidRPr="0017668B" w:rsidRDefault="00D36A5C" w:rsidP="00D36A5C">
            <w:pPr>
              <w:jc w:val="right"/>
              <w:rPr>
                <w:sz w:val="23"/>
                <w:szCs w:val="23"/>
              </w:rPr>
            </w:pPr>
            <w:r w:rsidRPr="0017668B">
              <w:rPr>
                <w:sz w:val="23"/>
                <w:szCs w:val="23"/>
              </w:rPr>
              <w:t>$188,500</w:t>
            </w:r>
          </w:p>
        </w:tc>
        <w:tc>
          <w:tcPr>
            <w:tcW w:w="1656" w:type="dxa"/>
            <w:shd w:val="clear" w:color="auto" w:fill="auto"/>
          </w:tcPr>
          <w:p w14:paraId="3F742C7C" w14:textId="77777777" w:rsidR="00D36A5C" w:rsidRPr="0017668B" w:rsidRDefault="00D36A5C" w:rsidP="00D36A5C">
            <w:pPr>
              <w:jc w:val="right"/>
              <w:rPr>
                <w:sz w:val="23"/>
                <w:szCs w:val="23"/>
              </w:rPr>
            </w:pPr>
            <w:r w:rsidRPr="0017668B">
              <w:rPr>
                <w:sz w:val="23"/>
                <w:szCs w:val="23"/>
              </w:rPr>
              <w:t>$188,500</w:t>
            </w:r>
          </w:p>
        </w:tc>
        <w:tc>
          <w:tcPr>
            <w:tcW w:w="1495" w:type="dxa"/>
          </w:tcPr>
          <w:p w14:paraId="66DB6CE8" w14:textId="77777777" w:rsidR="00D36A5C" w:rsidRPr="0017668B" w:rsidRDefault="00D36A5C" w:rsidP="00D36A5C">
            <w:pPr>
              <w:jc w:val="right"/>
              <w:rPr>
                <w:sz w:val="23"/>
                <w:szCs w:val="23"/>
              </w:rPr>
            </w:pPr>
            <w:r w:rsidRPr="0017668B">
              <w:rPr>
                <w:sz w:val="23"/>
                <w:szCs w:val="23"/>
              </w:rPr>
              <w:t>($25,684)*</w:t>
            </w:r>
          </w:p>
        </w:tc>
      </w:tr>
      <w:tr w:rsidR="00D36A5C" w:rsidRPr="0003089D" w14:paraId="77EFC1B9" w14:textId="77777777" w:rsidTr="00D36A5C">
        <w:trPr>
          <w:jc w:val="center"/>
        </w:trPr>
        <w:tc>
          <w:tcPr>
            <w:tcW w:w="666" w:type="dxa"/>
            <w:shd w:val="clear" w:color="auto" w:fill="auto"/>
          </w:tcPr>
          <w:p w14:paraId="65CF3B26" w14:textId="77777777" w:rsidR="00D36A5C" w:rsidRPr="0017668B" w:rsidRDefault="00D36A5C" w:rsidP="00D36A5C">
            <w:pPr>
              <w:rPr>
                <w:sz w:val="23"/>
                <w:szCs w:val="23"/>
              </w:rPr>
            </w:pPr>
            <w:r w:rsidRPr="0017668B">
              <w:rPr>
                <w:sz w:val="23"/>
                <w:szCs w:val="23"/>
              </w:rPr>
              <w:t>15.</w:t>
            </w:r>
          </w:p>
        </w:tc>
        <w:tc>
          <w:tcPr>
            <w:tcW w:w="3313" w:type="dxa"/>
            <w:shd w:val="clear" w:color="auto" w:fill="auto"/>
          </w:tcPr>
          <w:p w14:paraId="5A1D1F82" w14:textId="77777777" w:rsidR="00D36A5C" w:rsidRPr="0017668B" w:rsidRDefault="00D36A5C" w:rsidP="00D36A5C">
            <w:pPr>
              <w:rPr>
                <w:sz w:val="23"/>
                <w:szCs w:val="23"/>
              </w:rPr>
            </w:pPr>
            <w:r w:rsidRPr="0017668B">
              <w:rPr>
                <w:sz w:val="23"/>
                <w:szCs w:val="23"/>
              </w:rPr>
              <w:t>Lift Station #5 Refurbishment</w:t>
            </w:r>
          </w:p>
        </w:tc>
        <w:tc>
          <w:tcPr>
            <w:tcW w:w="1030" w:type="dxa"/>
            <w:shd w:val="clear" w:color="auto" w:fill="auto"/>
          </w:tcPr>
          <w:p w14:paraId="2A4E9DFD" w14:textId="77777777" w:rsidR="00D36A5C" w:rsidRPr="0017668B" w:rsidRDefault="00D36A5C" w:rsidP="00D36A5C">
            <w:pPr>
              <w:jc w:val="center"/>
              <w:rPr>
                <w:sz w:val="23"/>
                <w:szCs w:val="23"/>
              </w:rPr>
            </w:pPr>
            <w:r w:rsidRPr="0017668B">
              <w:rPr>
                <w:sz w:val="23"/>
                <w:szCs w:val="23"/>
              </w:rPr>
              <w:t>371</w:t>
            </w:r>
          </w:p>
        </w:tc>
        <w:tc>
          <w:tcPr>
            <w:tcW w:w="1416" w:type="dxa"/>
            <w:shd w:val="clear" w:color="auto" w:fill="auto"/>
          </w:tcPr>
          <w:p w14:paraId="250FABA2" w14:textId="77777777" w:rsidR="00D36A5C" w:rsidRPr="0017668B" w:rsidRDefault="00D36A5C" w:rsidP="00D36A5C">
            <w:pPr>
              <w:jc w:val="right"/>
              <w:rPr>
                <w:sz w:val="23"/>
                <w:szCs w:val="23"/>
              </w:rPr>
            </w:pPr>
            <w:r w:rsidRPr="0017668B">
              <w:rPr>
                <w:sz w:val="23"/>
                <w:szCs w:val="23"/>
              </w:rPr>
              <w:t>$175,500</w:t>
            </w:r>
          </w:p>
        </w:tc>
        <w:tc>
          <w:tcPr>
            <w:tcW w:w="1656" w:type="dxa"/>
            <w:shd w:val="clear" w:color="auto" w:fill="auto"/>
          </w:tcPr>
          <w:p w14:paraId="65382C95" w14:textId="77777777" w:rsidR="00D36A5C" w:rsidRPr="0017668B" w:rsidRDefault="00D36A5C" w:rsidP="00D36A5C">
            <w:pPr>
              <w:jc w:val="right"/>
              <w:rPr>
                <w:sz w:val="23"/>
                <w:szCs w:val="23"/>
              </w:rPr>
            </w:pPr>
            <w:r w:rsidRPr="0017668B">
              <w:rPr>
                <w:sz w:val="23"/>
                <w:szCs w:val="23"/>
              </w:rPr>
              <w:t>$171,525</w:t>
            </w:r>
          </w:p>
        </w:tc>
        <w:tc>
          <w:tcPr>
            <w:tcW w:w="1495" w:type="dxa"/>
          </w:tcPr>
          <w:p w14:paraId="37133BF4" w14:textId="77777777" w:rsidR="00D36A5C" w:rsidRPr="0017668B" w:rsidRDefault="00D36A5C" w:rsidP="00D36A5C">
            <w:pPr>
              <w:jc w:val="right"/>
              <w:rPr>
                <w:sz w:val="23"/>
                <w:szCs w:val="23"/>
              </w:rPr>
            </w:pPr>
            <w:r w:rsidRPr="0017668B">
              <w:rPr>
                <w:sz w:val="23"/>
                <w:szCs w:val="23"/>
              </w:rPr>
              <w:t>($23,371)*</w:t>
            </w:r>
          </w:p>
        </w:tc>
      </w:tr>
      <w:tr w:rsidR="00D36A5C" w:rsidRPr="0003089D" w14:paraId="3149FE2F" w14:textId="77777777" w:rsidTr="00D36A5C">
        <w:trPr>
          <w:jc w:val="center"/>
        </w:trPr>
        <w:tc>
          <w:tcPr>
            <w:tcW w:w="9576" w:type="dxa"/>
            <w:gridSpan w:val="6"/>
          </w:tcPr>
          <w:p w14:paraId="43E7DE5A" w14:textId="77777777" w:rsidR="00D36A5C" w:rsidRPr="0017668B" w:rsidRDefault="00D36A5C" w:rsidP="00D36A5C">
            <w:pPr>
              <w:jc w:val="center"/>
              <w:rPr>
                <w:sz w:val="23"/>
                <w:szCs w:val="23"/>
              </w:rPr>
            </w:pPr>
            <w:r w:rsidRPr="0017668B">
              <w:rPr>
                <w:sz w:val="23"/>
                <w:szCs w:val="23"/>
              </w:rPr>
              <w:t>Water/Wastewater</w:t>
            </w:r>
          </w:p>
        </w:tc>
      </w:tr>
      <w:tr w:rsidR="00D36A5C" w:rsidRPr="0003089D" w14:paraId="45F6B31A" w14:textId="77777777" w:rsidTr="00D36A5C">
        <w:trPr>
          <w:jc w:val="center"/>
        </w:trPr>
        <w:tc>
          <w:tcPr>
            <w:tcW w:w="666" w:type="dxa"/>
          </w:tcPr>
          <w:p w14:paraId="7EA92298" w14:textId="77777777" w:rsidR="00D36A5C" w:rsidRPr="0017668B" w:rsidRDefault="00D36A5C" w:rsidP="00D36A5C">
            <w:pPr>
              <w:rPr>
                <w:sz w:val="23"/>
                <w:szCs w:val="23"/>
              </w:rPr>
            </w:pPr>
            <w:r w:rsidRPr="0017668B">
              <w:rPr>
                <w:sz w:val="23"/>
                <w:szCs w:val="23"/>
              </w:rPr>
              <w:t>16.</w:t>
            </w:r>
          </w:p>
        </w:tc>
        <w:tc>
          <w:tcPr>
            <w:tcW w:w="3313" w:type="dxa"/>
          </w:tcPr>
          <w:p w14:paraId="39A11309" w14:textId="77777777" w:rsidR="00D36A5C" w:rsidRPr="0017668B" w:rsidRDefault="00D36A5C" w:rsidP="00D36A5C">
            <w:pPr>
              <w:rPr>
                <w:sz w:val="23"/>
                <w:szCs w:val="23"/>
              </w:rPr>
            </w:pPr>
            <w:r w:rsidRPr="0017668B">
              <w:rPr>
                <w:sz w:val="23"/>
                <w:szCs w:val="23"/>
              </w:rPr>
              <w:t>Utility Truck – F-250</w:t>
            </w:r>
          </w:p>
        </w:tc>
        <w:tc>
          <w:tcPr>
            <w:tcW w:w="1030" w:type="dxa"/>
          </w:tcPr>
          <w:p w14:paraId="736416CF" w14:textId="77777777" w:rsidR="00D36A5C" w:rsidRPr="0017668B" w:rsidRDefault="00D36A5C" w:rsidP="00D36A5C">
            <w:pPr>
              <w:jc w:val="center"/>
              <w:rPr>
                <w:sz w:val="23"/>
                <w:szCs w:val="23"/>
              </w:rPr>
            </w:pPr>
            <w:r w:rsidRPr="0017668B">
              <w:rPr>
                <w:sz w:val="23"/>
                <w:szCs w:val="23"/>
              </w:rPr>
              <w:t>341/391</w:t>
            </w:r>
          </w:p>
        </w:tc>
        <w:tc>
          <w:tcPr>
            <w:tcW w:w="1416" w:type="dxa"/>
          </w:tcPr>
          <w:p w14:paraId="61CBFB88" w14:textId="77777777" w:rsidR="00D36A5C" w:rsidRPr="0017668B" w:rsidRDefault="00D36A5C" w:rsidP="00D36A5C">
            <w:pPr>
              <w:jc w:val="right"/>
              <w:rPr>
                <w:sz w:val="23"/>
                <w:szCs w:val="23"/>
              </w:rPr>
            </w:pPr>
            <w:r w:rsidRPr="0017668B">
              <w:rPr>
                <w:sz w:val="23"/>
                <w:szCs w:val="23"/>
              </w:rPr>
              <w:t>$52,239</w:t>
            </w:r>
          </w:p>
        </w:tc>
        <w:tc>
          <w:tcPr>
            <w:tcW w:w="1656" w:type="dxa"/>
          </w:tcPr>
          <w:p w14:paraId="697D85D1" w14:textId="77777777" w:rsidR="00D36A5C" w:rsidRPr="0017668B" w:rsidRDefault="00D36A5C" w:rsidP="00D36A5C">
            <w:pPr>
              <w:jc w:val="right"/>
              <w:rPr>
                <w:sz w:val="23"/>
                <w:szCs w:val="23"/>
              </w:rPr>
            </w:pPr>
            <w:r w:rsidRPr="0017668B">
              <w:rPr>
                <w:sz w:val="23"/>
                <w:szCs w:val="23"/>
              </w:rPr>
              <w:t>$52,239</w:t>
            </w:r>
          </w:p>
        </w:tc>
        <w:tc>
          <w:tcPr>
            <w:tcW w:w="1495" w:type="dxa"/>
          </w:tcPr>
          <w:p w14:paraId="0F8394F8" w14:textId="77777777" w:rsidR="00D36A5C" w:rsidRPr="0017668B" w:rsidRDefault="00D36A5C" w:rsidP="00D36A5C">
            <w:pPr>
              <w:jc w:val="right"/>
              <w:rPr>
                <w:sz w:val="23"/>
                <w:szCs w:val="23"/>
              </w:rPr>
            </w:pPr>
            <w:r w:rsidRPr="0017668B">
              <w:rPr>
                <w:sz w:val="23"/>
                <w:szCs w:val="23"/>
              </w:rPr>
              <w:t>($9,874)*</w:t>
            </w:r>
          </w:p>
        </w:tc>
      </w:tr>
      <w:tr w:rsidR="00D36A5C" w:rsidRPr="0003089D" w14:paraId="7A5B8C63" w14:textId="77777777" w:rsidTr="00D36A5C">
        <w:trPr>
          <w:jc w:val="center"/>
        </w:trPr>
        <w:tc>
          <w:tcPr>
            <w:tcW w:w="666" w:type="dxa"/>
          </w:tcPr>
          <w:p w14:paraId="2441D173" w14:textId="77777777" w:rsidR="00D36A5C" w:rsidRPr="0017668B" w:rsidRDefault="00D36A5C" w:rsidP="00D36A5C">
            <w:pPr>
              <w:rPr>
                <w:sz w:val="23"/>
                <w:szCs w:val="23"/>
              </w:rPr>
            </w:pPr>
            <w:r w:rsidRPr="0017668B">
              <w:rPr>
                <w:sz w:val="23"/>
                <w:szCs w:val="23"/>
              </w:rPr>
              <w:t>17.</w:t>
            </w:r>
          </w:p>
        </w:tc>
        <w:tc>
          <w:tcPr>
            <w:tcW w:w="3313" w:type="dxa"/>
          </w:tcPr>
          <w:p w14:paraId="0C0CFCED" w14:textId="77777777" w:rsidR="00D36A5C" w:rsidRPr="0017668B" w:rsidRDefault="00D36A5C" w:rsidP="00D36A5C">
            <w:pPr>
              <w:rPr>
                <w:sz w:val="23"/>
                <w:szCs w:val="23"/>
              </w:rPr>
            </w:pPr>
            <w:r w:rsidRPr="0017668B">
              <w:rPr>
                <w:sz w:val="23"/>
                <w:szCs w:val="23"/>
              </w:rPr>
              <w:t>Utility Truck – F-150</w:t>
            </w:r>
          </w:p>
        </w:tc>
        <w:tc>
          <w:tcPr>
            <w:tcW w:w="1030" w:type="dxa"/>
          </w:tcPr>
          <w:p w14:paraId="694FC2E6" w14:textId="77777777" w:rsidR="00D36A5C" w:rsidRPr="0017668B" w:rsidRDefault="00D36A5C" w:rsidP="00D36A5C">
            <w:pPr>
              <w:jc w:val="center"/>
              <w:rPr>
                <w:sz w:val="23"/>
                <w:szCs w:val="23"/>
              </w:rPr>
            </w:pPr>
            <w:r w:rsidRPr="0017668B">
              <w:rPr>
                <w:sz w:val="23"/>
                <w:szCs w:val="23"/>
              </w:rPr>
              <w:t>-</w:t>
            </w:r>
          </w:p>
        </w:tc>
        <w:tc>
          <w:tcPr>
            <w:tcW w:w="1416" w:type="dxa"/>
          </w:tcPr>
          <w:p w14:paraId="33F4D13D" w14:textId="77777777" w:rsidR="00D36A5C" w:rsidRPr="0017668B" w:rsidRDefault="00D36A5C" w:rsidP="00D36A5C">
            <w:pPr>
              <w:jc w:val="right"/>
              <w:rPr>
                <w:sz w:val="23"/>
                <w:szCs w:val="23"/>
              </w:rPr>
            </w:pPr>
            <w:r w:rsidRPr="0017668B">
              <w:rPr>
                <w:sz w:val="23"/>
                <w:szCs w:val="23"/>
              </w:rPr>
              <w:t>$43,168</w:t>
            </w:r>
          </w:p>
        </w:tc>
        <w:tc>
          <w:tcPr>
            <w:tcW w:w="1656" w:type="dxa"/>
          </w:tcPr>
          <w:p w14:paraId="520BE946" w14:textId="77777777" w:rsidR="00D36A5C" w:rsidRPr="0017668B" w:rsidRDefault="00D36A5C" w:rsidP="00D36A5C">
            <w:pPr>
              <w:jc w:val="right"/>
              <w:rPr>
                <w:sz w:val="23"/>
                <w:szCs w:val="23"/>
              </w:rPr>
            </w:pPr>
            <w:r w:rsidRPr="0017668B">
              <w:rPr>
                <w:sz w:val="23"/>
                <w:szCs w:val="23"/>
              </w:rPr>
              <w:t>$0</w:t>
            </w:r>
          </w:p>
        </w:tc>
        <w:tc>
          <w:tcPr>
            <w:tcW w:w="1495" w:type="dxa"/>
          </w:tcPr>
          <w:p w14:paraId="2E0113A6" w14:textId="77777777" w:rsidR="00D36A5C" w:rsidRPr="0017668B" w:rsidRDefault="00D36A5C" w:rsidP="00D36A5C">
            <w:pPr>
              <w:jc w:val="center"/>
              <w:rPr>
                <w:sz w:val="23"/>
                <w:szCs w:val="23"/>
              </w:rPr>
            </w:pPr>
            <w:r w:rsidRPr="0017668B">
              <w:rPr>
                <w:sz w:val="23"/>
                <w:szCs w:val="23"/>
              </w:rPr>
              <w:t>-</w:t>
            </w:r>
          </w:p>
        </w:tc>
      </w:tr>
      <w:tr w:rsidR="00D36A5C" w:rsidRPr="0003089D" w14:paraId="3A1EF7A6" w14:textId="77777777" w:rsidTr="00D36A5C">
        <w:trPr>
          <w:jc w:val="center"/>
        </w:trPr>
        <w:tc>
          <w:tcPr>
            <w:tcW w:w="666" w:type="dxa"/>
          </w:tcPr>
          <w:p w14:paraId="25259DF0" w14:textId="77777777" w:rsidR="00D36A5C" w:rsidRPr="0017668B" w:rsidRDefault="00D36A5C" w:rsidP="00D36A5C">
            <w:pPr>
              <w:rPr>
                <w:sz w:val="23"/>
                <w:szCs w:val="23"/>
              </w:rPr>
            </w:pPr>
            <w:r w:rsidRPr="0017668B">
              <w:rPr>
                <w:sz w:val="23"/>
                <w:szCs w:val="23"/>
              </w:rPr>
              <w:t>18.</w:t>
            </w:r>
          </w:p>
        </w:tc>
        <w:tc>
          <w:tcPr>
            <w:tcW w:w="3313" w:type="dxa"/>
          </w:tcPr>
          <w:p w14:paraId="2F28D04A" w14:textId="77777777" w:rsidR="00D36A5C" w:rsidRPr="0017668B" w:rsidRDefault="00D36A5C" w:rsidP="00D36A5C">
            <w:pPr>
              <w:rPr>
                <w:sz w:val="23"/>
                <w:szCs w:val="23"/>
              </w:rPr>
            </w:pPr>
            <w:r w:rsidRPr="0017668B">
              <w:rPr>
                <w:sz w:val="23"/>
                <w:szCs w:val="23"/>
              </w:rPr>
              <w:t>Utility Golf Cart</w:t>
            </w:r>
          </w:p>
        </w:tc>
        <w:tc>
          <w:tcPr>
            <w:tcW w:w="1030" w:type="dxa"/>
          </w:tcPr>
          <w:p w14:paraId="4BCB6107" w14:textId="77777777" w:rsidR="00D36A5C" w:rsidRPr="0017668B" w:rsidRDefault="00D36A5C" w:rsidP="00D36A5C">
            <w:pPr>
              <w:jc w:val="center"/>
              <w:rPr>
                <w:sz w:val="23"/>
                <w:szCs w:val="23"/>
              </w:rPr>
            </w:pPr>
            <w:r w:rsidRPr="0017668B">
              <w:rPr>
                <w:sz w:val="23"/>
                <w:szCs w:val="23"/>
              </w:rPr>
              <w:t>341/391</w:t>
            </w:r>
          </w:p>
        </w:tc>
        <w:tc>
          <w:tcPr>
            <w:tcW w:w="1416" w:type="dxa"/>
          </w:tcPr>
          <w:p w14:paraId="54562195" w14:textId="77777777" w:rsidR="00D36A5C" w:rsidRPr="0017668B" w:rsidRDefault="00D36A5C" w:rsidP="00D36A5C">
            <w:pPr>
              <w:jc w:val="right"/>
              <w:rPr>
                <w:sz w:val="23"/>
                <w:szCs w:val="23"/>
              </w:rPr>
            </w:pPr>
            <w:r w:rsidRPr="0017668B">
              <w:rPr>
                <w:sz w:val="23"/>
                <w:szCs w:val="23"/>
              </w:rPr>
              <w:t>$51,870</w:t>
            </w:r>
          </w:p>
        </w:tc>
        <w:tc>
          <w:tcPr>
            <w:tcW w:w="1656" w:type="dxa"/>
          </w:tcPr>
          <w:p w14:paraId="07533B62" w14:textId="77777777" w:rsidR="00D36A5C" w:rsidRPr="0017668B" w:rsidRDefault="00D36A5C" w:rsidP="00D36A5C">
            <w:pPr>
              <w:jc w:val="right"/>
              <w:rPr>
                <w:sz w:val="23"/>
                <w:szCs w:val="23"/>
              </w:rPr>
            </w:pPr>
            <w:r w:rsidRPr="0017668B">
              <w:rPr>
                <w:sz w:val="23"/>
                <w:szCs w:val="23"/>
              </w:rPr>
              <w:t>$8,549</w:t>
            </w:r>
          </w:p>
        </w:tc>
        <w:tc>
          <w:tcPr>
            <w:tcW w:w="1495" w:type="dxa"/>
          </w:tcPr>
          <w:p w14:paraId="1F19C172" w14:textId="77777777" w:rsidR="00D36A5C" w:rsidRPr="0017668B" w:rsidRDefault="00D36A5C" w:rsidP="00D36A5C">
            <w:pPr>
              <w:jc w:val="right"/>
              <w:rPr>
                <w:sz w:val="23"/>
                <w:szCs w:val="23"/>
              </w:rPr>
            </w:pPr>
            <w:r w:rsidRPr="0017668B">
              <w:rPr>
                <w:sz w:val="23"/>
                <w:szCs w:val="23"/>
              </w:rPr>
              <w:t>($3,268)*</w:t>
            </w:r>
          </w:p>
        </w:tc>
      </w:tr>
      <w:tr w:rsidR="00D36A5C" w:rsidRPr="0003089D" w14:paraId="1AED7BE3" w14:textId="77777777" w:rsidTr="00D36A5C">
        <w:trPr>
          <w:jc w:val="center"/>
        </w:trPr>
        <w:tc>
          <w:tcPr>
            <w:tcW w:w="666" w:type="dxa"/>
          </w:tcPr>
          <w:p w14:paraId="510F6ED9" w14:textId="77777777" w:rsidR="00D36A5C" w:rsidRPr="0017668B" w:rsidRDefault="00D36A5C" w:rsidP="00D36A5C">
            <w:pPr>
              <w:jc w:val="center"/>
              <w:rPr>
                <w:sz w:val="23"/>
                <w:szCs w:val="23"/>
              </w:rPr>
            </w:pPr>
            <w:r w:rsidRPr="0017668B">
              <w:rPr>
                <w:sz w:val="23"/>
                <w:szCs w:val="23"/>
              </w:rPr>
              <w:t>-</w:t>
            </w:r>
          </w:p>
        </w:tc>
        <w:tc>
          <w:tcPr>
            <w:tcW w:w="3313" w:type="dxa"/>
            <w:vAlign w:val="center"/>
          </w:tcPr>
          <w:p w14:paraId="581C68FA" w14:textId="77777777" w:rsidR="00D36A5C" w:rsidRPr="0017668B" w:rsidRDefault="00D36A5C" w:rsidP="00D36A5C">
            <w:pPr>
              <w:rPr>
                <w:sz w:val="23"/>
                <w:szCs w:val="23"/>
              </w:rPr>
            </w:pPr>
            <w:r w:rsidRPr="0017668B">
              <w:rPr>
                <w:sz w:val="23"/>
                <w:szCs w:val="23"/>
              </w:rPr>
              <w:t>Total</w:t>
            </w:r>
          </w:p>
        </w:tc>
        <w:tc>
          <w:tcPr>
            <w:tcW w:w="1030" w:type="dxa"/>
            <w:vAlign w:val="center"/>
          </w:tcPr>
          <w:p w14:paraId="54F4191C" w14:textId="77777777" w:rsidR="00D36A5C" w:rsidRPr="0017668B" w:rsidRDefault="00D36A5C" w:rsidP="00D36A5C">
            <w:pPr>
              <w:jc w:val="center"/>
              <w:rPr>
                <w:sz w:val="23"/>
                <w:szCs w:val="23"/>
              </w:rPr>
            </w:pPr>
            <w:r w:rsidRPr="0017668B">
              <w:rPr>
                <w:sz w:val="23"/>
                <w:szCs w:val="23"/>
              </w:rPr>
              <w:t>-</w:t>
            </w:r>
          </w:p>
        </w:tc>
        <w:tc>
          <w:tcPr>
            <w:tcW w:w="1416" w:type="dxa"/>
          </w:tcPr>
          <w:p w14:paraId="33741C4B" w14:textId="77777777" w:rsidR="00D36A5C" w:rsidRPr="0017668B" w:rsidRDefault="00D36A5C" w:rsidP="00D36A5C">
            <w:pPr>
              <w:jc w:val="right"/>
              <w:rPr>
                <w:sz w:val="23"/>
                <w:szCs w:val="23"/>
              </w:rPr>
            </w:pPr>
            <w:r w:rsidRPr="0017668B">
              <w:rPr>
                <w:sz w:val="23"/>
                <w:szCs w:val="23"/>
              </w:rPr>
              <w:t>$22,163,899</w:t>
            </w:r>
          </w:p>
        </w:tc>
        <w:tc>
          <w:tcPr>
            <w:tcW w:w="1656" w:type="dxa"/>
            <w:vAlign w:val="center"/>
          </w:tcPr>
          <w:p w14:paraId="086E29EA" w14:textId="77777777" w:rsidR="00D36A5C" w:rsidRPr="0017668B" w:rsidRDefault="00D36A5C" w:rsidP="00D36A5C">
            <w:pPr>
              <w:jc w:val="right"/>
              <w:rPr>
                <w:sz w:val="23"/>
                <w:szCs w:val="23"/>
              </w:rPr>
            </w:pPr>
            <w:r w:rsidRPr="0017668B">
              <w:rPr>
                <w:sz w:val="23"/>
                <w:szCs w:val="23"/>
              </w:rPr>
              <w:t>$2,708,233</w:t>
            </w:r>
          </w:p>
        </w:tc>
        <w:tc>
          <w:tcPr>
            <w:tcW w:w="1495" w:type="dxa"/>
            <w:vAlign w:val="center"/>
          </w:tcPr>
          <w:p w14:paraId="054AA01F" w14:textId="77777777" w:rsidR="00D36A5C" w:rsidRPr="0017668B" w:rsidRDefault="00D36A5C" w:rsidP="00D36A5C">
            <w:pPr>
              <w:jc w:val="right"/>
              <w:rPr>
                <w:sz w:val="23"/>
                <w:szCs w:val="23"/>
              </w:rPr>
            </w:pPr>
            <w:r w:rsidRPr="0017668B">
              <w:rPr>
                <w:sz w:val="23"/>
                <w:szCs w:val="23"/>
              </w:rPr>
              <w:t>($675,713)</w:t>
            </w:r>
          </w:p>
        </w:tc>
      </w:tr>
    </w:tbl>
    <w:p w14:paraId="23B676E7" w14:textId="77777777" w:rsidR="00D36A5C" w:rsidRPr="00433320" w:rsidRDefault="00D36A5C" w:rsidP="00D36A5C">
      <w:pPr>
        <w:pStyle w:val="BodyText"/>
        <w:spacing w:after="0"/>
        <w:rPr>
          <w:sz w:val="20"/>
          <w:szCs w:val="20"/>
        </w:rPr>
      </w:pPr>
      <w:r w:rsidRPr="0003089D">
        <w:t xml:space="preserve">Source: </w:t>
      </w:r>
      <w:r w:rsidRPr="00433320">
        <w:rPr>
          <w:sz w:val="20"/>
          <w:szCs w:val="20"/>
        </w:rPr>
        <w:t>Responses to staff data requests and staff calculations.</w:t>
      </w:r>
    </w:p>
    <w:p w14:paraId="29FC41AE" w14:textId="35B6682C" w:rsidR="00D36A5C" w:rsidRDefault="00D36A5C" w:rsidP="00803DF0">
      <w:pPr>
        <w:pStyle w:val="BodyText"/>
        <w:spacing w:after="0"/>
        <w:rPr>
          <w:sz w:val="20"/>
          <w:szCs w:val="20"/>
        </w:rPr>
      </w:pPr>
      <w:r w:rsidRPr="00433320">
        <w:rPr>
          <w:sz w:val="20"/>
          <w:szCs w:val="20"/>
        </w:rPr>
        <w:t>*Denotes capped retirement</w:t>
      </w:r>
    </w:p>
    <w:p w14:paraId="31C7364E" w14:textId="77777777" w:rsidR="00192776" w:rsidRPr="00433320" w:rsidRDefault="00192776" w:rsidP="00192776">
      <w:pPr>
        <w:pStyle w:val="BodyText"/>
        <w:spacing w:after="0"/>
        <w:rPr>
          <w:sz w:val="20"/>
          <w:szCs w:val="20"/>
        </w:rPr>
      </w:pPr>
    </w:p>
    <w:p w14:paraId="4D7067CF" w14:textId="77777777" w:rsidR="00D36A5C" w:rsidRDefault="00D36A5C" w:rsidP="00433320">
      <w:pPr>
        <w:pStyle w:val="Second-LevelSubheading"/>
        <w:ind w:firstLine="720"/>
        <w:rPr>
          <w:rFonts w:ascii="Times New Roman" w:hAnsi="Times New Roman" w:cs="Times New Roman"/>
          <w:i w:val="0"/>
        </w:rPr>
      </w:pPr>
      <w:r w:rsidRPr="00433320">
        <w:rPr>
          <w:rFonts w:ascii="Times New Roman" w:hAnsi="Times New Roman" w:cs="Times New Roman"/>
          <w:i w:val="0"/>
        </w:rPr>
        <w:lastRenderedPageBreak/>
        <w:t>Project Nos. 1 &amp; 2 – Meter Replacements</w:t>
      </w:r>
    </w:p>
    <w:p w14:paraId="6C4B417E" w14:textId="77777777" w:rsidR="00433320" w:rsidRPr="00433320" w:rsidRDefault="00433320" w:rsidP="00433320">
      <w:pPr>
        <w:pStyle w:val="BodyText"/>
        <w:spacing w:after="0"/>
      </w:pPr>
    </w:p>
    <w:p w14:paraId="1E1C820D" w14:textId="68092E72" w:rsidR="00D36A5C" w:rsidRDefault="00D36A5C" w:rsidP="002638D8">
      <w:pPr>
        <w:pStyle w:val="BodyText"/>
        <w:spacing w:after="0"/>
        <w:ind w:firstLine="720"/>
        <w:jc w:val="both"/>
      </w:pPr>
      <w:r w:rsidRPr="0003089D">
        <w:t>Project Nos. 1 and 2 are for replacement meters and the associated installation costs. The Utility is proposing to install radio read meters as a replacement for its existing manual read meters. Radio read meters are digital read water meters that record water usage and send data to the master database center monthly. According to Grenelefe, its existing manual read meters are: 1) obsolete, and replacements and parts are hard to obtain; 2) close to or past their expected useful service life; and, 3) not functioning properly or are otherwise inaccessible.</w:t>
      </w:r>
    </w:p>
    <w:p w14:paraId="4347C2A0" w14:textId="77777777" w:rsidR="002638D8" w:rsidRPr="0003089D" w:rsidRDefault="002638D8" w:rsidP="002638D8">
      <w:pPr>
        <w:pStyle w:val="BodyText"/>
        <w:spacing w:after="0"/>
        <w:ind w:firstLine="720"/>
        <w:jc w:val="both"/>
      </w:pPr>
    </w:p>
    <w:p w14:paraId="7D18DA1F" w14:textId="7A36040C" w:rsidR="00914411" w:rsidRDefault="00914411" w:rsidP="002638D8">
      <w:pPr>
        <w:ind w:firstLine="720"/>
        <w:jc w:val="both"/>
      </w:pPr>
      <w:r w:rsidRPr="0003089D">
        <w:t>The Utility considered replacing the existing meters with other manual meters, but decided not to since those meters would not diminish human error or the quantity of meter readings. In our staff’</w:t>
      </w:r>
      <w:r w:rsidR="00F90AA4">
        <w:t xml:space="preserve">s fourth data request, </w:t>
      </w:r>
      <w:r w:rsidRPr="0003089D">
        <w:t>the Utility</w:t>
      </w:r>
      <w:r w:rsidR="00F90AA4">
        <w:t xml:space="preserve"> was asked</w:t>
      </w:r>
      <w:r w:rsidRPr="0003089D">
        <w:t xml:space="preserve"> if it considered Advanced Metering Infrastructure (AMI) meters or Automated Meter Reading (AMR) as alternatives. Grenelefe’s response stated that the system </w:t>
      </w:r>
      <w:r>
        <w:t>it has chosen (</w:t>
      </w:r>
      <w:r w:rsidRPr="0003089D">
        <w:t>Neptune Digital Meter</w:t>
      </w:r>
      <w:r>
        <w:t xml:space="preserve">) </w:t>
      </w:r>
      <w:r w:rsidRPr="0003089D">
        <w:t>is the industry standard meter used by Utility companies. Also in response to our staff’s fourth data request, the Utility stated that there should be $32,472 in annual Operations &amp; Maintenance (O&amp;M) savings related to the installation of the radio read meters since no staff will be required to manually read each meter every month.</w:t>
      </w:r>
    </w:p>
    <w:p w14:paraId="054648CF" w14:textId="77777777" w:rsidR="002638D8" w:rsidRPr="0003089D" w:rsidRDefault="002638D8" w:rsidP="002638D8">
      <w:pPr>
        <w:ind w:firstLine="720"/>
        <w:jc w:val="both"/>
      </w:pPr>
    </w:p>
    <w:p w14:paraId="6889B505" w14:textId="77777777" w:rsidR="002638D8" w:rsidRDefault="00D36A5C" w:rsidP="002638D8">
      <w:pPr>
        <w:pStyle w:val="BodyText"/>
        <w:spacing w:after="0"/>
        <w:ind w:firstLine="720"/>
        <w:jc w:val="both"/>
      </w:pPr>
      <w:r w:rsidRPr="0003089D">
        <w:t>The Utility provided three bids for the installation cost and only one bid for the material cost. The Utility explained that only one bid was solicited for the meters because the bidder was able to provide the Utility with a price no one would match and others would not waste time providing a proposal.</w:t>
      </w:r>
      <w:r w:rsidRPr="0003089D">
        <w:rPr>
          <w:rStyle w:val="FootnoteReference"/>
        </w:rPr>
        <w:footnoteReference w:id="24"/>
      </w:r>
      <w:r w:rsidRPr="0003089D">
        <w:t xml:space="preserve"> The provided bid was for 1,350 5/8 inch meters. However, this number was updated to 1,377 meters in a data request response, and also included meters of other sizes.</w:t>
      </w:r>
    </w:p>
    <w:p w14:paraId="4BBFC6AE" w14:textId="6546CF40" w:rsidR="00D36A5C" w:rsidRPr="0003089D" w:rsidRDefault="00D36A5C" w:rsidP="002638D8">
      <w:pPr>
        <w:pStyle w:val="BodyText"/>
        <w:spacing w:after="0"/>
        <w:ind w:firstLine="720"/>
        <w:jc w:val="both"/>
      </w:pPr>
      <w:r w:rsidRPr="0003089D">
        <w:t xml:space="preserve"> </w:t>
      </w:r>
    </w:p>
    <w:p w14:paraId="04385F83" w14:textId="0648183B" w:rsidR="0010509F" w:rsidRDefault="0010509F" w:rsidP="0010509F">
      <w:pPr>
        <w:pStyle w:val="BodyText"/>
        <w:spacing w:after="0"/>
        <w:ind w:firstLine="720"/>
        <w:jc w:val="both"/>
      </w:pPr>
      <w:r w:rsidRPr="0003089D">
        <w:t>We</w:t>
      </w:r>
      <w:r>
        <w:t xml:space="preserve"> are approving</w:t>
      </w:r>
      <w:r w:rsidRPr="0003089D">
        <w:t xml:space="preserve"> the replacement meters due to the number of improper billing complaints from customers, the high EUW discussed</w:t>
      </w:r>
      <w:r w:rsidR="00262274">
        <w:t xml:space="preserve"> above</w:t>
      </w:r>
      <w:r w:rsidRPr="0003089D">
        <w:t xml:space="preserve"> in Section 3</w:t>
      </w:r>
      <w:r w:rsidR="00262274">
        <w:t xml:space="preserve"> Used and Useful</w:t>
      </w:r>
      <w:r w:rsidRPr="0003089D">
        <w:t xml:space="preserve">, and the fact that the existing meters are past their useful lives. </w:t>
      </w:r>
      <w:r>
        <w:t>W</w:t>
      </w:r>
      <w:r w:rsidRPr="0003089D">
        <w:t xml:space="preserve">e </w:t>
      </w:r>
      <w:r>
        <w:t>approve</w:t>
      </w:r>
      <w:r w:rsidRPr="0003089D">
        <w:t xml:space="preserve"> total project costs of $1,001,223. This includes selecting the lowest bid for the installation costs ($242,385) and cost recovery for 1,243 5/8 inch meters ($757,838), based upon the updated meter count provided in response to our staff’s fourth data request, minus the additional meter sizes. Grenelefe stated that it expects the replacements to take six to eight weeks and will begin replacing meters as soon as cost recovery for this project is approved. </w:t>
      </w:r>
      <w:r>
        <w:t>T</w:t>
      </w:r>
      <w:r w:rsidRPr="0003089D">
        <w:t xml:space="preserve">he anticipated completion date for this project is June 30, 2026. </w:t>
      </w:r>
    </w:p>
    <w:p w14:paraId="08B10CEF" w14:textId="77777777" w:rsidR="00433320" w:rsidRPr="0003089D" w:rsidRDefault="00433320" w:rsidP="00433320">
      <w:pPr>
        <w:pStyle w:val="BodyText"/>
        <w:spacing w:after="0"/>
        <w:ind w:firstLine="720"/>
        <w:jc w:val="both"/>
      </w:pPr>
    </w:p>
    <w:p w14:paraId="0B49D19E" w14:textId="77777777" w:rsidR="00D36A5C" w:rsidRPr="00433320" w:rsidRDefault="00D36A5C" w:rsidP="00433320">
      <w:pPr>
        <w:pStyle w:val="Second-LevelSubheading"/>
        <w:ind w:firstLine="720"/>
        <w:rPr>
          <w:rFonts w:ascii="Times New Roman" w:hAnsi="Times New Roman" w:cs="Times New Roman"/>
          <w:i w:val="0"/>
        </w:rPr>
      </w:pPr>
      <w:r w:rsidRPr="00433320">
        <w:rPr>
          <w:rFonts w:ascii="Times New Roman" w:hAnsi="Times New Roman" w:cs="Times New Roman"/>
          <w:i w:val="0"/>
        </w:rPr>
        <w:t xml:space="preserve">No. 3 </w:t>
      </w:r>
      <w:r w:rsidRPr="00433320">
        <w:rPr>
          <w:rFonts w:ascii="Times New Roman" w:hAnsi="Times New Roman" w:cs="Times New Roman"/>
          <w:i w:val="0"/>
        </w:rPr>
        <w:softHyphen/>
        <w:t>– Fire Hydrants</w:t>
      </w:r>
    </w:p>
    <w:p w14:paraId="29FB54FE" w14:textId="77777777" w:rsidR="00433320" w:rsidRPr="00433320" w:rsidRDefault="00433320" w:rsidP="00433320">
      <w:pPr>
        <w:pStyle w:val="BodyText"/>
        <w:spacing w:after="0"/>
      </w:pPr>
    </w:p>
    <w:p w14:paraId="29F86FC3" w14:textId="188FD33A" w:rsidR="00D36A5C" w:rsidRPr="0003089D" w:rsidRDefault="00D36A5C" w:rsidP="00F90AA4">
      <w:pPr>
        <w:pStyle w:val="BodyText"/>
        <w:ind w:firstLine="720"/>
        <w:jc w:val="both"/>
      </w:pPr>
      <w:r w:rsidRPr="0003089D">
        <w:t>Project No. 3 is the replacement of 15 fire hydrants at a cost of approximately $234,000.</w:t>
      </w:r>
      <w:r w:rsidRPr="0003089D">
        <w:rPr>
          <w:rStyle w:val="FootnoteReference"/>
        </w:rPr>
        <w:footnoteReference w:id="25"/>
      </w:r>
      <w:r w:rsidRPr="0003089D">
        <w:t xml:space="preserve"> The Utility has 75 fire hydrants in its service territory and stated that every year the fire hydrants need to be flow tested as ordered by the Polk County Fire Marshall’s Office. </w:t>
      </w:r>
      <w:r w:rsidR="00F90AA4">
        <w:t>Our staff</w:t>
      </w:r>
      <w:r w:rsidRPr="0003089D">
        <w:t xml:space="preserve"> requested the flow testing documents numerous times as noted below: </w:t>
      </w:r>
    </w:p>
    <w:p w14:paraId="3AE45D5D" w14:textId="000E0A8F" w:rsidR="00D36A5C" w:rsidRDefault="00B2057D" w:rsidP="002638D8">
      <w:pPr>
        <w:pStyle w:val="BodyText"/>
        <w:numPr>
          <w:ilvl w:val="0"/>
          <w:numId w:val="2"/>
        </w:numPr>
        <w:spacing w:after="0"/>
        <w:jc w:val="both"/>
      </w:pPr>
      <w:r w:rsidRPr="0003089D">
        <w:lastRenderedPageBreak/>
        <w:t>Our s</w:t>
      </w:r>
      <w:r w:rsidR="00D36A5C" w:rsidRPr="0003089D">
        <w:t>taff’s second data request, No. 5a (dated June 6, 2025):</w:t>
      </w:r>
      <w:r w:rsidR="00D36A5C" w:rsidRPr="0003089D">
        <w:rPr>
          <w:rStyle w:val="FootnoteReference"/>
        </w:rPr>
        <w:footnoteReference w:id="26"/>
      </w:r>
      <w:r w:rsidR="00D36A5C" w:rsidRPr="0003089D">
        <w:t xml:space="preserve"> “On page three of this document, the Utility provided a list of its requested pro forma projects. (a) Column 8 is labeled ‘Regulatory Mandate (M) or Enhancement (E).’ For each of the following projects labeled as ‘Regulatory Mandate,’ please provide the government agency that required the project, a brief explanation as to why it was required, and all documentation that supports this designation. (ii) Hydrants.”</w:t>
      </w:r>
    </w:p>
    <w:p w14:paraId="35B7C0F4" w14:textId="77777777" w:rsidR="002638D8" w:rsidRPr="0003089D" w:rsidRDefault="002638D8" w:rsidP="002638D8">
      <w:pPr>
        <w:pStyle w:val="BodyText"/>
        <w:spacing w:after="0"/>
        <w:ind w:left="720"/>
        <w:jc w:val="both"/>
      </w:pPr>
    </w:p>
    <w:p w14:paraId="65DE843C" w14:textId="5488F401" w:rsidR="00D36A5C" w:rsidRDefault="00D36A5C" w:rsidP="002638D8">
      <w:pPr>
        <w:pStyle w:val="BodyText"/>
        <w:spacing w:after="0"/>
        <w:ind w:left="720"/>
        <w:jc w:val="both"/>
      </w:pPr>
      <w:r w:rsidRPr="0003089D">
        <w:t>Utility’s response to</w:t>
      </w:r>
      <w:r w:rsidR="00B2057D" w:rsidRPr="0003089D">
        <w:t xml:space="preserve"> our</w:t>
      </w:r>
      <w:r w:rsidRPr="0003089D">
        <w:t xml:space="preserve"> staff’s second data request: Response to 5a. ii.) “The Polk County Fire Marshall's office requires fire hydrants to be flow tested annually to ensure residents have adequate fire protection. When flow tests on hydrants fail the Fire Marshall wants a timeline as to when the hydrant can be replaced. These outdated hydrants, well past their useful lives, frequently fail these tests by the Fire Marshall.” Also as part of its response, the Utility provided a single bid to replace 15 fire hydrants for $266,000.</w:t>
      </w:r>
      <w:r w:rsidRPr="0003089D">
        <w:rPr>
          <w:rStyle w:val="FootnoteReference"/>
        </w:rPr>
        <w:footnoteReference w:id="27"/>
      </w:r>
    </w:p>
    <w:p w14:paraId="25059A50" w14:textId="77777777" w:rsidR="002638D8" w:rsidRPr="0003089D" w:rsidRDefault="002638D8" w:rsidP="002638D8">
      <w:pPr>
        <w:pStyle w:val="BodyText"/>
        <w:spacing w:after="0"/>
        <w:ind w:left="720"/>
        <w:jc w:val="both"/>
      </w:pPr>
    </w:p>
    <w:p w14:paraId="2483EEA1" w14:textId="7556A239" w:rsidR="00D36A5C" w:rsidRDefault="00B2057D" w:rsidP="002638D8">
      <w:pPr>
        <w:pStyle w:val="BodyText"/>
        <w:numPr>
          <w:ilvl w:val="0"/>
          <w:numId w:val="2"/>
        </w:numPr>
        <w:spacing w:after="0"/>
        <w:jc w:val="both"/>
      </w:pPr>
      <w:r w:rsidRPr="0003089D">
        <w:t>Our s</w:t>
      </w:r>
      <w:r w:rsidR="00D36A5C" w:rsidRPr="0003089D">
        <w:t>taff’s fourth data request, No. 25 (dated July 23, 2025):</w:t>
      </w:r>
      <w:r w:rsidR="00D36A5C" w:rsidRPr="0003089D">
        <w:rPr>
          <w:rStyle w:val="FootnoteReference"/>
        </w:rPr>
        <w:footnoteReference w:id="28"/>
      </w:r>
      <w:r w:rsidR="00D36A5C" w:rsidRPr="0003089D">
        <w:t xml:space="preserve"> “Grenelefe is requesting to replace 15 of its fire hydrants, as these hydrants have failed inspections and are past their useful service lives. Provide copies of the inspection failure reports and any other pertinent documentation to justify the need for this request.”</w:t>
      </w:r>
    </w:p>
    <w:p w14:paraId="179A5C72" w14:textId="77777777" w:rsidR="002638D8" w:rsidRPr="0003089D" w:rsidRDefault="002638D8" w:rsidP="002638D8">
      <w:pPr>
        <w:pStyle w:val="BodyText"/>
        <w:spacing w:after="0"/>
        <w:ind w:left="720"/>
        <w:jc w:val="both"/>
      </w:pPr>
    </w:p>
    <w:p w14:paraId="7466617D" w14:textId="78160FF1" w:rsidR="00D36A5C" w:rsidRDefault="00D36A5C" w:rsidP="002638D8">
      <w:pPr>
        <w:pStyle w:val="BodyText"/>
        <w:spacing w:after="0"/>
        <w:ind w:left="720"/>
        <w:jc w:val="both"/>
      </w:pPr>
      <w:r w:rsidRPr="0003089D">
        <w:t>Utility’s response to</w:t>
      </w:r>
      <w:r w:rsidR="00B2057D" w:rsidRPr="0003089D">
        <w:t xml:space="preserve"> our</w:t>
      </w:r>
      <w:r w:rsidRPr="0003089D">
        <w:t xml:space="preserve"> staff’s fourth data request: “Replace 15 fire hydrants -The Flow tests performed on the aged fire hydrants reveal that a large number of them failed the flow tests and due to their age and functionality being diminished they require replacement due to failing the flow tests. The replacement plan was made due to the Ben Tech LLC Flow tests done on all the Fire Hydrants and reported to Polk County Fire Inspector. This report showed 15 failed the flow test and require replacement. The Utility is attempting to replace 3 per quarter, it could be faster if funds become available.”</w:t>
      </w:r>
    </w:p>
    <w:p w14:paraId="016E89DD" w14:textId="77777777" w:rsidR="002638D8" w:rsidRPr="0003089D" w:rsidRDefault="002638D8" w:rsidP="002638D8">
      <w:pPr>
        <w:pStyle w:val="BodyText"/>
        <w:spacing w:after="0"/>
        <w:ind w:left="720"/>
        <w:jc w:val="both"/>
      </w:pPr>
    </w:p>
    <w:p w14:paraId="16B6F1CC" w14:textId="45CF5834" w:rsidR="00D36A5C" w:rsidRDefault="00B2057D" w:rsidP="002638D8">
      <w:pPr>
        <w:pStyle w:val="BodyText"/>
        <w:numPr>
          <w:ilvl w:val="0"/>
          <w:numId w:val="2"/>
        </w:numPr>
        <w:spacing w:after="0"/>
        <w:jc w:val="both"/>
      </w:pPr>
      <w:r w:rsidRPr="0003089D">
        <w:t>Our s</w:t>
      </w:r>
      <w:r w:rsidR="00D36A5C" w:rsidRPr="0003089D">
        <w:t xml:space="preserve">taff’s fifth data request did not contain any questions regarding fire hydrants. However, as part of its response to </w:t>
      </w:r>
      <w:r w:rsidRPr="0003089D">
        <w:t xml:space="preserve">our </w:t>
      </w:r>
      <w:r w:rsidR="00D36A5C" w:rsidRPr="0003089D">
        <w:t>staff’s fifth data request, the Utility included a bid to replace 20 fire hydrants and a quarterly inspection program for $298,000.</w:t>
      </w:r>
      <w:r w:rsidR="00D36A5C" w:rsidRPr="0003089D">
        <w:rPr>
          <w:rStyle w:val="FootnoteReference"/>
        </w:rPr>
        <w:footnoteReference w:id="29"/>
      </w:r>
    </w:p>
    <w:p w14:paraId="3E77A559" w14:textId="77777777" w:rsidR="002638D8" w:rsidRPr="0003089D" w:rsidRDefault="002638D8" w:rsidP="002638D8">
      <w:pPr>
        <w:pStyle w:val="BodyText"/>
        <w:spacing w:after="0"/>
        <w:ind w:left="720"/>
        <w:jc w:val="both"/>
      </w:pPr>
    </w:p>
    <w:p w14:paraId="25A2A2EB" w14:textId="37D7B1B6" w:rsidR="0010509F" w:rsidRDefault="00B2057D" w:rsidP="00F94FA9">
      <w:pPr>
        <w:pStyle w:val="BodyText"/>
        <w:numPr>
          <w:ilvl w:val="0"/>
          <w:numId w:val="2"/>
        </w:numPr>
        <w:spacing w:after="0"/>
        <w:jc w:val="both"/>
      </w:pPr>
      <w:r w:rsidRPr="0003089D">
        <w:t>Our s</w:t>
      </w:r>
      <w:r w:rsidR="00D36A5C" w:rsidRPr="0003089D">
        <w:t>taff emailed the Utility on October 10, 2025, and again on December 17, 2025 (as well as a follow-up phone call on December 17, 2025), requesting copies of the inspection failure reports. On December 17, 2025, the Utility responded via email that 15 fire hydrants needed to be replaced. More specifically, 13 fire hydrants are inoperable and</w:t>
      </w:r>
      <w:r w:rsidR="0016085D">
        <w:t xml:space="preserve"> have failed inspection and</w:t>
      </w:r>
      <w:r w:rsidR="00D36A5C" w:rsidRPr="0003089D">
        <w:t xml:space="preserve"> 2 additional fire hydrants have caps that could not be removed during inspection and need to be addressed. The Utility did provide inspection report copies on December 29, 2025; however, the partial information was provided late. The partial information consisted of 68 fire hydrant inspection reports; however, the Utility indicated it has a total of 75 fire hydrants in its 2024 Annual Report. Of the 68 fire </w:t>
      </w:r>
      <w:r w:rsidR="00D36A5C" w:rsidRPr="0003089D">
        <w:lastRenderedPageBreak/>
        <w:t>hydrant inspection reports provided, 22 fire hydrants failed inspection. The Utility also indicated that it has already replaced 6 of the 15 fire hydrants.</w:t>
      </w:r>
    </w:p>
    <w:p w14:paraId="68C9543A" w14:textId="77777777" w:rsidR="00F94FA9" w:rsidRDefault="00F94FA9" w:rsidP="00F94FA9">
      <w:pPr>
        <w:pStyle w:val="BodyText"/>
        <w:spacing w:after="0"/>
        <w:ind w:left="720"/>
        <w:jc w:val="both"/>
      </w:pPr>
    </w:p>
    <w:p w14:paraId="6FCBD9AD" w14:textId="6225BC52" w:rsidR="0010509F" w:rsidRDefault="0010509F" w:rsidP="00F94FA9">
      <w:pPr>
        <w:pStyle w:val="BodyText"/>
        <w:spacing w:after="0"/>
        <w:ind w:firstLine="720"/>
        <w:jc w:val="both"/>
      </w:pPr>
      <w:r w:rsidRPr="0003089D">
        <w:t>To date, the Utility has not provided the documentation to support all 15 fire hydrant replacements</w:t>
      </w:r>
      <w:r w:rsidR="00310946">
        <w:t xml:space="preserve">. </w:t>
      </w:r>
      <w:r w:rsidRPr="0003089D">
        <w:t xml:space="preserve">While the Utility originally indicated that 15 fire hydrants needed replacement, it later changed its request to be 20 fire hydrants, and then provided documentation that showed 22 fire hydrants failed inspection. However, in its late response, the Utility also indicated it already replaced 6 fire hydrants. As a result, the total number of fire hydrants that still need to be replaced is unclear. Therefore, we </w:t>
      </w:r>
      <w:r>
        <w:t>deny</w:t>
      </w:r>
      <w:r w:rsidRPr="0003089D">
        <w:t xml:space="preserve"> the Utility’s request for cost recovery of this project. This does not prevent the Utility from replacing the fire hydrants and request</w:t>
      </w:r>
      <w:r>
        <w:t>ing</w:t>
      </w:r>
      <w:r w:rsidRPr="0003089D">
        <w:t xml:space="preserve"> cost recovery in the future when it is able to support</w:t>
      </w:r>
      <w:r>
        <w:t xml:space="preserve"> is request</w:t>
      </w:r>
      <w:r w:rsidRPr="0003089D">
        <w:t>.</w:t>
      </w:r>
    </w:p>
    <w:p w14:paraId="41489436" w14:textId="77777777" w:rsidR="002638D8" w:rsidRPr="0003089D" w:rsidRDefault="002638D8" w:rsidP="002638D8">
      <w:pPr>
        <w:pStyle w:val="BodyText"/>
        <w:spacing w:after="0"/>
        <w:ind w:firstLine="720"/>
        <w:jc w:val="both"/>
      </w:pPr>
    </w:p>
    <w:p w14:paraId="12E19186" w14:textId="1D768CC7" w:rsidR="00433320" w:rsidRDefault="00D36A5C" w:rsidP="007656AE">
      <w:pPr>
        <w:ind w:left="720" w:firstLine="720"/>
        <w:jc w:val="both"/>
        <w:outlineLvl w:val="3"/>
        <w:rPr>
          <w:b/>
          <w:bCs/>
          <w:iCs/>
          <w:szCs w:val="28"/>
        </w:rPr>
      </w:pPr>
      <w:r w:rsidRPr="00433320">
        <w:rPr>
          <w:b/>
          <w:bCs/>
          <w:iCs/>
          <w:szCs w:val="28"/>
        </w:rPr>
        <w:t xml:space="preserve">Project No. 4 &amp; 5 </w:t>
      </w:r>
      <w:r w:rsidRPr="00433320">
        <w:rPr>
          <w:b/>
          <w:bCs/>
          <w:iCs/>
          <w:szCs w:val="28"/>
        </w:rPr>
        <w:softHyphen/>
        <w:t>– Hydro Tanks #6 and #10</w:t>
      </w:r>
    </w:p>
    <w:p w14:paraId="68036B35" w14:textId="77777777" w:rsidR="007656AE" w:rsidRPr="00433320" w:rsidRDefault="007656AE" w:rsidP="007656AE">
      <w:pPr>
        <w:ind w:left="720" w:firstLine="720"/>
        <w:jc w:val="both"/>
        <w:outlineLvl w:val="3"/>
        <w:rPr>
          <w:b/>
          <w:bCs/>
          <w:iCs/>
          <w:szCs w:val="28"/>
        </w:rPr>
      </w:pPr>
    </w:p>
    <w:p w14:paraId="5337D08C" w14:textId="77777777" w:rsidR="0010509F" w:rsidRDefault="0010509F" w:rsidP="0010509F">
      <w:pPr>
        <w:pStyle w:val="BodyText"/>
        <w:spacing w:after="0"/>
        <w:ind w:firstLine="720"/>
        <w:jc w:val="both"/>
      </w:pPr>
      <w:r w:rsidRPr="0003089D">
        <w:rPr>
          <w:rFonts w:eastAsiaTheme="minorHAnsi"/>
          <w:szCs w:val="22"/>
        </w:rPr>
        <w:t>Project Nos. 4 and 5</w:t>
      </w:r>
      <w:r w:rsidRPr="0003089D">
        <w:t xml:space="preserve"> are related to Grenelefe’s hydro tanks. The DEP requires hydro tanks to be inspected every five years. In response to our staff’s fifth data request, the </w:t>
      </w:r>
      <w:r>
        <w:t xml:space="preserve">Utility provided the </w:t>
      </w:r>
      <w:r w:rsidRPr="0003089D">
        <w:t>inspection report for tank #10, dated March 27, 2025. Tank #10 passed its inspection but needed minor repairs and repaint</w:t>
      </w:r>
      <w:r>
        <w:t>ing</w:t>
      </w:r>
      <w:r w:rsidRPr="0003089D">
        <w:t>. Initially, the Utility stated that tank #6 failed its inspection and needed to be replaced.</w:t>
      </w:r>
      <w:r w:rsidRPr="0003089D">
        <w:rPr>
          <w:rStyle w:val="FootnoteReference"/>
        </w:rPr>
        <w:footnoteReference w:id="30"/>
      </w:r>
      <w:r w:rsidRPr="0003089D">
        <w:t xml:space="preserve"> However, we found the inspection report for Tank #6 in Oculus, DEP’s electronic document management system, dated September 5, 2025, which indicated that Tank #6 passed its inspections, but also needed repairs and to be repaint</w:t>
      </w:r>
      <w:r>
        <w:t>ing</w:t>
      </w:r>
      <w:r w:rsidRPr="0003089D">
        <w:t xml:space="preserve">. Three bids were provided that included both hydro tanks. The Utility has not yet started this project and therefore, has not yet selected a vendor. We approve the necessary repairs and repainting of tanks #6 and #10 due to the inspection </w:t>
      </w:r>
      <w:r>
        <w:t>reports and</w:t>
      </w:r>
      <w:r w:rsidRPr="0003089D">
        <w:t xml:space="preserve"> requirement</w:t>
      </w:r>
      <w:r>
        <w:t>s</w:t>
      </w:r>
      <w:r w:rsidRPr="0003089D">
        <w:t xml:space="preserve"> from DEP. Further, we </w:t>
      </w:r>
      <w:r>
        <w:t>approve</w:t>
      </w:r>
      <w:r w:rsidRPr="0003089D">
        <w:t xml:space="preserve"> the lowest bid of $66,786 for each hydro tank ($133,572 total). The estimated in-service date is October 31, 2026.</w:t>
      </w:r>
    </w:p>
    <w:p w14:paraId="6170E78F" w14:textId="77777777" w:rsidR="00433320" w:rsidRPr="0003089D" w:rsidRDefault="00433320" w:rsidP="00433320">
      <w:pPr>
        <w:pStyle w:val="BodyText"/>
        <w:spacing w:after="0"/>
        <w:ind w:firstLine="720"/>
        <w:jc w:val="both"/>
      </w:pPr>
    </w:p>
    <w:p w14:paraId="43704213" w14:textId="77777777" w:rsidR="00D36A5C" w:rsidRPr="00433320" w:rsidRDefault="00D36A5C" w:rsidP="00433320">
      <w:pPr>
        <w:ind w:left="720" w:firstLine="720"/>
        <w:jc w:val="both"/>
        <w:outlineLvl w:val="3"/>
        <w:rPr>
          <w:b/>
          <w:bCs/>
          <w:iCs/>
          <w:szCs w:val="28"/>
        </w:rPr>
      </w:pPr>
      <w:r w:rsidRPr="00433320">
        <w:rPr>
          <w:b/>
          <w:bCs/>
          <w:iCs/>
          <w:szCs w:val="28"/>
        </w:rPr>
        <w:t>Project No. 6 &amp; 7 – Potable Wells #6 and #10</w:t>
      </w:r>
    </w:p>
    <w:p w14:paraId="44A3A6AC" w14:textId="77777777" w:rsidR="00433320" w:rsidRPr="0003089D" w:rsidRDefault="00433320" w:rsidP="006D1A91">
      <w:pPr>
        <w:ind w:left="720"/>
        <w:jc w:val="both"/>
        <w:outlineLvl w:val="3"/>
        <w:rPr>
          <w:b/>
          <w:bCs/>
          <w:i/>
          <w:iCs/>
          <w:szCs w:val="28"/>
        </w:rPr>
      </w:pPr>
    </w:p>
    <w:p w14:paraId="343094CC" w14:textId="77777777" w:rsidR="0010509F" w:rsidRDefault="0010509F" w:rsidP="0010509F">
      <w:pPr>
        <w:pStyle w:val="BodyText"/>
        <w:spacing w:after="0"/>
        <w:ind w:firstLine="720"/>
        <w:jc w:val="both"/>
      </w:pPr>
      <w:r w:rsidRPr="0003089D">
        <w:rPr>
          <w:rFonts w:eastAsiaTheme="minorHAnsi"/>
          <w:szCs w:val="22"/>
        </w:rPr>
        <w:t>Project Nos. 6 and 7</w:t>
      </w:r>
      <w:r w:rsidRPr="0003089D">
        <w:t xml:space="preserve"> are the refurbishment of potable wells #6 and #10. The Utility is requesting cost recovery for these refurbishments, which include the installation of new pumps, motors, and control panels. As part of this project, Grenelefe also proposed adding Supervisory Control and Data Acquisition (SCADA) monitoring systems to minimize water outages, as well as new output meters to accurately measure flows. Grenelefe determined that both wells are past their useful service lives. As explained in Section 1, there are several customer complaints and comments regarding service interruptions. The installation of SCADA at these wells can help reduce the duration of the interruptions. Three bids were provided for each well. The Utility has not yet started this project and therefore, has not yet selected a vendor. We agree with the Utility that these projects should minimize water outages and, in turn, reduce the duration of interruptions. Therefore, these projects appear to be a reasonable request from the Utility</w:t>
      </w:r>
      <w:r>
        <w:t>. We approve</w:t>
      </w:r>
      <w:r w:rsidRPr="0003089D">
        <w:t xml:space="preserve"> the lowest bid of $121,000 for each well refurbishment and the addition of SCADA ($242,000 total). The estimated in-service date is October 31, 2026.</w:t>
      </w:r>
    </w:p>
    <w:p w14:paraId="79CECAF0" w14:textId="63151AEF" w:rsidR="002638D8" w:rsidRPr="0003089D" w:rsidRDefault="002638D8" w:rsidP="00D17047">
      <w:pPr>
        <w:pStyle w:val="BodyText"/>
        <w:spacing w:after="0"/>
        <w:jc w:val="both"/>
      </w:pPr>
    </w:p>
    <w:p w14:paraId="49C8AAE3" w14:textId="77777777" w:rsidR="00D36A5C" w:rsidRPr="00433320" w:rsidRDefault="00D36A5C" w:rsidP="00433320">
      <w:pPr>
        <w:pStyle w:val="Second-LevelSubheading"/>
        <w:ind w:firstLine="720"/>
        <w:rPr>
          <w:rFonts w:ascii="Times New Roman" w:hAnsi="Times New Roman" w:cs="Times New Roman"/>
          <w:i w:val="0"/>
        </w:rPr>
      </w:pPr>
      <w:r w:rsidRPr="00433320">
        <w:rPr>
          <w:rFonts w:ascii="Times New Roman" w:hAnsi="Times New Roman" w:cs="Times New Roman"/>
          <w:i w:val="0"/>
        </w:rPr>
        <w:lastRenderedPageBreak/>
        <w:t>Project No. 8 – Irrigation/Non-potable Wells (Withdrawn)</w:t>
      </w:r>
    </w:p>
    <w:p w14:paraId="3250A2ED" w14:textId="77777777" w:rsidR="00433320" w:rsidRPr="00433320" w:rsidRDefault="00433320" w:rsidP="00433320">
      <w:pPr>
        <w:pStyle w:val="BodyText"/>
        <w:spacing w:after="0"/>
        <w:rPr>
          <w:b/>
        </w:rPr>
      </w:pPr>
    </w:p>
    <w:p w14:paraId="5A873D7B" w14:textId="3980039C" w:rsidR="00D36A5C" w:rsidRDefault="00D36A5C" w:rsidP="002638D8">
      <w:pPr>
        <w:pStyle w:val="BodyText"/>
        <w:spacing w:after="0"/>
        <w:ind w:firstLine="720"/>
        <w:jc w:val="both"/>
      </w:pPr>
      <w:r w:rsidRPr="0003089D">
        <w:t>Project No. 8 was the proposed upgrade of eight non-potable wells to potable wells. In its response to</w:t>
      </w:r>
      <w:r w:rsidR="00B2057D" w:rsidRPr="0003089D">
        <w:t xml:space="preserve"> our</w:t>
      </w:r>
      <w:r w:rsidRPr="0003089D">
        <w:t xml:space="preserve"> staff’s fourth data request, Grenelefe stated it was no longer pursuing this project.</w:t>
      </w:r>
      <w:r w:rsidRPr="0003089D">
        <w:rPr>
          <w:rStyle w:val="FootnoteReference"/>
        </w:rPr>
        <w:footnoteReference w:id="31"/>
      </w:r>
    </w:p>
    <w:p w14:paraId="7F173C01" w14:textId="77777777" w:rsidR="002638D8" w:rsidRPr="0003089D" w:rsidRDefault="002638D8" w:rsidP="002638D8">
      <w:pPr>
        <w:pStyle w:val="BodyText"/>
        <w:spacing w:after="0"/>
        <w:ind w:firstLine="720"/>
        <w:jc w:val="both"/>
      </w:pPr>
    </w:p>
    <w:p w14:paraId="114E7A4B" w14:textId="1ACC2E31" w:rsidR="00D36A5C" w:rsidRDefault="00D36A5C" w:rsidP="00433320">
      <w:pPr>
        <w:ind w:left="720" w:firstLine="720"/>
        <w:jc w:val="both"/>
        <w:outlineLvl w:val="3"/>
        <w:rPr>
          <w:b/>
          <w:bCs/>
          <w:iCs/>
          <w:szCs w:val="28"/>
        </w:rPr>
      </w:pPr>
      <w:r w:rsidRPr="00433320">
        <w:rPr>
          <w:b/>
          <w:bCs/>
          <w:iCs/>
          <w:szCs w:val="28"/>
        </w:rPr>
        <w:t>Project No. 9 – Valve Replacements</w:t>
      </w:r>
    </w:p>
    <w:p w14:paraId="2614C480" w14:textId="77777777" w:rsidR="007656AE" w:rsidRPr="0003089D" w:rsidRDefault="007656AE" w:rsidP="00433320">
      <w:pPr>
        <w:ind w:left="720" w:firstLine="720"/>
        <w:jc w:val="both"/>
        <w:outlineLvl w:val="3"/>
        <w:rPr>
          <w:b/>
          <w:bCs/>
          <w:i/>
          <w:iCs/>
          <w:szCs w:val="28"/>
        </w:rPr>
      </w:pPr>
    </w:p>
    <w:p w14:paraId="6EBEEDDA" w14:textId="0CBD2211" w:rsidR="0010509F" w:rsidRDefault="0010509F" w:rsidP="002638D8">
      <w:pPr>
        <w:pStyle w:val="BodyText"/>
        <w:spacing w:after="0"/>
        <w:ind w:firstLine="720"/>
        <w:jc w:val="both"/>
      </w:pPr>
      <w:r w:rsidRPr="0003089D">
        <w:rPr>
          <w:rFonts w:eastAsiaTheme="minorHAnsi"/>
          <w:szCs w:val="22"/>
        </w:rPr>
        <w:t>Project No. 9</w:t>
      </w:r>
      <w:r w:rsidRPr="0003089D">
        <w:t xml:space="preserve"> is the replacement of 20 valves throughout Grenelefe’s water distribution system. The Utility stated that the DEP office that works with the Polk County Health Department had received multiple customer complaints for excessive issuances of BWNs. The Utility stated that they are unable to isolate sections of the water system, when necessary, due to most water distribution valves being inoperable. The Utility originally requested to replace 100 valves over ten years</w:t>
      </w:r>
      <w:r>
        <w:t>. T</w:t>
      </w:r>
      <w:r w:rsidRPr="0003089D">
        <w:t>he three bids provided</w:t>
      </w:r>
      <w:r>
        <w:t xml:space="preserve"> by the Utility</w:t>
      </w:r>
      <w:r w:rsidRPr="0003089D">
        <w:t xml:space="preserve"> indicated </w:t>
      </w:r>
      <w:r>
        <w:t xml:space="preserve">only </w:t>
      </w:r>
      <w:r w:rsidRPr="0003089D">
        <w:t xml:space="preserve">10 valves per bid. </w:t>
      </w:r>
    </w:p>
    <w:p w14:paraId="4ED09455" w14:textId="77777777" w:rsidR="002638D8" w:rsidRPr="0003089D" w:rsidRDefault="002638D8" w:rsidP="002638D8">
      <w:pPr>
        <w:pStyle w:val="BodyText"/>
        <w:spacing w:after="0"/>
        <w:ind w:firstLine="720"/>
        <w:jc w:val="both"/>
      </w:pPr>
    </w:p>
    <w:p w14:paraId="07A3139A" w14:textId="3F1815EF" w:rsidR="00EF78D6" w:rsidRDefault="00EF78D6" w:rsidP="002638D8">
      <w:pPr>
        <w:pStyle w:val="BodyText"/>
        <w:spacing w:after="0"/>
        <w:ind w:firstLine="720"/>
        <w:jc w:val="both"/>
      </w:pPr>
      <w:r w:rsidRPr="0003089D">
        <w:t>We</w:t>
      </w:r>
      <w:r>
        <w:t xml:space="preserve"> agree</w:t>
      </w:r>
      <w:r w:rsidRPr="0003089D">
        <w:t xml:space="preserve"> this project is needed so that service interruptions may be isolated and thereby lessen the number of customers that may be impacted by an outage. However, pursuant to Section 367.081(a)(2), F.S., there is a 24-month deadline from the end of the test year for completing pro forma projects, unless a longer period is approved by us. </w:t>
      </w:r>
      <w:r>
        <w:t>W</w:t>
      </w:r>
      <w:r w:rsidRPr="0003089D">
        <w:t>e</w:t>
      </w:r>
      <w:r>
        <w:t xml:space="preserve"> do</w:t>
      </w:r>
      <w:r w:rsidRPr="0003089D">
        <w:t xml:space="preserve"> not find the Utility’s request to replace 100 valves over a ten-year period </w:t>
      </w:r>
      <w:r>
        <w:t>– six years longer than the rule provide – to be</w:t>
      </w:r>
      <w:r w:rsidRPr="0003089D">
        <w:t xml:space="preserve"> appropriate.</w:t>
      </w:r>
      <w:r w:rsidR="00D36A5C" w:rsidRPr="0003089D">
        <w:t xml:space="preserve"> </w:t>
      </w:r>
    </w:p>
    <w:p w14:paraId="1A0E5AF4" w14:textId="77777777" w:rsidR="002638D8" w:rsidRDefault="002638D8" w:rsidP="002638D8">
      <w:pPr>
        <w:pStyle w:val="BodyText"/>
        <w:spacing w:after="0"/>
        <w:ind w:firstLine="720"/>
        <w:jc w:val="both"/>
      </w:pPr>
    </w:p>
    <w:p w14:paraId="39493ECE" w14:textId="4A5185F3" w:rsidR="00EF78D6" w:rsidRDefault="00EF78D6" w:rsidP="00EF78D6">
      <w:pPr>
        <w:pStyle w:val="BodyText"/>
        <w:spacing w:after="0"/>
        <w:ind w:firstLine="720"/>
        <w:jc w:val="both"/>
      </w:pPr>
      <w:r w:rsidRPr="0003089D">
        <w:t>Grenelefe indicated that it has replaced four valves between November 1, 2024, and October 31, 2025.</w:t>
      </w:r>
      <w:r w:rsidRPr="0003089D">
        <w:rPr>
          <w:rStyle w:val="FootnoteReference"/>
        </w:rPr>
        <w:footnoteReference w:id="32"/>
      </w:r>
      <w:r w:rsidRPr="0003089D">
        <w:t xml:space="preserve"> In its seventh data request, our staff requested copies of the paid invoices for th</w:t>
      </w:r>
      <w:r>
        <w:t>es</w:t>
      </w:r>
      <w:r w:rsidRPr="0003089D">
        <w:t>e four valves</w:t>
      </w:r>
      <w:r>
        <w:t>.</w:t>
      </w:r>
      <w:r w:rsidR="00F336F7">
        <w:t xml:space="preserve"> </w:t>
      </w:r>
      <w:r>
        <w:t>T</w:t>
      </w:r>
      <w:r w:rsidRPr="0003089D">
        <w:t>he Utility provided a signed service contract with U.S. Water Services for one valve dated October 11, 2022, and another invoice for three valves dated January 27, 2025.</w:t>
      </w:r>
      <w:r w:rsidRPr="0003089D">
        <w:rPr>
          <w:rStyle w:val="FootnoteReference"/>
        </w:rPr>
        <w:footnoteReference w:id="33"/>
      </w:r>
      <w:r w:rsidRPr="0003089D">
        <w:t xml:space="preserve"> However, we did not rely on these invoices for our findings for the cost of the valves since the October 2022 invoice did not match the current estimates for the valves, and the three invoices from 2025 appear to only represent partial costs for materials. </w:t>
      </w:r>
      <w:r>
        <w:t>Instead, we rely on</w:t>
      </w:r>
      <w:r w:rsidRPr="0003089D">
        <w:t xml:space="preserve"> the lowest bid received by the Utility for new 6 inch water valves, </w:t>
      </w:r>
      <w:r>
        <w:t>and approve</w:t>
      </w:r>
      <w:r w:rsidRPr="0003089D">
        <w:t xml:space="preserve"> cost recovery for an additional 16 valves, for a total of 20 valves, which will be replaced within the 24 months following the test year, for a total cost of $363,200. The estimated in-service date is October 31, 2026.</w:t>
      </w:r>
    </w:p>
    <w:p w14:paraId="50B8CAF1" w14:textId="77777777" w:rsidR="00433320" w:rsidRPr="0003089D" w:rsidRDefault="00433320" w:rsidP="00433320">
      <w:pPr>
        <w:pStyle w:val="BodyText"/>
        <w:spacing w:after="0"/>
        <w:ind w:firstLine="720"/>
        <w:jc w:val="both"/>
      </w:pPr>
    </w:p>
    <w:p w14:paraId="5C4E5544" w14:textId="77777777" w:rsidR="00D36A5C" w:rsidRPr="00433320" w:rsidRDefault="00D36A5C" w:rsidP="00433320">
      <w:pPr>
        <w:ind w:left="720" w:firstLine="720"/>
        <w:jc w:val="both"/>
        <w:outlineLvl w:val="3"/>
        <w:rPr>
          <w:b/>
          <w:bCs/>
          <w:iCs/>
          <w:szCs w:val="28"/>
        </w:rPr>
      </w:pPr>
      <w:r w:rsidRPr="00433320">
        <w:rPr>
          <w:b/>
          <w:bCs/>
          <w:iCs/>
          <w:szCs w:val="28"/>
        </w:rPr>
        <w:t>Project No. 10 – Wastewater Treatment Plant Modifications</w:t>
      </w:r>
    </w:p>
    <w:p w14:paraId="442A0A1D" w14:textId="77777777" w:rsidR="00433320" w:rsidRDefault="00433320" w:rsidP="00433320">
      <w:pPr>
        <w:ind w:left="720" w:firstLine="720"/>
        <w:jc w:val="both"/>
        <w:outlineLvl w:val="3"/>
        <w:rPr>
          <w:b/>
          <w:bCs/>
          <w:i/>
          <w:iCs/>
          <w:szCs w:val="28"/>
        </w:rPr>
      </w:pPr>
    </w:p>
    <w:p w14:paraId="1B9D6BA9" w14:textId="4689C16D" w:rsidR="00192434" w:rsidRDefault="00192434" w:rsidP="002638D8">
      <w:pPr>
        <w:pStyle w:val="BodyText"/>
        <w:spacing w:after="0"/>
        <w:ind w:firstLine="720"/>
        <w:jc w:val="both"/>
      </w:pPr>
      <w:r w:rsidRPr="0003089D">
        <w:rPr>
          <w:rFonts w:eastAsiaTheme="minorHAnsi"/>
          <w:szCs w:val="22"/>
        </w:rPr>
        <w:t>Project No. 10</w:t>
      </w:r>
      <w:r w:rsidRPr="0003089D">
        <w:t xml:space="preserve"> is the proposed modifications to Grenelefe’s WWTP. Grenelefe falls within the boundaries of the Lake Okeechobee BMAP. Section 403.067, F.S., </w:t>
      </w:r>
      <w:r>
        <w:t>and its implementing rules set forth the regulatory</w:t>
      </w:r>
      <w:r w:rsidRPr="0003089D">
        <w:t xml:space="preserve"> framework for BMAPs, </w:t>
      </w:r>
      <w:r>
        <w:t xml:space="preserve">which was </w:t>
      </w:r>
      <w:r w:rsidRPr="0003089D">
        <w:t xml:space="preserve">developed by the DEP to manage and improve water quality in specific </w:t>
      </w:r>
      <w:r>
        <w:t>basin</w:t>
      </w:r>
      <w:r w:rsidRPr="0003089D">
        <w:t>s.</w:t>
      </w:r>
      <w:r>
        <w:t xml:space="preserve"> BMAP requirements are incorporated into relevant permits issued within an identified basin.</w:t>
      </w:r>
      <w:r w:rsidRPr="0003089D">
        <w:t xml:space="preserve"> In response to our staff’s first data request, Grenelefe provided its DEP permit </w:t>
      </w:r>
      <w:r>
        <w:t xml:space="preserve">for the WWTP </w:t>
      </w:r>
      <w:r w:rsidRPr="0003089D">
        <w:t xml:space="preserve">as well as the AO, which is discussed below. The AO requires Grenelefe’s WWTP to meet a 10 mg/1 total nitrogen limit and </w:t>
      </w:r>
      <w:r w:rsidRPr="0003089D">
        <w:lastRenderedPageBreak/>
        <w:t>a 6 mg/1 total phosphorus limit based on the permitted capacity of the WWTP</w:t>
      </w:r>
      <w:r>
        <w:t xml:space="preserve"> in order to be in compliance with the BMAP.</w:t>
      </w:r>
    </w:p>
    <w:p w14:paraId="2DCE4E3D" w14:textId="77777777" w:rsidR="002638D8" w:rsidRPr="0003089D" w:rsidRDefault="002638D8" w:rsidP="002638D8">
      <w:pPr>
        <w:pStyle w:val="BodyText"/>
        <w:spacing w:after="0"/>
        <w:ind w:firstLine="720"/>
        <w:jc w:val="both"/>
      </w:pPr>
    </w:p>
    <w:p w14:paraId="0137EE6B" w14:textId="3C3ED883" w:rsidR="00192434" w:rsidRDefault="00192434" w:rsidP="002638D8">
      <w:pPr>
        <w:pStyle w:val="BodyText"/>
        <w:spacing w:after="0"/>
        <w:ind w:firstLine="720"/>
        <w:jc w:val="both"/>
      </w:pPr>
      <w:r w:rsidRPr="0003089D">
        <w:t>The Utility is requesting cost recovery for two phases</w:t>
      </w:r>
      <w:r>
        <w:t xml:space="preserve"> of WWTP modifications</w:t>
      </w:r>
      <w:r w:rsidRPr="0003089D">
        <w:t xml:space="preserve">. The first phase would be to update the existing tankage for flow equalization as well as </w:t>
      </w:r>
      <w:r>
        <w:t xml:space="preserve">to </w:t>
      </w:r>
      <w:r w:rsidRPr="0003089D">
        <w:t>improve the plant’s headwork structures. The headwork structure improvements would include clearing and emptying the existing tankage, cleaning tank interior walls, necessary external tank repair and recoating, new air supply and distribution, new surge pumps, new controls, and a new flow regulator box. The first phase has an estimated cost of $1,840,281. The second phase is to provide an effluent that meets the BMAP requirements, with a 0.495 MGD permitted plant capacity. Grenelefe plans to accomplish this by constructing three sequencing batch reactor (SBR) chambers, installing SBR equipment, and converting the existing filter clearwell to a chlorine contact tank. The second phase has an estimated cost of $10,741,174. There are additional estimated costs of $877,737 for the construction of a rapid infiltration basin, as well as $2,888,062 for bonds, contingencies, and engineering costs. The Utility’s total estimated cost to modify the WWTP is $16,374,254.</w:t>
      </w:r>
    </w:p>
    <w:p w14:paraId="5204DB9A" w14:textId="77777777" w:rsidR="002638D8" w:rsidRDefault="002638D8" w:rsidP="002638D8">
      <w:pPr>
        <w:pStyle w:val="BodyText"/>
        <w:spacing w:after="0"/>
        <w:ind w:firstLine="720"/>
        <w:jc w:val="both"/>
      </w:pPr>
    </w:p>
    <w:p w14:paraId="59C21EF0" w14:textId="346C50D0" w:rsidR="00192434" w:rsidRDefault="00192434" w:rsidP="002638D8">
      <w:pPr>
        <w:ind w:firstLine="720"/>
        <w:jc w:val="both"/>
      </w:pPr>
      <w:r w:rsidRPr="0003089D">
        <w:t>In its SARC Application, the Utility stated that this project’s proposed modifications would allow the WWTP to meet the BMAP nutrient reduction requirements, as well as bring the permitted capacity of the plant up to at least 0.495 MGD of the 0.680 MGD design capacity. In response to our staff’s fourth data request, Grenelefe stated that the Utility owner requested the treatment plant be developed to meet these two objectives in order to comply with the DEP BMAP nutrient reduction requirements and to ensure plant capacity was available to meet the demand created by the expected new housing development, and other redevelopment in the area, over the next five years. In response to our staff’s fifth data request, the Utility explained that Grenelefe is not being required directly by the DEP to increase the permitted capacity of the wastewater treatment facilities.</w:t>
      </w:r>
      <w:r w:rsidRPr="0003089D">
        <w:rPr>
          <w:rStyle w:val="FootnoteReference"/>
        </w:rPr>
        <w:footnoteReference w:id="34"/>
      </w:r>
      <w:r w:rsidRPr="0003089D">
        <w:t xml:space="preserve"> </w:t>
      </w:r>
    </w:p>
    <w:p w14:paraId="3A651720" w14:textId="77777777" w:rsidR="002638D8" w:rsidRDefault="002638D8" w:rsidP="002638D8">
      <w:pPr>
        <w:ind w:firstLine="720"/>
        <w:jc w:val="both"/>
      </w:pPr>
    </w:p>
    <w:p w14:paraId="71C0D785" w14:textId="70CE79F4" w:rsidR="00192434" w:rsidRDefault="00192434" w:rsidP="002638D8">
      <w:pPr>
        <w:ind w:firstLine="720"/>
        <w:jc w:val="both"/>
      </w:pPr>
      <w:r>
        <w:t>Our staff</w:t>
      </w:r>
      <w:r w:rsidRPr="0003089D">
        <w:t xml:space="preserve"> requested additional bids in its first, second, and fourth data requests. The Utility provided one bid with three alternative cost options, which consisted of projects that differed slightly in nature and ranged from $9,345,039 to $13,908,210. In a supplemental response to our staff’s fifth data request, on November 12, 2025, the Utility provided us with a cost breakdown. The cost breakdown </w:t>
      </w:r>
      <w:r>
        <w:t>included</w:t>
      </w:r>
      <w:r w:rsidRPr="0003089D">
        <w:t xml:space="preserve"> a report that does not reflect finalized costs for this project and is marked as “Draft.” The Utility stated it was never completed because the management, in conjunction with the consulting engineer, decided to move directly to the SBR design with concrete tankage. No additional information was provided as to why the report was not finalized, and Grenelefe did not provide any additional bids for this project.</w:t>
      </w:r>
    </w:p>
    <w:p w14:paraId="3C298B03" w14:textId="77777777" w:rsidR="002638D8" w:rsidRPr="0003089D" w:rsidRDefault="002638D8" w:rsidP="002638D8">
      <w:pPr>
        <w:ind w:firstLine="720"/>
        <w:jc w:val="both"/>
      </w:pPr>
    </w:p>
    <w:p w14:paraId="5D2DB196" w14:textId="1C03A158" w:rsidR="00192434" w:rsidRDefault="00192434" w:rsidP="002638D8">
      <w:pPr>
        <w:pStyle w:val="BodyText"/>
        <w:spacing w:after="0"/>
        <w:ind w:firstLine="720"/>
        <w:jc w:val="both"/>
      </w:pPr>
      <w:r w:rsidRPr="0003089D">
        <w:t xml:space="preserve">In response to our staff’s fourth data request, which requested additional details on this project, Grenelefe stated that our staff should discuss this project with Grenelefe’s engineer. On October 9, 2025, our staff held an informal meeting with Grenelefe’s engineer, at which time our staff was informed that the expected completion date of the WWTP would be in 2027, as the Utility was just starting the bidding process. Additionally, in response to our staff’s fifth data </w:t>
      </w:r>
      <w:r w:rsidRPr="0003089D">
        <w:lastRenderedPageBreak/>
        <w:t xml:space="preserve">request, Grenelefe stated that funding could not be secured for this project until final rates and charges are in place. However, all pro forma projects must be completed within 24 months of the end of the test year, unless we approve a longer time period. </w:t>
      </w:r>
    </w:p>
    <w:p w14:paraId="52516C35" w14:textId="77777777" w:rsidR="002638D8" w:rsidRPr="0003089D" w:rsidRDefault="002638D8" w:rsidP="002638D8">
      <w:pPr>
        <w:pStyle w:val="BodyText"/>
        <w:spacing w:after="0"/>
        <w:ind w:firstLine="720"/>
        <w:jc w:val="both"/>
      </w:pPr>
    </w:p>
    <w:p w14:paraId="49A32F67" w14:textId="66453685" w:rsidR="00310946" w:rsidRDefault="00192434" w:rsidP="00192434">
      <w:pPr>
        <w:pStyle w:val="BodyText"/>
        <w:spacing w:after="0"/>
        <w:ind w:firstLine="720"/>
        <w:jc w:val="both"/>
      </w:pPr>
      <w:r w:rsidRPr="0003089D">
        <w:t xml:space="preserve">We recognize that the Utility </w:t>
      </w:r>
      <w:r>
        <w:t>must</w:t>
      </w:r>
      <w:r w:rsidRPr="0003089D">
        <w:t xml:space="preserve"> meet </w:t>
      </w:r>
      <w:r>
        <w:t>applicable</w:t>
      </w:r>
      <w:r w:rsidRPr="0003089D">
        <w:t xml:space="preserve"> BMAP guidelines and </w:t>
      </w:r>
      <w:r>
        <w:t xml:space="preserve">that </w:t>
      </w:r>
      <w:r w:rsidRPr="0003089D">
        <w:t xml:space="preserve">the DEP has </w:t>
      </w:r>
      <w:r>
        <w:t>established deadlines</w:t>
      </w:r>
      <w:r w:rsidRPr="0003089D">
        <w:t xml:space="preserve"> for compliance. Despite these requirements, Grenelefe is currently only in the initial bidding phase of this project, total project cost is still uncertain, and the Utility’s estimated completion date for the project is beyond the statutory 24-month timeframe. Based on these facts, we are not approving this project for cost recovery at this time. We recognize the DEP requirements set forth in the AO</w:t>
      </w:r>
      <w:r>
        <w:t xml:space="preserve"> and the statutory BMAP requirements.</w:t>
      </w:r>
      <w:r w:rsidRPr="0003089D" w:rsidDel="000828BC">
        <w:t xml:space="preserve"> </w:t>
      </w:r>
    </w:p>
    <w:p w14:paraId="08498BEC" w14:textId="77777777" w:rsidR="00310946" w:rsidRDefault="00310946" w:rsidP="00192434">
      <w:pPr>
        <w:pStyle w:val="BodyText"/>
        <w:spacing w:after="0"/>
        <w:ind w:firstLine="720"/>
        <w:jc w:val="both"/>
      </w:pPr>
    </w:p>
    <w:p w14:paraId="54905E69" w14:textId="716A3C31" w:rsidR="00192434" w:rsidRPr="00310946" w:rsidRDefault="00310946" w:rsidP="00310946">
      <w:pPr>
        <w:ind w:firstLine="720"/>
        <w:jc w:val="both"/>
        <w:rPr>
          <w:color w:val="1F497D"/>
        </w:rPr>
      </w:pPr>
      <w:r w:rsidRPr="006C6831">
        <w:t>Based on the Utility’s responses to our staff’s data requests, it remains unclear what portion of th</w:t>
      </w:r>
      <w:r w:rsidR="00C41172">
        <w:t>e proposed WWTP modifications is</w:t>
      </w:r>
      <w:r w:rsidRPr="006C6831">
        <w:t xml:space="preserve"> necessary to achieve compliance with the DEP’s BMAP regulations. As stated above, DEP is not directly requiring the Utility to increase the permitted capacity of its WWTP; therefore, not all costs associated with the proposed project appear to be compliance-driven. Without a clear delineation of the specific improvements and corresponding costs required to meet the DEP’s BMAP regulations, </w:t>
      </w:r>
      <w:r w:rsidR="00A41E09">
        <w:t>we cannot approve</w:t>
      </w:r>
      <w:r w:rsidRPr="006C6831">
        <w:t xml:space="preserve"> the pro form</w:t>
      </w:r>
      <w:r w:rsidR="00A41E09">
        <w:t>a project at this time</w:t>
      </w:r>
      <w:r w:rsidRPr="006C6831">
        <w:t xml:space="preserve">. </w:t>
      </w:r>
      <w:r w:rsidR="00A41E09">
        <w:t>We cannot consider cost recovery for the project until</w:t>
      </w:r>
      <w:r w:rsidRPr="006C6831">
        <w:t xml:space="preserve"> the Utility provides a more detailed plan that clearly identifies the compliance-related project components and associated costs.</w:t>
      </w:r>
      <w:r>
        <w:t xml:space="preserve"> </w:t>
      </w:r>
      <w:r w:rsidR="00192434">
        <w:t xml:space="preserve">Our denial is without prejudice to </w:t>
      </w:r>
      <w:r w:rsidR="00192434" w:rsidRPr="0003089D">
        <w:t>Grenelefe fil</w:t>
      </w:r>
      <w:r w:rsidR="00192434">
        <w:t>ing</w:t>
      </w:r>
      <w:r w:rsidR="00192434" w:rsidRPr="0003089D">
        <w:t xml:space="preserve"> a request for cost recovery of this project </w:t>
      </w:r>
      <w:r w:rsidR="00192434">
        <w:t>at an appropriate time when</w:t>
      </w:r>
      <w:r w:rsidR="00192434" w:rsidRPr="0003089D">
        <w:t xml:space="preserve"> total project cost </w:t>
      </w:r>
      <w:r w:rsidR="00192434">
        <w:t>is known, t</w:t>
      </w:r>
      <w:r w:rsidR="00192434" w:rsidRPr="0003089D">
        <w:t xml:space="preserve">he in-service date </w:t>
      </w:r>
      <w:r w:rsidR="00192434">
        <w:t>is</w:t>
      </w:r>
      <w:r w:rsidR="00192434" w:rsidRPr="0003089D">
        <w:t xml:space="preserve"> established</w:t>
      </w:r>
      <w:r w:rsidR="00192434">
        <w:t>, and any material, related uncertainties are resolved</w:t>
      </w:r>
      <w:r w:rsidR="00192434" w:rsidRPr="0003089D">
        <w:t>.</w:t>
      </w:r>
    </w:p>
    <w:p w14:paraId="26E43A44" w14:textId="2C01D17D" w:rsidR="00192434" w:rsidRDefault="00192434" w:rsidP="00192434">
      <w:pPr>
        <w:pStyle w:val="BodyText"/>
        <w:spacing w:after="0"/>
        <w:ind w:firstLine="720"/>
        <w:jc w:val="both"/>
      </w:pPr>
    </w:p>
    <w:p w14:paraId="1E68C546" w14:textId="77777777" w:rsidR="00D36A5C" w:rsidRPr="00433320" w:rsidRDefault="00D36A5C" w:rsidP="00433320">
      <w:pPr>
        <w:ind w:left="720" w:firstLine="720"/>
        <w:jc w:val="both"/>
        <w:outlineLvl w:val="3"/>
        <w:rPr>
          <w:b/>
          <w:bCs/>
          <w:iCs/>
          <w:szCs w:val="28"/>
        </w:rPr>
      </w:pPr>
      <w:r w:rsidRPr="00433320">
        <w:rPr>
          <w:b/>
          <w:bCs/>
          <w:iCs/>
          <w:szCs w:val="28"/>
        </w:rPr>
        <w:t>Project Nos. 11, 12, 13, 14, &amp; 15 – Lift Stations Refurbishments</w:t>
      </w:r>
    </w:p>
    <w:p w14:paraId="3464C940" w14:textId="77777777" w:rsidR="00433320" w:rsidRPr="00433320" w:rsidRDefault="00433320" w:rsidP="006D1A91">
      <w:pPr>
        <w:ind w:left="720"/>
        <w:jc w:val="both"/>
        <w:outlineLvl w:val="3"/>
        <w:rPr>
          <w:b/>
          <w:bCs/>
          <w:iCs/>
          <w:szCs w:val="28"/>
        </w:rPr>
      </w:pPr>
    </w:p>
    <w:p w14:paraId="26092C80" w14:textId="77777777" w:rsidR="007656AE" w:rsidRDefault="007656AE" w:rsidP="007656AE">
      <w:pPr>
        <w:pStyle w:val="BodyText"/>
        <w:spacing w:after="0"/>
        <w:ind w:firstLine="720"/>
        <w:jc w:val="both"/>
      </w:pPr>
      <w:r w:rsidRPr="0003089D">
        <w:rPr>
          <w:rFonts w:eastAsiaTheme="minorHAnsi"/>
          <w:szCs w:val="22"/>
        </w:rPr>
        <w:t>Project Nos. 11 through 15</w:t>
      </w:r>
      <w:r w:rsidRPr="0003089D">
        <w:t xml:space="preserve"> are refurbishments for five lift stations. The Utility stated that all five of the lift stations have been neglected for years with old electrical panels that are improperly grounded. Grenelefe is requesting to refurbish the five lift stations with new panels, pumps, valves, check valves, and the installation of new wet well liners. While the Utility indicated it provided lift station reports to us, no additional documents were attached to that response or were otherwise provided.</w:t>
      </w:r>
      <w:r w:rsidRPr="0003089D">
        <w:rPr>
          <w:rStyle w:val="FootnoteReference"/>
        </w:rPr>
        <w:footnoteReference w:id="35"/>
      </w:r>
      <w:r w:rsidRPr="0003089D">
        <w:t xml:space="preserve"> Grenelefe has provided service since 1977.</w:t>
      </w:r>
      <w:r w:rsidRPr="0003089D">
        <w:rPr>
          <w:rStyle w:val="FootnoteReference"/>
        </w:rPr>
        <w:footnoteReference w:id="36"/>
      </w:r>
      <w:r w:rsidRPr="0003089D">
        <w:t xml:space="preserve"> The Utility system is over 40 years old, but we</w:t>
      </w:r>
      <w:r>
        <w:t xml:space="preserve"> do</w:t>
      </w:r>
      <w:r w:rsidRPr="0003089D">
        <w:t xml:space="preserve"> not know the age of each of the lift stations requested. We find these projects are needed and find approval due to the Utility’s aging system. Four bids were provided for each lift station. The Utility has not yet started this project and therefore, has not yet selected a vendor. As such, we</w:t>
      </w:r>
      <w:r>
        <w:t xml:space="preserve"> approve</w:t>
      </w:r>
      <w:r w:rsidRPr="0003089D">
        <w:t xml:space="preserve"> the lowest bids which are: $197,433 for Lift Station #1; $195,000 for Lift Station #2; $166,992 for Lift Station #3; $188,500 for Lift Station #4; and, $171,525 for Lift Station #5. The estimated in-service date for the five lift stations is October 31, 2026.</w:t>
      </w:r>
    </w:p>
    <w:p w14:paraId="47259D51" w14:textId="6DFA8B17" w:rsidR="00433320" w:rsidRDefault="00433320" w:rsidP="002638D8">
      <w:pPr>
        <w:pStyle w:val="BodyText"/>
        <w:spacing w:after="0"/>
        <w:ind w:firstLine="720"/>
        <w:jc w:val="both"/>
      </w:pPr>
    </w:p>
    <w:p w14:paraId="3FB6F12F" w14:textId="168C7F6F" w:rsidR="00310946" w:rsidRDefault="00310946" w:rsidP="002638D8">
      <w:pPr>
        <w:pStyle w:val="BodyText"/>
        <w:spacing w:after="0"/>
        <w:ind w:firstLine="720"/>
        <w:jc w:val="both"/>
      </w:pPr>
    </w:p>
    <w:p w14:paraId="27018E3B" w14:textId="77777777" w:rsidR="00310946" w:rsidRPr="0003089D" w:rsidRDefault="00310946" w:rsidP="002638D8">
      <w:pPr>
        <w:pStyle w:val="BodyText"/>
        <w:spacing w:after="0"/>
        <w:ind w:firstLine="720"/>
        <w:jc w:val="both"/>
      </w:pPr>
    </w:p>
    <w:p w14:paraId="0910F902" w14:textId="77777777" w:rsidR="00D36A5C" w:rsidRPr="00433320" w:rsidRDefault="00D36A5C" w:rsidP="00433320">
      <w:pPr>
        <w:ind w:left="720" w:firstLine="720"/>
        <w:jc w:val="both"/>
        <w:outlineLvl w:val="3"/>
        <w:rPr>
          <w:b/>
          <w:bCs/>
          <w:iCs/>
          <w:szCs w:val="28"/>
        </w:rPr>
      </w:pPr>
      <w:r w:rsidRPr="00433320">
        <w:rPr>
          <w:b/>
          <w:bCs/>
          <w:iCs/>
          <w:szCs w:val="28"/>
        </w:rPr>
        <w:lastRenderedPageBreak/>
        <w:t>Project Nos. 16, 17, &amp; 18 – Utility Trucks and Golf Carts</w:t>
      </w:r>
    </w:p>
    <w:p w14:paraId="6B2D6743" w14:textId="77777777" w:rsidR="00433320" w:rsidRPr="00433320" w:rsidRDefault="00433320" w:rsidP="006D1A91">
      <w:pPr>
        <w:ind w:left="720"/>
        <w:jc w:val="both"/>
        <w:outlineLvl w:val="3"/>
        <w:rPr>
          <w:b/>
          <w:bCs/>
          <w:iCs/>
          <w:szCs w:val="28"/>
        </w:rPr>
      </w:pPr>
    </w:p>
    <w:p w14:paraId="634790C6" w14:textId="4BFA6D91" w:rsidR="007656AE" w:rsidRDefault="007656AE" w:rsidP="002638D8">
      <w:pPr>
        <w:pStyle w:val="BodyText"/>
        <w:spacing w:after="0"/>
        <w:ind w:firstLine="720"/>
        <w:jc w:val="both"/>
      </w:pPr>
      <w:r w:rsidRPr="0003089D">
        <w:rPr>
          <w:rFonts w:eastAsiaTheme="minorHAnsi"/>
          <w:szCs w:val="22"/>
        </w:rPr>
        <w:t>Project Nos. 16, 17, and 18 are the Utility’s request for two new pickup trucks and three golf carts</w:t>
      </w:r>
      <w:r w:rsidRPr="0003089D">
        <w:t>. Grenelefe stated that the current Utility vehicles have outlived their useful service lives, with one being 21 years old and the other being 18 years old. Both were acquired from the previous Utility owner. For Project No. 16, Grenelefe is requesting a new Ford F-250 pickup truck, which the Utility says is needed to tow heavy equipment like mini excavators, backhoes, and tractors around the service territory. Project 17 is for a new Ford F-150 pickup truck, which the Utility says is needed to transport Utility personnel</w:t>
      </w:r>
      <w:r>
        <w:t>,</w:t>
      </w:r>
      <w:r w:rsidRPr="0003089D">
        <w:t xml:space="preserve"> along with the necessary tools to be able to do repairs in a timely manner</w:t>
      </w:r>
      <w:r>
        <w:t>,</w:t>
      </w:r>
      <w:r w:rsidRPr="0003089D">
        <w:t xml:space="preserve"> around the expansive service territory. Project No. 18 is the Utility’s request to purchase three new golf carts. Grenelefe stated that the current golf carts are past their useful service lives and are no longer operable. The Utility stated that it can no longer depend on the current golf carts for customer service calls and meter readings. </w:t>
      </w:r>
    </w:p>
    <w:p w14:paraId="614A23C6" w14:textId="77777777" w:rsidR="002638D8" w:rsidRPr="0003089D" w:rsidRDefault="002638D8" w:rsidP="002638D8">
      <w:pPr>
        <w:pStyle w:val="BodyText"/>
        <w:spacing w:after="0"/>
        <w:ind w:firstLine="720"/>
        <w:jc w:val="both"/>
      </w:pPr>
    </w:p>
    <w:p w14:paraId="4FD3E54C" w14:textId="31275E69" w:rsidR="007656AE" w:rsidRDefault="007656AE" w:rsidP="00FC5A81">
      <w:pPr>
        <w:pStyle w:val="BodyText"/>
        <w:spacing w:after="0"/>
        <w:ind w:firstLine="720"/>
        <w:jc w:val="both"/>
      </w:pPr>
      <w:r w:rsidRPr="0003089D">
        <w:t>We agr</w:t>
      </w:r>
      <w:r>
        <w:t>ee</w:t>
      </w:r>
      <w:r w:rsidRPr="0003089D">
        <w:t xml:space="preserve"> that Grenelefe’s vehicles are past their useful lives and need to be replaced. However, the Utility’s payroll includes</w:t>
      </w:r>
      <w:r w:rsidRPr="000C20E8">
        <w:t xml:space="preserve"> </w:t>
      </w:r>
      <w:r w:rsidRPr="0003089D">
        <w:t>only two employees, one being the owner of the Utility. All other operations for Grenelefe are contracted. Given th</w:t>
      </w:r>
      <w:r>
        <w:t>ese facts</w:t>
      </w:r>
      <w:r w:rsidRPr="0003089D">
        <w:t xml:space="preserve">, the need for two trucks and three golf carts </w:t>
      </w:r>
      <w:r>
        <w:t>is not</w:t>
      </w:r>
      <w:r w:rsidRPr="0003089D">
        <w:t xml:space="preserve"> reasonable. Additionally, as the radio read meters are placed into service (Project Nos. 1 and 2), the need for golf carts is lessened because meters will no longer be read manually. Therefore, we approve the Ford F-250 truck and one golf cart for the two payroll employees, which thereby eliminates project No. 17 (Ford F-150 Truck). The Utility provided two bids for the F-250 truck. Grenelefe stated that it did not provide a third bid, per our practice, because there is no point in giving us another bid when the price, in all probability, will be at least as high as the two bids already provided.</w:t>
      </w:r>
      <w:r w:rsidRPr="0003089D">
        <w:rPr>
          <w:rStyle w:val="FootnoteReference"/>
        </w:rPr>
        <w:footnoteReference w:id="37"/>
      </w:r>
      <w:r w:rsidRPr="0003089D">
        <w:t xml:space="preserve"> Grenelefe provided three bids for the golf carts</w:t>
      </w:r>
      <w:r>
        <w:t>. W</w:t>
      </w:r>
      <w:r w:rsidRPr="0003089D">
        <w:t>e approve the lowest bid for both the F-250 pickup truck and the golf cart. The total cost for the F-250 truck is $52,239 and the total cost for the golf cart is $8,549. The costs of the truck and golf cart will be split evenly between the water and wastewater systems, with an estimated in-service date of June 30, 2026.</w:t>
      </w:r>
    </w:p>
    <w:p w14:paraId="4E5DA9B3" w14:textId="77777777" w:rsidR="00FC5A81" w:rsidRPr="0003089D" w:rsidRDefault="00FC5A81" w:rsidP="00FC5A81">
      <w:pPr>
        <w:pStyle w:val="BodyText"/>
        <w:spacing w:after="0"/>
        <w:ind w:firstLine="720"/>
        <w:jc w:val="both"/>
      </w:pPr>
    </w:p>
    <w:p w14:paraId="160ADFE7" w14:textId="77777777" w:rsidR="00D36A5C" w:rsidRDefault="00D36A5C" w:rsidP="00433320">
      <w:pPr>
        <w:pStyle w:val="Second-LevelSubheading"/>
        <w:ind w:firstLine="720"/>
        <w:rPr>
          <w:rFonts w:ascii="Times New Roman" w:hAnsi="Times New Roman" w:cs="Times New Roman"/>
          <w:i w:val="0"/>
        </w:rPr>
      </w:pPr>
      <w:r w:rsidRPr="00433320">
        <w:rPr>
          <w:rFonts w:ascii="Times New Roman" w:hAnsi="Times New Roman" w:cs="Times New Roman"/>
          <w:i w:val="0"/>
        </w:rPr>
        <w:t>Capped Retirement</w:t>
      </w:r>
    </w:p>
    <w:p w14:paraId="3A3C6F85" w14:textId="77777777" w:rsidR="00433320" w:rsidRPr="00433320" w:rsidRDefault="00433320" w:rsidP="00433320">
      <w:pPr>
        <w:pStyle w:val="BodyText"/>
        <w:spacing w:after="0"/>
      </w:pPr>
    </w:p>
    <w:p w14:paraId="5C1A31A6" w14:textId="06996202" w:rsidR="005E2ECC" w:rsidRDefault="005E2ECC" w:rsidP="002638D8">
      <w:pPr>
        <w:pStyle w:val="BodyText"/>
        <w:spacing w:after="0"/>
        <w:ind w:firstLine="720"/>
        <w:jc w:val="both"/>
      </w:pPr>
      <w:r w:rsidRPr="0003089D">
        <w:t xml:space="preserve">In general, it is our practice to use the 75 percent of pro forma addition methodology to estimate the retirement amount of assets being replaced when the original cost is unknown. In this case, for certain accounts, application of the 75 percent retirement methodology results in an overall negative plant balance. Therefore, </w:t>
      </w:r>
      <w:r>
        <w:t>we have</w:t>
      </w:r>
      <w:r w:rsidRPr="0003089D">
        <w:t xml:space="preserve"> capped the retirement amounts at the average test year plant balance for respective accounts. This methodology has been utilized in Docket No. 20160101-WS and was approved by Order No. PSC-2017-0101-FOF.</w:t>
      </w:r>
      <w:r w:rsidRPr="0003089D">
        <w:rPr>
          <w:rStyle w:val="FootnoteReference"/>
        </w:rPr>
        <w:footnoteReference w:id="38"/>
      </w:r>
      <w:r w:rsidRPr="0003089D">
        <w:t xml:space="preserve"> In that order, we found that “the amount of retirement to plant in service and accumulated depreciation reflected in the adjusted test year shall be calculated based on either the 75 percent methodology . . . or on the actual balance in the impacted plant in service account . . . if that balance would be negative </w:t>
      </w:r>
      <w:r w:rsidRPr="0003089D">
        <w:lastRenderedPageBreak/>
        <w:t>as a result of the 75 percent methodology.”</w:t>
      </w:r>
      <w:r w:rsidRPr="0003089D">
        <w:rPr>
          <w:rStyle w:val="FootnoteReference"/>
        </w:rPr>
        <w:footnoteReference w:id="39"/>
      </w:r>
      <w:r w:rsidRPr="0003089D">
        <w:t xml:space="preserve"> The capped pro forma plant project re</w:t>
      </w:r>
      <w:r>
        <w:t>tirements are shown on Table 2</w:t>
      </w:r>
      <w:r w:rsidRPr="0003089D">
        <w:t>.</w:t>
      </w:r>
    </w:p>
    <w:p w14:paraId="45519A47" w14:textId="77777777" w:rsidR="002638D8" w:rsidRPr="0003089D" w:rsidRDefault="002638D8" w:rsidP="002638D8">
      <w:pPr>
        <w:pStyle w:val="BodyText"/>
        <w:spacing w:after="0"/>
        <w:ind w:firstLine="720"/>
        <w:jc w:val="both"/>
      </w:pPr>
    </w:p>
    <w:p w14:paraId="68D29EC1" w14:textId="77777777" w:rsidR="005E2ECC" w:rsidRPr="0003089D" w:rsidRDefault="005E2ECC" w:rsidP="005E2ECC">
      <w:pPr>
        <w:pStyle w:val="BodyText"/>
        <w:ind w:firstLine="720"/>
        <w:jc w:val="both"/>
      </w:pPr>
      <w:r w:rsidRPr="0003089D">
        <w:t>Due to the capped retirement, two accounts have remaining undepreciated plant balances. We find that these remaining balances shall be recovered as amortization expense over a 10-year period. Although Rule 25-30.433(10), F.A.C., prescribes the formula for determining the appropriate amortization period for forced abandonment or the prudent retirement of plant assets prior to the end of their depreciable life, we find an amortization period of 10 years</w:t>
      </w:r>
      <w:r>
        <w:t xml:space="preserve"> to be appropriate in this case</w:t>
      </w:r>
      <w:r w:rsidRPr="0003089D">
        <w:t xml:space="preserve">. </w:t>
      </w:r>
      <w:r>
        <w:t>Such</w:t>
      </w:r>
      <w:r w:rsidRPr="0003089D">
        <w:t xml:space="preserve"> an alternate amortization period is allowed by the aforementioned rule to spread the recovery of these costs over a longer period in order to mitigate the immediate annual rate impacts. We identified two accounts that have remaining undepreciated plant bal</w:t>
      </w:r>
      <w:r>
        <w:t>ances, as reflected in Table 3 and Table 4</w:t>
      </w:r>
      <w:r w:rsidRPr="0003089D">
        <w:t xml:space="preserve"> below.</w:t>
      </w:r>
    </w:p>
    <w:p w14:paraId="107232FA" w14:textId="77777777" w:rsidR="00D36A5C" w:rsidRPr="0003089D" w:rsidRDefault="00D36A5C" w:rsidP="00D36A5C">
      <w:pPr>
        <w:pStyle w:val="BodyText"/>
      </w:pPr>
    </w:p>
    <w:p w14:paraId="081A63E3" w14:textId="77777777" w:rsidR="00D36A5C" w:rsidRPr="0003089D" w:rsidRDefault="00433320" w:rsidP="00D36A5C">
      <w:pPr>
        <w:jc w:val="center"/>
        <w:rPr>
          <w:b/>
        </w:rPr>
      </w:pPr>
      <w:r>
        <w:rPr>
          <w:b/>
        </w:rPr>
        <w:t>Table 3</w:t>
      </w:r>
    </w:p>
    <w:p w14:paraId="77769E61" w14:textId="77777777" w:rsidR="00D36A5C" w:rsidRPr="0003089D" w:rsidRDefault="00D36A5C" w:rsidP="00D36A5C">
      <w:pPr>
        <w:jc w:val="center"/>
        <w:rPr>
          <w:b/>
        </w:rPr>
      </w:pPr>
      <w:r w:rsidRPr="0003089D">
        <w:rPr>
          <w:b/>
        </w:rPr>
        <w:t>Water Capital Amortization</w:t>
      </w:r>
    </w:p>
    <w:tbl>
      <w:tblPr>
        <w:tblStyle w:val="TableGrid"/>
        <w:tblW w:w="0" w:type="auto"/>
        <w:tblLook w:val="04A0" w:firstRow="1" w:lastRow="0" w:firstColumn="1" w:lastColumn="0" w:noHBand="0" w:noVBand="1"/>
      </w:tblPr>
      <w:tblGrid>
        <w:gridCol w:w="1188"/>
        <w:gridCol w:w="2642"/>
        <w:gridCol w:w="1915"/>
        <w:gridCol w:w="2013"/>
        <w:gridCol w:w="1818"/>
      </w:tblGrid>
      <w:tr w:rsidR="00D36A5C" w:rsidRPr="0003089D" w14:paraId="7979E303" w14:textId="77777777" w:rsidTr="00D36A5C">
        <w:tc>
          <w:tcPr>
            <w:tcW w:w="1188" w:type="dxa"/>
            <w:vAlign w:val="center"/>
          </w:tcPr>
          <w:p w14:paraId="1CA6E1CE" w14:textId="77777777" w:rsidR="00D36A5C" w:rsidRPr="0003089D" w:rsidRDefault="00D36A5C" w:rsidP="00D36A5C">
            <w:pPr>
              <w:jc w:val="center"/>
            </w:pPr>
            <w:r w:rsidRPr="0003089D">
              <w:t>Account</w:t>
            </w:r>
          </w:p>
        </w:tc>
        <w:tc>
          <w:tcPr>
            <w:tcW w:w="2642" w:type="dxa"/>
            <w:vAlign w:val="center"/>
          </w:tcPr>
          <w:p w14:paraId="49316B56" w14:textId="77777777" w:rsidR="00D36A5C" w:rsidRPr="0003089D" w:rsidRDefault="00D36A5C" w:rsidP="00D36A5C">
            <w:pPr>
              <w:jc w:val="center"/>
            </w:pPr>
            <w:r w:rsidRPr="0003089D">
              <w:t>Plant Balance</w:t>
            </w:r>
          </w:p>
        </w:tc>
        <w:tc>
          <w:tcPr>
            <w:tcW w:w="1915" w:type="dxa"/>
            <w:vAlign w:val="center"/>
          </w:tcPr>
          <w:p w14:paraId="07EF915F" w14:textId="77777777" w:rsidR="00D36A5C" w:rsidRPr="0003089D" w:rsidRDefault="00D36A5C" w:rsidP="00D36A5C">
            <w:pPr>
              <w:jc w:val="center"/>
            </w:pPr>
            <w:r w:rsidRPr="0003089D">
              <w:t>Accumulated Depreciation</w:t>
            </w:r>
          </w:p>
        </w:tc>
        <w:tc>
          <w:tcPr>
            <w:tcW w:w="2013" w:type="dxa"/>
            <w:vAlign w:val="center"/>
          </w:tcPr>
          <w:p w14:paraId="0CA895CC" w14:textId="77777777" w:rsidR="00D36A5C" w:rsidRPr="0003089D" w:rsidRDefault="00D36A5C" w:rsidP="00D36A5C">
            <w:pPr>
              <w:jc w:val="center"/>
            </w:pPr>
            <w:r w:rsidRPr="0003089D">
              <w:t>Undepreciated Plant Balance</w:t>
            </w:r>
          </w:p>
        </w:tc>
        <w:tc>
          <w:tcPr>
            <w:tcW w:w="1818" w:type="dxa"/>
            <w:vAlign w:val="center"/>
          </w:tcPr>
          <w:p w14:paraId="3A8773FF" w14:textId="77777777" w:rsidR="00D36A5C" w:rsidRPr="0003089D" w:rsidRDefault="00D36A5C" w:rsidP="00D36A5C">
            <w:pPr>
              <w:jc w:val="center"/>
            </w:pPr>
            <w:r w:rsidRPr="0003089D">
              <w:t>Amortization Expense</w:t>
            </w:r>
          </w:p>
        </w:tc>
      </w:tr>
      <w:tr w:rsidR="00D36A5C" w:rsidRPr="0003089D" w14:paraId="3CA9CAF2" w14:textId="77777777" w:rsidTr="00D36A5C">
        <w:tc>
          <w:tcPr>
            <w:tcW w:w="1188" w:type="dxa"/>
          </w:tcPr>
          <w:p w14:paraId="5406E113" w14:textId="77777777" w:rsidR="00D36A5C" w:rsidRPr="0003089D" w:rsidRDefault="00D36A5C" w:rsidP="00D36A5C">
            <w:pPr>
              <w:jc w:val="both"/>
            </w:pPr>
            <w:r w:rsidRPr="0003089D">
              <w:t>330</w:t>
            </w:r>
          </w:p>
        </w:tc>
        <w:tc>
          <w:tcPr>
            <w:tcW w:w="2642" w:type="dxa"/>
          </w:tcPr>
          <w:p w14:paraId="26F580D4" w14:textId="77777777" w:rsidR="00D36A5C" w:rsidRPr="0003089D" w:rsidRDefault="00D36A5C" w:rsidP="00D36A5C">
            <w:pPr>
              <w:jc w:val="right"/>
            </w:pPr>
            <w:r w:rsidRPr="0003089D">
              <w:t>$82,951</w:t>
            </w:r>
          </w:p>
        </w:tc>
        <w:tc>
          <w:tcPr>
            <w:tcW w:w="1915" w:type="dxa"/>
          </w:tcPr>
          <w:p w14:paraId="335C0036" w14:textId="77777777" w:rsidR="00D36A5C" w:rsidRPr="0003089D" w:rsidRDefault="00D36A5C" w:rsidP="00D36A5C">
            <w:pPr>
              <w:jc w:val="right"/>
            </w:pPr>
            <w:r w:rsidRPr="0003089D">
              <w:t>$76,515</w:t>
            </w:r>
          </w:p>
        </w:tc>
        <w:tc>
          <w:tcPr>
            <w:tcW w:w="2013" w:type="dxa"/>
          </w:tcPr>
          <w:p w14:paraId="6B80DE1F" w14:textId="77777777" w:rsidR="00D36A5C" w:rsidRPr="0003089D" w:rsidRDefault="00D36A5C" w:rsidP="00D36A5C">
            <w:pPr>
              <w:jc w:val="right"/>
            </w:pPr>
            <w:r w:rsidRPr="0003089D">
              <w:t>$6,436</w:t>
            </w:r>
          </w:p>
        </w:tc>
        <w:tc>
          <w:tcPr>
            <w:tcW w:w="1818" w:type="dxa"/>
          </w:tcPr>
          <w:p w14:paraId="49D6488B" w14:textId="77777777" w:rsidR="00D36A5C" w:rsidRPr="0003089D" w:rsidRDefault="00D36A5C" w:rsidP="00D36A5C">
            <w:pPr>
              <w:jc w:val="right"/>
            </w:pPr>
            <w:r w:rsidRPr="0003089D">
              <w:t>$644</w:t>
            </w:r>
          </w:p>
        </w:tc>
      </w:tr>
      <w:tr w:rsidR="00D36A5C" w:rsidRPr="0003089D" w14:paraId="64ED9F09" w14:textId="77777777" w:rsidTr="00D36A5C">
        <w:tc>
          <w:tcPr>
            <w:tcW w:w="1188" w:type="dxa"/>
          </w:tcPr>
          <w:p w14:paraId="58DB8692" w14:textId="77777777" w:rsidR="00D36A5C" w:rsidRPr="0003089D" w:rsidRDefault="00D36A5C" w:rsidP="00D36A5C">
            <w:pPr>
              <w:jc w:val="both"/>
            </w:pPr>
            <w:r w:rsidRPr="0003089D">
              <w:t>Total</w:t>
            </w:r>
          </w:p>
        </w:tc>
        <w:tc>
          <w:tcPr>
            <w:tcW w:w="2642" w:type="dxa"/>
          </w:tcPr>
          <w:p w14:paraId="78C67503" w14:textId="77777777" w:rsidR="00D36A5C" w:rsidRPr="0003089D" w:rsidRDefault="00D36A5C" w:rsidP="00D36A5C">
            <w:pPr>
              <w:jc w:val="right"/>
              <w:rPr>
                <w:u w:val="double"/>
              </w:rPr>
            </w:pPr>
            <w:r w:rsidRPr="0003089D">
              <w:rPr>
                <w:u w:val="double"/>
              </w:rPr>
              <w:t>$82,951</w:t>
            </w:r>
          </w:p>
        </w:tc>
        <w:tc>
          <w:tcPr>
            <w:tcW w:w="1915" w:type="dxa"/>
          </w:tcPr>
          <w:p w14:paraId="7083FC75" w14:textId="77777777" w:rsidR="00D36A5C" w:rsidRPr="0003089D" w:rsidRDefault="00D36A5C" w:rsidP="00D36A5C">
            <w:pPr>
              <w:jc w:val="right"/>
              <w:rPr>
                <w:u w:val="double"/>
              </w:rPr>
            </w:pPr>
            <w:r w:rsidRPr="0003089D">
              <w:rPr>
                <w:u w:val="double"/>
              </w:rPr>
              <w:t>$76,515</w:t>
            </w:r>
          </w:p>
        </w:tc>
        <w:tc>
          <w:tcPr>
            <w:tcW w:w="2013" w:type="dxa"/>
          </w:tcPr>
          <w:p w14:paraId="127904D3" w14:textId="77777777" w:rsidR="00D36A5C" w:rsidRPr="0003089D" w:rsidRDefault="00D36A5C" w:rsidP="00D36A5C">
            <w:pPr>
              <w:jc w:val="right"/>
              <w:rPr>
                <w:u w:val="double"/>
              </w:rPr>
            </w:pPr>
            <w:r w:rsidRPr="0003089D">
              <w:rPr>
                <w:u w:val="double"/>
              </w:rPr>
              <w:t>$6,436</w:t>
            </w:r>
          </w:p>
        </w:tc>
        <w:tc>
          <w:tcPr>
            <w:tcW w:w="1818" w:type="dxa"/>
          </w:tcPr>
          <w:p w14:paraId="47BAD0EB" w14:textId="77777777" w:rsidR="00D36A5C" w:rsidRPr="0003089D" w:rsidRDefault="00D36A5C" w:rsidP="00D36A5C">
            <w:pPr>
              <w:jc w:val="right"/>
              <w:rPr>
                <w:u w:val="double"/>
              </w:rPr>
            </w:pPr>
            <w:r w:rsidRPr="0003089D">
              <w:rPr>
                <w:u w:val="double"/>
              </w:rPr>
              <w:t>$644</w:t>
            </w:r>
          </w:p>
        </w:tc>
      </w:tr>
    </w:tbl>
    <w:p w14:paraId="0AFB0A0B" w14:textId="77777777" w:rsidR="00D36A5C" w:rsidRPr="0003089D" w:rsidRDefault="00D36A5C" w:rsidP="00D36A5C">
      <w:pPr>
        <w:jc w:val="both"/>
      </w:pPr>
      <w:r w:rsidRPr="00433320">
        <w:rPr>
          <w:sz w:val="20"/>
          <w:szCs w:val="20"/>
        </w:rPr>
        <w:t>Source: Staff calculations.</w:t>
      </w:r>
    </w:p>
    <w:p w14:paraId="5BBCFF71" w14:textId="77777777" w:rsidR="00433320" w:rsidRDefault="00433320" w:rsidP="00D36A5C">
      <w:pPr>
        <w:jc w:val="both"/>
      </w:pPr>
    </w:p>
    <w:p w14:paraId="3D32E9CD" w14:textId="13132C7E" w:rsidR="005E2ECC" w:rsidRDefault="005E2ECC" w:rsidP="00D36A5C">
      <w:pPr>
        <w:jc w:val="both"/>
      </w:pPr>
    </w:p>
    <w:p w14:paraId="619E943F" w14:textId="77777777" w:rsidR="002638D8" w:rsidRPr="0003089D" w:rsidRDefault="002638D8" w:rsidP="00D36A5C">
      <w:pPr>
        <w:jc w:val="both"/>
      </w:pPr>
    </w:p>
    <w:p w14:paraId="33B94015" w14:textId="77777777" w:rsidR="00D36A5C" w:rsidRPr="0003089D" w:rsidRDefault="00433320" w:rsidP="00D36A5C">
      <w:pPr>
        <w:jc w:val="center"/>
        <w:rPr>
          <w:b/>
        </w:rPr>
      </w:pPr>
      <w:r>
        <w:rPr>
          <w:b/>
        </w:rPr>
        <w:t>Table 4</w:t>
      </w:r>
    </w:p>
    <w:p w14:paraId="64DC47DC" w14:textId="77777777" w:rsidR="00D36A5C" w:rsidRPr="0003089D" w:rsidRDefault="00D36A5C" w:rsidP="00D36A5C">
      <w:pPr>
        <w:jc w:val="center"/>
        <w:rPr>
          <w:b/>
        </w:rPr>
      </w:pPr>
      <w:r w:rsidRPr="0003089D">
        <w:rPr>
          <w:b/>
        </w:rPr>
        <w:t>Wastewater Capital Amortization</w:t>
      </w:r>
    </w:p>
    <w:tbl>
      <w:tblPr>
        <w:tblStyle w:val="TableGrid"/>
        <w:tblW w:w="0" w:type="auto"/>
        <w:tblLook w:val="04A0" w:firstRow="1" w:lastRow="0" w:firstColumn="1" w:lastColumn="0" w:noHBand="0" w:noVBand="1"/>
      </w:tblPr>
      <w:tblGrid>
        <w:gridCol w:w="1188"/>
        <w:gridCol w:w="2642"/>
        <w:gridCol w:w="1915"/>
        <w:gridCol w:w="2013"/>
        <w:gridCol w:w="1818"/>
      </w:tblGrid>
      <w:tr w:rsidR="00D36A5C" w:rsidRPr="0003089D" w14:paraId="6E9F1C77" w14:textId="77777777" w:rsidTr="00D36A5C">
        <w:tc>
          <w:tcPr>
            <w:tcW w:w="1188" w:type="dxa"/>
            <w:vAlign w:val="center"/>
          </w:tcPr>
          <w:p w14:paraId="71BDA1C7" w14:textId="77777777" w:rsidR="00D36A5C" w:rsidRPr="0003089D" w:rsidRDefault="00D36A5C" w:rsidP="00D36A5C">
            <w:pPr>
              <w:jc w:val="center"/>
            </w:pPr>
            <w:r w:rsidRPr="0003089D">
              <w:t>Account</w:t>
            </w:r>
          </w:p>
        </w:tc>
        <w:tc>
          <w:tcPr>
            <w:tcW w:w="2642" w:type="dxa"/>
            <w:vAlign w:val="center"/>
          </w:tcPr>
          <w:p w14:paraId="12F44DDA" w14:textId="77777777" w:rsidR="00D36A5C" w:rsidRPr="0003089D" w:rsidRDefault="00D36A5C" w:rsidP="00D36A5C">
            <w:pPr>
              <w:jc w:val="center"/>
            </w:pPr>
            <w:r w:rsidRPr="0003089D">
              <w:t>Plant Balance</w:t>
            </w:r>
          </w:p>
        </w:tc>
        <w:tc>
          <w:tcPr>
            <w:tcW w:w="1915" w:type="dxa"/>
            <w:vAlign w:val="center"/>
          </w:tcPr>
          <w:p w14:paraId="415B4FBB" w14:textId="77777777" w:rsidR="00D36A5C" w:rsidRPr="0003089D" w:rsidRDefault="00D36A5C" w:rsidP="00D36A5C">
            <w:pPr>
              <w:jc w:val="center"/>
            </w:pPr>
            <w:r w:rsidRPr="0003089D">
              <w:t>Accumulated Depreciation</w:t>
            </w:r>
          </w:p>
        </w:tc>
        <w:tc>
          <w:tcPr>
            <w:tcW w:w="2013" w:type="dxa"/>
            <w:vAlign w:val="center"/>
          </w:tcPr>
          <w:p w14:paraId="670E80DD" w14:textId="77777777" w:rsidR="00D36A5C" w:rsidRPr="0003089D" w:rsidRDefault="00D36A5C" w:rsidP="00D36A5C">
            <w:pPr>
              <w:jc w:val="center"/>
            </w:pPr>
            <w:r w:rsidRPr="0003089D">
              <w:t>Undepreciated Plant Balance</w:t>
            </w:r>
          </w:p>
        </w:tc>
        <w:tc>
          <w:tcPr>
            <w:tcW w:w="1818" w:type="dxa"/>
            <w:vAlign w:val="center"/>
          </w:tcPr>
          <w:p w14:paraId="32728683" w14:textId="77777777" w:rsidR="00D36A5C" w:rsidRPr="0003089D" w:rsidRDefault="00D36A5C" w:rsidP="00D36A5C">
            <w:pPr>
              <w:jc w:val="center"/>
            </w:pPr>
            <w:r w:rsidRPr="0003089D">
              <w:t>Amortization Expense</w:t>
            </w:r>
          </w:p>
        </w:tc>
      </w:tr>
      <w:tr w:rsidR="00D36A5C" w:rsidRPr="0003089D" w14:paraId="52C870A3" w14:textId="77777777" w:rsidTr="00D36A5C">
        <w:tc>
          <w:tcPr>
            <w:tcW w:w="1188" w:type="dxa"/>
          </w:tcPr>
          <w:p w14:paraId="6913E901" w14:textId="77777777" w:rsidR="00D36A5C" w:rsidRPr="0003089D" w:rsidRDefault="00D36A5C" w:rsidP="00D36A5C">
            <w:pPr>
              <w:jc w:val="both"/>
            </w:pPr>
            <w:r w:rsidRPr="0003089D">
              <w:t>371</w:t>
            </w:r>
          </w:p>
        </w:tc>
        <w:tc>
          <w:tcPr>
            <w:tcW w:w="2642" w:type="dxa"/>
          </w:tcPr>
          <w:p w14:paraId="3BDEBB3B" w14:textId="77777777" w:rsidR="00D36A5C" w:rsidRPr="0003089D" w:rsidRDefault="00D36A5C" w:rsidP="00D36A5C">
            <w:pPr>
              <w:jc w:val="right"/>
            </w:pPr>
            <w:r w:rsidRPr="0003089D">
              <w:t>$126,476</w:t>
            </w:r>
          </w:p>
        </w:tc>
        <w:tc>
          <w:tcPr>
            <w:tcW w:w="1915" w:type="dxa"/>
          </w:tcPr>
          <w:p w14:paraId="6AC1A78A" w14:textId="77777777" w:rsidR="00D36A5C" w:rsidRPr="0003089D" w:rsidRDefault="00D36A5C" w:rsidP="00D36A5C">
            <w:pPr>
              <w:jc w:val="right"/>
            </w:pPr>
            <w:r w:rsidRPr="0003089D">
              <w:t>$49,289</w:t>
            </w:r>
          </w:p>
        </w:tc>
        <w:tc>
          <w:tcPr>
            <w:tcW w:w="2013" w:type="dxa"/>
          </w:tcPr>
          <w:p w14:paraId="2245428F" w14:textId="77777777" w:rsidR="00D36A5C" w:rsidRPr="0003089D" w:rsidRDefault="00D36A5C" w:rsidP="00D36A5C">
            <w:pPr>
              <w:jc w:val="right"/>
            </w:pPr>
            <w:r w:rsidRPr="0003089D">
              <w:t>$80,115</w:t>
            </w:r>
          </w:p>
        </w:tc>
        <w:tc>
          <w:tcPr>
            <w:tcW w:w="1818" w:type="dxa"/>
          </w:tcPr>
          <w:p w14:paraId="5617313A" w14:textId="77777777" w:rsidR="00D36A5C" w:rsidRPr="0003089D" w:rsidRDefault="00D36A5C" w:rsidP="00D36A5C">
            <w:pPr>
              <w:jc w:val="right"/>
            </w:pPr>
            <w:r w:rsidRPr="0003089D">
              <w:t>$8,011</w:t>
            </w:r>
          </w:p>
        </w:tc>
      </w:tr>
      <w:tr w:rsidR="00D36A5C" w:rsidRPr="0003089D" w14:paraId="0CE9F12D" w14:textId="77777777" w:rsidTr="00D36A5C">
        <w:tc>
          <w:tcPr>
            <w:tcW w:w="1188" w:type="dxa"/>
          </w:tcPr>
          <w:p w14:paraId="6E95ECA3" w14:textId="77777777" w:rsidR="00D36A5C" w:rsidRPr="0003089D" w:rsidRDefault="00D36A5C" w:rsidP="00D36A5C">
            <w:pPr>
              <w:jc w:val="both"/>
            </w:pPr>
            <w:r w:rsidRPr="0003089D">
              <w:t>Total</w:t>
            </w:r>
          </w:p>
        </w:tc>
        <w:tc>
          <w:tcPr>
            <w:tcW w:w="2642" w:type="dxa"/>
          </w:tcPr>
          <w:p w14:paraId="08A417BD" w14:textId="77777777" w:rsidR="00D36A5C" w:rsidRPr="0003089D" w:rsidRDefault="00D36A5C" w:rsidP="00D36A5C">
            <w:pPr>
              <w:jc w:val="right"/>
              <w:rPr>
                <w:u w:val="double"/>
              </w:rPr>
            </w:pPr>
            <w:r w:rsidRPr="0003089D">
              <w:rPr>
                <w:u w:val="double"/>
              </w:rPr>
              <w:t>$126,476</w:t>
            </w:r>
          </w:p>
        </w:tc>
        <w:tc>
          <w:tcPr>
            <w:tcW w:w="1915" w:type="dxa"/>
          </w:tcPr>
          <w:p w14:paraId="1A2F5E24" w14:textId="77777777" w:rsidR="00D36A5C" w:rsidRPr="0003089D" w:rsidRDefault="00D36A5C" w:rsidP="00D36A5C">
            <w:pPr>
              <w:jc w:val="right"/>
              <w:rPr>
                <w:u w:val="double"/>
              </w:rPr>
            </w:pPr>
            <w:r w:rsidRPr="0003089D">
              <w:rPr>
                <w:u w:val="double"/>
              </w:rPr>
              <w:t>$49,289</w:t>
            </w:r>
          </w:p>
        </w:tc>
        <w:tc>
          <w:tcPr>
            <w:tcW w:w="2013" w:type="dxa"/>
          </w:tcPr>
          <w:p w14:paraId="263B5290" w14:textId="77777777" w:rsidR="00D36A5C" w:rsidRPr="0003089D" w:rsidRDefault="00D36A5C" w:rsidP="00D36A5C">
            <w:pPr>
              <w:jc w:val="right"/>
              <w:rPr>
                <w:u w:val="double"/>
              </w:rPr>
            </w:pPr>
            <w:r w:rsidRPr="0003089D">
              <w:rPr>
                <w:u w:val="double"/>
              </w:rPr>
              <w:t>$80,115</w:t>
            </w:r>
          </w:p>
        </w:tc>
        <w:tc>
          <w:tcPr>
            <w:tcW w:w="1818" w:type="dxa"/>
          </w:tcPr>
          <w:p w14:paraId="4CDB1CBA" w14:textId="77777777" w:rsidR="00D36A5C" w:rsidRPr="0003089D" w:rsidRDefault="00D36A5C" w:rsidP="00D36A5C">
            <w:pPr>
              <w:jc w:val="right"/>
              <w:rPr>
                <w:u w:val="double"/>
              </w:rPr>
            </w:pPr>
            <w:r w:rsidRPr="0003089D">
              <w:rPr>
                <w:u w:val="double"/>
              </w:rPr>
              <w:t>$8,011</w:t>
            </w:r>
          </w:p>
        </w:tc>
      </w:tr>
    </w:tbl>
    <w:p w14:paraId="05D60A84" w14:textId="77777777" w:rsidR="00D36A5C" w:rsidRPr="00433320" w:rsidRDefault="00D36A5C" w:rsidP="00D36A5C">
      <w:pPr>
        <w:pStyle w:val="BodyText"/>
        <w:rPr>
          <w:sz w:val="20"/>
          <w:szCs w:val="20"/>
        </w:rPr>
      </w:pPr>
      <w:r w:rsidRPr="00433320">
        <w:rPr>
          <w:sz w:val="20"/>
          <w:szCs w:val="20"/>
        </w:rPr>
        <w:t xml:space="preserve">Source: Staff calculations. </w:t>
      </w:r>
    </w:p>
    <w:p w14:paraId="2012F959" w14:textId="77777777" w:rsidR="002638D8" w:rsidRDefault="002638D8" w:rsidP="00433320">
      <w:pPr>
        <w:pStyle w:val="BodyText"/>
        <w:spacing w:after="0"/>
        <w:ind w:firstLine="720"/>
        <w:jc w:val="both"/>
      </w:pPr>
    </w:p>
    <w:p w14:paraId="7F5E2225" w14:textId="12D8BE8E" w:rsidR="00433320" w:rsidRDefault="00D36A5C" w:rsidP="00433320">
      <w:pPr>
        <w:pStyle w:val="BodyText"/>
        <w:spacing w:after="0"/>
        <w:ind w:firstLine="720"/>
        <w:jc w:val="both"/>
      </w:pPr>
      <w:r w:rsidRPr="0003089D">
        <w:t xml:space="preserve">As described above, </w:t>
      </w:r>
      <w:r w:rsidR="001A348D" w:rsidRPr="0003089D">
        <w:t>we</w:t>
      </w:r>
      <w:r w:rsidRPr="0003089D">
        <w:t xml:space="preserve"> increased UPIS for pro forma-related additions by $1,758,389 for water and $949,844 for wastewater. This amount is offset by retirements of $543,861 for water and $131,85</w:t>
      </w:r>
      <w:r w:rsidR="00F03D63" w:rsidRPr="0003089D">
        <w:t>2 for wastewater. Further, we</w:t>
      </w:r>
      <w:r w:rsidRPr="0003089D">
        <w:t xml:space="preserve"> </w:t>
      </w:r>
      <w:r w:rsidR="00B2057D" w:rsidRPr="0003089D">
        <w:t>find</w:t>
      </w:r>
      <w:r w:rsidRPr="0003089D">
        <w:t xml:space="preserve"> capital recovery of $6,436 for water and $80,115 for wastewater over a 10-year amortization period. The corresponding annual amortization expense is $644 for water and $8,011 for wastewater. </w:t>
      </w:r>
    </w:p>
    <w:p w14:paraId="5950EE7C" w14:textId="77777777" w:rsidR="009F259C" w:rsidRPr="0003089D" w:rsidRDefault="009F259C" w:rsidP="00433320">
      <w:pPr>
        <w:pStyle w:val="BodyText"/>
        <w:spacing w:after="0"/>
        <w:ind w:firstLine="720"/>
        <w:jc w:val="both"/>
      </w:pPr>
    </w:p>
    <w:p w14:paraId="10D9ED6E" w14:textId="77777777" w:rsidR="00D36A5C" w:rsidRDefault="00D624E1" w:rsidP="00D624E1">
      <w:pPr>
        <w:ind w:firstLine="720"/>
        <w:jc w:val="both"/>
        <w:rPr>
          <w:i/>
        </w:rPr>
      </w:pPr>
      <w:r>
        <w:rPr>
          <w:i/>
        </w:rPr>
        <w:t xml:space="preserve">C.   </w:t>
      </w:r>
      <w:r w:rsidR="00D36A5C" w:rsidRPr="00D624E1">
        <w:rPr>
          <w:i/>
        </w:rPr>
        <w:t>Used and Useful</w:t>
      </w:r>
    </w:p>
    <w:p w14:paraId="13765B66" w14:textId="77777777" w:rsidR="00D624E1" w:rsidRPr="00D624E1" w:rsidRDefault="00D624E1" w:rsidP="00D624E1">
      <w:pPr>
        <w:ind w:firstLine="720"/>
        <w:jc w:val="both"/>
        <w:rPr>
          <w:i/>
        </w:rPr>
      </w:pPr>
    </w:p>
    <w:p w14:paraId="3E9D01A4" w14:textId="4766DEB0" w:rsidR="00D36A5C" w:rsidRPr="0003089D" w:rsidRDefault="00D36A5C" w:rsidP="00D624E1">
      <w:pPr>
        <w:ind w:firstLine="720"/>
        <w:jc w:val="both"/>
      </w:pPr>
      <w:r w:rsidRPr="0003089D">
        <w:t>As discussed</w:t>
      </w:r>
      <w:r w:rsidR="00755A62">
        <w:t xml:space="preserve"> above</w:t>
      </w:r>
      <w:r w:rsidRPr="0003089D">
        <w:t xml:space="preserve"> in </w:t>
      </w:r>
      <w:r w:rsidR="00BC2408" w:rsidRPr="0003089D">
        <w:t>Section</w:t>
      </w:r>
      <w:r w:rsidRPr="0003089D">
        <w:t xml:space="preserve"> 2</w:t>
      </w:r>
      <w:r w:rsidR="00755A62">
        <w:t xml:space="preserve"> Infrastructure and Operating Conditions</w:t>
      </w:r>
      <w:r w:rsidRPr="0003089D">
        <w:t>, the Utility’s system is considered 100 percent U&amp;U. Therefore, no U&amp;U adjustment is necessary.</w:t>
      </w:r>
    </w:p>
    <w:p w14:paraId="2854C327" w14:textId="77777777" w:rsidR="00D36A5C" w:rsidRPr="0003089D" w:rsidRDefault="00D36A5C" w:rsidP="006D1A91">
      <w:pPr>
        <w:jc w:val="both"/>
      </w:pPr>
    </w:p>
    <w:p w14:paraId="56CF6916" w14:textId="77777777" w:rsidR="00D36A5C" w:rsidRPr="00D624E1" w:rsidRDefault="00D624E1" w:rsidP="00D624E1">
      <w:pPr>
        <w:ind w:firstLine="720"/>
        <w:jc w:val="both"/>
        <w:rPr>
          <w:i/>
        </w:rPr>
      </w:pPr>
      <w:r>
        <w:rPr>
          <w:i/>
        </w:rPr>
        <w:lastRenderedPageBreak/>
        <w:t xml:space="preserve">D.   </w:t>
      </w:r>
      <w:r w:rsidR="00D36A5C" w:rsidRPr="00D624E1">
        <w:rPr>
          <w:i/>
        </w:rPr>
        <w:t>Land and Land Rights</w:t>
      </w:r>
    </w:p>
    <w:p w14:paraId="6DFF5A7D" w14:textId="77777777" w:rsidR="00D624E1" w:rsidRPr="0003089D" w:rsidRDefault="00D624E1" w:rsidP="006D1A91">
      <w:pPr>
        <w:jc w:val="both"/>
        <w:rPr>
          <w:b/>
        </w:rPr>
      </w:pPr>
    </w:p>
    <w:p w14:paraId="5C176247" w14:textId="5656A8B0" w:rsidR="00FC5A81" w:rsidRDefault="00FC5A81" w:rsidP="00FC5A81">
      <w:pPr>
        <w:pStyle w:val="BodyText"/>
        <w:spacing w:after="0"/>
        <w:ind w:firstLine="720"/>
        <w:jc w:val="both"/>
      </w:pPr>
      <w:r w:rsidRPr="0003089D">
        <w:t xml:space="preserve">The Utility recorded a test year land and land rights balance of $7,000 for water and $49,400 for wastewater. We reduced this account by $4,000 for water to reflect amounts approved in </w:t>
      </w:r>
      <w:r>
        <w:t>our</w:t>
      </w:r>
      <w:r w:rsidRPr="0003089D">
        <w:t xml:space="preserve"> last Order.</w:t>
      </w:r>
      <w:r w:rsidRPr="0003089D">
        <w:rPr>
          <w:rStyle w:val="FootnoteReference"/>
        </w:rPr>
        <w:footnoteReference w:id="40"/>
      </w:r>
      <w:r w:rsidRPr="0003089D">
        <w:t xml:space="preserve"> Therefore, we find a land and land rights balance of $3,000 for water and $49,400 for wastewater.</w:t>
      </w:r>
    </w:p>
    <w:p w14:paraId="0CA36735" w14:textId="0FA19AC2" w:rsidR="002638D8" w:rsidRDefault="002638D8" w:rsidP="00FC5A81">
      <w:pPr>
        <w:pStyle w:val="BodyText"/>
        <w:spacing w:after="0"/>
        <w:ind w:firstLine="720"/>
        <w:jc w:val="both"/>
      </w:pPr>
    </w:p>
    <w:p w14:paraId="497F7415" w14:textId="77777777" w:rsidR="00D36A5C" w:rsidRPr="00D624E1" w:rsidRDefault="00D624E1" w:rsidP="00D624E1">
      <w:pPr>
        <w:ind w:firstLine="720"/>
        <w:jc w:val="both"/>
        <w:rPr>
          <w:i/>
        </w:rPr>
      </w:pPr>
      <w:r>
        <w:rPr>
          <w:i/>
        </w:rPr>
        <w:t xml:space="preserve">E.   </w:t>
      </w:r>
      <w:r w:rsidR="00D36A5C" w:rsidRPr="00D624E1">
        <w:rPr>
          <w:i/>
        </w:rPr>
        <w:t>Accumulated Depreciation</w:t>
      </w:r>
    </w:p>
    <w:p w14:paraId="39953779" w14:textId="77777777" w:rsidR="00D624E1" w:rsidRPr="0003089D" w:rsidRDefault="00D624E1" w:rsidP="006D1A91">
      <w:pPr>
        <w:jc w:val="both"/>
        <w:rPr>
          <w:b/>
        </w:rPr>
      </w:pPr>
    </w:p>
    <w:p w14:paraId="6E5CF49C" w14:textId="30BF07DE" w:rsidR="00FC5A81" w:rsidRDefault="00FC5A81" w:rsidP="002638D8">
      <w:pPr>
        <w:pStyle w:val="BodyText"/>
        <w:spacing w:after="0"/>
        <w:ind w:firstLine="720"/>
        <w:jc w:val="both"/>
      </w:pPr>
      <w:r w:rsidRPr="0003089D">
        <w:t>The Utility recorded an accumulated depreciation balance of $2,926,284 for water and $3,149,184 for wastewater. We decreased these amounts by $127,254 for water and $382,576 for wastewater to reflect adjustments from a prior Order, to reclassify amounts from WWTP, to reclassify from O&amp;M Expense, and to reflect additions and retirements not booked.</w:t>
      </w:r>
      <w:r w:rsidRPr="0003089D">
        <w:rPr>
          <w:rStyle w:val="FootnoteReference"/>
        </w:rPr>
        <w:footnoteReference w:id="41"/>
      </w:r>
      <w:r w:rsidRPr="0003089D">
        <w:t xml:space="preserve"> We decreased accumulated depreciation by $30,217 for water and $95,769 for wastewater to reflect averaging adjustments. Additionally, we decreased accumulated depreciation by $485,718 for water and $84,158 for wastewater due to pro forma additions and retirements.</w:t>
      </w:r>
    </w:p>
    <w:p w14:paraId="2B9DA332" w14:textId="77777777" w:rsidR="002638D8" w:rsidRPr="0003089D" w:rsidRDefault="002638D8" w:rsidP="002638D8">
      <w:pPr>
        <w:pStyle w:val="BodyText"/>
        <w:spacing w:after="0"/>
        <w:ind w:firstLine="720"/>
        <w:jc w:val="both"/>
      </w:pPr>
    </w:p>
    <w:p w14:paraId="79156EE5" w14:textId="4129485A" w:rsidR="00D36A5C" w:rsidRDefault="001A348D" w:rsidP="00D624E1">
      <w:pPr>
        <w:pStyle w:val="BodyText"/>
        <w:spacing w:after="0"/>
        <w:ind w:firstLine="720"/>
        <w:jc w:val="both"/>
      </w:pPr>
      <w:r w:rsidRPr="0003089D">
        <w:t xml:space="preserve">Our </w:t>
      </w:r>
      <w:r w:rsidR="00D36A5C" w:rsidRPr="0003089D">
        <w:t xml:space="preserve">adjustments to accumulated depreciation result in a net decrease of $643,189 for water and a net decrease of $562,502 </w:t>
      </w:r>
      <w:r w:rsidR="00F03D63" w:rsidRPr="0003089D">
        <w:t>for wastewater. Therefore, we</w:t>
      </w:r>
      <w:r w:rsidR="00D36A5C" w:rsidRPr="0003089D">
        <w:t xml:space="preserve"> </w:t>
      </w:r>
      <w:r w:rsidR="00B2057D" w:rsidRPr="0003089D">
        <w:t>find</w:t>
      </w:r>
      <w:r w:rsidR="00D36A5C" w:rsidRPr="0003089D">
        <w:t xml:space="preserve"> an accumulated depreciation balance of $2,283,095 for water and $2,586,682 for wastewater.</w:t>
      </w:r>
    </w:p>
    <w:p w14:paraId="464C5315" w14:textId="77777777" w:rsidR="003E2FB2" w:rsidRDefault="003E2FB2" w:rsidP="00D624E1">
      <w:pPr>
        <w:pStyle w:val="BodyText"/>
        <w:spacing w:after="0"/>
        <w:ind w:firstLine="720"/>
        <w:jc w:val="both"/>
      </w:pPr>
    </w:p>
    <w:p w14:paraId="791C2B43" w14:textId="77777777" w:rsidR="00D36A5C" w:rsidRPr="00D624E1" w:rsidRDefault="00D624E1" w:rsidP="00D624E1">
      <w:pPr>
        <w:ind w:firstLine="720"/>
        <w:jc w:val="both"/>
        <w:rPr>
          <w:i/>
        </w:rPr>
      </w:pPr>
      <w:r>
        <w:rPr>
          <w:i/>
        </w:rPr>
        <w:t xml:space="preserve">F.   </w:t>
      </w:r>
      <w:r w:rsidR="00D36A5C" w:rsidRPr="00D624E1">
        <w:rPr>
          <w:i/>
        </w:rPr>
        <w:t>Contributions-In-Aid-of-Construction (CIAC)</w:t>
      </w:r>
    </w:p>
    <w:p w14:paraId="48B492FD" w14:textId="77777777" w:rsidR="00D624E1" w:rsidRPr="0003089D" w:rsidRDefault="00D624E1" w:rsidP="00D624E1">
      <w:pPr>
        <w:ind w:firstLine="720"/>
        <w:jc w:val="both"/>
        <w:rPr>
          <w:b/>
        </w:rPr>
      </w:pPr>
    </w:p>
    <w:p w14:paraId="5277D23E" w14:textId="77777777" w:rsidR="00D36A5C" w:rsidRDefault="00D36A5C" w:rsidP="00D624E1">
      <w:pPr>
        <w:pStyle w:val="BodyText"/>
        <w:spacing w:after="0"/>
        <w:ind w:firstLine="720"/>
        <w:jc w:val="both"/>
      </w:pPr>
      <w:r w:rsidRPr="0003089D">
        <w:t xml:space="preserve">The Utility recorded CIAC of $2,302,685 for water and $1,051,361 for wastewater. </w:t>
      </w:r>
      <w:r w:rsidR="00F03D63" w:rsidRPr="0003089D">
        <w:t>We</w:t>
      </w:r>
      <w:r w:rsidRPr="0003089D">
        <w:t xml:space="preserve"> made no adjustments and therefore </w:t>
      </w:r>
      <w:r w:rsidR="00B2057D" w:rsidRPr="0003089D">
        <w:t>find</w:t>
      </w:r>
      <w:r w:rsidRPr="0003089D">
        <w:t xml:space="preserve"> an average CIAC balance of $2,302,685 for water and $1,051,361 for wastewater. </w:t>
      </w:r>
    </w:p>
    <w:p w14:paraId="59C988A9" w14:textId="77777777" w:rsidR="00D624E1" w:rsidRPr="0003089D" w:rsidRDefault="00D624E1" w:rsidP="00D624E1">
      <w:pPr>
        <w:pStyle w:val="BodyText"/>
        <w:spacing w:after="0"/>
        <w:ind w:firstLine="720"/>
        <w:jc w:val="both"/>
      </w:pPr>
    </w:p>
    <w:p w14:paraId="238CAA11" w14:textId="77777777" w:rsidR="00D36A5C" w:rsidRPr="00D624E1" w:rsidRDefault="00D624E1" w:rsidP="00D624E1">
      <w:pPr>
        <w:ind w:firstLine="720"/>
        <w:jc w:val="both"/>
        <w:rPr>
          <w:i/>
        </w:rPr>
      </w:pPr>
      <w:r>
        <w:rPr>
          <w:i/>
        </w:rPr>
        <w:t xml:space="preserve">G.   </w:t>
      </w:r>
      <w:r w:rsidR="00D36A5C" w:rsidRPr="00D624E1">
        <w:rPr>
          <w:i/>
        </w:rPr>
        <w:t>Accumulated Amortization of CIAC</w:t>
      </w:r>
    </w:p>
    <w:p w14:paraId="66650C84" w14:textId="77777777" w:rsidR="00D624E1" w:rsidRPr="0003089D" w:rsidRDefault="00D624E1" w:rsidP="006D1A91">
      <w:pPr>
        <w:jc w:val="both"/>
      </w:pPr>
    </w:p>
    <w:p w14:paraId="4D9E0296" w14:textId="2DDA213F" w:rsidR="00D36A5C" w:rsidRDefault="00D36A5C" w:rsidP="002638D8">
      <w:pPr>
        <w:pStyle w:val="BodyText"/>
        <w:spacing w:after="0"/>
        <w:ind w:firstLine="720"/>
        <w:jc w:val="both"/>
      </w:pPr>
      <w:r w:rsidRPr="0003089D">
        <w:t>The Utility recorded accumulated amortization of CIAC of $2,191,692 for wate</w:t>
      </w:r>
      <w:r w:rsidR="00F03D63" w:rsidRPr="0003089D">
        <w:t xml:space="preserve">r and $872,227 for wastewater. </w:t>
      </w:r>
      <w:r w:rsidR="001A348D" w:rsidRPr="0003089D">
        <w:t>We</w:t>
      </w:r>
      <w:r w:rsidRPr="0003089D">
        <w:t xml:space="preserve"> reduced these amounts by $115,270 for water and $90,250 for wastewater to reflect amortization based on depreciation rates of the related plant accounts. Additionally, </w:t>
      </w:r>
      <w:r w:rsidR="00F03D63" w:rsidRPr="0003089D">
        <w:t>we</w:t>
      </w:r>
      <w:r w:rsidRPr="0003089D">
        <w:t xml:space="preserve"> further decreased these amounts by $21,092 for water and $5,968 for wastewater to reflect averaging adjustments.</w:t>
      </w:r>
    </w:p>
    <w:p w14:paraId="243A4A6D" w14:textId="77777777" w:rsidR="002638D8" w:rsidRPr="0003089D" w:rsidRDefault="002638D8" w:rsidP="002638D8">
      <w:pPr>
        <w:pStyle w:val="BodyText"/>
        <w:spacing w:after="0"/>
        <w:ind w:firstLine="720"/>
        <w:jc w:val="both"/>
      </w:pPr>
    </w:p>
    <w:p w14:paraId="41D61E24" w14:textId="77777777" w:rsidR="00D36A5C" w:rsidRDefault="00F03D63" w:rsidP="00D624E1">
      <w:pPr>
        <w:pStyle w:val="BodyText"/>
        <w:spacing w:after="0"/>
        <w:ind w:firstLine="720"/>
        <w:jc w:val="both"/>
      </w:pPr>
      <w:r w:rsidRPr="0003089D">
        <w:t>Our</w:t>
      </w:r>
      <w:r w:rsidR="00D36A5C" w:rsidRPr="0003089D">
        <w:t xml:space="preserve"> adjustments result in a net reduction to accumulated amortization of CIAC of $136,362 for water and $96,218 for wastewater. Therefore, </w:t>
      </w:r>
      <w:r w:rsidRPr="0003089D">
        <w:t>we</w:t>
      </w:r>
      <w:r w:rsidR="00D36A5C" w:rsidRPr="0003089D">
        <w:t xml:space="preserve"> </w:t>
      </w:r>
      <w:r w:rsidR="00B2057D" w:rsidRPr="0003089D">
        <w:t>find</w:t>
      </w:r>
      <w:r w:rsidR="00D36A5C" w:rsidRPr="0003089D">
        <w:t xml:space="preserve"> an average accumulated amortization of CIAC balance of $2,055,330 for water and $776,009 for wastewater. </w:t>
      </w:r>
    </w:p>
    <w:p w14:paraId="4E4F2943" w14:textId="2A74A54C" w:rsidR="00D624E1" w:rsidRDefault="00D624E1" w:rsidP="00D624E1">
      <w:pPr>
        <w:pStyle w:val="BodyText"/>
        <w:spacing w:after="0"/>
        <w:ind w:firstLine="720"/>
        <w:jc w:val="both"/>
      </w:pPr>
    </w:p>
    <w:p w14:paraId="57F615B9" w14:textId="4F98A0C4" w:rsidR="00310946" w:rsidRDefault="00310946" w:rsidP="00D624E1">
      <w:pPr>
        <w:pStyle w:val="BodyText"/>
        <w:spacing w:after="0"/>
        <w:ind w:firstLine="720"/>
        <w:jc w:val="both"/>
      </w:pPr>
    </w:p>
    <w:p w14:paraId="2D5C700C" w14:textId="490E59C9" w:rsidR="00310946" w:rsidRDefault="00310946" w:rsidP="00D624E1">
      <w:pPr>
        <w:pStyle w:val="BodyText"/>
        <w:spacing w:after="0"/>
        <w:ind w:firstLine="720"/>
        <w:jc w:val="both"/>
      </w:pPr>
    </w:p>
    <w:p w14:paraId="46974E62" w14:textId="77777777" w:rsidR="00310946" w:rsidRPr="0003089D" w:rsidRDefault="00310946" w:rsidP="00D624E1">
      <w:pPr>
        <w:pStyle w:val="BodyText"/>
        <w:spacing w:after="0"/>
        <w:ind w:firstLine="720"/>
        <w:jc w:val="both"/>
      </w:pPr>
    </w:p>
    <w:p w14:paraId="4DEED58B" w14:textId="77777777" w:rsidR="00D36A5C" w:rsidRPr="00D624E1" w:rsidRDefault="00D624E1" w:rsidP="00D624E1">
      <w:pPr>
        <w:ind w:firstLine="720"/>
        <w:jc w:val="both"/>
        <w:rPr>
          <w:i/>
        </w:rPr>
      </w:pPr>
      <w:r>
        <w:rPr>
          <w:i/>
        </w:rPr>
        <w:lastRenderedPageBreak/>
        <w:t xml:space="preserve">H.   </w:t>
      </w:r>
      <w:r w:rsidR="00D36A5C" w:rsidRPr="00D624E1">
        <w:rPr>
          <w:i/>
        </w:rPr>
        <w:t>Working Capital Allowance</w:t>
      </w:r>
    </w:p>
    <w:p w14:paraId="5E83060B" w14:textId="77777777" w:rsidR="00D624E1" w:rsidRPr="0003089D" w:rsidRDefault="00D624E1" w:rsidP="006D1A91">
      <w:pPr>
        <w:jc w:val="both"/>
        <w:rPr>
          <w:b/>
        </w:rPr>
      </w:pPr>
    </w:p>
    <w:p w14:paraId="0961F910" w14:textId="4FCAF6A8" w:rsidR="002638D8" w:rsidRDefault="00FC5A81" w:rsidP="00755A62">
      <w:pPr>
        <w:pStyle w:val="BodyText"/>
        <w:spacing w:after="0"/>
        <w:ind w:firstLine="720"/>
        <w:jc w:val="both"/>
      </w:pPr>
      <w:r w:rsidRPr="0003089D">
        <w:t xml:space="preserve">Working capital is defined as the short-term investor-supplied funds that are necessary to meet operating expenses. Consistent with Rule 25-30.433(2), F.A.C., we used the one-eighth O&amp;M expense (less rate case expense) formula for calculating the working capital allowance. </w:t>
      </w:r>
      <w:r>
        <w:t>W</w:t>
      </w:r>
      <w:r w:rsidRPr="0003089D">
        <w:t>e removed the rate case expense of $6,179 for water and $3,823 for wastewater</w:t>
      </w:r>
      <w:r>
        <w:t>, which</w:t>
      </w:r>
      <w:r w:rsidRPr="0003089D">
        <w:t xml:space="preserve"> resulted in an adju</w:t>
      </w:r>
      <w:r>
        <w:t>sted O&amp;M expense balance of $429,018 for water and $443,898</w:t>
      </w:r>
      <w:r w:rsidRPr="0003089D">
        <w:t xml:space="preserve"> for wastewater. Applying the aforementioned formula, we </w:t>
      </w:r>
      <w:r>
        <w:t>approve</w:t>
      </w:r>
      <w:r w:rsidRPr="0003089D">
        <w:t xml:space="preserve"> a </w:t>
      </w:r>
      <w:r>
        <w:t>working capital allowance of $53,627 for water and $55,487</w:t>
      </w:r>
      <w:r w:rsidRPr="0003089D">
        <w:t xml:space="preserve"> for wastewater.</w:t>
      </w:r>
    </w:p>
    <w:p w14:paraId="021CCAF6" w14:textId="77777777" w:rsidR="00D624E1" w:rsidRPr="0003089D" w:rsidRDefault="00D624E1" w:rsidP="00D624E1">
      <w:pPr>
        <w:pStyle w:val="BodyText"/>
        <w:spacing w:after="0"/>
        <w:ind w:firstLine="720"/>
        <w:jc w:val="both"/>
      </w:pPr>
    </w:p>
    <w:p w14:paraId="25A2DF24" w14:textId="77777777" w:rsidR="00D36A5C" w:rsidRDefault="00D624E1" w:rsidP="00D624E1">
      <w:pPr>
        <w:ind w:firstLine="720"/>
        <w:jc w:val="both"/>
        <w:rPr>
          <w:i/>
        </w:rPr>
      </w:pPr>
      <w:r>
        <w:rPr>
          <w:i/>
        </w:rPr>
        <w:t xml:space="preserve">I.   </w:t>
      </w:r>
      <w:r w:rsidR="00D36A5C" w:rsidRPr="00D624E1">
        <w:rPr>
          <w:i/>
        </w:rPr>
        <w:t>Conclusion</w:t>
      </w:r>
    </w:p>
    <w:p w14:paraId="74571C27" w14:textId="77777777" w:rsidR="00D624E1" w:rsidRPr="00D624E1" w:rsidRDefault="00D624E1" w:rsidP="00D624E1">
      <w:pPr>
        <w:ind w:firstLine="720"/>
        <w:jc w:val="both"/>
        <w:rPr>
          <w:i/>
        </w:rPr>
      </w:pPr>
    </w:p>
    <w:p w14:paraId="6D4FF885" w14:textId="1E2DEF14" w:rsidR="00FC5A81" w:rsidRDefault="00FC5A81" w:rsidP="00FC5A81">
      <w:pPr>
        <w:pStyle w:val="BodyText"/>
        <w:spacing w:after="0"/>
        <w:ind w:firstLine="720"/>
        <w:jc w:val="both"/>
      </w:pPr>
      <w:r w:rsidRPr="0003089D">
        <w:t>Based on the foregoing, we find that the appropriate avera</w:t>
      </w:r>
      <w:r>
        <w:t>ge test year rate base is $1,864,969 for water and $1,240,775</w:t>
      </w:r>
      <w:r w:rsidRPr="0003089D">
        <w:t xml:space="preserve"> for wastewater. Rate base is shown on</w:t>
      </w:r>
      <w:r w:rsidR="00B1640E">
        <w:t xml:space="preserve"> the attached</w:t>
      </w:r>
      <w:r w:rsidRPr="0003089D">
        <w:t xml:space="preserve"> Schedule No. 1-A for water and Schedule No. 1-B for wastewater. The related adjustments are shown on</w:t>
      </w:r>
      <w:r w:rsidR="00B1640E">
        <w:t xml:space="preserve"> the attached</w:t>
      </w:r>
      <w:r w:rsidRPr="0003089D">
        <w:t xml:space="preserve"> Schedule No. 1-C. </w:t>
      </w:r>
      <w:r>
        <w:t xml:space="preserve">Grenelefe shall file quarterly reports for two years with us providing timelines and progress of these pro forma projects. The quarterly reports shall also include any managerial changes, personnel changes, or contractual services acquired. </w:t>
      </w:r>
    </w:p>
    <w:p w14:paraId="4828CCDD" w14:textId="77777777" w:rsidR="003B1F72" w:rsidRDefault="003B1F72" w:rsidP="003B1F72">
      <w:pPr>
        <w:pStyle w:val="IssueSubsectionHeading"/>
        <w:spacing w:after="0"/>
        <w:rPr>
          <w:rFonts w:ascii="Times New Roman" w:hAnsi="Times New Roman" w:cs="Times New Roman"/>
        </w:rPr>
      </w:pPr>
    </w:p>
    <w:p w14:paraId="6048134C" w14:textId="77777777" w:rsidR="003B1F72" w:rsidRDefault="003B1F72" w:rsidP="003B1F72">
      <w:pPr>
        <w:pStyle w:val="BodyText"/>
        <w:spacing w:after="0"/>
        <w:rPr>
          <w:u w:val="single"/>
        </w:rPr>
      </w:pPr>
      <w:r>
        <w:t>5.</w:t>
      </w:r>
      <w:r>
        <w:tab/>
      </w:r>
      <w:r w:rsidRPr="003B1F72">
        <w:rPr>
          <w:u w:val="single"/>
        </w:rPr>
        <w:t>Rate of Return</w:t>
      </w:r>
    </w:p>
    <w:p w14:paraId="481942B8" w14:textId="77777777" w:rsidR="003B1F72" w:rsidRPr="003B1F72" w:rsidRDefault="003B1F72" w:rsidP="003B1F72">
      <w:pPr>
        <w:pStyle w:val="BodyText"/>
        <w:spacing w:after="0"/>
      </w:pPr>
    </w:p>
    <w:p w14:paraId="0871C431" w14:textId="77777777" w:rsidR="00FC5A81" w:rsidRDefault="00FC5A81" w:rsidP="00FC5A81">
      <w:pPr>
        <w:pStyle w:val="BodyText"/>
        <w:spacing w:after="0"/>
        <w:ind w:firstLine="720"/>
        <w:jc w:val="both"/>
      </w:pPr>
      <w:r w:rsidRPr="0003089D">
        <w:t>The Utility’s capital structure consists of long-term debt, common equity, and customer deposits. In response to an inquiry, the Utility provided information regarding the financing of its pro forma additions.</w:t>
      </w:r>
      <w:r w:rsidRPr="0003089D">
        <w:rPr>
          <w:rStyle w:val="FootnoteReference"/>
        </w:rPr>
        <w:footnoteReference w:id="42"/>
      </w:r>
      <w:r w:rsidRPr="0003089D">
        <w:t xml:space="preserve"> Grenelefe intends to finance approximately 75 percent of its capital additions through long-term debt and the other 25 percent through common equity. Although the Utility has yet to secure the long-term loan, it </w:t>
      </w:r>
      <w:r>
        <w:t xml:space="preserve">states that it </w:t>
      </w:r>
      <w:r w:rsidRPr="0003089D">
        <w:t xml:space="preserve">has been quoted an estimated interest rate range of 6.5 percent to 9.0 percent. </w:t>
      </w:r>
      <w:r>
        <w:t>Using this information</w:t>
      </w:r>
      <w:r w:rsidRPr="0003089D">
        <w:t xml:space="preserve">, </w:t>
      </w:r>
      <w:r>
        <w:t>we have</w:t>
      </w:r>
      <w:r w:rsidRPr="0003089D">
        <w:t xml:space="preserve"> developed a hypothetical capital structure utilizing the information provided by the Utility. With respect to the pro forma additions, we assumed a 7.75 percent cost rate for the Utility’s prospective long-term loan, as it represents the midpoint of the estimated range. Since the time of the Staff Report, the Utility has not obtained actual loan information.</w:t>
      </w:r>
      <w:r w:rsidRPr="0003089D">
        <w:rPr>
          <w:rStyle w:val="FootnoteReference"/>
        </w:rPr>
        <w:footnoteReference w:id="43"/>
      </w:r>
      <w:r w:rsidRPr="0003089D">
        <w:t xml:space="preserve"> When coupled with the Utility’s pre-existing long-term debt obligation at a cost rate of 9.75 percent, we calculated a weighted average cost of long-term debt of 8.52 percent. </w:t>
      </w:r>
    </w:p>
    <w:p w14:paraId="065C5BC5" w14:textId="77777777" w:rsidR="004A138E" w:rsidRPr="0003089D" w:rsidRDefault="004A138E" w:rsidP="004A138E">
      <w:pPr>
        <w:pStyle w:val="BodyText"/>
        <w:spacing w:after="0"/>
        <w:ind w:firstLine="720"/>
        <w:jc w:val="both"/>
      </w:pPr>
    </w:p>
    <w:p w14:paraId="203936A9" w14:textId="77777777" w:rsidR="00A1755C" w:rsidRDefault="00A1755C" w:rsidP="003B1F72">
      <w:pPr>
        <w:pStyle w:val="First-LevelSubheading"/>
        <w:ind w:firstLine="720"/>
        <w:rPr>
          <w:rFonts w:ascii="Times New Roman" w:hAnsi="Times New Roman" w:cs="Times New Roman"/>
          <w:b w:val="0"/>
          <w:i/>
        </w:rPr>
      </w:pPr>
      <w:r w:rsidRPr="003B1F72">
        <w:rPr>
          <w:rFonts w:ascii="Times New Roman" w:hAnsi="Times New Roman" w:cs="Times New Roman"/>
          <w:b w:val="0"/>
          <w:i/>
        </w:rPr>
        <w:t>Conclusion</w:t>
      </w:r>
    </w:p>
    <w:p w14:paraId="4DF2BDAC" w14:textId="77777777" w:rsidR="003B1F72" w:rsidRPr="003B1F72" w:rsidRDefault="003B1F72" w:rsidP="003B1F72">
      <w:pPr>
        <w:pStyle w:val="BodyText"/>
        <w:spacing w:after="0"/>
      </w:pPr>
    </w:p>
    <w:p w14:paraId="746345E0" w14:textId="426B1600" w:rsidR="00D36A5C" w:rsidRDefault="00A1755C" w:rsidP="0017668B">
      <w:pPr>
        <w:pStyle w:val="BodyText"/>
        <w:spacing w:after="0"/>
        <w:ind w:firstLine="720"/>
        <w:jc w:val="both"/>
      </w:pPr>
      <w:r w:rsidRPr="0003089D">
        <w:t xml:space="preserve">The Utility’s (hypothetical) capital structure </w:t>
      </w:r>
      <w:r w:rsidR="001A348D" w:rsidRPr="0003089D">
        <w:t>has been reconciled with our</w:t>
      </w:r>
      <w:r w:rsidRPr="0003089D">
        <w:t xml:space="preserve"> </w:t>
      </w:r>
      <w:r w:rsidR="00B2057D" w:rsidRPr="0003089D">
        <w:t>approved</w:t>
      </w:r>
      <w:r w:rsidRPr="0003089D">
        <w:t xml:space="preserve"> rate base. The appropriate </w:t>
      </w:r>
      <w:r w:rsidR="00F336F7">
        <w:t>return on equity (</w:t>
      </w:r>
      <w:r w:rsidRPr="0003089D">
        <w:t>ROE</w:t>
      </w:r>
      <w:r w:rsidR="00F336F7">
        <w:t>)</w:t>
      </w:r>
      <w:r w:rsidRPr="0003089D">
        <w:t xml:space="preserve"> is 10.51 </w:t>
      </w:r>
      <w:r w:rsidR="00BC2408" w:rsidRPr="0003089D">
        <w:t xml:space="preserve">percent based on our </w:t>
      </w:r>
      <w:r w:rsidRPr="0003089D">
        <w:t>approved leverage formula currently in effect.</w:t>
      </w:r>
      <w:r w:rsidRPr="0003089D">
        <w:rPr>
          <w:rStyle w:val="FootnoteReference"/>
        </w:rPr>
        <w:footnoteReference w:id="44"/>
      </w:r>
      <w:r w:rsidRPr="0003089D">
        <w:t xml:space="preserve"> </w:t>
      </w:r>
      <w:r w:rsidR="001A348D" w:rsidRPr="0003089D">
        <w:t>We</w:t>
      </w:r>
      <w:r w:rsidRPr="0003089D">
        <w:t xml:space="preserve"> </w:t>
      </w:r>
      <w:r w:rsidR="00B2057D" w:rsidRPr="0003089D">
        <w:t>find</w:t>
      </w:r>
      <w:r w:rsidRPr="0003089D">
        <w:t xml:space="preserve"> an ROE of 10.51 percent with a range of 9.51 percent to </w:t>
      </w:r>
      <w:r w:rsidRPr="0003089D">
        <w:lastRenderedPageBreak/>
        <w:t>11.51 percent, an</w:t>
      </w:r>
      <w:r w:rsidR="00CF1DC6">
        <w:t>d an overall rate of return of 8</w:t>
      </w:r>
      <w:r w:rsidRPr="0003089D">
        <w:t>.</w:t>
      </w:r>
      <w:r w:rsidR="00CF1DC6">
        <w:t>99</w:t>
      </w:r>
      <w:r w:rsidRPr="0003089D">
        <w:t xml:space="preserve"> percent. The ROE and overall rate of return are shown on</w:t>
      </w:r>
      <w:r w:rsidR="00B1640E">
        <w:t xml:space="preserve"> the attached</w:t>
      </w:r>
      <w:r w:rsidRPr="0003089D">
        <w:t xml:space="preserve"> Schedule No. 2.</w:t>
      </w:r>
    </w:p>
    <w:p w14:paraId="1F7C8CC7" w14:textId="77777777" w:rsidR="00CF5EE6" w:rsidRPr="0003089D" w:rsidRDefault="00CF5EE6" w:rsidP="0017668B">
      <w:pPr>
        <w:pStyle w:val="BodyText"/>
        <w:spacing w:after="0"/>
        <w:jc w:val="both"/>
      </w:pPr>
    </w:p>
    <w:p w14:paraId="08315F13" w14:textId="77777777" w:rsidR="00A1755C" w:rsidRDefault="000E64A1" w:rsidP="0017668B">
      <w:pPr>
        <w:pStyle w:val="BodyText"/>
        <w:spacing w:after="0"/>
        <w:jc w:val="both"/>
        <w:rPr>
          <w:u w:val="single"/>
        </w:rPr>
      </w:pPr>
      <w:r>
        <w:t>6.</w:t>
      </w:r>
      <w:r>
        <w:tab/>
      </w:r>
      <w:r w:rsidR="003B1F72" w:rsidRPr="000E64A1">
        <w:rPr>
          <w:u w:val="single"/>
        </w:rPr>
        <w:t>T</w:t>
      </w:r>
      <w:r w:rsidR="00A1755C" w:rsidRPr="000E64A1">
        <w:rPr>
          <w:u w:val="single"/>
        </w:rPr>
        <w:t xml:space="preserve">est </w:t>
      </w:r>
      <w:r w:rsidRPr="000E64A1">
        <w:rPr>
          <w:u w:val="single"/>
        </w:rPr>
        <w:t>Year R</w:t>
      </w:r>
      <w:r w:rsidR="00A1755C" w:rsidRPr="000E64A1">
        <w:rPr>
          <w:u w:val="single"/>
        </w:rPr>
        <w:t>evenues</w:t>
      </w:r>
    </w:p>
    <w:p w14:paraId="691918E4" w14:textId="77777777" w:rsidR="000E64A1" w:rsidRPr="0003089D" w:rsidRDefault="000E64A1" w:rsidP="000E64A1">
      <w:pPr>
        <w:pStyle w:val="BodyText"/>
        <w:spacing w:after="0"/>
        <w:jc w:val="both"/>
      </w:pPr>
    </w:p>
    <w:p w14:paraId="02DCDD7D" w14:textId="5945BBEC" w:rsidR="00A1755C" w:rsidRDefault="00A1755C" w:rsidP="00755A62">
      <w:pPr>
        <w:pStyle w:val="BodyText"/>
        <w:spacing w:after="0"/>
        <w:ind w:firstLine="720"/>
        <w:jc w:val="both"/>
        <w:rPr>
          <w:color w:val="000000"/>
        </w:rPr>
      </w:pPr>
      <w:r w:rsidRPr="0003089D">
        <w:rPr>
          <w:color w:val="000000"/>
        </w:rPr>
        <w:t>The Utility recorded test year operating revenues of $364,578 for water and $245,208 for wastewater. The water revenues included $331,092 of service revenues and $33,486 of miscellaneous revenues. The Utility did not include any miscellaneous revenues for the wastewater system.</w:t>
      </w:r>
    </w:p>
    <w:p w14:paraId="63473BA0" w14:textId="77777777" w:rsidR="00755A62" w:rsidRPr="0003089D" w:rsidRDefault="00755A62" w:rsidP="00755A62">
      <w:pPr>
        <w:pStyle w:val="BodyText"/>
        <w:spacing w:after="0"/>
        <w:ind w:firstLine="720"/>
        <w:jc w:val="both"/>
      </w:pPr>
    </w:p>
    <w:p w14:paraId="6E29C525" w14:textId="28333589" w:rsidR="00A1755C" w:rsidRDefault="00A1755C" w:rsidP="002638D8">
      <w:pPr>
        <w:pStyle w:val="BodyText"/>
        <w:spacing w:after="0"/>
        <w:ind w:firstLine="720"/>
        <w:jc w:val="both"/>
        <w:rPr>
          <w:color w:val="000000"/>
        </w:rPr>
      </w:pPr>
      <w:r w:rsidRPr="0003089D">
        <w:rPr>
          <w:color w:val="000000"/>
        </w:rPr>
        <w:t>During the test year, the Utility had several changes in its billing software, which resulted in inconsistent billing data. The Utility was unable to provide the billing data for the months of November and De</w:t>
      </w:r>
      <w:r w:rsidR="00B2057D" w:rsidRPr="0003089D">
        <w:rPr>
          <w:color w:val="000000"/>
        </w:rPr>
        <w:t>cember 2023</w:t>
      </w:r>
      <w:r w:rsidR="00310946">
        <w:rPr>
          <w:color w:val="000000"/>
        </w:rPr>
        <w:t xml:space="preserve">. </w:t>
      </w:r>
      <w:r w:rsidR="003727B5" w:rsidRPr="0003089D">
        <w:rPr>
          <w:color w:val="000000"/>
        </w:rPr>
        <w:t>We</w:t>
      </w:r>
      <w:r w:rsidR="00B2057D" w:rsidRPr="0003089D">
        <w:rPr>
          <w:color w:val="000000"/>
        </w:rPr>
        <w:t xml:space="preserve"> foun</w:t>
      </w:r>
      <w:r w:rsidRPr="0003089D">
        <w:rPr>
          <w:color w:val="000000"/>
        </w:rPr>
        <w:t xml:space="preserve">d it was necessary to use the calendar year 2024 billing data to prepare the billing analysis. However, due to a change in the billing software, the billing data for the months of January 2024 and February 2024 were combined into one billing register. Since the billing data was combined for two billing periods and a monthly average was used for the two months in </w:t>
      </w:r>
      <w:r w:rsidR="009F259C">
        <w:rPr>
          <w:color w:val="000000"/>
        </w:rPr>
        <w:t xml:space="preserve">our </w:t>
      </w:r>
      <w:r w:rsidRPr="0003089D">
        <w:rPr>
          <w:color w:val="000000"/>
        </w:rPr>
        <w:t>audit</w:t>
      </w:r>
      <w:r w:rsidR="009F259C">
        <w:rPr>
          <w:color w:val="000000"/>
        </w:rPr>
        <w:t xml:space="preserve"> staff’s</w:t>
      </w:r>
      <w:r w:rsidRPr="0003089D">
        <w:rPr>
          <w:color w:val="000000"/>
        </w:rPr>
        <w:t xml:space="preserve"> billing analysis, </w:t>
      </w:r>
      <w:r w:rsidR="00BC2408" w:rsidRPr="0003089D">
        <w:rPr>
          <w:color w:val="000000"/>
        </w:rPr>
        <w:t>we</w:t>
      </w:r>
      <w:r w:rsidRPr="0003089D">
        <w:rPr>
          <w:color w:val="000000"/>
        </w:rPr>
        <w:t xml:space="preserve"> </w:t>
      </w:r>
      <w:r w:rsidR="00B2057D" w:rsidRPr="0003089D">
        <w:rPr>
          <w:color w:val="000000"/>
        </w:rPr>
        <w:t>find</w:t>
      </w:r>
      <w:r w:rsidRPr="0003089D">
        <w:rPr>
          <w:color w:val="000000"/>
        </w:rPr>
        <w:t xml:space="preserve"> it was appropriate to use January 2025 and February 2025 billing data to complete the billing analysis. </w:t>
      </w:r>
    </w:p>
    <w:p w14:paraId="20565CCB" w14:textId="77777777" w:rsidR="002638D8" w:rsidRPr="0003089D" w:rsidRDefault="002638D8" w:rsidP="002638D8">
      <w:pPr>
        <w:pStyle w:val="BodyText"/>
        <w:spacing w:after="0"/>
        <w:ind w:firstLine="720"/>
        <w:jc w:val="both"/>
        <w:rPr>
          <w:color w:val="000000"/>
        </w:rPr>
      </w:pPr>
    </w:p>
    <w:p w14:paraId="4F6C1FB6" w14:textId="6EDDAEAB" w:rsidR="00113E69" w:rsidRDefault="00113E69" w:rsidP="002638D8">
      <w:pPr>
        <w:pStyle w:val="BodyText"/>
        <w:spacing w:after="0"/>
        <w:ind w:firstLine="720"/>
        <w:jc w:val="both"/>
        <w:rPr>
          <w:color w:val="000000"/>
        </w:rPr>
      </w:pPr>
      <w:r w:rsidRPr="0003089D">
        <w:rPr>
          <w:color w:val="000000"/>
        </w:rPr>
        <w:t>Upon deciding to use the January 2025 and February 2025 billing data, we discovered the Utility had another software change</w:t>
      </w:r>
      <w:r w:rsidR="00310946">
        <w:rPr>
          <w:color w:val="000000"/>
        </w:rPr>
        <w:t xml:space="preserve">. </w:t>
      </w:r>
      <w:r w:rsidRPr="0003089D">
        <w:rPr>
          <w:color w:val="000000"/>
        </w:rPr>
        <w:t xml:space="preserve">In addition, from prior dockets, we were familiar with the customer classifications and meter sizes and noticed that some customers were misclassified. Recently, the Utility informed us that there was </w:t>
      </w:r>
      <w:r>
        <w:rPr>
          <w:color w:val="000000"/>
        </w:rPr>
        <w:t xml:space="preserve">yet </w:t>
      </w:r>
      <w:r w:rsidRPr="0003089D">
        <w:rPr>
          <w:color w:val="000000"/>
        </w:rPr>
        <w:t>another change to its billing software and a change from non-potable irrigation service to providing only potable irrigation service. In order to reflect the appropriate billing determinants, we shared with the Utility the customer classifications and meter sizes from a prior docket to address the inconsistencies and adjusted the billing determinants. To determine the appropriate service revenues, we applied the adjusted billing determinants to the existing rates. As a result, we determined that service revenues for water shall be $258,059, which is a decrease of $73,033 ($331,092 - $258,059) and $254,027 for wastewater, which is an increase of $8,819 ($254,027 - $245,208).</w:t>
      </w:r>
    </w:p>
    <w:p w14:paraId="5D4D4B21" w14:textId="77777777" w:rsidR="002638D8" w:rsidRPr="0003089D" w:rsidRDefault="002638D8" w:rsidP="0017668B">
      <w:pPr>
        <w:pStyle w:val="BodyText"/>
        <w:spacing w:after="0"/>
        <w:ind w:firstLine="720"/>
        <w:jc w:val="both"/>
      </w:pPr>
    </w:p>
    <w:p w14:paraId="0164D2C2" w14:textId="77777777" w:rsidR="00A1755C" w:rsidRPr="0003089D" w:rsidRDefault="00A1755C" w:rsidP="0017668B">
      <w:pPr>
        <w:ind w:firstLine="720"/>
        <w:jc w:val="both"/>
      </w:pPr>
      <w:r w:rsidRPr="0003089D">
        <w:rPr>
          <w:color w:val="000000"/>
        </w:rPr>
        <w:t>Based on the above, the appropriate test year operating revenues for</w:t>
      </w:r>
      <w:r w:rsidRPr="0003089D">
        <w:t xml:space="preserve"> Grenelefe</w:t>
      </w:r>
      <w:r w:rsidRPr="0003089D">
        <w:rPr>
          <w:color w:val="000000"/>
        </w:rPr>
        <w:t xml:space="preserve"> are $291,545 ($258,059 + $33,486) for the water system and $254,027 for the wastewater system.</w:t>
      </w:r>
    </w:p>
    <w:p w14:paraId="4E31CB25" w14:textId="2912EF28" w:rsidR="009F259C" w:rsidRPr="0003089D" w:rsidRDefault="009F259C" w:rsidP="0017668B">
      <w:pPr>
        <w:pStyle w:val="BodyText"/>
        <w:tabs>
          <w:tab w:val="left" w:pos="2400"/>
        </w:tabs>
        <w:spacing w:after="0"/>
      </w:pPr>
      <w:r>
        <w:tab/>
      </w:r>
    </w:p>
    <w:p w14:paraId="674B29F9" w14:textId="77777777" w:rsidR="00A1755C" w:rsidRDefault="000E64A1" w:rsidP="0017668B">
      <w:pPr>
        <w:pStyle w:val="BodyText"/>
        <w:spacing w:after="0"/>
        <w:jc w:val="both"/>
        <w:rPr>
          <w:u w:val="single"/>
        </w:rPr>
      </w:pPr>
      <w:r>
        <w:t>7.</w:t>
      </w:r>
      <w:r>
        <w:tab/>
      </w:r>
      <w:r w:rsidRPr="000E64A1">
        <w:rPr>
          <w:u w:val="single"/>
        </w:rPr>
        <w:t>Operating E</w:t>
      </w:r>
      <w:r w:rsidR="00A1755C" w:rsidRPr="000E64A1">
        <w:rPr>
          <w:u w:val="single"/>
        </w:rPr>
        <w:t>xpense</w:t>
      </w:r>
      <w:r w:rsidRPr="000E64A1">
        <w:rPr>
          <w:u w:val="single"/>
        </w:rPr>
        <w:t>s</w:t>
      </w:r>
    </w:p>
    <w:p w14:paraId="49962600" w14:textId="77777777" w:rsidR="000E64A1" w:rsidRPr="0003089D" w:rsidRDefault="000E64A1" w:rsidP="0017668B">
      <w:pPr>
        <w:pStyle w:val="BodyText"/>
        <w:spacing w:after="0"/>
        <w:jc w:val="both"/>
      </w:pPr>
    </w:p>
    <w:p w14:paraId="203CA119" w14:textId="0BBE22E5" w:rsidR="00A1755C" w:rsidRDefault="00A1755C" w:rsidP="000E64A1">
      <w:pPr>
        <w:pStyle w:val="BodyText"/>
        <w:spacing w:after="0"/>
        <w:ind w:firstLine="720"/>
        <w:jc w:val="both"/>
      </w:pPr>
      <w:r w:rsidRPr="0003089D">
        <w:t>The Utility recorded operating expense of $571,359 for water and $648,505 for wastewater. The test year operating expe</w:t>
      </w:r>
      <w:r w:rsidR="00BC2408" w:rsidRPr="0003089D">
        <w:t>nses have been reviewed by us</w:t>
      </w:r>
      <w:r w:rsidRPr="0003089D">
        <w:t xml:space="preserve">, including invoices and other supporting documentation. </w:t>
      </w:r>
      <w:r w:rsidR="00BC2408" w:rsidRPr="0003089D">
        <w:t>We have</w:t>
      </w:r>
      <w:r w:rsidRPr="0003089D">
        <w:t xml:space="preserve"> made several adjustments to the Utility’s operating expenses as described below.</w:t>
      </w:r>
    </w:p>
    <w:p w14:paraId="184D6C88" w14:textId="6BECEDF5" w:rsidR="00310946" w:rsidRDefault="00310946" w:rsidP="000E64A1">
      <w:pPr>
        <w:pStyle w:val="BodyText"/>
        <w:spacing w:after="0"/>
        <w:ind w:firstLine="720"/>
        <w:jc w:val="both"/>
      </w:pPr>
    </w:p>
    <w:p w14:paraId="7B71D2D3" w14:textId="614BB9E7" w:rsidR="00310946" w:rsidRDefault="00310946" w:rsidP="000E64A1">
      <w:pPr>
        <w:pStyle w:val="BodyText"/>
        <w:spacing w:after="0"/>
        <w:ind w:firstLine="720"/>
        <w:jc w:val="both"/>
      </w:pPr>
    </w:p>
    <w:p w14:paraId="3127BB4B" w14:textId="77777777" w:rsidR="0017668B" w:rsidRDefault="0017668B" w:rsidP="000E64A1">
      <w:pPr>
        <w:pStyle w:val="BodyText"/>
        <w:spacing w:after="0"/>
        <w:ind w:firstLine="720"/>
        <w:jc w:val="both"/>
      </w:pPr>
    </w:p>
    <w:p w14:paraId="6D09B385" w14:textId="77777777" w:rsidR="00310946" w:rsidRDefault="00310946" w:rsidP="000E64A1">
      <w:pPr>
        <w:pStyle w:val="BodyText"/>
        <w:spacing w:after="0"/>
        <w:ind w:firstLine="720"/>
        <w:jc w:val="both"/>
      </w:pPr>
    </w:p>
    <w:p w14:paraId="50FD006A" w14:textId="77777777" w:rsidR="000E64A1" w:rsidRPr="0003089D" w:rsidRDefault="000E64A1" w:rsidP="000E64A1">
      <w:pPr>
        <w:pStyle w:val="BodyText"/>
        <w:spacing w:after="0"/>
        <w:ind w:firstLine="720"/>
        <w:jc w:val="both"/>
      </w:pPr>
    </w:p>
    <w:p w14:paraId="1505D587" w14:textId="77777777" w:rsidR="00A1755C" w:rsidRPr="000E64A1" w:rsidRDefault="000E64A1" w:rsidP="000E64A1">
      <w:pPr>
        <w:ind w:firstLine="720"/>
        <w:jc w:val="both"/>
        <w:rPr>
          <w:i/>
        </w:rPr>
      </w:pPr>
      <w:r>
        <w:rPr>
          <w:i/>
        </w:rPr>
        <w:lastRenderedPageBreak/>
        <w:t xml:space="preserve">A.   </w:t>
      </w:r>
      <w:r w:rsidR="00A1755C" w:rsidRPr="000E64A1">
        <w:rPr>
          <w:i/>
        </w:rPr>
        <w:t>Operation and Maintenance Expenses</w:t>
      </w:r>
    </w:p>
    <w:p w14:paraId="1BDD488E" w14:textId="77777777" w:rsidR="000E64A1" w:rsidRPr="0003089D" w:rsidRDefault="000E64A1" w:rsidP="006D1A91">
      <w:pPr>
        <w:jc w:val="both"/>
        <w:rPr>
          <w:b/>
        </w:rPr>
      </w:pPr>
    </w:p>
    <w:p w14:paraId="13351F05" w14:textId="77777777" w:rsidR="00A1755C" w:rsidRDefault="00A1755C" w:rsidP="006D1A91">
      <w:pPr>
        <w:jc w:val="both"/>
        <w:rPr>
          <w:b/>
        </w:rPr>
      </w:pPr>
      <w:r w:rsidRPr="0003089D">
        <w:tab/>
      </w:r>
      <w:r w:rsidR="000E64A1">
        <w:tab/>
      </w:r>
      <w:r w:rsidRPr="0003089D">
        <w:rPr>
          <w:b/>
        </w:rPr>
        <w:t>Salaries and Wages – Employees (601/701)</w:t>
      </w:r>
    </w:p>
    <w:p w14:paraId="77F3B577" w14:textId="77777777" w:rsidR="000E64A1" w:rsidRPr="0003089D" w:rsidRDefault="000E64A1" w:rsidP="006D1A91">
      <w:pPr>
        <w:jc w:val="both"/>
        <w:rPr>
          <w:b/>
        </w:rPr>
      </w:pPr>
    </w:p>
    <w:p w14:paraId="2BA4C13D" w14:textId="022CA4A8" w:rsidR="002638D8" w:rsidRDefault="004D174B" w:rsidP="00755A62">
      <w:pPr>
        <w:pStyle w:val="BodyText"/>
        <w:spacing w:after="0"/>
        <w:ind w:firstLine="720"/>
        <w:jc w:val="both"/>
      </w:pPr>
      <w:r w:rsidRPr="0003089D">
        <w:t xml:space="preserve">The Utility recorded a salaries and wages – employees expense of $0 for both water and wastewater. We increased this figure by $59,001 for water and $36,099 for wastewater to account for the addition (transfer) of an “Accounting and Operations Manager” position that was previously subsumed in contractual services - accounting. As this position is being transferred to the Utility’s payroll, we find it reasonable to apply a standard 160-hour month for a full-time employee in determining the appropriate salary expense. Therefore, we </w:t>
      </w:r>
      <w:r>
        <w:t>approve</w:t>
      </w:r>
      <w:r w:rsidRPr="0003089D">
        <w:t xml:space="preserve"> a salaries and wages – employees expense of $59,001 for wa</w:t>
      </w:r>
      <w:r>
        <w:t>ter and $36,099 for wastewater.</w:t>
      </w:r>
    </w:p>
    <w:p w14:paraId="05B582D2" w14:textId="77777777" w:rsidR="0034284A" w:rsidRPr="00755A62" w:rsidRDefault="0034284A" w:rsidP="00755A62">
      <w:pPr>
        <w:pStyle w:val="BodyText"/>
        <w:spacing w:after="0"/>
        <w:ind w:firstLine="720"/>
        <w:jc w:val="both"/>
      </w:pPr>
    </w:p>
    <w:p w14:paraId="33E6D0B5" w14:textId="1A2229A8" w:rsidR="00A1755C" w:rsidRDefault="00A1755C" w:rsidP="000E64A1">
      <w:pPr>
        <w:ind w:left="720" w:firstLine="720"/>
        <w:jc w:val="both"/>
        <w:rPr>
          <w:b/>
        </w:rPr>
      </w:pPr>
      <w:r w:rsidRPr="0003089D">
        <w:rPr>
          <w:b/>
        </w:rPr>
        <w:t>Salaries and Wages – Officers and Directors (603/703)</w:t>
      </w:r>
    </w:p>
    <w:p w14:paraId="38E177C3" w14:textId="77777777" w:rsidR="000E64A1" w:rsidRPr="0003089D" w:rsidRDefault="000E64A1" w:rsidP="000E64A1">
      <w:pPr>
        <w:ind w:left="720" w:firstLine="720"/>
        <w:jc w:val="both"/>
        <w:rPr>
          <w:b/>
        </w:rPr>
      </w:pPr>
    </w:p>
    <w:p w14:paraId="0B166FCE" w14:textId="54B33FC0" w:rsidR="00FD4791" w:rsidRDefault="00FD4791" w:rsidP="002638D8">
      <w:pPr>
        <w:pStyle w:val="BodyText"/>
        <w:spacing w:after="0"/>
        <w:ind w:firstLine="720"/>
        <w:jc w:val="both"/>
      </w:pPr>
      <w:r w:rsidRPr="0003089D">
        <w:t xml:space="preserve">The Utility recorded a salaries and wages – officers and directors expense of $0 for both water and wastewater. The Utility requested the addition of an Owner’s salary of $100,000. We reviewed the duties and responsibilities of the position and found they most closely align with the “Small General Manager” classification in the 2023 AWWA Compensation Survey, which reflects a midpoint salary of $104,456. Applying our 2024 and 2025 Price Indices of 3.24 percent and 2.23 percent results in a compound indexed amount of $110,245. </w:t>
      </w:r>
    </w:p>
    <w:p w14:paraId="7BA17BD8" w14:textId="77777777" w:rsidR="002638D8" w:rsidRPr="0003089D" w:rsidRDefault="002638D8" w:rsidP="002638D8">
      <w:pPr>
        <w:pStyle w:val="BodyText"/>
        <w:spacing w:after="0"/>
        <w:ind w:firstLine="720"/>
        <w:jc w:val="both"/>
      </w:pPr>
    </w:p>
    <w:p w14:paraId="76CBE861" w14:textId="77777777" w:rsidR="00FD4791" w:rsidRDefault="00FD4791" w:rsidP="00FD4791">
      <w:pPr>
        <w:pStyle w:val="BodyText"/>
        <w:spacing w:after="0"/>
        <w:ind w:firstLine="720"/>
        <w:jc w:val="both"/>
      </w:pPr>
      <w:r w:rsidRPr="0003089D">
        <w:t>However, we find that the work hours reported by the Owner appear overstated and are unsupported.</w:t>
      </w:r>
      <w:r w:rsidRPr="0003089D">
        <w:rPr>
          <w:rStyle w:val="FootnoteReference"/>
        </w:rPr>
        <w:footnoteReference w:id="45"/>
      </w:r>
      <w:r w:rsidRPr="0003089D">
        <w:t xml:space="preserve"> In response to our staff’s sixth data request, the Utility stated that maintaining a timesheet would not be an efficient use of the Owner’s time.</w:t>
      </w:r>
      <w:r w:rsidRPr="0003089D">
        <w:rPr>
          <w:rStyle w:val="FootnoteReference"/>
        </w:rPr>
        <w:footnoteReference w:id="46"/>
      </w:r>
      <w:r w:rsidRPr="0003089D">
        <w:t xml:space="preserve"> In addition, the Utility provided a summary of the various entities to which the Owner devotes time beyond the Utility, including: Ronin Assets, LLC; SJD Development, LLC; Smokey Grove Development; and Grenelefe Resort Development, LLC. Given this information and fair assumptions regarding time management, we find it reasonable to base the Owner’s salary on a 100-hour work month. We calculated a salary of $68,903 using the aforementioned compensation and duration assumptions. Therefore, we </w:t>
      </w:r>
      <w:r>
        <w:t>approve</w:t>
      </w:r>
      <w:r w:rsidRPr="0003089D">
        <w:t xml:space="preserve"> a salaries and wages – officers and directors expense of $42,993 for water and $25,910 for wastewater. </w:t>
      </w:r>
      <w:r>
        <w:t>These salaries shall be reduced by 25 percent to $32,245 for water and $19,432 for wastewater for reasons discussed in Section 1.</w:t>
      </w:r>
    </w:p>
    <w:p w14:paraId="79539B3F" w14:textId="77777777" w:rsidR="009F259C" w:rsidRDefault="009F259C" w:rsidP="009F259C">
      <w:pPr>
        <w:pStyle w:val="BodyText"/>
        <w:tabs>
          <w:tab w:val="left" w:pos="4335"/>
        </w:tabs>
        <w:spacing w:after="0"/>
        <w:ind w:firstLine="720"/>
        <w:jc w:val="both"/>
      </w:pPr>
    </w:p>
    <w:p w14:paraId="1777C902" w14:textId="77777777" w:rsidR="00A1755C" w:rsidRDefault="00A1755C" w:rsidP="000E64A1">
      <w:pPr>
        <w:ind w:left="720" w:firstLine="720"/>
        <w:jc w:val="both"/>
        <w:rPr>
          <w:b/>
        </w:rPr>
      </w:pPr>
      <w:r w:rsidRPr="0003089D">
        <w:rPr>
          <w:b/>
        </w:rPr>
        <w:t>Sludge Removal (711)</w:t>
      </w:r>
    </w:p>
    <w:p w14:paraId="696714C9" w14:textId="77777777" w:rsidR="000E64A1" w:rsidRPr="0003089D" w:rsidRDefault="000E64A1" w:rsidP="000E64A1">
      <w:pPr>
        <w:ind w:left="720" w:firstLine="720"/>
        <w:jc w:val="both"/>
        <w:rPr>
          <w:b/>
        </w:rPr>
      </w:pPr>
    </w:p>
    <w:p w14:paraId="329552AA" w14:textId="41570B2F" w:rsidR="000E64A1" w:rsidRDefault="00A1755C" w:rsidP="004A138E">
      <w:pPr>
        <w:pStyle w:val="BodyText"/>
        <w:spacing w:after="0"/>
        <w:ind w:firstLine="720"/>
        <w:jc w:val="both"/>
      </w:pPr>
      <w:r w:rsidRPr="0003089D">
        <w:t xml:space="preserve">The Utility recorded sludge removal expenses of $85,930 for wastewater. </w:t>
      </w:r>
      <w:r w:rsidR="00BC2408" w:rsidRPr="0003089D">
        <w:t xml:space="preserve">We </w:t>
      </w:r>
      <w:r w:rsidRPr="0003089D">
        <w:t xml:space="preserve">decreased the sludge removal expense by $25,330 to reflect actual invoices provided for the test year. Therefore, </w:t>
      </w:r>
      <w:r w:rsidR="00BC2408" w:rsidRPr="0003089D">
        <w:t>we</w:t>
      </w:r>
      <w:r w:rsidRPr="0003089D">
        <w:t xml:space="preserve"> </w:t>
      </w:r>
      <w:r w:rsidR="00FD4791">
        <w:t>approve</w:t>
      </w:r>
      <w:r w:rsidRPr="0003089D">
        <w:t xml:space="preserve"> a sludge removal expense of $60,600 for wastewater.</w:t>
      </w:r>
    </w:p>
    <w:p w14:paraId="25910FF6" w14:textId="38E7D7EA" w:rsidR="004A138E" w:rsidRDefault="004A138E" w:rsidP="004A138E">
      <w:pPr>
        <w:pStyle w:val="BodyText"/>
        <w:spacing w:after="0"/>
        <w:ind w:firstLine="720"/>
        <w:jc w:val="both"/>
      </w:pPr>
    </w:p>
    <w:p w14:paraId="31530147" w14:textId="24BC8A5B" w:rsidR="0034284A" w:rsidRDefault="0034284A" w:rsidP="004A138E">
      <w:pPr>
        <w:pStyle w:val="BodyText"/>
        <w:spacing w:after="0"/>
        <w:ind w:firstLine="720"/>
        <w:jc w:val="both"/>
      </w:pPr>
    </w:p>
    <w:p w14:paraId="70148B1D" w14:textId="23A7D800" w:rsidR="0034284A" w:rsidRDefault="0034284A" w:rsidP="004A138E">
      <w:pPr>
        <w:pStyle w:val="BodyText"/>
        <w:spacing w:after="0"/>
        <w:ind w:firstLine="720"/>
        <w:jc w:val="both"/>
      </w:pPr>
    </w:p>
    <w:p w14:paraId="79164C97" w14:textId="77777777" w:rsidR="0034284A" w:rsidRPr="004A138E" w:rsidRDefault="0034284A" w:rsidP="004A138E">
      <w:pPr>
        <w:pStyle w:val="BodyText"/>
        <w:spacing w:after="0"/>
        <w:ind w:firstLine="720"/>
        <w:jc w:val="both"/>
      </w:pPr>
    </w:p>
    <w:p w14:paraId="491E1FCA" w14:textId="77777777" w:rsidR="00A1755C" w:rsidRDefault="00A1755C" w:rsidP="000E64A1">
      <w:pPr>
        <w:ind w:left="720" w:firstLine="720"/>
        <w:jc w:val="both"/>
        <w:rPr>
          <w:b/>
        </w:rPr>
      </w:pPr>
      <w:r w:rsidRPr="0003089D">
        <w:rPr>
          <w:b/>
        </w:rPr>
        <w:lastRenderedPageBreak/>
        <w:t>Purchased Power (615/715)</w:t>
      </w:r>
    </w:p>
    <w:p w14:paraId="29FC52B0" w14:textId="77777777" w:rsidR="000E64A1" w:rsidRPr="0003089D" w:rsidRDefault="000E64A1" w:rsidP="006D1A91">
      <w:pPr>
        <w:ind w:firstLine="720"/>
        <w:jc w:val="both"/>
        <w:rPr>
          <w:b/>
        </w:rPr>
      </w:pPr>
      <w:r>
        <w:rPr>
          <w:b/>
        </w:rPr>
        <w:tab/>
      </w:r>
    </w:p>
    <w:p w14:paraId="4FFCEA73" w14:textId="1C630B22" w:rsidR="00A1755C" w:rsidRDefault="00A1755C" w:rsidP="000E64A1">
      <w:pPr>
        <w:pStyle w:val="BodyText"/>
        <w:spacing w:after="0"/>
        <w:ind w:firstLine="720"/>
        <w:jc w:val="both"/>
      </w:pPr>
      <w:r w:rsidRPr="0003089D">
        <w:t xml:space="preserve">The Utility recorded purchased power expenses of $45,852 for water and $54,758 for wastewater. </w:t>
      </w:r>
      <w:r w:rsidR="00BC2408" w:rsidRPr="0003089D">
        <w:t xml:space="preserve">We </w:t>
      </w:r>
      <w:r w:rsidRPr="0003089D">
        <w:t xml:space="preserve">decreased the purchased power expense by $24,846 for water and increased the expense by $19,914 for wastewater. </w:t>
      </w:r>
      <w:r w:rsidR="00BC2408" w:rsidRPr="0003089D">
        <w:t>We</w:t>
      </w:r>
      <w:r w:rsidRPr="0003089D">
        <w:t xml:space="preserve"> further decreased purchased power by $29 for wastewater to accurately reflect invoices received for the test year. Additionally, </w:t>
      </w:r>
      <w:r w:rsidR="00BC2408" w:rsidRPr="0003089D">
        <w:t>we</w:t>
      </w:r>
      <w:r w:rsidRPr="0003089D">
        <w:t xml:space="preserve"> decreased water by $11,322 to reflect the 53.90 percent EUW discussed in </w:t>
      </w:r>
      <w:r w:rsidR="00BC2408" w:rsidRPr="0003089D">
        <w:t>Section</w:t>
      </w:r>
      <w:r w:rsidRPr="0003089D">
        <w:t xml:space="preserve"> 3. </w:t>
      </w:r>
      <w:r w:rsidR="00BC2408" w:rsidRPr="0003089D">
        <w:t>Our</w:t>
      </w:r>
      <w:r w:rsidRPr="0003089D">
        <w:t xml:space="preserve"> adjustments to purchased power result in a total decrease of $36,168 to water and an increase of $19,885 to wastewater. Therefore, </w:t>
      </w:r>
      <w:r w:rsidR="00AC36CA">
        <w:t>we approve</w:t>
      </w:r>
      <w:r w:rsidRPr="0003089D">
        <w:t xml:space="preserve"> a purchased power expense of $9,684 for water and $74,643 for wastewater. </w:t>
      </w:r>
    </w:p>
    <w:p w14:paraId="34BB26AE" w14:textId="77777777" w:rsidR="000E64A1" w:rsidRPr="0003089D" w:rsidRDefault="000E64A1" w:rsidP="000E64A1">
      <w:pPr>
        <w:pStyle w:val="BodyText"/>
        <w:spacing w:after="0"/>
        <w:ind w:firstLine="720"/>
        <w:jc w:val="both"/>
      </w:pPr>
    </w:p>
    <w:p w14:paraId="0AC7A014" w14:textId="77777777" w:rsidR="00A1755C" w:rsidRDefault="00A1755C" w:rsidP="006D1A91">
      <w:pPr>
        <w:jc w:val="both"/>
        <w:rPr>
          <w:b/>
        </w:rPr>
      </w:pPr>
      <w:r w:rsidRPr="0003089D">
        <w:tab/>
      </w:r>
      <w:r w:rsidR="000E64A1">
        <w:tab/>
      </w:r>
      <w:r w:rsidRPr="0003089D">
        <w:rPr>
          <w:b/>
        </w:rPr>
        <w:t>Chemicals (618/718)</w:t>
      </w:r>
    </w:p>
    <w:p w14:paraId="2754E1F4" w14:textId="77777777" w:rsidR="000E64A1" w:rsidRPr="0003089D" w:rsidRDefault="000E64A1" w:rsidP="006D1A91">
      <w:pPr>
        <w:jc w:val="both"/>
        <w:rPr>
          <w:b/>
        </w:rPr>
      </w:pPr>
    </w:p>
    <w:p w14:paraId="7E6D1A70" w14:textId="6346025F" w:rsidR="00A1755C" w:rsidRDefault="00A1755C" w:rsidP="000E64A1">
      <w:pPr>
        <w:pStyle w:val="BodyText"/>
        <w:spacing w:after="0"/>
        <w:ind w:firstLine="720"/>
        <w:jc w:val="both"/>
      </w:pPr>
      <w:r w:rsidRPr="0003089D">
        <w:t xml:space="preserve">The Utility recorded chemicals expenses of $18,934 for water and $7,877 for wastewater. </w:t>
      </w:r>
      <w:r w:rsidR="00BC2408" w:rsidRPr="0003089D">
        <w:t>We</w:t>
      </w:r>
      <w:r w:rsidRPr="0003089D">
        <w:t xml:space="preserve"> decreased these amounts by $2,134 and $677 for water and wastewater, respectively, to reflect actual invoices provided for the test year. Additionally, </w:t>
      </w:r>
      <w:r w:rsidR="00BC2408" w:rsidRPr="0003089D">
        <w:t>we</w:t>
      </w:r>
      <w:r w:rsidRPr="0003089D">
        <w:t xml:space="preserve"> decreased water by $10,205 to reflect the 53.90 percent EUW discussed in </w:t>
      </w:r>
      <w:r w:rsidR="00BC2408" w:rsidRPr="0003089D">
        <w:t>Section</w:t>
      </w:r>
      <w:r w:rsidRPr="0003089D">
        <w:t xml:space="preserve"> 3. Therefore, </w:t>
      </w:r>
      <w:r w:rsidR="00AC36CA">
        <w:t>we approve</w:t>
      </w:r>
      <w:r w:rsidRPr="0003089D">
        <w:t xml:space="preserve"> a chemicals expense of $6,595 for water and $7,200 for wastewater. </w:t>
      </w:r>
    </w:p>
    <w:p w14:paraId="3A9C41DC" w14:textId="77777777" w:rsidR="000E64A1" w:rsidRPr="0003089D" w:rsidRDefault="000E64A1" w:rsidP="000E64A1">
      <w:pPr>
        <w:pStyle w:val="BodyText"/>
        <w:spacing w:after="0"/>
        <w:ind w:firstLine="720"/>
        <w:jc w:val="both"/>
      </w:pPr>
    </w:p>
    <w:p w14:paraId="1797627A" w14:textId="77777777" w:rsidR="00A1755C" w:rsidRDefault="00A1755C" w:rsidP="006D1A91">
      <w:pPr>
        <w:jc w:val="both"/>
        <w:rPr>
          <w:b/>
        </w:rPr>
      </w:pPr>
      <w:r w:rsidRPr="0003089D">
        <w:tab/>
      </w:r>
      <w:r w:rsidR="000E64A1">
        <w:tab/>
      </w:r>
      <w:r w:rsidRPr="0003089D">
        <w:rPr>
          <w:b/>
        </w:rPr>
        <w:t>Contractual Services – Professional (731)</w:t>
      </w:r>
    </w:p>
    <w:p w14:paraId="25A995B9" w14:textId="77777777" w:rsidR="000E64A1" w:rsidRPr="0003089D" w:rsidRDefault="000E64A1" w:rsidP="006D1A91">
      <w:pPr>
        <w:jc w:val="both"/>
        <w:rPr>
          <w:b/>
        </w:rPr>
      </w:pPr>
    </w:p>
    <w:p w14:paraId="75E1A4E8" w14:textId="707F1FF2" w:rsidR="00A1755C" w:rsidRDefault="00A1755C" w:rsidP="000E64A1">
      <w:pPr>
        <w:pStyle w:val="BodyText"/>
        <w:spacing w:after="0"/>
        <w:ind w:firstLine="720"/>
        <w:jc w:val="both"/>
      </w:pPr>
      <w:r w:rsidRPr="0003089D">
        <w:t xml:space="preserve">The Utility recorded contractual services – professional expenses of $675 for wastewater. </w:t>
      </w:r>
      <w:r w:rsidR="00BC2408" w:rsidRPr="0003089D">
        <w:t>We</w:t>
      </w:r>
      <w:r w:rsidRPr="0003089D">
        <w:t xml:space="preserve"> reduced this amount by $675 due to the lack of supporting documentation. Therefore, </w:t>
      </w:r>
      <w:r w:rsidR="00BC2408" w:rsidRPr="0003089D">
        <w:t>we</w:t>
      </w:r>
      <w:r w:rsidRPr="0003089D">
        <w:t xml:space="preserve"> </w:t>
      </w:r>
      <w:r w:rsidR="00AC36CA">
        <w:t>approve</w:t>
      </w:r>
      <w:r w:rsidRPr="0003089D">
        <w:t xml:space="preserve"> a contractual services – professional wastewater expense of $0.</w:t>
      </w:r>
    </w:p>
    <w:p w14:paraId="6C805C27" w14:textId="77777777" w:rsidR="000E64A1" w:rsidRPr="0003089D" w:rsidRDefault="000E64A1" w:rsidP="000E64A1">
      <w:pPr>
        <w:pStyle w:val="BodyText"/>
        <w:spacing w:after="0"/>
        <w:ind w:firstLine="720"/>
        <w:jc w:val="both"/>
      </w:pPr>
    </w:p>
    <w:p w14:paraId="135C3863" w14:textId="77777777" w:rsidR="00A1755C" w:rsidRDefault="00A1755C" w:rsidP="006D1A91">
      <w:pPr>
        <w:jc w:val="both"/>
        <w:rPr>
          <w:b/>
        </w:rPr>
      </w:pPr>
      <w:r w:rsidRPr="0003089D">
        <w:tab/>
      </w:r>
      <w:r w:rsidR="000E64A1">
        <w:tab/>
      </w:r>
      <w:r w:rsidRPr="0003089D">
        <w:rPr>
          <w:b/>
        </w:rPr>
        <w:t>Contractual Services – Accounting (632/732)</w:t>
      </w:r>
    </w:p>
    <w:p w14:paraId="53EBD6F3" w14:textId="77777777" w:rsidR="000E64A1" w:rsidRPr="0003089D" w:rsidRDefault="000E64A1" w:rsidP="006D1A91">
      <w:pPr>
        <w:jc w:val="both"/>
        <w:rPr>
          <w:b/>
        </w:rPr>
      </w:pPr>
    </w:p>
    <w:p w14:paraId="19A20FD5" w14:textId="76498F56" w:rsidR="00A1755C" w:rsidRDefault="00A1755C" w:rsidP="000E64A1">
      <w:pPr>
        <w:pStyle w:val="BodyText"/>
        <w:spacing w:after="0"/>
        <w:ind w:firstLine="720"/>
        <w:jc w:val="both"/>
      </w:pPr>
      <w:r w:rsidRPr="0003089D">
        <w:t xml:space="preserve">The Utility recorded contractual services – accounting expenses of $41,750 for water and $41,750 for wastewater. </w:t>
      </w:r>
      <w:r w:rsidR="00BC2408" w:rsidRPr="0003089D">
        <w:t>We</w:t>
      </w:r>
      <w:r w:rsidRPr="0003089D">
        <w:t xml:space="preserve"> increased both of these expenses by $6,250 to reflect the correct invoiced contractual services amount. Additionally, </w:t>
      </w:r>
      <w:r w:rsidR="00BC2408" w:rsidRPr="0003089D">
        <w:t>we</w:t>
      </w:r>
      <w:r w:rsidRPr="0003089D">
        <w:t xml:space="preserve"> decreased these accounts by $48,000 for water and $48,000 for wastewater to reflect the reclassification of the “Accounting and Operations Manager” expense from contractual services to salaries and wages - employees. Therefore, </w:t>
      </w:r>
      <w:r w:rsidR="00BC2408" w:rsidRPr="0003089D">
        <w:t>we</w:t>
      </w:r>
      <w:r w:rsidRPr="0003089D">
        <w:t xml:space="preserve"> </w:t>
      </w:r>
      <w:r w:rsidR="00AC36CA">
        <w:t>approve</w:t>
      </w:r>
      <w:r w:rsidRPr="0003089D">
        <w:t xml:space="preserve"> contractual services – accounting expenses of $0 for water and $0 for wastewater. </w:t>
      </w:r>
    </w:p>
    <w:p w14:paraId="012E2C1D" w14:textId="77777777" w:rsidR="00AC36CA" w:rsidRPr="0003089D" w:rsidRDefault="00AC36CA" w:rsidP="000E64A1">
      <w:pPr>
        <w:pStyle w:val="BodyText"/>
        <w:spacing w:after="0"/>
        <w:ind w:firstLine="720"/>
        <w:jc w:val="both"/>
      </w:pPr>
    </w:p>
    <w:p w14:paraId="10500E6C" w14:textId="32159F49" w:rsidR="00A1755C" w:rsidRDefault="00A1755C" w:rsidP="006D1A91">
      <w:pPr>
        <w:jc w:val="both"/>
        <w:rPr>
          <w:b/>
        </w:rPr>
      </w:pPr>
      <w:r w:rsidRPr="0003089D">
        <w:tab/>
      </w:r>
      <w:r w:rsidR="000E64A1">
        <w:tab/>
      </w:r>
      <w:r w:rsidRPr="0003089D">
        <w:rPr>
          <w:b/>
        </w:rPr>
        <w:t>Contractual Services – Legal (633/733)</w:t>
      </w:r>
    </w:p>
    <w:p w14:paraId="028C7336" w14:textId="77777777" w:rsidR="00AC36CA" w:rsidRPr="0003089D" w:rsidRDefault="00AC36CA" w:rsidP="006D1A91">
      <w:pPr>
        <w:jc w:val="both"/>
        <w:rPr>
          <w:b/>
        </w:rPr>
      </w:pPr>
    </w:p>
    <w:p w14:paraId="6A460B4A" w14:textId="37590B77" w:rsidR="00A1755C" w:rsidRDefault="00A1755C" w:rsidP="000E64A1">
      <w:pPr>
        <w:pStyle w:val="BodyText"/>
        <w:spacing w:after="0"/>
        <w:ind w:firstLine="720"/>
        <w:jc w:val="both"/>
      </w:pPr>
      <w:r w:rsidRPr="0003089D">
        <w:t xml:space="preserve">The Utility recorded contractual services – legal expenses of $49,529 for water and $49,529 for wastewater. </w:t>
      </w:r>
      <w:r w:rsidR="00BC2408" w:rsidRPr="0003089D">
        <w:t>We</w:t>
      </w:r>
      <w:r w:rsidRPr="0003089D">
        <w:t xml:space="preserve"> reduced each account by $40,722 to reflect actual contractual amounts and to remove legal expenses from a past proceeding.</w:t>
      </w:r>
      <w:r w:rsidRPr="0003089D">
        <w:rPr>
          <w:rStyle w:val="FootnoteReference"/>
        </w:rPr>
        <w:footnoteReference w:id="47"/>
      </w:r>
      <w:r w:rsidRPr="0003089D">
        <w:t xml:space="preserve"> Additionally, </w:t>
      </w:r>
      <w:r w:rsidR="00BC2408" w:rsidRPr="0003089D">
        <w:t>we</w:t>
      </w:r>
      <w:r w:rsidRPr="0003089D">
        <w:t xml:space="preserve"> removed $1,420 from water and $1,420 from wastewater to reflect the removal of out-of-test-year expenses. </w:t>
      </w:r>
      <w:r w:rsidR="00BC2408" w:rsidRPr="0003089D">
        <w:t xml:space="preserve">Our </w:t>
      </w:r>
      <w:r w:rsidRPr="0003089D">
        <w:t xml:space="preserve">adjustments result in a total decrease of $42,142 to both water and wastewater. </w:t>
      </w:r>
      <w:r w:rsidRPr="0003089D">
        <w:lastRenderedPageBreak/>
        <w:t xml:space="preserve">Therefore, </w:t>
      </w:r>
      <w:r w:rsidR="00BC2408" w:rsidRPr="0003089D">
        <w:t>we</w:t>
      </w:r>
      <w:r w:rsidRPr="0003089D">
        <w:t xml:space="preserve"> </w:t>
      </w:r>
      <w:r w:rsidR="00AC36CA">
        <w:t>approve</w:t>
      </w:r>
      <w:r w:rsidRPr="0003089D">
        <w:t xml:space="preserve"> contractual services – legal expenses of $7,387 for water and $7,387 for wastewater. </w:t>
      </w:r>
    </w:p>
    <w:p w14:paraId="2123002F" w14:textId="6890EF14" w:rsidR="00310946" w:rsidRDefault="00310946" w:rsidP="006D1A91">
      <w:pPr>
        <w:jc w:val="both"/>
      </w:pPr>
    </w:p>
    <w:p w14:paraId="6163C6A8" w14:textId="77777777" w:rsidR="00A1755C" w:rsidRDefault="00A1755C" w:rsidP="00CF5EE6">
      <w:pPr>
        <w:ind w:left="720" w:firstLine="720"/>
        <w:jc w:val="both"/>
        <w:rPr>
          <w:b/>
        </w:rPr>
      </w:pPr>
      <w:r w:rsidRPr="0003089D">
        <w:rPr>
          <w:b/>
        </w:rPr>
        <w:t>Contractual Services – Testing (635/735)</w:t>
      </w:r>
    </w:p>
    <w:p w14:paraId="4BC8F971" w14:textId="77777777" w:rsidR="000E64A1" w:rsidRPr="0003089D" w:rsidRDefault="000E64A1" w:rsidP="006D1A91">
      <w:pPr>
        <w:jc w:val="both"/>
        <w:rPr>
          <w:b/>
        </w:rPr>
      </w:pPr>
    </w:p>
    <w:p w14:paraId="781638CB" w14:textId="65D3545A" w:rsidR="00A1755C" w:rsidRDefault="00A1755C" w:rsidP="000E64A1">
      <w:pPr>
        <w:pStyle w:val="BodyText"/>
        <w:spacing w:after="0"/>
        <w:ind w:firstLine="720"/>
        <w:jc w:val="both"/>
      </w:pPr>
      <w:r w:rsidRPr="0003089D">
        <w:t xml:space="preserve">The Utility recorded contractual services – testing expenses of $17,747 for water and $33,793 for wastewater. </w:t>
      </w:r>
      <w:r w:rsidR="00BC2408" w:rsidRPr="0003089D">
        <w:t>We</w:t>
      </w:r>
      <w:r w:rsidRPr="0003089D">
        <w:t xml:space="preserve"> reduced the accounts by $7,092 for water and $26,689 for wastewater to reflect actual invoices recorded for the test year. Therefore, </w:t>
      </w:r>
      <w:r w:rsidR="00BC2408" w:rsidRPr="0003089D">
        <w:t>we</w:t>
      </w:r>
      <w:r w:rsidRPr="0003089D">
        <w:t xml:space="preserve"> </w:t>
      </w:r>
      <w:r w:rsidR="00AC36CA">
        <w:t>approve</w:t>
      </w:r>
      <w:r w:rsidRPr="0003089D">
        <w:t xml:space="preserve"> a contractual services – testing expense of $10,655 for water and $7,104 for wastewater. </w:t>
      </w:r>
    </w:p>
    <w:p w14:paraId="078DAE4C" w14:textId="77777777" w:rsidR="000E64A1" w:rsidRPr="0003089D" w:rsidRDefault="000E64A1" w:rsidP="000E64A1">
      <w:pPr>
        <w:pStyle w:val="BodyText"/>
        <w:spacing w:after="0"/>
        <w:ind w:firstLine="720"/>
        <w:jc w:val="both"/>
      </w:pPr>
    </w:p>
    <w:p w14:paraId="61645879" w14:textId="77777777" w:rsidR="00A1755C" w:rsidRDefault="00A1755C" w:rsidP="006D1A91">
      <w:pPr>
        <w:jc w:val="both"/>
        <w:rPr>
          <w:b/>
        </w:rPr>
      </w:pPr>
      <w:r w:rsidRPr="0003089D">
        <w:tab/>
      </w:r>
      <w:r w:rsidR="000E64A1">
        <w:tab/>
      </w:r>
      <w:r w:rsidRPr="0003089D">
        <w:rPr>
          <w:b/>
        </w:rPr>
        <w:t>Contractual Services – Other (636/736)</w:t>
      </w:r>
    </w:p>
    <w:p w14:paraId="61A30301" w14:textId="77777777" w:rsidR="000E64A1" w:rsidRPr="0003089D" w:rsidRDefault="000E64A1" w:rsidP="006D1A91">
      <w:pPr>
        <w:jc w:val="both"/>
        <w:rPr>
          <w:b/>
        </w:rPr>
      </w:pPr>
    </w:p>
    <w:p w14:paraId="45B73087" w14:textId="3784A2B7" w:rsidR="000E64A1" w:rsidRDefault="00A1755C" w:rsidP="000E64A1">
      <w:pPr>
        <w:pStyle w:val="BodyText"/>
        <w:spacing w:after="0"/>
        <w:ind w:firstLine="720"/>
        <w:jc w:val="both"/>
      </w:pPr>
      <w:r w:rsidRPr="0003089D">
        <w:t xml:space="preserve">The Utility recorded contractual services – other expenses of $329,390 for water and $334,095 for wastewater. </w:t>
      </w:r>
      <w:r w:rsidR="00BC2408" w:rsidRPr="0003089D">
        <w:t>We</w:t>
      </w:r>
      <w:r w:rsidRPr="0003089D">
        <w:t xml:space="preserve"> reduced these amounts by $24,472 for water and $100,823 for wastewater to reflect actual invoices recorded for the test year. Additionally, </w:t>
      </w:r>
      <w:r w:rsidR="00BC2408" w:rsidRPr="0003089D">
        <w:t>we</w:t>
      </w:r>
      <w:r w:rsidRPr="0003089D">
        <w:t xml:space="preserve"> removed $7,910 for water and $7,910 for wastewater to reflect the removal of out-of-test-year expenses. </w:t>
      </w:r>
      <w:r w:rsidR="00BC2408" w:rsidRPr="0003089D">
        <w:t>Our</w:t>
      </w:r>
      <w:r w:rsidRPr="0003089D">
        <w:t xml:space="preserve"> adjustments result in a total decrease of $32,382 to water and $108,733 to wastewater. Therefore, </w:t>
      </w:r>
      <w:r w:rsidR="00BC2408" w:rsidRPr="0003089D">
        <w:t>we</w:t>
      </w:r>
      <w:r w:rsidRPr="0003089D">
        <w:t xml:space="preserve"> </w:t>
      </w:r>
      <w:r w:rsidR="00AC36CA">
        <w:t>approve</w:t>
      </w:r>
      <w:r w:rsidRPr="0003089D">
        <w:t xml:space="preserve"> contractual services – other expense of $297,008 for water and $225,362 for wastewater.</w:t>
      </w:r>
    </w:p>
    <w:p w14:paraId="1FCD8BDA" w14:textId="77777777" w:rsidR="00A1755C" w:rsidRPr="0003089D" w:rsidRDefault="00A1755C" w:rsidP="000E64A1">
      <w:pPr>
        <w:pStyle w:val="BodyText"/>
        <w:spacing w:after="0"/>
        <w:ind w:firstLine="720"/>
        <w:jc w:val="both"/>
      </w:pPr>
      <w:r w:rsidRPr="0003089D">
        <w:t xml:space="preserve"> </w:t>
      </w:r>
    </w:p>
    <w:p w14:paraId="2B7AF7BF" w14:textId="77777777" w:rsidR="00A1755C" w:rsidRDefault="00A1755C" w:rsidP="006D1A91">
      <w:pPr>
        <w:jc w:val="both"/>
        <w:rPr>
          <w:b/>
        </w:rPr>
      </w:pPr>
      <w:r w:rsidRPr="0003089D">
        <w:tab/>
      </w:r>
      <w:r w:rsidR="000E64A1">
        <w:tab/>
      </w:r>
      <w:r w:rsidRPr="0003089D">
        <w:rPr>
          <w:b/>
        </w:rPr>
        <w:t>Insurance Expense – Vehicle (656/756)</w:t>
      </w:r>
    </w:p>
    <w:p w14:paraId="277F3427" w14:textId="77777777" w:rsidR="000E64A1" w:rsidRPr="0003089D" w:rsidRDefault="000E64A1" w:rsidP="006D1A91">
      <w:pPr>
        <w:jc w:val="both"/>
        <w:rPr>
          <w:b/>
        </w:rPr>
      </w:pPr>
    </w:p>
    <w:p w14:paraId="560086DF" w14:textId="386C6EDA" w:rsidR="00A1755C" w:rsidRDefault="00A1755C" w:rsidP="000E64A1">
      <w:pPr>
        <w:pStyle w:val="BodyText"/>
        <w:spacing w:after="0"/>
        <w:ind w:firstLine="720"/>
        <w:jc w:val="both"/>
      </w:pPr>
      <w:r w:rsidRPr="0003089D">
        <w:t xml:space="preserve">The Utility recorded insurance expense – vehicle amounts of $2,153 for water and $2,154 for wastewater. </w:t>
      </w:r>
      <w:r w:rsidR="00BC2408" w:rsidRPr="0003089D">
        <w:t>We</w:t>
      </w:r>
      <w:r w:rsidRPr="0003089D">
        <w:t xml:space="preserve"> reclassified these amounts to insurance expense – general liability as it reflects property insurance for plant and not vehicles. Therefore, </w:t>
      </w:r>
      <w:r w:rsidR="00BC2408" w:rsidRPr="0003089D">
        <w:t>we</w:t>
      </w:r>
      <w:r w:rsidRPr="0003089D">
        <w:t xml:space="preserve"> </w:t>
      </w:r>
      <w:r w:rsidR="00AC36CA">
        <w:t>approve</w:t>
      </w:r>
      <w:r w:rsidRPr="0003089D">
        <w:t xml:space="preserve"> an insurance expense – vehicle expense of $0 for water $0 for wastewater. </w:t>
      </w:r>
    </w:p>
    <w:p w14:paraId="6D42F685" w14:textId="77777777" w:rsidR="000E64A1" w:rsidRPr="0003089D" w:rsidRDefault="000E64A1" w:rsidP="000E64A1">
      <w:pPr>
        <w:pStyle w:val="BodyText"/>
        <w:spacing w:after="0"/>
        <w:ind w:firstLine="720"/>
        <w:jc w:val="both"/>
      </w:pPr>
    </w:p>
    <w:p w14:paraId="3CF84088" w14:textId="77777777" w:rsidR="00A1755C" w:rsidRDefault="00A1755C" w:rsidP="006D1A91">
      <w:pPr>
        <w:jc w:val="both"/>
        <w:rPr>
          <w:b/>
        </w:rPr>
      </w:pPr>
      <w:r w:rsidRPr="0003089D">
        <w:tab/>
      </w:r>
      <w:r w:rsidR="000E64A1">
        <w:tab/>
      </w:r>
      <w:r w:rsidRPr="0003089D">
        <w:rPr>
          <w:b/>
        </w:rPr>
        <w:t>Insurance Expense – General Liability (657/757)</w:t>
      </w:r>
    </w:p>
    <w:p w14:paraId="1AD070C2" w14:textId="77777777" w:rsidR="000E64A1" w:rsidRPr="0003089D" w:rsidRDefault="000E64A1" w:rsidP="006D1A91">
      <w:pPr>
        <w:jc w:val="both"/>
        <w:rPr>
          <w:b/>
        </w:rPr>
      </w:pPr>
    </w:p>
    <w:p w14:paraId="498283AA" w14:textId="207C5B6D" w:rsidR="00A1755C" w:rsidRDefault="00A1755C" w:rsidP="000E64A1">
      <w:pPr>
        <w:pStyle w:val="BodyText"/>
        <w:spacing w:after="0"/>
        <w:ind w:firstLine="720"/>
        <w:jc w:val="both"/>
      </w:pPr>
      <w:r w:rsidRPr="0003089D">
        <w:t xml:space="preserve">The Utility recorded an insurance expense – general liability of $1,375 for water $1,375 for wastewater. </w:t>
      </w:r>
      <w:r w:rsidR="00BC2408" w:rsidRPr="0003089D">
        <w:t>We</w:t>
      </w:r>
      <w:r w:rsidRPr="0003089D">
        <w:t xml:space="preserve"> increased this figure by $2,153 for water and $2,154 for wastewater to reflect the reclassification of expenses from insurance expense – vehicle to insurance expense – general liability. Therefore, </w:t>
      </w:r>
      <w:r w:rsidR="00BC2408" w:rsidRPr="0003089D">
        <w:t>we</w:t>
      </w:r>
      <w:r w:rsidRPr="0003089D">
        <w:t xml:space="preserve"> </w:t>
      </w:r>
      <w:r w:rsidR="00AC36CA">
        <w:t>approve</w:t>
      </w:r>
      <w:r w:rsidRPr="0003089D">
        <w:t xml:space="preserve"> a general liability insurance expense of $3,528 for water and $3,529 for wastewater. </w:t>
      </w:r>
    </w:p>
    <w:p w14:paraId="2F01EBA6" w14:textId="77777777" w:rsidR="000E64A1" w:rsidRPr="0003089D" w:rsidRDefault="000E64A1" w:rsidP="000E64A1">
      <w:pPr>
        <w:pStyle w:val="BodyText"/>
        <w:spacing w:after="0"/>
        <w:ind w:firstLine="720"/>
        <w:jc w:val="both"/>
      </w:pPr>
    </w:p>
    <w:p w14:paraId="77B9FF71" w14:textId="77777777" w:rsidR="00A1755C" w:rsidRDefault="00A1755C" w:rsidP="006D1A91">
      <w:pPr>
        <w:jc w:val="both"/>
        <w:rPr>
          <w:b/>
        </w:rPr>
      </w:pPr>
      <w:r w:rsidRPr="0003089D">
        <w:tab/>
      </w:r>
      <w:r w:rsidR="000E64A1">
        <w:tab/>
      </w:r>
      <w:r w:rsidRPr="0003089D">
        <w:rPr>
          <w:b/>
        </w:rPr>
        <w:t>Rate Case Expense (665/765)</w:t>
      </w:r>
    </w:p>
    <w:p w14:paraId="35897E79" w14:textId="77777777" w:rsidR="000E64A1" w:rsidRPr="0003089D" w:rsidRDefault="000E64A1" w:rsidP="006D1A91">
      <w:pPr>
        <w:jc w:val="both"/>
        <w:rPr>
          <w:b/>
        </w:rPr>
      </w:pPr>
    </w:p>
    <w:p w14:paraId="76C5BB80" w14:textId="05F906DC" w:rsidR="00A1755C" w:rsidRDefault="00A1755C" w:rsidP="007651BC">
      <w:pPr>
        <w:pStyle w:val="BodyText"/>
        <w:spacing w:after="0"/>
        <w:ind w:firstLine="720"/>
        <w:jc w:val="both"/>
      </w:pPr>
      <w:r w:rsidRPr="0003089D">
        <w:t xml:space="preserve">The Utility did not record a rate case expense for water or wastewater. The Utility is required by Rule 25-22.0407, F.A.C., to mail notices of the rate case overview, interim rates, final rates, and four-year rate reduction. </w:t>
      </w:r>
      <w:r w:rsidR="00BC2408" w:rsidRPr="0003089D">
        <w:t>We</w:t>
      </w:r>
      <w:r w:rsidRPr="0003089D">
        <w:t xml:space="preserve"> calculated noticing costs to be $6,203. </w:t>
      </w:r>
      <w:r w:rsidR="00BC2408" w:rsidRPr="0003089D">
        <w:t>We</w:t>
      </w:r>
      <w:r w:rsidRPr="0003089D">
        <w:t xml:space="preserve"> calculated the distance from the Utility to Tallahassee as 273 miles. Based on the 2025 Internal Revenue Service business mileage rate of $0.70, </w:t>
      </w:r>
      <w:r w:rsidR="00BC2408" w:rsidRPr="0003089D">
        <w:t>we</w:t>
      </w:r>
      <w:r w:rsidRPr="0003089D">
        <w:t xml:space="preserve"> calculated a round-trip travel and lodging </w:t>
      </w:r>
      <w:r w:rsidRPr="0003089D">
        <w:lastRenderedPageBreak/>
        <w:t>expense to the Commission Conference of $582.</w:t>
      </w:r>
      <w:r w:rsidRPr="0003089D">
        <w:rPr>
          <w:rStyle w:val="FootnoteReference"/>
        </w:rPr>
        <w:footnoteReference w:id="48"/>
      </w:r>
      <w:r w:rsidRPr="0003089D">
        <w:t xml:space="preserve"> Additionally, the Utility paid a filing fee of $1,000 for water $1,000 for wastewater. </w:t>
      </w:r>
    </w:p>
    <w:p w14:paraId="3D88CBC3" w14:textId="77777777" w:rsidR="007651BC" w:rsidRPr="0003089D" w:rsidRDefault="007651BC" w:rsidP="007651BC">
      <w:pPr>
        <w:pStyle w:val="BodyText"/>
        <w:spacing w:after="0"/>
        <w:ind w:firstLine="720"/>
        <w:jc w:val="both"/>
      </w:pPr>
    </w:p>
    <w:p w14:paraId="1AB70BA6" w14:textId="7BFA0A9E" w:rsidR="00A1755C" w:rsidRDefault="00A1755C" w:rsidP="004A138E">
      <w:pPr>
        <w:pStyle w:val="BodyText"/>
        <w:spacing w:after="0"/>
        <w:ind w:firstLine="720"/>
        <w:jc w:val="both"/>
      </w:pPr>
      <w:r w:rsidRPr="0003089D">
        <w:t>On December 15, 2025, the Utility submitted invoices for additional rate case expense including legal expenses and consulting fees.</w:t>
      </w:r>
      <w:r w:rsidRPr="0003089D">
        <w:rPr>
          <w:rStyle w:val="FootnoteReference"/>
        </w:rPr>
        <w:footnoteReference w:id="49"/>
      </w:r>
      <w:r w:rsidRPr="0003089D">
        <w:t xml:space="preserve"> The summary of actual expenses attached to the invoices reflect additional legal expense of $4,360, $10,840, and $12,720 for the months of September 2025, October 2025, and November 2025, respectively. The Utility also incurred consulting fees of $3,300 for the period of August 22, 2025 through November 30, 2025. The Utility further included an estimated rate case expense of $24,500. </w:t>
      </w:r>
      <w:r w:rsidR="00BC2408" w:rsidRPr="0003089D">
        <w:t>We</w:t>
      </w:r>
      <w:r w:rsidRPr="0003089D">
        <w:t xml:space="preserve"> relied on costs that were supported by documentation at the time of review; therefore, </w:t>
      </w:r>
      <w:r w:rsidR="00BC2408" w:rsidRPr="0003089D">
        <w:t>we</w:t>
      </w:r>
      <w:r w:rsidRPr="0003089D">
        <w:t xml:space="preserve"> did not include the estimated portion. As such, </w:t>
      </w:r>
      <w:r w:rsidR="00BC2408" w:rsidRPr="0003089D">
        <w:t>we</w:t>
      </w:r>
      <w:r w:rsidRPr="0003089D">
        <w:t xml:space="preserve"> included $31,220 for legal and consulting fees as part of the rate case expense. The non-filing portion of the rate case expense is $23,714 for water and $14,291 for wastewater. </w:t>
      </w:r>
      <w:r w:rsidR="00BC2408" w:rsidRPr="0003089D">
        <w:t>We</w:t>
      </w:r>
      <w:r w:rsidRPr="0003089D">
        <w:t xml:space="preserve"> </w:t>
      </w:r>
      <w:r w:rsidR="00AC36CA">
        <w:t>approve</w:t>
      </w:r>
      <w:r w:rsidRPr="0003089D">
        <w:t xml:space="preserve"> a total rate case expense, consisting of noticing costs, travel and lodging expenses, and filing fee of $24,714 for water and $15,291 for wastewater, which amo</w:t>
      </w:r>
      <w:r w:rsidR="00176FC8">
        <w:t>rtized over four years is $6,179 for water and $3,823</w:t>
      </w:r>
      <w:r w:rsidRPr="0003089D">
        <w:t xml:space="preserve"> for wastewater. Therefore, </w:t>
      </w:r>
      <w:r w:rsidR="00BC2408" w:rsidRPr="0003089D">
        <w:t>we</w:t>
      </w:r>
      <w:r w:rsidRPr="0003089D">
        <w:t xml:space="preserve"> </w:t>
      </w:r>
      <w:r w:rsidR="00AC36CA">
        <w:t>approve</w:t>
      </w:r>
      <w:r w:rsidRPr="0003089D">
        <w:t xml:space="preserve"> a total an</w:t>
      </w:r>
      <w:r w:rsidR="00176FC8">
        <w:t>nual rate case expense of $6,179 for water and $3,823</w:t>
      </w:r>
      <w:r w:rsidRPr="0003089D">
        <w:t xml:space="preserve"> for wastewater. </w:t>
      </w:r>
    </w:p>
    <w:p w14:paraId="7B469360" w14:textId="77777777" w:rsidR="000E64A1" w:rsidRPr="0003089D" w:rsidRDefault="000E64A1" w:rsidP="000E64A1">
      <w:pPr>
        <w:pStyle w:val="BodyText"/>
        <w:spacing w:after="0"/>
        <w:jc w:val="both"/>
      </w:pPr>
    </w:p>
    <w:p w14:paraId="5D90D34B" w14:textId="77777777" w:rsidR="00A1755C" w:rsidRDefault="00A1755C" w:rsidP="006D1A91">
      <w:pPr>
        <w:jc w:val="both"/>
        <w:rPr>
          <w:b/>
        </w:rPr>
      </w:pPr>
      <w:r w:rsidRPr="0003089D">
        <w:tab/>
      </w:r>
      <w:r w:rsidR="000E64A1">
        <w:tab/>
      </w:r>
      <w:r w:rsidRPr="0003089D">
        <w:rPr>
          <w:b/>
        </w:rPr>
        <w:t>Bad Debt Expense (670/770)</w:t>
      </w:r>
    </w:p>
    <w:p w14:paraId="1806C32F" w14:textId="77777777" w:rsidR="000E64A1" w:rsidRPr="0003089D" w:rsidRDefault="000E64A1" w:rsidP="006D1A91">
      <w:pPr>
        <w:jc w:val="both"/>
        <w:rPr>
          <w:b/>
        </w:rPr>
      </w:pPr>
    </w:p>
    <w:p w14:paraId="567A9ADE" w14:textId="581C2BCB" w:rsidR="00A1755C" w:rsidRDefault="00A1755C" w:rsidP="000E64A1">
      <w:pPr>
        <w:pStyle w:val="BodyText"/>
        <w:spacing w:after="0"/>
        <w:ind w:firstLine="720"/>
        <w:jc w:val="both"/>
      </w:pPr>
      <w:r w:rsidRPr="0003089D">
        <w:t>The Utility recorded $0 bad debt for both water and wastewater in the test year. In its three most recent Annual Reports (2022, 2023, and 2024), the Utility reported bad debt expenses of $0 in all three years. However, in response to</w:t>
      </w:r>
      <w:r w:rsidR="00BC2408" w:rsidRPr="0003089D">
        <w:t xml:space="preserve"> our</w:t>
      </w:r>
      <w:r w:rsidRPr="0003089D">
        <w:t xml:space="preserve"> staff’s third data request, the Utility responded that it does in fact have accounts in delinquency.</w:t>
      </w:r>
      <w:r w:rsidRPr="0003089D">
        <w:rPr>
          <w:rStyle w:val="FootnoteReference"/>
        </w:rPr>
        <w:footnoteReference w:id="50"/>
      </w:r>
      <w:r w:rsidRPr="0003089D">
        <w:t xml:space="preserve"> Thus, </w:t>
      </w:r>
      <w:r w:rsidR="00BC2408" w:rsidRPr="0003089D">
        <w:t>we</w:t>
      </w:r>
      <w:r w:rsidRPr="0003089D">
        <w:t xml:space="preserve"> </w:t>
      </w:r>
      <w:r w:rsidR="00B2057D" w:rsidRPr="0003089D">
        <w:t>find</w:t>
      </w:r>
      <w:r w:rsidRPr="0003089D">
        <w:t xml:space="preserve"> it is appropriate to include a level of bad debt expense in its revenue requirements. It is </w:t>
      </w:r>
      <w:r w:rsidR="003727B5" w:rsidRPr="0003089D">
        <w:t>our</w:t>
      </w:r>
      <w:r w:rsidRPr="0003089D">
        <w:t xml:space="preserve"> practice to use a percentage of total revenues to determine bad debt expense when a three-year average is not available or reliable.</w:t>
      </w:r>
      <w:r w:rsidRPr="0003089D">
        <w:rPr>
          <w:rStyle w:val="FootnoteReference"/>
        </w:rPr>
        <w:footnoteReference w:id="51"/>
      </w:r>
      <w:r w:rsidRPr="0003089D">
        <w:t xml:space="preserve"> As such, </w:t>
      </w:r>
      <w:r w:rsidR="00BC2408" w:rsidRPr="0003089D">
        <w:t>we</w:t>
      </w:r>
      <w:r w:rsidRPr="0003089D">
        <w:t xml:space="preserve"> </w:t>
      </w:r>
      <w:r w:rsidR="00AC36CA">
        <w:t>approve</w:t>
      </w:r>
      <w:r w:rsidRPr="0003089D">
        <w:t xml:space="preserve"> a bad debt expense of one percent of total revenues, or $2,915 for water and $2,540 for wastewater. </w:t>
      </w:r>
    </w:p>
    <w:p w14:paraId="38942AB7" w14:textId="77777777" w:rsidR="000E64A1" w:rsidRPr="0003089D" w:rsidRDefault="000E64A1" w:rsidP="000E64A1">
      <w:pPr>
        <w:pStyle w:val="BodyText"/>
        <w:spacing w:after="0"/>
        <w:ind w:firstLine="720"/>
        <w:jc w:val="both"/>
      </w:pPr>
    </w:p>
    <w:p w14:paraId="27376FD2" w14:textId="77777777" w:rsidR="00A1755C" w:rsidRDefault="00A1755C" w:rsidP="006D1A91">
      <w:pPr>
        <w:jc w:val="both"/>
        <w:rPr>
          <w:b/>
        </w:rPr>
      </w:pPr>
      <w:r w:rsidRPr="0003089D">
        <w:tab/>
      </w:r>
      <w:r w:rsidR="000E64A1">
        <w:tab/>
      </w:r>
      <w:r w:rsidRPr="0003089D">
        <w:rPr>
          <w:b/>
        </w:rPr>
        <w:t>Miscellaneous Expense (675)</w:t>
      </w:r>
    </w:p>
    <w:p w14:paraId="14C98DC1" w14:textId="77777777" w:rsidR="000E64A1" w:rsidRPr="0003089D" w:rsidRDefault="000E64A1" w:rsidP="006D1A91">
      <w:pPr>
        <w:jc w:val="both"/>
        <w:rPr>
          <w:b/>
        </w:rPr>
      </w:pPr>
    </w:p>
    <w:p w14:paraId="134FDD03" w14:textId="314423B1" w:rsidR="00A1755C" w:rsidRDefault="00A1755C" w:rsidP="000E64A1">
      <w:pPr>
        <w:pStyle w:val="BodyText"/>
        <w:spacing w:after="0"/>
        <w:ind w:firstLine="720"/>
        <w:jc w:val="both"/>
      </w:pPr>
      <w:r w:rsidRPr="0003089D">
        <w:t xml:space="preserve">The Utility recorded miscellaneous expenses of $12,425 for water. </w:t>
      </w:r>
      <w:r w:rsidR="00BC2408" w:rsidRPr="0003089D">
        <w:t>We</w:t>
      </w:r>
      <w:r w:rsidRPr="0003089D">
        <w:t xml:space="preserve"> removed the $12,425 for water to reflect a lack of supporting documentation. Therefore, </w:t>
      </w:r>
      <w:r w:rsidR="00BC2408" w:rsidRPr="0003089D">
        <w:t>we</w:t>
      </w:r>
      <w:r w:rsidRPr="0003089D">
        <w:t xml:space="preserve"> </w:t>
      </w:r>
      <w:r w:rsidR="00AC36CA">
        <w:t>approve</w:t>
      </w:r>
      <w:r w:rsidRPr="0003089D">
        <w:t xml:space="preserve"> a miscellaneous expense amount of $0 for water. </w:t>
      </w:r>
    </w:p>
    <w:p w14:paraId="79DE82E5" w14:textId="77777777" w:rsidR="000E64A1" w:rsidRPr="0003089D" w:rsidRDefault="000E64A1" w:rsidP="000E64A1">
      <w:pPr>
        <w:pStyle w:val="BodyText"/>
        <w:spacing w:after="0"/>
        <w:ind w:firstLine="720"/>
        <w:jc w:val="both"/>
      </w:pPr>
    </w:p>
    <w:p w14:paraId="68507DFB" w14:textId="77777777" w:rsidR="00A1755C" w:rsidRPr="00E338C4" w:rsidRDefault="00E338C4" w:rsidP="00E338C4">
      <w:pPr>
        <w:ind w:firstLine="720"/>
        <w:jc w:val="both"/>
        <w:rPr>
          <w:i/>
        </w:rPr>
      </w:pPr>
      <w:r>
        <w:rPr>
          <w:i/>
        </w:rPr>
        <w:t xml:space="preserve">B.   </w:t>
      </w:r>
      <w:r w:rsidR="00A1755C" w:rsidRPr="00E338C4">
        <w:rPr>
          <w:i/>
        </w:rPr>
        <w:t>Operation and Maintenance Expense Summary</w:t>
      </w:r>
    </w:p>
    <w:p w14:paraId="72FDEA83" w14:textId="77777777" w:rsidR="00E338C4" w:rsidRPr="0003089D" w:rsidRDefault="00E338C4" w:rsidP="006D1A91">
      <w:pPr>
        <w:jc w:val="both"/>
        <w:rPr>
          <w:b/>
        </w:rPr>
      </w:pPr>
    </w:p>
    <w:p w14:paraId="121A85C0" w14:textId="266B4AA8" w:rsidR="00CF5EE6" w:rsidRDefault="00176FC8" w:rsidP="00176FC8">
      <w:pPr>
        <w:pStyle w:val="BodyText"/>
        <w:spacing w:after="0"/>
        <w:ind w:firstLine="720"/>
        <w:jc w:val="both"/>
      </w:pPr>
      <w:r w:rsidRPr="0003089D">
        <w:t>The Utility recorded test year O&amp;M expenses of $519,155 for water and $611,936 for wastewater. Based on the above adjustments, we find the O&amp;M expense be reduced by $</w:t>
      </w:r>
      <w:r>
        <w:t>83,958</w:t>
      </w:r>
      <w:r w:rsidRPr="0003089D">
        <w:t xml:space="preserve"> for water and $</w:t>
      </w:r>
      <w:r>
        <w:t>164,216</w:t>
      </w:r>
      <w:r w:rsidRPr="0003089D">
        <w:t xml:space="preserve"> for wastewater. This results in a total O&amp;M expense of $</w:t>
      </w:r>
      <w:r>
        <w:t>435,197</w:t>
      </w:r>
      <w:r w:rsidRPr="0003089D">
        <w:t xml:space="preserve"> for </w:t>
      </w:r>
      <w:r w:rsidRPr="0003089D">
        <w:lastRenderedPageBreak/>
        <w:t>water and $</w:t>
      </w:r>
      <w:r>
        <w:t>447,720</w:t>
      </w:r>
      <w:r w:rsidRPr="0003089D">
        <w:t xml:space="preserve"> for wastewater. Our approved adjustments to O&amp;M are shown on </w:t>
      </w:r>
      <w:r w:rsidR="00755A62">
        <w:t xml:space="preserve">the attached </w:t>
      </w:r>
      <w:r w:rsidRPr="0003089D">
        <w:t>Schedule No. 3-D for water and Schedule 3-E for wastewater.</w:t>
      </w:r>
    </w:p>
    <w:p w14:paraId="2E31383D" w14:textId="59F202CB" w:rsidR="00310946" w:rsidRPr="0003089D" w:rsidRDefault="00310946" w:rsidP="00176FC8">
      <w:pPr>
        <w:pStyle w:val="BodyText"/>
        <w:spacing w:after="0"/>
        <w:ind w:firstLine="720"/>
        <w:jc w:val="both"/>
      </w:pPr>
    </w:p>
    <w:p w14:paraId="26DAE7D9" w14:textId="77777777" w:rsidR="00A1755C" w:rsidRPr="00E338C4" w:rsidRDefault="00A1755C" w:rsidP="006D1A91">
      <w:pPr>
        <w:jc w:val="both"/>
        <w:rPr>
          <w:i/>
        </w:rPr>
      </w:pPr>
      <w:r w:rsidRPr="0003089D">
        <w:tab/>
      </w:r>
      <w:r w:rsidR="00E338C4">
        <w:t xml:space="preserve">C.   </w:t>
      </w:r>
      <w:r w:rsidRPr="00E338C4">
        <w:rPr>
          <w:i/>
        </w:rPr>
        <w:t>Depreciation Expense</w:t>
      </w:r>
    </w:p>
    <w:p w14:paraId="36FD390A" w14:textId="77777777" w:rsidR="00E338C4" w:rsidRPr="0003089D" w:rsidRDefault="00E338C4" w:rsidP="006D1A91">
      <w:pPr>
        <w:jc w:val="both"/>
        <w:rPr>
          <w:b/>
        </w:rPr>
      </w:pPr>
    </w:p>
    <w:p w14:paraId="2B81F9DE" w14:textId="1E08C31E" w:rsidR="00A1755C" w:rsidRDefault="00A1755C" w:rsidP="00E338C4">
      <w:pPr>
        <w:pStyle w:val="BodyText"/>
        <w:spacing w:after="0"/>
        <w:ind w:firstLine="720"/>
        <w:jc w:val="both"/>
      </w:pPr>
      <w:r w:rsidRPr="0003089D">
        <w:t xml:space="preserve">The Utility recorded depreciation expenses of $77,773 for water and $43,871 for wastewater. Based on the depreciation rates prescribed in Rule 25-30.140, F.A.C., </w:t>
      </w:r>
      <w:r w:rsidR="00BC2408" w:rsidRPr="0003089D">
        <w:t xml:space="preserve">we </w:t>
      </w:r>
      <w:r w:rsidRPr="0003089D">
        <w:t xml:space="preserve">decreased these amounts by $21,007 for water and $8,378 for wastewater. Additionally, to account for pro forma additions, </w:t>
      </w:r>
      <w:r w:rsidR="00BC2408" w:rsidRPr="0003089D">
        <w:t>we</w:t>
      </w:r>
      <w:r w:rsidRPr="0003089D">
        <w:t xml:space="preserve"> increased depreciation expenses by $58,143 for water and $47,694 for wastewater. This results in a net increase to a depreciation expense of $37,136 for water and $39,316 for wastewater. Therefore, </w:t>
      </w:r>
      <w:r w:rsidR="00BC2408" w:rsidRPr="0003089D">
        <w:t>we</w:t>
      </w:r>
      <w:r w:rsidRPr="0003089D">
        <w:t xml:space="preserve"> </w:t>
      </w:r>
      <w:r w:rsidR="00AC36CA">
        <w:t>approve</w:t>
      </w:r>
      <w:r w:rsidRPr="0003089D">
        <w:t xml:space="preserve"> a depreciation expense of $114,909 for water and $83,187 for wastewater. </w:t>
      </w:r>
    </w:p>
    <w:p w14:paraId="345B8D32" w14:textId="77777777" w:rsidR="00E338C4" w:rsidRPr="0003089D" w:rsidRDefault="00E338C4" w:rsidP="00E338C4">
      <w:pPr>
        <w:pStyle w:val="BodyText"/>
        <w:spacing w:after="0"/>
        <w:ind w:firstLine="720"/>
        <w:jc w:val="both"/>
      </w:pPr>
    </w:p>
    <w:p w14:paraId="37447EF2" w14:textId="77777777" w:rsidR="00A1755C" w:rsidRPr="00E338C4" w:rsidRDefault="00A1755C" w:rsidP="006D1A91">
      <w:pPr>
        <w:jc w:val="both"/>
        <w:rPr>
          <w:i/>
        </w:rPr>
      </w:pPr>
      <w:r w:rsidRPr="0003089D">
        <w:tab/>
      </w:r>
      <w:r w:rsidR="00E338C4">
        <w:t xml:space="preserve">D.   </w:t>
      </w:r>
      <w:r w:rsidRPr="00E338C4">
        <w:rPr>
          <w:i/>
        </w:rPr>
        <w:t>Amortization of CIAC</w:t>
      </w:r>
    </w:p>
    <w:p w14:paraId="59C6E434" w14:textId="77777777" w:rsidR="00E338C4" w:rsidRPr="0003089D" w:rsidRDefault="00E338C4" w:rsidP="006D1A91">
      <w:pPr>
        <w:jc w:val="both"/>
        <w:rPr>
          <w:b/>
        </w:rPr>
      </w:pPr>
    </w:p>
    <w:p w14:paraId="3E2D7402" w14:textId="1CAB165C" w:rsidR="00A1755C" w:rsidRPr="0003089D" w:rsidRDefault="00A1755C" w:rsidP="00E338C4">
      <w:pPr>
        <w:ind w:firstLine="720"/>
        <w:jc w:val="both"/>
        <w:rPr>
          <w:b/>
        </w:rPr>
      </w:pPr>
      <w:r w:rsidRPr="0003089D">
        <w:t xml:space="preserve">The Utility recorded CIAC amortization expenses of $45,823 for water and $22,184 for wastewater. </w:t>
      </w:r>
      <w:r w:rsidR="00BC2408" w:rsidRPr="0003089D">
        <w:t xml:space="preserve">We </w:t>
      </w:r>
      <w:r w:rsidRPr="0003089D">
        <w:t xml:space="preserve">decreased the amounts by $3,639 for water and $10,248 for wastewater to reflect amortization expense based on depreciation rates specific to the related plant accounts. Therefore, </w:t>
      </w:r>
      <w:r w:rsidR="00BC2408" w:rsidRPr="0003089D">
        <w:t>we</w:t>
      </w:r>
      <w:r w:rsidRPr="0003089D">
        <w:t xml:space="preserve"> </w:t>
      </w:r>
      <w:r w:rsidR="00AC36CA">
        <w:t>approve</w:t>
      </w:r>
      <w:r w:rsidRPr="0003089D">
        <w:t xml:space="preserve"> CIAC amortization expenses of $42,184 for water and $11,936 for wastewater.</w:t>
      </w:r>
    </w:p>
    <w:p w14:paraId="70C857C0" w14:textId="77777777" w:rsidR="00D36A5C" w:rsidRPr="0003089D" w:rsidRDefault="00D36A5C" w:rsidP="006D1A91">
      <w:pPr>
        <w:jc w:val="both"/>
        <w:rPr>
          <w:b/>
        </w:rPr>
      </w:pPr>
    </w:p>
    <w:p w14:paraId="50DB5796" w14:textId="77777777" w:rsidR="00A1755C" w:rsidRPr="00E338C4" w:rsidRDefault="00E338C4" w:rsidP="00E338C4">
      <w:pPr>
        <w:ind w:firstLine="720"/>
        <w:jc w:val="both"/>
        <w:rPr>
          <w:i/>
        </w:rPr>
      </w:pPr>
      <w:r w:rsidRPr="00E338C4">
        <w:rPr>
          <w:i/>
        </w:rPr>
        <w:t xml:space="preserve">E.   </w:t>
      </w:r>
      <w:r w:rsidR="00A1755C" w:rsidRPr="00E338C4">
        <w:rPr>
          <w:i/>
        </w:rPr>
        <w:t>Capital Amortization</w:t>
      </w:r>
    </w:p>
    <w:p w14:paraId="09BBF2A2" w14:textId="77777777" w:rsidR="00E338C4" w:rsidRPr="0003089D" w:rsidRDefault="00E338C4" w:rsidP="00E338C4">
      <w:pPr>
        <w:ind w:firstLine="720"/>
        <w:jc w:val="both"/>
        <w:rPr>
          <w:b/>
        </w:rPr>
      </w:pPr>
    </w:p>
    <w:p w14:paraId="545CD086" w14:textId="68EFC2A2" w:rsidR="00AC36CA" w:rsidRDefault="00AC36CA" w:rsidP="00AC36CA">
      <w:pPr>
        <w:pStyle w:val="BodyText"/>
        <w:spacing w:after="0"/>
        <w:ind w:firstLine="720"/>
        <w:jc w:val="both"/>
      </w:pPr>
      <w:r w:rsidRPr="0003089D">
        <w:t xml:space="preserve">As discussed </w:t>
      </w:r>
      <w:r w:rsidR="00755A62">
        <w:t xml:space="preserve">above </w:t>
      </w:r>
      <w:r w:rsidRPr="0003089D">
        <w:t>in Section 4</w:t>
      </w:r>
      <w:r w:rsidR="00755A62">
        <w:t xml:space="preserve"> Average Test Year Water Rate Base and Wastewater Rate Base</w:t>
      </w:r>
      <w:r w:rsidRPr="0003089D">
        <w:t xml:space="preserve">, we find a capital recovery schedule of $6,436 for water and $80,115 for wastewater over a 10-year amortization period. The corresponding annual amortization expense is $644 for water and $8,011 for wastewater. Therefore, we </w:t>
      </w:r>
      <w:r>
        <w:t>find that</w:t>
      </w:r>
      <w:r w:rsidRPr="0003089D">
        <w:t xml:space="preserve"> the total annual amortization expense, reflecting CIAC and capital amortization expense, is $41,540 for water and $3,925 for wastewater. </w:t>
      </w:r>
    </w:p>
    <w:p w14:paraId="2A00192F" w14:textId="77777777" w:rsidR="00E338C4" w:rsidRPr="0003089D" w:rsidRDefault="00E338C4" w:rsidP="00E338C4">
      <w:pPr>
        <w:pStyle w:val="BodyText"/>
        <w:spacing w:after="0"/>
        <w:jc w:val="both"/>
      </w:pPr>
    </w:p>
    <w:p w14:paraId="60D2EA54" w14:textId="77777777" w:rsidR="00A1755C" w:rsidRPr="00E338C4" w:rsidRDefault="00E338C4" w:rsidP="00E338C4">
      <w:pPr>
        <w:ind w:firstLine="720"/>
        <w:jc w:val="both"/>
        <w:rPr>
          <w:i/>
        </w:rPr>
      </w:pPr>
      <w:r w:rsidRPr="00E338C4">
        <w:rPr>
          <w:i/>
        </w:rPr>
        <w:t xml:space="preserve">F.   </w:t>
      </w:r>
      <w:r w:rsidR="00A1755C" w:rsidRPr="00E338C4">
        <w:rPr>
          <w:i/>
        </w:rPr>
        <w:t>Taxes Other Than Income (TOTI)</w:t>
      </w:r>
    </w:p>
    <w:p w14:paraId="16747295" w14:textId="77777777" w:rsidR="00E338C4" w:rsidRPr="0003089D" w:rsidRDefault="00E338C4" w:rsidP="00E338C4">
      <w:pPr>
        <w:ind w:left="720" w:firstLine="720"/>
        <w:jc w:val="both"/>
        <w:rPr>
          <w:b/>
        </w:rPr>
      </w:pPr>
    </w:p>
    <w:p w14:paraId="0C5C7E59" w14:textId="3222D0EC" w:rsidR="00A1755C" w:rsidRDefault="00A1755C" w:rsidP="0017668B">
      <w:pPr>
        <w:pStyle w:val="BodyText"/>
        <w:spacing w:after="0"/>
        <w:ind w:firstLine="720"/>
        <w:jc w:val="both"/>
      </w:pPr>
      <w:r w:rsidRPr="0003089D">
        <w:t xml:space="preserve">The Utility recorded TOTI of $20,254 for water and $14,882 for wastewater which includes property taxes, payroll taxes, and regulatory assessment fees (RAFs). </w:t>
      </w:r>
      <w:r w:rsidR="00BC2408" w:rsidRPr="0003089D">
        <w:t>We</w:t>
      </w:r>
      <w:r w:rsidRPr="0003089D">
        <w:t xml:space="preserve"> decreased TOTI by $3,902 for water and by $3,580 for wastewater to reflect actual invoiced amounts for the test year. </w:t>
      </w:r>
      <w:r w:rsidR="00BC2408" w:rsidRPr="0003089D">
        <w:t>We</w:t>
      </w:r>
      <w:r w:rsidRPr="0003089D">
        <w:t xml:space="preserve"> increased TOTI by $15,119 for water and $10,071 for wastewater to reflect property taxes associated with pro forma plant additions. These amounts are net of property tax reductions associated with the pro forma plant retirements. </w:t>
      </w:r>
    </w:p>
    <w:p w14:paraId="7CB5CF23" w14:textId="77777777" w:rsidR="0017668B" w:rsidRPr="0003089D" w:rsidRDefault="0017668B" w:rsidP="0017668B">
      <w:pPr>
        <w:pStyle w:val="BodyText"/>
        <w:spacing w:after="0"/>
        <w:ind w:firstLine="720"/>
        <w:jc w:val="both"/>
      </w:pPr>
    </w:p>
    <w:p w14:paraId="5367C2FF" w14:textId="2D2558A4" w:rsidR="00A1755C" w:rsidRDefault="00A1755C" w:rsidP="0017668B">
      <w:pPr>
        <w:pStyle w:val="BodyText"/>
        <w:spacing w:after="0"/>
        <w:ind w:firstLine="720"/>
        <w:jc w:val="both"/>
      </w:pPr>
      <w:r w:rsidRPr="0003089D">
        <w:t xml:space="preserve">Based on revenues discussed in </w:t>
      </w:r>
      <w:r w:rsidR="00BC2408" w:rsidRPr="0003089D">
        <w:t>Section</w:t>
      </w:r>
      <w:r w:rsidRPr="0003089D">
        <w:t xml:space="preserve"> 6, TOTI </w:t>
      </w:r>
      <w:r w:rsidR="00B2057D" w:rsidRPr="0003089D">
        <w:t>shall</w:t>
      </w:r>
      <w:r w:rsidRPr="0003089D">
        <w:t xml:space="preserve"> be increased by $616 for water and $1,595 for wastewater to reflect a RAF rate of 4.5 percent applied to the change in revenues. </w:t>
      </w:r>
    </w:p>
    <w:p w14:paraId="0CC664D2" w14:textId="77777777" w:rsidR="0017668B" w:rsidRPr="0003089D" w:rsidRDefault="0017668B" w:rsidP="0017668B">
      <w:pPr>
        <w:pStyle w:val="BodyText"/>
        <w:spacing w:after="0"/>
        <w:ind w:firstLine="720"/>
        <w:jc w:val="both"/>
      </w:pPr>
    </w:p>
    <w:p w14:paraId="642ACE19" w14:textId="40E40B2C" w:rsidR="00CF5EE6" w:rsidRDefault="00AC36CA" w:rsidP="0017668B">
      <w:pPr>
        <w:pStyle w:val="BodyText"/>
        <w:spacing w:after="0"/>
        <w:ind w:firstLine="720"/>
        <w:jc w:val="both"/>
      </w:pPr>
      <w:r w:rsidRPr="0003089D">
        <w:t xml:space="preserve">As discussed </w:t>
      </w:r>
      <w:r w:rsidR="00755A62">
        <w:t xml:space="preserve">below </w:t>
      </w:r>
      <w:r w:rsidRPr="0003089D">
        <w:t>in Section 9</w:t>
      </w:r>
      <w:r w:rsidR="00755A62">
        <w:t xml:space="preserve"> Revenue Requirement</w:t>
      </w:r>
      <w:r w:rsidRPr="0003089D">
        <w:t>, we find revenues be increased by $</w:t>
      </w:r>
      <w:r>
        <w:t>436,594</w:t>
      </w:r>
      <w:r w:rsidRPr="0003089D">
        <w:t xml:space="preserve"> for water and $</w:t>
      </w:r>
      <w:r>
        <w:t>426,133</w:t>
      </w:r>
      <w:r w:rsidRPr="0003089D">
        <w:t xml:space="preserve"> for wastewater to reflect the increased revenue required to cover expenses and allow an opportunity to earn the approved rate of return. As a result, TOTI </w:t>
      </w:r>
      <w:r w:rsidRPr="0003089D">
        <w:lastRenderedPageBreak/>
        <w:t>shall be increased by $</w:t>
      </w:r>
      <w:r>
        <w:t>19,647</w:t>
      </w:r>
      <w:r w:rsidRPr="0003089D">
        <w:t xml:space="preserve"> for water and $</w:t>
      </w:r>
      <w:r>
        <w:t>19,176</w:t>
      </w:r>
      <w:r w:rsidRPr="0003089D">
        <w:t xml:space="preserve"> for wastewater to reflect a RAF rate of 4.5 percent of the change in revenues. Our adjustments result in a total increase of $</w:t>
      </w:r>
      <w:r>
        <w:t>31,626</w:t>
      </w:r>
      <w:r w:rsidRPr="0003089D">
        <w:t xml:space="preserve"> to water and $</w:t>
      </w:r>
      <w:r>
        <w:t>26,728</w:t>
      </w:r>
      <w:r w:rsidRPr="0003089D">
        <w:t xml:space="preserve"> to wastewater. Therefore, we </w:t>
      </w:r>
      <w:r>
        <w:t>approve</w:t>
      </w:r>
      <w:r w:rsidRPr="0003089D">
        <w:t xml:space="preserve"> a TOTI of $</w:t>
      </w:r>
      <w:r>
        <w:t>51,880</w:t>
      </w:r>
      <w:r w:rsidRPr="0003089D">
        <w:t xml:space="preserve"> for water and $</w:t>
      </w:r>
      <w:r>
        <w:t>41,610</w:t>
      </w:r>
      <w:r w:rsidRPr="0003089D">
        <w:t xml:space="preserve"> for wastewater. </w:t>
      </w:r>
    </w:p>
    <w:p w14:paraId="078D752C" w14:textId="77777777" w:rsidR="0017668B" w:rsidRPr="0003089D" w:rsidRDefault="0017668B" w:rsidP="0017668B">
      <w:pPr>
        <w:pStyle w:val="BodyText"/>
        <w:spacing w:after="0"/>
        <w:ind w:firstLine="720"/>
        <w:jc w:val="both"/>
      </w:pPr>
    </w:p>
    <w:p w14:paraId="59316FF8" w14:textId="77777777" w:rsidR="00A1755C" w:rsidRDefault="00E338C4" w:rsidP="00E338C4">
      <w:pPr>
        <w:ind w:firstLine="720"/>
        <w:jc w:val="both"/>
        <w:rPr>
          <w:i/>
        </w:rPr>
      </w:pPr>
      <w:r>
        <w:rPr>
          <w:i/>
        </w:rPr>
        <w:t xml:space="preserve">G.   </w:t>
      </w:r>
      <w:r w:rsidR="00A1755C" w:rsidRPr="00E338C4">
        <w:rPr>
          <w:i/>
        </w:rPr>
        <w:t>Total Operating Expenses Summary</w:t>
      </w:r>
    </w:p>
    <w:p w14:paraId="58A16398" w14:textId="77777777" w:rsidR="00E338C4" w:rsidRPr="00E338C4" w:rsidRDefault="00E338C4" w:rsidP="00E338C4">
      <w:pPr>
        <w:ind w:firstLine="720"/>
        <w:jc w:val="both"/>
        <w:rPr>
          <w:i/>
        </w:rPr>
      </w:pPr>
    </w:p>
    <w:p w14:paraId="4276AAA4" w14:textId="424B0076" w:rsidR="00795FAD" w:rsidRPr="0003089D" w:rsidRDefault="00795FAD" w:rsidP="00795FAD">
      <w:pPr>
        <w:ind w:firstLine="720"/>
        <w:jc w:val="both"/>
      </w:pPr>
      <w:r w:rsidRPr="0003089D">
        <w:t>The Utility recorded operating expenses of $571,359 for water and $648,505 for wastewater. The application of our approved adjustments to the Utility’s operating expenses results in a total operating expense of $</w:t>
      </w:r>
      <w:r>
        <w:t>560,445</w:t>
      </w:r>
      <w:r w:rsidRPr="0003089D">
        <w:t xml:space="preserve"> for water and $</w:t>
      </w:r>
      <w:r>
        <w:t>568,593</w:t>
      </w:r>
      <w:r w:rsidRPr="0003089D">
        <w:t xml:space="preserve"> for wastewater. Operating expenses are shown on Schedule No. 3-A for water and Schedule 3-B for wastewater, and the related adjustments are shown on Schedule No. 3-C</w:t>
      </w:r>
      <w:r w:rsidR="00755A62">
        <w:t xml:space="preserve"> as attached</w:t>
      </w:r>
      <w:r w:rsidRPr="0003089D">
        <w:t>.</w:t>
      </w:r>
    </w:p>
    <w:p w14:paraId="5D7D290C" w14:textId="77777777" w:rsidR="00A1755C" w:rsidRPr="0003089D" w:rsidRDefault="00A1755C" w:rsidP="006D1A91">
      <w:pPr>
        <w:jc w:val="both"/>
      </w:pPr>
    </w:p>
    <w:p w14:paraId="259C988A" w14:textId="77777777" w:rsidR="00A1755C" w:rsidRDefault="00E338C4" w:rsidP="002342F9">
      <w:pPr>
        <w:pStyle w:val="BodyText"/>
        <w:spacing w:after="0"/>
        <w:jc w:val="both"/>
        <w:rPr>
          <w:u w:val="single"/>
        </w:rPr>
      </w:pPr>
      <w:r>
        <w:t>8.</w:t>
      </w:r>
      <w:r>
        <w:tab/>
      </w:r>
      <w:r w:rsidRPr="00E338C4">
        <w:rPr>
          <w:u w:val="single"/>
        </w:rPr>
        <w:t>Operating Ratio Methodology</w:t>
      </w:r>
    </w:p>
    <w:p w14:paraId="03949E2F" w14:textId="77777777" w:rsidR="002342F9" w:rsidRPr="0003089D" w:rsidRDefault="002342F9" w:rsidP="002342F9">
      <w:pPr>
        <w:pStyle w:val="BodyText"/>
        <w:spacing w:after="0"/>
        <w:jc w:val="both"/>
      </w:pPr>
    </w:p>
    <w:p w14:paraId="77851F74" w14:textId="3442BD20" w:rsidR="00A1755C" w:rsidRDefault="00A1755C" w:rsidP="0017668B">
      <w:pPr>
        <w:pStyle w:val="BodyText"/>
        <w:spacing w:after="0"/>
        <w:ind w:firstLine="720"/>
        <w:jc w:val="both"/>
      </w:pPr>
      <w:r w:rsidRPr="0003089D">
        <w:t xml:space="preserve">Rule 25-30.4575(2), F.A.C., provides that in rate cases processed under Rule 25-30.455, F.A.C., </w:t>
      </w:r>
      <w:r w:rsidR="00BC2408" w:rsidRPr="0003089D">
        <w:t>we</w:t>
      </w:r>
      <w:r w:rsidRPr="0003089D">
        <w:t xml:space="preserve"> will use the operating ratio methodology to establish the Utility’s revenue requirement when its rate base is not greater than 125 percent of O&amp;M expenses, less regulatory commission expense, and the use of the operating ratio methodology does not change the Utility’s qualification for a SARC. </w:t>
      </w:r>
    </w:p>
    <w:p w14:paraId="7F5E51C2" w14:textId="77777777" w:rsidR="0017668B" w:rsidRPr="0003089D" w:rsidRDefault="0017668B" w:rsidP="0017668B">
      <w:pPr>
        <w:pStyle w:val="BodyText"/>
        <w:spacing w:after="0"/>
        <w:ind w:firstLine="720"/>
        <w:jc w:val="both"/>
      </w:pPr>
    </w:p>
    <w:p w14:paraId="49148FB0" w14:textId="77777777" w:rsidR="003A3B66" w:rsidRPr="0003089D" w:rsidRDefault="003A3B66" w:rsidP="0017668B">
      <w:pPr>
        <w:ind w:firstLine="720"/>
        <w:jc w:val="both"/>
      </w:pPr>
      <w:r w:rsidRPr="0003089D">
        <w:t>With respect to Grenelefe, we have approved a rate base of $</w:t>
      </w:r>
      <w:r>
        <w:t>1,864,969</w:t>
      </w:r>
      <w:r w:rsidRPr="0003089D">
        <w:t xml:space="preserve"> for water and $</w:t>
      </w:r>
      <w:r>
        <w:t>1,240,775</w:t>
      </w:r>
      <w:r w:rsidRPr="0003089D">
        <w:t xml:space="preserve"> for wastewater. After removal of rate case expense, we have calculated an adjusted O&amp;M expense of $</w:t>
      </w:r>
      <w:r>
        <w:t>429,018</w:t>
      </w:r>
      <w:r w:rsidRPr="0003089D">
        <w:t xml:space="preserve"> for water and $</w:t>
      </w:r>
      <w:r>
        <w:t>443,898</w:t>
      </w:r>
      <w:r w:rsidRPr="0003089D">
        <w:t xml:space="preserve"> for wastewater. Based on our preliminary approved amounts, the Utility’s rate bases are </w:t>
      </w:r>
      <w:r>
        <w:t>434.71</w:t>
      </w:r>
      <w:r w:rsidRPr="0003089D">
        <w:t xml:space="preserve"> percent and </w:t>
      </w:r>
      <w:r>
        <w:t>279.52</w:t>
      </w:r>
      <w:r w:rsidRPr="0003089D">
        <w:t xml:space="preserve"> percent of its adjusted O&amp;M expense for water and wastewater, respectively. Based on this, the Utility does not qualify for application of the operating ratio methodology.</w:t>
      </w:r>
    </w:p>
    <w:p w14:paraId="34D9382B" w14:textId="77777777" w:rsidR="00A1755C" w:rsidRPr="0003089D" w:rsidRDefault="00A1755C" w:rsidP="006D1A91">
      <w:pPr>
        <w:jc w:val="both"/>
        <w:rPr>
          <w:b/>
        </w:rPr>
      </w:pPr>
    </w:p>
    <w:p w14:paraId="0C4C8C50" w14:textId="77777777" w:rsidR="00A1755C" w:rsidRPr="002342F9" w:rsidRDefault="002342F9" w:rsidP="002342F9">
      <w:pPr>
        <w:pStyle w:val="BodyText"/>
        <w:spacing w:after="0"/>
        <w:jc w:val="both"/>
        <w:rPr>
          <w:u w:val="single"/>
        </w:rPr>
      </w:pPr>
      <w:r>
        <w:t>9.</w:t>
      </w:r>
      <w:r>
        <w:tab/>
      </w:r>
      <w:r w:rsidRPr="002342F9">
        <w:rPr>
          <w:u w:val="single"/>
        </w:rPr>
        <w:t>Revenue R</w:t>
      </w:r>
      <w:r w:rsidR="00A1755C" w:rsidRPr="002342F9">
        <w:rPr>
          <w:u w:val="single"/>
        </w:rPr>
        <w:t>equirement</w:t>
      </w:r>
    </w:p>
    <w:p w14:paraId="6FAF7F80" w14:textId="77777777" w:rsidR="002342F9" w:rsidRPr="002342F9" w:rsidRDefault="002342F9" w:rsidP="002342F9">
      <w:pPr>
        <w:pStyle w:val="BodyText"/>
        <w:spacing w:after="0"/>
        <w:jc w:val="both"/>
        <w:rPr>
          <w:u w:val="single"/>
        </w:rPr>
      </w:pPr>
    </w:p>
    <w:p w14:paraId="12421941" w14:textId="176F16CD" w:rsidR="007651BC" w:rsidRDefault="003A3B66" w:rsidP="007651BC">
      <w:pPr>
        <w:ind w:firstLine="720"/>
        <w:jc w:val="both"/>
      </w:pPr>
      <w:r w:rsidRPr="0003089D">
        <w:t>Grenelefe shall be allowed an annual increase of $</w:t>
      </w:r>
      <w:r>
        <w:t>436,594</w:t>
      </w:r>
      <w:r w:rsidRPr="0003089D">
        <w:t xml:space="preserve"> (</w:t>
      </w:r>
      <w:r>
        <w:t>149.75</w:t>
      </w:r>
      <w:r w:rsidR="00130DD1">
        <w:t xml:space="preserve"> </w:t>
      </w:r>
      <w:r w:rsidRPr="0003089D">
        <w:t>percent) for water and $</w:t>
      </w:r>
      <w:r>
        <w:t>426,133</w:t>
      </w:r>
      <w:r w:rsidRPr="0003089D">
        <w:t xml:space="preserve"> (</w:t>
      </w:r>
      <w:r>
        <w:t>167.75</w:t>
      </w:r>
      <w:r w:rsidR="00130DD1">
        <w:t xml:space="preserve"> </w:t>
      </w:r>
      <w:r w:rsidRPr="0003089D">
        <w:t>percent) for wastewater. This shall allow the Utility the opportunity to recover its expenses and earn a</w:t>
      </w:r>
      <w:r>
        <w:t>n</w:t>
      </w:r>
      <w:r w:rsidRPr="0003089D">
        <w:t xml:space="preserve"> </w:t>
      </w:r>
      <w:r>
        <w:t>8.99</w:t>
      </w:r>
      <w:r w:rsidRPr="0003089D">
        <w:t xml:space="preserve"> percent return on its respective rate base. The calculations for revenue re</w:t>
      </w:r>
      <w:r>
        <w:t xml:space="preserve">quirement are shown </w:t>
      </w:r>
      <w:r w:rsidR="00BF7138">
        <w:t xml:space="preserve"> below </w:t>
      </w:r>
      <w:r>
        <w:t>on Table 5 and Table 6</w:t>
      </w:r>
      <w:r w:rsidRPr="0003089D">
        <w:t>.</w:t>
      </w:r>
      <w:r w:rsidRPr="00103C6D">
        <w:rPr>
          <w:rStyle w:val="FootnoteReference"/>
          <w:sz w:val="20"/>
          <w:szCs w:val="20"/>
        </w:rPr>
        <w:footnoteReference w:id="52"/>
      </w:r>
    </w:p>
    <w:p w14:paraId="701662DB" w14:textId="51D408F6" w:rsidR="007651BC" w:rsidRDefault="007651BC" w:rsidP="007651BC">
      <w:pPr>
        <w:ind w:firstLine="720"/>
        <w:jc w:val="both"/>
      </w:pPr>
    </w:p>
    <w:p w14:paraId="4E68AF51" w14:textId="761B6900" w:rsidR="0034284A" w:rsidRDefault="0034284A" w:rsidP="007651BC">
      <w:pPr>
        <w:ind w:firstLine="720"/>
        <w:jc w:val="both"/>
      </w:pPr>
    </w:p>
    <w:p w14:paraId="14982B6D" w14:textId="2DB447C9" w:rsidR="0034284A" w:rsidRDefault="0034284A" w:rsidP="007651BC">
      <w:pPr>
        <w:ind w:firstLine="720"/>
        <w:jc w:val="both"/>
      </w:pPr>
    </w:p>
    <w:p w14:paraId="7832C0A2" w14:textId="5E251841" w:rsidR="0034284A" w:rsidRDefault="0034284A" w:rsidP="007651BC">
      <w:pPr>
        <w:ind w:firstLine="720"/>
        <w:jc w:val="both"/>
      </w:pPr>
    </w:p>
    <w:p w14:paraId="5020573F" w14:textId="0B5FE42C" w:rsidR="0034284A" w:rsidRDefault="0034284A" w:rsidP="007651BC">
      <w:pPr>
        <w:ind w:firstLine="720"/>
        <w:jc w:val="both"/>
      </w:pPr>
    </w:p>
    <w:p w14:paraId="78C132B7" w14:textId="0926EF54" w:rsidR="0034284A" w:rsidRDefault="0034284A" w:rsidP="007651BC">
      <w:pPr>
        <w:ind w:firstLine="720"/>
        <w:jc w:val="both"/>
      </w:pPr>
    </w:p>
    <w:p w14:paraId="35B80EAE" w14:textId="5A0200B3" w:rsidR="0034284A" w:rsidRDefault="0034284A" w:rsidP="007651BC">
      <w:pPr>
        <w:ind w:firstLine="720"/>
        <w:jc w:val="both"/>
      </w:pPr>
    </w:p>
    <w:p w14:paraId="19E1A6E0" w14:textId="46531B25" w:rsidR="0034284A" w:rsidRDefault="0034284A" w:rsidP="007651BC">
      <w:pPr>
        <w:ind w:firstLine="720"/>
        <w:jc w:val="both"/>
      </w:pPr>
    </w:p>
    <w:p w14:paraId="7D453C85" w14:textId="1130E1F8" w:rsidR="0034284A" w:rsidRDefault="0034284A" w:rsidP="007651BC">
      <w:pPr>
        <w:ind w:firstLine="720"/>
        <w:jc w:val="both"/>
      </w:pPr>
    </w:p>
    <w:p w14:paraId="6EDCCF68" w14:textId="77777777" w:rsidR="0034284A" w:rsidRDefault="0034284A" w:rsidP="007651BC">
      <w:pPr>
        <w:ind w:firstLine="720"/>
        <w:jc w:val="both"/>
      </w:pPr>
    </w:p>
    <w:p w14:paraId="41146E5F" w14:textId="3C10EB0F" w:rsidR="00A1755C" w:rsidRPr="0003089D" w:rsidRDefault="00103C6D" w:rsidP="007651BC">
      <w:pPr>
        <w:ind w:left="3600" w:firstLine="720"/>
        <w:jc w:val="both"/>
        <w:rPr>
          <w:b/>
        </w:rPr>
      </w:pPr>
      <w:r>
        <w:rPr>
          <w:b/>
        </w:rPr>
        <w:t>Table 5</w:t>
      </w:r>
    </w:p>
    <w:p w14:paraId="47DAFC17" w14:textId="77777777" w:rsidR="00A1755C" w:rsidRPr="0003089D" w:rsidRDefault="00A1755C" w:rsidP="00A1755C">
      <w:pPr>
        <w:keepNext/>
        <w:jc w:val="center"/>
        <w:rPr>
          <w:b/>
        </w:rPr>
      </w:pPr>
      <w:r w:rsidRPr="0003089D">
        <w:rPr>
          <w:b/>
        </w:rPr>
        <w:t>Water Revenue Requirement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1296"/>
      </w:tblGrid>
      <w:tr w:rsidR="0031659C" w:rsidRPr="00EB2B89" w14:paraId="7998CD5B" w14:textId="77777777" w:rsidTr="00125DAD">
        <w:trPr>
          <w:jc w:val="center"/>
        </w:trPr>
        <w:tc>
          <w:tcPr>
            <w:tcW w:w="4106" w:type="dxa"/>
          </w:tcPr>
          <w:p w14:paraId="3705E66F" w14:textId="77777777" w:rsidR="0031659C" w:rsidRPr="00EB2B89" w:rsidRDefault="0031659C" w:rsidP="00125DAD">
            <w:r>
              <w:t>Water Rate Base</w:t>
            </w:r>
          </w:p>
        </w:tc>
        <w:tc>
          <w:tcPr>
            <w:tcW w:w="0" w:type="auto"/>
          </w:tcPr>
          <w:p w14:paraId="7865EF43" w14:textId="77777777" w:rsidR="0031659C" w:rsidRPr="00EB2B89" w:rsidRDefault="0031659C" w:rsidP="00125DAD">
            <w:pPr>
              <w:jc w:val="right"/>
            </w:pPr>
            <w:r>
              <w:t>$1,864,969</w:t>
            </w:r>
          </w:p>
        </w:tc>
      </w:tr>
      <w:tr w:rsidR="0031659C" w:rsidRPr="00EB2B89" w14:paraId="66B4C55A" w14:textId="77777777" w:rsidTr="00125DAD">
        <w:trPr>
          <w:jc w:val="center"/>
        </w:trPr>
        <w:tc>
          <w:tcPr>
            <w:tcW w:w="4106" w:type="dxa"/>
          </w:tcPr>
          <w:p w14:paraId="760B0B2D" w14:textId="77777777" w:rsidR="0031659C" w:rsidRPr="00EB2B89" w:rsidRDefault="0031659C" w:rsidP="00125DAD">
            <w:r>
              <w:t>Rate of Return (%)</w:t>
            </w:r>
          </w:p>
        </w:tc>
        <w:tc>
          <w:tcPr>
            <w:tcW w:w="0" w:type="auto"/>
          </w:tcPr>
          <w:p w14:paraId="20B8A593" w14:textId="77777777" w:rsidR="0031659C" w:rsidRPr="00EB2B89" w:rsidRDefault="0031659C" w:rsidP="00125DAD">
            <w:pPr>
              <w:jc w:val="right"/>
              <w:rPr>
                <w:u w:val="single"/>
              </w:rPr>
            </w:pPr>
            <w:r w:rsidRPr="00CA6CE1">
              <w:t xml:space="preserve">× </w:t>
            </w:r>
            <w:r>
              <w:rPr>
                <w:u w:val="single"/>
              </w:rPr>
              <w:t>8.99</w:t>
            </w:r>
            <w:r w:rsidRPr="00EB2B89">
              <w:rPr>
                <w:u w:val="single"/>
              </w:rPr>
              <w:t>%</w:t>
            </w:r>
          </w:p>
        </w:tc>
      </w:tr>
      <w:tr w:rsidR="0031659C" w:rsidRPr="00EB2B89" w14:paraId="15C9E3F0" w14:textId="77777777" w:rsidTr="00125DAD">
        <w:trPr>
          <w:trHeight w:val="306"/>
          <w:jc w:val="center"/>
        </w:trPr>
        <w:tc>
          <w:tcPr>
            <w:tcW w:w="4106" w:type="dxa"/>
          </w:tcPr>
          <w:p w14:paraId="4003FC71" w14:textId="77777777" w:rsidR="0031659C" w:rsidRPr="00EB2B89" w:rsidRDefault="0031659C" w:rsidP="00125DAD">
            <w:r>
              <w:t>Return On Rate Base ($)</w:t>
            </w:r>
          </w:p>
        </w:tc>
        <w:tc>
          <w:tcPr>
            <w:tcW w:w="0" w:type="auto"/>
          </w:tcPr>
          <w:p w14:paraId="73F8405B" w14:textId="77777777" w:rsidR="0031659C" w:rsidRPr="00EB2B89" w:rsidRDefault="0031659C" w:rsidP="00125DAD">
            <w:pPr>
              <w:jc w:val="right"/>
              <w:rPr>
                <w:u w:val="double"/>
              </w:rPr>
            </w:pPr>
            <w:r>
              <w:rPr>
                <w:u w:val="double"/>
              </w:rPr>
              <w:t>$167,694</w:t>
            </w:r>
          </w:p>
        </w:tc>
      </w:tr>
      <w:tr w:rsidR="0031659C" w:rsidRPr="00EB2B89" w14:paraId="0E92D5E3" w14:textId="77777777" w:rsidTr="00125DAD">
        <w:trPr>
          <w:jc w:val="center"/>
        </w:trPr>
        <w:tc>
          <w:tcPr>
            <w:tcW w:w="4106" w:type="dxa"/>
          </w:tcPr>
          <w:p w14:paraId="7D3A31D8" w14:textId="77777777" w:rsidR="0031659C" w:rsidRPr="00EB2B89" w:rsidRDefault="0031659C" w:rsidP="00125DAD">
            <w:r w:rsidRPr="00EB2B89">
              <w:t>Water O&amp;M Expense</w:t>
            </w:r>
          </w:p>
        </w:tc>
        <w:tc>
          <w:tcPr>
            <w:tcW w:w="0" w:type="auto"/>
          </w:tcPr>
          <w:p w14:paraId="3C972C7F" w14:textId="77777777" w:rsidR="0031659C" w:rsidRPr="00EB2B89" w:rsidRDefault="0031659C" w:rsidP="00125DAD">
            <w:pPr>
              <w:jc w:val="right"/>
            </w:pPr>
            <w:r>
              <w:t>435,197</w:t>
            </w:r>
          </w:p>
        </w:tc>
      </w:tr>
      <w:tr w:rsidR="0031659C" w:rsidRPr="00EB2B89" w14:paraId="25530B96" w14:textId="77777777" w:rsidTr="00125DAD">
        <w:trPr>
          <w:jc w:val="center"/>
        </w:trPr>
        <w:tc>
          <w:tcPr>
            <w:tcW w:w="4106" w:type="dxa"/>
          </w:tcPr>
          <w:p w14:paraId="32241F76" w14:textId="77777777" w:rsidR="0031659C" w:rsidRPr="00EB2B89" w:rsidRDefault="0031659C" w:rsidP="00125DAD">
            <w:r w:rsidRPr="00EB2B89">
              <w:t>Depreciation Expense</w:t>
            </w:r>
          </w:p>
        </w:tc>
        <w:tc>
          <w:tcPr>
            <w:tcW w:w="0" w:type="auto"/>
          </w:tcPr>
          <w:p w14:paraId="2ED7BBF9" w14:textId="77777777" w:rsidR="0031659C" w:rsidRPr="00EB2B89" w:rsidRDefault="0031659C" w:rsidP="00125DAD">
            <w:pPr>
              <w:jc w:val="right"/>
            </w:pPr>
            <w:r>
              <w:t>114,909</w:t>
            </w:r>
          </w:p>
        </w:tc>
      </w:tr>
      <w:tr w:rsidR="0031659C" w:rsidRPr="00EB2B89" w14:paraId="0AA6C522" w14:textId="77777777" w:rsidTr="00125DAD">
        <w:trPr>
          <w:trHeight w:val="70"/>
          <w:jc w:val="center"/>
        </w:trPr>
        <w:tc>
          <w:tcPr>
            <w:tcW w:w="4106" w:type="dxa"/>
          </w:tcPr>
          <w:p w14:paraId="7DF041F2" w14:textId="77777777" w:rsidR="0031659C" w:rsidRPr="00EB2B89" w:rsidRDefault="0031659C" w:rsidP="00125DAD">
            <w:r>
              <w:t>Amortization</w:t>
            </w:r>
          </w:p>
        </w:tc>
        <w:tc>
          <w:tcPr>
            <w:tcW w:w="0" w:type="auto"/>
          </w:tcPr>
          <w:p w14:paraId="051ED38F" w14:textId="77777777" w:rsidR="0031659C" w:rsidRDefault="0031659C" w:rsidP="00125DAD">
            <w:pPr>
              <w:jc w:val="right"/>
            </w:pPr>
            <w:r>
              <w:t>(41,540)</w:t>
            </w:r>
          </w:p>
        </w:tc>
      </w:tr>
      <w:tr w:rsidR="0031659C" w:rsidRPr="00EB2B89" w14:paraId="14BD84CF" w14:textId="77777777" w:rsidTr="00125DAD">
        <w:trPr>
          <w:jc w:val="center"/>
        </w:trPr>
        <w:tc>
          <w:tcPr>
            <w:tcW w:w="4106" w:type="dxa"/>
          </w:tcPr>
          <w:p w14:paraId="3AE554F6" w14:textId="77777777" w:rsidR="0031659C" w:rsidRPr="00EB2B89" w:rsidRDefault="0031659C" w:rsidP="00125DAD">
            <w:r w:rsidRPr="00EB2B89">
              <w:t>Taxes Other Than Income</w:t>
            </w:r>
          </w:p>
        </w:tc>
        <w:tc>
          <w:tcPr>
            <w:tcW w:w="0" w:type="auto"/>
          </w:tcPr>
          <w:p w14:paraId="0AF93045" w14:textId="77777777" w:rsidR="0031659C" w:rsidRPr="00EB2B89" w:rsidRDefault="0031659C" w:rsidP="00125DAD">
            <w:pPr>
              <w:jc w:val="right"/>
              <w:rPr>
                <w:u w:val="single"/>
              </w:rPr>
            </w:pPr>
            <w:r>
              <w:rPr>
                <w:u w:val="single"/>
              </w:rPr>
              <w:t>51,880</w:t>
            </w:r>
          </w:p>
        </w:tc>
      </w:tr>
      <w:tr w:rsidR="0031659C" w:rsidRPr="00EB2B89" w14:paraId="0E052419" w14:textId="77777777" w:rsidTr="00125DAD">
        <w:trPr>
          <w:jc w:val="center"/>
        </w:trPr>
        <w:tc>
          <w:tcPr>
            <w:tcW w:w="4106" w:type="dxa"/>
          </w:tcPr>
          <w:p w14:paraId="459CC673" w14:textId="77777777" w:rsidR="0031659C" w:rsidRPr="00EB2B89" w:rsidRDefault="0031659C" w:rsidP="00125DAD">
            <w:r w:rsidRPr="00EB2B89">
              <w:t>Revenue Requirement</w:t>
            </w:r>
          </w:p>
        </w:tc>
        <w:tc>
          <w:tcPr>
            <w:tcW w:w="0" w:type="auto"/>
          </w:tcPr>
          <w:p w14:paraId="2A760E08" w14:textId="77777777" w:rsidR="0031659C" w:rsidRPr="00EB2B89" w:rsidRDefault="0031659C" w:rsidP="00125DAD">
            <w:pPr>
              <w:jc w:val="right"/>
              <w:rPr>
                <w:u w:val="double"/>
              </w:rPr>
            </w:pPr>
            <w:r w:rsidRPr="00EB2B89">
              <w:rPr>
                <w:u w:val="double"/>
              </w:rPr>
              <w:t>$</w:t>
            </w:r>
            <w:r>
              <w:rPr>
                <w:u w:val="double"/>
              </w:rPr>
              <w:t>738,139</w:t>
            </w:r>
          </w:p>
        </w:tc>
      </w:tr>
      <w:tr w:rsidR="0031659C" w:rsidRPr="00EB2B89" w14:paraId="7236C50D" w14:textId="77777777" w:rsidTr="00125DAD">
        <w:trPr>
          <w:jc w:val="center"/>
        </w:trPr>
        <w:tc>
          <w:tcPr>
            <w:tcW w:w="4106" w:type="dxa"/>
          </w:tcPr>
          <w:p w14:paraId="764688BA" w14:textId="77777777" w:rsidR="0031659C" w:rsidRPr="00EB2B89" w:rsidRDefault="0031659C" w:rsidP="00125DAD">
            <w:r w:rsidRPr="00EB2B89">
              <w:t>Less Test Year Revenues</w:t>
            </w:r>
          </w:p>
        </w:tc>
        <w:tc>
          <w:tcPr>
            <w:tcW w:w="0" w:type="auto"/>
          </w:tcPr>
          <w:p w14:paraId="0AF849E0" w14:textId="77777777" w:rsidR="0031659C" w:rsidRPr="00EB2B89" w:rsidRDefault="0031659C" w:rsidP="00125DAD">
            <w:pPr>
              <w:jc w:val="right"/>
            </w:pPr>
            <w:r>
              <w:t>$291,545</w:t>
            </w:r>
          </w:p>
        </w:tc>
      </w:tr>
      <w:tr w:rsidR="0031659C" w:rsidRPr="00EB2B89" w14:paraId="22912FA0" w14:textId="77777777" w:rsidTr="00125DAD">
        <w:trPr>
          <w:jc w:val="center"/>
        </w:trPr>
        <w:tc>
          <w:tcPr>
            <w:tcW w:w="4106" w:type="dxa"/>
          </w:tcPr>
          <w:p w14:paraId="3A328A25" w14:textId="77777777" w:rsidR="0031659C" w:rsidRPr="00EB2B89" w:rsidRDefault="0031659C" w:rsidP="00125DAD">
            <w:r w:rsidRPr="00EB2B89">
              <w:t>Annual Increase</w:t>
            </w:r>
          </w:p>
        </w:tc>
        <w:tc>
          <w:tcPr>
            <w:tcW w:w="0" w:type="auto"/>
          </w:tcPr>
          <w:p w14:paraId="3FEA8230" w14:textId="77777777" w:rsidR="0031659C" w:rsidRPr="00EB2B89" w:rsidRDefault="0031659C" w:rsidP="00125DAD">
            <w:pPr>
              <w:jc w:val="right"/>
            </w:pPr>
            <w:r w:rsidRPr="00EB2B89">
              <w:t>$</w:t>
            </w:r>
            <w:r>
              <w:t>436,594</w:t>
            </w:r>
          </w:p>
        </w:tc>
      </w:tr>
      <w:tr w:rsidR="0031659C" w:rsidRPr="00EB2B89" w14:paraId="35818363" w14:textId="77777777" w:rsidTr="00125DAD">
        <w:trPr>
          <w:jc w:val="center"/>
        </w:trPr>
        <w:tc>
          <w:tcPr>
            <w:tcW w:w="4106" w:type="dxa"/>
          </w:tcPr>
          <w:p w14:paraId="36DCCBD7" w14:textId="77777777" w:rsidR="0031659C" w:rsidRPr="00EB2B89" w:rsidRDefault="0031659C" w:rsidP="00125DAD">
            <w:r w:rsidRPr="00EB2B89">
              <w:t>Percent Increase</w:t>
            </w:r>
          </w:p>
        </w:tc>
        <w:tc>
          <w:tcPr>
            <w:tcW w:w="0" w:type="auto"/>
          </w:tcPr>
          <w:p w14:paraId="4F84D238" w14:textId="77777777" w:rsidR="0031659C" w:rsidRPr="00EB2B89" w:rsidRDefault="0031659C" w:rsidP="00125DAD">
            <w:pPr>
              <w:jc w:val="right"/>
            </w:pPr>
            <w:r>
              <w:t>149.75</w:t>
            </w:r>
            <w:r w:rsidRPr="00EB2B89">
              <w:t>%</w:t>
            </w:r>
          </w:p>
        </w:tc>
      </w:tr>
    </w:tbl>
    <w:p w14:paraId="1C66E266" w14:textId="075C19BD" w:rsidR="00BF7138" w:rsidRPr="00103C6D" w:rsidRDefault="00A1755C" w:rsidP="00310946">
      <w:pPr>
        <w:spacing w:after="480"/>
        <w:ind w:left="1440" w:firstLine="720"/>
        <w:jc w:val="both"/>
        <w:rPr>
          <w:sz w:val="20"/>
          <w:szCs w:val="20"/>
        </w:rPr>
      </w:pPr>
      <w:r w:rsidRPr="00103C6D">
        <w:rPr>
          <w:sz w:val="20"/>
          <w:szCs w:val="20"/>
        </w:rPr>
        <w:t>Source: Staff calculations.</w:t>
      </w:r>
    </w:p>
    <w:p w14:paraId="6E89B3C5" w14:textId="77777777" w:rsidR="00A1755C" w:rsidRPr="0003089D" w:rsidRDefault="00A1755C" w:rsidP="00A1755C">
      <w:pPr>
        <w:keepNext/>
        <w:spacing w:before="480"/>
        <w:jc w:val="center"/>
        <w:rPr>
          <w:b/>
        </w:rPr>
      </w:pPr>
      <w:r w:rsidRPr="0003089D">
        <w:rPr>
          <w:b/>
        </w:rPr>
        <w:t xml:space="preserve">Table </w:t>
      </w:r>
      <w:r w:rsidR="00103C6D">
        <w:rPr>
          <w:b/>
        </w:rPr>
        <w:t>6</w:t>
      </w:r>
    </w:p>
    <w:p w14:paraId="33C28F8B" w14:textId="77777777" w:rsidR="00A1755C" w:rsidRPr="0003089D" w:rsidRDefault="00A1755C" w:rsidP="00A1755C">
      <w:pPr>
        <w:keepNext/>
        <w:jc w:val="center"/>
        <w:rPr>
          <w:b/>
        </w:rPr>
      </w:pPr>
      <w:r w:rsidRPr="0003089D">
        <w:rPr>
          <w:b/>
        </w:rPr>
        <w:t>Wastewater Revenue Requirement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1296"/>
      </w:tblGrid>
      <w:tr w:rsidR="0031659C" w:rsidRPr="00EB2B89" w14:paraId="135A7AF4" w14:textId="77777777" w:rsidTr="00125DAD">
        <w:trPr>
          <w:trHeight w:val="251"/>
          <w:jc w:val="center"/>
        </w:trPr>
        <w:tc>
          <w:tcPr>
            <w:tcW w:w="4106" w:type="dxa"/>
          </w:tcPr>
          <w:p w14:paraId="4A098E74" w14:textId="77777777" w:rsidR="0031659C" w:rsidRPr="00EB2B89" w:rsidRDefault="0031659C" w:rsidP="00125DAD">
            <w:r>
              <w:t>Wastewater Rate Base</w:t>
            </w:r>
          </w:p>
        </w:tc>
        <w:tc>
          <w:tcPr>
            <w:tcW w:w="0" w:type="auto"/>
          </w:tcPr>
          <w:p w14:paraId="6BAAD280" w14:textId="77777777" w:rsidR="0031659C" w:rsidRPr="00EB2B89" w:rsidRDefault="0031659C" w:rsidP="00125DAD">
            <w:pPr>
              <w:jc w:val="right"/>
            </w:pPr>
            <w:r>
              <w:t>$1,240,775</w:t>
            </w:r>
          </w:p>
        </w:tc>
      </w:tr>
      <w:tr w:rsidR="0031659C" w:rsidRPr="00EB2B89" w14:paraId="22D20717" w14:textId="77777777" w:rsidTr="00125DAD">
        <w:trPr>
          <w:trHeight w:val="279"/>
          <w:jc w:val="center"/>
        </w:trPr>
        <w:tc>
          <w:tcPr>
            <w:tcW w:w="4106" w:type="dxa"/>
          </w:tcPr>
          <w:p w14:paraId="112B9F43" w14:textId="77777777" w:rsidR="0031659C" w:rsidRPr="00EB2B89" w:rsidRDefault="0031659C" w:rsidP="00125DAD">
            <w:r>
              <w:t>Rate of Return (%)</w:t>
            </w:r>
          </w:p>
        </w:tc>
        <w:tc>
          <w:tcPr>
            <w:tcW w:w="0" w:type="auto"/>
          </w:tcPr>
          <w:p w14:paraId="51897ECB" w14:textId="77777777" w:rsidR="0031659C" w:rsidRPr="00EB2B89" w:rsidRDefault="0031659C" w:rsidP="00125DAD">
            <w:pPr>
              <w:jc w:val="right"/>
              <w:rPr>
                <w:u w:val="single"/>
              </w:rPr>
            </w:pPr>
            <w:r w:rsidRPr="00CA6CE1">
              <w:t xml:space="preserve">× </w:t>
            </w:r>
            <w:r>
              <w:rPr>
                <w:u w:val="single"/>
              </w:rPr>
              <w:t>8.99</w:t>
            </w:r>
            <w:r w:rsidRPr="00EB2B89">
              <w:rPr>
                <w:u w:val="single"/>
              </w:rPr>
              <w:t>%</w:t>
            </w:r>
          </w:p>
        </w:tc>
      </w:tr>
      <w:tr w:rsidR="0031659C" w:rsidRPr="00EB2B89" w14:paraId="6C13D970" w14:textId="77777777" w:rsidTr="00125DAD">
        <w:trPr>
          <w:trHeight w:val="234"/>
          <w:jc w:val="center"/>
        </w:trPr>
        <w:tc>
          <w:tcPr>
            <w:tcW w:w="4106" w:type="dxa"/>
          </w:tcPr>
          <w:p w14:paraId="6E66D2EC" w14:textId="77777777" w:rsidR="0031659C" w:rsidRPr="00EB2B89" w:rsidRDefault="0031659C" w:rsidP="00125DAD">
            <w:r>
              <w:t>Return On Rate Base ($)</w:t>
            </w:r>
          </w:p>
        </w:tc>
        <w:tc>
          <w:tcPr>
            <w:tcW w:w="0" w:type="auto"/>
          </w:tcPr>
          <w:p w14:paraId="79B69234" w14:textId="77777777" w:rsidR="0031659C" w:rsidRPr="00EB2B89" w:rsidRDefault="0031659C" w:rsidP="00125DAD">
            <w:pPr>
              <w:jc w:val="right"/>
              <w:rPr>
                <w:u w:val="double"/>
              </w:rPr>
            </w:pPr>
            <w:r>
              <w:rPr>
                <w:u w:val="double"/>
              </w:rPr>
              <w:t>$111,568</w:t>
            </w:r>
          </w:p>
        </w:tc>
      </w:tr>
      <w:tr w:rsidR="0031659C" w:rsidRPr="00EB2B89" w14:paraId="61669A97" w14:textId="77777777" w:rsidTr="00125DAD">
        <w:trPr>
          <w:jc w:val="center"/>
        </w:trPr>
        <w:tc>
          <w:tcPr>
            <w:tcW w:w="4106" w:type="dxa"/>
          </w:tcPr>
          <w:p w14:paraId="508983F7" w14:textId="77777777" w:rsidR="0031659C" w:rsidRPr="00EB2B89" w:rsidRDefault="0031659C" w:rsidP="00125DAD">
            <w:r>
              <w:t>Wastewater</w:t>
            </w:r>
            <w:r w:rsidRPr="00EB2B89">
              <w:t xml:space="preserve"> O&amp;M Expense</w:t>
            </w:r>
          </w:p>
        </w:tc>
        <w:tc>
          <w:tcPr>
            <w:tcW w:w="0" w:type="auto"/>
          </w:tcPr>
          <w:p w14:paraId="46987252" w14:textId="77777777" w:rsidR="0031659C" w:rsidRPr="00EB2B89" w:rsidRDefault="0031659C" w:rsidP="00125DAD">
            <w:pPr>
              <w:jc w:val="right"/>
            </w:pPr>
            <w:r>
              <w:t>447,720</w:t>
            </w:r>
          </w:p>
        </w:tc>
      </w:tr>
      <w:tr w:rsidR="0031659C" w:rsidRPr="00EB2B89" w14:paraId="6AD885DE" w14:textId="77777777" w:rsidTr="00125DAD">
        <w:trPr>
          <w:jc w:val="center"/>
        </w:trPr>
        <w:tc>
          <w:tcPr>
            <w:tcW w:w="4106" w:type="dxa"/>
          </w:tcPr>
          <w:p w14:paraId="384574CA" w14:textId="77777777" w:rsidR="0031659C" w:rsidRDefault="0031659C" w:rsidP="00125DAD">
            <w:r w:rsidRPr="00EB2B89">
              <w:t>Depreciation Expense</w:t>
            </w:r>
          </w:p>
          <w:p w14:paraId="5B9E2C5E" w14:textId="77777777" w:rsidR="0031659C" w:rsidRPr="00EB2B89" w:rsidRDefault="0031659C" w:rsidP="00125DAD">
            <w:r>
              <w:t>Amortization</w:t>
            </w:r>
          </w:p>
        </w:tc>
        <w:tc>
          <w:tcPr>
            <w:tcW w:w="0" w:type="auto"/>
          </w:tcPr>
          <w:p w14:paraId="5E18FAD2" w14:textId="77777777" w:rsidR="0031659C" w:rsidRDefault="0031659C" w:rsidP="00125DAD">
            <w:pPr>
              <w:jc w:val="right"/>
            </w:pPr>
            <w:r>
              <w:t>83,187</w:t>
            </w:r>
          </w:p>
          <w:p w14:paraId="7F5B40F9" w14:textId="77777777" w:rsidR="0031659C" w:rsidRPr="00EB2B89" w:rsidRDefault="0031659C" w:rsidP="00125DAD">
            <w:pPr>
              <w:jc w:val="right"/>
            </w:pPr>
            <w:r>
              <w:t>(3,925)</w:t>
            </w:r>
          </w:p>
        </w:tc>
      </w:tr>
      <w:tr w:rsidR="0031659C" w:rsidRPr="00EB2B89" w14:paraId="58134376" w14:textId="77777777" w:rsidTr="00125DAD">
        <w:trPr>
          <w:jc w:val="center"/>
        </w:trPr>
        <w:tc>
          <w:tcPr>
            <w:tcW w:w="4106" w:type="dxa"/>
          </w:tcPr>
          <w:p w14:paraId="0F9487C4" w14:textId="77777777" w:rsidR="0031659C" w:rsidRPr="00EB2B89" w:rsidRDefault="0031659C" w:rsidP="00125DAD">
            <w:r w:rsidRPr="00EB2B89">
              <w:t>Taxes Other Than Income</w:t>
            </w:r>
          </w:p>
        </w:tc>
        <w:tc>
          <w:tcPr>
            <w:tcW w:w="0" w:type="auto"/>
          </w:tcPr>
          <w:p w14:paraId="50293641" w14:textId="77777777" w:rsidR="0031659C" w:rsidRPr="00EB2B89" w:rsidRDefault="0031659C" w:rsidP="00125DAD">
            <w:pPr>
              <w:jc w:val="right"/>
              <w:rPr>
                <w:u w:val="single"/>
              </w:rPr>
            </w:pPr>
            <w:r>
              <w:rPr>
                <w:u w:val="single"/>
              </w:rPr>
              <w:t>41,610</w:t>
            </w:r>
          </w:p>
        </w:tc>
      </w:tr>
      <w:tr w:rsidR="0031659C" w:rsidRPr="00EB2B89" w14:paraId="77AA7CC8" w14:textId="77777777" w:rsidTr="00125DAD">
        <w:trPr>
          <w:jc w:val="center"/>
        </w:trPr>
        <w:tc>
          <w:tcPr>
            <w:tcW w:w="4106" w:type="dxa"/>
          </w:tcPr>
          <w:p w14:paraId="760FFCA0" w14:textId="77777777" w:rsidR="0031659C" w:rsidRPr="00EB2B89" w:rsidRDefault="0031659C" w:rsidP="00125DAD">
            <w:r w:rsidRPr="00EB2B89">
              <w:t>Revenue Requirement</w:t>
            </w:r>
          </w:p>
        </w:tc>
        <w:tc>
          <w:tcPr>
            <w:tcW w:w="0" w:type="auto"/>
          </w:tcPr>
          <w:p w14:paraId="5E5B8281" w14:textId="77777777" w:rsidR="0031659C" w:rsidRPr="00920DC1" w:rsidRDefault="0031659C" w:rsidP="00125DAD">
            <w:pPr>
              <w:jc w:val="right"/>
              <w:rPr>
                <w:u w:val="double"/>
              </w:rPr>
            </w:pPr>
            <w:r w:rsidRPr="00920DC1">
              <w:rPr>
                <w:u w:val="double"/>
              </w:rPr>
              <w:t>$</w:t>
            </w:r>
            <w:r>
              <w:rPr>
                <w:u w:val="double"/>
              </w:rPr>
              <w:t>680,160</w:t>
            </w:r>
          </w:p>
        </w:tc>
      </w:tr>
      <w:tr w:rsidR="0031659C" w:rsidRPr="00EB2B89" w14:paraId="7E939D32" w14:textId="77777777" w:rsidTr="00125DAD">
        <w:trPr>
          <w:jc w:val="center"/>
        </w:trPr>
        <w:tc>
          <w:tcPr>
            <w:tcW w:w="4106" w:type="dxa"/>
          </w:tcPr>
          <w:p w14:paraId="6281F067" w14:textId="77777777" w:rsidR="0031659C" w:rsidRPr="00EB2B89" w:rsidRDefault="0031659C" w:rsidP="00125DAD">
            <w:r w:rsidRPr="00EB2B89">
              <w:t>Less Test Year Revenues</w:t>
            </w:r>
          </w:p>
        </w:tc>
        <w:tc>
          <w:tcPr>
            <w:tcW w:w="0" w:type="auto"/>
          </w:tcPr>
          <w:p w14:paraId="2DF0810D" w14:textId="77777777" w:rsidR="0031659C" w:rsidRPr="00EB2B89" w:rsidRDefault="0031659C" w:rsidP="00125DAD">
            <w:pPr>
              <w:jc w:val="right"/>
            </w:pPr>
            <w:r>
              <w:t>$254,027</w:t>
            </w:r>
          </w:p>
        </w:tc>
      </w:tr>
      <w:tr w:rsidR="0031659C" w:rsidRPr="00EB2B89" w14:paraId="0D0B39D5" w14:textId="77777777" w:rsidTr="00125DAD">
        <w:trPr>
          <w:jc w:val="center"/>
        </w:trPr>
        <w:tc>
          <w:tcPr>
            <w:tcW w:w="4106" w:type="dxa"/>
          </w:tcPr>
          <w:p w14:paraId="00028054" w14:textId="77777777" w:rsidR="0031659C" w:rsidRPr="00EB2B89" w:rsidRDefault="0031659C" w:rsidP="00125DAD">
            <w:r w:rsidRPr="00EB2B89">
              <w:t>Annual Increase</w:t>
            </w:r>
          </w:p>
        </w:tc>
        <w:tc>
          <w:tcPr>
            <w:tcW w:w="0" w:type="auto"/>
          </w:tcPr>
          <w:p w14:paraId="7B01BF0C" w14:textId="77777777" w:rsidR="0031659C" w:rsidRPr="00EB2B89" w:rsidRDefault="0031659C" w:rsidP="00125DAD">
            <w:pPr>
              <w:jc w:val="right"/>
            </w:pPr>
            <w:r w:rsidRPr="00EB2B89">
              <w:t>$</w:t>
            </w:r>
            <w:r>
              <w:t>426,133</w:t>
            </w:r>
          </w:p>
        </w:tc>
      </w:tr>
      <w:tr w:rsidR="0031659C" w:rsidRPr="00EB2B89" w14:paraId="2B3D84DC" w14:textId="77777777" w:rsidTr="00125DAD">
        <w:trPr>
          <w:jc w:val="center"/>
        </w:trPr>
        <w:tc>
          <w:tcPr>
            <w:tcW w:w="4106" w:type="dxa"/>
          </w:tcPr>
          <w:p w14:paraId="02B65535" w14:textId="77777777" w:rsidR="0031659C" w:rsidRPr="00EB2B89" w:rsidRDefault="0031659C" w:rsidP="00125DAD">
            <w:r w:rsidRPr="00EB2B89">
              <w:t>Percent Increase</w:t>
            </w:r>
          </w:p>
        </w:tc>
        <w:tc>
          <w:tcPr>
            <w:tcW w:w="0" w:type="auto"/>
          </w:tcPr>
          <w:p w14:paraId="27EF87E8" w14:textId="77777777" w:rsidR="0031659C" w:rsidRPr="00EB2B89" w:rsidRDefault="0031659C" w:rsidP="00125DAD">
            <w:pPr>
              <w:jc w:val="right"/>
            </w:pPr>
            <w:r>
              <w:t>167.75</w:t>
            </w:r>
            <w:r w:rsidRPr="00EB2B89">
              <w:t>%</w:t>
            </w:r>
          </w:p>
        </w:tc>
      </w:tr>
    </w:tbl>
    <w:p w14:paraId="721EB187" w14:textId="77777777" w:rsidR="00103C6D" w:rsidRDefault="00A1755C" w:rsidP="00103C6D">
      <w:pPr>
        <w:pStyle w:val="BodyText"/>
        <w:spacing w:after="0"/>
        <w:ind w:left="1440" w:firstLine="720"/>
      </w:pPr>
      <w:r w:rsidRPr="00103C6D">
        <w:rPr>
          <w:sz w:val="20"/>
          <w:szCs w:val="20"/>
        </w:rPr>
        <w:t>Source: Staff calculations.</w:t>
      </w:r>
    </w:p>
    <w:p w14:paraId="1C94C3EF" w14:textId="77777777" w:rsidR="00BF7138" w:rsidRDefault="00BF7138" w:rsidP="00103C6D">
      <w:pPr>
        <w:pStyle w:val="BodyText"/>
        <w:spacing w:after="0"/>
        <w:jc w:val="both"/>
      </w:pPr>
    </w:p>
    <w:p w14:paraId="35381B80" w14:textId="54E2D1BB" w:rsidR="00A1755C" w:rsidRDefault="00103C6D" w:rsidP="00103C6D">
      <w:pPr>
        <w:pStyle w:val="BodyText"/>
        <w:spacing w:after="0"/>
        <w:jc w:val="both"/>
        <w:rPr>
          <w:u w:val="single"/>
        </w:rPr>
      </w:pPr>
      <w:r>
        <w:t>10.</w:t>
      </w:r>
      <w:r>
        <w:tab/>
      </w:r>
      <w:r w:rsidRPr="00103C6D">
        <w:rPr>
          <w:u w:val="single"/>
        </w:rPr>
        <w:t>Rate S</w:t>
      </w:r>
      <w:r w:rsidR="00A1755C" w:rsidRPr="00103C6D">
        <w:rPr>
          <w:u w:val="single"/>
        </w:rPr>
        <w:t>tructure</w:t>
      </w:r>
    </w:p>
    <w:p w14:paraId="4483D9A9" w14:textId="77777777" w:rsidR="00A1755C" w:rsidRPr="0003089D" w:rsidRDefault="00A1755C" w:rsidP="006D1A91">
      <w:pPr>
        <w:jc w:val="both"/>
      </w:pPr>
    </w:p>
    <w:p w14:paraId="11421245" w14:textId="77777777" w:rsidR="00A1755C" w:rsidRDefault="00103C6D" w:rsidP="00103C6D">
      <w:pPr>
        <w:ind w:firstLine="720"/>
        <w:jc w:val="both"/>
        <w:rPr>
          <w:bCs/>
          <w:i/>
        </w:rPr>
      </w:pPr>
      <w:r w:rsidRPr="00103C6D">
        <w:rPr>
          <w:bCs/>
          <w:i/>
        </w:rPr>
        <w:t xml:space="preserve">A.   </w:t>
      </w:r>
      <w:r w:rsidR="00A1755C" w:rsidRPr="00103C6D">
        <w:rPr>
          <w:bCs/>
          <w:i/>
        </w:rPr>
        <w:t>Water Rates</w:t>
      </w:r>
    </w:p>
    <w:p w14:paraId="2EC3ADCB" w14:textId="77777777" w:rsidR="00103C6D" w:rsidRPr="00103C6D" w:rsidRDefault="00103C6D" w:rsidP="00103C6D">
      <w:pPr>
        <w:ind w:firstLine="720"/>
        <w:jc w:val="both"/>
        <w:rPr>
          <w:bCs/>
          <w:i/>
        </w:rPr>
      </w:pPr>
    </w:p>
    <w:p w14:paraId="23EF1E96" w14:textId="4559F38E" w:rsidR="00A1755C" w:rsidRPr="0003089D" w:rsidRDefault="00A1755C" w:rsidP="00103C6D">
      <w:pPr>
        <w:ind w:firstLine="720"/>
        <w:jc w:val="both"/>
        <w:rPr>
          <w:color w:val="000000"/>
        </w:rPr>
      </w:pPr>
      <w:r w:rsidRPr="0003089D">
        <w:rPr>
          <w:color w:val="000000"/>
        </w:rPr>
        <w:t xml:space="preserve">Grenelefe is located in Polk County within the </w:t>
      </w:r>
      <w:r w:rsidRPr="0003089D">
        <w:t>SWFWMD</w:t>
      </w:r>
      <w:r w:rsidRPr="0003089D">
        <w:rPr>
          <w:color w:val="000000"/>
        </w:rPr>
        <w:t xml:space="preserve">. </w:t>
      </w:r>
      <w:r w:rsidRPr="0003089D">
        <w:rPr>
          <w:rFonts w:eastAsiaTheme="minorHAnsi"/>
          <w:szCs w:val="22"/>
        </w:rPr>
        <w:t>The Utility provides water service to 1,213 residential customers, with 78 of the customers having a separate meter for irrigation. There are also 192 general service customers, which includes 85 irrigation customers. According to the billing data, approximately 14 percent of the residential customer bills during the test year had zero gallons, which signifies a non-seasonal customer base. However, when seasonal customers are out of residence, they will continue to irrigate their lawns, which will distort the percentage of cumulative bills at the zero consumption level</w:t>
      </w:r>
      <w:r w:rsidR="00310946">
        <w:rPr>
          <w:rFonts w:eastAsiaTheme="minorHAnsi"/>
          <w:szCs w:val="22"/>
        </w:rPr>
        <w:t xml:space="preserve">. </w:t>
      </w:r>
      <w:r w:rsidR="00BC2408" w:rsidRPr="0003089D">
        <w:rPr>
          <w:rFonts w:eastAsiaTheme="minorHAnsi"/>
          <w:szCs w:val="22"/>
        </w:rPr>
        <w:t>We</w:t>
      </w:r>
      <w:r w:rsidRPr="0003089D">
        <w:rPr>
          <w:rFonts w:eastAsiaTheme="minorHAnsi"/>
          <w:szCs w:val="22"/>
        </w:rPr>
        <w:t xml:space="preserve"> </w:t>
      </w:r>
      <w:r w:rsidR="00B2057D" w:rsidRPr="0003089D">
        <w:rPr>
          <w:rFonts w:eastAsiaTheme="minorHAnsi"/>
          <w:szCs w:val="22"/>
        </w:rPr>
        <w:t>find</w:t>
      </w:r>
      <w:r w:rsidRPr="0003089D">
        <w:rPr>
          <w:rFonts w:eastAsiaTheme="minorHAnsi"/>
          <w:szCs w:val="22"/>
        </w:rPr>
        <w:t xml:space="preserve"> that the cumulative bills at the 1,000 gallon consumption level, which represents approximately 37 percent of the residential customer bills, indicates a moderate seasonal customer base. The </w:t>
      </w:r>
      <w:r w:rsidRPr="0003089D">
        <w:rPr>
          <w:rFonts w:eastAsiaTheme="minorHAnsi"/>
          <w:szCs w:val="22"/>
        </w:rPr>
        <w:lastRenderedPageBreak/>
        <w:t>average residential water demand is 2,706 gallons. The average water demand, excluding zero gallon bills, is 3,660 gallons per month. The Utility’s c</w:t>
      </w:r>
      <w:r w:rsidRPr="0003089D">
        <w:rPr>
          <w:color w:val="000000"/>
        </w:rPr>
        <w:t>urrent rate structure for the water system consists of a base facility charge (BFC) and a four-tier inclining block rate, which includes separate gallonage charges for non-discretionary and discretionary usage for residential water customers. The rate blocks are: 1) 0-5,000 gallons; 2) 5,001-10,000 gallons; 3) 10,001-15,000 gallons; and 4) all usage in excess of 15,000 gallons. The general service rate structure consists of a monthly BFC and uniform gallonage charge.</w:t>
      </w:r>
    </w:p>
    <w:p w14:paraId="2775322A" w14:textId="77777777" w:rsidR="00A1755C" w:rsidRPr="0003089D" w:rsidRDefault="00A1755C" w:rsidP="00A1755C">
      <w:pPr>
        <w:jc w:val="both"/>
        <w:rPr>
          <w:color w:val="000000"/>
        </w:rPr>
      </w:pPr>
    </w:p>
    <w:p w14:paraId="56124EA5" w14:textId="2CB6501E" w:rsidR="00A1755C" w:rsidRPr="0003089D" w:rsidRDefault="00BC2408" w:rsidP="00103C6D">
      <w:pPr>
        <w:ind w:firstLine="720"/>
        <w:jc w:val="both"/>
        <w:rPr>
          <w:color w:val="000000"/>
        </w:rPr>
      </w:pPr>
      <w:r w:rsidRPr="0003089D">
        <w:rPr>
          <w:color w:val="000000"/>
        </w:rPr>
        <w:t>We</w:t>
      </w:r>
      <w:r w:rsidR="00A1755C" w:rsidRPr="0003089D">
        <w:rPr>
          <w:color w:val="000000"/>
        </w:rPr>
        <w:t xml:space="preserve"> performed an analysis of the Utility’s billing data in order to evaluate the appropriate rate structure for the residential water customers. The goal of the evaluation was to select the rate design parameters that: (1) produce the </w:t>
      </w:r>
      <w:r w:rsidR="00B2057D" w:rsidRPr="0003089D">
        <w:rPr>
          <w:color w:val="000000"/>
        </w:rPr>
        <w:t>approved</w:t>
      </w:r>
      <w:r w:rsidR="00A1755C" w:rsidRPr="0003089D">
        <w:rPr>
          <w:color w:val="000000"/>
        </w:rPr>
        <w:t xml:space="preserve"> revenue requirement; (2) equitably distribute cost recovery among the Utility’s customers; (3) establish the appropriate discretionary usage threshold for restricting repression; and (4) implement, where appropriate, water conserving rate structures consistent with </w:t>
      </w:r>
      <w:r w:rsidR="00130DD1">
        <w:rPr>
          <w:color w:val="000000"/>
        </w:rPr>
        <w:t>o</w:t>
      </w:r>
      <w:r w:rsidRPr="0003089D">
        <w:rPr>
          <w:color w:val="000000"/>
        </w:rPr>
        <w:t>ur</w:t>
      </w:r>
      <w:r w:rsidR="00A1755C" w:rsidRPr="0003089D">
        <w:rPr>
          <w:color w:val="000000"/>
        </w:rPr>
        <w:t xml:space="preserve"> practice.</w:t>
      </w:r>
    </w:p>
    <w:p w14:paraId="17600488" w14:textId="77777777" w:rsidR="00A1755C" w:rsidRPr="0003089D" w:rsidRDefault="00A1755C" w:rsidP="006D1A91">
      <w:pPr>
        <w:jc w:val="both"/>
        <w:rPr>
          <w:color w:val="000000"/>
        </w:rPr>
      </w:pPr>
    </w:p>
    <w:p w14:paraId="0E4FBE98" w14:textId="77777777" w:rsidR="00AC36CA" w:rsidRPr="0003089D" w:rsidRDefault="00AC36CA" w:rsidP="00AC36CA">
      <w:pPr>
        <w:ind w:firstLine="720"/>
        <w:jc w:val="both"/>
        <w:rPr>
          <w:color w:val="000000"/>
        </w:rPr>
      </w:pPr>
      <w:r w:rsidRPr="0003089D">
        <w:rPr>
          <w:color w:val="000000"/>
        </w:rPr>
        <w:t xml:space="preserve">As mentioned above, the billing data indicate a moderate seasonal customer base coupled with low average consumption. The Utility’s current BFC allocation is 64 percent, which exceeds our practice of recovering at least 50 percent of costs through the BFC for a seasonal customer base. In this case, we find that the BFC allocation be reduced from 64 percent to 55 percent, which will minimize the rate impact at non-discretionary levels of consumption. Our approved BFC allocation of 55 percent will also allow the Utility to maintain revenue stability and target customers that are using </w:t>
      </w:r>
      <w:r>
        <w:rPr>
          <w:color w:val="000000"/>
        </w:rPr>
        <w:t>more water</w:t>
      </w:r>
      <w:r w:rsidRPr="0003089D">
        <w:rPr>
          <w:color w:val="000000"/>
        </w:rPr>
        <w:t>.</w:t>
      </w:r>
    </w:p>
    <w:p w14:paraId="1C256DE0" w14:textId="77777777" w:rsidR="00A1755C" w:rsidRPr="0003089D" w:rsidRDefault="00A1755C" w:rsidP="006D1A91">
      <w:pPr>
        <w:jc w:val="both"/>
        <w:rPr>
          <w:color w:val="000000"/>
        </w:rPr>
      </w:pPr>
    </w:p>
    <w:p w14:paraId="455FBA42" w14:textId="77777777" w:rsidR="00AC36CA" w:rsidRPr="0003089D" w:rsidRDefault="00AC36CA" w:rsidP="00AC36CA">
      <w:pPr>
        <w:ind w:firstLine="720"/>
        <w:jc w:val="both"/>
        <w:rPr>
          <w:color w:val="000000"/>
        </w:rPr>
      </w:pPr>
      <w:r>
        <w:rPr>
          <w:color w:val="000000"/>
        </w:rPr>
        <w:t>B</w:t>
      </w:r>
      <w:r w:rsidRPr="0003089D">
        <w:rPr>
          <w:color w:val="000000"/>
        </w:rPr>
        <w:t>ased on the number of people per household,</w:t>
      </w:r>
      <w:r w:rsidRPr="0003089D">
        <w:rPr>
          <w:rStyle w:val="FootnoteReference"/>
          <w:color w:val="000000"/>
        </w:rPr>
        <w:footnoteReference w:id="53"/>
      </w:r>
      <w:r w:rsidRPr="0003089D">
        <w:rPr>
          <w:color w:val="000000"/>
        </w:rPr>
        <w:t xml:space="preserve"> 50 gallons per day per person, and the number of days per month, the non-discretionary usage threshold </w:t>
      </w:r>
      <w:r>
        <w:rPr>
          <w:color w:val="000000"/>
        </w:rPr>
        <w:t>for Grenelefe is</w:t>
      </w:r>
      <w:r w:rsidRPr="0003089D">
        <w:rPr>
          <w:color w:val="000000"/>
        </w:rPr>
        <w:t xml:space="preserve"> 4,000 gallons per month.</w:t>
      </w:r>
      <w:r w:rsidRPr="0003089D">
        <w:rPr>
          <w:rStyle w:val="FootnoteReference"/>
          <w:color w:val="000000"/>
        </w:rPr>
        <w:footnoteReference w:id="54"/>
      </w:r>
      <w:r w:rsidRPr="0003089D">
        <w:rPr>
          <w:color w:val="000000"/>
        </w:rPr>
        <w:t xml:space="preserve"> </w:t>
      </w:r>
      <w:r>
        <w:rPr>
          <w:color w:val="000000"/>
        </w:rPr>
        <w:t>W</w:t>
      </w:r>
      <w:r w:rsidRPr="0003089D">
        <w:rPr>
          <w:color w:val="000000"/>
        </w:rPr>
        <w:t>e evaluated whether the current rate structure is appropriate in this case. Based on our evaluation, there is very little discretionary usage above 15,000 gallons; therefore, we find the current rate structure is aggressive and shall be changed. We find a BFC and a three-tier inclining block rate structure, which includes separate gallonage charges for discretionary and non-discretionary usage for residential water customers</w:t>
      </w:r>
      <w:r>
        <w:rPr>
          <w:color w:val="000000"/>
        </w:rPr>
        <w:t>, would be appropriate for Grenelefe</w:t>
      </w:r>
      <w:r w:rsidRPr="0003089D">
        <w:rPr>
          <w:color w:val="000000"/>
        </w:rPr>
        <w:t>. The rate blocks are: (</w:t>
      </w:r>
      <w:r w:rsidRPr="0003089D">
        <w:t>1) 0 – 4,000 gallons; 2) 4,000 – 10,000 gallons; 3) over 10,000 gallons per month</w:t>
      </w:r>
      <w:r w:rsidRPr="0003089D">
        <w:rPr>
          <w:color w:val="000000"/>
        </w:rPr>
        <w:t>. General service customers shall be billed a BFC and a uniform gallonage charge.</w:t>
      </w:r>
    </w:p>
    <w:p w14:paraId="67FDF9B5" w14:textId="77777777" w:rsidR="00A1755C" w:rsidRPr="0003089D" w:rsidRDefault="00A1755C" w:rsidP="00A1755C">
      <w:pPr>
        <w:jc w:val="both"/>
        <w:rPr>
          <w:color w:val="000000"/>
        </w:rPr>
      </w:pPr>
    </w:p>
    <w:p w14:paraId="156190C3" w14:textId="37D3A5BD" w:rsidR="00A1755C" w:rsidRDefault="00DA78E9" w:rsidP="00103C6D">
      <w:pPr>
        <w:ind w:firstLine="720"/>
        <w:jc w:val="both"/>
        <w:rPr>
          <w:color w:val="000000"/>
        </w:rPr>
      </w:pPr>
      <w:r w:rsidRPr="0003089D">
        <w:rPr>
          <w:color w:val="000000"/>
        </w:rPr>
        <w:t xml:space="preserve">Based on our approved revenue increase of </w:t>
      </w:r>
      <w:r>
        <w:rPr>
          <w:color w:val="000000"/>
        </w:rPr>
        <w:t>169.2</w:t>
      </w:r>
      <w:r w:rsidRPr="0003089D">
        <w:rPr>
          <w:color w:val="000000"/>
        </w:rPr>
        <w:t xml:space="preserve"> percent, which excludes miscellaneous revenues, the residential consumption can be expected to decline by 10,</w:t>
      </w:r>
      <w:r>
        <w:rPr>
          <w:color w:val="000000"/>
        </w:rPr>
        <w:t>486</w:t>
      </w:r>
      <w:r w:rsidRPr="0003089D">
        <w:rPr>
          <w:color w:val="000000"/>
        </w:rPr>
        <w:t>,000 gallons, resulting in anticipated average residential demand of 1,9</w:t>
      </w:r>
      <w:r>
        <w:rPr>
          <w:color w:val="000000"/>
        </w:rPr>
        <w:t>95</w:t>
      </w:r>
      <w:r w:rsidR="004C3F76">
        <w:rPr>
          <w:color w:val="000000"/>
        </w:rPr>
        <w:t xml:space="preserve"> gallons per month. We approve</w:t>
      </w:r>
      <w:r w:rsidRPr="0003089D">
        <w:rPr>
          <w:color w:val="000000"/>
        </w:rPr>
        <w:t xml:space="preserve"> a 26.</w:t>
      </w:r>
      <w:r>
        <w:rPr>
          <w:color w:val="000000"/>
        </w:rPr>
        <w:t>3</w:t>
      </w:r>
      <w:r w:rsidRPr="0003089D">
        <w:rPr>
          <w:color w:val="000000"/>
        </w:rPr>
        <w:t xml:space="preserve"> percent reduction in test year residential gallons for rate setting purposes. As a result, the corresponding reductions are $2,0</w:t>
      </w:r>
      <w:r>
        <w:rPr>
          <w:color w:val="000000"/>
        </w:rPr>
        <w:t>30</w:t>
      </w:r>
      <w:r w:rsidRPr="0003089D">
        <w:rPr>
          <w:color w:val="000000"/>
        </w:rPr>
        <w:t xml:space="preserve"> for purchased power expense, $1,</w:t>
      </w:r>
      <w:r>
        <w:rPr>
          <w:color w:val="000000"/>
        </w:rPr>
        <w:t>382</w:t>
      </w:r>
      <w:r w:rsidRPr="0003089D">
        <w:rPr>
          <w:color w:val="000000"/>
        </w:rPr>
        <w:t xml:space="preserve"> for chemical expense, and $16</w:t>
      </w:r>
      <w:r>
        <w:rPr>
          <w:color w:val="000000"/>
        </w:rPr>
        <w:t>1</w:t>
      </w:r>
      <w:r w:rsidRPr="0003089D">
        <w:rPr>
          <w:color w:val="000000"/>
        </w:rPr>
        <w:t xml:space="preserve"> for RAFs to reflect the anticipated repression, which results in a </w:t>
      </w:r>
      <w:r w:rsidRPr="0003089D">
        <w:t>post-repression</w:t>
      </w:r>
      <w:r w:rsidRPr="0003089D">
        <w:rPr>
          <w:color w:val="000000"/>
        </w:rPr>
        <w:t xml:space="preserve"> revenue requirement of</w:t>
      </w:r>
      <w:r>
        <w:rPr>
          <w:color w:val="000000"/>
        </w:rPr>
        <w:t xml:space="preserve"> $691,080</w:t>
      </w:r>
      <w:r w:rsidR="00A1755C" w:rsidRPr="0003089D">
        <w:rPr>
          <w:color w:val="000000"/>
        </w:rPr>
        <w:t>.</w:t>
      </w:r>
    </w:p>
    <w:p w14:paraId="5AFB53EB" w14:textId="38DA8497" w:rsidR="00A1755C" w:rsidRDefault="00A1755C" w:rsidP="00A1755C">
      <w:pPr>
        <w:jc w:val="both"/>
        <w:rPr>
          <w:b/>
          <w:bCs/>
        </w:rPr>
      </w:pPr>
    </w:p>
    <w:p w14:paraId="76CF385B" w14:textId="77777777" w:rsidR="00103C6D" w:rsidRPr="00103C6D" w:rsidRDefault="00103C6D" w:rsidP="00103C6D">
      <w:pPr>
        <w:ind w:firstLine="720"/>
        <w:jc w:val="both"/>
        <w:rPr>
          <w:bCs/>
          <w:i/>
        </w:rPr>
      </w:pPr>
      <w:r>
        <w:rPr>
          <w:bCs/>
          <w:i/>
        </w:rPr>
        <w:lastRenderedPageBreak/>
        <w:t xml:space="preserve">B.   </w:t>
      </w:r>
      <w:r w:rsidR="00A1755C" w:rsidRPr="00103C6D">
        <w:rPr>
          <w:bCs/>
          <w:i/>
        </w:rPr>
        <w:t>Wastewater Rates</w:t>
      </w:r>
    </w:p>
    <w:p w14:paraId="06B20109" w14:textId="77777777" w:rsidR="00A1755C" w:rsidRPr="0003089D" w:rsidRDefault="00A1755C" w:rsidP="00A1755C">
      <w:pPr>
        <w:jc w:val="both"/>
        <w:rPr>
          <w:b/>
          <w:bCs/>
        </w:rPr>
      </w:pPr>
      <w:r w:rsidRPr="0003089D">
        <w:rPr>
          <w:b/>
          <w:bCs/>
        </w:rPr>
        <w:t xml:space="preserve"> </w:t>
      </w:r>
    </w:p>
    <w:p w14:paraId="75DE610D" w14:textId="77777777" w:rsidR="00A1755C" w:rsidRPr="0003089D" w:rsidRDefault="00A1755C" w:rsidP="00103C6D">
      <w:pPr>
        <w:autoSpaceDE w:val="0"/>
        <w:autoSpaceDN w:val="0"/>
        <w:adjustRightInd w:val="0"/>
        <w:ind w:firstLine="720"/>
        <w:jc w:val="both"/>
      </w:pPr>
      <w:r w:rsidRPr="0003089D">
        <w:t>The Utility provides wastewater service to approximately 1,213 residential customers and 107 general service customers. Currently, the wastewater rate structure for residential customers consists of a monthly uniform BFC for all meter sizes and gallonage charge with an 8,000 gallonage cap. The general service customers are billed a BFC by meter size and a gallonage charge that is 1.2 times higher than the residential gallonage charge.</w:t>
      </w:r>
    </w:p>
    <w:p w14:paraId="6F3E250F" w14:textId="77777777" w:rsidR="00A1755C" w:rsidRPr="0003089D" w:rsidRDefault="00A1755C" w:rsidP="00A1755C">
      <w:pPr>
        <w:autoSpaceDE w:val="0"/>
        <w:autoSpaceDN w:val="0"/>
        <w:adjustRightInd w:val="0"/>
        <w:jc w:val="both"/>
      </w:pPr>
    </w:p>
    <w:p w14:paraId="3E209BAC" w14:textId="6168E24C" w:rsidR="00A1755C" w:rsidRDefault="00BC2408" w:rsidP="007651BC">
      <w:pPr>
        <w:autoSpaceDE w:val="0"/>
        <w:autoSpaceDN w:val="0"/>
        <w:adjustRightInd w:val="0"/>
        <w:ind w:firstLine="720"/>
        <w:jc w:val="both"/>
      </w:pPr>
      <w:r w:rsidRPr="0003089D">
        <w:t>We</w:t>
      </w:r>
      <w:r w:rsidR="00A1755C" w:rsidRPr="0003089D">
        <w:t xml:space="preserve"> performed an analysis of the Utility’s billing data in order to evaluate various BFC cost recovery percentages and gallonage caps for the residential wastewater customers. The goal of the evaluation was to select the rate design parameters that: 1) produce the </w:t>
      </w:r>
      <w:r w:rsidR="00B2057D" w:rsidRPr="0003089D">
        <w:t>approved</w:t>
      </w:r>
      <w:r w:rsidR="00A1755C" w:rsidRPr="0003089D">
        <w:t xml:space="preserve"> revenue requirement; 2) equitably distribute cost recovery among the Utility’s customers; and 3) implement a gallonage cap that considers approximately the amount of water that may return to the wastewater system.</w:t>
      </w:r>
    </w:p>
    <w:p w14:paraId="0FBE7952" w14:textId="77777777" w:rsidR="007651BC" w:rsidRPr="0003089D" w:rsidRDefault="007651BC" w:rsidP="007651BC">
      <w:pPr>
        <w:autoSpaceDE w:val="0"/>
        <w:autoSpaceDN w:val="0"/>
        <w:adjustRightInd w:val="0"/>
        <w:ind w:firstLine="720"/>
        <w:jc w:val="both"/>
      </w:pPr>
    </w:p>
    <w:p w14:paraId="0400ECA1" w14:textId="7AC4A6B0" w:rsidR="00A1755C" w:rsidRDefault="00A1755C" w:rsidP="007651BC">
      <w:pPr>
        <w:autoSpaceDE w:val="0"/>
        <w:autoSpaceDN w:val="0"/>
        <w:adjustRightInd w:val="0"/>
        <w:ind w:firstLine="720"/>
        <w:jc w:val="both"/>
      </w:pPr>
      <w:bookmarkStart w:id="7" w:name="Wastewater_Rates"/>
      <w:bookmarkEnd w:id="7"/>
      <w:r w:rsidRPr="0003089D">
        <w:t xml:space="preserve">Currently, the Utility’s BFC allocation is 60 percent of the wastewater revenue. Consistent with </w:t>
      </w:r>
      <w:r w:rsidR="00C7038F">
        <w:t>o</w:t>
      </w:r>
      <w:r w:rsidR="00BC2408" w:rsidRPr="0003089D">
        <w:t>ur</w:t>
      </w:r>
      <w:r w:rsidRPr="0003089D">
        <w:t xml:space="preserve"> practice, </w:t>
      </w:r>
      <w:r w:rsidR="00BC2408" w:rsidRPr="0003089D">
        <w:t>we</w:t>
      </w:r>
      <w:r w:rsidRPr="0003089D">
        <w:t xml:space="preserve"> allocated 60 percent of the wastewater revenue to the BFC due to the capital intensive nature of wastewater plants coupled with a moderate seasonal customer base. The Utility’s current wastewater gallonage cap is set at 8,000 gallons per month. The wastewater gallonage cap recognizes that not all water used by the residential customers is returned to the wastewater system. It is </w:t>
      </w:r>
      <w:r w:rsidR="003727B5" w:rsidRPr="0003089D">
        <w:t>our</w:t>
      </w:r>
      <w:r w:rsidRPr="0003089D">
        <w:t xml:space="preserve"> practice to set the wastewater cap at approximately 80 percent of residential water sold, which typically results in gallonage caps of 6,000, 8,000, or 10,000. Based on </w:t>
      </w:r>
      <w:r w:rsidR="00BC2408" w:rsidRPr="0003089D">
        <w:t>our</w:t>
      </w:r>
      <w:r w:rsidRPr="0003089D">
        <w:t xml:space="preserve"> review of the billing analysis, 82 percent of the gallons are captured at the 6,000 gallon consumption level. Therefore, </w:t>
      </w:r>
      <w:r w:rsidR="00BC2408" w:rsidRPr="0003089D">
        <w:t>we</w:t>
      </w:r>
      <w:r w:rsidRPr="0003089D">
        <w:t xml:space="preserve"> </w:t>
      </w:r>
      <w:r w:rsidR="00B2057D" w:rsidRPr="0003089D">
        <w:t>find</w:t>
      </w:r>
      <w:r w:rsidRPr="0003089D">
        <w:t xml:space="preserve"> that the wastewater gallonage cap be changed to 6,000 gallons. </w:t>
      </w:r>
      <w:r w:rsidR="00BC2408" w:rsidRPr="0003089D">
        <w:t>We</w:t>
      </w:r>
      <w:r w:rsidRPr="0003089D">
        <w:t xml:space="preserve"> also </w:t>
      </w:r>
      <w:r w:rsidR="00B2057D" w:rsidRPr="0003089D">
        <w:t>find</w:t>
      </w:r>
      <w:r w:rsidRPr="0003089D">
        <w:t xml:space="preserve"> that the general service gallonage charge continue to be 1.2 times greater than the residential gallonage charge, which is consistent with </w:t>
      </w:r>
      <w:r w:rsidR="004C3F76">
        <w:t>o</w:t>
      </w:r>
      <w:r w:rsidR="00BC2408" w:rsidRPr="0003089D">
        <w:t>ur</w:t>
      </w:r>
      <w:r w:rsidRPr="0003089D">
        <w:t xml:space="preserve"> practice.</w:t>
      </w:r>
    </w:p>
    <w:p w14:paraId="653BB1CF" w14:textId="77777777" w:rsidR="007651BC" w:rsidRPr="0003089D" w:rsidRDefault="007651BC" w:rsidP="007651BC">
      <w:pPr>
        <w:autoSpaceDE w:val="0"/>
        <w:autoSpaceDN w:val="0"/>
        <w:adjustRightInd w:val="0"/>
        <w:ind w:firstLine="720"/>
        <w:jc w:val="both"/>
      </w:pPr>
    </w:p>
    <w:p w14:paraId="07E98BC8" w14:textId="7A2077F9" w:rsidR="004C3F76" w:rsidRPr="0003089D" w:rsidRDefault="004C3F76" w:rsidP="004C3F76">
      <w:pPr>
        <w:autoSpaceDE w:val="0"/>
        <w:autoSpaceDN w:val="0"/>
        <w:adjustRightInd w:val="0"/>
        <w:ind w:firstLine="720"/>
        <w:jc w:val="both"/>
      </w:pPr>
      <w:r w:rsidRPr="0003089D">
        <w:t>In addition, based on the expected reduction in water demand described above, we find that a repression adjustment</w:t>
      </w:r>
      <w:r w:rsidR="005516F2">
        <w:t xml:space="preserve"> shall</w:t>
      </w:r>
      <w:r w:rsidRPr="0003089D">
        <w:t xml:space="preserve"> also be made for wastewater. Because wastewater rates are calculated based on customers’ water demand, if those customers’ water demand is expected to decline, then the billing determinants used to calculate wastewater rates shall also be adjusted. Based on the billing analysis for the wastewater system, we find that a repression adjustment of 6</w:t>
      </w:r>
      <w:r>
        <w:t>55609</w:t>
      </w:r>
      <w:r w:rsidRPr="0003089D">
        <w:t xml:space="preserve"> gallons to reflect the anticipated reduction in water demand be used to calculate wastewater rates</w:t>
      </w:r>
      <w:r>
        <w:t xml:space="preserve"> is appropriate</w:t>
      </w:r>
      <w:r w:rsidRPr="0003089D">
        <w:t xml:space="preserve">. We </w:t>
      </w:r>
      <w:r>
        <w:t>approve</w:t>
      </w:r>
      <w:r w:rsidRPr="0003089D">
        <w:t xml:space="preserve"> a 2.2</w:t>
      </w:r>
      <w:r>
        <w:t>0</w:t>
      </w:r>
      <w:r w:rsidRPr="0003089D">
        <w:t xml:space="preserve"> percent reduction in total residential consumption and corresponding reductions of $1,3</w:t>
      </w:r>
      <w:r>
        <w:t>35</w:t>
      </w:r>
      <w:r w:rsidRPr="0003089D">
        <w:t xml:space="preserve"> for sludge removal, $1,6</w:t>
      </w:r>
      <w:r>
        <w:t>45</w:t>
      </w:r>
      <w:r w:rsidRPr="0003089D">
        <w:t xml:space="preserve"> for purchased power, $1</w:t>
      </w:r>
      <w:r>
        <w:t>59</w:t>
      </w:r>
      <w:r w:rsidRPr="0003089D">
        <w:t xml:space="preserve"> for chemicals and $14</w:t>
      </w:r>
      <w:r>
        <w:t>1</w:t>
      </w:r>
      <w:r w:rsidRPr="0003089D">
        <w:t xml:space="preserve"> for RAFs to reflect the anticipated repression, which results in a post repression revenue requirement of $</w:t>
      </w:r>
      <w:r>
        <w:t>676,880</w:t>
      </w:r>
      <w:r w:rsidRPr="0003089D">
        <w:t>.</w:t>
      </w:r>
    </w:p>
    <w:p w14:paraId="5746D7FA" w14:textId="77777777" w:rsidR="00A1755C" w:rsidRPr="0003089D" w:rsidRDefault="00A1755C" w:rsidP="00A1755C">
      <w:pPr>
        <w:autoSpaceDE w:val="0"/>
        <w:autoSpaceDN w:val="0"/>
        <w:adjustRightInd w:val="0"/>
        <w:jc w:val="both"/>
      </w:pPr>
    </w:p>
    <w:p w14:paraId="53D878EC" w14:textId="77777777" w:rsidR="00A1755C" w:rsidRDefault="00103C6D" w:rsidP="00103C6D">
      <w:pPr>
        <w:autoSpaceDE w:val="0"/>
        <w:autoSpaceDN w:val="0"/>
        <w:adjustRightInd w:val="0"/>
        <w:ind w:firstLine="720"/>
        <w:jc w:val="both"/>
        <w:rPr>
          <w:bCs/>
          <w:i/>
        </w:rPr>
      </w:pPr>
      <w:r>
        <w:rPr>
          <w:bCs/>
          <w:i/>
        </w:rPr>
        <w:t xml:space="preserve">C.   </w:t>
      </w:r>
      <w:r w:rsidR="00A1755C" w:rsidRPr="00103C6D">
        <w:rPr>
          <w:bCs/>
          <w:i/>
        </w:rPr>
        <w:t>Conclusion</w:t>
      </w:r>
    </w:p>
    <w:p w14:paraId="32A3CD2D" w14:textId="77777777" w:rsidR="00103C6D" w:rsidRPr="00103C6D" w:rsidRDefault="00103C6D" w:rsidP="00103C6D">
      <w:pPr>
        <w:autoSpaceDE w:val="0"/>
        <w:autoSpaceDN w:val="0"/>
        <w:adjustRightInd w:val="0"/>
        <w:ind w:firstLine="720"/>
        <w:jc w:val="both"/>
        <w:rPr>
          <w:i/>
          <w:color w:val="000000"/>
        </w:rPr>
      </w:pPr>
    </w:p>
    <w:p w14:paraId="51031036" w14:textId="1B1BABD0" w:rsidR="00A1755C" w:rsidRDefault="00A1755C" w:rsidP="00103C6D">
      <w:pPr>
        <w:pStyle w:val="BodyText"/>
        <w:spacing w:after="0"/>
        <w:ind w:firstLine="720"/>
        <w:jc w:val="both"/>
        <w:rPr>
          <w:color w:val="000000"/>
        </w:rPr>
      </w:pPr>
      <w:r w:rsidRPr="0003089D">
        <w:rPr>
          <w:color w:val="000000"/>
        </w:rPr>
        <w:t xml:space="preserve">The </w:t>
      </w:r>
      <w:r w:rsidR="00B2057D" w:rsidRPr="0003089D">
        <w:rPr>
          <w:color w:val="000000"/>
        </w:rPr>
        <w:t>approved</w:t>
      </w:r>
      <w:r w:rsidRPr="0003089D">
        <w:rPr>
          <w:color w:val="000000"/>
        </w:rPr>
        <w:t xml:space="preserve"> rate structures and monthly water and wastewater rates are shown on</w:t>
      </w:r>
      <w:r w:rsidR="00BF7138">
        <w:rPr>
          <w:color w:val="000000"/>
        </w:rPr>
        <w:t xml:space="preserve"> the attached</w:t>
      </w:r>
      <w:r w:rsidRPr="0003089D">
        <w:rPr>
          <w:color w:val="000000"/>
        </w:rPr>
        <w:t xml:space="preserve"> Schedule Nos. 4-A and 4-B. The Utility </w:t>
      </w:r>
      <w:r w:rsidR="00B2057D" w:rsidRPr="0003089D">
        <w:rPr>
          <w:color w:val="000000"/>
        </w:rPr>
        <w:t>shall</w:t>
      </w:r>
      <w:r w:rsidRPr="0003089D">
        <w:rPr>
          <w:color w:val="000000"/>
        </w:rPr>
        <w:t xml:space="preserve"> file revised tariff sheets and a proposed customer n</w:t>
      </w:r>
      <w:r w:rsidR="00BC2408" w:rsidRPr="0003089D">
        <w:rPr>
          <w:color w:val="000000"/>
        </w:rPr>
        <w:t xml:space="preserve">otice to reflect our </w:t>
      </w:r>
      <w:r w:rsidRPr="0003089D">
        <w:rPr>
          <w:color w:val="000000"/>
        </w:rPr>
        <w:t xml:space="preserve">approved rates. The approved rates </w:t>
      </w:r>
      <w:r w:rsidR="00B2057D" w:rsidRPr="0003089D">
        <w:rPr>
          <w:color w:val="000000"/>
        </w:rPr>
        <w:t>shall</w:t>
      </w:r>
      <w:r w:rsidRPr="0003089D">
        <w:rPr>
          <w:color w:val="000000"/>
        </w:rPr>
        <w:t xml:space="preserve"> be effective for service rendered on or after the stamped approval date on the tariff sheets pursuant to Rule 25-30.475(1), F.A.C. In addition, the approved rates </w:t>
      </w:r>
      <w:r w:rsidR="00B2057D" w:rsidRPr="0003089D">
        <w:rPr>
          <w:color w:val="000000"/>
        </w:rPr>
        <w:t>shall</w:t>
      </w:r>
      <w:r w:rsidRPr="0003089D">
        <w:rPr>
          <w:color w:val="000000"/>
        </w:rPr>
        <w:t xml:space="preserve"> not be implemented until </w:t>
      </w:r>
      <w:r w:rsidR="00BC2408" w:rsidRPr="0003089D">
        <w:rPr>
          <w:color w:val="000000"/>
        </w:rPr>
        <w:t>we have</w:t>
      </w:r>
      <w:r w:rsidRPr="0003089D">
        <w:rPr>
          <w:color w:val="000000"/>
        </w:rPr>
        <w:t xml:space="preserve"> approved the </w:t>
      </w:r>
      <w:r w:rsidRPr="0003089D">
        <w:rPr>
          <w:color w:val="000000"/>
        </w:rPr>
        <w:lastRenderedPageBreak/>
        <w:t xml:space="preserve">proposed customer notice and the notice has been received by the customers. The Utility </w:t>
      </w:r>
      <w:r w:rsidR="00B2057D" w:rsidRPr="0003089D">
        <w:rPr>
          <w:color w:val="000000"/>
        </w:rPr>
        <w:t>shall</w:t>
      </w:r>
      <w:r w:rsidRPr="0003089D">
        <w:rPr>
          <w:color w:val="000000"/>
        </w:rPr>
        <w:t xml:space="preserve"> provide proof of the date notice was given within 10 days of the date of the notice.</w:t>
      </w:r>
    </w:p>
    <w:p w14:paraId="7D91D1CA" w14:textId="77777777" w:rsidR="00103C6D" w:rsidRPr="0003089D" w:rsidRDefault="00103C6D" w:rsidP="00103C6D">
      <w:pPr>
        <w:pStyle w:val="BodyText"/>
        <w:spacing w:after="0"/>
        <w:ind w:firstLine="720"/>
        <w:jc w:val="both"/>
      </w:pPr>
    </w:p>
    <w:p w14:paraId="5E2A1AFB" w14:textId="77777777" w:rsidR="00A1755C" w:rsidRDefault="00103C6D" w:rsidP="00103C6D">
      <w:pPr>
        <w:pStyle w:val="BodyText"/>
        <w:spacing w:after="0"/>
        <w:jc w:val="both"/>
      </w:pPr>
      <w:r>
        <w:t>11.</w:t>
      </w:r>
      <w:r>
        <w:tab/>
      </w:r>
      <w:r w:rsidRPr="00103C6D">
        <w:rPr>
          <w:u w:val="single"/>
        </w:rPr>
        <w:t>Appropriate I</w:t>
      </w:r>
      <w:r w:rsidR="00A1755C" w:rsidRPr="00103C6D">
        <w:rPr>
          <w:u w:val="single"/>
        </w:rPr>
        <w:t xml:space="preserve">nitial </w:t>
      </w:r>
      <w:r w:rsidRPr="00103C6D">
        <w:rPr>
          <w:u w:val="single"/>
        </w:rPr>
        <w:t>Customer D</w:t>
      </w:r>
      <w:r w:rsidR="00A1755C" w:rsidRPr="00103C6D">
        <w:rPr>
          <w:u w:val="single"/>
        </w:rPr>
        <w:t>eposits</w:t>
      </w:r>
    </w:p>
    <w:p w14:paraId="1059FEE8" w14:textId="77777777" w:rsidR="00103C6D" w:rsidRPr="0003089D" w:rsidRDefault="00103C6D" w:rsidP="00103C6D">
      <w:pPr>
        <w:pStyle w:val="BodyText"/>
        <w:spacing w:after="0"/>
        <w:jc w:val="both"/>
      </w:pPr>
    </w:p>
    <w:p w14:paraId="784A2720" w14:textId="6A1FC91F" w:rsidR="004C3F76" w:rsidRDefault="004C3F76" w:rsidP="00F94FA9">
      <w:pPr>
        <w:ind w:firstLine="720"/>
        <w:jc w:val="both"/>
      </w:pPr>
      <w:r w:rsidRPr="0003089D">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we have set initial customer deposits equal to two times the average estimated bill.</w:t>
      </w:r>
      <w:r w:rsidRPr="0003089D">
        <w:rPr>
          <w:vertAlign w:val="superscript"/>
        </w:rPr>
        <w:footnoteReference w:id="55"/>
      </w:r>
      <w:r w:rsidRPr="0003089D">
        <w:t xml:space="preserve"> Currently, the Utility has an initial customer deposit of $19.80 and $25.56 for 5/8 inch x 3/4 inch meters for potable water and wastewater, respectively. The Utility also has non-potable water customer deposits of $16.48 for 5/8 inch x 3/4 inch meters; $100.46 for the 1 inch meter; $110.38 for the 1.5 inch meter; $224.90 for 2 inch meter; and two times the average bill for all other general service meter sizes. </w:t>
      </w:r>
      <w:r>
        <w:t>Because</w:t>
      </w:r>
      <w:r w:rsidRPr="0003089D">
        <w:t xml:space="preserve"> the Utility no longer c</w:t>
      </w:r>
      <w:r>
        <w:t>ollect</w:t>
      </w:r>
      <w:r w:rsidRPr="0003089D">
        <w:t>s these non-potable water customer deposits, we find removal of these non-potable customer deposits from the Utility’s tariff</w:t>
      </w:r>
      <w:r>
        <w:t xml:space="preserve"> appropriate</w:t>
      </w:r>
      <w:r w:rsidRPr="0003089D">
        <w:t xml:space="preserve">. Furthermore, the current customer deposit amounts for residential do not cover two months’ average bills using our approved rates. The Utility’s anticipated post-repression average monthly residential usage for water is </w:t>
      </w:r>
      <w:r>
        <w:t>2,536</w:t>
      </w:r>
      <w:r w:rsidRPr="0003089D">
        <w:t xml:space="preserve"> gallons per customer. The Utility’s anticipated post-repression average monthly residential usage for wastewater is 2,075 gallons per customer. Therefore, the average residential monthly bill is $</w:t>
      </w:r>
      <w:r>
        <w:t>35.11</w:t>
      </w:r>
      <w:r w:rsidRPr="0003089D">
        <w:t xml:space="preserve"> for water service and $44.</w:t>
      </w:r>
      <w:r>
        <w:t>06</w:t>
      </w:r>
      <w:r w:rsidRPr="0003089D">
        <w:t xml:space="preserve"> for wastewater service. </w:t>
      </w:r>
    </w:p>
    <w:p w14:paraId="6073A2AB" w14:textId="77777777" w:rsidR="00F94FA9" w:rsidRPr="0003089D" w:rsidRDefault="00F94FA9" w:rsidP="00F94FA9">
      <w:pPr>
        <w:ind w:firstLine="720"/>
        <w:jc w:val="both"/>
      </w:pPr>
    </w:p>
    <w:p w14:paraId="4F40B8A8" w14:textId="77777777" w:rsidR="00A1755C" w:rsidRDefault="00A1755C" w:rsidP="00F94FA9">
      <w:pPr>
        <w:autoSpaceDE w:val="0"/>
        <w:autoSpaceDN w:val="0"/>
        <w:adjustRightInd w:val="0"/>
        <w:ind w:firstLine="720"/>
        <w:jc w:val="both"/>
        <w:rPr>
          <w:bCs/>
          <w:i/>
        </w:rPr>
      </w:pPr>
      <w:r w:rsidRPr="00103C6D">
        <w:rPr>
          <w:bCs/>
          <w:i/>
        </w:rPr>
        <w:t>Conclusion</w:t>
      </w:r>
    </w:p>
    <w:p w14:paraId="00F8F3EE" w14:textId="77777777" w:rsidR="00103C6D" w:rsidRPr="00103C6D" w:rsidRDefault="00103C6D" w:rsidP="00103C6D">
      <w:pPr>
        <w:autoSpaceDE w:val="0"/>
        <w:autoSpaceDN w:val="0"/>
        <w:adjustRightInd w:val="0"/>
        <w:ind w:firstLine="720"/>
        <w:jc w:val="both"/>
        <w:rPr>
          <w:i/>
          <w:color w:val="000000"/>
        </w:rPr>
      </w:pPr>
    </w:p>
    <w:p w14:paraId="6E00068C" w14:textId="77777777" w:rsidR="004C3F76" w:rsidRPr="0003089D" w:rsidRDefault="004C3F76" w:rsidP="004C3F76">
      <w:pPr>
        <w:ind w:firstLine="720"/>
        <w:jc w:val="both"/>
      </w:pPr>
      <w:r w:rsidRPr="0003089D">
        <w:t>We find that the appropriate initial customer deposits for the residential 5/8 inch x 3/4 inch meter size shall be $</w:t>
      </w:r>
      <w:r>
        <w:t>70</w:t>
      </w:r>
      <w:r w:rsidRPr="0003089D">
        <w:t xml:space="preserve"> and $8</w:t>
      </w:r>
      <w:r>
        <w:t>8</w:t>
      </w:r>
      <w:r w:rsidRPr="0003089D">
        <w:t xml:space="preserve"> for water and wastewater. We </w:t>
      </w:r>
      <w:r>
        <w:t>direct</w:t>
      </w:r>
      <w:r w:rsidRPr="0003089D">
        <w:t xml:space="preserve"> that the non-potable water customer deposits be removed. The initial customer deposit for all other residential meter sizes and all general service meter sizes shall be two times the average estimated bill for water. The approved initial customer deposits shall be effective for connections made on or after the stamped approval date on the tariff sheets pursuant to Rule 25-30.475, F.A.C. The Utility shall be required to collect the approved deposits until authorized to change them by us in a subsequent proceeding.</w:t>
      </w:r>
    </w:p>
    <w:p w14:paraId="0471683F" w14:textId="77777777" w:rsidR="00A1755C" w:rsidRPr="0003089D" w:rsidRDefault="00A1755C" w:rsidP="006D1A91">
      <w:pPr>
        <w:jc w:val="both"/>
        <w:rPr>
          <w:b/>
          <w:i/>
        </w:rPr>
      </w:pPr>
    </w:p>
    <w:p w14:paraId="0DB8E267" w14:textId="77777777" w:rsidR="00A1755C" w:rsidRDefault="00103C6D" w:rsidP="00103C6D">
      <w:pPr>
        <w:pStyle w:val="BodyText"/>
        <w:spacing w:after="0"/>
        <w:jc w:val="both"/>
      </w:pPr>
      <w:r>
        <w:t>12.</w:t>
      </w:r>
      <w:r>
        <w:tab/>
      </w:r>
      <w:r w:rsidRPr="00103C6D">
        <w:rPr>
          <w:u w:val="single"/>
        </w:rPr>
        <w:t>Service Availability C</w:t>
      </w:r>
      <w:r w:rsidR="00A1755C" w:rsidRPr="00103C6D">
        <w:rPr>
          <w:u w:val="single"/>
        </w:rPr>
        <w:t>harges</w:t>
      </w:r>
    </w:p>
    <w:p w14:paraId="08D22EA9" w14:textId="77777777" w:rsidR="00103C6D" w:rsidRPr="0003089D" w:rsidRDefault="00103C6D" w:rsidP="00103C6D">
      <w:pPr>
        <w:pStyle w:val="BodyText"/>
        <w:spacing w:after="0"/>
        <w:jc w:val="both"/>
      </w:pPr>
    </w:p>
    <w:p w14:paraId="0254C770" w14:textId="5943C596" w:rsidR="00CF5EE6" w:rsidRDefault="00A1755C" w:rsidP="007651BC">
      <w:pPr>
        <w:ind w:firstLine="720"/>
        <w:jc w:val="both"/>
      </w:pPr>
      <w:r w:rsidRPr="0003089D">
        <w:t>Historically, the Utility’s water service availability charges consisted of a meter installation charge of $65 and a service line extension and tap-in charge at actual cost. As part of a certificate transfer docket, Grenelefe was approved for an increase in its meter installation charge to $600.</w:t>
      </w:r>
      <w:r w:rsidRPr="0003089D">
        <w:rPr>
          <w:vertAlign w:val="superscript"/>
        </w:rPr>
        <w:footnoteReference w:id="56"/>
      </w:r>
      <w:r w:rsidRPr="0003089D">
        <w:t xml:space="preserve"> There have been no approved service availability charges for the wastewater </w:t>
      </w:r>
      <w:r w:rsidRPr="0003089D">
        <w:lastRenderedPageBreak/>
        <w:t>sy</w:t>
      </w:r>
      <w:r w:rsidR="005516F2">
        <w:t>stem. As mentioned in the B</w:t>
      </w:r>
      <w:r w:rsidRPr="0003089D">
        <w:t xml:space="preserve">ackground, </w:t>
      </w:r>
      <w:r w:rsidR="00BC2408" w:rsidRPr="0003089D">
        <w:t>we</w:t>
      </w:r>
      <w:r w:rsidRPr="0003089D">
        <w:t xml:space="preserve"> approved Grenelefe’s requested interim service availability charges of $2,402 for water and $7,434 for wastewater subject to refund. However, the Utility did not implement the charges.</w:t>
      </w:r>
    </w:p>
    <w:p w14:paraId="17FFE004" w14:textId="77777777" w:rsidR="007651BC" w:rsidRDefault="007651BC" w:rsidP="007651BC">
      <w:pPr>
        <w:ind w:firstLine="720"/>
        <w:jc w:val="both"/>
      </w:pPr>
    </w:p>
    <w:p w14:paraId="0973D674" w14:textId="0450AA4B" w:rsidR="00A1755C" w:rsidRDefault="00A1755C" w:rsidP="007651BC">
      <w:pPr>
        <w:ind w:firstLine="720"/>
        <w:jc w:val="both"/>
      </w:pPr>
      <w:r w:rsidRPr="0003089D">
        <w:t>By letter, dated October 13, 2025, Grenelefe revised its requested service availability charges to $1,126 for water and $9,802 for wastewater.</w:t>
      </w:r>
      <w:r w:rsidRPr="0003089D">
        <w:rPr>
          <w:rStyle w:val="FootnoteReference"/>
        </w:rPr>
        <w:footnoteReference w:id="57"/>
      </w:r>
      <w:r w:rsidRPr="0003089D">
        <w:t xml:space="preserve"> The Utility did not categorize its service availability charge request (i.e., main extension or plant capacity charge). A main extension charge is for the purpose of covering all or part of the Utility’s capital costs in extending its off-site water or wastewater facilities to provide service to a specified property, whereas a plant capacity charge is for the purpose of covering all or a part of a Utility’s capital costs in construction or expansion of treatment facilities.</w:t>
      </w:r>
    </w:p>
    <w:p w14:paraId="25A1A4C9" w14:textId="77777777" w:rsidR="007651BC" w:rsidRPr="0003089D" w:rsidRDefault="007651BC" w:rsidP="007651BC">
      <w:pPr>
        <w:ind w:firstLine="720"/>
        <w:jc w:val="both"/>
      </w:pPr>
    </w:p>
    <w:p w14:paraId="3169DBEB" w14:textId="28F31011" w:rsidR="004C3F76" w:rsidRDefault="004C3F76" w:rsidP="007651BC">
      <w:pPr>
        <w:ind w:firstLine="720"/>
        <w:jc w:val="both"/>
      </w:pPr>
      <w:r w:rsidRPr="0003089D">
        <w:t>In a 2003 transfer of majority organizational control docket, the Utility did not have adequate books and records to provide the CIAC balances. As result, we imputed, per Rule 25-30.570, F.A.C., the cost of Grenelefe’s water transmission and distribution lines and wastewater collection lines to reflect the appropriate CIAC.</w:t>
      </w:r>
      <w:r w:rsidRPr="0003089D">
        <w:rPr>
          <w:vertAlign w:val="superscript"/>
        </w:rPr>
        <w:footnoteReference w:id="58"/>
      </w:r>
      <w:r w:rsidRPr="0003089D">
        <w:t xml:space="preserve"> As a result, the Utility is unable to receive a main extension charge. Further, Grenelefe did not propose any pro forma plant additions for lines in this SARC. Therefore, </w:t>
      </w:r>
      <w:r>
        <w:t>we have</w:t>
      </w:r>
      <w:r w:rsidRPr="0003089D">
        <w:t xml:space="preserve"> conducted an evaluation of Grenelefe’s request to determine whether a plant capacity charge is appropriate.</w:t>
      </w:r>
    </w:p>
    <w:p w14:paraId="0FBC2F93" w14:textId="77777777" w:rsidR="007651BC" w:rsidRPr="0003089D" w:rsidRDefault="007651BC" w:rsidP="007651BC">
      <w:pPr>
        <w:ind w:firstLine="720"/>
        <w:jc w:val="both"/>
      </w:pPr>
    </w:p>
    <w:p w14:paraId="0638678B" w14:textId="70C9002E" w:rsidR="00A1755C" w:rsidRDefault="00A1755C" w:rsidP="00F94FA9">
      <w:pPr>
        <w:ind w:firstLine="720"/>
        <w:jc w:val="both"/>
      </w:pPr>
      <w:r w:rsidRPr="0003089D">
        <w:t xml:space="preserve">Rule 25-30.580, F.A.C., establishes guidelines for designing service availability charges. Pursuant to the Rule, the maximum amount of CIAC, net of amortization, </w:t>
      </w:r>
      <w:r w:rsidR="00B2057D" w:rsidRPr="0003089D">
        <w:t>shall</w:t>
      </w:r>
      <w:r w:rsidRPr="0003089D">
        <w:t xml:space="preserve"> not exceed 75 percent of the total original cost, net of accumulated depreciation, of the utility’s facilities and plant when the facilities and plant are at their designed capacity. The minimum amount of CIAC </w:t>
      </w:r>
      <w:r w:rsidR="00B2057D" w:rsidRPr="0003089D">
        <w:t>shall</w:t>
      </w:r>
      <w:r w:rsidRPr="0003089D">
        <w:t xml:space="preserve"> not be less than the percentage of such facilities and plant that is represented by the water transmission and distribution system and sewage collection systems. </w:t>
      </w:r>
    </w:p>
    <w:p w14:paraId="6A18C823" w14:textId="77777777" w:rsidR="00F94FA9" w:rsidRPr="0003089D" w:rsidRDefault="00F94FA9" w:rsidP="00F94FA9">
      <w:pPr>
        <w:ind w:firstLine="720"/>
        <w:jc w:val="both"/>
      </w:pPr>
    </w:p>
    <w:p w14:paraId="3CE8F512" w14:textId="77777777" w:rsidR="00A1755C" w:rsidRDefault="00103C6D" w:rsidP="00F94FA9">
      <w:pPr>
        <w:ind w:firstLine="720"/>
        <w:jc w:val="both"/>
        <w:rPr>
          <w:i/>
        </w:rPr>
      </w:pPr>
      <w:r w:rsidRPr="00103C6D">
        <w:rPr>
          <w:i/>
        </w:rPr>
        <w:t xml:space="preserve">A.   </w:t>
      </w:r>
      <w:r w:rsidR="00A1755C" w:rsidRPr="00103C6D">
        <w:rPr>
          <w:i/>
        </w:rPr>
        <w:t>Design Capacity</w:t>
      </w:r>
    </w:p>
    <w:p w14:paraId="500E8882" w14:textId="77777777" w:rsidR="00103C6D" w:rsidRPr="00103C6D" w:rsidRDefault="00103C6D" w:rsidP="00F94FA9">
      <w:pPr>
        <w:ind w:firstLine="720"/>
        <w:jc w:val="both"/>
        <w:rPr>
          <w:i/>
        </w:rPr>
      </w:pPr>
    </w:p>
    <w:p w14:paraId="5897BC51" w14:textId="537A6188" w:rsidR="00A1755C" w:rsidRDefault="00A1755C" w:rsidP="007651BC">
      <w:pPr>
        <w:ind w:firstLine="720"/>
        <w:jc w:val="both"/>
      </w:pPr>
      <w:r w:rsidRPr="0003089D">
        <w:t xml:space="preserve">Design capacity refers to the total capacity of the Utility’s facilities and plant. The cost recorded in the Utility’s books represents the total cost for construction of the facilities and plant and its total and full capacity. In justifying its requested charges, the Utility has proposed using the permitted capacity of the facilities and plant, which is less than the total capacity for both water and wastewater. This </w:t>
      </w:r>
      <w:r w:rsidR="004C3F76">
        <w:t xml:space="preserve">proposal </w:t>
      </w:r>
      <w:r w:rsidRPr="0003089D">
        <w:t xml:space="preserve">is inconsistent with </w:t>
      </w:r>
      <w:r w:rsidR="00BC2408" w:rsidRPr="0003089D">
        <w:t>our</w:t>
      </w:r>
      <w:r w:rsidR="00F21C30">
        <w:t xml:space="preserve"> r</w:t>
      </w:r>
      <w:r w:rsidRPr="0003089D">
        <w:t xml:space="preserve">ule and the matching principle. The permitted capacity does not align with the total cost of the facilities. Developing service availability charges based on the design capacity allows customers to pay an equitable share of the total costs of the facilities and plant. </w:t>
      </w:r>
    </w:p>
    <w:p w14:paraId="18FC928C" w14:textId="77777777" w:rsidR="007651BC" w:rsidRPr="0003089D" w:rsidRDefault="007651BC" w:rsidP="007651BC">
      <w:pPr>
        <w:ind w:firstLine="720"/>
        <w:jc w:val="both"/>
      </w:pPr>
    </w:p>
    <w:p w14:paraId="50204824" w14:textId="18229975" w:rsidR="00A1755C" w:rsidRDefault="00A1755C" w:rsidP="007651BC">
      <w:pPr>
        <w:ind w:firstLine="720"/>
        <w:jc w:val="both"/>
      </w:pPr>
      <w:r w:rsidRPr="0003089D">
        <w:t xml:space="preserve">The water treatment facilities have a capacity of 4,320,000 gpd, which equates to a design capacity of 12,342 equivalent residential connections (ERCs) based on an ERC of 350 gpd. Grenelefe indicated that it anticipates growth of 200 ERCs per year, which would result in </w:t>
      </w:r>
      <w:r w:rsidRPr="0003089D">
        <w:lastRenderedPageBreak/>
        <w:t xml:space="preserve">the Utility reaching design capacity in approximately 55 years. Due to the length of time before the water system reaches design capacity, </w:t>
      </w:r>
      <w:r w:rsidR="00BC2408" w:rsidRPr="0003089D">
        <w:t>we</w:t>
      </w:r>
      <w:r w:rsidRPr="0003089D">
        <w:t xml:space="preserve"> </w:t>
      </w:r>
      <w:r w:rsidR="00B2057D" w:rsidRPr="0003089D">
        <w:t>find</w:t>
      </w:r>
      <w:r w:rsidRPr="0003089D">
        <w:t xml:space="preserve"> it is unrealistic to set the charges at complete design capacity. </w:t>
      </w:r>
    </w:p>
    <w:p w14:paraId="0265DCBF" w14:textId="77777777" w:rsidR="007651BC" w:rsidRPr="0003089D" w:rsidRDefault="007651BC" w:rsidP="007651BC">
      <w:pPr>
        <w:ind w:firstLine="720"/>
        <w:jc w:val="both"/>
      </w:pPr>
    </w:p>
    <w:p w14:paraId="1CE112E8" w14:textId="0F58D900" w:rsidR="00A1755C" w:rsidRDefault="00A1755C" w:rsidP="00310946">
      <w:pPr>
        <w:ind w:firstLine="720"/>
        <w:jc w:val="both"/>
      </w:pPr>
      <w:r w:rsidRPr="0003089D">
        <w:t xml:space="preserve">In a comparable situation, </w:t>
      </w:r>
      <w:r w:rsidR="00BC2408" w:rsidRPr="0003089D">
        <w:t>we</w:t>
      </w:r>
      <w:r w:rsidRPr="0003089D">
        <w:t xml:space="preserve"> determined that a shortened period of 10 years was appropriate for calculating service availability charges.</w:t>
      </w:r>
      <w:r w:rsidRPr="0003089D">
        <w:rPr>
          <w:vertAlign w:val="superscript"/>
        </w:rPr>
        <w:footnoteReference w:id="59"/>
      </w:r>
      <w:r w:rsidRPr="0003089D">
        <w:t xml:space="preserve"> A 10-year shortened period would result in Grenelefe foreseeably connecting an additional 2,000 ERCs. Based on the maximum average flow, the Utility is currently serving 1,408 ERCs (492,917/350). As a result, </w:t>
      </w:r>
      <w:r w:rsidR="00BC2408" w:rsidRPr="0003089D">
        <w:t>we</w:t>
      </w:r>
      <w:r w:rsidRPr="0003089D">
        <w:t xml:space="preserve"> </w:t>
      </w:r>
      <w:r w:rsidR="00B2057D" w:rsidRPr="0003089D">
        <w:t>find</w:t>
      </w:r>
      <w:r w:rsidRPr="0003089D">
        <w:t xml:space="preserve"> that the total ERCs for calculating the appropriate plant capacity charge be set at 3,408 (1,408 + 2,000). The adjusted ERCs will allow Grenelefe to achieve a reasonable contribution level. The wastewater treatment facilities have a capacity of 680,000 gpd, which equates to a design capacity of 2,428 ERCs based on an ERC of 280 gpd. Based on the Utility’s growth projections of 200 ERCs per year, the wastewater system will reach design capacity in approximately 10 years. </w:t>
      </w:r>
    </w:p>
    <w:p w14:paraId="5E898507" w14:textId="77777777" w:rsidR="00F94FA9" w:rsidRPr="0003089D" w:rsidRDefault="00F94FA9" w:rsidP="00310946">
      <w:pPr>
        <w:ind w:firstLine="720"/>
        <w:jc w:val="both"/>
      </w:pPr>
    </w:p>
    <w:p w14:paraId="019F16E4" w14:textId="77777777" w:rsidR="00A1755C" w:rsidRDefault="00103C6D" w:rsidP="00103C6D">
      <w:pPr>
        <w:ind w:firstLine="720"/>
        <w:jc w:val="both"/>
        <w:rPr>
          <w:i/>
        </w:rPr>
      </w:pPr>
      <w:r w:rsidRPr="00103C6D">
        <w:rPr>
          <w:i/>
        </w:rPr>
        <w:t xml:space="preserve">B.   </w:t>
      </w:r>
      <w:r w:rsidR="00A1755C" w:rsidRPr="00103C6D">
        <w:rPr>
          <w:i/>
        </w:rPr>
        <w:t>Minimum Contribution Level</w:t>
      </w:r>
    </w:p>
    <w:p w14:paraId="4F3DE82E" w14:textId="77777777" w:rsidR="00103C6D" w:rsidRPr="00103C6D" w:rsidRDefault="00103C6D" w:rsidP="00103C6D">
      <w:pPr>
        <w:ind w:firstLine="720"/>
        <w:jc w:val="both"/>
        <w:rPr>
          <w:i/>
        </w:rPr>
      </w:pPr>
    </w:p>
    <w:p w14:paraId="15010984" w14:textId="15243271" w:rsidR="00A1755C" w:rsidRDefault="00A1755C" w:rsidP="00103C6D">
      <w:pPr>
        <w:ind w:firstLine="720"/>
        <w:jc w:val="both"/>
      </w:pPr>
      <w:r w:rsidRPr="0003089D">
        <w:t xml:space="preserve">Pursuant to Rule 25-30.580, F.A.C., “[t]he minimum amount of [CIAC] should not be less than the percentage of such facilities and plant that is represented by the water transmission and distribution system and sewage collection systems.” For water, </w:t>
      </w:r>
      <w:r w:rsidR="00BC2408" w:rsidRPr="0003089D">
        <w:t>our</w:t>
      </w:r>
      <w:r w:rsidRPr="0003089D">
        <w:t xml:space="preserve"> </w:t>
      </w:r>
      <w:r w:rsidR="00B2057D" w:rsidRPr="0003089D">
        <w:t>approved</w:t>
      </w:r>
      <w:r w:rsidRPr="0003089D">
        <w:t xml:space="preserve"> utility plant in service plus land is $4,335,678 and the transmission and distribution mains, including services, are $2,175,467, resulting in a minimum contribution level of 50.18 percent ($2,175,467/$4,335,678). For wastewater, </w:t>
      </w:r>
      <w:r w:rsidR="00BC2408" w:rsidRPr="0003089D">
        <w:t>our</w:t>
      </w:r>
      <w:r w:rsidRPr="0003089D">
        <w:t xml:space="preserve"> </w:t>
      </w:r>
      <w:r w:rsidR="00B2057D" w:rsidRPr="0003089D">
        <w:t>approved</w:t>
      </w:r>
      <w:r w:rsidRPr="0003089D">
        <w:t xml:space="preserve"> utility plant in service plus land is $3,971,213 and the collection lines, including services, are $899,422, resulting in a minimum contribution level of 22.65 percent ($899,422/$3,971,213). Based on </w:t>
      </w:r>
      <w:r w:rsidR="00BC2408" w:rsidRPr="0003089D">
        <w:t>our</w:t>
      </w:r>
      <w:r w:rsidRPr="0003089D">
        <w:t xml:space="preserve"> </w:t>
      </w:r>
      <w:r w:rsidR="00B2057D" w:rsidRPr="0003089D">
        <w:t>approved</w:t>
      </w:r>
      <w:r w:rsidRPr="0003089D">
        <w:t xml:space="preserve"> rate base Grenelefe’s contribution level is 12.07 percent for water and 19.89 percent for wastewater. Both the water and wastewater systems are below the minimum guidel</w:t>
      </w:r>
      <w:r w:rsidR="00687932">
        <w:t>ine pursuant to the referenced r</w:t>
      </w:r>
      <w:r w:rsidRPr="0003089D">
        <w:t>ule.</w:t>
      </w:r>
    </w:p>
    <w:p w14:paraId="28AFC350" w14:textId="77777777" w:rsidR="00F94FA9" w:rsidRPr="0003089D" w:rsidRDefault="00F94FA9" w:rsidP="00103C6D">
      <w:pPr>
        <w:ind w:firstLine="720"/>
        <w:jc w:val="both"/>
      </w:pPr>
    </w:p>
    <w:p w14:paraId="3F425D69" w14:textId="77777777" w:rsidR="00A1755C" w:rsidRPr="0049080F" w:rsidRDefault="0049080F" w:rsidP="0049080F">
      <w:pPr>
        <w:ind w:firstLine="720"/>
        <w:jc w:val="both"/>
        <w:rPr>
          <w:i/>
        </w:rPr>
      </w:pPr>
      <w:r w:rsidRPr="0049080F">
        <w:rPr>
          <w:i/>
        </w:rPr>
        <w:t xml:space="preserve">C.   </w:t>
      </w:r>
      <w:r w:rsidR="00A1755C" w:rsidRPr="0049080F">
        <w:rPr>
          <w:i/>
        </w:rPr>
        <w:t>Plant Capacity Charge</w:t>
      </w:r>
    </w:p>
    <w:p w14:paraId="70066294" w14:textId="77777777" w:rsidR="00A1755C" w:rsidRPr="0003089D" w:rsidRDefault="00A1755C" w:rsidP="006D1A91">
      <w:pPr>
        <w:jc w:val="both"/>
        <w:rPr>
          <w:b/>
        </w:rPr>
      </w:pPr>
    </w:p>
    <w:p w14:paraId="4000B503" w14:textId="77777777" w:rsidR="00A1755C" w:rsidRDefault="00A1755C" w:rsidP="0049080F">
      <w:pPr>
        <w:ind w:left="720" w:firstLine="720"/>
        <w:jc w:val="both"/>
        <w:rPr>
          <w:b/>
        </w:rPr>
      </w:pPr>
      <w:r w:rsidRPr="0049080F">
        <w:rPr>
          <w:b/>
        </w:rPr>
        <w:t>Water</w:t>
      </w:r>
    </w:p>
    <w:p w14:paraId="762D07A2" w14:textId="77777777" w:rsidR="0049080F" w:rsidRPr="0049080F" w:rsidRDefault="0049080F" w:rsidP="0049080F">
      <w:pPr>
        <w:ind w:left="720" w:firstLine="720"/>
        <w:jc w:val="both"/>
        <w:rPr>
          <w:b/>
        </w:rPr>
      </w:pPr>
    </w:p>
    <w:p w14:paraId="37F08D1C" w14:textId="01D75741" w:rsidR="00E3277C" w:rsidRPr="0003089D" w:rsidRDefault="00E3277C" w:rsidP="00E3277C">
      <w:pPr>
        <w:ind w:firstLine="720"/>
        <w:jc w:val="both"/>
      </w:pPr>
      <w:r w:rsidRPr="0003089D">
        <w:t>In order to determine the plant capacity charge, we calculated the average cost per ERC for the water treatment plant per Commission precedent.</w:t>
      </w:r>
      <w:r w:rsidRPr="0003089D">
        <w:rPr>
          <w:vertAlign w:val="superscript"/>
        </w:rPr>
        <w:footnoteReference w:id="60"/>
      </w:r>
      <w:r w:rsidRPr="0003089D">
        <w:t xml:space="preserve"> We find that using the average costs per ERC will result in reasonable service availability charges. We calculated the total treatment plant cost of $502,413. We then divided this amount by 3,408 (which represents total capacity, as discussed above, in ERCs of the treatment plant). This calculation results in an average plant </w:t>
      </w:r>
      <w:r w:rsidRPr="0003089D">
        <w:lastRenderedPageBreak/>
        <w:t>capacity cost per ERC of approximately $147, as shown on</w:t>
      </w:r>
      <w:r w:rsidR="00B1640E">
        <w:t xml:space="preserve"> the attached</w:t>
      </w:r>
      <w:r w:rsidRPr="0003089D">
        <w:t xml:space="preserve"> Schedule No. 5. The corresponding plant capacity charge for “all others-per gallon/day” would be $.42 ($147/350 gpd). </w:t>
      </w:r>
      <w:r>
        <w:t>Therefore, we approve</w:t>
      </w:r>
      <w:r w:rsidRPr="0003089D">
        <w:t xml:space="preserve"> a plant capacity charge of $147. The plant capacity charge of $147, along with its prior approved meter installation charge of $600, will allow Grenelefe to be at a 46.41 percent contribution level in 10 years. We recognize that the anticipated contribution level is less than the minimum guidel</w:t>
      </w:r>
      <w:r w:rsidR="001A2FFF">
        <w:t>ine pursuant to the referenced r</w:t>
      </w:r>
      <w:r w:rsidRPr="0003089D">
        <w:t>ule. However, the amount of the charge is limited to cost in the associated accounts for a plant capacity charge.</w:t>
      </w:r>
    </w:p>
    <w:p w14:paraId="3DF47413" w14:textId="77777777" w:rsidR="00A1755C" w:rsidRPr="0003089D" w:rsidRDefault="00A1755C" w:rsidP="00A1755C">
      <w:pPr>
        <w:jc w:val="both"/>
      </w:pPr>
    </w:p>
    <w:p w14:paraId="6615DFF5" w14:textId="77777777" w:rsidR="00A1755C" w:rsidRDefault="00A1755C" w:rsidP="0049080F">
      <w:pPr>
        <w:ind w:left="720" w:firstLine="720"/>
        <w:jc w:val="both"/>
        <w:rPr>
          <w:b/>
        </w:rPr>
      </w:pPr>
      <w:r w:rsidRPr="0049080F">
        <w:rPr>
          <w:b/>
        </w:rPr>
        <w:t>Wastewater</w:t>
      </w:r>
    </w:p>
    <w:p w14:paraId="703D98C9" w14:textId="77777777" w:rsidR="0049080F" w:rsidRPr="0049080F" w:rsidRDefault="0049080F" w:rsidP="0049080F">
      <w:pPr>
        <w:ind w:left="720" w:firstLine="720"/>
        <w:jc w:val="both"/>
        <w:rPr>
          <w:b/>
        </w:rPr>
      </w:pPr>
    </w:p>
    <w:p w14:paraId="619B5FE0" w14:textId="3FB696AC" w:rsidR="007651BC" w:rsidRPr="0003089D" w:rsidRDefault="00A1755C" w:rsidP="00310946">
      <w:pPr>
        <w:ind w:firstLine="720"/>
        <w:jc w:val="both"/>
      </w:pPr>
      <w:r w:rsidRPr="0003089D">
        <w:t xml:space="preserve">The total treatment plant is $2,763,562. </w:t>
      </w:r>
      <w:r w:rsidR="00BC2408" w:rsidRPr="0003089D">
        <w:t>We</w:t>
      </w:r>
      <w:r w:rsidRPr="0003089D">
        <w:t xml:space="preserve"> then divided this amount by 2,428 (which represents total capacity, as discussed previously, in ERCs for the treatment plant). This calculation results in an average plant capacity cost per ERC of approximately $1,138, as shown on</w:t>
      </w:r>
      <w:r w:rsidR="00B1640E">
        <w:t xml:space="preserve"> the attached</w:t>
      </w:r>
      <w:r w:rsidRPr="0003089D">
        <w:t xml:space="preserve"> Schedule No. 5. This charge would result in the wastewater system being over-contributed at build out. However, it is anticipated that the Utility will undertake plant upgrades over the next couple of years which would decrease the contribution level at build out. Therefore, </w:t>
      </w:r>
      <w:r w:rsidR="00BC2408" w:rsidRPr="0003089D">
        <w:t>we</w:t>
      </w:r>
      <w:r w:rsidRPr="0003089D">
        <w:t xml:space="preserve"> </w:t>
      </w:r>
      <w:r w:rsidR="00B2057D" w:rsidRPr="0003089D">
        <w:t>find</w:t>
      </w:r>
      <w:r w:rsidRPr="0003089D">
        <w:t xml:space="preserve"> $1,138 is an appropriate plant capacity charge at this time. The corresponding plant capacity charge for “all others-per gallon/day” would be $4.06 ($1,138/280 gpd).</w:t>
      </w:r>
    </w:p>
    <w:p w14:paraId="60A36640" w14:textId="1057E51E" w:rsidR="00A1755C" w:rsidRDefault="00BC2408" w:rsidP="00F94FA9">
      <w:pPr>
        <w:ind w:firstLine="720"/>
        <w:jc w:val="both"/>
      </w:pPr>
      <w:r w:rsidRPr="0003089D">
        <w:t>Our</w:t>
      </w:r>
      <w:r w:rsidR="00A1755C" w:rsidRPr="0003089D">
        <w:t xml:space="preserve"> </w:t>
      </w:r>
      <w:r w:rsidR="00B2057D" w:rsidRPr="0003089D">
        <w:t>approved</w:t>
      </w:r>
      <w:r w:rsidR="00A1755C" w:rsidRPr="0003089D">
        <w:t xml:space="preserve"> charges are significantly lower than the Utility’s requested service availability charges due to </w:t>
      </w:r>
      <w:r w:rsidRPr="0003089D">
        <w:t>our</w:t>
      </w:r>
      <w:r w:rsidR="00A1755C" w:rsidRPr="0003089D">
        <w:t xml:space="preserve"> denial of some of the requested pro forma plant additions and the differences in plant accounts and capacity used to calculate the charges</w:t>
      </w:r>
      <w:r w:rsidR="00310946">
        <w:t xml:space="preserve">. </w:t>
      </w:r>
      <w:r w:rsidR="00A1755C" w:rsidRPr="0003089D">
        <w:t>Specifically, for water, Grenelefe included plant account no. 334 – Meters and Meter Installations in its calculation, which is part of transmission and distribution plant and is not appropriate</w:t>
      </w:r>
      <w:r w:rsidR="00310946">
        <w:t xml:space="preserve">. </w:t>
      </w:r>
      <w:r w:rsidR="00A1755C" w:rsidRPr="0003089D">
        <w:t xml:space="preserve">For meter replacements, </w:t>
      </w:r>
      <w:r w:rsidRPr="0003089D">
        <w:t>we</w:t>
      </w:r>
      <w:r w:rsidR="00A1755C" w:rsidRPr="0003089D">
        <w:t xml:space="preserve"> </w:t>
      </w:r>
      <w:r w:rsidRPr="0003089D">
        <w:t>have</w:t>
      </w:r>
      <w:r w:rsidR="00A1755C" w:rsidRPr="0003089D">
        <w:t xml:space="preserve"> capitalized the cost and the Utility earns a return on its </w:t>
      </w:r>
      <w:r w:rsidRPr="0003089D">
        <w:t>investment or we have</w:t>
      </w:r>
      <w:r w:rsidR="00A1755C" w:rsidRPr="0003089D">
        <w:t xml:space="preserve"> allowed the costs of a certain number meter replacements per year to be expensed.</w:t>
      </w:r>
      <w:r w:rsidR="00A1755C" w:rsidRPr="0003089D">
        <w:rPr>
          <w:rStyle w:val="FootnoteReference"/>
        </w:rPr>
        <w:t xml:space="preserve"> </w:t>
      </w:r>
      <w:r w:rsidR="00A1755C" w:rsidRPr="0003089D">
        <w:rPr>
          <w:rStyle w:val="FootnoteReference"/>
        </w:rPr>
        <w:footnoteReference w:id="61"/>
      </w:r>
      <w:r w:rsidR="00A1755C" w:rsidRPr="0003089D">
        <w:t xml:space="preserve"> In this case, the cost to replace the meter have been capitalized. The cost of system-wide meter replacements is not recovered from new customers through a service availability charge.</w:t>
      </w:r>
    </w:p>
    <w:p w14:paraId="16FD5A16" w14:textId="77777777" w:rsidR="00F94FA9" w:rsidRPr="0003089D" w:rsidRDefault="00F94FA9" w:rsidP="00F94FA9">
      <w:pPr>
        <w:ind w:firstLine="720"/>
        <w:jc w:val="both"/>
      </w:pPr>
    </w:p>
    <w:p w14:paraId="77968C33" w14:textId="236BCE70" w:rsidR="00A1755C" w:rsidRPr="0003089D" w:rsidRDefault="00A1755C" w:rsidP="00F94FA9">
      <w:pPr>
        <w:ind w:firstLine="720"/>
        <w:jc w:val="both"/>
      </w:pPr>
      <w:r w:rsidRPr="0003089D">
        <w:t xml:space="preserve">The </w:t>
      </w:r>
      <w:r w:rsidR="00B2057D" w:rsidRPr="0003089D">
        <w:t>approved</w:t>
      </w:r>
      <w:r w:rsidRPr="0003089D">
        <w:t xml:space="preserve"> plant capacity charges are only applicable to new customers. New custo</w:t>
      </w:r>
      <w:r w:rsidR="00BC2408" w:rsidRPr="0003089D">
        <w:t>mers will be required to pay</w:t>
      </w:r>
      <w:r w:rsidRPr="0003089D">
        <w:t xml:space="preserve"> </w:t>
      </w:r>
      <w:r w:rsidR="00E3277C">
        <w:t>the</w:t>
      </w:r>
      <w:r w:rsidR="00BC2408" w:rsidRPr="0003089D">
        <w:t xml:space="preserve"> approved</w:t>
      </w:r>
      <w:r w:rsidRPr="0003089D">
        <w:t xml:space="preserve"> plant capacity charges</w:t>
      </w:r>
      <w:r w:rsidR="00310946">
        <w:t xml:space="preserve">. </w:t>
      </w:r>
      <w:r w:rsidRPr="0003089D">
        <w:t xml:space="preserve">In addition, new customers are also responsible for connecting </w:t>
      </w:r>
      <w:r w:rsidR="00C7038F">
        <w:t xml:space="preserve">their </w:t>
      </w:r>
      <w:r w:rsidRPr="0003089D">
        <w:t>service lateral to the water and wastewater system consistent with the Utility’s existing service availability policy.</w:t>
      </w:r>
    </w:p>
    <w:p w14:paraId="658D7065" w14:textId="77777777" w:rsidR="00A1755C" w:rsidRPr="0003089D" w:rsidRDefault="00A1755C" w:rsidP="006D1A91">
      <w:pPr>
        <w:jc w:val="both"/>
      </w:pPr>
    </w:p>
    <w:p w14:paraId="7E1DB3DF" w14:textId="77777777" w:rsidR="00A1755C" w:rsidRDefault="0049080F" w:rsidP="0049080F">
      <w:pPr>
        <w:pStyle w:val="First-LevelSubheading"/>
        <w:ind w:firstLine="720"/>
        <w:rPr>
          <w:rFonts w:ascii="Times New Roman" w:hAnsi="Times New Roman" w:cs="Times New Roman"/>
          <w:b w:val="0"/>
          <w:i/>
        </w:rPr>
      </w:pPr>
      <w:r w:rsidRPr="0049080F">
        <w:rPr>
          <w:rFonts w:ascii="Times New Roman" w:hAnsi="Times New Roman" w:cs="Times New Roman"/>
          <w:b w:val="0"/>
          <w:i/>
        </w:rPr>
        <w:t xml:space="preserve">C.   </w:t>
      </w:r>
      <w:r w:rsidR="00A1755C" w:rsidRPr="0049080F">
        <w:rPr>
          <w:rFonts w:ascii="Times New Roman" w:hAnsi="Times New Roman" w:cs="Times New Roman"/>
          <w:b w:val="0"/>
          <w:i/>
        </w:rPr>
        <w:t>Conclusion</w:t>
      </w:r>
    </w:p>
    <w:p w14:paraId="548A6267" w14:textId="77777777" w:rsidR="0049080F" w:rsidRPr="0049080F" w:rsidRDefault="0049080F" w:rsidP="0049080F">
      <w:pPr>
        <w:pStyle w:val="BodyText"/>
        <w:spacing w:after="0"/>
      </w:pPr>
    </w:p>
    <w:p w14:paraId="5BEDF4F0" w14:textId="77777777" w:rsidR="00A1755C" w:rsidRPr="0003089D" w:rsidRDefault="00A1755C" w:rsidP="0049080F">
      <w:pPr>
        <w:ind w:firstLine="720"/>
        <w:jc w:val="both"/>
      </w:pPr>
      <w:r w:rsidRPr="0003089D">
        <w:t xml:space="preserve">Based on the above, the service availability charges requested by Grenelefe </w:t>
      </w:r>
      <w:r w:rsidR="00B2057D" w:rsidRPr="0003089D">
        <w:t>shall</w:t>
      </w:r>
      <w:r w:rsidRPr="0003089D">
        <w:t xml:space="preserve"> not be approved. </w:t>
      </w:r>
      <w:r w:rsidR="00BC2408" w:rsidRPr="0003089D">
        <w:t>We</w:t>
      </w:r>
      <w:r w:rsidRPr="0003089D">
        <w:t xml:space="preserve"> </w:t>
      </w:r>
      <w:r w:rsidR="00B2057D" w:rsidRPr="0003089D">
        <w:t>find</w:t>
      </w:r>
      <w:r w:rsidRPr="0003089D">
        <w:t xml:space="preserve"> service availability charges </w:t>
      </w:r>
      <w:r w:rsidR="00B2057D" w:rsidRPr="0003089D">
        <w:t>shall</w:t>
      </w:r>
      <w:r w:rsidRPr="0003089D">
        <w:t xml:space="preserve"> be set as a plant capacity charge of $147 for water and $1,138 for wastewater. The Utility </w:t>
      </w:r>
      <w:r w:rsidR="00B2057D" w:rsidRPr="0003089D">
        <w:t>shall</w:t>
      </w:r>
      <w:r w:rsidRPr="0003089D">
        <w:t xml:space="preserve"> file a revised tariff </w:t>
      </w:r>
      <w:r w:rsidR="00BC2408" w:rsidRPr="0003089D">
        <w:t xml:space="preserve">sheet to reflect our </w:t>
      </w:r>
      <w:r w:rsidRPr="0003089D">
        <w:t xml:space="preserve">approved charges. The approved charges shall be effective for connections made on or after the stamped approval date on the tariff sheet. </w:t>
      </w:r>
      <w:r w:rsidRPr="0003089D">
        <w:rPr>
          <w:color w:val="000000"/>
        </w:rPr>
        <w:t xml:space="preserve">In addition, the approved charges </w:t>
      </w:r>
      <w:r w:rsidR="00B2057D" w:rsidRPr="0003089D">
        <w:rPr>
          <w:color w:val="000000"/>
        </w:rPr>
        <w:t>shall</w:t>
      </w:r>
      <w:r w:rsidRPr="0003089D">
        <w:rPr>
          <w:color w:val="000000"/>
        </w:rPr>
        <w:t xml:space="preserve"> not be implemented until</w:t>
      </w:r>
      <w:r w:rsidR="00BC2408" w:rsidRPr="0003089D">
        <w:rPr>
          <w:color w:val="000000"/>
        </w:rPr>
        <w:t xml:space="preserve"> our</w:t>
      </w:r>
      <w:r w:rsidRPr="0003089D">
        <w:rPr>
          <w:color w:val="000000"/>
        </w:rPr>
        <w:t xml:space="preserve"> staff has approved the proposed customer notice</w:t>
      </w:r>
      <w:r w:rsidRPr="0003089D">
        <w:t xml:space="preserve"> and the notice has been </w:t>
      </w:r>
      <w:r w:rsidRPr="0003089D">
        <w:lastRenderedPageBreak/>
        <w:t>received by property owners who requested service beginning 12 months prior to the establishment of this docket. The Utility shall provide proof of noticing within 10 days of rendering the approved notice.</w:t>
      </w:r>
    </w:p>
    <w:p w14:paraId="52DA8E20" w14:textId="77777777" w:rsidR="00A1755C" w:rsidRPr="0003089D" w:rsidRDefault="00A1755C" w:rsidP="006D1A91">
      <w:pPr>
        <w:jc w:val="both"/>
      </w:pPr>
    </w:p>
    <w:p w14:paraId="258B53E5" w14:textId="77777777" w:rsidR="00A1755C" w:rsidRDefault="0049080F" w:rsidP="0049080F">
      <w:pPr>
        <w:pStyle w:val="BodyText"/>
        <w:spacing w:after="0"/>
        <w:jc w:val="both"/>
      </w:pPr>
      <w:r>
        <w:t>13.</w:t>
      </w:r>
      <w:r>
        <w:tab/>
      </w:r>
      <w:r w:rsidRPr="0049080F">
        <w:rPr>
          <w:u w:val="single"/>
        </w:rPr>
        <w:t>Four-Year Rate Reduction</w:t>
      </w:r>
      <w:r w:rsidR="00A1755C" w:rsidRPr="0003089D">
        <w:t xml:space="preserve"> </w:t>
      </w:r>
    </w:p>
    <w:p w14:paraId="6D1E2BBD" w14:textId="77777777" w:rsidR="0049080F" w:rsidRPr="0003089D" w:rsidRDefault="0049080F" w:rsidP="0049080F">
      <w:pPr>
        <w:pStyle w:val="BodyText"/>
        <w:spacing w:after="0"/>
        <w:jc w:val="both"/>
      </w:pPr>
    </w:p>
    <w:p w14:paraId="3980F0AA" w14:textId="77777777" w:rsidR="00A1755C" w:rsidRPr="0003089D" w:rsidRDefault="00A1755C" w:rsidP="0049080F">
      <w:pPr>
        <w:ind w:firstLine="720"/>
        <w:jc w:val="both"/>
      </w:pPr>
      <w:r w:rsidRPr="0003089D">
        <w:t>Section 367.081, F.S., requires that the rates be reduced immediately following the expiration of the 4-year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$6,470 for water and $4,003 for wastewater.</w:t>
      </w:r>
    </w:p>
    <w:p w14:paraId="229D7F1A" w14:textId="77777777" w:rsidR="00A1755C" w:rsidRPr="0003089D" w:rsidRDefault="00A1755C" w:rsidP="006D1A91">
      <w:pPr>
        <w:jc w:val="both"/>
      </w:pPr>
    </w:p>
    <w:p w14:paraId="0F21DE04" w14:textId="12322D27" w:rsidR="00A1755C" w:rsidRPr="0003089D" w:rsidRDefault="00BC2408" w:rsidP="0049080F">
      <w:pPr>
        <w:ind w:firstLine="720"/>
        <w:jc w:val="both"/>
      </w:pPr>
      <w:r w:rsidRPr="0003089D">
        <w:t>We</w:t>
      </w:r>
      <w:r w:rsidR="00A1755C" w:rsidRPr="0003089D">
        <w:t xml:space="preserve"> </w:t>
      </w:r>
      <w:r w:rsidR="00B2057D" w:rsidRPr="0003089D">
        <w:t>find</w:t>
      </w:r>
      <w:r w:rsidR="00A1755C" w:rsidRPr="0003089D">
        <w:t xml:space="preserve"> that the rates </w:t>
      </w:r>
      <w:r w:rsidR="00B2057D" w:rsidRPr="0003089D">
        <w:t>shall</w:t>
      </w:r>
      <w:r w:rsidR="00A1755C" w:rsidRPr="0003089D">
        <w:t xml:space="preserve"> be reduced, as shown on</w:t>
      </w:r>
      <w:r w:rsidR="00BF7138">
        <w:t xml:space="preserve"> the attached</w:t>
      </w:r>
      <w:r w:rsidR="00A1755C" w:rsidRPr="0003089D">
        <w:t xml:space="preserve"> Schedule Nos. 4-A and 4-B, to remove rate case expense grossed-up for RAFs and amortized over a four-year period. Pursuant to Section 367.081(8), F.S., the decrease in rates </w:t>
      </w:r>
      <w:r w:rsidR="00B2057D" w:rsidRPr="0003089D">
        <w:t>shall</w:t>
      </w:r>
      <w:r w:rsidR="00A1755C" w:rsidRPr="0003089D">
        <w:t xml:space="preserve"> become effective immediately following the expiration of the rate case expense recovery period. Grenelefe </w:t>
      </w:r>
      <w:r w:rsidR="00B2057D" w:rsidRPr="0003089D">
        <w:t>shall</w:t>
      </w:r>
      <w:r w:rsidR="00A1755C" w:rsidRPr="0003089D">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rsidR="00B2057D" w:rsidRPr="0003089D">
        <w:t>shall</w:t>
      </w:r>
      <w:r w:rsidR="00A1755C" w:rsidRPr="0003089D">
        <w:t xml:space="preserve"> be filed for the price index and/or pass-through increase and the reduction in the rates due to the amortized rate case expense.</w:t>
      </w:r>
    </w:p>
    <w:p w14:paraId="214F0391" w14:textId="77777777" w:rsidR="00A1755C" w:rsidRPr="0003089D" w:rsidRDefault="00A1755C" w:rsidP="006D1A91">
      <w:pPr>
        <w:jc w:val="both"/>
      </w:pPr>
    </w:p>
    <w:p w14:paraId="6F48896B" w14:textId="77777777" w:rsidR="00A1755C" w:rsidRDefault="0049080F" w:rsidP="0049080F">
      <w:pPr>
        <w:pStyle w:val="BodyText"/>
        <w:spacing w:after="0"/>
        <w:jc w:val="both"/>
        <w:rPr>
          <w:u w:val="single"/>
        </w:rPr>
      </w:pPr>
      <w:r>
        <w:t>14.</w:t>
      </w:r>
      <w:r>
        <w:tab/>
      </w:r>
      <w:r w:rsidRPr="0049080F">
        <w:rPr>
          <w:u w:val="single"/>
        </w:rPr>
        <w:t>Approval of Rates on a Temporary Basis</w:t>
      </w:r>
    </w:p>
    <w:p w14:paraId="4CCCD378" w14:textId="77777777" w:rsidR="0049080F" w:rsidRPr="0049080F" w:rsidRDefault="0049080F" w:rsidP="0049080F">
      <w:pPr>
        <w:pStyle w:val="BodyText"/>
        <w:spacing w:after="0"/>
        <w:jc w:val="both"/>
        <w:rPr>
          <w:u w:val="single"/>
        </w:rPr>
      </w:pPr>
    </w:p>
    <w:p w14:paraId="68D97756" w14:textId="0A8A6D3C" w:rsidR="00A1755C" w:rsidRDefault="00BC2408" w:rsidP="007651BC">
      <w:pPr>
        <w:ind w:firstLine="720"/>
        <w:jc w:val="both"/>
        <w:rPr>
          <w:rFonts w:eastAsiaTheme="minorHAnsi"/>
        </w:rPr>
      </w:pPr>
      <w:r w:rsidRPr="0003089D">
        <w:rPr>
          <w:rFonts w:eastAsiaTheme="minorHAnsi"/>
        </w:rPr>
        <w:t>We order</w:t>
      </w:r>
      <w:r w:rsidR="00A1755C" w:rsidRPr="0003089D">
        <w:rPr>
          <w:rFonts w:eastAsiaTheme="minorHAnsi"/>
        </w:rPr>
        <w:t xml:space="preserve"> an increase in water rates. A timely protest might delay what may be a justified rate increase resulting in an unrecoverable loss of revenue to the Utility. Therefore, pursuant to Section 367.0814(7), F.S., in the event of a protest filed by a party other than the Utility, the recommended rates </w:t>
      </w:r>
      <w:r w:rsidR="00533251">
        <w:rPr>
          <w:rFonts w:eastAsiaTheme="minorHAnsi"/>
        </w:rPr>
        <w:t xml:space="preserve">shall </w:t>
      </w:r>
      <w:r w:rsidR="00A1755C" w:rsidRPr="0003089D">
        <w:rPr>
          <w:rFonts w:eastAsiaTheme="minorHAnsi"/>
        </w:rPr>
        <w:t xml:space="preserve">be approved as temporary rates. Grenelefe </w:t>
      </w:r>
      <w:r w:rsidR="00B2057D" w:rsidRPr="0003089D">
        <w:rPr>
          <w:rFonts w:eastAsiaTheme="minorHAnsi"/>
        </w:rPr>
        <w:t>shall</w:t>
      </w:r>
      <w:r w:rsidR="00A1755C" w:rsidRPr="0003089D">
        <w:rPr>
          <w:rFonts w:eastAsiaTheme="minorHAnsi"/>
        </w:rPr>
        <w:t xml:space="preserve"> file revised tariff sheets and a proposed customer notice to reflect </w:t>
      </w:r>
      <w:r w:rsidRPr="0003089D">
        <w:rPr>
          <w:rFonts w:eastAsiaTheme="minorHAnsi"/>
        </w:rPr>
        <w:t xml:space="preserve">our </w:t>
      </w:r>
      <w:r w:rsidR="00A1755C" w:rsidRPr="0003089D">
        <w:rPr>
          <w:rFonts w:eastAsiaTheme="minorHAnsi"/>
        </w:rPr>
        <w:t xml:space="preserve">approved rates. The approved rates </w:t>
      </w:r>
      <w:r w:rsidR="00B2057D" w:rsidRPr="0003089D">
        <w:rPr>
          <w:rFonts w:eastAsiaTheme="minorHAnsi"/>
        </w:rPr>
        <w:t>shall</w:t>
      </w:r>
      <w:r w:rsidR="00A1755C" w:rsidRPr="0003089D">
        <w:rPr>
          <w:rFonts w:eastAsiaTheme="minorHAnsi"/>
        </w:rPr>
        <w:t xml:space="preserve"> be effective for service rendered on or after the stamped approval date on the tariff sheet, pursuant to Rule 25-30.475(1), F.A.C. In addition, the temporary rates </w:t>
      </w:r>
      <w:r w:rsidR="00B2057D" w:rsidRPr="0003089D">
        <w:rPr>
          <w:rFonts w:eastAsiaTheme="minorHAnsi"/>
        </w:rPr>
        <w:t>shall not be implemented until we have</w:t>
      </w:r>
      <w:r w:rsidR="00A1755C" w:rsidRPr="0003089D">
        <w:rPr>
          <w:rFonts w:eastAsiaTheme="minorHAnsi"/>
        </w:rPr>
        <w:t xml:space="preserve"> approved the proposed notice, and the notice has been received by the customers. The </w:t>
      </w:r>
      <w:r w:rsidR="00B2057D" w:rsidRPr="0003089D">
        <w:rPr>
          <w:rFonts w:eastAsiaTheme="minorHAnsi"/>
        </w:rPr>
        <w:t>approved</w:t>
      </w:r>
      <w:r w:rsidR="00A1755C" w:rsidRPr="0003089D">
        <w:rPr>
          <w:rFonts w:eastAsiaTheme="minorHAnsi"/>
        </w:rPr>
        <w:t xml:space="preserve"> rates collected by the Utility </w:t>
      </w:r>
      <w:r w:rsidR="00B2057D" w:rsidRPr="0003089D">
        <w:rPr>
          <w:rFonts w:eastAsiaTheme="minorHAnsi"/>
        </w:rPr>
        <w:t>shall</w:t>
      </w:r>
      <w:r w:rsidR="00A1755C" w:rsidRPr="0003089D">
        <w:rPr>
          <w:rFonts w:eastAsiaTheme="minorHAnsi"/>
        </w:rPr>
        <w:t xml:space="preserve"> be subject to the refund provisions discussed below.</w:t>
      </w:r>
    </w:p>
    <w:p w14:paraId="7B8D4972" w14:textId="77777777" w:rsidR="007651BC" w:rsidRPr="0003089D" w:rsidRDefault="007651BC" w:rsidP="007651BC">
      <w:pPr>
        <w:ind w:firstLine="720"/>
        <w:jc w:val="both"/>
        <w:rPr>
          <w:rFonts w:eastAsiaTheme="minorHAnsi"/>
        </w:rPr>
      </w:pPr>
    </w:p>
    <w:p w14:paraId="79C408C9" w14:textId="0821300B" w:rsidR="00A1755C" w:rsidRDefault="00A1755C" w:rsidP="007651BC">
      <w:pPr>
        <w:ind w:firstLine="720"/>
        <w:jc w:val="both"/>
        <w:rPr>
          <w:rFonts w:eastAsiaTheme="minorHAnsi"/>
        </w:rPr>
      </w:pPr>
      <w:r w:rsidRPr="0003089D">
        <w:rPr>
          <w:rFonts w:eastAsiaTheme="minorHAnsi"/>
        </w:rPr>
        <w:t xml:space="preserve">The Utility </w:t>
      </w:r>
      <w:r w:rsidR="00B2057D" w:rsidRPr="0003089D">
        <w:rPr>
          <w:rFonts w:eastAsiaTheme="minorHAnsi"/>
        </w:rPr>
        <w:t>shall</w:t>
      </w:r>
      <w:r w:rsidRPr="0003089D">
        <w:rPr>
          <w:rFonts w:eastAsiaTheme="minorHAnsi"/>
        </w:rPr>
        <w:t xml:space="preserve"> be authorized to collect </w:t>
      </w:r>
      <w:r w:rsidR="00B2057D" w:rsidRPr="0003089D">
        <w:rPr>
          <w:rFonts w:eastAsiaTheme="minorHAnsi"/>
        </w:rPr>
        <w:t>the temporary rates upon our</w:t>
      </w:r>
      <w:r w:rsidRPr="0003089D">
        <w:rPr>
          <w:rFonts w:eastAsiaTheme="minorHAnsi"/>
        </w:rPr>
        <w:t xml:space="preserve"> approval of an appropriate security for the potential refund and the proposed customer notice. Security </w:t>
      </w:r>
      <w:r w:rsidR="00B2057D" w:rsidRPr="0003089D">
        <w:rPr>
          <w:rFonts w:eastAsiaTheme="minorHAnsi"/>
        </w:rPr>
        <w:t>shall</w:t>
      </w:r>
      <w:r w:rsidRPr="0003089D">
        <w:rPr>
          <w:rFonts w:eastAsiaTheme="minorHAnsi"/>
        </w:rPr>
        <w:t xml:space="preserve"> be in the form of a bond or letter of credit in the amount of $306,331 for water and $296,552 for wastewater. Alternatively, the Utility could establish an escrow agreement with an independent financial institution.</w:t>
      </w:r>
    </w:p>
    <w:p w14:paraId="7C3CC6FF" w14:textId="77777777" w:rsidR="007651BC" w:rsidRPr="0003089D" w:rsidRDefault="007651BC" w:rsidP="007651BC">
      <w:pPr>
        <w:ind w:firstLine="720"/>
        <w:jc w:val="both"/>
        <w:rPr>
          <w:rFonts w:eastAsiaTheme="minorHAnsi"/>
        </w:rPr>
      </w:pPr>
    </w:p>
    <w:p w14:paraId="70921275" w14:textId="7D8C59F9" w:rsidR="00A1755C" w:rsidRDefault="00A1755C" w:rsidP="00F94FA9">
      <w:pPr>
        <w:ind w:firstLine="720"/>
        <w:jc w:val="both"/>
        <w:rPr>
          <w:rFonts w:eastAsiaTheme="minorHAnsi"/>
        </w:rPr>
      </w:pPr>
      <w:r w:rsidRPr="0003089D">
        <w:rPr>
          <w:rFonts w:eastAsiaTheme="minorHAnsi"/>
        </w:rPr>
        <w:t xml:space="preserve">If the Utility chooses a bond as security, the bond </w:t>
      </w:r>
      <w:r w:rsidR="00B2057D" w:rsidRPr="0003089D">
        <w:rPr>
          <w:rFonts w:eastAsiaTheme="minorHAnsi"/>
        </w:rPr>
        <w:t>shall</w:t>
      </w:r>
      <w:r w:rsidRPr="0003089D">
        <w:rPr>
          <w:rFonts w:eastAsiaTheme="minorHAnsi"/>
        </w:rPr>
        <w:t xml:space="preserve"> contain wording to the effect that it will be terminated only under the following conditions:</w:t>
      </w:r>
    </w:p>
    <w:p w14:paraId="0C64AB5B" w14:textId="77777777" w:rsidR="00F94FA9" w:rsidRPr="0003089D" w:rsidRDefault="00F94FA9" w:rsidP="00F94FA9">
      <w:pPr>
        <w:ind w:firstLine="720"/>
        <w:jc w:val="both"/>
        <w:rPr>
          <w:rFonts w:eastAsiaTheme="minorHAnsi"/>
        </w:rPr>
      </w:pPr>
    </w:p>
    <w:p w14:paraId="2EDB140E" w14:textId="77777777" w:rsidR="00A1755C" w:rsidRPr="0003089D" w:rsidRDefault="00BC2408" w:rsidP="00F94FA9">
      <w:pPr>
        <w:ind w:left="720"/>
        <w:jc w:val="both"/>
        <w:rPr>
          <w:rFonts w:eastAsiaTheme="minorHAnsi"/>
        </w:rPr>
      </w:pPr>
      <w:r w:rsidRPr="0003089D">
        <w:rPr>
          <w:rFonts w:eastAsiaTheme="minorHAnsi"/>
        </w:rPr>
        <w:t>1) We approve</w:t>
      </w:r>
      <w:r w:rsidR="00A1755C" w:rsidRPr="0003089D">
        <w:rPr>
          <w:rFonts w:eastAsiaTheme="minorHAnsi"/>
        </w:rPr>
        <w:t xml:space="preserve"> the rate increase; or,</w:t>
      </w:r>
    </w:p>
    <w:p w14:paraId="259D392D" w14:textId="0E6BACC6" w:rsidR="00A1755C" w:rsidRDefault="00A1755C" w:rsidP="007651BC">
      <w:pPr>
        <w:ind w:left="720"/>
        <w:jc w:val="both"/>
        <w:rPr>
          <w:rFonts w:eastAsiaTheme="minorHAnsi"/>
        </w:rPr>
      </w:pPr>
      <w:r w:rsidRPr="0003089D">
        <w:rPr>
          <w:rFonts w:eastAsiaTheme="minorHAnsi"/>
        </w:rPr>
        <w:lastRenderedPageBreak/>
        <w:t xml:space="preserve">2) If </w:t>
      </w:r>
      <w:r w:rsidR="00BC2408" w:rsidRPr="0003089D">
        <w:rPr>
          <w:rFonts w:eastAsiaTheme="minorHAnsi"/>
        </w:rPr>
        <w:t>we</w:t>
      </w:r>
      <w:r w:rsidRPr="0003089D">
        <w:rPr>
          <w:rFonts w:eastAsiaTheme="minorHAnsi"/>
        </w:rPr>
        <w:t xml:space="preserve"> </w:t>
      </w:r>
      <w:r w:rsidR="00BC2408" w:rsidRPr="0003089D">
        <w:rPr>
          <w:rFonts w:eastAsiaTheme="minorHAnsi"/>
        </w:rPr>
        <w:t>deny</w:t>
      </w:r>
      <w:r w:rsidRPr="0003089D">
        <w:rPr>
          <w:rFonts w:eastAsiaTheme="minorHAnsi"/>
        </w:rPr>
        <w:t xml:space="preserve"> the increase, the Utility shall refund the amount collected that is attributable to the increase.</w:t>
      </w:r>
    </w:p>
    <w:p w14:paraId="53CFE67E" w14:textId="77777777" w:rsidR="007651BC" w:rsidRPr="0003089D" w:rsidRDefault="007651BC" w:rsidP="007651BC">
      <w:pPr>
        <w:ind w:left="720"/>
        <w:jc w:val="both"/>
        <w:rPr>
          <w:rFonts w:eastAsiaTheme="minorHAnsi"/>
        </w:rPr>
      </w:pPr>
    </w:p>
    <w:p w14:paraId="1BA72FE4" w14:textId="70CF507D" w:rsidR="00A1755C" w:rsidRDefault="00A1755C" w:rsidP="00F94FA9">
      <w:pPr>
        <w:jc w:val="both"/>
        <w:rPr>
          <w:rFonts w:eastAsiaTheme="minorHAnsi"/>
        </w:rPr>
      </w:pPr>
      <w:r w:rsidRPr="0003089D">
        <w:rPr>
          <w:rFonts w:eastAsiaTheme="minorHAnsi"/>
        </w:rPr>
        <w:t xml:space="preserve">If the Utility chooses a letter of credit as a security, it </w:t>
      </w:r>
      <w:r w:rsidR="00B2057D" w:rsidRPr="0003089D">
        <w:rPr>
          <w:rFonts w:eastAsiaTheme="minorHAnsi"/>
        </w:rPr>
        <w:t>shall</w:t>
      </w:r>
      <w:r w:rsidRPr="0003089D">
        <w:rPr>
          <w:rFonts w:eastAsiaTheme="minorHAnsi"/>
        </w:rPr>
        <w:t xml:space="preserve"> contain the following conditions:</w:t>
      </w:r>
    </w:p>
    <w:p w14:paraId="5C4FBB5A" w14:textId="77777777" w:rsidR="00F94FA9" w:rsidRPr="0003089D" w:rsidRDefault="00F94FA9" w:rsidP="00F94FA9">
      <w:pPr>
        <w:jc w:val="both"/>
        <w:rPr>
          <w:rFonts w:eastAsiaTheme="minorHAnsi"/>
        </w:rPr>
      </w:pPr>
    </w:p>
    <w:p w14:paraId="77E50EAC" w14:textId="1AAA305B" w:rsidR="00A1755C" w:rsidRDefault="00A1755C" w:rsidP="00F94FA9">
      <w:pPr>
        <w:ind w:left="720"/>
        <w:jc w:val="both"/>
        <w:rPr>
          <w:rFonts w:eastAsiaTheme="minorHAnsi"/>
        </w:rPr>
      </w:pPr>
      <w:r w:rsidRPr="0003089D">
        <w:rPr>
          <w:rFonts w:eastAsiaTheme="minorHAnsi"/>
        </w:rPr>
        <w:t>1) The letter of credit is irrevocable for the period it is in effect, and,</w:t>
      </w:r>
    </w:p>
    <w:p w14:paraId="0E0DC57D" w14:textId="77777777" w:rsidR="00F94FA9" w:rsidRPr="0003089D" w:rsidRDefault="00F94FA9" w:rsidP="00F94FA9">
      <w:pPr>
        <w:ind w:left="720"/>
        <w:jc w:val="both"/>
        <w:rPr>
          <w:rFonts w:eastAsiaTheme="minorHAnsi"/>
        </w:rPr>
      </w:pPr>
    </w:p>
    <w:p w14:paraId="2970DC50" w14:textId="2E860FA3" w:rsidR="00A1755C" w:rsidRDefault="00A1755C" w:rsidP="00F94FA9">
      <w:pPr>
        <w:ind w:left="720"/>
        <w:jc w:val="both"/>
        <w:rPr>
          <w:rFonts w:eastAsiaTheme="minorHAnsi"/>
        </w:rPr>
      </w:pPr>
      <w:r w:rsidRPr="0003089D">
        <w:rPr>
          <w:rFonts w:eastAsiaTheme="minorHAnsi"/>
        </w:rPr>
        <w:t>2) The letter of credit will be in effect until a final Commission order is rendered, either approving or denying the rate increase.</w:t>
      </w:r>
    </w:p>
    <w:p w14:paraId="68129F9A" w14:textId="77777777" w:rsidR="007651BC" w:rsidRPr="0003089D" w:rsidRDefault="007651BC" w:rsidP="007651BC">
      <w:pPr>
        <w:ind w:left="720"/>
        <w:jc w:val="both"/>
        <w:rPr>
          <w:rFonts w:eastAsiaTheme="minorHAnsi"/>
        </w:rPr>
      </w:pPr>
    </w:p>
    <w:p w14:paraId="69C0BE67" w14:textId="4345AE95" w:rsidR="00A1755C" w:rsidRDefault="00A1755C" w:rsidP="00F94FA9">
      <w:pPr>
        <w:jc w:val="both"/>
        <w:rPr>
          <w:rFonts w:eastAsiaTheme="minorHAnsi"/>
        </w:rPr>
      </w:pPr>
      <w:r w:rsidRPr="0003089D">
        <w:rPr>
          <w:rFonts w:eastAsiaTheme="minorHAnsi"/>
        </w:rPr>
        <w:t xml:space="preserve">If security is provided through an escrow agreement, the following conditions </w:t>
      </w:r>
      <w:r w:rsidR="00B2057D" w:rsidRPr="0003089D">
        <w:rPr>
          <w:rFonts w:eastAsiaTheme="minorHAnsi"/>
        </w:rPr>
        <w:t>shall</w:t>
      </w:r>
      <w:r w:rsidRPr="0003089D">
        <w:rPr>
          <w:rFonts w:eastAsiaTheme="minorHAnsi"/>
        </w:rPr>
        <w:t xml:space="preserve"> be part of the agreement:</w:t>
      </w:r>
    </w:p>
    <w:p w14:paraId="63474F96" w14:textId="77777777" w:rsidR="00F94FA9" w:rsidRPr="0003089D" w:rsidRDefault="00F94FA9" w:rsidP="00F94FA9">
      <w:pPr>
        <w:jc w:val="both"/>
        <w:rPr>
          <w:rFonts w:eastAsiaTheme="minorHAnsi"/>
        </w:rPr>
      </w:pPr>
    </w:p>
    <w:p w14:paraId="2255715A" w14:textId="5AC66321" w:rsidR="00A1755C" w:rsidRDefault="00A1755C" w:rsidP="00F94FA9">
      <w:pPr>
        <w:ind w:left="720"/>
        <w:jc w:val="both"/>
        <w:rPr>
          <w:rFonts w:eastAsiaTheme="minorHAnsi"/>
        </w:rPr>
      </w:pPr>
      <w:r w:rsidRPr="0003089D">
        <w:rPr>
          <w:rFonts w:eastAsiaTheme="minorHAnsi"/>
        </w:rPr>
        <w:t xml:space="preserve">1) The Commission Clerk, or his or her designee, must be a signatory to the escrow agreement; </w:t>
      </w:r>
    </w:p>
    <w:p w14:paraId="07D5DFE7" w14:textId="77777777" w:rsidR="00F94FA9" w:rsidRPr="0003089D" w:rsidRDefault="00F94FA9" w:rsidP="00F94FA9">
      <w:pPr>
        <w:ind w:left="720"/>
        <w:jc w:val="both"/>
        <w:rPr>
          <w:rFonts w:eastAsiaTheme="minorHAnsi"/>
        </w:rPr>
      </w:pPr>
    </w:p>
    <w:p w14:paraId="42EA4DCE" w14:textId="607A4774" w:rsidR="00A1755C" w:rsidRDefault="00A1755C" w:rsidP="00F94FA9">
      <w:pPr>
        <w:ind w:left="720"/>
        <w:jc w:val="both"/>
        <w:rPr>
          <w:rFonts w:eastAsiaTheme="minorHAnsi"/>
        </w:rPr>
      </w:pPr>
      <w:r w:rsidRPr="0003089D">
        <w:rPr>
          <w:rFonts w:eastAsiaTheme="minorHAnsi"/>
        </w:rPr>
        <w:t>2) No monies in the escrow account may be withdrawn by the Utility without the prior written authorization of the Commission Clerk, or his or her designee;</w:t>
      </w:r>
    </w:p>
    <w:p w14:paraId="4E141F68" w14:textId="77777777" w:rsidR="00F94FA9" w:rsidRPr="0003089D" w:rsidRDefault="00F94FA9" w:rsidP="00F94FA9">
      <w:pPr>
        <w:ind w:left="720"/>
        <w:jc w:val="both"/>
        <w:rPr>
          <w:rFonts w:eastAsiaTheme="minorHAnsi"/>
        </w:rPr>
      </w:pPr>
    </w:p>
    <w:p w14:paraId="31B7B5F2" w14:textId="183596CE" w:rsidR="00A1755C" w:rsidRDefault="00A1755C" w:rsidP="00F94FA9">
      <w:pPr>
        <w:ind w:left="720"/>
        <w:jc w:val="both"/>
        <w:rPr>
          <w:rFonts w:eastAsiaTheme="minorHAnsi"/>
        </w:rPr>
      </w:pPr>
      <w:r w:rsidRPr="0003089D">
        <w:rPr>
          <w:rFonts w:eastAsiaTheme="minorHAnsi"/>
        </w:rPr>
        <w:t>3) The escrow account shall be an interest bearing account;</w:t>
      </w:r>
    </w:p>
    <w:p w14:paraId="5AE70B24" w14:textId="77777777" w:rsidR="00F94FA9" w:rsidRPr="0003089D" w:rsidRDefault="00F94FA9" w:rsidP="00F94FA9">
      <w:pPr>
        <w:ind w:left="720"/>
        <w:jc w:val="both"/>
        <w:rPr>
          <w:rFonts w:eastAsiaTheme="minorHAnsi"/>
        </w:rPr>
      </w:pPr>
    </w:p>
    <w:p w14:paraId="6FCBE425" w14:textId="44B108F1" w:rsidR="00A1755C" w:rsidRDefault="00A1755C" w:rsidP="00F94FA9">
      <w:pPr>
        <w:ind w:left="720"/>
        <w:jc w:val="both"/>
        <w:rPr>
          <w:rFonts w:eastAsiaTheme="minorHAnsi"/>
        </w:rPr>
      </w:pPr>
      <w:r w:rsidRPr="0003089D">
        <w:rPr>
          <w:rFonts w:eastAsiaTheme="minorHAnsi"/>
        </w:rPr>
        <w:t>4) If a refund to the customers is required, all interest earned by the escrow account shall be distributed to the customers;</w:t>
      </w:r>
    </w:p>
    <w:p w14:paraId="56B0E0F6" w14:textId="77777777" w:rsidR="00F94FA9" w:rsidRPr="0003089D" w:rsidRDefault="00F94FA9" w:rsidP="00F94FA9">
      <w:pPr>
        <w:ind w:left="720"/>
        <w:jc w:val="both"/>
        <w:rPr>
          <w:rFonts w:eastAsiaTheme="minorHAnsi"/>
        </w:rPr>
      </w:pPr>
    </w:p>
    <w:p w14:paraId="7BFC5A78" w14:textId="6C4F7CCD" w:rsidR="00A1755C" w:rsidRDefault="00A1755C" w:rsidP="00F94FA9">
      <w:pPr>
        <w:ind w:left="720"/>
        <w:jc w:val="both"/>
        <w:rPr>
          <w:rFonts w:eastAsiaTheme="minorHAnsi"/>
        </w:rPr>
      </w:pPr>
      <w:r w:rsidRPr="0003089D">
        <w:rPr>
          <w:rFonts w:eastAsiaTheme="minorHAnsi"/>
        </w:rPr>
        <w:t>5) If a refund to the customers is not required, the interest earned by the escrow account shall revert to the Utility;</w:t>
      </w:r>
    </w:p>
    <w:p w14:paraId="4073A80D" w14:textId="77777777" w:rsidR="00F94FA9" w:rsidRPr="0003089D" w:rsidRDefault="00F94FA9" w:rsidP="00F94FA9">
      <w:pPr>
        <w:ind w:left="720"/>
        <w:jc w:val="both"/>
        <w:rPr>
          <w:rFonts w:eastAsiaTheme="minorHAnsi"/>
        </w:rPr>
      </w:pPr>
    </w:p>
    <w:p w14:paraId="1B27B7B0" w14:textId="0ECD916C" w:rsidR="00A1755C" w:rsidRDefault="00A1755C" w:rsidP="00F94FA9">
      <w:pPr>
        <w:ind w:left="720"/>
        <w:jc w:val="both"/>
        <w:rPr>
          <w:rFonts w:eastAsiaTheme="minorHAnsi"/>
        </w:rPr>
      </w:pPr>
      <w:r w:rsidRPr="0003089D">
        <w:rPr>
          <w:rFonts w:eastAsiaTheme="minorHAnsi"/>
        </w:rPr>
        <w:t>6) All information on the escrow account shall be available from the holder of the escrow account to a Commission representative at all times;</w:t>
      </w:r>
    </w:p>
    <w:p w14:paraId="7F509AB9" w14:textId="77777777" w:rsidR="00F94FA9" w:rsidRPr="0003089D" w:rsidRDefault="00F94FA9" w:rsidP="00F94FA9">
      <w:pPr>
        <w:ind w:left="720"/>
        <w:jc w:val="both"/>
        <w:rPr>
          <w:rFonts w:eastAsiaTheme="minorHAnsi"/>
        </w:rPr>
      </w:pPr>
    </w:p>
    <w:p w14:paraId="5DBEABC9" w14:textId="69452621" w:rsidR="00A1755C" w:rsidRDefault="00A1755C" w:rsidP="00F94FA9">
      <w:pPr>
        <w:ind w:left="720"/>
        <w:jc w:val="both"/>
        <w:rPr>
          <w:rFonts w:eastAsiaTheme="minorHAnsi"/>
        </w:rPr>
      </w:pPr>
      <w:r w:rsidRPr="0003089D">
        <w:rPr>
          <w:rFonts w:eastAsiaTheme="minorHAnsi"/>
        </w:rPr>
        <w:t>7) The amount of revenue subject to refund shall be deposited in the escrow account within seven days of receipt;</w:t>
      </w:r>
    </w:p>
    <w:p w14:paraId="1CD4AB5D" w14:textId="77777777" w:rsidR="00F94FA9" w:rsidRPr="0003089D" w:rsidRDefault="00F94FA9" w:rsidP="00F94FA9">
      <w:pPr>
        <w:ind w:left="720"/>
        <w:jc w:val="both"/>
        <w:rPr>
          <w:rFonts w:eastAsiaTheme="minorHAnsi"/>
        </w:rPr>
      </w:pPr>
    </w:p>
    <w:p w14:paraId="76D1177B" w14:textId="74CBE104" w:rsidR="00A1755C" w:rsidRDefault="00A1755C" w:rsidP="00F94FA9">
      <w:pPr>
        <w:ind w:left="720"/>
        <w:jc w:val="both"/>
        <w:rPr>
          <w:rFonts w:eastAsiaTheme="minorHAnsi"/>
        </w:rPr>
      </w:pPr>
      <w:r w:rsidRPr="0003089D">
        <w:rPr>
          <w:rFonts w:eastAsiaTheme="minorHAnsi"/>
        </w:rPr>
        <w:t xml:space="preserve">8) This escrow account is established by the direction of the Florida Public Service Commission for the purpose(s) set forth in its order requiring such account. Pursuant to </w:t>
      </w:r>
      <w:r w:rsidRPr="001A2FFF">
        <w:rPr>
          <w:rFonts w:eastAsiaTheme="minorHAnsi"/>
          <w:i/>
        </w:rPr>
        <w:t>Consentino v. Elson</w:t>
      </w:r>
      <w:r w:rsidRPr="0003089D">
        <w:rPr>
          <w:rFonts w:eastAsiaTheme="minorHAnsi"/>
        </w:rPr>
        <w:t>, 263 So. 2d 253 (Fla. 3d DCA 1972), escrow accounts are not subject to garnishments; and</w:t>
      </w:r>
    </w:p>
    <w:p w14:paraId="4C843CE1" w14:textId="77777777" w:rsidR="00F94FA9" w:rsidRPr="0003089D" w:rsidRDefault="00F94FA9" w:rsidP="00F94FA9">
      <w:pPr>
        <w:ind w:left="720"/>
        <w:jc w:val="both"/>
        <w:rPr>
          <w:rFonts w:eastAsiaTheme="minorHAnsi"/>
        </w:rPr>
      </w:pPr>
    </w:p>
    <w:p w14:paraId="4E7EC53D" w14:textId="0C57A2ED" w:rsidR="00A1755C" w:rsidRDefault="00A1755C" w:rsidP="00F94FA9">
      <w:pPr>
        <w:ind w:left="720"/>
        <w:jc w:val="both"/>
        <w:rPr>
          <w:rFonts w:eastAsiaTheme="minorHAnsi"/>
        </w:rPr>
      </w:pPr>
      <w:r w:rsidRPr="0003089D">
        <w:rPr>
          <w:rFonts w:eastAsiaTheme="minorHAnsi"/>
        </w:rPr>
        <w:t>9) The account must specify by whom and on whose behalf such monies were paid.</w:t>
      </w:r>
    </w:p>
    <w:p w14:paraId="19121253" w14:textId="77777777" w:rsidR="007651BC" w:rsidRPr="0003089D" w:rsidRDefault="007651BC" w:rsidP="007651BC">
      <w:pPr>
        <w:ind w:left="720"/>
        <w:jc w:val="both"/>
        <w:rPr>
          <w:rFonts w:eastAsiaTheme="minorHAnsi"/>
        </w:rPr>
      </w:pPr>
    </w:p>
    <w:p w14:paraId="7061A33A" w14:textId="40698AD7" w:rsidR="00A1755C" w:rsidRDefault="00A1755C" w:rsidP="007651BC">
      <w:pPr>
        <w:ind w:firstLine="720"/>
        <w:jc w:val="both"/>
        <w:rPr>
          <w:rFonts w:eastAsiaTheme="minorHAnsi"/>
        </w:rPr>
      </w:pPr>
      <w:r w:rsidRPr="0003089D">
        <w:rPr>
          <w:rFonts w:eastAsiaTheme="minorHAnsi"/>
        </w:rPr>
        <w:t xml:space="preserve">In no instance </w:t>
      </w:r>
      <w:r w:rsidR="00B2057D" w:rsidRPr="0003089D">
        <w:rPr>
          <w:rFonts w:eastAsiaTheme="minorHAnsi"/>
        </w:rPr>
        <w:t>shall</w:t>
      </w:r>
      <w:r w:rsidRPr="0003089D">
        <w:rPr>
          <w:rFonts w:eastAsiaTheme="minorHAnsi"/>
        </w:rPr>
        <w:t xml:space="preserve"> the maintenance and administrative costs associated with the refund be borne by the customers. These costs are the responsibility of, and </w:t>
      </w:r>
      <w:r w:rsidR="00B2057D" w:rsidRPr="0003089D">
        <w:rPr>
          <w:rFonts w:eastAsiaTheme="minorHAnsi"/>
        </w:rPr>
        <w:t>shall</w:t>
      </w:r>
      <w:r w:rsidRPr="0003089D">
        <w:rPr>
          <w:rFonts w:eastAsiaTheme="minorHAnsi"/>
        </w:rPr>
        <w:t xml:space="preserve"> be borne by, the Utility. Irrespective of the form of security chosen by the Utility, an account of all monies received as a result of the rate increase </w:t>
      </w:r>
      <w:r w:rsidR="00B2057D" w:rsidRPr="0003089D">
        <w:rPr>
          <w:rFonts w:eastAsiaTheme="minorHAnsi"/>
        </w:rPr>
        <w:t>shall</w:t>
      </w:r>
      <w:r w:rsidRPr="0003089D">
        <w:rPr>
          <w:rFonts w:eastAsiaTheme="minorHAnsi"/>
        </w:rPr>
        <w:t xml:space="preserve"> be maintained by the Utility. If a refund is </w:t>
      </w:r>
      <w:r w:rsidRPr="0003089D">
        <w:rPr>
          <w:rFonts w:eastAsiaTheme="minorHAnsi"/>
        </w:rPr>
        <w:lastRenderedPageBreak/>
        <w:t xml:space="preserve">ultimately required, it </w:t>
      </w:r>
      <w:r w:rsidR="00B2057D" w:rsidRPr="0003089D">
        <w:rPr>
          <w:rFonts w:eastAsiaTheme="minorHAnsi"/>
        </w:rPr>
        <w:t>shall</w:t>
      </w:r>
      <w:r w:rsidRPr="0003089D">
        <w:rPr>
          <w:rFonts w:eastAsiaTheme="minorHAnsi"/>
        </w:rPr>
        <w:t xml:space="preserve"> be paid with interest calculated pursuant to Rule 25-30.360(4), F.A.C.</w:t>
      </w:r>
    </w:p>
    <w:p w14:paraId="2C00312C" w14:textId="77777777" w:rsidR="007651BC" w:rsidRPr="0003089D" w:rsidRDefault="007651BC" w:rsidP="007651BC">
      <w:pPr>
        <w:ind w:firstLine="720"/>
        <w:jc w:val="both"/>
        <w:rPr>
          <w:rFonts w:eastAsiaTheme="minorHAnsi"/>
        </w:rPr>
      </w:pPr>
    </w:p>
    <w:p w14:paraId="6CBFE1C0" w14:textId="77777777" w:rsidR="00A1755C" w:rsidRDefault="00A1755C" w:rsidP="0049080F">
      <w:pPr>
        <w:pStyle w:val="BodyText"/>
        <w:spacing w:after="0"/>
        <w:ind w:firstLine="720"/>
        <w:jc w:val="both"/>
        <w:rPr>
          <w:rFonts w:eastAsiaTheme="minorHAnsi"/>
        </w:rPr>
      </w:pPr>
      <w:r w:rsidRPr="0003089D">
        <w:rPr>
          <w:rFonts w:eastAsiaTheme="minorHAnsi"/>
        </w:rPr>
        <w:t xml:space="preserve">The Utility </w:t>
      </w:r>
      <w:r w:rsidR="00B2057D" w:rsidRPr="0003089D">
        <w:rPr>
          <w:rFonts w:eastAsiaTheme="minorHAnsi"/>
        </w:rPr>
        <w:t>shall</w:t>
      </w:r>
      <w:r w:rsidRPr="0003089D">
        <w:rPr>
          <w:rFonts w:eastAsiaTheme="minorHAnsi"/>
        </w:rPr>
        <w:t xml:space="preserve"> maintain a record of the amount of the security, and the amount of revenues that are subject to refund. In addition, after the increased rates are in effect, pursuant to Rule 25-30.360(6), F.A.C., the Utility </w:t>
      </w:r>
      <w:r w:rsidR="00B2057D" w:rsidRPr="0003089D">
        <w:rPr>
          <w:rFonts w:eastAsiaTheme="minorHAnsi"/>
        </w:rPr>
        <w:t>shall</w:t>
      </w:r>
      <w:r w:rsidRPr="0003089D">
        <w:rPr>
          <w:rFonts w:eastAsiaTheme="minorHAnsi"/>
        </w:rPr>
        <w:t xml:space="preserve"> file reports with the Commission’s Office of Commission Clerk no later than the 20th of each month indicating the monthly and total amount of money subject to refund at the end of the preceding month. The report filed </w:t>
      </w:r>
      <w:r w:rsidR="00B2057D" w:rsidRPr="0003089D">
        <w:rPr>
          <w:rFonts w:eastAsiaTheme="minorHAnsi"/>
        </w:rPr>
        <w:t>shall</w:t>
      </w:r>
      <w:r w:rsidRPr="0003089D">
        <w:rPr>
          <w:rFonts w:eastAsiaTheme="minorHAnsi"/>
        </w:rPr>
        <w:t xml:space="preserve"> also indicate the status of the security being used to guarantee repayment of any potential refund.</w:t>
      </w:r>
    </w:p>
    <w:p w14:paraId="1844825B" w14:textId="77777777" w:rsidR="0049080F" w:rsidRPr="0003089D" w:rsidRDefault="0049080F" w:rsidP="00F94FA9">
      <w:pPr>
        <w:pStyle w:val="BodyText"/>
        <w:spacing w:after="0"/>
        <w:ind w:firstLine="720"/>
        <w:jc w:val="both"/>
      </w:pPr>
    </w:p>
    <w:p w14:paraId="17499D6D" w14:textId="560AFA6F" w:rsidR="0049080F" w:rsidRDefault="0049080F" w:rsidP="00F94FA9">
      <w:pPr>
        <w:pStyle w:val="IssueSubsectionHeading"/>
        <w:spacing w:after="0"/>
        <w:rPr>
          <w:rFonts w:ascii="Times New Roman" w:hAnsi="Times New Roman" w:cs="Times New Roman"/>
          <w:b w:val="0"/>
          <w:i w:val="0"/>
          <w:u w:val="single"/>
        </w:rPr>
      </w:pPr>
      <w:r>
        <w:rPr>
          <w:rFonts w:ascii="Times New Roman" w:hAnsi="Times New Roman" w:cs="Times New Roman"/>
          <w:b w:val="0"/>
          <w:i w:val="0"/>
        </w:rPr>
        <w:t>15.</w:t>
      </w:r>
      <w:r>
        <w:rPr>
          <w:rFonts w:ascii="Times New Roman" w:hAnsi="Times New Roman" w:cs="Times New Roman"/>
          <w:b w:val="0"/>
          <w:i w:val="0"/>
        </w:rPr>
        <w:tab/>
      </w:r>
      <w:r w:rsidRPr="0049080F">
        <w:rPr>
          <w:rFonts w:ascii="Times New Roman" w:hAnsi="Times New Roman" w:cs="Times New Roman"/>
          <w:b w:val="0"/>
          <w:i w:val="0"/>
          <w:u w:val="single"/>
        </w:rPr>
        <w:t>Adjustment to Books</w:t>
      </w:r>
    </w:p>
    <w:p w14:paraId="7E3656A0" w14:textId="77777777" w:rsidR="00F94FA9" w:rsidRPr="00F94FA9" w:rsidRDefault="00F94FA9" w:rsidP="00F94FA9">
      <w:pPr>
        <w:pStyle w:val="BodyText"/>
      </w:pPr>
    </w:p>
    <w:p w14:paraId="7E291332" w14:textId="77777777" w:rsidR="00A1755C" w:rsidRDefault="00A1755C" w:rsidP="00F94FA9">
      <w:pPr>
        <w:ind w:firstLine="720"/>
        <w:jc w:val="both"/>
      </w:pPr>
      <w:r w:rsidRPr="0003089D">
        <w:t xml:space="preserve">Grenelefe </w:t>
      </w:r>
      <w:r w:rsidR="00B2057D" w:rsidRPr="0003089D">
        <w:t>shall</w:t>
      </w:r>
      <w:r w:rsidRPr="0003089D">
        <w:t xml:space="preserve"> be required to notify </w:t>
      </w:r>
      <w:r w:rsidR="00BC2408" w:rsidRPr="0003089D">
        <w:t>us</w:t>
      </w:r>
      <w:r w:rsidRPr="0003089D">
        <w:t xml:space="preserve">, in writing, that it has adjusted its books in accordance with </w:t>
      </w:r>
      <w:r w:rsidR="00BC2408" w:rsidRPr="0003089D">
        <w:t>our</w:t>
      </w:r>
      <w:r w:rsidRPr="0003089D">
        <w:t xml:space="preserve"> decision. The Utility </w:t>
      </w:r>
      <w:r w:rsidR="00B2057D" w:rsidRPr="0003089D">
        <w:t>shall</w:t>
      </w:r>
      <w:r w:rsidRPr="0003089D">
        <w:t xml:space="preserve"> submit a letter wi</w:t>
      </w:r>
      <w:r w:rsidR="00BC2408" w:rsidRPr="0003089D">
        <w:t>thin 90 days of our</w:t>
      </w:r>
      <w:r w:rsidRPr="0003089D">
        <w:t xml:space="preserve"> final order in this docket, confirming that the adjustments to all applicable NARUC USOA primary accounts have been made to the Utility’s books and records. In the event the Utility needs additional time to complete the adjustments, a notice providing good cause </w:t>
      </w:r>
      <w:r w:rsidR="00B2057D" w:rsidRPr="0003089D">
        <w:t>shall</w:t>
      </w:r>
      <w:r w:rsidRPr="0003089D">
        <w:t xml:space="preserve"> be filed not less than seven days prior to the deadline requesting an extension. Upon providing a notice of good cause, </w:t>
      </w:r>
      <w:r w:rsidR="00B2057D" w:rsidRPr="0003089D">
        <w:t xml:space="preserve">our </w:t>
      </w:r>
      <w:r w:rsidRPr="0003089D">
        <w:t xml:space="preserve">staff </w:t>
      </w:r>
      <w:r w:rsidR="00B2057D" w:rsidRPr="0003089D">
        <w:t>shall</w:t>
      </w:r>
      <w:r w:rsidRPr="0003089D">
        <w:t xml:space="preserve"> be given administrative authority to grant an extension of up to 60 days.</w:t>
      </w:r>
    </w:p>
    <w:p w14:paraId="4A973B54" w14:textId="6C40D9A6" w:rsidR="00310946" w:rsidRDefault="00310946" w:rsidP="0049080F">
      <w:pPr>
        <w:jc w:val="both"/>
      </w:pPr>
    </w:p>
    <w:p w14:paraId="07B8F93B" w14:textId="77777777" w:rsidR="0049080F" w:rsidRDefault="0049080F" w:rsidP="0049080F">
      <w:pPr>
        <w:jc w:val="both"/>
        <w:rPr>
          <w:u w:val="single"/>
        </w:rPr>
      </w:pPr>
      <w:r>
        <w:t>16.</w:t>
      </w:r>
      <w:r>
        <w:tab/>
      </w:r>
      <w:r w:rsidRPr="0079794B">
        <w:rPr>
          <w:u w:val="single"/>
        </w:rPr>
        <w:t xml:space="preserve">Refund of </w:t>
      </w:r>
      <w:r w:rsidR="0079794B" w:rsidRPr="0079794B">
        <w:rPr>
          <w:u w:val="single"/>
        </w:rPr>
        <w:t>Interim Water and Wastewater Rates</w:t>
      </w:r>
    </w:p>
    <w:p w14:paraId="5E3E00E2" w14:textId="77777777" w:rsidR="0079794B" w:rsidRPr="0003089D" w:rsidRDefault="0079794B" w:rsidP="0049080F">
      <w:pPr>
        <w:jc w:val="both"/>
      </w:pPr>
    </w:p>
    <w:p w14:paraId="0BB4BDA3" w14:textId="1FD2E8F0" w:rsidR="00CF5EE6" w:rsidRDefault="00415A43" w:rsidP="007651BC">
      <w:pPr>
        <w:ind w:firstLine="720"/>
        <w:jc w:val="both"/>
      </w:pPr>
      <w:r>
        <w:t>By Order No. PSC-2025-0072-PCO-WS, issued March 11, 2025, we authorized the collection of interim rates, subject to refund, pursuant to Section 367.082, F.S.</w:t>
      </w:r>
      <w:r>
        <w:rPr>
          <w:rStyle w:val="FootnoteReference"/>
        </w:rPr>
        <w:footnoteReference w:id="62"/>
      </w:r>
      <w:r>
        <w:t xml:space="preserve"> The approved interim revenue requirements were $424,149 and $567,422 for water and wastewater, respectively. This represents an increase of $64,840, or 18.05 percent, for water and $341,994, or 151.71 percent, for wastewater.</w:t>
      </w:r>
    </w:p>
    <w:p w14:paraId="793F0012" w14:textId="77777777" w:rsidR="007651BC" w:rsidRDefault="007651BC" w:rsidP="007651BC">
      <w:pPr>
        <w:ind w:firstLine="720"/>
        <w:jc w:val="both"/>
      </w:pPr>
    </w:p>
    <w:p w14:paraId="2FDBE065" w14:textId="31ADE18E" w:rsidR="00415A43" w:rsidRDefault="00415A43" w:rsidP="007651BC">
      <w:pPr>
        <w:ind w:firstLine="720"/>
        <w:jc w:val="both"/>
        <w:rPr>
          <w:szCs w:val="23"/>
        </w:rPr>
      </w:pPr>
      <w:r w:rsidRPr="002D3A12">
        <w:rPr>
          <w:szCs w:val="23"/>
        </w:rPr>
        <w:t>According to Section 367.082, F.S., any refund should be calculated to reduce the rate of return of the utility during the pendency of the proceeding to the same level within the range of the newly authorized rate of return. Adjustments made in the rate case test period that do not relate to the period in</w:t>
      </w:r>
      <w:r>
        <w:rPr>
          <w:szCs w:val="23"/>
        </w:rPr>
        <w:t>terim rates are in effect shall</w:t>
      </w:r>
      <w:r w:rsidRPr="002D3A12">
        <w:rPr>
          <w:szCs w:val="23"/>
        </w:rPr>
        <w:t xml:space="preserve"> be removed. Rate case expense is an example of an adjustment which is recovered only after final rates are established.</w:t>
      </w:r>
    </w:p>
    <w:p w14:paraId="76B2CD6A" w14:textId="77777777" w:rsidR="007651BC" w:rsidRPr="00CF5EE6" w:rsidRDefault="007651BC" w:rsidP="007651BC">
      <w:pPr>
        <w:ind w:firstLine="720"/>
        <w:jc w:val="both"/>
        <w:rPr>
          <w:szCs w:val="23"/>
        </w:rPr>
      </w:pPr>
    </w:p>
    <w:p w14:paraId="213C55CA" w14:textId="2856147C" w:rsidR="00415A43" w:rsidRDefault="00415A43" w:rsidP="007651BC">
      <w:pPr>
        <w:ind w:firstLine="720"/>
        <w:jc w:val="both"/>
      </w:pPr>
      <w:r>
        <w:t>To establish the proper refund amount, we have calculated a revised interim revenue requirement utilizing the same data used to establish final rates. Rate case expense and any pro forma additions and expenses were excluded because these items are prospective in nature and did not occur during the interim collection period.</w:t>
      </w:r>
    </w:p>
    <w:p w14:paraId="095CA2B4" w14:textId="77777777" w:rsidR="007651BC" w:rsidRDefault="007651BC" w:rsidP="007651BC">
      <w:pPr>
        <w:ind w:firstLine="720"/>
        <w:jc w:val="both"/>
      </w:pPr>
    </w:p>
    <w:p w14:paraId="6B40617E" w14:textId="3140BE0A" w:rsidR="000714ED" w:rsidRDefault="00415A43" w:rsidP="0034284A">
      <w:pPr>
        <w:ind w:firstLine="720"/>
        <w:jc w:val="both"/>
        <w:rPr>
          <w:color w:val="000000"/>
          <w:szCs w:val="27"/>
        </w:rPr>
      </w:pPr>
      <w:r>
        <w:t xml:space="preserve">Using the principles discussed above, we calculated that the $567,422 wastewater revenue requirement granted in Order No. PSC-2025-0072-PCO-WS for the interim test year is </w:t>
      </w:r>
      <w:r>
        <w:lastRenderedPageBreak/>
        <w:t>greater than the revenue requirement for the interim collection period of $484,032.</w:t>
      </w:r>
      <w:r w:rsidRPr="00916FDE">
        <w:rPr>
          <w:color w:val="000000"/>
          <w:szCs w:val="27"/>
        </w:rPr>
        <w:t xml:space="preserve"> </w:t>
      </w:r>
      <w:r>
        <w:rPr>
          <w:color w:val="000000"/>
          <w:szCs w:val="27"/>
        </w:rPr>
        <w:t xml:space="preserve">The interim revenue requirement granted for water was less than our calculation. </w:t>
      </w:r>
      <w:r w:rsidR="001A2FFF">
        <w:rPr>
          <w:color w:val="000000"/>
          <w:szCs w:val="27"/>
        </w:rPr>
        <w:t>Thus a refund is not required</w:t>
      </w:r>
      <w:r>
        <w:rPr>
          <w:color w:val="000000"/>
          <w:szCs w:val="27"/>
        </w:rPr>
        <w:t xml:space="preserve"> for water. The Utility shall</w:t>
      </w:r>
      <w:r w:rsidRPr="00916FDE">
        <w:rPr>
          <w:color w:val="000000"/>
          <w:szCs w:val="27"/>
        </w:rPr>
        <w:t xml:space="preserve"> be required to refund 14.7 percent</w:t>
      </w:r>
      <w:r>
        <w:rPr>
          <w:color w:val="000000"/>
          <w:szCs w:val="27"/>
        </w:rPr>
        <w:t>, or $83,390,</w:t>
      </w:r>
      <w:r w:rsidRPr="00916FDE">
        <w:rPr>
          <w:color w:val="000000"/>
          <w:szCs w:val="27"/>
        </w:rPr>
        <w:t xml:space="preserve"> of wastewater revenues collected under </w:t>
      </w:r>
      <w:r>
        <w:rPr>
          <w:color w:val="000000"/>
          <w:szCs w:val="27"/>
        </w:rPr>
        <w:t>interim rates. The refund shall</w:t>
      </w:r>
      <w:r w:rsidRPr="00916FDE">
        <w:rPr>
          <w:color w:val="000000"/>
          <w:szCs w:val="27"/>
        </w:rPr>
        <w:t xml:space="preserve"> be made with interest in accordance with Rule 25-30.360(4), F.A.C. The Utility</w:t>
      </w:r>
      <w:r>
        <w:rPr>
          <w:color w:val="000000"/>
          <w:szCs w:val="27"/>
        </w:rPr>
        <w:t xml:space="preserve"> shall</w:t>
      </w:r>
      <w:r w:rsidRPr="00916FDE">
        <w:rPr>
          <w:color w:val="000000"/>
          <w:szCs w:val="27"/>
        </w:rPr>
        <w:t xml:space="preserve"> be required to submit proper refund reports pursuant to Rule 25-30.3</w:t>
      </w:r>
      <w:r>
        <w:rPr>
          <w:color w:val="000000"/>
          <w:szCs w:val="27"/>
        </w:rPr>
        <w:t>60(7), F.A.C. The Utility shall</w:t>
      </w:r>
      <w:r w:rsidRPr="00916FDE">
        <w:rPr>
          <w:color w:val="000000"/>
          <w:szCs w:val="27"/>
        </w:rPr>
        <w:t xml:space="preserve"> treat any unclaimed refunds as CIAC pursuant to Rule 25-30.360(8), F.A.C.</w:t>
      </w:r>
    </w:p>
    <w:p w14:paraId="1BC7550F" w14:textId="77777777" w:rsidR="00F94FA9" w:rsidRPr="0034284A" w:rsidRDefault="00F94FA9" w:rsidP="0034284A">
      <w:pPr>
        <w:ind w:firstLine="720"/>
        <w:jc w:val="both"/>
        <w:rPr>
          <w:color w:val="000000"/>
          <w:szCs w:val="27"/>
        </w:rPr>
      </w:pPr>
    </w:p>
    <w:p w14:paraId="4C4ADAAB" w14:textId="77777777" w:rsidR="00415A43" w:rsidRDefault="00415A43" w:rsidP="00415A43">
      <w:pPr>
        <w:ind w:firstLine="720"/>
        <w:jc w:val="both"/>
        <w:rPr>
          <w:i/>
        </w:rPr>
      </w:pPr>
      <w:r w:rsidRPr="00415A43">
        <w:rPr>
          <w:i/>
        </w:rPr>
        <w:t>Conclusion</w:t>
      </w:r>
    </w:p>
    <w:p w14:paraId="6EB3B912" w14:textId="77777777" w:rsidR="00415A43" w:rsidRPr="00415A43" w:rsidRDefault="00415A43" w:rsidP="00415A43">
      <w:pPr>
        <w:ind w:firstLine="720"/>
        <w:jc w:val="both"/>
        <w:rPr>
          <w:i/>
        </w:rPr>
      </w:pPr>
    </w:p>
    <w:p w14:paraId="638791F6" w14:textId="4F49C00F" w:rsidR="00D36A5C" w:rsidRDefault="00415A43" w:rsidP="00310946">
      <w:pPr>
        <w:ind w:firstLine="720"/>
        <w:jc w:val="both"/>
        <w:rPr>
          <w:szCs w:val="23"/>
        </w:rPr>
      </w:pPr>
      <w:r>
        <w:t>We find</w:t>
      </w:r>
      <w:r w:rsidR="006E7C37">
        <w:t xml:space="preserve"> the proper refund amount shall</w:t>
      </w:r>
      <w:r w:rsidRPr="00747FA2">
        <w:t xml:space="preserve"> be calculated by using the same data used to establish final rates, excluding rate case expense and other items not in effect during the interim period. This revised revenue requirement for the </w:t>
      </w:r>
      <w:r>
        <w:t>interim collection period shall</w:t>
      </w:r>
      <w:r w:rsidRPr="00747FA2">
        <w:t xml:space="preserve"> be compared to the amount of interim revenue requirement granted. Based on this calculation, there is no refund required for the wate</w:t>
      </w:r>
      <w:r>
        <w:t>r system, and the Utility shall</w:t>
      </w:r>
      <w:r w:rsidRPr="00747FA2">
        <w:t xml:space="preserve"> be required to</w:t>
      </w:r>
      <w:r>
        <w:t xml:space="preserve"> refund 14.7 percent, or $83,390, for wastewater revenues collected under interim rates.</w:t>
      </w:r>
      <w:r>
        <w:rPr>
          <w:sz w:val="23"/>
          <w:szCs w:val="23"/>
        </w:rPr>
        <w:t xml:space="preserve"> </w:t>
      </w:r>
      <w:r>
        <w:t>The refund shall be made with interest in accordance with Rule 25-30.360(4), F.A.C. The Utility shall be required to submit proper refund reports pursuant to Rule 25-30.360(7), F.A.C. The Utility shall treat any unclaimed refunds as CIAC pursuant to Rule 25-30.360(8), F.A.C.</w:t>
      </w:r>
      <w:r>
        <w:rPr>
          <w:sz w:val="23"/>
          <w:szCs w:val="23"/>
        </w:rPr>
        <w:t xml:space="preserve"> </w:t>
      </w:r>
      <w:r w:rsidRPr="00E376B4">
        <w:rPr>
          <w:szCs w:val="23"/>
        </w:rPr>
        <w:t xml:space="preserve">Upon issuance of the consummating order in this docket, </w:t>
      </w:r>
      <w:r w:rsidRPr="00E376B4">
        <w:rPr>
          <w:color w:val="000000"/>
          <w:szCs w:val="23"/>
        </w:rPr>
        <w:t>the corporate undertaking</w:t>
      </w:r>
      <w:r>
        <w:rPr>
          <w:szCs w:val="23"/>
        </w:rPr>
        <w:t xml:space="preserve"> shall</w:t>
      </w:r>
      <w:r w:rsidRPr="00E376B4">
        <w:rPr>
          <w:szCs w:val="23"/>
        </w:rPr>
        <w:t xml:space="preserve"> be released after the appropriate amounts of interim revenues are refunded and the refu</w:t>
      </w:r>
      <w:r>
        <w:rPr>
          <w:szCs w:val="23"/>
        </w:rPr>
        <w:t>nd amounts are verified by us</w:t>
      </w:r>
      <w:r w:rsidRPr="00E376B4">
        <w:rPr>
          <w:szCs w:val="23"/>
        </w:rPr>
        <w:t>.</w:t>
      </w:r>
    </w:p>
    <w:p w14:paraId="5B59DD2F" w14:textId="77777777" w:rsidR="0034284A" w:rsidRPr="00310946" w:rsidRDefault="0034284A" w:rsidP="00310946">
      <w:pPr>
        <w:ind w:firstLine="720"/>
        <w:jc w:val="both"/>
      </w:pPr>
    </w:p>
    <w:p w14:paraId="62F77AD5" w14:textId="77777777" w:rsidR="0045691E" w:rsidRPr="0003089D" w:rsidRDefault="0045691E" w:rsidP="0045691E">
      <w:r w:rsidRPr="0003089D">
        <w:tab/>
        <w:t>Based on the foregoing, it is</w:t>
      </w:r>
    </w:p>
    <w:p w14:paraId="4B302FDE" w14:textId="77777777" w:rsidR="0045691E" w:rsidRPr="0003089D" w:rsidRDefault="0045691E" w:rsidP="0045691E"/>
    <w:p w14:paraId="030135E0" w14:textId="71D2D68E" w:rsidR="004A138E" w:rsidRDefault="0045691E" w:rsidP="00C41B53">
      <w:pPr>
        <w:jc w:val="both"/>
        <w:rPr>
          <w:color w:val="000000"/>
        </w:rPr>
      </w:pPr>
      <w:r w:rsidRPr="0003089D">
        <w:tab/>
      </w:r>
      <w:r w:rsidR="006E7C37" w:rsidRPr="0003089D">
        <w:t>ORDERED by the Florida</w:t>
      </w:r>
      <w:r w:rsidR="006E7C37">
        <w:t xml:space="preserve"> Public Service Commission that</w:t>
      </w:r>
      <w:r w:rsidR="006E7C37" w:rsidRPr="0003089D">
        <w:rPr>
          <w:color w:val="000000"/>
        </w:rPr>
        <w:t xml:space="preserve"> </w:t>
      </w:r>
      <w:r w:rsidR="006E7C37" w:rsidRPr="0003089D">
        <w:t>NC Real Estate Projects, LLC d/b/a Grenelefe Utility</w:t>
      </w:r>
      <w:r w:rsidR="006E7C37">
        <w:t>’s</w:t>
      </w:r>
      <w:r w:rsidR="006E7C37" w:rsidDel="00157FE4">
        <w:t xml:space="preserve"> </w:t>
      </w:r>
      <w:r w:rsidR="006E7C37" w:rsidRPr="0003089D">
        <w:rPr>
          <w:color w:val="000000"/>
        </w:rPr>
        <w:t xml:space="preserve">quality of service </w:t>
      </w:r>
      <w:r w:rsidR="006E7C37">
        <w:rPr>
          <w:color w:val="000000"/>
        </w:rPr>
        <w:t xml:space="preserve">shall </w:t>
      </w:r>
      <w:r w:rsidR="006E7C37" w:rsidRPr="0003089D">
        <w:rPr>
          <w:color w:val="000000"/>
        </w:rPr>
        <w:t>be considered marginal,</w:t>
      </w:r>
      <w:r w:rsidR="006E7C37">
        <w:rPr>
          <w:color w:val="000000"/>
        </w:rPr>
        <w:t xml:space="preserve"> and </w:t>
      </w:r>
      <w:r w:rsidR="006E7C37">
        <w:t>the salaries of the owner shall be reduced by 25 percent to $32,245 for water and $19,432 for wastewater</w:t>
      </w:r>
      <w:r w:rsidR="006E7C37">
        <w:rPr>
          <w:color w:val="000000"/>
        </w:rPr>
        <w:t>. It is further</w:t>
      </w:r>
    </w:p>
    <w:p w14:paraId="23A393D2" w14:textId="77777777" w:rsidR="004221D8" w:rsidRDefault="004221D8" w:rsidP="004A138E">
      <w:pPr>
        <w:ind w:firstLine="720"/>
        <w:jc w:val="both"/>
        <w:rPr>
          <w:color w:val="000000"/>
        </w:rPr>
      </w:pPr>
    </w:p>
    <w:p w14:paraId="37900E97" w14:textId="77777777" w:rsidR="006E7C37" w:rsidRDefault="006E7C37" w:rsidP="006E7C37">
      <w:pPr>
        <w:ind w:firstLine="720"/>
        <w:jc w:val="both"/>
        <w:rPr>
          <w:color w:val="000000"/>
        </w:rPr>
      </w:pPr>
      <w:r>
        <w:rPr>
          <w:color w:val="000000"/>
        </w:rPr>
        <w:t>ORDERED that</w:t>
      </w:r>
      <w:r w:rsidRPr="0003089D">
        <w:rPr>
          <w:color w:val="000000"/>
        </w:rPr>
        <w:t xml:space="preserve"> </w:t>
      </w:r>
      <w:r>
        <w:t>Grenelefe</w:t>
      </w:r>
      <w:r w:rsidRPr="0003089D">
        <w:rPr>
          <w:color w:val="000000"/>
        </w:rPr>
        <w:t xml:space="preserve"> meet with its customers within three months of issuance of the Consummating or Final Order to discuss its quality of service issues. The Office of Public Counsel and Commission staff shall be made aware of the meeting date, place, and time</w:t>
      </w:r>
      <w:r>
        <w:rPr>
          <w:color w:val="000000"/>
        </w:rPr>
        <w:t>, at least three weeks in advance of the meeting</w:t>
      </w:r>
      <w:r w:rsidRPr="0003089D">
        <w:rPr>
          <w:color w:val="000000"/>
        </w:rPr>
        <w:t xml:space="preserve">. </w:t>
      </w:r>
      <w:r>
        <w:rPr>
          <w:color w:val="000000"/>
        </w:rPr>
        <w:t xml:space="preserve">A member of Commission staff shall be present at the customer meeting. </w:t>
      </w:r>
      <w:r>
        <w:t>Grenelefe</w:t>
      </w:r>
      <w:r w:rsidRPr="0003089D">
        <w:rPr>
          <w:color w:val="000000"/>
        </w:rPr>
        <w:t xml:space="preserve"> shall file a report in this docket </w:t>
      </w:r>
      <w:r>
        <w:rPr>
          <w:color w:val="000000"/>
        </w:rPr>
        <w:t xml:space="preserve">within one month of the meeting </w:t>
      </w:r>
      <w:r w:rsidRPr="0003089D">
        <w:rPr>
          <w:color w:val="000000"/>
        </w:rPr>
        <w:t>summarizing the results of the meeting. It is further</w:t>
      </w:r>
    </w:p>
    <w:p w14:paraId="779837D3" w14:textId="77777777" w:rsidR="004221D8" w:rsidRDefault="004221D8" w:rsidP="004A138E">
      <w:pPr>
        <w:ind w:firstLine="720"/>
        <w:jc w:val="both"/>
        <w:rPr>
          <w:color w:val="000000"/>
        </w:rPr>
      </w:pPr>
    </w:p>
    <w:p w14:paraId="25A29523" w14:textId="749D3BE4" w:rsidR="004221D8" w:rsidRPr="0003089D" w:rsidRDefault="00E87540" w:rsidP="004A138E">
      <w:pPr>
        <w:ind w:firstLine="720"/>
        <w:jc w:val="both"/>
        <w:rPr>
          <w:color w:val="000000"/>
        </w:rPr>
      </w:pPr>
      <w:r>
        <w:rPr>
          <w:color w:val="000000"/>
        </w:rPr>
        <w:t>ORDERED that Grenelefe</w:t>
      </w:r>
      <w:r w:rsidR="004221D8">
        <w:rPr>
          <w:color w:val="000000"/>
        </w:rPr>
        <w:t xml:space="preserve"> shall timely report </w:t>
      </w:r>
      <w:r w:rsidR="00AB15B3">
        <w:rPr>
          <w:color w:val="000000"/>
        </w:rPr>
        <w:t xml:space="preserve">for two years </w:t>
      </w:r>
      <w:r w:rsidR="004221D8">
        <w:rPr>
          <w:color w:val="000000"/>
        </w:rPr>
        <w:t>all line breakages and boil</w:t>
      </w:r>
      <w:r w:rsidR="00796DEC">
        <w:rPr>
          <w:color w:val="000000"/>
        </w:rPr>
        <w:t xml:space="preserve"> water notices to the Commission</w:t>
      </w:r>
      <w:r w:rsidR="004221D8">
        <w:rPr>
          <w:color w:val="000000"/>
        </w:rPr>
        <w:t>, and timely report the resolutions of</w:t>
      </w:r>
      <w:r w:rsidR="00796DEC">
        <w:rPr>
          <w:color w:val="000000"/>
        </w:rPr>
        <w:t xml:space="preserve"> these problems to the Commission</w:t>
      </w:r>
      <w:r w:rsidR="004221D8">
        <w:rPr>
          <w:color w:val="000000"/>
        </w:rPr>
        <w:t>.</w:t>
      </w:r>
      <w:r w:rsidR="00BF7138">
        <w:rPr>
          <w:color w:val="000000"/>
        </w:rPr>
        <w:t xml:space="preserve"> It is further</w:t>
      </w:r>
    </w:p>
    <w:p w14:paraId="69402060" w14:textId="77777777" w:rsidR="00796DEC" w:rsidRDefault="00796DEC" w:rsidP="00C41B53">
      <w:pPr>
        <w:jc w:val="both"/>
      </w:pPr>
    </w:p>
    <w:p w14:paraId="5C26F9B6" w14:textId="30E3C67F" w:rsidR="00796DEC" w:rsidRDefault="00E87540" w:rsidP="00796DEC">
      <w:pPr>
        <w:pStyle w:val="BodyText"/>
        <w:spacing w:after="0"/>
        <w:ind w:firstLine="720"/>
        <w:jc w:val="both"/>
      </w:pPr>
      <w:r>
        <w:t>ORDERED that Grenelefe</w:t>
      </w:r>
      <w:r w:rsidR="00796DEC">
        <w:t xml:space="preserve"> shall file quarterly reports for two years with the Commission providing timelines and progress of all pro forma projects. Additionally, the quarterly reports shall include any managerial changes, personnel changes, or contractual servic</w:t>
      </w:r>
      <w:r>
        <w:t>es acquired by Grenelefe</w:t>
      </w:r>
      <w:r w:rsidR="00796DEC">
        <w:t xml:space="preserve">. </w:t>
      </w:r>
      <w:r w:rsidR="00BF7138">
        <w:t>It is further</w:t>
      </w:r>
    </w:p>
    <w:p w14:paraId="5E46981A" w14:textId="77777777" w:rsidR="00796DEC" w:rsidRPr="0003089D" w:rsidRDefault="00796DEC" w:rsidP="00C41B53">
      <w:pPr>
        <w:jc w:val="both"/>
      </w:pPr>
    </w:p>
    <w:p w14:paraId="5546073E" w14:textId="77777777" w:rsidR="0003089D" w:rsidRDefault="0003089D" w:rsidP="00C41B53">
      <w:pPr>
        <w:jc w:val="both"/>
      </w:pPr>
      <w:r w:rsidRPr="0003089D">
        <w:lastRenderedPageBreak/>
        <w:tab/>
        <w:t>ORDERED that</w:t>
      </w:r>
      <w:r w:rsidR="005F2571">
        <w:t xml:space="preserve"> </w:t>
      </w:r>
      <w:r w:rsidR="00E87540">
        <w:t>Grenelefe</w:t>
      </w:r>
      <w:r w:rsidR="005F2571" w:rsidRPr="0003089D">
        <w:t>’s WTP, WWTP, water distribution, and wastewater collections systems shall be considered 100 percent U&amp;U. Additionally, we find that a 53.9 percent adjustment to purchased power and chemicals shall be made for excessive unaccounted for water (EUW). No adjustment is recommended for excessive infiltration and inflow (I&amp;I).</w:t>
      </w:r>
      <w:r w:rsidR="005F2571">
        <w:t xml:space="preserve"> It is further</w:t>
      </w:r>
    </w:p>
    <w:p w14:paraId="7A90C1A4" w14:textId="77777777" w:rsidR="005F2571" w:rsidRDefault="005F2571" w:rsidP="00C41B53">
      <w:pPr>
        <w:jc w:val="both"/>
      </w:pPr>
    </w:p>
    <w:p w14:paraId="1E61B4E7" w14:textId="77777777" w:rsidR="005F2571" w:rsidRDefault="005F2571" w:rsidP="00C41B53">
      <w:pPr>
        <w:jc w:val="both"/>
      </w:pPr>
      <w:r>
        <w:tab/>
      </w:r>
      <w:r w:rsidR="00B604E8">
        <w:t>ORDERED that t</w:t>
      </w:r>
      <w:r w:rsidR="00B604E8" w:rsidRPr="0003089D">
        <w:t xml:space="preserve">he appropriate average test year rate bases for </w:t>
      </w:r>
      <w:r w:rsidR="00B604E8">
        <w:t>Grenelefe</w:t>
      </w:r>
      <w:r w:rsidR="00B604E8" w:rsidRPr="0003089D">
        <w:t xml:space="preserve"> are $</w:t>
      </w:r>
      <w:r w:rsidR="00B604E8">
        <w:t>1,864,969</w:t>
      </w:r>
      <w:r w:rsidR="00B604E8" w:rsidRPr="0003089D">
        <w:t xml:space="preserve"> for water and $</w:t>
      </w:r>
      <w:r w:rsidR="00B604E8">
        <w:t>1,240,775</w:t>
      </w:r>
      <w:r w:rsidR="00B604E8" w:rsidRPr="0003089D">
        <w:t xml:space="preserve"> for wastewater. Further, we find </w:t>
      </w:r>
      <w:r w:rsidR="00B604E8">
        <w:t>Grenelefe</w:t>
      </w:r>
      <w:r w:rsidR="00B604E8" w:rsidRPr="0003089D">
        <w:t xml:space="preserve"> be required to submit a report no later than November 30, 2026, detailing the status of each of </w:t>
      </w:r>
      <w:r w:rsidR="00B604E8">
        <w:t>o</w:t>
      </w:r>
      <w:r w:rsidR="00B604E8" w:rsidRPr="0003089D">
        <w:t>ur approved pro forma project.</w:t>
      </w:r>
      <w:r w:rsidR="00B604E8">
        <w:t xml:space="preserve"> It is further</w:t>
      </w:r>
    </w:p>
    <w:p w14:paraId="2565D35E" w14:textId="77777777" w:rsidR="005F2571" w:rsidRDefault="005F2571" w:rsidP="00C41B53">
      <w:pPr>
        <w:jc w:val="both"/>
      </w:pPr>
    </w:p>
    <w:p w14:paraId="4E6A81A2" w14:textId="77777777" w:rsidR="005F2571" w:rsidRDefault="005F2571" w:rsidP="00C41B53">
      <w:pPr>
        <w:jc w:val="both"/>
      </w:pPr>
      <w:r>
        <w:tab/>
        <w:t>ORDERED</w:t>
      </w:r>
      <w:r w:rsidR="003B1F72">
        <w:t xml:space="preserve"> that </w:t>
      </w:r>
      <w:r w:rsidR="002342F9">
        <w:t>t</w:t>
      </w:r>
      <w:r w:rsidR="003B1F72" w:rsidRPr="0003089D">
        <w:t xml:space="preserve">he appropriate return on equity (ROE) </w:t>
      </w:r>
      <w:r w:rsidR="00E87540">
        <w:t>for Grenelefe</w:t>
      </w:r>
      <w:r w:rsidR="00DE2C9D">
        <w:t xml:space="preserve"> </w:t>
      </w:r>
      <w:r w:rsidR="003B1F72" w:rsidRPr="0003089D">
        <w:t>is 10.51 percent with a range of 9.51 percent to 11.51 percent. The appropr</w:t>
      </w:r>
      <w:r w:rsidR="00B604E8">
        <w:t>iate overall rate of return is 8</w:t>
      </w:r>
      <w:r w:rsidR="003B1F72" w:rsidRPr="0003089D">
        <w:t>.</w:t>
      </w:r>
      <w:r w:rsidR="00B604E8">
        <w:t>99</w:t>
      </w:r>
      <w:r w:rsidR="003B1F72" w:rsidRPr="0003089D">
        <w:t xml:space="preserve"> percent.</w:t>
      </w:r>
      <w:r w:rsidR="003B1F72">
        <w:t xml:space="preserve"> It is further</w:t>
      </w:r>
    </w:p>
    <w:p w14:paraId="66FBFE70" w14:textId="77777777" w:rsidR="003B1F72" w:rsidRDefault="003B1F72" w:rsidP="00C41B53">
      <w:pPr>
        <w:jc w:val="both"/>
      </w:pPr>
    </w:p>
    <w:p w14:paraId="6C5CFFAD" w14:textId="77777777" w:rsidR="003B1F72" w:rsidRDefault="003B1F72" w:rsidP="00C41B53">
      <w:pPr>
        <w:jc w:val="both"/>
        <w:rPr>
          <w:color w:val="000000"/>
        </w:rPr>
      </w:pPr>
      <w:r>
        <w:tab/>
        <w:t>ORDERED that</w:t>
      </w:r>
      <w:r w:rsidR="002342F9">
        <w:t xml:space="preserve"> </w:t>
      </w:r>
      <w:r w:rsidR="002342F9">
        <w:rPr>
          <w:color w:val="000000"/>
        </w:rPr>
        <w:t>t</w:t>
      </w:r>
      <w:r w:rsidR="000E64A1" w:rsidRPr="0003089D">
        <w:rPr>
          <w:color w:val="000000"/>
        </w:rPr>
        <w:t xml:space="preserve">he appropriate test year operating revenues for </w:t>
      </w:r>
      <w:r w:rsidR="00E87540">
        <w:t>Grenelefe</w:t>
      </w:r>
      <w:r w:rsidR="000E64A1" w:rsidRPr="0003089D">
        <w:t>’s</w:t>
      </w:r>
      <w:r w:rsidR="000E64A1" w:rsidRPr="0003089D">
        <w:rPr>
          <w:color w:val="000000"/>
        </w:rPr>
        <w:t xml:space="preserve"> are $291,545 for the water system and $254,027 for the wastewater system.</w:t>
      </w:r>
      <w:r w:rsidR="000E64A1">
        <w:rPr>
          <w:color w:val="000000"/>
        </w:rPr>
        <w:t xml:space="preserve"> It is further</w:t>
      </w:r>
    </w:p>
    <w:p w14:paraId="46C98CC1" w14:textId="77777777" w:rsidR="000E64A1" w:rsidRDefault="000E64A1" w:rsidP="00C41B53">
      <w:pPr>
        <w:jc w:val="both"/>
        <w:rPr>
          <w:color w:val="000000"/>
        </w:rPr>
      </w:pPr>
    </w:p>
    <w:p w14:paraId="3D299A29" w14:textId="77777777" w:rsidR="000E64A1" w:rsidRDefault="000E64A1" w:rsidP="00C41B53">
      <w:pPr>
        <w:jc w:val="both"/>
      </w:pPr>
      <w:r>
        <w:rPr>
          <w:color w:val="000000"/>
        </w:rPr>
        <w:tab/>
        <w:t>ORDERED that</w:t>
      </w:r>
      <w:r w:rsidRPr="000E64A1">
        <w:t xml:space="preserve"> </w:t>
      </w:r>
      <w:r w:rsidR="002342F9">
        <w:t>t</w:t>
      </w:r>
      <w:r w:rsidRPr="0003089D">
        <w:t xml:space="preserve">he appropriate amount of operating expense for </w:t>
      </w:r>
      <w:r w:rsidR="00E87540">
        <w:t>Grenelefe</w:t>
      </w:r>
      <w:r w:rsidRPr="0003089D">
        <w:t xml:space="preserve"> is</w:t>
      </w:r>
      <w:r w:rsidR="00447469">
        <w:t xml:space="preserve"> </w:t>
      </w:r>
      <w:r w:rsidR="00447469" w:rsidRPr="0003089D">
        <w:t>$</w:t>
      </w:r>
      <w:r w:rsidR="00447469">
        <w:t>560,445</w:t>
      </w:r>
      <w:r w:rsidR="00447469" w:rsidRPr="0003089D">
        <w:t xml:space="preserve"> for water and $</w:t>
      </w:r>
      <w:r w:rsidR="00447469">
        <w:t>568,593</w:t>
      </w:r>
      <w:r w:rsidR="00447469" w:rsidRPr="0003089D">
        <w:t xml:space="preserve"> for wastewater</w:t>
      </w:r>
      <w:r w:rsidRPr="0003089D">
        <w:t>.</w:t>
      </w:r>
      <w:r>
        <w:t xml:space="preserve"> It is further</w:t>
      </w:r>
    </w:p>
    <w:p w14:paraId="000BECC4" w14:textId="77777777" w:rsidR="000E64A1" w:rsidRDefault="000E64A1" w:rsidP="00C41B53">
      <w:pPr>
        <w:jc w:val="both"/>
      </w:pPr>
    </w:p>
    <w:p w14:paraId="6486D4D2" w14:textId="77777777" w:rsidR="000E64A1" w:rsidRDefault="000E64A1" w:rsidP="00C41B53">
      <w:pPr>
        <w:jc w:val="both"/>
      </w:pPr>
      <w:r>
        <w:tab/>
        <w:t>ORDERED that</w:t>
      </w:r>
      <w:r w:rsidR="00E338C4">
        <w:t xml:space="preserve"> </w:t>
      </w:r>
      <w:r w:rsidR="00E87540">
        <w:t>Grenelefe</w:t>
      </w:r>
      <w:r w:rsidR="00E338C4" w:rsidRPr="0003089D">
        <w:t xml:space="preserve"> does not meet the requirement for application of the operating ratio methodology for calculating the revenue requirement.</w:t>
      </w:r>
      <w:r w:rsidR="00E338C4">
        <w:t xml:space="preserve"> It is further</w:t>
      </w:r>
    </w:p>
    <w:p w14:paraId="239F7048" w14:textId="77777777" w:rsidR="00E338C4" w:rsidRDefault="00E338C4" w:rsidP="00C41B53">
      <w:pPr>
        <w:jc w:val="both"/>
      </w:pPr>
    </w:p>
    <w:p w14:paraId="36A3422A" w14:textId="77777777" w:rsidR="00E338C4" w:rsidRDefault="00E338C4" w:rsidP="00C41B53">
      <w:pPr>
        <w:jc w:val="both"/>
      </w:pPr>
      <w:r>
        <w:tab/>
      </w:r>
      <w:r w:rsidR="00447469">
        <w:t>ORDERED that t</w:t>
      </w:r>
      <w:r w:rsidR="00447469" w:rsidRPr="0003089D">
        <w:t>he appropriate revenue requirement is $</w:t>
      </w:r>
      <w:r w:rsidR="00447469">
        <w:t>728,139</w:t>
      </w:r>
      <w:r w:rsidR="00447469" w:rsidRPr="0003089D">
        <w:t xml:space="preserve"> for water and $</w:t>
      </w:r>
      <w:r w:rsidR="00447469">
        <w:t>680,160</w:t>
      </w:r>
      <w:r w:rsidR="00447469" w:rsidRPr="0003089D">
        <w:t xml:space="preserve"> for wastewater, resulting in an annual increase of $</w:t>
      </w:r>
      <w:r w:rsidR="00447469">
        <w:t>436,594</w:t>
      </w:r>
      <w:r w:rsidR="00447469" w:rsidRPr="0003089D">
        <w:t xml:space="preserve"> (</w:t>
      </w:r>
      <w:r w:rsidR="00447469">
        <w:t>149.75</w:t>
      </w:r>
      <w:r w:rsidR="00447469" w:rsidRPr="0003089D">
        <w:t>percent) for water and $</w:t>
      </w:r>
      <w:r w:rsidR="00447469">
        <w:t>426,133</w:t>
      </w:r>
      <w:r w:rsidR="00447469" w:rsidRPr="0003089D">
        <w:t xml:space="preserve"> (</w:t>
      </w:r>
      <w:r w:rsidR="00447469">
        <w:t>167.75</w:t>
      </w:r>
      <w:r w:rsidR="002342F9" w:rsidRPr="0003089D">
        <w:t xml:space="preserve"> percent) for wastewater</w:t>
      </w:r>
      <w:r w:rsidR="00103C6D">
        <w:t>. It is further</w:t>
      </w:r>
    </w:p>
    <w:p w14:paraId="302E0E17" w14:textId="77777777" w:rsidR="00103C6D" w:rsidRDefault="00103C6D" w:rsidP="00C41B53">
      <w:pPr>
        <w:jc w:val="both"/>
      </w:pPr>
    </w:p>
    <w:p w14:paraId="71DF511C" w14:textId="73475CE8" w:rsidR="00103C6D" w:rsidRDefault="00103C6D" w:rsidP="00C41B53">
      <w:pPr>
        <w:jc w:val="both"/>
        <w:rPr>
          <w:color w:val="000000"/>
        </w:rPr>
      </w:pPr>
      <w:r>
        <w:tab/>
        <w:t>ORDERED that t</w:t>
      </w:r>
      <w:r w:rsidRPr="0003089D">
        <w:rPr>
          <w:color w:val="000000"/>
        </w:rPr>
        <w:t>he approved rate structure and monthly water and wastewater rates are shown on</w:t>
      </w:r>
      <w:r w:rsidR="00BF7138">
        <w:rPr>
          <w:color w:val="000000"/>
        </w:rPr>
        <w:t xml:space="preserve"> the attached</w:t>
      </w:r>
      <w:r w:rsidRPr="0003089D">
        <w:rPr>
          <w:color w:val="000000"/>
        </w:rPr>
        <w:t xml:space="preserve"> Schedule Nos. 4-A and 4-B. </w:t>
      </w:r>
      <w:r w:rsidR="00E87540">
        <w:t>Grenelefe</w:t>
      </w:r>
      <w:r w:rsidRPr="0003089D">
        <w:rPr>
          <w:color w:val="000000"/>
        </w:rPr>
        <w:t xml:space="preserve"> shall file revised tariff sheets and a proposed customer notice to reflect our approved rates. The approved rates shall be effective for service rendered on or after the stamped approval date on the tariff sheets pursuant to Rule 25-30.475(1), F.A.C. In addition, the approved rates shall </w:t>
      </w:r>
      <w:r w:rsidR="006E7C37">
        <w:rPr>
          <w:color w:val="000000"/>
        </w:rPr>
        <w:t>not be implemented until our staff has</w:t>
      </w:r>
      <w:r w:rsidRPr="0003089D">
        <w:rPr>
          <w:color w:val="000000"/>
        </w:rPr>
        <w:t xml:space="preserve"> approved the proposed customer notice and the notice has been received by the customers. </w:t>
      </w:r>
      <w:r w:rsidR="00E87540">
        <w:t>Grenelefe</w:t>
      </w:r>
      <w:r w:rsidRPr="0003089D">
        <w:rPr>
          <w:color w:val="000000"/>
        </w:rPr>
        <w:t xml:space="preserve"> shall provide proof of the date notice was given within 10 days of the date of the notice.</w:t>
      </w:r>
      <w:r>
        <w:rPr>
          <w:color w:val="000000"/>
        </w:rPr>
        <w:t xml:space="preserve"> It is further</w:t>
      </w:r>
    </w:p>
    <w:p w14:paraId="1F378753" w14:textId="77777777" w:rsidR="00103C6D" w:rsidRDefault="00103C6D" w:rsidP="00C41B53">
      <w:pPr>
        <w:jc w:val="both"/>
        <w:rPr>
          <w:color w:val="000000"/>
        </w:rPr>
      </w:pPr>
    </w:p>
    <w:p w14:paraId="304F4136" w14:textId="77777777" w:rsidR="00103C6D" w:rsidRDefault="00103C6D" w:rsidP="00C41B53">
      <w:pPr>
        <w:jc w:val="both"/>
      </w:pPr>
      <w:r>
        <w:rPr>
          <w:color w:val="000000"/>
        </w:rPr>
        <w:tab/>
        <w:t>ORDERED that t</w:t>
      </w:r>
      <w:r w:rsidRPr="0003089D">
        <w:t xml:space="preserve">he appropriate initial customer deposits for the residential 5/8 inch x 3/4 inch meter size shall be $72 and $89 for water and wastewater. Additionally, non-potable water customer deposits shall be removed. The initial customer deposit for all other residential meter sizes and all general service meter sizes shall be two times the average estimated bill for water. The approved initial customer deposits shall be effective for connections made on or after the stamped approval date on the tariff sheets pursuant to Rule 25-30.475, F.A.C. </w:t>
      </w:r>
      <w:r w:rsidR="00E87540">
        <w:t>Grenelefe</w:t>
      </w:r>
      <w:r w:rsidRPr="0003089D">
        <w:t xml:space="preserve"> shall be required to collect the approved deposits until authorized to change them by us in a subsequent proceeding.</w:t>
      </w:r>
      <w:r>
        <w:t xml:space="preserve"> It is further</w:t>
      </w:r>
    </w:p>
    <w:p w14:paraId="6B858816" w14:textId="77777777" w:rsidR="00103C6D" w:rsidRDefault="00103C6D" w:rsidP="00C41B53">
      <w:pPr>
        <w:jc w:val="both"/>
      </w:pPr>
    </w:p>
    <w:p w14:paraId="7CC29B2A" w14:textId="77777777" w:rsidR="00103C6D" w:rsidRDefault="00103C6D" w:rsidP="00C41B53">
      <w:pPr>
        <w:jc w:val="both"/>
      </w:pPr>
      <w:r>
        <w:tab/>
        <w:t xml:space="preserve">ORDERED that </w:t>
      </w:r>
      <w:r w:rsidRPr="0003089D">
        <w:t xml:space="preserve">service availability charges shall be set as a plant capacity charge of $147 for water and $1,138 for wastewater. </w:t>
      </w:r>
      <w:r w:rsidR="00E87540">
        <w:t>Grenelefe</w:t>
      </w:r>
      <w:r w:rsidRPr="0003089D">
        <w:t xml:space="preserve"> shall file a revised tariff sheet to reflect our approved charges. The approved charges shall be effective for connections made on or after the stamped approval date on the tariff sheet. </w:t>
      </w:r>
      <w:r w:rsidRPr="0003089D">
        <w:rPr>
          <w:color w:val="000000"/>
        </w:rPr>
        <w:t>In addition, the approved charges shall not be implemented until our staff has approved the proposed customer notice</w:t>
      </w:r>
      <w:r w:rsidRPr="0003089D">
        <w:t xml:space="preserve"> and the notice has been received by property owners who requested service beginning 12 months prior to the establishment of this docket. </w:t>
      </w:r>
      <w:r w:rsidR="00DE2C9D" w:rsidRPr="0003089D">
        <w:t>Grenelefe Utility</w:t>
      </w:r>
      <w:r w:rsidRPr="0003089D">
        <w:t xml:space="preserve"> shall provide proof of noticing within 10 days of rendering the approved notice.</w:t>
      </w:r>
      <w:r>
        <w:t xml:space="preserve"> It is further</w:t>
      </w:r>
    </w:p>
    <w:p w14:paraId="50C79F1B" w14:textId="77777777" w:rsidR="00103C6D" w:rsidRDefault="00103C6D" w:rsidP="00C41B53">
      <w:pPr>
        <w:jc w:val="both"/>
      </w:pPr>
    </w:p>
    <w:p w14:paraId="152FAA99" w14:textId="7A1334E4" w:rsidR="00103C6D" w:rsidRDefault="00103C6D" w:rsidP="00C41B53">
      <w:pPr>
        <w:jc w:val="both"/>
      </w:pPr>
      <w:r>
        <w:tab/>
        <w:t>ORDERED that</w:t>
      </w:r>
      <w:r w:rsidR="0049080F">
        <w:t xml:space="preserve"> t</w:t>
      </w:r>
      <w:r w:rsidR="0049080F" w:rsidRPr="0003089D">
        <w:t>he rates shall be reduced as shown on</w:t>
      </w:r>
      <w:r w:rsidR="00BF7138">
        <w:t xml:space="preserve"> the attached</w:t>
      </w:r>
      <w:r w:rsidR="0049080F" w:rsidRPr="0003089D">
        <w:t xml:space="preserve"> Schedule Nos. 4-A and 4-B, to remove rate case expense grossed-up for RAFs and amortized over a four-year period. Pursuant to Section 367.081(8), F.S., the decrease in rates shall become effective immediately following the expiration of the rate case expense recovery period. </w:t>
      </w:r>
      <w:r w:rsidR="00E87540">
        <w:t>Grenelefe</w:t>
      </w:r>
      <w:r w:rsidR="00DE2C9D" w:rsidRPr="0003089D">
        <w:t xml:space="preserve"> </w:t>
      </w:r>
      <w:r w:rsidR="0049080F" w:rsidRPr="0003089D">
        <w:t xml:space="preserve">shall be required to file revised tariffs and a proposed customer notice setting forth the lower rates and rationale no later than one month prior to the effective date of the new rates. If </w:t>
      </w:r>
      <w:r w:rsidR="00E87540">
        <w:t>Grenelefe</w:t>
      </w:r>
      <w:r w:rsidR="0049080F" w:rsidRPr="0003089D">
        <w:t xml:space="preserve"> files revised tariffs reflecting this reduction in conjunction with a price index or pass-through rate adjustment, separate data shall be filed for the price index and/or pass-through increase and the reduction in the rates due to the amortized rate case expense.</w:t>
      </w:r>
      <w:r w:rsidR="0049080F">
        <w:t xml:space="preserve"> It is further</w:t>
      </w:r>
    </w:p>
    <w:p w14:paraId="60B0769D" w14:textId="77777777" w:rsidR="0049080F" w:rsidRDefault="0049080F" w:rsidP="00C41B53">
      <w:pPr>
        <w:jc w:val="both"/>
      </w:pPr>
    </w:p>
    <w:p w14:paraId="6CC3465D" w14:textId="77777777" w:rsidR="0049080F" w:rsidRDefault="0049080F" w:rsidP="00C41B53">
      <w:pPr>
        <w:jc w:val="both"/>
      </w:pPr>
      <w:r>
        <w:tab/>
        <w:t>ORDERED that p</w:t>
      </w:r>
      <w:r w:rsidRPr="0003089D">
        <w:t xml:space="preserve">ursuant to Section 367.0814(7), F.S., the approved rates shall be approved for the Utility on a temporary basis, subject to refund with interest, in the event of a protest filed by a party other than </w:t>
      </w:r>
      <w:r w:rsidR="00E87540">
        <w:t>Grenelefe</w:t>
      </w:r>
      <w:r w:rsidRPr="0003089D">
        <w:t xml:space="preserve">. </w:t>
      </w:r>
      <w:r w:rsidR="00E87540">
        <w:t>Grenelefe</w:t>
      </w:r>
      <w:r w:rsidRPr="0003089D">
        <w:t xml:space="preserve"> shall file revised tariff sheets and a proposed customer notice to reflect our approved rates. The approved rates shall be effective for service rendered on or after the stamped approval date on the tariff sheet, pursuant to Rule 25-30.475(1), F.A.C. In addition, the temporary rates shall not be implemented until our staff has approved the proposed notice, and the notice has been received by the customers. Prior to implementation of any temporary rates,</w:t>
      </w:r>
      <w:r w:rsidR="00DE2C9D" w:rsidRPr="00DE2C9D">
        <w:t xml:space="preserve"> </w:t>
      </w:r>
      <w:r w:rsidR="00E87540">
        <w:t>Grenelefe</w:t>
      </w:r>
      <w:r w:rsidRPr="0003089D">
        <w:t xml:space="preserve"> shall provide appropriate security.</w:t>
      </w:r>
      <w:r>
        <w:t xml:space="preserve"> </w:t>
      </w:r>
      <w:r w:rsidRPr="0003089D">
        <w:t xml:space="preserve">If the recommended rates are approved on a temporary basis, the rates collected by </w:t>
      </w:r>
      <w:r w:rsidR="00E87540">
        <w:t>Grenelefe</w:t>
      </w:r>
      <w:r w:rsidRPr="0003089D">
        <w:t xml:space="preserve"> shall be subject to the refund provisions discussed below in our analysis. In addition, after the increased rates are in effect, pursuant to Rule 25-30.360(6), F.A.C., </w:t>
      </w:r>
      <w:r w:rsidR="00E87540">
        <w:t>Grenelefe</w:t>
      </w:r>
      <w:r w:rsidRPr="0003089D">
        <w:t xml:space="preserve"> shall file reports with this Commission’s Office of Commission Clerk no later than the 20th of each month indicating the monthly and total amount of money subject to refund at the end of the preceding month. The report filed shall also indicate the status of the security being used to guarantee repayment of any potential refund. </w:t>
      </w:r>
      <w:r>
        <w:t>It is further</w:t>
      </w:r>
    </w:p>
    <w:p w14:paraId="1A6F5C1E" w14:textId="77777777" w:rsidR="0049080F" w:rsidRDefault="0049080F" w:rsidP="00C41B53">
      <w:pPr>
        <w:jc w:val="both"/>
      </w:pPr>
    </w:p>
    <w:p w14:paraId="3D2DA7F7" w14:textId="7912D681" w:rsidR="0049080F" w:rsidRDefault="0049080F" w:rsidP="00C41B53">
      <w:pPr>
        <w:jc w:val="both"/>
      </w:pPr>
      <w:r>
        <w:tab/>
        <w:t xml:space="preserve">ORDERED that </w:t>
      </w:r>
      <w:r w:rsidR="00E87540">
        <w:t>Grenelefe</w:t>
      </w:r>
      <w:r w:rsidR="00BF7138">
        <w:t xml:space="preserve"> shall be required to notify the Commission</w:t>
      </w:r>
      <w:r w:rsidRPr="0003089D">
        <w:t>, in writing, that it has adjusted its books in acco</w:t>
      </w:r>
      <w:r w:rsidR="00DE2C9D">
        <w:t>rdance with</w:t>
      </w:r>
      <w:r w:rsidRPr="0003089D">
        <w:t xml:space="preserve"> our decision. </w:t>
      </w:r>
      <w:r w:rsidR="00DE2C9D" w:rsidRPr="0003089D">
        <w:t>Grenel</w:t>
      </w:r>
      <w:r w:rsidR="00E87540">
        <w:t>efe</w:t>
      </w:r>
      <w:r w:rsidRPr="0003089D">
        <w:t xml:space="preserve"> shall submit a letter within 90 days of the our final order in this docket, confirming that the adjustments to all applicable NARUC USOA primary accounts have been made to the Utility’s books and records. In the event </w:t>
      </w:r>
      <w:r w:rsidR="00E87540">
        <w:t>Grenelefe</w:t>
      </w:r>
      <w:r w:rsidRPr="0003089D">
        <w:t xml:space="preserve"> needs additional time to complete the adjustments, a notice providing good cause shall be filed not less than seven days prior to the deadline requesting an extension. Upon provi</w:t>
      </w:r>
      <w:r w:rsidR="006E7C37">
        <w:t xml:space="preserve">ding a notice of good cause, our staff </w:t>
      </w:r>
      <w:r w:rsidRPr="0003089D">
        <w:t>shall be given administrative authority to grant an extension of up to 60 days.</w:t>
      </w:r>
      <w:r>
        <w:t xml:space="preserve"> It is further</w:t>
      </w:r>
    </w:p>
    <w:p w14:paraId="1B9189FF" w14:textId="77777777" w:rsidR="0049080F" w:rsidRDefault="0049080F" w:rsidP="00C41B53">
      <w:pPr>
        <w:jc w:val="both"/>
      </w:pPr>
    </w:p>
    <w:p w14:paraId="3967B841" w14:textId="470C3C75" w:rsidR="0049080F" w:rsidRDefault="0049080F" w:rsidP="00C41B53">
      <w:pPr>
        <w:jc w:val="both"/>
      </w:pPr>
      <w:r>
        <w:lastRenderedPageBreak/>
        <w:tab/>
        <w:t>ORDERED that</w:t>
      </w:r>
      <w:r w:rsidR="002D6855">
        <w:t xml:space="preserve"> there is no </w:t>
      </w:r>
      <w:r w:rsidR="006E7C37">
        <w:t xml:space="preserve">interim </w:t>
      </w:r>
      <w:r w:rsidR="002D6855">
        <w:t>refun</w:t>
      </w:r>
      <w:r w:rsidR="00AC173F">
        <w:t>d required for the water system.</w:t>
      </w:r>
      <w:r w:rsidR="002D6855">
        <w:t xml:space="preserve"> </w:t>
      </w:r>
      <w:r w:rsidR="00E87540">
        <w:t>Grenelefe</w:t>
      </w:r>
      <w:r w:rsidR="002D6855">
        <w:t xml:space="preserve"> shall be required to refund 14.7 percent, or $83,390, for wastewater revenues collected under interim rates.</w:t>
      </w:r>
      <w:r w:rsidR="002D6855">
        <w:rPr>
          <w:sz w:val="23"/>
          <w:szCs w:val="23"/>
        </w:rPr>
        <w:t xml:space="preserve"> </w:t>
      </w:r>
      <w:r w:rsidR="002D6855">
        <w:t xml:space="preserve">The </w:t>
      </w:r>
      <w:r w:rsidR="006E7C37">
        <w:t>refund shall</w:t>
      </w:r>
      <w:r w:rsidR="002D6855">
        <w:t xml:space="preserve"> be made with interest in accordance with Rule 25-30.360(4), F.A.C. </w:t>
      </w:r>
      <w:r w:rsidR="00E87540">
        <w:t>Grenelefe</w:t>
      </w:r>
      <w:r w:rsidR="002D6855">
        <w:t xml:space="preserve"> shall be required to submit proper refund reports pursuant to Rule 25-30.360(7), F.A.C. </w:t>
      </w:r>
      <w:r w:rsidR="00E87540">
        <w:t>Grenelefe</w:t>
      </w:r>
      <w:r w:rsidR="002D6855">
        <w:t xml:space="preserve"> shall treat any unclaimed refunds as CIAC pursuant to Rule 25-30.360(8), F.A.C.</w:t>
      </w:r>
      <w:r w:rsidR="002D6855">
        <w:rPr>
          <w:sz w:val="23"/>
          <w:szCs w:val="23"/>
        </w:rPr>
        <w:t xml:space="preserve"> </w:t>
      </w:r>
      <w:r w:rsidR="002D6855" w:rsidRPr="00E376B4">
        <w:rPr>
          <w:szCs w:val="23"/>
        </w:rPr>
        <w:t xml:space="preserve">Upon issuance of the consummating order in this docket, </w:t>
      </w:r>
      <w:r w:rsidR="002D6855" w:rsidRPr="00E376B4">
        <w:rPr>
          <w:color w:val="000000"/>
          <w:szCs w:val="23"/>
        </w:rPr>
        <w:t>the corporate undertaking</w:t>
      </w:r>
      <w:r w:rsidR="002D6855" w:rsidRPr="00E376B4">
        <w:rPr>
          <w:szCs w:val="23"/>
        </w:rPr>
        <w:t xml:space="preserve"> </w:t>
      </w:r>
      <w:r w:rsidR="006E7C37">
        <w:rPr>
          <w:szCs w:val="23"/>
        </w:rPr>
        <w:t>shall</w:t>
      </w:r>
      <w:r w:rsidR="002D6855" w:rsidRPr="00E376B4">
        <w:rPr>
          <w:szCs w:val="23"/>
        </w:rPr>
        <w:t xml:space="preserve"> be released after the appropriate amounts of interim revenues are refunded and the refun</w:t>
      </w:r>
      <w:r w:rsidR="002D6855">
        <w:rPr>
          <w:szCs w:val="23"/>
        </w:rPr>
        <w:t>d amounts are verified by Commission staff</w:t>
      </w:r>
      <w:r w:rsidR="0079794B">
        <w:t>. It is further</w:t>
      </w:r>
    </w:p>
    <w:p w14:paraId="3B78353D" w14:textId="7AAE0F69" w:rsidR="006E7C37" w:rsidRDefault="006E7C37" w:rsidP="00C41B53">
      <w:pPr>
        <w:jc w:val="both"/>
      </w:pPr>
    </w:p>
    <w:p w14:paraId="759A2725" w14:textId="2B1AA0D9" w:rsidR="006E7C37" w:rsidRDefault="006E7C37" w:rsidP="006E7C37">
      <w:pPr>
        <w:pStyle w:val="OrderBody"/>
      </w:pPr>
      <w:r>
        <w:tab/>
        <w:t xml:space="preserve">ORDERED </w:t>
      </w:r>
      <w:r w:rsidRPr="00FF4884">
        <w:t>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310946">
        <w:t xml:space="preserve">. </w:t>
      </w:r>
      <w:r w:rsidRPr="00FF4884">
        <w:t>It is further</w:t>
      </w:r>
    </w:p>
    <w:p w14:paraId="5B146D6E" w14:textId="77777777" w:rsidR="0079794B" w:rsidRDefault="0079794B" w:rsidP="00C41B53">
      <w:pPr>
        <w:jc w:val="both"/>
      </w:pPr>
    </w:p>
    <w:p w14:paraId="39B6EA4E" w14:textId="5B8972FF" w:rsidR="0079794B" w:rsidRDefault="0079794B" w:rsidP="00C41B53">
      <w:pPr>
        <w:jc w:val="both"/>
      </w:pPr>
      <w:r>
        <w:tab/>
        <w:t xml:space="preserve">ORDERED that </w:t>
      </w:r>
      <w:r w:rsidR="002D6855">
        <w:t>i</w:t>
      </w:r>
      <w:r w:rsidRPr="0003089D">
        <w:t>f no person whose substantial interests are affected by the proposed agency action files a protest within 21 days of the issuance of the order, a consummating order shall be issued. The docket shall remain open for our staff’s verification that the revised tariff sheets and customer notice have been filed by</w:t>
      </w:r>
      <w:r w:rsidR="00DE2C9D" w:rsidRPr="00DE2C9D">
        <w:t xml:space="preserve"> </w:t>
      </w:r>
      <w:r w:rsidR="00E87540">
        <w:t>Grenelefe</w:t>
      </w:r>
      <w:r w:rsidRPr="0003089D">
        <w:t xml:space="preserve"> and approved by our staff. In addition, this do</w:t>
      </w:r>
      <w:r w:rsidR="00A72EF6">
        <w:t>cket shall remain open until</w:t>
      </w:r>
      <w:r w:rsidRPr="0003089D">
        <w:t xml:space="preserve"> </w:t>
      </w:r>
      <w:r w:rsidR="00FE6D97">
        <w:t xml:space="preserve">Grenelefe submits </w:t>
      </w:r>
      <w:r w:rsidRPr="0003089D">
        <w:t xml:space="preserve">the report </w:t>
      </w:r>
      <w:r w:rsidR="00FE6D97">
        <w:t xml:space="preserve">summarizing </w:t>
      </w:r>
      <w:r w:rsidRPr="0003089D">
        <w:t>the res</w:t>
      </w:r>
      <w:r w:rsidR="00A72EF6">
        <w:t>ults of the customer meeting</w:t>
      </w:r>
      <w:r w:rsidR="009F2ECE">
        <w:t xml:space="preserve">. </w:t>
      </w:r>
      <w:r w:rsidR="00A72EF6">
        <w:t xml:space="preserve"> T</w:t>
      </w:r>
      <w:r w:rsidR="00A72EF6" w:rsidRPr="0003089D">
        <w:t>his docket shall</w:t>
      </w:r>
      <w:r w:rsidR="00A72EF6">
        <w:t xml:space="preserve"> be placed in monitoring status for a period of two years and </w:t>
      </w:r>
      <w:r w:rsidR="00D46592">
        <w:t xml:space="preserve"> (1</w:t>
      </w:r>
      <w:r w:rsidRPr="0003089D">
        <w:t xml:space="preserve">) </w:t>
      </w:r>
      <w:r w:rsidR="00A72EF6">
        <w:t>Grenelefe shall</w:t>
      </w:r>
      <w:r w:rsidR="00D46592">
        <w:t xml:space="preserve"> provide</w:t>
      </w:r>
      <w:r w:rsidRPr="0003089D">
        <w:t xml:space="preserve"> </w:t>
      </w:r>
      <w:r w:rsidR="00125DAD">
        <w:t xml:space="preserve">quarterly </w:t>
      </w:r>
      <w:r w:rsidRPr="0003089D">
        <w:t>report</w:t>
      </w:r>
      <w:r w:rsidR="00AC173F">
        <w:t>s</w:t>
      </w:r>
      <w:r w:rsidRPr="0003089D">
        <w:t xml:space="preserve"> detailing the status of each of </w:t>
      </w:r>
      <w:r w:rsidR="00FE6D97">
        <w:t xml:space="preserve">the </w:t>
      </w:r>
      <w:r w:rsidRPr="0003089D">
        <w:t>approved pro-forma projects</w:t>
      </w:r>
      <w:r w:rsidR="00AC173F">
        <w:t xml:space="preserve"> as well as any managerial changes, personnel changes, or contractual services acquired by Grenelefe </w:t>
      </w:r>
      <w:r w:rsidR="00D46592">
        <w:t>and (2</w:t>
      </w:r>
      <w:r w:rsidR="00134EAE">
        <w:t xml:space="preserve">) </w:t>
      </w:r>
      <w:r w:rsidR="00FE6D97">
        <w:t>Grenelefe</w:t>
      </w:r>
      <w:r w:rsidR="00D46592">
        <w:t xml:space="preserve"> shall submit</w:t>
      </w:r>
      <w:r w:rsidR="00FE6D97">
        <w:t xml:space="preserve"> </w:t>
      </w:r>
      <w:r w:rsidR="00134EAE">
        <w:t xml:space="preserve">a </w:t>
      </w:r>
      <w:r w:rsidR="00134EAE">
        <w:rPr>
          <w:color w:val="000000"/>
        </w:rPr>
        <w:t xml:space="preserve">report of all line breakages </w:t>
      </w:r>
      <w:r w:rsidR="00FB0EFF">
        <w:rPr>
          <w:color w:val="000000"/>
        </w:rPr>
        <w:t xml:space="preserve">of any nature </w:t>
      </w:r>
      <w:r w:rsidR="00134EAE">
        <w:rPr>
          <w:color w:val="000000"/>
        </w:rPr>
        <w:t>and</w:t>
      </w:r>
      <w:r w:rsidR="00FB0EFF">
        <w:rPr>
          <w:color w:val="000000"/>
        </w:rPr>
        <w:t xml:space="preserve"> all</w:t>
      </w:r>
      <w:r w:rsidR="00134EAE">
        <w:rPr>
          <w:color w:val="000000"/>
        </w:rPr>
        <w:t xml:space="preserve"> boil water notices</w:t>
      </w:r>
      <w:r w:rsidR="00FE6D97">
        <w:rPr>
          <w:color w:val="000000"/>
        </w:rPr>
        <w:t xml:space="preserve"> as they may occur,</w:t>
      </w:r>
      <w:r w:rsidR="00134EAE">
        <w:rPr>
          <w:color w:val="000000"/>
        </w:rPr>
        <w:t xml:space="preserve"> </w:t>
      </w:r>
      <w:r w:rsidR="00FE6D97">
        <w:rPr>
          <w:color w:val="000000"/>
        </w:rPr>
        <w:t xml:space="preserve">as well as a </w:t>
      </w:r>
      <w:r w:rsidR="00134EAE">
        <w:rPr>
          <w:color w:val="000000"/>
        </w:rPr>
        <w:t xml:space="preserve">timely report </w:t>
      </w:r>
      <w:r w:rsidR="00FE6D97">
        <w:rPr>
          <w:color w:val="000000"/>
        </w:rPr>
        <w:t xml:space="preserve">of </w:t>
      </w:r>
      <w:r w:rsidR="00134EAE">
        <w:rPr>
          <w:color w:val="000000"/>
        </w:rPr>
        <w:t>the resolution of these problems</w:t>
      </w:r>
      <w:r w:rsidR="00FB0EFF">
        <w:rPr>
          <w:color w:val="000000"/>
        </w:rPr>
        <w:t>, with all reports to be filed with</w:t>
      </w:r>
      <w:r w:rsidR="00134EAE">
        <w:rPr>
          <w:color w:val="000000"/>
        </w:rPr>
        <w:t xml:space="preserve"> the Commission</w:t>
      </w:r>
      <w:r w:rsidRPr="0003089D">
        <w:t xml:space="preserve">. </w:t>
      </w:r>
      <w:r w:rsidR="00D05EE7">
        <w:t>Following</w:t>
      </w:r>
      <w:r w:rsidR="00D46592">
        <w:t xml:space="preserve"> the two year period, this docket shall be closed administratively.</w:t>
      </w:r>
    </w:p>
    <w:p w14:paraId="08359365" w14:textId="7C5E35DF" w:rsidR="005F2571" w:rsidRPr="0003089D" w:rsidRDefault="005F2571" w:rsidP="00C41B53">
      <w:pPr>
        <w:jc w:val="both"/>
      </w:pPr>
    </w:p>
    <w:p w14:paraId="432F44EC" w14:textId="7C655709" w:rsidR="0045691E" w:rsidRDefault="0045691E" w:rsidP="0045691E">
      <w:pPr>
        <w:pStyle w:val="OrderBody"/>
        <w:keepNext/>
        <w:keepLines/>
      </w:pPr>
      <w:bookmarkStart w:id="8" w:name="_GoBack"/>
      <w:bookmarkEnd w:id="8"/>
      <w:r w:rsidRPr="0003089D">
        <w:lastRenderedPageBreak/>
        <w:tab/>
        <w:t xml:space="preserve">By ORDER of the Florida Public Service Commission this </w:t>
      </w:r>
      <w:bookmarkStart w:id="9" w:name="replaceDate"/>
      <w:bookmarkEnd w:id="9"/>
      <w:r w:rsidR="00241450">
        <w:rPr>
          <w:u w:val="single"/>
        </w:rPr>
        <w:t>25th</w:t>
      </w:r>
      <w:r w:rsidR="00241450">
        <w:t xml:space="preserve"> day of </w:t>
      </w:r>
      <w:r w:rsidR="00241450">
        <w:rPr>
          <w:u w:val="single"/>
        </w:rPr>
        <w:t>February</w:t>
      </w:r>
      <w:r w:rsidR="00241450">
        <w:t xml:space="preserve">, </w:t>
      </w:r>
      <w:r w:rsidR="00241450">
        <w:rPr>
          <w:u w:val="single"/>
        </w:rPr>
        <w:t>2026</w:t>
      </w:r>
      <w:r w:rsidR="00241450">
        <w:t>.</w:t>
      </w:r>
    </w:p>
    <w:p w14:paraId="56C8E64F" w14:textId="77777777" w:rsidR="00241450" w:rsidRPr="00241450" w:rsidRDefault="00241450" w:rsidP="0045691E">
      <w:pPr>
        <w:pStyle w:val="OrderBody"/>
        <w:keepNext/>
        <w:keepLines/>
      </w:pPr>
    </w:p>
    <w:p w14:paraId="0773E668" w14:textId="664AD20E" w:rsidR="0045691E" w:rsidRDefault="0045691E" w:rsidP="0045691E">
      <w:pPr>
        <w:pStyle w:val="OrderBody"/>
        <w:keepNext/>
        <w:keepLines/>
      </w:pPr>
    </w:p>
    <w:p w14:paraId="5F694757" w14:textId="6A7067C2" w:rsidR="00241450" w:rsidRDefault="00241450" w:rsidP="0045691E">
      <w:pPr>
        <w:pStyle w:val="OrderBody"/>
        <w:keepNext/>
        <w:keepLines/>
      </w:pPr>
    </w:p>
    <w:p w14:paraId="754961E1" w14:textId="77777777" w:rsidR="00241450" w:rsidRPr="0003089D" w:rsidRDefault="00241450" w:rsidP="0045691E">
      <w:pPr>
        <w:pStyle w:val="OrderBody"/>
        <w:keepNext/>
        <w:keepLines/>
      </w:pPr>
    </w:p>
    <w:p w14:paraId="045AE100" w14:textId="77777777" w:rsidR="0045691E" w:rsidRPr="0003089D" w:rsidRDefault="0045691E" w:rsidP="0045691E">
      <w:pPr>
        <w:pStyle w:val="OrderBody"/>
        <w:keepNext/>
        <w:keepLines/>
      </w:pPr>
    </w:p>
    <w:p w14:paraId="2D767FD6" w14:textId="77777777" w:rsidR="0045691E" w:rsidRPr="0003089D" w:rsidRDefault="0045691E" w:rsidP="0045691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5691E" w:rsidRPr="0003089D" w14:paraId="5206F78D" w14:textId="77777777" w:rsidTr="0045691E">
        <w:tc>
          <w:tcPr>
            <w:tcW w:w="720" w:type="dxa"/>
            <w:shd w:val="clear" w:color="auto" w:fill="auto"/>
          </w:tcPr>
          <w:p w14:paraId="36130F7B" w14:textId="77777777" w:rsidR="0045691E" w:rsidRPr="0003089D" w:rsidRDefault="0045691E" w:rsidP="0045691E">
            <w:pPr>
              <w:pStyle w:val="OrderBody"/>
              <w:keepNext/>
              <w:keepLines/>
            </w:pPr>
            <w:bookmarkStart w:id="10" w:name="bkmrkSignature" w:colFirst="0" w:colLast="0"/>
          </w:p>
        </w:tc>
        <w:tc>
          <w:tcPr>
            <w:tcW w:w="4320" w:type="dxa"/>
            <w:tcBorders>
              <w:bottom w:val="single" w:sz="4" w:space="0" w:color="auto"/>
            </w:tcBorders>
            <w:shd w:val="clear" w:color="auto" w:fill="auto"/>
          </w:tcPr>
          <w:p w14:paraId="1445BA40" w14:textId="05DF1E62" w:rsidR="0045691E" w:rsidRPr="0003089D" w:rsidRDefault="00D84A55" w:rsidP="0045691E">
            <w:pPr>
              <w:pStyle w:val="OrderBody"/>
              <w:keepNext/>
              <w:keepLines/>
            </w:pPr>
            <w:r>
              <w:t>/s/ Adam J. Teitzman</w:t>
            </w:r>
          </w:p>
        </w:tc>
      </w:tr>
      <w:bookmarkEnd w:id="10"/>
      <w:tr w:rsidR="0045691E" w:rsidRPr="0003089D" w14:paraId="03ED6686" w14:textId="77777777" w:rsidTr="0045691E">
        <w:tc>
          <w:tcPr>
            <w:tcW w:w="720" w:type="dxa"/>
            <w:shd w:val="clear" w:color="auto" w:fill="auto"/>
          </w:tcPr>
          <w:p w14:paraId="7053AEF1" w14:textId="77777777" w:rsidR="0045691E" w:rsidRPr="0003089D" w:rsidRDefault="0045691E" w:rsidP="0045691E">
            <w:pPr>
              <w:pStyle w:val="OrderBody"/>
              <w:keepNext/>
              <w:keepLines/>
            </w:pPr>
          </w:p>
        </w:tc>
        <w:tc>
          <w:tcPr>
            <w:tcW w:w="4320" w:type="dxa"/>
            <w:tcBorders>
              <w:top w:val="single" w:sz="4" w:space="0" w:color="auto"/>
            </w:tcBorders>
            <w:shd w:val="clear" w:color="auto" w:fill="auto"/>
          </w:tcPr>
          <w:p w14:paraId="556B41C5" w14:textId="77777777" w:rsidR="0045691E" w:rsidRPr="0003089D" w:rsidRDefault="0045691E" w:rsidP="0045691E">
            <w:pPr>
              <w:pStyle w:val="OrderBody"/>
              <w:keepNext/>
              <w:keepLines/>
            </w:pPr>
            <w:r w:rsidRPr="0003089D">
              <w:t>ADAM TEITZMAN</w:t>
            </w:r>
          </w:p>
          <w:p w14:paraId="0EC703E7" w14:textId="77777777" w:rsidR="0045691E" w:rsidRPr="0003089D" w:rsidRDefault="0045691E" w:rsidP="0045691E">
            <w:pPr>
              <w:pStyle w:val="OrderBody"/>
              <w:keepNext/>
              <w:keepLines/>
            </w:pPr>
            <w:r w:rsidRPr="0003089D">
              <w:t>Commission Clerk</w:t>
            </w:r>
          </w:p>
        </w:tc>
      </w:tr>
    </w:tbl>
    <w:p w14:paraId="4582DF99" w14:textId="77777777" w:rsidR="0045691E" w:rsidRPr="0003089D" w:rsidRDefault="0045691E" w:rsidP="0045691E">
      <w:pPr>
        <w:pStyle w:val="OrderSigInfo"/>
        <w:keepNext/>
        <w:keepLines/>
      </w:pPr>
      <w:r w:rsidRPr="0003089D">
        <w:t>Florida Public Service Commission</w:t>
      </w:r>
    </w:p>
    <w:p w14:paraId="48C8BDE8" w14:textId="77777777" w:rsidR="0045691E" w:rsidRPr="0003089D" w:rsidRDefault="0045691E" w:rsidP="0045691E">
      <w:pPr>
        <w:pStyle w:val="OrderSigInfo"/>
        <w:keepNext/>
        <w:keepLines/>
      </w:pPr>
      <w:r w:rsidRPr="0003089D">
        <w:t>2540 Shumard Oak Boulevard</w:t>
      </w:r>
    </w:p>
    <w:p w14:paraId="582A5881" w14:textId="77777777" w:rsidR="0045691E" w:rsidRPr="0003089D" w:rsidRDefault="0045691E" w:rsidP="0045691E">
      <w:pPr>
        <w:pStyle w:val="OrderSigInfo"/>
        <w:keepNext/>
        <w:keepLines/>
      </w:pPr>
      <w:r w:rsidRPr="0003089D">
        <w:t>Tallahassee, Florida 32399</w:t>
      </w:r>
    </w:p>
    <w:p w14:paraId="6B9223ED" w14:textId="77777777" w:rsidR="0045691E" w:rsidRPr="0003089D" w:rsidRDefault="0045691E" w:rsidP="0045691E">
      <w:pPr>
        <w:pStyle w:val="OrderSigInfo"/>
        <w:keepNext/>
        <w:keepLines/>
      </w:pPr>
      <w:r w:rsidRPr="0003089D">
        <w:t>(850) 413</w:t>
      </w:r>
      <w:r w:rsidRPr="0003089D">
        <w:noBreakHyphen/>
        <w:t>6770</w:t>
      </w:r>
    </w:p>
    <w:p w14:paraId="60793DD9" w14:textId="77777777" w:rsidR="0045691E" w:rsidRPr="0003089D" w:rsidRDefault="0045691E" w:rsidP="0045691E">
      <w:pPr>
        <w:pStyle w:val="OrderSigInfo"/>
        <w:keepNext/>
        <w:keepLines/>
      </w:pPr>
      <w:r w:rsidRPr="0003089D">
        <w:t>www.floridapsc.com</w:t>
      </w:r>
    </w:p>
    <w:p w14:paraId="26468653" w14:textId="77777777" w:rsidR="0045691E" w:rsidRPr="0003089D" w:rsidRDefault="0045691E" w:rsidP="0045691E">
      <w:pPr>
        <w:pStyle w:val="OrderSigInfo"/>
        <w:keepNext/>
        <w:keepLines/>
      </w:pPr>
    </w:p>
    <w:p w14:paraId="7A9BE57B" w14:textId="77777777" w:rsidR="0045691E" w:rsidRPr="0003089D" w:rsidRDefault="007A5440" w:rsidP="0045691E">
      <w:pPr>
        <w:pStyle w:val="OrderSigInfo"/>
        <w:keepNext/>
        <w:keepLines/>
      </w:pPr>
      <w:r w:rsidRPr="0003089D">
        <w:t xml:space="preserve">Copies furnished: </w:t>
      </w:r>
      <w:r w:rsidR="0045691E" w:rsidRPr="0003089D">
        <w:t>A copy of this document is provided to the parties of record at the time of issuance and, if applicable, interested persons.</w:t>
      </w:r>
    </w:p>
    <w:p w14:paraId="49BF9CE3" w14:textId="77777777" w:rsidR="0045691E" w:rsidRPr="0003089D" w:rsidRDefault="0045691E" w:rsidP="0045691E">
      <w:pPr>
        <w:pStyle w:val="OrderBody"/>
        <w:keepNext/>
        <w:keepLines/>
      </w:pPr>
    </w:p>
    <w:p w14:paraId="56F29E62" w14:textId="77777777" w:rsidR="0045691E" w:rsidRPr="0003089D" w:rsidRDefault="0045691E" w:rsidP="0045691E">
      <w:pPr>
        <w:pStyle w:val="OrderBody"/>
        <w:keepNext/>
        <w:keepLines/>
      </w:pPr>
    </w:p>
    <w:p w14:paraId="34B30159" w14:textId="77777777" w:rsidR="0045691E" w:rsidRPr="0003089D" w:rsidRDefault="0045691E" w:rsidP="0045691E">
      <w:pPr>
        <w:pStyle w:val="OrderBody"/>
        <w:keepNext/>
        <w:keepLines/>
      </w:pPr>
      <w:r w:rsidRPr="0003089D">
        <w:t>JDI/lt</w:t>
      </w:r>
    </w:p>
    <w:p w14:paraId="13895225" w14:textId="26B7D197" w:rsidR="0045691E" w:rsidRDefault="0045691E"/>
    <w:p w14:paraId="74F05E1A" w14:textId="3C356E9C" w:rsidR="00241450" w:rsidRDefault="00241450"/>
    <w:p w14:paraId="68E12DA9" w14:textId="48C7C3C9" w:rsidR="00241450" w:rsidRDefault="00241450"/>
    <w:p w14:paraId="32AEC1FF" w14:textId="382E9043" w:rsidR="00241450" w:rsidRDefault="00241450"/>
    <w:p w14:paraId="6D6139DF" w14:textId="3D452A0B" w:rsidR="00241450" w:rsidRDefault="00241450"/>
    <w:p w14:paraId="216AB254" w14:textId="095A5EFA" w:rsidR="00241450" w:rsidRDefault="00241450"/>
    <w:p w14:paraId="6AFA5EE8" w14:textId="4BBEF2D5" w:rsidR="00241450" w:rsidRDefault="00241450"/>
    <w:p w14:paraId="7776A792" w14:textId="3A9E51F9" w:rsidR="00241450" w:rsidRDefault="00241450"/>
    <w:p w14:paraId="66BBA1C9" w14:textId="6A103F13" w:rsidR="00241450" w:rsidRDefault="00241450"/>
    <w:p w14:paraId="0C50A182" w14:textId="239693C1" w:rsidR="00241450" w:rsidRDefault="00241450"/>
    <w:p w14:paraId="62AF1C8B" w14:textId="5693EE16" w:rsidR="00241450" w:rsidRDefault="00241450"/>
    <w:p w14:paraId="0421B2C3" w14:textId="4B2A05B1" w:rsidR="00241450" w:rsidRDefault="00241450"/>
    <w:p w14:paraId="26292C0C" w14:textId="62EB4125" w:rsidR="00241450" w:rsidRDefault="00241450"/>
    <w:p w14:paraId="762F189B" w14:textId="7F3D1422" w:rsidR="00241450" w:rsidRDefault="00241450"/>
    <w:p w14:paraId="653A4A32" w14:textId="61A974A8" w:rsidR="00241450" w:rsidRDefault="00241450"/>
    <w:p w14:paraId="3CED3AC1" w14:textId="0D4580F5" w:rsidR="00241450" w:rsidRDefault="00241450"/>
    <w:p w14:paraId="3E71024F" w14:textId="7F882C0A" w:rsidR="00241450" w:rsidRDefault="00241450"/>
    <w:p w14:paraId="260E777E" w14:textId="10DB8037" w:rsidR="00241450" w:rsidRDefault="00241450"/>
    <w:p w14:paraId="4FD26D42" w14:textId="0B691B34" w:rsidR="00241450" w:rsidRDefault="00241450"/>
    <w:p w14:paraId="5A4556E2" w14:textId="1E46515A" w:rsidR="00241450" w:rsidRDefault="00241450"/>
    <w:p w14:paraId="0AABBCF2" w14:textId="5AA0D732" w:rsidR="00241450" w:rsidRDefault="00241450"/>
    <w:p w14:paraId="676C75EC" w14:textId="12D47808" w:rsidR="00241450" w:rsidRDefault="00241450"/>
    <w:p w14:paraId="7C0D8E0A" w14:textId="2AD6D9B0" w:rsidR="00241450" w:rsidRDefault="00241450"/>
    <w:p w14:paraId="0F69FAB3" w14:textId="502B7F97" w:rsidR="00241450" w:rsidRDefault="00241450"/>
    <w:p w14:paraId="2FCA96CD" w14:textId="77777777" w:rsidR="00241450" w:rsidRPr="0003089D" w:rsidRDefault="00241450"/>
    <w:p w14:paraId="33806C61" w14:textId="77777777" w:rsidR="00496C79" w:rsidRDefault="00496C79" w:rsidP="00496C79">
      <w:pPr>
        <w:pStyle w:val="CenterUnderline"/>
      </w:pPr>
      <w:r>
        <w:t>NOTICE OF FURTHER PROCEEDINGS OR JUDICIAL REVIEW</w:t>
      </w:r>
    </w:p>
    <w:p w14:paraId="536630D8" w14:textId="4C7B9C8F" w:rsidR="0045691E" w:rsidRDefault="0045691E" w:rsidP="00496C79">
      <w:pPr>
        <w:pStyle w:val="CenterUnderline"/>
      </w:pPr>
    </w:p>
    <w:p w14:paraId="3C1F1860" w14:textId="4D451EC5" w:rsidR="00496C79" w:rsidRDefault="00496C79" w:rsidP="00496C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310946">
        <w:t xml:space="preserve">. </w:t>
      </w:r>
      <w:r>
        <w:t>This notice should not be construed to mean all requests for an administrative hearing or judicial review will be granted or result in the relief sought.</w:t>
      </w:r>
    </w:p>
    <w:p w14:paraId="0F4DAB35" w14:textId="77777777" w:rsidR="00496C79" w:rsidRDefault="00496C79" w:rsidP="00496C79">
      <w:pPr>
        <w:pStyle w:val="OrderBody"/>
      </w:pPr>
    </w:p>
    <w:p w14:paraId="4E3BC2B6" w14:textId="6DA3A940" w:rsidR="00496C79" w:rsidRDefault="00496C79" w:rsidP="00496C79">
      <w:pPr>
        <w:pStyle w:val="OrderBody"/>
      </w:pPr>
      <w:r>
        <w:tab/>
      </w:r>
      <w:r w:rsidR="00D527EB">
        <w:t>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41450">
        <w:rPr>
          <w:u w:val="single"/>
        </w:rPr>
        <w:t>March 18, 2026</w:t>
      </w:r>
      <w:r w:rsidR="00310946">
        <w:t xml:space="preserve">. </w:t>
      </w:r>
      <w:r>
        <w:t>If such a petition is filed, mediation may be available on a case-by-case basis</w:t>
      </w:r>
      <w:r w:rsidR="00310946">
        <w:t xml:space="preserve">. </w:t>
      </w:r>
      <w:r>
        <w:t>If mediation is conducted, it does not affect a substantially interested person's right to a hearing</w:t>
      </w:r>
      <w:r w:rsidR="00310946">
        <w:t xml:space="preserve">. </w:t>
      </w:r>
      <w:r>
        <w:t>In the absence of such a petition, this order shall become effective and final upon the issuance of a Consummating Order.</w:t>
      </w:r>
    </w:p>
    <w:p w14:paraId="3744B503" w14:textId="77777777" w:rsidR="00496C79" w:rsidRDefault="00496C79" w:rsidP="00496C79">
      <w:pPr>
        <w:pStyle w:val="OrderBody"/>
      </w:pPr>
    </w:p>
    <w:p w14:paraId="7B0BE3CC" w14:textId="77777777" w:rsidR="00496C79" w:rsidRDefault="00496C79" w:rsidP="00496C79">
      <w:pPr>
        <w:pStyle w:val="OrderBody"/>
      </w:pPr>
      <w:r>
        <w:tab/>
        <w:t>Any objection or protest filed in this docket before the issuance date of this order is considered abandoned unless it satisfies the foregoing conditions and is renewed within the specified protest period.</w:t>
      </w:r>
    </w:p>
    <w:p w14:paraId="326DE943" w14:textId="77777777" w:rsidR="00496C79" w:rsidRDefault="00496C79" w:rsidP="00496C79">
      <w:pPr>
        <w:pStyle w:val="OrderBody"/>
      </w:pPr>
    </w:p>
    <w:p w14:paraId="62032D66" w14:textId="3E52CA8B" w:rsidR="00496C79" w:rsidRDefault="00496C79" w:rsidP="00496C79">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w:t>
      </w:r>
      <w:r w:rsidR="00310946">
        <w:t xml:space="preserve">. </w:t>
      </w:r>
      <w:r>
        <w:t>This filing must be completed within thirty (30) days after the issuance of this order, pursuant to Rule 9.110, Florida Rules of Appellate Procedure</w:t>
      </w:r>
      <w:r w:rsidR="00310946">
        <w:t xml:space="preserve">. </w:t>
      </w:r>
      <w:r>
        <w:t>The notice of appeal must be in the form specified in Rule 9.900(a), Florida Rules of Appellate Procedure.</w:t>
      </w:r>
    </w:p>
    <w:p w14:paraId="04442E2C" w14:textId="77777777" w:rsidR="00496C79" w:rsidRDefault="00496C79" w:rsidP="00496C79">
      <w:pPr>
        <w:pStyle w:val="OrderBody"/>
      </w:pPr>
    </w:p>
    <w:p w14:paraId="3D320912" w14:textId="700D938D" w:rsidR="00496C79" w:rsidRDefault="00496C79" w:rsidP="00496C79">
      <w:pPr>
        <w:pStyle w:val="OrderBody"/>
      </w:pPr>
    </w:p>
    <w:p w14:paraId="53E276E4" w14:textId="77777777" w:rsidR="00496C79" w:rsidRPr="00496C79" w:rsidRDefault="00496C79" w:rsidP="00496C79">
      <w:pPr>
        <w:pStyle w:val="OrderBody"/>
      </w:pPr>
    </w:p>
    <w:p w14:paraId="126CB2BA" w14:textId="77777777" w:rsidR="0045691E" w:rsidRPr="0003089D" w:rsidRDefault="0045691E" w:rsidP="0045691E">
      <w:pPr>
        <w:pStyle w:val="OrderBody"/>
      </w:pPr>
    </w:p>
    <w:p w14:paraId="6F113E64" w14:textId="77777777" w:rsidR="00956435" w:rsidRDefault="00956435" w:rsidP="0045691E">
      <w:pPr>
        <w:pStyle w:val="OrderBody"/>
        <w:sectPr w:rsidR="00956435">
          <w:headerReference w:type="default" r:id="rId8"/>
          <w:footerReference w:type="first" r:id="rId9"/>
          <w:pgSz w:w="12240" w:h="15840" w:code="1"/>
          <w:pgMar w:top="1440" w:right="1440" w:bottom="1440" w:left="1440" w:header="720" w:footer="720" w:gutter="0"/>
          <w:cols w:space="720"/>
          <w:titlePg/>
          <w:docGrid w:linePitch="360"/>
        </w:sectPr>
      </w:pPr>
    </w:p>
    <w:p w14:paraId="039384B5" w14:textId="77777777" w:rsidR="0045691E" w:rsidRDefault="0045691E" w:rsidP="0045691E">
      <w:pPr>
        <w:pStyle w:val="OrderBody"/>
      </w:pPr>
    </w:p>
    <w:p w14:paraId="4D56C954" w14:textId="231C0532" w:rsidR="00956435" w:rsidRDefault="0003503B" w:rsidP="0045691E">
      <w:pPr>
        <w:pStyle w:val="OrderBody"/>
      </w:pPr>
      <w:r w:rsidRPr="0075611E">
        <w:rPr>
          <w:noProof/>
        </w:rPr>
        <w:drawing>
          <wp:inline distT="0" distB="0" distL="0" distR="0" wp14:anchorId="0500233D" wp14:editId="758A8722">
            <wp:extent cx="5943600" cy="42496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943600" cy="4249652"/>
                    </a:xfrm>
                    <a:prstGeom prst="rect">
                      <a:avLst/>
                    </a:prstGeom>
                    <a:noFill/>
                    <a:ln>
                      <a:noFill/>
                    </a:ln>
                  </pic:spPr>
                </pic:pic>
              </a:graphicData>
            </a:graphic>
          </wp:inline>
        </w:drawing>
      </w:r>
    </w:p>
    <w:p w14:paraId="1576707D" w14:textId="77777777" w:rsidR="00956435" w:rsidRDefault="00956435" w:rsidP="0045691E">
      <w:pPr>
        <w:pStyle w:val="OrderBody"/>
        <w:sectPr w:rsidR="00956435">
          <w:headerReference w:type="first" r:id="rId11"/>
          <w:pgSz w:w="12240" w:h="15840" w:code="1"/>
          <w:pgMar w:top="1440" w:right="1440" w:bottom="1440" w:left="1440" w:header="720" w:footer="720" w:gutter="0"/>
          <w:cols w:space="720"/>
          <w:titlePg/>
          <w:docGrid w:linePitch="360"/>
        </w:sectPr>
      </w:pPr>
    </w:p>
    <w:p w14:paraId="7BC61E22" w14:textId="77777777" w:rsidR="00956435" w:rsidRDefault="00956435" w:rsidP="0045691E">
      <w:pPr>
        <w:pStyle w:val="OrderBody"/>
      </w:pPr>
    </w:p>
    <w:p w14:paraId="7A7EFD6D" w14:textId="6B8A39A2" w:rsidR="00956435" w:rsidRDefault="0003503B" w:rsidP="0045691E">
      <w:pPr>
        <w:pStyle w:val="OrderBody"/>
      </w:pPr>
      <w:r w:rsidRPr="0075611E">
        <w:rPr>
          <w:noProof/>
        </w:rPr>
        <w:drawing>
          <wp:inline distT="0" distB="0" distL="0" distR="0" wp14:anchorId="30D1EC8C" wp14:editId="74DE9E35">
            <wp:extent cx="5943600" cy="43865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943600" cy="4386580"/>
                    </a:xfrm>
                    <a:prstGeom prst="rect">
                      <a:avLst/>
                    </a:prstGeom>
                    <a:noFill/>
                    <a:ln>
                      <a:noFill/>
                    </a:ln>
                  </pic:spPr>
                </pic:pic>
              </a:graphicData>
            </a:graphic>
          </wp:inline>
        </w:drawing>
      </w:r>
    </w:p>
    <w:p w14:paraId="74CD4132" w14:textId="77777777" w:rsidR="00956435" w:rsidRDefault="00956435" w:rsidP="0045691E">
      <w:pPr>
        <w:pStyle w:val="OrderBody"/>
      </w:pPr>
    </w:p>
    <w:p w14:paraId="014B0C16" w14:textId="77777777" w:rsidR="00956435" w:rsidRDefault="00956435" w:rsidP="0045691E">
      <w:pPr>
        <w:pStyle w:val="OrderBody"/>
        <w:sectPr w:rsidR="00956435">
          <w:headerReference w:type="first" r:id="rId13"/>
          <w:pgSz w:w="12240" w:h="15840" w:code="1"/>
          <w:pgMar w:top="1440" w:right="1440" w:bottom="1440" w:left="1440" w:header="720" w:footer="720" w:gutter="0"/>
          <w:cols w:space="720"/>
          <w:titlePg/>
          <w:docGrid w:linePitch="360"/>
        </w:sectPr>
      </w:pPr>
    </w:p>
    <w:p w14:paraId="371B5147" w14:textId="77777777" w:rsidR="00956435" w:rsidRDefault="00956435" w:rsidP="0045691E">
      <w:pPr>
        <w:pStyle w:val="OrderBody"/>
      </w:pPr>
    </w:p>
    <w:p w14:paraId="2E09EDDB" w14:textId="77777777" w:rsidR="00956435" w:rsidRDefault="00956435" w:rsidP="0045691E">
      <w:pPr>
        <w:pStyle w:val="OrderBody"/>
      </w:pPr>
    </w:p>
    <w:tbl>
      <w:tblPr>
        <w:tblW w:w="499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3"/>
        <w:gridCol w:w="5307"/>
        <w:gridCol w:w="628"/>
        <w:gridCol w:w="540"/>
        <w:gridCol w:w="433"/>
        <w:gridCol w:w="2046"/>
        <w:gridCol w:w="235"/>
      </w:tblGrid>
      <w:tr w:rsidR="00956435" w14:paraId="0043197E" w14:textId="77777777" w:rsidTr="00956435">
        <w:trPr>
          <w:trHeight w:hRule="exact" w:val="289"/>
        </w:trPr>
        <w:tc>
          <w:tcPr>
            <w:tcW w:w="200" w:type="pct"/>
            <w:tcBorders>
              <w:top w:val="single" w:sz="4" w:space="0" w:color="auto"/>
              <w:left w:val="single" w:sz="4" w:space="0" w:color="auto"/>
              <w:bottom w:val="nil"/>
              <w:right w:val="nil"/>
            </w:tcBorders>
          </w:tcPr>
          <w:p w14:paraId="4DF6C06D" w14:textId="77777777" w:rsidR="00956435" w:rsidRDefault="00956435">
            <w:pPr>
              <w:pStyle w:val="BodyText"/>
              <w:spacing w:line="276" w:lineRule="auto"/>
              <w:rPr>
                <w:sz w:val="20"/>
                <w:szCs w:val="22"/>
              </w:rPr>
            </w:pPr>
          </w:p>
        </w:tc>
        <w:tc>
          <w:tcPr>
            <w:tcW w:w="3382" w:type="pct"/>
            <w:gridSpan w:val="3"/>
            <w:tcBorders>
              <w:top w:val="single" w:sz="4" w:space="0" w:color="auto"/>
              <w:left w:val="nil"/>
              <w:bottom w:val="nil"/>
              <w:right w:val="nil"/>
            </w:tcBorders>
            <w:hideMark/>
          </w:tcPr>
          <w:p w14:paraId="0E40F596" w14:textId="77777777" w:rsidR="00956435" w:rsidRDefault="00956435">
            <w:pPr>
              <w:pStyle w:val="BodyText"/>
              <w:spacing w:line="276" w:lineRule="auto"/>
              <w:rPr>
                <w:b/>
                <w:sz w:val="20"/>
                <w:szCs w:val="22"/>
              </w:rPr>
            </w:pPr>
            <w:r>
              <w:rPr>
                <w:b/>
                <w:sz w:val="20"/>
              </w:rPr>
              <w:t xml:space="preserve">NC REAL ESTATE PROJECTS, LLC, D/B/A </w:t>
            </w:r>
            <w:r>
              <w:rPr>
                <w:sz w:val="20"/>
              </w:rPr>
              <w:fldChar w:fldCharType="begin"/>
            </w:r>
            <w:r>
              <w:rPr>
                <w:sz w:val="20"/>
              </w:rPr>
              <w:instrText xml:space="preserve"> TC "</w:instrText>
            </w:r>
            <w:bookmarkStart w:id="12" w:name="_Toc138143347"/>
            <w:bookmarkStart w:id="13" w:name="_Toc132113235"/>
            <w:r>
              <w:rPr>
                <w:sz w:val="20"/>
              </w:rPr>
              <w:instrText xml:space="preserve"> Schedule No. 1-C Adjustments To Rate Base</w:instrText>
            </w:r>
            <w:bookmarkEnd w:id="12"/>
            <w:bookmarkEnd w:id="13"/>
            <w:r>
              <w:rPr>
                <w:sz w:val="20"/>
              </w:rPr>
              <w:instrText xml:space="preserve">" \l 1 </w:instrText>
            </w:r>
            <w:r>
              <w:rPr>
                <w:sz w:val="20"/>
              </w:rPr>
              <w:fldChar w:fldCharType="end"/>
            </w:r>
            <w:r>
              <w:rPr>
                <w:b/>
                <w:sz w:val="20"/>
              </w:rPr>
              <w:t>GRENELEFE UTILITY</w:t>
            </w:r>
          </w:p>
        </w:tc>
        <w:tc>
          <w:tcPr>
            <w:tcW w:w="1295" w:type="pct"/>
            <w:gridSpan w:val="2"/>
            <w:tcBorders>
              <w:top w:val="single" w:sz="4" w:space="0" w:color="auto"/>
              <w:left w:val="nil"/>
              <w:bottom w:val="nil"/>
              <w:right w:val="nil"/>
            </w:tcBorders>
            <w:hideMark/>
          </w:tcPr>
          <w:p w14:paraId="6D1A22C1" w14:textId="77777777" w:rsidR="00956435" w:rsidRDefault="00956435">
            <w:pPr>
              <w:pStyle w:val="BodyText"/>
              <w:spacing w:line="276" w:lineRule="auto"/>
              <w:jc w:val="right"/>
              <w:rPr>
                <w:b/>
                <w:sz w:val="22"/>
                <w:szCs w:val="22"/>
              </w:rPr>
            </w:pPr>
            <w:r>
              <w:rPr>
                <w:b/>
                <w:sz w:val="22"/>
                <w:szCs w:val="22"/>
              </w:rPr>
              <w:t>SCHEDULE NO. 1-C</w:t>
            </w:r>
          </w:p>
        </w:tc>
        <w:tc>
          <w:tcPr>
            <w:tcW w:w="123" w:type="pct"/>
            <w:tcBorders>
              <w:top w:val="single" w:sz="4" w:space="0" w:color="auto"/>
              <w:left w:val="nil"/>
              <w:bottom w:val="nil"/>
              <w:right w:val="single" w:sz="4" w:space="0" w:color="auto"/>
            </w:tcBorders>
          </w:tcPr>
          <w:p w14:paraId="1EB426D9" w14:textId="77777777" w:rsidR="00956435" w:rsidRDefault="00956435">
            <w:pPr>
              <w:pStyle w:val="BodyText"/>
              <w:spacing w:line="276" w:lineRule="auto"/>
              <w:rPr>
                <w:sz w:val="22"/>
                <w:szCs w:val="22"/>
              </w:rPr>
            </w:pPr>
          </w:p>
        </w:tc>
      </w:tr>
      <w:tr w:rsidR="00956435" w14:paraId="47CF2333" w14:textId="77777777" w:rsidTr="00956435">
        <w:trPr>
          <w:trHeight w:hRule="exact" w:val="289"/>
        </w:trPr>
        <w:tc>
          <w:tcPr>
            <w:tcW w:w="200" w:type="pct"/>
            <w:tcBorders>
              <w:top w:val="nil"/>
              <w:left w:val="single" w:sz="4" w:space="0" w:color="auto"/>
              <w:bottom w:val="nil"/>
              <w:right w:val="nil"/>
            </w:tcBorders>
          </w:tcPr>
          <w:p w14:paraId="2935B544" w14:textId="77777777" w:rsidR="00956435" w:rsidRDefault="00956435">
            <w:pPr>
              <w:pStyle w:val="BodyText"/>
              <w:spacing w:line="276" w:lineRule="auto"/>
              <w:rPr>
                <w:sz w:val="22"/>
                <w:szCs w:val="22"/>
              </w:rPr>
            </w:pPr>
          </w:p>
        </w:tc>
        <w:tc>
          <w:tcPr>
            <w:tcW w:w="3100" w:type="pct"/>
            <w:gridSpan w:val="2"/>
            <w:tcBorders>
              <w:top w:val="nil"/>
              <w:left w:val="nil"/>
              <w:bottom w:val="nil"/>
              <w:right w:val="nil"/>
            </w:tcBorders>
            <w:hideMark/>
          </w:tcPr>
          <w:p w14:paraId="0C77B7EA" w14:textId="77777777" w:rsidR="00956435" w:rsidRDefault="00956435">
            <w:pPr>
              <w:pStyle w:val="BodyText"/>
              <w:spacing w:line="276" w:lineRule="auto"/>
              <w:rPr>
                <w:b/>
                <w:sz w:val="22"/>
                <w:szCs w:val="22"/>
              </w:rPr>
            </w:pPr>
            <w:r>
              <w:rPr>
                <w:b/>
                <w:sz w:val="22"/>
                <w:szCs w:val="22"/>
              </w:rPr>
              <w:t>TEST YEAR ENDED 10/31/2024</w:t>
            </w:r>
          </w:p>
        </w:tc>
        <w:tc>
          <w:tcPr>
            <w:tcW w:w="1577" w:type="pct"/>
            <w:gridSpan w:val="3"/>
            <w:tcBorders>
              <w:top w:val="nil"/>
              <w:left w:val="nil"/>
              <w:bottom w:val="nil"/>
              <w:right w:val="nil"/>
            </w:tcBorders>
            <w:hideMark/>
          </w:tcPr>
          <w:p w14:paraId="67D7556F" w14:textId="77777777" w:rsidR="00956435" w:rsidRDefault="00956435">
            <w:pPr>
              <w:pStyle w:val="BodyText"/>
              <w:spacing w:line="276" w:lineRule="auto"/>
              <w:jc w:val="right"/>
              <w:rPr>
                <w:b/>
                <w:sz w:val="22"/>
                <w:szCs w:val="22"/>
              </w:rPr>
            </w:pPr>
            <w:r>
              <w:rPr>
                <w:b/>
                <w:sz w:val="22"/>
                <w:szCs w:val="22"/>
              </w:rPr>
              <w:t>DOCKET NO. 20250023-WS</w:t>
            </w:r>
          </w:p>
        </w:tc>
        <w:tc>
          <w:tcPr>
            <w:tcW w:w="123" w:type="pct"/>
            <w:tcBorders>
              <w:top w:val="nil"/>
              <w:left w:val="nil"/>
              <w:bottom w:val="nil"/>
              <w:right w:val="single" w:sz="4" w:space="0" w:color="auto"/>
            </w:tcBorders>
          </w:tcPr>
          <w:p w14:paraId="4AF583D3" w14:textId="77777777" w:rsidR="00956435" w:rsidRDefault="00956435">
            <w:pPr>
              <w:pStyle w:val="BodyText"/>
              <w:spacing w:line="276" w:lineRule="auto"/>
              <w:rPr>
                <w:sz w:val="22"/>
                <w:szCs w:val="22"/>
              </w:rPr>
            </w:pPr>
          </w:p>
        </w:tc>
      </w:tr>
      <w:tr w:rsidR="00956435" w14:paraId="5269542C" w14:textId="77777777" w:rsidTr="00956435">
        <w:trPr>
          <w:trHeight w:hRule="exact" w:val="289"/>
        </w:trPr>
        <w:tc>
          <w:tcPr>
            <w:tcW w:w="200" w:type="pct"/>
            <w:tcBorders>
              <w:top w:val="nil"/>
              <w:left w:val="single" w:sz="4" w:space="0" w:color="auto"/>
              <w:bottom w:val="single" w:sz="4" w:space="0" w:color="auto"/>
              <w:right w:val="nil"/>
            </w:tcBorders>
          </w:tcPr>
          <w:p w14:paraId="7086246E" w14:textId="77777777" w:rsidR="00956435" w:rsidRDefault="00956435">
            <w:pPr>
              <w:pStyle w:val="BodyText"/>
              <w:spacing w:line="276" w:lineRule="auto"/>
              <w:rPr>
                <w:sz w:val="22"/>
                <w:szCs w:val="22"/>
              </w:rPr>
            </w:pPr>
          </w:p>
        </w:tc>
        <w:tc>
          <w:tcPr>
            <w:tcW w:w="3100" w:type="pct"/>
            <w:gridSpan w:val="2"/>
            <w:tcBorders>
              <w:top w:val="nil"/>
              <w:left w:val="nil"/>
              <w:bottom w:val="single" w:sz="4" w:space="0" w:color="auto"/>
              <w:right w:val="nil"/>
            </w:tcBorders>
            <w:hideMark/>
          </w:tcPr>
          <w:p w14:paraId="6530860C" w14:textId="77777777" w:rsidR="00956435" w:rsidRDefault="00956435">
            <w:pPr>
              <w:pStyle w:val="BodyText"/>
              <w:spacing w:line="276" w:lineRule="auto"/>
              <w:rPr>
                <w:b/>
                <w:sz w:val="22"/>
                <w:szCs w:val="22"/>
              </w:rPr>
            </w:pPr>
            <w:r>
              <w:rPr>
                <w:b/>
                <w:sz w:val="22"/>
                <w:szCs w:val="22"/>
              </w:rPr>
              <w:t>ADJUSTMENTS TO RATE BASE</w:t>
            </w:r>
          </w:p>
        </w:tc>
        <w:tc>
          <w:tcPr>
            <w:tcW w:w="508" w:type="pct"/>
            <w:gridSpan w:val="2"/>
            <w:tcBorders>
              <w:top w:val="nil"/>
              <w:left w:val="nil"/>
              <w:bottom w:val="single" w:sz="4" w:space="0" w:color="auto"/>
              <w:right w:val="nil"/>
            </w:tcBorders>
          </w:tcPr>
          <w:p w14:paraId="11935E64" w14:textId="77777777" w:rsidR="00956435" w:rsidRDefault="00956435">
            <w:pPr>
              <w:pStyle w:val="BodyText"/>
              <w:spacing w:line="276" w:lineRule="auto"/>
              <w:rPr>
                <w:b/>
                <w:sz w:val="22"/>
                <w:szCs w:val="22"/>
              </w:rPr>
            </w:pPr>
          </w:p>
        </w:tc>
        <w:tc>
          <w:tcPr>
            <w:tcW w:w="1069" w:type="pct"/>
            <w:tcBorders>
              <w:top w:val="nil"/>
              <w:left w:val="nil"/>
              <w:bottom w:val="single" w:sz="4" w:space="0" w:color="auto"/>
              <w:right w:val="nil"/>
            </w:tcBorders>
          </w:tcPr>
          <w:p w14:paraId="5D98E89C" w14:textId="77777777" w:rsidR="00956435" w:rsidRDefault="00956435">
            <w:pPr>
              <w:pStyle w:val="BodyText"/>
              <w:spacing w:line="276" w:lineRule="auto"/>
              <w:rPr>
                <w:b/>
                <w:sz w:val="22"/>
                <w:szCs w:val="22"/>
              </w:rPr>
            </w:pPr>
          </w:p>
        </w:tc>
        <w:tc>
          <w:tcPr>
            <w:tcW w:w="123" w:type="pct"/>
            <w:tcBorders>
              <w:top w:val="nil"/>
              <w:left w:val="nil"/>
              <w:bottom w:val="single" w:sz="4" w:space="0" w:color="auto"/>
              <w:right w:val="single" w:sz="4" w:space="0" w:color="auto"/>
            </w:tcBorders>
          </w:tcPr>
          <w:p w14:paraId="4E20910C" w14:textId="77777777" w:rsidR="00956435" w:rsidRDefault="00956435">
            <w:pPr>
              <w:pStyle w:val="BodyText"/>
              <w:spacing w:line="276" w:lineRule="auto"/>
              <w:rPr>
                <w:sz w:val="22"/>
                <w:szCs w:val="22"/>
              </w:rPr>
            </w:pPr>
          </w:p>
        </w:tc>
      </w:tr>
      <w:tr w:rsidR="00956435" w14:paraId="5788C420" w14:textId="77777777" w:rsidTr="00956435">
        <w:trPr>
          <w:trHeight w:hRule="exact" w:val="289"/>
        </w:trPr>
        <w:tc>
          <w:tcPr>
            <w:tcW w:w="200" w:type="pct"/>
            <w:tcBorders>
              <w:top w:val="single" w:sz="4" w:space="0" w:color="auto"/>
              <w:left w:val="single" w:sz="4" w:space="0" w:color="auto"/>
              <w:bottom w:val="nil"/>
              <w:right w:val="nil"/>
            </w:tcBorders>
          </w:tcPr>
          <w:p w14:paraId="2DCEFB85" w14:textId="77777777" w:rsidR="00956435" w:rsidRDefault="00956435">
            <w:pPr>
              <w:pStyle w:val="BodyText"/>
              <w:spacing w:line="276" w:lineRule="auto"/>
              <w:rPr>
                <w:sz w:val="22"/>
                <w:szCs w:val="22"/>
              </w:rPr>
            </w:pPr>
          </w:p>
        </w:tc>
        <w:tc>
          <w:tcPr>
            <w:tcW w:w="2772" w:type="pct"/>
            <w:tcBorders>
              <w:top w:val="single" w:sz="4" w:space="0" w:color="auto"/>
              <w:left w:val="nil"/>
              <w:bottom w:val="nil"/>
              <w:right w:val="nil"/>
            </w:tcBorders>
          </w:tcPr>
          <w:p w14:paraId="7893E77E" w14:textId="77777777" w:rsidR="00956435" w:rsidRDefault="00956435">
            <w:pPr>
              <w:pStyle w:val="BodyText"/>
              <w:spacing w:line="276" w:lineRule="auto"/>
              <w:rPr>
                <w:b/>
                <w:sz w:val="22"/>
                <w:szCs w:val="22"/>
              </w:rPr>
            </w:pPr>
          </w:p>
        </w:tc>
        <w:tc>
          <w:tcPr>
            <w:tcW w:w="836" w:type="pct"/>
            <w:gridSpan w:val="3"/>
            <w:tcBorders>
              <w:top w:val="single" w:sz="4" w:space="0" w:color="auto"/>
              <w:left w:val="nil"/>
              <w:bottom w:val="nil"/>
              <w:right w:val="nil"/>
            </w:tcBorders>
          </w:tcPr>
          <w:p w14:paraId="5D24C63B" w14:textId="77777777" w:rsidR="00956435" w:rsidRDefault="00956435">
            <w:pPr>
              <w:pStyle w:val="BodyText"/>
              <w:spacing w:line="276" w:lineRule="auto"/>
              <w:jc w:val="center"/>
              <w:rPr>
                <w:b/>
                <w:sz w:val="22"/>
                <w:szCs w:val="22"/>
              </w:rPr>
            </w:pPr>
          </w:p>
        </w:tc>
        <w:tc>
          <w:tcPr>
            <w:tcW w:w="1069" w:type="pct"/>
            <w:tcBorders>
              <w:top w:val="single" w:sz="4" w:space="0" w:color="auto"/>
              <w:left w:val="nil"/>
              <w:bottom w:val="nil"/>
              <w:right w:val="nil"/>
            </w:tcBorders>
          </w:tcPr>
          <w:p w14:paraId="66D5B034" w14:textId="77777777" w:rsidR="00956435" w:rsidRDefault="00956435">
            <w:pPr>
              <w:pStyle w:val="BodyText"/>
              <w:spacing w:line="276" w:lineRule="auto"/>
              <w:jc w:val="center"/>
              <w:rPr>
                <w:b/>
                <w:sz w:val="22"/>
                <w:szCs w:val="22"/>
              </w:rPr>
            </w:pPr>
          </w:p>
        </w:tc>
        <w:tc>
          <w:tcPr>
            <w:tcW w:w="123" w:type="pct"/>
            <w:tcBorders>
              <w:top w:val="single" w:sz="4" w:space="0" w:color="auto"/>
              <w:left w:val="nil"/>
              <w:bottom w:val="nil"/>
              <w:right w:val="single" w:sz="4" w:space="0" w:color="auto"/>
            </w:tcBorders>
          </w:tcPr>
          <w:p w14:paraId="2ED5B4E0" w14:textId="77777777" w:rsidR="00956435" w:rsidRDefault="00956435">
            <w:pPr>
              <w:pStyle w:val="BodyText"/>
              <w:spacing w:line="276" w:lineRule="auto"/>
              <w:rPr>
                <w:sz w:val="22"/>
                <w:szCs w:val="22"/>
              </w:rPr>
            </w:pPr>
          </w:p>
        </w:tc>
      </w:tr>
      <w:tr w:rsidR="00956435" w14:paraId="341FDDE8" w14:textId="77777777" w:rsidTr="00956435">
        <w:trPr>
          <w:trHeight w:hRule="exact" w:val="289"/>
        </w:trPr>
        <w:tc>
          <w:tcPr>
            <w:tcW w:w="200" w:type="pct"/>
            <w:tcBorders>
              <w:top w:val="nil"/>
              <w:left w:val="single" w:sz="4" w:space="0" w:color="auto"/>
              <w:bottom w:val="nil"/>
              <w:right w:val="nil"/>
            </w:tcBorders>
          </w:tcPr>
          <w:p w14:paraId="34D8D5CB"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7D8EA23C" w14:textId="77777777" w:rsidR="00956435" w:rsidRDefault="00956435">
            <w:pPr>
              <w:pStyle w:val="BodyText"/>
              <w:spacing w:line="276" w:lineRule="auto"/>
              <w:rPr>
                <w:b/>
                <w:sz w:val="22"/>
                <w:szCs w:val="22"/>
                <w:u w:val="single"/>
              </w:rPr>
            </w:pPr>
          </w:p>
        </w:tc>
        <w:tc>
          <w:tcPr>
            <w:tcW w:w="836" w:type="pct"/>
            <w:gridSpan w:val="3"/>
            <w:tcBorders>
              <w:top w:val="nil"/>
              <w:left w:val="nil"/>
              <w:bottom w:val="nil"/>
              <w:right w:val="nil"/>
            </w:tcBorders>
            <w:hideMark/>
          </w:tcPr>
          <w:p w14:paraId="63F2E1AA" w14:textId="77777777" w:rsidR="00956435" w:rsidRDefault="00956435">
            <w:pPr>
              <w:pStyle w:val="BodyText"/>
              <w:spacing w:line="276" w:lineRule="auto"/>
              <w:jc w:val="center"/>
              <w:rPr>
                <w:b/>
                <w:sz w:val="22"/>
                <w:szCs w:val="22"/>
                <w:u w:val="single"/>
              </w:rPr>
            </w:pPr>
            <w:r>
              <w:rPr>
                <w:b/>
                <w:sz w:val="22"/>
                <w:szCs w:val="22"/>
                <w:u w:val="single"/>
              </w:rPr>
              <w:t>WATER</w:t>
            </w:r>
          </w:p>
        </w:tc>
        <w:tc>
          <w:tcPr>
            <w:tcW w:w="1069" w:type="pct"/>
            <w:tcBorders>
              <w:top w:val="nil"/>
              <w:left w:val="nil"/>
              <w:bottom w:val="nil"/>
              <w:right w:val="nil"/>
            </w:tcBorders>
            <w:hideMark/>
          </w:tcPr>
          <w:p w14:paraId="77C818FC" w14:textId="77777777" w:rsidR="00956435" w:rsidRDefault="00956435">
            <w:pPr>
              <w:pStyle w:val="BodyText"/>
              <w:spacing w:line="276" w:lineRule="auto"/>
              <w:jc w:val="center"/>
              <w:rPr>
                <w:b/>
                <w:sz w:val="22"/>
                <w:szCs w:val="22"/>
                <w:u w:val="single"/>
              </w:rPr>
            </w:pPr>
            <w:r>
              <w:rPr>
                <w:b/>
                <w:sz w:val="22"/>
                <w:szCs w:val="22"/>
                <w:u w:val="single"/>
              </w:rPr>
              <w:t>WASTEWATER</w:t>
            </w:r>
          </w:p>
        </w:tc>
        <w:tc>
          <w:tcPr>
            <w:tcW w:w="123" w:type="pct"/>
            <w:tcBorders>
              <w:top w:val="nil"/>
              <w:left w:val="nil"/>
              <w:bottom w:val="nil"/>
              <w:right w:val="single" w:sz="4" w:space="0" w:color="auto"/>
            </w:tcBorders>
          </w:tcPr>
          <w:p w14:paraId="527380C5" w14:textId="77777777" w:rsidR="00956435" w:rsidRDefault="00956435">
            <w:pPr>
              <w:pStyle w:val="BodyText"/>
              <w:spacing w:line="276" w:lineRule="auto"/>
              <w:rPr>
                <w:sz w:val="22"/>
                <w:szCs w:val="22"/>
              </w:rPr>
            </w:pPr>
          </w:p>
        </w:tc>
      </w:tr>
      <w:tr w:rsidR="00956435" w14:paraId="7BDD6D50" w14:textId="77777777" w:rsidTr="00956435">
        <w:trPr>
          <w:trHeight w:hRule="exact" w:val="289"/>
        </w:trPr>
        <w:tc>
          <w:tcPr>
            <w:tcW w:w="200" w:type="pct"/>
            <w:tcBorders>
              <w:top w:val="nil"/>
              <w:left w:val="single" w:sz="4" w:space="0" w:color="auto"/>
              <w:bottom w:val="nil"/>
              <w:right w:val="nil"/>
            </w:tcBorders>
          </w:tcPr>
          <w:p w14:paraId="4590ED0A"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63E277B7" w14:textId="77777777" w:rsidR="00956435" w:rsidRDefault="00956435">
            <w:pPr>
              <w:pStyle w:val="BodyText"/>
              <w:spacing w:line="276" w:lineRule="auto"/>
              <w:rPr>
                <w:b/>
                <w:sz w:val="22"/>
                <w:szCs w:val="22"/>
                <w:u w:val="single"/>
              </w:rPr>
            </w:pPr>
            <w:r>
              <w:rPr>
                <w:b/>
                <w:sz w:val="22"/>
                <w:szCs w:val="22"/>
                <w:u w:val="single"/>
              </w:rPr>
              <w:t>UTILITY PLANT IN SERVICE</w:t>
            </w:r>
          </w:p>
        </w:tc>
        <w:tc>
          <w:tcPr>
            <w:tcW w:w="836" w:type="pct"/>
            <w:gridSpan w:val="3"/>
            <w:tcBorders>
              <w:top w:val="nil"/>
              <w:left w:val="nil"/>
              <w:bottom w:val="nil"/>
              <w:right w:val="nil"/>
            </w:tcBorders>
          </w:tcPr>
          <w:p w14:paraId="02179495"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5DABB739"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1FA0EE29" w14:textId="77777777" w:rsidR="00956435" w:rsidRDefault="00956435">
            <w:pPr>
              <w:pStyle w:val="BodyText"/>
              <w:spacing w:line="276" w:lineRule="auto"/>
              <w:rPr>
                <w:sz w:val="22"/>
                <w:szCs w:val="22"/>
              </w:rPr>
            </w:pPr>
          </w:p>
        </w:tc>
      </w:tr>
      <w:tr w:rsidR="00956435" w14:paraId="19DF06E3" w14:textId="77777777" w:rsidTr="00956435">
        <w:trPr>
          <w:trHeight w:hRule="exact" w:val="289"/>
        </w:trPr>
        <w:tc>
          <w:tcPr>
            <w:tcW w:w="200" w:type="pct"/>
            <w:tcBorders>
              <w:top w:val="nil"/>
              <w:left w:val="single" w:sz="4" w:space="0" w:color="auto"/>
              <w:bottom w:val="nil"/>
              <w:right w:val="nil"/>
            </w:tcBorders>
            <w:hideMark/>
          </w:tcPr>
          <w:p w14:paraId="78B78EC5" w14:textId="77777777" w:rsidR="00956435" w:rsidRDefault="00956435">
            <w:pPr>
              <w:pStyle w:val="BodyText"/>
              <w:spacing w:line="276" w:lineRule="auto"/>
              <w:rPr>
                <w:sz w:val="22"/>
                <w:szCs w:val="22"/>
              </w:rPr>
            </w:pPr>
            <w:r>
              <w:rPr>
                <w:sz w:val="22"/>
                <w:szCs w:val="22"/>
              </w:rPr>
              <w:t>1.</w:t>
            </w:r>
          </w:p>
        </w:tc>
        <w:tc>
          <w:tcPr>
            <w:tcW w:w="2772" w:type="pct"/>
            <w:tcBorders>
              <w:top w:val="nil"/>
              <w:left w:val="nil"/>
              <w:bottom w:val="nil"/>
              <w:right w:val="nil"/>
            </w:tcBorders>
            <w:hideMark/>
          </w:tcPr>
          <w:p w14:paraId="34ED0D62" w14:textId="77777777" w:rsidR="00956435" w:rsidRDefault="00956435">
            <w:pPr>
              <w:pStyle w:val="BodyText"/>
              <w:spacing w:line="276" w:lineRule="auto"/>
              <w:rPr>
                <w:sz w:val="22"/>
                <w:szCs w:val="22"/>
              </w:rPr>
            </w:pPr>
            <w:r>
              <w:rPr>
                <w:sz w:val="22"/>
                <w:szCs w:val="22"/>
              </w:rPr>
              <w:t>To reflect auditing adjustments.</w:t>
            </w:r>
          </w:p>
        </w:tc>
        <w:tc>
          <w:tcPr>
            <w:tcW w:w="836" w:type="pct"/>
            <w:gridSpan w:val="3"/>
            <w:tcBorders>
              <w:top w:val="nil"/>
              <w:left w:val="nil"/>
              <w:bottom w:val="nil"/>
              <w:right w:val="nil"/>
            </w:tcBorders>
            <w:hideMark/>
          </w:tcPr>
          <w:p w14:paraId="05273F26" w14:textId="77777777" w:rsidR="00956435" w:rsidRDefault="00956435">
            <w:pPr>
              <w:pStyle w:val="BodyText"/>
              <w:spacing w:line="276" w:lineRule="auto"/>
              <w:jc w:val="right"/>
              <w:rPr>
                <w:sz w:val="22"/>
                <w:szCs w:val="22"/>
              </w:rPr>
            </w:pPr>
            <w:r>
              <w:rPr>
                <w:sz w:val="22"/>
                <w:szCs w:val="22"/>
              </w:rPr>
              <w:t>($85,059)</w:t>
            </w:r>
          </w:p>
        </w:tc>
        <w:tc>
          <w:tcPr>
            <w:tcW w:w="1069" w:type="pct"/>
            <w:tcBorders>
              <w:top w:val="nil"/>
              <w:left w:val="nil"/>
              <w:bottom w:val="nil"/>
              <w:right w:val="nil"/>
            </w:tcBorders>
            <w:hideMark/>
          </w:tcPr>
          <w:p w14:paraId="4DAE406A" w14:textId="77777777" w:rsidR="00956435" w:rsidRDefault="00956435">
            <w:pPr>
              <w:pStyle w:val="BodyText"/>
              <w:spacing w:line="276" w:lineRule="auto"/>
              <w:jc w:val="right"/>
              <w:rPr>
                <w:sz w:val="22"/>
                <w:szCs w:val="22"/>
              </w:rPr>
            </w:pPr>
            <w:r>
              <w:rPr>
                <w:sz w:val="22"/>
                <w:szCs w:val="22"/>
              </w:rPr>
              <w:t>($187,115)</w:t>
            </w:r>
          </w:p>
        </w:tc>
        <w:tc>
          <w:tcPr>
            <w:tcW w:w="123" w:type="pct"/>
            <w:tcBorders>
              <w:top w:val="nil"/>
              <w:left w:val="nil"/>
              <w:bottom w:val="nil"/>
              <w:right w:val="single" w:sz="4" w:space="0" w:color="auto"/>
            </w:tcBorders>
          </w:tcPr>
          <w:p w14:paraId="30E9F169" w14:textId="77777777" w:rsidR="00956435" w:rsidRDefault="00956435">
            <w:pPr>
              <w:pStyle w:val="BodyText"/>
              <w:spacing w:line="276" w:lineRule="auto"/>
              <w:rPr>
                <w:sz w:val="22"/>
                <w:szCs w:val="22"/>
              </w:rPr>
            </w:pPr>
          </w:p>
        </w:tc>
      </w:tr>
      <w:tr w:rsidR="00956435" w14:paraId="3090B8EF" w14:textId="77777777" w:rsidTr="00956435">
        <w:trPr>
          <w:trHeight w:hRule="exact" w:val="289"/>
        </w:trPr>
        <w:tc>
          <w:tcPr>
            <w:tcW w:w="200" w:type="pct"/>
            <w:tcBorders>
              <w:top w:val="nil"/>
              <w:left w:val="single" w:sz="4" w:space="0" w:color="auto"/>
              <w:bottom w:val="nil"/>
              <w:right w:val="nil"/>
            </w:tcBorders>
            <w:hideMark/>
          </w:tcPr>
          <w:p w14:paraId="1C17FFB8" w14:textId="77777777" w:rsidR="00956435" w:rsidRDefault="00956435">
            <w:pPr>
              <w:pStyle w:val="BodyText"/>
              <w:spacing w:line="276" w:lineRule="auto"/>
              <w:rPr>
                <w:sz w:val="22"/>
                <w:szCs w:val="22"/>
              </w:rPr>
            </w:pPr>
            <w:r>
              <w:rPr>
                <w:sz w:val="22"/>
                <w:szCs w:val="22"/>
              </w:rPr>
              <w:t>2.</w:t>
            </w:r>
          </w:p>
        </w:tc>
        <w:tc>
          <w:tcPr>
            <w:tcW w:w="2772" w:type="pct"/>
            <w:tcBorders>
              <w:top w:val="nil"/>
              <w:left w:val="nil"/>
              <w:bottom w:val="nil"/>
              <w:right w:val="nil"/>
            </w:tcBorders>
            <w:hideMark/>
          </w:tcPr>
          <w:p w14:paraId="5FB9F3BC" w14:textId="77777777" w:rsidR="00956435" w:rsidRDefault="00956435">
            <w:pPr>
              <w:pStyle w:val="BodyText"/>
              <w:spacing w:line="276" w:lineRule="auto"/>
              <w:rPr>
                <w:sz w:val="22"/>
                <w:szCs w:val="22"/>
              </w:rPr>
            </w:pPr>
            <w:r>
              <w:rPr>
                <w:sz w:val="22"/>
                <w:szCs w:val="22"/>
              </w:rPr>
              <w:t>To reflect averaging adjustments.</w:t>
            </w:r>
          </w:p>
        </w:tc>
        <w:tc>
          <w:tcPr>
            <w:tcW w:w="836" w:type="pct"/>
            <w:gridSpan w:val="3"/>
            <w:tcBorders>
              <w:top w:val="nil"/>
              <w:left w:val="nil"/>
              <w:bottom w:val="nil"/>
              <w:right w:val="nil"/>
            </w:tcBorders>
            <w:hideMark/>
          </w:tcPr>
          <w:p w14:paraId="7BC84E7B" w14:textId="77777777" w:rsidR="00956435" w:rsidRDefault="00956435">
            <w:pPr>
              <w:pStyle w:val="BodyText"/>
              <w:spacing w:line="276" w:lineRule="auto"/>
              <w:jc w:val="right"/>
              <w:rPr>
                <w:sz w:val="22"/>
                <w:szCs w:val="22"/>
              </w:rPr>
            </w:pPr>
            <w:r>
              <w:rPr>
                <w:sz w:val="22"/>
                <w:szCs w:val="22"/>
              </w:rPr>
              <w:t>(9,386)</w:t>
            </w:r>
          </w:p>
        </w:tc>
        <w:tc>
          <w:tcPr>
            <w:tcW w:w="1069" w:type="pct"/>
            <w:tcBorders>
              <w:top w:val="nil"/>
              <w:left w:val="nil"/>
              <w:bottom w:val="nil"/>
              <w:right w:val="nil"/>
            </w:tcBorders>
            <w:hideMark/>
          </w:tcPr>
          <w:p w14:paraId="4E77C70F" w14:textId="77777777" w:rsidR="00956435" w:rsidRDefault="00956435">
            <w:pPr>
              <w:pStyle w:val="BodyText"/>
              <w:spacing w:line="276" w:lineRule="auto"/>
              <w:jc w:val="right"/>
              <w:rPr>
                <w:sz w:val="22"/>
                <w:szCs w:val="22"/>
              </w:rPr>
            </w:pPr>
            <w:r>
              <w:rPr>
                <w:sz w:val="22"/>
                <w:szCs w:val="22"/>
              </w:rPr>
              <w:t>0</w:t>
            </w:r>
          </w:p>
        </w:tc>
        <w:tc>
          <w:tcPr>
            <w:tcW w:w="123" w:type="pct"/>
            <w:tcBorders>
              <w:top w:val="nil"/>
              <w:left w:val="nil"/>
              <w:bottom w:val="nil"/>
              <w:right w:val="single" w:sz="4" w:space="0" w:color="auto"/>
            </w:tcBorders>
          </w:tcPr>
          <w:p w14:paraId="641C6662" w14:textId="77777777" w:rsidR="00956435" w:rsidRDefault="00956435">
            <w:pPr>
              <w:pStyle w:val="BodyText"/>
              <w:spacing w:line="276" w:lineRule="auto"/>
              <w:rPr>
                <w:sz w:val="22"/>
                <w:szCs w:val="22"/>
              </w:rPr>
            </w:pPr>
          </w:p>
        </w:tc>
      </w:tr>
      <w:tr w:rsidR="00956435" w14:paraId="76349136" w14:textId="77777777" w:rsidTr="00956435">
        <w:trPr>
          <w:trHeight w:hRule="exact" w:val="289"/>
        </w:trPr>
        <w:tc>
          <w:tcPr>
            <w:tcW w:w="200" w:type="pct"/>
            <w:tcBorders>
              <w:top w:val="nil"/>
              <w:left w:val="single" w:sz="4" w:space="0" w:color="auto"/>
              <w:bottom w:val="nil"/>
              <w:right w:val="nil"/>
            </w:tcBorders>
            <w:hideMark/>
          </w:tcPr>
          <w:p w14:paraId="3B1381EA" w14:textId="77777777" w:rsidR="00956435" w:rsidRDefault="00956435">
            <w:pPr>
              <w:pStyle w:val="BodyText"/>
              <w:spacing w:line="276" w:lineRule="auto"/>
              <w:rPr>
                <w:sz w:val="22"/>
                <w:szCs w:val="22"/>
              </w:rPr>
            </w:pPr>
            <w:r>
              <w:rPr>
                <w:sz w:val="22"/>
                <w:szCs w:val="22"/>
              </w:rPr>
              <w:t>3.</w:t>
            </w:r>
          </w:p>
        </w:tc>
        <w:tc>
          <w:tcPr>
            <w:tcW w:w="2772" w:type="pct"/>
            <w:tcBorders>
              <w:top w:val="nil"/>
              <w:left w:val="nil"/>
              <w:bottom w:val="nil"/>
              <w:right w:val="nil"/>
            </w:tcBorders>
            <w:hideMark/>
          </w:tcPr>
          <w:p w14:paraId="766BC6B8" w14:textId="77777777" w:rsidR="00956435" w:rsidRDefault="00956435">
            <w:pPr>
              <w:pStyle w:val="BodyText"/>
              <w:spacing w:line="276" w:lineRule="auto"/>
              <w:rPr>
                <w:sz w:val="22"/>
                <w:szCs w:val="22"/>
              </w:rPr>
            </w:pPr>
            <w:r>
              <w:rPr>
                <w:sz w:val="22"/>
                <w:szCs w:val="22"/>
              </w:rPr>
              <w:t>To reflect pro forma additions.</w:t>
            </w:r>
          </w:p>
        </w:tc>
        <w:tc>
          <w:tcPr>
            <w:tcW w:w="836" w:type="pct"/>
            <w:gridSpan w:val="3"/>
            <w:tcBorders>
              <w:top w:val="nil"/>
              <w:left w:val="nil"/>
              <w:bottom w:val="nil"/>
              <w:right w:val="nil"/>
            </w:tcBorders>
            <w:hideMark/>
          </w:tcPr>
          <w:p w14:paraId="1FB38372" w14:textId="77777777" w:rsidR="00956435" w:rsidRDefault="00956435">
            <w:pPr>
              <w:pStyle w:val="BodyText"/>
              <w:spacing w:line="276" w:lineRule="auto"/>
              <w:jc w:val="right"/>
              <w:rPr>
                <w:sz w:val="22"/>
                <w:szCs w:val="22"/>
              </w:rPr>
            </w:pPr>
            <w:r>
              <w:rPr>
                <w:sz w:val="22"/>
                <w:szCs w:val="22"/>
              </w:rPr>
              <w:t>1,758,389</w:t>
            </w:r>
          </w:p>
        </w:tc>
        <w:tc>
          <w:tcPr>
            <w:tcW w:w="1069" w:type="pct"/>
            <w:tcBorders>
              <w:top w:val="nil"/>
              <w:left w:val="nil"/>
              <w:bottom w:val="nil"/>
              <w:right w:val="nil"/>
            </w:tcBorders>
            <w:hideMark/>
          </w:tcPr>
          <w:p w14:paraId="44C676F8" w14:textId="77777777" w:rsidR="00956435" w:rsidRDefault="00956435">
            <w:pPr>
              <w:pStyle w:val="BodyText"/>
              <w:spacing w:line="276" w:lineRule="auto"/>
              <w:jc w:val="right"/>
              <w:rPr>
                <w:sz w:val="22"/>
                <w:szCs w:val="22"/>
              </w:rPr>
            </w:pPr>
            <w:r>
              <w:rPr>
                <w:sz w:val="22"/>
                <w:szCs w:val="22"/>
              </w:rPr>
              <w:t>949,844</w:t>
            </w:r>
          </w:p>
        </w:tc>
        <w:tc>
          <w:tcPr>
            <w:tcW w:w="123" w:type="pct"/>
            <w:tcBorders>
              <w:top w:val="nil"/>
              <w:left w:val="nil"/>
              <w:bottom w:val="nil"/>
              <w:right w:val="single" w:sz="4" w:space="0" w:color="auto"/>
            </w:tcBorders>
          </w:tcPr>
          <w:p w14:paraId="0CCED7AC" w14:textId="77777777" w:rsidR="00956435" w:rsidRDefault="00956435">
            <w:pPr>
              <w:pStyle w:val="BodyText"/>
              <w:spacing w:line="276" w:lineRule="auto"/>
              <w:rPr>
                <w:sz w:val="22"/>
                <w:szCs w:val="22"/>
              </w:rPr>
            </w:pPr>
          </w:p>
        </w:tc>
      </w:tr>
      <w:tr w:rsidR="00956435" w14:paraId="51BDEC8C" w14:textId="77777777" w:rsidTr="00956435">
        <w:trPr>
          <w:trHeight w:hRule="exact" w:val="289"/>
        </w:trPr>
        <w:tc>
          <w:tcPr>
            <w:tcW w:w="200" w:type="pct"/>
            <w:tcBorders>
              <w:top w:val="nil"/>
              <w:left w:val="single" w:sz="4" w:space="0" w:color="auto"/>
              <w:bottom w:val="nil"/>
              <w:right w:val="nil"/>
            </w:tcBorders>
            <w:hideMark/>
          </w:tcPr>
          <w:p w14:paraId="59B3B981" w14:textId="77777777" w:rsidR="00956435" w:rsidRDefault="00956435">
            <w:pPr>
              <w:pStyle w:val="BodyText"/>
              <w:spacing w:line="276" w:lineRule="auto"/>
              <w:rPr>
                <w:sz w:val="22"/>
                <w:szCs w:val="22"/>
              </w:rPr>
            </w:pPr>
            <w:r>
              <w:rPr>
                <w:sz w:val="22"/>
                <w:szCs w:val="22"/>
              </w:rPr>
              <w:t>4.</w:t>
            </w:r>
          </w:p>
        </w:tc>
        <w:tc>
          <w:tcPr>
            <w:tcW w:w="2772" w:type="pct"/>
            <w:tcBorders>
              <w:top w:val="nil"/>
              <w:left w:val="nil"/>
              <w:bottom w:val="nil"/>
              <w:right w:val="nil"/>
            </w:tcBorders>
            <w:hideMark/>
          </w:tcPr>
          <w:p w14:paraId="5EE0717D" w14:textId="77777777" w:rsidR="00956435" w:rsidRDefault="00956435">
            <w:pPr>
              <w:pStyle w:val="BodyText"/>
              <w:spacing w:line="276" w:lineRule="auto"/>
              <w:rPr>
                <w:sz w:val="22"/>
                <w:szCs w:val="22"/>
              </w:rPr>
            </w:pPr>
            <w:r>
              <w:rPr>
                <w:sz w:val="22"/>
                <w:szCs w:val="22"/>
              </w:rPr>
              <w:t>To reflect pro forma retirements.</w:t>
            </w:r>
          </w:p>
        </w:tc>
        <w:tc>
          <w:tcPr>
            <w:tcW w:w="836" w:type="pct"/>
            <w:gridSpan w:val="3"/>
            <w:tcBorders>
              <w:top w:val="nil"/>
              <w:left w:val="nil"/>
              <w:bottom w:val="nil"/>
              <w:right w:val="nil"/>
            </w:tcBorders>
            <w:hideMark/>
          </w:tcPr>
          <w:p w14:paraId="636EAA44" w14:textId="77777777" w:rsidR="00956435" w:rsidRDefault="00956435">
            <w:pPr>
              <w:pStyle w:val="BodyText"/>
              <w:spacing w:line="276" w:lineRule="auto"/>
              <w:jc w:val="right"/>
              <w:rPr>
                <w:sz w:val="22"/>
                <w:szCs w:val="22"/>
                <w:u w:val="single"/>
              </w:rPr>
            </w:pPr>
            <w:r>
              <w:rPr>
                <w:sz w:val="22"/>
                <w:szCs w:val="22"/>
                <w:u w:val="single"/>
              </w:rPr>
              <w:t>(543,861)</w:t>
            </w:r>
          </w:p>
        </w:tc>
        <w:tc>
          <w:tcPr>
            <w:tcW w:w="1069" w:type="pct"/>
            <w:tcBorders>
              <w:top w:val="nil"/>
              <w:left w:val="nil"/>
              <w:bottom w:val="nil"/>
              <w:right w:val="nil"/>
            </w:tcBorders>
            <w:hideMark/>
          </w:tcPr>
          <w:p w14:paraId="2786D516" w14:textId="77777777" w:rsidR="00956435" w:rsidRDefault="00956435">
            <w:pPr>
              <w:pStyle w:val="BodyText"/>
              <w:spacing w:line="276" w:lineRule="auto"/>
              <w:jc w:val="right"/>
              <w:rPr>
                <w:sz w:val="22"/>
                <w:szCs w:val="22"/>
                <w:u w:val="single"/>
              </w:rPr>
            </w:pPr>
            <w:r>
              <w:rPr>
                <w:sz w:val="22"/>
                <w:szCs w:val="22"/>
                <w:u w:val="single"/>
              </w:rPr>
              <w:t>(131,852)</w:t>
            </w:r>
          </w:p>
        </w:tc>
        <w:tc>
          <w:tcPr>
            <w:tcW w:w="123" w:type="pct"/>
            <w:tcBorders>
              <w:top w:val="nil"/>
              <w:left w:val="nil"/>
              <w:bottom w:val="nil"/>
              <w:right w:val="single" w:sz="4" w:space="0" w:color="auto"/>
            </w:tcBorders>
          </w:tcPr>
          <w:p w14:paraId="7AA9736C" w14:textId="77777777" w:rsidR="00956435" w:rsidRDefault="00956435">
            <w:pPr>
              <w:pStyle w:val="BodyText"/>
              <w:spacing w:line="276" w:lineRule="auto"/>
              <w:rPr>
                <w:sz w:val="22"/>
                <w:szCs w:val="22"/>
              </w:rPr>
            </w:pPr>
          </w:p>
        </w:tc>
      </w:tr>
      <w:tr w:rsidR="00956435" w14:paraId="0E6031DF" w14:textId="77777777" w:rsidTr="00956435">
        <w:trPr>
          <w:trHeight w:hRule="exact" w:val="289"/>
        </w:trPr>
        <w:tc>
          <w:tcPr>
            <w:tcW w:w="200" w:type="pct"/>
            <w:tcBorders>
              <w:top w:val="nil"/>
              <w:left w:val="single" w:sz="4" w:space="0" w:color="auto"/>
              <w:bottom w:val="nil"/>
              <w:right w:val="nil"/>
            </w:tcBorders>
          </w:tcPr>
          <w:p w14:paraId="7E288980"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7430011D" w14:textId="77777777" w:rsidR="00956435" w:rsidRDefault="00956435">
            <w:pPr>
              <w:pStyle w:val="BodyText"/>
              <w:spacing w:line="276" w:lineRule="auto"/>
              <w:rPr>
                <w:sz w:val="22"/>
                <w:szCs w:val="22"/>
              </w:rPr>
            </w:pPr>
            <w:r>
              <w:rPr>
                <w:sz w:val="22"/>
                <w:szCs w:val="22"/>
              </w:rPr>
              <w:t xml:space="preserve"> Total</w:t>
            </w:r>
          </w:p>
        </w:tc>
        <w:tc>
          <w:tcPr>
            <w:tcW w:w="836" w:type="pct"/>
            <w:gridSpan w:val="3"/>
            <w:tcBorders>
              <w:top w:val="nil"/>
              <w:left w:val="nil"/>
              <w:bottom w:val="nil"/>
              <w:right w:val="nil"/>
            </w:tcBorders>
            <w:hideMark/>
          </w:tcPr>
          <w:p w14:paraId="70A79B0F" w14:textId="77777777" w:rsidR="00956435" w:rsidRDefault="00956435">
            <w:pPr>
              <w:pStyle w:val="BodyText"/>
              <w:spacing w:line="276" w:lineRule="auto"/>
              <w:jc w:val="right"/>
              <w:rPr>
                <w:sz w:val="22"/>
                <w:szCs w:val="22"/>
                <w:u w:val="double"/>
              </w:rPr>
            </w:pPr>
            <w:r>
              <w:rPr>
                <w:sz w:val="22"/>
                <w:szCs w:val="22"/>
                <w:u w:val="double"/>
              </w:rPr>
              <w:t>$1,120,084</w:t>
            </w:r>
          </w:p>
        </w:tc>
        <w:tc>
          <w:tcPr>
            <w:tcW w:w="1069" w:type="pct"/>
            <w:tcBorders>
              <w:top w:val="nil"/>
              <w:left w:val="nil"/>
              <w:bottom w:val="nil"/>
              <w:right w:val="nil"/>
            </w:tcBorders>
            <w:hideMark/>
          </w:tcPr>
          <w:p w14:paraId="68F49372" w14:textId="77777777" w:rsidR="00956435" w:rsidRDefault="00956435">
            <w:pPr>
              <w:pStyle w:val="BodyText"/>
              <w:spacing w:line="276" w:lineRule="auto"/>
              <w:jc w:val="right"/>
              <w:rPr>
                <w:sz w:val="22"/>
                <w:szCs w:val="22"/>
                <w:u w:val="double"/>
              </w:rPr>
            </w:pPr>
            <w:r>
              <w:rPr>
                <w:sz w:val="22"/>
                <w:szCs w:val="22"/>
                <w:u w:val="double"/>
              </w:rPr>
              <w:t>$630,877</w:t>
            </w:r>
          </w:p>
        </w:tc>
        <w:tc>
          <w:tcPr>
            <w:tcW w:w="123" w:type="pct"/>
            <w:tcBorders>
              <w:top w:val="nil"/>
              <w:left w:val="nil"/>
              <w:bottom w:val="nil"/>
              <w:right w:val="single" w:sz="4" w:space="0" w:color="auto"/>
            </w:tcBorders>
          </w:tcPr>
          <w:p w14:paraId="09C96624" w14:textId="77777777" w:rsidR="00956435" w:rsidRDefault="00956435">
            <w:pPr>
              <w:pStyle w:val="BodyText"/>
              <w:spacing w:line="276" w:lineRule="auto"/>
              <w:rPr>
                <w:sz w:val="22"/>
                <w:szCs w:val="22"/>
              </w:rPr>
            </w:pPr>
          </w:p>
        </w:tc>
      </w:tr>
      <w:tr w:rsidR="00956435" w14:paraId="7B8D836F" w14:textId="77777777" w:rsidTr="00956435">
        <w:trPr>
          <w:trHeight w:hRule="exact" w:val="289"/>
        </w:trPr>
        <w:tc>
          <w:tcPr>
            <w:tcW w:w="200" w:type="pct"/>
            <w:tcBorders>
              <w:top w:val="nil"/>
              <w:left w:val="single" w:sz="4" w:space="0" w:color="auto"/>
              <w:bottom w:val="nil"/>
              <w:right w:val="nil"/>
            </w:tcBorders>
          </w:tcPr>
          <w:p w14:paraId="1B65F3BB"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31441DDB"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tcPr>
          <w:p w14:paraId="1D3A3AFE"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5DF5F358"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3F856557" w14:textId="77777777" w:rsidR="00956435" w:rsidRDefault="00956435">
            <w:pPr>
              <w:pStyle w:val="BodyText"/>
              <w:spacing w:line="276" w:lineRule="auto"/>
              <w:rPr>
                <w:sz w:val="22"/>
                <w:szCs w:val="22"/>
              </w:rPr>
            </w:pPr>
          </w:p>
        </w:tc>
      </w:tr>
      <w:tr w:rsidR="00956435" w14:paraId="2303EBF7" w14:textId="77777777" w:rsidTr="00956435">
        <w:trPr>
          <w:trHeight w:hRule="exact" w:val="289"/>
        </w:trPr>
        <w:tc>
          <w:tcPr>
            <w:tcW w:w="200" w:type="pct"/>
            <w:tcBorders>
              <w:top w:val="nil"/>
              <w:left w:val="single" w:sz="4" w:space="0" w:color="auto"/>
              <w:bottom w:val="nil"/>
              <w:right w:val="nil"/>
            </w:tcBorders>
          </w:tcPr>
          <w:p w14:paraId="7EF82870"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11345F47" w14:textId="77777777" w:rsidR="00956435" w:rsidRDefault="00956435">
            <w:pPr>
              <w:pStyle w:val="BodyText"/>
              <w:spacing w:line="276" w:lineRule="auto"/>
              <w:rPr>
                <w:b/>
                <w:sz w:val="22"/>
                <w:szCs w:val="22"/>
                <w:u w:val="single"/>
              </w:rPr>
            </w:pPr>
            <w:r>
              <w:rPr>
                <w:b/>
                <w:sz w:val="22"/>
                <w:szCs w:val="22"/>
                <w:u w:val="single"/>
              </w:rPr>
              <w:t>LAND AND LAND RIGHTS</w:t>
            </w:r>
          </w:p>
        </w:tc>
        <w:tc>
          <w:tcPr>
            <w:tcW w:w="836" w:type="pct"/>
            <w:gridSpan w:val="3"/>
            <w:tcBorders>
              <w:top w:val="nil"/>
              <w:left w:val="nil"/>
              <w:bottom w:val="nil"/>
              <w:right w:val="nil"/>
            </w:tcBorders>
          </w:tcPr>
          <w:p w14:paraId="2137F3BF"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7A8EAEC4"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4ED380E0" w14:textId="77777777" w:rsidR="00956435" w:rsidRDefault="00956435">
            <w:pPr>
              <w:pStyle w:val="BodyText"/>
              <w:spacing w:line="276" w:lineRule="auto"/>
              <w:rPr>
                <w:sz w:val="22"/>
                <w:szCs w:val="22"/>
              </w:rPr>
            </w:pPr>
          </w:p>
        </w:tc>
      </w:tr>
      <w:tr w:rsidR="00956435" w14:paraId="1CB4322A" w14:textId="77777777" w:rsidTr="00956435">
        <w:trPr>
          <w:trHeight w:hRule="exact" w:val="289"/>
        </w:trPr>
        <w:tc>
          <w:tcPr>
            <w:tcW w:w="200" w:type="pct"/>
            <w:tcBorders>
              <w:top w:val="nil"/>
              <w:left w:val="single" w:sz="4" w:space="0" w:color="auto"/>
              <w:bottom w:val="nil"/>
              <w:right w:val="nil"/>
            </w:tcBorders>
          </w:tcPr>
          <w:p w14:paraId="68802D5B"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1858F8F8" w14:textId="77777777" w:rsidR="00956435" w:rsidRDefault="00956435">
            <w:pPr>
              <w:pStyle w:val="BodyText"/>
              <w:spacing w:line="276" w:lineRule="auto"/>
              <w:rPr>
                <w:sz w:val="22"/>
                <w:szCs w:val="22"/>
              </w:rPr>
            </w:pPr>
            <w:r>
              <w:rPr>
                <w:sz w:val="22"/>
                <w:szCs w:val="22"/>
              </w:rPr>
              <w:t>To reflect the appropriate land balance.</w:t>
            </w:r>
          </w:p>
        </w:tc>
        <w:tc>
          <w:tcPr>
            <w:tcW w:w="836" w:type="pct"/>
            <w:gridSpan w:val="3"/>
            <w:tcBorders>
              <w:top w:val="nil"/>
              <w:left w:val="nil"/>
              <w:bottom w:val="nil"/>
              <w:right w:val="nil"/>
            </w:tcBorders>
            <w:hideMark/>
          </w:tcPr>
          <w:p w14:paraId="2853EDB4" w14:textId="77777777" w:rsidR="00956435" w:rsidRDefault="00956435">
            <w:pPr>
              <w:pStyle w:val="BodyText"/>
              <w:spacing w:line="276" w:lineRule="auto"/>
              <w:jc w:val="right"/>
              <w:rPr>
                <w:sz w:val="22"/>
                <w:szCs w:val="22"/>
                <w:u w:val="double"/>
              </w:rPr>
            </w:pPr>
            <w:r>
              <w:rPr>
                <w:sz w:val="22"/>
                <w:szCs w:val="22"/>
                <w:u w:val="double"/>
              </w:rPr>
              <w:t>($4,000)</w:t>
            </w:r>
          </w:p>
        </w:tc>
        <w:tc>
          <w:tcPr>
            <w:tcW w:w="1069" w:type="pct"/>
            <w:tcBorders>
              <w:top w:val="nil"/>
              <w:left w:val="nil"/>
              <w:bottom w:val="nil"/>
              <w:right w:val="nil"/>
            </w:tcBorders>
            <w:hideMark/>
          </w:tcPr>
          <w:p w14:paraId="36D2E14A" w14:textId="77777777" w:rsidR="00956435" w:rsidRDefault="00956435">
            <w:pPr>
              <w:pStyle w:val="BodyText"/>
              <w:spacing w:line="276" w:lineRule="auto"/>
              <w:jc w:val="right"/>
              <w:rPr>
                <w:sz w:val="22"/>
                <w:szCs w:val="22"/>
                <w:u w:val="double"/>
              </w:rPr>
            </w:pPr>
            <w:r>
              <w:rPr>
                <w:sz w:val="22"/>
                <w:szCs w:val="22"/>
                <w:u w:val="double"/>
              </w:rPr>
              <w:t>$0</w:t>
            </w:r>
          </w:p>
        </w:tc>
        <w:tc>
          <w:tcPr>
            <w:tcW w:w="123" w:type="pct"/>
            <w:tcBorders>
              <w:top w:val="nil"/>
              <w:left w:val="nil"/>
              <w:bottom w:val="nil"/>
              <w:right w:val="single" w:sz="4" w:space="0" w:color="auto"/>
            </w:tcBorders>
          </w:tcPr>
          <w:p w14:paraId="5319B7FC" w14:textId="77777777" w:rsidR="00956435" w:rsidRDefault="00956435">
            <w:pPr>
              <w:pStyle w:val="BodyText"/>
              <w:spacing w:line="276" w:lineRule="auto"/>
              <w:rPr>
                <w:sz w:val="22"/>
                <w:szCs w:val="22"/>
              </w:rPr>
            </w:pPr>
          </w:p>
        </w:tc>
      </w:tr>
      <w:tr w:rsidR="00956435" w14:paraId="408B0F32" w14:textId="77777777" w:rsidTr="00956435">
        <w:trPr>
          <w:trHeight w:hRule="exact" w:val="289"/>
        </w:trPr>
        <w:tc>
          <w:tcPr>
            <w:tcW w:w="200" w:type="pct"/>
            <w:tcBorders>
              <w:top w:val="nil"/>
              <w:left w:val="single" w:sz="4" w:space="0" w:color="auto"/>
              <w:bottom w:val="nil"/>
              <w:right w:val="nil"/>
            </w:tcBorders>
          </w:tcPr>
          <w:p w14:paraId="47F53326"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24B813FF"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tcPr>
          <w:p w14:paraId="44E3D349"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732D7374"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31B32479" w14:textId="77777777" w:rsidR="00956435" w:rsidRDefault="00956435">
            <w:pPr>
              <w:pStyle w:val="BodyText"/>
              <w:spacing w:line="276" w:lineRule="auto"/>
              <w:rPr>
                <w:sz w:val="22"/>
                <w:szCs w:val="22"/>
              </w:rPr>
            </w:pPr>
          </w:p>
        </w:tc>
      </w:tr>
      <w:tr w:rsidR="00956435" w14:paraId="644B1E25" w14:textId="77777777" w:rsidTr="00956435">
        <w:trPr>
          <w:trHeight w:hRule="exact" w:val="289"/>
        </w:trPr>
        <w:tc>
          <w:tcPr>
            <w:tcW w:w="200" w:type="pct"/>
            <w:tcBorders>
              <w:top w:val="nil"/>
              <w:left w:val="single" w:sz="4" w:space="0" w:color="auto"/>
              <w:bottom w:val="nil"/>
              <w:right w:val="nil"/>
            </w:tcBorders>
          </w:tcPr>
          <w:p w14:paraId="31D2D7D1"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00AE40ED" w14:textId="77777777" w:rsidR="00956435" w:rsidRDefault="00956435">
            <w:pPr>
              <w:pStyle w:val="BodyText"/>
              <w:spacing w:line="276" w:lineRule="auto"/>
              <w:rPr>
                <w:b/>
                <w:sz w:val="22"/>
                <w:szCs w:val="22"/>
                <w:u w:val="single"/>
              </w:rPr>
            </w:pPr>
            <w:r>
              <w:rPr>
                <w:b/>
                <w:sz w:val="22"/>
                <w:szCs w:val="22"/>
                <w:u w:val="single"/>
              </w:rPr>
              <w:t>ACCUMULATED DEPRECIATION</w:t>
            </w:r>
          </w:p>
        </w:tc>
        <w:tc>
          <w:tcPr>
            <w:tcW w:w="836" w:type="pct"/>
            <w:gridSpan w:val="3"/>
            <w:tcBorders>
              <w:top w:val="nil"/>
              <w:left w:val="nil"/>
              <w:bottom w:val="nil"/>
              <w:right w:val="nil"/>
            </w:tcBorders>
          </w:tcPr>
          <w:p w14:paraId="37FD68F7"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0FB08D4C"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03295915" w14:textId="77777777" w:rsidR="00956435" w:rsidRDefault="00956435">
            <w:pPr>
              <w:pStyle w:val="BodyText"/>
              <w:spacing w:line="276" w:lineRule="auto"/>
              <w:rPr>
                <w:sz w:val="22"/>
                <w:szCs w:val="22"/>
              </w:rPr>
            </w:pPr>
          </w:p>
        </w:tc>
      </w:tr>
      <w:tr w:rsidR="00956435" w14:paraId="0F45DE45" w14:textId="77777777" w:rsidTr="00956435">
        <w:trPr>
          <w:trHeight w:hRule="exact" w:val="289"/>
        </w:trPr>
        <w:tc>
          <w:tcPr>
            <w:tcW w:w="200" w:type="pct"/>
            <w:tcBorders>
              <w:top w:val="nil"/>
              <w:left w:val="single" w:sz="4" w:space="0" w:color="auto"/>
              <w:bottom w:val="nil"/>
              <w:right w:val="nil"/>
            </w:tcBorders>
            <w:hideMark/>
          </w:tcPr>
          <w:p w14:paraId="30D04F08" w14:textId="77777777" w:rsidR="00956435" w:rsidRDefault="00956435">
            <w:pPr>
              <w:pStyle w:val="BodyText"/>
              <w:spacing w:line="276" w:lineRule="auto"/>
              <w:rPr>
                <w:sz w:val="22"/>
                <w:szCs w:val="22"/>
              </w:rPr>
            </w:pPr>
            <w:r>
              <w:rPr>
                <w:sz w:val="22"/>
                <w:szCs w:val="22"/>
              </w:rPr>
              <w:t>1.</w:t>
            </w:r>
          </w:p>
        </w:tc>
        <w:tc>
          <w:tcPr>
            <w:tcW w:w="2772" w:type="pct"/>
            <w:tcBorders>
              <w:top w:val="nil"/>
              <w:left w:val="nil"/>
              <w:bottom w:val="nil"/>
              <w:right w:val="nil"/>
            </w:tcBorders>
            <w:hideMark/>
          </w:tcPr>
          <w:p w14:paraId="4274AB5D" w14:textId="77777777" w:rsidR="00956435" w:rsidRDefault="00956435">
            <w:pPr>
              <w:pStyle w:val="BodyText"/>
              <w:spacing w:line="276" w:lineRule="auto"/>
              <w:rPr>
                <w:sz w:val="22"/>
                <w:szCs w:val="22"/>
              </w:rPr>
            </w:pPr>
            <w:r>
              <w:rPr>
                <w:sz w:val="22"/>
                <w:szCs w:val="22"/>
              </w:rPr>
              <w:t>To reflect auditing adjustments.</w:t>
            </w:r>
          </w:p>
        </w:tc>
        <w:tc>
          <w:tcPr>
            <w:tcW w:w="836" w:type="pct"/>
            <w:gridSpan w:val="3"/>
            <w:tcBorders>
              <w:top w:val="nil"/>
              <w:left w:val="nil"/>
              <w:bottom w:val="nil"/>
              <w:right w:val="nil"/>
            </w:tcBorders>
            <w:hideMark/>
          </w:tcPr>
          <w:p w14:paraId="10DEF73D" w14:textId="77777777" w:rsidR="00956435" w:rsidRDefault="00956435">
            <w:pPr>
              <w:pStyle w:val="BodyText"/>
              <w:spacing w:line="276" w:lineRule="auto"/>
              <w:jc w:val="right"/>
              <w:rPr>
                <w:sz w:val="22"/>
                <w:szCs w:val="22"/>
              </w:rPr>
            </w:pPr>
            <w:r>
              <w:rPr>
                <w:sz w:val="22"/>
                <w:szCs w:val="22"/>
              </w:rPr>
              <w:t>$127,254</w:t>
            </w:r>
          </w:p>
        </w:tc>
        <w:tc>
          <w:tcPr>
            <w:tcW w:w="1069" w:type="pct"/>
            <w:tcBorders>
              <w:top w:val="nil"/>
              <w:left w:val="nil"/>
              <w:bottom w:val="nil"/>
              <w:right w:val="nil"/>
            </w:tcBorders>
            <w:hideMark/>
          </w:tcPr>
          <w:p w14:paraId="54BF9A94" w14:textId="77777777" w:rsidR="00956435" w:rsidRDefault="00956435">
            <w:pPr>
              <w:pStyle w:val="BodyText"/>
              <w:spacing w:line="276" w:lineRule="auto"/>
              <w:jc w:val="right"/>
              <w:rPr>
                <w:sz w:val="22"/>
                <w:szCs w:val="22"/>
              </w:rPr>
            </w:pPr>
            <w:r>
              <w:rPr>
                <w:sz w:val="22"/>
                <w:szCs w:val="22"/>
              </w:rPr>
              <w:t>$382,576</w:t>
            </w:r>
          </w:p>
        </w:tc>
        <w:tc>
          <w:tcPr>
            <w:tcW w:w="123" w:type="pct"/>
            <w:tcBorders>
              <w:top w:val="nil"/>
              <w:left w:val="nil"/>
              <w:bottom w:val="nil"/>
              <w:right w:val="single" w:sz="4" w:space="0" w:color="auto"/>
            </w:tcBorders>
          </w:tcPr>
          <w:p w14:paraId="5599FB2D" w14:textId="77777777" w:rsidR="00956435" w:rsidRDefault="00956435">
            <w:pPr>
              <w:pStyle w:val="BodyText"/>
              <w:spacing w:line="276" w:lineRule="auto"/>
              <w:rPr>
                <w:sz w:val="22"/>
                <w:szCs w:val="22"/>
              </w:rPr>
            </w:pPr>
          </w:p>
        </w:tc>
      </w:tr>
      <w:tr w:rsidR="00956435" w14:paraId="2C61AB82" w14:textId="77777777" w:rsidTr="00956435">
        <w:trPr>
          <w:trHeight w:hRule="exact" w:val="289"/>
        </w:trPr>
        <w:tc>
          <w:tcPr>
            <w:tcW w:w="200" w:type="pct"/>
            <w:tcBorders>
              <w:top w:val="nil"/>
              <w:left w:val="single" w:sz="4" w:space="0" w:color="auto"/>
              <w:bottom w:val="nil"/>
              <w:right w:val="nil"/>
            </w:tcBorders>
            <w:hideMark/>
          </w:tcPr>
          <w:p w14:paraId="066CA648" w14:textId="77777777" w:rsidR="00956435" w:rsidRDefault="00956435">
            <w:pPr>
              <w:pStyle w:val="BodyText"/>
              <w:spacing w:line="276" w:lineRule="auto"/>
              <w:rPr>
                <w:sz w:val="22"/>
                <w:szCs w:val="22"/>
              </w:rPr>
            </w:pPr>
            <w:r>
              <w:rPr>
                <w:sz w:val="22"/>
                <w:szCs w:val="22"/>
              </w:rPr>
              <w:t>2.</w:t>
            </w:r>
          </w:p>
        </w:tc>
        <w:tc>
          <w:tcPr>
            <w:tcW w:w="2772" w:type="pct"/>
            <w:tcBorders>
              <w:top w:val="nil"/>
              <w:left w:val="nil"/>
              <w:bottom w:val="nil"/>
              <w:right w:val="nil"/>
            </w:tcBorders>
            <w:hideMark/>
          </w:tcPr>
          <w:p w14:paraId="1133C7E4" w14:textId="77777777" w:rsidR="00956435" w:rsidRDefault="00956435">
            <w:pPr>
              <w:pStyle w:val="BodyText"/>
              <w:spacing w:line="276" w:lineRule="auto"/>
              <w:rPr>
                <w:sz w:val="22"/>
                <w:szCs w:val="22"/>
              </w:rPr>
            </w:pPr>
            <w:r>
              <w:rPr>
                <w:sz w:val="22"/>
                <w:szCs w:val="22"/>
              </w:rPr>
              <w:t>To reflect averaging adjustments.</w:t>
            </w:r>
          </w:p>
        </w:tc>
        <w:tc>
          <w:tcPr>
            <w:tcW w:w="836" w:type="pct"/>
            <w:gridSpan w:val="3"/>
            <w:tcBorders>
              <w:top w:val="nil"/>
              <w:left w:val="nil"/>
              <w:bottom w:val="nil"/>
              <w:right w:val="nil"/>
            </w:tcBorders>
            <w:hideMark/>
          </w:tcPr>
          <w:p w14:paraId="0A881DFE" w14:textId="77777777" w:rsidR="00956435" w:rsidRDefault="00956435">
            <w:pPr>
              <w:pStyle w:val="BodyText"/>
              <w:spacing w:line="276" w:lineRule="auto"/>
              <w:jc w:val="right"/>
              <w:rPr>
                <w:sz w:val="22"/>
                <w:szCs w:val="22"/>
              </w:rPr>
            </w:pPr>
            <w:r>
              <w:rPr>
                <w:sz w:val="22"/>
                <w:szCs w:val="22"/>
              </w:rPr>
              <w:t>30,217</w:t>
            </w:r>
          </w:p>
        </w:tc>
        <w:tc>
          <w:tcPr>
            <w:tcW w:w="1069" w:type="pct"/>
            <w:tcBorders>
              <w:top w:val="nil"/>
              <w:left w:val="nil"/>
              <w:bottom w:val="nil"/>
              <w:right w:val="nil"/>
            </w:tcBorders>
            <w:hideMark/>
          </w:tcPr>
          <w:p w14:paraId="22F35A8A" w14:textId="77777777" w:rsidR="00956435" w:rsidRDefault="00956435">
            <w:pPr>
              <w:pStyle w:val="BodyText"/>
              <w:spacing w:line="276" w:lineRule="auto"/>
              <w:jc w:val="right"/>
              <w:rPr>
                <w:sz w:val="22"/>
                <w:szCs w:val="22"/>
              </w:rPr>
            </w:pPr>
            <w:r>
              <w:rPr>
                <w:sz w:val="22"/>
                <w:szCs w:val="22"/>
              </w:rPr>
              <w:t>95,769</w:t>
            </w:r>
          </w:p>
        </w:tc>
        <w:tc>
          <w:tcPr>
            <w:tcW w:w="123" w:type="pct"/>
            <w:tcBorders>
              <w:top w:val="nil"/>
              <w:left w:val="nil"/>
              <w:bottom w:val="nil"/>
              <w:right w:val="single" w:sz="4" w:space="0" w:color="auto"/>
            </w:tcBorders>
          </w:tcPr>
          <w:p w14:paraId="6CE51BA0" w14:textId="77777777" w:rsidR="00956435" w:rsidRDefault="00956435">
            <w:pPr>
              <w:pStyle w:val="BodyText"/>
              <w:spacing w:line="276" w:lineRule="auto"/>
              <w:rPr>
                <w:sz w:val="22"/>
                <w:szCs w:val="22"/>
              </w:rPr>
            </w:pPr>
          </w:p>
        </w:tc>
      </w:tr>
      <w:tr w:rsidR="00956435" w14:paraId="6BBB76E1" w14:textId="77777777" w:rsidTr="00956435">
        <w:trPr>
          <w:trHeight w:hRule="exact" w:val="289"/>
        </w:trPr>
        <w:tc>
          <w:tcPr>
            <w:tcW w:w="200" w:type="pct"/>
            <w:tcBorders>
              <w:top w:val="nil"/>
              <w:left w:val="single" w:sz="4" w:space="0" w:color="auto"/>
              <w:bottom w:val="nil"/>
              <w:right w:val="nil"/>
            </w:tcBorders>
            <w:hideMark/>
          </w:tcPr>
          <w:p w14:paraId="39FD60BC" w14:textId="77777777" w:rsidR="00956435" w:rsidRDefault="00956435">
            <w:pPr>
              <w:pStyle w:val="BodyText"/>
              <w:spacing w:line="276" w:lineRule="auto"/>
              <w:rPr>
                <w:sz w:val="22"/>
                <w:szCs w:val="22"/>
              </w:rPr>
            </w:pPr>
            <w:r>
              <w:rPr>
                <w:sz w:val="22"/>
                <w:szCs w:val="22"/>
              </w:rPr>
              <w:t>3.</w:t>
            </w:r>
          </w:p>
        </w:tc>
        <w:tc>
          <w:tcPr>
            <w:tcW w:w="2772" w:type="pct"/>
            <w:tcBorders>
              <w:top w:val="nil"/>
              <w:left w:val="nil"/>
              <w:bottom w:val="nil"/>
              <w:right w:val="nil"/>
            </w:tcBorders>
            <w:hideMark/>
          </w:tcPr>
          <w:p w14:paraId="4874E337" w14:textId="77777777" w:rsidR="00956435" w:rsidRDefault="00956435">
            <w:pPr>
              <w:pStyle w:val="BodyText"/>
              <w:spacing w:line="276" w:lineRule="auto"/>
              <w:rPr>
                <w:sz w:val="22"/>
                <w:szCs w:val="22"/>
              </w:rPr>
            </w:pPr>
            <w:r>
              <w:rPr>
                <w:sz w:val="22"/>
                <w:szCs w:val="22"/>
              </w:rPr>
              <w:t>To reflect pro forma adjustments.</w:t>
            </w:r>
          </w:p>
        </w:tc>
        <w:tc>
          <w:tcPr>
            <w:tcW w:w="836" w:type="pct"/>
            <w:gridSpan w:val="3"/>
            <w:tcBorders>
              <w:top w:val="nil"/>
              <w:left w:val="nil"/>
              <w:bottom w:val="nil"/>
              <w:right w:val="nil"/>
            </w:tcBorders>
            <w:hideMark/>
          </w:tcPr>
          <w:p w14:paraId="473D836E" w14:textId="77777777" w:rsidR="00956435" w:rsidRDefault="00956435">
            <w:pPr>
              <w:pStyle w:val="BodyText"/>
              <w:spacing w:line="276" w:lineRule="auto"/>
              <w:jc w:val="right"/>
              <w:rPr>
                <w:sz w:val="22"/>
                <w:szCs w:val="22"/>
                <w:u w:val="single"/>
              </w:rPr>
            </w:pPr>
            <w:r>
              <w:rPr>
                <w:sz w:val="22"/>
                <w:szCs w:val="22"/>
                <w:u w:val="single"/>
              </w:rPr>
              <w:t>485,718</w:t>
            </w:r>
          </w:p>
        </w:tc>
        <w:tc>
          <w:tcPr>
            <w:tcW w:w="1069" w:type="pct"/>
            <w:tcBorders>
              <w:top w:val="nil"/>
              <w:left w:val="nil"/>
              <w:bottom w:val="nil"/>
              <w:right w:val="nil"/>
            </w:tcBorders>
            <w:hideMark/>
          </w:tcPr>
          <w:p w14:paraId="1DE7F39F" w14:textId="77777777" w:rsidR="00956435" w:rsidRDefault="00956435">
            <w:pPr>
              <w:pStyle w:val="BodyText"/>
              <w:spacing w:line="276" w:lineRule="auto"/>
              <w:jc w:val="right"/>
              <w:rPr>
                <w:sz w:val="22"/>
                <w:szCs w:val="22"/>
                <w:u w:val="single"/>
              </w:rPr>
            </w:pPr>
            <w:r>
              <w:rPr>
                <w:sz w:val="22"/>
                <w:szCs w:val="22"/>
                <w:u w:val="single"/>
              </w:rPr>
              <w:t>84,158</w:t>
            </w:r>
          </w:p>
        </w:tc>
        <w:tc>
          <w:tcPr>
            <w:tcW w:w="123" w:type="pct"/>
            <w:tcBorders>
              <w:top w:val="nil"/>
              <w:left w:val="nil"/>
              <w:bottom w:val="nil"/>
              <w:right w:val="single" w:sz="4" w:space="0" w:color="auto"/>
            </w:tcBorders>
          </w:tcPr>
          <w:p w14:paraId="6679DA60" w14:textId="77777777" w:rsidR="00956435" w:rsidRDefault="00956435">
            <w:pPr>
              <w:pStyle w:val="BodyText"/>
              <w:spacing w:line="276" w:lineRule="auto"/>
              <w:rPr>
                <w:sz w:val="22"/>
                <w:szCs w:val="22"/>
              </w:rPr>
            </w:pPr>
          </w:p>
        </w:tc>
      </w:tr>
      <w:tr w:rsidR="00956435" w14:paraId="62D9145E" w14:textId="77777777" w:rsidTr="00956435">
        <w:trPr>
          <w:trHeight w:hRule="exact" w:val="289"/>
        </w:trPr>
        <w:tc>
          <w:tcPr>
            <w:tcW w:w="200" w:type="pct"/>
            <w:tcBorders>
              <w:top w:val="nil"/>
              <w:left w:val="single" w:sz="4" w:space="0" w:color="auto"/>
              <w:bottom w:val="nil"/>
              <w:right w:val="nil"/>
            </w:tcBorders>
          </w:tcPr>
          <w:p w14:paraId="11CC860F"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6E3FABB6" w14:textId="77777777" w:rsidR="00956435" w:rsidRDefault="00956435">
            <w:pPr>
              <w:pStyle w:val="BodyText"/>
              <w:spacing w:line="276" w:lineRule="auto"/>
              <w:rPr>
                <w:sz w:val="22"/>
                <w:szCs w:val="22"/>
              </w:rPr>
            </w:pPr>
            <w:r>
              <w:rPr>
                <w:sz w:val="22"/>
                <w:szCs w:val="22"/>
              </w:rPr>
              <w:t xml:space="preserve"> Total</w:t>
            </w:r>
          </w:p>
          <w:p w14:paraId="1BAB6326" w14:textId="77777777" w:rsidR="00956435" w:rsidRDefault="00956435">
            <w:pPr>
              <w:pStyle w:val="BodyText"/>
              <w:spacing w:line="276" w:lineRule="auto"/>
              <w:rPr>
                <w:sz w:val="22"/>
                <w:szCs w:val="22"/>
              </w:rPr>
            </w:pPr>
          </w:p>
          <w:p w14:paraId="1907705D"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hideMark/>
          </w:tcPr>
          <w:p w14:paraId="4D6E652B" w14:textId="77777777" w:rsidR="00956435" w:rsidRDefault="00956435">
            <w:pPr>
              <w:pStyle w:val="BodyText"/>
              <w:spacing w:line="276" w:lineRule="auto"/>
              <w:jc w:val="right"/>
              <w:rPr>
                <w:sz w:val="22"/>
                <w:szCs w:val="22"/>
                <w:u w:val="double"/>
              </w:rPr>
            </w:pPr>
            <w:r>
              <w:rPr>
                <w:sz w:val="22"/>
                <w:szCs w:val="22"/>
                <w:u w:val="double"/>
              </w:rPr>
              <w:t>$643,189</w:t>
            </w:r>
          </w:p>
        </w:tc>
        <w:tc>
          <w:tcPr>
            <w:tcW w:w="1069" w:type="pct"/>
            <w:tcBorders>
              <w:top w:val="nil"/>
              <w:left w:val="nil"/>
              <w:bottom w:val="nil"/>
              <w:right w:val="nil"/>
            </w:tcBorders>
            <w:hideMark/>
          </w:tcPr>
          <w:p w14:paraId="1F2C041B" w14:textId="77777777" w:rsidR="00956435" w:rsidRDefault="00956435">
            <w:pPr>
              <w:pStyle w:val="BodyText"/>
              <w:spacing w:line="276" w:lineRule="auto"/>
              <w:jc w:val="right"/>
              <w:rPr>
                <w:sz w:val="22"/>
                <w:szCs w:val="22"/>
                <w:u w:val="double"/>
              </w:rPr>
            </w:pPr>
            <w:r>
              <w:rPr>
                <w:sz w:val="22"/>
                <w:szCs w:val="22"/>
                <w:u w:val="double"/>
              </w:rPr>
              <w:t>$562,502</w:t>
            </w:r>
          </w:p>
        </w:tc>
        <w:tc>
          <w:tcPr>
            <w:tcW w:w="123" w:type="pct"/>
            <w:tcBorders>
              <w:top w:val="nil"/>
              <w:left w:val="nil"/>
              <w:bottom w:val="nil"/>
              <w:right w:val="single" w:sz="4" w:space="0" w:color="auto"/>
            </w:tcBorders>
          </w:tcPr>
          <w:p w14:paraId="76A63F58" w14:textId="77777777" w:rsidR="00956435" w:rsidRDefault="00956435">
            <w:pPr>
              <w:pStyle w:val="BodyText"/>
              <w:spacing w:line="276" w:lineRule="auto"/>
              <w:rPr>
                <w:sz w:val="22"/>
                <w:szCs w:val="22"/>
              </w:rPr>
            </w:pPr>
          </w:p>
        </w:tc>
      </w:tr>
      <w:tr w:rsidR="00956435" w14:paraId="3227ECEC" w14:textId="77777777" w:rsidTr="00956435">
        <w:trPr>
          <w:trHeight w:hRule="exact" w:val="289"/>
        </w:trPr>
        <w:tc>
          <w:tcPr>
            <w:tcW w:w="200" w:type="pct"/>
            <w:tcBorders>
              <w:top w:val="nil"/>
              <w:left w:val="single" w:sz="4" w:space="0" w:color="auto"/>
              <w:bottom w:val="nil"/>
              <w:right w:val="nil"/>
            </w:tcBorders>
          </w:tcPr>
          <w:p w14:paraId="3CEF4EAA"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43A9948B"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tcPr>
          <w:p w14:paraId="5BB46898" w14:textId="77777777" w:rsidR="00956435" w:rsidRDefault="00956435">
            <w:pPr>
              <w:pStyle w:val="BodyText"/>
              <w:spacing w:line="276" w:lineRule="auto"/>
              <w:jc w:val="right"/>
              <w:rPr>
                <w:sz w:val="22"/>
                <w:szCs w:val="22"/>
                <w:u w:val="double"/>
              </w:rPr>
            </w:pPr>
          </w:p>
        </w:tc>
        <w:tc>
          <w:tcPr>
            <w:tcW w:w="1069" w:type="pct"/>
            <w:tcBorders>
              <w:top w:val="nil"/>
              <w:left w:val="nil"/>
              <w:bottom w:val="nil"/>
              <w:right w:val="nil"/>
            </w:tcBorders>
          </w:tcPr>
          <w:p w14:paraId="331D6FBA" w14:textId="77777777" w:rsidR="00956435" w:rsidRDefault="00956435">
            <w:pPr>
              <w:pStyle w:val="BodyText"/>
              <w:spacing w:line="276" w:lineRule="auto"/>
              <w:jc w:val="right"/>
              <w:rPr>
                <w:sz w:val="22"/>
                <w:szCs w:val="22"/>
                <w:u w:val="double"/>
              </w:rPr>
            </w:pPr>
          </w:p>
        </w:tc>
        <w:tc>
          <w:tcPr>
            <w:tcW w:w="123" w:type="pct"/>
            <w:tcBorders>
              <w:top w:val="nil"/>
              <w:left w:val="nil"/>
              <w:bottom w:val="nil"/>
              <w:right w:val="single" w:sz="4" w:space="0" w:color="auto"/>
            </w:tcBorders>
          </w:tcPr>
          <w:p w14:paraId="0B540A9D" w14:textId="77777777" w:rsidR="00956435" w:rsidRDefault="00956435">
            <w:pPr>
              <w:pStyle w:val="BodyText"/>
              <w:spacing w:line="276" w:lineRule="auto"/>
              <w:rPr>
                <w:sz w:val="22"/>
                <w:szCs w:val="22"/>
              </w:rPr>
            </w:pPr>
          </w:p>
        </w:tc>
      </w:tr>
      <w:tr w:rsidR="00956435" w14:paraId="610239FC" w14:textId="77777777" w:rsidTr="00956435">
        <w:trPr>
          <w:trHeight w:hRule="exact" w:val="289"/>
        </w:trPr>
        <w:tc>
          <w:tcPr>
            <w:tcW w:w="200" w:type="pct"/>
            <w:tcBorders>
              <w:top w:val="nil"/>
              <w:left w:val="single" w:sz="4" w:space="0" w:color="auto"/>
              <w:bottom w:val="nil"/>
              <w:right w:val="nil"/>
            </w:tcBorders>
          </w:tcPr>
          <w:p w14:paraId="40B8E2F1"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0FE6FCCA" w14:textId="77777777" w:rsidR="00956435" w:rsidRDefault="00956435">
            <w:pPr>
              <w:pStyle w:val="BodyText"/>
              <w:spacing w:line="276" w:lineRule="auto"/>
              <w:rPr>
                <w:b/>
                <w:sz w:val="22"/>
                <w:szCs w:val="22"/>
                <w:u w:val="single"/>
              </w:rPr>
            </w:pPr>
            <w:r>
              <w:rPr>
                <w:b/>
                <w:sz w:val="22"/>
                <w:szCs w:val="22"/>
                <w:u w:val="single"/>
              </w:rPr>
              <w:t>ACCUMULATED AMORTIZATION OF CIAC</w:t>
            </w:r>
          </w:p>
          <w:p w14:paraId="2B7C7E91" w14:textId="77777777" w:rsidR="00956435" w:rsidRDefault="00956435">
            <w:pPr>
              <w:pStyle w:val="BodyText"/>
              <w:spacing w:line="276" w:lineRule="auto"/>
              <w:rPr>
                <w:b/>
                <w:sz w:val="22"/>
                <w:szCs w:val="22"/>
                <w:u w:val="single"/>
              </w:rPr>
            </w:pPr>
          </w:p>
          <w:p w14:paraId="62104875" w14:textId="77777777" w:rsidR="00956435" w:rsidRDefault="00956435">
            <w:pPr>
              <w:pStyle w:val="BodyText"/>
              <w:spacing w:line="276" w:lineRule="auto"/>
              <w:rPr>
                <w:b/>
                <w:sz w:val="22"/>
                <w:szCs w:val="22"/>
                <w:u w:val="single"/>
              </w:rPr>
            </w:pPr>
            <w:r>
              <w:rPr>
                <w:b/>
                <w:sz w:val="22"/>
                <w:szCs w:val="22"/>
                <w:u w:val="single"/>
              </w:rPr>
              <w:t>A</w:t>
            </w:r>
          </w:p>
          <w:p w14:paraId="25B88ACB" w14:textId="77777777" w:rsidR="00956435" w:rsidRDefault="00956435">
            <w:pPr>
              <w:pStyle w:val="BodyText"/>
              <w:spacing w:line="276" w:lineRule="auto"/>
              <w:rPr>
                <w:sz w:val="22"/>
                <w:szCs w:val="22"/>
              </w:rPr>
            </w:pPr>
          </w:p>
          <w:p w14:paraId="33B162DE"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tcPr>
          <w:p w14:paraId="372A9F50"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792E9088"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0A6BB4C2" w14:textId="77777777" w:rsidR="00956435" w:rsidRDefault="00956435">
            <w:pPr>
              <w:pStyle w:val="BodyText"/>
              <w:spacing w:line="276" w:lineRule="auto"/>
              <w:rPr>
                <w:sz w:val="22"/>
                <w:szCs w:val="22"/>
              </w:rPr>
            </w:pPr>
          </w:p>
        </w:tc>
      </w:tr>
      <w:tr w:rsidR="00956435" w14:paraId="472A77F7" w14:textId="77777777" w:rsidTr="00956435">
        <w:trPr>
          <w:trHeight w:hRule="exact" w:val="289"/>
        </w:trPr>
        <w:tc>
          <w:tcPr>
            <w:tcW w:w="200" w:type="pct"/>
            <w:tcBorders>
              <w:top w:val="nil"/>
              <w:left w:val="single" w:sz="4" w:space="0" w:color="auto"/>
              <w:bottom w:val="nil"/>
              <w:right w:val="nil"/>
            </w:tcBorders>
            <w:hideMark/>
          </w:tcPr>
          <w:p w14:paraId="2D776BA3" w14:textId="77777777" w:rsidR="00956435" w:rsidRDefault="00956435">
            <w:pPr>
              <w:pStyle w:val="BodyText"/>
              <w:spacing w:line="276" w:lineRule="auto"/>
              <w:rPr>
                <w:sz w:val="22"/>
                <w:szCs w:val="22"/>
              </w:rPr>
            </w:pPr>
            <w:r>
              <w:rPr>
                <w:sz w:val="22"/>
                <w:szCs w:val="22"/>
              </w:rPr>
              <w:t>1.</w:t>
            </w:r>
          </w:p>
        </w:tc>
        <w:tc>
          <w:tcPr>
            <w:tcW w:w="2772" w:type="pct"/>
            <w:tcBorders>
              <w:top w:val="nil"/>
              <w:left w:val="nil"/>
              <w:bottom w:val="nil"/>
              <w:right w:val="nil"/>
            </w:tcBorders>
          </w:tcPr>
          <w:p w14:paraId="5969260D" w14:textId="77777777" w:rsidR="00956435" w:rsidRDefault="00956435">
            <w:pPr>
              <w:pStyle w:val="BodyText"/>
              <w:spacing w:line="276" w:lineRule="auto"/>
              <w:rPr>
                <w:sz w:val="22"/>
                <w:szCs w:val="22"/>
              </w:rPr>
            </w:pPr>
            <w:r>
              <w:rPr>
                <w:sz w:val="22"/>
                <w:szCs w:val="22"/>
              </w:rPr>
              <w:t>To reflect auditing adjustments.</w:t>
            </w:r>
          </w:p>
          <w:p w14:paraId="31E5B8C2"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hideMark/>
          </w:tcPr>
          <w:p w14:paraId="54EDC3DD" w14:textId="77777777" w:rsidR="00956435" w:rsidRDefault="00956435">
            <w:pPr>
              <w:pStyle w:val="BodyText"/>
              <w:spacing w:line="276" w:lineRule="auto"/>
              <w:jc w:val="right"/>
              <w:rPr>
                <w:sz w:val="22"/>
                <w:szCs w:val="22"/>
              </w:rPr>
            </w:pPr>
            <w:r>
              <w:rPr>
                <w:sz w:val="22"/>
                <w:szCs w:val="22"/>
              </w:rPr>
              <w:t>($115,270)</w:t>
            </w:r>
          </w:p>
        </w:tc>
        <w:tc>
          <w:tcPr>
            <w:tcW w:w="1069" w:type="pct"/>
            <w:tcBorders>
              <w:top w:val="nil"/>
              <w:left w:val="nil"/>
              <w:bottom w:val="nil"/>
              <w:right w:val="nil"/>
            </w:tcBorders>
            <w:hideMark/>
          </w:tcPr>
          <w:p w14:paraId="407FE9E0" w14:textId="77777777" w:rsidR="00956435" w:rsidRDefault="00956435">
            <w:pPr>
              <w:pStyle w:val="BodyText"/>
              <w:spacing w:line="276" w:lineRule="auto"/>
              <w:jc w:val="right"/>
              <w:rPr>
                <w:sz w:val="22"/>
                <w:szCs w:val="22"/>
              </w:rPr>
            </w:pPr>
            <w:r>
              <w:rPr>
                <w:sz w:val="22"/>
                <w:szCs w:val="22"/>
              </w:rPr>
              <w:t>($90,250)</w:t>
            </w:r>
          </w:p>
        </w:tc>
        <w:tc>
          <w:tcPr>
            <w:tcW w:w="123" w:type="pct"/>
            <w:tcBorders>
              <w:top w:val="nil"/>
              <w:left w:val="nil"/>
              <w:bottom w:val="nil"/>
              <w:right w:val="single" w:sz="4" w:space="0" w:color="auto"/>
            </w:tcBorders>
          </w:tcPr>
          <w:p w14:paraId="063C0222" w14:textId="77777777" w:rsidR="00956435" w:rsidRDefault="00956435">
            <w:pPr>
              <w:pStyle w:val="BodyText"/>
              <w:spacing w:line="276" w:lineRule="auto"/>
              <w:rPr>
                <w:sz w:val="22"/>
                <w:szCs w:val="22"/>
              </w:rPr>
            </w:pPr>
          </w:p>
        </w:tc>
      </w:tr>
      <w:tr w:rsidR="00956435" w14:paraId="30DB7D60" w14:textId="77777777" w:rsidTr="00956435">
        <w:trPr>
          <w:trHeight w:hRule="exact" w:val="289"/>
        </w:trPr>
        <w:tc>
          <w:tcPr>
            <w:tcW w:w="200" w:type="pct"/>
            <w:tcBorders>
              <w:top w:val="nil"/>
              <w:left w:val="single" w:sz="4" w:space="0" w:color="auto"/>
              <w:bottom w:val="nil"/>
              <w:right w:val="nil"/>
            </w:tcBorders>
            <w:hideMark/>
          </w:tcPr>
          <w:p w14:paraId="43491F9D" w14:textId="77777777" w:rsidR="00956435" w:rsidRDefault="00956435">
            <w:pPr>
              <w:pStyle w:val="BodyText"/>
              <w:spacing w:line="276" w:lineRule="auto"/>
              <w:rPr>
                <w:sz w:val="22"/>
                <w:szCs w:val="22"/>
              </w:rPr>
            </w:pPr>
            <w:r>
              <w:rPr>
                <w:sz w:val="22"/>
                <w:szCs w:val="22"/>
              </w:rPr>
              <w:t>2.</w:t>
            </w:r>
          </w:p>
        </w:tc>
        <w:tc>
          <w:tcPr>
            <w:tcW w:w="2772" w:type="pct"/>
            <w:tcBorders>
              <w:top w:val="nil"/>
              <w:left w:val="nil"/>
              <w:bottom w:val="nil"/>
              <w:right w:val="nil"/>
            </w:tcBorders>
            <w:hideMark/>
          </w:tcPr>
          <w:p w14:paraId="674E9E8D" w14:textId="77777777" w:rsidR="00956435" w:rsidRDefault="00956435">
            <w:pPr>
              <w:pStyle w:val="BodyText"/>
              <w:spacing w:line="276" w:lineRule="auto"/>
              <w:rPr>
                <w:sz w:val="22"/>
                <w:szCs w:val="22"/>
              </w:rPr>
            </w:pPr>
            <w:r>
              <w:rPr>
                <w:sz w:val="22"/>
                <w:szCs w:val="22"/>
              </w:rPr>
              <w:t>To reflect averaging adjustments.</w:t>
            </w:r>
          </w:p>
        </w:tc>
        <w:tc>
          <w:tcPr>
            <w:tcW w:w="836" w:type="pct"/>
            <w:gridSpan w:val="3"/>
            <w:tcBorders>
              <w:top w:val="nil"/>
              <w:left w:val="nil"/>
              <w:bottom w:val="nil"/>
              <w:right w:val="nil"/>
            </w:tcBorders>
            <w:hideMark/>
          </w:tcPr>
          <w:p w14:paraId="4E25833A" w14:textId="77777777" w:rsidR="00956435" w:rsidRDefault="00956435">
            <w:pPr>
              <w:pStyle w:val="BodyText"/>
              <w:spacing w:line="276" w:lineRule="auto"/>
              <w:jc w:val="right"/>
              <w:rPr>
                <w:sz w:val="22"/>
                <w:szCs w:val="22"/>
                <w:u w:val="single"/>
              </w:rPr>
            </w:pPr>
            <w:r>
              <w:rPr>
                <w:sz w:val="22"/>
                <w:szCs w:val="22"/>
                <w:u w:val="single"/>
              </w:rPr>
              <w:t>(21,092)</w:t>
            </w:r>
          </w:p>
        </w:tc>
        <w:tc>
          <w:tcPr>
            <w:tcW w:w="1069" w:type="pct"/>
            <w:tcBorders>
              <w:top w:val="nil"/>
              <w:left w:val="nil"/>
              <w:bottom w:val="nil"/>
              <w:right w:val="nil"/>
            </w:tcBorders>
            <w:hideMark/>
          </w:tcPr>
          <w:p w14:paraId="10283984" w14:textId="77777777" w:rsidR="00956435" w:rsidRDefault="00956435">
            <w:pPr>
              <w:pStyle w:val="BodyText"/>
              <w:spacing w:line="276" w:lineRule="auto"/>
              <w:jc w:val="right"/>
              <w:rPr>
                <w:sz w:val="22"/>
                <w:szCs w:val="22"/>
                <w:u w:val="single"/>
              </w:rPr>
            </w:pPr>
            <w:r>
              <w:rPr>
                <w:sz w:val="22"/>
                <w:szCs w:val="22"/>
                <w:u w:val="single"/>
              </w:rPr>
              <w:t>(5,968)</w:t>
            </w:r>
          </w:p>
        </w:tc>
        <w:tc>
          <w:tcPr>
            <w:tcW w:w="123" w:type="pct"/>
            <w:tcBorders>
              <w:top w:val="nil"/>
              <w:left w:val="nil"/>
              <w:bottom w:val="nil"/>
              <w:right w:val="single" w:sz="4" w:space="0" w:color="auto"/>
            </w:tcBorders>
          </w:tcPr>
          <w:p w14:paraId="72333093" w14:textId="77777777" w:rsidR="00956435" w:rsidRDefault="00956435">
            <w:pPr>
              <w:pStyle w:val="BodyText"/>
              <w:spacing w:line="276" w:lineRule="auto"/>
              <w:rPr>
                <w:sz w:val="22"/>
                <w:szCs w:val="22"/>
              </w:rPr>
            </w:pPr>
          </w:p>
        </w:tc>
      </w:tr>
      <w:tr w:rsidR="00956435" w14:paraId="75CD12AE" w14:textId="77777777" w:rsidTr="00956435">
        <w:trPr>
          <w:trHeight w:hRule="exact" w:val="289"/>
        </w:trPr>
        <w:tc>
          <w:tcPr>
            <w:tcW w:w="200" w:type="pct"/>
            <w:tcBorders>
              <w:top w:val="nil"/>
              <w:left w:val="single" w:sz="4" w:space="0" w:color="auto"/>
              <w:bottom w:val="nil"/>
              <w:right w:val="nil"/>
            </w:tcBorders>
          </w:tcPr>
          <w:p w14:paraId="6F659D05"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2845BE28" w14:textId="77777777" w:rsidR="00956435" w:rsidRDefault="00956435">
            <w:pPr>
              <w:pStyle w:val="BodyText"/>
              <w:spacing w:line="276" w:lineRule="auto"/>
              <w:rPr>
                <w:sz w:val="22"/>
                <w:szCs w:val="22"/>
              </w:rPr>
            </w:pPr>
            <w:r>
              <w:rPr>
                <w:sz w:val="22"/>
                <w:szCs w:val="22"/>
              </w:rPr>
              <w:t>Total</w:t>
            </w:r>
          </w:p>
        </w:tc>
        <w:tc>
          <w:tcPr>
            <w:tcW w:w="836" w:type="pct"/>
            <w:gridSpan w:val="3"/>
            <w:tcBorders>
              <w:top w:val="nil"/>
              <w:left w:val="nil"/>
              <w:bottom w:val="nil"/>
              <w:right w:val="nil"/>
            </w:tcBorders>
            <w:hideMark/>
          </w:tcPr>
          <w:p w14:paraId="169CC965" w14:textId="77777777" w:rsidR="00956435" w:rsidRDefault="00956435">
            <w:pPr>
              <w:pStyle w:val="BodyText"/>
              <w:spacing w:line="276" w:lineRule="auto"/>
              <w:jc w:val="right"/>
              <w:rPr>
                <w:sz w:val="22"/>
                <w:szCs w:val="22"/>
                <w:u w:val="double"/>
              </w:rPr>
            </w:pPr>
            <w:r>
              <w:rPr>
                <w:sz w:val="22"/>
                <w:szCs w:val="22"/>
                <w:u w:val="double"/>
              </w:rPr>
              <w:t>($136,362)</w:t>
            </w:r>
          </w:p>
        </w:tc>
        <w:tc>
          <w:tcPr>
            <w:tcW w:w="1069" w:type="pct"/>
            <w:tcBorders>
              <w:top w:val="nil"/>
              <w:left w:val="nil"/>
              <w:bottom w:val="nil"/>
              <w:right w:val="nil"/>
            </w:tcBorders>
            <w:hideMark/>
          </w:tcPr>
          <w:p w14:paraId="17E6D866" w14:textId="77777777" w:rsidR="00956435" w:rsidRDefault="00956435">
            <w:pPr>
              <w:pStyle w:val="BodyText"/>
              <w:spacing w:line="276" w:lineRule="auto"/>
              <w:jc w:val="right"/>
              <w:rPr>
                <w:sz w:val="22"/>
                <w:szCs w:val="22"/>
                <w:u w:val="double"/>
              </w:rPr>
            </w:pPr>
            <w:r>
              <w:rPr>
                <w:sz w:val="22"/>
                <w:szCs w:val="22"/>
                <w:u w:val="double"/>
              </w:rPr>
              <w:t>($96,218)</w:t>
            </w:r>
          </w:p>
        </w:tc>
        <w:tc>
          <w:tcPr>
            <w:tcW w:w="123" w:type="pct"/>
            <w:tcBorders>
              <w:top w:val="nil"/>
              <w:left w:val="nil"/>
              <w:bottom w:val="nil"/>
              <w:right w:val="single" w:sz="4" w:space="0" w:color="auto"/>
            </w:tcBorders>
          </w:tcPr>
          <w:p w14:paraId="0E087715" w14:textId="77777777" w:rsidR="00956435" w:rsidRDefault="00956435">
            <w:pPr>
              <w:pStyle w:val="BodyText"/>
              <w:spacing w:line="276" w:lineRule="auto"/>
              <w:rPr>
                <w:sz w:val="22"/>
                <w:szCs w:val="22"/>
              </w:rPr>
            </w:pPr>
          </w:p>
        </w:tc>
      </w:tr>
      <w:tr w:rsidR="00956435" w14:paraId="27506330" w14:textId="77777777" w:rsidTr="00956435">
        <w:trPr>
          <w:trHeight w:hRule="exact" w:val="289"/>
        </w:trPr>
        <w:tc>
          <w:tcPr>
            <w:tcW w:w="200" w:type="pct"/>
            <w:tcBorders>
              <w:top w:val="nil"/>
              <w:left w:val="single" w:sz="4" w:space="0" w:color="auto"/>
              <w:bottom w:val="nil"/>
              <w:right w:val="nil"/>
            </w:tcBorders>
          </w:tcPr>
          <w:p w14:paraId="575283F0"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139C693A"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tcPr>
          <w:p w14:paraId="727DA425" w14:textId="77777777" w:rsidR="00956435" w:rsidRDefault="00956435">
            <w:pPr>
              <w:pStyle w:val="BodyText"/>
              <w:spacing w:line="276" w:lineRule="auto"/>
              <w:jc w:val="right"/>
              <w:rPr>
                <w:sz w:val="22"/>
                <w:szCs w:val="22"/>
                <w:u w:val="double"/>
              </w:rPr>
            </w:pPr>
          </w:p>
        </w:tc>
        <w:tc>
          <w:tcPr>
            <w:tcW w:w="1069" w:type="pct"/>
            <w:tcBorders>
              <w:top w:val="nil"/>
              <w:left w:val="nil"/>
              <w:bottom w:val="nil"/>
              <w:right w:val="nil"/>
            </w:tcBorders>
          </w:tcPr>
          <w:p w14:paraId="590F039F" w14:textId="77777777" w:rsidR="00956435" w:rsidRDefault="00956435">
            <w:pPr>
              <w:pStyle w:val="BodyText"/>
              <w:spacing w:line="276" w:lineRule="auto"/>
              <w:jc w:val="right"/>
              <w:rPr>
                <w:sz w:val="22"/>
                <w:szCs w:val="22"/>
                <w:u w:val="double"/>
              </w:rPr>
            </w:pPr>
          </w:p>
        </w:tc>
        <w:tc>
          <w:tcPr>
            <w:tcW w:w="123" w:type="pct"/>
            <w:tcBorders>
              <w:top w:val="nil"/>
              <w:left w:val="nil"/>
              <w:bottom w:val="nil"/>
              <w:right w:val="single" w:sz="4" w:space="0" w:color="auto"/>
            </w:tcBorders>
          </w:tcPr>
          <w:p w14:paraId="300ABF0F" w14:textId="77777777" w:rsidR="00956435" w:rsidRDefault="00956435">
            <w:pPr>
              <w:pStyle w:val="BodyText"/>
              <w:spacing w:line="276" w:lineRule="auto"/>
              <w:rPr>
                <w:sz w:val="22"/>
                <w:szCs w:val="22"/>
              </w:rPr>
            </w:pPr>
          </w:p>
        </w:tc>
      </w:tr>
      <w:tr w:rsidR="00956435" w14:paraId="503C419E" w14:textId="77777777" w:rsidTr="00956435">
        <w:trPr>
          <w:trHeight w:hRule="exact" w:val="289"/>
        </w:trPr>
        <w:tc>
          <w:tcPr>
            <w:tcW w:w="200" w:type="pct"/>
            <w:tcBorders>
              <w:top w:val="nil"/>
              <w:left w:val="single" w:sz="4" w:space="0" w:color="auto"/>
              <w:bottom w:val="nil"/>
              <w:right w:val="nil"/>
            </w:tcBorders>
          </w:tcPr>
          <w:p w14:paraId="51F9FFE1"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7EDA339A" w14:textId="77777777" w:rsidR="00956435" w:rsidRDefault="00956435">
            <w:pPr>
              <w:pStyle w:val="BodyText"/>
              <w:spacing w:line="276" w:lineRule="auto"/>
              <w:rPr>
                <w:b/>
                <w:sz w:val="22"/>
                <w:szCs w:val="22"/>
                <w:u w:val="single"/>
              </w:rPr>
            </w:pPr>
            <w:r>
              <w:rPr>
                <w:b/>
                <w:sz w:val="22"/>
                <w:szCs w:val="22"/>
                <w:u w:val="single"/>
              </w:rPr>
              <w:t>CAPITAL RECOVERY</w:t>
            </w:r>
          </w:p>
        </w:tc>
        <w:tc>
          <w:tcPr>
            <w:tcW w:w="836" w:type="pct"/>
            <w:gridSpan w:val="3"/>
            <w:tcBorders>
              <w:top w:val="nil"/>
              <w:left w:val="nil"/>
              <w:bottom w:val="nil"/>
              <w:right w:val="nil"/>
            </w:tcBorders>
          </w:tcPr>
          <w:p w14:paraId="13FA851F" w14:textId="77777777" w:rsidR="00956435" w:rsidRDefault="00956435">
            <w:pPr>
              <w:pStyle w:val="BodyText"/>
              <w:spacing w:line="276" w:lineRule="auto"/>
              <w:jc w:val="right"/>
              <w:rPr>
                <w:sz w:val="22"/>
                <w:szCs w:val="22"/>
                <w:u w:val="double"/>
              </w:rPr>
            </w:pPr>
          </w:p>
        </w:tc>
        <w:tc>
          <w:tcPr>
            <w:tcW w:w="1069" w:type="pct"/>
            <w:tcBorders>
              <w:top w:val="nil"/>
              <w:left w:val="nil"/>
              <w:bottom w:val="nil"/>
              <w:right w:val="nil"/>
            </w:tcBorders>
          </w:tcPr>
          <w:p w14:paraId="0CD1B894" w14:textId="77777777" w:rsidR="00956435" w:rsidRDefault="00956435">
            <w:pPr>
              <w:pStyle w:val="BodyText"/>
              <w:spacing w:line="276" w:lineRule="auto"/>
              <w:jc w:val="right"/>
              <w:rPr>
                <w:sz w:val="22"/>
                <w:szCs w:val="22"/>
                <w:u w:val="double"/>
              </w:rPr>
            </w:pPr>
          </w:p>
        </w:tc>
        <w:tc>
          <w:tcPr>
            <w:tcW w:w="123" w:type="pct"/>
            <w:tcBorders>
              <w:top w:val="nil"/>
              <w:left w:val="nil"/>
              <w:bottom w:val="nil"/>
              <w:right w:val="single" w:sz="4" w:space="0" w:color="auto"/>
            </w:tcBorders>
          </w:tcPr>
          <w:p w14:paraId="64A2AFB9" w14:textId="77777777" w:rsidR="00956435" w:rsidRDefault="00956435">
            <w:pPr>
              <w:pStyle w:val="BodyText"/>
              <w:spacing w:line="276" w:lineRule="auto"/>
              <w:rPr>
                <w:sz w:val="22"/>
                <w:szCs w:val="22"/>
              </w:rPr>
            </w:pPr>
          </w:p>
        </w:tc>
      </w:tr>
      <w:tr w:rsidR="00956435" w14:paraId="22ACB842" w14:textId="77777777" w:rsidTr="00956435">
        <w:trPr>
          <w:trHeight w:hRule="exact" w:val="289"/>
        </w:trPr>
        <w:tc>
          <w:tcPr>
            <w:tcW w:w="200" w:type="pct"/>
            <w:tcBorders>
              <w:top w:val="nil"/>
              <w:left w:val="single" w:sz="4" w:space="0" w:color="auto"/>
              <w:bottom w:val="nil"/>
              <w:right w:val="nil"/>
            </w:tcBorders>
          </w:tcPr>
          <w:p w14:paraId="32AE3C71"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6151800F" w14:textId="048F9D2D" w:rsidR="00956435" w:rsidRDefault="00956435" w:rsidP="003A26CB">
            <w:pPr>
              <w:pStyle w:val="BodyText"/>
              <w:spacing w:line="276" w:lineRule="auto"/>
              <w:rPr>
                <w:sz w:val="22"/>
                <w:szCs w:val="22"/>
              </w:rPr>
            </w:pPr>
            <w:r>
              <w:rPr>
                <w:sz w:val="22"/>
                <w:szCs w:val="22"/>
              </w:rPr>
              <w:t xml:space="preserve">To reflect </w:t>
            </w:r>
            <w:r w:rsidR="003A26CB">
              <w:rPr>
                <w:sz w:val="22"/>
                <w:szCs w:val="22"/>
              </w:rPr>
              <w:t>Commission</w:t>
            </w:r>
            <w:r>
              <w:rPr>
                <w:sz w:val="22"/>
                <w:szCs w:val="22"/>
              </w:rPr>
              <w:t xml:space="preserve"> adjustments.</w:t>
            </w:r>
          </w:p>
        </w:tc>
        <w:tc>
          <w:tcPr>
            <w:tcW w:w="836" w:type="pct"/>
            <w:gridSpan w:val="3"/>
            <w:tcBorders>
              <w:top w:val="nil"/>
              <w:left w:val="nil"/>
              <w:bottom w:val="nil"/>
              <w:right w:val="nil"/>
            </w:tcBorders>
            <w:hideMark/>
          </w:tcPr>
          <w:p w14:paraId="0EAAA475" w14:textId="77777777" w:rsidR="00956435" w:rsidRDefault="00956435">
            <w:pPr>
              <w:pStyle w:val="BodyText"/>
              <w:spacing w:line="276" w:lineRule="auto"/>
              <w:jc w:val="right"/>
              <w:rPr>
                <w:sz w:val="22"/>
                <w:szCs w:val="22"/>
                <w:u w:val="double"/>
              </w:rPr>
            </w:pPr>
            <w:r>
              <w:rPr>
                <w:sz w:val="22"/>
                <w:szCs w:val="22"/>
                <w:u w:val="double"/>
              </w:rPr>
              <w:t>$6,436</w:t>
            </w:r>
          </w:p>
        </w:tc>
        <w:tc>
          <w:tcPr>
            <w:tcW w:w="1069" w:type="pct"/>
            <w:tcBorders>
              <w:top w:val="nil"/>
              <w:left w:val="nil"/>
              <w:bottom w:val="nil"/>
              <w:right w:val="nil"/>
            </w:tcBorders>
            <w:hideMark/>
          </w:tcPr>
          <w:p w14:paraId="4373CA49" w14:textId="77777777" w:rsidR="00956435" w:rsidRDefault="00956435">
            <w:pPr>
              <w:pStyle w:val="BodyText"/>
              <w:spacing w:line="276" w:lineRule="auto"/>
              <w:jc w:val="right"/>
              <w:rPr>
                <w:sz w:val="22"/>
                <w:szCs w:val="22"/>
                <w:u w:val="double"/>
              </w:rPr>
            </w:pPr>
            <w:r>
              <w:rPr>
                <w:sz w:val="22"/>
                <w:szCs w:val="22"/>
                <w:u w:val="double"/>
              </w:rPr>
              <w:t>$80,115</w:t>
            </w:r>
          </w:p>
        </w:tc>
        <w:tc>
          <w:tcPr>
            <w:tcW w:w="123" w:type="pct"/>
            <w:tcBorders>
              <w:top w:val="nil"/>
              <w:left w:val="nil"/>
              <w:bottom w:val="nil"/>
              <w:right w:val="single" w:sz="4" w:space="0" w:color="auto"/>
            </w:tcBorders>
          </w:tcPr>
          <w:p w14:paraId="4C242BAF" w14:textId="77777777" w:rsidR="00956435" w:rsidRDefault="00956435">
            <w:pPr>
              <w:pStyle w:val="BodyText"/>
              <w:spacing w:line="276" w:lineRule="auto"/>
              <w:rPr>
                <w:sz w:val="22"/>
                <w:szCs w:val="22"/>
              </w:rPr>
            </w:pPr>
          </w:p>
        </w:tc>
      </w:tr>
      <w:tr w:rsidR="00956435" w14:paraId="090E0085" w14:textId="77777777" w:rsidTr="00956435">
        <w:trPr>
          <w:trHeight w:hRule="exact" w:val="289"/>
        </w:trPr>
        <w:tc>
          <w:tcPr>
            <w:tcW w:w="200" w:type="pct"/>
            <w:tcBorders>
              <w:top w:val="nil"/>
              <w:left w:val="single" w:sz="4" w:space="0" w:color="auto"/>
              <w:bottom w:val="nil"/>
              <w:right w:val="nil"/>
            </w:tcBorders>
          </w:tcPr>
          <w:p w14:paraId="57259417"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57AF2792" w14:textId="77777777" w:rsidR="00956435" w:rsidRDefault="00956435">
            <w:pPr>
              <w:pStyle w:val="BodyText"/>
              <w:spacing w:line="276" w:lineRule="auto"/>
              <w:rPr>
                <w:sz w:val="22"/>
                <w:szCs w:val="22"/>
              </w:rPr>
            </w:pPr>
          </w:p>
        </w:tc>
        <w:tc>
          <w:tcPr>
            <w:tcW w:w="836" w:type="pct"/>
            <w:gridSpan w:val="3"/>
            <w:tcBorders>
              <w:top w:val="nil"/>
              <w:left w:val="nil"/>
              <w:bottom w:val="nil"/>
              <w:right w:val="nil"/>
            </w:tcBorders>
          </w:tcPr>
          <w:p w14:paraId="758DF77C" w14:textId="77777777" w:rsidR="00956435" w:rsidRDefault="00956435">
            <w:pPr>
              <w:pStyle w:val="BodyText"/>
              <w:spacing w:line="276" w:lineRule="auto"/>
              <w:jc w:val="right"/>
              <w:rPr>
                <w:sz w:val="22"/>
                <w:szCs w:val="22"/>
                <w:u w:val="double"/>
              </w:rPr>
            </w:pPr>
          </w:p>
        </w:tc>
        <w:tc>
          <w:tcPr>
            <w:tcW w:w="1069" w:type="pct"/>
            <w:tcBorders>
              <w:top w:val="nil"/>
              <w:left w:val="nil"/>
              <w:bottom w:val="nil"/>
              <w:right w:val="nil"/>
            </w:tcBorders>
          </w:tcPr>
          <w:p w14:paraId="625C3C04" w14:textId="77777777" w:rsidR="00956435" w:rsidRDefault="00956435">
            <w:pPr>
              <w:pStyle w:val="BodyText"/>
              <w:spacing w:line="276" w:lineRule="auto"/>
              <w:jc w:val="right"/>
              <w:rPr>
                <w:sz w:val="22"/>
                <w:szCs w:val="22"/>
                <w:u w:val="double"/>
              </w:rPr>
            </w:pPr>
          </w:p>
        </w:tc>
        <w:tc>
          <w:tcPr>
            <w:tcW w:w="123" w:type="pct"/>
            <w:tcBorders>
              <w:top w:val="nil"/>
              <w:left w:val="nil"/>
              <w:bottom w:val="nil"/>
              <w:right w:val="single" w:sz="4" w:space="0" w:color="auto"/>
            </w:tcBorders>
          </w:tcPr>
          <w:p w14:paraId="07775BEB" w14:textId="77777777" w:rsidR="00956435" w:rsidRDefault="00956435">
            <w:pPr>
              <w:pStyle w:val="BodyText"/>
              <w:spacing w:line="276" w:lineRule="auto"/>
              <w:rPr>
                <w:sz w:val="22"/>
                <w:szCs w:val="22"/>
              </w:rPr>
            </w:pPr>
          </w:p>
        </w:tc>
      </w:tr>
      <w:tr w:rsidR="00956435" w14:paraId="3B67500C" w14:textId="77777777" w:rsidTr="00956435">
        <w:trPr>
          <w:trHeight w:hRule="exact" w:val="289"/>
        </w:trPr>
        <w:tc>
          <w:tcPr>
            <w:tcW w:w="200" w:type="pct"/>
            <w:tcBorders>
              <w:top w:val="nil"/>
              <w:left w:val="single" w:sz="4" w:space="0" w:color="auto"/>
              <w:bottom w:val="nil"/>
              <w:right w:val="nil"/>
            </w:tcBorders>
          </w:tcPr>
          <w:p w14:paraId="79369FFE"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3FA4BD86" w14:textId="77777777" w:rsidR="00956435" w:rsidRDefault="00956435">
            <w:pPr>
              <w:pStyle w:val="BodyText"/>
              <w:spacing w:line="276" w:lineRule="auto"/>
              <w:rPr>
                <w:b/>
                <w:sz w:val="22"/>
                <w:szCs w:val="22"/>
                <w:u w:val="single"/>
              </w:rPr>
            </w:pPr>
            <w:r>
              <w:rPr>
                <w:b/>
                <w:sz w:val="22"/>
                <w:szCs w:val="22"/>
                <w:u w:val="single"/>
              </w:rPr>
              <w:t>ACCUMULATED CAPITAL RECOVERY</w:t>
            </w:r>
          </w:p>
          <w:p w14:paraId="2E078709" w14:textId="77777777" w:rsidR="00956435" w:rsidRDefault="00956435">
            <w:pPr>
              <w:pStyle w:val="BodyText"/>
              <w:spacing w:line="276" w:lineRule="auto"/>
              <w:rPr>
                <w:b/>
                <w:sz w:val="22"/>
                <w:szCs w:val="22"/>
                <w:u w:val="single"/>
              </w:rPr>
            </w:pPr>
          </w:p>
        </w:tc>
        <w:tc>
          <w:tcPr>
            <w:tcW w:w="836" w:type="pct"/>
            <w:gridSpan w:val="3"/>
            <w:tcBorders>
              <w:top w:val="nil"/>
              <w:left w:val="nil"/>
              <w:bottom w:val="nil"/>
              <w:right w:val="nil"/>
            </w:tcBorders>
          </w:tcPr>
          <w:p w14:paraId="71D43770" w14:textId="77777777" w:rsidR="00956435" w:rsidRDefault="00956435">
            <w:pPr>
              <w:pStyle w:val="BodyText"/>
              <w:spacing w:line="276" w:lineRule="auto"/>
              <w:jc w:val="right"/>
              <w:rPr>
                <w:sz w:val="22"/>
                <w:szCs w:val="22"/>
                <w:u w:val="double"/>
              </w:rPr>
            </w:pPr>
          </w:p>
        </w:tc>
        <w:tc>
          <w:tcPr>
            <w:tcW w:w="1069" w:type="pct"/>
            <w:tcBorders>
              <w:top w:val="nil"/>
              <w:left w:val="nil"/>
              <w:bottom w:val="nil"/>
              <w:right w:val="nil"/>
            </w:tcBorders>
          </w:tcPr>
          <w:p w14:paraId="755FB55A" w14:textId="77777777" w:rsidR="00956435" w:rsidRDefault="00956435">
            <w:pPr>
              <w:pStyle w:val="BodyText"/>
              <w:spacing w:line="276" w:lineRule="auto"/>
              <w:jc w:val="right"/>
              <w:rPr>
                <w:sz w:val="22"/>
                <w:szCs w:val="22"/>
                <w:u w:val="double"/>
              </w:rPr>
            </w:pPr>
          </w:p>
        </w:tc>
        <w:tc>
          <w:tcPr>
            <w:tcW w:w="123" w:type="pct"/>
            <w:tcBorders>
              <w:top w:val="nil"/>
              <w:left w:val="nil"/>
              <w:bottom w:val="nil"/>
              <w:right w:val="single" w:sz="4" w:space="0" w:color="auto"/>
            </w:tcBorders>
          </w:tcPr>
          <w:p w14:paraId="73BD2CA9" w14:textId="77777777" w:rsidR="00956435" w:rsidRDefault="00956435">
            <w:pPr>
              <w:pStyle w:val="BodyText"/>
              <w:spacing w:line="276" w:lineRule="auto"/>
              <w:rPr>
                <w:sz w:val="22"/>
                <w:szCs w:val="22"/>
              </w:rPr>
            </w:pPr>
          </w:p>
        </w:tc>
      </w:tr>
      <w:tr w:rsidR="00956435" w14:paraId="5AFBA1D6" w14:textId="77777777" w:rsidTr="00956435">
        <w:trPr>
          <w:trHeight w:hRule="exact" w:val="289"/>
        </w:trPr>
        <w:tc>
          <w:tcPr>
            <w:tcW w:w="200" w:type="pct"/>
            <w:tcBorders>
              <w:top w:val="nil"/>
              <w:left w:val="single" w:sz="4" w:space="0" w:color="auto"/>
              <w:bottom w:val="nil"/>
              <w:right w:val="nil"/>
            </w:tcBorders>
          </w:tcPr>
          <w:p w14:paraId="0576B18F"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35865C38" w14:textId="6D1BA7A1" w:rsidR="00956435" w:rsidRDefault="003A26CB">
            <w:pPr>
              <w:pStyle w:val="BodyText"/>
              <w:spacing w:line="276" w:lineRule="auto"/>
              <w:rPr>
                <w:sz w:val="22"/>
                <w:szCs w:val="22"/>
              </w:rPr>
            </w:pPr>
            <w:r>
              <w:rPr>
                <w:sz w:val="22"/>
                <w:szCs w:val="22"/>
              </w:rPr>
              <w:t>To reflect Commission</w:t>
            </w:r>
            <w:r w:rsidR="00956435">
              <w:rPr>
                <w:sz w:val="22"/>
                <w:szCs w:val="22"/>
              </w:rPr>
              <w:t xml:space="preserve"> adjustments.</w:t>
            </w:r>
          </w:p>
        </w:tc>
        <w:tc>
          <w:tcPr>
            <w:tcW w:w="836" w:type="pct"/>
            <w:gridSpan w:val="3"/>
            <w:tcBorders>
              <w:top w:val="nil"/>
              <w:left w:val="nil"/>
              <w:bottom w:val="nil"/>
              <w:right w:val="nil"/>
            </w:tcBorders>
            <w:hideMark/>
          </w:tcPr>
          <w:p w14:paraId="7E8C9CB1" w14:textId="77777777" w:rsidR="00956435" w:rsidRDefault="00956435">
            <w:pPr>
              <w:pStyle w:val="BodyText"/>
              <w:spacing w:line="276" w:lineRule="auto"/>
              <w:jc w:val="right"/>
              <w:rPr>
                <w:sz w:val="22"/>
                <w:szCs w:val="22"/>
                <w:u w:val="double"/>
              </w:rPr>
            </w:pPr>
            <w:r>
              <w:rPr>
                <w:sz w:val="22"/>
                <w:szCs w:val="22"/>
                <w:u w:val="double"/>
              </w:rPr>
              <w:t>($322)</w:t>
            </w:r>
          </w:p>
        </w:tc>
        <w:tc>
          <w:tcPr>
            <w:tcW w:w="1069" w:type="pct"/>
            <w:tcBorders>
              <w:top w:val="nil"/>
              <w:left w:val="nil"/>
              <w:bottom w:val="nil"/>
              <w:right w:val="nil"/>
            </w:tcBorders>
            <w:hideMark/>
          </w:tcPr>
          <w:p w14:paraId="73643606" w14:textId="77777777" w:rsidR="00956435" w:rsidRDefault="00956435">
            <w:pPr>
              <w:pStyle w:val="BodyText"/>
              <w:spacing w:line="276" w:lineRule="auto"/>
              <w:jc w:val="right"/>
              <w:rPr>
                <w:sz w:val="22"/>
                <w:szCs w:val="22"/>
                <w:u w:val="double"/>
              </w:rPr>
            </w:pPr>
            <w:r>
              <w:rPr>
                <w:sz w:val="22"/>
                <w:szCs w:val="22"/>
                <w:u w:val="double"/>
              </w:rPr>
              <w:t>($4,006)</w:t>
            </w:r>
          </w:p>
        </w:tc>
        <w:tc>
          <w:tcPr>
            <w:tcW w:w="123" w:type="pct"/>
            <w:tcBorders>
              <w:top w:val="nil"/>
              <w:left w:val="nil"/>
              <w:bottom w:val="nil"/>
              <w:right w:val="single" w:sz="4" w:space="0" w:color="auto"/>
            </w:tcBorders>
          </w:tcPr>
          <w:p w14:paraId="66796A9B" w14:textId="77777777" w:rsidR="00956435" w:rsidRDefault="00956435">
            <w:pPr>
              <w:pStyle w:val="BodyText"/>
              <w:spacing w:line="276" w:lineRule="auto"/>
              <w:rPr>
                <w:sz w:val="22"/>
                <w:szCs w:val="22"/>
              </w:rPr>
            </w:pPr>
          </w:p>
        </w:tc>
      </w:tr>
      <w:tr w:rsidR="00956435" w14:paraId="6F7E1060" w14:textId="77777777" w:rsidTr="00956435">
        <w:trPr>
          <w:trHeight w:hRule="exact" w:val="289"/>
        </w:trPr>
        <w:tc>
          <w:tcPr>
            <w:tcW w:w="200" w:type="pct"/>
            <w:tcBorders>
              <w:top w:val="nil"/>
              <w:left w:val="single" w:sz="4" w:space="0" w:color="auto"/>
              <w:bottom w:val="nil"/>
              <w:right w:val="nil"/>
            </w:tcBorders>
          </w:tcPr>
          <w:p w14:paraId="027C6D4E" w14:textId="77777777" w:rsidR="00956435" w:rsidRDefault="00956435">
            <w:pPr>
              <w:pStyle w:val="BodyText"/>
              <w:spacing w:line="276" w:lineRule="auto"/>
              <w:rPr>
                <w:sz w:val="22"/>
                <w:szCs w:val="22"/>
              </w:rPr>
            </w:pPr>
          </w:p>
        </w:tc>
        <w:tc>
          <w:tcPr>
            <w:tcW w:w="2772" w:type="pct"/>
            <w:tcBorders>
              <w:top w:val="nil"/>
              <w:left w:val="nil"/>
              <w:bottom w:val="nil"/>
              <w:right w:val="nil"/>
            </w:tcBorders>
          </w:tcPr>
          <w:p w14:paraId="7A7A05A6" w14:textId="77777777" w:rsidR="00956435" w:rsidRDefault="00956435">
            <w:pPr>
              <w:pStyle w:val="BodyText"/>
              <w:spacing w:line="276" w:lineRule="auto"/>
              <w:rPr>
                <w:b/>
                <w:sz w:val="22"/>
                <w:szCs w:val="22"/>
                <w:u w:val="single"/>
              </w:rPr>
            </w:pPr>
          </w:p>
        </w:tc>
        <w:tc>
          <w:tcPr>
            <w:tcW w:w="836" w:type="pct"/>
            <w:gridSpan w:val="3"/>
            <w:tcBorders>
              <w:top w:val="nil"/>
              <w:left w:val="nil"/>
              <w:bottom w:val="nil"/>
              <w:right w:val="nil"/>
            </w:tcBorders>
          </w:tcPr>
          <w:p w14:paraId="3637B9FA"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12E6825E"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3023FBC2" w14:textId="77777777" w:rsidR="00956435" w:rsidRDefault="00956435">
            <w:pPr>
              <w:pStyle w:val="BodyText"/>
              <w:spacing w:line="276" w:lineRule="auto"/>
              <w:rPr>
                <w:sz w:val="22"/>
                <w:szCs w:val="22"/>
              </w:rPr>
            </w:pPr>
          </w:p>
        </w:tc>
      </w:tr>
      <w:tr w:rsidR="00956435" w14:paraId="1097CC7B" w14:textId="77777777" w:rsidTr="00956435">
        <w:trPr>
          <w:trHeight w:hRule="exact" w:val="289"/>
        </w:trPr>
        <w:tc>
          <w:tcPr>
            <w:tcW w:w="200" w:type="pct"/>
            <w:tcBorders>
              <w:top w:val="nil"/>
              <w:left w:val="single" w:sz="4" w:space="0" w:color="auto"/>
              <w:bottom w:val="nil"/>
              <w:right w:val="nil"/>
            </w:tcBorders>
          </w:tcPr>
          <w:p w14:paraId="524716FA"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0C496870" w14:textId="77777777" w:rsidR="00956435" w:rsidRDefault="00956435">
            <w:pPr>
              <w:pStyle w:val="BodyText"/>
              <w:spacing w:line="276" w:lineRule="auto"/>
              <w:rPr>
                <w:b/>
                <w:sz w:val="22"/>
                <w:szCs w:val="22"/>
                <w:u w:val="single"/>
              </w:rPr>
            </w:pPr>
            <w:r>
              <w:rPr>
                <w:b/>
                <w:sz w:val="22"/>
                <w:szCs w:val="22"/>
                <w:u w:val="single"/>
              </w:rPr>
              <w:t>WORKING CAPITAL ALLOWANCE</w:t>
            </w:r>
          </w:p>
        </w:tc>
        <w:tc>
          <w:tcPr>
            <w:tcW w:w="836" w:type="pct"/>
            <w:gridSpan w:val="3"/>
            <w:tcBorders>
              <w:top w:val="nil"/>
              <w:left w:val="nil"/>
              <w:bottom w:val="nil"/>
              <w:right w:val="nil"/>
            </w:tcBorders>
          </w:tcPr>
          <w:p w14:paraId="77384E93" w14:textId="77777777" w:rsidR="00956435" w:rsidRDefault="00956435">
            <w:pPr>
              <w:pStyle w:val="BodyText"/>
              <w:spacing w:line="276" w:lineRule="auto"/>
              <w:jc w:val="right"/>
              <w:rPr>
                <w:sz w:val="22"/>
                <w:szCs w:val="22"/>
              </w:rPr>
            </w:pPr>
          </w:p>
        </w:tc>
        <w:tc>
          <w:tcPr>
            <w:tcW w:w="1069" w:type="pct"/>
            <w:tcBorders>
              <w:top w:val="nil"/>
              <w:left w:val="nil"/>
              <w:bottom w:val="nil"/>
              <w:right w:val="nil"/>
            </w:tcBorders>
          </w:tcPr>
          <w:p w14:paraId="462B5EF4" w14:textId="77777777" w:rsidR="00956435" w:rsidRDefault="00956435">
            <w:pPr>
              <w:pStyle w:val="BodyText"/>
              <w:spacing w:line="276" w:lineRule="auto"/>
              <w:jc w:val="right"/>
              <w:rPr>
                <w:sz w:val="22"/>
                <w:szCs w:val="22"/>
              </w:rPr>
            </w:pPr>
          </w:p>
        </w:tc>
        <w:tc>
          <w:tcPr>
            <w:tcW w:w="123" w:type="pct"/>
            <w:tcBorders>
              <w:top w:val="nil"/>
              <w:left w:val="nil"/>
              <w:bottom w:val="nil"/>
              <w:right w:val="single" w:sz="4" w:space="0" w:color="auto"/>
            </w:tcBorders>
          </w:tcPr>
          <w:p w14:paraId="08E692BB" w14:textId="77777777" w:rsidR="00956435" w:rsidRDefault="00956435">
            <w:pPr>
              <w:pStyle w:val="BodyText"/>
              <w:spacing w:line="276" w:lineRule="auto"/>
              <w:rPr>
                <w:sz w:val="22"/>
                <w:szCs w:val="22"/>
              </w:rPr>
            </w:pPr>
          </w:p>
        </w:tc>
      </w:tr>
      <w:tr w:rsidR="00956435" w14:paraId="77C64030" w14:textId="77777777" w:rsidTr="00956435">
        <w:trPr>
          <w:trHeight w:hRule="exact" w:val="289"/>
        </w:trPr>
        <w:tc>
          <w:tcPr>
            <w:tcW w:w="200" w:type="pct"/>
            <w:tcBorders>
              <w:top w:val="nil"/>
              <w:left w:val="single" w:sz="4" w:space="0" w:color="auto"/>
              <w:bottom w:val="nil"/>
              <w:right w:val="nil"/>
            </w:tcBorders>
          </w:tcPr>
          <w:p w14:paraId="2A8C352B" w14:textId="77777777" w:rsidR="00956435" w:rsidRDefault="00956435">
            <w:pPr>
              <w:pStyle w:val="BodyText"/>
              <w:spacing w:line="276" w:lineRule="auto"/>
              <w:rPr>
                <w:sz w:val="22"/>
                <w:szCs w:val="22"/>
              </w:rPr>
            </w:pPr>
          </w:p>
        </w:tc>
        <w:tc>
          <w:tcPr>
            <w:tcW w:w="2772" w:type="pct"/>
            <w:tcBorders>
              <w:top w:val="nil"/>
              <w:left w:val="nil"/>
              <w:bottom w:val="nil"/>
              <w:right w:val="nil"/>
            </w:tcBorders>
            <w:hideMark/>
          </w:tcPr>
          <w:p w14:paraId="5FE08C15" w14:textId="77777777" w:rsidR="00956435" w:rsidRDefault="00956435">
            <w:pPr>
              <w:pStyle w:val="BodyText"/>
              <w:spacing w:line="276" w:lineRule="auto"/>
              <w:rPr>
                <w:sz w:val="22"/>
                <w:szCs w:val="22"/>
              </w:rPr>
            </w:pPr>
            <w:r>
              <w:rPr>
                <w:sz w:val="22"/>
                <w:szCs w:val="22"/>
              </w:rPr>
              <w:t>To reflect 1/8 of test year O&amp;M expenses.</w:t>
            </w:r>
          </w:p>
        </w:tc>
        <w:tc>
          <w:tcPr>
            <w:tcW w:w="836" w:type="pct"/>
            <w:gridSpan w:val="3"/>
            <w:tcBorders>
              <w:top w:val="nil"/>
              <w:left w:val="nil"/>
              <w:bottom w:val="nil"/>
              <w:right w:val="nil"/>
            </w:tcBorders>
            <w:hideMark/>
          </w:tcPr>
          <w:p w14:paraId="446AFD30" w14:textId="77777777" w:rsidR="00956435" w:rsidRDefault="00956435">
            <w:pPr>
              <w:pStyle w:val="BodyText"/>
              <w:spacing w:line="276" w:lineRule="auto"/>
              <w:jc w:val="right"/>
              <w:rPr>
                <w:sz w:val="22"/>
                <w:szCs w:val="22"/>
                <w:u w:val="double"/>
              </w:rPr>
            </w:pPr>
            <w:r>
              <w:rPr>
                <w:sz w:val="22"/>
                <w:szCs w:val="22"/>
                <w:u w:val="double"/>
              </w:rPr>
              <w:t>$53,627</w:t>
            </w:r>
          </w:p>
        </w:tc>
        <w:tc>
          <w:tcPr>
            <w:tcW w:w="1069" w:type="pct"/>
            <w:tcBorders>
              <w:top w:val="nil"/>
              <w:left w:val="nil"/>
              <w:bottom w:val="nil"/>
              <w:right w:val="nil"/>
            </w:tcBorders>
            <w:hideMark/>
          </w:tcPr>
          <w:p w14:paraId="577FE211" w14:textId="77777777" w:rsidR="00956435" w:rsidRDefault="00956435">
            <w:pPr>
              <w:pStyle w:val="BodyText"/>
              <w:spacing w:line="276" w:lineRule="auto"/>
              <w:jc w:val="right"/>
              <w:rPr>
                <w:sz w:val="22"/>
                <w:szCs w:val="22"/>
                <w:u w:val="double"/>
              </w:rPr>
            </w:pPr>
            <w:r>
              <w:rPr>
                <w:sz w:val="22"/>
                <w:szCs w:val="22"/>
                <w:u w:val="double"/>
              </w:rPr>
              <w:t>$55,487</w:t>
            </w:r>
          </w:p>
        </w:tc>
        <w:tc>
          <w:tcPr>
            <w:tcW w:w="123" w:type="pct"/>
            <w:tcBorders>
              <w:top w:val="nil"/>
              <w:left w:val="nil"/>
              <w:bottom w:val="nil"/>
              <w:right w:val="single" w:sz="4" w:space="0" w:color="auto"/>
            </w:tcBorders>
          </w:tcPr>
          <w:p w14:paraId="601098E4" w14:textId="77777777" w:rsidR="00956435" w:rsidRDefault="00956435">
            <w:pPr>
              <w:pStyle w:val="BodyText"/>
              <w:spacing w:line="276" w:lineRule="auto"/>
              <w:rPr>
                <w:sz w:val="22"/>
                <w:szCs w:val="22"/>
              </w:rPr>
            </w:pPr>
          </w:p>
        </w:tc>
      </w:tr>
      <w:tr w:rsidR="00956435" w14:paraId="57C10392" w14:textId="77777777" w:rsidTr="00956435">
        <w:trPr>
          <w:trHeight w:hRule="exact" w:val="289"/>
        </w:trPr>
        <w:tc>
          <w:tcPr>
            <w:tcW w:w="200" w:type="pct"/>
            <w:tcBorders>
              <w:top w:val="nil"/>
              <w:left w:val="single" w:sz="4" w:space="0" w:color="auto"/>
              <w:bottom w:val="single" w:sz="4" w:space="0" w:color="auto"/>
              <w:right w:val="nil"/>
            </w:tcBorders>
          </w:tcPr>
          <w:p w14:paraId="0B9957B8" w14:textId="77777777" w:rsidR="00956435" w:rsidRDefault="00956435">
            <w:pPr>
              <w:pStyle w:val="BodyText"/>
              <w:spacing w:line="276" w:lineRule="auto"/>
              <w:rPr>
                <w:sz w:val="22"/>
                <w:szCs w:val="22"/>
              </w:rPr>
            </w:pPr>
          </w:p>
        </w:tc>
        <w:tc>
          <w:tcPr>
            <w:tcW w:w="2772" w:type="pct"/>
            <w:tcBorders>
              <w:top w:val="nil"/>
              <w:left w:val="nil"/>
              <w:bottom w:val="single" w:sz="4" w:space="0" w:color="auto"/>
              <w:right w:val="nil"/>
            </w:tcBorders>
          </w:tcPr>
          <w:p w14:paraId="14C6DF13" w14:textId="77777777" w:rsidR="00956435" w:rsidRDefault="00956435">
            <w:pPr>
              <w:pStyle w:val="BodyText"/>
              <w:spacing w:line="276" w:lineRule="auto"/>
              <w:rPr>
                <w:sz w:val="22"/>
                <w:szCs w:val="22"/>
              </w:rPr>
            </w:pPr>
          </w:p>
        </w:tc>
        <w:tc>
          <w:tcPr>
            <w:tcW w:w="836" w:type="pct"/>
            <w:gridSpan w:val="3"/>
            <w:tcBorders>
              <w:top w:val="nil"/>
              <w:left w:val="nil"/>
              <w:bottom w:val="single" w:sz="4" w:space="0" w:color="auto"/>
              <w:right w:val="nil"/>
            </w:tcBorders>
          </w:tcPr>
          <w:p w14:paraId="2C689C58" w14:textId="77777777" w:rsidR="00956435" w:rsidRDefault="00956435">
            <w:pPr>
              <w:pStyle w:val="BodyText"/>
              <w:spacing w:line="276" w:lineRule="auto"/>
              <w:rPr>
                <w:sz w:val="22"/>
                <w:szCs w:val="22"/>
              </w:rPr>
            </w:pPr>
          </w:p>
        </w:tc>
        <w:tc>
          <w:tcPr>
            <w:tcW w:w="1069" w:type="pct"/>
            <w:tcBorders>
              <w:top w:val="nil"/>
              <w:left w:val="nil"/>
              <w:bottom w:val="single" w:sz="4" w:space="0" w:color="auto"/>
              <w:right w:val="nil"/>
            </w:tcBorders>
          </w:tcPr>
          <w:p w14:paraId="44429789" w14:textId="77777777" w:rsidR="00956435" w:rsidRDefault="00956435">
            <w:pPr>
              <w:pStyle w:val="BodyText"/>
              <w:spacing w:line="276" w:lineRule="auto"/>
              <w:rPr>
                <w:sz w:val="22"/>
                <w:szCs w:val="22"/>
              </w:rPr>
            </w:pPr>
          </w:p>
        </w:tc>
        <w:tc>
          <w:tcPr>
            <w:tcW w:w="123" w:type="pct"/>
            <w:tcBorders>
              <w:top w:val="nil"/>
              <w:left w:val="nil"/>
              <w:bottom w:val="single" w:sz="4" w:space="0" w:color="auto"/>
              <w:right w:val="single" w:sz="4" w:space="0" w:color="auto"/>
            </w:tcBorders>
          </w:tcPr>
          <w:p w14:paraId="49BC4C1E" w14:textId="77777777" w:rsidR="00956435" w:rsidRDefault="00956435">
            <w:pPr>
              <w:pStyle w:val="BodyText"/>
              <w:spacing w:line="276" w:lineRule="auto"/>
              <w:rPr>
                <w:sz w:val="22"/>
                <w:szCs w:val="22"/>
              </w:rPr>
            </w:pPr>
          </w:p>
        </w:tc>
      </w:tr>
    </w:tbl>
    <w:p w14:paraId="22B2EEBA" w14:textId="77777777" w:rsidR="00956435" w:rsidRDefault="00956435" w:rsidP="0045691E">
      <w:pPr>
        <w:pStyle w:val="OrderBody"/>
      </w:pPr>
    </w:p>
    <w:p w14:paraId="457D249F" w14:textId="77777777" w:rsidR="00956435" w:rsidRDefault="00956435" w:rsidP="0045691E">
      <w:pPr>
        <w:pStyle w:val="OrderBody"/>
        <w:sectPr w:rsidR="00956435">
          <w:headerReference w:type="first" r:id="rId14"/>
          <w:pgSz w:w="12240" w:h="15840" w:code="1"/>
          <w:pgMar w:top="1440" w:right="1440" w:bottom="1440" w:left="1440" w:header="720" w:footer="720" w:gutter="0"/>
          <w:cols w:space="720"/>
          <w:titlePg/>
          <w:docGrid w:linePitch="360"/>
        </w:sectPr>
      </w:pPr>
    </w:p>
    <w:p w14:paraId="6CF2B370" w14:textId="77777777" w:rsidR="00956435" w:rsidRDefault="00956435" w:rsidP="0045691E">
      <w:pPr>
        <w:pStyle w:val="OrderBody"/>
      </w:pPr>
    </w:p>
    <w:p w14:paraId="35DABB10" w14:textId="77777777" w:rsidR="00956435" w:rsidRDefault="00956435" w:rsidP="0045691E">
      <w:pPr>
        <w:pStyle w:val="OrderBody"/>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2682"/>
        <w:gridCol w:w="1116"/>
        <w:gridCol w:w="1167"/>
        <w:gridCol w:w="1277"/>
        <w:gridCol w:w="1324"/>
        <w:gridCol w:w="1572"/>
        <w:gridCol w:w="1211"/>
        <w:gridCol w:w="833"/>
        <w:gridCol w:w="1406"/>
        <w:gridCol w:w="222"/>
      </w:tblGrid>
      <w:tr w:rsidR="00956435" w14:paraId="0228EA56" w14:textId="77777777" w:rsidTr="00956435">
        <w:trPr>
          <w:trHeight w:hRule="exact" w:val="288"/>
        </w:trPr>
        <w:tc>
          <w:tcPr>
            <w:tcW w:w="150" w:type="pct"/>
            <w:tcBorders>
              <w:top w:val="single" w:sz="4" w:space="0" w:color="auto"/>
              <w:left w:val="single" w:sz="4" w:space="0" w:color="auto"/>
              <w:bottom w:val="nil"/>
              <w:right w:val="nil"/>
            </w:tcBorders>
          </w:tcPr>
          <w:p w14:paraId="23471388" w14:textId="77777777" w:rsidR="00956435" w:rsidRDefault="00956435">
            <w:pPr>
              <w:pStyle w:val="BodyText"/>
              <w:spacing w:line="276" w:lineRule="auto"/>
              <w:rPr>
                <w:b/>
                <w:sz w:val="20"/>
                <w:szCs w:val="20"/>
              </w:rPr>
            </w:pPr>
          </w:p>
        </w:tc>
        <w:tc>
          <w:tcPr>
            <w:tcW w:w="2933" w:type="pct"/>
            <w:gridSpan w:val="5"/>
            <w:tcBorders>
              <w:top w:val="single" w:sz="4" w:space="0" w:color="auto"/>
              <w:left w:val="nil"/>
              <w:bottom w:val="nil"/>
              <w:right w:val="nil"/>
            </w:tcBorders>
            <w:hideMark/>
          </w:tcPr>
          <w:p w14:paraId="78C4FD27" w14:textId="77777777" w:rsidR="00956435" w:rsidRDefault="00956435">
            <w:pPr>
              <w:pStyle w:val="BodyText"/>
              <w:spacing w:line="276" w:lineRule="auto"/>
              <w:rPr>
                <w:b/>
                <w:sz w:val="22"/>
                <w:szCs w:val="20"/>
              </w:rPr>
            </w:pPr>
            <w:r>
              <w:rPr>
                <w:b/>
              </w:rPr>
              <w:t xml:space="preserve">NC REAL ESTATE PROJECTS, LLC D/B/A </w:t>
            </w:r>
            <w:r>
              <w:fldChar w:fldCharType="begin"/>
            </w:r>
            <w:r>
              <w:instrText xml:space="preserve"> TC " Schedule No. 2-A Schedule of Capital Structure (Keen Subdivision)" \l 1 </w:instrText>
            </w:r>
            <w:r>
              <w:fldChar w:fldCharType="end"/>
            </w:r>
            <w:r>
              <w:rPr>
                <w:b/>
                <w:sz w:val="22"/>
              </w:rPr>
              <w:t>GRENELEFE UTILITY</w:t>
            </w:r>
          </w:p>
        </w:tc>
        <w:tc>
          <w:tcPr>
            <w:tcW w:w="1830" w:type="pct"/>
            <w:gridSpan w:val="4"/>
            <w:tcBorders>
              <w:top w:val="single" w:sz="4" w:space="0" w:color="auto"/>
              <w:left w:val="nil"/>
              <w:bottom w:val="nil"/>
              <w:right w:val="nil"/>
            </w:tcBorders>
            <w:hideMark/>
          </w:tcPr>
          <w:p w14:paraId="3830BC93" w14:textId="77777777" w:rsidR="00956435" w:rsidRDefault="00956435">
            <w:pPr>
              <w:pStyle w:val="BodyText"/>
              <w:spacing w:line="276" w:lineRule="auto"/>
              <w:jc w:val="right"/>
              <w:rPr>
                <w:b/>
                <w:sz w:val="20"/>
                <w:szCs w:val="20"/>
              </w:rPr>
            </w:pPr>
            <w:r>
              <w:rPr>
                <w:b/>
                <w:sz w:val="20"/>
                <w:szCs w:val="20"/>
              </w:rPr>
              <w:t>SCHEDULE NO. 2</w:t>
            </w:r>
          </w:p>
        </w:tc>
        <w:tc>
          <w:tcPr>
            <w:tcW w:w="87" w:type="pct"/>
            <w:tcBorders>
              <w:top w:val="single" w:sz="4" w:space="0" w:color="auto"/>
              <w:left w:val="nil"/>
              <w:bottom w:val="nil"/>
              <w:right w:val="single" w:sz="4" w:space="0" w:color="auto"/>
            </w:tcBorders>
          </w:tcPr>
          <w:p w14:paraId="40BF3389" w14:textId="77777777" w:rsidR="00956435" w:rsidRDefault="00956435">
            <w:pPr>
              <w:pStyle w:val="BodyText"/>
              <w:spacing w:line="276" w:lineRule="auto"/>
              <w:rPr>
                <w:b/>
                <w:sz w:val="20"/>
                <w:szCs w:val="20"/>
              </w:rPr>
            </w:pPr>
          </w:p>
        </w:tc>
      </w:tr>
      <w:tr w:rsidR="00956435" w14:paraId="4BFD4699" w14:textId="77777777" w:rsidTr="00956435">
        <w:trPr>
          <w:trHeight w:hRule="exact" w:val="288"/>
        </w:trPr>
        <w:tc>
          <w:tcPr>
            <w:tcW w:w="150" w:type="pct"/>
            <w:tcBorders>
              <w:top w:val="nil"/>
              <w:left w:val="single" w:sz="4" w:space="0" w:color="auto"/>
              <w:bottom w:val="nil"/>
              <w:right w:val="nil"/>
            </w:tcBorders>
          </w:tcPr>
          <w:p w14:paraId="76B2975E" w14:textId="77777777" w:rsidR="00956435" w:rsidRDefault="00956435">
            <w:pPr>
              <w:pStyle w:val="BodyText"/>
              <w:spacing w:line="276" w:lineRule="auto"/>
              <w:rPr>
                <w:b/>
                <w:sz w:val="20"/>
                <w:szCs w:val="20"/>
              </w:rPr>
            </w:pPr>
          </w:p>
        </w:tc>
        <w:tc>
          <w:tcPr>
            <w:tcW w:w="2933" w:type="pct"/>
            <w:gridSpan w:val="5"/>
            <w:tcBorders>
              <w:top w:val="nil"/>
              <w:left w:val="nil"/>
              <w:bottom w:val="nil"/>
              <w:right w:val="nil"/>
            </w:tcBorders>
            <w:hideMark/>
          </w:tcPr>
          <w:p w14:paraId="3C65DED9" w14:textId="77777777" w:rsidR="00956435" w:rsidRDefault="00956435">
            <w:pPr>
              <w:pStyle w:val="BodyText"/>
              <w:spacing w:line="276" w:lineRule="auto"/>
              <w:rPr>
                <w:b/>
                <w:sz w:val="20"/>
                <w:szCs w:val="20"/>
              </w:rPr>
            </w:pPr>
            <w:r>
              <w:rPr>
                <w:b/>
                <w:sz w:val="20"/>
                <w:szCs w:val="20"/>
              </w:rPr>
              <w:t>TEST YEAR ENDED 10/31/2024</w:t>
            </w:r>
          </w:p>
        </w:tc>
        <w:tc>
          <w:tcPr>
            <w:tcW w:w="1830" w:type="pct"/>
            <w:gridSpan w:val="4"/>
            <w:tcBorders>
              <w:top w:val="nil"/>
              <w:left w:val="nil"/>
              <w:bottom w:val="nil"/>
              <w:right w:val="nil"/>
            </w:tcBorders>
            <w:hideMark/>
          </w:tcPr>
          <w:p w14:paraId="2B22F264" w14:textId="77777777" w:rsidR="00956435" w:rsidRDefault="00956435">
            <w:pPr>
              <w:pStyle w:val="BodyText"/>
              <w:spacing w:line="276" w:lineRule="auto"/>
              <w:jc w:val="right"/>
              <w:rPr>
                <w:b/>
                <w:sz w:val="20"/>
                <w:szCs w:val="20"/>
              </w:rPr>
            </w:pPr>
            <w:r>
              <w:rPr>
                <w:b/>
                <w:sz w:val="20"/>
                <w:szCs w:val="20"/>
              </w:rPr>
              <w:t>DOCKET NO. 20250023-WS</w:t>
            </w:r>
          </w:p>
        </w:tc>
        <w:tc>
          <w:tcPr>
            <w:tcW w:w="87" w:type="pct"/>
            <w:tcBorders>
              <w:top w:val="nil"/>
              <w:left w:val="nil"/>
              <w:bottom w:val="nil"/>
              <w:right w:val="single" w:sz="4" w:space="0" w:color="auto"/>
            </w:tcBorders>
          </w:tcPr>
          <w:p w14:paraId="76B9ABB5" w14:textId="77777777" w:rsidR="00956435" w:rsidRDefault="00956435">
            <w:pPr>
              <w:pStyle w:val="BodyText"/>
              <w:spacing w:line="276" w:lineRule="auto"/>
              <w:rPr>
                <w:b/>
                <w:sz w:val="20"/>
                <w:szCs w:val="20"/>
              </w:rPr>
            </w:pPr>
          </w:p>
        </w:tc>
      </w:tr>
      <w:tr w:rsidR="00956435" w14:paraId="73AE50CE" w14:textId="77777777" w:rsidTr="00956435">
        <w:trPr>
          <w:trHeight w:hRule="exact" w:val="288"/>
        </w:trPr>
        <w:tc>
          <w:tcPr>
            <w:tcW w:w="150" w:type="pct"/>
            <w:tcBorders>
              <w:top w:val="nil"/>
              <w:left w:val="single" w:sz="4" w:space="0" w:color="auto"/>
              <w:bottom w:val="single" w:sz="4" w:space="0" w:color="auto"/>
              <w:right w:val="nil"/>
            </w:tcBorders>
          </w:tcPr>
          <w:p w14:paraId="4E8A418F" w14:textId="77777777" w:rsidR="00956435" w:rsidRDefault="00956435">
            <w:pPr>
              <w:pStyle w:val="BodyText"/>
              <w:spacing w:line="276" w:lineRule="auto"/>
              <w:rPr>
                <w:b/>
                <w:sz w:val="20"/>
                <w:szCs w:val="20"/>
              </w:rPr>
            </w:pPr>
          </w:p>
        </w:tc>
        <w:tc>
          <w:tcPr>
            <w:tcW w:w="2933" w:type="pct"/>
            <w:gridSpan w:val="5"/>
            <w:tcBorders>
              <w:top w:val="nil"/>
              <w:left w:val="nil"/>
              <w:bottom w:val="single" w:sz="4" w:space="0" w:color="auto"/>
              <w:right w:val="nil"/>
            </w:tcBorders>
            <w:hideMark/>
          </w:tcPr>
          <w:p w14:paraId="2901ECF5" w14:textId="77777777" w:rsidR="00956435" w:rsidRDefault="00956435">
            <w:pPr>
              <w:pStyle w:val="BodyText"/>
              <w:spacing w:line="276" w:lineRule="auto"/>
              <w:rPr>
                <w:b/>
                <w:sz w:val="20"/>
                <w:szCs w:val="20"/>
              </w:rPr>
            </w:pPr>
            <w:r>
              <w:rPr>
                <w:b/>
                <w:sz w:val="20"/>
                <w:szCs w:val="20"/>
              </w:rPr>
              <w:t>SCHEDULE OF CAPITAL STRUCTURE</w:t>
            </w:r>
          </w:p>
        </w:tc>
        <w:tc>
          <w:tcPr>
            <w:tcW w:w="497" w:type="pct"/>
            <w:tcBorders>
              <w:top w:val="nil"/>
              <w:left w:val="nil"/>
              <w:bottom w:val="single" w:sz="4" w:space="0" w:color="auto"/>
              <w:right w:val="nil"/>
            </w:tcBorders>
          </w:tcPr>
          <w:p w14:paraId="49EC3CF5" w14:textId="77777777" w:rsidR="00956435" w:rsidRDefault="00956435">
            <w:pPr>
              <w:pStyle w:val="BodyText"/>
              <w:spacing w:line="276" w:lineRule="auto"/>
              <w:rPr>
                <w:b/>
                <w:sz w:val="20"/>
                <w:szCs w:val="20"/>
              </w:rPr>
            </w:pPr>
          </w:p>
        </w:tc>
        <w:tc>
          <w:tcPr>
            <w:tcW w:w="472" w:type="pct"/>
            <w:tcBorders>
              <w:top w:val="nil"/>
              <w:left w:val="nil"/>
              <w:bottom w:val="single" w:sz="4" w:space="0" w:color="auto"/>
              <w:right w:val="nil"/>
            </w:tcBorders>
          </w:tcPr>
          <w:p w14:paraId="06EB6790" w14:textId="77777777" w:rsidR="00956435" w:rsidRDefault="00956435">
            <w:pPr>
              <w:pStyle w:val="BodyText"/>
              <w:spacing w:line="276" w:lineRule="auto"/>
              <w:rPr>
                <w:b/>
                <w:sz w:val="20"/>
                <w:szCs w:val="20"/>
              </w:rPr>
            </w:pPr>
          </w:p>
        </w:tc>
        <w:tc>
          <w:tcPr>
            <w:tcW w:w="316" w:type="pct"/>
            <w:tcBorders>
              <w:top w:val="nil"/>
              <w:left w:val="nil"/>
              <w:bottom w:val="single" w:sz="4" w:space="0" w:color="auto"/>
              <w:right w:val="nil"/>
            </w:tcBorders>
          </w:tcPr>
          <w:p w14:paraId="0FF0A9A6" w14:textId="77777777" w:rsidR="00956435" w:rsidRDefault="00956435">
            <w:pPr>
              <w:pStyle w:val="BodyText"/>
              <w:spacing w:line="276" w:lineRule="auto"/>
              <w:rPr>
                <w:b/>
                <w:sz w:val="20"/>
                <w:szCs w:val="20"/>
              </w:rPr>
            </w:pPr>
          </w:p>
        </w:tc>
        <w:tc>
          <w:tcPr>
            <w:tcW w:w="546" w:type="pct"/>
            <w:tcBorders>
              <w:top w:val="nil"/>
              <w:left w:val="nil"/>
              <w:bottom w:val="single" w:sz="4" w:space="0" w:color="auto"/>
              <w:right w:val="nil"/>
            </w:tcBorders>
          </w:tcPr>
          <w:p w14:paraId="1EA910D6" w14:textId="77777777" w:rsidR="00956435" w:rsidRDefault="00956435">
            <w:pPr>
              <w:pStyle w:val="BodyText"/>
              <w:spacing w:line="276" w:lineRule="auto"/>
              <w:rPr>
                <w:b/>
                <w:sz w:val="20"/>
                <w:szCs w:val="20"/>
              </w:rPr>
            </w:pPr>
          </w:p>
        </w:tc>
        <w:tc>
          <w:tcPr>
            <w:tcW w:w="87" w:type="pct"/>
            <w:tcBorders>
              <w:top w:val="nil"/>
              <w:left w:val="nil"/>
              <w:bottom w:val="single" w:sz="4" w:space="0" w:color="auto"/>
              <w:right w:val="single" w:sz="4" w:space="0" w:color="auto"/>
            </w:tcBorders>
          </w:tcPr>
          <w:p w14:paraId="56F798D0" w14:textId="77777777" w:rsidR="00956435" w:rsidRDefault="00956435">
            <w:pPr>
              <w:pStyle w:val="BodyText"/>
              <w:spacing w:line="276" w:lineRule="auto"/>
              <w:rPr>
                <w:b/>
                <w:sz w:val="20"/>
                <w:szCs w:val="20"/>
              </w:rPr>
            </w:pPr>
          </w:p>
        </w:tc>
      </w:tr>
      <w:tr w:rsidR="00956435" w14:paraId="410452DE" w14:textId="77777777" w:rsidTr="00956435">
        <w:trPr>
          <w:trHeight w:hRule="exact" w:val="288"/>
        </w:trPr>
        <w:tc>
          <w:tcPr>
            <w:tcW w:w="150" w:type="pct"/>
            <w:tcBorders>
              <w:top w:val="single" w:sz="4" w:space="0" w:color="auto"/>
              <w:left w:val="single" w:sz="4" w:space="0" w:color="auto"/>
              <w:bottom w:val="nil"/>
              <w:right w:val="nil"/>
            </w:tcBorders>
          </w:tcPr>
          <w:p w14:paraId="015EE899" w14:textId="77777777" w:rsidR="00956435" w:rsidRDefault="00956435">
            <w:pPr>
              <w:pStyle w:val="BodyText"/>
              <w:spacing w:line="276" w:lineRule="auto"/>
              <w:rPr>
                <w:b/>
                <w:sz w:val="20"/>
                <w:szCs w:val="20"/>
              </w:rPr>
            </w:pPr>
          </w:p>
        </w:tc>
        <w:tc>
          <w:tcPr>
            <w:tcW w:w="1031" w:type="pct"/>
            <w:tcBorders>
              <w:top w:val="single" w:sz="4" w:space="0" w:color="auto"/>
              <w:left w:val="nil"/>
              <w:bottom w:val="nil"/>
              <w:right w:val="nil"/>
            </w:tcBorders>
          </w:tcPr>
          <w:p w14:paraId="310DEF81" w14:textId="77777777" w:rsidR="00956435" w:rsidRDefault="00956435">
            <w:pPr>
              <w:pStyle w:val="BodyText"/>
              <w:spacing w:line="276" w:lineRule="auto"/>
              <w:rPr>
                <w:b/>
                <w:sz w:val="20"/>
                <w:szCs w:val="20"/>
              </w:rPr>
            </w:pPr>
          </w:p>
        </w:tc>
        <w:tc>
          <w:tcPr>
            <w:tcW w:w="429" w:type="pct"/>
            <w:tcBorders>
              <w:top w:val="single" w:sz="4" w:space="0" w:color="auto"/>
              <w:left w:val="nil"/>
              <w:bottom w:val="nil"/>
              <w:right w:val="nil"/>
            </w:tcBorders>
          </w:tcPr>
          <w:p w14:paraId="7EA9EAFF" w14:textId="77777777" w:rsidR="00956435" w:rsidRDefault="00956435">
            <w:pPr>
              <w:pStyle w:val="BodyText"/>
              <w:spacing w:line="276" w:lineRule="auto"/>
              <w:rPr>
                <w:b/>
                <w:sz w:val="20"/>
                <w:szCs w:val="20"/>
              </w:rPr>
            </w:pPr>
          </w:p>
        </w:tc>
        <w:tc>
          <w:tcPr>
            <w:tcW w:w="461" w:type="pct"/>
            <w:tcBorders>
              <w:top w:val="single" w:sz="4" w:space="0" w:color="auto"/>
              <w:left w:val="nil"/>
              <w:bottom w:val="nil"/>
              <w:right w:val="nil"/>
            </w:tcBorders>
          </w:tcPr>
          <w:p w14:paraId="57A93AC0" w14:textId="77777777" w:rsidR="00956435" w:rsidRDefault="00956435">
            <w:pPr>
              <w:pStyle w:val="BodyText"/>
              <w:spacing w:line="276" w:lineRule="auto"/>
              <w:rPr>
                <w:b/>
                <w:sz w:val="20"/>
                <w:szCs w:val="20"/>
              </w:rPr>
            </w:pPr>
          </w:p>
        </w:tc>
        <w:tc>
          <w:tcPr>
            <w:tcW w:w="497" w:type="pct"/>
            <w:tcBorders>
              <w:top w:val="single" w:sz="4" w:space="0" w:color="auto"/>
              <w:left w:val="nil"/>
              <w:bottom w:val="nil"/>
              <w:right w:val="nil"/>
            </w:tcBorders>
          </w:tcPr>
          <w:p w14:paraId="123FAE98" w14:textId="77777777" w:rsidR="00956435" w:rsidRDefault="00956435">
            <w:pPr>
              <w:pStyle w:val="BodyText"/>
              <w:spacing w:line="276" w:lineRule="auto"/>
              <w:rPr>
                <w:b/>
                <w:sz w:val="20"/>
                <w:szCs w:val="20"/>
              </w:rPr>
            </w:pPr>
          </w:p>
        </w:tc>
        <w:tc>
          <w:tcPr>
            <w:tcW w:w="515" w:type="pct"/>
            <w:tcBorders>
              <w:top w:val="single" w:sz="4" w:space="0" w:color="auto"/>
              <w:left w:val="nil"/>
              <w:bottom w:val="nil"/>
              <w:right w:val="nil"/>
            </w:tcBorders>
          </w:tcPr>
          <w:p w14:paraId="3019C4B4" w14:textId="77777777" w:rsidR="00956435" w:rsidRDefault="00956435">
            <w:pPr>
              <w:pStyle w:val="BodyText"/>
              <w:spacing w:line="276" w:lineRule="auto"/>
              <w:rPr>
                <w:b/>
                <w:sz w:val="20"/>
                <w:szCs w:val="20"/>
              </w:rPr>
            </w:pPr>
          </w:p>
        </w:tc>
        <w:tc>
          <w:tcPr>
            <w:tcW w:w="497" w:type="pct"/>
            <w:tcBorders>
              <w:top w:val="single" w:sz="4" w:space="0" w:color="auto"/>
              <w:left w:val="nil"/>
              <w:bottom w:val="nil"/>
              <w:right w:val="nil"/>
            </w:tcBorders>
          </w:tcPr>
          <w:p w14:paraId="679BEBCE" w14:textId="77777777" w:rsidR="00956435" w:rsidRDefault="00956435">
            <w:pPr>
              <w:pStyle w:val="BodyText"/>
              <w:spacing w:line="276" w:lineRule="auto"/>
              <w:rPr>
                <w:b/>
                <w:sz w:val="20"/>
                <w:szCs w:val="20"/>
              </w:rPr>
            </w:pPr>
          </w:p>
        </w:tc>
        <w:tc>
          <w:tcPr>
            <w:tcW w:w="472" w:type="pct"/>
            <w:tcBorders>
              <w:top w:val="single" w:sz="4" w:space="0" w:color="auto"/>
              <w:left w:val="nil"/>
              <w:bottom w:val="nil"/>
              <w:right w:val="nil"/>
            </w:tcBorders>
          </w:tcPr>
          <w:p w14:paraId="63B22370" w14:textId="77777777" w:rsidR="00956435" w:rsidRDefault="00956435">
            <w:pPr>
              <w:pStyle w:val="BodyText"/>
              <w:spacing w:line="276" w:lineRule="auto"/>
              <w:rPr>
                <w:b/>
                <w:sz w:val="20"/>
                <w:szCs w:val="20"/>
              </w:rPr>
            </w:pPr>
          </w:p>
        </w:tc>
        <w:tc>
          <w:tcPr>
            <w:tcW w:w="316" w:type="pct"/>
            <w:tcBorders>
              <w:top w:val="single" w:sz="4" w:space="0" w:color="auto"/>
              <w:left w:val="nil"/>
              <w:bottom w:val="nil"/>
              <w:right w:val="nil"/>
            </w:tcBorders>
          </w:tcPr>
          <w:p w14:paraId="44066537" w14:textId="77777777" w:rsidR="00956435" w:rsidRDefault="00956435">
            <w:pPr>
              <w:pStyle w:val="BodyText"/>
              <w:spacing w:line="276" w:lineRule="auto"/>
              <w:rPr>
                <w:b/>
                <w:sz w:val="20"/>
                <w:szCs w:val="20"/>
              </w:rPr>
            </w:pPr>
          </w:p>
        </w:tc>
        <w:tc>
          <w:tcPr>
            <w:tcW w:w="546" w:type="pct"/>
            <w:tcBorders>
              <w:top w:val="single" w:sz="4" w:space="0" w:color="auto"/>
              <w:left w:val="nil"/>
              <w:bottom w:val="nil"/>
              <w:right w:val="nil"/>
            </w:tcBorders>
          </w:tcPr>
          <w:p w14:paraId="4465CD8A" w14:textId="77777777" w:rsidR="00956435" w:rsidRDefault="00956435">
            <w:pPr>
              <w:pStyle w:val="BodyText"/>
              <w:spacing w:line="276" w:lineRule="auto"/>
              <w:rPr>
                <w:b/>
                <w:sz w:val="20"/>
                <w:szCs w:val="20"/>
              </w:rPr>
            </w:pPr>
          </w:p>
        </w:tc>
        <w:tc>
          <w:tcPr>
            <w:tcW w:w="87" w:type="pct"/>
            <w:tcBorders>
              <w:top w:val="single" w:sz="4" w:space="0" w:color="auto"/>
              <w:left w:val="nil"/>
              <w:bottom w:val="nil"/>
              <w:right w:val="single" w:sz="4" w:space="0" w:color="auto"/>
            </w:tcBorders>
          </w:tcPr>
          <w:p w14:paraId="108B09D1" w14:textId="77777777" w:rsidR="00956435" w:rsidRDefault="00956435">
            <w:pPr>
              <w:pStyle w:val="BodyText"/>
              <w:spacing w:line="276" w:lineRule="auto"/>
              <w:rPr>
                <w:b/>
                <w:sz w:val="20"/>
                <w:szCs w:val="20"/>
              </w:rPr>
            </w:pPr>
          </w:p>
        </w:tc>
      </w:tr>
      <w:tr w:rsidR="00956435" w14:paraId="55B1B72E" w14:textId="77777777" w:rsidTr="00956435">
        <w:trPr>
          <w:trHeight w:hRule="exact" w:val="288"/>
        </w:trPr>
        <w:tc>
          <w:tcPr>
            <w:tcW w:w="150" w:type="pct"/>
            <w:tcBorders>
              <w:top w:val="nil"/>
              <w:left w:val="single" w:sz="4" w:space="0" w:color="auto"/>
              <w:bottom w:val="nil"/>
              <w:right w:val="nil"/>
            </w:tcBorders>
          </w:tcPr>
          <w:p w14:paraId="5DEBF479" w14:textId="77777777" w:rsidR="00956435" w:rsidRDefault="00956435">
            <w:pPr>
              <w:pStyle w:val="BodyText"/>
              <w:spacing w:line="276" w:lineRule="auto"/>
              <w:jc w:val="center"/>
              <w:rPr>
                <w:b/>
                <w:sz w:val="20"/>
                <w:szCs w:val="20"/>
              </w:rPr>
            </w:pPr>
          </w:p>
        </w:tc>
        <w:tc>
          <w:tcPr>
            <w:tcW w:w="1031" w:type="pct"/>
            <w:tcBorders>
              <w:top w:val="nil"/>
              <w:left w:val="nil"/>
              <w:bottom w:val="nil"/>
              <w:right w:val="nil"/>
            </w:tcBorders>
          </w:tcPr>
          <w:p w14:paraId="400EC064" w14:textId="77777777" w:rsidR="00956435" w:rsidRDefault="00956435">
            <w:pPr>
              <w:pStyle w:val="BodyText"/>
              <w:spacing w:line="276" w:lineRule="auto"/>
              <w:jc w:val="center"/>
              <w:rPr>
                <w:b/>
                <w:sz w:val="20"/>
                <w:szCs w:val="20"/>
              </w:rPr>
            </w:pPr>
          </w:p>
        </w:tc>
        <w:tc>
          <w:tcPr>
            <w:tcW w:w="429" w:type="pct"/>
            <w:tcBorders>
              <w:top w:val="nil"/>
              <w:left w:val="nil"/>
              <w:bottom w:val="nil"/>
              <w:right w:val="nil"/>
            </w:tcBorders>
          </w:tcPr>
          <w:p w14:paraId="10F78E87" w14:textId="77777777" w:rsidR="00956435" w:rsidRDefault="00956435">
            <w:pPr>
              <w:pStyle w:val="BodyText"/>
              <w:spacing w:line="276" w:lineRule="auto"/>
              <w:jc w:val="center"/>
              <w:rPr>
                <w:b/>
                <w:sz w:val="20"/>
                <w:szCs w:val="20"/>
              </w:rPr>
            </w:pPr>
          </w:p>
        </w:tc>
        <w:tc>
          <w:tcPr>
            <w:tcW w:w="461" w:type="pct"/>
            <w:tcBorders>
              <w:top w:val="nil"/>
              <w:left w:val="nil"/>
              <w:bottom w:val="nil"/>
              <w:right w:val="nil"/>
            </w:tcBorders>
            <w:hideMark/>
          </w:tcPr>
          <w:p w14:paraId="04238E7D" w14:textId="77777777" w:rsidR="00956435" w:rsidRDefault="00956435">
            <w:pPr>
              <w:pStyle w:val="BodyText"/>
              <w:spacing w:line="276" w:lineRule="auto"/>
              <w:jc w:val="center"/>
              <w:rPr>
                <w:b/>
                <w:sz w:val="20"/>
                <w:szCs w:val="20"/>
              </w:rPr>
            </w:pPr>
            <w:r>
              <w:rPr>
                <w:b/>
                <w:sz w:val="20"/>
                <w:szCs w:val="20"/>
              </w:rPr>
              <w:t>SPECIFIC</w:t>
            </w:r>
          </w:p>
        </w:tc>
        <w:tc>
          <w:tcPr>
            <w:tcW w:w="497" w:type="pct"/>
            <w:tcBorders>
              <w:top w:val="nil"/>
              <w:left w:val="nil"/>
              <w:bottom w:val="nil"/>
              <w:right w:val="nil"/>
            </w:tcBorders>
            <w:hideMark/>
          </w:tcPr>
          <w:p w14:paraId="631E02C9" w14:textId="77777777" w:rsidR="00956435" w:rsidRDefault="00956435">
            <w:pPr>
              <w:pStyle w:val="BodyText"/>
              <w:spacing w:line="276" w:lineRule="auto"/>
              <w:jc w:val="center"/>
              <w:rPr>
                <w:b/>
                <w:sz w:val="20"/>
                <w:szCs w:val="20"/>
              </w:rPr>
            </w:pPr>
            <w:r>
              <w:rPr>
                <w:b/>
                <w:sz w:val="20"/>
                <w:szCs w:val="20"/>
              </w:rPr>
              <w:t>BALANCE</w:t>
            </w:r>
          </w:p>
        </w:tc>
        <w:tc>
          <w:tcPr>
            <w:tcW w:w="515" w:type="pct"/>
            <w:tcBorders>
              <w:top w:val="nil"/>
              <w:left w:val="nil"/>
              <w:bottom w:val="nil"/>
              <w:right w:val="nil"/>
            </w:tcBorders>
            <w:hideMark/>
          </w:tcPr>
          <w:p w14:paraId="115DCDC3" w14:textId="77777777" w:rsidR="00956435" w:rsidRDefault="00956435">
            <w:pPr>
              <w:pStyle w:val="BodyText"/>
              <w:spacing w:line="276" w:lineRule="auto"/>
              <w:jc w:val="center"/>
              <w:rPr>
                <w:b/>
                <w:sz w:val="20"/>
                <w:szCs w:val="20"/>
              </w:rPr>
            </w:pPr>
            <w:r>
              <w:rPr>
                <w:b/>
                <w:sz w:val="20"/>
                <w:szCs w:val="20"/>
              </w:rPr>
              <w:t>PRO RATA</w:t>
            </w:r>
          </w:p>
        </w:tc>
        <w:tc>
          <w:tcPr>
            <w:tcW w:w="497" w:type="pct"/>
            <w:tcBorders>
              <w:top w:val="nil"/>
              <w:left w:val="nil"/>
              <w:bottom w:val="nil"/>
              <w:right w:val="nil"/>
            </w:tcBorders>
            <w:hideMark/>
          </w:tcPr>
          <w:p w14:paraId="56AB652A" w14:textId="77777777" w:rsidR="00956435" w:rsidRDefault="00956435">
            <w:pPr>
              <w:pStyle w:val="BodyText"/>
              <w:spacing w:line="276" w:lineRule="auto"/>
              <w:jc w:val="center"/>
              <w:rPr>
                <w:b/>
                <w:sz w:val="20"/>
                <w:szCs w:val="20"/>
              </w:rPr>
            </w:pPr>
            <w:r>
              <w:rPr>
                <w:b/>
                <w:sz w:val="20"/>
                <w:szCs w:val="20"/>
              </w:rPr>
              <w:t>BALANCE</w:t>
            </w:r>
          </w:p>
        </w:tc>
        <w:tc>
          <w:tcPr>
            <w:tcW w:w="472" w:type="pct"/>
            <w:tcBorders>
              <w:top w:val="nil"/>
              <w:left w:val="nil"/>
              <w:bottom w:val="nil"/>
              <w:right w:val="nil"/>
            </w:tcBorders>
            <w:hideMark/>
          </w:tcPr>
          <w:p w14:paraId="0854E65C" w14:textId="77777777" w:rsidR="00956435" w:rsidRDefault="00956435">
            <w:pPr>
              <w:pStyle w:val="BodyText"/>
              <w:spacing w:line="276" w:lineRule="auto"/>
              <w:jc w:val="center"/>
              <w:rPr>
                <w:b/>
                <w:sz w:val="20"/>
                <w:szCs w:val="20"/>
              </w:rPr>
            </w:pPr>
            <w:r>
              <w:rPr>
                <w:b/>
                <w:sz w:val="20"/>
                <w:szCs w:val="20"/>
              </w:rPr>
              <w:t>PERCENT</w:t>
            </w:r>
          </w:p>
        </w:tc>
        <w:tc>
          <w:tcPr>
            <w:tcW w:w="316" w:type="pct"/>
            <w:tcBorders>
              <w:top w:val="nil"/>
              <w:left w:val="nil"/>
              <w:bottom w:val="nil"/>
              <w:right w:val="nil"/>
            </w:tcBorders>
          </w:tcPr>
          <w:p w14:paraId="3C1612B1" w14:textId="77777777" w:rsidR="00956435" w:rsidRDefault="00956435">
            <w:pPr>
              <w:pStyle w:val="BodyText"/>
              <w:spacing w:line="276" w:lineRule="auto"/>
              <w:jc w:val="center"/>
              <w:rPr>
                <w:b/>
                <w:sz w:val="20"/>
                <w:szCs w:val="20"/>
              </w:rPr>
            </w:pPr>
          </w:p>
        </w:tc>
        <w:tc>
          <w:tcPr>
            <w:tcW w:w="546" w:type="pct"/>
            <w:tcBorders>
              <w:top w:val="nil"/>
              <w:left w:val="nil"/>
              <w:bottom w:val="nil"/>
              <w:right w:val="nil"/>
            </w:tcBorders>
          </w:tcPr>
          <w:p w14:paraId="35D7DDC7" w14:textId="77777777" w:rsidR="00956435" w:rsidRDefault="00956435">
            <w:pPr>
              <w:pStyle w:val="BodyText"/>
              <w:spacing w:line="276" w:lineRule="auto"/>
              <w:jc w:val="center"/>
              <w:rPr>
                <w:b/>
                <w:sz w:val="20"/>
                <w:szCs w:val="20"/>
              </w:rPr>
            </w:pPr>
          </w:p>
        </w:tc>
        <w:tc>
          <w:tcPr>
            <w:tcW w:w="87" w:type="pct"/>
            <w:tcBorders>
              <w:top w:val="nil"/>
              <w:left w:val="nil"/>
              <w:bottom w:val="nil"/>
              <w:right w:val="single" w:sz="4" w:space="0" w:color="auto"/>
            </w:tcBorders>
          </w:tcPr>
          <w:p w14:paraId="3563EE17" w14:textId="77777777" w:rsidR="00956435" w:rsidRDefault="00956435">
            <w:pPr>
              <w:pStyle w:val="BodyText"/>
              <w:spacing w:line="276" w:lineRule="auto"/>
              <w:jc w:val="center"/>
              <w:rPr>
                <w:b/>
                <w:sz w:val="20"/>
                <w:szCs w:val="20"/>
              </w:rPr>
            </w:pPr>
          </w:p>
        </w:tc>
      </w:tr>
      <w:tr w:rsidR="00956435" w14:paraId="5DEFC5B0" w14:textId="77777777" w:rsidTr="00956435">
        <w:trPr>
          <w:trHeight w:hRule="exact" w:val="288"/>
        </w:trPr>
        <w:tc>
          <w:tcPr>
            <w:tcW w:w="150" w:type="pct"/>
            <w:tcBorders>
              <w:top w:val="nil"/>
              <w:left w:val="single" w:sz="4" w:space="0" w:color="auto"/>
              <w:bottom w:val="nil"/>
              <w:right w:val="nil"/>
            </w:tcBorders>
          </w:tcPr>
          <w:p w14:paraId="1DCD3CD9" w14:textId="77777777" w:rsidR="00956435" w:rsidRDefault="00956435">
            <w:pPr>
              <w:pStyle w:val="BodyText"/>
              <w:spacing w:line="276" w:lineRule="auto"/>
              <w:jc w:val="center"/>
              <w:rPr>
                <w:b/>
                <w:sz w:val="20"/>
                <w:szCs w:val="20"/>
              </w:rPr>
            </w:pPr>
          </w:p>
        </w:tc>
        <w:tc>
          <w:tcPr>
            <w:tcW w:w="1031" w:type="pct"/>
            <w:tcBorders>
              <w:top w:val="nil"/>
              <w:left w:val="nil"/>
              <w:bottom w:val="nil"/>
              <w:right w:val="nil"/>
            </w:tcBorders>
          </w:tcPr>
          <w:p w14:paraId="65A42234" w14:textId="77777777" w:rsidR="00956435" w:rsidRDefault="00956435">
            <w:pPr>
              <w:pStyle w:val="BodyText"/>
              <w:spacing w:line="276" w:lineRule="auto"/>
              <w:jc w:val="center"/>
              <w:rPr>
                <w:b/>
                <w:sz w:val="20"/>
                <w:szCs w:val="20"/>
              </w:rPr>
            </w:pPr>
          </w:p>
        </w:tc>
        <w:tc>
          <w:tcPr>
            <w:tcW w:w="429" w:type="pct"/>
            <w:tcBorders>
              <w:top w:val="nil"/>
              <w:left w:val="nil"/>
              <w:bottom w:val="nil"/>
              <w:right w:val="nil"/>
            </w:tcBorders>
            <w:hideMark/>
          </w:tcPr>
          <w:p w14:paraId="64C108C5" w14:textId="77777777" w:rsidR="00956435" w:rsidRDefault="00956435">
            <w:pPr>
              <w:pStyle w:val="BodyText"/>
              <w:spacing w:line="276" w:lineRule="auto"/>
              <w:jc w:val="center"/>
              <w:rPr>
                <w:b/>
                <w:sz w:val="20"/>
                <w:szCs w:val="20"/>
              </w:rPr>
            </w:pPr>
            <w:r>
              <w:rPr>
                <w:b/>
                <w:sz w:val="20"/>
                <w:szCs w:val="20"/>
              </w:rPr>
              <w:t>PER</w:t>
            </w:r>
          </w:p>
        </w:tc>
        <w:tc>
          <w:tcPr>
            <w:tcW w:w="461" w:type="pct"/>
            <w:tcBorders>
              <w:top w:val="nil"/>
              <w:left w:val="nil"/>
              <w:bottom w:val="nil"/>
              <w:right w:val="nil"/>
            </w:tcBorders>
            <w:hideMark/>
          </w:tcPr>
          <w:p w14:paraId="5C7A4C46" w14:textId="77777777" w:rsidR="00956435" w:rsidRDefault="00956435">
            <w:pPr>
              <w:pStyle w:val="BodyText"/>
              <w:spacing w:line="276" w:lineRule="auto"/>
              <w:jc w:val="center"/>
              <w:rPr>
                <w:b/>
                <w:sz w:val="20"/>
                <w:szCs w:val="20"/>
              </w:rPr>
            </w:pPr>
            <w:r>
              <w:rPr>
                <w:b/>
                <w:sz w:val="20"/>
                <w:szCs w:val="20"/>
              </w:rPr>
              <w:t>ADJUST-</w:t>
            </w:r>
          </w:p>
        </w:tc>
        <w:tc>
          <w:tcPr>
            <w:tcW w:w="497" w:type="pct"/>
            <w:tcBorders>
              <w:top w:val="nil"/>
              <w:left w:val="nil"/>
              <w:bottom w:val="nil"/>
              <w:right w:val="nil"/>
            </w:tcBorders>
            <w:hideMark/>
          </w:tcPr>
          <w:p w14:paraId="5ACD0A0C" w14:textId="77777777" w:rsidR="00956435" w:rsidRDefault="00956435">
            <w:pPr>
              <w:pStyle w:val="BodyText"/>
              <w:spacing w:line="276" w:lineRule="auto"/>
              <w:jc w:val="center"/>
              <w:rPr>
                <w:b/>
                <w:sz w:val="20"/>
                <w:szCs w:val="20"/>
              </w:rPr>
            </w:pPr>
            <w:r>
              <w:rPr>
                <w:b/>
                <w:sz w:val="20"/>
                <w:szCs w:val="20"/>
              </w:rPr>
              <w:t>AFTER</w:t>
            </w:r>
          </w:p>
        </w:tc>
        <w:tc>
          <w:tcPr>
            <w:tcW w:w="515" w:type="pct"/>
            <w:tcBorders>
              <w:top w:val="nil"/>
              <w:left w:val="nil"/>
              <w:bottom w:val="nil"/>
              <w:right w:val="nil"/>
            </w:tcBorders>
            <w:hideMark/>
          </w:tcPr>
          <w:p w14:paraId="0707486D" w14:textId="77777777" w:rsidR="00956435" w:rsidRDefault="00956435">
            <w:pPr>
              <w:pStyle w:val="BodyText"/>
              <w:spacing w:line="276" w:lineRule="auto"/>
              <w:jc w:val="center"/>
              <w:rPr>
                <w:b/>
                <w:sz w:val="20"/>
                <w:szCs w:val="20"/>
              </w:rPr>
            </w:pPr>
            <w:r>
              <w:rPr>
                <w:b/>
                <w:sz w:val="20"/>
                <w:szCs w:val="20"/>
              </w:rPr>
              <w:t>ADJUST-</w:t>
            </w:r>
          </w:p>
        </w:tc>
        <w:tc>
          <w:tcPr>
            <w:tcW w:w="497" w:type="pct"/>
            <w:tcBorders>
              <w:top w:val="nil"/>
              <w:left w:val="nil"/>
              <w:bottom w:val="nil"/>
              <w:right w:val="nil"/>
            </w:tcBorders>
            <w:hideMark/>
          </w:tcPr>
          <w:p w14:paraId="3D723DD0" w14:textId="77777777" w:rsidR="00956435" w:rsidRDefault="00956435">
            <w:pPr>
              <w:pStyle w:val="BodyText"/>
              <w:spacing w:line="276" w:lineRule="auto"/>
              <w:jc w:val="center"/>
              <w:rPr>
                <w:b/>
                <w:sz w:val="20"/>
                <w:szCs w:val="20"/>
              </w:rPr>
            </w:pPr>
            <w:r>
              <w:rPr>
                <w:b/>
                <w:sz w:val="20"/>
                <w:szCs w:val="20"/>
              </w:rPr>
              <w:t>PER</w:t>
            </w:r>
          </w:p>
        </w:tc>
        <w:tc>
          <w:tcPr>
            <w:tcW w:w="472" w:type="pct"/>
            <w:tcBorders>
              <w:top w:val="nil"/>
              <w:left w:val="nil"/>
              <w:bottom w:val="nil"/>
              <w:right w:val="nil"/>
            </w:tcBorders>
            <w:hideMark/>
          </w:tcPr>
          <w:p w14:paraId="62BA2196" w14:textId="77777777" w:rsidR="00956435" w:rsidRDefault="00956435">
            <w:pPr>
              <w:pStyle w:val="BodyText"/>
              <w:spacing w:line="276" w:lineRule="auto"/>
              <w:jc w:val="center"/>
              <w:rPr>
                <w:b/>
                <w:sz w:val="20"/>
                <w:szCs w:val="20"/>
              </w:rPr>
            </w:pPr>
            <w:r>
              <w:rPr>
                <w:b/>
                <w:sz w:val="20"/>
                <w:szCs w:val="20"/>
              </w:rPr>
              <w:t>OF</w:t>
            </w:r>
          </w:p>
        </w:tc>
        <w:tc>
          <w:tcPr>
            <w:tcW w:w="316" w:type="pct"/>
            <w:tcBorders>
              <w:top w:val="nil"/>
              <w:left w:val="nil"/>
              <w:bottom w:val="nil"/>
              <w:right w:val="nil"/>
            </w:tcBorders>
          </w:tcPr>
          <w:p w14:paraId="19A76D35" w14:textId="77777777" w:rsidR="00956435" w:rsidRDefault="00956435">
            <w:pPr>
              <w:pStyle w:val="BodyText"/>
              <w:spacing w:line="276" w:lineRule="auto"/>
              <w:jc w:val="center"/>
              <w:rPr>
                <w:b/>
                <w:sz w:val="20"/>
                <w:szCs w:val="20"/>
              </w:rPr>
            </w:pPr>
          </w:p>
        </w:tc>
        <w:tc>
          <w:tcPr>
            <w:tcW w:w="546" w:type="pct"/>
            <w:tcBorders>
              <w:top w:val="nil"/>
              <w:left w:val="nil"/>
              <w:bottom w:val="nil"/>
              <w:right w:val="nil"/>
            </w:tcBorders>
            <w:hideMark/>
          </w:tcPr>
          <w:p w14:paraId="47154B71" w14:textId="77777777" w:rsidR="00956435" w:rsidRDefault="00956435">
            <w:pPr>
              <w:pStyle w:val="BodyText"/>
              <w:spacing w:line="276" w:lineRule="auto"/>
              <w:jc w:val="center"/>
              <w:rPr>
                <w:b/>
                <w:sz w:val="20"/>
                <w:szCs w:val="20"/>
              </w:rPr>
            </w:pPr>
            <w:r>
              <w:rPr>
                <w:b/>
                <w:sz w:val="20"/>
                <w:szCs w:val="20"/>
              </w:rPr>
              <w:t>WEIGHTED</w:t>
            </w:r>
          </w:p>
        </w:tc>
        <w:tc>
          <w:tcPr>
            <w:tcW w:w="87" w:type="pct"/>
            <w:tcBorders>
              <w:top w:val="nil"/>
              <w:left w:val="nil"/>
              <w:bottom w:val="nil"/>
              <w:right w:val="single" w:sz="4" w:space="0" w:color="auto"/>
            </w:tcBorders>
          </w:tcPr>
          <w:p w14:paraId="16FC08F1" w14:textId="77777777" w:rsidR="00956435" w:rsidRDefault="00956435">
            <w:pPr>
              <w:pStyle w:val="BodyText"/>
              <w:spacing w:line="276" w:lineRule="auto"/>
              <w:jc w:val="center"/>
              <w:rPr>
                <w:b/>
                <w:sz w:val="20"/>
                <w:szCs w:val="20"/>
              </w:rPr>
            </w:pPr>
          </w:p>
        </w:tc>
      </w:tr>
      <w:tr w:rsidR="00956435" w14:paraId="256AFDF4" w14:textId="77777777" w:rsidTr="00956435">
        <w:trPr>
          <w:trHeight w:hRule="exact" w:val="288"/>
        </w:trPr>
        <w:tc>
          <w:tcPr>
            <w:tcW w:w="150" w:type="pct"/>
            <w:tcBorders>
              <w:top w:val="nil"/>
              <w:left w:val="single" w:sz="4" w:space="0" w:color="auto"/>
              <w:bottom w:val="single" w:sz="4" w:space="0" w:color="auto"/>
              <w:right w:val="nil"/>
            </w:tcBorders>
          </w:tcPr>
          <w:p w14:paraId="527FDD5C" w14:textId="77777777" w:rsidR="00956435" w:rsidRDefault="00956435">
            <w:pPr>
              <w:pStyle w:val="BodyText"/>
              <w:spacing w:line="276" w:lineRule="auto"/>
              <w:jc w:val="center"/>
              <w:rPr>
                <w:b/>
                <w:sz w:val="20"/>
                <w:szCs w:val="20"/>
                <w:u w:val="single"/>
              </w:rPr>
            </w:pPr>
          </w:p>
        </w:tc>
        <w:tc>
          <w:tcPr>
            <w:tcW w:w="1031" w:type="pct"/>
            <w:tcBorders>
              <w:top w:val="nil"/>
              <w:left w:val="nil"/>
              <w:bottom w:val="single" w:sz="4" w:space="0" w:color="auto"/>
              <w:right w:val="nil"/>
            </w:tcBorders>
            <w:hideMark/>
          </w:tcPr>
          <w:p w14:paraId="0E5BE5E5" w14:textId="77777777" w:rsidR="00956435" w:rsidRDefault="00956435">
            <w:pPr>
              <w:pStyle w:val="BodyText"/>
              <w:spacing w:line="276" w:lineRule="auto"/>
              <w:jc w:val="center"/>
              <w:rPr>
                <w:b/>
                <w:sz w:val="20"/>
                <w:szCs w:val="20"/>
                <w:u w:val="single"/>
              </w:rPr>
            </w:pPr>
            <w:r>
              <w:rPr>
                <w:b/>
                <w:sz w:val="20"/>
                <w:szCs w:val="20"/>
                <w:u w:val="single"/>
              </w:rPr>
              <w:t>CAPITAL COMPONENT</w:t>
            </w:r>
          </w:p>
        </w:tc>
        <w:tc>
          <w:tcPr>
            <w:tcW w:w="429" w:type="pct"/>
            <w:tcBorders>
              <w:top w:val="nil"/>
              <w:left w:val="nil"/>
              <w:bottom w:val="single" w:sz="4" w:space="0" w:color="auto"/>
              <w:right w:val="nil"/>
            </w:tcBorders>
            <w:hideMark/>
          </w:tcPr>
          <w:p w14:paraId="768F4300" w14:textId="77777777" w:rsidR="00956435" w:rsidRDefault="00956435">
            <w:pPr>
              <w:pStyle w:val="BodyText"/>
              <w:spacing w:line="276" w:lineRule="auto"/>
              <w:jc w:val="center"/>
              <w:rPr>
                <w:b/>
                <w:sz w:val="20"/>
                <w:szCs w:val="20"/>
                <w:u w:val="single"/>
              </w:rPr>
            </w:pPr>
            <w:r>
              <w:rPr>
                <w:b/>
                <w:sz w:val="20"/>
                <w:szCs w:val="20"/>
                <w:u w:val="single"/>
              </w:rPr>
              <w:t>UTILITY</w:t>
            </w:r>
          </w:p>
        </w:tc>
        <w:tc>
          <w:tcPr>
            <w:tcW w:w="461" w:type="pct"/>
            <w:tcBorders>
              <w:top w:val="nil"/>
              <w:left w:val="nil"/>
              <w:bottom w:val="single" w:sz="4" w:space="0" w:color="auto"/>
              <w:right w:val="nil"/>
            </w:tcBorders>
            <w:hideMark/>
          </w:tcPr>
          <w:p w14:paraId="710A5BC5" w14:textId="77777777" w:rsidR="00956435" w:rsidRDefault="00956435">
            <w:pPr>
              <w:pStyle w:val="BodyText"/>
              <w:spacing w:line="276" w:lineRule="auto"/>
              <w:jc w:val="center"/>
              <w:rPr>
                <w:b/>
                <w:sz w:val="20"/>
                <w:szCs w:val="20"/>
                <w:u w:val="single"/>
              </w:rPr>
            </w:pPr>
            <w:r>
              <w:rPr>
                <w:b/>
                <w:sz w:val="20"/>
                <w:szCs w:val="20"/>
                <w:u w:val="single"/>
              </w:rPr>
              <w:t>MENTS</w:t>
            </w:r>
          </w:p>
        </w:tc>
        <w:tc>
          <w:tcPr>
            <w:tcW w:w="497" w:type="pct"/>
            <w:tcBorders>
              <w:top w:val="nil"/>
              <w:left w:val="nil"/>
              <w:bottom w:val="single" w:sz="4" w:space="0" w:color="auto"/>
              <w:right w:val="nil"/>
            </w:tcBorders>
            <w:hideMark/>
          </w:tcPr>
          <w:p w14:paraId="356F8FAD" w14:textId="77777777" w:rsidR="00956435" w:rsidRDefault="00956435">
            <w:pPr>
              <w:pStyle w:val="BodyText"/>
              <w:spacing w:line="276" w:lineRule="auto"/>
              <w:jc w:val="center"/>
              <w:rPr>
                <w:b/>
                <w:sz w:val="20"/>
                <w:szCs w:val="20"/>
                <w:u w:val="single"/>
              </w:rPr>
            </w:pPr>
            <w:r>
              <w:rPr>
                <w:b/>
                <w:sz w:val="20"/>
                <w:szCs w:val="20"/>
                <w:u w:val="single"/>
              </w:rPr>
              <w:t>ADJUST</w:t>
            </w:r>
          </w:p>
        </w:tc>
        <w:tc>
          <w:tcPr>
            <w:tcW w:w="515" w:type="pct"/>
            <w:tcBorders>
              <w:top w:val="nil"/>
              <w:left w:val="nil"/>
              <w:bottom w:val="single" w:sz="4" w:space="0" w:color="auto"/>
              <w:right w:val="nil"/>
            </w:tcBorders>
            <w:hideMark/>
          </w:tcPr>
          <w:p w14:paraId="13E7A41C" w14:textId="77777777" w:rsidR="00956435" w:rsidRDefault="00956435">
            <w:pPr>
              <w:pStyle w:val="BodyText"/>
              <w:spacing w:line="276" w:lineRule="auto"/>
              <w:jc w:val="center"/>
              <w:rPr>
                <w:b/>
                <w:sz w:val="20"/>
                <w:szCs w:val="20"/>
                <w:u w:val="single"/>
              </w:rPr>
            </w:pPr>
            <w:r>
              <w:rPr>
                <w:b/>
                <w:sz w:val="20"/>
                <w:szCs w:val="20"/>
                <w:u w:val="single"/>
              </w:rPr>
              <w:t>MENTS</w:t>
            </w:r>
          </w:p>
        </w:tc>
        <w:tc>
          <w:tcPr>
            <w:tcW w:w="497" w:type="pct"/>
            <w:tcBorders>
              <w:top w:val="nil"/>
              <w:left w:val="nil"/>
              <w:bottom w:val="single" w:sz="4" w:space="0" w:color="auto"/>
              <w:right w:val="nil"/>
            </w:tcBorders>
            <w:hideMark/>
          </w:tcPr>
          <w:p w14:paraId="388F8BDB" w14:textId="77777777" w:rsidR="00956435" w:rsidRDefault="00956435">
            <w:pPr>
              <w:pStyle w:val="BodyText"/>
              <w:spacing w:line="276" w:lineRule="auto"/>
              <w:jc w:val="center"/>
              <w:rPr>
                <w:b/>
                <w:sz w:val="20"/>
                <w:szCs w:val="20"/>
                <w:u w:val="single"/>
              </w:rPr>
            </w:pPr>
            <w:r>
              <w:rPr>
                <w:b/>
                <w:sz w:val="20"/>
                <w:szCs w:val="20"/>
                <w:u w:val="single"/>
              </w:rPr>
              <w:t>COMMISSION</w:t>
            </w:r>
          </w:p>
        </w:tc>
        <w:tc>
          <w:tcPr>
            <w:tcW w:w="472" w:type="pct"/>
            <w:tcBorders>
              <w:top w:val="nil"/>
              <w:left w:val="nil"/>
              <w:bottom w:val="single" w:sz="4" w:space="0" w:color="auto"/>
              <w:right w:val="nil"/>
            </w:tcBorders>
            <w:hideMark/>
          </w:tcPr>
          <w:p w14:paraId="75F5278C" w14:textId="77777777" w:rsidR="00956435" w:rsidRDefault="00956435">
            <w:pPr>
              <w:pStyle w:val="BodyText"/>
              <w:spacing w:line="276" w:lineRule="auto"/>
              <w:jc w:val="center"/>
              <w:rPr>
                <w:b/>
                <w:sz w:val="20"/>
                <w:szCs w:val="20"/>
                <w:u w:val="single"/>
              </w:rPr>
            </w:pPr>
            <w:r>
              <w:rPr>
                <w:b/>
                <w:sz w:val="20"/>
                <w:szCs w:val="20"/>
                <w:u w:val="single"/>
              </w:rPr>
              <w:t>TOTAL</w:t>
            </w:r>
          </w:p>
        </w:tc>
        <w:tc>
          <w:tcPr>
            <w:tcW w:w="316" w:type="pct"/>
            <w:tcBorders>
              <w:top w:val="nil"/>
              <w:left w:val="nil"/>
              <w:bottom w:val="single" w:sz="4" w:space="0" w:color="auto"/>
              <w:right w:val="nil"/>
            </w:tcBorders>
            <w:hideMark/>
          </w:tcPr>
          <w:p w14:paraId="58FB21A4" w14:textId="77777777" w:rsidR="00956435" w:rsidRDefault="00956435">
            <w:pPr>
              <w:pStyle w:val="BodyText"/>
              <w:spacing w:line="276" w:lineRule="auto"/>
              <w:jc w:val="center"/>
              <w:rPr>
                <w:b/>
                <w:sz w:val="20"/>
                <w:szCs w:val="20"/>
                <w:u w:val="single"/>
              </w:rPr>
            </w:pPr>
            <w:r>
              <w:rPr>
                <w:b/>
                <w:sz w:val="20"/>
                <w:szCs w:val="20"/>
                <w:u w:val="single"/>
              </w:rPr>
              <w:t>COST</w:t>
            </w:r>
          </w:p>
        </w:tc>
        <w:tc>
          <w:tcPr>
            <w:tcW w:w="546" w:type="pct"/>
            <w:tcBorders>
              <w:top w:val="nil"/>
              <w:left w:val="nil"/>
              <w:bottom w:val="single" w:sz="4" w:space="0" w:color="auto"/>
              <w:right w:val="nil"/>
            </w:tcBorders>
            <w:hideMark/>
          </w:tcPr>
          <w:p w14:paraId="35466D1E" w14:textId="77777777" w:rsidR="00956435" w:rsidRDefault="00956435">
            <w:pPr>
              <w:pStyle w:val="BodyText"/>
              <w:spacing w:line="276" w:lineRule="auto"/>
              <w:jc w:val="center"/>
              <w:rPr>
                <w:b/>
                <w:sz w:val="20"/>
                <w:szCs w:val="20"/>
                <w:u w:val="single"/>
              </w:rPr>
            </w:pPr>
            <w:r>
              <w:rPr>
                <w:b/>
                <w:sz w:val="20"/>
                <w:szCs w:val="20"/>
                <w:u w:val="single"/>
              </w:rPr>
              <w:t>COST</w:t>
            </w:r>
          </w:p>
        </w:tc>
        <w:tc>
          <w:tcPr>
            <w:tcW w:w="87" w:type="pct"/>
            <w:tcBorders>
              <w:top w:val="nil"/>
              <w:left w:val="nil"/>
              <w:bottom w:val="single" w:sz="4" w:space="0" w:color="auto"/>
              <w:right w:val="single" w:sz="4" w:space="0" w:color="auto"/>
            </w:tcBorders>
          </w:tcPr>
          <w:p w14:paraId="69D4D7E3" w14:textId="77777777" w:rsidR="00956435" w:rsidRDefault="00956435">
            <w:pPr>
              <w:pStyle w:val="BodyText"/>
              <w:spacing w:line="276" w:lineRule="auto"/>
              <w:jc w:val="center"/>
              <w:rPr>
                <w:b/>
                <w:sz w:val="20"/>
                <w:szCs w:val="20"/>
                <w:u w:val="single"/>
              </w:rPr>
            </w:pPr>
          </w:p>
        </w:tc>
      </w:tr>
      <w:tr w:rsidR="00956435" w14:paraId="5D1C2F85" w14:textId="77777777" w:rsidTr="00956435">
        <w:trPr>
          <w:trHeight w:hRule="exact" w:val="288"/>
        </w:trPr>
        <w:tc>
          <w:tcPr>
            <w:tcW w:w="150" w:type="pct"/>
            <w:tcBorders>
              <w:top w:val="single" w:sz="4" w:space="0" w:color="auto"/>
              <w:left w:val="single" w:sz="4" w:space="0" w:color="auto"/>
              <w:bottom w:val="nil"/>
              <w:right w:val="nil"/>
            </w:tcBorders>
          </w:tcPr>
          <w:p w14:paraId="149D2EFE" w14:textId="77777777" w:rsidR="00956435" w:rsidRDefault="00956435">
            <w:pPr>
              <w:pStyle w:val="BodyText"/>
              <w:spacing w:line="276" w:lineRule="auto"/>
              <w:rPr>
                <w:b/>
                <w:i/>
                <w:sz w:val="20"/>
                <w:szCs w:val="20"/>
              </w:rPr>
            </w:pPr>
          </w:p>
        </w:tc>
        <w:tc>
          <w:tcPr>
            <w:tcW w:w="1031" w:type="pct"/>
            <w:tcBorders>
              <w:top w:val="single" w:sz="4" w:space="0" w:color="auto"/>
              <w:left w:val="nil"/>
              <w:bottom w:val="nil"/>
              <w:right w:val="nil"/>
            </w:tcBorders>
          </w:tcPr>
          <w:p w14:paraId="6D208656" w14:textId="77777777" w:rsidR="00956435" w:rsidRDefault="00956435">
            <w:pPr>
              <w:pStyle w:val="BodyText"/>
              <w:spacing w:line="276" w:lineRule="auto"/>
              <w:rPr>
                <w:b/>
                <w:i/>
                <w:sz w:val="20"/>
                <w:szCs w:val="20"/>
              </w:rPr>
            </w:pPr>
          </w:p>
        </w:tc>
        <w:tc>
          <w:tcPr>
            <w:tcW w:w="429" w:type="pct"/>
            <w:tcBorders>
              <w:top w:val="single" w:sz="4" w:space="0" w:color="auto"/>
              <w:left w:val="nil"/>
              <w:bottom w:val="nil"/>
              <w:right w:val="nil"/>
            </w:tcBorders>
          </w:tcPr>
          <w:p w14:paraId="13CE76B3" w14:textId="77777777" w:rsidR="00956435" w:rsidRDefault="00956435">
            <w:pPr>
              <w:pStyle w:val="BodyText"/>
              <w:spacing w:line="276" w:lineRule="auto"/>
              <w:rPr>
                <w:b/>
                <w:i/>
                <w:sz w:val="20"/>
                <w:szCs w:val="20"/>
              </w:rPr>
            </w:pPr>
          </w:p>
        </w:tc>
        <w:tc>
          <w:tcPr>
            <w:tcW w:w="461" w:type="pct"/>
            <w:tcBorders>
              <w:top w:val="single" w:sz="4" w:space="0" w:color="auto"/>
              <w:left w:val="nil"/>
              <w:bottom w:val="nil"/>
              <w:right w:val="nil"/>
            </w:tcBorders>
          </w:tcPr>
          <w:p w14:paraId="72AC6267" w14:textId="77777777" w:rsidR="00956435" w:rsidRDefault="00956435">
            <w:pPr>
              <w:pStyle w:val="BodyText"/>
              <w:spacing w:line="276" w:lineRule="auto"/>
              <w:rPr>
                <w:b/>
                <w:i/>
                <w:sz w:val="20"/>
                <w:szCs w:val="20"/>
              </w:rPr>
            </w:pPr>
          </w:p>
        </w:tc>
        <w:tc>
          <w:tcPr>
            <w:tcW w:w="497" w:type="pct"/>
            <w:tcBorders>
              <w:top w:val="single" w:sz="4" w:space="0" w:color="auto"/>
              <w:left w:val="nil"/>
              <w:bottom w:val="nil"/>
              <w:right w:val="nil"/>
            </w:tcBorders>
          </w:tcPr>
          <w:p w14:paraId="5A47FE28" w14:textId="77777777" w:rsidR="00956435" w:rsidRDefault="00956435">
            <w:pPr>
              <w:pStyle w:val="BodyText"/>
              <w:spacing w:line="276" w:lineRule="auto"/>
              <w:rPr>
                <w:b/>
                <w:i/>
                <w:sz w:val="20"/>
                <w:szCs w:val="20"/>
              </w:rPr>
            </w:pPr>
          </w:p>
        </w:tc>
        <w:tc>
          <w:tcPr>
            <w:tcW w:w="515" w:type="pct"/>
            <w:tcBorders>
              <w:top w:val="single" w:sz="4" w:space="0" w:color="auto"/>
              <w:left w:val="nil"/>
              <w:bottom w:val="nil"/>
              <w:right w:val="nil"/>
            </w:tcBorders>
          </w:tcPr>
          <w:p w14:paraId="16EE1E60" w14:textId="77777777" w:rsidR="00956435" w:rsidRDefault="00956435">
            <w:pPr>
              <w:pStyle w:val="BodyText"/>
              <w:spacing w:line="276" w:lineRule="auto"/>
              <w:rPr>
                <w:b/>
                <w:i/>
                <w:sz w:val="20"/>
                <w:szCs w:val="20"/>
              </w:rPr>
            </w:pPr>
          </w:p>
        </w:tc>
        <w:tc>
          <w:tcPr>
            <w:tcW w:w="497" w:type="pct"/>
            <w:tcBorders>
              <w:top w:val="single" w:sz="4" w:space="0" w:color="auto"/>
              <w:left w:val="nil"/>
              <w:bottom w:val="nil"/>
              <w:right w:val="nil"/>
            </w:tcBorders>
          </w:tcPr>
          <w:p w14:paraId="480FF42F" w14:textId="77777777" w:rsidR="00956435" w:rsidRDefault="00956435">
            <w:pPr>
              <w:pStyle w:val="BodyText"/>
              <w:spacing w:line="276" w:lineRule="auto"/>
              <w:rPr>
                <w:b/>
                <w:i/>
                <w:sz w:val="20"/>
                <w:szCs w:val="20"/>
              </w:rPr>
            </w:pPr>
          </w:p>
        </w:tc>
        <w:tc>
          <w:tcPr>
            <w:tcW w:w="472" w:type="pct"/>
            <w:tcBorders>
              <w:top w:val="single" w:sz="4" w:space="0" w:color="auto"/>
              <w:left w:val="nil"/>
              <w:bottom w:val="nil"/>
              <w:right w:val="nil"/>
            </w:tcBorders>
          </w:tcPr>
          <w:p w14:paraId="27178877" w14:textId="77777777" w:rsidR="00956435" w:rsidRDefault="00956435">
            <w:pPr>
              <w:pStyle w:val="BodyText"/>
              <w:spacing w:line="276" w:lineRule="auto"/>
              <w:rPr>
                <w:b/>
                <w:i/>
                <w:sz w:val="20"/>
                <w:szCs w:val="20"/>
              </w:rPr>
            </w:pPr>
          </w:p>
        </w:tc>
        <w:tc>
          <w:tcPr>
            <w:tcW w:w="316" w:type="pct"/>
            <w:tcBorders>
              <w:top w:val="single" w:sz="4" w:space="0" w:color="auto"/>
              <w:left w:val="nil"/>
              <w:bottom w:val="nil"/>
              <w:right w:val="nil"/>
            </w:tcBorders>
          </w:tcPr>
          <w:p w14:paraId="4CDB0B75" w14:textId="77777777" w:rsidR="00956435" w:rsidRDefault="00956435">
            <w:pPr>
              <w:pStyle w:val="BodyText"/>
              <w:spacing w:line="276" w:lineRule="auto"/>
              <w:rPr>
                <w:b/>
                <w:i/>
                <w:sz w:val="20"/>
                <w:szCs w:val="20"/>
              </w:rPr>
            </w:pPr>
          </w:p>
        </w:tc>
        <w:tc>
          <w:tcPr>
            <w:tcW w:w="546" w:type="pct"/>
            <w:tcBorders>
              <w:top w:val="single" w:sz="4" w:space="0" w:color="auto"/>
              <w:left w:val="nil"/>
              <w:bottom w:val="nil"/>
              <w:right w:val="nil"/>
            </w:tcBorders>
          </w:tcPr>
          <w:p w14:paraId="0A535343" w14:textId="77777777" w:rsidR="00956435" w:rsidRDefault="00956435">
            <w:pPr>
              <w:pStyle w:val="BodyText"/>
              <w:spacing w:line="276" w:lineRule="auto"/>
              <w:rPr>
                <w:b/>
                <w:i/>
                <w:sz w:val="20"/>
                <w:szCs w:val="20"/>
              </w:rPr>
            </w:pPr>
          </w:p>
        </w:tc>
        <w:tc>
          <w:tcPr>
            <w:tcW w:w="87" w:type="pct"/>
            <w:tcBorders>
              <w:top w:val="single" w:sz="4" w:space="0" w:color="auto"/>
              <w:left w:val="nil"/>
              <w:bottom w:val="nil"/>
              <w:right w:val="single" w:sz="4" w:space="0" w:color="auto"/>
            </w:tcBorders>
          </w:tcPr>
          <w:p w14:paraId="39ADD6F4" w14:textId="77777777" w:rsidR="00956435" w:rsidRDefault="00956435">
            <w:pPr>
              <w:pStyle w:val="BodyText"/>
              <w:spacing w:line="276" w:lineRule="auto"/>
              <w:rPr>
                <w:b/>
                <w:i/>
                <w:sz w:val="20"/>
                <w:szCs w:val="20"/>
              </w:rPr>
            </w:pPr>
          </w:p>
        </w:tc>
      </w:tr>
      <w:tr w:rsidR="00956435" w14:paraId="5B4DFA0B" w14:textId="77777777" w:rsidTr="00956435">
        <w:trPr>
          <w:trHeight w:hRule="exact" w:val="288"/>
        </w:trPr>
        <w:tc>
          <w:tcPr>
            <w:tcW w:w="150" w:type="pct"/>
            <w:tcBorders>
              <w:top w:val="nil"/>
              <w:left w:val="single" w:sz="4" w:space="0" w:color="auto"/>
              <w:bottom w:val="nil"/>
              <w:right w:val="nil"/>
            </w:tcBorders>
            <w:hideMark/>
          </w:tcPr>
          <w:p w14:paraId="1D57FC34" w14:textId="77777777" w:rsidR="00956435" w:rsidRDefault="00956435">
            <w:pPr>
              <w:pStyle w:val="BodyText"/>
              <w:spacing w:line="276" w:lineRule="auto"/>
              <w:rPr>
                <w:sz w:val="20"/>
                <w:szCs w:val="20"/>
              </w:rPr>
            </w:pPr>
            <w:r>
              <w:rPr>
                <w:sz w:val="20"/>
                <w:szCs w:val="20"/>
              </w:rPr>
              <w:t>1.</w:t>
            </w:r>
          </w:p>
        </w:tc>
        <w:tc>
          <w:tcPr>
            <w:tcW w:w="1031" w:type="pct"/>
            <w:tcBorders>
              <w:top w:val="nil"/>
              <w:left w:val="nil"/>
              <w:bottom w:val="nil"/>
              <w:right w:val="nil"/>
            </w:tcBorders>
            <w:hideMark/>
          </w:tcPr>
          <w:p w14:paraId="5373062B" w14:textId="77777777" w:rsidR="00956435" w:rsidRDefault="00956435">
            <w:pPr>
              <w:pStyle w:val="BodyText"/>
              <w:spacing w:line="276" w:lineRule="auto"/>
              <w:rPr>
                <w:sz w:val="20"/>
                <w:szCs w:val="20"/>
              </w:rPr>
            </w:pPr>
            <w:r>
              <w:rPr>
                <w:sz w:val="20"/>
                <w:szCs w:val="20"/>
              </w:rPr>
              <w:t>LONG-TERM DEBT</w:t>
            </w:r>
          </w:p>
        </w:tc>
        <w:tc>
          <w:tcPr>
            <w:tcW w:w="429" w:type="pct"/>
            <w:tcBorders>
              <w:top w:val="nil"/>
              <w:left w:val="nil"/>
              <w:bottom w:val="nil"/>
              <w:right w:val="nil"/>
            </w:tcBorders>
            <w:hideMark/>
          </w:tcPr>
          <w:p w14:paraId="7EC0910F" w14:textId="77777777" w:rsidR="00956435" w:rsidRDefault="00956435">
            <w:pPr>
              <w:pStyle w:val="BodyText"/>
              <w:spacing w:line="276" w:lineRule="auto"/>
              <w:jc w:val="right"/>
              <w:rPr>
                <w:sz w:val="20"/>
                <w:szCs w:val="20"/>
              </w:rPr>
            </w:pPr>
            <w:r>
              <w:rPr>
                <w:sz w:val="20"/>
                <w:szCs w:val="20"/>
              </w:rPr>
              <w:t>$1,431,854</w:t>
            </w:r>
          </w:p>
        </w:tc>
        <w:tc>
          <w:tcPr>
            <w:tcW w:w="461" w:type="pct"/>
            <w:tcBorders>
              <w:top w:val="nil"/>
              <w:left w:val="nil"/>
              <w:bottom w:val="nil"/>
              <w:right w:val="nil"/>
            </w:tcBorders>
            <w:hideMark/>
          </w:tcPr>
          <w:p w14:paraId="3C89ECCD" w14:textId="77777777" w:rsidR="00956435" w:rsidRDefault="00956435">
            <w:pPr>
              <w:pStyle w:val="BodyText"/>
              <w:spacing w:line="276" w:lineRule="auto"/>
              <w:jc w:val="right"/>
              <w:rPr>
                <w:sz w:val="20"/>
                <w:szCs w:val="20"/>
              </w:rPr>
            </w:pPr>
            <w:r>
              <w:rPr>
                <w:sz w:val="20"/>
                <w:szCs w:val="20"/>
              </w:rPr>
              <w:t>$2,305,092</w:t>
            </w:r>
          </w:p>
        </w:tc>
        <w:tc>
          <w:tcPr>
            <w:tcW w:w="497" w:type="pct"/>
            <w:tcBorders>
              <w:top w:val="nil"/>
              <w:left w:val="nil"/>
              <w:bottom w:val="nil"/>
              <w:right w:val="nil"/>
            </w:tcBorders>
            <w:hideMark/>
          </w:tcPr>
          <w:p w14:paraId="124E5429" w14:textId="77777777" w:rsidR="00956435" w:rsidRDefault="00956435">
            <w:pPr>
              <w:pStyle w:val="BodyText"/>
              <w:spacing w:line="276" w:lineRule="auto"/>
              <w:jc w:val="right"/>
              <w:rPr>
                <w:sz w:val="20"/>
                <w:szCs w:val="20"/>
              </w:rPr>
            </w:pPr>
            <w:r>
              <w:rPr>
                <w:sz w:val="20"/>
                <w:szCs w:val="20"/>
              </w:rPr>
              <w:t>$3,736,946</w:t>
            </w:r>
          </w:p>
        </w:tc>
        <w:tc>
          <w:tcPr>
            <w:tcW w:w="515" w:type="pct"/>
            <w:tcBorders>
              <w:top w:val="nil"/>
              <w:left w:val="nil"/>
              <w:bottom w:val="nil"/>
              <w:right w:val="nil"/>
            </w:tcBorders>
            <w:hideMark/>
          </w:tcPr>
          <w:p w14:paraId="61FF5AA5" w14:textId="77777777" w:rsidR="00956435" w:rsidRDefault="00956435">
            <w:pPr>
              <w:pStyle w:val="BodyText"/>
              <w:spacing w:line="276" w:lineRule="auto"/>
              <w:jc w:val="right"/>
              <w:rPr>
                <w:sz w:val="20"/>
                <w:szCs w:val="20"/>
              </w:rPr>
            </w:pPr>
            <w:r>
              <w:rPr>
                <w:sz w:val="20"/>
                <w:szCs w:val="20"/>
              </w:rPr>
              <w:t>($1,399,665)</w:t>
            </w:r>
          </w:p>
        </w:tc>
        <w:tc>
          <w:tcPr>
            <w:tcW w:w="497" w:type="pct"/>
            <w:tcBorders>
              <w:top w:val="nil"/>
              <w:left w:val="nil"/>
              <w:bottom w:val="nil"/>
              <w:right w:val="nil"/>
            </w:tcBorders>
            <w:hideMark/>
          </w:tcPr>
          <w:p w14:paraId="1C455D29" w14:textId="77777777" w:rsidR="00956435" w:rsidRDefault="00956435">
            <w:pPr>
              <w:pStyle w:val="BodyText"/>
              <w:spacing w:line="276" w:lineRule="auto"/>
              <w:jc w:val="right"/>
              <w:rPr>
                <w:sz w:val="20"/>
                <w:szCs w:val="20"/>
              </w:rPr>
            </w:pPr>
            <w:r>
              <w:rPr>
                <w:sz w:val="20"/>
                <w:szCs w:val="20"/>
              </w:rPr>
              <w:t>$2,337,281</w:t>
            </w:r>
          </w:p>
        </w:tc>
        <w:tc>
          <w:tcPr>
            <w:tcW w:w="472" w:type="pct"/>
            <w:tcBorders>
              <w:top w:val="nil"/>
              <w:left w:val="nil"/>
              <w:bottom w:val="nil"/>
              <w:right w:val="nil"/>
            </w:tcBorders>
            <w:hideMark/>
          </w:tcPr>
          <w:p w14:paraId="2C13B2FB" w14:textId="77777777" w:rsidR="00956435" w:rsidRDefault="00956435">
            <w:pPr>
              <w:pStyle w:val="BodyText"/>
              <w:spacing w:line="276" w:lineRule="auto"/>
              <w:jc w:val="right"/>
              <w:rPr>
                <w:sz w:val="20"/>
                <w:szCs w:val="20"/>
              </w:rPr>
            </w:pPr>
            <w:r>
              <w:rPr>
                <w:sz w:val="20"/>
                <w:szCs w:val="20"/>
              </w:rPr>
              <w:t>74.89%</w:t>
            </w:r>
          </w:p>
        </w:tc>
        <w:tc>
          <w:tcPr>
            <w:tcW w:w="316" w:type="pct"/>
            <w:tcBorders>
              <w:top w:val="nil"/>
              <w:left w:val="nil"/>
              <w:bottom w:val="nil"/>
              <w:right w:val="nil"/>
            </w:tcBorders>
            <w:hideMark/>
          </w:tcPr>
          <w:p w14:paraId="0AC60CCC" w14:textId="77777777" w:rsidR="00956435" w:rsidRDefault="00956435">
            <w:pPr>
              <w:pStyle w:val="BodyText"/>
              <w:spacing w:line="276" w:lineRule="auto"/>
              <w:jc w:val="right"/>
              <w:rPr>
                <w:sz w:val="20"/>
                <w:szCs w:val="20"/>
              </w:rPr>
            </w:pPr>
            <w:r>
              <w:rPr>
                <w:sz w:val="20"/>
                <w:szCs w:val="20"/>
              </w:rPr>
              <w:t>8.52%</w:t>
            </w:r>
          </w:p>
        </w:tc>
        <w:tc>
          <w:tcPr>
            <w:tcW w:w="546" w:type="pct"/>
            <w:tcBorders>
              <w:top w:val="nil"/>
              <w:left w:val="nil"/>
              <w:bottom w:val="nil"/>
              <w:right w:val="nil"/>
            </w:tcBorders>
            <w:hideMark/>
          </w:tcPr>
          <w:p w14:paraId="6AE597C4" w14:textId="77777777" w:rsidR="00956435" w:rsidRDefault="00956435">
            <w:pPr>
              <w:pStyle w:val="BodyText"/>
              <w:spacing w:line="276" w:lineRule="auto"/>
              <w:jc w:val="right"/>
              <w:rPr>
                <w:sz w:val="20"/>
                <w:szCs w:val="20"/>
              </w:rPr>
            </w:pPr>
            <w:r>
              <w:rPr>
                <w:sz w:val="20"/>
                <w:szCs w:val="20"/>
              </w:rPr>
              <w:t>6.38%</w:t>
            </w:r>
          </w:p>
        </w:tc>
        <w:tc>
          <w:tcPr>
            <w:tcW w:w="87" w:type="pct"/>
            <w:tcBorders>
              <w:top w:val="nil"/>
              <w:left w:val="nil"/>
              <w:bottom w:val="nil"/>
              <w:right w:val="single" w:sz="4" w:space="0" w:color="auto"/>
            </w:tcBorders>
          </w:tcPr>
          <w:p w14:paraId="04FC3A1C" w14:textId="77777777" w:rsidR="00956435" w:rsidRDefault="00956435">
            <w:pPr>
              <w:pStyle w:val="BodyText"/>
              <w:spacing w:line="276" w:lineRule="auto"/>
              <w:rPr>
                <w:sz w:val="20"/>
                <w:szCs w:val="20"/>
              </w:rPr>
            </w:pPr>
          </w:p>
        </w:tc>
      </w:tr>
      <w:tr w:rsidR="00956435" w14:paraId="72336DAE" w14:textId="77777777" w:rsidTr="00956435">
        <w:trPr>
          <w:trHeight w:hRule="exact" w:val="288"/>
        </w:trPr>
        <w:tc>
          <w:tcPr>
            <w:tcW w:w="150" w:type="pct"/>
            <w:tcBorders>
              <w:top w:val="nil"/>
              <w:left w:val="single" w:sz="4" w:space="0" w:color="auto"/>
              <w:bottom w:val="nil"/>
              <w:right w:val="nil"/>
            </w:tcBorders>
            <w:hideMark/>
          </w:tcPr>
          <w:p w14:paraId="597E68D6" w14:textId="77777777" w:rsidR="00956435" w:rsidRDefault="00956435">
            <w:pPr>
              <w:pStyle w:val="BodyText"/>
              <w:spacing w:line="276" w:lineRule="auto"/>
              <w:rPr>
                <w:sz w:val="20"/>
                <w:szCs w:val="20"/>
              </w:rPr>
            </w:pPr>
            <w:r>
              <w:rPr>
                <w:sz w:val="20"/>
                <w:szCs w:val="20"/>
              </w:rPr>
              <w:t>2.</w:t>
            </w:r>
          </w:p>
        </w:tc>
        <w:tc>
          <w:tcPr>
            <w:tcW w:w="1031" w:type="pct"/>
            <w:tcBorders>
              <w:top w:val="nil"/>
              <w:left w:val="nil"/>
              <w:bottom w:val="nil"/>
              <w:right w:val="nil"/>
            </w:tcBorders>
            <w:hideMark/>
          </w:tcPr>
          <w:p w14:paraId="6188C8B6" w14:textId="77777777" w:rsidR="00956435" w:rsidRDefault="00956435">
            <w:pPr>
              <w:pStyle w:val="BodyText"/>
              <w:spacing w:line="276" w:lineRule="auto"/>
              <w:rPr>
                <w:sz w:val="20"/>
                <w:szCs w:val="20"/>
              </w:rPr>
            </w:pPr>
            <w:r>
              <w:rPr>
                <w:sz w:val="20"/>
                <w:szCs w:val="20"/>
              </w:rPr>
              <w:t>COMMON EQUITY</w:t>
            </w:r>
          </w:p>
        </w:tc>
        <w:tc>
          <w:tcPr>
            <w:tcW w:w="429" w:type="pct"/>
            <w:tcBorders>
              <w:top w:val="nil"/>
              <w:left w:val="nil"/>
              <w:bottom w:val="nil"/>
              <w:right w:val="nil"/>
            </w:tcBorders>
            <w:hideMark/>
          </w:tcPr>
          <w:p w14:paraId="5788C854" w14:textId="77777777" w:rsidR="00956435" w:rsidRDefault="00956435">
            <w:pPr>
              <w:pStyle w:val="BodyText"/>
              <w:spacing w:line="276" w:lineRule="auto"/>
              <w:jc w:val="right"/>
              <w:rPr>
                <w:sz w:val="20"/>
                <w:szCs w:val="20"/>
              </w:rPr>
            </w:pPr>
            <w:r>
              <w:rPr>
                <w:sz w:val="20"/>
                <w:szCs w:val="20"/>
              </w:rPr>
              <w:t>469,312</w:t>
            </w:r>
          </w:p>
        </w:tc>
        <w:tc>
          <w:tcPr>
            <w:tcW w:w="461" w:type="pct"/>
            <w:tcBorders>
              <w:top w:val="nil"/>
              <w:left w:val="nil"/>
              <w:bottom w:val="nil"/>
              <w:right w:val="nil"/>
            </w:tcBorders>
            <w:hideMark/>
          </w:tcPr>
          <w:p w14:paraId="357A3308" w14:textId="77777777" w:rsidR="00956435" w:rsidRDefault="00956435">
            <w:pPr>
              <w:pStyle w:val="BodyText"/>
              <w:spacing w:line="276" w:lineRule="auto"/>
              <w:jc w:val="right"/>
              <w:rPr>
                <w:sz w:val="20"/>
                <w:szCs w:val="20"/>
              </w:rPr>
            </w:pPr>
            <w:r>
              <w:rPr>
                <w:sz w:val="20"/>
                <w:szCs w:val="20"/>
              </w:rPr>
              <w:t>768,364</w:t>
            </w:r>
          </w:p>
        </w:tc>
        <w:tc>
          <w:tcPr>
            <w:tcW w:w="497" w:type="pct"/>
            <w:tcBorders>
              <w:top w:val="nil"/>
              <w:left w:val="nil"/>
              <w:bottom w:val="nil"/>
              <w:right w:val="nil"/>
            </w:tcBorders>
            <w:hideMark/>
          </w:tcPr>
          <w:p w14:paraId="2C047EB1" w14:textId="77777777" w:rsidR="00956435" w:rsidRDefault="00956435">
            <w:pPr>
              <w:pStyle w:val="BodyText"/>
              <w:spacing w:line="276" w:lineRule="auto"/>
              <w:jc w:val="right"/>
              <w:rPr>
                <w:sz w:val="20"/>
                <w:szCs w:val="20"/>
              </w:rPr>
            </w:pPr>
            <w:r>
              <w:rPr>
                <w:sz w:val="20"/>
                <w:szCs w:val="20"/>
              </w:rPr>
              <w:t>1,237,676</w:t>
            </w:r>
          </w:p>
        </w:tc>
        <w:tc>
          <w:tcPr>
            <w:tcW w:w="515" w:type="pct"/>
            <w:tcBorders>
              <w:top w:val="nil"/>
              <w:left w:val="nil"/>
              <w:bottom w:val="nil"/>
              <w:right w:val="nil"/>
            </w:tcBorders>
            <w:hideMark/>
          </w:tcPr>
          <w:p w14:paraId="437D1C66" w14:textId="77777777" w:rsidR="00956435" w:rsidRDefault="00956435">
            <w:pPr>
              <w:pStyle w:val="BodyText"/>
              <w:spacing w:line="276" w:lineRule="auto"/>
              <w:jc w:val="right"/>
              <w:rPr>
                <w:sz w:val="20"/>
                <w:szCs w:val="20"/>
              </w:rPr>
            </w:pPr>
            <w:r>
              <w:rPr>
                <w:sz w:val="20"/>
                <w:szCs w:val="20"/>
              </w:rPr>
              <w:t>(463,569)</w:t>
            </w:r>
          </w:p>
        </w:tc>
        <w:tc>
          <w:tcPr>
            <w:tcW w:w="497" w:type="pct"/>
            <w:tcBorders>
              <w:top w:val="nil"/>
              <w:left w:val="nil"/>
              <w:bottom w:val="nil"/>
              <w:right w:val="nil"/>
            </w:tcBorders>
            <w:hideMark/>
          </w:tcPr>
          <w:p w14:paraId="31B75590" w14:textId="77777777" w:rsidR="00956435" w:rsidRDefault="00956435">
            <w:pPr>
              <w:pStyle w:val="BodyText"/>
              <w:spacing w:line="276" w:lineRule="auto"/>
              <w:jc w:val="right"/>
              <w:rPr>
                <w:sz w:val="20"/>
                <w:szCs w:val="20"/>
              </w:rPr>
            </w:pPr>
            <w:r>
              <w:rPr>
                <w:sz w:val="20"/>
                <w:szCs w:val="20"/>
              </w:rPr>
              <w:t>774,107</w:t>
            </w:r>
          </w:p>
        </w:tc>
        <w:tc>
          <w:tcPr>
            <w:tcW w:w="472" w:type="pct"/>
            <w:tcBorders>
              <w:top w:val="nil"/>
              <w:left w:val="nil"/>
              <w:bottom w:val="nil"/>
              <w:right w:val="nil"/>
            </w:tcBorders>
            <w:hideMark/>
          </w:tcPr>
          <w:p w14:paraId="615A4D5A" w14:textId="77777777" w:rsidR="00956435" w:rsidRDefault="00956435">
            <w:pPr>
              <w:pStyle w:val="BodyText"/>
              <w:spacing w:line="276" w:lineRule="auto"/>
              <w:jc w:val="right"/>
              <w:rPr>
                <w:sz w:val="20"/>
                <w:szCs w:val="20"/>
              </w:rPr>
            </w:pPr>
            <w:r>
              <w:rPr>
                <w:sz w:val="20"/>
                <w:szCs w:val="20"/>
              </w:rPr>
              <w:t>24.80%</w:t>
            </w:r>
          </w:p>
        </w:tc>
        <w:tc>
          <w:tcPr>
            <w:tcW w:w="316" w:type="pct"/>
            <w:tcBorders>
              <w:top w:val="nil"/>
              <w:left w:val="nil"/>
              <w:bottom w:val="nil"/>
              <w:right w:val="nil"/>
            </w:tcBorders>
            <w:hideMark/>
          </w:tcPr>
          <w:p w14:paraId="60565FF1" w14:textId="77777777" w:rsidR="00956435" w:rsidRDefault="00956435">
            <w:pPr>
              <w:pStyle w:val="BodyText"/>
              <w:spacing w:line="276" w:lineRule="auto"/>
              <w:jc w:val="right"/>
              <w:rPr>
                <w:sz w:val="20"/>
                <w:szCs w:val="20"/>
              </w:rPr>
            </w:pPr>
            <w:r>
              <w:rPr>
                <w:sz w:val="20"/>
                <w:szCs w:val="20"/>
              </w:rPr>
              <w:t>10.51%</w:t>
            </w:r>
          </w:p>
        </w:tc>
        <w:tc>
          <w:tcPr>
            <w:tcW w:w="546" w:type="pct"/>
            <w:tcBorders>
              <w:top w:val="nil"/>
              <w:left w:val="nil"/>
              <w:bottom w:val="nil"/>
              <w:right w:val="nil"/>
            </w:tcBorders>
            <w:hideMark/>
          </w:tcPr>
          <w:p w14:paraId="6CAB901E" w14:textId="77777777" w:rsidR="00956435" w:rsidRDefault="00956435">
            <w:pPr>
              <w:pStyle w:val="BodyText"/>
              <w:spacing w:line="276" w:lineRule="auto"/>
              <w:jc w:val="right"/>
              <w:rPr>
                <w:sz w:val="20"/>
                <w:szCs w:val="20"/>
              </w:rPr>
            </w:pPr>
            <w:r>
              <w:rPr>
                <w:sz w:val="20"/>
                <w:szCs w:val="20"/>
              </w:rPr>
              <w:t>2.61%</w:t>
            </w:r>
          </w:p>
        </w:tc>
        <w:tc>
          <w:tcPr>
            <w:tcW w:w="87" w:type="pct"/>
            <w:tcBorders>
              <w:top w:val="nil"/>
              <w:left w:val="nil"/>
              <w:bottom w:val="nil"/>
              <w:right w:val="single" w:sz="4" w:space="0" w:color="auto"/>
            </w:tcBorders>
          </w:tcPr>
          <w:p w14:paraId="0CC4BA80" w14:textId="77777777" w:rsidR="00956435" w:rsidRDefault="00956435">
            <w:pPr>
              <w:pStyle w:val="BodyText"/>
              <w:spacing w:line="276" w:lineRule="auto"/>
              <w:rPr>
                <w:sz w:val="20"/>
                <w:szCs w:val="20"/>
              </w:rPr>
            </w:pPr>
          </w:p>
        </w:tc>
      </w:tr>
      <w:tr w:rsidR="00956435" w14:paraId="75D47F73" w14:textId="77777777" w:rsidTr="00956435">
        <w:trPr>
          <w:trHeight w:hRule="exact" w:val="288"/>
        </w:trPr>
        <w:tc>
          <w:tcPr>
            <w:tcW w:w="150" w:type="pct"/>
            <w:tcBorders>
              <w:top w:val="nil"/>
              <w:left w:val="single" w:sz="4" w:space="0" w:color="auto"/>
              <w:bottom w:val="nil"/>
              <w:right w:val="nil"/>
            </w:tcBorders>
            <w:hideMark/>
          </w:tcPr>
          <w:p w14:paraId="3A039A5B" w14:textId="77777777" w:rsidR="00956435" w:rsidRDefault="00956435">
            <w:pPr>
              <w:pStyle w:val="BodyText"/>
              <w:spacing w:line="276" w:lineRule="auto"/>
              <w:rPr>
                <w:sz w:val="20"/>
                <w:szCs w:val="20"/>
              </w:rPr>
            </w:pPr>
            <w:r>
              <w:rPr>
                <w:sz w:val="20"/>
                <w:szCs w:val="20"/>
              </w:rPr>
              <w:t>3.</w:t>
            </w:r>
          </w:p>
        </w:tc>
        <w:tc>
          <w:tcPr>
            <w:tcW w:w="1031" w:type="pct"/>
            <w:tcBorders>
              <w:top w:val="nil"/>
              <w:left w:val="nil"/>
              <w:bottom w:val="nil"/>
              <w:right w:val="nil"/>
            </w:tcBorders>
            <w:hideMark/>
          </w:tcPr>
          <w:p w14:paraId="37456F7F" w14:textId="77777777" w:rsidR="00956435" w:rsidRDefault="00956435">
            <w:pPr>
              <w:pStyle w:val="BodyText"/>
              <w:spacing w:line="276" w:lineRule="auto"/>
              <w:rPr>
                <w:sz w:val="20"/>
                <w:szCs w:val="20"/>
              </w:rPr>
            </w:pPr>
            <w:r>
              <w:rPr>
                <w:sz w:val="20"/>
                <w:szCs w:val="20"/>
              </w:rPr>
              <w:t>CUSTOMER DEPOSITS</w:t>
            </w:r>
          </w:p>
        </w:tc>
        <w:tc>
          <w:tcPr>
            <w:tcW w:w="429" w:type="pct"/>
            <w:tcBorders>
              <w:top w:val="nil"/>
              <w:left w:val="nil"/>
              <w:bottom w:val="nil"/>
              <w:right w:val="nil"/>
            </w:tcBorders>
            <w:hideMark/>
          </w:tcPr>
          <w:p w14:paraId="7DD33E30" w14:textId="77777777" w:rsidR="00956435" w:rsidRDefault="00956435">
            <w:pPr>
              <w:pStyle w:val="BodyText"/>
              <w:spacing w:line="276" w:lineRule="auto"/>
              <w:jc w:val="right"/>
              <w:rPr>
                <w:sz w:val="20"/>
                <w:szCs w:val="20"/>
                <w:u w:val="single"/>
              </w:rPr>
            </w:pPr>
            <w:r>
              <w:rPr>
                <w:sz w:val="20"/>
                <w:szCs w:val="20"/>
                <w:u w:val="single"/>
              </w:rPr>
              <w:t>11,804</w:t>
            </w:r>
          </w:p>
        </w:tc>
        <w:tc>
          <w:tcPr>
            <w:tcW w:w="461" w:type="pct"/>
            <w:tcBorders>
              <w:top w:val="nil"/>
              <w:left w:val="nil"/>
              <w:bottom w:val="nil"/>
              <w:right w:val="nil"/>
            </w:tcBorders>
            <w:hideMark/>
          </w:tcPr>
          <w:p w14:paraId="2C05BC96" w14:textId="77777777" w:rsidR="00956435" w:rsidRDefault="00956435">
            <w:pPr>
              <w:pStyle w:val="BodyText"/>
              <w:spacing w:line="276" w:lineRule="auto"/>
              <w:jc w:val="right"/>
              <w:rPr>
                <w:sz w:val="20"/>
                <w:szCs w:val="20"/>
                <w:u w:val="single"/>
              </w:rPr>
            </w:pPr>
            <w:r>
              <w:rPr>
                <w:sz w:val="20"/>
                <w:szCs w:val="20"/>
                <w:u w:val="single"/>
              </w:rPr>
              <w:t>3,266</w:t>
            </w:r>
          </w:p>
        </w:tc>
        <w:tc>
          <w:tcPr>
            <w:tcW w:w="497" w:type="pct"/>
            <w:tcBorders>
              <w:top w:val="nil"/>
              <w:left w:val="nil"/>
              <w:bottom w:val="nil"/>
              <w:right w:val="nil"/>
            </w:tcBorders>
          </w:tcPr>
          <w:p w14:paraId="732097C9" w14:textId="77777777" w:rsidR="00956435" w:rsidRDefault="00956435">
            <w:pPr>
              <w:pStyle w:val="BodyText"/>
              <w:spacing w:line="276" w:lineRule="auto"/>
              <w:jc w:val="right"/>
              <w:rPr>
                <w:sz w:val="20"/>
                <w:szCs w:val="20"/>
                <w:u w:val="single"/>
              </w:rPr>
            </w:pPr>
            <w:r>
              <w:rPr>
                <w:sz w:val="20"/>
                <w:szCs w:val="20"/>
                <w:u w:val="single"/>
              </w:rPr>
              <w:t>15,070</w:t>
            </w:r>
          </w:p>
          <w:p w14:paraId="446BFD4B" w14:textId="77777777" w:rsidR="00956435" w:rsidRDefault="00956435">
            <w:pPr>
              <w:pStyle w:val="BodyText"/>
              <w:spacing w:line="276" w:lineRule="auto"/>
              <w:jc w:val="right"/>
              <w:rPr>
                <w:sz w:val="20"/>
                <w:szCs w:val="20"/>
                <w:u w:val="single"/>
              </w:rPr>
            </w:pPr>
          </w:p>
        </w:tc>
        <w:tc>
          <w:tcPr>
            <w:tcW w:w="515" w:type="pct"/>
            <w:tcBorders>
              <w:top w:val="nil"/>
              <w:left w:val="nil"/>
              <w:bottom w:val="nil"/>
              <w:right w:val="nil"/>
            </w:tcBorders>
            <w:hideMark/>
          </w:tcPr>
          <w:p w14:paraId="7DE10913" w14:textId="77777777" w:rsidR="00956435" w:rsidRDefault="00956435">
            <w:pPr>
              <w:pStyle w:val="BodyText"/>
              <w:spacing w:line="276" w:lineRule="auto"/>
              <w:jc w:val="right"/>
              <w:rPr>
                <w:sz w:val="20"/>
                <w:szCs w:val="20"/>
                <w:u w:val="single"/>
              </w:rPr>
            </w:pPr>
            <w:r>
              <w:rPr>
                <w:sz w:val="20"/>
                <w:szCs w:val="20"/>
                <w:u w:val="single"/>
              </w:rPr>
              <w:t>(5,644)</w:t>
            </w:r>
          </w:p>
        </w:tc>
        <w:tc>
          <w:tcPr>
            <w:tcW w:w="497" w:type="pct"/>
            <w:tcBorders>
              <w:top w:val="nil"/>
              <w:left w:val="nil"/>
              <w:bottom w:val="nil"/>
              <w:right w:val="nil"/>
            </w:tcBorders>
            <w:hideMark/>
          </w:tcPr>
          <w:p w14:paraId="3D260E25" w14:textId="77777777" w:rsidR="00956435" w:rsidRDefault="00956435">
            <w:pPr>
              <w:pStyle w:val="BodyText"/>
              <w:spacing w:line="276" w:lineRule="auto"/>
              <w:jc w:val="right"/>
              <w:rPr>
                <w:sz w:val="20"/>
                <w:szCs w:val="20"/>
                <w:u w:val="single"/>
              </w:rPr>
            </w:pPr>
            <w:r>
              <w:rPr>
                <w:sz w:val="20"/>
                <w:szCs w:val="20"/>
                <w:u w:val="single"/>
              </w:rPr>
              <w:t>9,426</w:t>
            </w:r>
          </w:p>
        </w:tc>
        <w:tc>
          <w:tcPr>
            <w:tcW w:w="472" w:type="pct"/>
            <w:tcBorders>
              <w:top w:val="nil"/>
              <w:left w:val="nil"/>
              <w:bottom w:val="nil"/>
              <w:right w:val="nil"/>
            </w:tcBorders>
            <w:hideMark/>
          </w:tcPr>
          <w:p w14:paraId="77F97F2C" w14:textId="77777777" w:rsidR="00956435" w:rsidRDefault="00956435">
            <w:pPr>
              <w:pStyle w:val="BodyText"/>
              <w:spacing w:line="276" w:lineRule="auto"/>
              <w:jc w:val="right"/>
              <w:rPr>
                <w:sz w:val="20"/>
                <w:szCs w:val="20"/>
                <w:u w:val="single"/>
              </w:rPr>
            </w:pPr>
            <w:r>
              <w:rPr>
                <w:sz w:val="20"/>
                <w:szCs w:val="20"/>
                <w:u w:val="single"/>
              </w:rPr>
              <w:t>0.30%</w:t>
            </w:r>
          </w:p>
        </w:tc>
        <w:tc>
          <w:tcPr>
            <w:tcW w:w="316" w:type="pct"/>
            <w:tcBorders>
              <w:top w:val="nil"/>
              <w:left w:val="nil"/>
              <w:bottom w:val="nil"/>
              <w:right w:val="nil"/>
            </w:tcBorders>
            <w:hideMark/>
          </w:tcPr>
          <w:p w14:paraId="3990C41B" w14:textId="77777777" w:rsidR="00956435" w:rsidRDefault="00956435">
            <w:pPr>
              <w:pStyle w:val="BodyText"/>
              <w:spacing w:line="276" w:lineRule="auto"/>
              <w:jc w:val="right"/>
              <w:rPr>
                <w:sz w:val="20"/>
                <w:szCs w:val="20"/>
              </w:rPr>
            </w:pPr>
            <w:r>
              <w:rPr>
                <w:sz w:val="20"/>
                <w:szCs w:val="20"/>
              </w:rPr>
              <w:t>2.00%</w:t>
            </w:r>
          </w:p>
        </w:tc>
        <w:tc>
          <w:tcPr>
            <w:tcW w:w="546" w:type="pct"/>
            <w:tcBorders>
              <w:top w:val="nil"/>
              <w:left w:val="nil"/>
              <w:bottom w:val="nil"/>
              <w:right w:val="nil"/>
            </w:tcBorders>
            <w:hideMark/>
          </w:tcPr>
          <w:p w14:paraId="01C002E0" w14:textId="77777777" w:rsidR="00956435" w:rsidRDefault="00956435">
            <w:pPr>
              <w:pStyle w:val="BodyText"/>
              <w:spacing w:line="276" w:lineRule="auto"/>
              <w:jc w:val="right"/>
              <w:rPr>
                <w:sz w:val="20"/>
                <w:szCs w:val="20"/>
                <w:u w:val="single"/>
              </w:rPr>
            </w:pPr>
            <w:r>
              <w:rPr>
                <w:sz w:val="20"/>
                <w:szCs w:val="20"/>
                <w:u w:val="single"/>
              </w:rPr>
              <w:t>0.01%</w:t>
            </w:r>
          </w:p>
        </w:tc>
        <w:tc>
          <w:tcPr>
            <w:tcW w:w="87" w:type="pct"/>
            <w:tcBorders>
              <w:top w:val="nil"/>
              <w:left w:val="nil"/>
              <w:bottom w:val="nil"/>
              <w:right w:val="single" w:sz="4" w:space="0" w:color="auto"/>
            </w:tcBorders>
          </w:tcPr>
          <w:p w14:paraId="3E3AEE4B" w14:textId="77777777" w:rsidR="00956435" w:rsidRDefault="00956435">
            <w:pPr>
              <w:pStyle w:val="BodyText"/>
              <w:spacing w:line="276" w:lineRule="auto"/>
              <w:rPr>
                <w:sz w:val="20"/>
                <w:szCs w:val="20"/>
              </w:rPr>
            </w:pPr>
          </w:p>
        </w:tc>
      </w:tr>
      <w:tr w:rsidR="00956435" w14:paraId="56915F0B" w14:textId="77777777" w:rsidTr="00956435">
        <w:trPr>
          <w:trHeight w:hRule="exact" w:val="288"/>
        </w:trPr>
        <w:tc>
          <w:tcPr>
            <w:tcW w:w="150" w:type="pct"/>
            <w:tcBorders>
              <w:top w:val="nil"/>
              <w:left w:val="single" w:sz="4" w:space="0" w:color="auto"/>
              <w:bottom w:val="nil"/>
              <w:right w:val="nil"/>
            </w:tcBorders>
          </w:tcPr>
          <w:p w14:paraId="742A4534" w14:textId="77777777" w:rsidR="00956435" w:rsidRDefault="00956435">
            <w:pPr>
              <w:pStyle w:val="BodyText"/>
              <w:spacing w:line="276" w:lineRule="auto"/>
              <w:rPr>
                <w:sz w:val="20"/>
                <w:szCs w:val="20"/>
              </w:rPr>
            </w:pPr>
          </w:p>
        </w:tc>
        <w:tc>
          <w:tcPr>
            <w:tcW w:w="1031" w:type="pct"/>
            <w:tcBorders>
              <w:top w:val="nil"/>
              <w:left w:val="nil"/>
              <w:bottom w:val="nil"/>
              <w:right w:val="nil"/>
            </w:tcBorders>
            <w:hideMark/>
          </w:tcPr>
          <w:p w14:paraId="14ADC16C" w14:textId="77777777" w:rsidR="00956435" w:rsidRDefault="00956435">
            <w:pPr>
              <w:pStyle w:val="BodyText"/>
              <w:spacing w:line="276" w:lineRule="auto"/>
              <w:rPr>
                <w:sz w:val="20"/>
                <w:szCs w:val="20"/>
              </w:rPr>
            </w:pPr>
            <w:r>
              <w:rPr>
                <w:sz w:val="20"/>
                <w:szCs w:val="20"/>
              </w:rPr>
              <w:t xml:space="preserve"> TOTAL CAPITAL</w:t>
            </w:r>
          </w:p>
        </w:tc>
        <w:tc>
          <w:tcPr>
            <w:tcW w:w="429" w:type="pct"/>
            <w:tcBorders>
              <w:top w:val="nil"/>
              <w:left w:val="nil"/>
              <w:bottom w:val="nil"/>
              <w:right w:val="nil"/>
            </w:tcBorders>
            <w:hideMark/>
          </w:tcPr>
          <w:p w14:paraId="68E20481" w14:textId="77777777" w:rsidR="00956435" w:rsidRDefault="00956435">
            <w:pPr>
              <w:pStyle w:val="BodyText"/>
              <w:spacing w:line="276" w:lineRule="auto"/>
              <w:jc w:val="right"/>
              <w:rPr>
                <w:sz w:val="20"/>
                <w:szCs w:val="20"/>
                <w:u w:val="double"/>
              </w:rPr>
            </w:pPr>
            <w:r>
              <w:rPr>
                <w:sz w:val="20"/>
                <w:szCs w:val="20"/>
                <w:u w:val="double"/>
              </w:rPr>
              <w:t>$1,912,970</w:t>
            </w:r>
          </w:p>
        </w:tc>
        <w:tc>
          <w:tcPr>
            <w:tcW w:w="461" w:type="pct"/>
            <w:tcBorders>
              <w:top w:val="nil"/>
              <w:left w:val="nil"/>
              <w:bottom w:val="nil"/>
              <w:right w:val="nil"/>
            </w:tcBorders>
            <w:hideMark/>
          </w:tcPr>
          <w:p w14:paraId="41D3B283" w14:textId="77777777" w:rsidR="00956435" w:rsidRDefault="00956435">
            <w:pPr>
              <w:pStyle w:val="BodyText"/>
              <w:spacing w:line="276" w:lineRule="auto"/>
              <w:jc w:val="right"/>
              <w:rPr>
                <w:sz w:val="20"/>
                <w:szCs w:val="20"/>
                <w:u w:val="double"/>
              </w:rPr>
            </w:pPr>
            <w:r>
              <w:rPr>
                <w:sz w:val="20"/>
                <w:szCs w:val="20"/>
                <w:u w:val="double"/>
              </w:rPr>
              <w:t>$3,076,722</w:t>
            </w:r>
          </w:p>
        </w:tc>
        <w:tc>
          <w:tcPr>
            <w:tcW w:w="497" w:type="pct"/>
            <w:tcBorders>
              <w:top w:val="nil"/>
              <w:left w:val="nil"/>
              <w:bottom w:val="nil"/>
              <w:right w:val="nil"/>
            </w:tcBorders>
            <w:hideMark/>
          </w:tcPr>
          <w:p w14:paraId="717429C6" w14:textId="77777777" w:rsidR="00956435" w:rsidRDefault="00956435">
            <w:pPr>
              <w:pStyle w:val="BodyText"/>
              <w:spacing w:line="276" w:lineRule="auto"/>
              <w:jc w:val="right"/>
              <w:rPr>
                <w:sz w:val="20"/>
                <w:szCs w:val="20"/>
                <w:u w:val="double"/>
              </w:rPr>
            </w:pPr>
            <w:r>
              <w:rPr>
                <w:sz w:val="20"/>
                <w:szCs w:val="20"/>
                <w:u w:val="double"/>
              </w:rPr>
              <w:t>$4,989,692</w:t>
            </w:r>
          </w:p>
        </w:tc>
        <w:tc>
          <w:tcPr>
            <w:tcW w:w="515" w:type="pct"/>
            <w:tcBorders>
              <w:top w:val="nil"/>
              <w:left w:val="nil"/>
              <w:bottom w:val="nil"/>
              <w:right w:val="nil"/>
            </w:tcBorders>
            <w:hideMark/>
          </w:tcPr>
          <w:p w14:paraId="10737723" w14:textId="77777777" w:rsidR="00956435" w:rsidRDefault="00956435">
            <w:pPr>
              <w:pStyle w:val="BodyText"/>
              <w:spacing w:line="276" w:lineRule="auto"/>
              <w:jc w:val="right"/>
              <w:rPr>
                <w:sz w:val="20"/>
                <w:szCs w:val="20"/>
                <w:u w:val="double"/>
              </w:rPr>
            </w:pPr>
            <w:r>
              <w:rPr>
                <w:sz w:val="20"/>
                <w:szCs w:val="20"/>
                <w:u w:val="double"/>
              </w:rPr>
              <w:t>($1,868,878)</w:t>
            </w:r>
          </w:p>
        </w:tc>
        <w:tc>
          <w:tcPr>
            <w:tcW w:w="497" w:type="pct"/>
            <w:tcBorders>
              <w:top w:val="nil"/>
              <w:left w:val="nil"/>
              <w:bottom w:val="nil"/>
              <w:right w:val="nil"/>
            </w:tcBorders>
            <w:hideMark/>
          </w:tcPr>
          <w:p w14:paraId="38AE23E6" w14:textId="77777777" w:rsidR="00956435" w:rsidRDefault="00956435">
            <w:pPr>
              <w:pStyle w:val="BodyText"/>
              <w:spacing w:line="276" w:lineRule="auto"/>
              <w:jc w:val="right"/>
              <w:rPr>
                <w:sz w:val="20"/>
                <w:szCs w:val="20"/>
                <w:u w:val="double"/>
              </w:rPr>
            </w:pPr>
            <w:r>
              <w:rPr>
                <w:sz w:val="20"/>
                <w:szCs w:val="20"/>
                <w:u w:val="double"/>
              </w:rPr>
              <w:t>$3,120,814</w:t>
            </w:r>
          </w:p>
        </w:tc>
        <w:tc>
          <w:tcPr>
            <w:tcW w:w="472" w:type="pct"/>
            <w:tcBorders>
              <w:top w:val="nil"/>
              <w:left w:val="nil"/>
              <w:bottom w:val="nil"/>
              <w:right w:val="nil"/>
            </w:tcBorders>
            <w:hideMark/>
          </w:tcPr>
          <w:p w14:paraId="0BA41283" w14:textId="77777777" w:rsidR="00956435" w:rsidRDefault="00956435">
            <w:pPr>
              <w:pStyle w:val="BodyText"/>
              <w:spacing w:line="276" w:lineRule="auto"/>
              <w:jc w:val="right"/>
              <w:rPr>
                <w:sz w:val="20"/>
                <w:szCs w:val="20"/>
                <w:u w:val="double"/>
              </w:rPr>
            </w:pPr>
            <w:r>
              <w:rPr>
                <w:sz w:val="20"/>
                <w:szCs w:val="20"/>
                <w:u w:val="double"/>
              </w:rPr>
              <w:t>100.00%</w:t>
            </w:r>
          </w:p>
        </w:tc>
        <w:tc>
          <w:tcPr>
            <w:tcW w:w="316" w:type="pct"/>
            <w:tcBorders>
              <w:top w:val="nil"/>
              <w:left w:val="nil"/>
              <w:bottom w:val="nil"/>
              <w:right w:val="nil"/>
            </w:tcBorders>
          </w:tcPr>
          <w:p w14:paraId="3066EAE8" w14:textId="77777777" w:rsidR="00956435" w:rsidRDefault="00956435">
            <w:pPr>
              <w:pStyle w:val="BodyText"/>
              <w:spacing w:line="276" w:lineRule="auto"/>
              <w:jc w:val="right"/>
              <w:rPr>
                <w:sz w:val="20"/>
                <w:szCs w:val="20"/>
                <w:u w:val="double"/>
              </w:rPr>
            </w:pPr>
          </w:p>
        </w:tc>
        <w:tc>
          <w:tcPr>
            <w:tcW w:w="546" w:type="pct"/>
            <w:tcBorders>
              <w:top w:val="nil"/>
              <w:left w:val="nil"/>
              <w:bottom w:val="nil"/>
              <w:right w:val="nil"/>
            </w:tcBorders>
            <w:hideMark/>
          </w:tcPr>
          <w:p w14:paraId="774E8C69" w14:textId="77777777" w:rsidR="00956435" w:rsidRDefault="00956435">
            <w:pPr>
              <w:pStyle w:val="BodyText"/>
              <w:spacing w:line="276" w:lineRule="auto"/>
              <w:jc w:val="right"/>
              <w:rPr>
                <w:sz w:val="20"/>
                <w:szCs w:val="20"/>
                <w:u w:val="double"/>
              </w:rPr>
            </w:pPr>
            <w:r>
              <w:rPr>
                <w:sz w:val="20"/>
                <w:szCs w:val="20"/>
                <w:u w:val="double"/>
              </w:rPr>
              <w:t>8.99%</w:t>
            </w:r>
          </w:p>
        </w:tc>
        <w:tc>
          <w:tcPr>
            <w:tcW w:w="87" w:type="pct"/>
            <w:tcBorders>
              <w:top w:val="nil"/>
              <w:left w:val="nil"/>
              <w:bottom w:val="nil"/>
              <w:right w:val="single" w:sz="4" w:space="0" w:color="auto"/>
            </w:tcBorders>
          </w:tcPr>
          <w:p w14:paraId="1B6D98F3" w14:textId="77777777" w:rsidR="00956435" w:rsidRDefault="00956435">
            <w:pPr>
              <w:pStyle w:val="BodyText"/>
              <w:spacing w:line="276" w:lineRule="auto"/>
              <w:rPr>
                <w:sz w:val="20"/>
                <w:szCs w:val="20"/>
              </w:rPr>
            </w:pPr>
          </w:p>
        </w:tc>
      </w:tr>
      <w:tr w:rsidR="00956435" w14:paraId="2C57B9D2" w14:textId="77777777" w:rsidTr="00956435">
        <w:trPr>
          <w:trHeight w:hRule="exact" w:val="288"/>
        </w:trPr>
        <w:tc>
          <w:tcPr>
            <w:tcW w:w="150" w:type="pct"/>
            <w:tcBorders>
              <w:top w:val="nil"/>
              <w:left w:val="single" w:sz="4" w:space="0" w:color="auto"/>
              <w:bottom w:val="nil"/>
              <w:right w:val="nil"/>
            </w:tcBorders>
          </w:tcPr>
          <w:p w14:paraId="21F80EC0" w14:textId="77777777" w:rsidR="00956435" w:rsidRDefault="00956435">
            <w:pPr>
              <w:pStyle w:val="BodyText"/>
              <w:spacing w:line="276" w:lineRule="auto"/>
              <w:rPr>
                <w:sz w:val="20"/>
                <w:szCs w:val="20"/>
              </w:rPr>
            </w:pPr>
          </w:p>
        </w:tc>
        <w:tc>
          <w:tcPr>
            <w:tcW w:w="1031" w:type="pct"/>
            <w:tcBorders>
              <w:top w:val="nil"/>
              <w:left w:val="nil"/>
              <w:bottom w:val="nil"/>
              <w:right w:val="nil"/>
            </w:tcBorders>
          </w:tcPr>
          <w:p w14:paraId="445AA8DA" w14:textId="77777777" w:rsidR="00956435" w:rsidRDefault="00956435">
            <w:pPr>
              <w:pStyle w:val="BodyText"/>
              <w:spacing w:line="276" w:lineRule="auto"/>
              <w:rPr>
                <w:sz w:val="20"/>
                <w:szCs w:val="20"/>
              </w:rPr>
            </w:pPr>
          </w:p>
        </w:tc>
        <w:tc>
          <w:tcPr>
            <w:tcW w:w="429" w:type="pct"/>
            <w:tcBorders>
              <w:top w:val="nil"/>
              <w:left w:val="nil"/>
              <w:bottom w:val="nil"/>
              <w:right w:val="nil"/>
            </w:tcBorders>
          </w:tcPr>
          <w:p w14:paraId="650C8983" w14:textId="77777777" w:rsidR="00956435" w:rsidRDefault="00956435">
            <w:pPr>
              <w:pStyle w:val="BodyText"/>
              <w:spacing w:line="276" w:lineRule="auto"/>
              <w:rPr>
                <w:sz w:val="20"/>
                <w:szCs w:val="20"/>
              </w:rPr>
            </w:pPr>
          </w:p>
        </w:tc>
        <w:tc>
          <w:tcPr>
            <w:tcW w:w="461" w:type="pct"/>
            <w:tcBorders>
              <w:top w:val="nil"/>
              <w:left w:val="nil"/>
              <w:bottom w:val="nil"/>
              <w:right w:val="nil"/>
            </w:tcBorders>
          </w:tcPr>
          <w:p w14:paraId="2D044A05" w14:textId="77777777" w:rsidR="00956435" w:rsidRDefault="00956435">
            <w:pPr>
              <w:pStyle w:val="BodyText"/>
              <w:spacing w:line="276" w:lineRule="auto"/>
              <w:rPr>
                <w:sz w:val="20"/>
                <w:szCs w:val="20"/>
              </w:rPr>
            </w:pPr>
          </w:p>
        </w:tc>
        <w:tc>
          <w:tcPr>
            <w:tcW w:w="497" w:type="pct"/>
            <w:tcBorders>
              <w:top w:val="nil"/>
              <w:left w:val="nil"/>
              <w:bottom w:val="nil"/>
              <w:right w:val="nil"/>
            </w:tcBorders>
          </w:tcPr>
          <w:p w14:paraId="18987D15" w14:textId="77777777" w:rsidR="00956435" w:rsidRDefault="00956435">
            <w:pPr>
              <w:pStyle w:val="BodyText"/>
              <w:spacing w:line="276" w:lineRule="auto"/>
              <w:rPr>
                <w:sz w:val="20"/>
                <w:szCs w:val="20"/>
              </w:rPr>
            </w:pPr>
          </w:p>
        </w:tc>
        <w:tc>
          <w:tcPr>
            <w:tcW w:w="515" w:type="pct"/>
            <w:tcBorders>
              <w:top w:val="nil"/>
              <w:left w:val="nil"/>
              <w:bottom w:val="nil"/>
              <w:right w:val="nil"/>
            </w:tcBorders>
          </w:tcPr>
          <w:p w14:paraId="2D034B3F" w14:textId="77777777" w:rsidR="00956435" w:rsidRDefault="00956435">
            <w:pPr>
              <w:pStyle w:val="BodyText"/>
              <w:spacing w:line="276" w:lineRule="auto"/>
              <w:rPr>
                <w:sz w:val="20"/>
                <w:szCs w:val="20"/>
              </w:rPr>
            </w:pPr>
          </w:p>
        </w:tc>
        <w:tc>
          <w:tcPr>
            <w:tcW w:w="497" w:type="pct"/>
            <w:tcBorders>
              <w:top w:val="nil"/>
              <w:left w:val="nil"/>
              <w:bottom w:val="nil"/>
              <w:right w:val="nil"/>
            </w:tcBorders>
          </w:tcPr>
          <w:p w14:paraId="726A87B3" w14:textId="77777777" w:rsidR="00956435" w:rsidRDefault="00956435">
            <w:pPr>
              <w:pStyle w:val="BodyText"/>
              <w:spacing w:line="276" w:lineRule="auto"/>
              <w:rPr>
                <w:sz w:val="20"/>
                <w:szCs w:val="20"/>
              </w:rPr>
            </w:pPr>
          </w:p>
        </w:tc>
        <w:tc>
          <w:tcPr>
            <w:tcW w:w="472" w:type="pct"/>
            <w:tcBorders>
              <w:top w:val="nil"/>
              <w:left w:val="nil"/>
              <w:bottom w:val="nil"/>
              <w:right w:val="nil"/>
            </w:tcBorders>
          </w:tcPr>
          <w:p w14:paraId="7BE4D9BB" w14:textId="77777777" w:rsidR="00956435" w:rsidRDefault="00956435">
            <w:pPr>
              <w:pStyle w:val="BodyText"/>
              <w:spacing w:line="276" w:lineRule="auto"/>
              <w:rPr>
                <w:sz w:val="20"/>
                <w:szCs w:val="20"/>
              </w:rPr>
            </w:pPr>
          </w:p>
        </w:tc>
        <w:tc>
          <w:tcPr>
            <w:tcW w:w="316" w:type="pct"/>
            <w:tcBorders>
              <w:top w:val="nil"/>
              <w:left w:val="nil"/>
              <w:bottom w:val="nil"/>
              <w:right w:val="nil"/>
            </w:tcBorders>
          </w:tcPr>
          <w:p w14:paraId="1581D6F1" w14:textId="77777777" w:rsidR="00956435" w:rsidRDefault="00956435">
            <w:pPr>
              <w:pStyle w:val="BodyText"/>
              <w:spacing w:line="276" w:lineRule="auto"/>
              <w:rPr>
                <w:sz w:val="20"/>
                <w:szCs w:val="20"/>
              </w:rPr>
            </w:pPr>
          </w:p>
        </w:tc>
        <w:tc>
          <w:tcPr>
            <w:tcW w:w="546" w:type="pct"/>
            <w:tcBorders>
              <w:top w:val="nil"/>
              <w:left w:val="nil"/>
              <w:bottom w:val="nil"/>
              <w:right w:val="nil"/>
            </w:tcBorders>
          </w:tcPr>
          <w:p w14:paraId="311FA6B5" w14:textId="77777777" w:rsidR="00956435" w:rsidRDefault="00956435">
            <w:pPr>
              <w:pStyle w:val="BodyText"/>
              <w:spacing w:line="276" w:lineRule="auto"/>
              <w:rPr>
                <w:sz w:val="20"/>
                <w:szCs w:val="20"/>
              </w:rPr>
            </w:pPr>
          </w:p>
        </w:tc>
        <w:tc>
          <w:tcPr>
            <w:tcW w:w="87" w:type="pct"/>
            <w:tcBorders>
              <w:top w:val="nil"/>
              <w:left w:val="nil"/>
              <w:bottom w:val="nil"/>
              <w:right w:val="single" w:sz="4" w:space="0" w:color="auto"/>
            </w:tcBorders>
          </w:tcPr>
          <w:p w14:paraId="264B285A" w14:textId="77777777" w:rsidR="00956435" w:rsidRDefault="00956435">
            <w:pPr>
              <w:pStyle w:val="BodyText"/>
              <w:spacing w:line="276" w:lineRule="auto"/>
              <w:rPr>
                <w:sz w:val="20"/>
                <w:szCs w:val="20"/>
              </w:rPr>
            </w:pPr>
          </w:p>
        </w:tc>
      </w:tr>
      <w:tr w:rsidR="00956435" w14:paraId="7CF93F04" w14:textId="77777777" w:rsidTr="00956435">
        <w:trPr>
          <w:trHeight w:hRule="exact" w:val="288"/>
        </w:trPr>
        <w:tc>
          <w:tcPr>
            <w:tcW w:w="150" w:type="pct"/>
            <w:tcBorders>
              <w:top w:val="nil"/>
              <w:left w:val="single" w:sz="4" w:space="0" w:color="auto"/>
              <w:bottom w:val="nil"/>
              <w:right w:val="nil"/>
            </w:tcBorders>
          </w:tcPr>
          <w:p w14:paraId="3C807ED0" w14:textId="77777777" w:rsidR="00956435" w:rsidRDefault="00956435">
            <w:pPr>
              <w:pStyle w:val="BodyText"/>
              <w:spacing w:line="276" w:lineRule="auto"/>
              <w:rPr>
                <w:sz w:val="20"/>
                <w:szCs w:val="20"/>
              </w:rPr>
            </w:pPr>
          </w:p>
        </w:tc>
        <w:tc>
          <w:tcPr>
            <w:tcW w:w="1031" w:type="pct"/>
            <w:tcBorders>
              <w:top w:val="nil"/>
              <w:left w:val="nil"/>
              <w:bottom w:val="nil"/>
              <w:right w:val="nil"/>
            </w:tcBorders>
          </w:tcPr>
          <w:p w14:paraId="288DBD04" w14:textId="77777777" w:rsidR="00956435" w:rsidRDefault="00956435">
            <w:pPr>
              <w:pStyle w:val="BodyText"/>
              <w:spacing w:line="276" w:lineRule="auto"/>
              <w:rPr>
                <w:sz w:val="20"/>
                <w:szCs w:val="20"/>
              </w:rPr>
            </w:pPr>
          </w:p>
        </w:tc>
        <w:tc>
          <w:tcPr>
            <w:tcW w:w="429" w:type="pct"/>
            <w:tcBorders>
              <w:top w:val="nil"/>
              <w:left w:val="nil"/>
              <w:bottom w:val="nil"/>
              <w:right w:val="nil"/>
            </w:tcBorders>
          </w:tcPr>
          <w:p w14:paraId="609918EB" w14:textId="77777777" w:rsidR="00956435" w:rsidRDefault="00956435">
            <w:pPr>
              <w:pStyle w:val="BodyText"/>
              <w:spacing w:line="276" w:lineRule="auto"/>
              <w:rPr>
                <w:sz w:val="20"/>
                <w:szCs w:val="20"/>
              </w:rPr>
            </w:pPr>
          </w:p>
        </w:tc>
        <w:tc>
          <w:tcPr>
            <w:tcW w:w="461" w:type="pct"/>
            <w:tcBorders>
              <w:top w:val="nil"/>
              <w:left w:val="nil"/>
              <w:bottom w:val="nil"/>
              <w:right w:val="nil"/>
            </w:tcBorders>
          </w:tcPr>
          <w:p w14:paraId="6C5DE0BC" w14:textId="77777777" w:rsidR="00956435" w:rsidRDefault="00956435">
            <w:pPr>
              <w:pStyle w:val="BodyText"/>
              <w:spacing w:line="276" w:lineRule="auto"/>
              <w:rPr>
                <w:sz w:val="20"/>
                <w:szCs w:val="20"/>
              </w:rPr>
            </w:pPr>
          </w:p>
        </w:tc>
        <w:tc>
          <w:tcPr>
            <w:tcW w:w="497" w:type="pct"/>
            <w:tcBorders>
              <w:top w:val="nil"/>
              <w:left w:val="nil"/>
              <w:bottom w:val="nil"/>
              <w:right w:val="nil"/>
            </w:tcBorders>
          </w:tcPr>
          <w:p w14:paraId="688385AE" w14:textId="77777777" w:rsidR="00956435" w:rsidRDefault="00956435">
            <w:pPr>
              <w:pStyle w:val="BodyText"/>
              <w:spacing w:line="276" w:lineRule="auto"/>
              <w:rPr>
                <w:sz w:val="20"/>
                <w:szCs w:val="20"/>
              </w:rPr>
            </w:pPr>
          </w:p>
        </w:tc>
        <w:tc>
          <w:tcPr>
            <w:tcW w:w="1483" w:type="pct"/>
            <w:gridSpan w:val="3"/>
            <w:tcBorders>
              <w:top w:val="nil"/>
              <w:left w:val="nil"/>
              <w:bottom w:val="nil"/>
              <w:right w:val="nil"/>
            </w:tcBorders>
            <w:hideMark/>
          </w:tcPr>
          <w:p w14:paraId="18AC47F1" w14:textId="77777777" w:rsidR="00956435" w:rsidRDefault="00956435">
            <w:pPr>
              <w:pStyle w:val="BodyText"/>
              <w:spacing w:line="276" w:lineRule="auto"/>
              <w:rPr>
                <w:b/>
                <w:sz w:val="20"/>
                <w:szCs w:val="20"/>
              </w:rPr>
            </w:pPr>
            <w:r>
              <w:rPr>
                <w:b/>
                <w:sz w:val="20"/>
                <w:szCs w:val="20"/>
              </w:rPr>
              <w:t>RANGE OF REASONABLENESS</w:t>
            </w:r>
          </w:p>
        </w:tc>
        <w:tc>
          <w:tcPr>
            <w:tcW w:w="316" w:type="pct"/>
            <w:tcBorders>
              <w:top w:val="nil"/>
              <w:left w:val="nil"/>
              <w:bottom w:val="nil"/>
              <w:right w:val="nil"/>
            </w:tcBorders>
            <w:hideMark/>
          </w:tcPr>
          <w:p w14:paraId="2450B953" w14:textId="77777777" w:rsidR="00956435" w:rsidRDefault="00956435">
            <w:pPr>
              <w:pStyle w:val="BodyText"/>
              <w:spacing w:line="276" w:lineRule="auto"/>
              <w:jc w:val="center"/>
              <w:rPr>
                <w:b/>
                <w:sz w:val="20"/>
                <w:szCs w:val="20"/>
              </w:rPr>
            </w:pPr>
            <w:r>
              <w:rPr>
                <w:b/>
                <w:sz w:val="20"/>
                <w:szCs w:val="20"/>
              </w:rPr>
              <w:t>LOW</w:t>
            </w:r>
          </w:p>
        </w:tc>
        <w:tc>
          <w:tcPr>
            <w:tcW w:w="546" w:type="pct"/>
            <w:tcBorders>
              <w:top w:val="nil"/>
              <w:left w:val="nil"/>
              <w:bottom w:val="nil"/>
              <w:right w:val="nil"/>
            </w:tcBorders>
            <w:hideMark/>
          </w:tcPr>
          <w:p w14:paraId="47E277A6" w14:textId="77777777" w:rsidR="00956435" w:rsidRDefault="00956435">
            <w:pPr>
              <w:pStyle w:val="BodyText"/>
              <w:spacing w:line="276" w:lineRule="auto"/>
              <w:jc w:val="center"/>
              <w:rPr>
                <w:b/>
                <w:sz w:val="20"/>
                <w:szCs w:val="20"/>
              </w:rPr>
            </w:pPr>
            <w:r>
              <w:rPr>
                <w:b/>
                <w:sz w:val="20"/>
                <w:szCs w:val="20"/>
              </w:rPr>
              <w:t>HIGH</w:t>
            </w:r>
          </w:p>
        </w:tc>
        <w:tc>
          <w:tcPr>
            <w:tcW w:w="87" w:type="pct"/>
            <w:tcBorders>
              <w:top w:val="nil"/>
              <w:left w:val="nil"/>
              <w:bottom w:val="nil"/>
              <w:right w:val="single" w:sz="4" w:space="0" w:color="auto"/>
            </w:tcBorders>
          </w:tcPr>
          <w:p w14:paraId="5614F49E" w14:textId="77777777" w:rsidR="00956435" w:rsidRDefault="00956435">
            <w:pPr>
              <w:pStyle w:val="BodyText"/>
              <w:spacing w:line="276" w:lineRule="auto"/>
              <w:rPr>
                <w:sz w:val="20"/>
                <w:szCs w:val="20"/>
              </w:rPr>
            </w:pPr>
          </w:p>
        </w:tc>
      </w:tr>
      <w:tr w:rsidR="00956435" w14:paraId="5577B02A" w14:textId="77777777" w:rsidTr="00956435">
        <w:trPr>
          <w:trHeight w:hRule="exact" w:val="288"/>
        </w:trPr>
        <w:tc>
          <w:tcPr>
            <w:tcW w:w="150" w:type="pct"/>
            <w:tcBorders>
              <w:top w:val="nil"/>
              <w:left w:val="single" w:sz="4" w:space="0" w:color="auto"/>
              <w:bottom w:val="nil"/>
              <w:right w:val="nil"/>
            </w:tcBorders>
          </w:tcPr>
          <w:p w14:paraId="00F372B2" w14:textId="77777777" w:rsidR="00956435" w:rsidRDefault="00956435">
            <w:pPr>
              <w:pStyle w:val="BodyText"/>
              <w:spacing w:line="276" w:lineRule="auto"/>
              <w:rPr>
                <w:sz w:val="20"/>
                <w:szCs w:val="20"/>
              </w:rPr>
            </w:pPr>
          </w:p>
        </w:tc>
        <w:tc>
          <w:tcPr>
            <w:tcW w:w="1031" w:type="pct"/>
            <w:tcBorders>
              <w:top w:val="nil"/>
              <w:left w:val="nil"/>
              <w:bottom w:val="nil"/>
              <w:right w:val="nil"/>
            </w:tcBorders>
          </w:tcPr>
          <w:p w14:paraId="1683BC0E" w14:textId="77777777" w:rsidR="00956435" w:rsidRDefault="00956435">
            <w:pPr>
              <w:pStyle w:val="BodyText"/>
              <w:spacing w:line="276" w:lineRule="auto"/>
              <w:rPr>
                <w:sz w:val="20"/>
                <w:szCs w:val="20"/>
              </w:rPr>
            </w:pPr>
          </w:p>
        </w:tc>
        <w:tc>
          <w:tcPr>
            <w:tcW w:w="429" w:type="pct"/>
            <w:tcBorders>
              <w:top w:val="nil"/>
              <w:left w:val="nil"/>
              <w:bottom w:val="nil"/>
              <w:right w:val="nil"/>
            </w:tcBorders>
          </w:tcPr>
          <w:p w14:paraId="56D23110" w14:textId="77777777" w:rsidR="00956435" w:rsidRDefault="00956435">
            <w:pPr>
              <w:pStyle w:val="BodyText"/>
              <w:spacing w:line="276" w:lineRule="auto"/>
              <w:rPr>
                <w:sz w:val="20"/>
                <w:szCs w:val="20"/>
              </w:rPr>
            </w:pPr>
          </w:p>
        </w:tc>
        <w:tc>
          <w:tcPr>
            <w:tcW w:w="461" w:type="pct"/>
            <w:tcBorders>
              <w:top w:val="nil"/>
              <w:left w:val="nil"/>
              <w:bottom w:val="nil"/>
              <w:right w:val="nil"/>
            </w:tcBorders>
          </w:tcPr>
          <w:p w14:paraId="58B11F32" w14:textId="77777777" w:rsidR="00956435" w:rsidRDefault="00956435">
            <w:pPr>
              <w:pStyle w:val="BodyText"/>
              <w:spacing w:line="276" w:lineRule="auto"/>
              <w:rPr>
                <w:sz w:val="20"/>
                <w:szCs w:val="20"/>
              </w:rPr>
            </w:pPr>
          </w:p>
        </w:tc>
        <w:tc>
          <w:tcPr>
            <w:tcW w:w="497" w:type="pct"/>
            <w:tcBorders>
              <w:top w:val="nil"/>
              <w:left w:val="nil"/>
              <w:bottom w:val="nil"/>
              <w:right w:val="nil"/>
            </w:tcBorders>
          </w:tcPr>
          <w:p w14:paraId="1E06A45F" w14:textId="77777777" w:rsidR="00956435" w:rsidRDefault="00956435">
            <w:pPr>
              <w:pStyle w:val="BodyText"/>
              <w:spacing w:line="276" w:lineRule="auto"/>
              <w:rPr>
                <w:sz w:val="20"/>
                <w:szCs w:val="20"/>
              </w:rPr>
            </w:pPr>
          </w:p>
        </w:tc>
        <w:tc>
          <w:tcPr>
            <w:tcW w:w="1483" w:type="pct"/>
            <w:gridSpan w:val="3"/>
            <w:tcBorders>
              <w:top w:val="nil"/>
              <w:left w:val="nil"/>
              <w:bottom w:val="nil"/>
              <w:right w:val="nil"/>
            </w:tcBorders>
            <w:hideMark/>
          </w:tcPr>
          <w:p w14:paraId="7FDC96DE" w14:textId="77777777" w:rsidR="00956435" w:rsidRDefault="00956435">
            <w:pPr>
              <w:pStyle w:val="BodyText"/>
              <w:spacing w:line="276" w:lineRule="auto"/>
              <w:rPr>
                <w:sz w:val="20"/>
                <w:szCs w:val="20"/>
              </w:rPr>
            </w:pPr>
            <w:r>
              <w:rPr>
                <w:sz w:val="20"/>
                <w:szCs w:val="20"/>
              </w:rPr>
              <w:t xml:space="preserve"> RETURN ON EQUITY </w:t>
            </w:r>
          </w:p>
        </w:tc>
        <w:tc>
          <w:tcPr>
            <w:tcW w:w="316" w:type="pct"/>
            <w:tcBorders>
              <w:top w:val="nil"/>
              <w:left w:val="nil"/>
              <w:bottom w:val="nil"/>
              <w:right w:val="nil"/>
            </w:tcBorders>
            <w:hideMark/>
          </w:tcPr>
          <w:p w14:paraId="4C94B1FE" w14:textId="77777777" w:rsidR="00956435" w:rsidRDefault="00956435">
            <w:pPr>
              <w:pStyle w:val="BodyText"/>
              <w:spacing w:line="276" w:lineRule="auto"/>
              <w:jc w:val="center"/>
              <w:rPr>
                <w:sz w:val="20"/>
                <w:szCs w:val="20"/>
              </w:rPr>
            </w:pPr>
            <w:r>
              <w:rPr>
                <w:sz w:val="20"/>
                <w:szCs w:val="20"/>
              </w:rPr>
              <w:t>9.51%</w:t>
            </w:r>
          </w:p>
        </w:tc>
        <w:tc>
          <w:tcPr>
            <w:tcW w:w="546" w:type="pct"/>
            <w:tcBorders>
              <w:top w:val="nil"/>
              <w:left w:val="nil"/>
              <w:bottom w:val="nil"/>
              <w:right w:val="nil"/>
            </w:tcBorders>
            <w:hideMark/>
          </w:tcPr>
          <w:p w14:paraId="7F7D341D" w14:textId="77777777" w:rsidR="00956435" w:rsidRDefault="00956435">
            <w:pPr>
              <w:pStyle w:val="BodyText"/>
              <w:spacing w:line="276" w:lineRule="auto"/>
              <w:jc w:val="center"/>
              <w:rPr>
                <w:sz w:val="20"/>
                <w:szCs w:val="20"/>
              </w:rPr>
            </w:pPr>
            <w:r>
              <w:rPr>
                <w:sz w:val="20"/>
                <w:szCs w:val="20"/>
              </w:rPr>
              <w:t>11.51%</w:t>
            </w:r>
          </w:p>
        </w:tc>
        <w:tc>
          <w:tcPr>
            <w:tcW w:w="87" w:type="pct"/>
            <w:tcBorders>
              <w:top w:val="nil"/>
              <w:left w:val="nil"/>
              <w:bottom w:val="nil"/>
              <w:right w:val="single" w:sz="4" w:space="0" w:color="auto"/>
            </w:tcBorders>
          </w:tcPr>
          <w:p w14:paraId="01452A62" w14:textId="77777777" w:rsidR="00956435" w:rsidRDefault="00956435">
            <w:pPr>
              <w:pStyle w:val="BodyText"/>
              <w:spacing w:line="276" w:lineRule="auto"/>
              <w:rPr>
                <w:sz w:val="20"/>
                <w:szCs w:val="20"/>
              </w:rPr>
            </w:pPr>
          </w:p>
        </w:tc>
      </w:tr>
      <w:tr w:rsidR="00956435" w14:paraId="1B9C21DD" w14:textId="77777777" w:rsidTr="00956435">
        <w:trPr>
          <w:trHeight w:hRule="exact" w:val="288"/>
        </w:trPr>
        <w:tc>
          <w:tcPr>
            <w:tcW w:w="150" w:type="pct"/>
            <w:tcBorders>
              <w:top w:val="nil"/>
              <w:left w:val="single" w:sz="4" w:space="0" w:color="auto"/>
              <w:bottom w:val="single" w:sz="4" w:space="0" w:color="auto"/>
              <w:right w:val="nil"/>
            </w:tcBorders>
          </w:tcPr>
          <w:p w14:paraId="6BAE2ECC" w14:textId="77777777" w:rsidR="00956435" w:rsidRDefault="00956435">
            <w:pPr>
              <w:pStyle w:val="BodyText"/>
              <w:spacing w:line="276" w:lineRule="auto"/>
              <w:rPr>
                <w:sz w:val="20"/>
                <w:szCs w:val="20"/>
              </w:rPr>
            </w:pPr>
          </w:p>
        </w:tc>
        <w:tc>
          <w:tcPr>
            <w:tcW w:w="1031" w:type="pct"/>
            <w:tcBorders>
              <w:top w:val="nil"/>
              <w:left w:val="nil"/>
              <w:bottom w:val="single" w:sz="4" w:space="0" w:color="auto"/>
              <w:right w:val="nil"/>
            </w:tcBorders>
          </w:tcPr>
          <w:p w14:paraId="144630DD" w14:textId="77777777" w:rsidR="00956435" w:rsidRDefault="00956435">
            <w:pPr>
              <w:pStyle w:val="BodyText"/>
              <w:spacing w:line="276" w:lineRule="auto"/>
              <w:rPr>
                <w:sz w:val="20"/>
                <w:szCs w:val="20"/>
              </w:rPr>
            </w:pPr>
          </w:p>
        </w:tc>
        <w:tc>
          <w:tcPr>
            <w:tcW w:w="429" w:type="pct"/>
            <w:tcBorders>
              <w:top w:val="nil"/>
              <w:left w:val="nil"/>
              <w:bottom w:val="single" w:sz="4" w:space="0" w:color="auto"/>
              <w:right w:val="nil"/>
            </w:tcBorders>
          </w:tcPr>
          <w:p w14:paraId="63CD3F5D" w14:textId="77777777" w:rsidR="00956435" w:rsidRDefault="00956435">
            <w:pPr>
              <w:pStyle w:val="BodyText"/>
              <w:spacing w:line="276" w:lineRule="auto"/>
              <w:rPr>
                <w:sz w:val="20"/>
                <w:szCs w:val="20"/>
              </w:rPr>
            </w:pPr>
          </w:p>
        </w:tc>
        <w:tc>
          <w:tcPr>
            <w:tcW w:w="461" w:type="pct"/>
            <w:tcBorders>
              <w:top w:val="nil"/>
              <w:left w:val="nil"/>
              <w:bottom w:val="single" w:sz="4" w:space="0" w:color="auto"/>
              <w:right w:val="nil"/>
            </w:tcBorders>
          </w:tcPr>
          <w:p w14:paraId="5404ABA6" w14:textId="77777777" w:rsidR="00956435" w:rsidRDefault="00956435">
            <w:pPr>
              <w:pStyle w:val="BodyText"/>
              <w:spacing w:line="276" w:lineRule="auto"/>
              <w:rPr>
                <w:sz w:val="20"/>
                <w:szCs w:val="20"/>
              </w:rPr>
            </w:pPr>
          </w:p>
        </w:tc>
        <w:tc>
          <w:tcPr>
            <w:tcW w:w="497" w:type="pct"/>
            <w:tcBorders>
              <w:top w:val="nil"/>
              <w:left w:val="nil"/>
              <w:bottom w:val="single" w:sz="4" w:space="0" w:color="auto"/>
              <w:right w:val="nil"/>
            </w:tcBorders>
          </w:tcPr>
          <w:p w14:paraId="5239E97A" w14:textId="77777777" w:rsidR="00956435" w:rsidRDefault="00956435">
            <w:pPr>
              <w:pStyle w:val="BodyText"/>
              <w:spacing w:line="276" w:lineRule="auto"/>
              <w:rPr>
                <w:sz w:val="20"/>
                <w:szCs w:val="20"/>
              </w:rPr>
            </w:pPr>
          </w:p>
        </w:tc>
        <w:tc>
          <w:tcPr>
            <w:tcW w:w="1483" w:type="pct"/>
            <w:gridSpan w:val="3"/>
            <w:tcBorders>
              <w:top w:val="nil"/>
              <w:left w:val="nil"/>
              <w:bottom w:val="single" w:sz="4" w:space="0" w:color="auto"/>
              <w:right w:val="nil"/>
            </w:tcBorders>
            <w:hideMark/>
          </w:tcPr>
          <w:p w14:paraId="12BED5EC" w14:textId="77777777" w:rsidR="00956435" w:rsidRDefault="00956435">
            <w:pPr>
              <w:pStyle w:val="BodyText"/>
              <w:spacing w:line="276" w:lineRule="auto"/>
              <w:rPr>
                <w:sz w:val="20"/>
                <w:szCs w:val="20"/>
              </w:rPr>
            </w:pPr>
            <w:r>
              <w:rPr>
                <w:sz w:val="20"/>
                <w:szCs w:val="20"/>
              </w:rPr>
              <w:t xml:space="preserve"> OVERALL RATE OF RETURN</w:t>
            </w:r>
          </w:p>
        </w:tc>
        <w:tc>
          <w:tcPr>
            <w:tcW w:w="316" w:type="pct"/>
            <w:tcBorders>
              <w:top w:val="nil"/>
              <w:left w:val="nil"/>
              <w:bottom w:val="single" w:sz="4" w:space="0" w:color="auto"/>
              <w:right w:val="nil"/>
            </w:tcBorders>
            <w:hideMark/>
          </w:tcPr>
          <w:p w14:paraId="3E218817" w14:textId="77777777" w:rsidR="00956435" w:rsidRDefault="00956435">
            <w:pPr>
              <w:pStyle w:val="BodyText"/>
              <w:spacing w:line="276" w:lineRule="auto"/>
              <w:jc w:val="center"/>
              <w:rPr>
                <w:sz w:val="20"/>
                <w:szCs w:val="20"/>
              </w:rPr>
            </w:pPr>
            <w:r>
              <w:rPr>
                <w:sz w:val="20"/>
                <w:szCs w:val="20"/>
              </w:rPr>
              <w:t>8.74%</w:t>
            </w:r>
          </w:p>
        </w:tc>
        <w:tc>
          <w:tcPr>
            <w:tcW w:w="546" w:type="pct"/>
            <w:tcBorders>
              <w:top w:val="nil"/>
              <w:left w:val="nil"/>
              <w:bottom w:val="single" w:sz="4" w:space="0" w:color="auto"/>
              <w:right w:val="nil"/>
            </w:tcBorders>
            <w:hideMark/>
          </w:tcPr>
          <w:p w14:paraId="276EAD87" w14:textId="77777777" w:rsidR="00956435" w:rsidRDefault="00956435">
            <w:pPr>
              <w:pStyle w:val="BodyText"/>
              <w:spacing w:line="276" w:lineRule="auto"/>
              <w:jc w:val="center"/>
              <w:rPr>
                <w:sz w:val="20"/>
                <w:szCs w:val="20"/>
              </w:rPr>
            </w:pPr>
            <w:r>
              <w:rPr>
                <w:sz w:val="20"/>
                <w:szCs w:val="20"/>
              </w:rPr>
              <w:t>9.24%</w:t>
            </w:r>
          </w:p>
        </w:tc>
        <w:tc>
          <w:tcPr>
            <w:tcW w:w="87" w:type="pct"/>
            <w:tcBorders>
              <w:top w:val="nil"/>
              <w:left w:val="nil"/>
              <w:bottom w:val="single" w:sz="4" w:space="0" w:color="auto"/>
              <w:right w:val="single" w:sz="4" w:space="0" w:color="auto"/>
            </w:tcBorders>
          </w:tcPr>
          <w:p w14:paraId="5C03DF58" w14:textId="77777777" w:rsidR="00956435" w:rsidRDefault="00956435">
            <w:pPr>
              <w:pStyle w:val="BodyText"/>
              <w:spacing w:line="276" w:lineRule="auto"/>
              <w:rPr>
                <w:sz w:val="20"/>
                <w:szCs w:val="20"/>
              </w:rPr>
            </w:pPr>
          </w:p>
        </w:tc>
      </w:tr>
    </w:tbl>
    <w:p w14:paraId="4FCBEE88" w14:textId="77777777" w:rsidR="00956435" w:rsidRDefault="00956435" w:rsidP="0045691E">
      <w:pPr>
        <w:pStyle w:val="OrderBody"/>
      </w:pPr>
    </w:p>
    <w:p w14:paraId="5D8AA9AD" w14:textId="77777777" w:rsidR="00956435" w:rsidRDefault="00956435" w:rsidP="0045691E">
      <w:pPr>
        <w:pStyle w:val="OrderBody"/>
        <w:sectPr w:rsidR="00956435" w:rsidSect="00956435">
          <w:headerReference w:type="first" r:id="rId15"/>
          <w:pgSz w:w="15840" w:h="12240" w:orient="landscape" w:code="1"/>
          <w:pgMar w:top="1440" w:right="1440" w:bottom="1440" w:left="1440" w:header="720" w:footer="720" w:gutter="0"/>
          <w:cols w:space="720"/>
          <w:titlePg/>
          <w:docGrid w:linePitch="360"/>
        </w:sectPr>
      </w:pPr>
    </w:p>
    <w:p w14:paraId="2B9C3C9F" w14:textId="77777777" w:rsidR="00956435" w:rsidRDefault="00956435" w:rsidP="0045691E">
      <w:pPr>
        <w:pStyle w:val="OrderBody"/>
      </w:pPr>
    </w:p>
    <w:p w14:paraId="23CE7362" w14:textId="77777777" w:rsidR="00A9761A" w:rsidRDefault="00A9761A" w:rsidP="0045691E">
      <w:pPr>
        <w:pStyle w:val="OrderBody"/>
      </w:pPr>
    </w:p>
    <w:p w14:paraId="422D455A" w14:textId="24055996" w:rsidR="00A9761A" w:rsidRDefault="0003503B" w:rsidP="0045691E">
      <w:pPr>
        <w:pStyle w:val="OrderBody"/>
      </w:pPr>
      <w:r w:rsidRPr="0075611E">
        <w:rPr>
          <w:noProof/>
        </w:rPr>
        <w:drawing>
          <wp:inline distT="0" distB="0" distL="0" distR="0" wp14:anchorId="7C4A8A62" wp14:editId="25ED848A">
            <wp:extent cx="5943600" cy="44007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943600" cy="4400757"/>
                    </a:xfrm>
                    <a:prstGeom prst="rect">
                      <a:avLst/>
                    </a:prstGeom>
                    <a:noFill/>
                    <a:ln>
                      <a:noFill/>
                    </a:ln>
                  </pic:spPr>
                </pic:pic>
              </a:graphicData>
            </a:graphic>
          </wp:inline>
        </w:drawing>
      </w:r>
    </w:p>
    <w:p w14:paraId="5DCA63DD" w14:textId="77777777" w:rsidR="00A9761A" w:rsidRDefault="00A9761A" w:rsidP="0045691E">
      <w:pPr>
        <w:pStyle w:val="OrderBody"/>
      </w:pPr>
    </w:p>
    <w:p w14:paraId="3865EAC7" w14:textId="77777777" w:rsidR="00A9761A" w:rsidRDefault="00A9761A" w:rsidP="0045691E">
      <w:pPr>
        <w:pStyle w:val="OrderBody"/>
      </w:pPr>
    </w:p>
    <w:p w14:paraId="38ECB7CC" w14:textId="77777777" w:rsidR="00A9761A" w:rsidRDefault="00A9761A" w:rsidP="0045691E">
      <w:pPr>
        <w:pStyle w:val="OrderBody"/>
      </w:pPr>
    </w:p>
    <w:p w14:paraId="6C53EF57" w14:textId="77777777" w:rsidR="00A9761A" w:rsidRDefault="00A9761A" w:rsidP="0045691E">
      <w:pPr>
        <w:pStyle w:val="OrderBody"/>
      </w:pPr>
    </w:p>
    <w:p w14:paraId="6B11BB76" w14:textId="77777777" w:rsidR="00A9761A" w:rsidRDefault="00A9761A" w:rsidP="0045691E">
      <w:pPr>
        <w:pStyle w:val="OrderBody"/>
      </w:pPr>
    </w:p>
    <w:p w14:paraId="22519C93" w14:textId="77777777" w:rsidR="00A9761A" w:rsidRDefault="00A9761A" w:rsidP="0045691E">
      <w:pPr>
        <w:pStyle w:val="OrderBody"/>
      </w:pPr>
    </w:p>
    <w:p w14:paraId="2FF06CE0" w14:textId="77777777" w:rsidR="00A9761A" w:rsidRDefault="00A9761A" w:rsidP="0045691E">
      <w:pPr>
        <w:pStyle w:val="OrderBody"/>
      </w:pPr>
    </w:p>
    <w:p w14:paraId="358D8D11" w14:textId="77777777" w:rsidR="00A9761A" w:rsidRDefault="00A9761A" w:rsidP="0045691E">
      <w:pPr>
        <w:pStyle w:val="OrderBody"/>
      </w:pPr>
    </w:p>
    <w:p w14:paraId="126987CA" w14:textId="77777777" w:rsidR="00A9761A" w:rsidRDefault="00A9761A" w:rsidP="0045691E">
      <w:pPr>
        <w:pStyle w:val="OrderBody"/>
      </w:pPr>
    </w:p>
    <w:p w14:paraId="758B1637" w14:textId="77777777" w:rsidR="00A9761A" w:rsidRDefault="00A9761A" w:rsidP="0045691E">
      <w:pPr>
        <w:pStyle w:val="OrderBody"/>
      </w:pPr>
    </w:p>
    <w:p w14:paraId="73E020E8" w14:textId="77777777" w:rsidR="00A9761A" w:rsidRDefault="00A9761A" w:rsidP="0045691E">
      <w:pPr>
        <w:pStyle w:val="OrderBody"/>
      </w:pPr>
    </w:p>
    <w:p w14:paraId="785B57E4" w14:textId="77777777" w:rsidR="00A9761A" w:rsidRDefault="00A9761A" w:rsidP="0045691E">
      <w:pPr>
        <w:pStyle w:val="OrderBody"/>
      </w:pPr>
    </w:p>
    <w:p w14:paraId="6347D085" w14:textId="77777777" w:rsidR="00A9761A" w:rsidRDefault="00A9761A" w:rsidP="0045691E">
      <w:pPr>
        <w:pStyle w:val="OrderBody"/>
      </w:pPr>
    </w:p>
    <w:p w14:paraId="5517608C" w14:textId="77777777" w:rsidR="00A9761A" w:rsidRDefault="00A9761A" w:rsidP="0045691E">
      <w:pPr>
        <w:pStyle w:val="OrderBody"/>
      </w:pPr>
    </w:p>
    <w:p w14:paraId="7CDFB9B7" w14:textId="77777777" w:rsidR="00A9761A" w:rsidRDefault="00A9761A" w:rsidP="0045691E">
      <w:pPr>
        <w:pStyle w:val="OrderBody"/>
      </w:pPr>
    </w:p>
    <w:p w14:paraId="2DE4A009" w14:textId="77777777" w:rsidR="00A9761A" w:rsidRDefault="00A9761A" w:rsidP="0045691E">
      <w:pPr>
        <w:pStyle w:val="OrderBody"/>
      </w:pPr>
    </w:p>
    <w:p w14:paraId="36DC4B2B" w14:textId="77777777" w:rsidR="00A9761A" w:rsidRDefault="00A9761A" w:rsidP="0045691E">
      <w:pPr>
        <w:pStyle w:val="OrderBody"/>
      </w:pPr>
    </w:p>
    <w:p w14:paraId="3C3C788E" w14:textId="77777777" w:rsidR="00A9761A" w:rsidRDefault="00A9761A" w:rsidP="0045691E">
      <w:pPr>
        <w:pStyle w:val="OrderBody"/>
      </w:pPr>
    </w:p>
    <w:p w14:paraId="76E9A172" w14:textId="77777777" w:rsidR="00A9761A" w:rsidRDefault="00A9761A" w:rsidP="0045691E">
      <w:pPr>
        <w:pStyle w:val="OrderBody"/>
        <w:sectPr w:rsidR="00A9761A" w:rsidSect="00956435">
          <w:headerReference w:type="first" r:id="rId17"/>
          <w:pgSz w:w="12240" w:h="15840" w:code="1"/>
          <w:pgMar w:top="1440" w:right="1440" w:bottom="1440" w:left="1440" w:header="720" w:footer="720" w:gutter="0"/>
          <w:cols w:space="720"/>
          <w:titlePg/>
          <w:docGrid w:linePitch="360"/>
        </w:sectPr>
      </w:pPr>
    </w:p>
    <w:p w14:paraId="7BE385A7" w14:textId="77777777" w:rsidR="00A9761A" w:rsidRDefault="00A9761A" w:rsidP="0045691E">
      <w:pPr>
        <w:pStyle w:val="OrderBody"/>
      </w:pPr>
    </w:p>
    <w:p w14:paraId="628B3F97" w14:textId="77777777" w:rsidR="00A9761A" w:rsidRDefault="00A9761A" w:rsidP="0045691E">
      <w:pPr>
        <w:pStyle w:val="OrderBody"/>
      </w:pPr>
    </w:p>
    <w:p w14:paraId="131381AA" w14:textId="3FED12EF" w:rsidR="00A9761A" w:rsidRDefault="0003503B" w:rsidP="0045691E">
      <w:pPr>
        <w:pStyle w:val="OrderBody"/>
      </w:pPr>
      <w:r w:rsidRPr="0075611E">
        <w:rPr>
          <w:noProof/>
        </w:rPr>
        <w:drawing>
          <wp:inline distT="0" distB="0" distL="0" distR="0" wp14:anchorId="04FC2FA6" wp14:editId="344E0BA8">
            <wp:extent cx="5943600" cy="429718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5943600" cy="4297185"/>
                    </a:xfrm>
                    <a:prstGeom prst="rect">
                      <a:avLst/>
                    </a:prstGeom>
                    <a:noFill/>
                    <a:ln>
                      <a:noFill/>
                    </a:ln>
                  </pic:spPr>
                </pic:pic>
              </a:graphicData>
            </a:graphic>
          </wp:inline>
        </w:drawing>
      </w:r>
    </w:p>
    <w:p w14:paraId="6E620942" w14:textId="77777777" w:rsidR="00A9761A" w:rsidRDefault="00A9761A" w:rsidP="0045691E">
      <w:pPr>
        <w:pStyle w:val="OrderBody"/>
      </w:pPr>
    </w:p>
    <w:p w14:paraId="420A1326" w14:textId="77777777" w:rsidR="00A9761A" w:rsidRDefault="00A9761A" w:rsidP="0045691E">
      <w:pPr>
        <w:pStyle w:val="OrderBody"/>
        <w:sectPr w:rsidR="00A9761A" w:rsidSect="00956435">
          <w:headerReference w:type="first" r:id="rId19"/>
          <w:pgSz w:w="12240" w:h="15840" w:code="1"/>
          <w:pgMar w:top="1440" w:right="1440" w:bottom="1440" w:left="1440" w:header="720" w:footer="720" w:gutter="0"/>
          <w:cols w:space="720"/>
          <w:titlePg/>
          <w:docGrid w:linePitch="360"/>
        </w:sectPr>
      </w:pPr>
    </w:p>
    <w:p w14:paraId="178D817B" w14:textId="77777777" w:rsidR="00A9761A" w:rsidRDefault="00A9761A" w:rsidP="0045691E">
      <w:pPr>
        <w:pStyle w:val="OrderBody"/>
      </w:pPr>
    </w:p>
    <w:tbl>
      <w:tblPr>
        <w:tblW w:w="10608" w:type="dxa"/>
        <w:jc w:val="center"/>
        <w:tblLook w:val="04A0" w:firstRow="1" w:lastRow="0" w:firstColumn="1" w:lastColumn="0" w:noHBand="0" w:noVBand="1"/>
      </w:tblPr>
      <w:tblGrid>
        <w:gridCol w:w="491"/>
        <w:gridCol w:w="6184"/>
        <w:gridCol w:w="410"/>
        <w:gridCol w:w="1089"/>
        <w:gridCol w:w="2025"/>
        <w:gridCol w:w="409"/>
      </w:tblGrid>
      <w:tr w:rsidR="00A9761A" w:rsidRPr="006F4322" w14:paraId="5BBE033C" w14:textId="77777777" w:rsidTr="00A9761A">
        <w:trPr>
          <w:trHeight w:val="273"/>
          <w:jc w:val="center"/>
        </w:trPr>
        <w:tc>
          <w:tcPr>
            <w:tcW w:w="491" w:type="dxa"/>
            <w:tcBorders>
              <w:top w:val="single" w:sz="8" w:space="0" w:color="auto"/>
              <w:left w:val="single" w:sz="8" w:space="0" w:color="auto"/>
              <w:bottom w:val="nil"/>
              <w:right w:val="nil"/>
            </w:tcBorders>
            <w:shd w:val="clear" w:color="000000" w:fill="FFFFFF"/>
            <w:noWrap/>
            <w:vAlign w:val="bottom"/>
            <w:hideMark/>
          </w:tcPr>
          <w:p w14:paraId="2AAD1C02" w14:textId="77777777" w:rsidR="00A9761A" w:rsidRPr="006F4322" w:rsidRDefault="00A9761A" w:rsidP="00A9761A">
            <w:pPr>
              <w:rPr>
                <w:color w:val="000000"/>
                <w:sz w:val="22"/>
              </w:rPr>
            </w:pPr>
            <w:r w:rsidRPr="006F4322">
              <w:rPr>
                <w:color w:val="000000"/>
                <w:sz w:val="22"/>
              </w:rPr>
              <w:t> </w:t>
            </w:r>
          </w:p>
        </w:tc>
        <w:tc>
          <w:tcPr>
            <w:tcW w:w="6594" w:type="dxa"/>
            <w:gridSpan w:val="2"/>
            <w:tcBorders>
              <w:top w:val="single" w:sz="8" w:space="0" w:color="auto"/>
              <w:left w:val="nil"/>
              <w:bottom w:val="nil"/>
              <w:right w:val="nil"/>
            </w:tcBorders>
            <w:shd w:val="clear" w:color="000000" w:fill="FFFFFF"/>
            <w:noWrap/>
            <w:vAlign w:val="bottom"/>
            <w:hideMark/>
          </w:tcPr>
          <w:p w14:paraId="4E1847C6" w14:textId="77777777" w:rsidR="00A9761A" w:rsidRPr="006F4322" w:rsidRDefault="00A9761A" w:rsidP="00A9761A">
            <w:pPr>
              <w:rPr>
                <w:b/>
                <w:bCs/>
                <w:color w:val="000000"/>
                <w:sz w:val="22"/>
              </w:rPr>
            </w:pPr>
            <w:r w:rsidRPr="006F4322">
              <w:rPr>
                <w:b/>
                <w:bCs/>
                <w:color w:val="000000"/>
                <w:sz w:val="22"/>
              </w:rPr>
              <w:t>NC REAL ESTATE PROJECTS, LLC D/B/A GRENELEFE UTILITY</w:t>
            </w:r>
          </w:p>
        </w:tc>
        <w:tc>
          <w:tcPr>
            <w:tcW w:w="3114" w:type="dxa"/>
            <w:gridSpan w:val="2"/>
            <w:tcBorders>
              <w:top w:val="single" w:sz="8" w:space="0" w:color="auto"/>
              <w:left w:val="nil"/>
              <w:bottom w:val="nil"/>
              <w:right w:val="nil"/>
            </w:tcBorders>
            <w:shd w:val="clear" w:color="000000" w:fill="FFFFFF"/>
            <w:noWrap/>
            <w:vAlign w:val="bottom"/>
            <w:hideMark/>
          </w:tcPr>
          <w:p w14:paraId="148668F9" w14:textId="77777777" w:rsidR="00A9761A" w:rsidRPr="006F4322" w:rsidRDefault="00A9761A" w:rsidP="00A9761A">
            <w:pPr>
              <w:jc w:val="right"/>
              <w:rPr>
                <w:b/>
                <w:bCs/>
                <w:color w:val="000000"/>
                <w:sz w:val="22"/>
              </w:rPr>
            </w:pPr>
            <w:r w:rsidRPr="006F4322">
              <w:rPr>
                <w:b/>
                <w:bCs/>
                <w:color w:val="000000"/>
                <w:sz w:val="22"/>
              </w:rPr>
              <w:t>SCHEDULE 3-C</w:t>
            </w:r>
          </w:p>
        </w:tc>
        <w:tc>
          <w:tcPr>
            <w:tcW w:w="409" w:type="dxa"/>
            <w:tcBorders>
              <w:top w:val="single" w:sz="8" w:space="0" w:color="auto"/>
              <w:left w:val="nil"/>
              <w:bottom w:val="nil"/>
              <w:right w:val="single" w:sz="8" w:space="0" w:color="auto"/>
            </w:tcBorders>
            <w:shd w:val="clear" w:color="000000" w:fill="FFFFFF"/>
            <w:noWrap/>
            <w:vAlign w:val="bottom"/>
            <w:hideMark/>
          </w:tcPr>
          <w:p w14:paraId="0375DD78" w14:textId="77777777" w:rsidR="00A9761A" w:rsidRPr="006F4322" w:rsidRDefault="00A9761A" w:rsidP="00A9761A">
            <w:pPr>
              <w:rPr>
                <w:color w:val="000000"/>
                <w:sz w:val="22"/>
              </w:rPr>
            </w:pPr>
            <w:r w:rsidRPr="006F4322">
              <w:rPr>
                <w:color w:val="000000"/>
                <w:sz w:val="22"/>
              </w:rPr>
              <w:t> </w:t>
            </w:r>
          </w:p>
        </w:tc>
      </w:tr>
      <w:tr w:rsidR="00A9761A" w:rsidRPr="006F4322" w14:paraId="2028C6B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238EE8F2" w14:textId="77777777" w:rsidR="00A9761A" w:rsidRPr="006F4322" w:rsidRDefault="00A9761A" w:rsidP="00A9761A">
            <w:pPr>
              <w:rPr>
                <w:color w:val="000000"/>
                <w:sz w:val="22"/>
              </w:rPr>
            </w:pPr>
            <w:r w:rsidRPr="006F4322">
              <w:rPr>
                <w:color w:val="000000"/>
                <w:sz w:val="22"/>
              </w:rPr>
              <w:t> </w:t>
            </w:r>
          </w:p>
        </w:tc>
        <w:tc>
          <w:tcPr>
            <w:tcW w:w="6594" w:type="dxa"/>
            <w:gridSpan w:val="2"/>
            <w:tcBorders>
              <w:top w:val="nil"/>
              <w:left w:val="nil"/>
              <w:bottom w:val="nil"/>
              <w:right w:val="nil"/>
            </w:tcBorders>
            <w:shd w:val="clear" w:color="000000" w:fill="FFFFFF"/>
            <w:noWrap/>
            <w:vAlign w:val="bottom"/>
            <w:hideMark/>
          </w:tcPr>
          <w:p w14:paraId="3C8B3EB7" w14:textId="77777777" w:rsidR="00A9761A" w:rsidRPr="006F4322" w:rsidRDefault="00A9761A" w:rsidP="00A9761A">
            <w:pPr>
              <w:rPr>
                <w:b/>
                <w:bCs/>
                <w:color w:val="000000"/>
                <w:sz w:val="22"/>
              </w:rPr>
            </w:pPr>
            <w:r w:rsidRPr="006F4322">
              <w:rPr>
                <w:b/>
                <w:bCs/>
                <w:color w:val="000000"/>
                <w:sz w:val="22"/>
              </w:rPr>
              <w:t>TEST YEAR ENDED 10/31/2024</w:t>
            </w:r>
          </w:p>
        </w:tc>
        <w:tc>
          <w:tcPr>
            <w:tcW w:w="3114" w:type="dxa"/>
            <w:gridSpan w:val="2"/>
            <w:tcBorders>
              <w:top w:val="nil"/>
              <w:left w:val="nil"/>
              <w:bottom w:val="nil"/>
              <w:right w:val="nil"/>
            </w:tcBorders>
            <w:shd w:val="clear" w:color="000000" w:fill="FFFFFF"/>
            <w:noWrap/>
            <w:vAlign w:val="bottom"/>
            <w:hideMark/>
          </w:tcPr>
          <w:p w14:paraId="44F1D22A" w14:textId="77777777" w:rsidR="00A9761A" w:rsidRPr="006F4322" w:rsidRDefault="00A9761A" w:rsidP="00A9761A">
            <w:pPr>
              <w:jc w:val="right"/>
              <w:rPr>
                <w:b/>
                <w:bCs/>
                <w:color w:val="000000"/>
                <w:sz w:val="22"/>
              </w:rPr>
            </w:pPr>
            <w:r w:rsidRPr="006F4322">
              <w:rPr>
                <w:b/>
                <w:bCs/>
                <w:color w:val="000000"/>
                <w:sz w:val="22"/>
              </w:rPr>
              <w:t>DOCKET NO. 20250023-WS</w:t>
            </w:r>
          </w:p>
        </w:tc>
        <w:tc>
          <w:tcPr>
            <w:tcW w:w="409" w:type="dxa"/>
            <w:tcBorders>
              <w:top w:val="nil"/>
              <w:left w:val="nil"/>
              <w:bottom w:val="nil"/>
              <w:right w:val="single" w:sz="8" w:space="0" w:color="auto"/>
            </w:tcBorders>
            <w:shd w:val="clear" w:color="000000" w:fill="FFFFFF"/>
            <w:noWrap/>
            <w:vAlign w:val="bottom"/>
            <w:hideMark/>
          </w:tcPr>
          <w:p w14:paraId="0C186D61" w14:textId="77777777" w:rsidR="00A9761A" w:rsidRPr="006F4322" w:rsidRDefault="00A9761A" w:rsidP="00A9761A">
            <w:pPr>
              <w:rPr>
                <w:color w:val="000000"/>
                <w:sz w:val="22"/>
              </w:rPr>
            </w:pPr>
            <w:r w:rsidRPr="006F4322">
              <w:rPr>
                <w:color w:val="000000"/>
                <w:sz w:val="22"/>
              </w:rPr>
              <w:t> </w:t>
            </w:r>
          </w:p>
        </w:tc>
      </w:tr>
      <w:tr w:rsidR="00A9761A" w:rsidRPr="006F4322" w14:paraId="4999EE22" w14:textId="77777777" w:rsidTr="00A9761A">
        <w:trPr>
          <w:trHeight w:val="286"/>
          <w:jc w:val="center"/>
        </w:trPr>
        <w:tc>
          <w:tcPr>
            <w:tcW w:w="491" w:type="dxa"/>
            <w:tcBorders>
              <w:top w:val="nil"/>
              <w:left w:val="single" w:sz="8" w:space="0" w:color="auto"/>
              <w:bottom w:val="single" w:sz="8" w:space="0" w:color="auto"/>
              <w:right w:val="nil"/>
            </w:tcBorders>
            <w:shd w:val="clear" w:color="000000" w:fill="FFFFFF"/>
            <w:noWrap/>
            <w:vAlign w:val="bottom"/>
            <w:hideMark/>
          </w:tcPr>
          <w:p w14:paraId="575CB904" w14:textId="77777777" w:rsidR="00A9761A" w:rsidRPr="006F4322" w:rsidRDefault="00A9761A" w:rsidP="00A9761A">
            <w:pPr>
              <w:rPr>
                <w:color w:val="000000"/>
                <w:sz w:val="22"/>
              </w:rPr>
            </w:pPr>
            <w:r w:rsidRPr="006F4322">
              <w:rPr>
                <w:color w:val="000000"/>
                <w:sz w:val="22"/>
              </w:rPr>
              <w:t> </w:t>
            </w:r>
          </w:p>
        </w:tc>
        <w:tc>
          <w:tcPr>
            <w:tcW w:w="7683" w:type="dxa"/>
            <w:gridSpan w:val="3"/>
            <w:tcBorders>
              <w:top w:val="nil"/>
              <w:left w:val="nil"/>
              <w:bottom w:val="single" w:sz="8" w:space="0" w:color="auto"/>
              <w:right w:val="nil"/>
            </w:tcBorders>
            <w:shd w:val="clear" w:color="000000" w:fill="FFFFFF"/>
            <w:noWrap/>
            <w:vAlign w:val="bottom"/>
            <w:hideMark/>
          </w:tcPr>
          <w:p w14:paraId="1B32BA6D" w14:textId="77777777" w:rsidR="00A9761A" w:rsidRPr="006F4322" w:rsidRDefault="00A9761A" w:rsidP="00A9761A">
            <w:pPr>
              <w:rPr>
                <w:b/>
                <w:bCs/>
                <w:color w:val="000000"/>
                <w:sz w:val="22"/>
              </w:rPr>
            </w:pPr>
            <w:r w:rsidRPr="006F4322">
              <w:rPr>
                <w:b/>
                <w:bCs/>
                <w:color w:val="000000"/>
                <w:sz w:val="22"/>
              </w:rPr>
              <w:t>ADJUSTMENTS TO OPERATING INCOME</w:t>
            </w:r>
          </w:p>
        </w:tc>
        <w:tc>
          <w:tcPr>
            <w:tcW w:w="2025" w:type="dxa"/>
            <w:tcBorders>
              <w:top w:val="nil"/>
              <w:left w:val="nil"/>
              <w:bottom w:val="single" w:sz="8" w:space="0" w:color="auto"/>
              <w:right w:val="nil"/>
            </w:tcBorders>
            <w:shd w:val="clear" w:color="000000" w:fill="FFFFFF"/>
            <w:noWrap/>
            <w:vAlign w:val="bottom"/>
            <w:hideMark/>
          </w:tcPr>
          <w:p w14:paraId="0426B7A0" w14:textId="77777777" w:rsidR="00A9761A" w:rsidRPr="006F4322" w:rsidRDefault="00A9761A" w:rsidP="00A9761A">
            <w:pPr>
              <w:jc w:val="right"/>
              <w:rPr>
                <w:b/>
                <w:bCs/>
                <w:color w:val="000000"/>
                <w:sz w:val="22"/>
              </w:rPr>
            </w:pPr>
          </w:p>
        </w:tc>
        <w:tc>
          <w:tcPr>
            <w:tcW w:w="409" w:type="dxa"/>
            <w:tcBorders>
              <w:top w:val="nil"/>
              <w:left w:val="nil"/>
              <w:bottom w:val="single" w:sz="8" w:space="0" w:color="auto"/>
              <w:right w:val="single" w:sz="8" w:space="0" w:color="auto"/>
            </w:tcBorders>
            <w:shd w:val="clear" w:color="000000" w:fill="FFFFFF"/>
            <w:noWrap/>
            <w:vAlign w:val="bottom"/>
            <w:hideMark/>
          </w:tcPr>
          <w:p w14:paraId="5C5F284D" w14:textId="77777777" w:rsidR="00A9761A" w:rsidRPr="006F4322" w:rsidRDefault="00A9761A" w:rsidP="00A9761A">
            <w:pPr>
              <w:rPr>
                <w:color w:val="000000"/>
                <w:sz w:val="22"/>
              </w:rPr>
            </w:pPr>
            <w:r w:rsidRPr="006F4322">
              <w:rPr>
                <w:color w:val="000000"/>
                <w:sz w:val="22"/>
              </w:rPr>
              <w:t> </w:t>
            </w:r>
          </w:p>
        </w:tc>
      </w:tr>
      <w:tr w:rsidR="00A9761A" w:rsidRPr="006F4322" w14:paraId="16075459"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151783A"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1D7E15CD"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09170CF4" w14:textId="77777777" w:rsidR="00A9761A" w:rsidRPr="006F4322" w:rsidRDefault="00A9761A" w:rsidP="00A9761A">
            <w:pPr>
              <w:jc w:val="center"/>
              <w:rPr>
                <w:b/>
                <w:bCs/>
                <w:color w:val="000000"/>
                <w:sz w:val="22"/>
                <w:u w:val="single"/>
              </w:rPr>
            </w:pPr>
            <w:r w:rsidRPr="006F4322">
              <w:rPr>
                <w:b/>
                <w:bCs/>
                <w:color w:val="000000"/>
                <w:sz w:val="22"/>
                <w:u w:val="single"/>
              </w:rPr>
              <w:t>WATER</w:t>
            </w:r>
          </w:p>
        </w:tc>
        <w:tc>
          <w:tcPr>
            <w:tcW w:w="2025" w:type="dxa"/>
            <w:tcBorders>
              <w:top w:val="nil"/>
              <w:left w:val="nil"/>
              <w:bottom w:val="nil"/>
              <w:right w:val="nil"/>
            </w:tcBorders>
            <w:shd w:val="clear" w:color="000000" w:fill="FFFFFF"/>
            <w:noWrap/>
            <w:vAlign w:val="bottom"/>
            <w:hideMark/>
          </w:tcPr>
          <w:p w14:paraId="545897F3" w14:textId="77777777" w:rsidR="00A9761A" w:rsidRPr="006F4322" w:rsidRDefault="00A9761A" w:rsidP="00A9761A">
            <w:pPr>
              <w:jc w:val="center"/>
              <w:rPr>
                <w:b/>
                <w:bCs/>
                <w:color w:val="000000"/>
                <w:sz w:val="22"/>
                <w:u w:val="single"/>
              </w:rPr>
            </w:pPr>
            <w:r w:rsidRPr="006F4322">
              <w:rPr>
                <w:b/>
                <w:bCs/>
                <w:color w:val="000000"/>
                <w:sz w:val="22"/>
                <w:u w:val="single"/>
              </w:rPr>
              <w:t>WASTEWATER</w:t>
            </w:r>
          </w:p>
        </w:tc>
        <w:tc>
          <w:tcPr>
            <w:tcW w:w="409" w:type="dxa"/>
            <w:tcBorders>
              <w:top w:val="nil"/>
              <w:left w:val="nil"/>
              <w:bottom w:val="nil"/>
              <w:right w:val="single" w:sz="8" w:space="0" w:color="auto"/>
            </w:tcBorders>
            <w:shd w:val="clear" w:color="000000" w:fill="FFFFFF"/>
            <w:noWrap/>
            <w:vAlign w:val="bottom"/>
            <w:hideMark/>
          </w:tcPr>
          <w:p w14:paraId="65CA1EAA" w14:textId="77777777" w:rsidR="00A9761A" w:rsidRPr="006F4322" w:rsidRDefault="00A9761A" w:rsidP="00A9761A">
            <w:pPr>
              <w:rPr>
                <w:color w:val="000000"/>
                <w:sz w:val="22"/>
              </w:rPr>
            </w:pPr>
            <w:r w:rsidRPr="006F4322">
              <w:rPr>
                <w:color w:val="000000"/>
                <w:sz w:val="22"/>
              </w:rPr>
              <w:t> </w:t>
            </w:r>
          </w:p>
        </w:tc>
      </w:tr>
      <w:tr w:rsidR="00A9761A" w:rsidRPr="006F4322" w14:paraId="2DC0EF54"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23BA616"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55F65F8" w14:textId="77777777" w:rsidR="00A9761A" w:rsidRPr="006F4322" w:rsidRDefault="00A9761A" w:rsidP="00A9761A">
            <w:pPr>
              <w:rPr>
                <w:b/>
                <w:bCs/>
                <w:color w:val="000000"/>
                <w:sz w:val="22"/>
              </w:rPr>
            </w:pPr>
            <w:r w:rsidRPr="006F4322">
              <w:rPr>
                <w:b/>
                <w:bCs/>
                <w:color w:val="000000"/>
                <w:sz w:val="22"/>
              </w:rPr>
              <w:t>OPERATING REVENUES</w:t>
            </w:r>
          </w:p>
        </w:tc>
        <w:tc>
          <w:tcPr>
            <w:tcW w:w="1499" w:type="dxa"/>
            <w:gridSpan w:val="2"/>
            <w:tcBorders>
              <w:top w:val="nil"/>
              <w:left w:val="nil"/>
              <w:bottom w:val="nil"/>
              <w:right w:val="nil"/>
            </w:tcBorders>
            <w:shd w:val="clear" w:color="000000" w:fill="FFFFFF"/>
            <w:noWrap/>
            <w:vAlign w:val="bottom"/>
            <w:hideMark/>
          </w:tcPr>
          <w:p w14:paraId="27D7BBFA" w14:textId="77777777" w:rsidR="00A9761A" w:rsidRPr="006F4322" w:rsidRDefault="00A9761A" w:rsidP="00A9761A">
            <w:pPr>
              <w:rPr>
                <w:color w:val="000000"/>
                <w:sz w:val="22"/>
              </w:rPr>
            </w:pPr>
            <w:r w:rsidRPr="006F4322">
              <w:rPr>
                <w:color w:val="000000"/>
                <w:sz w:val="22"/>
              </w:rPr>
              <w:t> </w:t>
            </w:r>
          </w:p>
        </w:tc>
        <w:tc>
          <w:tcPr>
            <w:tcW w:w="2025" w:type="dxa"/>
            <w:tcBorders>
              <w:top w:val="nil"/>
              <w:left w:val="nil"/>
              <w:bottom w:val="nil"/>
              <w:right w:val="nil"/>
            </w:tcBorders>
            <w:shd w:val="clear" w:color="000000" w:fill="FFFFFF"/>
            <w:noWrap/>
            <w:vAlign w:val="bottom"/>
            <w:hideMark/>
          </w:tcPr>
          <w:p w14:paraId="1A533A58" w14:textId="77777777" w:rsidR="00A9761A" w:rsidRPr="006F4322" w:rsidRDefault="00A9761A" w:rsidP="00A9761A">
            <w:pPr>
              <w:rPr>
                <w:color w:val="000000"/>
                <w:sz w:val="22"/>
              </w:rPr>
            </w:pPr>
            <w:r w:rsidRPr="006F4322">
              <w:rPr>
                <w:color w:val="000000"/>
                <w:sz w:val="22"/>
              </w:rPr>
              <w:t> </w:t>
            </w:r>
          </w:p>
        </w:tc>
        <w:tc>
          <w:tcPr>
            <w:tcW w:w="409" w:type="dxa"/>
            <w:tcBorders>
              <w:top w:val="nil"/>
              <w:left w:val="nil"/>
              <w:bottom w:val="nil"/>
              <w:right w:val="single" w:sz="8" w:space="0" w:color="auto"/>
            </w:tcBorders>
            <w:shd w:val="clear" w:color="000000" w:fill="FFFFFF"/>
            <w:noWrap/>
            <w:vAlign w:val="bottom"/>
            <w:hideMark/>
          </w:tcPr>
          <w:p w14:paraId="05F1F141" w14:textId="77777777" w:rsidR="00A9761A" w:rsidRPr="006F4322" w:rsidRDefault="00A9761A" w:rsidP="00A9761A">
            <w:pPr>
              <w:rPr>
                <w:color w:val="000000"/>
                <w:sz w:val="22"/>
              </w:rPr>
            </w:pPr>
            <w:r w:rsidRPr="006F4322">
              <w:rPr>
                <w:color w:val="000000"/>
                <w:sz w:val="22"/>
              </w:rPr>
              <w:t> </w:t>
            </w:r>
          </w:p>
        </w:tc>
      </w:tr>
      <w:tr w:rsidR="00A9761A" w:rsidRPr="006F4322" w14:paraId="111F69E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DAA4381" w14:textId="77777777" w:rsidR="00A9761A" w:rsidRPr="006F4322" w:rsidRDefault="00A9761A" w:rsidP="00A9761A">
            <w:pPr>
              <w:rPr>
                <w:color w:val="000000"/>
                <w:sz w:val="22"/>
              </w:rPr>
            </w:pPr>
            <w:r w:rsidRPr="006F4322">
              <w:rPr>
                <w:color w:val="000000"/>
                <w:sz w:val="22"/>
              </w:rPr>
              <w:t>1.</w:t>
            </w:r>
          </w:p>
        </w:tc>
        <w:tc>
          <w:tcPr>
            <w:tcW w:w="6184" w:type="dxa"/>
            <w:tcBorders>
              <w:top w:val="nil"/>
              <w:left w:val="nil"/>
              <w:bottom w:val="nil"/>
              <w:right w:val="nil"/>
            </w:tcBorders>
            <w:shd w:val="clear" w:color="000000" w:fill="FFFFFF"/>
            <w:noWrap/>
            <w:vAlign w:val="bottom"/>
            <w:hideMark/>
          </w:tcPr>
          <w:p w14:paraId="67EC8B78" w14:textId="77777777" w:rsidR="00A9761A" w:rsidRPr="006F4322" w:rsidRDefault="00A9761A" w:rsidP="00A9761A">
            <w:pPr>
              <w:rPr>
                <w:color w:val="000000"/>
                <w:sz w:val="22"/>
              </w:rPr>
            </w:pPr>
            <w:r w:rsidRPr="006F4322">
              <w:rPr>
                <w:color w:val="000000"/>
                <w:sz w:val="22"/>
              </w:rPr>
              <w:t>To reflect an auditing adjustment to Service Revenues.</w:t>
            </w:r>
          </w:p>
        </w:tc>
        <w:tc>
          <w:tcPr>
            <w:tcW w:w="1499" w:type="dxa"/>
            <w:gridSpan w:val="2"/>
            <w:tcBorders>
              <w:top w:val="nil"/>
              <w:left w:val="nil"/>
              <w:bottom w:val="nil"/>
              <w:right w:val="nil"/>
            </w:tcBorders>
            <w:shd w:val="clear" w:color="000000" w:fill="FFFFFF"/>
            <w:noWrap/>
            <w:vAlign w:val="bottom"/>
            <w:hideMark/>
          </w:tcPr>
          <w:p w14:paraId="78AF721A" w14:textId="77777777" w:rsidR="00A9761A" w:rsidRPr="00902258" w:rsidRDefault="00A9761A" w:rsidP="00A9761A">
            <w:pPr>
              <w:jc w:val="right"/>
              <w:rPr>
                <w:sz w:val="22"/>
              </w:rPr>
            </w:pPr>
            <w:r w:rsidRPr="00902258">
              <w:rPr>
                <w:sz w:val="22"/>
              </w:rPr>
              <w:t>($120,203)</w:t>
            </w:r>
          </w:p>
        </w:tc>
        <w:tc>
          <w:tcPr>
            <w:tcW w:w="2025" w:type="dxa"/>
            <w:tcBorders>
              <w:top w:val="nil"/>
              <w:left w:val="nil"/>
              <w:bottom w:val="nil"/>
              <w:right w:val="nil"/>
            </w:tcBorders>
            <w:shd w:val="clear" w:color="000000" w:fill="FFFFFF"/>
            <w:noWrap/>
            <w:vAlign w:val="bottom"/>
            <w:hideMark/>
          </w:tcPr>
          <w:p w14:paraId="7DB944C8" w14:textId="77777777" w:rsidR="00A9761A" w:rsidRPr="00902258" w:rsidRDefault="00A9761A" w:rsidP="00A9761A">
            <w:pPr>
              <w:jc w:val="right"/>
              <w:rPr>
                <w:sz w:val="22"/>
              </w:rPr>
            </w:pPr>
            <w:r w:rsidRPr="00902258">
              <w:rPr>
                <w:sz w:val="22"/>
              </w:rPr>
              <w:t>($26,632)</w:t>
            </w:r>
          </w:p>
        </w:tc>
        <w:tc>
          <w:tcPr>
            <w:tcW w:w="409" w:type="dxa"/>
            <w:tcBorders>
              <w:top w:val="nil"/>
              <w:left w:val="nil"/>
              <w:bottom w:val="nil"/>
              <w:right w:val="single" w:sz="8" w:space="0" w:color="auto"/>
            </w:tcBorders>
            <w:shd w:val="clear" w:color="000000" w:fill="FFFFFF"/>
            <w:noWrap/>
            <w:vAlign w:val="bottom"/>
            <w:hideMark/>
          </w:tcPr>
          <w:p w14:paraId="479097E1" w14:textId="77777777" w:rsidR="00A9761A" w:rsidRPr="006F4322" w:rsidRDefault="00A9761A" w:rsidP="00A9761A">
            <w:pPr>
              <w:rPr>
                <w:color w:val="000000"/>
                <w:sz w:val="22"/>
              </w:rPr>
            </w:pPr>
            <w:r w:rsidRPr="006F4322">
              <w:rPr>
                <w:color w:val="000000"/>
                <w:sz w:val="22"/>
              </w:rPr>
              <w:t> </w:t>
            </w:r>
          </w:p>
        </w:tc>
      </w:tr>
      <w:tr w:rsidR="00A9761A" w:rsidRPr="006F4322" w14:paraId="6D622D57"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D2DC017" w14:textId="77777777" w:rsidR="00A9761A" w:rsidRPr="006F4322" w:rsidRDefault="00A9761A" w:rsidP="00A9761A">
            <w:pPr>
              <w:rPr>
                <w:color w:val="000000"/>
                <w:sz w:val="22"/>
              </w:rPr>
            </w:pPr>
            <w:r w:rsidRPr="006F4322">
              <w:rPr>
                <w:color w:val="000000"/>
                <w:sz w:val="22"/>
              </w:rPr>
              <w:t>2.</w:t>
            </w:r>
          </w:p>
        </w:tc>
        <w:tc>
          <w:tcPr>
            <w:tcW w:w="6184" w:type="dxa"/>
            <w:tcBorders>
              <w:top w:val="nil"/>
              <w:left w:val="nil"/>
              <w:bottom w:val="nil"/>
              <w:right w:val="nil"/>
            </w:tcBorders>
            <w:shd w:val="clear" w:color="000000" w:fill="FFFFFF"/>
            <w:noWrap/>
            <w:vAlign w:val="bottom"/>
            <w:hideMark/>
          </w:tcPr>
          <w:p w14:paraId="5F2F2D03" w14:textId="77777777" w:rsidR="00A9761A" w:rsidRPr="006F4322" w:rsidRDefault="00A9761A" w:rsidP="00A9761A">
            <w:pPr>
              <w:rPr>
                <w:color w:val="000000"/>
                <w:sz w:val="22"/>
              </w:rPr>
            </w:pPr>
            <w:r w:rsidRPr="006F4322">
              <w:rPr>
                <w:color w:val="000000"/>
                <w:sz w:val="22"/>
              </w:rPr>
              <w:t>To reflect an auditing adjustment to Miscellaneous Revenues.</w:t>
            </w:r>
          </w:p>
        </w:tc>
        <w:tc>
          <w:tcPr>
            <w:tcW w:w="1499" w:type="dxa"/>
            <w:gridSpan w:val="2"/>
            <w:tcBorders>
              <w:top w:val="nil"/>
              <w:left w:val="nil"/>
              <w:bottom w:val="nil"/>
              <w:right w:val="nil"/>
            </w:tcBorders>
            <w:shd w:val="clear" w:color="000000" w:fill="FFFFFF"/>
            <w:noWrap/>
            <w:vAlign w:val="bottom"/>
            <w:hideMark/>
          </w:tcPr>
          <w:p w14:paraId="2FDEB344" w14:textId="77777777" w:rsidR="00A9761A" w:rsidRPr="00902258" w:rsidRDefault="00A9761A" w:rsidP="00A9761A">
            <w:pPr>
              <w:jc w:val="right"/>
              <w:rPr>
                <w:sz w:val="22"/>
              </w:rPr>
            </w:pPr>
            <w:r w:rsidRPr="00902258">
              <w:rPr>
                <w:sz w:val="22"/>
              </w:rPr>
              <w:t xml:space="preserve">33,486 </w:t>
            </w:r>
          </w:p>
        </w:tc>
        <w:tc>
          <w:tcPr>
            <w:tcW w:w="2025" w:type="dxa"/>
            <w:tcBorders>
              <w:top w:val="nil"/>
              <w:left w:val="nil"/>
              <w:bottom w:val="nil"/>
              <w:right w:val="nil"/>
            </w:tcBorders>
            <w:shd w:val="clear" w:color="000000" w:fill="FFFFFF"/>
            <w:noWrap/>
            <w:vAlign w:val="bottom"/>
            <w:hideMark/>
          </w:tcPr>
          <w:p w14:paraId="0D90161E" w14:textId="77777777" w:rsidR="00A9761A" w:rsidRPr="00902258" w:rsidRDefault="00A9761A" w:rsidP="00A9761A">
            <w:pPr>
              <w:jc w:val="right"/>
              <w:rPr>
                <w:sz w:val="22"/>
              </w:rPr>
            </w:pPr>
            <w:r w:rsidRPr="00902258">
              <w:rPr>
                <w:sz w:val="22"/>
              </w:rPr>
              <w:t xml:space="preserve">0 </w:t>
            </w:r>
          </w:p>
        </w:tc>
        <w:tc>
          <w:tcPr>
            <w:tcW w:w="409" w:type="dxa"/>
            <w:tcBorders>
              <w:top w:val="nil"/>
              <w:left w:val="nil"/>
              <w:bottom w:val="nil"/>
              <w:right w:val="single" w:sz="8" w:space="0" w:color="auto"/>
            </w:tcBorders>
            <w:shd w:val="clear" w:color="000000" w:fill="FFFFFF"/>
            <w:noWrap/>
            <w:vAlign w:val="bottom"/>
            <w:hideMark/>
          </w:tcPr>
          <w:p w14:paraId="6BAD2B47" w14:textId="77777777" w:rsidR="00A9761A" w:rsidRPr="006F4322" w:rsidRDefault="00A9761A" w:rsidP="00A9761A">
            <w:pPr>
              <w:rPr>
                <w:color w:val="000000"/>
                <w:sz w:val="22"/>
              </w:rPr>
            </w:pPr>
            <w:r w:rsidRPr="006F4322">
              <w:rPr>
                <w:color w:val="000000"/>
                <w:sz w:val="22"/>
              </w:rPr>
              <w:t> </w:t>
            </w:r>
          </w:p>
        </w:tc>
      </w:tr>
      <w:tr w:rsidR="00A9761A" w:rsidRPr="006F4322" w14:paraId="585633B1"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A7247D5" w14:textId="77777777" w:rsidR="00A9761A" w:rsidRPr="006F4322" w:rsidRDefault="00A9761A" w:rsidP="00A9761A">
            <w:pPr>
              <w:rPr>
                <w:color w:val="000000"/>
                <w:sz w:val="22"/>
              </w:rPr>
            </w:pPr>
            <w:r>
              <w:rPr>
                <w:color w:val="000000"/>
                <w:sz w:val="22"/>
              </w:rPr>
              <w:t>3</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3D3A9F81" w14:textId="77777777" w:rsidR="00A9761A" w:rsidRPr="006F4322" w:rsidRDefault="00A9761A" w:rsidP="00A9761A">
            <w:pPr>
              <w:rPr>
                <w:color w:val="000000"/>
                <w:sz w:val="22"/>
              </w:rPr>
            </w:pPr>
            <w:r w:rsidRPr="006F4322">
              <w:rPr>
                <w:color w:val="000000"/>
                <w:sz w:val="22"/>
              </w:rPr>
              <w:t>To reflect the appropriate test year Service Revenues.</w:t>
            </w:r>
          </w:p>
        </w:tc>
        <w:tc>
          <w:tcPr>
            <w:tcW w:w="1499" w:type="dxa"/>
            <w:gridSpan w:val="2"/>
            <w:tcBorders>
              <w:top w:val="nil"/>
              <w:left w:val="nil"/>
              <w:bottom w:val="nil"/>
              <w:right w:val="nil"/>
            </w:tcBorders>
            <w:shd w:val="clear" w:color="000000" w:fill="FFFFFF"/>
            <w:noWrap/>
            <w:vAlign w:val="bottom"/>
            <w:hideMark/>
          </w:tcPr>
          <w:p w14:paraId="0D05EBA3" w14:textId="77777777" w:rsidR="00A9761A" w:rsidRPr="00902258" w:rsidRDefault="00A9761A" w:rsidP="00A9761A">
            <w:pPr>
              <w:jc w:val="right"/>
              <w:rPr>
                <w:sz w:val="22"/>
              </w:rPr>
            </w:pPr>
            <w:r w:rsidRPr="00902258">
              <w:rPr>
                <w:sz w:val="22"/>
              </w:rPr>
              <w:t xml:space="preserve">13,684 </w:t>
            </w:r>
          </w:p>
        </w:tc>
        <w:tc>
          <w:tcPr>
            <w:tcW w:w="2025" w:type="dxa"/>
            <w:tcBorders>
              <w:top w:val="nil"/>
              <w:left w:val="nil"/>
              <w:bottom w:val="nil"/>
              <w:right w:val="nil"/>
            </w:tcBorders>
            <w:shd w:val="clear" w:color="000000" w:fill="FFFFFF"/>
            <w:noWrap/>
            <w:vAlign w:val="bottom"/>
            <w:hideMark/>
          </w:tcPr>
          <w:p w14:paraId="372D828A" w14:textId="77777777" w:rsidR="00A9761A" w:rsidRPr="00902258" w:rsidRDefault="00A9761A" w:rsidP="00A9761A">
            <w:pPr>
              <w:jc w:val="right"/>
              <w:rPr>
                <w:sz w:val="22"/>
              </w:rPr>
            </w:pPr>
            <w:r w:rsidRPr="00902258">
              <w:rPr>
                <w:sz w:val="22"/>
              </w:rPr>
              <w:t xml:space="preserve">35,451 </w:t>
            </w:r>
          </w:p>
        </w:tc>
        <w:tc>
          <w:tcPr>
            <w:tcW w:w="409" w:type="dxa"/>
            <w:tcBorders>
              <w:top w:val="nil"/>
              <w:left w:val="nil"/>
              <w:bottom w:val="nil"/>
              <w:right w:val="single" w:sz="8" w:space="0" w:color="auto"/>
            </w:tcBorders>
            <w:shd w:val="clear" w:color="000000" w:fill="FFFFFF"/>
            <w:noWrap/>
            <w:vAlign w:val="bottom"/>
            <w:hideMark/>
          </w:tcPr>
          <w:p w14:paraId="67F5B60E" w14:textId="77777777" w:rsidR="00A9761A" w:rsidRPr="006F4322" w:rsidRDefault="00A9761A" w:rsidP="00A9761A">
            <w:pPr>
              <w:rPr>
                <w:color w:val="000000"/>
                <w:sz w:val="22"/>
              </w:rPr>
            </w:pPr>
            <w:r w:rsidRPr="006F4322">
              <w:rPr>
                <w:color w:val="000000"/>
                <w:sz w:val="22"/>
              </w:rPr>
              <w:t> </w:t>
            </w:r>
          </w:p>
        </w:tc>
      </w:tr>
      <w:tr w:rsidR="00A9761A" w:rsidRPr="006F4322" w14:paraId="7A04D74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E09E9C2"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D59BD39" w14:textId="77777777" w:rsidR="00A9761A" w:rsidRPr="006F4322" w:rsidRDefault="00A9761A" w:rsidP="00A9761A">
            <w:pPr>
              <w:rPr>
                <w:color w:val="000000"/>
                <w:sz w:val="22"/>
              </w:rPr>
            </w:pPr>
            <w:r w:rsidRPr="006F4322">
              <w:rPr>
                <w:color w:val="000000"/>
                <w:sz w:val="22"/>
              </w:rPr>
              <w:t xml:space="preserve">   Total</w:t>
            </w:r>
          </w:p>
        </w:tc>
        <w:tc>
          <w:tcPr>
            <w:tcW w:w="1499" w:type="dxa"/>
            <w:gridSpan w:val="2"/>
            <w:tcBorders>
              <w:top w:val="nil"/>
              <w:left w:val="nil"/>
              <w:bottom w:val="nil"/>
              <w:right w:val="nil"/>
            </w:tcBorders>
            <w:shd w:val="clear" w:color="000000" w:fill="FFFFFF"/>
            <w:noWrap/>
            <w:vAlign w:val="bottom"/>
            <w:hideMark/>
          </w:tcPr>
          <w:p w14:paraId="56BD1663" w14:textId="77777777" w:rsidR="00A9761A" w:rsidRPr="00902258" w:rsidRDefault="00A9761A" w:rsidP="00A9761A">
            <w:pPr>
              <w:jc w:val="right"/>
              <w:rPr>
                <w:sz w:val="22"/>
                <w:u w:val="double"/>
              </w:rPr>
            </w:pPr>
            <w:r w:rsidRPr="00902258">
              <w:rPr>
                <w:sz w:val="22"/>
                <w:u w:val="double"/>
              </w:rPr>
              <w:t>($73,033)</w:t>
            </w:r>
          </w:p>
        </w:tc>
        <w:tc>
          <w:tcPr>
            <w:tcW w:w="2025" w:type="dxa"/>
            <w:tcBorders>
              <w:top w:val="nil"/>
              <w:left w:val="nil"/>
              <w:bottom w:val="nil"/>
              <w:right w:val="nil"/>
            </w:tcBorders>
            <w:shd w:val="clear" w:color="000000" w:fill="FFFFFF"/>
            <w:noWrap/>
            <w:vAlign w:val="bottom"/>
            <w:hideMark/>
          </w:tcPr>
          <w:p w14:paraId="2F10B646" w14:textId="77777777" w:rsidR="00A9761A" w:rsidRPr="00902258" w:rsidRDefault="00A9761A" w:rsidP="00A9761A">
            <w:pPr>
              <w:jc w:val="right"/>
              <w:rPr>
                <w:sz w:val="22"/>
                <w:u w:val="double"/>
              </w:rPr>
            </w:pPr>
            <w:r w:rsidRPr="00902258">
              <w:rPr>
                <w:sz w:val="22"/>
                <w:u w:val="double"/>
              </w:rPr>
              <w:t xml:space="preserve">$8,819 </w:t>
            </w:r>
          </w:p>
        </w:tc>
        <w:tc>
          <w:tcPr>
            <w:tcW w:w="409" w:type="dxa"/>
            <w:tcBorders>
              <w:top w:val="nil"/>
              <w:left w:val="nil"/>
              <w:bottom w:val="nil"/>
              <w:right w:val="single" w:sz="8" w:space="0" w:color="auto"/>
            </w:tcBorders>
            <w:shd w:val="clear" w:color="000000" w:fill="FFFFFF"/>
            <w:noWrap/>
            <w:vAlign w:val="bottom"/>
            <w:hideMark/>
          </w:tcPr>
          <w:p w14:paraId="2F2D5AE5" w14:textId="77777777" w:rsidR="00A9761A" w:rsidRPr="006F4322" w:rsidRDefault="00A9761A" w:rsidP="00A9761A">
            <w:pPr>
              <w:rPr>
                <w:color w:val="000000"/>
                <w:sz w:val="22"/>
              </w:rPr>
            </w:pPr>
            <w:r w:rsidRPr="006F4322">
              <w:rPr>
                <w:color w:val="000000"/>
                <w:sz w:val="22"/>
              </w:rPr>
              <w:t> </w:t>
            </w:r>
          </w:p>
        </w:tc>
      </w:tr>
      <w:tr w:rsidR="00A9761A" w:rsidRPr="006F4322" w14:paraId="406E2981"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26C2F78A"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209F26A7"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149A8D04"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8209CB6"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6628A5D1" w14:textId="77777777" w:rsidR="00A9761A" w:rsidRPr="006F4322" w:rsidRDefault="00A9761A" w:rsidP="00A9761A">
            <w:pPr>
              <w:rPr>
                <w:color w:val="000000"/>
                <w:sz w:val="22"/>
              </w:rPr>
            </w:pPr>
            <w:r w:rsidRPr="006F4322">
              <w:rPr>
                <w:color w:val="000000"/>
                <w:sz w:val="22"/>
              </w:rPr>
              <w:t> </w:t>
            </w:r>
          </w:p>
        </w:tc>
      </w:tr>
      <w:tr w:rsidR="00A9761A" w:rsidRPr="006F4322" w14:paraId="4B8EB1A5"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D3B06E3"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C84282D" w14:textId="77777777" w:rsidR="00A9761A" w:rsidRPr="006F4322" w:rsidRDefault="00A9761A" w:rsidP="00A9761A">
            <w:pPr>
              <w:rPr>
                <w:b/>
                <w:bCs/>
                <w:color w:val="000000"/>
                <w:sz w:val="22"/>
              </w:rPr>
            </w:pPr>
            <w:r w:rsidRPr="006F4322">
              <w:rPr>
                <w:b/>
                <w:bCs/>
                <w:color w:val="000000"/>
                <w:sz w:val="22"/>
              </w:rPr>
              <w:t>OPERATION AND MAINTENANCE EXPENSE</w:t>
            </w:r>
          </w:p>
        </w:tc>
        <w:tc>
          <w:tcPr>
            <w:tcW w:w="1499" w:type="dxa"/>
            <w:gridSpan w:val="2"/>
            <w:tcBorders>
              <w:top w:val="nil"/>
              <w:left w:val="nil"/>
              <w:bottom w:val="nil"/>
              <w:right w:val="nil"/>
            </w:tcBorders>
            <w:shd w:val="clear" w:color="000000" w:fill="FFFFFF"/>
            <w:noWrap/>
            <w:vAlign w:val="bottom"/>
            <w:hideMark/>
          </w:tcPr>
          <w:p w14:paraId="35062DE6"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491BAB71"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458CF48D" w14:textId="77777777" w:rsidR="00A9761A" w:rsidRPr="006F4322" w:rsidRDefault="00A9761A" w:rsidP="00A9761A">
            <w:pPr>
              <w:rPr>
                <w:color w:val="000000"/>
                <w:sz w:val="22"/>
              </w:rPr>
            </w:pPr>
            <w:r w:rsidRPr="006F4322">
              <w:rPr>
                <w:color w:val="000000"/>
                <w:sz w:val="22"/>
              </w:rPr>
              <w:t> </w:t>
            </w:r>
          </w:p>
        </w:tc>
      </w:tr>
      <w:tr w:rsidR="00A9761A" w:rsidRPr="006F4322" w14:paraId="0D67B71E"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C41DA69" w14:textId="77777777" w:rsidR="00A9761A" w:rsidRPr="006F4322" w:rsidRDefault="00A9761A" w:rsidP="00A9761A">
            <w:pPr>
              <w:rPr>
                <w:color w:val="000000"/>
                <w:sz w:val="22"/>
              </w:rPr>
            </w:pPr>
            <w:r w:rsidRPr="006F4322">
              <w:rPr>
                <w:color w:val="000000"/>
                <w:sz w:val="22"/>
              </w:rPr>
              <w:t>1.</w:t>
            </w:r>
          </w:p>
        </w:tc>
        <w:tc>
          <w:tcPr>
            <w:tcW w:w="6184" w:type="dxa"/>
            <w:tcBorders>
              <w:top w:val="nil"/>
              <w:left w:val="nil"/>
              <w:bottom w:val="nil"/>
              <w:right w:val="nil"/>
            </w:tcBorders>
            <w:shd w:val="clear" w:color="000000" w:fill="FFFFFF"/>
            <w:noWrap/>
            <w:vAlign w:val="bottom"/>
            <w:hideMark/>
          </w:tcPr>
          <w:p w14:paraId="4564D552" w14:textId="77777777" w:rsidR="00A9761A" w:rsidRPr="006F4322" w:rsidRDefault="00A9761A" w:rsidP="00A9761A">
            <w:pPr>
              <w:rPr>
                <w:color w:val="000000"/>
                <w:sz w:val="22"/>
              </w:rPr>
            </w:pPr>
            <w:r w:rsidRPr="006F4322">
              <w:rPr>
                <w:color w:val="000000"/>
                <w:sz w:val="22"/>
              </w:rPr>
              <w:t>Salaries and Wages - Employees (601 / 701)</w:t>
            </w:r>
          </w:p>
        </w:tc>
        <w:tc>
          <w:tcPr>
            <w:tcW w:w="1499" w:type="dxa"/>
            <w:gridSpan w:val="2"/>
            <w:tcBorders>
              <w:top w:val="nil"/>
              <w:left w:val="nil"/>
              <w:bottom w:val="nil"/>
              <w:right w:val="nil"/>
            </w:tcBorders>
            <w:shd w:val="clear" w:color="000000" w:fill="FFFFFF"/>
            <w:noWrap/>
            <w:vAlign w:val="bottom"/>
            <w:hideMark/>
          </w:tcPr>
          <w:p w14:paraId="48588933"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7943E46"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D25C79D" w14:textId="77777777" w:rsidR="00A9761A" w:rsidRPr="006F4322" w:rsidRDefault="00A9761A" w:rsidP="00A9761A">
            <w:pPr>
              <w:rPr>
                <w:color w:val="000000"/>
                <w:sz w:val="22"/>
              </w:rPr>
            </w:pPr>
            <w:r w:rsidRPr="006F4322">
              <w:rPr>
                <w:color w:val="000000"/>
                <w:sz w:val="22"/>
              </w:rPr>
              <w:t> </w:t>
            </w:r>
          </w:p>
        </w:tc>
      </w:tr>
      <w:tr w:rsidR="00A9761A" w:rsidRPr="006F4322" w14:paraId="2021684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EE8AEA5"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1F80EB5A" w14:textId="77777777" w:rsidR="00A9761A" w:rsidRPr="006F4322" w:rsidRDefault="00A9761A" w:rsidP="00A9761A">
            <w:pPr>
              <w:rPr>
                <w:color w:val="000000"/>
                <w:sz w:val="22"/>
              </w:rPr>
            </w:pPr>
            <w:r w:rsidRPr="006F4322">
              <w:rPr>
                <w:color w:val="000000"/>
                <w:sz w:val="22"/>
              </w:rPr>
              <w:t>To reflect appropriate common cost allocations.</w:t>
            </w:r>
          </w:p>
        </w:tc>
        <w:tc>
          <w:tcPr>
            <w:tcW w:w="1499" w:type="dxa"/>
            <w:gridSpan w:val="2"/>
            <w:tcBorders>
              <w:top w:val="nil"/>
              <w:left w:val="nil"/>
              <w:bottom w:val="nil"/>
              <w:right w:val="nil"/>
            </w:tcBorders>
            <w:shd w:val="clear" w:color="000000" w:fill="FFFFFF"/>
            <w:noWrap/>
            <w:vAlign w:val="bottom"/>
            <w:hideMark/>
          </w:tcPr>
          <w:p w14:paraId="2FD19564" w14:textId="77777777" w:rsidR="00A9761A" w:rsidRPr="00902258" w:rsidRDefault="00A9761A" w:rsidP="00A9761A">
            <w:pPr>
              <w:jc w:val="right"/>
              <w:rPr>
                <w:sz w:val="22"/>
                <w:u w:val="double"/>
              </w:rPr>
            </w:pPr>
            <w:r w:rsidRPr="00902258">
              <w:rPr>
                <w:sz w:val="22"/>
                <w:u w:val="double"/>
              </w:rPr>
              <w:t xml:space="preserve">$59,001 </w:t>
            </w:r>
          </w:p>
        </w:tc>
        <w:tc>
          <w:tcPr>
            <w:tcW w:w="2025" w:type="dxa"/>
            <w:tcBorders>
              <w:top w:val="nil"/>
              <w:left w:val="nil"/>
              <w:bottom w:val="nil"/>
              <w:right w:val="nil"/>
            </w:tcBorders>
            <w:shd w:val="clear" w:color="000000" w:fill="FFFFFF"/>
            <w:noWrap/>
            <w:vAlign w:val="bottom"/>
            <w:hideMark/>
          </w:tcPr>
          <w:p w14:paraId="165CF1ED" w14:textId="77777777" w:rsidR="00A9761A" w:rsidRPr="00902258" w:rsidRDefault="00A9761A" w:rsidP="00A9761A">
            <w:pPr>
              <w:jc w:val="right"/>
              <w:rPr>
                <w:sz w:val="22"/>
                <w:u w:val="double"/>
              </w:rPr>
            </w:pPr>
            <w:r w:rsidRPr="00902258">
              <w:rPr>
                <w:sz w:val="22"/>
                <w:u w:val="double"/>
              </w:rPr>
              <w:t xml:space="preserve">$36,099 </w:t>
            </w:r>
          </w:p>
        </w:tc>
        <w:tc>
          <w:tcPr>
            <w:tcW w:w="409" w:type="dxa"/>
            <w:tcBorders>
              <w:top w:val="nil"/>
              <w:left w:val="nil"/>
              <w:bottom w:val="nil"/>
              <w:right w:val="single" w:sz="8" w:space="0" w:color="auto"/>
            </w:tcBorders>
            <w:shd w:val="clear" w:color="000000" w:fill="FFFFFF"/>
            <w:noWrap/>
            <w:vAlign w:val="bottom"/>
            <w:hideMark/>
          </w:tcPr>
          <w:p w14:paraId="06B9C759" w14:textId="77777777" w:rsidR="00A9761A" w:rsidRPr="006F4322" w:rsidRDefault="00A9761A" w:rsidP="00A9761A">
            <w:pPr>
              <w:rPr>
                <w:color w:val="000000"/>
                <w:sz w:val="22"/>
              </w:rPr>
            </w:pPr>
            <w:r w:rsidRPr="006F4322">
              <w:rPr>
                <w:color w:val="000000"/>
                <w:sz w:val="22"/>
              </w:rPr>
              <w:t> </w:t>
            </w:r>
          </w:p>
        </w:tc>
      </w:tr>
      <w:tr w:rsidR="00A9761A" w:rsidRPr="006F4322" w14:paraId="689D887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CAAB93F"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C9181F8"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7534105C"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696490A1"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20D7064" w14:textId="77777777" w:rsidR="00A9761A" w:rsidRPr="006F4322" w:rsidRDefault="00A9761A" w:rsidP="00A9761A">
            <w:pPr>
              <w:rPr>
                <w:color w:val="000000"/>
                <w:sz w:val="22"/>
              </w:rPr>
            </w:pPr>
            <w:r w:rsidRPr="006F4322">
              <w:rPr>
                <w:color w:val="000000"/>
                <w:sz w:val="22"/>
              </w:rPr>
              <w:t> </w:t>
            </w:r>
          </w:p>
        </w:tc>
      </w:tr>
      <w:tr w:rsidR="00A9761A" w:rsidRPr="006F4322" w14:paraId="401816FA"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E8A0D48" w14:textId="77777777" w:rsidR="00A9761A" w:rsidRPr="006F4322" w:rsidRDefault="00A9761A" w:rsidP="00A9761A">
            <w:pPr>
              <w:rPr>
                <w:color w:val="000000"/>
                <w:sz w:val="22"/>
              </w:rPr>
            </w:pPr>
            <w:r w:rsidRPr="006F4322">
              <w:rPr>
                <w:color w:val="000000"/>
                <w:sz w:val="22"/>
              </w:rPr>
              <w:t>2.</w:t>
            </w:r>
          </w:p>
        </w:tc>
        <w:tc>
          <w:tcPr>
            <w:tcW w:w="6184" w:type="dxa"/>
            <w:tcBorders>
              <w:top w:val="nil"/>
              <w:left w:val="nil"/>
              <w:bottom w:val="nil"/>
              <w:right w:val="nil"/>
            </w:tcBorders>
            <w:shd w:val="clear" w:color="000000" w:fill="FFFFFF"/>
            <w:noWrap/>
            <w:vAlign w:val="bottom"/>
            <w:hideMark/>
          </w:tcPr>
          <w:p w14:paraId="112C7640" w14:textId="77777777" w:rsidR="00A9761A" w:rsidRPr="006F4322" w:rsidRDefault="00A9761A" w:rsidP="00A9761A">
            <w:pPr>
              <w:rPr>
                <w:color w:val="000000"/>
                <w:sz w:val="22"/>
              </w:rPr>
            </w:pPr>
            <w:r w:rsidRPr="006F4322">
              <w:rPr>
                <w:color w:val="000000"/>
                <w:sz w:val="22"/>
              </w:rPr>
              <w:t>Salaries and Wages - Officers and Directors (603 / 703)</w:t>
            </w:r>
          </w:p>
        </w:tc>
        <w:tc>
          <w:tcPr>
            <w:tcW w:w="1499" w:type="dxa"/>
            <w:gridSpan w:val="2"/>
            <w:tcBorders>
              <w:top w:val="nil"/>
              <w:left w:val="nil"/>
              <w:bottom w:val="nil"/>
              <w:right w:val="nil"/>
            </w:tcBorders>
            <w:shd w:val="clear" w:color="000000" w:fill="FFFFFF"/>
            <w:noWrap/>
            <w:vAlign w:val="bottom"/>
            <w:hideMark/>
          </w:tcPr>
          <w:p w14:paraId="71C128B9"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1A44393F"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4654D910" w14:textId="77777777" w:rsidR="00A9761A" w:rsidRPr="006F4322" w:rsidRDefault="00A9761A" w:rsidP="00A9761A">
            <w:pPr>
              <w:rPr>
                <w:color w:val="000000"/>
                <w:sz w:val="22"/>
              </w:rPr>
            </w:pPr>
            <w:r w:rsidRPr="006F4322">
              <w:rPr>
                <w:color w:val="000000"/>
                <w:sz w:val="22"/>
              </w:rPr>
              <w:t> </w:t>
            </w:r>
          </w:p>
        </w:tc>
      </w:tr>
      <w:tr w:rsidR="00A9761A" w:rsidRPr="006F4322" w14:paraId="23816B3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7363854"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61BE19A" w14:textId="77777777" w:rsidR="00A9761A" w:rsidRPr="006F4322" w:rsidRDefault="00A9761A" w:rsidP="00A9761A">
            <w:pPr>
              <w:rPr>
                <w:color w:val="000000"/>
                <w:sz w:val="22"/>
              </w:rPr>
            </w:pPr>
            <w:r w:rsidRPr="006F4322">
              <w:rPr>
                <w:color w:val="000000"/>
                <w:sz w:val="22"/>
              </w:rPr>
              <w:t>a. To reflect appropriate common cost allocations.</w:t>
            </w:r>
          </w:p>
        </w:tc>
        <w:tc>
          <w:tcPr>
            <w:tcW w:w="1499" w:type="dxa"/>
            <w:gridSpan w:val="2"/>
            <w:tcBorders>
              <w:top w:val="nil"/>
              <w:left w:val="nil"/>
              <w:bottom w:val="nil"/>
              <w:right w:val="nil"/>
            </w:tcBorders>
            <w:shd w:val="clear" w:color="000000" w:fill="FFFFFF"/>
            <w:noWrap/>
            <w:vAlign w:val="bottom"/>
            <w:hideMark/>
          </w:tcPr>
          <w:p w14:paraId="26AAD126" w14:textId="77777777" w:rsidR="00A9761A" w:rsidRPr="00902258" w:rsidRDefault="00A9761A" w:rsidP="00A9761A">
            <w:pPr>
              <w:jc w:val="right"/>
              <w:rPr>
                <w:sz w:val="22"/>
              </w:rPr>
            </w:pPr>
            <w:r w:rsidRPr="00902258">
              <w:rPr>
                <w:sz w:val="22"/>
              </w:rPr>
              <w:t xml:space="preserve">$42,993 </w:t>
            </w:r>
          </w:p>
        </w:tc>
        <w:tc>
          <w:tcPr>
            <w:tcW w:w="2025" w:type="dxa"/>
            <w:tcBorders>
              <w:top w:val="nil"/>
              <w:left w:val="nil"/>
              <w:bottom w:val="nil"/>
              <w:right w:val="nil"/>
            </w:tcBorders>
            <w:shd w:val="clear" w:color="000000" w:fill="FFFFFF"/>
            <w:noWrap/>
            <w:vAlign w:val="bottom"/>
            <w:hideMark/>
          </w:tcPr>
          <w:p w14:paraId="0226708E" w14:textId="77777777" w:rsidR="00A9761A" w:rsidRPr="00902258" w:rsidRDefault="00A9761A" w:rsidP="00A9761A">
            <w:pPr>
              <w:jc w:val="right"/>
              <w:rPr>
                <w:sz w:val="22"/>
              </w:rPr>
            </w:pPr>
            <w:r w:rsidRPr="00902258">
              <w:rPr>
                <w:sz w:val="22"/>
              </w:rPr>
              <w:t xml:space="preserve">$25,910 </w:t>
            </w:r>
          </w:p>
        </w:tc>
        <w:tc>
          <w:tcPr>
            <w:tcW w:w="409" w:type="dxa"/>
            <w:tcBorders>
              <w:top w:val="nil"/>
              <w:left w:val="nil"/>
              <w:bottom w:val="nil"/>
              <w:right w:val="single" w:sz="8" w:space="0" w:color="auto"/>
            </w:tcBorders>
            <w:shd w:val="clear" w:color="000000" w:fill="FFFFFF"/>
            <w:noWrap/>
            <w:vAlign w:val="bottom"/>
            <w:hideMark/>
          </w:tcPr>
          <w:p w14:paraId="17B8B195" w14:textId="77777777" w:rsidR="00A9761A" w:rsidRPr="006F4322" w:rsidRDefault="00A9761A" w:rsidP="00A9761A">
            <w:pPr>
              <w:rPr>
                <w:color w:val="000000"/>
                <w:sz w:val="22"/>
              </w:rPr>
            </w:pPr>
            <w:r w:rsidRPr="006F4322">
              <w:rPr>
                <w:color w:val="000000"/>
                <w:sz w:val="22"/>
              </w:rPr>
              <w:t> </w:t>
            </w:r>
          </w:p>
        </w:tc>
      </w:tr>
      <w:tr w:rsidR="00A9761A" w:rsidRPr="006F4322" w14:paraId="241C9033"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6FBBFEE"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2FECCD9" w14:textId="77777777" w:rsidR="00A9761A" w:rsidRPr="006F4322" w:rsidRDefault="00A9761A" w:rsidP="00A9761A">
            <w:pPr>
              <w:rPr>
                <w:color w:val="000000"/>
                <w:sz w:val="22"/>
              </w:rPr>
            </w:pPr>
            <w:r w:rsidRPr="006F4322">
              <w:rPr>
                <w:color w:val="000000"/>
                <w:sz w:val="22"/>
              </w:rPr>
              <w:t>b. Commission-ordered salary adjustment.</w:t>
            </w:r>
          </w:p>
        </w:tc>
        <w:tc>
          <w:tcPr>
            <w:tcW w:w="1499" w:type="dxa"/>
            <w:gridSpan w:val="2"/>
            <w:tcBorders>
              <w:top w:val="nil"/>
              <w:left w:val="nil"/>
              <w:bottom w:val="nil"/>
              <w:right w:val="nil"/>
            </w:tcBorders>
            <w:shd w:val="clear" w:color="000000" w:fill="FFFFFF"/>
            <w:noWrap/>
            <w:vAlign w:val="bottom"/>
            <w:hideMark/>
          </w:tcPr>
          <w:p w14:paraId="3405944C" w14:textId="77777777" w:rsidR="00A9761A" w:rsidRPr="00902258" w:rsidRDefault="00A9761A" w:rsidP="00A9761A">
            <w:pPr>
              <w:jc w:val="right"/>
              <w:rPr>
                <w:sz w:val="22"/>
                <w:u w:val="single"/>
              </w:rPr>
            </w:pPr>
            <w:r w:rsidRPr="00902258">
              <w:rPr>
                <w:sz w:val="22"/>
                <w:u w:val="single"/>
              </w:rPr>
              <w:t>(10,748)</w:t>
            </w:r>
          </w:p>
        </w:tc>
        <w:tc>
          <w:tcPr>
            <w:tcW w:w="2025" w:type="dxa"/>
            <w:tcBorders>
              <w:top w:val="nil"/>
              <w:left w:val="nil"/>
              <w:bottom w:val="nil"/>
              <w:right w:val="nil"/>
            </w:tcBorders>
            <w:shd w:val="clear" w:color="000000" w:fill="FFFFFF"/>
            <w:noWrap/>
            <w:vAlign w:val="bottom"/>
            <w:hideMark/>
          </w:tcPr>
          <w:p w14:paraId="5516FE00" w14:textId="77777777" w:rsidR="00A9761A" w:rsidRPr="00902258" w:rsidRDefault="00A9761A" w:rsidP="00A9761A">
            <w:pPr>
              <w:jc w:val="right"/>
              <w:rPr>
                <w:sz w:val="22"/>
                <w:u w:val="single"/>
              </w:rPr>
            </w:pPr>
            <w:r w:rsidRPr="00902258">
              <w:rPr>
                <w:sz w:val="22"/>
                <w:u w:val="single"/>
              </w:rPr>
              <w:t>(6,477)</w:t>
            </w:r>
          </w:p>
        </w:tc>
        <w:tc>
          <w:tcPr>
            <w:tcW w:w="409" w:type="dxa"/>
            <w:tcBorders>
              <w:top w:val="nil"/>
              <w:left w:val="nil"/>
              <w:bottom w:val="nil"/>
              <w:right w:val="single" w:sz="8" w:space="0" w:color="auto"/>
            </w:tcBorders>
            <w:shd w:val="clear" w:color="000000" w:fill="FFFFFF"/>
            <w:noWrap/>
            <w:vAlign w:val="bottom"/>
            <w:hideMark/>
          </w:tcPr>
          <w:p w14:paraId="6E1B3065" w14:textId="77777777" w:rsidR="00A9761A" w:rsidRPr="006F4322" w:rsidRDefault="00A9761A" w:rsidP="00A9761A">
            <w:pPr>
              <w:rPr>
                <w:color w:val="000000"/>
                <w:sz w:val="22"/>
              </w:rPr>
            </w:pPr>
            <w:r w:rsidRPr="006F4322">
              <w:rPr>
                <w:color w:val="000000"/>
                <w:sz w:val="22"/>
              </w:rPr>
              <w:t> </w:t>
            </w:r>
          </w:p>
        </w:tc>
      </w:tr>
      <w:tr w:rsidR="00A9761A" w:rsidRPr="006F4322" w14:paraId="37044E70"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6D4B197"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8ADEF7B" w14:textId="77777777" w:rsidR="00A9761A" w:rsidRPr="006F4322" w:rsidRDefault="00A9761A" w:rsidP="00A9761A">
            <w:pPr>
              <w:rPr>
                <w:color w:val="000000"/>
                <w:sz w:val="22"/>
              </w:rPr>
            </w:pPr>
            <w:r w:rsidRPr="006F4322">
              <w:rPr>
                <w:color w:val="000000"/>
                <w:sz w:val="22"/>
              </w:rPr>
              <w:t xml:space="preserve">   Subtotal</w:t>
            </w:r>
          </w:p>
        </w:tc>
        <w:tc>
          <w:tcPr>
            <w:tcW w:w="1499" w:type="dxa"/>
            <w:gridSpan w:val="2"/>
            <w:tcBorders>
              <w:top w:val="nil"/>
              <w:left w:val="nil"/>
              <w:bottom w:val="nil"/>
              <w:right w:val="nil"/>
            </w:tcBorders>
            <w:shd w:val="clear" w:color="000000" w:fill="FFFFFF"/>
            <w:noWrap/>
            <w:vAlign w:val="bottom"/>
            <w:hideMark/>
          </w:tcPr>
          <w:p w14:paraId="23C924D1" w14:textId="77777777" w:rsidR="00A9761A" w:rsidRPr="00902258" w:rsidRDefault="00A9761A" w:rsidP="00A9761A">
            <w:pPr>
              <w:jc w:val="right"/>
              <w:rPr>
                <w:sz w:val="22"/>
                <w:u w:val="double"/>
              </w:rPr>
            </w:pPr>
            <w:r w:rsidRPr="00902258">
              <w:rPr>
                <w:sz w:val="22"/>
                <w:u w:val="double"/>
              </w:rPr>
              <w:t xml:space="preserve">$32,245 </w:t>
            </w:r>
          </w:p>
        </w:tc>
        <w:tc>
          <w:tcPr>
            <w:tcW w:w="2025" w:type="dxa"/>
            <w:tcBorders>
              <w:top w:val="nil"/>
              <w:left w:val="nil"/>
              <w:bottom w:val="nil"/>
              <w:right w:val="nil"/>
            </w:tcBorders>
            <w:shd w:val="clear" w:color="000000" w:fill="FFFFFF"/>
            <w:noWrap/>
            <w:vAlign w:val="bottom"/>
            <w:hideMark/>
          </w:tcPr>
          <w:p w14:paraId="76962550" w14:textId="77777777" w:rsidR="00A9761A" w:rsidRPr="00902258" w:rsidRDefault="00A9761A" w:rsidP="00A9761A">
            <w:pPr>
              <w:jc w:val="right"/>
              <w:rPr>
                <w:sz w:val="22"/>
                <w:u w:val="double"/>
              </w:rPr>
            </w:pPr>
            <w:r w:rsidRPr="00902258">
              <w:rPr>
                <w:sz w:val="22"/>
                <w:u w:val="double"/>
              </w:rPr>
              <w:t xml:space="preserve">$19,432 </w:t>
            </w:r>
          </w:p>
        </w:tc>
        <w:tc>
          <w:tcPr>
            <w:tcW w:w="409" w:type="dxa"/>
            <w:tcBorders>
              <w:top w:val="nil"/>
              <w:left w:val="nil"/>
              <w:bottom w:val="nil"/>
              <w:right w:val="single" w:sz="8" w:space="0" w:color="auto"/>
            </w:tcBorders>
            <w:shd w:val="clear" w:color="000000" w:fill="FFFFFF"/>
            <w:noWrap/>
            <w:vAlign w:val="bottom"/>
            <w:hideMark/>
          </w:tcPr>
          <w:p w14:paraId="79226186" w14:textId="77777777" w:rsidR="00A9761A" w:rsidRPr="006F4322" w:rsidRDefault="00A9761A" w:rsidP="00A9761A">
            <w:pPr>
              <w:rPr>
                <w:color w:val="000000"/>
                <w:sz w:val="22"/>
              </w:rPr>
            </w:pPr>
            <w:r w:rsidRPr="006F4322">
              <w:rPr>
                <w:color w:val="000000"/>
                <w:sz w:val="22"/>
              </w:rPr>
              <w:t> </w:t>
            </w:r>
          </w:p>
        </w:tc>
      </w:tr>
      <w:tr w:rsidR="00A9761A" w:rsidRPr="006F4322" w14:paraId="5ADC6331"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B41E2CC"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69A68A38"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35116594"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7772B36E"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065A8CE8" w14:textId="77777777" w:rsidR="00A9761A" w:rsidRPr="006F4322" w:rsidRDefault="00A9761A" w:rsidP="00A9761A">
            <w:pPr>
              <w:rPr>
                <w:color w:val="000000"/>
                <w:sz w:val="22"/>
              </w:rPr>
            </w:pPr>
            <w:r w:rsidRPr="006F4322">
              <w:rPr>
                <w:color w:val="000000"/>
                <w:sz w:val="22"/>
              </w:rPr>
              <w:t> </w:t>
            </w:r>
          </w:p>
        </w:tc>
      </w:tr>
      <w:tr w:rsidR="00A9761A" w:rsidRPr="006F4322" w14:paraId="35E17603"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3D63082" w14:textId="77777777" w:rsidR="00A9761A" w:rsidRPr="006F4322" w:rsidRDefault="00A9761A" w:rsidP="00A9761A">
            <w:pPr>
              <w:rPr>
                <w:color w:val="000000"/>
                <w:sz w:val="22"/>
              </w:rPr>
            </w:pPr>
            <w:r>
              <w:rPr>
                <w:color w:val="000000"/>
                <w:sz w:val="22"/>
              </w:rPr>
              <w:t>3</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5B0FBFAB" w14:textId="77777777" w:rsidR="00A9761A" w:rsidRPr="006F4322" w:rsidRDefault="00A9761A" w:rsidP="00A9761A">
            <w:pPr>
              <w:rPr>
                <w:color w:val="000000"/>
                <w:sz w:val="22"/>
              </w:rPr>
            </w:pPr>
            <w:r w:rsidRPr="006F4322">
              <w:rPr>
                <w:color w:val="000000"/>
                <w:sz w:val="22"/>
              </w:rPr>
              <w:t>Sludge Removal Expense (711)</w:t>
            </w:r>
          </w:p>
        </w:tc>
        <w:tc>
          <w:tcPr>
            <w:tcW w:w="1499" w:type="dxa"/>
            <w:gridSpan w:val="2"/>
            <w:tcBorders>
              <w:top w:val="nil"/>
              <w:left w:val="nil"/>
              <w:bottom w:val="nil"/>
              <w:right w:val="nil"/>
            </w:tcBorders>
            <w:shd w:val="clear" w:color="000000" w:fill="FFFFFF"/>
            <w:noWrap/>
            <w:vAlign w:val="bottom"/>
            <w:hideMark/>
          </w:tcPr>
          <w:p w14:paraId="0638F82A"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52950C18"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3AFDCE55" w14:textId="77777777" w:rsidR="00A9761A" w:rsidRPr="006F4322" w:rsidRDefault="00A9761A" w:rsidP="00A9761A">
            <w:pPr>
              <w:rPr>
                <w:color w:val="000000"/>
                <w:sz w:val="22"/>
              </w:rPr>
            </w:pPr>
            <w:r w:rsidRPr="006F4322">
              <w:rPr>
                <w:color w:val="000000"/>
                <w:sz w:val="22"/>
              </w:rPr>
              <w:t> </w:t>
            </w:r>
          </w:p>
        </w:tc>
      </w:tr>
      <w:tr w:rsidR="00A9761A" w:rsidRPr="006F4322" w14:paraId="50D1395E"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2579107B"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07A0BC9" w14:textId="77777777" w:rsidR="00A9761A" w:rsidRPr="006F4322" w:rsidRDefault="00A9761A" w:rsidP="00A9761A">
            <w:pPr>
              <w:rPr>
                <w:color w:val="000000"/>
                <w:sz w:val="22"/>
              </w:rPr>
            </w:pPr>
            <w:r w:rsidRPr="006F4322">
              <w:rPr>
                <w:color w:val="000000"/>
                <w:sz w:val="22"/>
              </w:rPr>
              <w:t xml:space="preserve"> To reflect an auditing adjustment.</w:t>
            </w:r>
          </w:p>
        </w:tc>
        <w:tc>
          <w:tcPr>
            <w:tcW w:w="1499" w:type="dxa"/>
            <w:gridSpan w:val="2"/>
            <w:tcBorders>
              <w:top w:val="nil"/>
              <w:left w:val="nil"/>
              <w:bottom w:val="nil"/>
              <w:right w:val="nil"/>
            </w:tcBorders>
            <w:shd w:val="clear" w:color="000000" w:fill="FFFFFF"/>
            <w:noWrap/>
            <w:vAlign w:val="bottom"/>
            <w:hideMark/>
          </w:tcPr>
          <w:p w14:paraId="5522F456"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39046AAC" w14:textId="77777777" w:rsidR="00A9761A" w:rsidRPr="00902258" w:rsidRDefault="00A9761A" w:rsidP="00A9761A">
            <w:pPr>
              <w:jc w:val="right"/>
              <w:rPr>
                <w:sz w:val="22"/>
                <w:u w:val="double"/>
              </w:rPr>
            </w:pPr>
            <w:r w:rsidRPr="00902258">
              <w:rPr>
                <w:sz w:val="22"/>
                <w:u w:val="double"/>
              </w:rPr>
              <w:t>($25,330)</w:t>
            </w:r>
          </w:p>
        </w:tc>
        <w:tc>
          <w:tcPr>
            <w:tcW w:w="409" w:type="dxa"/>
            <w:tcBorders>
              <w:top w:val="nil"/>
              <w:left w:val="nil"/>
              <w:bottom w:val="nil"/>
              <w:right w:val="single" w:sz="8" w:space="0" w:color="auto"/>
            </w:tcBorders>
            <w:shd w:val="clear" w:color="000000" w:fill="FFFFFF"/>
            <w:noWrap/>
            <w:vAlign w:val="bottom"/>
            <w:hideMark/>
          </w:tcPr>
          <w:p w14:paraId="797D23BE" w14:textId="77777777" w:rsidR="00A9761A" w:rsidRPr="006F4322" w:rsidRDefault="00A9761A" w:rsidP="00A9761A">
            <w:pPr>
              <w:rPr>
                <w:color w:val="000000"/>
                <w:sz w:val="22"/>
              </w:rPr>
            </w:pPr>
            <w:r w:rsidRPr="006F4322">
              <w:rPr>
                <w:color w:val="000000"/>
                <w:sz w:val="22"/>
              </w:rPr>
              <w:t> </w:t>
            </w:r>
          </w:p>
        </w:tc>
      </w:tr>
      <w:tr w:rsidR="00A9761A" w:rsidRPr="006F4322" w14:paraId="3DDBB3A9"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592A30B"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658592F1"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50631F5C"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5B6F746"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738ECA7" w14:textId="77777777" w:rsidR="00A9761A" w:rsidRPr="006F4322" w:rsidRDefault="00A9761A" w:rsidP="00A9761A">
            <w:pPr>
              <w:rPr>
                <w:color w:val="000000"/>
                <w:sz w:val="22"/>
              </w:rPr>
            </w:pPr>
            <w:r w:rsidRPr="006F4322">
              <w:rPr>
                <w:color w:val="000000"/>
                <w:sz w:val="22"/>
              </w:rPr>
              <w:t> </w:t>
            </w:r>
          </w:p>
        </w:tc>
      </w:tr>
      <w:tr w:rsidR="00A9761A" w:rsidRPr="006F4322" w14:paraId="0B4B4A90"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08830F0" w14:textId="77777777" w:rsidR="00A9761A" w:rsidRPr="006F4322" w:rsidRDefault="00A9761A" w:rsidP="00A9761A">
            <w:pPr>
              <w:rPr>
                <w:color w:val="000000"/>
                <w:sz w:val="22"/>
              </w:rPr>
            </w:pPr>
            <w:r>
              <w:rPr>
                <w:color w:val="000000"/>
                <w:sz w:val="22"/>
              </w:rPr>
              <w:t>4.</w:t>
            </w:r>
          </w:p>
        </w:tc>
        <w:tc>
          <w:tcPr>
            <w:tcW w:w="6184" w:type="dxa"/>
            <w:tcBorders>
              <w:top w:val="nil"/>
              <w:left w:val="nil"/>
              <w:bottom w:val="nil"/>
              <w:right w:val="nil"/>
            </w:tcBorders>
            <w:shd w:val="clear" w:color="000000" w:fill="FFFFFF"/>
            <w:noWrap/>
            <w:vAlign w:val="bottom"/>
            <w:hideMark/>
          </w:tcPr>
          <w:p w14:paraId="73CA3928" w14:textId="77777777" w:rsidR="00A9761A" w:rsidRPr="006F4322" w:rsidRDefault="00A9761A" w:rsidP="00A9761A">
            <w:pPr>
              <w:rPr>
                <w:color w:val="000000"/>
                <w:sz w:val="22"/>
              </w:rPr>
            </w:pPr>
            <w:r w:rsidRPr="006F4322">
              <w:rPr>
                <w:color w:val="000000"/>
                <w:sz w:val="22"/>
              </w:rPr>
              <w:t>Purchased Power (615 / 715)</w:t>
            </w:r>
          </w:p>
        </w:tc>
        <w:tc>
          <w:tcPr>
            <w:tcW w:w="1499" w:type="dxa"/>
            <w:gridSpan w:val="2"/>
            <w:tcBorders>
              <w:top w:val="nil"/>
              <w:left w:val="nil"/>
              <w:bottom w:val="nil"/>
              <w:right w:val="nil"/>
            </w:tcBorders>
            <w:shd w:val="clear" w:color="000000" w:fill="FFFFFF"/>
            <w:noWrap/>
            <w:vAlign w:val="bottom"/>
            <w:hideMark/>
          </w:tcPr>
          <w:p w14:paraId="2FFFA8CC"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7DFB57EC"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2E68F352" w14:textId="77777777" w:rsidR="00A9761A" w:rsidRPr="006F4322" w:rsidRDefault="00A9761A" w:rsidP="00A9761A">
            <w:pPr>
              <w:rPr>
                <w:color w:val="000000"/>
                <w:sz w:val="22"/>
              </w:rPr>
            </w:pPr>
            <w:r w:rsidRPr="006F4322">
              <w:rPr>
                <w:color w:val="000000"/>
                <w:sz w:val="22"/>
              </w:rPr>
              <w:t> </w:t>
            </w:r>
          </w:p>
        </w:tc>
      </w:tr>
      <w:tr w:rsidR="00A9761A" w:rsidRPr="006F4322" w14:paraId="77C6FFDC"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2782B83"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72A1915" w14:textId="77777777" w:rsidR="00A9761A" w:rsidRPr="006F4322" w:rsidRDefault="00A9761A" w:rsidP="00A9761A">
            <w:pPr>
              <w:rPr>
                <w:color w:val="000000"/>
                <w:sz w:val="22"/>
              </w:rPr>
            </w:pPr>
            <w:r w:rsidRPr="006F4322">
              <w:rPr>
                <w:color w:val="000000"/>
                <w:sz w:val="22"/>
              </w:rPr>
              <w:t>a. To reflect auditing adjustments.</w:t>
            </w:r>
          </w:p>
        </w:tc>
        <w:tc>
          <w:tcPr>
            <w:tcW w:w="1499" w:type="dxa"/>
            <w:gridSpan w:val="2"/>
            <w:tcBorders>
              <w:top w:val="nil"/>
              <w:left w:val="nil"/>
              <w:bottom w:val="nil"/>
              <w:right w:val="nil"/>
            </w:tcBorders>
            <w:shd w:val="clear" w:color="000000" w:fill="FFFFFF"/>
            <w:noWrap/>
            <w:vAlign w:val="bottom"/>
            <w:hideMark/>
          </w:tcPr>
          <w:p w14:paraId="651101F5" w14:textId="77777777" w:rsidR="00A9761A" w:rsidRPr="00902258" w:rsidRDefault="00A9761A" w:rsidP="00A9761A">
            <w:pPr>
              <w:jc w:val="right"/>
              <w:rPr>
                <w:sz w:val="22"/>
              </w:rPr>
            </w:pPr>
            <w:r w:rsidRPr="00902258">
              <w:rPr>
                <w:sz w:val="22"/>
              </w:rPr>
              <w:t>($24,846)</w:t>
            </w:r>
          </w:p>
        </w:tc>
        <w:tc>
          <w:tcPr>
            <w:tcW w:w="2025" w:type="dxa"/>
            <w:tcBorders>
              <w:top w:val="nil"/>
              <w:left w:val="nil"/>
              <w:bottom w:val="nil"/>
              <w:right w:val="nil"/>
            </w:tcBorders>
            <w:shd w:val="clear" w:color="000000" w:fill="FFFFFF"/>
            <w:noWrap/>
            <w:vAlign w:val="bottom"/>
            <w:hideMark/>
          </w:tcPr>
          <w:p w14:paraId="58851135" w14:textId="77777777" w:rsidR="00A9761A" w:rsidRPr="00902258" w:rsidRDefault="00A9761A" w:rsidP="00A9761A">
            <w:pPr>
              <w:jc w:val="right"/>
              <w:rPr>
                <w:sz w:val="22"/>
              </w:rPr>
            </w:pPr>
            <w:r w:rsidRPr="00902258">
              <w:rPr>
                <w:sz w:val="22"/>
              </w:rPr>
              <w:t xml:space="preserve">$19,914 </w:t>
            </w:r>
          </w:p>
        </w:tc>
        <w:tc>
          <w:tcPr>
            <w:tcW w:w="409" w:type="dxa"/>
            <w:tcBorders>
              <w:top w:val="nil"/>
              <w:left w:val="nil"/>
              <w:bottom w:val="nil"/>
              <w:right w:val="single" w:sz="8" w:space="0" w:color="auto"/>
            </w:tcBorders>
            <w:shd w:val="clear" w:color="000000" w:fill="FFFFFF"/>
            <w:noWrap/>
            <w:vAlign w:val="bottom"/>
            <w:hideMark/>
          </w:tcPr>
          <w:p w14:paraId="03F20C1A" w14:textId="77777777" w:rsidR="00A9761A" w:rsidRPr="006F4322" w:rsidRDefault="00A9761A" w:rsidP="00A9761A">
            <w:pPr>
              <w:rPr>
                <w:color w:val="000000"/>
                <w:sz w:val="22"/>
              </w:rPr>
            </w:pPr>
            <w:r w:rsidRPr="006F4322">
              <w:rPr>
                <w:color w:val="000000"/>
                <w:sz w:val="22"/>
              </w:rPr>
              <w:t> </w:t>
            </w:r>
          </w:p>
        </w:tc>
      </w:tr>
      <w:tr w:rsidR="00A9761A" w:rsidRPr="006F4322" w14:paraId="07C05241"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28528087"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00197A36" w14:textId="77777777" w:rsidR="00A9761A" w:rsidRPr="006F4322" w:rsidRDefault="00A9761A" w:rsidP="00A9761A">
            <w:pPr>
              <w:rPr>
                <w:color w:val="000000"/>
                <w:sz w:val="22"/>
              </w:rPr>
            </w:pPr>
            <w:r w:rsidRPr="006F4322">
              <w:rPr>
                <w:color w:val="000000"/>
                <w:sz w:val="22"/>
              </w:rPr>
              <w:t>b. To reflect actual invoices received.</w:t>
            </w:r>
          </w:p>
        </w:tc>
        <w:tc>
          <w:tcPr>
            <w:tcW w:w="1499" w:type="dxa"/>
            <w:gridSpan w:val="2"/>
            <w:tcBorders>
              <w:top w:val="nil"/>
              <w:left w:val="nil"/>
              <w:bottom w:val="nil"/>
              <w:right w:val="nil"/>
            </w:tcBorders>
            <w:shd w:val="clear" w:color="000000" w:fill="FFFFFF"/>
            <w:noWrap/>
            <w:vAlign w:val="bottom"/>
            <w:hideMark/>
          </w:tcPr>
          <w:p w14:paraId="6C7221D0" w14:textId="77777777" w:rsidR="00A9761A" w:rsidRPr="00902258" w:rsidRDefault="00A9761A" w:rsidP="00A9761A">
            <w:pPr>
              <w:jc w:val="right"/>
              <w:rPr>
                <w:sz w:val="22"/>
              </w:rPr>
            </w:pPr>
            <w:r w:rsidRPr="00902258">
              <w:rPr>
                <w:sz w:val="22"/>
              </w:rPr>
              <w:t xml:space="preserve">0 </w:t>
            </w:r>
          </w:p>
        </w:tc>
        <w:tc>
          <w:tcPr>
            <w:tcW w:w="2025" w:type="dxa"/>
            <w:tcBorders>
              <w:top w:val="nil"/>
              <w:left w:val="nil"/>
              <w:bottom w:val="nil"/>
              <w:right w:val="nil"/>
            </w:tcBorders>
            <w:shd w:val="clear" w:color="000000" w:fill="FFFFFF"/>
            <w:noWrap/>
            <w:vAlign w:val="bottom"/>
            <w:hideMark/>
          </w:tcPr>
          <w:p w14:paraId="71880B3E" w14:textId="77777777" w:rsidR="00A9761A" w:rsidRPr="00902258" w:rsidRDefault="00A9761A" w:rsidP="00A9761A">
            <w:pPr>
              <w:jc w:val="right"/>
              <w:rPr>
                <w:sz w:val="22"/>
              </w:rPr>
            </w:pPr>
            <w:r w:rsidRPr="00902258">
              <w:rPr>
                <w:sz w:val="22"/>
              </w:rPr>
              <w:t>(29)</w:t>
            </w:r>
          </w:p>
        </w:tc>
        <w:tc>
          <w:tcPr>
            <w:tcW w:w="409" w:type="dxa"/>
            <w:tcBorders>
              <w:top w:val="nil"/>
              <w:left w:val="nil"/>
              <w:bottom w:val="nil"/>
              <w:right w:val="single" w:sz="8" w:space="0" w:color="auto"/>
            </w:tcBorders>
            <w:shd w:val="clear" w:color="000000" w:fill="FFFFFF"/>
            <w:noWrap/>
            <w:vAlign w:val="bottom"/>
            <w:hideMark/>
          </w:tcPr>
          <w:p w14:paraId="0B24398B" w14:textId="77777777" w:rsidR="00A9761A" w:rsidRPr="006F4322" w:rsidRDefault="00A9761A" w:rsidP="00A9761A">
            <w:pPr>
              <w:rPr>
                <w:color w:val="000000"/>
                <w:sz w:val="22"/>
              </w:rPr>
            </w:pPr>
            <w:r w:rsidRPr="006F4322">
              <w:rPr>
                <w:color w:val="000000"/>
                <w:sz w:val="22"/>
              </w:rPr>
              <w:t> </w:t>
            </w:r>
          </w:p>
        </w:tc>
      </w:tr>
      <w:tr w:rsidR="00A9761A" w:rsidRPr="006F4322" w14:paraId="46D1C8A1"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8204966"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09ACBA54" w14:textId="77777777" w:rsidR="00A9761A" w:rsidRPr="006F4322" w:rsidRDefault="00A9761A" w:rsidP="00A9761A">
            <w:pPr>
              <w:rPr>
                <w:color w:val="000000"/>
                <w:sz w:val="22"/>
              </w:rPr>
            </w:pPr>
            <w:r w:rsidRPr="006F4322">
              <w:rPr>
                <w:color w:val="000000"/>
                <w:sz w:val="22"/>
              </w:rPr>
              <w:t>c. To reflect EUW adjustment.</w:t>
            </w:r>
          </w:p>
        </w:tc>
        <w:tc>
          <w:tcPr>
            <w:tcW w:w="1499" w:type="dxa"/>
            <w:gridSpan w:val="2"/>
            <w:tcBorders>
              <w:top w:val="nil"/>
              <w:left w:val="nil"/>
              <w:bottom w:val="nil"/>
              <w:right w:val="nil"/>
            </w:tcBorders>
            <w:shd w:val="clear" w:color="000000" w:fill="FFFFFF"/>
            <w:noWrap/>
            <w:vAlign w:val="bottom"/>
            <w:hideMark/>
          </w:tcPr>
          <w:p w14:paraId="4274EE20" w14:textId="77777777" w:rsidR="00A9761A" w:rsidRPr="00902258" w:rsidRDefault="00A9761A" w:rsidP="00A9761A">
            <w:pPr>
              <w:jc w:val="right"/>
              <w:rPr>
                <w:sz w:val="22"/>
                <w:u w:val="single"/>
              </w:rPr>
            </w:pPr>
            <w:r w:rsidRPr="00902258">
              <w:rPr>
                <w:sz w:val="22"/>
                <w:u w:val="single"/>
              </w:rPr>
              <w:t>(11,322)</w:t>
            </w:r>
          </w:p>
        </w:tc>
        <w:tc>
          <w:tcPr>
            <w:tcW w:w="2025" w:type="dxa"/>
            <w:tcBorders>
              <w:top w:val="nil"/>
              <w:left w:val="nil"/>
              <w:bottom w:val="nil"/>
              <w:right w:val="nil"/>
            </w:tcBorders>
            <w:shd w:val="clear" w:color="000000" w:fill="FFFFFF"/>
            <w:noWrap/>
            <w:vAlign w:val="bottom"/>
            <w:hideMark/>
          </w:tcPr>
          <w:p w14:paraId="1AE011A7" w14:textId="77777777" w:rsidR="00A9761A" w:rsidRPr="00902258" w:rsidRDefault="00A9761A" w:rsidP="00A9761A">
            <w:pPr>
              <w:jc w:val="right"/>
              <w:rPr>
                <w:sz w:val="22"/>
                <w:u w:val="single"/>
              </w:rPr>
            </w:pPr>
            <w:r w:rsidRPr="00902258">
              <w:rPr>
                <w:sz w:val="22"/>
                <w:u w:val="single"/>
              </w:rPr>
              <w:t xml:space="preserve">0 </w:t>
            </w:r>
          </w:p>
        </w:tc>
        <w:tc>
          <w:tcPr>
            <w:tcW w:w="409" w:type="dxa"/>
            <w:tcBorders>
              <w:top w:val="nil"/>
              <w:left w:val="nil"/>
              <w:bottom w:val="nil"/>
              <w:right w:val="single" w:sz="8" w:space="0" w:color="auto"/>
            </w:tcBorders>
            <w:shd w:val="clear" w:color="000000" w:fill="FFFFFF"/>
            <w:noWrap/>
            <w:vAlign w:val="bottom"/>
            <w:hideMark/>
          </w:tcPr>
          <w:p w14:paraId="2111E6D9" w14:textId="77777777" w:rsidR="00A9761A" w:rsidRPr="006F4322" w:rsidRDefault="00A9761A" w:rsidP="00A9761A">
            <w:pPr>
              <w:rPr>
                <w:color w:val="000000"/>
                <w:sz w:val="22"/>
              </w:rPr>
            </w:pPr>
            <w:r w:rsidRPr="006F4322">
              <w:rPr>
                <w:color w:val="000000"/>
                <w:sz w:val="22"/>
              </w:rPr>
              <w:t> </w:t>
            </w:r>
          </w:p>
        </w:tc>
      </w:tr>
      <w:tr w:rsidR="00A9761A" w:rsidRPr="006F4322" w14:paraId="69FDDAD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90AB25C"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2A696683" w14:textId="77777777" w:rsidR="00A9761A" w:rsidRPr="006F4322" w:rsidRDefault="00A9761A" w:rsidP="00A9761A">
            <w:pPr>
              <w:rPr>
                <w:color w:val="000000"/>
                <w:sz w:val="22"/>
              </w:rPr>
            </w:pPr>
            <w:r w:rsidRPr="006F4322">
              <w:rPr>
                <w:color w:val="000000"/>
                <w:sz w:val="22"/>
              </w:rPr>
              <w:t xml:space="preserve">   Subtotal</w:t>
            </w:r>
          </w:p>
        </w:tc>
        <w:tc>
          <w:tcPr>
            <w:tcW w:w="1499" w:type="dxa"/>
            <w:gridSpan w:val="2"/>
            <w:tcBorders>
              <w:top w:val="nil"/>
              <w:left w:val="nil"/>
              <w:bottom w:val="nil"/>
              <w:right w:val="nil"/>
            </w:tcBorders>
            <w:shd w:val="clear" w:color="000000" w:fill="FFFFFF"/>
            <w:noWrap/>
            <w:vAlign w:val="bottom"/>
            <w:hideMark/>
          </w:tcPr>
          <w:p w14:paraId="288E896E" w14:textId="77777777" w:rsidR="00A9761A" w:rsidRPr="00902258" w:rsidRDefault="00A9761A" w:rsidP="00A9761A">
            <w:pPr>
              <w:jc w:val="right"/>
              <w:rPr>
                <w:sz w:val="22"/>
                <w:u w:val="double"/>
              </w:rPr>
            </w:pPr>
            <w:r w:rsidRPr="00902258">
              <w:rPr>
                <w:sz w:val="22"/>
                <w:u w:val="double"/>
              </w:rPr>
              <w:t>($36,168)</w:t>
            </w:r>
          </w:p>
        </w:tc>
        <w:tc>
          <w:tcPr>
            <w:tcW w:w="2025" w:type="dxa"/>
            <w:tcBorders>
              <w:top w:val="nil"/>
              <w:left w:val="nil"/>
              <w:bottom w:val="nil"/>
              <w:right w:val="nil"/>
            </w:tcBorders>
            <w:shd w:val="clear" w:color="000000" w:fill="FFFFFF"/>
            <w:noWrap/>
            <w:vAlign w:val="bottom"/>
            <w:hideMark/>
          </w:tcPr>
          <w:p w14:paraId="7F3B12A1" w14:textId="77777777" w:rsidR="00A9761A" w:rsidRPr="00902258" w:rsidRDefault="00A9761A" w:rsidP="00A9761A">
            <w:pPr>
              <w:jc w:val="right"/>
              <w:rPr>
                <w:sz w:val="22"/>
                <w:u w:val="double"/>
              </w:rPr>
            </w:pPr>
            <w:r w:rsidRPr="00902258">
              <w:rPr>
                <w:sz w:val="22"/>
                <w:u w:val="double"/>
              </w:rPr>
              <w:t xml:space="preserve">$19,885 </w:t>
            </w:r>
          </w:p>
        </w:tc>
        <w:tc>
          <w:tcPr>
            <w:tcW w:w="409" w:type="dxa"/>
            <w:tcBorders>
              <w:top w:val="nil"/>
              <w:left w:val="nil"/>
              <w:bottom w:val="nil"/>
              <w:right w:val="single" w:sz="8" w:space="0" w:color="auto"/>
            </w:tcBorders>
            <w:shd w:val="clear" w:color="000000" w:fill="FFFFFF"/>
            <w:noWrap/>
            <w:vAlign w:val="bottom"/>
            <w:hideMark/>
          </w:tcPr>
          <w:p w14:paraId="1846AA3E" w14:textId="77777777" w:rsidR="00A9761A" w:rsidRPr="006F4322" w:rsidRDefault="00A9761A" w:rsidP="00A9761A">
            <w:pPr>
              <w:rPr>
                <w:color w:val="000000"/>
                <w:sz w:val="22"/>
              </w:rPr>
            </w:pPr>
            <w:r w:rsidRPr="006F4322">
              <w:rPr>
                <w:color w:val="000000"/>
                <w:sz w:val="22"/>
              </w:rPr>
              <w:t> </w:t>
            </w:r>
          </w:p>
        </w:tc>
      </w:tr>
      <w:tr w:rsidR="00A9761A" w:rsidRPr="006F4322" w14:paraId="109F968A"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AC0A35F"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B4861BB"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02DA2432"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5AB3CCD"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15484584" w14:textId="77777777" w:rsidR="00A9761A" w:rsidRPr="006F4322" w:rsidRDefault="00A9761A" w:rsidP="00A9761A">
            <w:pPr>
              <w:rPr>
                <w:color w:val="000000"/>
                <w:sz w:val="22"/>
              </w:rPr>
            </w:pPr>
            <w:r w:rsidRPr="006F4322">
              <w:rPr>
                <w:color w:val="000000"/>
                <w:sz w:val="22"/>
              </w:rPr>
              <w:t> </w:t>
            </w:r>
          </w:p>
        </w:tc>
      </w:tr>
      <w:tr w:rsidR="00A9761A" w:rsidRPr="006F4322" w14:paraId="0DE8CC4A"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55EDC33" w14:textId="77777777" w:rsidR="00A9761A" w:rsidRPr="006F4322" w:rsidRDefault="00A9761A" w:rsidP="00A9761A">
            <w:pPr>
              <w:rPr>
                <w:color w:val="000000"/>
                <w:sz w:val="22"/>
              </w:rPr>
            </w:pPr>
            <w:r>
              <w:rPr>
                <w:color w:val="000000"/>
                <w:sz w:val="22"/>
              </w:rPr>
              <w:t>5</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33326B3B" w14:textId="77777777" w:rsidR="00A9761A" w:rsidRPr="006F4322" w:rsidRDefault="00A9761A" w:rsidP="00A9761A">
            <w:pPr>
              <w:rPr>
                <w:color w:val="000000"/>
                <w:sz w:val="22"/>
              </w:rPr>
            </w:pPr>
            <w:r w:rsidRPr="006F4322">
              <w:rPr>
                <w:color w:val="000000"/>
                <w:sz w:val="22"/>
              </w:rPr>
              <w:t>Chemicals Expense (618 / 718)</w:t>
            </w:r>
          </w:p>
        </w:tc>
        <w:tc>
          <w:tcPr>
            <w:tcW w:w="1499" w:type="dxa"/>
            <w:gridSpan w:val="2"/>
            <w:tcBorders>
              <w:top w:val="nil"/>
              <w:left w:val="nil"/>
              <w:bottom w:val="nil"/>
              <w:right w:val="nil"/>
            </w:tcBorders>
            <w:shd w:val="clear" w:color="000000" w:fill="FFFFFF"/>
            <w:noWrap/>
            <w:vAlign w:val="bottom"/>
            <w:hideMark/>
          </w:tcPr>
          <w:p w14:paraId="3048785F"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673EA85B"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69CD8EB6" w14:textId="77777777" w:rsidR="00A9761A" w:rsidRPr="006F4322" w:rsidRDefault="00A9761A" w:rsidP="00A9761A">
            <w:pPr>
              <w:rPr>
                <w:color w:val="000000"/>
                <w:sz w:val="22"/>
              </w:rPr>
            </w:pPr>
            <w:r w:rsidRPr="006F4322">
              <w:rPr>
                <w:color w:val="000000"/>
                <w:sz w:val="22"/>
              </w:rPr>
              <w:t> </w:t>
            </w:r>
          </w:p>
        </w:tc>
      </w:tr>
      <w:tr w:rsidR="00A9761A" w:rsidRPr="006F4322" w14:paraId="02615EFC"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6F1E323"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8A38EA7" w14:textId="77777777" w:rsidR="00A9761A" w:rsidRPr="006F4322" w:rsidRDefault="00A9761A" w:rsidP="00A9761A">
            <w:pPr>
              <w:rPr>
                <w:color w:val="000000"/>
                <w:sz w:val="22"/>
              </w:rPr>
            </w:pPr>
            <w:r w:rsidRPr="006F4322">
              <w:rPr>
                <w:color w:val="000000"/>
                <w:sz w:val="22"/>
              </w:rPr>
              <w:t>a. To reflect auditing adjustments.</w:t>
            </w:r>
          </w:p>
        </w:tc>
        <w:tc>
          <w:tcPr>
            <w:tcW w:w="1499" w:type="dxa"/>
            <w:gridSpan w:val="2"/>
            <w:tcBorders>
              <w:top w:val="nil"/>
              <w:left w:val="nil"/>
              <w:bottom w:val="nil"/>
              <w:right w:val="nil"/>
            </w:tcBorders>
            <w:shd w:val="clear" w:color="000000" w:fill="FFFFFF"/>
            <w:noWrap/>
            <w:vAlign w:val="bottom"/>
            <w:hideMark/>
          </w:tcPr>
          <w:p w14:paraId="35A48DD0" w14:textId="77777777" w:rsidR="00A9761A" w:rsidRPr="00902258" w:rsidRDefault="00A9761A" w:rsidP="00A9761A">
            <w:pPr>
              <w:jc w:val="right"/>
              <w:rPr>
                <w:sz w:val="22"/>
              </w:rPr>
            </w:pPr>
            <w:r w:rsidRPr="00902258">
              <w:rPr>
                <w:sz w:val="22"/>
              </w:rPr>
              <w:t>($2,134)</w:t>
            </w:r>
          </w:p>
        </w:tc>
        <w:tc>
          <w:tcPr>
            <w:tcW w:w="2025" w:type="dxa"/>
            <w:tcBorders>
              <w:top w:val="nil"/>
              <w:left w:val="nil"/>
              <w:bottom w:val="nil"/>
              <w:right w:val="nil"/>
            </w:tcBorders>
            <w:shd w:val="clear" w:color="000000" w:fill="FFFFFF"/>
            <w:noWrap/>
            <w:vAlign w:val="bottom"/>
            <w:hideMark/>
          </w:tcPr>
          <w:p w14:paraId="04E122D5" w14:textId="77777777" w:rsidR="00A9761A" w:rsidRPr="00902258" w:rsidRDefault="00A9761A" w:rsidP="00A9761A">
            <w:pPr>
              <w:jc w:val="right"/>
              <w:rPr>
                <w:sz w:val="22"/>
              </w:rPr>
            </w:pPr>
            <w:r w:rsidRPr="00902258">
              <w:rPr>
                <w:sz w:val="22"/>
              </w:rPr>
              <w:t>($677)</w:t>
            </w:r>
          </w:p>
        </w:tc>
        <w:tc>
          <w:tcPr>
            <w:tcW w:w="409" w:type="dxa"/>
            <w:tcBorders>
              <w:top w:val="nil"/>
              <w:left w:val="nil"/>
              <w:bottom w:val="nil"/>
              <w:right w:val="single" w:sz="8" w:space="0" w:color="auto"/>
            </w:tcBorders>
            <w:shd w:val="clear" w:color="000000" w:fill="FFFFFF"/>
            <w:noWrap/>
            <w:vAlign w:val="bottom"/>
            <w:hideMark/>
          </w:tcPr>
          <w:p w14:paraId="4C01F6AE" w14:textId="77777777" w:rsidR="00A9761A" w:rsidRPr="006F4322" w:rsidRDefault="00A9761A" w:rsidP="00A9761A">
            <w:pPr>
              <w:rPr>
                <w:color w:val="000000"/>
                <w:sz w:val="22"/>
              </w:rPr>
            </w:pPr>
            <w:r w:rsidRPr="006F4322">
              <w:rPr>
                <w:color w:val="000000"/>
                <w:sz w:val="22"/>
              </w:rPr>
              <w:t> </w:t>
            </w:r>
          </w:p>
        </w:tc>
      </w:tr>
      <w:tr w:rsidR="00A9761A" w:rsidRPr="006F4322" w14:paraId="2622C3DA"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C85A0FE"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D7E1A00" w14:textId="77777777" w:rsidR="00A9761A" w:rsidRPr="006F4322" w:rsidRDefault="00A9761A" w:rsidP="00A9761A">
            <w:pPr>
              <w:rPr>
                <w:color w:val="000000"/>
                <w:sz w:val="22"/>
              </w:rPr>
            </w:pPr>
            <w:r w:rsidRPr="006F4322">
              <w:rPr>
                <w:color w:val="000000"/>
                <w:sz w:val="22"/>
              </w:rPr>
              <w:t>b. To reflect EUW and I&amp;I adjustment.</w:t>
            </w:r>
          </w:p>
        </w:tc>
        <w:tc>
          <w:tcPr>
            <w:tcW w:w="1499" w:type="dxa"/>
            <w:gridSpan w:val="2"/>
            <w:tcBorders>
              <w:top w:val="nil"/>
              <w:left w:val="nil"/>
              <w:bottom w:val="nil"/>
              <w:right w:val="nil"/>
            </w:tcBorders>
            <w:shd w:val="clear" w:color="000000" w:fill="FFFFFF"/>
            <w:noWrap/>
            <w:vAlign w:val="bottom"/>
            <w:hideMark/>
          </w:tcPr>
          <w:p w14:paraId="49B847CB" w14:textId="77777777" w:rsidR="00A9761A" w:rsidRPr="00902258" w:rsidRDefault="00A9761A" w:rsidP="00A9761A">
            <w:pPr>
              <w:jc w:val="right"/>
              <w:rPr>
                <w:sz w:val="22"/>
                <w:u w:val="single"/>
              </w:rPr>
            </w:pPr>
            <w:r w:rsidRPr="00902258">
              <w:rPr>
                <w:sz w:val="22"/>
                <w:u w:val="single"/>
              </w:rPr>
              <w:t>(10,205)</w:t>
            </w:r>
          </w:p>
        </w:tc>
        <w:tc>
          <w:tcPr>
            <w:tcW w:w="2025" w:type="dxa"/>
            <w:tcBorders>
              <w:top w:val="nil"/>
              <w:left w:val="nil"/>
              <w:bottom w:val="nil"/>
              <w:right w:val="nil"/>
            </w:tcBorders>
            <w:shd w:val="clear" w:color="000000" w:fill="FFFFFF"/>
            <w:noWrap/>
            <w:vAlign w:val="bottom"/>
            <w:hideMark/>
          </w:tcPr>
          <w:p w14:paraId="3DA70FC3" w14:textId="77777777" w:rsidR="00A9761A" w:rsidRPr="00902258" w:rsidRDefault="00A9761A" w:rsidP="00A9761A">
            <w:pPr>
              <w:jc w:val="right"/>
              <w:rPr>
                <w:sz w:val="22"/>
                <w:u w:val="single"/>
              </w:rPr>
            </w:pPr>
            <w:r w:rsidRPr="00902258">
              <w:rPr>
                <w:sz w:val="22"/>
                <w:u w:val="single"/>
              </w:rPr>
              <w:t xml:space="preserve">0 </w:t>
            </w:r>
          </w:p>
        </w:tc>
        <w:tc>
          <w:tcPr>
            <w:tcW w:w="409" w:type="dxa"/>
            <w:tcBorders>
              <w:top w:val="nil"/>
              <w:left w:val="nil"/>
              <w:bottom w:val="nil"/>
              <w:right w:val="single" w:sz="8" w:space="0" w:color="auto"/>
            </w:tcBorders>
            <w:shd w:val="clear" w:color="000000" w:fill="FFFFFF"/>
            <w:noWrap/>
            <w:vAlign w:val="bottom"/>
            <w:hideMark/>
          </w:tcPr>
          <w:p w14:paraId="4D147D96" w14:textId="77777777" w:rsidR="00A9761A" w:rsidRPr="006F4322" w:rsidRDefault="00A9761A" w:rsidP="00A9761A">
            <w:pPr>
              <w:rPr>
                <w:color w:val="000000"/>
                <w:sz w:val="22"/>
              </w:rPr>
            </w:pPr>
            <w:r w:rsidRPr="006F4322">
              <w:rPr>
                <w:color w:val="000000"/>
                <w:sz w:val="22"/>
              </w:rPr>
              <w:t> </w:t>
            </w:r>
          </w:p>
        </w:tc>
      </w:tr>
      <w:tr w:rsidR="00A9761A" w:rsidRPr="006F4322" w14:paraId="0C42E2F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EC04C4D"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23BF219" w14:textId="77777777" w:rsidR="00A9761A" w:rsidRPr="006F4322" w:rsidRDefault="00A9761A" w:rsidP="00A9761A">
            <w:pPr>
              <w:rPr>
                <w:color w:val="000000"/>
                <w:sz w:val="22"/>
              </w:rPr>
            </w:pPr>
            <w:r w:rsidRPr="006F4322">
              <w:rPr>
                <w:color w:val="000000"/>
                <w:sz w:val="22"/>
              </w:rPr>
              <w:t xml:space="preserve">   Subtotal</w:t>
            </w:r>
          </w:p>
        </w:tc>
        <w:tc>
          <w:tcPr>
            <w:tcW w:w="1499" w:type="dxa"/>
            <w:gridSpan w:val="2"/>
            <w:tcBorders>
              <w:top w:val="nil"/>
              <w:left w:val="nil"/>
              <w:bottom w:val="nil"/>
              <w:right w:val="nil"/>
            </w:tcBorders>
            <w:shd w:val="clear" w:color="000000" w:fill="FFFFFF"/>
            <w:noWrap/>
            <w:vAlign w:val="bottom"/>
            <w:hideMark/>
          </w:tcPr>
          <w:p w14:paraId="60C397E6" w14:textId="77777777" w:rsidR="00A9761A" w:rsidRPr="00902258" w:rsidRDefault="00A9761A" w:rsidP="00A9761A">
            <w:pPr>
              <w:jc w:val="right"/>
              <w:rPr>
                <w:sz w:val="22"/>
                <w:u w:val="double"/>
              </w:rPr>
            </w:pPr>
            <w:r w:rsidRPr="00902258">
              <w:rPr>
                <w:sz w:val="22"/>
                <w:u w:val="double"/>
              </w:rPr>
              <w:t>($12,339)</w:t>
            </w:r>
          </w:p>
        </w:tc>
        <w:tc>
          <w:tcPr>
            <w:tcW w:w="2025" w:type="dxa"/>
            <w:tcBorders>
              <w:top w:val="nil"/>
              <w:left w:val="nil"/>
              <w:bottom w:val="nil"/>
              <w:right w:val="nil"/>
            </w:tcBorders>
            <w:shd w:val="clear" w:color="000000" w:fill="FFFFFF"/>
            <w:noWrap/>
            <w:vAlign w:val="bottom"/>
            <w:hideMark/>
          </w:tcPr>
          <w:p w14:paraId="4AA74532" w14:textId="77777777" w:rsidR="00A9761A" w:rsidRPr="00902258" w:rsidRDefault="00A9761A" w:rsidP="00A9761A">
            <w:pPr>
              <w:jc w:val="right"/>
              <w:rPr>
                <w:sz w:val="22"/>
                <w:u w:val="double"/>
              </w:rPr>
            </w:pPr>
            <w:r w:rsidRPr="00902258">
              <w:rPr>
                <w:sz w:val="22"/>
                <w:u w:val="double"/>
              </w:rPr>
              <w:t>($677)</w:t>
            </w:r>
          </w:p>
        </w:tc>
        <w:tc>
          <w:tcPr>
            <w:tcW w:w="409" w:type="dxa"/>
            <w:tcBorders>
              <w:top w:val="nil"/>
              <w:left w:val="nil"/>
              <w:bottom w:val="nil"/>
              <w:right w:val="single" w:sz="8" w:space="0" w:color="auto"/>
            </w:tcBorders>
            <w:shd w:val="clear" w:color="000000" w:fill="FFFFFF"/>
            <w:noWrap/>
            <w:vAlign w:val="bottom"/>
            <w:hideMark/>
          </w:tcPr>
          <w:p w14:paraId="0E16658F" w14:textId="77777777" w:rsidR="00A9761A" w:rsidRPr="006F4322" w:rsidRDefault="00A9761A" w:rsidP="00A9761A">
            <w:pPr>
              <w:rPr>
                <w:color w:val="000000"/>
                <w:sz w:val="22"/>
              </w:rPr>
            </w:pPr>
            <w:r w:rsidRPr="006F4322">
              <w:rPr>
                <w:color w:val="000000"/>
                <w:sz w:val="22"/>
              </w:rPr>
              <w:t> </w:t>
            </w:r>
          </w:p>
        </w:tc>
      </w:tr>
      <w:tr w:rsidR="00A9761A" w:rsidRPr="006F4322" w14:paraId="1F75A78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D0AB4AF"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1EC2A74B"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2C98BCB1"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7A8BA0F9"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9AB6605" w14:textId="77777777" w:rsidR="00A9761A" w:rsidRPr="006F4322" w:rsidRDefault="00A9761A" w:rsidP="00A9761A">
            <w:pPr>
              <w:rPr>
                <w:color w:val="000000"/>
                <w:sz w:val="22"/>
              </w:rPr>
            </w:pPr>
            <w:r w:rsidRPr="006F4322">
              <w:rPr>
                <w:color w:val="000000"/>
                <w:sz w:val="22"/>
              </w:rPr>
              <w:t> </w:t>
            </w:r>
          </w:p>
        </w:tc>
      </w:tr>
      <w:tr w:rsidR="00A9761A" w:rsidRPr="006F4322" w14:paraId="5DF3B78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FA7E9F5" w14:textId="77777777" w:rsidR="00A9761A" w:rsidRPr="006F4322" w:rsidRDefault="00A9761A" w:rsidP="00A9761A">
            <w:pPr>
              <w:rPr>
                <w:color w:val="000000"/>
                <w:sz w:val="22"/>
              </w:rPr>
            </w:pPr>
            <w:r>
              <w:rPr>
                <w:color w:val="000000"/>
                <w:sz w:val="22"/>
              </w:rPr>
              <w:t>6</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67C763FF" w14:textId="77777777" w:rsidR="00A9761A" w:rsidRPr="006F4322" w:rsidRDefault="00A9761A" w:rsidP="00A9761A">
            <w:pPr>
              <w:rPr>
                <w:color w:val="000000"/>
                <w:sz w:val="22"/>
              </w:rPr>
            </w:pPr>
            <w:r w:rsidRPr="006F4322">
              <w:rPr>
                <w:color w:val="000000"/>
                <w:sz w:val="22"/>
              </w:rPr>
              <w:t>Contractual Services - Professional (731)</w:t>
            </w:r>
          </w:p>
        </w:tc>
        <w:tc>
          <w:tcPr>
            <w:tcW w:w="1499" w:type="dxa"/>
            <w:gridSpan w:val="2"/>
            <w:tcBorders>
              <w:top w:val="nil"/>
              <w:left w:val="nil"/>
              <w:bottom w:val="nil"/>
              <w:right w:val="nil"/>
            </w:tcBorders>
            <w:shd w:val="clear" w:color="000000" w:fill="FFFFFF"/>
            <w:noWrap/>
            <w:vAlign w:val="bottom"/>
            <w:hideMark/>
          </w:tcPr>
          <w:p w14:paraId="6754218C"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2197F7FD"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E116F9D" w14:textId="77777777" w:rsidR="00A9761A" w:rsidRPr="006F4322" w:rsidRDefault="00A9761A" w:rsidP="00A9761A">
            <w:pPr>
              <w:rPr>
                <w:color w:val="000000"/>
                <w:sz w:val="22"/>
              </w:rPr>
            </w:pPr>
            <w:r w:rsidRPr="006F4322">
              <w:rPr>
                <w:color w:val="000000"/>
                <w:sz w:val="22"/>
              </w:rPr>
              <w:t> </w:t>
            </w:r>
          </w:p>
        </w:tc>
      </w:tr>
      <w:tr w:rsidR="00A9761A" w:rsidRPr="006F4322" w14:paraId="5D1E60B0"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9D543B5"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5936C64" w14:textId="77777777" w:rsidR="00A9761A" w:rsidRPr="006F4322" w:rsidRDefault="00A9761A" w:rsidP="00A9761A">
            <w:pPr>
              <w:rPr>
                <w:color w:val="000000"/>
                <w:sz w:val="22"/>
              </w:rPr>
            </w:pPr>
            <w:r w:rsidRPr="006F4322">
              <w:rPr>
                <w:color w:val="000000"/>
                <w:sz w:val="22"/>
              </w:rPr>
              <w:t xml:space="preserve"> To reflect an auditing adjustment.</w:t>
            </w:r>
          </w:p>
        </w:tc>
        <w:tc>
          <w:tcPr>
            <w:tcW w:w="1499" w:type="dxa"/>
            <w:gridSpan w:val="2"/>
            <w:tcBorders>
              <w:top w:val="nil"/>
              <w:left w:val="nil"/>
              <w:bottom w:val="nil"/>
              <w:right w:val="nil"/>
            </w:tcBorders>
            <w:shd w:val="clear" w:color="000000" w:fill="FFFFFF"/>
            <w:noWrap/>
            <w:vAlign w:val="bottom"/>
            <w:hideMark/>
          </w:tcPr>
          <w:p w14:paraId="73B218E8" w14:textId="77777777" w:rsidR="00A9761A" w:rsidRPr="00902258" w:rsidRDefault="00A9761A" w:rsidP="00A9761A">
            <w:pPr>
              <w:rPr>
                <w:sz w:val="22"/>
                <w:u w:val="double"/>
              </w:rPr>
            </w:pPr>
            <w:r w:rsidRPr="00902258">
              <w:rPr>
                <w:sz w:val="22"/>
                <w:u w:val="single"/>
              </w:rPr>
              <w:t> </w:t>
            </w:r>
          </w:p>
        </w:tc>
        <w:tc>
          <w:tcPr>
            <w:tcW w:w="2025" w:type="dxa"/>
            <w:tcBorders>
              <w:top w:val="nil"/>
              <w:left w:val="nil"/>
              <w:bottom w:val="nil"/>
              <w:right w:val="nil"/>
            </w:tcBorders>
            <w:shd w:val="clear" w:color="000000" w:fill="FFFFFF"/>
            <w:noWrap/>
            <w:vAlign w:val="bottom"/>
            <w:hideMark/>
          </w:tcPr>
          <w:p w14:paraId="127281A8" w14:textId="77777777" w:rsidR="00A9761A" w:rsidRPr="00902258" w:rsidRDefault="00A9761A" w:rsidP="00A9761A">
            <w:pPr>
              <w:jc w:val="right"/>
              <w:rPr>
                <w:sz w:val="22"/>
                <w:u w:val="double"/>
              </w:rPr>
            </w:pPr>
            <w:r w:rsidRPr="00902258">
              <w:rPr>
                <w:sz w:val="22"/>
                <w:u w:val="double"/>
              </w:rPr>
              <w:t>($675)</w:t>
            </w:r>
          </w:p>
        </w:tc>
        <w:tc>
          <w:tcPr>
            <w:tcW w:w="409" w:type="dxa"/>
            <w:tcBorders>
              <w:top w:val="nil"/>
              <w:left w:val="nil"/>
              <w:bottom w:val="nil"/>
              <w:right w:val="single" w:sz="8" w:space="0" w:color="auto"/>
            </w:tcBorders>
            <w:shd w:val="clear" w:color="000000" w:fill="FFFFFF"/>
            <w:noWrap/>
            <w:vAlign w:val="bottom"/>
            <w:hideMark/>
          </w:tcPr>
          <w:p w14:paraId="4DE4C9CB" w14:textId="77777777" w:rsidR="00A9761A" w:rsidRPr="006F4322" w:rsidRDefault="00A9761A" w:rsidP="00A9761A">
            <w:pPr>
              <w:rPr>
                <w:color w:val="000000"/>
                <w:sz w:val="22"/>
              </w:rPr>
            </w:pPr>
            <w:r w:rsidRPr="006F4322">
              <w:rPr>
                <w:color w:val="000000"/>
                <w:sz w:val="22"/>
              </w:rPr>
              <w:t> </w:t>
            </w:r>
          </w:p>
        </w:tc>
      </w:tr>
      <w:tr w:rsidR="00A9761A" w:rsidRPr="006F4322" w14:paraId="6B800859"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1702803"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6BBE064"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209C4C59"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2729BB17"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06FB2325" w14:textId="77777777" w:rsidR="00A9761A" w:rsidRPr="006F4322" w:rsidRDefault="00A9761A" w:rsidP="00A9761A">
            <w:pPr>
              <w:rPr>
                <w:color w:val="000000"/>
                <w:sz w:val="22"/>
              </w:rPr>
            </w:pPr>
            <w:r w:rsidRPr="006F4322">
              <w:rPr>
                <w:color w:val="000000"/>
                <w:sz w:val="22"/>
              </w:rPr>
              <w:t> </w:t>
            </w:r>
          </w:p>
        </w:tc>
      </w:tr>
      <w:tr w:rsidR="00A9761A" w:rsidRPr="006F4322" w14:paraId="7028A230"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29CD2A3B" w14:textId="77777777" w:rsidR="00A9761A" w:rsidRPr="006F4322" w:rsidRDefault="00A9761A" w:rsidP="00A9761A">
            <w:pPr>
              <w:rPr>
                <w:color w:val="000000"/>
                <w:sz w:val="22"/>
              </w:rPr>
            </w:pPr>
            <w:r>
              <w:rPr>
                <w:color w:val="000000"/>
                <w:sz w:val="22"/>
              </w:rPr>
              <w:t>7</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3ED9E27D" w14:textId="77777777" w:rsidR="00A9761A" w:rsidRPr="006F4322" w:rsidRDefault="00A9761A" w:rsidP="00A9761A">
            <w:pPr>
              <w:rPr>
                <w:color w:val="000000"/>
                <w:sz w:val="22"/>
              </w:rPr>
            </w:pPr>
            <w:r w:rsidRPr="006F4322">
              <w:rPr>
                <w:color w:val="000000"/>
                <w:sz w:val="22"/>
              </w:rPr>
              <w:t>Contractual Services - Accounting (632 / 732)</w:t>
            </w:r>
          </w:p>
        </w:tc>
        <w:tc>
          <w:tcPr>
            <w:tcW w:w="1499" w:type="dxa"/>
            <w:gridSpan w:val="2"/>
            <w:tcBorders>
              <w:top w:val="nil"/>
              <w:left w:val="nil"/>
              <w:bottom w:val="nil"/>
              <w:right w:val="nil"/>
            </w:tcBorders>
            <w:shd w:val="clear" w:color="000000" w:fill="FFFFFF"/>
            <w:noWrap/>
            <w:vAlign w:val="bottom"/>
            <w:hideMark/>
          </w:tcPr>
          <w:p w14:paraId="47D2B312"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792C9553"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3E697E8C" w14:textId="77777777" w:rsidR="00A9761A" w:rsidRPr="006F4322" w:rsidRDefault="00A9761A" w:rsidP="00A9761A">
            <w:pPr>
              <w:rPr>
                <w:color w:val="000000"/>
                <w:sz w:val="22"/>
              </w:rPr>
            </w:pPr>
            <w:r w:rsidRPr="006F4322">
              <w:rPr>
                <w:color w:val="000000"/>
                <w:sz w:val="22"/>
              </w:rPr>
              <w:t> </w:t>
            </w:r>
          </w:p>
        </w:tc>
      </w:tr>
      <w:tr w:rsidR="00A9761A" w:rsidRPr="006F4322" w14:paraId="41DA31D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1E309C4"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DFA87A2" w14:textId="77777777" w:rsidR="00A9761A" w:rsidRPr="006F4322" w:rsidRDefault="00A9761A" w:rsidP="00A9761A">
            <w:pPr>
              <w:rPr>
                <w:color w:val="000000"/>
                <w:sz w:val="22"/>
              </w:rPr>
            </w:pPr>
            <w:r w:rsidRPr="006F4322">
              <w:rPr>
                <w:color w:val="000000"/>
                <w:sz w:val="22"/>
              </w:rPr>
              <w:t>a. To reflect</w:t>
            </w:r>
            <w:r>
              <w:rPr>
                <w:color w:val="000000"/>
                <w:sz w:val="22"/>
              </w:rPr>
              <w:t xml:space="preserve"> </w:t>
            </w:r>
            <w:r w:rsidRPr="006F4322">
              <w:rPr>
                <w:color w:val="000000"/>
                <w:sz w:val="22"/>
              </w:rPr>
              <w:t>auditing adjustments.</w:t>
            </w:r>
          </w:p>
        </w:tc>
        <w:tc>
          <w:tcPr>
            <w:tcW w:w="1499" w:type="dxa"/>
            <w:gridSpan w:val="2"/>
            <w:tcBorders>
              <w:top w:val="nil"/>
              <w:left w:val="nil"/>
              <w:bottom w:val="nil"/>
              <w:right w:val="nil"/>
            </w:tcBorders>
            <w:shd w:val="clear" w:color="000000" w:fill="FFFFFF"/>
            <w:noWrap/>
            <w:vAlign w:val="bottom"/>
            <w:hideMark/>
          </w:tcPr>
          <w:p w14:paraId="6F322D1D" w14:textId="77777777" w:rsidR="00A9761A" w:rsidRPr="00902258" w:rsidRDefault="00A9761A" w:rsidP="00A9761A">
            <w:pPr>
              <w:jc w:val="right"/>
              <w:rPr>
                <w:sz w:val="22"/>
              </w:rPr>
            </w:pPr>
            <w:r w:rsidRPr="00902258">
              <w:rPr>
                <w:sz w:val="22"/>
              </w:rPr>
              <w:t xml:space="preserve">$6,250 </w:t>
            </w:r>
          </w:p>
        </w:tc>
        <w:tc>
          <w:tcPr>
            <w:tcW w:w="2025" w:type="dxa"/>
            <w:tcBorders>
              <w:top w:val="nil"/>
              <w:left w:val="nil"/>
              <w:bottom w:val="nil"/>
              <w:right w:val="nil"/>
            </w:tcBorders>
            <w:shd w:val="clear" w:color="000000" w:fill="FFFFFF"/>
            <w:noWrap/>
            <w:vAlign w:val="bottom"/>
            <w:hideMark/>
          </w:tcPr>
          <w:p w14:paraId="72F99483" w14:textId="77777777" w:rsidR="00A9761A" w:rsidRPr="00902258" w:rsidRDefault="00A9761A" w:rsidP="00A9761A">
            <w:pPr>
              <w:jc w:val="right"/>
              <w:rPr>
                <w:sz w:val="22"/>
              </w:rPr>
            </w:pPr>
            <w:r w:rsidRPr="00902258">
              <w:rPr>
                <w:sz w:val="22"/>
              </w:rPr>
              <w:t xml:space="preserve">$6,250 </w:t>
            </w:r>
          </w:p>
        </w:tc>
        <w:tc>
          <w:tcPr>
            <w:tcW w:w="409" w:type="dxa"/>
            <w:tcBorders>
              <w:top w:val="nil"/>
              <w:left w:val="nil"/>
              <w:bottom w:val="nil"/>
              <w:right w:val="single" w:sz="8" w:space="0" w:color="auto"/>
            </w:tcBorders>
            <w:shd w:val="clear" w:color="000000" w:fill="FFFFFF"/>
            <w:noWrap/>
            <w:vAlign w:val="bottom"/>
            <w:hideMark/>
          </w:tcPr>
          <w:p w14:paraId="6BC363D7" w14:textId="77777777" w:rsidR="00A9761A" w:rsidRPr="006F4322" w:rsidRDefault="00A9761A" w:rsidP="00A9761A">
            <w:pPr>
              <w:rPr>
                <w:color w:val="000000"/>
                <w:sz w:val="22"/>
              </w:rPr>
            </w:pPr>
            <w:r w:rsidRPr="006F4322">
              <w:rPr>
                <w:color w:val="000000"/>
                <w:sz w:val="22"/>
              </w:rPr>
              <w:t> </w:t>
            </w:r>
          </w:p>
        </w:tc>
      </w:tr>
      <w:tr w:rsidR="00A9761A" w:rsidRPr="006F4322" w14:paraId="09C49F1F"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AB7770C"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1B5EF50F" w14:textId="77777777" w:rsidR="00A9761A" w:rsidRPr="006F4322" w:rsidRDefault="00A9761A" w:rsidP="00A9761A">
            <w:pPr>
              <w:rPr>
                <w:color w:val="000000"/>
                <w:sz w:val="22"/>
              </w:rPr>
            </w:pPr>
            <w:r w:rsidRPr="006F4322">
              <w:rPr>
                <w:color w:val="000000"/>
                <w:sz w:val="22"/>
              </w:rPr>
              <w:t>b. To reflect salary transfers.</w:t>
            </w:r>
          </w:p>
        </w:tc>
        <w:tc>
          <w:tcPr>
            <w:tcW w:w="1499" w:type="dxa"/>
            <w:gridSpan w:val="2"/>
            <w:tcBorders>
              <w:top w:val="nil"/>
              <w:left w:val="nil"/>
              <w:bottom w:val="nil"/>
              <w:right w:val="nil"/>
            </w:tcBorders>
            <w:shd w:val="clear" w:color="000000" w:fill="FFFFFF"/>
            <w:noWrap/>
            <w:vAlign w:val="bottom"/>
            <w:hideMark/>
          </w:tcPr>
          <w:p w14:paraId="24EBF0EE" w14:textId="77777777" w:rsidR="00A9761A" w:rsidRPr="00902258" w:rsidRDefault="00A9761A" w:rsidP="00A9761A">
            <w:pPr>
              <w:jc w:val="right"/>
              <w:rPr>
                <w:sz w:val="22"/>
                <w:u w:val="single"/>
              </w:rPr>
            </w:pPr>
            <w:r w:rsidRPr="00902258">
              <w:rPr>
                <w:sz w:val="22"/>
                <w:u w:val="single"/>
              </w:rPr>
              <w:t>(48,000)</w:t>
            </w:r>
          </w:p>
        </w:tc>
        <w:tc>
          <w:tcPr>
            <w:tcW w:w="2025" w:type="dxa"/>
            <w:tcBorders>
              <w:top w:val="nil"/>
              <w:left w:val="nil"/>
              <w:bottom w:val="nil"/>
              <w:right w:val="nil"/>
            </w:tcBorders>
            <w:shd w:val="clear" w:color="000000" w:fill="FFFFFF"/>
            <w:noWrap/>
            <w:vAlign w:val="bottom"/>
            <w:hideMark/>
          </w:tcPr>
          <w:p w14:paraId="0A86A1F2" w14:textId="77777777" w:rsidR="00A9761A" w:rsidRPr="00902258" w:rsidRDefault="00A9761A" w:rsidP="00A9761A">
            <w:pPr>
              <w:jc w:val="right"/>
              <w:rPr>
                <w:sz w:val="22"/>
                <w:u w:val="single"/>
              </w:rPr>
            </w:pPr>
            <w:r w:rsidRPr="00902258">
              <w:rPr>
                <w:sz w:val="22"/>
                <w:u w:val="single"/>
              </w:rPr>
              <w:t>(48,000)</w:t>
            </w:r>
          </w:p>
        </w:tc>
        <w:tc>
          <w:tcPr>
            <w:tcW w:w="409" w:type="dxa"/>
            <w:tcBorders>
              <w:top w:val="nil"/>
              <w:left w:val="nil"/>
              <w:bottom w:val="nil"/>
              <w:right w:val="single" w:sz="8" w:space="0" w:color="auto"/>
            </w:tcBorders>
            <w:shd w:val="clear" w:color="000000" w:fill="FFFFFF"/>
            <w:noWrap/>
            <w:vAlign w:val="bottom"/>
            <w:hideMark/>
          </w:tcPr>
          <w:p w14:paraId="69FF7F54" w14:textId="77777777" w:rsidR="00A9761A" w:rsidRPr="006F4322" w:rsidRDefault="00A9761A" w:rsidP="00A9761A">
            <w:pPr>
              <w:rPr>
                <w:color w:val="000000"/>
                <w:sz w:val="22"/>
              </w:rPr>
            </w:pPr>
            <w:r w:rsidRPr="006F4322">
              <w:rPr>
                <w:color w:val="000000"/>
                <w:sz w:val="22"/>
              </w:rPr>
              <w:t> </w:t>
            </w:r>
          </w:p>
        </w:tc>
      </w:tr>
      <w:tr w:rsidR="00A9761A" w:rsidRPr="006F4322" w14:paraId="54069E46"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719276D"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B0A5F27" w14:textId="77777777" w:rsidR="00A9761A" w:rsidRPr="006F4322" w:rsidRDefault="00A9761A" w:rsidP="00A9761A">
            <w:pPr>
              <w:rPr>
                <w:color w:val="000000"/>
                <w:sz w:val="22"/>
              </w:rPr>
            </w:pPr>
            <w:r w:rsidRPr="006F4322">
              <w:rPr>
                <w:color w:val="000000"/>
                <w:sz w:val="22"/>
              </w:rPr>
              <w:t xml:space="preserve">   Subtotal</w:t>
            </w:r>
          </w:p>
        </w:tc>
        <w:tc>
          <w:tcPr>
            <w:tcW w:w="1499" w:type="dxa"/>
            <w:gridSpan w:val="2"/>
            <w:tcBorders>
              <w:top w:val="nil"/>
              <w:left w:val="nil"/>
              <w:bottom w:val="nil"/>
              <w:right w:val="nil"/>
            </w:tcBorders>
            <w:shd w:val="clear" w:color="000000" w:fill="FFFFFF"/>
            <w:noWrap/>
            <w:vAlign w:val="bottom"/>
            <w:hideMark/>
          </w:tcPr>
          <w:p w14:paraId="57F16436" w14:textId="77777777" w:rsidR="00A9761A" w:rsidRPr="00902258" w:rsidRDefault="00A9761A" w:rsidP="00A9761A">
            <w:pPr>
              <w:jc w:val="right"/>
              <w:rPr>
                <w:sz w:val="22"/>
                <w:u w:val="double"/>
              </w:rPr>
            </w:pPr>
            <w:r w:rsidRPr="00902258">
              <w:rPr>
                <w:sz w:val="22"/>
                <w:u w:val="double"/>
              </w:rPr>
              <w:t>($41,750)</w:t>
            </w:r>
          </w:p>
        </w:tc>
        <w:tc>
          <w:tcPr>
            <w:tcW w:w="2025" w:type="dxa"/>
            <w:tcBorders>
              <w:top w:val="nil"/>
              <w:left w:val="nil"/>
              <w:bottom w:val="nil"/>
              <w:right w:val="nil"/>
            </w:tcBorders>
            <w:shd w:val="clear" w:color="000000" w:fill="FFFFFF"/>
            <w:noWrap/>
            <w:vAlign w:val="bottom"/>
            <w:hideMark/>
          </w:tcPr>
          <w:p w14:paraId="629E4DFF" w14:textId="77777777" w:rsidR="00A9761A" w:rsidRPr="00902258" w:rsidRDefault="00A9761A" w:rsidP="00A9761A">
            <w:pPr>
              <w:jc w:val="right"/>
              <w:rPr>
                <w:sz w:val="22"/>
                <w:u w:val="double"/>
              </w:rPr>
            </w:pPr>
            <w:r w:rsidRPr="00902258">
              <w:rPr>
                <w:sz w:val="22"/>
                <w:u w:val="double"/>
              </w:rPr>
              <w:t>($41,750)</w:t>
            </w:r>
          </w:p>
        </w:tc>
        <w:tc>
          <w:tcPr>
            <w:tcW w:w="409" w:type="dxa"/>
            <w:tcBorders>
              <w:top w:val="nil"/>
              <w:left w:val="nil"/>
              <w:bottom w:val="nil"/>
              <w:right w:val="single" w:sz="8" w:space="0" w:color="auto"/>
            </w:tcBorders>
            <w:shd w:val="clear" w:color="000000" w:fill="FFFFFF"/>
            <w:noWrap/>
            <w:vAlign w:val="bottom"/>
            <w:hideMark/>
          </w:tcPr>
          <w:p w14:paraId="6E231C6E" w14:textId="77777777" w:rsidR="00A9761A" w:rsidRPr="006F4322" w:rsidRDefault="00A9761A" w:rsidP="00A9761A">
            <w:pPr>
              <w:rPr>
                <w:color w:val="000000"/>
                <w:sz w:val="22"/>
              </w:rPr>
            </w:pPr>
            <w:r w:rsidRPr="006F4322">
              <w:rPr>
                <w:color w:val="000000"/>
                <w:sz w:val="22"/>
              </w:rPr>
              <w:t> </w:t>
            </w:r>
          </w:p>
        </w:tc>
      </w:tr>
      <w:tr w:rsidR="00A9761A" w:rsidRPr="006F4322" w14:paraId="70A0C2D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CF2B614"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263FDE28"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7B3A638B"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A09C27C"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3376D39B" w14:textId="77777777" w:rsidR="00A9761A" w:rsidRPr="006F4322" w:rsidRDefault="00A9761A" w:rsidP="00A9761A">
            <w:pPr>
              <w:rPr>
                <w:color w:val="000000"/>
                <w:sz w:val="22"/>
              </w:rPr>
            </w:pPr>
            <w:r w:rsidRPr="006F4322">
              <w:rPr>
                <w:color w:val="000000"/>
                <w:sz w:val="22"/>
              </w:rPr>
              <w:t> </w:t>
            </w:r>
          </w:p>
        </w:tc>
      </w:tr>
      <w:tr w:rsidR="00A9761A" w:rsidRPr="006F4322" w14:paraId="524F361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2608527" w14:textId="77777777" w:rsidR="00A9761A" w:rsidRPr="006F4322" w:rsidRDefault="00A9761A" w:rsidP="00A9761A">
            <w:pPr>
              <w:rPr>
                <w:color w:val="000000"/>
                <w:sz w:val="22"/>
              </w:rPr>
            </w:pPr>
            <w:r>
              <w:rPr>
                <w:color w:val="000000"/>
                <w:sz w:val="22"/>
              </w:rPr>
              <w:t>8</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2BE12686" w14:textId="77777777" w:rsidR="00A9761A" w:rsidRPr="006F4322" w:rsidRDefault="00A9761A" w:rsidP="00A9761A">
            <w:pPr>
              <w:rPr>
                <w:color w:val="000000"/>
                <w:sz w:val="22"/>
              </w:rPr>
            </w:pPr>
            <w:r w:rsidRPr="006F4322">
              <w:rPr>
                <w:color w:val="000000"/>
                <w:sz w:val="22"/>
              </w:rPr>
              <w:t>Contractual Services - Legal (633 / 733)</w:t>
            </w:r>
          </w:p>
        </w:tc>
        <w:tc>
          <w:tcPr>
            <w:tcW w:w="1499" w:type="dxa"/>
            <w:gridSpan w:val="2"/>
            <w:tcBorders>
              <w:top w:val="nil"/>
              <w:left w:val="nil"/>
              <w:bottom w:val="nil"/>
              <w:right w:val="nil"/>
            </w:tcBorders>
            <w:shd w:val="clear" w:color="000000" w:fill="FFFFFF"/>
            <w:noWrap/>
            <w:vAlign w:val="bottom"/>
            <w:hideMark/>
          </w:tcPr>
          <w:p w14:paraId="778FB818"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5F96739E"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29DE5AD4" w14:textId="77777777" w:rsidR="00A9761A" w:rsidRPr="006F4322" w:rsidRDefault="00A9761A" w:rsidP="00A9761A">
            <w:pPr>
              <w:rPr>
                <w:color w:val="000000"/>
                <w:sz w:val="22"/>
              </w:rPr>
            </w:pPr>
            <w:r w:rsidRPr="006F4322">
              <w:rPr>
                <w:color w:val="000000"/>
                <w:sz w:val="22"/>
              </w:rPr>
              <w:t> </w:t>
            </w:r>
          </w:p>
        </w:tc>
      </w:tr>
      <w:tr w:rsidR="00A9761A" w:rsidRPr="006F4322" w14:paraId="091AE67F"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3DB8166"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7000CDB" w14:textId="77777777" w:rsidR="00A9761A" w:rsidRPr="006F4322" w:rsidRDefault="00A9761A" w:rsidP="00A9761A">
            <w:pPr>
              <w:rPr>
                <w:color w:val="000000"/>
                <w:sz w:val="22"/>
              </w:rPr>
            </w:pPr>
            <w:r w:rsidRPr="006F4322">
              <w:rPr>
                <w:color w:val="000000"/>
                <w:sz w:val="22"/>
              </w:rPr>
              <w:t>a. To reflect an auditing adjustment.</w:t>
            </w:r>
          </w:p>
        </w:tc>
        <w:tc>
          <w:tcPr>
            <w:tcW w:w="1499" w:type="dxa"/>
            <w:gridSpan w:val="2"/>
            <w:tcBorders>
              <w:top w:val="nil"/>
              <w:left w:val="nil"/>
              <w:bottom w:val="nil"/>
              <w:right w:val="nil"/>
            </w:tcBorders>
            <w:shd w:val="clear" w:color="000000" w:fill="FFFFFF"/>
            <w:noWrap/>
            <w:vAlign w:val="bottom"/>
            <w:hideMark/>
          </w:tcPr>
          <w:p w14:paraId="37FA0F7E" w14:textId="77777777" w:rsidR="00A9761A" w:rsidRPr="00902258" w:rsidRDefault="00A9761A" w:rsidP="00A9761A">
            <w:pPr>
              <w:jc w:val="right"/>
              <w:rPr>
                <w:sz w:val="22"/>
              </w:rPr>
            </w:pPr>
            <w:r w:rsidRPr="00902258">
              <w:rPr>
                <w:sz w:val="22"/>
              </w:rPr>
              <w:t>($40,722)</w:t>
            </w:r>
          </w:p>
        </w:tc>
        <w:tc>
          <w:tcPr>
            <w:tcW w:w="2025" w:type="dxa"/>
            <w:tcBorders>
              <w:top w:val="nil"/>
              <w:left w:val="nil"/>
              <w:bottom w:val="nil"/>
              <w:right w:val="nil"/>
            </w:tcBorders>
            <w:shd w:val="clear" w:color="000000" w:fill="FFFFFF"/>
            <w:noWrap/>
            <w:vAlign w:val="bottom"/>
            <w:hideMark/>
          </w:tcPr>
          <w:p w14:paraId="0F3117C3" w14:textId="77777777" w:rsidR="00A9761A" w:rsidRPr="00902258" w:rsidRDefault="00A9761A" w:rsidP="00A9761A">
            <w:pPr>
              <w:jc w:val="right"/>
              <w:rPr>
                <w:sz w:val="22"/>
              </w:rPr>
            </w:pPr>
            <w:r w:rsidRPr="00902258">
              <w:rPr>
                <w:sz w:val="22"/>
              </w:rPr>
              <w:t>($40,722)</w:t>
            </w:r>
          </w:p>
        </w:tc>
        <w:tc>
          <w:tcPr>
            <w:tcW w:w="409" w:type="dxa"/>
            <w:tcBorders>
              <w:top w:val="nil"/>
              <w:left w:val="nil"/>
              <w:bottom w:val="nil"/>
              <w:right w:val="single" w:sz="8" w:space="0" w:color="auto"/>
            </w:tcBorders>
            <w:shd w:val="clear" w:color="000000" w:fill="FFFFFF"/>
            <w:noWrap/>
            <w:vAlign w:val="bottom"/>
            <w:hideMark/>
          </w:tcPr>
          <w:p w14:paraId="69695626" w14:textId="77777777" w:rsidR="00A9761A" w:rsidRPr="006F4322" w:rsidRDefault="00A9761A" w:rsidP="00A9761A">
            <w:pPr>
              <w:rPr>
                <w:color w:val="000000"/>
                <w:sz w:val="22"/>
              </w:rPr>
            </w:pPr>
            <w:r w:rsidRPr="006F4322">
              <w:rPr>
                <w:color w:val="000000"/>
                <w:sz w:val="22"/>
              </w:rPr>
              <w:t> </w:t>
            </w:r>
          </w:p>
        </w:tc>
      </w:tr>
      <w:tr w:rsidR="00A9761A" w:rsidRPr="006F4322" w14:paraId="2C34C4D4"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8093ED2"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45BBF054" w14:textId="77777777" w:rsidR="00A9761A" w:rsidRPr="006F4322" w:rsidRDefault="00A9761A" w:rsidP="00A9761A">
            <w:pPr>
              <w:rPr>
                <w:color w:val="000000"/>
                <w:sz w:val="22"/>
              </w:rPr>
            </w:pPr>
            <w:r w:rsidRPr="006F4322">
              <w:rPr>
                <w:color w:val="000000"/>
                <w:sz w:val="22"/>
              </w:rPr>
              <w:t>b. To Remove out of test year expenses</w:t>
            </w:r>
          </w:p>
        </w:tc>
        <w:tc>
          <w:tcPr>
            <w:tcW w:w="1499" w:type="dxa"/>
            <w:gridSpan w:val="2"/>
            <w:tcBorders>
              <w:top w:val="nil"/>
              <w:left w:val="nil"/>
              <w:bottom w:val="nil"/>
              <w:right w:val="nil"/>
            </w:tcBorders>
            <w:shd w:val="clear" w:color="000000" w:fill="FFFFFF"/>
            <w:noWrap/>
            <w:vAlign w:val="bottom"/>
            <w:hideMark/>
          </w:tcPr>
          <w:p w14:paraId="55FFB1E3" w14:textId="77777777" w:rsidR="00A9761A" w:rsidRPr="00902258" w:rsidRDefault="00A9761A" w:rsidP="00A9761A">
            <w:pPr>
              <w:jc w:val="right"/>
              <w:rPr>
                <w:sz w:val="22"/>
                <w:u w:val="single"/>
              </w:rPr>
            </w:pPr>
            <w:r w:rsidRPr="00902258">
              <w:rPr>
                <w:sz w:val="22"/>
                <w:u w:val="single"/>
              </w:rPr>
              <w:t>(1,420)</w:t>
            </w:r>
          </w:p>
        </w:tc>
        <w:tc>
          <w:tcPr>
            <w:tcW w:w="2025" w:type="dxa"/>
            <w:tcBorders>
              <w:top w:val="nil"/>
              <w:left w:val="nil"/>
              <w:bottom w:val="nil"/>
              <w:right w:val="nil"/>
            </w:tcBorders>
            <w:shd w:val="clear" w:color="000000" w:fill="FFFFFF"/>
            <w:noWrap/>
            <w:vAlign w:val="bottom"/>
            <w:hideMark/>
          </w:tcPr>
          <w:p w14:paraId="4D583678" w14:textId="77777777" w:rsidR="00A9761A" w:rsidRPr="00902258" w:rsidRDefault="00A9761A" w:rsidP="00A9761A">
            <w:pPr>
              <w:jc w:val="right"/>
              <w:rPr>
                <w:sz w:val="22"/>
                <w:u w:val="single"/>
              </w:rPr>
            </w:pPr>
            <w:r w:rsidRPr="00902258">
              <w:rPr>
                <w:sz w:val="22"/>
                <w:u w:val="single"/>
              </w:rPr>
              <w:t>(1,420)</w:t>
            </w:r>
          </w:p>
        </w:tc>
        <w:tc>
          <w:tcPr>
            <w:tcW w:w="409" w:type="dxa"/>
            <w:tcBorders>
              <w:top w:val="nil"/>
              <w:left w:val="nil"/>
              <w:bottom w:val="nil"/>
              <w:right w:val="single" w:sz="8" w:space="0" w:color="auto"/>
            </w:tcBorders>
            <w:shd w:val="clear" w:color="000000" w:fill="FFFFFF"/>
            <w:noWrap/>
            <w:vAlign w:val="bottom"/>
            <w:hideMark/>
          </w:tcPr>
          <w:p w14:paraId="4C2E6DBD" w14:textId="77777777" w:rsidR="00A9761A" w:rsidRPr="006F4322" w:rsidRDefault="00A9761A" w:rsidP="00A9761A">
            <w:pPr>
              <w:rPr>
                <w:color w:val="000000"/>
                <w:sz w:val="22"/>
              </w:rPr>
            </w:pPr>
            <w:r w:rsidRPr="006F4322">
              <w:rPr>
                <w:color w:val="000000"/>
                <w:sz w:val="22"/>
              </w:rPr>
              <w:t> </w:t>
            </w:r>
          </w:p>
        </w:tc>
      </w:tr>
      <w:tr w:rsidR="00A9761A" w:rsidRPr="006F4322" w14:paraId="137DFA40"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F6FB255"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B19655B" w14:textId="77777777" w:rsidR="00A9761A" w:rsidRPr="006F4322" w:rsidRDefault="00A9761A" w:rsidP="00A9761A">
            <w:pPr>
              <w:rPr>
                <w:color w:val="000000"/>
                <w:sz w:val="22"/>
              </w:rPr>
            </w:pPr>
            <w:r w:rsidRPr="006F4322">
              <w:rPr>
                <w:color w:val="000000"/>
                <w:sz w:val="22"/>
              </w:rPr>
              <w:t xml:space="preserve">   Subtotal</w:t>
            </w:r>
          </w:p>
        </w:tc>
        <w:tc>
          <w:tcPr>
            <w:tcW w:w="1499" w:type="dxa"/>
            <w:gridSpan w:val="2"/>
            <w:tcBorders>
              <w:top w:val="nil"/>
              <w:left w:val="nil"/>
              <w:bottom w:val="nil"/>
              <w:right w:val="nil"/>
            </w:tcBorders>
            <w:shd w:val="clear" w:color="000000" w:fill="FFFFFF"/>
            <w:noWrap/>
            <w:vAlign w:val="bottom"/>
            <w:hideMark/>
          </w:tcPr>
          <w:p w14:paraId="18524547" w14:textId="77777777" w:rsidR="00A9761A" w:rsidRPr="00902258" w:rsidRDefault="00A9761A" w:rsidP="00A9761A">
            <w:pPr>
              <w:jc w:val="right"/>
              <w:rPr>
                <w:sz w:val="22"/>
                <w:u w:val="double"/>
              </w:rPr>
            </w:pPr>
            <w:r w:rsidRPr="00902258">
              <w:rPr>
                <w:sz w:val="22"/>
                <w:u w:val="double"/>
              </w:rPr>
              <w:t>($42,142)</w:t>
            </w:r>
          </w:p>
        </w:tc>
        <w:tc>
          <w:tcPr>
            <w:tcW w:w="2025" w:type="dxa"/>
            <w:tcBorders>
              <w:top w:val="nil"/>
              <w:left w:val="nil"/>
              <w:bottom w:val="nil"/>
              <w:right w:val="nil"/>
            </w:tcBorders>
            <w:shd w:val="clear" w:color="000000" w:fill="FFFFFF"/>
            <w:noWrap/>
            <w:vAlign w:val="bottom"/>
            <w:hideMark/>
          </w:tcPr>
          <w:p w14:paraId="273879F4" w14:textId="77777777" w:rsidR="00A9761A" w:rsidRPr="00902258" w:rsidRDefault="00A9761A" w:rsidP="00A9761A">
            <w:pPr>
              <w:jc w:val="right"/>
              <w:rPr>
                <w:sz w:val="22"/>
                <w:u w:val="double"/>
              </w:rPr>
            </w:pPr>
            <w:r w:rsidRPr="00902258">
              <w:rPr>
                <w:sz w:val="22"/>
                <w:u w:val="double"/>
              </w:rPr>
              <w:t>($42,142)</w:t>
            </w:r>
          </w:p>
        </w:tc>
        <w:tc>
          <w:tcPr>
            <w:tcW w:w="409" w:type="dxa"/>
            <w:tcBorders>
              <w:top w:val="nil"/>
              <w:left w:val="nil"/>
              <w:bottom w:val="nil"/>
              <w:right w:val="single" w:sz="8" w:space="0" w:color="auto"/>
            </w:tcBorders>
            <w:shd w:val="clear" w:color="000000" w:fill="FFFFFF"/>
            <w:noWrap/>
            <w:vAlign w:val="bottom"/>
            <w:hideMark/>
          </w:tcPr>
          <w:p w14:paraId="3CAB5238" w14:textId="77777777" w:rsidR="00A9761A" w:rsidRPr="006F4322" w:rsidRDefault="00A9761A" w:rsidP="00A9761A">
            <w:pPr>
              <w:rPr>
                <w:color w:val="000000"/>
                <w:sz w:val="22"/>
              </w:rPr>
            </w:pPr>
            <w:r w:rsidRPr="006F4322">
              <w:rPr>
                <w:color w:val="000000"/>
                <w:sz w:val="22"/>
              </w:rPr>
              <w:t> </w:t>
            </w:r>
          </w:p>
        </w:tc>
      </w:tr>
      <w:tr w:rsidR="00A9761A" w:rsidRPr="006F4322" w14:paraId="24E109D5"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CE9B690" w14:textId="77777777" w:rsidR="00A9761A" w:rsidRPr="006F4322" w:rsidRDefault="00A9761A" w:rsidP="00A9761A">
            <w:pPr>
              <w:rPr>
                <w:color w:val="000000"/>
                <w:sz w:val="22"/>
              </w:rPr>
            </w:pPr>
            <w:r>
              <w:rPr>
                <w:color w:val="000000"/>
                <w:sz w:val="22"/>
              </w:rPr>
              <w:lastRenderedPageBreak/>
              <w:t>9</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5D0D9B96" w14:textId="77777777" w:rsidR="00A9761A" w:rsidRPr="006F4322" w:rsidRDefault="00A9761A" w:rsidP="00A9761A">
            <w:pPr>
              <w:rPr>
                <w:color w:val="000000"/>
                <w:sz w:val="22"/>
              </w:rPr>
            </w:pPr>
            <w:r w:rsidRPr="006F4322">
              <w:rPr>
                <w:color w:val="000000"/>
                <w:sz w:val="22"/>
              </w:rPr>
              <w:t>Contractual Services - Testing (635 / 735)</w:t>
            </w:r>
          </w:p>
        </w:tc>
        <w:tc>
          <w:tcPr>
            <w:tcW w:w="1499" w:type="dxa"/>
            <w:gridSpan w:val="2"/>
            <w:tcBorders>
              <w:top w:val="nil"/>
              <w:left w:val="nil"/>
              <w:bottom w:val="nil"/>
              <w:right w:val="nil"/>
            </w:tcBorders>
            <w:shd w:val="clear" w:color="000000" w:fill="FFFFFF"/>
            <w:noWrap/>
            <w:vAlign w:val="bottom"/>
            <w:hideMark/>
          </w:tcPr>
          <w:p w14:paraId="6E16AB45"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76B577D7"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2AC36406" w14:textId="77777777" w:rsidR="00A9761A" w:rsidRPr="006F4322" w:rsidRDefault="00A9761A" w:rsidP="00A9761A">
            <w:pPr>
              <w:rPr>
                <w:color w:val="000000"/>
                <w:sz w:val="22"/>
              </w:rPr>
            </w:pPr>
            <w:r w:rsidRPr="006F4322">
              <w:rPr>
                <w:color w:val="000000"/>
                <w:sz w:val="22"/>
              </w:rPr>
              <w:t> </w:t>
            </w:r>
          </w:p>
        </w:tc>
      </w:tr>
      <w:tr w:rsidR="00A9761A" w:rsidRPr="006F4322" w14:paraId="25A4F7B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842E713"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69A7B4AB" w14:textId="77777777" w:rsidR="00A9761A" w:rsidRPr="006F4322" w:rsidRDefault="00A9761A" w:rsidP="00A9761A">
            <w:pPr>
              <w:rPr>
                <w:color w:val="000000"/>
                <w:sz w:val="22"/>
              </w:rPr>
            </w:pPr>
            <w:r w:rsidRPr="006F4322">
              <w:rPr>
                <w:color w:val="000000"/>
                <w:sz w:val="22"/>
              </w:rPr>
              <w:t>To reflect appropriate common cost allocations.</w:t>
            </w:r>
          </w:p>
        </w:tc>
        <w:tc>
          <w:tcPr>
            <w:tcW w:w="1499" w:type="dxa"/>
            <w:gridSpan w:val="2"/>
            <w:tcBorders>
              <w:top w:val="nil"/>
              <w:left w:val="nil"/>
              <w:bottom w:val="nil"/>
              <w:right w:val="nil"/>
            </w:tcBorders>
            <w:shd w:val="clear" w:color="000000" w:fill="FFFFFF"/>
            <w:noWrap/>
            <w:vAlign w:val="bottom"/>
            <w:hideMark/>
          </w:tcPr>
          <w:p w14:paraId="61CAEC1F" w14:textId="77777777" w:rsidR="00A9761A" w:rsidRPr="00902258" w:rsidRDefault="00A9761A" w:rsidP="00A9761A">
            <w:pPr>
              <w:jc w:val="right"/>
              <w:rPr>
                <w:sz w:val="22"/>
                <w:u w:val="double"/>
              </w:rPr>
            </w:pPr>
            <w:r w:rsidRPr="00902258">
              <w:rPr>
                <w:sz w:val="22"/>
                <w:u w:val="double"/>
              </w:rPr>
              <w:t>($7,092)</w:t>
            </w:r>
          </w:p>
        </w:tc>
        <w:tc>
          <w:tcPr>
            <w:tcW w:w="2025" w:type="dxa"/>
            <w:tcBorders>
              <w:top w:val="nil"/>
              <w:left w:val="nil"/>
              <w:bottom w:val="nil"/>
              <w:right w:val="nil"/>
            </w:tcBorders>
            <w:shd w:val="clear" w:color="000000" w:fill="FFFFFF"/>
            <w:noWrap/>
            <w:vAlign w:val="bottom"/>
            <w:hideMark/>
          </w:tcPr>
          <w:p w14:paraId="40D13F99" w14:textId="77777777" w:rsidR="00A9761A" w:rsidRPr="00902258" w:rsidRDefault="00A9761A" w:rsidP="00A9761A">
            <w:pPr>
              <w:jc w:val="right"/>
              <w:rPr>
                <w:sz w:val="22"/>
                <w:u w:val="double"/>
              </w:rPr>
            </w:pPr>
            <w:r w:rsidRPr="00902258">
              <w:rPr>
                <w:sz w:val="22"/>
                <w:u w:val="double"/>
              </w:rPr>
              <w:t>($26,689)</w:t>
            </w:r>
          </w:p>
        </w:tc>
        <w:tc>
          <w:tcPr>
            <w:tcW w:w="409" w:type="dxa"/>
            <w:tcBorders>
              <w:top w:val="nil"/>
              <w:left w:val="nil"/>
              <w:bottom w:val="nil"/>
              <w:right w:val="single" w:sz="8" w:space="0" w:color="auto"/>
            </w:tcBorders>
            <w:shd w:val="clear" w:color="000000" w:fill="FFFFFF"/>
            <w:noWrap/>
            <w:vAlign w:val="bottom"/>
            <w:hideMark/>
          </w:tcPr>
          <w:p w14:paraId="36819E5C" w14:textId="77777777" w:rsidR="00A9761A" w:rsidRPr="006F4322" w:rsidRDefault="00A9761A" w:rsidP="00A9761A">
            <w:pPr>
              <w:rPr>
                <w:color w:val="000000"/>
                <w:sz w:val="22"/>
              </w:rPr>
            </w:pPr>
            <w:r w:rsidRPr="006F4322">
              <w:rPr>
                <w:color w:val="000000"/>
                <w:sz w:val="22"/>
              </w:rPr>
              <w:t> </w:t>
            </w:r>
          </w:p>
        </w:tc>
      </w:tr>
      <w:tr w:rsidR="00A9761A" w:rsidRPr="006F4322" w14:paraId="234EBBA6"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4C07F46"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27DF7F11"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441A7276"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45A5F70D"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0B0393EE" w14:textId="77777777" w:rsidR="00A9761A" w:rsidRPr="006F4322" w:rsidRDefault="00A9761A" w:rsidP="00A9761A">
            <w:pPr>
              <w:rPr>
                <w:color w:val="000000"/>
                <w:sz w:val="22"/>
              </w:rPr>
            </w:pPr>
            <w:r w:rsidRPr="006F4322">
              <w:rPr>
                <w:color w:val="000000"/>
                <w:sz w:val="22"/>
              </w:rPr>
              <w:t> </w:t>
            </w:r>
          </w:p>
        </w:tc>
      </w:tr>
      <w:tr w:rsidR="00A9761A" w:rsidRPr="006F4322" w14:paraId="112A3089"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E818CE6" w14:textId="77777777" w:rsidR="00A9761A" w:rsidRPr="006F4322" w:rsidRDefault="00A9761A" w:rsidP="00A9761A">
            <w:pPr>
              <w:rPr>
                <w:color w:val="000000"/>
                <w:sz w:val="22"/>
              </w:rPr>
            </w:pPr>
            <w:r w:rsidRPr="006F4322">
              <w:rPr>
                <w:color w:val="000000"/>
                <w:sz w:val="22"/>
              </w:rPr>
              <w:t>1</w:t>
            </w:r>
            <w:r>
              <w:rPr>
                <w:color w:val="000000"/>
                <w:sz w:val="22"/>
              </w:rPr>
              <w:t>0</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6B0712DE" w14:textId="77777777" w:rsidR="00A9761A" w:rsidRPr="006F4322" w:rsidRDefault="00A9761A" w:rsidP="00A9761A">
            <w:pPr>
              <w:rPr>
                <w:color w:val="000000"/>
                <w:sz w:val="22"/>
              </w:rPr>
            </w:pPr>
            <w:r w:rsidRPr="006F4322">
              <w:rPr>
                <w:color w:val="000000"/>
                <w:sz w:val="22"/>
              </w:rPr>
              <w:t>Contractual Services - Other (636 / 736)</w:t>
            </w:r>
          </w:p>
        </w:tc>
        <w:tc>
          <w:tcPr>
            <w:tcW w:w="1499" w:type="dxa"/>
            <w:gridSpan w:val="2"/>
            <w:tcBorders>
              <w:top w:val="nil"/>
              <w:left w:val="nil"/>
              <w:bottom w:val="nil"/>
              <w:right w:val="nil"/>
            </w:tcBorders>
            <w:shd w:val="clear" w:color="000000" w:fill="FFFFFF"/>
            <w:noWrap/>
            <w:vAlign w:val="bottom"/>
            <w:hideMark/>
          </w:tcPr>
          <w:p w14:paraId="096BBB26"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4F754E2"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1F801ECC" w14:textId="77777777" w:rsidR="00A9761A" w:rsidRPr="006F4322" w:rsidRDefault="00A9761A" w:rsidP="00A9761A">
            <w:pPr>
              <w:rPr>
                <w:color w:val="000000"/>
                <w:sz w:val="22"/>
              </w:rPr>
            </w:pPr>
            <w:r w:rsidRPr="006F4322">
              <w:rPr>
                <w:color w:val="000000"/>
                <w:sz w:val="22"/>
              </w:rPr>
              <w:t> </w:t>
            </w:r>
          </w:p>
        </w:tc>
      </w:tr>
      <w:tr w:rsidR="00A9761A" w:rsidRPr="006F4322" w14:paraId="04A593F6"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A94A2A2"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32FD06E" w14:textId="77777777" w:rsidR="00A9761A" w:rsidRPr="006F4322" w:rsidRDefault="00A9761A" w:rsidP="00A9761A">
            <w:pPr>
              <w:rPr>
                <w:color w:val="000000"/>
                <w:sz w:val="22"/>
              </w:rPr>
            </w:pPr>
            <w:r w:rsidRPr="006F4322">
              <w:rPr>
                <w:color w:val="000000"/>
                <w:sz w:val="22"/>
              </w:rPr>
              <w:t>a. To reflect an auditing adjustment.</w:t>
            </w:r>
          </w:p>
        </w:tc>
        <w:tc>
          <w:tcPr>
            <w:tcW w:w="1499" w:type="dxa"/>
            <w:gridSpan w:val="2"/>
            <w:tcBorders>
              <w:top w:val="nil"/>
              <w:left w:val="nil"/>
              <w:bottom w:val="nil"/>
              <w:right w:val="nil"/>
            </w:tcBorders>
            <w:shd w:val="clear" w:color="000000" w:fill="FFFFFF"/>
            <w:noWrap/>
            <w:vAlign w:val="bottom"/>
            <w:hideMark/>
          </w:tcPr>
          <w:p w14:paraId="6C5BF2E9" w14:textId="77777777" w:rsidR="00A9761A" w:rsidRPr="00902258" w:rsidRDefault="00A9761A" w:rsidP="00A9761A">
            <w:pPr>
              <w:jc w:val="right"/>
              <w:rPr>
                <w:sz w:val="22"/>
              </w:rPr>
            </w:pPr>
            <w:r w:rsidRPr="00902258">
              <w:rPr>
                <w:sz w:val="22"/>
              </w:rPr>
              <w:t>($24,472)</w:t>
            </w:r>
          </w:p>
        </w:tc>
        <w:tc>
          <w:tcPr>
            <w:tcW w:w="2025" w:type="dxa"/>
            <w:tcBorders>
              <w:top w:val="nil"/>
              <w:left w:val="nil"/>
              <w:bottom w:val="nil"/>
              <w:right w:val="nil"/>
            </w:tcBorders>
            <w:shd w:val="clear" w:color="000000" w:fill="FFFFFF"/>
            <w:noWrap/>
            <w:vAlign w:val="bottom"/>
            <w:hideMark/>
          </w:tcPr>
          <w:p w14:paraId="1E82C484" w14:textId="77777777" w:rsidR="00A9761A" w:rsidRPr="00902258" w:rsidRDefault="00A9761A" w:rsidP="00A9761A">
            <w:pPr>
              <w:jc w:val="right"/>
              <w:rPr>
                <w:sz w:val="22"/>
              </w:rPr>
            </w:pPr>
            <w:r w:rsidRPr="00902258">
              <w:rPr>
                <w:sz w:val="22"/>
              </w:rPr>
              <w:t>($100,823)</w:t>
            </w:r>
          </w:p>
        </w:tc>
        <w:tc>
          <w:tcPr>
            <w:tcW w:w="409" w:type="dxa"/>
            <w:tcBorders>
              <w:top w:val="nil"/>
              <w:left w:val="nil"/>
              <w:bottom w:val="nil"/>
              <w:right w:val="single" w:sz="8" w:space="0" w:color="auto"/>
            </w:tcBorders>
            <w:shd w:val="clear" w:color="000000" w:fill="FFFFFF"/>
            <w:noWrap/>
            <w:vAlign w:val="bottom"/>
            <w:hideMark/>
          </w:tcPr>
          <w:p w14:paraId="19B9B6C6" w14:textId="77777777" w:rsidR="00A9761A" w:rsidRPr="006F4322" w:rsidRDefault="00A9761A" w:rsidP="00A9761A">
            <w:pPr>
              <w:rPr>
                <w:color w:val="000000"/>
                <w:sz w:val="22"/>
              </w:rPr>
            </w:pPr>
            <w:r w:rsidRPr="006F4322">
              <w:rPr>
                <w:color w:val="000000"/>
                <w:sz w:val="22"/>
              </w:rPr>
              <w:t> </w:t>
            </w:r>
          </w:p>
        </w:tc>
      </w:tr>
      <w:tr w:rsidR="00A9761A" w:rsidRPr="006F4322" w14:paraId="544EB5F8"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F2A0986"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6ABC4C9E" w14:textId="77777777" w:rsidR="00A9761A" w:rsidRPr="006F4322" w:rsidRDefault="00A9761A" w:rsidP="00A9761A">
            <w:pPr>
              <w:rPr>
                <w:color w:val="000000"/>
                <w:sz w:val="22"/>
              </w:rPr>
            </w:pPr>
            <w:r w:rsidRPr="006F4322">
              <w:rPr>
                <w:color w:val="000000"/>
                <w:sz w:val="22"/>
              </w:rPr>
              <w:t>b. To remove expenses outside the test year.</w:t>
            </w:r>
          </w:p>
        </w:tc>
        <w:tc>
          <w:tcPr>
            <w:tcW w:w="1499" w:type="dxa"/>
            <w:gridSpan w:val="2"/>
            <w:tcBorders>
              <w:top w:val="nil"/>
              <w:left w:val="nil"/>
              <w:bottom w:val="nil"/>
              <w:right w:val="nil"/>
            </w:tcBorders>
            <w:shd w:val="clear" w:color="000000" w:fill="FFFFFF"/>
            <w:noWrap/>
            <w:vAlign w:val="bottom"/>
            <w:hideMark/>
          </w:tcPr>
          <w:p w14:paraId="54D43BAA" w14:textId="77777777" w:rsidR="00A9761A" w:rsidRPr="00902258" w:rsidRDefault="00A9761A" w:rsidP="00A9761A">
            <w:pPr>
              <w:jc w:val="right"/>
              <w:rPr>
                <w:sz w:val="22"/>
              </w:rPr>
            </w:pPr>
            <w:r w:rsidRPr="00902258">
              <w:rPr>
                <w:sz w:val="22"/>
              </w:rPr>
              <w:t>(7,910)</w:t>
            </w:r>
          </w:p>
        </w:tc>
        <w:tc>
          <w:tcPr>
            <w:tcW w:w="2025" w:type="dxa"/>
            <w:tcBorders>
              <w:top w:val="nil"/>
              <w:left w:val="nil"/>
              <w:bottom w:val="nil"/>
              <w:right w:val="nil"/>
            </w:tcBorders>
            <w:shd w:val="clear" w:color="000000" w:fill="FFFFFF"/>
            <w:noWrap/>
            <w:vAlign w:val="bottom"/>
            <w:hideMark/>
          </w:tcPr>
          <w:p w14:paraId="6D01C2AB" w14:textId="77777777" w:rsidR="00A9761A" w:rsidRPr="00902258" w:rsidRDefault="00A9761A" w:rsidP="00A9761A">
            <w:pPr>
              <w:jc w:val="right"/>
              <w:rPr>
                <w:sz w:val="22"/>
              </w:rPr>
            </w:pPr>
            <w:r w:rsidRPr="00902258">
              <w:rPr>
                <w:sz w:val="22"/>
              </w:rPr>
              <w:t>(7,910)</w:t>
            </w:r>
          </w:p>
        </w:tc>
        <w:tc>
          <w:tcPr>
            <w:tcW w:w="409" w:type="dxa"/>
            <w:tcBorders>
              <w:top w:val="nil"/>
              <w:left w:val="nil"/>
              <w:bottom w:val="nil"/>
              <w:right w:val="single" w:sz="8" w:space="0" w:color="auto"/>
            </w:tcBorders>
            <w:shd w:val="clear" w:color="000000" w:fill="FFFFFF"/>
            <w:noWrap/>
            <w:vAlign w:val="bottom"/>
            <w:hideMark/>
          </w:tcPr>
          <w:p w14:paraId="7796191F" w14:textId="77777777" w:rsidR="00A9761A" w:rsidRPr="006F4322" w:rsidRDefault="00A9761A" w:rsidP="00A9761A">
            <w:pPr>
              <w:rPr>
                <w:color w:val="000000"/>
                <w:sz w:val="22"/>
              </w:rPr>
            </w:pPr>
            <w:r w:rsidRPr="006F4322">
              <w:rPr>
                <w:color w:val="000000"/>
                <w:sz w:val="22"/>
              </w:rPr>
              <w:t> </w:t>
            </w:r>
          </w:p>
        </w:tc>
      </w:tr>
      <w:tr w:rsidR="00A9761A" w:rsidRPr="006F4322" w14:paraId="0260278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AA7C0BC"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4099DDBD" w14:textId="77777777" w:rsidR="00A9761A" w:rsidRPr="006F4322" w:rsidRDefault="00A9761A" w:rsidP="00A9761A">
            <w:pPr>
              <w:rPr>
                <w:color w:val="000000"/>
                <w:sz w:val="22"/>
              </w:rPr>
            </w:pPr>
            <w:r w:rsidRPr="006F4322">
              <w:rPr>
                <w:color w:val="000000"/>
                <w:sz w:val="22"/>
              </w:rPr>
              <w:t xml:space="preserve">   Subtotal</w:t>
            </w:r>
          </w:p>
        </w:tc>
        <w:tc>
          <w:tcPr>
            <w:tcW w:w="1499" w:type="dxa"/>
            <w:gridSpan w:val="2"/>
            <w:tcBorders>
              <w:top w:val="nil"/>
              <w:left w:val="nil"/>
              <w:bottom w:val="nil"/>
              <w:right w:val="nil"/>
            </w:tcBorders>
            <w:shd w:val="clear" w:color="000000" w:fill="FFFFFF"/>
            <w:noWrap/>
            <w:vAlign w:val="bottom"/>
            <w:hideMark/>
          </w:tcPr>
          <w:p w14:paraId="69DC75A6" w14:textId="77777777" w:rsidR="00A9761A" w:rsidRPr="00902258" w:rsidRDefault="00A9761A" w:rsidP="00A9761A">
            <w:pPr>
              <w:jc w:val="right"/>
              <w:rPr>
                <w:sz w:val="22"/>
                <w:u w:val="double"/>
              </w:rPr>
            </w:pPr>
            <w:r w:rsidRPr="00902258">
              <w:rPr>
                <w:sz w:val="22"/>
                <w:u w:val="double"/>
              </w:rPr>
              <w:t>($32,382)</w:t>
            </w:r>
          </w:p>
        </w:tc>
        <w:tc>
          <w:tcPr>
            <w:tcW w:w="2025" w:type="dxa"/>
            <w:tcBorders>
              <w:top w:val="nil"/>
              <w:left w:val="nil"/>
              <w:bottom w:val="nil"/>
              <w:right w:val="nil"/>
            </w:tcBorders>
            <w:shd w:val="clear" w:color="000000" w:fill="FFFFFF"/>
            <w:noWrap/>
            <w:vAlign w:val="bottom"/>
            <w:hideMark/>
          </w:tcPr>
          <w:p w14:paraId="499A40EA" w14:textId="77777777" w:rsidR="00A9761A" w:rsidRPr="00902258" w:rsidRDefault="00A9761A" w:rsidP="00A9761A">
            <w:pPr>
              <w:jc w:val="right"/>
              <w:rPr>
                <w:sz w:val="22"/>
                <w:u w:val="double"/>
              </w:rPr>
            </w:pPr>
            <w:r w:rsidRPr="00902258">
              <w:rPr>
                <w:sz w:val="22"/>
                <w:u w:val="double"/>
              </w:rPr>
              <w:t>($108,733)</w:t>
            </w:r>
          </w:p>
        </w:tc>
        <w:tc>
          <w:tcPr>
            <w:tcW w:w="409" w:type="dxa"/>
            <w:tcBorders>
              <w:top w:val="nil"/>
              <w:left w:val="nil"/>
              <w:bottom w:val="nil"/>
              <w:right w:val="single" w:sz="8" w:space="0" w:color="auto"/>
            </w:tcBorders>
            <w:shd w:val="clear" w:color="000000" w:fill="FFFFFF"/>
            <w:noWrap/>
            <w:vAlign w:val="bottom"/>
            <w:hideMark/>
          </w:tcPr>
          <w:p w14:paraId="3DB92228" w14:textId="77777777" w:rsidR="00A9761A" w:rsidRPr="006F4322" w:rsidRDefault="00A9761A" w:rsidP="00A9761A">
            <w:pPr>
              <w:rPr>
                <w:color w:val="000000"/>
                <w:sz w:val="22"/>
              </w:rPr>
            </w:pPr>
            <w:r w:rsidRPr="006F4322">
              <w:rPr>
                <w:color w:val="000000"/>
                <w:sz w:val="22"/>
              </w:rPr>
              <w:t> </w:t>
            </w:r>
          </w:p>
        </w:tc>
      </w:tr>
      <w:tr w:rsidR="00A9761A" w:rsidRPr="006F4322" w14:paraId="2D437B61"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DD86AF0"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28B4252"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237C190F"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6ADA230C"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4D7F71F4" w14:textId="77777777" w:rsidR="00A9761A" w:rsidRPr="006F4322" w:rsidRDefault="00A9761A" w:rsidP="00A9761A">
            <w:pPr>
              <w:rPr>
                <w:color w:val="000000"/>
                <w:sz w:val="22"/>
              </w:rPr>
            </w:pPr>
            <w:r w:rsidRPr="006F4322">
              <w:rPr>
                <w:color w:val="000000"/>
                <w:sz w:val="22"/>
              </w:rPr>
              <w:t> </w:t>
            </w:r>
          </w:p>
        </w:tc>
      </w:tr>
      <w:tr w:rsidR="00A9761A" w:rsidRPr="006F4322" w14:paraId="7F9BAB49"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0E0F4A2" w14:textId="77777777" w:rsidR="00A9761A" w:rsidRPr="006F4322" w:rsidRDefault="00A9761A" w:rsidP="00A9761A">
            <w:pPr>
              <w:rPr>
                <w:color w:val="000000"/>
                <w:sz w:val="22"/>
              </w:rPr>
            </w:pPr>
            <w:r>
              <w:rPr>
                <w:color w:val="000000"/>
                <w:sz w:val="22"/>
              </w:rPr>
              <w:t>11</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2115ADC4" w14:textId="77777777" w:rsidR="00A9761A" w:rsidRPr="006F4322" w:rsidRDefault="00A9761A" w:rsidP="00A9761A">
            <w:pPr>
              <w:rPr>
                <w:color w:val="000000"/>
                <w:sz w:val="22"/>
              </w:rPr>
            </w:pPr>
            <w:r w:rsidRPr="006F4322">
              <w:rPr>
                <w:color w:val="000000"/>
                <w:sz w:val="22"/>
              </w:rPr>
              <w:t>Insurance Expense - Vehicle (656 / 756)</w:t>
            </w:r>
          </w:p>
        </w:tc>
        <w:tc>
          <w:tcPr>
            <w:tcW w:w="1499" w:type="dxa"/>
            <w:gridSpan w:val="2"/>
            <w:tcBorders>
              <w:top w:val="nil"/>
              <w:left w:val="nil"/>
              <w:bottom w:val="nil"/>
              <w:right w:val="nil"/>
            </w:tcBorders>
            <w:shd w:val="clear" w:color="000000" w:fill="FFFFFF"/>
            <w:noWrap/>
            <w:vAlign w:val="bottom"/>
            <w:hideMark/>
          </w:tcPr>
          <w:p w14:paraId="57B7F38C"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4707164E"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75EF7D02" w14:textId="77777777" w:rsidR="00A9761A" w:rsidRPr="006F4322" w:rsidRDefault="00A9761A" w:rsidP="00A9761A">
            <w:pPr>
              <w:rPr>
                <w:color w:val="000000"/>
                <w:sz w:val="22"/>
              </w:rPr>
            </w:pPr>
            <w:r w:rsidRPr="006F4322">
              <w:rPr>
                <w:color w:val="000000"/>
                <w:sz w:val="22"/>
              </w:rPr>
              <w:t> </w:t>
            </w:r>
          </w:p>
        </w:tc>
      </w:tr>
      <w:tr w:rsidR="00A9761A" w:rsidRPr="006F4322" w14:paraId="5C03B0D4"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2070F93"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3ED3E37" w14:textId="77777777" w:rsidR="00A9761A" w:rsidRPr="006F4322" w:rsidRDefault="00A9761A" w:rsidP="00A9761A">
            <w:pPr>
              <w:rPr>
                <w:color w:val="000000"/>
                <w:sz w:val="22"/>
              </w:rPr>
            </w:pPr>
            <w:r w:rsidRPr="006F4322">
              <w:rPr>
                <w:color w:val="000000"/>
                <w:sz w:val="22"/>
              </w:rPr>
              <w:t>To reflect an auditing adjustments.</w:t>
            </w:r>
          </w:p>
        </w:tc>
        <w:tc>
          <w:tcPr>
            <w:tcW w:w="1499" w:type="dxa"/>
            <w:gridSpan w:val="2"/>
            <w:tcBorders>
              <w:top w:val="nil"/>
              <w:left w:val="nil"/>
              <w:bottom w:val="nil"/>
              <w:right w:val="nil"/>
            </w:tcBorders>
            <w:shd w:val="clear" w:color="000000" w:fill="FFFFFF"/>
            <w:noWrap/>
            <w:vAlign w:val="bottom"/>
            <w:hideMark/>
          </w:tcPr>
          <w:p w14:paraId="2F788638" w14:textId="77777777" w:rsidR="00A9761A" w:rsidRPr="00902258" w:rsidRDefault="00A9761A" w:rsidP="00A9761A">
            <w:pPr>
              <w:jc w:val="right"/>
              <w:rPr>
                <w:sz w:val="22"/>
                <w:u w:val="double"/>
              </w:rPr>
            </w:pPr>
            <w:r w:rsidRPr="00902258">
              <w:rPr>
                <w:sz w:val="22"/>
                <w:u w:val="double"/>
              </w:rPr>
              <w:t>($2,153)</w:t>
            </w:r>
          </w:p>
        </w:tc>
        <w:tc>
          <w:tcPr>
            <w:tcW w:w="2025" w:type="dxa"/>
            <w:tcBorders>
              <w:top w:val="nil"/>
              <w:left w:val="nil"/>
              <w:bottom w:val="nil"/>
              <w:right w:val="nil"/>
            </w:tcBorders>
            <w:shd w:val="clear" w:color="000000" w:fill="FFFFFF"/>
            <w:noWrap/>
            <w:vAlign w:val="bottom"/>
            <w:hideMark/>
          </w:tcPr>
          <w:p w14:paraId="3DC1DBB3" w14:textId="77777777" w:rsidR="00A9761A" w:rsidRPr="00902258" w:rsidRDefault="00A9761A" w:rsidP="00A9761A">
            <w:pPr>
              <w:jc w:val="right"/>
              <w:rPr>
                <w:sz w:val="22"/>
                <w:u w:val="double"/>
              </w:rPr>
            </w:pPr>
            <w:r w:rsidRPr="00902258">
              <w:rPr>
                <w:sz w:val="22"/>
                <w:u w:val="double"/>
              </w:rPr>
              <w:t>($2,154)</w:t>
            </w:r>
          </w:p>
        </w:tc>
        <w:tc>
          <w:tcPr>
            <w:tcW w:w="409" w:type="dxa"/>
            <w:tcBorders>
              <w:top w:val="nil"/>
              <w:left w:val="nil"/>
              <w:bottom w:val="nil"/>
              <w:right w:val="single" w:sz="8" w:space="0" w:color="auto"/>
            </w:tcBorders>
            <w:shd w:val="clear" w:color="000000" w:fill="FFFFFF"/>
            <w:noWrap/>
            <w:vAlign w:val="bottom"/>
            <w:hideMark/>
          </w:tcPr>
          <w:p w14:paraId="51163532" w14:textId="77777777" w:rsidR="00A9761A" w:rsidRPr="006F4322" w:rsidRDefault="00A9761A" w:rsidP="00A9761A">
            <w:pPr>
              <w:rPr>
                <w:color w:val="000000"/>
                <w:sz w:val="22"/>
              </w:rPr>
            </w:pPr>
            <w:r w:rsidRPr="006F4322">
              <w:rPr>
                <w:color w:val="000000"/>
                <w:sz w:val="22"/>
              </w:rPr>
              <w:t> </w:t>
            </w:r>
          </w:p>
        </w:tc>
      </w:tr>
      <w:tr w:rsidR="00A9761A" w:rsidRPr="006F4322" w14:paraId="41C97A76"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4A3A3EA"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64D3F4E3"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3266A11A" w14:textId="77777777" w:rsidR="00A9761A" w:rsidRPr="00902258" w:rsidRDefault="00A9761A" w:rsidP="00A9761A">
            <w:pPr>
              <w:rPr>
                <w:sz w:val="22"/>
                <w:u w:val="double"/>
              </w:rPr>
            </w:pPr>
            <w:r w:rsidRPr="00902258">
              <w:rPr>
                <w:sz w:val="22"/>
                <w:u w:val="single"/>
              </w:rPr>
              <w:t> </w:t>
            </w:r>
          </w:p>
        </w:tc>
        <w:tc>
          <w:tcPr>
            <w:tcW w:w="2025" w:type="dxa"/>
            <w:tcBorders>
              <w:top w:val="nil"/>
              <w:left w:val="nil"/>
              <w:bottom w:val="nil"/>
              <w:right w:val="nil"/>
            </w:tcBorders>
            <w:shd w:val="clear" w:color="000000" w:fill="FFFFFF"/>
            <w:noWrap/>
            <w:vAlign w:val="bottom"/>
            <w:hideMark/>
          </w:tcPr>
          <w:p w14:paraId="263F26DB" w14:textId="77777777" w:rsidR="00A9761A" w:rsidRPr="00902258" w:rsidRDefault="00A9761A" w:rsidP="00A9761A">
            <w:pPr>
              <w:rPr>
                <w:sz w:val="22"/>
                <w:u w:val="double"/>
              </w:rPr>
            </w:pPr>
            <w:r w:rsidRPr="00902258">
              <w:rPr>
                <w:sz w:val="22"/>
                <w:u w:val="single"/>
              </w:rPr>
              <w:t> </w:t>
            </w:r>
          </w:p>
        </w:tc>
        <w:tc>
          <w:tcPr>
            <w:tcW w:w="409" w:type="dxa"/>
            <w:tcBorders>
              <w:top w:val="nil"/>
              <w:left w:val="nil"/>
              <w:bottom w:val="nil"/>
              <w:right w:val="single" w:sz="8" w:space="0" w:color="auto"/>
            </w:tcBorders>
            <w:shd w:val="clear" w:color="000000" w:fill="FFFFFF"/>
            <w:noWrap/>
            <w:vAlign w:val="bottom"/>
            <w:hideMark/>
          </w:tcPr>
          <w:p w14:paraId="5FC2732D" w14:textId="77777777" w:rsidR="00A9761A" w:rsidRPr="006F4322" w:rsidRDefault="00A9761A" w:rsidP="00A9761A">
            <w:pPr>
              <w:rPr>
                <w:color w:val="000000"/>
                <w:sz w:val="22"/>
              </w:rPr>
            </w:pPr>
            <w:r w:rsidRPr="006F4322">
              <w:rPr>
                <w:color w:val="000000"/>
                <w:sz w:val="22"/>
              </w:rPr>
              <w:t> </w:t>
            </w:r>
          </w:p>
        </w:tc>
      </w:tr>
      <w:tr w:rsidR="00A9761A" w:rsidRPr="006F4322" w14:paraId="6B458C27"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96BD708" w14:textId="77777777" w:rsidR="00A9761A" w:rsidRPr="006F4322" w:rsidRDefault="00A9761A" w:rsidP="00A9761A">
            <w:pPr>
              <w:rPr>
                <w:color w:val="000000"/>
                <w:sz w:val="22"/>
              </w:rPr>
            </w:pPr>
            <w:r>
              <w:rPr>
                <w:color w:val="000000"/>
                <w:sz w:val="22"/>
              </w:rPr>
              <w:t>12</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692549C3" w14:textId="77777777" w:rsidR="00A9761A" w:rsidRPr="006F4322" w:rsidRDefault="00A9761A" w:rsidP="00A9761A">
            <w:pPr>
              <w:rPr>
                <w:color w:val="000000"/>
                <w:sz w:val="22"/>
              </w:rPr>
            </w:pPr>
            <w:r w:rsidRPr="006F4322">
              <w:rPr>
                <w:color w:val="000000"/>
                <w:sz w:val="22"/>
              </w:rPr>
              <w:t>Insurance Expense - General Liability (657 / 757)</w:t>
            </w:r>
          </w:p>
        </w:tc>
        <w:tc>
          <w:tcPr>
            <w:tcW w:w="1499" w:type="dxa"/>
            <w:gridSpan w:val="2"/>
            <w:tcBorders>
              <w:top w:val="nil"/>
              <w:left w:val="nil"/>
              <w:bottom w:val="nil"/>
              <w:right w:val="nil"/>
            </w:tcBorders>
            <w:shd w:val="clear" w:color="000000" w:fill="FFFFFF"/>
            <w:noWrap/>
            <w:vAlign w:val="bottom"/>
            <w:hideMark/>
          </w:tcPr>
          <w:p w14:paraId="568BA158"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45B98F33"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7AB77662" w14:textId="77777777" w:rsidR="00A9761A" w:rsidRPr="006F4322" w:rsidRDefault="00A9761A" w:rsidP="00A9761A">
            <w:pPr>
              <w:rPr>
                <w:color w:val="000000"/>
                <w:sz w:val="22"/>
              </w:rPr>
            </w:pPr>
            <w:r w:rsidRPr="006F4322">
              <w:rPr>
                <w:color w:val="000000"/>
                <w:sz w:val="22"/>
              </w:rPr>
              <w:t> </w:t>
            </w:r>
          </w:p>
        </w:tc>
      </w:tr>
      <w:tr w:rsidR="00A9761A" w:rsidRPr="006F4322" w14:paraId="381CB81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61EAC6D"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41C9BFF8" w14:textId="77777777" w:rsidR="00A9761A" w:rsidRPr="006F4322" w:rsidRDefault="00A9761A" w:rsidP="00A9761A">
            <w:pPr>
              <w:rPr>
                <w:color w:val="000000"/>
                <w:sz w:val="22"/>
              </w:rPr>
            </w:pPr>
            <w:r w:rsidRPr="006F4322">
              <w:rPr>
                <w:color w:val="000000"/>
                <w:sz w:val="22"/>
              </w:rPr>
              <w:t>To reflect an auditing adjustments.</w:t>
            </w:r>
          </w:p>
        </w:tc>
        <w:tc>
          <w:tcPr>
            <w:tcW w:w="1499" w:type="dxa"/>
            <w:gridSpan w:val="2"/>
            <w:tcBorders>
              <w:top w:val="nil"/>
              <w:left w:val="nil"/>
              <w:bottom w:val="nil"/>
              <w:right w:val="nil"/>
            </w:tcBorders>
            <w:shd w:val="clear" w:color="000000" w:fill="FFFFFF"/>
            <w:noWrap/>
            <w:vAlign w:val="bottom"/>
            <w:hideMark/>
          </w:tcPr>
          <w:p w14:paraId="73D655EC" w14:textId="77777777" w:rsidR="00A9761A" w:rsidRPr="00902258" w:rsidRDefault="00A9761A" w:rsidP="00A9761A">
            <w:pPr>
              <w:jc w:val="right"/>
              <w:rPr>
                <w:sz w:val="22"/>
                <w:u w:val="double"/>
              </w:rPr>
            </w:pPr>
            <w:r w:rsidRPr="00902258">
              <w:rPr>
                <w:sz w:val="22"/>
                <w:u w:val="double"/>
              </w:rPr>
              <w:t xml:space="preserve">$2,153 </w:t>
            </w:r>
          </w:p>
        </w:tc>
        <w:tc>
          <w:tcPr>
            <w:tcW w:w="2025" w:type="dxa"/>
            <w:tcBorders>
              <w:top w:val="nil"/>
              <w:left w:val="nil"/>
              <w:bottom w:val="nil"/>
              <w:right w:val="nil"/>
            </w:tcBorders>
            <w:shd w:val="clear" w:color="000000" w:fill="FFFFFF"/>
            <w:noWrap/>
            <w:vAlign w:val="bottom"/>
            <w:hideMark/>
          </w:tcPr>
          <w:p w14:paraId="00AB2DDB" w14:textId="77777777" w:rsidR="00A9761A" w:rsidRPr="00902258" w:rsidRDefault="00A9761A" w:rsidP="00A9761A">
            <w:pPr>
              <w:jc w:val="right"/>
              <w:rPr>
                <w:sz w:val="22"/>
                <w:u w:val="double"/>
              </w:rPr>
            </w:pPr>
            <w:r w:rsidRPr="00902258">
              <w:rPr>
                <w:sz w:val="22"/>
                <w:u w:val="double"/>
              </w:rPr>
              <w:t xml:space="preserve">$2,154 </w:t>
            </w:r>
          </w:p>
        </w:tc>
        <w:tc>
          <w:tcPr>
            <w:tcW w:w="409" w:type="dxa"/>
            <w:tcBorders>
              <w:top w:val="nil"/>
              <w:left w:val="nil"/>
              <w:bottom w:val="nil"/>
              <w:right w:val="single" w:sz="8" w:space="0" w:color="auto"/>
            </w:tcBorders>
            <w:shd w:val="clear" w:color="000000" w:fill="FFFFFF"/>
            <w:noWrap/>
            <w:vAlign w:val="bottom"/>
            <w:hideMark/>
          </w:tcPr>
          <w:p w14:paraId="420AEC6C" w14:textId="77777777" w:rsidR="00A9761A" w:rsidRPr="006F4322" w:rsidRDefault="00A9761A" w:rsidP="00A9761A">
            <w:pPr>
              <w:rPr>
                <w:color w:val="000000"/>
                <w:sz w:val="22"/>
              </w:rPr>
            </w:pPr>
            <w:r w:rsidRPr="006F4322">
              <w:rPr>
                <w:color w:val="000000"/>
                <w:sz w:val="22"/>
              </w:rPr>
              <w:t> </w:t>
            </w:r>
          </w:p>
        </w:tc>
      </w:tr>
      <w:tr w:rsidR="00A9761A" w:rsidRPr="006F4322" w14:paraId="25B8D938"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0CFFD69"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06398CED"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68E00329" w14:textId="77777777" w:rsidR="00A9761A" w:rsidRPr="00902258" w:rsidRDefault="00A9761A" w:rsidP="00A9761A">
            <w:pPr>
              <w:rPr>
                <w:sz w:val="22"/>
                <w:u w:val="double"/>
              </w:rPr>
            </w:pPr>
            <w:r w:rsidRPr="00902258">
              <w:rPr>
                <w:sz w:val="22"/>
                <w:u w:val="single"/>
              </w:rPr>
              <w:t> </w:t>
            </w:r>
          </w:p>
        </w:tc>
        <w:tc>
          <w:tcPr>
            <w:tcW w:w="2025" w:type="dxa"/>
            <w:tcBorders>
              <w:top w:val="nil"/>
              <w:left w:val="nil"/>
              <w:bottom w:val="nil"/>
              <w:right w:val="nil"/>
            </w:tcBorders>
            <w:shd w:val="clear" w:color="000000" w:fill="FFFFFF"/>
            <w:noWrap/>
            <w:vAlign w:val="bottom"/>
            <w:hideMark/>
          </w:tcPr>
          <w:p w14:paraId="74E63C65" w14:textId="77777777" w:rsidR="00A9761A" w:rsidRPr="00902258" w:rsidRDefault="00A9761A" w:rsidP="00A9761A">
            <w:pPr>
              <w:rPr>
                <w:sz w:val="22"/>
                <w:u w:val="double"/>
              </w:rPr>
            </w:pPr>
            <w:r w:rsidRPr="00902258">
              <w:rPr>
                <w:sz w:val="22"/>
                <w:u w:val="single"/>
              </w:rPr>
              <w:t> </w:t>
            </w:r>
          </w:p>
        </w:tc>
        <w:tc>
          <w:tcPr>
            <w:tcW w:w="409" w:type="dxa"/>
            <w:tcBorders>
              <w:top w:val="nil"/>
              <w:left w:val="nil"/>
              <w:bottom w:val="nil"/>
              <w:right w:val="single" w:sz="8" w:space="0" w:color="auto"/>
            </w:tcBorders>
            <w:shd w:val="clear" w:color="000000" w:fill="FFFFFF"/>
            <w:noWrap/>
            <w:vAlign w:val="bottom"/>
            <w:hideMark/>
          </w:tcPr>
          <w:p w14:paraId="3FA7DC3D" w14:textId="77777777" w:rsidR="00A9761A" w:rsidRPr="006F4322" w:rsidRDefault="00A9761A" w:rsidP="00A9761A">
            <w:pPr>
              <w:rPr>
                <w:color w:val="000000"/>
                <w:sz w:val="22"/>
              </w:rPr>
            </w:pPr>
            <w:r w:rsidRPr="006F4322">
              <w:rPr>
                <w:color w:val="000000"/>
                <w:sz w:val="22"/>
              </w:rPr>
              <w:t> </w:t>
            </w:r>
          </w:p>
        </w:tc>
      </w:tr>
      <w:tr w:rsidR="00A9761A" w:rsidRPr="006F4322" w14:paraId="78D9BFA5"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F71F0A4" w14:textId="77777777" w:rsidR="00A9761A" w:rsidRPr="006F4322" w:rsidRDefault="00A9761A" w:rsidP="00A9761A">
            <w:pPr>
              <w:rPr>
                <w:color w:val="000000"/>
                <w:sz w:val="22"/>
              </w:rPr>
            </w:pPr>
            <w:r>
              <w:rPr>
                <w:color w:val="000000"/>
                <w:sz w:val="22"/>
              </w:rPr>
              <w:t>13</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11299F5E" w14:textId="77777777" w:rsidR="00A9761A" w:rsidRPr="006F4322" w:rsidRDefault="00A9761A" w:rsidP="00A9761A">
            <w:pPr>
              <w:rPr>
                <w:color w:val="000000"/>
                <w:sz w:val="22"/>
              </w:rPr>
            </w:pPr>
            <w:r w:rsidRPr="006F4322">
              <w:rPr>
                <w:color w:val="000000"/>
                <w:sz w:val="22"/>
              </w:rPr>
              <w:t>Rate Case Expense (665 / 765)</w:t>
            </w:r>
          </w:p>
        </w:tc>
        <w:tc>
          <w:tcPr>
            <w:tcW w:w="1499" w:type="dxa"/>
            <w:gridSpan w:val="2"/>
            <w:tcBorders>
              <w:top w:val="nil"/>
              <w:left w:val="nil"/>
              <w:bottom w:val="nil"/>
              <w:right w:val="nil"/>
            </w:tcBorders>
            <w:shd w:val="clear" w:color="000000" w:fill="FFFFFF"/>
            <w:noWrap/>
            <w:vAlign w:val="bottom"/>
            <w:hideMark/>
          </w:tcPr>
          <w:p w14:paraId="04D3A02F"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45B4E60B"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47EA0BF6" w14:textId="77777777" w:rsidR="00A9761A" w:rsidRPr="006F4322" w:rsidRDefault="00A9761A" w:rsidP="00A9761A">
            <w:pPr>
              <w:rPr>
                <w:color w:val="000000"/>
                <w:sz w:val="22"/>
              </w:rPr>
            </w:pPr>
            <w:r w:rsidRPr="006F4322">
              <w:rPr>
                <w:color w:val="000000"/>
                <w:sz w:val="22"/>
              </w:rPr>
              <w:t> </w:t>
            </w:r>
          </w:p>
        </w:tc>
      </w:tr>
      <w:tr w:rsidR="00A9761A" w:rsidRPr="006F4322" w14:paraId="56E076E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49A10A1"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57CDBB6" w14:textId="77777777" w:rsidR="00A9761A" w:rsidRPr="006F4322" w:rsidRDefault="00A9761A" w:rsidP="00A9761A">
            <w:pPr>
              <w:rPr>
                <w:color w:val="000000"/>
                <w:sz w:val="22"/>
              </w:rPr>
            </w:pPr>
            <w:r w:rsidRPr="006F4322">
              <w:rPr>
                <w:color w:val="000000"/>
                <w:sz w:val="22"/>
              </w:rPr>
              <w:t>To reflect 1/4 rate case expense.</w:t>
            </w:r>
          </w:p>
        </w:tc>
        <w:tc>
          <w:tcPr>
            <w:tcW w:w="1499" w:type="dxa"/>
            <w:gridSpan w:val="2"/>
            <w:tcBorders>
              <w:top w:val="nil"/>
              <w:left w:val="nil"/>
              <w:bottom w:val="nil"/>
              <w:right w:val="nil"/>
            </w:tcBorders>
            <w:shd w:val="clear" w:color="000000" w:fill="FFFFFF"/>
            <w:noWrap/>
            <w:vAlign w:val="bottom"/>
            <w:hideMark/>
          </w:tcPr>
          <w:p w14:paraId="1205AC30" w14:textId="77777777" w:rsidR="00A9761A" w:rsidRPr="00902258" w:rsidRDefault="00A9761A" w:rsidP="00A9761A">
            <w:pPr>
              <w:jc w:val="right"/>
              <w:rPr>
                <w:sz w:val="22"/>
                <w:u w:val="double"/>
              </w:rPr>
            </w:pPr>
            <w:r w:rsidRPr="00902258">
              <w:rPr>
                <w:sz w:val="22"/>
                <w:u w:val="double"/>
              </w:rPr>
              <w:t xml:space="preserve">$6,179 </w:t>
            </w:r>
          </w:p>
        </w:tc>
        <w:tc>
          <w:tcPr>
            <w:tcW w:w="2025" w:type="dxa"/>
            <w:tcBorders>
              <w:top w:val="nil"/>
              <w:left w:val="nil"/>
              <w:bottom w:val="nil"/>
              <w:right w:val="nil"/>
            </w:tcBorders>
            <w:shd w:val="clear" w:color="000000" w:fill="FFFFFF"/>
            <w:noWrap/>
            <w:vAlign w:val="bottom"/>
            <w:hideMark/>
          </w:tcPr>
          <w:p w14:paraId="7EAB6375" w14:textId="77777777" w:rsidR="00A9761A" w:rsidRPr="00902258" w:rsidRDefault="00A9761A" w:rsidP="00A9761A">
            <w:pPr>
              <w:jc w:val="right"/>
              <w:rPr>
                <w:sz w:val="22"/>
                <w:u w:val="double"/>
              </w:rPr>
            </w:pPr>
            <w:r w:rsidRPr="00902258">
              <w:rPr>
                <w:sz w:val="22"/>
                <w:u w:val="double"/>
              </w:rPr>
              <w:t xml:space="preserve">$3,823 </w:t>
            </w:r>
          </w:p>
        </w:tc>
        <w:tc>
          <w:tcPr>
            <w:tcW w:w="409" w:type="dxa"/>
            <w:tcBorders>
              <w:top w:val="nil"/>
              <w:left w:val="nil"/>
              <w:bottom w:val="nil"/>
              <w:right w:val="single" w:sz="8" w:space="0" w:color="auto"/>
            </w:tcBorders>
            <w:shd w:val="clear" w:color="000000" w:fill="FFFFFF"/>
            <w:noWrap/>
            <w:vAlign w:val="bottom"/>
            <w:hideMark/>
          </w:tcPr>
          <w:p w14:paraId="10137E49" w14:textId="77777777" w:rsidR="00A9761A" w:rsidRPr="006F4322" w:rsidRDefault="00A9761A" w:rsidP="00A9761A">
            <w:pPr>
              <w:rPr>
                <w:color w:val="000000"/>
                <w:sz w:val="22"/>
              </w:rPr>
            </w:pPr>
            <w:r w:rsidRPr="006F4322">
              <w:rPr>
                <w:color w:val="000000"/>
                <w:sz w:val="22"/>
              </w:rPr>
              <w:t> </w:t>
            </w:r>
          </w:p>
        </w:tc>
      </w:tr>
      <w:tr w:rsidR="00A9761A" w:rsidRPr="006F4322" w14:paraId="7894FCF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7C3D9710"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61D92E48"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63D16888"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73A40437"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7642B7E0" w14:textId="77777777" w:rsidR="00A9761A" w:rsidRPr="006F4322" w:rsidRDefault="00A9761A" w:rsidP="00A9761A">
            <w:pPr>
              <w:rPr>
                <w:color w:val="000000"/>
                <w:sz w:val="22"/>
              </w:rPr>
            </w:pPr>
            <w:r w:rsidRPr="006F4322">
              <w:rPr>
                <w:color w:val="000000"/>
                <w:sz w:val="22"/>
              </w:rPr>
              <w:t> </w:t>
            </w:r>
          </w:p>
        </w:tc>
      </w:tr>
      <w:tr w:rsidR="00A9761A" w:rsidRPr="006F4322" w14:paraId="53A87CD9"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6BA766A" w14:textId="77777777" w:rsidR="00A9761A" w:rsidRPr="006F4322" w:rsidRDefault="00A9761A" w:rsidP="00A9761A">
            <w:pPr>
              <w:rPr>
                <w:color w:val="000000"/>
                <w:sz w:val="22"/>
              </w:rPr>
            </w:pPr>
            <w:r>
              <w:rPr>
                <w:color w:val="000000"/>
                <w:sz w:val="22"/>
              </w:rPr>
              <w:t>14</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3A5D87C4" w14:textId="77777777" w:rsidR="00A9761A" w:rsidRPr="006F4322" w:rsidRDefault="00A9761A" w:rsidP="00A9761A">
            <w:pPr>
              <w:rPr>
                <w:color w:val="000000"/>
                <w:sz w:val="22"/>
              </w:rPr>
            </w:pPr>
            <w:r w:rsidRPr="006F4322">
              <w:rPr>
                <w:color w:val="000000"/>
                <w:sz w:val="22"/>
              </w:rPr>
              <w:t>Bad Debt Expense (670 / 770)</w:t>
            </w:r>
          </w:p>
        </w:tc>
        <w:tc>
          <w:tcPr>
            <w:tcW w:w="1499" w:type="dxa"/>
            <w:gridSpan w:val="2"/>
            <w:tcBorders>
              <w:top w:val="nil"/>
              <w:left w:val="nil"/>
              <w:bottom w:val="nil"/>
              <w:right w:val="nil"/>
            </w:tcBorders>
            <w:shd w:val="clear" w:color="000000" w:fill="FFFFFF"/>
            <w:noWrap/>
            <w:vAlign w:val="bottom"/>
            <w:hideMark/>
          </w:tcPr>
          <w:p w14:paraId="312E3A14"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5576DCDE"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4C04150D" w14:textId="77777777" w:rsidR="00A9761A" w:rsidRPr="006F4322" w:rsidRDefault="00A9761A" w:rsidP="00A9761A">
            <w:pPr>
              <w:rPr>
                <w:color w:val="000000"/>
                <w:sz w:val="22"/>
              </w:rPr>
            </w:pPr>
            <w:r w:rsidRPr="006F4322">
              <w:rPr>
                <w:color w:val="000000"/>
                <w:sz w:val="22"/>
              </w:rPr>
              <w:t> </w:t>
            </w:r>
          </w:p>
        </w:tc>
      </w:tr>
      <w:tr w:rsidR="00A9761A" w:rsidRPr="006F4322" w14:paraId="2F14D754"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1CA649B"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4C8244A2" w14:textId="77777777" w:rsidR="00A9761A" w:rsidRPr="006F4322" w:rsidRDefault="00A9761A" w:rsidP="00A9761A">
            <w:pPr>
              <w:rPr>
                <w:color w:val="000000"/>
                <w:sz w:val="22"/>
              </w:rPr>
            </w:pPr>
            <w:r w:rsidRPr="006F4322">
              <w:rPr>
                <w:color w:val="000000"/>
                <w:sz w:val="22"/>
              </w:rPr>
              <w:t>To reflect 1.0 percent of test year revenues.</w:t>
            </w:r>
          </w:p>
        </w:tc>
        <w:tc>
          <w:tcPr>
            <w:tcW w:w="1499" w:type="dxa"/>
            <w:gridSpan w:val="2"/>
            <w:tcBorders>
              <w:top w:val="nil"/>
              <w:left w:val="nil"/>
              <w:bottom w:val="nil"/>
              <w:right w:val="nil"/>
            </w:tcBorders>
            <w:shd w:val="clear" w:color="000000" w:fill="FFFFFF"/>
            <w:noWrap/>
            <w:vAlign w:val="bottom"/>
            <w:hideMark/>
          </w:tcPr>
          <w:p w14:paraId="3C8FC8C8" w14:textId="77777777" w:rsidR="00A9761A" w:rsidRPr="00902258" w:rsidRDefault="00A9761A" w:rsidP="00A9761A">
            <w:pPr>
              <w:jc w:val="right"/>
              <w:rPr>
                <w:sz w:val="22"/>
                <w:u w:val="double"/>
              </w:rPr>
            </w:pPr>
            <w:r w:rsidRPr="00902258">
              <w:rPr>
                <w:sz w:val="22"/>
                <w:u w:val="double"/>
              </w:rPr>
              <w:t xml:space="preserve">$2,915 </w:t>
            </w:r>
          </w:p>
        </w:tc>
        <w:tc>
          <w:tcPr>
            <w:tcW w:w="2025" w:type="dxa"/>
            <w:tcBorders>
              <w:top w:val="nil"/>
              <w:left w:val="nil"/>
              <w:bottom w:val="nil"/>
              <w:right w:val="nil"/>
            </w:tcBorders>
            <w:shd w:val="clear" w:color="000000" w:fill="FFFFFF"/>
            <w:noWrap/>
            <w:vAlign w:val="bottom"/>
            <w:hideMark/>
          </w:tcPr>
          <w:p w14:paraId="73166789" w14:textId="77777777" w:rsidR="00A9761A" w:rsidRPr="00902258" w:rsidRDefault="00A9761A" w:rsidP="00A9761A">
            <w:pPr>
              <w:jc w:val="right"/>
              <w:rPr>
                <w:sz w:val="22"/>
                <w:u w:val="double"/>
              </w:rPr>
            </w:pPr>
            <w:r w:rsidRPr="00902258">
              <w:rPr>
                <w:sz w:val="22"/>
                <w:u w:val="double"/>
              </w:rPr>
              <w:t xml:space="preserve">$2,540 </w:t>
            </w:r>
          </w:p>
        </w:tc>
        <w:tc>
          <w:tcPr>
            <w:tcW w:w="409" w:type="dxa"/>
            <w:tcBorders>
              <w:top w:val="nil"/>
              <w:left w:val="nil"/>
              <w:bottom w:val="nil"/>
              <w:right w:val="single" w:sz="8" w:space="0" w:color="auto"/>
            </w:tcBorders>
            <w:shd w:val="clear" w:color="000000" w:fill="FFFFFF"/>
            <w:noWrap/>
            <w:vAlign w:val="bottom"/>
            <w:hideMark/>
          </w:tcPr>
          <w:p w14:paraId="3D8EEC87" w14:textId="77777777" w:rsidR="00A9761A" w:rsidRPr="006F4322" w:rsidRDefault="00A9761A" w:rsidP="00A9761A">
            <w:pPr>
              <w:rPr>
                <w:color w:val="000000"/>
                <w:sz w:val="22"/>
              </w:rPr>
            </w:pPr>
            <w:r w:rsidRPr="006F4322">
              <w:rPr>
                <w:color w:val="000000"/>
                <w:sz w:val="22"/>
              </w:rPr>
              <w:t> </w:t>
            </w:r>
          </w:p>
        </w:tc>
      </w:tr>
      <w:tr w:rsidR="00A9761A" w:rsidRPr="006F4322" w14:paraId="01826F6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D9574A7"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9A8FAEA"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62AED173"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67A61F16"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6B0387ED" w14:textId="77777777" w:rsidR="00A9761A" w:rsidRPr="006F4322" w:rsidRDefault="00A9761A" w:rsidP="00A9761A">
            <w:pPr>
              <w:rPr>
                <w:color w:val="000000"/>
                <w:sz w:val="22"/>
              </w:rPr>
            </w:pPr>
            <w:r w:rsidRPr="006F4322">
              <w:rPr>
                <w:color w:val="000000"/>
                <w:sz w:val="22"/>
              </w:rPr>
              <w:t> </w:t>
            </w:r>
          </w:p>
        </w:tc>
      </w:tr>
      <w:tr w:rsidR="00A9761A" w:rsidRPr="006F4322" w14:paraId="21646B14"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3F7C5D1" w14:textId="77777777" w:rsidR="00A9761A" w:rsidRPr="006F4322" w:rsidRDefault="00A9761A" w:rsidP="00A9761A">
            <w:pPr>
              <w:rPr>
                <w:color w:val="000000"/>
                <w:sz w:val="22"/>
              </w:rPr>
            </w:pPr>
            <w:r>
              <w:rPr>
                <w:color w:val="000000"/>
                <w:sz w:val="22"/>
              </w:rPr>
              <w:t>15</w:t>
            </w:r>
            <w:r w:rsidRPr="006F4322">
              <w:rPr>
                <w:color w:val="000000"/>
                <w:sz w:val="22"/>
              </w:rPr>
              <w:t>.</w:t>
            </w:r>
          </w:p>
        </w:tc>
        <w:tc>
          <w:tcPr>
            <w:tcW w:w="6184" w:type="dxa"/>
            <w:tcBorders>
              <w:top w:val="nil"/>
              <w:left w:val="nil"/>
              <w:bottom w:val="nil"/>
              <w:right w:val="nil"/>
            </w:tcBorders>
            <w:shd w:val="clear" w:color="000000" w:fill="FFFFFF"/>
            <w:noWrap/>
            <w:vAlign w:val="bottom"/>
            <w:hideMark/>
          </w:tcPr>
          <w:p w14:paraId="536C93C8" w14:textId="77777777" w:rsidR="00A9761A" w:rsidRPr="006F4322" w:rsidRDefault="00A9761A" w:rsidP="00A9761A">
            <w:pPr>
              <w:rPr>
                <w:color w:val="000000"/>
                <w:sz w:val="22"/>
              </w:rPr>
            </w:pPr>
            <w:r w:rsidRPr="006F4322">
              <w:rPr>
                <w:color w:val="000000"/>
                <w:sz w:val="22"/>
              </w:rPr>
              <w:t>Miscellaneous Expense (675)</w:t>
            </w:r>
          </w:p>
        </w:tc>
        <w:tc>
          <w:tcPr>
            <w:tcW w:w="1499" w:type="dxa"/>
            <w:gridSpan w:val="2"/>
            <w:tcBorders>
              <w:top w:val="nil"/>
              <w:left w:val="nil"/>
              <w:bottom w:val="nil"/>
              <w:right w:val="nil"/>
            </w:tcBorders>
            <w:shd w:val="clear" w:color="000000" w:fill="FFFFFF"/>
            <w:noWrap/>
            <w:vAlign w:val="bottom"/>
            <w:hideMark/>
          </w:tcPr>
          <w:p w14:paraId="076E2F1E"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291242C1"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3C97AA13" w14:textId="77777777" w:rsidR="00A9761A" w:rsidRPr="006F4322" w:rsidRDefault="00A9761A" w:rsidP="00A9761A">
            <w:pPr>
              <w:rPr>
                <w:color w:val="000000"/>
                <w:sz w:val="22"/>
              </w:rPr>
            </w:pPr>
            <w:r w:rsidRPr="006F4322">
              <w:rPr>
                <w:color w:val="000000"/>
                <w:sz w:val="22"/>
              </w:rPr>
              <w:t> </w:t>
            </w:r>
          </w:p>
        </w:tc>
      </w:tr>
      <w:tr w:rsidR="00A9761A" w:rsidRPr="006F4322" w14:paraId="050744A4"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246C9F61"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762B2028" w14:textId="77777777" w:rsidR="00A9761A" w:rsidRPr="006F4322" w:rsidRDefault="00A9761A" w:rsidP="00A9761A">
            <w:pPr>
              <w:rPr>
                <w:color w:val="000000"/>
                <w:sz w:val="22"/>
              </w:rPr>
            </w:pPr>
            <w:r w:rsidRPr="006F4322">
              <w:rPr>
                <w:color w:val="000000"/>
                <w:sz w:val="22"/>
              </w:rPr>
              <w:t>a. To reflect an auditing adjustment.</w:t>
            </w:r>
          </w:p>
        </w:tc>
        <w:tc>
          <w:tcPr>
            <w:tcW w:w="1499" w:type="dxa"/>
            <w:gridSpan w:val="2"/>
            <w:tcBorders>
              <w:top w:val="nil"/>
              <w:left w:val="nil"/>
              <w:bottom w:val="nil"/>
              <w:right w:val="nil"/>
            </w:tcBorders>
            <w:shd w:val="clear" w:color="000000" w:fill="FFFFFF"/>
            <w:noWrap/>
            <w:vAlign w:val="bottom"/>
            <w:hideMark/>
          </w:tcPr>
          <w:p w14:paraId="6F7D8927" w14:textId="77777777" w:rsidR="00A9761A" w:rsidRPr="00902258" w:rsidRDefault="00A9761A" w:rsidP="00A9761A">
            <w:pPr>
              <w:jc w:val="right"/>
              <w:rPr>
                <w:sz w:val="22"/>
              </w:rPr>
            </w:pPr>
            <w:r w:rsidRPr="00902258">
              <w:rPr>
                <w:sz w:val="22"/>
              </w:rPr>
              <w:t>($12,425)</w:t>
            </w:r>
          </w:p>
        </w:tc>
        <w:tc>
          <w:tcPr>
            <w:tcW w:w="2025" w:type="dxa"/>
            <w:tcBorders>
              <w:top w:val="nil"/>
              <w:left w:val="nil"/>
              <w:bottom w:val="nil"/>
              <w:right w:val="nil"/>
            </w:tcBorders>
            <w:shd w:val="clear" w:color="000000" w:fill="FFFFFF"/>
            <w:noWrap/>
            <w:vAlign w:val="bottom"/>
            <w:hideMark/>
          </w:tcPr>
          <w:p w14:paraId="3E03894A"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28B6B9EB" w14:textId="77777777" w:rsidR="00A9761A" w:rsidRPr="006F4322" w:rsidRDefault="00A9761A" w:rsidP="00A9761A">
            <w:pPr>
              <w:rPr>
                <w:color w:val="000000"/>
                <w:sz w:val="22"/>
              </w:rPr>
            </w:pPr>
            <w:r w:rsidRPr="006F4322">
              <w:rPr>
                <w:color w:val="000000"/>
                <w:sz w:val="22"/>
              </w:rPr>
              <w:t> </w:t>
            </w:r>
          </w:p>
        </w:tc>
      </w:tr>
      <w:tr w:rsidR="00A9761A" w:rsidRPr="006F4322" w14:paraId="2C961B86"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2E0FA02"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0BE3DB92"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3F6B3666"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F12C708"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E6A3C3F" w14:textId="77777777" w:rsidR="00A9761A" w:rsidRPr="006F4322" w:rsidRDefault="00A9761A" w:rsidP="00A9761A">
            <w:pPr>
              <w:rPr>
                <w:color w:val="000000"/>
                <w:sz w:val="22"/>
              </w:rPr>
            </w:pPr>
            <w:r w:rsidRPr="006F4322">
              <w:rPr>
                <w:color w:val="000000"/>
                <w:sz w:val="22"/>
              </w:rPr>
              <w:t> </w:t>
            </w:r>
          </w:p>
        </w:tc>
      </w:tr>
      <w:tr w:rsidR="00A9761A" w:rsidRPr="006F4322" w14:paraId="44C46A4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5AAA6F8"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4ED42FEA" w14:textId="77777777" w:rsidR="00A9761A" w:rsidRPr="006F4322" w:rsidRDefault="00A9761A" w:rsidP="00A9761A">
            <w:pPr>
              <w:rPr>
                <w:b/>
                <w:bCs/>
                <w:color w:val="000000"/>
                <w:sz w:val="22"/>
              </w:rPr>
            </w:pPr>
            <w:r w:rsidRPr="006F4322">
              <w:rPr>
                <w:b/>
                <w:bCs/>
                <w:color w:val="000000"/>
                <w:sz w:val="22"/>
              </w:rPr>
              <w:t>TOTAL OPERATION AND MAINTENANCE ADJUSTMENTS</w:t>
            </w:r>
          </w:p>
        </w:tc>
        <w:tc>
          <w:tcPr>
            <w:tcW w:w="1499" w:type="dxa"/>
            <w:gridSpan w:val="2"/>
            <w:tcBorders>
              <w:top w:val="nil"/>
              <w:left w:val="nil"/>
              <w:bottom w:val="nil"/>
              <w:right w:val="nil"/>
            </w:tcBorders>
            <w:shd w:val="clear" w:color="000000" w:fill="FFFFFF"/>
            <w:noWrap/>
            <w:vAlign w:val="bottom"/>
            <w:hideMark/>
          </w:tcPr>
          <w:p w14:paraId="3D3F0A36" w14:textId="77777777" w:rsidR="00A9761A" w:rsidRPr="00902258" w:rsidRDefault="00A9761A" w:rsidP="00A9761A">
            <w:pPr>
              <w:jc w:val="right"/>
              <w:rPr>
                <w:sz w:val="22"/>
                <w:u w:val="double"/>
              </w:rPr>
            </w:pPr>
            <w:r w:rsidRPr="00902258">
              <w:rPr>
                <w:sz w:val="22"/>
                <w:u w:val="double"/>
              </w:rPr>
              <w:t>($83,958)</w:t>
            </w:r>
          </w:p>
        </w:tc>
        <w:tc>
          <w:tcPr>
            <w:tcW w:w="2025" w:type="dxa"/>
            <w:tcBorders>
              <w:top w:val="nil"/>
              <w:left w:val="nil"/>
              <w:bottom w:val="nil"/>
              <w:right w:val="nil"/>
            </w:tcBorders>
            <w:shd w:val="clear" w:color="000000" w:fill="FFFFFF"/>
            <w:noWrap/>
            <w:vAlign w:val="bottom"/>
            <w:hideMark/>
          </w:tcPr>
          <w:p w14:paraId="36778A2A" w14:textId="77777777" w:rsidR="00A9761A" w:rsidRPr="00902258" w:rsidRDefault="00A9761A" w:rsidP="00A9761A">
            <w:pPr>
              <w:jc w:val="right"/>
              <w:rPr>
                <w:sz w:val="22"/>
                <w:u w:val="double"/>
              </w:rPr>
            </w:pPr>
            <w:r w:rsidRPr="00902258">
              <w:rPr>
                <w:sz w:val="22"/>
                <w:u w:val="double"/>
              </w:rPr>
              <w:t>($164,216)</w:t>
            </w:r>
          </w:p>
        </w:tc>
        <w:tc>
          <w:tcPr>
            <w:tcW w:w="409" w:type="dxa"/>
            <w:tcBorders>
              <w:top w:val="nil"/>
              <w:left w:val="nil"/>
              <w:bottom w:val="nil"/>
              <w:right w:val="single" w:sz="8" w:space="0" w:color="auto"/>
            </w:tcBorders>
            <w:shd w:val="clear" w:color="000000" w:fill="FFFFFF"/>
            <w:noWrap/>
            <w:vAlign w:val="bottom"/>
            <w:hideMark/>
          </w:tcPr>
          <w:p w14:paraId="22FC5137" w14:textId="77777777" w:rsidR="00A9761A" w:rsidRPr="006F4322" w:rsidRDefault="00A9761A" w:rsidP="00A9761A">
            <w:pPr>
              <w:rPr>
                <w:color w:val="000000"/>
                <w:sz w:val="22"/>
              </w:rPr>
            </w:pPr>
            <w:r w:rsidRPr="006F4322">
              <w:rPr>
                <w:color w:val="000000"/>
                <w:sz w:val="22"/>
              </w:rPr>
              <w:t> </w:t>
            </w:r>
          </w:p>
        </w:tc>
      </w:tr>
      <w:tr w:rsidR="00A9761A" w:rsidRPr="006F4322" w14:paraId="3559C9F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E2EABBE"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1F7F7277"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7756FBEB"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5F0B6B84"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4289E9D" w14:textId="77777777" w:rsidR="00A9761A" w:rsidRPr="006F4322" w:rsidRDefault="00A9761A" w:rsidP="00A9761A">
            <w:pPr>
              <w:rPr>
                <w:color w:val="000000"/>
                <w:sz w:val="22"/>
              </w:rPr>
            </w:pPr>
            <w:r w:rsidRPr="006F4322">
              <w:rPr>
                <w:color w:val="000000"/>
                <w:sz w:val="22"/>
              </w:rPr>
              <w:t> </w:t>
            </w:r>
          </w:p>
        </w:tc>
      </w:tr>
      <w:tr w:rsidR="00A9761A" w:rsidRPr="006F4322" w14:paraId="4A298437"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0A52BBE"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6B8C0844" w14:textId="77777777" w:rsidR="00A9761A" w:rsidRPr="006F4322" w:rsidRDefault="00A9761A" w:rsidP="00A9761A">
            <w:pPr>
              <w:rPr>
                <w:b/>
                <w:bCs/>
                <w:color w:val="000000"/>
                <w:sz w:val="22"/>
              </w:rPr>
            </w:pPr>
            <w:r w:rsidRPr="006F4322">
              <w:rPr>
                <w:b/>
                <w:bCs/>
                <w:color w:val="000000"/>
                <w:sz w:val="22"/>
              </w:rPr>
              <w:t>DEPRECIATION EXPENSE</w:t>
            </w:r>
          </w:p>
        </w:tc>
        <w:tc>
          <w:tcPr>
            <w:tcW w:w="1499" w:type="dxa"/>
            <w:gridSpan w:val="2"/>
            <w:tcBorders>
              <w:top w:val="nil"/>
              <w:left w:val="nil"/>
              <w:bottom w:val="nil"/>
              <w:right w:val="nil"/>
            </w:tcBorders>
            <w:shd w:val="clear" w:color="000000" w:fill="FFFFFF"/>
            <w:noWrap/>
            <w:vAlign w:val="bottom"/>
            <w:hideMark/>
          </w:tcPr>
          <w:p w14:paraId="7625F649"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296649C7"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5429297D" w14:textId="77777777" w:rsidR="00A9761A" w:rsidRPr="006F4322" w:rsidRDefault="00A9761A" w:rsidP="00A9761A">
            <w:pPr>
              <w:rPr>
                <w:color w:val="000000"/>
                <w:sz w:val="22"/>
              </w:rPr>
            </w:pPr>
            <w:r w:rsidRPr="006F4322">
              <w:rPr>
                <w:color w:val="000000"/>
                <w:sz w:val="22"/>
              </w:rPr>
              <w:t> </w:t>
            </w:r>
          </w:p>
        </w:tc>
      </w:tr>
      <w:tr w:rsidR="00A9761A" w:rsidRPr="006F4322" w14:paraId="008236EF"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5C209B9" w14:textId="77777777" w:rsidR="00A9761A" w:rsidRPr="006F4322" w:rsidRDefault="00A9761A" w:rsidP="00A9761A">
            <w:pPr>
              <w:rPr>
                <w:color w:val="000000"/>
                <w:sz w:val="22"/>
              </w:rPr>
            </w:pPr>
            <w:r w:rsidRPr="006F4322">
              <w:rPr>
                <w:color w:val="000000"/>
                <w:sz w:val="22"/>
              </w:rPr>
              <w:t>1.</w:t>
            </w:r>
          </w:p>
        </w:tc>
        <w:tc>
          <w:tcPr>
            <w:tcW w:w="6184" w:type="dxa"/>
            <w:tcBorders>
              <w:top w:val="nil"/>
              <w:left w:val="nil"/>
              <w:bottom w:val="nil"/>
              <w:right w:val="nil"/>
            </w:tcBorders>
            <w:shd w:val="clear" w:color="000000" w:fill="FFFFFF"/>
            <w:noWrap/>
            <w:vAlign w:val="bottom"/>
            <w:hideMark/>
          </w:tcPr>
          <w:p w14:paraId="6FFBCC94" w14:textId="77777777" w:rsidR="00A9761A" w:rsidRPr="006F4322" w:rsidRDefault="00A9761A" w:rsidP="00A9761A">
            <w:pPr>
              <w:rPr>
                <w:color w:val="000000"/>
                <w:sz w:val="22"/>
              </w:rPr>
            </w:pPr>
            <w:r w:rsidRPr="006F4322">
              <w:rPr>
                <w:color w:val="000000"/>
                <w:sz w:val="22"/>
              </w:rPr>
              <w:t>To reflect appropriate depreciation expenses.</w:t>
            </w:r>
          </w:p>
        </w:tc>
        <w:tc>
          <w:tcPr>
            <w:tcW w:w="1499" w:type="dxa"/>
            <w:gridSpan w:val="2"/>
            <w:tcBorders>
              <w:top w:val="nil"/>
              <w:left w:val="nil"/>
              <w:bottom w:val="nil"/>
              <w:right w:val="nil"/>
            </w:tcBorders>
            <w:shd w:val="clear" w:color="000000" w:fill="FFFFFF"/>
            <w:noWrap/>
            <w:vAlign w:val="bottom"/>
            <w:hideMark/>
          </w:tcPr>
          <w:p w14:paraId="29E449D2" w14:textId="77777777" w:rsidR="00A9761A" w:rsidRPr="00902258" w:rsidRDefault="00A9761A" w:rsidP="00A9761A">
            <w:pPr>
              <w:jc w:val="right"/>
              <w:rPr>
                <w:sz w:val="22"/>
              </w:rPr>
            </w:pPr>
            <w:r w:rsidRPr="00902258">
              <w:rPr>
                <w:sz w:val="22"/>
              </w:rPr>
              <w:t>($21,007)</w:t>
            </w:r>
          </w:p>
        </w:tc>
        <w:tc>
          <w:tcPr>
            <w:tcW w:w="2025" w:type="dxa"/>
            <w:tcBorders>
              <w:top w:val="nil"/>
              <w:left w:val="nil"/>
              <w:bottom w:val="nil"/>
              <w:right w:val="nil"/>
            </w:tcBorders>
            <w:shd w:val="clear" w:color="000000" w:fill="FFFFFF"/>
            <w:noWrap/>
            <w:vAlign w:val="bottom"/>
            <w:hideMark/>
          </w:tcPr>
          <w:p w14:paraId="35F0C11A" w14:textId="77777777" w:rsidR="00A9761A" w:rsidRPr="00902258" w:rsidRDefault="00A9761A" w:rsidP="00A9761A">
            <w:pPr>
              <w:jc w:val="right"/>
              <w:rPr>
                <w:sz w:val="22"/>
              </w:rPr>
            </w:pPr>
            <w:r w:rsidRPr="00902258">
              <w:rPr>
                <w:sz w:val="22"/>
              </w:rPr>
              <w:t>($8,378)</w:t>
            </w:r>
          </w:p>
        </w:tc>
        <w:tc>
          <w:tcPr>
            <w:tcW w:w="409" w:type="dxa"/>
            <w:tcBorders>
              <w:top w:val="nil"/>
              <w:left w:val="nil"/>
              <w:bottom w:val="nil"/>
              <w:right w:val="single" w:sz="8" w:space="0" w:color="auto"/>
            </w:tcBorders>
            <w:shd w:val="clear" w:color="000000" w:fill="FFFFFF"/>
            <w:noWrap/>
            <w:vAlign w:val="bottom"/>
            <w:hideMark/>
          </w:tcPr>
          <w:p w14:paraId="702CC4AE" w14:textId="77777777" w:rsidR="00A9761A" w:rsidRPr="006F4322" w:rsidRDefault="00A9761A" w:rsidP="00A9761A">
            <w:pPr>
              <w:rPr>
                <w:color w:val="000000"/>
                <w:sz w:val="22"/>
              </w:rPr>
            </w:pPr>
            <w:r w:rsidRPr="006F4322">
              <w:rPr>
                <w:color w:val="000000"/>
                <w:sz w:val="22"/>
              </w:rPr>
              <w:t> </w:t>
            </w:r>
          </w:p>
        </w:tc>
      </w:tr>
      <w:tr w:rsidR="00A9761A" w:rsidRPr="006F4322" w14:paraId="633095C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E821BB5" w14:textId="77777777" w:rsidR="00A9761A" w:rsidRPr="006F4322" w:rsidRDefault="00A9761A" w:rsidP="00A9761A">
            <w:pPr>
              <w:rPr>
                <w:color w:val="000000"/>
                <w:sz w:val="22"/>
              </w:rPr>
            </w:pPr>
            <w:r w:rsidRPr="006F4322">
              <w:rPr>
                <w:color w:val="000000"/>
                <w:sz w:val="22"/>
              </w:rPr>
              <w:t>2.</w:t>
            </w:r>
          </w:p>
        </w:tc>
        <w:tc>
          <w:tcPr>
            <w:tcW w:w="6184" w:type="dxa"/>
            <w:tcBorders>
              <w:top w:val="nil"/>
              <w:left w:val="nil"/>
              <w:bottom w:val="nil"/>
              <w:right w:val="nil"/>
            </w:tcBorders>
            <w:shd w:val="clear" w:color="000000" w:fill="FFFFFF"/>
            <w:noWrap/>
            <w:vAlign w:val="bottom"/>
            <w:hideMark/>
          </w:tcPr>
          <w:p w14:paraId="006DC108" w14:textId="77777777" w:rsidR="00A9761A" w:rsidRPr="006F4322" w:rsidRDefault="00A9761A" w:rsidP="00A9761A">
            <w:pPr>
              <w:rPr>
                <w:color w:val="000000"/>
                <w:sz w:val="22"/>
              </w:rPr>
            </w:pPr>
            <w:r w:rsidRPr="006F4322">
              <w:rPr>
                <w:color w:val="000000"/>
                <w:sz w:val="22"/>
              </w:rPr>
              <w:t>To reflect pro forma additions.</w:t>
            </w:r>
          </w:p>
        </w:tc>
        <w:tc>
          <w:tcPr>
            <w:tcW w:w="1499" w:type="dxa"/>
            <w:gridSpan w:val="2"/>
            <w:tcBorders>
              <w:top w:val="nil"/>
              <w:left w:val="nil"/>
              <w:bottom w:val="nil"/>
              <w:right w:val="nil"/>
            </w:tcBorders>
            <w:shd w:val="clear" w:color="000000" w:fill="FFFFFF"/>
            <w:noWrap/>
            <w:vAlign w:val="bottom"/>
            <w:hideMark/>
          </w:tcPr>
          <w:p w14:paraId="0D92F975" w14:textId="77777777" w:rsidR="00A9761A" w:rsidRPr="00902258" w:rsidRDefault="00A9761A" w:rsidP="00A9761A">
            <w:pPr>
              <w:jc w:val="right"/>
              <w:rPr>
                <w:sz w:val="22"/>
                <w:u w:val="single"/>
              </w:rPr>
            </w:pPr>
            <w:r w:rsidRPr="00902258">
              <w:rPr>
                <w:sz w:val="22"/>
                <w:u w:val="single"/>
              </w:rPr>
              <w:t xml:space="preserve">58,143 </w:t>
            </w:r>
          </w:p>
        </w:tc>
        <w:tc>
          <w:tcPr>
            <w:tcW w:w="2025" w:type="dxa"/>
            <w:tcBorders>
              <w:top w:val="nil"/>
              <w:left w:val="nil"/>
              <w:bottom w:val="nil"/>
              <w:right w:val="nil"/>
            </w:tcBorders>
            <w:shd w:val="clear" w:color="000000" w:fill="FFFFFF"/>
            <w:noWrap/>
            <w:vAlign w:val="bottom"/>
            <w:hideMark/>
          </w:tcPr>
          <w:p w14:paraId="5A78B969" w14:textId="77777777" w:rsidR="00A9761A" w:rsidRPr="00902258" w:rsidRDefault="00A9761A" w:rsidP="00A9761A">
            <w:pPr>
              <w:jc w:val="right"/>
              <w:rPr>
                <w:sz w:val="22"/>
                <w:u w:val="single"/>
              </w:rPr>
            </w:pPr>
            <w:r w:rsidRPr="00902258">
              <w:rPr>
                <w:sz w:val="22"/>
                <w:u w:val="single"/>
              </w:rPr>
              <w:t xml:space="preserve">47,694 </w:t>
            </w:r>
          </w:p>
        </w:tc>
        <w:tc>
          <w:tcPr>
            <w:tcW w:w="409" w:type="dxa"/>
            <w:tcBorders>
              <w:top w:val="nil"/>
              <w:left w:val="nil"/>
              <w:bottom w:val="nil"/>
              <w:right w:val="single" w:sz="8" w:space="0" w:color="auto"/>
            </w:tcBorders>
            <w:shd w:val="clear" w:color="000000" w:fill="FFFFFF"/>
            <w:noWrap/>
            <w:vAlign w:val="bottom"/>
            <w:hideMark/>
          </w:tcPr>
          <w:p w14:paraId="646DCBCE" w14:textId="77777777" w:rsidR="00A9761A" w:rsidRPr="006F4322" w:rsidRDefault="00A9761A" w:rsidP="00A9761A">
            <w:pPr>
              <w:rPr>
                <w:color w:val="000000"/>
                <w:sz w:val="22"/>
              </w:rPr>
            </w:pPr>
            <w:r w:rsidRPr="006F4322">
              <w:rPr>
                <w:color w:val="000000"/>
                <w:sz w:val="22"/>
              </w:rPr>
              <w:t> </w:t>
            </w:r>
          </w:p>
        </w:tc>
      </w:tr>
      <w:tr w:rsidR="00A9761A" w:rsidRPr="006F4322" w14:paraId="0C42063C"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9EF8587"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4E284C0" w14:textId="77777777" w:rsidR="00A9761A" w:rsidRPr="006F4322" w:rsidRDefault="00A9761A" w:rsidP="00A9761A">
            <w:pPr>
              <w:rPr>
                <w:color w:val="000000"/>
                <w:sz w:val="22"/>
              </w:rPr>
            </w:pPr>
            <w:r w:rsidRPr="006F4322">
              <w:rPr>
                <w:color w:val="000000"/>
                <w:sz w:val="22"/>
              </w:rPr>
              <w:t xml:space="preserve">   Total</w:t>
            </w:r>
          </w:p>
        </w:tc>
        <w:tc>
          <w:tcPr>
            <w:tcW w:w="1499" w:type="dxa"/>
            <w:gridSpan w:val="2"/>
            <w:tcBorders>
              <w:top w:val="nil"/>
              <w:left w:val="nil"/>
              <w:bottom w:val="nil"/>
              <w:right w:val="nil"/>
            </w:tcBorders>
            <w:shd w:val="clear" w:color="000000" w:fill="FFFFFF"/>
            <w:noWrap/>
            <w:vAlign w:val="bottom"/>
            <w:hideMark/>
          </w:tcPr>
          <w:p w14:paraId="110BAB7F" w14:textId="77777777" w:rsidR="00A9761A" w:rsidRPr="00902258" w:rsidRDefault="00A9761A" w:rsidP="00A9761A">
            <w:pPr>
              <w:jc w:val="right"/>
              <w:rPr>
                <w:sz w:val="22"/>
                <w:u w:val="double"/>
              </w:rPr>
            </w:pPr>
            <w:r w:rsidRPr="00902258">
              <w:rPr>
                <w:sz w:val="22"/>
                <w:u w:val="double"/>
              </w:rPr>
              <w:t xml:space="preserve">$37,136 </w:t>
            </w:r>
          </w:p>
        </w:tc>
        <w:tc>
          <w:tcPr>
            <w:tcW w:w="2025" w:type="dxa"/>
            <w:tcBorders>
              <w:top w:val="nil"/>
              <w:left w:val="nil"/>
              <w:bottom w:val="nil"/>
              <w:right w:val="nil"/>
            </w:tcBorders>
            <w:shd w:val="clear" w:color="000000" w:fill="FFFFFF"/>
            <w:noWrap/>
            <w:vAlign w:val="bottom"/>
            <w:hideMark/>
          </w:tcPr>
          <w:p w14:paraId="07BED047" w14:textId="77777777" w:rsidR="00A9761A" w:rsidRPr="00902258" w:rsidRDefault="00A9761A" w:rsidP="00A9761A">
            <w:pPr>
              <w:jc w:val="right"/>
              <w:rPr>
                <w:sz w:val="22"/>
                <w:u w:val="double"/>
              </w:rPr>
            </w:pPr>
            <w:r w:rsidRPr="00902258">
              <w:rPr>
                <w:sz w:val="22"/>
                <w:u w:val="double"/>
              </w:rPr>
              <w:t xml:space="preserve">$39,316 </w:t>
            </w:r>
          </w:p>
        </w:tc>
        <w:tc>
          <w:tcPr>
            <w:tcW w:w="409" w:type="dxa"/>
            <w:tcBorders>
              <w:top w:val="nil"/>
              <w:left w:val="nil"/>
              <w:bottom w:val="nil"/>
              <w:right w:val="single" w:sz="8" w:space="0" w:color="auto"/>
            </w:tcBorders>
            <w:shd w:val="clear" w:color="000000" w:fill="FFFFFF"/>
            <w:noWrap/>
            <w:vAlign w:val="bottom"/>
            <w:hideMark/>
          </w:tcPr>
          <w:p w14:paraId="3E48DC8E" w14:textId="77777777" w:rsidR="00A9761A" w:rsidRPr="006F4322" w:rsidRDefault="00A9761A" w:rsidP="00A9761A">
            <w:pPr>
              <w:rPr>
                <w:color w:val="000000"/>
                <w:sz w:val="22"/>
              </w:rPr>
            </w:pPr>
            <w:r w:rsidRPr="006F4322">
              <w:rPr>
                <w:color w:val="000000"/>
                <w:sz w:val="22"/>
              </w:rPr>
              <w:t> </w:t>
            </w:r>
          </w:p>
        </w:tc>
      </w:tr>
      <w:tr w:rsidR="00A9761A" w:rsidRPr="006F4322" w14:paraId="3707D910"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5BF5ECAF"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0485DAF5"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1E2D9344" w14:textId="77777777" w:rsidR="00A9761A" w:rsidRPr="00902258" w:rsidRDefault="00A9761A" w:rsidP="00A9761A">
            <w:pPr>
              <w:rPr>
                <w:sz w:val="22"/>
                <w:u w:val="double"/>
              </w:rPr>
            </w:pPr>
            <w:r w:rsidRPr="00902258">
              <w:rPr>
                <w:sz w:val="22"/>
                <w:u w:val="single"/>
              </w:rPr>
              <w:t> </w:t>
            </w:r>
          </w:p>
        </w:tc>
        <w:tc>
          <w:tcPr>
            <w:tcW w:w="2025" w:type="dxa"/>
            <w:tcBorders>
              <w:top w:val="nil"/>
              <w:left w:val="nil"/>
              <w:bottom w:val="nil"/>
              <w:right w:val="nil"/>
            </w:tcBorders>
            <w:shd w:val="clear" w:color="000000" w:fill="FFFFFF"/>
            <w:noWrap/>
            <w:vAlign w:val="bottom"/>
            <w:hideMark/>
          </w:tcPr>
          <w:p w14:paraId="55775C43" w14:textId="77777777" w:rsidR="00A9761A" w:rsidRPr="00902258" w:rsidRDefault="00A9761A" w:rsidP="00A9761A">
            <w:pPr>
              <w:rPr>
                <w:sz w:val="22"/>
                <w:u w:val="double"/>
              </w:rPr>
            </w:pPr>
            <w:r w:rsidRPr="00902258">
              <w:rPr>
                <w:sz w:val="22"/>
                <w:u w:val="single"/>
              </w:rPr>
              <w:t> </w:t>
            </w:r>
          </w:p>
        </w:tc>
        <w:tc>
          <w:tcPr>
            <w:tcW w:w="409" w:type="dxa"/>
            <w:tcBorders>
              <w:top w:val="nil"/>
              <w:left w:val="nil"/>
              <w:bottom w:val="nil"/>
              <w:right w:val="single" w:sz="8" w:space="0" w:color="auto"/>
            </w:tcBorders>
            <w:shd w:val="clear" w:color="000000" w:fill="FFFFFF"/>
            <w:noWrap/>
            <w:vAlign w:val="bottom"/>
            <w:hideMark/>
          </w:tcPr>
          <w:p w14:paraId="5F1B57E5" w14:textId="77777777" w:rsidR="00A9761A" w:rsidRPr="006F4322" w:rsidRDefault="00A9761A" w:rsidP="00A9761A">
            <w:pPr>
              <w:rPr>
                <w:color w:val="000000"/>
                <w:sz w:val="22"/>
              </w:rPr>
            </w:pPr>
            <w:r w:rsidRPr="006F4322">
              <w:rPr>
                <w:color w:val="000000"/>
                <w:sz w:val="22"/>
              </w:rPr>
              <w:t> </w:t>
            </w:r>
          </w:p>
        </w:tc>
      </w:tr>
      <w:tr w:rsidR="00A9761A" w:rsidRPr="006F4322" w14:paraId="3D3A864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31F11BB"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19F80163" w14:textId="77777777" w:rsidR="00A9761A" w:rsidRPr="006F4322" w:rsidRDefault="00A9761A" w:rsidP="00A9761A">
            <w:pPr>
              <w:rPr>
                <w:b/>
                <w:bCs/>
                <w:color w:val="000000"/>
                <w:sz w:val="22"/>
              </w:rPr>
            </w:pPr>
            <w:r w:rsidRPr="006F4322">
              <w:rPr>
                <w:b/>
                <w:bCs/>
                <w:color w:val="000000"/>
                <w:sz w:val="22"/>
              </w:rPr>
              <w:t>AMORTIZATION EXPENSE (NET)</w:t>
            </w:r>
          </w:p>
        </w:tc>
        <w:tc>
          <w:tcPr>
            <w:tcW w:w="1499" w:type="dxa"/>
            <w:gridSpan w:val="2"/>
            <w:tcBorders>
              <w:top w:val="nil"/>
              <w:left w:val="nil"/>
              <w:bottom w:val="nil"/>
              <w:right w:val="nil"/>
            </w:tcBorders>
            <w:shd w:val="clear" w:color="000000" w:fill="FFFFFF"/>
            <w:noWrap/>
            <w:vAlign w:val="bottom"/>
            <w:hideMark/>
          </w:tcPr>
          <w:p w14:paraId="5A59ED42" w14:textId="77777777" w:rsidR="00A9761A" w:rsidRPr="00902258" w:rsidRDefault="00A9761A" w:rsidP="00A9761A">
            <w:pPr>
              <w:rPr>
                <w:sz w:val="22"/>
                <w:u w:val="double"/>
              </w:rPr>
            </w:pPr>
            <w:r w:rsidRPr="00902258">
              <w:rPr>
                <w:sz w:val="22"/>
                <w:u w:val="single"/>
              </w:rPr>
              <w:t> </w:t>
            </w:r>
          </w:p>
        </w:tc>
        <w:tc>
          <w:tcPr>
            <w:tcW w:w="2025" w:type="dxa"/>
            <w:tcBorders>
              <w:top w:val="nil"/>
              <w:left w:val="nil"/>
              <w:bottom w:val="nil"/>
              <w:right w:val="nil"/>
            </w:tcBorders>
            <w:shd w:val="clear" w:color="000000" w:fill="FFFFFF"/>
            <w:noWrap/>
            <w:vAlign w:val="bottom"/>
            <w:hideMark/>
          </w:tcPr>
          <w:p w14:paraId="46EFE2F4" w14:textId="77777777" w:rsidR="00A9761A" w:rsidRPr="00902258" w:rsidRDefault="00A9761A" w:rsidP="00A9761A">
            <w:pPr>
              <w:rPr>
                <w:sz w:val="22"/>
                <w:u w:val="double"/>
              </w:rPr>
            </w:pPr>
            <w:r w:rsidRPr="00902258">
              <w:rPr>
                <w:sz w:val="22"/>
                <w:u w:val="single"/>
              </w:rPr>
              <w:t> </w:t>
            </w:r>
          </w:p>
        </w:tc>
        <w:tc>
          <w:tcPr>
            <w:tcW w:w="409" w:type="dxa"/>
            <w:tcBorders>
              <w:top w:val="nil"/>
              <w:left w:val="nil"/>
              <w:bottom w:val="nil"/>
              <w:right w:val="single" w:sz="8" w:space="0" w:color="auto"/>
            </w:tcBorders>
            <w:shd w:val="clear" w:color="000000" w:fill="FFFFFF"/>
            <w:noWrap/>
            <w:vAlign w:val="bottom"/>
            <w:hideMark/>
          </w:tcPr>
          <w:p w14:paraId="7BE28CA5" w14:textId="77777777" w:rsidR="00A9761A" w:rsidRPr="006F4322" w:rsidRDefault="00A9761A" w:rsidP="00A9761A">
            <w:pPr>
              <w:rPr>
                <w:color w:val="000000"/>
                <w:sz w:val="22"/>
              </w:rPr>
            </w:pPr>
            <w:r w:rsidRPr="006F4322">
              <w:rPr>
                <w:color w:val="000000"/>
                <w:sz w:val="22"/>
              </w:rPr>
              <w:t> </w:t>
            </w:r>
          </w:p>
        </w:tc>
      </w:tr>
      <w:tr w:rsidR="00A9761A" w:rsidRPr="006F4322" w14:paraId="18F9E406"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93D769C" w14:textId="77777777" w:rsidR="00A9761A" w:rsidRPr="006F4322" w:rsidRDefault="00A9761A" w:rsidP="00A9761A">
            <w:pPr>
              <w:rPr>
                <w:color w:val="000000"/>
                <w:sz w:val="22"/>
              </w:rPr>
            </w:pPr>
            <w:r w:rsidRPr="006F4322">
              <w:rPr>
                <w:color w:val="000000"/>
                <w:sz w:val="22"/>
              </w:rPr>
              <w:t>1.</w:t>
            </w:r>
          </w:p>
        </w:tc>
        <w:tc>
          <w:tcPr>
            <w:tcW w:w="6184" w:type="dxa"/>
            <w:tcBorders>
              <w:top w:val="nil"/>
              <w:left w:val="nil"/>
              <w:bottom w:val="nil"/>
              <w:right w:val="nil"/>
            </w:tcBorders>
            <w:shd w:val="clear" w:color="000000" w:fill="FFFFFF"/>
            <w:noWrap/>
            <w:vAlign w:val="bottom"/>
            <w:hideMark/>
          </w:tcPr>
          <w:p w14:paraId="15FBEFFA" w14:textId="77777777" w:rsidR="00A9761A" w:rsidRPr="006F4322" w:rsidRDefault="00A9761A" w:rsidP="00A9761A">
            <w:pPr>
              <w:rPr>
                <w:color w:val="000000"/>
                <w:sz w:val="22"/>
              </w:rPr>
            </w:pPr>
            <w:r w:rsidRPr="006F4322">
              <w:rPr>
                <w:color w:val="000000"/>
                <w:sz w:val="22"/>
              </w:rPr>
              <w:t>To reflect adjustments to CIAC amortization expense</w:t>
            </w:r>
          </w:p>
        </w:tc>
        <w:tc>
          <w:tcPr>
            <w:tcW w:w="1499" w:type="dxa"/>
            <w:gridSpan w:val="2"/>
            <w:tcBorders>
              <w:top w:val="nil"/>
              <w:left w:val="nil"/>
              <w:bottom w:val="nil"/>
              <w:right w:val="nil"/>
            </w:tcBorders>
            <w:shd w:val="clear" w:color="000000" w:fill="FFFFFF"/>
            <w:noWrap/>
            <w:vAlign w:val="bottom"/>
            <w:hideMark/>
          </w:tcPr>
          <w:p w14:paraId="7D321139" w14:textId="77777777" w:rsidR="00A9761A" w:rsidRPr="00902258" w:rsidRDefault="00A9761A" w:rsidP="00A9761A">
            <w:pPr>
              <w:jc w:val="right"/>
              <w:rPr>
                <w:sz w:val="22"/>
              </w:rPr>
            </w:pPr>
            <w:r w:rsidRPr="00902258">
              <w:rPr>
                <w:sz w:val="22"/>
              </w:rPr>
              <w:t xml:space="preserve">$3,639 </w:t>
            </w:r>
          </w:p>
        </w:tc>
        <w:tc>
          <w:tcPr>
            <w:tcW w:w="2025" w:type="dxa"/>
            <w:tcBorders>
              <w:top w:val="nil"/>
              <w:left w:val="nil"/>
              <w:bottom w:val="nil"/>
              <w:right w:val="nil"/>
            </w:tcBorders>
            <w:shd w:val="clear" w:color="000000" w:fill="FFFFFF"/>
            <w:noWrap/>
            <w:vAlign w:val="bottom"/>
            <w:hideMark/>
          </w:tcPr>
          <w:p w14:paraId="04CBBBE2" w14:textId="77777777" w:rsidR="00A9761A" w:rsidRPr="00902258" w:rsidRDefault="00A9761A" w:rsidP="00A9761A">
            <w:pPr>
              <w:jc w:val="right"/>
              <w:rPr>
                <w:sz w:val="22"/>
              </w:rPr>
            </w:pPr>
            <w:r w:rsidRPr="00902258">
              <w:rPr>
                <w:sz w:val="22"/>
              </w:rPr>
              <w:t xml:space="preserve">$10,248 </w:t>
            </w:r>
          </w:p>
        </w:tc>
        <w:tc>
          <w:tcPr>
            <w:tcW w:w="409" w:type="dxa"/>
            <w:tcBorders>
              <w:top w:val="nil"/>
              <w:left w:val="nil"/>
              <w:bottom w:val="nil"/>
              <w:right w:val="single" w:sz="8" w:space="0" w:color="auto"/>
            </w:tcBorders>
            <w:shd w:val="clear" w:color="000000" w:fill="FFFFFF"/>
            <w:noWrap/>
            <w:vAlign w:val="bottom"/>
            <w:hideMark/>
          </w:tcPr>
          <w:p w14:paraId="16F39077" w14:textId="77777777" w:rsidR="00A9761A" w:rsidRPr="006F4322" w:rsidRDefault="00A9761A" w:rsidP="00A9761A">
            <w:pPr>
              <w:rPr>
                <w:color w:val="000000"/>
                <w:sz w:val="22"/>
              </w:rPr>
            </w:pPr>
            <w:r w:rsidRPr="006F4322">
              <w:rPr>
                <w:color w:val="000000"/>
                <w:sz w:val="22"/>
              </w:rPr>
              <w:t> </w:t>
            </w:r>
          </w:p>
        </w:tc>
      </w:tr>
      <w:tr w:rsidR="00A9761A" w:rsidRPr="006F4322" w14:paraId="07929940"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5AD75E6" w14:textId="77777777" w:rsidR="00A9761A" w:rsidRPr="006F4322" w:rsidRDefault="00A9761A" w:rsidP="00A9761A">
            <w:pPr>
              <w:rPr>
                <w:color w:val="000000"/>
                <w:sz w:val="22"/>
              </w:rPr>
            </w:pPr>
            <w:r w:rsidRPr="006F4322">
              <w:rPr>
                <w:color w:val="000000"/>
                <w:sz w:val="22"/>
              </w:rPr>
              <w:t>2.</w:t>
            </w:r>
          </w:p>
        </w:tc>
        <w:tc>
          <w:tcPr>
            <w:tcW w:w="6184" w:type="dxa"/>
            <w:tcBorders>
              <w:top w:val="nil"/>
              <w:left w:val="nil"/>
              <w:bottom w:val="nil"/>
              <w:right w:val="nil"/>
            </w:tcBorders>
            <w:shd w:val="clear" w:color="000000" w:fill="FFFFFF"/>
            <w:noWrap/>
            <w:vAlign w:val="bottom"/>
            <w:hideMark/>
          </w:tcPr>
          <w:p w14:paraId="2A90C97B" w14:textId="77777777" w:rsidR="00A9761A" w:rsidRPr="006F4322" w:rsidRDefault="00A9761A" w:rsidP="00A9761A">
            <w:pPr>
              <w:rPr>
                <w:color w:val="000000"/>
                <w:sz w:val="22"/>
              </w:rPr>
            </w:pPr>
            <w:r w:rsidRPr="006F4322">
              <w:rPr>
                <w:color w:val="000000"/>
                <w:sz w:val="22"/>
              </w:rPr>
              <w:t>To reflect capital amortization.</w:t>
            </w:r>
          </w:p>
        </w:tc>
        <w:tc>
          <w:tcPr>
            <w:tcW w:w="1499" w:type="dxa"/>
            <w:gridSpan w:val="2"/>
            <w:tcBorders>
              <w:top w:val="nil"/>
              <w:left w:val="nil"/>
              <w:bottom w:val="nil"/>
              <w:right w:val="nil"/>
            </w:tcBorders>
            <w:shd w:val="clear" w:color="000000" w:fill="FFFFFF"/>
            <w:noWrap/>
            <w:vAlign w:val="bottom"/>
            <w:hideMark/>
          </w:tcPr>
          <w:p w14:paraId="0F8E2DC2" w14:textId="77777777" w:rsidR="00A9761A" w:rsidRPr="00902258" w:rsidRDefault="00A9761A" w:rsidP="00A9761A">
            <w:pPr>
              <w:jc w:val="right"/>
              <w:rPr>
                <w:sz w:val="22"/>
              </w:rPr>
            </w:pPr>
            <w:r w:rsidRPr="00902258">
              <w:rPr>
                <w:sz w:val="22"/>
              </w:rPr>
              <w:t xml:space="preserve">644 </w:t>
            </w:r>
          </w:p>
        </w:tc>
        <w:tc>
          <w:tcPr>
            <w:tcW w:w="2025" w:type="dxa"/>
            <w:tcBorders>
              <w:top w:val="nil"/>
              <w:left w:val="nil"/>
              <w:bottom w:val="nil"/>
              <w:right w:val="nil"/>
            </w:tcBorders>
            <w:shd w:val="clear" w:color="000000" w:fill="FFFFFF"/>
            <w:noWrap/>
            <w:vAlign w:val="bottom"/>
            <w:hideMark/>
          </w:tcPr>
          <w:p w14:paraId="5C7E162F" w14:textId="77777777" w:rsidR="00A9761A" w:rsidRPr="00902258" w:rsidRDefault="00A9761A" w:rsidP="00A9761A">
            <w:pPr>
              <w:jc w:val="right"/>
              <w:rPr>
                <w:sz w:val="22"/>
              </w:rPr>
            </w:pPr>
            <w:r w:rsidRPr="00902258">
              <w:rPr>
                <w:sz w:val="22"/>
              </w:rPr>
              <w:t xml:space="preserve">8,011 </w:t>
            </w:r>
          </w:p>
        </w:tc>
        <w:tc>
          <w:tcPr>
            <w:tcW w:w="409" w:type="dxa"/>
            <w:tcBorders>
              <w:top w:val="nil"/>
              <w:left w:val="nil"/>
              <w:bottom w:val="nil"/>
              <w:right w:val="single" w:sz="8" w:space="0" w:color="auto"/>
            </w:tcBorders>
            <w:shd w:val="clear" w:color="000000" w:fill="FFFFFF"/>
            <w:noWrap/>
            <w:vAlign w:val="bottom"/>
            <w:hideMark/>
          </w:tcPr>
          <w:p w14:paraId="6C25F771" w14:textId="77777777" w:rsidR="00A9761A" w:rsidRPr="006F4322" w:rsidRDefault="00A9761A" w:rsidP="00A9761A">
            <w:pPr>
              <w:rPr>
                <w:color w:val="000000"/>
                <w:sz w:val="22"/>
              </w:rPr>
            </w:pPr>
            <w:r w:rsidRPr="006F4322">
              <w:rPr>
                <w:color w:val="000000"/>
                <w:sz w:val="22"/>
              </w:rPr>
              <w:t> </w:t>
            </w:r>
          </w:p>
        </w:tc>
      </w:tr>
      <w:tr w:rsidR="00A9761A" w:rsidRPr="006F4322" w14:paraId="2FD9159C"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E0DCEA5"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12BD51BB" w14:textId="77777777" w:rsidR="00A9761A" w:rsidRPr="006F4322" w:rsidRDefault="00A9761A" w:rsidP="00A9761A">
            <w:pPr>
              <w:rPr>
                <w:color w:val="000000"/>
                <w:sz w:val="22"/>
              </w:rPr>
            </w:pPr>
            <w:r w:rsidRPr="006F4322">
              <w:rPr>
                <w:color w:val="000000"/>
                <w:sz w:val="22"/>
              </w:rPr>
              <w:t xml:space="preserve">     Total</w:t>
            </w:r>
          </w:p>
        </w:tc>
        <w:tc>
          <w:tcPr>
            <w:tcW w:w="1499" w:type="dxa"/>
            <w:gridSpan w:val="2"/>
            <w:tcBorders>
              <w:top w:val="nil"/>
              <w:left w:val="nil"/>
              <w:bottom w:val="nil"/>
              <w:right w:val="nil"/>
            </w:tcBorders>
            <w:shd w:val="clear" w:color="000000" w:fill="FFFFFF"/>
            <w:noWrap/>
            <w:vAlign w:val="bottom"/>
            <w:hideMark/>
          </w:tcPr>
          <w:p w14:paraId="03F538D8" w14:textId="77777777" w:rsidR="00A9761A" w:rsidRPr="00902258" w:rsidRDefault="00A9761A" w:rsidP="00A9761A">
            <w:pPr>
              <w:jc w:val="right"/>
              <w:rPr>
                <w:sz w:val="22"/>
                <w:u w:val="double"/>
              </w:rPr>
            </w:pPr>
            <w:r w:rsidRPr="00902258">
              <w:rPr>
                <w:sz w:val="22"/>
                <w:u w:val="double"/>
              </w:rPr>
              <w:t xml:space="preserve">$4,283 </w:t>
            </w:r>
          </w:p>
        </w:tc>
        <w:tc>
          <w:tcPr>
            <w:tcW w:w="2025" w:type="dxa"/>
            <w:tcBorders>
              <w:top w:val="nil"/>
              <w:left w:val="nil"/>
              <w:bottom w:val="nil"/>
              <w:right w:val="nil"/>
            </w:tcBorders>
            <w:shd w:val="clear" w:color="000000" w:fill="FFFFFF"/>
            <w:noWrap/>
            <w:vAlign w:val="bottom"/>
            <w:hideMark/>
          </w:tcPr>
          <w:p w14:paraId="71927C00" w14:textId="77777777" w:rsidR="00A9761A" w:rsidRPr="00902258" w:rsidRDefault="00A9761A" w:rsidP="00A9761A">
            <w:pPr>
              <w:jc w:val="right"/>
              <w:rPr>
                <w:sz w:val="22"/>
                <w:u w:val="double"/>
              </w:rPr>
            </w:pPr>
            <w:r w:rsidRPr="00902258">
              <w:rPr>
                <w:sz w:val="22"/>
                <w:u w:val="double"/>
              </w:rPr>
              <w:t xml:space="preserve">$18,259 </w:t>
            </w:r>
          </w:p>
        </w:tc>
        <w:tc>
          <w:tcPr>
            <w:tcW w:w="409" w:type="dxa"/>
            <w:tcBorders>
              <w:top w:val="nil"/>
              <w:left w:val="nil"/>
              <w:bottom w:val="nil"/>
              <w:right w:val="single" w:sz="8" w:space="0" w:color="auto"/>
            </w:tcBorders>
            <w:shd w:val="clear" w:color="000000" w:fill="FFFFFF"/>
            <w:noWrap/>
            <w:vAlign w:val="bottom"/>
            <w:hideMark/>
          </w:tcPr>
          <w:p w14:paraId="1BABFB6C" w14:textId="77777777" w:rsidR="00A9761A" w:rsidRPr="006F4322" w:rsidRDefault="00A9761A" w:rsidP="00A9761A">
            <w:pPr>
              <w:rPr>
                <w:color w:val="000000"/>
                <w:sz w:val="22"/>
              </w:rPr>
            </w:pPr>
            <w:r w:rsidRPr="006F4322">
              <w:rPr>
                <w:color w:val="000000"/>
                <w:sz w:val="22"/>
              </w:rPr>
              <w:t> </w:t>
            </w:r>
          </w:p>
        </w:tc>
      </w:tr>
      <w:tr w:rsidR="00A9761A" w:rsidRPr="006F4322" w14:paraId="722EAB0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61EBE11"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46E5516"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27C30EB3"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117BD7A"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06CC99A3" w14:textId="77777777" w:rsidR="00A9761A" w:rsidRPr="006F4322" w:rsidRDefault="00A9761A" w:rsidP="00A9761A">
            <w:pPr>
              <w:rPr>
                <w:color w:val="000000"/>
                <w:sz w:val="22"/>
              </w:rPr>
            </w:pPr>
            <w:r w:rsidRPr="006F4322">
              <w:rPr>
                <w:color w:val="000000"/>
                <w:sz w:val="22"/>
              </w:rPr>
              <w:t> </w:t>
            </w:r>
          </w:p>
        </w:tc>
      </w:tr>
      <w:tr w:rsidR="00A9761A" w:rsidRPr="006F4322" w14:paraId="5E168A6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364F6D8"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35E618F" w14:textId="77777777" w:rsidR="00A9761A" w:rsidRPr="006F4322" w:rsidRDefault="00A9761A" w:rsidP="00A9761A">
            <w:pPr>
              <w:rPr>
                <w:b/>
                <w:bCs/>
                <w:color w:val="000000"/>
                <w:sz w:val="22"/>
              </w:rPr>
            </w:pPr>
            <w:r w:rsidRPr="006F4322">
              <w:rPr>
                <w:b/>
                <w:bCs/>
                <w:color w:val="000000"/>
                <w:sz w:val="22"/>
              </w:rPr>
              <w:t>TAXES OTHER THAN INCOME</w:t>
            </w:r>
          </w:p>
        </w:tc>
        <w:tc>
          <w:tcPr>
            <w:tcW w:w="1499" w:type="dxa"/>
            <w:gridSpan w:val="2"/>
            <w:tcBorders>
              <w:top w:val="nil"/>
              <w:left w:val="nil"/>
              <w:bottom w:val="nil"/>
              <w:right w:val="nil"/>
            </w:tcBorders>
            <w:shd w:val="clear" w:color="000000" w:fill="FFFFFF"/>
            <w:noWrap/>
            <w:vAlign w:val="bottom"/>
            <w:hideMark/>
          </w:tcPr>
          <w:p w14:paraId="66D1816A"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E5EB0E1"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61B45465" w14:textId="77777777" w:rsidR="00A9761A" w:rsidRPr="006F4322" w:rsidRDefault="00A9761A" w:rsidP="00A9761A">
            <w:pPr>
              <w:rPr>
                <w:color w:val="000000"/>
                <w:sz w:val="22"/>
              </w:rPr>
            </w:pPr>
            <w:r w:rsidRPr="006F4322">
              <w:rPr>
                <w:color w:val="000000"/>
                <w:sz w:val="22"/>
              </w:rPr>
              <w:t> </w:t>
            </w:r>
          </w:p>
        </w:tc>
      </w:tr>
      <w:tr w:rsidR="00A9761A" w:rsidRPr="006F4322" w14:paraId="41CF2A11"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21C92202" w14:textId="77777777" w:rsidR="00A9761A" w:rsidRPr="006F4322" w:rsidRDefault="00A9761A" w:rsidP="00A9761A">
            <w:pPr>
              <w:rPr>
                <w:color w:val="000000"/>
                <w:sz w:val="22"/>
              </w:rPr>
            </w:pPr>
            <w:r w:rsidRPr="006F4322">
              <w:rPr>
                <w:color w:val="000000"/>
                <w:sz w:val="22"/>
              </w:rPr>
              <w:t>1.</w:t>
            </w:r>
          </w:p>
        </w:tc>
        <w:tc>
          <w:tcPr>
            <w:tcW w:w="6184" w:type="dxa"/>
            <w:tcBorders>
              <w:top w:val="nil"/>
              <w:left w:val="nil"/>
              <w:bottom w:val="nil"/>
              <w:right w:val="nil"/>
            </w:tcBorders>
            <w:shd w:val="clear" w:color="000000" w:fill="FFFFFF"/>
            <w:noWrap/>
            <w:vAlign w:val="bottom"/>
            <w:hideMark/>
          </w:tcPr>
          <w:p w14:paraId="3C2A7939" w14:textId="77777777" w:rsidR="00A9761A" w:rsidRPr="006F4322" w:rsidRDefault="00A9761A" w:rsidP="00A9761A">
            <w:pPr>
              <w:rPr>
                <w:color w:val="000000"/>
                <w:sz w:val="22"/>
              </w:rPr>
            </w:pPr>
            <w:r w:rsidRPr="006F4322">
              <w:rPr>
                <w:color w:val="000000"/>
                <w:sz w:val="22"/>
              </w:rPr>
              <w:t>To reflect an aud</w:t>
            </w:r>
            <w:r>
              <w:rPr>
                <w:color w:val="000000"/>
                <w:sz w:val="22"/>
              </w:rPr>
              <w:t>i</w:t>
            </w:r>
            <w:r w:rsidRPr="006F4322">
              <w:rPr>
                <w:color w:val="000000"/>
                <w:sz w:val="22"/>
              </w:rPr>
              <w:t>ting adjustment.</w:t>
            </w:r>
          </w:p>
        </w:tc>
        <w:tc>
          <w:tcPr>
            <w:tcW w:w="1499" w:type="dxa"/>
            <w:gridSpan w:val="2"/>
            <w:tcBorders>
              <w:top w:val="nil"/>
              <w:left w:val="nil"/>
              <w:bottom w:val="nil"/>
              <w:right w:val="nil"/>
            </w:tcBorders>
            <w:shd w:val="clear" w:color="000000" w:fill="FFFFFF"/>
            <w:noWrap/>
            <w:vAlign w:val="bottom"/>
            <w:hideMark/>
          </w:tcPr>
          <w:p w14:paraId="44795906" w14:textId="77777777" w:rsidR="00A9761A" w:rsidRPr="00902258" w:rsidRDefault="00A9761A" w:rsidP="00A9761A">
            <w:pPr>
              <w:jc w:val="right"/>
              <w:rPr>
                <w:sz w:val="22"/>
              </w:rPr>
            </w:pPr>
            <w:r w:rsidRPr="00902258">
              <w:rPr>
                <w:sz w:val="22"/>
              </w:rPr>
              <w:t>($2,791)</w:t>
            </w:r>
          </w:p>
        </w:tc>
        <w:tc>
          <w:tcPr>
            <w:tcW w:w="2025" w:type="dxa"/>
            <w:tcBorders>
              <w:top w:val="nil"/>
              <w:left w:val="nil"/>
              <w:bottom w:val="nil"/>
              <w:right w:val="nil"/>
            </w:tcBorders>
            <w:shd w:val="clear" w:color="000000" w:fill="FFFFFF"/>
            <w:noWrap/>
            <w:vAlign w:val="bottom"/>
            <w:hideMark/>
          </w:tcPr>
          <w:p w14:paraId="7E59026F" w14:textId="77777777" w:rsidR="00A9761A" w:rsidRPr="00902258" w:rsidRDefault="00A9761A" w:rsidP="00A9761A">
            <w:pPr>
              <w:jc w:val="right"/>
              <w:rPr>
                <w:sz w:val="22"/>
              </w:rPr>
            </w:pPr>
            <w:r w:rsidRPr="00902258">
              <w:rPr>
                <w:sz w:val="22"/>
              </w:rPr>
              <w:t>($3,580)</w:t>
            </w:r>
          </w:p>
        </w:tc>
        <w:tc>
          <w:tcPr>
            <w:tcW w:w="409" w:type="dxa"/>
            <w:tcBorders>
              <w:top w:val="nil"/>
              <w:left w:val="nil"/>
              <w:bottom w:val="nil"/>
              <w:right w:val="single" w:sz="8" w:space="0" w:color="auto"/>
            </w:tcBorders>
            <w:shd w:val="clear" w:color="000000" w:fill="FFFFFF"/>
            <w:noWrap/>
            <w:vAlign w:val="bottom"/>
            <w:hideMark/>
          </w:tcPr>
          <w:p w14:paraId="37BF5290" w14:textId="77777777" w:rsidR="00A9761A" w:rsidRPr="006F4322" w:rsidRDefault="00A9761A" w:rsidP="00A9761A">
            <w:pPr>
              <w:rPr>
                <w:color w:val="000000"/>
                <w:sz w:val="22"/>
              </w:rPr>
            </w:pPr>
            <w:r w:rsidRPr="006F4322">
              <w:rPr>
                <w:color w:val="000000"/>
                <w:sz w:val="22"/>
              </w:rPr>
              <w:t> </w:t>
            </w:r>
          </w:p>
        </w:tc>
      </w:tr>
      <w:tr w:rsidR="00A9761A" w:rsidRPr="006F4322" w14:paraId="53B51704"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438D9A27" w14:textId="77777777" w:rsidR="00A9761A" w:rsidRPr="006F4322" w:rsidRDefault="00A9761A" w:rsidP="00A9761A">
            <w:pPr>
              <w:rPr>
                <w:color w:val="000000"/>
                <w:sz w:val="22"/>
              </w:rPr>
            </w:pPr>
            <w:r w:rsidRPr="006F4322">
              <w:rPr>
                <w:color w:val="000000"/>
                <w:sz w:val="22"/>
              </w:rPr>
              <w:t>2.</w:t>
            </w:r>
          </w:p>
        </w:tc>
        <w:tc>
          <w:tcPr>
            <w:tcW w:w="6184" w:type="dxa"/>
            <w:tcBorders>
              <w:top w:val="nil"/>
              <w:left w:val="nil"/>
              <w:bottom w:val="nil"/>
              <w:right w:val="nil"/>
            </w:tcBorders>
            <w:shd w:val="clear" w:color="000000" w:fill="FFFFFF"/>
            <w:noWrap/>
            <w:vAlign w:val="bottom"/>
            <w:hideMark/>
          </w:tcPr>
          <w:p w14:paraId="2A5FAB0D" w14:textId="77777777" w:rsidR="00A9761A" w:rsidRPr="006F4322" w:rsidRDefault="00A9761A" w:rsidP="00A9761A">
            <w:pPr>
              <w:rPr>
                <w:color w:val="000000"/>
                <w:sz w:val="22"/>
              </w:rPr>
            </w:pPr>
            <w:r w:rsidRPr="006F4322">
              <w:rPr>
                <w:color w:val="000000"/>
                <w:sz w:val="22"/>
              </w:rPr>
              <w:t>To reflect appropriate test year RAF's.</w:t>
            </w:r>
          </w:p>
        </w:tc>
        <w:tc>
          <w:tcPr>
            <w:tcW w:w="1499" w:type="dxa"/>
            <w:gridSpan w:val="2"/>
            <w:tcBorders>
              <w:top w:val="nil"/>
              <w:left w:val="nil"/>
              <w:bottom w:val="nil"/>
              <w:right w:val="nil"/>
            </w:tcBorders>
            <w:shd w:val="clear" w:color="000000" w:fill="FFFFFF"/>
            <w:noWrap/>
            <w:vAlign w:val="bottom"/>
            <w:hideMark/>
          </w:tcPr>
          <w:p w14:paraId="3331E63E" w14:textId="77777777" w:rsidR="00A9761A" w:rsidRPr="00902258" w:rsidRDefault="00A9761A" w:rsidP="00A9761A">
            <w:pPr>
              <w:jc w:val="right"/>
              <w:rPr>
                <w:sz w:val="22"/>
              </w:rPr>
            </w:pPr>
            <w:r w:rsidRPr="00902258">
              <w:rPr>
                <w:sz w:val="22"/>
              </w:rPr>
              <w:t xml:space="preserve">616 </w:t>
            </w:r>
          </w:p>
        </w:tc>
        <w:tc>
          <w:tcPr>
            <w:tcW w:w="2025" w:type="dxa"/>
            <w:tcBorders>
              <w:top w:val="nil"/>
              <w:left w:val="nil"/>
              <w:bottom w:val="nil"/>
              <w:right w:val="nil"/>
            </w:tcBorders>
            <w:shd w:val="clear" w:color="000000" w:fill="FFFFFF"/>
            <w:noWrap/>
            <w:vAlign w:val="bottom"/>
            <w:hideMark/>
          </w:tcPr>
          <w:p w14:paraId="1C5AAE2B" w14:textId="77777777" w:rsidR="00A9761A" w:rsidRPr="00902258" w:rsidRDefault="00A9761A" w:rsidP="00A9761A">
            <w:pPr>
              <w:jc w:val="right"/>
              <w:rPr>
                <w:sz w:val="22"/>
              </w:rPr>
            </w:pPr>
            <w:r w:rsidRPr="00902258">
              <w:rPr>
                <w:sz w:val="22"/>
              </w:rPr>
              <w:t xml:space="preserve">1,595 </w:t>
            </w:r>
          </w:p>
        </w:tc>
        <w:tc>
          <w:tcPr>
            <w:tcW w:w="409" w:type="dxa"/>
            <w:tcBorders>
              <w:top w:val="nil"/>
              <w:left w:val="nil"/>
              <w:bottom w:val="nil"/>
              <w:right w:val="single" w:sz="8" w:space="0" w:color="auto"/>
            </w:tcBorders>
            <w:shd w:val="clear" w:color="000000" w:fill="FFFFFF"/>
            <w:noWrap/>
            <w:vAlign w:val="bottom"/>
            <w:hideMark/>
          </w:tcPr>
          <w:p w14:paraId="5DD872B3" w14:textId="77777777" w:rsidR="00A9761A" w:rsidRPr="006F4322" w:rsidRDefault="00A9761A" w:rsidP="00A9761A">
            <w:pPr>
              <w:rPr>
                <w:color w:val="000000"/>
                <w:sz w:val="22"/>
              </w:rPr>
            </w:pPr>
            <w:r w:rsidRPr="006F4322">
              <w:rPr>
                <w:color w:val="000000"/>
                <w:sz w:val="22"/>
              </w:rPr>
              <w:t> </w:t>
            </w:r>
          </w:p>
        </w:tc>
      </w:tr>
      <w:tr w:rsidR="00A9761A" w:rsidRPr="006F4322" w14:paraId="3E089C9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540D40F" w14:textId="77777777" w:rsidR="00A9761A" w:rsidRPr="006F4322" w:rsidRDefault="00A9761A" w:rsidP="00A9761A">
            <w:pPr>
              <w:rPr>
                <w:color w:val="000000"/>
                <w:sz w:val="22"/>
              </w:rPr>
            </w:pPr>
            <w:r w:rsidRPr="006F4322">
              <w:rPr>
                <w:color w:val="000000"/>
                <w:sz w:val="22"/>
              </w:rPr>
              <w:t>3.</w:t>
            </w:r>
          </w:p>
        </w:tc>
        <w:tc>
          <w:tcPr>
            <w:tcW w:w="6184" w:type="dxa"/>
            <w:tcBorders>
              <w:top w:val="nil"/>
              <w:left w:val="nil"/>
              <w:bottom w:val="nil"/>
              <w:right w:val="nil"/>
            </w:tcBorders>
            <w:shd w:val="clear" w:color="000000" w:fill="FFFFFF"/>
            <w:noWrap/>
            <w:vAlign w:val="bottom"/>
            <w:hideMark/>
          </w:tcPr>
          <w:p w14:paraId="03143AF7" w14:textId="77777777" w:rsidR="00A9761A" w:rsidRPr="006F4322" w:rsidRDefault="00A9761A" w:rsidP="00A9761A">
            <w:pPr>
              <w:rPr>
                <w:color w:val="000000"/>
                <w:sz w:val="22"/>
              </w:rPr>
            </w:pPr>
            <w:r w:rsidRPr="006F4322">
              <w:rPr>
                <w:color w:val="000000"/>
                <w:sz w:val="22"/>
              </w:rPr>
              <w:t>To reflect tangible and property taxes.</w:t>
            </w:r>
          </w:p>
        </w:tc>
        <w:tc>
          <w:tcPr>
            <w:tcW w:w="1499" w:type="dxa"/>
            <w:gridSpan w:val="2"/>
            <w:tcBorders>
              <w:top w:val="nil"/>
              <w:left w:val="nil"/>
              <w:bottom w:val="nil"/>
              <w:right w:val="nil"/>
            </w:tcBorders>
            <w:shd w:val="clear" w:color="000000" w:fill="FFFFFF"/>
            <w:noWrap/>
            <w:vAlign w:val="bottom"/>
            <w:hideMark/>
          </w:tcPr>
          <w:p w14:paraId="3A26BE58" w14:textId="77777777" w:rsidR="00A9761A" w:rsidRPr="00902258" w:rsidRDefault="00A9761A" w:rsidP="00A9761A">
            <w:pPr>
              <w:jc w:val="right"/>
              <w:rPr>
                <w:sz w:val="22"/>
              </w:rPr>
            </w:pPr>
            <w:r w:rsidRPr="00902258">
              <w:rPr>
                <w:sz w:val="22"/>
              </w:rPr>
              <w:t>(198)</w:t>
            </w:r>
          </w:p>
        </w:tc>
        <w:tc>
          <w:tcPr>
            <w:tcW w:w="2025" w:type="dxa"/>
            <w:tcBorders>
              <w:top w:val="nil"/>
              <w:left w:val="nil"/>
              <w:bottom w:val="nil"/>
              <w:right w:val="nil"/>
            </w:tcBorders>
            <w:shd w:val="clear" w:color="000000" w:fill="FFFFFF"/>
            <w:noWrap/>
            <w:vAlign w:val="bottom"/>
            <w:hideMark/>
          </w:tcPr>
          <w:p w14:paraId="7B60FAAD" w14:textId="77777777" w:rsidR="00A9761A" w:rsidRPr="00902258" w:rsidRDefault="00A9761A" w:rsidP="00A9761A">
            <w:pPr>
              <w:jc w:val="right"/>
              <w:rPr>
                <w:sz w:val="22"/>
              </w:rPr>
            </w:pPr>
            <w:r w:rsidRPr="00902258">
              <w:rPr>
                <w:sz w:val="22"/>
              </w:rPr>
              <w:t>(59)</w:t>
            </w:r>
          </w:p>
        </w:tc>
        <w:tc>
          <w:tcPr>
            <w:tcW w:w="409" w:type="dxa"/>
            <w:tcBorders>
              <w:top w:val="nil"/>
              <w:left w:val="nil"/>
              <w:bottom w:val="nil"/>
              <w:right w:val="single" w:sz="8" w:space="0" w:color="auto"/>
            </w:tcBorders>
            <w:shd w:val="clear" w:color="000000" w:fill="FFFFFF"/>
            <w:noWrap/>
            <w:vAlign w:val="bottom"/>
            <w:hideMark/>
          </w:tcPr>
          <w:p w14:paraId="527DC558" w14:textId="77777777" w:rsidR="00A9761A" w:rsidRPr="006F4322" w:rsidRDefault="00A9761A" w:rsidP="00A9761A">
            <w:pPr>
              <w:rPr>
                <w:color w:val="000000"/>
                <w:sz w:val="22"/>
              </w:rPr>
            </w:pPr>
            <w:r w:rsidRPr="006F4322">
              <w:rPr>
                <w:color w:val="000000"/>
                <w:sz w:val="22"/>
              </w:rPr>
              <w:t> </w:t>
            </w:r>
          </w:p>
        </w:tc>
      </w:tr>
      <w:tr w:rsidR="00A9761A" w:rsidRPr="006F4322" w14:paraId="273BAA5F"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6B6CC5C4" w14:textId="77777777" w:rsidR="00A9761A" w:rsidRPr="006F4322" w:rsidRDefault="00A9761A" w:rsidP="00A9761A">
            <w:pPr>
              <w:rPr>
                <w:color w:val="000000"/>
                <w:sz w:val="22"/>
              </w:rPr>
            </w:pPr>
            <w:r w:rsidRPr="006F4322">
              <w:rPr>
                <w:color w:val="000000"/>
                <w:sz w:val="22"/>
              </w:rPr>
              <w:t>4.</w:t>
            </w:r>
          </w:p>
        </w:tc>
        <w:tc>
          <w:tcPr>
            <w:tcW w:w="6184" w:type="dxa"/>
            <w:tcBorders>
              <w:top w:val="nil"/>
              <w:left w:val="nil"/>
              <w:bottom w:val="nil"/>
              <w:right w:val="nil"/>
            </w:tcBorders>
            <w:shd w:val="clear" w:color="000000" w:fill="FFFFFF"/>
            <w:noWrap/>
            <w:vAlign w:val="bottom"/>
            <w:hideMark/>
          </w:tcPr>
          <w:p w14:paraId="46EBD9C7" w14:textId="77777777" w:rsidR="00A9761A" w:rsidRPr="006F4322" w:rsidRDefault="00A9761A" w:rsidP="00A9761A">
            <w:pPr>
              <w:rPr>
                <w:color w:val="000000"/>
                <w:sz w:val="22"/>
              </w:rPr>
            </w:pPr>
            <w:r w:rsidRPr="006F4322">
              <w:rPr>
                <w:color w:val="000000"/>
                <w:sz w:val="22"/>
              </w:rPr>
              <w:t>To reflect appropriate RAFs on the revenue requirement increase.</w:t>
            </w:r>
          </w:p>
        </w:tc>
        <w:tc>
          <w:tcPr>
            <w:tcW w:w="1499" w:type="dxa"/>
            <w:gridSpan w:val="2"/>
            <w:tcBorders>
              <w:top w:val="nil"/>
              <w:left w:val="nil"/>
              <w:bottom w:val="nil"/>
              <w:right w:val="nil"/>
            </w:tcBorders>
            <w:shd w:val="clear" w:color="000000" w:fill="FFFFFF"/>
            <w:noWrap/>
            <w:vAlign w:val="bottom"/>
            <w:hideMark/>
          </w:tcPr>
          <w:p w14:paraId="610E7E95" w14:textId="77777777" w:rsidR="00A9761A" w:rsidRPr="00902258" w:rsidRDefault="00A9761A" w:rsidP="00A9761A">
            <w:pPr>
              <w:jc w:val="right"/>
              <w:rPr>
                <w:sz w:val="22"/>
              </w:rPr>
            </w:pPr>
            <w:r w:rsidRPr="00902258">
              <w:rPr>
                <w:sz w:val="22"/>
              </w:rPr>
              <w:t xml:space="preserve">19,647 </w:t>
            </w:r>
          </w:p>
        </w:tc>
        <w:tc>
          <w:tcPr>
            <w:tcW w:w="2025" w:type="dxa"/>
            <w:tcBorders>
              <w:top w:val="nil"/>
              <w:left w:val="nil"/>
              <w:bottom w:val="nil"/>
              <w:right w:val="nil"/>
            </w:tcBorders>
            <w:shd w:val="clear" w:color="000000" w:fill="FFFFFF"/>
            <w:noWrap/>
            <w:vAlign w:val="bottom"/>
            <w:hideMark/>
          </w:tcPr>
          <w:p w14:paraId="041B0B6D" w14:textId="77777777" w:rsidR="00A9761A" w:rsidRPr="00902258" w:rsidRDefault="00A9761A" w:rsidP="00A9761A">
            <w:pPr>
              <w:jc w:val="right"/>
              <w:rPr>
                <w:sz w:val="22"/>
              </w:rPr>
            </w:pPr>
            <w:r w:rsidRPr="00902258">
              <w:rPr>
                <w:sz w:val="22"/>
              </w:rPr>
              <w:t xml:space="preserve">19,176 </w:t>
            </w:r>
          </w:p>
        </w:tc>
        <w:tc>
          <w:tcPr>
            <w:tcW w:w="409" w:type="dxa"/>
            <w:tcBorders>
              <w:top w:val="nil"/>
              <w:left w:val="nil"/>
              <w:bottom w:val="nil"/>
              <w:right w:val="single" w:sz="8" w:space="0" w:color="auto"/>
            </w:tcBorders>
            <w:shd w:val="clear" w:color="000000" w:fill="FFFFFF"/>
            <w:noWrap/>
            <w:vAlign w:val="bottom"/>
            <w:hideMark/>
          </w:tcPr>
          <w:p w14:paraId="1C91FA4A" w14:textId="77777777" w:rsidR="00A9761A" w:rsidRPr="006F4322" w:rsidRDefault="00A9761A" w:rsidP="00A9761A">
            <w:pPr>
              <w:rPr>
                <w:color w:val="000000"/>
                <w:sz w:val="22"/>
              </w:rPr>
            </w:pPr>
            <w:r w:rsidRPr="006F4322">
              <w:rPr>
                <w:color w:val="000000"/>
                <w:sz w:val="22"/>
              </w:rPr>
              <w:t> </w:t>
            </w:r>
          </w:p>
        </w:tc>
      </w:tr>
      <w:tr w:rsidR="00A9761A" w:rsidRPr="006F4322" w14:paraId="63A46A1D"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703CEE9" w14:textId="77777777" w:rsidR="00A9761A" w:rsidRPr="006F4322" w:rsidRDefault="00A9761A" w:rsidP="00A9761A">
            <w:pPr>
              <w:rPr>
                <w:color w:val="000000"/>
                <w:sz w:val="22"/>
              </w:rPr>
            </w:pPr>
            <w:r w:rsidRPr="006F4322">
              <w:rPr>
                <w:color w:val="000000"/>
                <w:sz w:val="22"/>
              </w:rPr>
              <w:t>5.</w:t>
            </w:r>
          </w:p>
        </w:tc>
        <w:tc>
          <w:tcPr>
            <w:tcW w:w="6184" w:type="dxa"/>
            <w:tcBorders>
              <w:top w:val="nil"/>
              <w:left w:val="nil"/>
              <w:bottom w:val="nil"/>
              <w:right w:val="nil"/>
            </w:tcBorders>
            <w:shd w:val="clear" w:color="000000" w:fill="FFFFFF"/>
            <w:noWrap/>
            <w:vAlign w:val="bottom"/>
            <w:hideMark/>
          </w:tcPr>
          <w:p w14:paraId="282596AA" w14:textId="77777777" w:rsidR="00A9761A" w:rsidRPr="006F4322" w:rsidRDefault="00A9761A" w:rsidP="00A9761A">
            <w:pPr>
              <w:rPr>
                <w:color w:val="000000"/>
                <w:sz w:val="22"/>
              </w:rPr>
            </w:pPr>
            <w:r w:rsidRPr="006F4322">
              <w:rPr>
                <w:color w:val="000000"/>
                <w:sz w:val="22"/>
              </w:rPr>
              <w:t>To reflect property taxes associated with pro forma plant additions.</w:t>
            </w:r>
          </w:p>
        </w:tc>
        <w:tc>
          <w:tcPr>
            <w:tcW w:w="1499" w:type="dxa"/>
            <w:gridSpan w:val="2"/>
            <w:tcBorders>
              <w:top w:val="nil"/>
              <w:left w:val="nil"/>
              <w:bottom w:val="nil"/>
              <w:right w:val="nil"/>
            </w:tcBorders>
            <w:shd w:val="clear" w:color="000000" w:fill="FFFFFF"/>
            <w:noWrap/>
            <w:vAlign w:val="bottom"/>
            <w:hideMark/>
          </w:tcPr>
          <w:p w14:paraId="4511BF50" w14:textId="77777777" w:rsidR="00A9761A" w:rsidRPr="00902258" w:rsidRDefault="00A9761A" w:rsidP="00A9761A">
            <w:pPr>
              <w:jc w:val="right"/>
              <w:rPr>
                <w:sz w:val="22"/>
                <w:u w:val="single"/>
              </w:rPr>
            </w:pPr>
            <w:r w:rsidRPr="00902258">
              <w:rPr>
                <w:sz w:val="22"/>
                <w:u w:val="single"/>
              </w:rPr>
              <w:t xml:space="preserve">14,353 </w:t>
            </w:r>
          </w:p>
        </w:tc>
        <w:tc>
          <w:tcPr>
            <w:tcW w:w="2025" w:type="dxa"/>
            <w:tcBorders>
              <w:top w:val="nil"/>
              <w:left w:val="nil"/>
              <w:bottom w:val="nil"/>
              <w:right w:val="nil"/>
            </w:tcBorders>
            <w:shd w:val="clear" w:color="000000" w:fill="FFFFFF"/>
            <w:noWrap/>
            <w:vAlign w:val="bottom"/>
            <w:hideMark/>
          </w:tcPr>
          <w:p w14:paraId="54E54BCF" w14:textId="77777777" w:rsidR="00A9761A" w:rsidRPr="00902258" w:rsidRDefault="00A9761A" w:rsidP="00A9761A">
            <w:pPr>
              <w:jc w:val="right"/>
              <w:rPr>
                <w:sz w:val="22"/>
                <w:u w:val="single"/>
              </w:rPr>
            </w:pPr>
            <w:r w:rsidRPr="00902258">
              <w:rPr>
                <w:sz w:val="22"/>
                <w:u w:val="single"/>
              </w:rPr>
              <w:t xml:space="preserve">9,596 </w:t>
            </w:r>
          </w:p>
        </w:tc>
        <w:tc>
          <w:tcPr>
            <w:tcW w:w="409" w:type="dxa"/>
            <w:tcBorders>
              <w:top w:val="nil"/>
              <w:left w:val="nil"/>
              <w:bottom w:val="nil"/>
              <w:right w:val="single" w:sz="8" w:space="0" w:color="auto"/>
            </w:tcBorders>
            <w:shd w:val="clear" w:color="000000" w:fill="FFFFFF"/>
            <w:noWrap/>
            <w:vAlign w:val="bottom"/>
            <w:hideMark/>
          </w:tcPr>
          <w:p w14:paraId="7B9A25AD" w14:textId="77777777" w:rsidR="00A9761A" w:rsidRPr="006F4322" w:rsidRDefault="00A9761A" w:rsidP="00A9761A">
            <w:pPr>
              <w:rPr>
                <w:color w:val="000000"/>
                <w:sz w:val="22"/>
              </w:rPr>
            </w:pPr>
            <w:r w:rsidRPr="006F4322">
              <w:rPr>
                <w:color w:val="000000"/>
                <w:sz w:val="22"/>
              </w:rPr>
              <w:t> </w:t>
            </w:r>
          </w:p>
        </w:tc>
      </w:tr>
      <w:tr w:rsidR="00A9761A" w:rsidRPr="006F4322" w14:paraId="1418A063"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3587B593"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324D967B" w14:textId="77777777" w:rsidR="00A9761A" w:rsidRPr="006F4322" w:rsidRDefault="00A9761A" w:rsidP="00A9761A">
            <w:pPr>
              <w:rPr>
                <w:color w:val="000000"/>
                <w:sz w:val="22"/>
              </w:rPr>
            </w:pPr>
            <w:r w:rsidRPr="006F4322">
              <w:rPr>
                <w:color w:val="000000"/>
                <w:sz w:val="22"/>
              </w:rPr>
              <w:t xml:space="preserve">   Total</w:t>
            </w:r>
          </w:p>
        </w:tc>
        <w:tc>
          <w:tcPr>
            <w:tcW w:w="1499" w:type="dxa"/>
            <w:gridSpan w:val="2"/>
            <w:tcBorders>
              <w:top w:val="nil"/>
              <w:left w:val="nil"/>
              <w:bottom w:val="nil"/>
              <w:right w:val="nil"/>
            </w:tcBorders>
            <w:shd w:val="clear" w:color="000000" w:fill="FFFFFF"/>
            <w:noWrap/>
            <w:vAlign w:val="bottom"/>
            <w:hideMark/>
          </w:tcPr>
          <w:p w14:paraId="6592AA7F" w14:textId="77777777" w:rsidR="00A9761A" w:rsidRPr="00902258" w:rsidRDefault="00A9761A" w:rsidP="00A9761A">
            <w:pPr>
              <w:jc w:val="right"/>
              <w:rPr>
                <w:sz w:val="22"/>
                <w:u w:val="double"/>
              </w:rPr>
            </w:pPr>
            <w:r w:rsidRPr="00902258">
              <w:rPr>
                <w:sz w:val="22"/>
                <w:u w:val="double"/>
              </w:rPr>
              <w:t xml:space="preserve">$31,626 </w:t>
            </w:r>
          </w:p>
        </w:tc>
        <w:tc>
          <w:tcPr>
            <w:tcW w:w="2025" w:type="dxa"/>
            <w:tcBorders>
              <w:top w:val="nil"/>
              <w:left w:val="nil"/>
              <w:bottom w:val="nil"/>
              <w:right w:val="nil"/>
            </w:tcBorders>
            <w:shd w:val="clear" w:color="000000" w:fill="FFFFFF"/>
            <w:noWrap/>
            <w:vAlign w:val="bottom"/>
            <w:hideMark/>
          </w:tcPr>
          <w:p w14:paraId="46A3C4B8" w14:textId="77777777" w:rsidR="00A9761A" w:rsidRPr="00902258" w:rsidRDefault="00A9761A" w:rsidP="00A9761A">
            <w:pPr>
              <w:jc w:val="right"/>
              <w:rPr>
                <w:sz w:val="22"/>
                <w:u w:val="double"/>
              </w:rPr>
            </w:pPr>
            <w:r w:rsidRPr="00902258">
              <w:rPr>
                <w:sz w:val="22"/>
                <w:u w:val="double"/>
              </w:rPr>
              <w:t xml:space="preserve">$26,728 </w:t>
            </w:r>
          </w:p>
        </w:tc>
        <w:tc>
          <w:tcPr>
            <w:tcW w:w="409" w:type="dxa"/>
            <w:tcBorders>
              <w:top w:val="nil"/>
              <w:left w:val="nil"/>
              <w:bottom w:val="nil"/>
              <w:right w:val="single" w:sz="8" w:space="0" w:color="auto"/>
            </w:tcBorders>
            <w:shd w:val="clear" w:color="000000" w:fill="FFFFFF"/>
            <w:noWrap/>
            <w:vAlign w:val="bottom"/>
            <w:hideMark/>
          </w:tcPr>
          <w:p w14:paraId="13BEA6FB" w14:textId="77777777" w:rsidR="00A9761A" w:rsidRPr="006F4322" w:rsidRDefault="00A9761A" w:rsidP="00A9761A">
            <w:pPr>
              <w:rPr>
                <w:color w:val="000000"/>
                <w:sz w:val="22"/>
              </w:rPr>
            </w:pPr>
            <w:r w:rsidRPr="006F4322">
              <w:rPr>
                <w:color w:val="000000"/>
                <w:sz w:val="22"/>
              </w:rPr>
              <w:t> </w:t>
            </w:r>
          </w:p>
        </w:tc>
      </w:tr>
      <w:tr w:rsidR="00A9761A" w:rsidRPr="006F4322" w14:paraId="4BD3DA0B"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0FCDA818"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5FB6680D" w14:textId="77777777" w:rsidR="00A9761A" w:rsidRPr="006F4322" w:rsidRDefault="00A9761A" w:rsidP="00A9761A">
            <w:pPr>
              <w:rPr>
                <w:color w:val="000000"/>
                <w:sz w:val="22"/>
              </w:rPr>
            </w:pPr>
            <w:r w:rsidRPr="006F4322">
              <w:rPr>
                <w:color w:val="000000"/>
                <w:sz w:val="22"/>
              </w:rPr>
              <w:t> </w:t>
            </w:r>
          </w:p>
        </w:tc>
        <w:tc>
          <w:tcPr>
            <w:tcW w:w="1499" w:type="dxa"/>
            <w:gridSpan w:val="2"/>
            <w:tcBorders>
              <w:top w:val="nil"/>
              <w:left w:val="nil"/>
              <w:bottom w:val="nil"/>
              <w:right w:val="nil"/>
            </w:tcBorders>
            <w:shd w:val="clear" w:color="000000" w:fill="FFFFFF"/>
            <w:noWrap/>
            <w:vAlign w:val="bottom"/>
            <w:hideMark/>
          </w:tcPr>
          <w:p w14:paraId="73C29190" w14:textId="77777777" w:rsidR="00A9761A" w:rsidRPr="00902258" w:rsidRDefault="00A9761A" w:rsidP="00A9761A">
            <w:pPr>
              <w:rPr>
                <w:sz w:val="22"/>
              </w:rPr>
            </w:pPr>
            <w:r w:rsidRPr="00902258">
              <w:rPr>
                <w:sz w:val="22"/>
              </w:rPr>
              <w:t> </w:t>
            </w:r>
          </w:p>
        </w:tc>
        <w:tc>
          <w:tcPr>
            <w:tcW w:w="2025" w:type="dxa"/>
            <w:tcBorders>
              <w:top w:val="nil"/>
              <w:left w:val="nil"/>
              <w:bottom w:val="nil"/>
              <w:right w:val="nil"/>
            </w:tcBorders>
            <w:shd w:val="clear" w:color="000000" w:fill="FFFFFF"/>
            <w:noWrap/>
            <w:vAlign w:val="bottom"/>
            <w:hideMark/>
          </w:tcPr>
          <w:p w14:paraId="0A572F29" w14:textId="77777777" w:rsidR="00A9761A" w:rsidRPr="00902258" w:rsidRDefault="00A9761A" w:rsidP="00A9761A">
            <w:pPr>
              <w:rPr>
                <w:sz w:val="22"/>
              </w:rPr>
            </w:pPr>
            <w:r w:rsidRPr="00902258">
              <w:rPr>
                <w:sz w:val="22"/>
              </w:rPr>
              <w:t> </w:t>
            </w:r>
          </w:p>
        </w:tc>
        <w:tc>
          <w:tcPr>
            <w:tcW w:w="409" w:type="dxa"/>
            <w:tcBorders>
              <w:top w:val="nil"/>
              <w:left w:val="nil"/>
              <w:bottom w:val="nil"/>
              <w:right w:val="single" w:sz="8" w:space="0" w:color="auto"/>
            </w:tcBorders>
            <w:shd w:val="clear" w:color="000000" w:fill="FFFFFF"/>
            <w:noWrap/>
            <w:vAlign w:val="bottom"/>
            <w:hideMark/>
          </w:tcPr>
          <w:p w14:paraId="4DB8F676" w14:textId="77777777" w:rsidR="00A9761A" w:rsidRPr="006F4322" w:rsidRDefault="00A9761A" w:rsidP="00A9761A">
            <w:pPr>
              <w:rPr>
                <w:color w:val="000000"/>
                <w:sz w:val="22"/>
              </w:rPr>
            </w:pPr>
            <w:r w:rsidRPr="006F4322">
              <w:rPr>
                <w:color w:val="000000"/>
                <w:sz w:val="22"/>
              </w:rPr>
              <w:t> </w:t>
            </w:r>
          </w:p>
        </w:tc>
      </w:tr>
      <w:tr w:rsidR="00A9761A" w:rsidRPr="006F4322" w14:paraId="164DC5D2" w14:textId="77777777" w:rsidTr="00A9761A">
        <w:trPr>
          <w:trHeight w:val="273"/>
          <w:jc w:val="center"/>
        </w:trPr>
        <w:tc>
          <w:tcPr>
            <w:tcW w:w="491" w:type="dxa"/>
            <w:tcBorders>
              <w:top w:val="nil"/>
              <w:left w:val="single" w:sz="8" w:space="0" w:color="auto"/>
              <w:bottom w:val="nil"/>
              <w:right w:val="nil"/>
            </w:tcBorders>
            <w:shd w:val="clear" w:color="000000" w:fill="FFFFFF"/>
            <w:noWrap/>
            <w:vAlign w:val="bottom"/>
            <w:hideMark/>
          </w:tcPr>
          <w:p w14:paraId="1960B549" w14:textId="77777777" w:rsidR="00A9761A" w:rsidRPr="006F4322" w:rsidRDefault="00A9761A" w:rsidP="00A9761A">
            <w:pPr>
              <w:rPr>
                <w:color w:val="000000"/>
                <w:sz w:val="22"/>
              </w:rPr>
            </w:pPr>
            <w:r w:rsidRPr="006F4322">
              <w:rPr>
                <w:color w:val="000000"/>
                <w:sz w:val="22"/>
              </w:rPr>
              <w:t> </w:t>
            </w:r>
          </w:p>
        </w:tc>
        <w:tc>
          <w:tcPr>
            <w:tcW w:w="6184" w:type="dxa"/>
            <w:tcBorders>
              <w:top w:val="nil"/>
              <w:left w:val="nil"/>
              <w:bottom w:val="nil"/>
              <w:right w:val="nil"/>
            </w:tcBorders>
            <w:shd w:val="clear" w:color="000000" w:fill="FFFFFF"/>
            <w:noWrap/>
            <w:vAlign w:val="bottom"/>
            <w:hideMark/>
          </w:tcPr>
          <w:p w14:paraId="2E176A77" w14:textId="77777777" w:rsidR="00A9761A" w:rsidRPr="006F4322" w:rsidRDefault="00A9761A" w:rsidP="00A9761A">
            <w:pPr>
              <w:rPr>
                <w:b/>
                <w:bCs/>
                <w:color w:val="000000"/>
                <w:sz w:val="22"/>
              </w:rPr>
            </w:pPr>
            <w:r w:rsidRPr="006F4322">
              <w:rPr>
                <w:b/>
                <w:bCs/>
                <w:color w:val="000000"/>
                <w:sz w:val="22"/>
              </w:rPr>
              <w:t>TOTAL OPERATING EXPENSE ADJUSTMENTS</w:t>
            </w:r>
          </w:p>
        </w:tc>
        <w:tc>
          <w:tcPr>
            <w:tcW w:w="1499" w:type="dxa"/>
            <w:gridSpan w:val="2"/>
            <w:tcBorders>
              <w:top w:val="nil"/>
              <w:left w:val="nil"/>
              <w:bottom w:val="nil"/>
              <w:right w:val="nil"/>
            </w:tcBorders>
            <w:shd w:val="clear" w:color="000000" w:fill="FFFFFF"/>
            <w:noWrap/>
            <w:vAlign w:val="bottom"/>
            <w:hideMark/>
          </w:tcPr>
          <w:p w14:paraId="535C32DE" w14:textId="77777777" w:rsidR="00A9761A" w:rsidRPr="00902258" w:rsidRDefault="00A9761A" w:rsidP="00A9761A">
            <w:pPr>
              <w:jc w:val="right"/>
              <w:rPr>
                <w:sz w:val="22"/>
                <w:u w:val="double"/>
              </w:rPr>
            </w:pPr>
            <w:r w:rsidRPr="00902258">
              <w:rPr>
                <w:sz w:val="22"/>
                <w:u w:val="double"/>
              </w:rPr>
              <w:t>($10,914)</w:t>
            </w:r>
          </w:p>
        </w:tc>
        <w:tc>
          <w:tcPr>
            <w:tcW w:w="2025" w:type="dxa"/>
            <w:tcBorders>
              <w:top w:val="nil"/>
              <w:left w:val="nil"/>
              <w:bottom w:val="nil"/>
              <w:right w:val="nil"/>
            </w:tcBorders>
            <w:shd w:val="clear" w:color="000000" w:fill="FFFFFF"/>
            <w:noWrap/>
            <w:vAlign w:val="bottom"/>
            <w:hideMark/>
          </w:tcPr>
          <w:p w14:paraId="13184E1C" w14:textId="77777777" w:rsidR="00A9761A" w:rsidRPr="00902258" w:rsidRDefault="00A9761A" w:rsidP="00A9761A">
            <w:pPr>
              <w:jc w:val="right"/>
              <w:rPr>
                <w:sz w:val="22"/>
                <w:u w:val="double"/>
              </w:rPr>
            </w:pPr>
            <w:r w:rsidRPr="00902258">
              <w:rPr>
                <w:sz w:val="22"/>
                <w:u w:val="double"/>
              </w:rPr>
              <w:t>($79,913)</w:t>
            </w:r>
          </w:p>
        </w:tc>
        <w:tc>
          <w:tcPr>
            <w:tcW w:w="409" w:type="dxa"/>
            <w:tcBorders>
              <w:top w:val="nil"/>
              <w:left w:val="nil"/>
              <w:bottom w:val="nil"/>
              <w:right w:val="single" w:sz="8" w:space="0" w:color="auto"/>
            </w:tcBorders>
            <w:shd w:val="clear" w:color="000000" w:fill="FFFFFF"/>
            <w:noWrap/>
            <w:vAlign w:val="bottom"/>
            <w:hideMark/>
          </w:tcPr>
          <w:p w14:paraId="26794B62" w14:textId="77777777" w:rsidR="00A9761A" w:rsidRPr="006F4322" w:rsidRDefault="00A9761A" w:rsidP="00A9761A">
            <w:pPr>
              <w:rPr>
                <w:color w:val="000000"/>
                <w:sz w:val="22"/>
              </w:rPr>
            </w:pPr>
            <w:r w:rsidRPr="006F4322">
              <w:rPr>
                <w:color w:val="000000"/>
                <w:sz w:val="22"/>
              </w:rPr>
              <w:t> </w:t>
            </w:r>
          </w:p>
        </w:tc>
      </w:tr>
    </w:tbl>
    <w:p w14:paraId="264B97F0" w14:textId="77777777" w:rsidR="00A9761A" w:rsidRDefault="00A9761A" w:rsidP="0045691E">
      <w:pPr>
        <w:pStyle w:val="OrderBody"/>
      </w:pPr>
    </w:p>
    <w:p w14:paraId="3D109A1F" w14:textId="77777777" w:rsidR="00A9761A" w:rsidRDefault="00A9761A" w:rsidP="0045691E">
      <w:pPr>
        <w:pStyle w:val="OrderBody"/>
        <w:sectPr w:rsidR="00A9761A" w:rsidSect="000279BD">
          <w:headerReference w:type="default" r:id="rId20"/>
          <w:headerReference w:type="first" r:id="rId21"/>
          <w:pgSz w:w="12240" w:h="15840" w:code="1"/>
          <w:pgMar w:top="1440" w:right="1440" w:bottom="1440" w:left="1440" w:header="720" w:footer="720" w:gutter="0"/>
          <w:cols w:space="720"/>
          <w:titlePg/>
          <w:docGrid w:linePitch="360"/>
        </w:sectPr>
      </w:pPr>
    </w:p>
    <w:p w14:paraId="40F55920" w14:textId="77777777" w:rsidR="00A9761A" w:rsidRDefault="00A9761A" w:rsidP="0045691E">
      <w:pPr>
        <w:pStyle w:val="OrderBody"/>
      </w:pPr>
    </w:p>
    <w:p w14:paraId="1F68ED81" w14:textId="0716B759" w:rsidR="00A9761A" w:rsidRDefault="0003503B" w:rsidP="0045691E">
      <w:pPr>
        <w:pStyle w:val="OrderBody"/>
      </w:pPr>
      <w:r w:rsidRPr="0075611E">
        <w:rPr>
          <w:noProof/>
        </w:rPr>
        <w:drawing>
          <wp:inline distT="0" distB="0" distL="0" distR="0" wp14:anchorId="0D8474ED" wp14:editId="1195847B">
            <wp:extent cx="5943600" cy="431218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5943600" cy="4312182"/>
                    </a:xfrm>
                    <a:prstGeom prst="rect">
                      <a:avLst/>
                    </a:prstGeom>
                    <a:noFill/>
                    <a:ln>
                      <a:noFill/>
                    </a:ln>
                  </pic:spPr>
                </pic:pic>
              </a:graphicData>
            </a:graphic>
          </wp:inline>
        </w:drawing>
      </w:r>
    </w:p>
    <w:p w14:paraId="176C2F47" w14:textId="77777777" w:rsidR="00A9761A" w:rsidRDefault="00A9761A" w:rsidP="0045691E">
      <w:pPr>
        <w:pStyle w:val="OrderBody"/>
      </w:pPr>
    </w:p>
    <w:p w14:paraId="2C5E8039" w14:textId="77777777" w:rsidR="00A9761A" w:rsidRDefault="00A9761A" w:rsidP="0045691E">
      <w:pPr>
        <w:pStyle w:val="OrderBody"/>
      </w:pPr>
    </w:p>
    <w:p w14:paraId="4069E4D9" w14:textId="77777777" w:rsidR="00FC25CD" w:rsidRDefault="00FC25CD" w:rsidP="0045691E">
      <w:pPr>
        <w:pStyle w:val="OrderBody"/>
        <w:sectPr w:rsidR="00FC25CD" w:rsidSect="00A9761A">
          <w:headerReference w:type="first" r:id="rId23"/>
          <w:pgSz w:w="12240" w:h="15840" w:code="1"/>
          <w:pgMar w:top="1440" w:right="1440" w:bottom="1440" w:left="1440" w:header="720" w:footer="720" w:gutter="0"/>
          <w:cols w:space="720"/>
          <w:titlePg/>
          <w:docGrid w:linePitch="360"/>
        </w:sectPr>
      </w:pPr>
    </w:p>
    <w:p w14:paraId="397D2004" w14:textId="77777777" w:rsidR="00FC25CD" w:rsidRDefault="00FC25CD" w:rsidP="0045691E">
      <w:pPr>
        <w:pStyle w:val="OrderBody"/>
      </w:pPr>
    </w:p>
    <w:p w14:paraId="1042025D" w14:textId="310AE731" w:rsidR="00FC25CD" w:rsidRDefault="0003503B" w:rsidP="0045691E">
      <w:pPr>
        <w:pStyle w:val="OrderBody"/>
      </w:pPr>
      <w:r w:rsidRPr="0075611E">
        <w:rPr>
          <w:noProof/>
        </w:rPr>
        <w:drawing>
          <wp:inline distT="0" distB="0" distL="0" distR="0" wp14:anchorId="0A541D2B" wp14:editId="4886BD2D">
            <wp:extent cx="5943600" cy="4571043"/>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5943600" cy="4571043"/>
                    </a:xfrm>
                    <a:prstGeom prst="rect">
                      <a:avLst/>
                    </a:prstGeom>
                    <a:noFill/>
                    <a:ln>
                      <a:noFill/>
                    </a:ln>
                  </pic:spPr>
                </pic:pic>
              </a:graphicData>
            </a:graphic>
          </wp:inline>
        </w:drawing>
      </w:r>
    </w:p>
    <w:p w14:paraId="4F615325" w14:textId="77777777" w:rsidR="00FC25CD" w:rsidRDefault="00FC25CD" w:rsidP="0045691E">
      <w:pPr>
        <w:pStyle w:val="OrderBody"/>
      </w:pPr>
    </w:p>
    <w:p w14:paraId="63BF9678" w14:textId="77777777" w:rsidR="00FC25CD" w:rsidRDefault="00FC25CD" w:rsidP="0045691E">
      <w:pPr>
        <w:pStyle w:val="OrderBody"/>
        <w:sectPr w:rsidR="00FC25CD" w:rsidSect="00A9761A">
          <w:headerReference w:type="first" r:id="rId25"/>
          <w:pgSz w:w="12240" w:h="15840" w:code="1"/>
          <w:pgMar w:top="1440" w:right="1440" w:bottom="1440" w:left="1440" w:header="720" w:footer="720" w:gutter="0"/>
          <w:cols w:space="720"/>
          <w:titlePg/>
          <w:docGrid w:linePitch="360"/>
        </w:sectPr>
      </w:pPr>
    </w:p>
    <w:p w14:paraId="47FC663D" w14:textId="77777777" w:rsidR="00FC25CD" w:rsidRDefault="00FC25CD" w:rsidP="0045691E">
      <w:pPr>
        <w:pStyle w:val="OrderBody"/>
      </w:pPr>
    </w:p>
    <w:p w14:paraId="38EB1A89" w14:textId="77777777" w:rsidR="00FC25CD" w:rsidRDefault="00FC25CD" w:rsidP="0045691E">
      <w:pPr>
        <w:pStyle w:val="OrderBody"/>
      </w:pPr>
      <w:r w:rsidRPr="000A7907">
        <w:rPr>
          <w:noProof/>
        </w:rPr>
        <w:drawing>
          <wp:inline distT="0" distB="0" distL="0" distR="0" wp14:anchorId="313781BA" wp14:editId="39789476">
            <wp:extent cx="5943600" cy="476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766945"/>
                    </a:xfrm>
                    <a:prstGeom prst="rect">
                      <a:avLst/>
                    </a:prstGeom>
                    <a:noFill/>
                    <a:ln>
                      <a:noFill/>
                    </a:ln>
                  </pic:spPr>
                </pic:pic>
              </a:graphicData>
            </a:graphic>
          </wp:inline>
        </w:drawing>
      </w:r>
    </w:p>
    <w:p w14:paraId="2E65D496" w14:textId="77777777" w:rsidR="00FC25CD" w:rsidRDefault="00FC25CD" w:rsidP="0045691E">
      <w:pPr>
        <w:pStyle w:val="OrderBody"/>
      </w:pPr>
    </w:p>
    <w:p w14:paraId="139937AA" w14:textId="77777777" w:rsidR="00FC25CD" w:rsidRDefault="00FC25CD" w:rsidP="0045691E">
      <w:pPr>
        <w:pStyle w:val="OrderBody"/>
        <w:sectPr w:rsidR="00FC25CD" w:rsidSect="00A9761A">
          <w:headerReference w:type="first" r:id="rId27"/>
          <w:pgSz w:w="12240" w:h="15840" w:code="1"/>
          <w:pgMar w:top="1440" w:right="1440" w:bottom="1440" w:left="1440" w:header="720" w:footer="720" w:gutter="0"/>
          <w:cols w:space="720"/>
          <w:titlePg/>
          <w:docGrid w:linePitch="360"/>
        </w:sectPr>
      </w:pPr>
    </w:p>
    <w:p w14:paraId="77F93EEF" w14:textId="77777777" w:rsidR="00FC25CD" w:rsidRDefault="00FC25CD" w:rsidP="0045691E">
      <w:pPr>
        <w:pStyle w:val="OrderBody"/>
      </w:pPr>
    </w:p>
    <w:p w14:paraId="2FF05049" w14:textId="77777777" w:rsidR="00FC25CD" w:rsidRDefault="00FC25CD" w:rsidP="0045691E">
      <w:pPr>
        <w:pStyle w:val="OrderBody"/>
      </w:pPr>
      <w:r w:rsidRPr="00286F18">
        <w:rPr>
          <w:noProof/>
        </w:rPr>
        <w:drawing>
          <wp:inline distT="0" distB="0" distL="0" distR="0" wp14:anchorId="61E44F2D" wp14:editId="0EBE6929">
            <wp:extent cx="5943600" cy="51542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154295"/>
                    </a:xfrm>
                    <a:prstGeom prst="rect">
                      <a:avLst/>
                    </a:prstGeom>
                    <a:noFill/>
                    <a:ln>
                      <a:noFill/>
                    </a:ln>
                  </pic:spPr>
                </pic:pic>
              </a:graphicData>
            </a:graphic>
          </wp:inline>
        </w:drawing>
      </w:r>
    </w:p>
    <w:p w14:paraId="3144C4EE" w14:textId="77777777" w:rsidR="00FC25CD" w:rsidRDefault="00FC25CD" w:rsidP="0045691E">
      <w:pPr>
        <w:pStyle w:val="OrderBody"/>
      </w:pPr>
    </w:p>
    <w:p w14:paraId="3643B215" w14:textId="77777777" w:rsidR="00FC25CD" w:rsidRDefault="00FC25CD" w:rsidP="0045691E">
      <w:pPr>
        <w:pStyle w:val="OrderBody"/>
        <w:sectPr w:rsidR="00FC25CD" w:rsidSect="00A9761A">
          <w:headerReference w:type="first" r:id="rId29"/>
          <w:pgSz w:w="12240" w:h="15840" w:code="1"/>
          <w:pgMar w:top="1440" w:right="1440" w:bottom="1440" w:left="1440" w:header="720" w:footer="720" w:gutter="0"/>
          <w:cols w:space="720"/>
          <w:titlePg/>
          <w:docGrid w:linePitch="360"/>
        </w:sectPr>
      </w:pPr>
    </w:p>
    <w:p w14:paraId="5E139E61" w14:textId="77777777" w:rsidR="00FC25CD" w:rsidRDefault="00FC25CD" w:rsidP="0045691E">
      <w:pPr>
        <w:pStyle w:val="OrderBody"/>
      </w:pPr>
    </w:p>
    <w:p w14:paraId="31AFC568" w14:textId="77777777" w:rsidR="00FC25CD" w:rsidRPr="0003089D" w:rsidRDefault="00FC25CD" w:rsidP="0045691E">
      <w:pPr>
        <w:pStyle w:val="OrderBody"/>
      </w:pPr>
      <w:r w:rsidRPr="00606EE4">
        <w:rPr>
          <w:noProof/>
        </w:rPr>
        <w:drawing>
          <wp:inline distT="0" distB="0" distL="0" distR="0" wp14:anchorId="39D50E61" wp14:editId="3D9579D4">
            <wp:extent cx="5943600" cy="6204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6204585"/>
                    </a:xfrm>
                    <a:prstGeom prst="rect">
                      <a:avLst/>
                    </a:prstGeom>
                    <a:noFill/>
                    <a:ln>
                      <a:noFill/>
                    </a:ln>
                  </pic:spPr>
                </pic:pic>
              </a:graphicData>
            </a:graphic>
          </wp:inline>
        </w:drawing>
      </w:r>
    </w:p>
    <w:sectPr w:rsidR="00FC25CD" w:rsidRPr="0003089D" w:rsidSect="00A9761A">
      <w:headerReference w:type="first" r:id="rId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5032" w14:textId="77777777" w:rsidR="0017668B" w:rsidRDefault="0017668B">
      <w:r>
        <w:separator/>
      </w:r>
    </w:p>
  </w:endnote>
  <w:endnote w:type="continuationSeparator" w:id="0">
    <w:p w14:paraId="6F103C69" w14:textId="77777777" w:rsidR="0017668B" w:rsidRDefault="0017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6A4D" w14:textId="77777777" w:rsidR="0017668B" w:rsidRDefault="0017668B">
    <w:pPr>
      <w:pStyle w:val="Footer"/>
    </w:pPr>
  </w:p>
  <w:p w14:paraId="5338D2A1" w14:textId="77777777" w:rsidR="0017668B" w:rsidRDefault="0017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E5995" w14:textId="77777777" w:rsidR="0017668B" w:rsidRDefault="0017668B">
      <w:r>
        <w:separator/>
      </w:r>
    </w:p>
  </w:footnote>
  <w:footnote w:type="continuationSeparator" w:id="0">
    <w:p w14:paraId="342D0947" w14:textId="77777777" w:rsidR="0017668B" w:rsidRDefault="0017668B">
      <w:r>
        <w:continuationSeparator/>
      </w:r>
    </w:p>
  </w:footnote>
  <w:footnote w:id="1">
    <w:p w14:paraId="4A0610BF" w14:textId="77777777" w:rsidR="0017668B" w:rsidRDefault="0017668B" w:rsidP="00D36A5C">
      <w:pPr>
        <w:pStyle w:val="FootnoteText"/>
      </w:pPr>
      <w:r>
        <w:rPr>
          <w:rStyle w:val="FootnoteReference"/>
        </w:rPr>
        <w:footnoteRef/>
      </w:r>
      <w:r>
        <w:t xml:space="preserve"> Order No. PSC-2024-0228-PAA-WS, issued July 8, 2024, in Docket No. 20220142-WS, </w:t>
      </w:r>
      <w:r w:rsidRPr="00CF71AE">
        <w:rPr>
          <w:i/>
        </w:rPr>
        <w:t>In re: Application for transfer of water and wastewater facilities and Certificate Nos. 589-W and 507-S from Grenelefe Resort Utility, Inc. to NC Real Estate Projects, LLC d/b/a Grenelefe Utility, in Polk Count</w:t>
      </w:r>
      <w:r w:rsidRPr="00CF71AE">
        <w:t>y.</w:t>
      </w:r>
      <w:r>
        <w:t xml:space="preserve"> </w:t>
      </w:r>
    </w:p>
  </w:footnote>
  <w:footnote w:id="2">
    <w:p w14:paraId="65BD4314" w14:textId="77777777" w:rsidR="0017668B" w:rsidRPr="00CF71AE" w:rsidRDefault="0017668B" w:rsidP="00D36A5C">
      <w:pPr>
        <w:pStyle w:val="FootnoteText"/>
        <w:rPr>
          <w:i/>
        </w:rPr>
      </w:pPr>
      <w:r>
        <w:rPr>
          <w:rStyle w:val="FootnoteReference"/>
        </w:rPr>
        <w:footnoteRef/>
      </w:r>
      <w:r>
        <w:t xml:space="preserve"> Order No. PSC-2025-0060-FOF-WS, issued February 24, 2025, in Docket No. 20240140-WS, </w:t>
      </w:r>
      <w:r w:rsidRPr="00CF71AE">
        <w:rPr>
          <w:i/>
        </w:rPr>
        <w:t>In re: Application for amendment of Certificate Nos. 589-W and 507-S in Polk County, by NC Real Estate Projects, LLC d/b/a Grenelefe Utility.</w:t>
      </w:r>
    </w:p>
  </w:footnote>
  <w:footnote w:id="3">
    <w:p w14:paraId="28C35259" w14:textId="77777777" w:rsidR="0017668B" w:rsidRDefault="0017668B" w:rsidP="00D36A5C">
      <w:pPr>
        <w:pStyle w:val="FootnoteText"/>
      </w:pPr>
      <w:r>
        <w:rPr>
          <w:rStyle w:val="FootnoteReference"/>
        </w:rPr>
        <w:footnoteRef/>
      </w:r>
      <w:r>
        <w:t xml:space="preserve"> Order No. PSC-12-0433-PAA-WS, issued August 21, 2012, in Docket No. 20110141-WS,</w:t>
      </w:r>
      <w:r w:rsidRPr="00CF71AE">
        <w:rPr>
          <w:i/>
        </w:rPr>
        <w:t xml:space="preserve"> In re: Application for staff-assisted rate case in Polk County by Grenelefe Resort Utility, Inc.</w:t>
      </w:r>
    </w:p>
  </w:footnote>
  <w:footnote w:id="4">
    <w:p w14:paraId="1393D094" w14:textId="77777777" w:rsidR="0017668B" w:rsidRDefault="0017668B" w:rsidP="009663E5">
      <w:pPr>
        <w:pStyle w:val="FootnoteText"/>
      </w:pPr>
      <w:r>
        <w:rPr>
          <w:rStyle w:val="FootnoteReference"/>
        </w:rPr>
        <w:footnoteRef/>
      </w:r>
      <w:r>
        <w:t xml:space="preserve"> Document No. 00967-2025, filed February 14, 2025, in Docket No. 20250023-WS.</w:t>
      </w:r>
    </w:p>
  </w:footnote>
  <w:footnote w:id="5">
    <w:p w14:paraId="28B5730B" w14:textId="77777777" w:rsidR="0017668B" w:rsidRDefault="0017668B" w:rsidP="009663E5">
      <w:pPr>
        <w:pStyle w:val="FootnoteText"/>
      </w:pPr>
      <w:r>
        <w:rPr>
          <w:rStyle w:val="FootnoteReference"/>
        </w:rPr>
        <w:footnoteRef/>
      </w:r>
      <w:r>
        <w:t xml:space="preserve"> Order No. PSC-2025-0072-PCO-WS, issued March 11, 2025, in Docket No. 20250023-WS, </w:t>
      </w:r>
      <w:r w:rsidRPr="00F41A32">
        <w:rPr>
          <w:i/>
        </w:rPr>
        <w:t>In re: Application for staff-assisted rate case in Polk County, by NC Real Estate Projects, LLC d/b/a Grenelefe Utility.</w:t>
      </w:r>
    </w:p>
  </w:footnote>
  <w:footnote w:id="6">
    <w:p w14:paraId="540B2617" w14:textId="77777777" w:rsidR="0017668B" w:rsidRDefault="0017668B" w:rsidP="009663E5">
      <w:pPr>
        <w:pStyle w:val="FootnoteText"/>
      </w:pPr>
      <w:r>
        <w:rPr>
          <w:rStyle w:val="FootnoteReference"/>
        </w:rPr>
        <w:footnoteRef/>
      </w:r>
      <w:r>
        <w:t xml:space="preserve"> Document Nos. 03150-2025, filed April 25, 2025; 05520-2025, filed July 9, 2025; and 08018-2025, filed August 19, 2025, in Docket No. 20250023-WS.</w:t>
      </w:r>
    </w:p>
  </w:footnote>
  <w:footnote w:id="7">
    <w:p w14:paraId="4AC129EE" w14:textId="77777777" w:rsidR="0017668B" w:rsidRDefault="0017668B" w:rsidP="009663E5">
      <w:pPr>
        <w:pStyle w:val="FootnoteText"/>
      </w:pPr>
      <w:r>
        <w:rPr>
          <w:rStyle w:val="FootnoteReference"/>
        </w:rPr>
        <w:footnoteRef/>
      </w:r>
      <w:r>
        <w:t xml:space="preserve"> Order No. PSC-2025-0362-PCO-WS, issued September 24, 2025, in Docket No. 20250023-WS, </w:t>
      </w:r>
      <w:r w:rsidRPr="00DB3A3C">
        <w:rPr>
          <w:i/>
        </w:rPr>
        <w:t>In re: Application for staff-assisted rate case in Polk County, by NC Real Estate Projects, LLC d/b/a Grenelefe Utility.</w:t>
      </w:r>
    </w:p>
  </w:footnote>
  <w:footnote w:id="8">
    <w:p w14:paraId="3D4AC23F" w14:textId="77777777" w:rsidR="0017668B" w:rsidRDefault="0017668B" w:rsidP="00D36A5C">
      <w:pPr>
        <w:pStyle w:val="FootnoteText"/>
      </w:pPr>
      <w:r>
        <w:rPr>
          <w:rStyle w:val="FootnoteReference"/>
        </w:rPr>
        <w:footnoteRef/>
      </w:r>
      <w:r>
        <w:t xml:space="preserve"> Document No. 03149-2025, filed April 25, 2025, in Docket No. 20250023-WS.</w:t>
      </w:r>
    </w:p>
  </w:footnote>
  <w:footnote w:id="9">
    <w:p w14:paraId="780AB177" w14:textId="77777777" w:rsidR="0017668B" w:rsidRDefault="0017668B" w:rsidP="00D36A5C">
      <w:pPr>
        <w:pStyle w:val="FootnoteText"/>
      </w:pPr>
      <w:r>
        <w:rPr>
          <w:rStyle w:val="FootnoteReference"/>
        </w:rPr>
        <w:footnoteRef/>
      </w:r>
      <w:r>
        <w:t xml:space="preserve"> Document No. 11315-2025, filed September 17, 2025, in Docket No. 20250023-WS.</w:t>
      </w:r>
    </w:p>
  </w:footnote>
  <w:footnote w:id="10">
    <w:p w14:paraId="41BBBAF3" w14:textId="0E4B876E" w:rsidR="0017668B" w:rsidRDefault="0017668B" w:rsidP="00264C4D">
      <w:pPr>
        <w:pStyle w:val="FootnoteText"/>
      </w:pPr>
      <w:r>
        <w:rPr>
          <w:rStyle w:val="FootnoteReference"/>
        </w:rPr>
        <w:footnoteRef/>
      </w:r>
      <w:r>
        <w:t xml:space="preserve"> This includes customer comments provided by OPC. </w:t>
      </w:r>
    </w:p>
  </w:footnote>
  <w:footnote w:id="11">
    <w:p w14:paraId="4277023E" w14:textId="77777777" w:rsidR="0017668B" w:rsidRDefault="0017668B" w:rsidP="00837A39">
      <w:pPr>
        <w:pStyle w:val="FootnoteText"/>
      </w:pPr>
      <w:r>
        <w:rPr>
          <w:rStyle w:val="FootnoteReference"/>
        </w:rPr>
        <w:footnoteRef/>
      </w:r>
      <w:r>
        <w:t xml:space="preserve"> Document No. 15496-2025, filed December 19, 2025, in Docket No. 20250023-WS.</w:t>
      </w:r>
    </w:p>
  </w:footnote>
  <w:footnote w:id="12">
    <w:p w14:paraId="717423DD" w14:textId="77777777" w:rsidR="0017668B" w:rsidRDefault="0017668B" w:rsidP="00837A39">
      <w:pPr>
        <w:pStyle w:val="FootnoteText"/>
      </w:pPr>
      <w:r>
        <w:rPr>
          <w:rStyle w:val="FootnoteReference"/>
        </w:rPr>
        <w:footnoteRef/>
      </w:r>
      <w:r>
        <w:t xml:space="preserve"> Document No. 15043-2025, filed November 12, 2025, in Docket No. 20250023-WS.</w:t>
      </w:r>
    </w:p>
  </w:footnote>
  <w:footnote w:id="13">
    <w:p w14:paraId="49057204" w14:textId="77777777" w:rsidR="0017668B" w:rsidRDefault="0017668B" w:rsidP="00194892">
      <w:pPr>
        <w:pStyle w:val="FootnoteText"/>
      </w:pPr>
      <w:r>
        <w:rPr>
          <w:rStyle w:val="FootnoteReference"/>
        </w:rPr>
        <w:footnoteRef/>
      </w:r>
      <w:r>
        <w:t xml:space="preserve"> The BWNs are dated February 15, 2023, July 5 2023, and January 31, 2024.</w:t>
      </w:r>
    </w:p>
  </w:footnote>
  <w:footnote w:id="14">
    <w:p w14:paraId="70F3D4BF" w14:textId="77777777" w:rsidR="0017668B" w:rsidRDefault="0017668B" w:rsidP="00194892">
      <w:pPr>
        <w:pStyle w:val="FootnoteText"/>
      </w:pPr>
      <w:r>
        <w:rPr>
          <w:rStyle w:val="FootnoteReference"/>
        </w:rPr>
        <w:footnoteRef/>
      </w:r>
      <w:r>
        <w:t xml:space="preserve"> Document No. 15496-2025, filed December 19, 2025, in Docket No. 20250023-WS.</w:t>
      </w:r>
    </w:p>
  </w:footnote>
  <w:footnote w:id="15">
    <w:p w14:paraId="08254E16" w14:textId="77777777" w:rsidR="0017668B" w:rsidRDefault="0017668B" w:rsidP="00D36A5C">
      <w:pPr>
        <w:pStyle w:val="FootnoteText"/>
      </w:pPr>
      <w:r>
        <w:rPr>
          <w:rStyle w:val="FootnoteReference"/>
        </w:rPr>
        <w:footnoteRef/>
      </w:r>
      <w:r>
        <w:t xml:space="preserve"> Document No. 14623-2025, filed October 16, 2025, in Docket No. 20250023-WS.</w:t>
      </w:r>
    </w:p>
  </w:footnote>
  <w:footnote w:id="16">
    <w:p w14:paraId="1A316056" w14:textId="77777777" w:rsidR="0017668B" w:rsidRDefault="0017668B" w:rsidP="00D36A5C">
      <w:pPr>
        <w:pStyle w:val="FootnoteText"/>
      </w:pPr>
      <w:r>
        <w:rPr>
          <w:rStyle w:val="FootnoteReference"/>
        </w:rPr>
        <w:footnoteRef/>
      </w:r>
      <w:r>
        <w:t xml:space="preserve"> Document No. 06464-2025, filed July 17, 2025, in Docket No. 20250023-WS.</w:t>
      </w:r>
    </w:p>
  </w:footnote>
  <w:footnote w:id="17">
    <w:p w14:paraId="53249F0D" w14:textId="1687451E" w:rsidR="0017668B" w:rsidRDefault="0017668B" w:rsidP="00A944C1">
      <w:pPr>
        <w:pStyle w:val="FootnoteText"/>
      </w:pPr>
      <w:r>
        <w:rPr>
          <w:rStyle w:val="FootnoteReference"/>
        </w:rPr>
        <w:footnoteRef/>
      </w:r>
      <w:r>
        <w:t xml:space="preserve"> A duplex lift station contains two pumps in the wet </w:t>
      </w:r>
      <w:r w:rsidRPr="00C33D0E">
        <w:t>well</w:t>
      </w:r>
      <w:r>
        <w:t>.</w:t>
      </w:r>
    </w:p>
  </w:footnote>
  <w:footnote w:id="18">
    <w:p w14:paraId="65143A3D" w14:textId="77777777" w:rsidR="0017668B" w:rsidRDefault="0017668B" w:rsidP="00D36A5C">
      <w:pPr>
        <w:pStyle w:val="FootnoteText"/>
      </w:pPr>
      <w:r>
        <w:rPr>
          <w:rStyle w:val="FootnoteReference"/>
        </w:rPr>
        <w:footnoteRef/>
      </w:r>
      <w:r>
        <w:t xml:space="preserve"> Order No. PSC-12-0433-PAA-WS, issued August 21, 2012, in Docket No. 20110141-WS,</w:t>
      </w:r>
      <w:r w:rsidRPr="00CF71AE">
        <w:rPr>
          <w:i/>
        </w:rPr>
        <w:t xml:space="preserve"> In re: Application for staff-assisted rate case in Polk County by Grenelefe Resort Utility, In</w:t>
      </w:r>
      <w:r>
        <w:rPr>
          <w:i/>
        </w:rPr>
        <w:t>c</w:t>
      </w:r>
      <w:r>
        <w:t>.</w:t>
      </w:r>
    </w:p>
  </w:footnote>
  <w:footnote w:id="19">
    <w:p w14:paraId="540B147E" w14:textId="77777777" w:rsidR="0017668B" w:rsidRDefault="0017668B" w:rsidP="00D36A5C">
      <w:pPr>
        <w:pStyle w:val="FootnoteText"/>
      </w:pPr>
      <w:r>
        <w:rPr>
          <w:rStyle w:val="FootnoteReference"/>
        </w:rPr>
        <w:footnoteRef/>
      </w:r>
      <w:r>
        <w:t xml:space="preserve"> Order No. PSC-2025-0060-FOF-WS, issued February 24, 2025, in Docket No. 20240140-WS, </w:t>
      </w:r>
      <w:r w:rsidRPr="00CF71AE">
        <w:rPr>
          <w:i/>
        </w:rPr>
        <w:t>In re: Application for amendment of Certificate Nos. 589-W and 507-S in Polk County, by NC Real Estate Projects, LLC d/b/a Grenelefe Utili</w:t>
      </w:r>
      <w:r>
        <w:rPr>
          <w:i/>
        </w:rPr>
        <w:t>ty</w:t>
      </w:r>
      <w:r>
        <w:t>.</w:t>
      </w:r>
    </w:p>
  </w:footnote>
  <w:footnote w:id="20">
    <w:p w14:paraId="7F699C2A" w14:textId="77777777" w:rsidR="0017668B" w:rsidRDefault="0017668B" w:rsidP="00F259E7">
      <w:pPr>
        <w:pStyle w:val="FootnoteText"/>
      </w:pPr>
      <w:r>
        <w:rPr>
          <w:rStyle w:val="FootnoteReference"/>
        </w:rPr>
        <w:footnoteRef/>
      </w:r>
      <w:r>
        <w:t xml:space="preserve"> Rule 25-30.4325(1)(e), F.A.C.</w:t>
      </w:r>
    </w:p>
  </w:footnote>
  <w:footnote w:id="21">
    <w:p w14:paraId="28BE719C" w14:textId="51FD7AD6" w:rsidR="0017668B" w:rsidRDefault="0017668B" w:rsidP="00F259E7">
      <w:pPr>
        <w:pStyle w:val="FootnoteText"/>
      </w:pPr>
      <w:r>
        <w:rPr>
          <w:rStyle w:val="FootnoteReference"/>
        </w:rPr>
        <w:footnoteRef/>
      </w:r>
      <w:r>
        <w:t xml:space="preserve"> Because the current owners operated the Utility for the entire test year, the previous owner’s recordkeeping is irrelevant to this determination of EUW. </w:t>
      </w:r>
    </w:p>
  </w:footnote>
  <w:footnote w:id="22">
    <w:p w14:paraId="14C757C5" w14:textId="77777777" w:rsidR="0017668B" w:rsidRPr="008D7C0F" w:rsidRDefault="0017668B" w:rsidP="00D36A5C">
      <w:pPr>
        <w:pStyle w:val="FootnoteText"/>
        <w:rPr>
          <w:i/>
        </w:rPr>
      </w:pPr>
      <w:r>
        <w:rPr>
          <w:rStyle w:val="FootnoteReference"/>
        </w:rPr>
        <w:footnoteRef/>
      </w:r>
      <w:r>
        <w:t xml:space="preserve"> Order No. PSC-2024-0228-PAA-WS, issued July 8, 2024, in Docket No. 20220142-WS, </w:t>
      </w:r>
      <w:r>
        <w:rPr>
          <w:i/>
        </w:rPr>
        <w:t>In re: Application for transfer of water and wastewater facilities and Certificate Nos. 589-W and 507-S from Grenelefe Resort Utility, Inc. to NC Real Estate Projects, LLC d/b/a Grenelefe Utility, in Polk County.</w:t>
      </w:r>
    </w:p>
  </w:footnote>
  <w:footnote w:id="23">
    <w:p w14:paraId="7BB80E0E" w14:textId="77777777" w:rsidR="0017668B" w:rsidRPr="003A14AD" w:rsidRDefault="0017668B" w:rsidP="00192776">
      <w:pPr>
        <w:pStyle w:val="FootnoteText"/>
      </w:pPr>
      <w:r>
        <w:rPr>
          <w:rStyle w:val="FootnoteReference"/>
        </w:rPr>
        <w:footnoteRef/>
      </w:r>
      <w:r>
        <w:t xml:space="preserve"> Order No. PSC-2022-0335-PAA-WS, issued September 28, 2022, in Docket No. 20220066-WS, </w:t>
      </w:r>
      <w:r w:rsidRPr="003A14AD">
        <w:rPr>
          <w:i/>
        </w:rPr>
        <w:t>In re: Application for increase in water rates in Washington County,</w:t>
      </w:r>
      <w:r>
        <w:rPr>
          <w:i/>
        </w:rPr>
        <w:t xml:space="preserve"> by Sunny Hills Utility Company </w:t>
      </w:r>
      <w:r>
        <w:t xml:space="preserve">and Order No. PSC-2021-0206-FOF-WS, issued June 4, 2021, in Docket No. 20200139-WS, </w:t>
      </w:r>
      <w:r w:rsidRPr="00336C6C">
        <w:rPr>
          <w:i/>
        </w:rPr>
        <w:t xml:space="preserve">In re: Application for increase in water and wastewater rates in Charlotte, Highlands, Lake, Lee, Marion, Orange, Pasco, Pinellas, Polk, and Seminole Counties, by Utilities, Inc. of Florida. </w:t>
      </w:r>
    </w:p>
  </w:footnote>
  <w:footnote w:id="24">
    <w:p w14:paraId="23517365" w14:textId="77777777" w:rsidR="0017668B" w:rsidRDefault="0017668B" w:rsidP="00D36A5C">
      <w:pPr>
        <w:pStyle w:val="FootnoteText"/>
      </w:pPr>
      <w:r>
        <w:rPr>
          <w:rStyle w:val="FootnoteReference"/>
        </w:rPr>
        <w:footnoteRef/>
      </w:r>
      <w:r>
        <w:t xml:space="preserve"> Document No. 11315-2025, filed September 17, 2025, in Docket No. 20250023-WS.</w:t>
      </w:r>
    </w:p>
  </w:footnote>
  <w:footnote w:id="25">
    <w:p w14:paraId="06C4A184" w14:textId="77777777" w:rsidR="0017668B" w:rsidRDefault="0017668B" w:rsidP="00D36A5C">
      <w:pPr>
        <w:pStyle w:val="FootnoteText"/>
      </w:pPr>
      <w:r>
        <w:rPr>
          <w:rStyle w:val="FootnoteReference"/>
        </w:rPr>
        <w:footnoteRef/>
      </w:r>
      <w:r>
        <w:t xml:space="preserve"> </w:t>
      </w:r>
      <w:r w:rsidRPr="00696FAC">
        <w:t>Document No. 03149-2025, filed April 25, 2025, in Docket No. 20250023-WS.</w:t>
      </w:r>
    </w:p>
  </w:footnote>
  <w:footnote w:id="26">
    <w:p w14:paraId="407504CB" w14:textId="77777777" w:rsidR="0017668B" w:rsidRDefault="0017668B" w:rsidP="00D36A5C">
      <w:pPr>
        <w:pStyle w:val="FootnoteText"/>
      </w:pPr>
      <w:r>
        <w:rPr>
          <w:rStyle w:val="FootnoteReference"/>
        </w:rPr>
        <w:footnoteRef/>
      </w:r>
      <w:r>
        <w:t xml:space="preserve"> Document No. 04307-2025, filed June 6, 2025, in Docket No. 20250023-WS.</w:t>
      </w:r>
    </w:p>
  </w:footnote>
  <w:footnote w:id="27">
    <w:p w14:paraId="6445B04B" w14:textId="77777777" w:rsidR="0017668B" w:rsidRDefault="0017668B" w:rsidP="00D36A5C">
      <w:pPr>
        <w:pStyle w:val="FootnoteText"/>
      </w:pPr>
      <w:r>
        <w:rPr>
          <w:rStyle w:val="FootnoteReference"/>
        </w:rPr>
        <w:footnoteRef/>
      </w:r>
      <w:r>
        <w:t xml:space="preserve"> </w:t>
      </w:r>
      <w:r w:rsidRPr="00696FAC">
        <w:t>Document No. 05797-2025, filed July 16, 2025, in Docket No. 20250023-WS.</w:t>
      </w:r>
    </w:p>
  </w:footnote>
  <w:footnote w:id="28">
    <w:p w14:paraId="60891133" w14:textId="77777777" w:rsidR="0017668B" w:rsidRDefault="0017668B" w:rsidP="00D36A5C">
      <w:pPr>
        <w:pStyle w:val="FootnoteText"/>
      </w:pPr>
      <w:r>
        <w:rPr>
          <w:rStyle w:val="FootnoteReference"/>
        </w:rPr>
        <w:footnoteRef/>
      </w:r>
      <w:r>
        <w:t xml:space="preserve"> Document No. 06762-2025, filed July 23, 2025, in Docket No. 20250023-WS.</w:t>
      </w:r>
    </w:p>
  </w:footnote>
  <w:footnote w:id="29">
    <w:p w14:paraId="0565B735" w14:textId="77777777" w:rsidR="0017668B" w:rsidRDefault="0017668B" w:rsidP="00D36A5C">
      <w:pPr>
        <w:pStyle w:val="FootnoteText"/>
      </w:pPr>
      <w:r>
        <w:rPr>
          <w:rStyle w:val="FootnoteReference"/>
        </w:rPr>
        <w:footnoteRef/>
      </w:r>
      <w:r>
        <w:t xml:space="preserve"> </w:t>
      </w:r>
      <w:r w:rsidRPr="00696FAC">
        <w:t>Document No. 15043-2025, filed November 12, 2025, in Docket No. 20250023-WS.</w:t>
      </w:r>
    </w:p>
  </w:footnote>
  <w:footnote w:id="30">
    <w:p w14:paraId="1F486F7E" w14:textId="77777777" w:rsidR="0017668B" w:rsidRDefault="0017668B" w:rsidP="0010509F">
      <w:pPr>
        <w:pStyle w:val="FootnoteText"/>
      </w:pPr>
      <w:r>
        <w:rPr>
          <w:rStyle w:val="FootnoteReference"/>
        </w:rPr>
        <w:footnoteRef/>
      </w:r>
      <w:r>
        <w:t xml:space="preserve"> Document No. 06464-2025, filed July 17, 2025, in Docket No. 20250023-WS.</w:t>
      </w:r>
    </w:p>
  </w:footnote>
  <w:footnote w:id="31">
    <w:p w14:paraId="62C3DA67" w14:textId="77777777" w:rsidR="0017668B" w:rsidRDefault="0017668B" w:rsidP="00D36A5C">
      <w:pPr>
        <w:pStyle w:val="FootnoteText"/>
      </w:pPr>
      <w:r>
        <w:rPr>
          <w:rStyle w:val="FootnoteReference"/>
        </w:rPr>
        <w:footnoteRef/>
      </w:r>
      <w:r>
        <w:t xml:space="preserve"> Document No. 11315-2025, filed September 17, 2025, in Docket No. 20250023-WS.</w:t>
      </w:r>
    </w:p>
  </w:footnote>
  <w:footnote w:id="32">
    <w:p w14:paraId="49FB4977" w14:textId="77777777" w:rsidR="0017668B" w:rsidRDefault="0017668B" w:rsidP="00EF78D6">
      <w:pPr>
        <w:pStyle w:val="FootnoteText"/>
      </w:pPr>
      <w:r>
        <w:rPr>
          <w:rStyle w:val="FootnoteReference"/>
        </w:rPr>
        <w:footnoteRef/>
      </w:r>
      <w:r>
        <w:t xml:space="preserve"> Document No. 15043-2025, filed November 12, 2025, in Docket No. 20250023-WS.</w:t>
      </w:r>
    </w:p>
  </w:footnote>
  <w:footnote w:id="33">
    <w:p w14:paraId="483E31E5" w14:textId="77777777" w:rsidR="0017668B" w:rsidRDefault="0017668B" w:rsidP="00EF78D6">
      <w:pPr>
        <w:pStyle w:val="FootnoteText"/>
      </w:pPr>
      <w:r>
        <w:rPr>
          <w:rStyle w:val="FootnoteReference"/>
        </w:rPr>
        <w:footnoteRef/>
      </w:r>
      <w:r>
        <w:t xml:space="preserve"> Document No. 15496-2025, filed December 19, 2025, in Docket No. 20250023-WS.</w:t>
      </w:r>
    </w:p>
  </w:footnote>
  <w:footnote w:id="34">
    <w:p w14:paraId="0729D381" w14:textId="77777777" w:rsidR="0017668B" w:rsidRDefault="0017668B" w:rsidP="00192434">
      <w:pPr>
        <w:pStyle w:val="FootnoteText"/>
      </w:pPr>
      <w:r>
        <w:rPr>
          <w:rStyle w:val="FootnoteReference"/>
        </w:rPr>
        <w:footnoteRef/>
      </w:r>
      <w:r>
        <w:t xml:space="preserve"> Document No. 15043-2025, filed November 12, 2025, in Docket No. 20250023-WS.</w:t>
      </w:r>
    </w:p>
  </w:footnote>
  <w:footnote w:id="35">
    <w:p w14:paraId="48FCFB92" w14:textId="77777777" w:rsidR="0017668B" w:rsidRDefault="0017668B" w:rsidP="007656AE">
      <w:pPr>
        <w:pStyle w:val="FootnoteText"/>
      </w:pPr>
      <w:r>
        <w:rPr>
          <w:rStyle w:val="FootnoteReference"/>
        </w:rPr>
        <w:footnoteRef/>
      </w:r>
      <w:r>
        <w:t xml:space="preserve"> Document No. 15043-2025, filed November 12, 2025, in Docket No. 20250023-WS.</w:t>
      </w:r>
    </w:p>
  </w:footnote>
  <w:footnote w:id="36">
    <w:p w14:paraId="2C4BFE69" w14:textId="77777777" w:rsidR="0017668B" w:rsidRDefault="0017668B" w:rsidP="007656AE">
      <w:pPr>
        <w:pStyle w:val="FootnoteText"/>
      </w:pPr>
      <w:r>
        <w:rPr>
          <w:rStyle w:val="FootnoteReference"/>
        </w:rPr>
        <w:footnoteRef/>
      </w:r>
      <w:r>
        <w:t xml:space="preserve"> Order No. PSC-98-1459-AS-WS, issued October 26, 1998, in Docket No. 19961006-WS, </w:t>
      </w:r>
      <w:r w:rsidRPr="00A330DB">
        <w:rPr>
          <w:i/>
        </w:rPr>
        <w:t xml:space="preserve">In re: </w:t>
      </w:r>
      <w:r w:rsidRPr="00F95506">
        <w:rPr>
          <w:i/>
        </w:rPr>
        <w:t xml:space="preserve">Application for certificates under grandfather rights to provide water and wastewater service by Sports Shinko Utility, Inc. d/b/a Grenelefe Utilities in Polk County. </w:t>
      </w:r>
    </w:p>
  </w:footnote>
  <w:footnote w:id="37">
    <w:p w14:paraId="0F107EA3" w14:textId="77777777" w:rsidR="0017668B" w:rsidRDefault="0017668B" w:rsidP="007656AE">
      <w:pPr>
        <w:pStyle w:val="FootnoteText"/>
      </w:pPr>
      <w:r>
        <w:rPr>
          <w:rStyle w:val="FootnoteReference"/>
        </w:rPr>
        <w:footnoteRef/>
      </w:r>
      <w:r>
        <w:t xml:space="preserve"> Document No. 11315-2025, filed September 17, 2025, in Docket No. 20250023-WS.</w:t>
      </w:r>
    </w:p>
  </w:footnote>
  <w:footnote w:id="38">
    <w:p w14:paraId="73EF9155" w14:textId="1FE30A3A" w:rsidR="0017668B" w:rsidRPr="00433320" w:rsidRDefault="0017668B" w:rsidP="005E2ECC">
      <w:pPr>
        <w:pStyle w:val="FootnoteText"/>
      </w:pPr>
      <w:r w:rsidRPr="00433320">
        <w:rPr>
          <w:rStyle w:val="FootnoteReference"/>
        </w:rPr>
        <w:footnoteRef/>
      </w:r>
      <w:r w:rsidRPr="00433320">
        <w:t xml:space="preserve"> Order No. PSC-2017-0361-FOF-WS, issued September 25, 2017, and Amendatory Or</w:t>
      </w:r>
      <w:r>
        <w:t>der PSC-2017-0361A-FOF-WS, issued</w:t>
      </w:r>
      <w:r w:rsidRPr="00433320">
        <w:t xml:space="preserve"> October 4, 2017, in Docket No. 20160101-WS, </w:t>
      </w:r>
      <w:r w:rsidRPr="00433320">
        <w:rPr>
          <w:i/>
        </w:rPr>
        <w:t>In re: Application for increase in water and wastewater rates in Charlotte, Highlands, Lake, Lee, Marion, Orange, Pasco, Pinellas, Polk, and Seminole Counties by Utilities, Inc. of Florida.</w:t>
      </w:r>
      <w:r w:rsidRPr="00433320">
        <w:t xml:space="preserve"> </w:t>
      </w:r>
    </w:p>
  </w:footnote>
  <w:footnote w:id="39">
    <w:p w14:paraId="48A75686" w14:textId="77777777" w:rsidR="0017668B" w:rsidRDefault="0017668B" w:rsidP="005E2ECC">
      <w:pPr>
        <w:pStyle w:val="FootnoteText"/>
      </w:pPr>
      <w:r w:rsidRPr="00433320">
        <w:rPr>
          <w:rStyle w:val="FootnoteReference"/>
        </w:rPr>
        <w:footnoteRef/>
      </w:r>
      <w:r w:rsidRPr="00433320">
        <w:rPr>
          <w:i/>
        </w:rPr>
        <w:t xml:space="preserve"> Id</w:t>
      </w:r>
      <w:r w:rsidRPr="00433320">
        <w:t>.</w:t>
      </w:r>
    </w:p>
  </w:footnote>
  <w:footnote w:id="40">
    <w:p w14:paraId="08221623" w14:textId="77777777" w:rsidR="0017668B" w:rsidRPr="007D754B" w:rsidRDefault="0017668B" w:rsidP="00FC5A81">
      <w:pPr>
        <w:pStyle w:val="FootnoteText"/>
        <w:rPr>
          <w:i/>
        </w:rPr>
      </w:pPr>
      <w:r>
        <w:rPr>
          <w:rStyle w:val="FootnoteReference"/>
        </w:rPr>
        <w:footnoteRef/>
      </w:r>
      <w:r>
        <w:t xml:space="preserve"> Order No. PSC-12-0433-PAA-WS, issued August 21, 2012, in Docket No. 20110141-WS, </w:t>
      </w:r>
      <w:r>
        <w:rPr>
          <w:i/>
        </w:rPr>
        <w:t>In re: Application for staff-assisted rate case in Polk County by Grenelefe Resort Utility, Inc.</w:t>
      </w:r>
    </w:p>
  </w:footnote>
  <w:footnote w:id="41">
    <w:p w14:paraId="7F20F7E8" w14:textId="77777777" w:rsidR="0017668B" w:rsidRPr="000D6764" w:rsidRDefault="0017668B" w:rsidP="00FC5A81">
      <w:pPr>
        <w:pStyle w:val="FootnoteText"/>
        <w:rPr>
          <w:i/>
        </w:rPr>
      </w:pPr>
      <w:r>
        <w:rPr>
          <w:rStyle w:val="FootnoteReference"/>
        </w:rPr>
        <w:footnoteRef/>
      </w:r>
      <w:r>
        <w:rPr>
          <w:i/>
        </w:rPr>
        <w:t xml:space="preserve"> Id.</w:t>
      </w:r>
    </w:p>
  </w:footnote>
  <w:footnote w:id="42">
    <w:p w14:paraId="0F802F05" w14:textId="77777777" w:rsidR="0017668B" w:rsidRDefault="0017668B" w:rsidP="00FC5A81">
      <w:pPr>
        <w:pStyle w:val="FootnoteText"/>
      </w:pPr>
      <w:r>
        <w:rPr>
          <w:rStyle w:val="FootnoteReference"/>
        </w:rPr>
        <w:footnoteRef/>
      </w:r>
      <w:r>
        <w:t xml:space="preserve"> Document No. 05248-2025, filed June 26, 2025,</w:t>
      </w:r>
      <w:r w:rsidRPr="00DC3A0A">
        <w:t xml:space="preserve"> </w:t>
      </w:r>
      <w:r>
        <w:t>in Docket No. 20250023-WS.</w:t>
      </w:r>
    </w:p>
  </w:footnote>
  <w:footnote w:id="43">
    <w:p w14:paraId="43989487" w14:textId="77777777" w:rsidR="0017668B" w:rsidRDefault="0017668B" w:rsidP="00FC5A81">
      <w:pPr>
        <w:pStyle w:val="FootnoteText"/>
      </w:pPr>
      <w:r>
        <w:rPr>
          <w:rStyle w:val="FootnoteReference"/>
        </w:rPr>
        <w:footnoteRef/>
      </w:r>
      <w:r>
        <w:t xml:space="preserve"> Document No. 15043-2025, filed November 12, 2025,</w:t>
      </w:r>
      <w:r w:rsidRPr="00DC3A0A">
        <w:t xml:space="preserve"> </w:t>
      </w:r>
      <w:r>
        <w:t>in Docket No. 20250023-WS.</w:t>
      </w:r>
    </w:p>
  </w:footnote>
  <w:footnote w:id="44">
    <w:p w14:paraId="606056D9" w14:textId="77777777" w:rsidR="0017668B" w:rsidRDefault="0017668B" w:rsidP="00A1755C">
      <w:pPr>
        <w:pStyle w:val="FootnoteText"/>
      </w:pPr>
      <w:r>
        <w:rPr>
          <w:rStyle w:val="FootnoteReference"/>
        </w:rPr>
        <w:footnoteRef/>
      </w:r>
      <w:r>
        <w:t xml:space="preserve"> Order No. PSC-2025-0213-PAA-WS, issued June 18, 2025, in Docket No. 20250006-WS, </w:t>
      </w:r>
      <w:r w:rsidRPr="007C0137">
        <w:rPr>
          <w:i/>
        </w:rPr>
        <w:t>In re: Water and wastewater industry annual reestablishment of authorized range of return on common equity for water and wastewater utilities pursuant to Section 367.081(4)(</w:t>
      </w:r>
      <w:r>
        <w:rPr>
          <w:i/>
        </w:rPr>
        <w:t>f</w:t>
      </w:r>
      <w:r w:rsidRPr="007C0137">
        <w:rPr>
          <w:i/>
        </w:rPr>
        <w:t>), F.S.</w:t>
      </w:r>
    </w:p>
  </w:footnote>
  <w:footnote w:id="45">
    <w:p w14:paraId="079EDA70" w14:textId="77777777" w:rsidR="0017668B" w:rsidRDefault="0017668B" w:rsidP="00FD4791">
      <w:pPr>
        <w:pStyle w:val="FootnoteText"/>
      </w:pPr>
      <w:r>
        <w:rPr>
          <w:rStyle w:val="FootnoteReference"/>
        </w:rPr>
        <w:footnoteRef/>
      </w:r>
      <w:r>
        <w:t xml:space="preserve"> Document No. 14200-2025, filed October 3, 2025,</w:t>
      </w:r>
      <w:r w:rsidRPr="00DC3A0A">
        <w:t xml:space="preserve"> </w:t>
      </w:r>
      <w:r>
        <w:t>in Docket No. 20250023-WS.</w:t>
      </w:r>
    </w:p>
  </w:footnote>
  <w:footnote w:id="46">
    <w:p w14:paraId="742E9E47" w14:textId="77777777" w:rsidR="0017668B" w:rsidRDefault="0017668B" w:rsidP="00FD4791">
      <w:pPr>
        <w:pStyle w:val="FootnoteText"/>
      </w:pPr>
      <w:r>
        <w:rPr>
          <w:rStyle w:val="FootnoteReference"/>
        </w:rPr>
        <w:footnoteRef/>
      </w:r>
      <w:r>
        <w:t xml:space="preserve"> Document No. 15044-2025, filed November 12, 2025,</w:t>
      </w:r>
      <w:r w:rsidRPr="00DC3A0A">
        <w:t xml:space="preserve"> </w:t>
      </w:r>
      <w:r>
        <w:t>in Docket No. 20250023-WS.</w:t>
      </w:r>
    </w:p>
  </w:footnote>
  <w:footnote w:id="47">
    <w:p w14:paraId="342EFCCE" w14:textId="1B935982" w:rsidR="0017668B" w:rsidRDefault="0017668B" w:rsidP="00A1755C">
      <w:pPr>
        <w:pStyle w:val="FootnoteText"/>
      </w:pPr>
      <w:r>
        <w:rPr>
          <w:rStyle w:val="FootnoteReference"/>
        </w:rPr>
        <w:footnoteRef/>
      </w:r>
      <w:r>
        <w:t xml:space="preserve"> Order No. PSC-2024-0292-CO-WS, issued August 2, 2024, in Docket No. 20220142-WS, </w:t>
      </w:r>
      <w:r w:rsidRPr="008E3F62">
        <w:rPr>
          <w:i/>
        </w:rPr>
        <w:t xml:space="preserve">In </w:t>
      </w:r>
      <w:r>
        <w:rPr>
          <w:i/>
        </w:rPr>
        <w:t>r</w:t>
      </w:r>
      <w:r w:rsidRPr="008E3F62">
        <w:rPr>
          <w:i/>
        </w:rPr>
        <w:t>e: Application for transfer of water and wastewater facilities and Certificate Nos. 589-W and 507-S from Grenelefe Resort Utility, Inc. to NC Real Estate Projects, LLC d/b/a Grenelefe Utility, in Polk County.</w:t>
      </w:r>
    </w:p>
  </w:footnote>
  <w:footnote w:id="48">
    <w:p w14:paraId="09A530F9" w14:textId="77777777" w:rsidR="0017668B" w:rsidRDefault="0017668B" w:rsidP="00A1755C">
      <w:pPr>
        <w:pStyle w:val="FootnoteText"/>
        <w:jc w:val="left"/>
      </w:pPr>
      <w:r>
        <w:rPr>
          <w:rStyle w:val="FootnoteReference"/>
        </w:rPr>
        <w:footnoteRef/>
      </w:r>
      <w:r>
        <w:t xml:space="preserve"> </w:t>
      </w:r>
      <w:hyperlink r:id="rId1" w:history="1">
        <w:r w:rsidRPr="000B695F">
          <w:rPr>
            <w:rStyle w:val="Hyperlink"/>
          </w:rPr>
          <w:t>https://www.irs.gov/newsroom/irs-increases-the-standard-mileage-rate-for-business-use-in-2025-key-rate-increases-3-cents-to-70-cents-per-mile</w:t>
        </w:r>
      </w:hyperlink>
    </w:p>
  </w:footnote>
  <w:footnote w:id="49">
    <w:p w14:paraId="21547489" w14:textId="77777777" w:rsidR="0017668B" w:rsidRDefault="0017668B" w:rsidP="00A1755C">
      <w:pPr>
        <w:pStyle w:val="FootnoteText"/>
      </w:pPr>
      <w:r w:rsidRPr="00DC3A0A">
        <w:rPr>
          <w:rStyle w:val="FootnoteReference"/>
        </w:rPr>
        <w:footnoteRef/>
      </w:r>
      <w:r w:rsidRPr="00DC3A0A">
        <w:t xml:space="preserve"> Document No. </w:t>
      </w:r>
      <w:r w:rsidRPr="00AF7965">
        <w:t>00027-2026</w:t>
      </w:r>
      <w:r>
        <w:t>, filed January 5, 2026,</w:t>
      </w:r>
      <w:r w:rsidRPr="00DC3A0A">
        <w:t xml:space="preserve"> </w:t>
      </w:r>
      <w:r>
        <w:t>in Docket No. 20250023-WS.</w:t>
      </w:r>
    </w:p>
  </w:footnote>
  <w:footnote w:id="50">
    <w:p w14:paraId="40076876" w14:textId="77777777" w:rsidR="0017668B" w:rsidRDefault="0017668B" w:rsidP="00A1755C">
      <w:pPr>
        <w:pStyle w:val="FootnoteText"/>
      </w:pPr>
      <w:r>
        <w:rPr>
          <w:rStyle w:val="FootnoteReference"/>
        </w:rPr>
        <w:footnoteRef/>
      </w:r>
      <w:r>
        <w:t xml:space="preserve"> Document No. 06464-2025, filed July 17, 2025,</w:t>
      </w:r>
      <w:r w:rsidRPr="00DC3A0A">
        <w:t xml:space="preserve"> </w:t>
      </w:r>
      <w:r>
        <w:t xml:space="preserve">in Docket No. 20250023-WS. </w:t>
      </w:r>
    </w:p>
  </w:footnote>
  <w:footnote w:id="51">
    <w:p w14:paraId="773F55A6" w14:textId="5AE92BFF" w:rsidR="0017668B" w:rsidRPr="00D3021B" w:rsidRDefault="0017668B" w:rsidP="00A1755C">
      <w:pPr>
        <w:pStyle w:val="FootnoteText"/>
        <w:rPr>
          <w:i/>
        </w:rPr>
      </w:pPr>
      <w:r>
        <w:rPr>
          <w:rStyle w:val="FootnoteReference"/>
        </w:rPr>
        <w:footnoteRef/>
      </w:r>
      <w:r>
        <w:t xml:space="preserve"> Order No</w:t>
      </w:r>
      <w:r w:rsidRPr="00D3021B">
        <w:t>. PSC-09-0375-PAA-GU</w:t>
      </w:r>
      <w:r>
        <w:t xml:space="preserve">, issued May 27, 2009, in Docket No. 20080366-GU, </w:t>
      </w:r>
      <w:r w:rsidRPr="00D3021B">
        <w:rPr>
          <w:i/>
        </w:rPr>
        <w:t xml:space="preserve">In </w:t>
      </w:r>
      <w:r>
        <w:rPr>
          <w:i/>
        </w:rPr>
        <w:t>r</w:t>
      </w:r>
      <w:r w:rsidRPr="00D3021B">
        <w:rPr>
          <w:i/>
        </w:rPr>
        <w:t>e: Petition for rate increase by Florida Public Utilities Company.</w:t>
      </w:r>
    </w:p>
  </w:footnote>
  <w:footnote w:id="52">
    <w:p w14:paraId="53C5B8E4" w14:textId="77777777" w:rsidR="0017668B" w:rsidRDefault="0017668B" w:rsidP="003A3B66">
      <w:pPr>
        <w:pStyle w:val="FootnoteText"/>
      </w:pPr>
      <w:r>
        <w:rPr>
          <w:rStyle w:val="FootnoteReference"/>
        </w:rPr>
        <w:footnoteRef/>
      </w:r>
      <w:r>
        <w:t xml:space="preserve"> Staff notes calculations may not compute due to rounding.</w:t>
      </w:r>
    </w:p>
  </w:footnote>
  <w:footnote w:id="53">
    <w:p w14:paraId="0479548A" w14:textId="77777777" w:rsidR="0017668B" w:rsidRDefault="0017668B" w:rsidP="00AC36CA">
      <w:pPr>
        <w:pStyle w:val="FootnoteText"/>
        <w:jc w:val="left"/>
      </w:pPr>
      <w:r>
        <w:rPr>
          <w:rStyle w:val="FootnoteReference"/>
        </w:rPr>
        <w:footnoteRef/>
      </w:r>
      <w:r>
        <w:t xml:space="preserve"> </w:t>
      </w:r>
      <w:r w:rsidRPr="0003089D">
        <w:rPr>
          <w:color w:val="000000"/>
        </w:rPr>
        <w:t>The average people per household served by the water system is 2.35</w:t>
      </w:r>
      <w:r>
        <w:rPr>
          <w:color w:val="000000"/>
        </w:rPr>
        <w:t xml:space="preserve">. </w:t>
      </w:r>
      <w:r>
        <w:rPr>
          <w:i/>
          <w:color w:val="000000"/>
        </w:rPr>
        <w:t>See</w:t>
      </w:r>
      <w:r>
        <w:t xml:space="preserve"> </w:t>
      </w:r>
      <w:hyperlink r:id="rId2" w:history="1">
        <w:r w:rsidRPr="00B41962">
          <w:rPr>
            <w:rStyle w:val="Hyperlink"/>
          </w:rPr>
          <w:t>https://www.census.gov/quickfacts/fact/table/lakelandcityflorida/pst045224</w:t>
        </w:r>
      </w:hyperlink>
    </w:p>
  </w:footnote>
  <w:footnote w:id="54">
    <w:p w14:paraId="3DACEE73" w14:textId="77777777" w:rsidR="0017668B" w:rsidRDefault="0017668B" w:rsidP="00AC36CA"/>
    <w:p w14:paraId="2E449416" w14:textId="77777777" w:rsidR="0017668B" w:rsidRDefault="0017668B" w:rsidP="00AC36CA">
      <w:pPr>
        <w:pStyle w:val="FootnoteText"/>
      </w:pPr>
    </w:p>
  </w:footnote>
  <w:footnote w:id="55">
    <w:p w14:paraId="4FCBEA63" w14:textId="77777777" w:rsidR="0017668B" w:rsidRPr="00DB010A" w:rsidRDefault="0017668B" w:rsidP="004C3F76">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staff-assisted </w:t>
      </w:r>
      <w:r w:rsidRPr="00DB010A">
        <w:rPr>
          <w:i/>
          <w:iCs/>
          <w:sz w:val="20"/>
          <w:szCs w:val="20"/>
        </w:rPr>
        <w:t>rate case in Polk County by Crooked Lake Park Sewerage Company.</w:t>
      </w:r>
    </w:p>
  </w:footnote>
  <w:footnote w:id="56">
    <w:p w14:paraId="27FA63FD" w14:textId="77777777" w:rsidR="0017668B" w:rsidRDefault="0017668B" w:rsidP="00A1755C">
      <w:pPr>
        <w:pStyle w:val="FootnoteText"/>
      </w:pPr>
      <w:r>
        <w:rPr>
          <w:rStyle w:val="FootnoteReference"/>
        </w:rPr>
        <w:footnoteRef/>
      </w:r>
      <w:r>
        <w:t xml:space="preserve"> Order No. PSC-2024-0228-PAA-WS, issued July 8, 2024, in Docket No. 20220142-WS, </w:t>
      </w:r>
      <w:r w:rsidRPr="001C3FEC">
        <w:rPr>
          <w:i/>
        </w:rPr>
        <w:t>In re: Application for transfer of water and wastewater facilities and Certificate Nos. 589-W and 507-S from Grenelefe Resort Utility, Inc. to NC Real Estate Projects, LLC d/b/a Grenelefe Utility, in Polk County.</w:t>
      </w:r>
    </w:p>
  </w:footnote>
  <w:footnote w:id="57">
    <w:p w14:paraId="4BDAA612" w14:textId="77777777" w:rsidR="0017668B" w:rsidRDefault="0017668B" w:rsidP="00A1755C">
      <w:pPr>
        <w:pStyle w:val="FootnoteText"/>
      </w:pPr>
      <w:r>
        <w:rPr>
          <w:rStyle w:val="FootnoteReference"/>
        </w:rPr>
        <w:footnoteRef/>
      </w:r>
      <w:r>
        <w:t xml:space="preserve"> </w:t>
      </w:r>
      <w:r w:rsidRPr="00AD0A82">
        <w:t>Document No. 14563-2025</w:t>
      </w:r>
      <w:r>
        <w:t>, filed October 14, 2025,</w:t>
      </w:r>
      <w:r w:rsidRPr="00DC3A0A">
        <w:t xml:space="preserve"> </w:t>
      </w:r>
      <w:r>
        <w:t>in Docket No. 20250023-WS.</w:t>
      </w:r>
      <w:r w:rsidRPr="00AD0A82">
        <w:t xml:space="preserve"> </w:t>
      </w:r>
    </w:p>
  </w:footnote>
  <w:footnote w:id="58">
    <w:p w14:paraId="45268623" w14:textId="77777777" w:rsidR="0017668B" w:rsidRDefault="0017668B" w:rsidP="004C3F76">
      <w:pPr>
        <w:pStyle w:val="FootnoteText"/>
      </w:pPr>
      <w:r>
        <w:rPr>
          <w:rStyle w:val="FootnoteReference"/>
        </w:rPr>
        <w:footnoteRef/>
      </w:r>
      <w:r>
        <w:t xml:space="preserve"> Order No. PSC-05-0142-PAA-WS, issued February 7, 2005, in Docket No. 20030123-WS, </w:t>
      </w:r>
      <w:r w:rsidRPr="001C499B">
        <w:rPr>
          <w:i/>
        </w:rPr>
        <w:t>In re: Application for transfer of majority organizational control of Sports Shinko Utility, Inc. d/b/a Grenelefe Utilities in Polk County and for name change on Certificate Nos. 589-W and 507-S to Grenelefe Resort Utility, Inc.</w:t>
      </w:r>
      <w:r>
        <w:t xml:space="preserve"> </w:t>
      </w:r>
    </w:p>
  </w:footnote>
  <w:footnote w:id="59">
    <w:p w14:paraId="11C6C3CE" w14:textId="77777777" w:rsidR="0017668B" w:rsidRDefault="0017668B" w:rsidP="00A1755C">
      <w:pPr>
        <w:pStyle w:val="FootnoteText"/>
      </w:pPr>
      <w:r>
        <w:rPr>
          <w:rStyle w:val="FootnoteReference"/>
        </w:rPr>
        <w:footnoteRef/>
      </w:r>
      <w:r>
        <w:t xml:space="preserve"> Order No. PSC-93-1732-FOF-WS, issued December 1, 1993, in Docket No. 19930171, </w:t>
      </w:r>
      <w:r w:rsidRPr="00B619BB">
        <w:rPr>
          <w:i/>
        </w:rPr>
        <w:t>In re: Application for approval of service availability Charges in Martin County by Indiantown Company, Inc.</w:t>
      </w:r>
      <w:r>
        <w:t xml:space="preserve"> </w:t>
      </w:r>
    </w:p>
  </w:footnote>
  <w:footnote w:id="60">
    <w:p w14:paraId="22623893" w14:textId="2D3B4BE9" w:rsidR="0017668B" w:rsidRPr="00AA6277" w:rsidRDefault="0017668B" w:rsidP="00E3277C">
      <w:pPr>
        <w:pStyle w:val="FootnoteText"/>
      </w:pPr>
      <w:r>
        <w:rPr>
          <w:rStyle w:val="FootnoteReference"/>
        </w:rPr>
        <w:footnoteRef/>
      </w:r>
      <w:r>
        <w:t xml:space="preserve"> Orders Nos. PSC-12-0435-PAA-WU, issued August 22, 2012, and Amendatory Order PSC-12-0435A-PAA-WU, issued September 11, 2012, in Docket No. 20110200-WU, </w:t>
      </w:r>
      <w:r w:rsidRPr="00AA6277">
        <w:rPr>
          <w:i/>
        </w:rPr>
        <w:t>In re: Application for increase in water rates in Franklin County by Water Management Services, Inc.</w:t>
      </w:r>
      <w:r w:rsidRPr="00281B1C">
        <w:t>;</w:t>
      </w:r>
      <w:r>
        <w:t xml:space="preserve"> and Order No. PSC-00-1528-PAA-WU, issued August 23, 2000, in Docket No. 19991437-WU, </w:t>
      </w:r>
      <w:r w:rsidRPr="00AA6277">
        <w:rPr>
          <w:i/>
        </w:rPr>
        <w:t>In re: Application for increase in water rates in Orange County by Wedgefield Utilities, Inc.</w:t>
      </w:r>
    </w:p>
  </w:footnote>
  <w:footnote w:id="61">
    <w:p w14:paraId="21A1D39B" w14:textId="77777777" w:rsidR="0017668B" w:rsidRPr="00421642" w:rsidRDefault="0017668B" w:rsidP="00A1755C">
      <w:pPr>
        <w:pStyle w:val="FootnoteText"/>
      </w:pPr>
      <w:r>
        <w:rPr>
          <w:rStyle w:val="FootnoteReference"/>
        </w:rPr>
        <w:footnoteRef/>
      </w:r>
      <w:r>
        <w:t xml:space="preserve"> Order PSC-2022-0432-PAA-WS, issued December 19, 2022, in Docket No. 20220032-WS, </w:t>
      </w:r>
      <w:r w:rsidRPr="00632B47">
        <w:rPr>
          <w:i/>
        </w:rPr>
        <w:t>In re: Application for staff-assisted rate case in Polk County by Anglers Cove West, Ltd.</w:t>
      </w:r>
      <w:r>
        <w:rPr>
          <w:i/>
        </w:rPr>
        <w:t xml:space="preserve"> </w:t>
      </w:r>
      <w:r>
        <w:t xml:space="preserve">and Order No. PSC-15-0592-PAA-WU, issued December 30, 2015, in Docket No. 20140175-WU, </w:t>
      </w:r>
      <w:r w:rsidRPr="00632B47">
        <w:rPr>
          <w:i/>
        </w:rPr>
        <w:t>In re: Application for staff-assisted rate case in Pasco County by Crestridge Utilities, LLC.</w:t>
      </w:r>
    </w:p>
  </w:footnote>
  <w:footnote w:id="62">
    <w:p w14:paraId="583FB693" w14:textId="77777777" w:rsidR="0017668B" w:rsidRPr="00916FDE" w:rsidRDefault="0017668B" w:rsidP="00415A43">
      <w:pPr>
        <w:pStyle w:val="FootnoteText"/>
      </w:pPr>
      <w:r>
        <w:rPr>
          <w:rStyle w:val="FootnoteReference"/>
        </w:rPr>
        <w:footnoteRef/>
      </w:r>
      <w:r>
        <w:t xml:space="preserve"> </w:t>
      </w:r>
      <w:r w:rsidRPr="00916FDE">
        <w:t xml:space="preserve">Order No. PSC-2025-0072-PCO-WS, issued March 11, 2025, in Docket No. 20250023-WS, </w:t>
      </w:r>
      <w:r w:rsidRPr="00916FDE">
        <w:rPr>
          <w:i/>
        </w:rPr>
        <w:t>In re: Application for staff-assisted rate case in Polk County, by North Carolina Real Estate Projects LLC d/b/a Grenelefe Utility.</w:t>
      </w:r>
    </w:p>
    <w:p w14:paraId="1F4C1A5E" w14:textId="77777777" w:rsidR="0017668B" w:rsidRDefault="0017668B" w:rsidP="00415A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D160" w14:textId="10A94FA3" w:rsidR="0017668B" w:rsidRDefault="00241450">
    <w:pPr>
      <w:pStyle w:val="OrderHeader"/>
    </w:pPr>
    <w:r>
      <w:t xml:space="preserve">ORDER NO. PSC-2026-0054-PAA-WS </w:t>
    </w:r>
  </w:p>
  <w:p w14:paraId="194D0CB8" w14:textId="77777777" w:rsidR="0017668B" w:rsidRDefault="0017668B">
    <w:pPr>
      <w:pStyle w:val="OrderHeader"/>
    </w:pPr>
    <w:bookmarkStart w:id="11" w:name="HeaderDocketNo"/>
    <w:bookmarkEnd w:id="11"/>
    <w:r>
      <w:t>DOCKET NO. 20250023-WS</w:t>
    </w:r>
  </w:p>
  <w:p w14:paraId="3BEDB534" w14:textId="2C727B1F" w:rsidR="0017668B" w:rsidRDefault="001766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44</w:t>
    </w:r>
    <w:r>
      <w:rPr>
        <w:rStyle w:val="PageNumber"/>
      </w:rPr>
      <w:fldChar w:fldCharType="end"/>
    </w:r>
  </w:p>
  <w:p w14:paraId="294D54DF" w14:textId="77777777" w:rsidR="0017668B" w:rsidRDefault="0017668B">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FE7B" w14:textId="7C7C70B9" w:rsidR="0017668B" w:rsidRDefault="0017668B" w:rsidP="00956435">
    <w:pPr>
      <w:pStyle w:val="OrderHeader"/>
    </w:pPr>
    <w:r>
      <w:t>ORDER NO.</w:t>
    </w:r>
    <w:r w:rsidR="00241450" w:rsidRPr="00241450">
      <w:t xml:space="preserve"> </w:t>
    </w:r>
    <w:r w:rsidR="00241450">
      <w:t xml:space="preserve">PSC-2026-0054-PAA-WS </w:t>
    </w:r>
    <w:r>
      <w:tab/>
    </w:r>
    <w:r>
      <w:tab/>
      <w:t>Schedule No. 3-D</w:t>
    </w:r>
  </w:p>
  <w:p w14:paraId="63AE7831" w14:textId="77777777" w:rsidR="0017668B" w:rsidRDefault="0017668B" w:rsidP="00956435">
    <w:pPr>
      <w:pStyle w:val="OrderHeader"/>
    </w:pPr>
    <w:r>
      <w:t>DOCKET NO. 20250023-WS</w:t>
    </w:r>
  </w:p>
  <w:p w14:paraId="3745E2E4" w14:textId="46C1294F"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54</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57CC" w14:textId="61622C5B" w:rsidR="0017668B" w:rsidRDefault="0017668B" w:rsidP="00956435">
    <w:pPr>
      <w:pStyle w:val="OrderHeader"/>
    </w:pPr>
    <w:r>
      <w:t>ORDER NO.</w:t>
    </w:r>
    <w:r w:rsidR="00241450" w:rsidRPr="00241450">
      <w:t xml:space="preserve"> </w:t>
    </w:r>
    <w:r w:rsidR="00241450">
      <w:t xml:space="preserve">PSC-2026-0054-PAA-WS </w:t>
    </w:r>
    <w:r>
      <w:tab/>
    </w:r>
    <w:r>
      <w:tab/>
      <w:t>Schedule No. 3-E</w:t>
    </w:r>
  </w:p>
  <w:p w14:paraId="29B3E023" w14:textId="77777777" w:rsidR="0017668B" w:rsidRDefault="0017668B" w:rsidP="00956435">
    <w:pPr>
      <w:pStyle w:val="OrderHeader"/>
    </w:pPr>
    <w:r>
      <w:t>DOCKET NO. 20250023-WS</w:t>
    </w:r>
  </w:p>
  <w:p w14:paraId="74AA6CF0" w14:textId="51940812"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55</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ED63" w14:textId="031587FA" w:rsidR="0017668B" w:rsidRDefault="0017668B" w:rsidP="00956435">
    <w:pPr>
      <w:pStyle w:val="OrderHeader"/>
    </w:pPr>
    <w:r>
      <w:t>ORDER NO.</w:t>
    </w:r>
    <w:r w:rsidR="00241450" w:rsidRPr="00241450">
      <w:t xml:space="preserve"> </w:t>
    </w:r>
    <w:r w:rsidR="00241450">
      <w:t xml:space="preserve">PSC-2026-0054-PAA-WS </w:t>
    </w:r>
    <w:r>
      <w:tab/>
    </w:r>
    <w:r>
      <w:tab/>
      <w:t>Schedule No. 4-A</w:t>
    </w:r>
  </w:p>
  <w:p w14:paraId="5188D6D1" w14:textId="77777777" w:rsidR="0017668B" w:rsidRDefault="0017668B" w:rsidP="00956435">
    <w:pPr>
      <w:pStyle w:val="OrderHeader"/>
    </w:pPr>
    <w:r>
      <w:t>DOCKET NO. 20250023-WS</w:t>
    </w:r>
  </w:p>
  <w:p w14:paraId="09A5E054" w14:textId="7D754B14"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56</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2AD8A" w14:textId="528D968F" w:rsidR="0017668B" w:rsidRDefault="0017668B" w:rsidP="00956435">
    <w:pPr>
      <w:pStyle w:val="OrderHeader"/>
    </w:pPr>
    <w:r>
      <w:t>ORDER NO.</w:t>
    </w:r>
    <w:r w:rsidR="00241450" w:rsidRPr="00241450">
      <w:t xml:space="preserve"> </w:t>
    </w:r>
    <w:r w:rsidR="00241450">
      <w:t xml:space="preserve">PSC-2026-0054-PAA-WS </w:t>
    </w:r>
    <w:r>
      <w:tab/>
    </w:r>
    <w:r>
      <w:tab/>
      <w:t>Schedule No. 4-B</w:t>
    </w:r>
  </w:p>
  <w:p w14:paraId="620872E1" w14:textId="77777777" w:rsidR="0017668B" w:rsidRDefault="0017668B" w:rsidP="00956435">
    <w:pPr>
      <w:pStyle w:val="OrderHeader"/>
    </w:pPr>
    <w:r>
      <w:t>DOCKET NO. 20250023-WS</w:t>
    </w:r>
  </w:p>
  <w:p w14:paraId="792C0338" w14:textId="07F8BFCB"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57</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88EC" w14:textId="3D33B3B0" w:rsidR="0017668B" w:rsidRDefault="0017668B" w:rsidP="00956435">
    <w:pPr>
      <w:pStyle w:val="OrderHeader"/>
    </w:pPr>
    <w:r>
      <w:t>ORDER NO.</w:t>
    </w:r>
    <w:r w:rsidR="00241450" w:rsidRPr="00241450">
      <w:t xml:space="preserve"> </w:t>
    </w:r>
    <w:r w:rsidR="00241450">
      <w:t xml:space="preserve">PSC-2026-0054-PAA-WS </w:t>
    </w:r>
    <w:r>
      <w:tab/>
    </w:r>
    <w:r>
      <w:tab/>
      <w:t>Schedule No. 5</w:t>
    </w:r>
  </w:p>
  <w:p w14:paraId="2BF8BA2D" w14:textId="77777777" w:rsidR="0017668B" w:rsidRDefault="0017668B" w:rsidP="00956435">
    <w:pPr>
      <w:pStyle w:val="OrderHeader"/>
    </w:pPr>
    <w:r>
      <w:t>DOCKET NO. 20250023-WS</w:t>
    </w:r>
  </w:p>
  <w:p w14:paraId="000B0E51" w14:textId="1CD0DE08"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A92D" w14:textId="330CEBF1" w:rsidR="0017668B" w:rsidRDefault="0017668B" w:rsidP="00956435">
    <w:pPr>
      <w:pStyle w:val="OrderHeader"/>
    </w:pPr>
    <w:r>
      <w:t>ORDER NO.</w:t>
    </w:r>
    <w:r w:rsidR="00241450">
      <w:t xml:space="preserve"> PSC-2026-0054-PAA-WS </w:t>
    </w:r>
    <w:r>
      <w:tab/>
    </w:r>
    <w:r>
      <w:tab/>
      <w:t xml:space="preserve">Schedule No. 1-A </w:t>
    </w:r>
  </w:p>
  <w:p w14:paraId="47F404C1" w14:textId="77777777" w:rsidR="0017668B" w:rsidRDefault="0017668B" w:rsidP="00956435">
    <w:pPr>
      <w:pStyle w:val="OrderHeader"/>
    </w:pPr>
    <w:r>
      <w:t>DOCKET NO. 20250023-WS</w:t>
    </w:r>
  </w:p>
  <w:p w14:paraId="77673F0B" w14:textId="2649655F"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46</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522B" w14:textId="7B8E94A3" w:rsidR="0017668B" w:rsidRDefault="0017668B" w:rsidP="00956435">
    <w:pPr>
      <w:pStyle w:val="OrderHeader"/>
    </w:pPr>
    <w:r>
      <w:t>ORDER NO.</w:t>
    </w:r>
    <w:r w:rsidR="00241450">
      <w:t xml:space="preserve"> PSC-2026-0054-PAA-WS </w:t>
    </w:r>
    <w:r>
      <w:tab/>
    </w:r>
    <w:r>
      <w:tab/>
      <w:t xml:space="preserve">Schedule No. 1-B </w:t>
    </w:r>
  </w:p>
  <w:p w14:paraId="64DF0AE5" w14:textId="77777777" w:rsidR="0017668B" w:rsidRDefault="0017668B" w:rsidP="00956435">
    <w:pPr>
      <w:pStyle w:val="OrderHeader"/>
    </w:pPr>
    <w:r>
      <w:t>DOCKET NO. 20250023-WS</w:t>
    </w:r>
  </w:p>
  <w:p w14:paraId="5BB1D3C6" w14:textId="78A44702"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47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AA50" w14:textId="512E637A" w:rsidR="0017668B" w:rsidRDefault="0017668B" w:rsidP="00956435">
    <w:pPr>
      <w:pStyle w:val="OrderHeader"/>
    </w:pPr>
    <w:r>
      <w:t>ORDER NO.</w:t>
    </w:r>
    <w:r w:rsidR="00241450">
      <w:t xml:space="preserve"> PSC-2026-0054-PAA-WS </w:t>
    </w:r>
    <w:r>
      <w:tab/>
    </w:r>
    <w:r>
      <w:tab/>
      <w:t xml:space="preserve">Schedule No. 1-C </w:t>
    </w:r>
  </w:p>
  <w:p w14:paraId="0F40AF02" w14:textId="77777777" w:rsidR="0017668B" w:rsidRDefault="0017668B" w:rsidP="00956435">
    <w:pPr>
      <w:pStyle w:val="OrderHeader"/>
    </w:pPr>
    <w:r>
      <w:t>DOCKET NO. 20250023-WS</w:t>
    </w:r>
  </w:p>
  <w:p w14:paraId="3F86A197" w14:textId="1810A005"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48</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6EFB6" w14:textId="20647031" w:rsidR="0017668B" w:rsidRDefault="0017668B" w:rsidP="00956435">
    <w:pPr>
      <w:pStyle w:val="OrderHeader"/>
    </w:pPr>
    <w:r>
      <w:t>ORDER NO.</w:t>
    </w:r>
    <w:r w:rsidR="00241450">
      <w:t xml:space="preserve"> PSC-2026-0054-PAA-WS </w:t>
    </w:r>
    <w:r>
      <w:tab/>
    </w:r>
    <w:r>
      <w:tab/>
    </w:r>
    <w:r>
      <w:tab/>
    </w:r>
    <w:r>
      <w:tab/>
    </w:r>
    <w:r>
      <w:tab/>
      <w:t>Schedule No. 2</w:t>
    </w:r>
  </w:p>
  <w:p w14:paraId="73E6E28B" w14:textId="77777777" w:rsidR="0017668B" w:rsidRDefault="0017668B" w:rsidP="00956435">
    <w:pPr>
      <w:pStyle w:val="OrderHeader"/>
    </w:pPr>
    <w:r>
      <w:t>DOCKET NO. 20250023-WS</w:t>
    </w:r>
  </w:p>
  <w:p w14:paraId="7B8DEEFF" w14:textId="3B24A52B"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49</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A5EC" w14:textId="1088B51A" w:rsidR="0017668B" w:rsidRDefault="0017668B" w:rsidP="00956435">
    <w:pPr>
      <w:pStyle w:val="OrderHeader"/>
    </w:pPr>
    <w:r>
      <w:t>ORDER NO.</w:t>
    </w:r>
    <w:r w:rsidR="00241450" w:rsidRPr="00241450">
      <w:t xml:space="preserve"> </w:t>
    </w:r>
    <w:r w:rsidR="00241450">
      <w:t xml:space="preserve">PSC-2026-0054-PAA-WS </w:t>
    </w:r>
    <w:r>
      <w:tab/>
    </w:r>
    <w:r>
      <w:tab/>
      <w:t>Schedule No. 3-A</w:t>
    </w:r>
  </w:p>
  <w:p w14:paraId="3F7247AB" w14:textId="77777777" w:rsidR="0017668B" w:rsidRDefault="0017668B" w:rsidP="00956435">
    <w:pPr>
      <w:pStyle w:val="OrderHeader"/>
    </w:pPr>
    <w:r>
      <w:t>DOCKET NO. 20250023-WS</w:t>
    </w:r>
  </w:p>
  <w:p w14:paraId="1E344B8E" w14:textId="70C7E420"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50</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6B666" w14:textId="3AB8C85E" w:rsidR="0017668B" w:rsidRDefault="0017668B" w:rsidP="00956435">
    <w:pPr>
      <w:pStyle w:val="OrderHeader"/>
    </w:pPr>
    <w:r>
      <w:t>ORDER NO.</w:t>
    </w:r>
    <w:r w:rsidR="00241450">
      <w:t xml:space="preserve"> PSC-2026-0054-PAA-WS </w:t>
    </w:r>
    <w:r>
      <w:tab/>
    </w:r>
    <w:r>
      <w:tab/>
      <w:t>Schedule No. 3-B</w:t>
    </w:r>
  </w:p>
  <w:p w14:paraId="44105640" w14:textId="77777777" w:rsidR="0017668B" w:rsidRDefault="0017668B" w:rsidP="00956435">
    <w:pPr>
      <w:pStyle w:val="OrderHeader"/>
    </w:pPr>
    <w:r>
      <w:t>DOCKET NO. 20250023-WS</w:t>
    </w:r>
  </w:p>
  <w:p w14:paraId="41C99E01" w14:textId="08ABBF0F"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51</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CB0B" w14:textId="77777777" w:rsidR="00FE2AF2" w:rsidRDefault="00241450">
    <w:pPr>
      <w:pStyle w:val="OrderHeader"/>
    </w:pPr>
    <w:r>
      <w:t>ORDER NO. PSC-2026-0054-PAA-WS</w:t>
    </w:r>
  </w:p>
  <w:p w14:paraId="4503B53E" w14:textId="76705D83" w:rsidR="007D38CF" w:rsidRDefault="00FE2AF2">
    <w:pPr>
      <w:pStyle w:val="OrderHeader"/>
    </w:pPr>
    <w:r>
      <w:t>DOCKET NO. 20250023-WS</w:t>
    </w:r>
    <w:r w:rsidR="007D38CF">
      <w:tab/>
    </w:r>
    <w:r w:rsidR="007D38CF">
      <w:tab/>
      <w:t>Schedule No. 3-C</w:t>
    </w:r>
  </w:p>
  <w:p w14:paraId="3A4CD627" w14:textId="21DC6EB3" w:rsidR="007D38CF" w:rsidRDefault="007D38C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53</w:t>
    </w:r>
    <w:r>
      <w:rPr>
        <w:rStyle w:val="PageNumber"/>
      </w:rPr>
      <w:fldChar w:fldCharType="end"/>
    </w:r>
  </w:p>
  <w:p w14:paraId="30C06CB6" w14:textId="77777777" w:rsidR="007D38CF" w:rsidRDefault="007D38CF">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5B1DD" w14:textId="0B9DCCA0" w:rsidR="0017668B" w:rsidRDefault="0017668B" w:rsidP="00956435">
    <w:pPr>
      <w:pStyle w:val="OrderHeader"/>
    </w:pPr>
    <w:r>
      <w:t>ORDER NO.</w:t>
    </w:r>
    <w:r w:rsidR="00241450" w:rsidRPr="00241450">
      <w:t xml:space="preserve"> </w:t>
    </w:r>
    <w:r w:rsidR="00241450">
      <w:t xml:space="preserve">PSC-2026-0054-PAA-WS </w:t>
    </w:r>
    <w:r>
      <w:tab/>
    </w:r>
    <w:r>
      <w:tab/>
      <w:t>Schedule No. 3-C</w:t>
    </w:r>
  </w:p>
  <w:p w14:paraId="23E530E5" w14:textId="77777777" w:rsidR="0017668B" w:rsidRDefault="0017668B" w:rsidP="00956435">
    <w:pPr>
      <w:pStyle w:val="OrderHeader"/>
    </w:pPr>
    <w:r>
      <w:t>DOCKET NO. 20250023-WS</w:t>
    </w:r>
  </w:p>
  <w:p w14:paraId="2A919137" w14:textId="7861C92C" w:rsidR="0017668B" w:rsidRDefault="0017668B" w:rsidP="0095643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E2AF2">
      <w:rPr>
        <w:rStyle w:val="PageNumber"/>
        <w:noProof/>
      </w:rPr>
      <w:t>52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93999"/>
    <w:multiLevelType w:val="hybridMultilevel"/>
    <w:tmpl w:val="39EA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204397"/>
    <w:multiLevelType w:val="hybridMultilevel"/>
    <w:tmpl w:val="BE02D97A"/>
    <w:lvl w:ilvl="0" w:tplc="04090001">
      <w:start w:val="1"/>
      <w:numFmt w:val="bullet"/>
      <w:lvlText w:val=""/>
      <w:lvlJc w:val="left"/>
      <w:pPr>
        <w:ind w:left="720" w:hanging="360"/>
      </w:pPr>
      <w:rPr>
        <w:rFonts w:ascii="Symbol" w:hAnsi="Symbol" w:hint="default"/>
      </w:rPr>
    </w:lvl>
    <w:lvl w:ilvl="1" w:tplc="E1E6C95A">
      <w:start w:val="1"/>
      <w:numFmt w:val="decimal"/>
      <w:lvlText w:val="%2.)"/>
      <w:lvlJc w:val="center"/>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3-WS"/>
  </w:docVars>
  <w:rsids>
    <w:rsidRoot w:val="0045691E"/>
    <w:rsid w:val="000003EA"/>
    <w:rsid w:val="000022B8"/>
    <w:rsid w:val="00003883"/>
    <w:rsid w:val="0000459B"/>
    <w:rsid w:val="000048E2"/>
    <w:rsid w:val="00011251"/>
    <w:rsid w:val="00012B32"/>
    <w:rsid w:val="00025C2A"/>
    <w:rsid w:val="00025C9D"/>
    <w:rsid w:val="00026519"/>
    <w:rsid w:val="000279BD"/>
    <w:rsid w:val="0003089D"/>
    <w:rsid w:val="0003433F"/>
    <w:rsid w:val="0003503B"/>
    <w:rsid w:val="00035A8C"/>
    <w:rsid w:val="00036BDD"/>
    <w:rsid w:val="000372A2"/>
    <w:rsid w:val="0004190B"/>
    <w:rsid w:val="00041FFD"/>
    <w:rsid w:val="00042C99"/>
    <w:rsid w:val="00053AB9"/>
    <w:rsid w:val="00056229"/>
    <w:rsid w:val="00057AF1"/>
    <w:rsid w:val="00065FC2"/>
    <w:rsid w:val="00066009"/>
    <w:rsid w:val="00067685"/>
    <w:rsid w:val="00067B07"/>
    <w:rsid w:val="000714ED"/>
    <w:rsid w:val="000730D7"/>
    <w:rsid w:val="000736B1"/>
    <w:rsid w:val="00076E6B"/>
    <w:rsid w:val="00081AE4"/>
    <w:rsid w:val="0008247D"/>
    <w:rsid w:val="00090AFC"/>
    <w:rsid w:val="00093FF7"/>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E64A1"/>
    <w:rsid w:val="000F0C25"/>
    <w:rsid w:val="000F11F1"/>
    <w:rsid w:val="000F359F"/>
    <w:rsid w:val="000F3B2C"/>
    <w:rsid w:val="000F3F6C"/>
    <w:rsid w:val="000F48D7"/>
    <w:rsid w:val="000F63EB"/>
    <w:rsid w:val="000F648A"/>
    <w:rsid w:val="000F7BE3"/>
    <w:rsid w:val="00103190"/>
    <w:rsid w:val="00103C6D"/>
    <w:rsid w:val="00104333"/>
    <w:rsid w:val="0010509F"/>
    <w:rsid w:val="001052BA"/>
    <w:rsid w:val="001107B3"/>
    <w:rsid w:val="001114B1"/>
    <w:rsid w:val="00112D55"/>
    <w:rsid w:val="001139D8"/>
    <w:rsid w:val="00113E69"/>
    <w:rsid w:val="00116AD3"/>
    <w:rsid w:val="00121957"/>
    <w:rsid w:val="0012387E"/>
    <w:rsid w:val="0012393B"/>
    <w:rsid w:val="001259EC"/>
    <w:rsid w:val="00125DAD"/>
    <w:rsid w:val="00126593"/>
    <w:rsid w:val="00126C01"/>
    <w:rsid w:val="00130DD1"/>
    <w:rsid w:val="00134177"/>
    <w:rsid w:val="00134EAE"/>
    <w:rsid w:val="00136087"/>
    <w:rsid w:val="0014217D"/>
    <w:rsid w:val="00142A96"/>
    <w:rsid w:val="00146A7F"/>
    <w:rsid w:val="001513DE"/>
    <w:rsid w:val="00154A71"/>
    <w:rsid w:val="001562B9"/>
    <w:rsid w:val="0016085D"/>
    <w:rsid w:val="001655D4"/>
    <w:rsid w:val="00165803"/>
    <w:rsid w:val="0017668B"/>
    <w:rsid w:val="00176FC8"/>
    <w:rsid w:val="00181F4B"/>
    <w:rsid w:val="00185F09"/>
    <w:rsid w:val="00187E32"/>
    <w:rsid w:val="001918FF"/>
    <w:rsid w:val="00192434"/>
    <w:rsid w:val="00192776"/>
    <w:rsid w:val="00194420"/>
    <w:rsid w:val="00194892"/>
    <w:rsid w:val="00194A97"/>
    <w:rsid w:val="00194E81"/>
    <w:rsid w:val="001A15E7"/>
    <w:rsid w:val="001A2FFF"/>
    <w:rsid w:val="001A33C9"/>
    <w:rsid w:val="001A348D"/>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42F9"/>
    <w:rsid w:val="00236E4C"/>
    <w:rsid w:val="00241450"/>
    <w:rsid w:val="00241CEF"/>
    <w:rsid w:val="0024275D"/>
    <w:rsid w:val="00244000"/>
    <w:rsid w:val="0025124E"/>
    <w:rsid w:val="00252B30"/>
    <w:rsid w:val="00255291"/>
    <w:rsid w:val="002613E4"/>
    <w:rsid w:val="00262274"/>
    <w:rsid w:val="00262C43"/>
    <w:rsid w:val="002638D8"/>
    <w:rsid w:val="00264C4D"/>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6855"/>
    <w:rsid w:val="002D7D15"/>
    <w:rsid w:val="002D7F21"/>
    <w:rsid w:val="002E09F3"/>
    <w:rsid w:val="002E101A"/>
    <w:rsid w:val="002E1B2E"/>
    <w:rsid w:val="002E27EB"/>
    <w:rsid w:val="002E4EF4"/>
    <w:rsid w:val="002E78B6"/>
    <w:rsid w:val="002E7CB2"/>
    <w:rsid w:val="002F04AD"/>
    <w:rsid w:val="002F0F1A"/>
    <w:rsid w:val="002F0F1C"/>
    <w:rsid w:val="002F2A9D"/>
    <w:rsid w:val="002F31C2"/>
    <w:rsid w:val="002F3790"/>
    <w:rsid w:val="002F7BF6"/>
    <w:rsid w:val="00303FDE"/>
    <w:rsid w:val="00310946"/>
    <w:rsid w:val="00313C5B"/>
    <w:rsid w:val="003140E8"/>
    <w:rsid w:val="003144B7"/>
    <w:rsid w:val="0031659C"/>
    <w:rsid w:val="00321702"/>
    <w:rsid w:val="003231C7"/>
    <w:rsid w:val="00323839"/>
    <w:rsid w:val="003270C4"/>
    <w:rsid w:val="00331ED0"/>
    <w:rsid w:val="00332B0A"/>
    <w:rsid w:val="00333A41"/>
    <w:rsid w:val="00341036"/>
    <w:rsid w:val="0034284A"/>
    <w:rsid w:val="00343BC4"/>
    <w:rsid w:val="00344028"/>
    <w:rsid w:val="00345434"/>
    <w:rsid w:val="00351C22"/>
    <w:rsid w:val="00353660"/>
    <w:rsid w:val="0035495B"/>
    <w:rsid w:val="00355A93"/>
    <w:rsid w:val="00360F30"/>
    <w:rsid w:val="00361522"/>
    <w:rsid w:val="0036362B"/>
    <w:rsid w:val="0037196E"/>
    <w:rsid w:val="003727B5"/>
    <w:rsid w:val="0037442E"/>
    <w:rsid w:val="003744F5"/>
    <w:rsid w:val="00382C6A"/>
    <w:rsid w:val="00385D0B"/>
    <w:rsid w:val="003875A9"/>
    <w:rsid w:val="00387BDE"/>
    <w:rsid w:val="00390DD8"/>
    <w:rsid w:val="00394DC6"/>
    <w:rsid w:val="00397C3E"/>
    <w:rsid w:val="003A26CB"/>
    <w:rsid w:val="003A3B66"/>
    <w:rsid w:val="003A5F8B"/>
    <w:rsid w:val="003B1A09"/>
    <w:rsid w:val="003B1F72"/>
    <w:rsid w:val="003B3B09"/>
    <w:rsid w:val="003B4F77"/>
    <w:rsid w:val="003B6F02"/>
    <w:rsid w:val="003C0431"/>
    <w:rsid w:val="003C29BB"/>
    <w:rsid w:val="003C3EF2"/>
    <w:rsid w:val="003D3989"/>
    <w:rsid w:val="003D4CCA"/>
    <w:rsid w:val="003D52A6"/>
    <w:rsid w:val="003D6416"/>
    <w:rsid w:val="003E18FC"/>
    <w:rsid w:val="003E1D48"/>
    <w:rsid w:val="003E2CF4"/>
    <w:rsid w:val="003E2FB2"/>
    <w:rsid w:val="003E711F"/>
    <w:rsid w:val="003F1D2B"/>
    <w:rsid w:val="003F49A6"/>
    <w:rsid w:val="003F518F"/>
    <w:rsid w:val="003F6BA7"/>
    <w:rsid w:val="003F7445"/>
    <w:rsid w:val="00405881"/>
    <w:rsid w:val="00411DF2"/>
    <w:rsid w:val="00411E8F"/>
    <w:rsid w:val="0041412B"/>
    <w:rsid w:val="00415A43"/>
    <w:rsid w:val="004173BA"/>
    <w:rsid w:val="004221D8"/>
    <w:rsid w:val="004247F5"/>
    <w:rsid w:val="00425154"/>
    <w:rsid w:val="0042527B"/>
    <w:rsid w:val="0042705B"/>
    <w:rsid w:val="00427EAC"/>
    <w:rsid w:val="00433320"/>
    <w:rsid w:val="00435F5E"/>
    <w:rsid w:val="004431B4"/>
    <w:rsid w:val="00445604"/>
    <w:rsid w:val="00447469"/>
    <w:rsid w:val="00447BDA"/>
    <w:rsid w:val="00451158"/>
    <w:rsid w:val="00451804"/>
    <w:rsid w:val="00453C21"/>
    <w:rsid w:val="0045537F"/>
    <w:rsid w:val="0045691E"/>
    <w:rsid w:val="00457DC7"/>
    <w:rsid w:val="004640B3"/>
    <w:rsid w:val="00467A2F"/>
    <w:rsid w:val="004704F4"/>
    <w:rsid w:val="00472BCC"/>
    <w:rsid w:val="00477699"/>
    <w:rsid w:val="00480710"/>
    <w:rsid w:val="0049080F"/>
    <w:rsid w:val="00496C79"/>
    <w:rsid w:val="004A138E"/>
    <w:rsid w:val="004A25CD"/>
    <w:rsid w:val="004A26CC"/>
    <w:rsid w:val="004B2108"/>
    <w:rsid w:val="004B212A"/>
    <w:rsid w:val="004B3A2B"/>
    <w:rsid w:val="004B70D3"/>
    <w:rsid w:val="004C0219"/>
    <w:rsid w:val="004C2786"/>
    <w:rsid w:val="004C312D"/>
    <w:rsid w:val="004C3F76"/>
    <w:rsid w:val="004D174B"/>
    <w:rsid w:val="004D2C87"/>
    <w:rsid w:val="004D2D1B"/>
    <w:rsid w:val="004D5067"/>
    <w:rsid w:val="004D6838"/>
    <w:rsid w:val="004D72BC"/>
    <w:rsid w:val="004E243E"/>
    <w:rsid w:val="004E469D"/>
    <w:rsid w:val="004E7F4F"/>
    <w:rsid w:val="004F03B2"/>
    <w:rsid w:val="004F094F"/>
    <w:rsid w:val="004F0AF7"/>
    <w:rsid w:val="004F2DDE"/>
    <w:rsid w:val="004F3AA8"/>
    <w:rsid w:val="004F4E53"/>
    <w:rsid w:val="004F5A55"/>
    <w:rsid w:val="004F6426"/>
    <w:rsid w:val="004F71CC"/>
    <w:rsid w:val="004F7826"/>
    <w:rsid w:val="0050097F"/>
    <w:rsid w:val="005026AF"/>
    <w:rsid w:val="00503CA3"/>
    <w:rsid w:val="00505D83"/>
    <w:rsid w:val="00507A8F"/>
    <w:rsid w:val="00511872"/>
    <w:rsid w:val="00512879"/>
    <w:rsid w:val="00514024"/>
    <w:rsid w:val="00514B1F"/>
    <w:rsid w:val="00523C5C"/>
    <w:rsid w:val="00524884"/>
    <w:rsid w:val="00525E93"/>
    <w:rsid w:val="0052671D"/>
    <w:rsid w:val="005300C0"/>
    <w:rsid w:val="00533251"/>
    <w:rsid w:val="00533EF6"/>
    <w:rsid w:val="00540B41"/>
    <w:rsid w:val="00540E6B"/>
    <w:rsid w:val="0054109E"/>
    <w:rsid w:val="00542DCB"/>
    <w:rsid w:val="005516F2"/>
    <w:rsid w:val="0055595D"/>
    <w:rsid w:val="00556A10"/>
    <w:rsid w:val="00557F50"/>
    <w:rsid w:val="005645FC"/>
    <w:rsid w:val="00571D3D"/>
    <w:rsid w:val="00573194"/>
    <w:rsid w:val="00574379"/>
    <w:rsid w:val="0058264B"/>
    <w:rsid w:val="00583F81"/>
    <w:rsid w:val="005850DF"/>
    <w:rsid w:val="00586368"/>
    <w:rsid w:val="005868AA"/>
    <w:rsid w:val="00590845"/>
    <w:rsid w:val="00593393"/>
    <w:rsid w:val="005944A0"/>
    <w:rsid w:val="00594726"/>
    <w:rsid w:val="005963C2"/>
    <w:rsid w:val="005A0D69"/>
    <w:rsid w:val="005A2CBF"/>
    <w:rsid w:val="005A31F4"/>
    <w:rsid w:val="005A73EA"/>
    <w:rsid w:val="005B45F7"/>
    <w:rsid w:val="005B48C7"/>
    <w:rsid w:val="005B63EA"/>
    <w:rsid w:val="005C15A7"/>
    <w:rsid w:val="005C1A88"/>
    <w:rsid w:val="005C5033"/>
    <w:rsid w:val="005D4E1B"/>
    <w:rsid w:val="005E2ECC"/>
    <w:rsid w:val="005E751B"/>
    <w:rsid w:val="005F2571"/>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3786D"/>
    <w:rsid w:val="006423A7"/>
    <w:rsid w:val="006455DF"/>
    <w:rsid w:val="00645AF6"/>
    <w:rsid w:val="00647025"/>
    <w:rsid w:val="0064730A"/>
    <w:rsid w:val="006507DA"/>
    <w:rsid w:val="006531A4"/>
    <w:rsid w:val="00654852"/>
    <w:rsid w:val="00660774"/>
    <w:rsid w:val="006624A3"/>
    <w:rsid w:val="0066389A"/>
    <w:rsid w:val="0066495C"/>
    <w:rsid w:val="00665CC7"/>
    <w:rsid w:val="00672612"/>
    <w:rsid w:val="00674ECC"/>
    <w:rsid w:val="00676858"/>
    <w:rsid w:val="00677F18"/>
    <w:rsid w:val="006800FA"/>
    <w:rsid w:val="00684AE3"/>
    <w:rsid w:val="00687932"/>
    <w:rsid w:val="00692E1A"/>
    <w:rsid w:val="00693483"/>
    <w:rsid w:val="00694737"/>
    <w:rsid w:val="00695682"/>
    <w:rsid w:val="00696892"/>
    <w:rsid w:val="006A0A0A"/>
    <w:rsid w:val="006A0BF3"/>
    <w:rsid w:val="006A502B"/>
    <w:rsid w:val="006B0036"/>
    <w:rsid w:val="006B0DA6"/>
    <w:rsid w:val="006B3FA9"/>
    <w:rsid w:val="006C3055"/>
    <w:rsid w:val="006C547E"/>
    <w:rsid w:val="006C6A11"/>
    <w:rsid w:val="006D1898"/>
    <w:rsid w:val="006D1A91"/>
    <w:rsid w:val="006D2B51"/>
    <w:rsid w:val="006D5575"/>
    <w:rsid w:val="006D7191"/>
    <w:rsid w:val="006E21C4"/>
    <w:rsid w:val="006E42BE"/>
    <w:rsid w:val="006E5D4D"/>
    <w:rsid w:val="006E6D16"/>
    <w:rsid w:val="006E7C37"/>
    <w:rsid w:val="00703F2A"/>
    <w:rsid w:val="0070426E"/>
    <w:rsid w:val="00704C5D"/>
    <w:rsid w:val="007072BC"/>
    <w:rsid w:val="00715275"/>
    <w:rsid w:val="00721B44"/>
    <w:rsid w:val="007232A2"/>
    <w:rsid w:val="007244A6"/>
    <w:rsid w:val="00726366"/>
    <w:rsid w:val="00727267"/>
    <w:rsid w:val="00731AB6"/>
    <w:rsid w:val="00733B6B"/>
    <w:rsid w:val="00740808"/>
    <w:rsid w:val="00740A1B"/>
    <w:rsid w:val="00742478"/>
    <w:rsid w:val="007467C4"/>
    <w:rsid w:val="00755702"/>
    <w:rsid w:val="00755A62"/>
    <w:rsid w:val="007560DE"/>
    <w:rsid w:val="0076170F"/>
    <w:rsid w:val="007651BC"/>
    <w:rsid w:val="007656AE"/>
    <w:rsid w:val="0076669C"/>
    <w:rsid w:val="00766E46"/>
    <w:rsid w:val="00771018"/>
    <w:rsid w:val="00772CCB"/>
    <w:rsid w:val="00777193"/>
    <w:rsid w:val="00777727"/>
    <w:rsid w:val="00781087"/>
    <w:rsid w:val="0078166A"/>
    <w:rsid w:val="00782B79"/>
    <w:rsid w:val="00783811"/>
    <w:rsid w:val="00783F88"/>
    <w:rsid w:val="007865E9"/>
    <w:rsid w:val="00786B9A"/>
    <w:rsid w:val="0079237D"/>
    <w:rsid w:val="00792383"/>
    <w:rsid w:val="00794D5A"/>
    <w:rsid w:val="00794DD9"/>
    <w:rsid w:val="00795FAD"/>
    <w:rsid w:val="007965EF"/>
    <w:rsid w:val="00796DEC"/>
    <w:rsid w:val="0079794B"/>
    <w:rsid w:val="007A060F"/>
    <w:rsid w:val="007A37DC"/>
    <w:rsid w:val="007A5440"/>
    <w:rsid w:val="007B125E"/>
    <w:rsid w:val="007B1C5E"/>
    <w:rsid w:val="007B350E"/>
    <w:rsid w:val="007C0FBC"/>
    <w:rsid w:val="007C29C9"/>
    <w:rsid w:val="007C35B8"/>
    <w:rsid w:val="007C36E3"/>
    <w:rsid w:val="007C3ABB"/>
    <w:rsid w:val="007C7134"/>
    <w:rsid w:val="007C7992"/>
    <w:rsid w:val="007C7ECF"/>
    <w:rsid w:val="007D0EF5"/>
    <w:rsid w:val="007D38CF"/>
    <w:rsid w:val="007D3D20"/>
    <w:rsid w:val="007D44F9"/>
    <w:rsid w:val="007D742E"/>
    <w:rsid w:val="007E3AFD"/>
    <w:rsid w:val="007E542E"/>
    <w:rsid w:val="007F7943"/>
    <w:rsid w:val="00801DAD"/>
    <w:rsid w:val="00803189"/>
    <w:rsid w:val="00803DF0"/>
    <w:rsid w:val="00804E7A"/>
    <w:rsid w:val="00805FBB"/>
    <w:rsid w:val="00814292"/>
    <w:rsid w:val="008169A4"/>
    <w:rsid w:val="00822500"/>
    <w:rsid w:val="00824514"/>
    <w:rsid w:val="008278FE"/>
    <w:rsid w:val="00832598"/>
    <w:rsid w:val="008334D9"/>
    <w:rsid w:val="0083397E"/>
    <w:rsid w:val="0083534B"/>
    <w:rsid w:val="00837A39"/>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5923"/>
    <w:rsid w:val="00886A62"/>
    <w:rsid w:val="00890578"/>
    <w:rsid w:val="008919EF"/>
    <w:rsid w:val="00892B20"/>
    <w:rsid w:val="008931BC"/>
    <w:rsid w:val="008956F0"/>
    <w:rsid w:val="0089695B"/>
    <w:rsid w:val="00897740"/>
    <w:rsid w:val="008A12EC"/>
    <w:rsid w:val="008A1406"/>
    <w:rsid w:val="008A1DF5"/>
    <w:rsid w:val="008A44CC"/>
    <w:rsid w:val="008B14BE"/>
    <w:rsid w:val="008B19A6"/>
    <w:rsid w:val="008B4EFB"/>
    <w:rsid w:val="008B7615"/>
    <w:rsid w:val="008B78ED"/>
    <w:rsid w:val="008C21C8"/>
    <w:rsid w:val="008C6375"/>
    <w:rsid w:val="008C6A5B"/>
    <w:rsid w:val="008C7D09"/>
    <w:rsid w:val="008D120D"/>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5BB8"/>
    <w:rsid w:val="0090612F"/>
    <w:rsid w:val="00906FBA"/>
    <w:rsid w:val="00914411"/>
    <w:rsid w:val="009163E8"/>
    <w:rsid w:val="00921BD3"/>
    <w:rsid w:val="009228C7"/>
    <w:rsid w:val="00922A7F"/>
    <w:rsid w:val="00923A5E"/>
    <w:rsid w:val="00924FE7"/>
    <w:rsid w:val="00926925"/>
    <w:rsid w:val="00926E27"/>
    <w:rsid w:val="00931C8C"/>
    <w:rsid w:val="00932C34"/>
    <w:rsid w:val="009430BF"/>
    <w:rsid w:val="00943D21"/>
    <w:rsid w:val="0094504B"/>
    <w:rsid w:val="00956435"/>
    <w:rsid w:val="00964A38"/>
    <w:rsid w:val="009663E5"/>
    <w:rsid w:val="00966A9D"/>
    <w:rsid w:val="0096742B"/>
    <w:rsid w:val="00967C64"/>
    <w:rsid w:val="009718C5"/>
    <w:rsid w:val="00976AFF"/>
    <w:rsid w:val="009823BE"/>
    <w:rsid w:val="009839C1"/>
    <w:rsid w:val="00986AED"/>
    <w:rsid w:val="0099209C"/>
    <w:rsid w:val="009924CF"/>
    <w:rsid w:val="00993130"/>
    <w:rsid w:val="00994100"/>
    <w:rsid w:val="00997CE6"/>
    <w:rsid w:val="009A04B7"/>
    <w:rsid w:val="009A2304"/>
    <w:rsid w:val="009A6B17"/>
    <w:rsid w:val="009A7E5C"/>
    <w:rsid w:val="009B052E"/>
    <w:rsid w:val="009B0AE4"/>
    <w:rsid w:val="009B253D"/>
    <w:rsid w:val="009B4E00"/>
    <w:rsid w:val="009B4FCF"/>
    <w:rsid w:val="009C4300"/>
    <w:rsid w:val="009D4C29"/>
    <w:rsid w:val="009E58E9"/>
    <w:rsid w:val="009E6803"/>
    <w:rsid w:val="009F259C"/>
    <w:rsid w:val="009F2ECE"/>
    <w:rsid w:val="009F6AD2"/>
    <w:rsid w:val="009F7C1B"/>
    <w:rsid w:val="00A00B5B"/>
    <w:rsid w:val="00A00D8D"/>
    <w:rsid w:val="00A01BB6"/>
    <w:rsid w:val="00A108A7"/>
    <w:rsid w:val="00A1755C"/>
    <w:rsid w:val="00A228DA"/>
    <w:rsid w:val="00A22B28"/>
    <w:rsid w:val="00A25868"/>
    <w:rsid w:val="00A26DC0"/>
    <w:rsid w:val="00A3351E"/>
    <w:rsid w:val="00A36867"/>
    <w:rsid w:val="00A41E09"/>
    <w:rsid w:val="00A4303C"/>
    <w:rsid w:val="00A46CAF"/>
    <w:rsid w:val="00A47099"/>
    <w:rsid w:val="00A470FD"/>
    <w:rsid w:val="00A50B5E"/>
    <w:rsid w:val="00A52B5D"/>
    <w:rsid w:val="00A571FA"/>
    <w:rsid w:val="00A62DAB"/>
    <w:rsid w:val="00A6757A"/>
    <w:rsid w:val="00A726A6"/>
    <w:rsid w:val="00A72EF6"/>
    <w:rsid w:val="00A74842"/>
    <w:rsid w:val="00A81440"/>
    <w:rsid w:val="00A818AD"/>
    <w:rsid w:val="00A8269A"/>
    <w:rsid w:val="00A86A50"/>
    <w:rsid w:val="00A9178A"/>
    <w:rsid w:val="00A92DEC"/>
    <w:rsid w:val="00A944C1"/>
    <w:rsid w:val="00A9515B"/>
    <w:rsid w:val="00A97535"/>
    <w:rsid w:val="00A9761A"/>
    <w:rsid w:val="00AA2BAA"/>
    <w:rsid w:val="00AA6516"/>
    <w:rsid w:val="00AA73E7"/>
    <w:rsid w:val="00AA73F1"/>
    <w:rsid w:val="00AB0E1A"/>
    <w:rsid w:val="00AB15B3"/>
    <w:rsid w:val="00AB1A30"/>
    <w:rsid w:val="00AB3C36"/>
    <w:rsid w:val="00AB3D30"/>
    <w:rsid w:val="00AC173F"/>
    <w:rsid w:val="00AC36CA"/>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1640E"/>
    <w:rsid w:val="00B2057D"/>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04E8"/>
    <w:rsid w:val="00B61D42"/>
    <w:rsid w:val="00B63344"/>
    <w:rsid w:val="00B679C0"/>
    <w:rsid w:val="00B67A43"/>
    <w:rsid w:val="00B67F9F"/>
    <w:rsid w:val="00B71D1F"/>
    <w:rsid w:val="00B72B25"/>
    <w:rsid w:val="00B72CFF"/>
    <w:rsid w:val="00B73DE6"/>
    <w:rsid w:val="00B761CD"/>
    <w:rsid w:val="00B76B66"/>
    <w:rsid w:val="00B84241"/>
    <w:rsid w:val="00B86EF0"/>
    <w:rsid w:val="00B96969"/>
    <w:rsid w:val="00B97900"/>
    <w:rsid w:val="00BA1229"/>
    <w:rsid w:val="00BA2B24"/>
    <w:rsid w:val="00BA44A8"/>
    <w:rsid w:val="00BA49C5"/>
    <w:rsid w:val="00BB0182"/>
    <w:rsid w:val="00BB2F4A"/>
    <w:rsid w:val="00BB637C"/>
    <w:rsid w:val="00BC1006"/>
    <w:rsid w:val="00BC2408"/>
    <w:rsid w:val="00BC786E"/>
    <w:rsid w:val="00BD24E4"/>
    <w:rsid w:val="00BD5C92"/>
    <w:rsid w:val="00BE270C"/>
    <w:rsid w:val="00BE50E6"/>
    <w:rsid w:val="00BE7A0C"/>
    <w:rsid w:val="00BF2928"/>
    <w:rsid w:val="00BF5D60"/>
    <w:rsid w:val="00BF6691"/>
    <w:rsid w:val="00BF7138"/>
    <w:rsid w:val="00C028FC"/>
    <w:rsid w:val="00C037F2"/>
    <w:rsid w:val="00C0386D"/>
    <w:rsid w:val="00C065A1"/>
    <w:rsid w:val="00C06FB1"/>
    <w:rsid w:val="00C10ED5"/>
    <w:rsid w:val="00C12574"/>
    <w:rsid w:val="00C125C3"/>
    <w:rsid w:val="00C12CB3"/>
    <w:rsid w:val="00C151A6"/>
    <w:rsid w:val="00C24098"/>
    <w:rsid w:val="00C30A4E"/>
    <w:rsid w:val="00C3483B"/>
    <w:rsid w:val="00C3641C"/>
    <w:rsid w:val="00C41172"/>
    <w:rsid w:val="00C411F3"/>
    <w:rsid w:val="00C41B53"/>
    <w:rsid w:val="00C44105"/>
    <w:rsid w:val="00C52004"/>
    <w:rsid w:val="00C523EC"/>
    <w:rsid w:val="00C55A33"/>
    <w:rsid w:val="00C563A9"/>
    <w:rsid w:val="00C62191"/>
    <w:rsid w:val="00C62755"/>
    <w:rsid w:val="00C64D49"/>
    <w:rsid w:val="00C66692"/>
    <w:rsid w:val="00C66849"/>
    <w:rsid w:val="00C673B5"/>
    <w:rsid w:val="00C7038F"/>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23C2"/>
    <w:rsid w:val="00CE36BA"/>
    <w:rsid w:val="00CE3B21"/>
    <w:rsid w:val="00CE56FC"/>
    <w:rsid w:val="00CE7A4D"/>
    <w:rsid w:val="00CF1DC6"/>
    <w:rsid w:val="00CF32D2"/>
    <w:rsid w:val="00CF4CFE"/>
    <w:rsid w:val="00CF55E6"/>
    <w:rsid w:val="00CF5EE6"/>
    <w:rsid w:val="00D00E8E"/>
    <w:rsid w:val="00D02E0F"/>
    <w:rsid w:val="00D02F79"/>
    <w:rsid w:val="00D03EE8"/>
    <w:rsid w:val="00D05EE7"/>
    <w:rsid w:val="00D10250"/>
    <w:rsid w:val="00D13535"/>
    <w:rsid w:val="00D1476E"/>
    <w:rsid w:val="00D15497"/>
    <w:rsid w:val="00D17047"/>
    <w:rsid w:val="00D17B79"/>
    <w:rsid w:val="00D205F5"/>
    <w:rsid w:val="00D23FEA"/>
    <w:rsid w:val="00D269CA"/>
    <w:rsid w:val="00D30B48"/>
    <w:rsid w:val="00D3168A"/>
    <w:rsid w:val="00D350D1"/>
    <w:rsid w:val="00D36A5C"/>
    <w:rsid w:val="00D41406"/>
    <w:rsid w:val="00D46592"/>
    <w:rsid w:val="00D46FAA"/>
    <w:rsid w:val="00D47A40"/>
    <w:rsid w:val="00D51D33"/>
    <w:rsid w:val="00D527EB"/>
    <w:rsid w:val="00D57132"/>
    <w:rsid w:val="00D57BB2"/>
    <w:rsid w:val="00D57E57"/>
    <w:rsid w:val="00D611DF"/>
    <w:rsid w:val="00D624E1"/>
    <w:rsid w:val="00D65405"/>
    <w:rsid w:val="00D70752"/>
    <w:rsid w:val="00D80E2D"/>
    <w:rsid w:val="00D824A6"/>
    <w:rsid w:val="00D83F67"/>
    <w:rsid w:val="00D84A55"/>
    <w:rsid w:val="00D84D5E"/>
    <w:rsid w:val="00D8560E"/>
    <w:rsid w:val="00D8758F"/>
    <w:rsid w:val="00DA4EDD"/>
    <w:rsid w:val="00DA6B78"/>
    <w:rsid w:val="00DA78E9"/>
    <w:rsid w:val="00DB0671"/>
    <w:rsid w:val="00DB122B"/>
    <w:rsid w:val="00DC1D94"/>
    <w:rsid w:val="00DC42CF"/>
    <w:rsid w:val="00DC4D2A"/>
    <w:rsid w:val="00DC6191"/>
    <w:rsid w:val="00DC738A"/>
    <w:rsid w:val="00DC77A2"/>
    <w:rsid w:val="00DD382A"/>
    <w:rsid w:val="00DD592E"/>
    <w:rsid w:val="00DE057F"/>
    <w:rsid w:val="00DE2082"/>
    <w:rsid w:val="00DE2289"/>
    <w:rsid w:val="00DE2C9D"/>
    <w:rsid w:val="00DE499C"/>
    <w:rsid w:val="00DE69DB"/>
    <w:rsid w:val="00DF09A7"/>
    <w:rsid w:val="00DF0DE8"/>
    <w:rsid w:val="00DF2B51"/>
    <w:rsid w:val="00E001D6"/>
    <w:rsid w:val="00E00897"/>
    <w:rsid w:val="00E03A76"/>
    <w:rsid w:val="00E04410"/>
    <w:rsid w:val="00E07484"/>
    <w:rsid w:val="00E11351"/>
    <w:rsid w:val="00E114ED"/>
    <w:rsid w:val="00E17915"/>
    <w:rsid w:val="00E3277C"/>
    <w:rsid w:val="00E338C4"/>
    <w:rsid w:val="00E33F44"/>
    <w:rsid w:val="00E36B66"/>
    <w:rsid w:val="00E37D48"/>
    <w:rsid w:val="00E4225C"/>
    <w:rsid w:val="00E44879"/>
    <w:rsid w:val="00E61530"/>
    <w:rsid w:val="00E72914"/>
    <w:rsid w:val="00E72B6A"/>
    <w:rsid w:val="00E75AE0"/>
    <w:rsid w:val="00E76B61"/>
    <w:rsid w:val="00E83C1F"/>
    <w:rsid w:val="00E85684"/>
    <w:rsid w:val="00E86008"/>
    <w:rsid w:val="00E868F8"/>
    <w:rsid w:val="00E87540"/>
    <w:rsid w:val="00E8794B"/>
    <w:rsid w:val="00E97656"/>
    <w:rsid w:val="00EA004A"/>
    <w:rsid w:val="00EA172C"/>
    <w:rsid w:val="00EA259B"/>
    <w:rsid w:val="00EA35A3"/>
    <w:rsid w:val="00EA3E6A"/>
    <w:rsid w:val="00EA69CF"/>
    <w:rsid w:val="00EB0B22"/>
    <w:rsid w:val="00EB18EF"/>
    <w:rsid w:val="00EB2D66"/>
    <w:rsid w:val="00EB58F4"/>
    <w:rsid w:val="00EB7951"/>
    <w:rsid w:val="00EC29D6"/>
    <w:rsid w:val="00ED6A79"/>
    <w:rsid w:val="00EE17DF"/>
    <w:rsid w:val="00EF0246"/>
    <w:rsid w:val="00EF1482"/>
    <w:rsid w:val="00EF4621"/>
    <w:rsid w:val="00EF4D52"/>
    <w:rsid w:val="00EF6312"/>
    <w:rsid w:val="00EF78D6"/>
    <w:rsid w:val="00F00C4B"/>
    <w:rsid w:val="00F038B0"/>
    <w:rsid w:val="00F03D63"/>
    <w:rsid w:val="00F045F9"/>
    <w:rsid w:val="00F05F34"/>
    <w:rsid w:val="00F21C30"/>
    <w:rsid w:val="00F22B27"/>
    <w:rsid w:val="00F22D13"/>
    <w:rsid w:val="00F234A7"/>
    <w:rsid w:val="00F259E7"/>
    <w:rsid w:val="00F262E4"/>
    <w:rsid w:val="00F277B6"/>
    <w:rsid w:val="00F27DA5"/>
    <w:rsid w:val="00F320F0"/>
    <w:rsid w:val="00F336F7"/>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0AA4"/>
    <w:rsid w:val="00F9132C"/>
    <w:rsid w:val="00F94276"/>
    <w:rsid w:val="00F94968"/>
    <w:rsid w:val="00F94FA9"/>
    <w:rsid w:val="00F9792D"/>
    <w:rsid w:val="00FA092B"/>
    <w:rsid w:val="00FA4F6C"/>
    <w:rsid w:val="00FA6EFD"/>
    <w:rsid w:val="00FB0EFF"/>
    <w:rsid w:val="00FB2A8E"/>
    <w:rsid w:val="00FB3791"/>
    <w:rsid w:val="00FB6780"/>
    <w:rsid w:val="00FB74EA"/>
    <w:rsid w:val="00FC1262"/>
    <w:rsid w:val="00FC25CD"/>
    <w:rsid w:val="00FC5A81"/>
    <w:rsid w:val="00FD0ADB"/>
    <w:rsid w:val="00FD1424"/>
    <w:rsid w:val="00FD2C9E"/>
    <w:rsid w:val="00FD334A"/>
    <w:rsid w:val="00FD4786"/>
    <w:rsid w:val="00FD4791"/>
    <w:rsid w:val="00FD616C"/>
    <w:rsid w:val="00FE2AF2"/>
    <w:rsid w:val="00FE4BA2"/>
    <w:rsid w:val="00FE53F2"/>
    <w:rsid w:val="00FE6D9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415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737"/>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36A5C"/>
    <w:pPr>
      <w:jc w:val="center"/>
    </w:pPr>
    <w:rPr>
      <w:rFonts w:ascii="Arial" w:hAnsi="Arial"/>
      <w:b/>
    </w:rPr>
  </w:style>
  <w:style w:type="character" w:customStyle="1" w:styleId="FootnoteTextChar">
    <w:name w:val="Footnote Text Char"/>
    <w:basedOn w:val="DefaultParagraphFont"/>
    <w:link w:val="FootnoteText"/>
    <w:uiPriority w:val="99"/>
    <w:rsid w:val="00D36A5C"/>
  </w:style>
  <w:style w:type="paragraph" w:customStyle="1" w:styleId="IssueHeading">
    <w:name w:val="Issue Heading"/>
    <w:basedOn w:val="Heading1"/>
    <w:next w:val="BodyText"/>
    <w:link w:val="IssueHeadingChar"/>
    <w:qFormat/>
    <w:rsid w:val="00D36A5C"/>
    <w:pPr>
      <w:keepNext w:val="0"/>
    </w:pPr>
    <w:rPr>
      <w:rFonts w:ascii="Arial" w:hAnsi="Arial"/>
      <w:b/>
      <w:i/>
    </w:rPr>
  </w:style>
  <w:style w:type="character" w:customStyle="1" w:styleId="IssueHeadingChar">
    <w:name w:val="Issue Heading Char"/>
    <w:link w:val="IssueHeading"/>
    <w:rsid w:val="00D36A5C"/>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36A5C"/>
    <w:pPr>
      <w:keepNext w:val="0"/>
    </w:pPr>
    <w:rPr>
      <w:rFonts w:ascii="Arial" w:hAnsi="Arial"/>
      <w:b/>
      <w:i/>
    </w:rPr>
  </w:style>
  <w:style w:type="character" w:customStyle="1" w:styleId="IssueSubsectionHeadingChar">
    <w:name w:val="Issue Subsection Heading Char"/>
    <w:link w:val="IssueSubsectionHeading"/>
    <w:rsid w:val="00D36A5C"/>
    <w:rPr>
      <w:rFonts w:ascii="Arial" w:hAnsi="Arial" w:cs="Arial"/>
      <w:b/>
      <w:bCs/>
      <w:i/>
      <w:iCs/>
      <w:sz w:val="24"/>
      <w:szCs w:val="28"/>
    </w:rPr>
  </w:style>
  <w:style w:type="paragraph" w:customStyle="1" w:styleId="First-LevelSubheading">
    <w:name w:val="First-Level Subheading"/>
    <w:basedOn w:val="IssueSubsectionHeading"/>
    <w:next w:val="BodyText"/>
    <w:qFormat/>
    <w:rsid w:val="00D36A5C"/>
    <w:pPr>
      <w:spacing w:after="0"/>
      <w:outlineLvl w:val="2"/>
    </w:pPr>
    <w:rPr>
      <w:i w:val="0"/>
    </w:rPr>
  </w:style>
  <w:style w:type="paragraph" w:customStyle="1" w:styleId="TableNumber">
    <w:name w:val="Table Number"/>
    <w:basedOn w:val="BodyText"/>
    <w:next w:val="BodyText"/>
    <w:qFormat/>
    <w:rsid w:val="00D36A5C"/>
    <w:pPr>
      <w:spacing w:before="480" w:after="0"/>
      <w:jc w:val="center"/>
    </w:pPr>
    <w:rPr>
      <w:rFonts w:ascii="Arial" w:hAnsi="Arial"/>
      <w:b/>
    </w:rPr>
  </w:style>
  <w:style w:type="paragraph" w:customStyle="1" w:styleId="TableTitle">
    <w:name w:val="Table Title"/>
    <w:basedOn w:val="BodyText"/>
    <w:next w:val="BodyText"/>
    <w:qFormat/>
    <w:rsid w:val="00D36A5C"/>
    <w:pPr>
      <w:spacing w:after="0"/>
      <w:jc w:val="center"/>
    </w:pPr>
    <w:rPr>
      <w:rFonts w:ascii="Arial" w:hAnsi="Arial"/>
      <w:b/>
    </w:rPr>
  </w:style>
  <w:style w:type="paragraph" w:customStyle="1" w:styleId="TableSource">
    <w:name w:val="Table Source"/>
    <w:basedOn w:val="BodyText"/>
    <w:next w:val="BodyText"/>
    <w:qFormat/>
    <w:rsid w:val="00D36A5C"/>
    <w:pPr>
      <w:spacing w:after="480"/>
      <w:jc w:val="both"/>
    </w:pPr>
  </w:style>
  <w:style w:type="paragraph" w:customStyle="1" w:styleId="Second-LevelSubheading">
    <w:name w:val="Second-Level Subheading"/>
    <w:basedOn w:val="First-LevelSubheading"/>
    <w:next w:val="BodyText"/>
    <w:qFormat/>
    <w:rsid w:val="00D36A5C"/>
    <w:pPr>
      <w:ind w:left="720"/>
      <w:outlineLvl w:val="3"/>
    </w:pPr>
    <w:rPr>
      <w:i/>
    </w:rPr>
  </w:style>
  <w:style w:type="character" w:styleId="Hyperlink">
    <w:name w:val="Hyperlink"/>
    <w:uiPriority w:val="99"/>
    <w:rsid w:val="00A1755C"/>
    <w:rPr>
      <w:color w:val="0000FF"/>
      <w:u w:val="single"/>
    </w:rPr>
  </w:style>
  <w:style w:type="character" w:styleId="CommentReference">
    <w:name w:val="annotation reference"/>
    <w:basedOn w:val="DefaultParagraphFont"/>
    <w:semiHidden/>
    <w:unhideWhenUsed/>
    <w:rsid w:val="00783F88"/>
    <w:rPr>
      <w:sz w:val="16"/>
      <w:szCs w:val="16"/>
    </w:rPr>
  </w:style>
  <w:style w:type="paragraph" w:styleId="CommentText">
    <w:name w:val="annotation text"/>
    <w:basedOn w:val="Normal"/>
    <w:link w:val="CommentTextChar"/>
    <w:semiHidden/>
    <w:unhideWhenUsed/>
    <w:rsid w:val="00783F88"/>
    <w:rPr>
      <w:sz w:val="20"/>
      <w:szCs w:val="20"/>
    </w:rPr>
  </w:style>
  <w:style w:type="character" w:customStyle="1" w:styleId="CommentTextChar">
    <w:name w:val="Comment Text Char"/>
    <w:basedOn w:val="DefaultParagraphFont"/>
    <w:link w:val="CommentText"/>
    <w:semiHidden/>
    <w:rsid w:val="00783F88"/>
  </w:style>
  <w:style w:type="paragraph" w:styleId="CommentSubject">
    <w:name w:val="annotation subject"/>
    <w:basedOn w:val="CommentText"/>
    <w:next w:val="CommentText"/>
    <w:link w:val="CommentSubjectChar"/>
    <w:semiHidden/>
    <w:unhideWhenUsed/>
    <w:rsid w:val="00783F88"/>
    <w:rPr>
      <w:b/>
      <w:bCs/>
    </w:rPr>
  </w:style>
  <w:style w:type="character" w:customStyle="1" w:styleId="CommentSubjectChar">
    <w:name w:val="Comment Subject Char"/>
    <w:basedOn w:val="CommentTextChar"/>
    <w:link w:val="CommentSubject"/>
    <w:semiHidden/>
    <w:rsid w:val="00783F88"/>
    <w:rPr>
      <w:b/>
      <w:bCs/>
    </w:rPr>
  </w:style>
  <w:style w:type="paragraph" w:styleId="BalloonText">
    <w:name w:val="Balloon Text"/>
    <w:basedOn w:val="Normal"/>
    <w:link w:val="BalloonTextChar"/>
    <w:semiHidden/>
    <w:unhideWhenUsed/>
    <w:rsid w:val="00783F88"/>
    <w:rPr>
      <w:rFonts w:ascii="Segoe UI" w:hAnsi="Segoe UI" w:cs="Segoe UI"/>
      <w:sz w:val="18"/>
      <w:szCs w:val="18"/>
    </w:rPr>
  </w:style>
  <w:style w:type="character" w:customStyle="1" w:styleId="BalloonTextChar">
    <w:name w:val="Balloon Text Char"/>
    <w:basedOn w:val="DefaultParagraphFont"/>
    <w:link w:val="BalloonText"/>
    <w:semiHidden/>
    <w:rsid w:val="00783F88"/>
    <w:rPr>
      <w:rFonts w:ascii="Segoe UI" w:hAnsi="Segoe UI" w:cs="Segoe UI"/>
      <w:sz w:val="18"/>
      <w:szCs w:val="18"/>
    </w:rPr>
  </w:style>
  <w:style w:type="paragraph" w:styleId="ListParagraph">
    <w:name w:val="List Paragraph"/>
    <w:basedOn w:val="Normal"/>
    <w:uiPriority w:val="34"/>
    <w:qFormat/>
    <w:rsid w:val="0010509F"/>
    <w:pPr>
      <w:ind w:left="720"/>
      <w:contextualSpacing/>
    </w:pPr>
  </w:style>
  <w:style w:type="character" w:styleId="FollowedHyperlink">
    <w:name w:val="FollowedHyperlink"/>
    <w:basedOn w:val="DefaultParagraphFont"/>
    <w:semiHidden/>
    <w:unhideWhenUsed/>
    <w:rsid w:val="00AC3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33731848">
      <w:bodyDiv w:val="1"/>
      <w:marLeft w:val="0"/>
      <w:marRight w:val="0"/>
      <w:marTop w:val="0"/>
      <w:marBottom w:val="0"/>
      <w:divBdr>
        <w:top w:val="none" w:sz="0" w:space="0" w:color="auto"/>
        <w:left w:val="none" w:sz="0" w:space="0" w:color="auto"/>
        <w:bottom w:val="none" w:sz="0" w:space="0" w:color="auto"/>
        <w:right w:val="none" w:sz="0" w:space="0" w:color="auto"/>
      </w:divBdr>
    </w:div>
    <w:div w:id="575212689">
      <w:bodyDiv w:val="1"/>
      <w:marLeft w:val="0"/>
      <w:marRight w:val="0"/>
      <w:marTop w:val="0"/>
      <w:marBottom w:val="0"/>
      <w:divBdr>
        <w:top w:val="none" w:sz="0" w:space="0" w:color="auto"/>
        <w:left w:val="none" w:sz="0" w:space="0" w:color="auto"/>
        <w:bottom w:val="none" w:sz="0" w:space="0" w:color="auto"/>
        <w:right w:val="none" w:sz="0" w:space="0" w:color="auto"/>
      </w:divBdr>
    </w:div>
    <w:div w:id="15729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image" Target="media/image8.emf"/><Relationship Id="rId10" Type="http://schemas.openxmlformats.org/officeDocument/2006/relationships/image" Target="media/image1.emf"/><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5.emf"/><Relationship Id="rId27" Type="http://schemas.openxmlformats.org/officeDocument/2006/relationships/header" Target="header12.xml"/><Relationship Id="rId30" Type="http://schemas.openxmlformats.org/officeDocument/2006/relationships/image" Target="media/image9.emf"/></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quickfacts/fact/table/lakelandcityflorida/pst045224" TargetMode="External"/><Relationship Id="rId1" Type="http://schemas.openxmlformats.org/officeDocument/2006/relationships/hyperlink" Target="https://www.irs.gov/newsroom/irs-increases-the-standard-mileage-rate-for-business-use-in-2025-key-rate-increases-3-cents-to-70-cents-per-m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7244D-ED8F-4D90-BBEA-3C1406D3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58</Pages>
  <Words>18986</Words>
  <Characters>108224</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2026-02-25T18:44:00Z</dcterms:created>
  <dcterms:modified xsi:type="dcterms:W3CDTF">2026-02-25T19:21:00Z</dcterms:modified>
</cp:coreProperties>
</file>