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F42B4" w14:textId="77777777" w:rsidR="0075196A" w:rsidRDefault="0075196A" w:rsidP="0075196A">
      <w:pPr>
        <w:pStyle w:val="OrderHeading"/>
      </w:pPr>
      <w:r>
        <w:t>BEFORE THE FLORIDA PUBLIC SERVICE COMMISSION</w:t>
      </w:r>
    </w:p>
    <w:p w14:paraId="13CEE270" w14:textId="77777777" w:rsidR="0075196A" w:rsidRDefault="0075196A" w:rsidP="0075196A">
      <w:pPr>
        <w:pStyle w:val="OrderBody"/>
      </w:pPr>
    </w:p>
    <w:p w14:paraId="02D19D83" w14:textId="77777777" w:rsidR="0075196A" w:rsidRDefault="0075196A" w:rsidP="007519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5196A" w:rsidRPr="00C63FCF" w14:paraId="13CD6B28" w14:textId="77777777" w:rsidTr="0088149F">
        <w:trPr>
          <w:trHeight w:val="828"/>
        </w:trPr>
        <w:tc>
          <w:tcPr>
            <w:tcW w:w="4788" w:type="dxa"/>
            <w:tcBorders>
              <w:bottom w:val="single" w:sz="8" w:space="0" w:color="auto"/>
              <w:right w:val="double" w:sz="6" w:space="0" w:color="auto"/>
            </w:tcBorders>
            <w:shd w:val="clear" w:color="auto" w:fill="auto"/>
          </w:tcPr>
          <w:p w14:paraId="3E944E42" w14:textId="77777777" w:rsidR="0075196A" w:rsidRDefault="0075196A" w:rsidP="0088149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14:paraId="5A8AFF23" w14:textId="77777777" w:rsidR="0075196A" w:rsidRDefault="0075196A" w:rsidP="0075196A">
            <w:pPr>
              <w:pStyle w:val="OrderBody"/>
            </w:pPr>
            <w:r>
              <w:t xml:space="preserve">DOCKET NO. </w:t>
            </w:r>
            <w:bookmarkStart w:id="1" w:name="SSDocketNo"/>
            <w:bookmarkEnd w:id="1"/>
            <w:r>
              <w:t>20250035-GU</w:t>
            </w:r>
          </w:p>
          <w:p w14:paraId="216AC54C" w14:textId="278BCECB" w:rsidR="0075196A" w:rsidRDefault="0075196A" w:rsidP="0088149F">
            <w:pPr>
              <w:pStyle w:val="OrderBody"/>
              <w:tabs>
                <w:tab w:val="center" w:pos="4320"/>
                <w:tab w:val="right" w:pos="8640"/>
              </w:tabs>
              <w:jc w:val="left"/>
            </w:pPr>
            <w:r>
              <w:t xml:space="preserve">ORDER NO. </w:t>
            </w:r>
            <w:bookmarkStart w:id="2" w:name="OrderNo0055"/>
            <w:r w:rsidR="006544ED">
              <w:t>PSC-2026-0055-FOF-GU</w:t>
            </w:r>
            <w:bookmarkEnd w:id="2"/>
          </w:p>
          <w:p w14:paraId="181FB773" w14:textId="323368EB" w:rsidR="0075196A" w:rsidRDefault="0075196A" w:rsidP="0088149F">
            <w:pPr>
              <w:pStyle w:val="OrderBody"/>
              <w:tabs>
                <w:tab w:val="center" w:pos="4320"/>
                <w:tab w:val="right" w:pos="8640"/>
              </w:tabs>
              <w:jc w:val="left"/>
            </w:pPr>
            <w:r>
              <w:t xml:space="preserve">ISSUED: </w:t>
            </w:r>
            <w:r w:rsidR="006544ED">
              <w:t>March 9, 2026</w:t>
            </w:r>
          </w:p>
        </w:tc>
      </w:tr>
    </w:tbl>
    <w:p w14:paraId="4A948FBC" w14:textId="77777777" w:rsidR="0075196A" w:rsidRDefault="0075196A" w:rsidP="0075196A"/>
    <w:p w14:paraId="405AED99" w14:textId="77777777" w:rsidR="00CB5276" w:rsidRDefault="00D611DF" w:rsidP="0075196A">
      <w:r>
        <w:t xml:space="preserve"> </w:t>
      </w:r>
    </w:p>
    <w:p w14:paraId="7B59D94D" w14:textId="77777777" w:rsidR="0075196A" w:rsidRPr="008D1D5C" w:rsidRDefault="0075196A" w:rsidP="0088149F">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40F24D31" w14:textId="77777777" w:rsidR="0075196A" w:rsidRPr="008D1D5C" w:rsidRDefault="0075196A" w:rsidP="0088149F">
      <w:pPr>
        <w:spacing w:line="276" w:lineRule="auto"/>
        <w:jc w:val="center"/>
        <w:rPr>
          <w:rFonts w:eastAsiaTheme="minorHAnsi" w:cstheme="minorBidi"/>
          <w:szCs w:val="22"/>
        </w:rPr>
      </w:pPr>
    </w:p>
    <w:p w14:paraId="2A883222" w14:textId="77777777" w:rsidR="0075196A" w:rsidRPr="008D1D5C" w:rsidRDefault="0075196A" w:rsidP="0088149F">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45F81A51" w14:textId="77777777" w:rsidR="0075196A" w:rsidRPr="008D1D5C" w:rsidRDefault="0075196A" w:rsidP="0088149F">
      <w:pPr>
        <w:spacing w:line="276" w:lineRule="auto"/>
        <w:jc w:val="center"/>
        <w:rPr>
          <w:rFonts w:eastAsiaTheme="minorHAnsi" w:cstheme="minorBidi"/>
          <w:szCs w:val="22"/>
        </w:rPr>
      </w:pPr>
      <w:r>
        <w:rPr>
          <w:rFonts w:eastAsiaTheme="minorHAnsi" w:cstheme="minorBidi"/>
          <w:szCs w:val="22"/>
        </w:rPr>
        <w:t>GARY F. CLARK</w:t>
      </w:r>
    </w:p>
    <w:p w14:paraId="5A1678B4" w14:textId="77777777" w:rsidR="0075196A" w:rsidRPr="008D1D5C" w:rsidRDefault="0075196A" w:rsidP="0088149F">
      <w:pPr>
        <w:spacing w:line="276" w:lineRule="auto"/>
        <w:jc w:val="center"/>
        <w:rPr>
          <w:rFonts w:eastAsiaTheme="minorHAnsi" w:cstheme="minorBidi"/>
          <w:szCs w:val="22"/>
        </w:rPr>
      </w:pPr>
      <w:r>
        <w:rPr>
          <w:rFonts w:eastAsiaTheme="minorHAnsi" w:cstheme="minorBidi"/>
          <w:szCs w:val="22"/>
        </w:rPr>
        <w:t>MIKE LA ROSA</w:t>
      </w:r>
    </w:p>
    <w:p w14:paraId="611381B5" w14:textId="77777777" w:rsidR="00CB5276" w:rsidRDefault="00CB5276">
      <w:pPr>
        <w:pStyle w:val="OrderBody"/>
      </w:pPr>
    </w:p>
    <w:p w14:paraId="44F5B959" w14:textId="1875220D" w:rsidR="00FA6421" w:rsidRDefault="0075196A" w:rsidP="0075196A">
      <w:pPr>
        <w:pStyle w:val="CenterUnderline"/>
      </w:pPr>
      <w:r>
        <w:t>FINAL ORDER</w:t>
      </w:r>
      <w:bookmarkStart w:id="4" w:name="OrderTitle"/>
      <w:r w:rsidR="00FA6421">
        <w:t xml:space="preserve"> APPROVING FLORIDA CITY GAS’S</w:t>
      </w:r>
    </w:p>
    <w:p w14:paraId="5EF6A804" w14:textId="77777777" w:rsidR="00A96529" w:rsidRDefault="00FA6421" w:rsidP="0075196A">
      <w:pPr>
        <w:pStyle w:val="CenterUnderline"/>
      </w:pPr>
      <w:r>
        <w:t>2025 DEPRECIATION STUDY</w:t>
      </w:r>
      <w:r w:rsidR="00A96529">
        <w:t xml:space="preserve"> AND</w:t>
      </w:r>
    </w:p>
    <w:p w14:paraId="21D4664C" w14:textId="50EDCC07" w:rsidR="0075196A" w:rsidRDefault="00A96529" w:rsidP="0075196A">
      <w:pPr>
        <w:pStyle w:val="CenterUnderline"/>
      </w:pPr>
      <w:r>
        <w:t>AMORTIZATION OF RESERVE IMBALANCE</w:t>
      </w:r>
      <w:r w:rsidR="0075196A">
        <w:t xml:space="preserve"> </w:t>
      </w:r>
      <w:bookmarkEnd w:id="4"/>
    </w:p>
    <w:p w14:paraId="6C6538B7" w14:textId="77777777" w:rsidR="0075196A" w:rsidRDefault="0075196A" w:rsidP="0075196A">
      <w:pPr>
        <w:pStyle w:val="CenterUnderline"/>
      </w:pPr>
    </w:p>
    <w:p w14:paraId="023DACC9" w14:textId="77777777" w:rsidR="0075196A" w:rsidRDefault="0075196A" w:rsidP="0075196A">
      <w:pPr>
        <w:pStyle w:val="OrderBody"/>
      </w:pPr>
      <w:r>
        <w:t>BY THE COMMISSION:</w:t>
      </w:r>
    </w:p>
    <w:p w14:paraId="131A4881" w14:textId="77777777" w:rsidR="0075196A" w:rsidRDefault="0075196A" w:rsidP="0075196A">
      <w:pPr>
        <w:pStyle w:val="OrderBody"/>
      </w:pPr>
    </w:p>
    <w:p w14:paraId="725C3A27" w14:textId="77777777" w:rsidR="001D7896" w:rsidRPr="00403AD7" w:rsidRDefault="001D7896" w:rsidP="001D7896">
      <w:pPr>
        <w:pStyle w:val="RecommendationMajorSectionHeading"/>
        <w:rPr>
          <w:rFonts w:ascii="Times New Roman" w:hAnsi="Times New Roman" w:cs="Times New Roman"/>
        </w:rPr>
      </w:pPr>
      <w:bookmarkStart w:id="5" w:name="OrderText"/>
      <w:bookmarkEnd w:id="5"/>
      <w:r w:rsidRPr="00403AD7">
        <w:rPr>
          <w:rFonts w:ascii="Times New Roman" w:hAnsi="Times New Roman" w:cs="Times New Roman"/>
        </w:rPr>
        <w:t>Background</w:t>
      </w:r>
      <w:r w:rsidRPr="00403AD7">
        <w:rPr>
          <w:rFonts w:ascii="Times New Roman" w:hAnsi="Times New Roman" w:cs="Times New Roman"/>
        </w:rPr>
        <w:fldChar w:fldCharType="begin"/>
      </w:r>
      <w:r w:rsidRPr="00403AD7">
        <w:rPr>
          <w:rFonts w:ascii="Times New Roman" w:hAnsi="Times New Roman" w:cs="Times New Roman"/>
        </w:rPr>
        <w:instrText xml:space="preserve"> TC  "</w:instrText>
      </w:r>
      <w:r w:rsidRPr="00403AD7">
        <w:rPr>
          <w:rFonts w:ascii="Times New Roman" w:hAnsi="Times New Roman" w:cs="Times New Roman"/>
        </w:rPr>
        <w:tab/>
      </w:r>
      <w:bookmarkStart w:id="6" w:name="_Toc94516455"/>
      <w:r w:rsidRPr="00403AD7">
        <w:rPr>
          <w:rFonts w:ascii="Times New Roman" w:hAnsi="Times New Roman" w:cs="Times New Roman"/>
        </w:rPr>
        <w:instrText>Case Background</w:instrText>
      </w:r>
      <w:bookmarkEnd w:id="6"/>
      <w:r w:rsidRPr="00403AD7">
        <w:rPr>
          <w:rFonts w:ascii="Times New Roman" w:hAnsi="Times New Roman" w:cs="Times New Roman"/>
        </w:rPr>
        <w:instrText xml:space="preserve">" \l 1 </w:instrText>
      </w:r>
      <w:r w:rsidRPr="00403AD7">
        <w:rPr>
          <w:rFonts w:ascii="Times New Roman" w:hAnsi="Times New Roman" w:cs="Times New Roman"/>
        </w:rPr>
        <w:fldChar w:fldCharType="end"/>
      </w:r>
    </w:p>
    <w:p w14:paraId="572FF156" w14:textId="4AC67496" w:rsidR="001D7896" w:rsidRDefault="001D7896" w:rsidP="00503A02">
      <w:pPr>
        <w:pStyle w:val="BodyText"/>
        <w:spacing w:after="0"/>
        <w:ind w:firstLine="720"/>
        <w:jc w:val="both"/>
      </w:pPr>
      <w:r>
        <w:t xml:space="preserve">On February 24, 2025, Florida City Gas (FCG or Company) filed a Petition for Approval of Depreciation Study and for Approval to Amortize Reserve Imbalance (Petition) under Rule 25-7.045, Florida Administrative Code (F.A.C.). The Petition included a depreciation study and proposed depreciation parameters that resulted in a total calculated reserve surplus of $27.3 million. In its Petition, FCG requested approval of its depreciation study; an effective date for new depreciation rates of January 1, 2025; and approval to amortize the Company’s calculated $27.3 million reserve surplus over a 2-year period (2025 and 2026). </w:t>
      </w:r>
    </w:p>
    <w:p w14:paraId="3A738A77" w14:textId="77777777" w:rsidR="00503A02" w:rsidRDefault="00503A02" w:rsidP="00503A02">
      <w:pPr>
        <w:pStyle w:val="BodyText"/>
        <w:spacing w:after="0"/>
        <w:ind w:firstLine="720"/>
        <w:jc w:val="both"/>
      </w:pPr>
    </w:p>
    <w:p w14:paraId="654A6428" w14:textId="4B8A33E6" w:rsidR="001D7896" w:rsidRDefault="001D7896" w:rsidP="00521BA0">
      <w:pPr>
        <w:pStyle w:val="BodyText"/>
        <w:spacing w:after="0"/>
        <w:ind w:firstLine="720"/>
        <w:jc w:val="both"/>
      </w:pPr>
      <w:r>
        <w:t xml:space="preserve">On February 26, 2025, the Office of Public Counsel (OPC) filed a Notice of Intervention pursuant to Section 350.0611, Florida Statutes (F.S.). </w:t>
      </w:r>
      <w:r w:rsidR="00704568">
        <w:t>On t</w:t>
      </w:r>
      <w:r>
        <w:t>he following day, February 27, 2025,</w:t>
      </w:r>
      <w:r w:rsidRPr="001D7896">
        <w:t xml:space="preserve"> </w:t>
      </w:r>
      <w:r>
        <w:t xml:space="preserve">OPC filed a Motion to Hold Proceedings in Abeyance, which was denied by Order No. PSC-2025-0102-PCO-GU, issued April 1, 2025. On </w:t>
      </w:r>
      <w:r w:rsidRPr="0045003A">
        <w:t>April 11, 2025,</w:t>
      </w:r>
      <w:r>
        <w:t xml:space="preserve"> OPC timely filed a Motion for Reconsideration of that Order, along with a Request for Oral Argument. Separately, on June 20, 2025, OPC filed a Motion to Dismiss, along with a corresponding Request for Oral Argument. </w:t>
      </w:r>
      <w:r w:rsidR="004E286F">
        <w:t>We</w:t>
      </w:r>
      <w:r>
        <w:t xml:space="preserve"> denied both Motions and Requests for Oral Argument by Order No. PSC-2025-0360-PCO-GU, issued September 24, 2025.</w:t>
      </w:r>
    </w:p>
    <w:p w14:paraId="0FF5E9DB" w14:textId="77777777" w:rsidR="00521BA0" w:rsidRDefault="00521BA0" w:rsidP="00521BA0">
      <w:pPr>
        <w:pStyle w:val="BodyText"/>
        <w:spacing w:after="0"/>
        <w:ind w:firstLine="720"/>
        <w:jc w:val="both"/>
      </w:pPr>
    </w:p>
    <w:p w14:paraId="71F12C4B" w14:textId="5F7AE97E" w:rsidR="001D7896" w:rsidRDefault="001D7896" w:rsidP="00D932CA">
      <w:pPr>
        <w:pStyle w:val="CenterUnderline"/>
        <w:ind w:firstLine="720"/>
        <w:jc w:val="both"/>
        <w:rPr>
          <w:u w:val="none"/>
        </w:rPr>
      </w:pPr>
      <w:r>
        <w:rPr>
          <w:u w:val="none"/>
        </w:rPr>
        <w:t>The current</w:t>
      </w:r>
      <w:r w:rsidRPr="00E739C6">
        <w:rPr>
          <w:u w:val="none"/>
        </w:rPr>
        <w:t xml:space="preserve"> depreciation rates for FCG </w:t>
      </w:r>
      <w:r>
        <w:rPr>
          <w:u w:val="none"/>
        </w:rPr>
        <w:t xml:space="preserve">were approved </w:t>
      </w:r>
      <w:r w:rsidRPr="00E739C6">
        <w:rPr>
          <w:u w:val="none"/>
        </w:rPr>
        <w:t>in 2023 in connection with the Company’s 2022 request for base ra</w:t>
      </w:r>
      <w:r>
        <w:rPr>
          <w:u w:val="none"/>
        </w:rPr>
        <w:t>te increase</w:t>
      </w:r>
      <w:r w:rsidRPr="00BF0E4F">
        <w:rPr>
          <w:u w:val="none"/>
        </w:rPr>
        <w:t>.</w:t>
      </w:r>
      <w:r w:rsidRPr="00BF0E4F">
        <w:rPr>
          <w:rStyle w:val="FootnoteReference"/>
          <w:u w:val="none"/>
        </w:rPr>
        <w:footnoteReference w:id="1"/>
      </w:r>
      <w:r w:rsidRPr="00BF0E4F">
        <w:rPr>
          <w:u w:val="none"/>
        </w:rPr>
        <w:t xml:space="preserve"> The appro</w:t>
      </w:r>
      <w:r>
        <w:rPr>
          <w:u w:val="none"/>
        </w:rPr>
        <w:t>ved depreciation parameters</w:t>
      </w:r>
      <w:r w:rsidRPr="00BF0E4F">
        <w:rPr>
          <w:u w:val="none"/>
        </w:rPr>
        <w:t xml:space="preserve"> resulted in a total reserve surplus of $52</w:t>
      </w:r>
      <w:r>
        <w:rPr>
          <w:u w:val="none"/>
        </w:rPr>
        <w:t>.1 million</w:t>
      </w:r>
      <w:r w:rsidRPr="00BF0E4F">
        <w:rPr>
          <w:u w:val="none"/>
        </w:rPr>
        <w:t xml:space="preserve">, of which $25 million could be amortized over a </w:t>
      </w:r>
      <w:r>
        <w:rPr>
          <w:u w:val="none"/>
        </w:rPr>
        <w:t>4</w:t>
      </w:r>
      <w:r w:rsidRPr="00BF0E4F">
        <w:rPr>
          <w:u w:val="none"/>
        </w:rPr>
        <w:t xml:space="preserve">-year period using a Reserve Surplus Amortization Mechanism (RSAM). OPC appealed the </w:t>
      </w:r>
      <w:r>
        <w:rPr>
          <w:u w:val="none"/>
        </w:rPr>
        <w:t xml:space="preserve">2023 rate </w:t>
      </w:r>
      <w:r>
        <w:rPr>
          <w:u w:val="none"/>
        </w:rPr>
        <w:lastRenderedPageBreak/>
        <w:t>case Final Order, as well as</w:t>
      </w:r>
      <w:r w:rsidRPr="00BF0E4F">
        <w:rPr>
          <w:u w:val="none"/>
        </w:rPr>
        <w:t xml:space="preserve"> </w:t>
      </w:r>
      <w:r>
        <w:rPr>
          <w:u w:val="none"/>
        </w:rPr>
        <w:t>the Commission’s</w:t>
      </w:r>
      <w:r w:rsidRPr="00BF0E4F">
        <w:rPr>
          <w:u w:val="none"/>
        </w:rPr>
        <w:t xml:space="preserve"> subsequent Clarifying Order.</w:t>
      </w:r>
      <w:r>
        <w:rPr>
          <w:rStyle w:val="FootnoteReference"/>
          <w:u w:val="none"/>
        </w:rPr>
        <w:footnoteReference w:id="2"/>
      </w:r>
      <w:r w:rsidRPr="00BF0E4F">
        <w:rPr>
          <w:u w:val="none"/>
        </w:rPr>
        <w:t xml:space="preserve"> The </w:t>
      </w:r>
      <w:r w:rsidR="003337D9">
        <w:rPr>
          <w:u w:val="none"/>
        </w:rPr>
        <w:t xml:space="preserve">appeals of these Orders </w:t>
      </w:r>
      <w:r w:rsidR="004E286F">
        <w:rPr>
          <w:u w:val="none"/>
        </w:rPr>
        <w:t xml:space="preserve">have been consolidated and </w:t>
      </w:r>
      <w:r w:rsidR="003337D9">
        <w:rPr>
          <w:u w:val="none"/>
        </w:rPr>
        <w:t>are</w:t>
      </w:r>
      <w:r w:rsidRPr="00BF0E4F">
        <w:rPr>
          <w:u w:val="none"/>
        </w:rPr>
        <w:t xml:space="preserve"> currently pending b</w:t>
      </w:r>
      <w:r>
        <w:rPr>
          <w:u w:val="none"/>
        </w:rPr>
        <w:t>efore the Florida Supreme Court</w:t>
      </w:r>
      <w:r w:rsidRPr="00BF0E4F">
        <w:rPr>
          <w:u w:val="none"/>
        </w:rPr>
        <w:t xml:space="preserve">. </w:t>
      </w:r>
    </w:p>
    <w:p w14:paraId="4C3D2A50" w14:textId="77777777" w:rsidR="001D7896" w:rsidRDefault="001D7896" w:rsidP="00AC29C3">
      <w:pPr>
        <w:pStyle w:val="BodyText"/>
        <w:spacing w:after="0"/>
        <w:ind w:firstLine="720"/>
        <w:jc w:val="both"/>
      </w:pPr>
    </w:p>
    <w:p w14:paraId="618D1CA5" w14:textId="174255CB" w:rsidR="001D7896" w:rsidRDefault="001D7896" w:rsidP="00D932CA">
      <w:pPr>
        <w:pStyle w:val="BodyText"/>
        <w:spacing w:after="0"/>
        <w:ind w:firstLine="720"/>
        <w:jc w:val="both"/>
      </w:pPr>
      <w:r w:rsidRPr="00BD5006">
        <w:t xml:space="preserve">As part of its Petition and </w:t>
      </w:r>
      <w:r w:rsidRPr="00E25A89">
        <w:t>accompanying</w:t>
      </w:r>
      <w:r w:rsidRPr="00BD5006">
        <w:t xml:space="preserve"> depreciation study filed on February 24, 20</w:t>
      </w:r>
      <w:r>
        <w:t>2</w:t>
      </w:r>
      <w:r w:rsidRPr="00BD5006">
        <w:t xml:space="preserve">5, FCG calculated a $27.3 million reserve surplus. On August 5, 2025, FCG filed a Revised 2025 Depreciation Study </w:t>
      </w:r>
      <w:r w:rsidR="00CE034E">
        <w:t>and</w:t>
      </w:r>
      <w:r w:rsidRPr="00BD5006">
        <w:t xml:space="preserve"> reduced its calculated reserve surplus to $22.3 million. On November 4, 2025, the Company amended its testimony with resulting changes to both the narrative and workbook schedules, and </w:t>
      </w:r>
      <w:r>
        <w:t xml:space="preserve">further </w:t>
      </w:r>
      <w:r w:rsidRPr="00BD5006">
        <w:t>reduced its calculated reserve surplus to $19.2 million. For</w:t>
      </w:r>
      <w:r w:rsidR="00EA6942">
        <w:t xml:space="preserve"> purposes of this order</w:t>
      </w:r>
      <w:r w:rsidRPr="00BD5006">
        <w:t>, the November 4, 2025 filing is the final depreciation study filed for review, is referred to as the 2025 Depreciation Study or 2025 Study, and supplants FCG’s August 5, 2025 Revised 2025 Depreciation Study.</w:t>
      </w:r>
    </w:p>
    <w:p w14:paraId="7D90E11F" w14:textId="77777777" w:rsidR="001D7896" w:rsidRDefault="001D7896" w:rsidP="00AC29C3">
      <w:pPr>
        <w:pStyle w:val="BodyText"/>
        <w:spacing w:after="0"/>
        <w:ind w:firstLine="720"/>
        <w:jc w:val="both"/>
      </w:pPr>
    </w:p>
    <w:p w14:paraId="3A1953C7" w14:textId="78AC0BB1" w:rsidR="001D7896" w:rsidRDefault="00CE034E" w:rsidP="00D932CA">
      <w:pPr>
        <w:pStyle w:val="BodyText"/>
        <w:spacing w:after="0"/>
        <w:ind w:firstLine="720"/>
        <w:jc w:val="both"/>
      </w:pPr>
      <w:r>
        <w:t>We conducted a</w:t>
      </w:r>
      <w:r w:rsidR="001D7896">
        <w:t>n evidentiary hearing on Decemb</w:t>
      </w:r>
      <w:r w:rsidR="003D7765">
        <w:t>er 11, 2025. This order</w:t>
      </w:r>
      <w:r w:rsidR="001D7896">
        <w:t xml:space="preserve"> addresses a threshold issue of whether FCG’s depreciation rates should be revised; other issues that identify the appropriate depreciation parameters, rates, expenses, theoretical reserve imbalance, and related corrective measures; and further issues identified in the prehearing order.</w:t>
      </w:r>
      <w:r w:rsidR="001D7896">
        <w:rPr>
          <w:rStyle w:val="FootnoteReference"/>
        </w:rPr>
        <w:footnoteReference w:id="3"/>
      </w:r>
    </w:p>
    <w:p w14:paraId="78AFDA52" w14:textId="77777777" w:rsidR="001D7896" w:rsidRDefault="001D7896" w:rsidP="00AC29C3">
      <w:pPr>
        <w:pStyle w:val="BodyText"/>
        <w:spacing w:after="0"/>
        <w:ind w:firstLine="720"/>
        <w:jc w:val="both"/>
      </w:pPr>
    </w:p>
    <w:p w14:paraId="0D57849D" w14:textId="0C4C64FB" w:rsidR="00CB5276" w:rsidRDefault="00C25479" w:rsidP="00D932CA">
      <w:pPr>
        <w:pStyle w:val="OrderBody"/>
        <w:ind w:firstLine="720"/>
      </w:pPr>
      <w:r>
        <w:t>We have j</w:t>
      </w:r>
      <w:r w:rsidR="00CE034E">
        <w:t>urisdiction over this</w:t>
      </w:r>
      <w:r w:rsidR="001D7896">
        <w:t xml:space="preserve"> matter </w:t>
      </w:r>
      <w:r>
        <w:t>pursuant to</w:t>
      </w:r>
      <w:r w:rsidR="001D7896">
        <w:t xml:space="preserve"> Chapter 366, F.S., including Sections 366.04, 366.05, and 366.06, F.S.</w:t>
      </w:r>
    </w:p>
    <w:p w14:paraId="71872238" w14:textId="77777777" w:rsidR="001D7896" w:rsidRDefault="001D7896" w:rsidP="00AC29C3">
      <w:pPr>
        <w:pStyle w:val="OrderBody"/>
      </w:pPr>
    </w:p>
    <w:p w14:paraId="71D84158" w14:textId="06AD2FE3" w:rsidR="00C25479" w:rsidRDefault="00D932CA" w:rsidP="00177B7D">
      <w:pPr>
        <w:pStyle w:val="RecommendationMajorSectionHeading"/>
        <w:rPr>
          <w:rFonts w:ascii="Times New Roman" w:hAnsi="Times New Roman" w:cs="Times New Roman"/>
          <w:b w:val="0"/>
        </w:rPr>
      </w:pPr>
      <w:bookmarkStart w:id="7" w:name="DiscussionOfIssues"/>
      <w:r w:rsidRPr="00403AD7">
        <w:rPr>
          <w:rFonts w:ascii="Times New Roman" w:hAnsi="Times New Roman" w:cs="Times New Roman"/>
        </w:rPr>
        <w:t>Decision and Analysis</w:t>
      </w:r>
      <w:bookmarkEnd w:id="7"/>
    </w:p>
    <w:p w14:paraId="63EFF2CF" w14:textId="76A6A36B" w:rsidR="00403AD7" w:rsidRPr="00403AD7" w:rsidRDefault="00403AD7" w:rsidP="00B63EC7">
      <w:pPr>
        <w:pStyle w:val="RecommendationMajorSectionHeading"/>
        <w:jc w:val="left"/>
        <w:rPr>
          <w:rFonts w:ascii="Times New Roman" w:hAnsi="Times New Roman" w:cs="Times New Roman"/>
          <w:b w:val="0"/>
          <w:i/>
          <w:iCs/>
          <w:u w:val="single"/>
        </w:rPr>
      </w:pPr>
      <w:r>
        <w:rPr>
          <w:rFonts w:ascii="Times New Roman" w:hAnsi="Times New Roman" w:cs="Times New Roman"/>
          <w:b w:val="0"/>
        </w:rPr>
        <w:t>1.</w:t>
      </w:r>
      <w:r>
        <w:rPr>
          <w:rFonts w:ascii="Times New Roman" w:hAnsi="Times New Roman" w:cs="Times New Roman"/>
          <w:b w:val="0"/>
        </w:rPr>
        <w:tab/>
      </w:r>
      <w:r>
        <w:rPr>
          <w:rFonts w:ascii="Times New Roman" w:hAnsi="Times New Roman" w:cs="Times New Roman"/>
          <w:b w:val="0"/>
          <w:u w:val="single"/>
        </w:rPr>
        <w:t>Need to Revise Currently Prescribed Depreciation Rates</w:t>
      </w:r>
    </w:p>
    <w:p w14:paraId="0742DAA6" w14:textId="77777777" w:rsidR="000429CC" w:rsidRPr="000429CC" w:rsidRDefault="000429CC" w:rsidP="00DC4ECB">
      <w:pPr>
        <w:pStyle w:val="BodyText"/>
        <w:ind w:firstLine="720"/>
        <w:jc w:val="both"/>
        <w:rPr>
          <w:b/>
        </w:rPr>
      </w:pPr>
      <w:r>
        <w:rPr>
          <w:b/>
        </w:rPr>
        <w:t>Overview</w:t>
      </w:r>
    </w:p>
    <w:p w14:paraId="2ACAD7EA" w14:textId="49D1CD0F" w:rsidR="001D7896" w:rsidRDefault="001D7896" w:rsidP="00503A02">
      <w:pPr>
        <w:pStyle w:val="BodyText"/>
        <w:spacing w:after="0"/>
        <w:ind w:firstLine="720"/>
        <w:jc w:val="both"/>
      </w:pPr>
      <w:r>
        <w:t>Rule 25-7.045, F.A.C</w:t>
      </w:r>
      <w:r w:rsidR="00CE034E">
        <w:t>. (the depreciation rule)</w:t>
      </w:r>
      <w:r>
        <w:t>, requires regulated gas companies to file a comprehensive depreciation study at least once every five years from the date of the last study</w:t>
      </w:r>
      <w:r w:rsidRPr="00BA67B2">
        <w:t xml:space="preserve"> or pursuant to Commission order</w:t>
      </w:r>
      <w:r>
        <w:t>.</w:t>
      </w:r>
      <w:r w:rsidRPr="00DB5C32">
        <w:t xml:space="preserve"> </w:t>
      </w:r>
      <w:r>
        <w:t xml:space="preserve">The submission date of FCG’s </w:t>
      </w:r>
      <w:r w:rsidR="00C25479" w:rsidRPr="00BA67B2">
        <w:t>last depreciation study</w:t>
      </w:r>
      <w:r w:rsidR="00C25479">
        <w:t xml:space="preserve"> (</w:t>
      </w:r>
      <w:r>
        <w:t>2022 Depreciation Study</w:t>
      </w:r>
      <w:r w:rsidRPr="00BA67B2">
        <w:t xml:space="preserve">) </w:t>
      </w:r>
      <w:r>
        <w:t xml:space="preserve">was May 31, 2022. </w:t>
      </w:r>
      <w:r w:rsidR="00C42210">
        <w:t>Based on th</w:t>
      </w:r>
      <w:r w:rsidR="00CE034E">
        <w:t>e five-year provision in the depreciation r</w:t>
      </w:r>
      <w:r w:rsidR="00C42210">
        <w:t>ule, OPC argued</w:t>
      </w:r>
      <w:r w:rsidR="00C42210" w:rsidRPr="00860941">
        <w:t xml:space="preserve"> that this case </w:t>
      </w:r>
      <w:r w:rsidR="00C42210">
        <w:t xml:space="preserve">should </w:t>
      </w:r>
      <w:r w:rsidR="00C42210" w:rsidRPr="00860941">
        <w:t>be closed</w:t>
      </w:r>
      <w:r w:rsidR="00C42210">
        <w:t xml:space="preserve">, </w:t>
      </w:r>
      <w:r w:rsidR="00C42210" w:rsidRPr="00860941">
        <w:t>the current depr</w:t>
      </w:r>
      <w:r w:rsidR="00C42210">
        <w:t>eciation rates should remain in effect,</w:t>
      </w:r>
      <w:r w:rsidR="00C42210" w:rsidRPr="00860941">
        <w:t xml:space="preserve"> and a new, correct</w:t>
      </w:r>
      <w:r w:rsidR="00C42210">
        <w:t xml:space="preserve"> </w:t>
      </w:r>
      <w:r w:rsidR="00C42210" w:rsidRPr="00860941">
        <w:t xml:space="preserve">depreciation study </w:t>
      </w:r>
      <w:r w:rsidR="00C42210">
        <w:t xml:space="preserve">should </w:t>
      </w:r>
      <w:r w:rsidR="00C42210" w:rsidRPr="00860941">
        <w:t>be filed</w:t>
      </w:r>
      <w:r w:rsidR="00C02D76">
        <w:t xml:space="preserve"> as part of the next rate case</w:t>
      </w:r>
      <w:r w:rsidR="00C42210" w:rsidRPr="00860941">
        <w:t xml:space="preserve"> or by May 31, 2027, whichever is earlier.</w:t>
      </w:r>
    </w:p>
    <w:p w14:paraId="18A32994" w14:textId="77777777" w:rsidR="001D7896" w:rsidRDefault="001D7896" w:rsidP="00AC29C3">
      <w:pPr>
        <w:pStyle w:val="BodyText"/>
        <w:spacing w:after="0"/>
        <w:jc w:val="both"/>
      </w:pPr>
    </w:p>
    <w:p w14:paraId="2C3BE850" w14:textId="629421BE" w:rsidR="0073677D" w:rsidRDefault="001D7896" w:rsidP="00503A02">
      <w:pPr>
        <w:pStyle w:val="BodyText"/>
        <w:spacing w:after="0"/>
        <w:ind w:firstLine="720"/>
        <w:jc w:val="both"/>
      </w:pPr>
      <w:r>
        <w:t xml:space="preserve">Additionally, OPC argues that the </w:t>
      </w:r>
      <w:r w:rsidR="00C02D76">
        <w:t>filing was premature due to</w:t>
      </w:r>
      <w:r>
        <w:t xml:space="preserve"> the “Four-Year Stay Out.” </w:t>
      </w:r>
      <w:r w:rsidR="008B2B2D">
        <w:t xml:space="preserve">Specifically, </w:t>
      </w:r>
      <w:r>
        <w:t>OPC asserts that the Company pledged in its last rate case in 2023 to “stay out” and not come to the Commission with a request for rate relief for four years if it was allowed to use no more than $25 million of an identified $52 million depreciation reserve imbalance during that period. OPC argues that the Company’s request in this docket is contrary to these representations</w:t>
      </w:r>
      <w:r w:rsidR="00C25479">
        <w:t>, and</w:t>
      </w:r>
      <w:r w:rsidRPr="00860941">
        <w:t xml:space="preserve"> that FCG’s instant depreciation study is insufficient due to it being two years premature.</w:t>
      </w:r>
      <w:r w:rsidR="00C25479">
        <w:t xml:space="preserve"> </w:t>
      </w:r>
      <w:r w:rsidRPr="00860941">
        <w:t xml:space="preserve">OPC </w:t>
      </w:r>
      <w:r>
        <w:t xml:space="preserve">further </w:t>
      </w:r>
      <w:r w:rsidRPr="00860941">
        <w:t xml:space="preserve">contends that FCG’s 2025 Study itself has serious flaws, including </w:t>
      </w:r>
      <w:r w:rsidRPr="00860941">
        <w:lastRenderedPageBreak/>
        <w:t xml:space="preserve">inconsistencies between study data and audited </w:t>
      </w:r>
      <w:r w:rsidR="00C25479">
        <w:t>FCG Annual Reports</w:t>
      </w:r>
      <w:r w:rsidR="00C02D76">
        <w:t xml:space="preserve"> and</w:t>
      </w:r>
      <w:r w:rsidRPr="00860941">
        <w:t xml:space="preserve"> missing cost of removal information</w:t>
      </w:r>
      <w:r w:rsidR="00C02D76">
        <w:t>. OPC further alleged that</w:t>
      </w:r>
      <w:r w:rsidRPr="00860941">
        <w:t xml:space="preserve"> a statistical life analysis </w:t>
      </w:r>
      <w:r w:rsidR="00C02D76">
        <w:t>is</w:t>
      </w:r>
      <w:r w:rsidRPr="00860941">
        <w:t xml:space="preserve"> required by the </w:t>
      </w:r>
      <w:r w:rsidR="00C02D76">
        <w:t xml:space="preserve">depreciation </w:t>
      </w:r>
      <w:r w:rsidRPr="00860941">
        <w:t>rule</w:t>
      </w:r>
      <w:r w:rsidR="00C02D76">
        <w:t>, but was not included in the 2025 Study</w:t>
      </w:r>
      <w:r w:rsidRPr="00860941">
        <w:t>.</w:t>
      </w:r>
      <w:r w:rsidR="00C42210" w:rsidRPr="00C42210">
        <w:t xml:space="preserve"> </w:t>
      </w:r>
      <w:r w:rsidR="00C42210" w:rsidRPr="00317F25">
        <w:t xml:space="preserve">OPC </w:t>
      </w:r>
      <w:r w:rsidR="00C42210">
        <w:t>concludes that</w:t>
      </w:r>
      <w:r w:rsidR="00C42210" w:rsidRPr="00317F25">
        <w:t xml:space="preserve"> FCG’s </w:t>
      </w:r>
      <w:r w:rsidR="00C511DE">
        <w:t>request to revise the currently-</w:t>
      </w:r>
      <w:r w:rsidR="00C42210" w:rsidRPr="00317F25">
        <w:t>approved depreciation rat</w:t>
      </w:r>
      <w:r w:rsidR="00C42210">
        <w:t>es and the underlying parameter</w:t>
      </w:r>
      <w:r w:rsidR="00C511DE">
        <w:t>s</w:t>
      </w:r>
      <w:r w:rsidR="00C42210">
        <w:t xml:space="preserve"> is really a request for</w:t>
      </w:r>
      <w:r w:rsidR="00C42210" w:rsidRPr="007E6EAF">
        <w:t xml:space="preserve"> $19.2 million of customer money to boost earnings as a form of rate relief.</w:t>
      </w:r>
      <w:r w:rsidR="00C42210">
        <w:t xml:space="preserve"> </w:t>
      </w:r>
    </w:p>
    <w:p w14:paraId="448AA88E" w14:textId="45345031" w:rsidR="003E6346" w:rsidRDefault="003E6346" w:rsidP="00503A02">
      <w:pPr>
        <w:pStyle w:val="BodyText"/>
        <w:spacing w:after="0"/>
        <w:ind w:firstLine="720"/>
        <w:jc w:val="both"/>
      </w:pPr>
    </w:p>
    <w:p w14:paraId="534BF9D9" w14:textId="101EB775" w:rsidR="003E6346" w:rsidRDefault="003E6346" w:rsidP="003E6346">
      <w:pPr>
        <w:pStyle w:val="BodyText"/>
        <w:spacing w:after="0"/>
        <w:ind w:firstLine="720"/>
        <w:jc w:val="both"/>
      </w:pPr>
      <w:r>
        <w:t xml:space="preserve">At </w:t>
      </w:r>
      <w:r w:rsidRPr="00BA67B2">
        <w:t>the time that FCG submitted its last depreciation study</w:t>
      </w:r>
      <w:r>
        <w:t>, the Company was owned by Florida Power &amp; Light Company. Since December 2023, FCG has become a wholly owned subsidiary of Chesapeake Utilities Corporation (CUC</w:t>
      </w:r>
      <w:r w:rsidRPr="00257644">
        <w:t xml:space="preserve">). FCG claimed that </w:t>
      </w:r>
      <w:r w:rsidR="00C42210">
        <w:t>th</w:t>
      </w:r>
      <w:r w:rsidR="00C511DE">
        <w:t>e</w:t>
      </w:r>
      <w:r w:rsidRPr="00257644">
        <w:t xml:space="preserve"> change</w:t>
      </w:r>
      <w:r w:rsidR="00C42210">
        <w:t xml:space="preserve"> in</w:t>
      </w:r>
      <w:r w:rsidRPr="00257644">
        <w:t xml:space="preserve"> operating environment associated with </w:t>
      </w:r>
      <w:r w:rsidR="00C42210">
        <w:t>new</w:t>
      </w:r>
      <w:r w:rsidRPr="00257644">
        <w:t xml:space="preserve"> ownership and other factors led the Company to identify a need to seek to revise its depreciation rates.</w:t>
      </w:r>
    </w:p>
    <w:p w14:paraId="5C7BEE06" w14:textId="77777777" w:rsidR="0073677D" w:rsidRDefault="0073677D" w:rsidP="00503A02">
      <w:pPr>
        <w:pStyle w:val="BodyText"/>
        <w:spacing w:after="0"/>
        <w:ind w:firstLine="720"/>
        <w:jc w:val="both"/>
      </w:pPr>
    </w:p>
    <w:p w14:paraId="170358BD" w14:textId="045B7629" w:rsidR="0073677D" w:rsidRDefault="0073677D" w:rsidP="0073677D">
      <w:pPr>
        <w:pStyle w:val="BodyText"/>
        <w:spacing w:after="0"/>
        <w:ind w:firstLine="720"/>
        <w:jc w:val="both"/>
      </w:pPr>
      <w:r>
        <w:t xml:space="preserve">As to the timing of this submission, </w:t>
      </w:r>
      <w:r w:rsidRPr="00860941">
        <w:t xml:space="preserve">FCG maintained that </w:t>
      </w:r>
      <w:r w:rsidR="00C511DE">
        <w:t>the depreciation rule</w:t>
      </w:r>
      <w:r w:rsidRPr="00860941">
        <w:t xml:space="preserve"> </w:t>
      </w:r>
      <w:r>
        <w:t xml:space="preserve">neither </w:t>
      </w:r>
      <w:r w:rsidRPr="00860941">
        <w:t>require</w:t>
      </w:r>
      <w:r>
        <w:t>s</w:t>
      </w:r>
      <w:r w:rsidRPr="00860941">
        <w:t xml:space="preserve"> that a gas utility wait five years to file a new study, nor restrict</w:t>
      </w:r>
      <w:r>
        <w:t>s</w:t>
      </w:r>
      <w:r w:rsidRPr="00860941">
        <w:t xml:space="preserve"> the filing of depreciation studies to coincide with a rate case.</w:t>
      </w:r>
      <w:r>
        <w:t xml:space="preserve"> </w:t>
      </w:r>
      <w:r w:rsidRPr="00A03614">
        <w:t>The Company</w:t>
      </w:r>
      <w:r>
        <w:t xml:space="preserve"> claimed that t</w:t>
      </w:r>
      <w:r w:rsidRPr="006100BD">
        <w:t xml:space="preserve">he plain language of the </w:t>
      </w:r>
      <w:r w:rsidR="00C511DE">
        <w:t>depreciation r</w:t>
      </w:r>
      <w:r w:rsidRPr="006100BD">
        <w:t>ule allows a gas utility to file a depreciation study more often than the 5-year minimum</w:t>
      </w:r>
      <w:r>
        <w:t xml:space="preserve">. </w:t>
      </w:r>
    </w:p>
    <w:p w14:paraId="31BCB269" w14:textId="77777777" w:rsidR="00503A02" w:rsidRDefault="00503A02" w:rsidP="00503A02">
      <w:pPr>
        <w:pStyle w:val="BodyText"/>
        <w:spacing w:after="0"/>
        <w:ind w:firstLine="720"/>
        <w:jc w:val="both"/>
      </w:pPr>
    </w:p>
    <w:p w14:paraId="063FDA28" w14:textId="6C5788CE" w:rsidR="001D7896" w:rsidRDefault="00D03E5F" w:rsidP="00177B7D">
      <w:pPr>
        <w:pStyle w:val="BodyText"/>
        <w:spacing w:after="0"/>
        <w:jc w:val="both"/>
      </w:pPr>
      <w:r>
        <w:tab/>
      </w:r>
      <w:r w:rsidR="001D7896">
        <w:t xml:space="preserve">FCG </w:t>
      </w:r>
      <w:r w:rsidR="0073677D">
        <w:t>continued</w:t>
      </w:r>
      <w:r>
        <w:t xml:space="preserve"> </w:t>
      </w:r>
      <w:r w:rsidR="001D7896">
        <w:t xml:space="preserve">that the instant request is justified </w:t>
      </w:r>
      <w:r>
        <w:t xml:space="preserve">at this time </w:t>
      </w:r>
      <w:r w:rsidR="001D7896">
        <w:t>due to change</w:t>
      </w:r>
      <w:r>
        <w:t>d</w:t>
      </w:r>
      <w:r w:rsidR="001D7896">
        <w:t xml:space="preserve"> accoun</w:t>
      </w:r>
      <w:r w:rsidR="00452F75">
        <w:t>ting treatments</w:t>
      </w:r>
      <w:r>
        <w:t>.</w:t>
      </w:r>
      <w:r w:rsidR="0073677D">
        <w:rPr>
          <w:rStyle w:val="FootnoteReference"/>
        </w:rPr>
        <w:footnoteReference w:id="4"/>
      </w:r>
      <w:r>
        <w:t xml:space="preserve"> </w:t>
      </w:r>
      <w:r w:rsidR="001D7896" w:rsidRPr="007E6EAF">
        <w:t xml:space="preserve">FCG </w:t>
      </w:r>
      <w:r w:rsidR="008B2B2D">
        <w:t xml:space="preserve">further </w:t>
      </w:r>
      <w:r w:rsidR="001D7896" w:rsidRPr="007E6EAF">
        <w:t>explained that, as the study neared completion, it became aware that a significant surplus reserve imbalance would likely result from the study, and a 2-year amortization was determined to be the most appropriate timeframe and methodology to resolve the reserve imbalance. FCG indicated that the study completion coincided with adverse financial conditions confronting the Company, including a $4.1 million decrease in net income and a $16.0 million increase in rate base versus the approved rate case amounts</w:t>
      </w:r>
      <w:r w:rsidR="00C511DE">
        <w:t>. T</w:t>
      </w:r>
      <w:r w:rsidR="001D7896" w:rsidRPr="007E6EAF">
        <w:t>he utility had fully utilized $25 million of the RSAM reserve by the end of 2024.</w:t>
      </w:r>
      <w:r w:rsidRPr="00D03E5F">
        <w:t xml:space="preserve"> </w:t>
      </w:r>
      <w:r>
        <w:t>FCG stated that the requested revisions will allow it to maintain earnings within its range</w:t>
      </w:r>
      <w:r w:rsidR="0073677D">
        <w:t xml:space="preserve"> and</w:t>
      </w:r>
      <w:r w:rsidR="001D7896">
        <w:t xml:space="preserve"> more effectively evaluate a potential future </w:t>
      </w:r>
      <w:r w:rsidR="001D7896" w:rsidRPr="00860941">
        <w:t>consolidated depreciation study or rate case.</w:t>
      </w:r>
    </w:p>
    <w:p w14:paraId="49F349FF" w14:textId="77777777" w:rsidR="00503A02" w:rsidRPr="00860941" w:rsidRDefault="00503A02" w:rsidP="00503A02">
      <w:pPr>
        <w:pStyle w:val="BodyText"/>
        <w:spacing w:after="0"/>
        <w:ind w:firstLine="720"/>
        <w:jc w:val="both"/>
      </w:pPr>
    </w:p>
    <w:p w14:paraId="688BDB94" w14:textId="3B22EF7A" w:rsidR="001D7896" w:rsidRDefault="001D7896" w:rsidP="00503A02">
      <w:pPr>
        <w:pStyle w:val="BodyText"/>
        <w:spacing w:after="0"/>
        <w:ind w:firstLine="720"/>
        <w:jc w:val="both"/>
      </w:pPr>
      <w:r w:rsidRPr="00860941">
        <w:t>In FCG’s 2025 Study, book investments of various plant accounts, including all Office Furniture and Equipment, Software, and all Transportation assets, are restated based on proposed new subaccounts. Restated account numbers are based on the new owner’s (CUC’s) standard chart of account</w:t>
      </w:r>
      <w:r>
        <w:t>s</w:t>
      </w:r>
      <w:r w:rsidRPr="00860941">
        <w:t xml:space="preserve"> for all natural gas business units to streamline operations, as presented in Schedule A of the 2025 Study.</w:t>
      </w:r>
      <w:r w:rsidR="00D600EC">
        <w:t xml:space="preserve"> </w:t>
      </w:r>
      <w:r w:rsidRPr="00860941">
        <w:t>Additionally, various accounts are reclassified to the corresponding newly proposed accounts, including: Misc. Intangibles from Account 30302 to Account 3031</w:t>
      </w:r>
      <w:r>
        <w:t>;</w:t>
      </w:r>
      <w:r w:rsidRPr="00860941">
        <w:t xml:space="preserve"> Steel Mains from Account 3761 to Account 3762</w:t>
      </w:r>
      <w:r>
        <w:t>;</w:t>
      </w:r>
      <w:r w:rsidRPr="00860941">
        <w:t xml:space="preserve"> Plastic Mains fr</w:t>
      </w:r>
      <w:r>
        <w:t>om Account 3762 to Account 3761;</w:t>
      </w:r>
      <w:r w:rsidRPr="00860941">
        <w:t xml:space="preserve"> Steel Services fr</w:t>
      </w:r>
      <w:r>
        <w:t>om Account 3801 to Account 3802;</w:t>
      </w:r>
      <w:r w:rsidRPr="00860941">
        <w:t xml:space="preserve"> Plastic Services from Account 3802 to Account 3801</w:t>
      </w:r>
      <w:r>
        <w:t>; and ERTs Meter</w:t>
      </w:r>
      <w:r w:rsidRPr="00860941">
        <w:t xml:space="preserve"> from</w:t>
      </w:r>
      <w:r>
        <w:t xml:space="preserve"> Account</w:t>
      </w:r>
      <w:r w:rsidRPr="00860941">
        <w:t xml:space="preserve"> 3811 to Account 3812. The Company claimed that</w:t>
      </w:r>
      <w:r>
        <w:t xml:space="preserve"> these reclassifications are for consistency across all CUC business units and administrative ease. </w:t>
      </w:r>
    </w:p>
    <w:p w14:paraId="51987DDB" w14:textId="77777777" w:rsidR="00503A02" w:rsidRDefault="00503A02" w:rsidP="00503A02">
      <w:pPr>
        <w:pStyle w:val="BodyText"/>
        <w:spacing w:after="0"/>
        <w:ind w:firstLine="720"/>
        <w:jc w:val="both"/>
      </w:pPr>
    </w:p>
    <w:p w14:paraId="2913A17A" w14:textId="4DD4A94C" w:rsidR="001D7896" w:rsidRDefault="008B2B2D" w:rsidP="00177B7D">
      <w:pPr>
        <w:pStyle w:val="BodyText"/>
        <w:spacing w:after="0"/>
        <w:jc w:val="both"/>
      </w:pPr>
      <w:r>
        <w:lastRenderedPageBreak/>
        <w:tab/>
      </w:r>
      <w:r w:rsidR="001D7896" w:rsidRPr="00263DED">
        <w:t xml:space="preserve">FCG </w:t>
      </w:r>
      <w:r w:rsidR="001D7896">
        <w:t>assert</w:t>
      </w:r>
      <w:r w:rsidR="001D7896" w:rsidRPr="00263DED">
        <w:t xml:space="preserve">s that </w:t>
      </w:r>
      <w:r w:rsidR="00D600EC" w:rsidRPr="00263DED">
        <w:t>a historical life statistical analysis</w:t>
      </w:r>
      <w:r w:rsidR="001D7896" w:rsidRPr="00263DED">
        <w:t xml:space="preserve"> is </w:t>
      </w:r>
      <w:r w:rsidR="001D7896">
        <w:t xml:space="preserve">not </w:t>
      </w:r>
      <w:r w:rsidR="001D7896" w:rsidRPr="00263DED">
        <w:t xml:space="preserve">required by Rule 25-7.045(5), </w:t>
      </w:r>
      <w:r>
        <w:t xml:space="preserve">F.A.C., </w:t>
      </w:r>
      <w:r w:rsidR="00D600EC">
        <w:t>and</w:t>
      </w:r>
      <w:r>
        <w:t xml:space="preserve"> </w:t>
      </w:r>
      <w:r w:rsidR="001D7896" w:rsidRPr="00263DED">
        <w:t xml:space="preserve">that </w:t>
      </w:r>
      <w:r w:rsidR="001D7896">
        <w:t xml:space="preserve">all aspects of its </w:t>
      </w:r>
      <w:r w:rsidR="001766A4">
        <w:t xml:space="preserve">2025 </w:t>
      </w:r>
      <w:r w:rsidR="001D7896">
        <w:t xml:space="preserve">depreciation study </w:t>
      </w:r>
      <w:r w:rsidR="00D600EC">
        <w:t>are consistent with the Rule.</w:t>
      </w:r>
      <w:r w:rsidR="001D7896">
        <w:t xml:space="preserve"> FCG acknowledged that, due to the change of its ownership, it cannot provide complete supporting documentation for activities recorded prior to acquisition and must rely on source records from the prior owners</w:t>
      </w:r>
      <w:r w:rsidR="00D600EC">
        <w:t xml:space="preserve">. FCG relied on </w:t>
      </w:r>
      <w:r w:rsidR="001D7896">
        <w:t xml:space="preserve">continuous property records </w:t>
      </w:r>
      <w:r w:rsidR="00D600EC">
        <w:t>and</w:t>
      </w:r>
      <w:r w:rsidR="001D7896">
        <w:t xml:space="preserve"> provided detailed reconciliations for all accounts with significant variances between the study data and Annual Reports as new, correct information c</w:t>
      </w:r>
      <w:r w:rsidR="00D600EC">
        <w:t>a</w:t>
      </w:r>
      <w:r w:rsidR="001D7896">
        <w:t>m</w:t>
      </w:r>
      <w:r w:rsidR="008F23E1">
        <w:t>e</w:t>
      </w:r>
      <w:r w:rsidR="001D7896">
        <w:t xml:space="preserve"> to light.</w:t>
      </w:r>
      <w:r w:rsidR="0000329A">
        <w:t xml:space="preserve"> FCG asserts that m</w:t>
      </w:r>
      <w:r w:rsidR="001D7896">
        <w:t xml:space="preserve">any </w:t>
      </w:r>
      <w:r w:rsidR="0000329A">
        <w:t xml:space="preserve">of the </w:t>
      </w:r>
      <w:r w:rsidR="001D7896">
        <w:t xml:space="preserve">inconsistencies </w:t>
      </w:r>
      <w:r w:rsidR="0000329A">
        <w:t xml:space="preserve">cited by OPC </w:t>
      </w:r>
      <w:r w:rsidR="001D7896">
        <w:t>were due to timing differences between in-service date and late charges or true-ups related to the project</w:t>
      </w:r>
      <w:r w:rsidR="0000329A">
        <w:t>.</w:t>
      </w:r>
      <w:r w:rsidR="001D7896" w:rsidRPr="00757502">
        <w:t xml:space="preserve"> </w:t>
      </w:r>
    </w:p>
    <w:p w14:paraId="71268A07" w14:textId="77777777" w:rsidR="000429CC" w:rsidRPr="00757502" w:rsidRDefault="000429CC" w:rsidP="000429CC">
      <w:pPr>
        <w:pStyle w:val="BodyText"/>
        <w:spacing w:after="0"/>
        <w:ind w:firstLine="720"/>
        <w:jc w:val="both"/>
      </w:pPr>
    </w:p>
    <w:p w14:paraId="6E8A1E09" w14:textId="77777777" w:rsidR="001D7896" w:rsidRDefault="000429CC" w:rsidP="00DC4ECB">
      <w:pPr>
        <w:pStyle w:val="BodyText"/>
        <w:spacing w:after="0"/>
        <w:ind w:firstLine="720"/>
        <w:jc w:val="both"/>
        <w:rPr>
          <w:b/>
        </w:rPr>
      </w:pPr>
      <w:r>
        <w:rPr>
          <w:b/>
        </w:rPr>
        <w:t>Analysis</w:t>
      </w:r>
    </w:p>
    <w:p w14:paraId="43AF23E6" w14:textId="77777777" w:rsidR="000429CC" w:rsidRPr="000429CC" w:rsidRDefault="000429CC" w:rsidP="00AC29C3">
      <w:pPr>
        <w:pStyle w:val="BodyText"/>
        <w:spacing w:after="0"/>
        <w:jc w:val="both"/>
        <w:rPr>
          <w:b/>
        </w:rPr>
      </w:pPr>
    </w:p>
    <w:p w14:paraId="64AC39C9" w14:textId="5004E605" w:rsidR="008F23E1" w:rsidRDefault="001D7896" w:rsidP="008B2B2D">
      <w:pPr>
        <w:ind w:firstLine="720"/>
        <w:jc w:val="both"/>
      </w:pPr>
      <w:r>
        <w:t>OPC</w:t>
      </w:r>
      <w:r w:rsidR="00C42210">
        <w:t>’s post-hearing brief</w:t>
      </w:r>
      <w:r>
        <w:t xml:space="preserve"> reasserted several arguments regarding </w:t>
      </w:r>
      <w:r w:rsidR="00C42210">
        <w:t xml:space="preserve">our </w:t>
      </w:r>
      <w:r>
        <w:t>jurisdiction over this matter. Because</w:t>
      </w:r>
      <w:r w:rsidR="00C42210">
        <w:t xml:space="preserve"> we </w:t>
      </w:r>
      <w:r>
        <w:t xml:space="preserve">have </w:t>
      </w:r>
      <w:r w:rsidR="00C42210">
        <w:t>previously c</w:t>
      </w:r>
      <w:r>
        <w:t xml:space="preserve">onsidered and rejected </w:t>
      </w:r>
      <w:r w:rsidR="00C42210">
        <w:t>these arguments</w:t>
      </w:r>
      <w:r w:rsidR="003D7765">
        <w:t>, some of them twice, we find</w:t>
      </w:r>
      <w:r w:rsidR="00452F75">
        <w:t xml:space="preserve"> no further </w:t>
      </w:r>
      <w:r>
        <w:t>analysis is required.</w:t>
      </w:r>
      <w:r>
        <w:rPr>
          <w:rStyle w:val="FootnoteReference"/>
        </w:rPr>
        <w:footnoteReference w:id="5"/>
      </w:r>
      <w:r w:rsidR="008F23E1" w:rsidRPr="008F23E1">
        <w:t xml:space="preserve"> </w:t>
      </w:r>
      <w:r w:rsidR="008F23E1">
        <w:t>We will not reiterate any legal issues and argument that were disposed of in the prior orders but, rather, will address the merits of FCG’s current request.</w:t>
      </w:r>
    </w:p>
    <w:p w14:paraId="33C696EB" w14:textId="77777777" w:rsidR="008F23E1" w:rsidRDefault="008F23E1" w:rsidP="008B2B2D">
      <w:pPr>
        <w:ind w:firstLine="720"/>
        <w:jc w:val="both"/>
      </w:pPr>
    </w:p>
    <w:p w14:paraId="1CC46430" w14:textId="22030695" w:rsidR="008B2B2D" w:rsidRDefault="00F34C1C" w:rsidP="008B2B2D">
      <w:pPr>
        <w:ind w:firstLine="720"/>
        <w:jc w:val="both"/>
      </w:pPr>
      <w:r>
        <w:t>FCG has alleged that circumstances have changed from its last proceeding before the Commission, and these changes in circumstances warrant a revision to its depreciation rates.</w:t>
      </w:r>
      <w:r w:rsidR="00ED66E7">
        <w:t xml:space="preserve"> We agree. Rather than establishing a schedule or definitive cycle, t</w:t>
      </w:r>
      <w:r w:rsidR="008F23E1">
        <w:t xml:space="preserve">he depreciation rule sets five years as the maximum period that a company may take between depreciation studies. </w:t>
      </w:r>
      <w:r w:rsidR="00ED66E7">
        <w:t>Stated differently, the depreciation rule</w:t>
      </w:r>
      <w:r w:rsidR="008F23E1">
        <w:t xml:space="preserve"> does not mandate that a company take the entire five years between every study.</w:t>
      </w:r>
      <w:r>
        <w:t xml:space="preserve"> Indeed</w:t>
      </w:r>
      <w:r w:rsidR="008F23E1">
        <w:t>, by requiring that a company include</w:t>
      </w:r>
      <w:r>
        <w:t xml:space="preserve"> a narrative that describes the factors that lead to an application for a </w:t>
      </w:r>
      <w:r w:rsidR="008F23E1">
        <w:t xml:space="preserve">revision in depreciation rates, the depreciation </w:t>
      </w:r>
      <w:r w:rsidR="003F547B">
        <w:t xml:space="preserve">rule </w:t>
      </w:r>
      <w:r w:rsidR="008F23E1">
        <w:t xml:space="preserve">contemplates </w:t>
      </w:r>
      <w:r w:rsidR="00ED66E7">
        <w:t>intermittent filings based on current circumstances.</w:t>
      </w:r>
      <w:r w:rsidR="00ED66E7" w:rsidRPr="00ED66E7">
        <w:t xml:space="preserve"> </w:t>
      </w:r>
      <w:r w:rsidR="00ED66E7">
        <w:t>We find that</w:t>
      </w:r>
      <w:r w:rsidR="00ED66E7" w:rsidRPr="00863A8D">
        <w:t xml:space="preserve"> FCG’s ownership, plant activities, accounting procedures</w:t>
      </w:r>
      <w:r w:rsidR="00ED66E7">
        <w:t>, and</w:t>
      </w:r>
      <w:r w:rsidR="00ED66E7" w:rsidRPr="00863A8D">
        <w:t xml:space="preserve"> </w:t>
      </w:r>
      <w:r w:rsidR="00ED66E7">
        <w:t>assets’ life</w:t>
      </w:r>
      <w:r w:rsidR="00ED66E7" w:rsidRPr="00863A8D">
        <w:t xml:space="preserve"> and net salvage projections for various accounts</w:t>
      </w:r>
      <w:r w:rsidR="00ED66E7">
        <w:t xml:space="preserve"> have changed </w:t>
      </w:r>
      <w:r w:rsidR="00ED66E7" w:rsidRPr="00863A8D">
        <w:t>since its last depreciation study</w:t>
      </w:r>
      <w:r w:rsidR="00ED66E7">
        <w:t>, and that the timing of the 2025 Study is justified by these changed circumstances.</w:t>
      </w:r>
      <w:r w:rsidR="00ED66E7">
        <w:rPr>
          <w:rStyle w:val="FootnoteReference"/>
        </w:rPr>
        <w:footnoteReference w:id="6"/>
      </w:r>
    </w:p>
    <w:p w14:paraId="0DE38E4F" w14:textId="77777777" w:rsidR="008B2B2D" w:rsidRDefault="008B2B2D" w:rsidP="008B2B2D">
      <w:pPr>
        <w:ind w:firstLine="720"/>
        <w:jc w:val="both"/>
      </w:pPr>
    </w:p>
    <w:p w14:paraId="2DF2E5C9" w14:textId="70088E5F" w:rsidR="001D7896" w:rsidRDefault="001D7896" w:rsidP="006672E2">
      <w:pPr>
        <w:pStyle w:val="OrderBody"/>
        <w:ind w:firstLine="720"/>
      </w:pPr>
      <w:r>
        <w:t>The depreciation rule</w:t>
      </w:r>
      <w:r w:rsidRPr="00164643">
        <w:t xml:space="preserve"> prescribes that “upon establishing a new account or subaccount classification, each utility shall request Commission approval of a depreciation rate for the new plant category.”</w:t>
      </w:r>
      <w:r>
        <w:t xml:space="preserve"> OPC </w:t>
      </w:r>
      <w:r w:rsidR="00F34C1C">
        <w:t>contends that</w:t>
      </w:r>
      <w:r>
        <w:t xml:space="preserve"> FCG did not provide the support </w:t>
      </w:r>
      <w:r w:rsidR="00F34C1C">
        <w:t xml:space="preserve">for its study that is </w:t>
      </w:r>
      <w:r>
        <w:t>required by the rule</w:t>
      </w:r>
      <w:r w:rsidR="00F34C1C">
        <w:t xml:space="preserve">, </w:t>
      </w:r>
      <w:r w:rsidR="00B074DB">
        <w:t xml:space="preserve">argues that the study is incomplete and contains errors, </w:t>
      </w:r>
      <w:r w:rsidR="00F34C1C">
        <w:t>and requests that we</w:t>
      </w:r>
      <w:r>
        <w:t xml:space="preserve"> </w:t>
      </w:r>
      <w:r w:rsidR="00607BFB">
        <w:t>disregard</w:t>
      </w:r>
      <w:r>
        <w:t xml:space="preserve"> the depreciation study in its entirety. </w:t>
      </w:r>
      <w:r w:rsidR="00BC771F">
        <w:t>We have</w:t>
      </w:r>
      <w:r w:rsidRPr="00757502">
        <w:t xml:space="preserve"> reviewed FCG’s explanations</w:t>
      </w:r>
      <w:r>
        <w:t>,</w:t>
      </w:r>
      <w:r w:rsidRPr="00757502">
        <w:t xml:space="preserve"> data reconciliations</w:t>
      </w:r>
      <w:r>
        <w:t>,</w:t>
      </w:r>
      <w:r w:rsidRPr="00757502">
        <w:t xml:space="preserve"> and corrections regarding OPC’s </w:t>
      </w:r>
      <w:r w:rsidR="0027211B" w:rsidRPr="00757502">
        <w:t xml:space="preserve">assertions </w:t>
      </w:r>
      <w:r w:rsidR="00457BB8">
        <w:t>that there are</w:t>
      </w:r>
      <w:r w:rsidR="0027211B" w:rsidRPr="00757502">
        <w:t xml:space="preserve"> inconsistencies between FCG’s 2025 Study data and its audited annual report</w:t>
      </w:r>
      <w:r w:rsidRPr="00757502">
        <w:t>, and consider them to be reasonable.</w:t>
      </w:r>
    </w:p>
    <w:p w14:paraId="5A661EEB" w14:textId="77777777" w:rsidR="001D7896" w:rsidRDefault="001D7896" w:rsidP="00AC29C3">
      <w:pPr>
        <w:pStyle w:val="OrderBody"/>
      </w:pPr>
    </w:p>
    <w:p w14:paraId="2C75191B" w14:textId="20EB2891" w:rsidR="0027211B" w:rsidRDefault="0027211B" w:rsidP="00177B7D">
      <w:pPr>
        <w:pStyle w:val="BodyText"/>
        <w:spacing w:after="0"/>
        <w:ind w:firstLine="720"/>
        <w:jc w:val="both"/>
      </w:pPr>
      <w:r w:rsidRPr="00164643">
        <w:lastRenderedPageBreak/>
        <w:t>Rule 25-7.045(3)(b), F.A.C.</w:t>
      </w:r>
      <w:r>
        <w:t xml:space="preserve">, </w:t>
      </w:r>
      <w:r w:rsidRPr="00164643">
        <w:t>prescribes that “upon establishing a new account or subaccount classification, each utility shall request Commission approval of a depreciation rate for the new plant category.”</w:t>
      </w:r>
      <w:r>
        <w:t xml:space="preserve"> We find</w:t>
      </w:r>
      <w:r w:rsidRPr="00164643">
        <w:t xml:space="preserve"> that</w:t>
      </w:r>
      <w:r>
        <w:t>, absent the Company filing its 2025 Depreciation Study as it did,</w:t>
      </w:r>
      <w:r w:rsidRPr="00773E86">
        <w:t xml:space="preserve"> a depreciation revision filing</w:t>
      </w:r>
      <w:r w:rsidRPr="00164643">
        <w:t xml:space="preserve"> regarding the proposed new subaccounts, restatements and reclassifications, would have been necessary to comply with Rule 25-7.045(3)(b), F.A.C.</w:t>
      </w:r>
    </w:p>
    <w:p w14:paraId="594755CC" w14:textId="77777777" w:rsidR="0027211B" w:rsidRDefault="0027211B" w:rsidP="006672E2">
      <w:pPr>
        <w:pStyle w:val="OrderBody"/>
        <w:ind w:firstLine="720"/>
      </w:pPr>
    </w:p>
    <w:p w14:paraId="40E53553" w14:textId="77777777" w:rsidR="00B074DB" w:rsidRDefault="00B074DB" w:rsidP="00B074DB">
      <w:pPr>
        <w:ind w:firstLine="720"/>
        <w:rPr>
          <w:b/>
        </w:rPr>
      </w:pPr>
      <w:r w:rsidRPr="000429CC">
        <w:rPr>
          <w:b/>
        </w:rPr>
        <w:t>C</w:t>
      </w:r>
      <w:r>
        <w:rPr>
          <w:b/>
        </w:rPr>
        <w:t>onclusion</w:t>
      </w:r>
    </w:p>
    <w:p w14:paraId="4121BE11" w14:textId="77777777" w:rsidR="00B074DB" w:rsidRDefault="00B074DB" w:rsidP="006672E2">
      <w:pPr>
        <w:pStyle w:val="OrderBody"/>
        <w:ind w:firstLine="720"/>
      </w:pPr>
    </w:p>
    <w:p w14:paraId="5FEE7292" w14:textId="0BD66522" w:rsidR="001D7896" w:rsidRDefault="0027211B" w:rsidP="006672E2">
      <w:pPr>
        <w:pStyle w:val="OrderBody"/>
        <w:ind w:firstLine="720"/>
      </w:pPr>
      <w:r>
        <w:t>Based on</w:t>
      </w:r>
      <w:r w:rsidR="003D7765">
        <w:t xml:space="preserve"> our</w:t>
      </w:r>
      <w:r w:rsidR="001D7896">
        <w:t xml:space="preserve"> review of </w:t>
      </w:r>
      <w:r w:rsidR="00342747">
        <w:t>the record</w:t>
      </w:r>
      <w:r w:rsidR="001D7896" w:rsidRPr="00863A8D">
        <w:t xml:space="preserve">, </w:t>
      </w:r>
      <w:r w:rsidR="003D7765">
        <w:t>we find</w:t>
      </w:r>
      <w:r w:rsidR="001D7896">
        <w:t xml:space="preserve"> </w:t>
      </w:r>
      <w:r w:rsidR="00342747">
        <w:t>that the preponderance of evidence -- particularly the evidence regarding changed circumstances cited and discussed above -- demonstrates that FCG’s depreciation rates should be revised.</w:t>
      </w:r>
      <w:r w:rsidR="001D7896">
        <w:t xml:space="preserve"> </w:t>
      </w:r>
      <w:r w:rsidR="00B074DB">
        <w:t xml:space="preserve">We find that the study complies </w:t>
      </w:r>
      <w:r w:rsidR="00342747">
        <w:t>with the timing and filing requirements of</w:t>
      </w:r>
      <w:r w:rsidR="00B074DB">
        <w:t xml:space="preserve"> </w:t>
      </w:r>
      <w:r w:rsidR="00342747">
        <w:t>Rule 25-7.045, F.A.C</w:t>
      </w:r>
      <w:r w:rsidR="00342747" w:rsidRPr="00A44E3C">
        <w:t>.</w:t>
      </w:r>
      <w:r w:rsidR="001D7896" w:rsidRPr="00A44E3C">
        <w:t xml:space="preserve"> </w:t>
      </w:r>
      <w:r w:rsidR="00EE4766">
        <w:t>The revisions to</w:t>
      </w:r>
      <w:r w:rsidR="001D7896" w:rsidRPr="00A44E3C">
        <w:t xml:space="preserve"> FCG’s currently prescribed depreciation rates </w:t>
      </w:r>
      <w:r w:rsidR="00EE4766">
        <w:t>are</w:t>
      </w:r>
      <w:r w:rsidR="001D7896" w:rsidRPr="00A44E3C">
        <w:t xml:space="preserve"> discussed </w:t>
      </w:r>
      <w:r w:rsidR="00B074DB">
        <w:t>below</w:t>
      </w:r>
      <w:r w:rsidR="001D7896">
        <w:t>.</w:t>
      </w:r>
    </w:p>
    <w:p w14:paraId="64093824" w14:textId="77777777" w:rsidR="00B074DB" w:rsidRDefault="00B074DB" w:rsidP="000429CC">
      <w:pPr>
        <w:pStyle w:val="IssueSubsectionHeading"/>
        <w:keepNext/>
        <w:spacing w:after="0"/>
        <w:rPr>
          <w:rFonts w:ascii="Times New Roman" w:hAnsi="Times New Roman" w:cs="Times New Roman"/>
          <w:b w:val="0"/>
          <w:i w:val="0"/>
          <w:iCs w:val="0"/>
        </w:rPr>
      </w:pPr>
    </w:p>
    <w:p w14:paraId="264BE1AE" w14:textId="3250E260" w:rsidR="00784D27" w:rsidRDefault="00403AD7" w:rsidP="000429CC">
      <w:pPr>
        <w:pStyle w:val="IssueSubsectionHeading"/>
        <w:keepNext/>
        <w:spacing w:after="0"/>
        <w:rPr>
          <w:rFonts w:ascii="Times New Roman" w:hAnsi="Times New Roman" w:cs="Times New Roman"/>
          <w:b w:val="0"/>
          <w:i w:val="0"/>
          <w:iCs w:val="0"/>
          <w:u w:val="single"/>
        </w:rPr>
      </w:pPr>
      <w:r>
        <w:rPr>
          <w:rFonts w:ascii="Times New Roman" w:hAnsi="Times New Roman" w:cs="Times New Roman"/>
          <w:b w:val="0"/>
          <w:i w:val="0"/>
          <w:iCs w:val="0"/>
        </w:rPr>
        <w:t>2.</w:t>
      </w:r>
      <w:r>
        <w:rPr>
          <w:rFonts w:ascii="Times New Roman" w:hAnsi="Times New Roman" w:cs="Times New Roman"/>
          <w:b w:val="0"/>
          <w:i w:val="0"/>
          <w:iCs w:val="0"/>
        </w:rPr>
        <w:tab/>
      </w:r>
      <w:r>
        <w:rPr>
          <w:rFonts w:ascii="Times New Roman" w:hAnsi="Times New Roman" w:cs="Times New Roman"/>
          <w:b w:val="0"/>
          <w:i w:val="0"/>
          <w:iCs w:val="0"/>
          <w:u w:val="single"/>
        </w:rPr>
        <w:t>Appropriate Depreciation Parameters and Resulting Rates</w:t>
      </w:r>
    </w:p>
    <w:p w14:paraId="481DA94D" w14:textId="77777777" w:rsidR="000429CC" w:rsidRPr="000429CC" w:rsidRDefault="000429CC" w:rsidP="000429CC">
      <w:pPr>
        <w:pStyle w:val="BodyText"/>
        <w:spacing w:after="0"/>
      </w:pPr>
    </w:p>
    <w:p w14:paraId="34F4C7B0" w14:textId="77777777" w:rsidR="00784D27" w:rsidRDefault="00784D27" w:rsidP="00DC4ECB">
      <w:pPr>
        <w:pStyle w:val="BodyText"/>
        <w:spacing w:after="0"/>
        <w:ind w:firstLine="720"/>
        <w:jc w:val="both"/>
        <w:rPr>
          <w:b/>
          <w:bCs/>
          <w:iCs/>
          <w:szCs w:val="28"/>
        </w:rPr>
      </w:pPr>
      <w:r w:rsidRPr="000429CC">
        <w:rPr>
          <w:b/>
          <w:bCs/>
          <w:iCs/>
          <w:szCs w:val="28"/>
        </w:rPr>
        <w:t>Overview</w:t>
      </w:r>
    </w:p>
    <w:p w14:paraId="2D9D872D" w14:textId="77777777" w:rsidR="000429CC" w:rsidRPr="000429CC" w:rsidRDefault="000429CC" w:rsidP="00AC29C3">
      <w:pPr>
        <w:pStyle w:val="BodyText"/>
        <w:spacing w:after="0"/>
        <w:jc w:val="both"/>
        <w:rPr>
          <w:b/>
          <w:bCs/>
          <w:iCs/>
          <w:szCs w:val="28"/>
        </w:rPr>
      </w:pPr>
    </w:p>
    <w:p w14:paraId="0F5793D4" w14:textId="5FE84A1D" w:rsidR="001D7896" w:rsidRDefault="00B074DB" w:rsidP="006672E2">
      <w:pPr>
        <w:pStyle w:val="OrderBody"/>
        <w:ind w:firstLine="720"/>
      </w:pPr>
      <w:r>
        <w:t>We now turn to</w:t>
      </w:r>
      <w:r w:rsidR="00784D27" w:rsidRPr="008D03E9">
        <w:t xml:space="preserve"> the depreciation parameters and resulting depreciation rates for </w:t>
      </w:r>
      <w:r w:rsidR="00784D27">
        <w:t>FCG</w:t>
      </w:r>
      <w:r w:rsidR="00784D27" w:rsidRPr="008D03E9">
        <w:t xml:space="preserve">’s </w:t>
      </w:r>
      <w:r w:rsidR="00784D27" w:rsidRPr="006D69A9">
        <w:t xml:space="preserve">depreciable </w:t>
      </w:r>
      <w:r w:rsidR="00784D27">
        <w:t xml:space="preserve">plant accounts. </w:t>
      </w:r>
      <w:r w:rsidR="00E6761A">
        <w:t>D</w:t>
      </w:r>
      <w:r w:rsidR="00784D27" w:rsidRPr="00700E09">
        <w:t>epreciation parameters include an average service life (ASL), a curve shape, an average remaining life (ARL), and an average future net salvage percentage (NS) for each depreciable account.</w:t>
      </w:r>
      <w:r w:rsidR="00784D27" w:rsidRPr="00700E09">
        <w:rPr>
          <w:rStyle w:val="FootnoteReference"/>
        </w:rPr>
        <w:footnoteReference w:id="7"/>
      </w:r>
      <w:r w:rsidR="00784D27" w:rsidRPr="00700E09">
        <w:t xml:space="preserve"> The combination of these parameters and the net plant investment of the account can be used to provide an account-specific depreciation rate on a going-forward basis, which</w:t>
      </w:r>
      <w:r w:rsidR="00784D27" w:rsidRPr="004A50FF">
        <w:t xml:space="preserve"> is </w:t>
      </w:r>
      <w:r w:rsidR="00784D27" w:rsidRPr="00354D23">
        <w:t xml:space="preserve">also referred to as </w:t>
      </w:r>
      <w:r w:rsidR="00784D27">
        <w:t xml:space="preserve">the remaining life </w:t>
      </w:r>
      <w:r w:rsidR="00784D27" w:rsidRPr="004A50FF">
        <w:t xml:space="preserve">depreciation rate (depreciation rate). This depreciation rate is designed to recover the remaining unrecovered plant balance, or investment, over the remaining life of the associated investment in the account. The formula for the remaining life depreciation rate is prescribed in </w:t>
      </w:r>
      <w:r w:rsidR="0009607F">
        <w:t>our</w:t>
      </w:r>
      <w:r w:rsidR="00784D27" w:rsidRPr="004A50FF">
        <w:t xml:space="preserve"> depreciation rule.</w:t>
      </w:r>
      <w:r w:rsidR="00784D27">
        <w:rPr>
          <w:rStyle w:val="FootnoteReference"/>
        </w:rPr>
        <w:footnoteReference w:id="8"/>
      </w:r>
    </w:p>
    <w:p w14:paraId="2DCEF49F" w14:textId="77777777" w:rsidR="001D7896" w:rsidRDefault="001D7896">
      <w:pPr>
        <w:pStyle w:val="OrderBody"/>
      </w:pPr>
    </w:p>
    <w:p w14:paraId="778B51F9" w14:textId="70AAC778" w:rsidR="00784D27" w:rsidRDefault="00784D27" w:rsidP="00503A02">
      <w:pPr>
        <w:pStyle w:val="BodyText"/>
        <w:spacing w:after="0"/>
        <w:ind w:firstLine="720"/>
        <w:jc w:val="both"/>
      </w:pPr>
      <w:r w:rsidRPr="0096138C">
        <w:t xml:space="preserve">For each plant account, </w:t>
      </w:r>
      <w:r>
        <w:t>F</w:t>
      </w:r>
      <w:r w:rsidRPr="0096138C">
        <w:t>C</w:t>
      </w:r>
      <w:r>
        <w:t>G</w:t>
      </w:r>
      <w:r w:rsidRPr="0096138C">
        <w:t xml:space="preserve"> </w:t>
      </w:r>
      <w:r>
        <w:t xml:space="preserve">witness Lee </w:t>
      </w:r>
      <w:r w:rsidRPr="0096138C">
        <w:t>proposed an A</w:t>
      </w:r>
      <w:r>
        <w:t>S</w:t>
      </w:r>
      <w:r w:rsidRPr="0096138C">
        <w:t>L</w:t>
      </w:r>
      <w:r>
        <w:t xml:space="preserve"> with a</w:t>
      </w:r>
      <w:r w:rsidRPr="0096138C">
        <w:t xml:space="preserve"> curve</w:t>
      </w:r>
      <w:r>
        <w:t xml:space="preserve"> shape (life pattern)</w:t>
      </w:r>
      <w:r w:rsidRPr="0096138C">
        <w:t xml:space="preserve">, </w:t>
      </w:r>
      <w:r>
        <w:t xml:space="preserve">an ARL, </w:t>
      </w:r>
      <w:r w:rsidRPr="0096138C">
        <w:t>a NS</w:t>
      </w:r>
      <w:r>
        <w:t>,</w:t>
      </w:r>
      <w:r w:rsidRPr="0096138C">
        <w:t xml:space="preserve"> and the resulting depreciation rate</w:t>
      </w:r>
      <w:r>
        <w:t xml:space="preserve">, all of </w:t>
      </w:r>
      <w:r w:rsidRPr="0096138C">
        <w:t xml:space="preserve">which are detailed in </w:t>
      </w:r>
      <w:r>
        <w:t>F</w:t>
      </w:r>
      <w:r w:rsidRPr="0096138C">
        <w:t>C</w:t>
      </w:r>
      <w:r>
        <w:t>G’s</w:t>
      </w:r>
      <w:r w:rsidRPr="0096138C">
        <w:t xml:space="preserve"> 202</w:t>
      </w:r>
      <w:r>
        <w:t xml:space="preserve">5 Depreciation Study. </w:t>
      </w:r>
    </w:p>
    <w:p w14:paraId="7DB082FC" w14:textId="77777777" w:rsidR="00503A02" w:rsidRDefault="00503A02" w:rsidP="00503A02">
      <w:pPr>
        <w:pStyle w:val="BodyText"/>
        <w:spacing w:after="0"/>
        <w:ind w:firstLine="720"/>
        <w:jc w:val="both"/>
      </w:pPr>
    </w:p>
    <w:p w14:paraId="0E14947F" w14:textId="0CCADADA" w:rsidR="00784D27" w:rsidRDefault="00784D27" w:rsidP="00503A02">
      <w:pPr>
        <w:pStyle w:val="BodyText"/>
        <w:spacing w:after="0"/>
        <w:ind w:firstLine="720"/>
        <w:jc w:val="both"/>
      </w:pPr>
      <w:r w:rsidRPr="00DB205B">
        <w:t>OPC</w:t>
      </w:r>
      <w:r w:rsidR="00D34C73">
        <w:t xml:space="preserve"> </w:t>
      </w:r>
      <w:r w:rsidR="0009607F">
        <w:t>argued</w:t>
      </w:r>
      <w:r w:rsidR="0009607F" w:rsidRPr="00DB205B">
        <w:t xml:space="preserve"> </w:t>
      </w:r>
      <w:r>
        <w:t>that the Company should retain the current approved depreciation parameters and rates for all accounts.</w:t>
      </w:r>
      <w:r w:rsidR="00D34C73">
        <w:t xml:space="preserve"> OPC </w:t>
      </w:r>
      <w:r w:rsidR="0009607F">
        <w:t>asserted that any</w:t>
      </w:r>
      <w:r w:rsidRPr="005471AD">
        <w:t xml:space="preserve"> revis</w:t>
      </w:r>
      <w:r w:rsidR="0009607F">
        <w:t>ions to the</w:t>
      </w:r>
      <w:r w:rsidRPr="005471AD">
        <w:t xml:space="preserve"> currently prescribed depreciation rates for FCG should </w:t>
      </w:r>
      <w:r w:rsidR="0009607F">
        <w:t>be consistent with</w:t>
      </w:r>
      <w:r w:rsidR="0009607F" w:rsidRPr="005471AD">
        <w:t xml:space="preserve"> </w:t>
      </w:r>
      <w:r w:rsidRPr="005471AD">
        <w:t>the recommendation of Staff witness Kunkler</w:t>
      </w:r>
      <w:r w:rsidR="0009607F">
        <w:t xml:space="preserve">. </w:t>
      </w:r>
      <w:r>
        <w:t xml:space="preserve">OPC </w:t>
      </w:r>
      <w:r w:rsidR="00E6761A">
        <w:t>argued</w:t>
      </w:r>
      <w:r w:rsidRPr="00CD58F7">
        <w:t xml:space="preserve"> that FCG’s proposal to transfer the reserve surplus to owners creates a conflict of interest in making the parameter selections used to calcula</w:t>
      </w:r>
      <w:r w:rsidR="00BC771F">
        <w:t xml:space="preserve">te the surplus. </w:t>
      </w:r>
    </w:p>
    <w:p w14:paraId="7E226517" w14:textId="77777777" w:rsidR="00503A02" w:rsidRDefault="00503A02" w:rsidP="00503A02">
      <w:pPr>
        <w:pStyle w:val="BodyText"/>
        <w:spacing w:after="0"/>
        <w:ind w:firstLine="720"/>
        <w:jc w:val="both"/>
      </w:pPr>
    </w:p>
    <w:p w14:paraId="48963FCE" w14:textId="1B886A9B" w:rsidR="0009607F" w:rsidRDefault="00784D27" w:rsidP="00177B7D">
      <w:pPr>
        <w:pStyle w:val="OrderBody"/>
        <w:ind w:firstLine="720"/>
      </w:pPr>
      <w:r w:rsidRPr="00253BB3">
        <w:lastRenderedPageBreak/>
        <w:t xml:space="preserve">As this case evolved, FCG made several revisions to its parameters in response to data requests and discovery. </w:t>
      </w:r>
      <w:r w:rsidR="00687FB7">
        <w:t>Commission staff w</w:t>
      </w:r>
      <w:r>
        <w:t xml:space="preserve">itness Kunkler provided testimony on </w:t>
      </w:r>
      <w:r w:rsidRPr="00B359B1">
        <w:rPr>
          <w:rFonts w:eastAsia="InvisibleOCR"/>
        </w:rPr>
        <w:t>alternative depreciation parameters applicable to certain depreciable plant accounts contained in FCG</w:t>
      </w:r>
      <w:r>
        <w:rPr>
          <w:rFonts w:eastAsia="InvisibleOCR"/>
        </w:rPr>
        <w:t>’</w:t>
      </w:r>
      <w:r w:rsidRPr="00B359B1">
        <w:rPr>
          <w:rFonts w:eastAsia="InvisibleOCR"/>
        </w:rPr>
        <w:t>s 2025 Depreciation Study. The</w:t>
      </w:r>
      <w:r w:rsidR="0009607F">
        <w:rPr>
          <w:rFonts w:eastAsia="InvisibleOCR"/>
        </w:rPr>
        <w:t>se</w:t>
      </w:r>
      <w:r w:rsidRPr="00B359B1">
        <w:rPr>
          <w:rFonts w:eastAsia="InvisibleOCR"/>
        </w:rPr>
        <w:t xml:space="preserve"> alternative parameters included a different Iowa curve shape for Account 3762: Mains-Steel, and a lower net salvage factor for Account 3762: Mains-Steel and</w:t>
      </w:r>
      <w:r>
        <w:rPr>
          <w:rFonts w:eastAsia="InvisibleOCR"/>
        </w:rPr>
        <w:t xml:space="preserve"> </w:t>
      </w:r>
      <w:r w:rsidRPr="00B359B1">
        <w:rPr>
          <w:rFonts w:eastAsia="InvisibleOCR"/>
        </w:rPr>
        <w:t>Account 3801: Services-Plastic</w:t>
      </w:r>
      <w:r w:rsidR="0009607F">
        <w:rPr>
          <w:rFonts w:eastAsia="InvisibleOCR"/>
        </w:rPr>
        <w:t>. These alternative parameters</w:t>
      </w:r>
      <w:r w:rsidRPr="00B359B1">
        <w:rPr>
          <w:rFonts w:eastAsia="InvisibleOCR"/>
        </w:rPr>
        <w:t xml:space="preserve"> are supported by the Company</w:t>
      </w:r>
      <w:r>
        <w:rPr>
          <w:rFonts w:eastAsia="InvisibleOCR"/>
        </w:rPr>
        <w:t>’</w:t>
      </w:r>
      <w:r w:rsidRPr="00B359B1">
        <w:rPr>
          <w:rFonts w:eastAsia="InvisibleOCR"/>
        </w:rPr>
        <w:t>s historical retirement and salvage</w:t>
      </w:r>
      <w:r>
        <w:rPr>
          <w:rFonts w:eastAsia="InvisibleOCR"/>
        </w:rPr>
        <w:t xml:space="preserve"> data. These two accounts</w:t>
      </w:r>
      <w:r>
        <w:t xml:space="preserve"> are the second and third-largest accounts by plant investment, and together constitute nearly 40 percent of the Company’s total plant investment.</w:t>
      </w:r>
      <w:r>
        <w:rPr>
          <w:rStyle w:val="FootnoteReference"/>
        </w:rPr>
        <w:footnoteReference w:id="9"/>
      </w:r>
    </w:p>
    <w:p w14:paraId="5061715D" w14:textId="5EAB1934" w:rsidR="00503A02" w:rsidRDefault="00503A02" w:rsidP="00177B7D">
      <w:pPr>
        <w:pStyle w:val="OrderBody"/>
        <w:ind w:firstLine="720"/>
      </w:pPr>
    </w:p>
    <w:p w14:paraId="5D4AB46D" w14:textId="71791488" w:rsidR="00784D27" w:rsidRDefault="00E4006C" w:rsidP="000429CC">
      <w:pPr>
        <w:pStyle w:val="First-LevelSubheading"/>
        <w:ind w:firstLine="720"/>
        <w:rPr>
          <w:rFonts w:ascii="Times New Roman" w:hAnsi="Times New Roman" w:cs="Times New Roman"/>
        </w:rPr>
      </w:pPr>
      <w:r>
        <w:rPr>
          <w:rFonts w:ascii="Times New Roman" w:hAnsi="Times New Roman" w:cs="Times New Roman"/>
        </w:rPr>
        <w:t xml:space="preserve">A.   </w:t>
      </w:r>
      <w:r w:rsidR="00784D27" w:rsidRPr="000429CC">
        <w:rPr>
          <w:rFonts w:ascii="Times New Roman" w:hAnsi="Times New Roman" w:cs="Times New Roman"/>
        </w:rPr>
        <w:t>Curve Shape for Account 3762: Mains-Steel</w:t>
      </w:r>
      <w:r w:rsidR="00784D27" w:rsidRPr="000429CC">
        <w:rPr>
          <w:rStyle w:val="FootnoteReference"/>
          <w:rFonts w:ascii="Times New Roman" w:hAnsi="Times New Roman" w:cs="Times New Roman"/>
        </w:rPr>
        <w:footnoteReference w:id="10"/>
      </w:r>
    </w:p>
    <w:p w14:paraId="15F8A652" w14:textId="77777777" w:rsidR="000429CC" w:rsidRPr="000429CC" w:rsidRDefault="000429CC" w:rsidP="000429CC">
      <w:pPr>
        <w:pStyle w:val="BodyText"/>
        <w:spacing w:after="0"/>
      </w:pPr>
    </w:p>
    <w:p w14:paraId="7F1160C4" w14:textId="32E475F1" w:rsidR="00784D27" w:rsidRDefault="00784D27" w:rsidP="00503A02">
      <w:pPr>
        <w:pStyle w:val="IssueHeading"/>
        <w:spacing w:after="0"/>
        <w:ind w:firstLine="720"/>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Account 3762</w:t>
      </w:r>
      <w:r w:rsidRPr="00BB6A1B">
        <w:rPr>
          <w:rFonts w:ascii="Times New Roman" w:hAnsi="Times New Roman" w:cs="Times New Roman"/>
          <w:b w:val="0"/>
          <w:bCs w:val="0"/>
          <w:i w:val="0"/>
          <w:kern w:val="0"/>
          <w:szCs w:val="24"/>
        </w:rPr>
        <w:t xml:space="preserve"> includes the </w:t>
      </w:r>
      <w:r>
        <w:rPr>
          <w:rFonts w:ascii="Times New Roman" w:hAnsi="Times New Roman" w:cs="Times New Roman"/>
          <w:b w:val="0"/>
          <w:bCs w:val="0"/>
          <w:i w:val="0"/>
          <w:kern w:val="0"/>
          <w:szCs w:val="24"/>
        </w:rPr>
        <w:t>cost</w:t>
      </w:r>
      <w:r w:rsidRPr="00BB6A1B">
        <w:rPr>
          <w:rFonts w:ascii="Times New Roman" w:hAnsi="Times New Roman" w:cs="Times New Roman"/>
          <w:b w:val="0"/>
          <w:bCs w:val="0"/>
          <w:i w:val="0"/>
          <w:kern w:val="0"/>
          <w:szCs w:val="24"/>
        </w:rPr>
        <w:t xml:space="preserve"> of FCG’s steel distribution mains and related</w:t>
      </w:r>
      <w:r>
        <w:rPr>
          <w:rFonts w:ascii="Times New Roman" w:hAnsi="Times New Roman" w:cs="Times New Roman"/>
          <w:b w:val="0"/>
          <w:bCs w:val="0"/>
          <w:i w:val="0"/>
          <w:kern w:val="0"/>
          <w:szCs w:val="24"/>
        </w:rPr>
        <w:t xml:space="preserve"> components. This account is the C</w:t>
      </w:r>
      <w:r w:rsidRPr="00BB6A1B">
        <w:rPr>
          <w:rFonts w:ascii="Times New Roman" w:hAnsi="Times New Roman" w:cs="Times New Roman"/>
          <w:b w:val="0"/>
          <w:bCs w:val="0"/>
          <w:i w:val="0"/>
          <w:kern w:val="0"/>
          <w:szCs w:val="24"/>
        </w:rPr>
        <w:t xml:space="preserve">ompany’s second largest account by plant investment. </w:t>
      </w:r>
      <w:r>
        <w:rPr>
          <w:rFonts w:ascii="Times New Roman" w:hAnsi="Times New Roman" w:cs="Times New Roman"/>
          <w:b w:val="0"/>
          <w:bCs w:val="0"/>
          <w:i w:val="0"/>
          <w:kern w:val="0"/>
          <w:szCs w:val="24"/>
        </w:rPr>
        <w:t xml:space="preserve">As of </w:t>
      </w:r>
      <w:r w:rsidRPr="006C59F5">
        <w:rPr>
          <w:rFonts w:ascii="Times New Roman" w:hAnsi="Times New Roman" w:cs="Times New Roman"/>
          <w:b w:val="0"/>
          <w:bCs w:val="0"/>
          <w:i w:val="0"/>
          <w:kern w:val="0"/>
          <w:szCs w:val="24"/>
        </w:rPr>
        <w:t>January 1, 2025</w:t>
      </w:r>
      <w:r>
        <w:rPr>
          <w:rFonts w:ascii="Times New Roman" w:hAnsi="Times New Roman" w:cs="Times New Roman"/>
          <w:b w:val="0"/>
          <w:bCs w:val="0"/>
          <w:i w:val="0"/>
          <w:kern w:val="0"/>
          <w:szCs w:val="24"/>
        </w:rPr>
        <w:t>,</w:t>
      </w:r>
      <w:r w:rsidRPr="006C59F5">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 xml:space="preserve">the </w:t>
      </w:r>
      <w:r w:rsidRPr="006C59F5">
        <w:rPr>
          <w:rFonts w:ascii="Times New Roman" w:hAnsi="Times New Roman" w:cs="Times New Roman"/>
          <w:b w:val="0"/>
          <w:bCs w:val="0"/>
          <w:i w:val="0"/>
          <w:kern w:val="0"/>
          <w:szCs w:val="24"/>
        </w:rPr>
        <w:t>investment and</w:t>
      </w:r>
      <w:r>
        <w:rPr>
          <w:rFonts w:ascii="Times New Roman" w:hAnsi="Times New Roman" w:cs="Times New Roman"/>
          <w:b w:val="0"/>
          <w:bCs w:val="0"/>
          <w:i w:val="0"/>
          <w:kern w:val="0"/>
          <w:szCs w:val="24"/>
        </w:rPr>
        <w:t xml:space="preserve"> </w:t>
      </w:r>
      <w:r w:rsidRPr="006C59F5">
        <w:rPr>
          <w:rFonts w:ascii="Times New Roman" w:hAnsi="Times New Roman" w:cs="Times New Roman"/>
          <w:b w:val="0"/>
          <w:bCs w:val="0"/>
          <w:i w:val="0"/>
          <w:kern w:val="0"/>
          <w:szCs w:val="24"/>
        </w:rPr>
        <w:t>restated reserve ba</w:t>
      </w:r>
      <w:r>
        <w:rPr>
          <w:rFonts w:ascii="Times New Roman" w:hAnsi="Times New Roman" w:cs="Times New Roman"/>
          <w:b w:val="0"/>
          <w:bCs w:val="0"/>
          <w:i w:val="0"/>
          <w:kern w:val="0"/>
          <w:szCs w:val="24"/>
        </w:rPr>
        <w:t>lances are $143,280,076 and $61,968,633, respectively</w:t>
      </w:r>
      <w:r w:rsidR="00E22230">
        <w:rPr>
          <w:rFonts w:ascii="Times New Roman" w:hAnsi="Times New Roman" w:cs="Times New Roman"/>
          <w:b w:val="0"/>
          <w:bCs w:val="0"/>
          <w:i w:val="0"/>
          <w:kern w:val="0"/>
          <w:szCs w:val="24"/>
        </w:rPr>
        <w:t>. T</w:t>
      </w:r>
      <w:r>
        <w:rPr>
          <w:rFonts w:ascii="Times New Roman" w:hAnsi="Times New Roman" w:cs="Times New Roman"/>
          <w:b w:val="0"/>
          <w:bCs w:val="0"/>
          <w:i w:val="0"/>
          <w:kern w:val="0"/>
          <w:szCs w:val="24"/>
        </w:rPr>
        <w:t>he average age of the account’s surviving investments is 21.7 years.</w:t>
      </w:r>
      <w:r w:rsidRPr="006C59F5">
        <w:t xml:space="preserve"> </w:t>
      </w:r>
      <w:r w:rsidRPr="00A97BAC">
        <w:rPr>
          <w:rFonts w:ascii="Times New Roman" w:hAnsi="Times New Roman" w:cs="Times New Roman"/>
          <w:b w:val="0"/>
          <w:bCs w:val="0"/>
          <w:i w:val="0"/>
          <w:kern w:val="0"/>
          <w:szCs w:val="24"/>
        </w:rPr>
        <w:t>For this account,</w:t>
      </w:r>
      <w:r>
        <w:rPr>
          <w:b w:val="0"/>
          <w:i w:val="0"/>
        </w:rPr>
        <w:t xml:space="preserve"> </w:t>
      </w:r>
      <w:r>
        <w:rPr>
          <w:rFonts w:ascii="Times New Roman" w:hAnsi="Times New Roman" w:cs="Times New Roman"/>
          <w:b w:val="0"/>
          <w:bCs w:val="0"/>
          <w:i w:val="0"/>
          <w:kern w:val="0"/>
          <w:szCs w:val="24"/>
        </w:rPr>
        <w:t>t</w:t>
      </w:r>
      <w:r w:rsidRPr="006C59F5">
        <w:rPr>
          <w:rFonts w:ascii="Times New Roman" w:hAnsi="Times New Roman" w:cs="Times New Roman"/>
          <w:b w:val="0"/>
          <w:bCs w:val="0"/>
          <w:i w:val="0"/>
          <w:kern w:val="0"/>
          <w:szCs w:val="24"/>
        </w:rPr>
        <w:t xml:space="preserve">he </w:t>
      </w:r>
      <w:r>
        <w:rPr>
          <w:rFonts w:ascii="Times New Roman" w:hAnsi="Times New Roman" w:cs="Times New Roman"/>
          <w:b w:val="0"/>
          <w:bCs w:val="0"/>
          <w:i w:val="0"/>
          <w:kern w:val="0"/>
          <w:szCs w:val="24"/>
        </w:rPr>
        <w:t>life pattern</w:t>
      </w:r>
      <w:r w:rsidRPr="00CE797A">
        <w:rPr>
          <w:rFonts w:ascii="Times New Roman" w:hAnsi="Times New Roman" w:cs="Times New Roman"/>
          <w:b w:val="0"/>
          <w:bCs w:val="0"/>
          <w:i w:val="0"/>
          <w:kern w:val="0"/>
          <w:szCs w:val="24"/>
        </w:rPr>
        <w:t xml:space="preserve"> </w:t>
      </w:r>
      <w:r w:rsidRPr="006C59F5">
        <w:rPr>
          <w:rFonts w:ascii="Times New Roman" w:hAnsi="Times New Roman" w:cs="Times New Roman"/>
          <w:b w:val="0"/>
          <w:bCs w:val="0"/>
          <w:i w:val="0"/>
          <w:kern w:val="0"/>
          <w:szCs w:val="24"/>
        </w:rPr>
        <w:t xml:space="preserve">underlying the current approved </w:t>
      </w:r>
      <w:r>
        <w:rPr>
          <w:rFonts w:ascii="Times New Roman" w:hAnsi="Times New Roman" w:cs="Times New Roman"/>
          <w:b w:val="0"/>
          <w:bCs w:val="0"/>
          <w:i w:val="0"/>
          <w:kern w:val="0"/>
          <w:szCs w:val="24"/>
        </w:rPr>
        <w:t xml:space="preserve">ARL </w:t>
      </w:r>
      <w:r w:rsidRPr="006C59F5">
        <w:rPr>
          <w:rFonts w:ascii="Times New Roman" w:hAnsi="Times New Roman" w:cs="Times New Roman"/>
          <w:b w:val="0"/>
          <w:bCs w:val="0"/>
          <w:i w:val="0"/>
          <w:kern w:val="0"/>
          <w:szCs w:val="24"/>
        </w:rPr>
        <w:t xml:space="preserve">is </w:t>
      </w:r>
      <w:r>
        <w:rPr>
          <w:rFonts w:ascii="Times New Roman" w:hAnsi="Times New Roman" w:cs="Times New Roman"/>
          <w:b w:val="0"/>
          <w:bCs w:val="0"/>
          <w:i w:val="0"/>
          <w:kern w:val="0"/>
          <w:szCs w:val="24"/>
        </w:rPr>
        <w:t xml:space="preserve">an ASL of </w:t>
      </w:r>
      <w:r w:rsidRPr="006C59F5">
        <w:rPr>
          <w:rFonts w:ascii="Times New Roman" w:hAnsi="Times New Roman" w:cs="Times New Roman"/>
          <w:b w:val="0"/>
          <w:bCs w:val="0"/>
          <w:i w:val="0"/>
          <w:kern w:val="0"/>
          <w:szCs w:val="24"/>
        </w:rPr>
        <w:t>65 years with</w:t>
      </w:r>
      <w:r>
        <w:rPr>
          <w:rFonts w:ascii="Times New Roman" w:hAnsi="Times New Roman" w:cs="Times New Roman"/>
          <w:b w:val="0"/>
          <w:bCs w:val="0"/>
          <w:i w:val="0"/>
          <w:kern w:val="0"/>
          <w:szCs w:val="24"/>
        </w:rPr>
        <w:t xml:space="preserve"> an R1.</w:t>
      </w:r>
      <w:r w:rsidRPr="006C59F5">
        <w:rPr>
          <w:rFonts w:ascii="Times New Roman" w:hAnsi="Times New Roman" w:cs="Times New Roman"/>
          <w:b w:val="0"/>
          <w:bCs w:val="0"/>
          <w:i w:val="0"/>
          <w:kern w:val="0"/>
          <w:szCs w:val="24"/>
        </w:rPr>
        <w:t>5 curve shape</w:t>
      </w:r>
      <w:r>
        <w:rPr>
          <w:rFonts w:ascii="Times New Roman" w:hAnsi="Times New Roman" w:cs="Times New Roman"/>
          <w:b w:val="0"/>
          <w:bCs w:val="0"/>
          <w:i w:val="0"/>
          <w:kern w:val="0"/>
          <w:szCs w:val="24"/>
        </w:rPr>
        <w:t xml:space="preserve">, denoted as </w:t>
      </w:r>
      <w:r w:rsidRPr="00CE797A">
        <w:rPr>
          <w:rFonts w:ascii="Times New Roman" w:hAnsi="Times New Roman" w:cs="Times New Roman"/>
          <w:b w:val="0"/>
          <w:bCs w:val="0"/>
          <w:i w:val="0"/>
          <w:kern w:val="0"/>
          <w:szCs w:val="24"/>
        </w:rPr>
        <w:t>65/R1.5</w:t>
      </w:r>
      <w:r w:rsidRPr="002077E3">
        <w:rPr>
          <w:rFonts w:ascii="Times New Roman" w:hAnsi="Times New Roman" w:cs="Times New Roman"/>
          <w:b w:val="0"/>
          <w:bCs w:val="0"/>
          <w:i w:val="0"/>
          <w:kern w:val="0"/>
          <w:szCs w:val="24"/>
        </w:rPr>
        <w:t>.</w:t>
      </w:r>
      <w:r>
        <w:rPr>
          <w:rStyle w:val="FootnoteReference"/>
          <w:rFonts w:ascii="Times New Roman" w:hAnsi="Times New Roman" w:cs="Times New Roman"/>
          <w:b w:val="0"/>
          <w:bCs w:val="0"/>
          <w:i w:val="0"/>
          <w:kern w:val="0"/>
          <w:szCs w:val="24"/>
        </w:rPr>
        <w:footnoteReference w:id="11"/>
      </w:r>
      <w:r w:rsidRPr="002077E3">
        <w:rPr>
          <w:rFonts w:ascii="Times New Roman" w:hAnsi="Times New Roman" w:cs="Times New Roman"/>
          <w:b w:val="0"/>
          <w:bCs w:val="0"/>
          <w:i w:val="0"/>
          <w:kern w:val="0"/>
          <w:szCs w:val="24"/>
        </w:rPr>
        <w:t xml:space="preserve"> </w:t>
      </w:r>
    </w:p>
    <w:p w14:paraId="5A799EB6" w14:textId="77777777" w:rsidR="00521BA0" w:rsidRDefault="00521BA0" w:rsidP="00503A02">
      <w:pPr>
        <w:pStyle w:val="IssueHeading"/>
        <w:spacing w:after="0"/>
        <w:ind w:firstLine="720"/>
        <w:rPr>
          <w:rFonts w:ascii="Times New Roman" w:hAnsi="Times New Roman" w:cs="Times New Roman"/>
          <w:b w:val="0"/>
          <w:bCs w:val="0"/>
          <w:i w:val="0"/>
          <w:kern w:val="0"/>
          <w:szCs w:val="24"/>
        </w:rPr>
      </w:pPr>
    </w:p>
    <w:p w14:paraId="58BA3C42" w14:textId="35A372D8" w:rsidR="00784D27" w:rsidRDefault="00784D27" w:rsidP="00503A02">
      <w:pPr>
        <w:pStyle w:val="IssueHeading"/>
        <w:spacing w:after="0"/>
        <w:ind w:firstLine="720"/>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 xml:space="preserve">The selected </w:t>
      </w:r>
      <w:r w:rsidRPr="002077E3">
        <w:rPr>
          <w:rFonts w:ascii="Times New Roman" w:hAnsi="Times New Roman" w:cs="Times New Roman"/>
          <w:b w:val="0"/>
          <w:bCs w:val="0"/>
          <w:i w:val="0"/>
          <w:kern w:val="0"/>
          <w:szCs w:val="24"/>
        </w:rPr>
        <w:t xml:space="preserve">curve </w:t>
      </w:r>
      <w:r>
        <w:rPr>
          <w:rFonts w:ascii="Times New Roman" w:hAnsi="Times New Roman" w:cs="Times New Roman"/>
          <w:b w:val="0"/>
          <w:bCs w:val="0"/>
          <w:i w:val="0"/>
          <w:kern w:val="0"/>
          <w:szCs w:val="24"/>
        </w:rPr>
        <w:t xml:space="preserve">shape of an account </w:t>
      </w:r>
      <w:r w:rsidRPr="002077E3">
        <w:rPr>
          <w:rFonts w:ascii="Times New Roman" w:hAnsi="Times New Roman" w:cs="Times New Roman"/>
          <w:b w:val="0"/>
          <w:bCs w:val="0"/>
          <w:i w:val="0"/>
          <w:kern w:val="0"/>
          <w:szCs w:val="24"/>
        </w:rPr>
        <w:t>impact</w:t>
      </w:r>
      <w:r>
        <w:rPr>
          <w:rFonts w:ascii="Times New Roman" w:hAnsi="Times New Roman" w:cs="Times New Roman"/>
          <w:b w:val="0"/>
          <w:bCs w:val="0"/>
          <w:i w:val="0"/>
          <w:kern w:val="0"/>
          <w:szCs w:val="24"/>
        </w:rPr>
        <w:t xml:space="preserve">s </w:t>
      </w:r>
      <w:r w:rsidRPr="002077E3">
        <w:rPr>
          <w:rFonts w:ascii="Times New Roman" w:hAnsi="Times New Roman" w:cs="Times New Roman"/>
          <w:b w:val="0"/>
          <w:bCs w:val="0"/>
          <w:i w:val="0"/>
          <w:kern w:val="0"/>
          <w:szCs w:val="24"/>
        </w:rPr>
        <w:t xml:space="preserve">the </w:t>
      </w:r>
      <w:r>
        <w:rPr>
          <w:rFonts w:ascii="Times New Roman" w:hAnsi="Times New Roman" w:cs="Times New Roman"/>
          <w:b w:val="0"/>
          <w:bCs w:val="0"/>
          <w:i w:val="0"/>
          <w:kern w:val="0"/>
          <w:szCs w:val="24"/>
        </w:rPr>
        <w:t>ARL</w:t>
      </w:r>
      <w:r w:rsidRPr="002077E3">
        <w:rPr>
          <w:rFonts w:ascii="Times New Roman" w:hAnsi="Times New Roman" w:cs="Times New Roman"/>
          <w:b w:val="0"/>
          <w:bCs w:val="0"/>
          <w:i w:val="0"/>
          <w:kern w:val="0"/>
          <w:szCs w:val="24"/>
        </w:rPr>
        <w:t xml:space="preserve"> calculation</w:t>
      </w:r>
      <w:r>
        <w:rPr>
          <w:rFonts w:ascii="Times New Roman" w:hAnsi="Times New Roman" w:cs="Times New Roman"/>
          <w:b w:val="0"/>
          <w:bCs w:val="0"/>
          <w:i w:val="0"/>
          <w:kern w:val="0"/>
          <w:szCs w:val="24"/>
        </w:rPr>
        <w:t>,</w:t>
      </w:r>
      <w:r w:rsidRPr="002077E3">
        <w:rPr>
          <w:rFonts w:ascii="Times New Roman" w:hAnsi="Times New Roman" w:cs="Times New Roman"/>
          <w:b w:val="0"/>
          <w:bCs w:val="0"/>
          <w:i w:val="0"/>
          <w:kern w:val="0"/>
          <w:szCs w:val="24"/>
        </w:rPr>
        <w:t xml:space="preserve"> </w:t>
      </w:r>
      <w:r w:rsidRPr="000D2710">
        <w:rPr>
          <w:rFonts w:ascii="Times New Roman" w:hAnsi="Times New Roman" w:cs="Times New Roman"/>
          <w:b w:val="0"/>
          <w:bCs w:val="0"/>
          <w:i w:val="0"/>
          <w:kern w:val="0"/>
          <w:szCs w:val="24"/>
        </w:rPr>
        <w:t>subsequently impacting</w:t>
      </w:r>
      <w:r w:rsidRPr="00136167">
        <w:rPr>
          <w:rFonts w:ascii="Times New Roman" w:hAnsi="Times New Roman" w:cs="Times New Roman"/>
          <w:b w:val="0"/>
          <w:bCs w:val="0"/>
          <w:i w:val="0"/>
          <w:kern w:val="0"/>
          <w:szCs w:val="24"/>
        </w:rPr>
        <w:t xml:space="preserve"> an account’s</w:t>
      </w:r>
      <w:r w:rsidRPr="002077E3">
        <w:rPr>
          <w:rFonts w:ascii="Times New Roman" w:hAnsi="Times New Roman" w:cs="Times New Roman"/>
          <w:b w:val="0"/>
          <w:bCs w:val="0"/>
          <w:i w:val="0"/>
          <w:kern w:val="0"/>
          <w:szCs w:val="24"/>
        </w:rPr>
        <w:t xml:space="preserve"> theoretical reserve level</w:t>
      </w:r>
      <w:r>
        <w:rPr>
          <w:rFonts w:ascii="Times New Roman" w:hAnsi="Times New Roman" w:cs="Times New Roman"/>
          <w:b w:val="0"/>
          <w:bCs w:val="0"/>
          <w:i w:val="0"/>
          <w:kern w:val="0"/>
          <w:szCs w:val="24"/>
        </w:rPr>
        <w:t>,</w:t>
      </w:r>
      <w:r w:rsidRPr="002077E3">
        <w:rPr>
          <w:rFonts w:ascii="Times New Roman" w:hAnsi="Times New Roman" w:cs="Times New Roman"/>
          <w:b w:val="0"/>
          <w:bCs w:val="0"/>
          <w:i w:val="0"/>
          <w:kern w:val="0"/>
          <w:szCs w:val="24"/>
        </w:rPr>
        <w:t xml:space="preserve"> reserve imbalance, depreciation rate, and</w:t>
      </w:r>
      <w:r>
        <w:rPr>
          <w:rFonts w:ascii="Times New Roman" w:hAnsi="Times New Roman" w:cs="Times New Roman"/>
          <w:b w:val="0"/>
          <w:bCs w:val="0"/>
          <w:i w:val="0"/>
          <w:kern w:val="0"/>
          <w:szCs w:val="24"/>
        </w:rPr>
        <w:t xml:space="preserve"> annual depreciation expense.</w:t>
      </w:r>
      <w:r w:rsidRPr="002077E3">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 xml:space="preserve">For Account 3762, </w:t>
      </w:r>
      <w:r w:rsidRPr="00203C6D">
        <w:rPr>
          <w:rFonts w:ascii="Times New Roman" w:hAnsi="Times New Roman" w:cs="Times New Roman"/>
          <w:b w:val="0"/>
          <w:bCs w:val="0"/>
          <w:i w:val="0"/>
          <w:kern w:val="0"/>
          <w:szCs w:val="24"/>
        </w:rPr>
        <w:t>FCG</w:t>
      </w:r>
      <w:r>
        <w:rPr>
          <w:rFonts w:ascii="Times New Roman" w:hAnsi="Times New Roman" w:cs="Times New Roman"/>
          <w:b w:val="0"/>
          <w:bCs w:val="0"/>
          <w:i w:val="0"/>
          <w:kern w:val="0"/>
          <w:szCs w:val="24"/>
        </w:rPr>
        <w:t xml:space="preserve"> proposed to change the curve shape from R1.5 to R2.5 while retaining </w:t>
      </w:r>
      <w:r w:rsidRPr="00203C6D">
        <w:rPr>
          <w:rFonts w:ascii="Times New Roman" w:hAnsi="Times New Roman" w:cs="Times New Roman"/>
          <w:b w:val="0"/>
          <w:bCs w:val="0"/>
          <w:i w:val="0"/>
          <w:kern w:val="0"/>
          <w:szCs w:val="24"/>
        </w:rPr>
        <w:t>th</w:t>
      </w:r>
      <w:r>
        <w:rPr>
          <w:rFonts w:ascii="Times New Roman" w:hAnsi="Times New Roman" w:cs="Times New Roman"/>
          <w:b w:val="0"/>
          <w:bCs w:val="0"/>
          <w:i w:val="0"/>
          <w:kern w:val="0"/>
          <w:szCs w:val="24"/>
        </w:rPr>
        <w:t>e currently approve</w:t>
      </w:r>
      <w:r w:rsidR="003F547B">
        <w:rPr>
          <w:rFonts w:ascii="Times New Roman" w:hAnsi="Times New Roman" w:cs="Times New Roman"/>
          <w:b w:val="0"/>
          <w:bCs w:val="0"/>
          <w:i w:val="0"/>
          <w:kern w:val="0"/>
          <w:szCs w:val="24"/>
        </w:rPr>
        <w:t>d</w:t>
      </w:r>
      <w:r>
        <w:rPr>
          <w:rFonts w:ascii="Times New Roman" w:hAnsi="Times New Roman" w:cs="Times New Roman"/>
          <w:b w:val="0"/>
          <w:bCs w:val="0"/>
          <w:i w:val="0"/>
          <w:kern w:val="0"/>
          <w:szCs w:val="24"/>
        </w:rPr>
        <w:t xml:space="preserve"> ASL of 65 years. Staff witness Kunkler concurred with retaining a 65-year ASL but disagreed with </w:t>
      </w:r>
      <w:r w:rsidRPr="005E3C3A">
        <w:rPr>
          <w:rFonts w:ascii="Times New Roman" w:hAnsi="Times New Roman" w:cs="Times New Roman"/>
          <w:b w:val="0"/>
          <w:bCs w:val="0"/>
          <w:i w:val="0"/>
          <w:kern w:val="0"/>
          <w:szCs w:val="24"/>
        </w:rPr>
        <w:t>FCG’s proposed</w:t>
      </w:r>
      <w:r>
        <w:rPr>
          <w:rFonts w:ascii="Times New Roman" w:hAnsi="Times New Roman" w:cs="Times New Roman"/>
          <w:b w:val="0"/>
          <w:bCs w:val="0"/>
          <w:i w:val="0"/>
          <w:kern w:val="0"/>
          <w:szCs w:val="24"/>
        </w:rPr>
        <w:t xml:space="preserve"> change in curve shape. He proposed using the R4 curve shape instead</w:t>
      </w:r>
      <w:r w:rsidR="00E22230">
        <w:rPr>
          <w:rFonts w:ascii="Times New Roman" w:hAnsi="Times New Roman" w:cs="Times New Roman"/>
          <w:b w:val="0"/>
          <w:bCs w:val="0"/>
          <w:i w:val="0"/>
          <w:kern w:val="0"/>
          <w:szCs w:val="24"/>
        </w:rPr>
        <w:t xml:space="preserve"> as</w:t>
      </w:r>
      <w:r>
        <w:rPr>
          <w:rFonts w:ascii="Times New Roman" w:hAnsi="Times New Roman" w:cs="Times New Roman"/>
          <w:b w:val="0"/>
          <w:bCs w:val="0"/>
          <w:i w:val="0"/>
          <w:kern w:val="0"/>
          <w:szCs w:val="24"/>
        </w:rPr>
        <w:t xml:space="preserve"> a better representation for this account’s historical retirement dispersions.</w:t>
      </w:r>
      <w:r w:rsidRPr="00752D74">
        <w:rPr>
          <w:rFonts w:ascii="Times New Roman" w:hAnsi="Times New Roman" w:cs="Times New Roman"/>
          <w:b w:val="0"/>
          <w:bCs w:val="0"/>
          <w:i w:val="0"/>
          <w:kern w:val="0"/>
          <w:szCs w:val="24"/>
        </w:rPr>
        <w:t xml:space="preserve"> </w:t>
      </w:r>
    </w:p>
    <w:p w14:paraId="6B7B3F01" w14:textId="77777777" w:rsidR="00503A02" w:rsidRPr="00503A02" w:rsidRDefault="00503A02" w:rsidP="00503A02">
      <w:pPr>
        <w:pStyle w:val="BodyText"/>
        <w:spacing w:after="0"/>
      </w:pPr>
    </w:p>
    <w:p w14:paraId="214ADA53" w14:textId="58B6FF50" w:rsidR="00784D27" w:rsidRDefault="00E22230" w:rsidP="00177B7D">
      <w:pPr>
        <w:pStyle w:val="IssueHeading"/>
        <w:spacing w:after="0"/>
        <w:ind w:firstLine="720"/>
      </w:pPr>
      <w:r>
        <w:rPr>
          <w:rFonts w:ascii="Times New Roman" w:hAnsi="Times New Roman" w:cs="Times New Roman"/>
          <w:b w:val="0"/>
          <w:bCs w:val="0"/>
          <w:i w:val="0"/>
          <w:kern w:val="0"/>
          <w:szCs w:val="24"/>
        </w:rPr>
        <w:t>W</w:t>
      </w:r>
      <w:r w:rsidR="00784D27">
        <w:rPr>
          <w:rFonts w:ascii="Times New Roman" w:hAnsi="Times New Roman" w:cs="Times New Roman"/>
          <w:b w:val="0"/>
          <w:bCs w:val="0"/>
          <w:i w:val="0"/>
          <w:kern w:val="0"/>
          <w:szCs w:val="24"/>
        </w:rPr>
        <w:t>itness Lee testified that</w:t>
      </w:r>
      <w:r w:rsidR="00784D27" w:rsidRPr="00177B7D">
        <w:rPr>
          <w:rFonts w:ascii="Times New Roman" w:hAnsi="Times New Roman" w:cs="Times New Roman"/>
          <w:b w:val="0"/>
          <w:i w:val="0"/>
        </w:rPr>
        <w:t xml:space="preserve"> the </w:t>
      </w:r>
      <w:r>
        <w:rPr>
          <w:rFonts w:ascii="Times New Roman" w:hAnsi="Times New Roman" w:cs="Times New Roman"/>
          <w:b w:val="0"/>
          <w:i w:val="0"/>
        </w:rPr>
        <w:t>p</w:t>
      </w:r>
      <w:r w:rsidR="00784D27" w:rsidRPr="00177B7D">
        <w:rPr>
          <w:rFonts w:ascii="Times New Roman" w:hAnsi="Times New Roman" w:cs="Times New Roman"/>
          <w:b w:val="0"/>
          <w:i w:val="0"/>
        </w:rPr>
        <w:t>roposed curve shapes are based on existing curve shapes underlying the currently prescribed average remaining life for each account, a review of the curve shapes proposed in the 2022 Depreciation Study, actual retirement experience over the 2020-2024 period as well as historical retirements, and the current average age.</w:t>
      </w:r>
      <w:r>
        <w:rPr>
          <w:rFonts w:ascii="Times New Roman" w:hAnsi="Times New Roman" w:cs="Times New Roman"/>
          <w:b w:val="0"/>
          <w:i w:val="0"/>
        </w:rPr>
        <w:t xml:space="preserve"> </w:t>
      </w:r>
      <w:r w:rsidRPr="00177B7D">
        <w:rPr>
          <w:rFonts w:ascii="Times New Roman" w:hAnsi="Times New Roman" w:cs="Times New Roman"/>
          <w:b w:val="0"/>
          <w:i w:val="0"/>
        </w:rPr>
        <w:t>F</w:t>
      </w:r>
      <w:r w:rsidR="00784D27" w:rsidRPr="00177B7D">
        <w:rPr>
          <w:rFonts w:ascii="Times New Roman" w:hAnsi="Times New Roman" w:cs="Times New Roman"/>
          <w:b w:val="0"/>
          <w:i w:val="0"/>
        </w:rPr>
        <w:t xml:space="preserve">or </w:t>
      </w:r>
      <w:r>
        <w:rPr>
          <w:rFonts w:ascii="Times New Roman" w:hAnsi="Times New Roman" w:cs="Times New Roman"/>
          <w:b w:val="0"/>
          <w:i w:val="0"/>
        </w:rPr>
        <w:t>a</w:t>
      </w:r>
      <w:r w:rsidR="00784D27" w:rsidRPr="00177B7D">
        <w:rPr>
          <w:rFonts w:ascii="Times New Roman" w:hAnsi="Times New Roman" w:cs="Times New Roman"/>
          <w:b w:val="0"/>
          <w:i w:val="0"/>
        </w:rPr>
        <w:t>ccount 3762, witness Lee testified that FCG</w:t>
      </w:r>
      <w:r w:rsidRPr="00177B7D">
        <w:rPr>
          <w:rFonts w:ascii="Times New Roman" w:hAnsi="Times New Roman" w:cs="Times New Roman"/>
          <w:b w:val="0"/>
          <w:i w:val="0"/>
        </w:rPr>
        <w:t>’</w:t>
      </w:r>
      <w:r w:rsidR="00784D27" w:rsidRPr="00177B7D">
        <w:rPr>
          <w:rFonts w:ascii="Times New Roman" w:hAnsi="Times New Roman" w:cs="Times New Roman"/>
          <w:b w:val="0"/>
          <w:i w:val="0"/>
        </w:rPr>
        <w:t>s program to relocate mains from the customer’s back yard to more accessible areas</w:t>
      </w:r>
      <w:r w:rsidR="00033478">
        <w:rPr>
          <w:rFonts w:ascii="Times New Roman" w:hAnsi="Times New Roman" w:cs="Times New Roman"/>
          <w:b w:val="0"/>
          <w:i w:val="0"/>
        </w:rPr>
        <w:t>,</w:t>
      </w:r>
      <w:r w:rsidR="00784D27" w:rsidRPr="00177B7D">
        <w:rPr>
          <w:rFonts w:ascii="Times New Roman" w:hAnsi="Times New Roman" w:cs="Times New Roman"/>
          <w:b w:val="0"/>
          <w:i w:val="0"/>
        </w:rPr>
        <w:t xml:space="preserve"> as well as the program to retire orange pipe due to safety concerns</w:t>
      </w:r>
      <w:r w:rsidR="00033478">
        <w:rPr>
          <w:rFonts w:ascii="Times New Roman" w:hAnsi="Times New Roman" w:cs="Times New Roman"/>
          <w:b w:val="0"/>
          <w:i w:val="0"/>
        </w:rPr>
        <w:t>,</w:t>
      </w:r>
      <w:r w:rsidR="00784D27" w:rsidRPr="00177B7D">
        <w:rPr>
          <w:rFonts w:ascii="Times New Roman" w:hAnsi="Times New Roman" w:cs="Times New Roman"/>
          <w:b w:val="0"/>
          <w:i w:val="0"/>
        </w:rPr>
        <w:t xml:space="preserve"> has led to increased future retirement expectations, and a mortality dispersion (curve shape) </w:t>
      </w:r>
      <w:r w:rsidR="00784D27" w:rsidRPr="00177B7D">
        <w:rPr>
          <w:rFonts w:ascii="Times New Roman" w:hAnsi="Times New Roman" w:cs="Times New Roman"/>
          <w:b w:val="0"/>
          <w:i w:val="0"/>
        </w:rPr>
        <w:lastRenderedPageBreak/>
        <w:t>recognizing more early retirement</w:t>
      </w:r>
      <w:r>
        <w:rPr>
          <w:rFonts w:ascii="Times New Roman" w:hAnsi="Times New Roman" w:cs="Times New Roman"/>
          <w:b w:val="0"/>
          <w:i w:val="0"/>
        </w:rPr>
        <w:t xml:space="preserve">s, which </w:t>
      </w:r>
      <w:r w:rsidR="00784D27" w:rsidRPr="00177B7D">
        <w:rPr>
          <w:rFonts w:ascii="Times New Roman" w:hAnsi="Times New Roman" w:cs="Times New Roman"/>
          <w:b w:val="0"/>
          <w:i w:val="0"/>
        </w:rPr>
        <w:t>support a curve indicating more early retirements than historical indications.</w:t>
      </w:r>
    </w:p>
    <w:p w14:paraId="7EF4B436" w14:textId="77777777" w:rsidR="00007C67" w:rsidRDefault="00007C67" w:rsidP="00007C67">
      <w:pPr>
        <w:pStyle w:val="BodyText"/>
        <w:spacing w:after="0"/>
        <w:ind w:right="900"/>
        <w:jc w:val="both"/>
      </w:pPr>
    </w:p>
    <w:p w14:paraId="4FA65E3F" w14:textId="1207FE86" w:rsidR="00784D27" w:rsidRDefault="00784D27" w:rsidP="00007C67">
      <w:pPr>
        <w:pStyle w:val="BodyText"/>
        <w:spacing w:after="0"/>
        <w:ind w:firstLine="720"/>
        <w:jc w:val="both"/>
      </w:pPr>
      <w:r>
        <w:t>An account’s curve shape is usually determined using the retirement rate method</w:t>
      </w:r>
      <w:r w:rsidRPr="005E3C3A">
        <w:t xml:space="preserve"> when sufficient detail exists</w:t>
      </w:r>
      <w:r>
        <w:t>. This method uses the average rate at which the account’s plant for each age group is retired to calculate the percent surviving for the account’s original life table and original st</w:t>
      </w:r>
      <w:r w:rsidRPr="0012617C">
        <w:t xml:space="preserve">ub </w:t>
      </w:r>
      <w:r>
        <w:t>curve shape</w:t>
      </w:r>
      <w:r w:rsidRPr="0012617C">
        <w:t>.</w:t>
      </w:r>
      <w:r w:rsidRPr="0012617C">
        <w:rPr>
          <w:rStyle w:val="FootnoteReference"/>
        </w:rPr>
        <w:footnoteReference w:id="12"/>
      </w:r>
      <w:r w:rsidRPr="0012617C">
        <w:t xml:space="preserve"> The stub </w:t>
      </w:r>
      <w:r>
        <w:t>curve shape</w:t>
      </w:r>
      <w:r w:rsidRPr="0012617C">
        <w:t xml:space="preserve"> is then compared to the Iowa curves using visual and mathematical matching in order to determine the better fitting smooth curves. The average rate of retirement used in the calculation of the percent surviving requires two sets of data: the plant retired during a period of observation, identified by the plant’s age at retirement; and the plant exposed to retirement at the beginning of the age intervals during the same period.</w:t>
      </w:r>
      <w:r w:rsidRPr="0012617C">
        <w:rPr>
          <w:rStyle w:val="FootnoteReference"/>
        </w:rPr>
        <w:footnoteReference w:id="13"/>
      </w:r>
      <w:r w:rsidRPr="0012617C">
        <w:rPr>
          <w:vertAlign w:val="superscript"/>
        </w:rPr>
        <w:t>,</w:t>
      </w:r>
      <w:r w:rsidRPr="0012617C">
        <w:rPr>
          <w:rStyle w:val="FootnoteReference"/>
        </w:rPr>
        <w:footnoteReference w:id="14"/>
      </w:r>
      <w:r w:rsidRPr="0012617C">
        <w:t xml:space="preserve"> This method was used in FCG’s last depreciation study</w:t>
      </w:r>
      <w:r w:rsidR="001D3E42">
        <w:t>. I</w:t>
      </w:r>
      <w:r w:rsidRPr="0012617C">
        <w:t xml:space="preserve">n the 2025 Study, the Company did not use the method to calculate the retirement rate for each depreciable account, including Account 3762, for developing the corresponding original </w:t>
      </w:r>
      <w:r>
        <w:t>curve shape</w:t>
      </w:r>
      <w:r w:rsidRPr="0012617C">
        <w:t xml:space="preserve">. </w:t>
      </w:r>
    </w:p>
    <w:p w14:paraId="6D237E30" w14:textId="77777777" w:rsidR="00007C67" w:rsidRDefault="00007C67" w:rsidP="00007C67">
      <w:pPr>
        <w:pStyle w:val="BodyText"/>
        <w:spacing w:after="0"/>
        <w:ind w:firstLine="720"/>
        <w:jc w:val="both"/>
      </w:pPr>
    </w:p>
    <w:p w14:paraId="3E6636B6" w14:textId="0CAEFE49" w:rsidR="00784D27" w:rsidRDefault="00784D27" w:rsidP="00177B7D">
      <w:pPr>
        <w:pStyle w:val="OrderBody"/>
        <w:ind w:firstLine="720"/>
      </w:pPr>
      <w:r w:rsidRPr="00B7642D">
        <w:t xml:space="preserve">FCG’s 2025 Study includes the calculated retirement rate for each depreciable account in </w:t>
      </w:r>
      <w:r>
        <w:t>Schedule (</w:t>
      </w:r>
      <w:r w:rsidRPr="00B7642D">
        <w:t>Sch</w:t>
      </w:r>
      <w:r>
        <w:t>)</w:t>
      </w:r>
      <w:r w:rsidRPr="00B7642D">
        <w:t xml:space="preserve"> F-1 of the</w:t>
      </w:r>
      <w:r>
        <w:t xml:space="preserve"> 2025 Study</w:t>
      </w:r>
      <w:r w:rsidRPr="00B7642D">
        <w:t>. These exhibits show that FCG calculated the retirement rate by dividing the total retirements by the total ending plant balance for each account for each year from 2021-2024. The nominator used in the calculation is a simple summation (not we</w:t>
      </w:r>
      <w:r>
        <w:t>ighted) of the aged retirements. T</w:t>
      </w:r>
      <w:r w:rsidRPr="00B7642D">
        <w:t>he denominator is the</w:t>
      </w:r>
      <w:r w:rsidR="00E22230">
        <w:t xml:space="preserve"> </w:t>
      </w:r>
      <w:r w:rsidRPr="00B7642D">
        <w:t>plant balance (exposure), which consists of multiple vintages with materially different ages and historical costs, as shown in Sch F-1 of the 2025 Study.</w:t>
      </w:r>
    </w:p>
    <w:p w14:paraId="0FE63159" w14:textId="77777777" w:rsidR="00007C67" w:rsidRPr="00B7642D" w:rsidRDefault="00007C67" w:rsidP="00007C67">
      <w:pPr>
        <w:pStyle w:val="BodyText"/>
        <w:spacing w:after="0"/>
        <w:jc w:val="both"/>
      </w:pPr>
    </w:p>
    <w:p w14:paraId="2BA14679" w14:textId="32994BC7" w:rsidR="00784D27" w:rsidRDefault="00784D27" w:rsidP="00007C67">
      <w:pPr>
        <w:pStyle w:val="BodyText"/>
        <w:spacing w:after="0"/>
        <w:ind w:firstLine="720"/>
        <w:jc w:val="both"/>
      </w:pPr>
      <w:r w:rsidRPr="00B7642D">
        <w:t>OPC disagreed with FCG’s ret</w:t>
      </w:r>
      <w:r>
        <w:t>irement rate calculations in the</w:t>
      </w:r>
      <w:r w:rsidRPr="00B7642D">
        <w:t xml:space="preserve"> 2025 Study. </w:t>
      </w:r>
      <w:r w:rsidR="0079335A">
        <w:t>and argued that the</w:t>
      </w:r>
      <w:r w:rsidRPr="00E274DF">
        <w:t xml:space="preserve"> calculations in the FCG filing divide dollar amounts which were recorded more recently by dollar amounts that were recorded farther back in the past</w:t>
      </w:r>
      <w:r w:rsidR="0079335A">
        <w:t>, which</w:t>
      </w:r>
      <w:r w:rsidRPr="00E274DF">
        <w:t xml:space="preserve"> </w:t>
      </w:r>
      <w:r w:rsidR="0079335A">
        <w:t xml:space="preserve">ignores the effects of </w:t>
      </w:r>
      <w:r w:rsidRPr="00E274DF">
        <w:t>inflation</w:t>
      </w:r>
      <w:r w:rsidR="0079335A">
        <w:t xml:space="preserve">. </w:t>
      </w:r>
      <w:r w:rsidRPr="002679C4">
        <w:t xml:space="preserve">Because the denominator reflects mixed‐age exposures stated in nominal dollars, </w:t>
      </w:r>
      <w:r w:rsidR="009B4024">
        <w:t>we agree</w:t>
      </w:r>
      <w:r w:rsidRPr="000F3D5B">
        <w:t xml:space="preserve"> with OPC that </w:t>
      </w:r>
      <w:r w:rsidRPr="002679C4">
        <w:t xml:space="preserve">this approach does not account for inflation or the time value of money, effectively treating a dollar of plant added decades ago as equivalent to a dollar of recent investment. </w:t>
      </w:r>
      <w:r w:rsidR="003D7765">
        <w:t>For this reason, we find</w:t>
      </w:r>
      <w:r w:rsidRPr="0012617C">
        <w:t xml:space="preserve"> that calculating retirement rates </w:t>
      </w:r>
      <w:r w:rsidRPr="005C5D53">
        <w:t>based on retirements and the corresponding plant exposures by age interval data</w:t>
      </w:r>
      <w:r w:rsidR="0079335A">
        <w:t xml:space="preserve"> is more precise than FCG’s calculation.</w:t>
      </w:r>
    </w:p>
    <w:p w14:paraId="095F473B" w14:textId="77777777" w:rsidR="00007C67" w:rsidRDefault="00007C67" w:rsidP="00007C67">
      <w:pPr>
        <w:pStyle w:val="BodyText"/>
        <w:spacing w:after="0"/>
        <w:ind w:firstLine="720"/>
        <w:jc w:val="both"/>
      </w:pPr>
    </w:p>
    <w:p w14:paraId="6519648D" w14:textId="5D7D4A6C" w:rsidR="00784D27" w:rsidRDefault="00784D27" w:rsidP="00007C67">
      <w:pPr>
        <w:pStyle w:val="BodyText"/>
        <w:spacing w:after="0"/>
        <w:ind w:firstLine="720"/>
        <w:jc w:val="both"/>
      </w:pPr>
      <w:r>
        <w:t>W</w:t>
      </w:r>
      <w:r w:rsidRPr="00E274DF">
        <w:t>itness Lee te</w:t>
      </w:r>
      <w:r>
        <w:t xml:space="preserve">stified </w:t>
      </w:r>
      <w:r w:rsidRPr="00E274DF">
        <w:t xml:space="preserve">that </w:t>
      </w:r>
      <w:r>
        <w:t>FCG does not have the</w:t>
      </w:r>
      <w:r w:rsidRPr="00E274DF">
        <w:t xml:space="preserve"> data of </w:t>
      </w:r>
      <w:r>
        <w:t xml:space="preserve">plant </w:t>
      </w:r>
      <w:r w:rsidRPr="00E274DF">
        <w:t xml:space="preserve">exposures by age interval </w:t>
      </w:r>
      <w:r>
        <w:t>because</w:t>
      </w:r>
      <w:r w:rsidRPr="00E274DF">
        <w:t xml:space="preserve"> collecting such data would be very time consuming and expensive.</w:t>
      </w:r>
      <w:r>
        <w:t xml:space="preserve"> </w:t>
      </w:r>
      <w:r w:rsidR="009B4024">
        <w:t>We</w:t>
      </w:r>
      <w:r w:rsidRPr="002679C4">
        <w:t xml:space="preserve"> note that </w:t>
      </w:r>
      <w:r>
        <w:t>FCG used</w:t>
      </w:r>
      <w:r w:rsidRPr="002679C4">
        <w:t xml:space="preserve"> </w:t>
      </w:r>
      <w:r>
        <w:t xml:space="preserve">a calculation </w:t>
      </w:r>
      <w:r w:rsidRPr="002679C4">
        <w:t>method</w:t>
      </w:r>
      <w:r>
        <w:t>,</w:t>
      </w:r>
      <w:r w:rsidRPr="000F3D5B">
        <w:t xml:space="preserve"> as described above by witness Lee, </w:t>
      </w:r>
      <w:r>
        <w:t xml:space="preserve">which </w:t>
      </w:r>
      <w:r w:rsidR="0079335A">
        <w:t xml:space="preserve">we </w:t>
      </w:r>
      <w:r w:rsidRPr="002679C4">
        <w:t>accepted in prior cases</w:t>
      </w:r>
      <w:r>
        <w:t xml:space="preserve">, </w:t>
      </w:r>
      <w:r w:rsidRPr="002679C4">
        <w:t xml:space="preserve">particularly for smaller utilities, </w:t>
      </w:r>
      <w:r>
        <w:t xml:space="preserve">largely </w:t>
      </w:r>
      <w:r w:rsidRPr="002679C4">
        <w:t>because it is simpler, less time-consuming, and less expensive than vintage-based or age-weighted methods</w:t>
      </w:r>
      <w:r>
        <w:t>.</w:t>
      </w:r>
      <w:r>
        <w:rPr>
          <w:rStyle w:val="FootnoteReference"/>
        </w:rPr>
        <w:footnoteReference w:id="15"/>
      </w:r>
    </w:p>
    <w:p w14:paraId="1A3351D6" w14:textId="37F735A8" w:rsidR="00784D27" w:rsidRDefault="00784D27" w:rsidP="00007C67">
      <w:pPr>
        <w:pStyle w:val="BodyText"/>
        <w:spacing w:after="0"/>
        <w:ind w:firstLine="720"/>
        <w:jc w:val="both"/>
      </w:pPr>
      <w:r w:rsidRPr="00E9791C">
        <w:lastRenderedPageBreak/>
        <w:t xml:space="preserve">With respect to </w:t>
      </w:r>
      <w:r>
        <w:t>the</w:t>
      </w:r>
      <w:r w:rsidRPr="00E9791C">
        <w:t xml:space="preserve"> proposed curve shape for Account 3762, witness Lee first calculated the account’s retirement rate for the 2004-2024 period, which is 0.26 percent, and compared that to the most recent 2021-2024 period average, which is 0.49 percent. </w:t>
      </w:r>
      <w:r>
        <w:t>Witness Lee</w:t>
      </w:r>
      <w:r w:rsidRPr="00E9791C">
        <w:t xml:space="preserve"> then testified that</w:t>
      </w:r>
      <w:r w:rsidRPr="00E274DF">
        <w:t xml:space="preserve"> </w:t>
      </w:r>
      <w:r w:rsidR="00AB4FDB">
        <w:t>w</w:t>
      </w:r>
      <w:r w:rsidRPr="00E274DF">
        <w:t xml:space="preserve">hile historical retirements have been miniscule, recent years indicate an increase in retirement rates. </w:t>
      </w:r>
      <w:r w:rsidR="00AB4FDB">
        <w:t>In recognition of</w:t>
      </w:r>
      <w:r w:rsidRPr="00E274DF">
        <w:t xml:space="preserve"> future expectations of retiring early vintage orange pipe due to safety concerns as well as the Company’s program to replace mains running through less assessable parts of customer property (</w:t>
      </w:r>
      <w:r w:rsidRPr="00AB4FDB">
        <w:rPr>
          <w:i/>
        </w:rPr>
        <w:t>e.g.</w:t>
      </w:r>
      <w:r w:rsidRPr="00E274DF">
        <w:t xml:space="preserve">, backyards) with mains located in more accessible areas, </w:t>
      </w:r>
      <w:r w:rsidR="00AB4FDB">
        <w:t xml:space="preserve">FCG proposed </w:t>
      </w:r>
      <w:r w:rsidRPr="00E274DF">
        <w:t>an R2.5 curve shape</w:t>
      </w:r>
      <w:r w:rsidR="00AB4FDB">
        <w:t>.</w:t>
      </w:r>
      <w:r w:rsidRPr="00E274DF">
        <w:t xml:space="preserve"> </w:t>
      </w:r>
    </w:p>
    <w:p w14:paraId="5167591A" w14:textId="77777777" w:rsidR="00007C67" w:rsidRPr="00E274DF" w:rsidRDefault="00007C67" w:rsidP="00007C67">
      <w:pPr>
        <w:pStyle w:val="BodyText"/>
        <w:spacing w:after="0"/>
        <w:ind w:firstLine="720"/>
        <w:jc w:val="both"/>
      </w:pPr>
    </w:p>
    <w:p w14:paraId="3DD745B3" w14:textId="1F043D93" w:rsidR="00784D27" w:rsidRDefault="00784D27" w:rsidP="00007C67">
      <w:pPr>
        <w:pStyle w:val="IssueHeading"/>
        <w:spacing w:after="0"/>
        <w:ind w:firstLine="720"/>
        <w:rPr>
          <w:rFonts w:ascii="Times New Roman" w:hAnsi="Times New Roman" w:cs="Times New Roman"/>
          <w:b w:val="0"/>
          <w:bCs w:val="0"/>
          <w:i w:val="0"/>
          <w:kern w:val="0"/>
          <w:szCs w:val="24"/>
        </w:rPr>
      </w:pPr>
      <w:r w:rsidRPr="00E274DF">
        <w:rPr>
          <w:rFonts w:ascii="Times New Roman" w:hAnsi="Times New Roman" w:cs="Times New Roman"/>
          <w:b w:val="0"/>
          <w:bCs w:val="0"/>
          <w:i w:val="0"/>
          <w:kern w:val="0"/>
          <w:szCs w:val="24"/>
        </w:rPr>
        <w:t>Witness Kunkler recommended 65/R4 and testified that the R4 curve shape</w:t>
      </w:r>
      <w:r>
        <w:rPr>
          <w:rFonts w:ascii="Times New Roman" w:hAnsi="Times New Roman" w:cs="Times New Roman"/>
          <w:b w:val="0"/>
          <w:bCs w:val="0"/>
          <w:i w:val="0"/>
          <w:kern w:val="0"/>
          <w:szCs w:val="24"/>
        </w:rPr>
        <w:t xml:space="preserve"> </w:t>
      </w:r>
      <w:r w:rsidRPr="00DE435E">
        <w:rPr>
          <w:rFonts w:ascii="Times New Roman" w:hAnsi="Times New Roman" w:cs="Times New Roman"/>
          <w:b w:val="0"/>
          <w:bCs w:val="0"/>
          <w:i w:val="0"/>
          <w:kern w:val="0"/>
          <w:szCs w:val="24"/>
        </w:rPr>
        <w:t xml:space="preserve">is the curve shape proposed in </w:t>
      </w:r>
      <w:r>
        <w:rPr>
          <w:rFonts w:ascii="Times New Roman" w:hAnsi="Times New Roman" w:cs="Times New Roman"/>
          <w:b w:val="0"/>
          <w:bCs w:val="0"/>
          <w:i w:val="0"/>
          <w:kern w:val="0"/>
          <w:szCs w:val="24"/>
        </w:rPr>
        <w:t>FCG’s</w:t>
      </w:r>
      <w:r w:rsidRPr="00DE435E">
        <w:rPr>
          <w:rFonts w:ascii="Times New Roman" w:hAnsi="Times New Roman" w:cs="Times New Roman"/>
          <w:b w:val="0"/>
          <w:bCs w:val="0"/>
          <w:i w:val="0"/>
          <w:kern w:val="0"/>
          <w:szCs w:val="24"/>
        </w:rPr>
        <w:t xml:space="preserve"> last dep</w:t>
      </w:r>
      <w:r>
        <w:rPr>
          <w:rFonts w:ascii="Times New Roman" w:hAnsi="Times New Roman" w:cs="Times New Roman"/>
          <w:b w:val="0"/>
          <w:bCs w:val="0"/>
          <w:i w:val="0"/>
          <w:kern w:val="0"/>
          <w:szCs w:val="24"/>
        </w:rPr>
        <w:t>reciation study,</w:t>
      </w:r>
      <w:r w:rsidRPr="00DE435E">
        <w:rPr>
          <w:rFonts w:ascii="Times New Roman" w:hAnsi="Times New Roman" w:cs="Times New Roman"/>
          <w:b w:val="0"/>
          <w:bCs w:val="0"/>
          <w:i w:val="0"/>
          <w:kern w:val="0"/>
          <w:szCs w:val="24"/>
        </w:rPr>
        <w:t xml:space="preserve"> reviewed by witness Lee, and originally p</w:t>
      </w:r>
      <w:r>
        <w:rPr>
          <w:rFonts w:ascii="Times New Roman" w:hAnsi="Times New Roman" w:cs="Times New Roman"/>
          <w:b w:val="0"/>
          <w:bCs w:val="0"/>
          <w:i w:val="0"/>
          <w:kern w:val="0"/>
          <w:szCs w:val="24"/>
        </w:rPr>
        <w:t>roposed in</w:t>
      </w:r>
      <w:r>
        <w:t xml:space="preserve"> </w:t>
      </w:r>
      <w:r>
        <w:rPr>
          <w:rFonts w:ascii="Times New Roman" w:hAnsi="Times New Roman" w:cs="Times New Roman"/>
          <w:b w:val="0"/>
          <w:bCs w:val="0"/>
          <w:i w:val="0"/>
          <w:kern w:val="0"/>
          <w:szCs w:val="24"/>
        </w:rPr>
        <w:t xml:space="preserve">the current docket. Compared to a R2.5 curve shape, the R4 curve shape is a higher modal curve which reflects </w:t>
      </w:r>
      <w:r w:rsidRPr="00CA6A4E">
        <w:rPr>
          <w:rFonts w:ascii="Times New Roman" w:hAnsi="Times New Roman" w:cs="Times New Roman"/>
          <w:b w:val="0"/>
          <w:bCs w:val="0"/>
          <w:i w:val="0"/>
          <w:kern w:val="0"/>
          <w:szCs w:val="24"/>
        </w:rPr>
        <w:t xml:space="preserve">a retirement dispersion that is more concentrated around the </w:t>
      </w:r>
      <w:r>
        <w:rPr>
          <w:rFonts w:ascii="Times New Roman" w:hAnsi="Times New Roman" w:cs="Times New Roman"/>
          <w:b w:val="0"/>
          <w:bCs w:val="0"/>
          <w:i w:val="0"/>
          <w:kern w:val="0"/>
          <w:szCs w:val="24"/>
        </w:rPr>
        <w:t>ASL</w:t>
      </w:r>
      <w:r w:rsidRPr="00CA6A4E">
        <w:rPr>
          <w:rFonts w:ascii="Times New Roman" w:hAnsi="Times New Roman" w:cs="Times New Roman"/>
          <w:b w:val="0"/>
          <w:bCs w:val="0"/>
          <w:i w:val="0"/>
          <w:kern w:val="0"/>
          <w:szCs w:val="24"/>
        </w:rPr>
        <w:t>.</w:t>
      </w:r>
      <w:r w:rsidRPr="00A63ADF">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Witness Kunkler pointed out that FCG’s</w:t>
      </w:r>
      <w:r w:rsidRPr="00E8012D">
        <w:t xml:space="preserve"> </w:t>
      </w:r>
      <w:r w:rsidRPr="00E8012D">
        <w:rPr>
          <w:rFonts w:ascii="Times New Roman" w:hAnsi="Times New Roman" w:cs="Times New Roman"/>
          <w:b w:val="0"/>
          <w:bCs w:val="0"/>
          <w:i w:val="0"/>
          <w:kern w:val="0"/>
          <w:szCs w:val="24"/>
        </w:rPr>
        <w:t xml:space="preserve">historical curve </w:t>
      </w:r>
      <w:r>
        <w:rPr>
          <w:rFonts w:ascii="Times New Roman" w:hAnsi="Times New Roman" w:cs="Times New Roman"/>
          <w:b w:val="0"/>
          <w:bCs w:val="0"/>
          <w:i w:val="0"/>
          <w:kern w:val="0"/>
          <w:szCs w:val="24"/>
        </w:rPr>
        <w:t xml:space="preserve">shape </w:t>
      </w:r>
      <w:r w:rsidRPr="00E8012D">
        <w:rPr>
          <w:rFonts w:ascii="Times New Roman" w:hAnsi="Times New Roman" w:cs="Times New Roman"/>
          <w:b w:val="0"/>
          <w:bCs w:val="0"/>
          <w:i w:val="0"/>
          <w:kern w:val="0"/>
          <w:szCs w:val="24"/>
        </w:rPr>
        <w:t>for</w:t>
      </w:r>
      <w:r>
        <w:rPr>
          <w:rFonts w:ascii="Times New Roman" w:hAnsi="Times New Roman" w:cs="Times New Roman"/>
          <w:b w:val="0"/>
          <w:bCs w:val="0"/>
          <w:i w:val="0"/>
          <w:kern w:val="0"/>
          <w:szCs w:val="24"/>
        </w:rPr>
        <w:t xml:space="preserve"> Accounts 3761 and 3762 shows that </w:t>
      </w:r>
      <w:r w:rsidRPr="00E8012D">
        <w:rPr>
          <w:rFonts w:ascii="Times New Roman" w:hAnsi="Times New Roman" w:cs="Times New Roman"/>
          <w:b w:val="0"/>
          <w:bCs w:val="0"/>
          <w:i w:val="0"/>
          <w:kern w:val="0"/>
          <w:szCs w:val="24"/>
        </w:rPr>
        <w:t>up to age 50</w:t>
      </w:r>
      <w:r>
        <w:rPr>
          <w:rFonts w:ascii="Times New Roman" w:hAnsi="Times New Roman" w:cs="Times New Roman"/>
          <w:b w:val="0"/>
          <w:bCs w:val="0"/>
          <w:i w:val="0"/>
          <w:kern w:val="0"/>
          <w:szCs w:val="24"/>
        </w:rPr>
        <w:t>,</w:t>
      </w:r>
      <w:r w:rsidRPr="00E8012D">
        <w:rPr>
          <w:rFonts w:ascii="Times New Roman" w:hAnsi="Times New Roman" w:cs="Times New Roman"/>
          <w:b w:val="0"/>
          <w:bCs w:val="0"/>
          <w:i w:val="0"/>
          <w:kern w:val="0"/>
          <w:szCs w:val="24"/>
        </w:rPr>
        <w:t xml:space="preserve"> </w:t>
      </w:r>
      <w:r>
        <w:rPr>
          <w:rFonts w:ascii="Times New Roman" w:hAnsi="Times New Roman" w:cs="Times New Roman"/>
          <w:b w:val="0"/>
          <w:bCs w:val="0"/>
          <w:i w:val="0"/>
          <w:kern w:val="0"/>
          <w:szCs w:val="24"/>
        </w:rPr>
        <w:t xml:space="preserve">plant assets in the accounts had </w:t>
      </w:r>
      <w:r w:rsidRPr="00E8012D">
        <w:rPr>
          <w:rFonts w:ascii="Times New Roman" w:hAnsi="Times New Roman" w:cs="Times New Roman"/>
          <w:b w:val="0"/>
          <w:bCs w:val="0"/>
          <w:i w:val="0"/>
          <w:kern w:val="0"/>
          <w:szCs w:val="24"/>
        </w:rPr>
        <w:t>few retirements</w:t>
      </w:r>
      <w:r>
        <w:rPr>
          <w:rFonts w:ascii="Times New Roman" w:hAnsi="Times New Roman" w:cs="Times New Roman"/>
          <w:b w:val="0"/>
          <w:bCs w:val="0"/>
          <w:i w:val="0"/>
          <w:kern w:val="0"/>
          <w:szCs w:val="24"/>
        </w:rPr>
        <w:t xml:space="preserve"> (</w:t>
      </w:r>
      <w:r w:rsidRPr="00E8012D">
        <w:rPr>
          <w:rFonts w:ascii="Times New Roman" w:hAnsi="Times New Roman" w:cs="Times New Roman"/>
          <w:b w:val="0"/>
          <w:bCs w:val="0"/>
          <w:i w:val="0"/>
          <w:kern w:val="0"/>
          <w:szCs w:val="24"/>
        </w:rPr>
        <w:t>approximately 89 percent of these assets su</w:t>
      </w:r>
      <w:r>
        <w:rPr>
          <w:rFonts w:ascii="Times New Roman" w:hAnsi="Times New Roman" w:cs="Times New Roman"/>
          <w:b w:val="0"/>
          <w:bCs w:val="0"/>
          <w:i w:val="0"/>
          <w:kern w:val="0"/>
          <w:szCs w:val="24"/>
        </w:rPr>
        <w:t xml:space="preserve">rviving at an age of 50.5 years). </w:t>
      </w:r>
      <w:r w:rsidR="001A327D">
        <w:rPr>
          <w:rFonts w:ascii="Times New Roman" w:hAnsi="Times New Roman" w:cs="Times New Roman"/>
          <w:b w:val="0"/>
          <w:bCs w:val="0"/>
          <w:i w:val="0"/>
          <w:kern w:val="0"/>
          <w:szCs w:val="24"/>
        </w:rPr>
        <w:t>I</w:t>
      </w:r>
      <w:r w:rsidRPr="00E8012D">
        <w:rPr>
          <w:rFonts w:ascii="Times New Roman" w:hAnsi="Times New Roman" w:cs="Times New Roman"/>
          <w:b w:val="0"/>
          <w:bCs w:val="0"/>
          <w:i w:val="0"/>
          <w:kern w:val="0"/>
          <w:szCs w:val="24"/>
        </w:rPr>
        <w:t>mmediately following age 50</w:t>
      </w:r>
      <w:r>
        <w:rPr>
          <w:rFonts w:ascii="Times New Roman" w:hAnsi="Times New Roman" w:cs="Times New Roman"/>
          <w:b w:val="0"/>
          <w:bCs w:val="0"/>
          <w:i w:val="0"/>
          <w:kern w:val="0"/>
          <w:szCs w:val="24"/>
        </w:rPr>
        <w:t xml:space="preserve">, </w:t>
      </w:r>
      <w:r w:rsidRPr="00E8012D">
        <w:rPr>
          <w:rFonts w:ascii="Times New Roman" w:hAnsi="Times New Roman" w:cs="Times New Roman"/>
          <w:b w:val="0"/>
          <w:bCs w:val="0"/>
          <w:i w:val="0"/>
          <w:kern w:val="0"/>
          <w:szCs w:val="24"/>
        </w:rPr>
        <w:t xml:space="preserve">a relatively rapid </w:t>
      </w:r>
      <w:r>
        <w:rPr>
          <w:rFonts w:ascii="Times New Roman" w:hAnsi="Times New Roman" w:cs="Times New Roman"/>
          <w:b w:val="0"/>
          <w:bCs w:val="0"/>
          <w:i w:val="0"/>
          <w:kern w:val="0"/>
          <w:szCs w:val="24"/>
        </w:rPr>
        <w:t>increase in</w:t>
      </w:r>
      <w:r w:rsidRPr="00E8012D">
        <w:rPr>
          <w:rFonts w:ascii="Times New Roman" w:hAnsi="Times New Roman" w:cs="Times New Roman"/>
          <w:b w:val="0"/>
          <w:bCs w:val="0"/>
          <w:i w:val="0"/>
          <w:kern w:val="0"/>
          <w:szCs w:val="24"/>
        </w:rPr>
        <w:t xml:space="preserve"> the frequency of retirements </w:t>
      </w:r>
      <w:r w:rsidR="001A327D">
        <w:rPr>
          <w:rFonts w:ascii="Times New Roman" w:hAnsi="Times New Roman" w:cs="Times New Roman"/>
          <w:b w:val="0"/>
          <w:bCs w:val="0"/>
          <w:i w:val="0"/>
          <w:kern w:val="0"/>
          <w:szCs w:val="24"/>
        </w:rPr>
        <w:t>is</w:t>
      </w:r>
      <w:r>
        <w:rPr>
          <w:rFonts w:ascii="Times New Roman" w:hAnsi="Times New Roman" w:cs="Times New Roman"/>
          <w:b w:val="0"/>
          <w:bCs w:val="0"/>
          <w:i w:val="0"/>
          <w:kern w:val="0"/>
          <w:szCs w:val="24"/>
        </w:rPr>
        <w:t xml:space="preserve"> observed (</w:t>
      </w:r>
      <w:r w:rsidRPr="00E8012D">
        <w:rPr>
          <w:rFonts w:ascii="Times New Roman" w:hAnsi="Times New Roman" w:cs="Times New Roman"/>
          <w:b w:val="0"/>
          <w:bCs w:val="0"/>
          <w:i w:val="0"/>
          <w:kern w:val="0"/>
          <w:szCs w:val="24"/>
        </w:rPr>
        <w:t xml:space="preserve">approximately </w:t>
      </w:r>
      <w:r>
        <w:rPr>
          <w:rFonts w:ascii="Times New Roman" w:hAnsi="Times New Roman" w:cs="Times New Roman"/>
          <w:b w:val="0"/>
          <w:bCs w:val="0"/>
          <w:i w:val="0"/>
          <w:kern w:val="0"/>
          <w:szCs w:val="24"/>
        </w:rPr>
        <w:t>70</w:t>
      </w:r>
      <w:r w:rsidRPr="00E8012D">
        <w:rPr>
          <w:rFonts w:ascii="Times New Roman" w:hAnsi="Times New Roman" w:cs="Times New Roman"/>
          <w:b w:val="0"/>
          <w:bCs w:val="0"/>
          <w:i w:val="0"/>
          <w:kern w:val="0"/>
          <w:szCs w:val="24"/>
        </w:rPr>
        <w:t xml:space="preserve"> percent of these assets surviving at an age of 5</w:t>
      </w:r>
      <w:r>
        <w:rPr>
          <w:rFonts w:ascii="Times New Roman" w:hAnsi="Times New Roman" w:cs="Times New Roman"/>
          <w:b w:val="0"/>
          <w:bCs w:val="0"/>
          <w:i w:val="0"/>
          <w:kern w:val="0"/>
          <w:szCs w:val="24"/>
        </w:rPr>
        <w:t xml:space="preserve">7.5 years). In other words, the asset retirements of the accounts are concentrated towards 65 years (the ASL of Account 3762). Witness Kunkler further performed curve fitting by comparing the stub curve against both R2.5 and R4 curve shapes. </w:t>
      </w:r>
      <w:r w:rsidRPr="00CF586F">
        <w:rPr>
          <w:rFonts w:ascii="Times New Roman" w:hAnsi="Times New Roman" w:cs="Times New Roman"/>
          <w:b w:val="0"/>
          <w:bCs w:val="0"/>
          <w:i w:val="0"/>
          <w:kern w:val="0"/>
          <w:szCs w:val="24"/>
        </w:rPr>
        <w:t>Witness Kunkler concluded that, visually, a 65/R4 life pattern represent</w:t>
      </w:r>
      <w:r w:rsidR="001F1AB7">
        <w:rPr>
          <w:rFonts w:ascii="Times New Roman" w:hAnsi="Times New Roman" w:cs="Times New Roman"/>
          <w:b w:val="0"/>
          <w:bCs w:val="0"/>
          <w:i w:val="0"/>
          <w:kern w:val="0"/>
          <w:szCs w:val="24"/>
        </w:rPr>
        <w:t>s</w:t>
      </w:r>
      <w:r w:rsidRPr="00CF586F">
        <w:rPr>
          <w:rFonts w:ascii="Times New Roman" w:hAnsi="Times New Roman" w:cs="Times New Roman"/>
          <w:b w:val="0"/>
          <w:bCs w:val="0"/>
          <w:i w:val="0"/>
          <w:kern w:val="0"/>
          <w:szCs w:val="24"/>
        </w:rPr>
        <w:t xml:space="preserve"> a better fit.</w:t>
      </w:r>
    </w:p>
    <w:p w14:paraId="4C201DC1" w14:textId="77777777" w:rsidR="00007C67" w:rsidRPr="00007C67" w:rsidRDefault="00007C67" w:rsidP="00007C67">
      <w:pPr>
        <w:pStyle w:val="BodyText"/>
        <w:spacing w:after="0"/>
      </w:pPr>
    </w:p>
    <w:p w14:paraId="0699BE65" w14:textId="182503F4" w:rsidR="00784D27" w:rsidRDefault="00784D27" w:rsidP="00007C67">
      <w:pPr>
        <w:pStyle w:val="BodyText"/>
        <w:spacing w:after="0"/>
        <w:ind w:firstLine="720"/>
        <w:jc w:val="both"/>
      </w:pPr>
      <w:r>
        <w:t>FCG argued</w:t>
      </w:r>
      <w:r w:rsidR="001F1AB7">
        <w:t xml:space="preserve"> that</w:t>
      </w:r>
      <w:r>
        <w:t xml:space="preserve"> witness Kunkler’s curve shape selection</w:t>
      </w:r>
      <w:r w:rsidR="001F1AB7">
        <w:t xml:space="preserve"> </w:t>
      </w:r>
      <w:r w:rsidRPr="00723D3D">
        <w:t>fails to account for input from Company personnel, who indicate increased expectations for retirement.</w:t>
      </w:r>
      <w:r w:rsidRPr="001354C3">
        <w:t xml:space="preserve"> </w:t>
      </w:r>
      <w:r>
        <w:t>Witness Lee asserted that witness Kunkler based his recommendation for life/curve pattern for Steel Mains (Account 3762) on a curve derived from historical retirements in the Gannett Fleming Depreciation Study</w:t>
      </w:r>
      <w:r w:rsidR="00016ECD">
        <w:t xml:space="preserve"> and</w:t>
      </w:r>
      <w:r>
        <w:t xml:space="preserve"> did not incorporate the Company’s expectations or judgment about future retirements, including those influenced by FCG’s SAFE program. She contended that </w:t>
      </w:r>
      <w:r w:rsidR="00016ECD">
        <w:t>b</w:t>
      </w:r>
      <w:r>
        <w:t>ecause FCG’s historical data is limited, it is critical to consider additional factors</w:t>
      </w:r>
      <w:r w:rsidR="00016ECD">
        <w:t>.</w:t>
      </w:r>
    </w:p>
    <w:p w14:paraId="1CB9AFBB" w14:textId="77777777" w:rsidR="00007C67" w:rsidRDefault="00007C67" w:rsidP="00007C67">
      <w:pPr>
        <w:pStyle w:val="BodyText"/>
        <w:spacing w:after="0"/>
        <w:ind w:firstLine="720"/>
        <w:jc w:val="both"/>
      </w:pPr>
    </w:p>
    <w:p w14:paraId="5329DE6A" w14:textId="30D55AC2" w:rsidR="00784D27" w:rsidRDefault="0079335A" w:rsidP="00007C67">
      <w:pPr>
        <w:pStyle w:val="BodyText"/>
        <w:spacing w:after="0"/>
        <w:ind w:firstLine="720"/>
        <w:jc w:val="both"/>
      </w:pPr>
      <w:r>
        <w:t>Our</w:t>
      </w:r>
      <w:r w:rsidRPr="007E6EAF">
        <w:t xml:space="preserve"> </w:t>
      </w:r>
      <w:r w:rsidR="00784D27" w:rsidRPr="007E6EAF">
        <w:t>concern</w:t>
      </w:r>
      <w:r w:rsidR="00EA6942">
        <w:t xml:space="preserve"> is </w:t>
      </w:r>
      <w:r>
        <w:t>with</w:t>
      </w:r>
      <w:r w:rsidRPr="007E6EAF">
        <w:t xml:space="preserve"> </w:t>
      </w:r>
      <w:r w:rsidR="00A07788">
        <w:t xml:space="preserve">how </w:t>
      </w:r>
      <w:r w:rsidR="00784D27" w:rsidRPr="007E6EAF">
        <w:t>the Company consider</w:t>
      </w:r>
      <w:r w:rsidR="00A07788">
        <w:t xml:space="preserve">s </w:t>
      </w:r>
      <w:r w:rsidR="00784D27" w:rsidRPr="007E6EAF">
        <w:t xml:space="preserve">historical data to support the underlying account estimates and analyses. </w:t>
      </w:r>
      <w:r w:rsidR="00A07788">
        <w:t>A</w:t>
      </w:r>
      <w:r w:rsidR="00784D27" w:rsidRPr="002B2E8D">
        <w:t>n accoun</w:t>
      </w:r>
      <w:r w:rsidR="00E75EBE">
        <w:t>t’s life pattern estimate shall</w:t>
      </w:r>
      <w:r w:rsidR="00784D27" w:rsidRPr="002B2E8D">
        <w:t xml:space="preserve"> be based on a number of factors including historical data analysis; current Company management plans, policies and outlook; and the curve shape estimates that originate from previous studies of the Company. In </w:t>
      </w:r>
      <w:r w:rsidR="009B4024">
        <w:t>our</w:t>
      </w:r>
      <w:r w:rsidR="00784D27" w:rsidRPr="002B2E8D">
        <w:t xml:space="preserve"> view, relying solely on historical data of an account is not ideal, nor is it appropriate to ignore the past behaviors of the account and its previous curve shape estimates.</w:t>
      </w:r>
      <w:r w:rsidR="00784D27">
        <w:t xml:space="preserve"> </w:t>
      </w:r>
    </w:p>
    <w:p w14:paraId="4CB39FC6" w14:textId="77777777" w:rsidR="00007C67" w:rsidRDefault="00007C67" w:rsidP="00007C67">
      <w:pPr>
        <w:pStyle w:val="BodyText"/>
        <w:spacing w:after="0"/>
        <w:ind w:firstLine="720"/>
        <w:jc w:val="both"/>
      </w:pPr>
    </w:p>
    <w:p w14:paraId="08466B6B" w14:textId="23F935B8" w:rsidR="00784D27" w:rsidRDefault="00784D27" w:rsidP="00007C67">
      <w:pPr>
        <w:pStyle w:val="BodyText"/>
        <w:spacing w:after="0"/>
        <w:ind w:firstLine="720"/>
        <w:jc w:val="both"/>
      </w:pPr>
      <w:r>
        <w:t xml:space="preserve">Notably, as shown in FCG’s </w:t>
      </w:r>
      <w:r w:rsidRPr="00ED0F31">
        <w:t>2025 Study, Sch F,</w:t>
      </w:r>
      <w:r w:rsidRPr="00F56953">
        <w:t xml:space="preserve"> Account</w:t>
      </w:r>
      <w:r>
        <w:t xml:space="preserve"> 3762 was established in 1963, and the Company maintains more than 60 years of aged retirement data. </w:t>
      </w:r>
      <w:r w:rsidR="00007C67">
        <w:t>The</w:t>
      </w:r>
      <w:r>
        <w:t xml:space="preserve"> use of historical </w:t>
      </w:r>
      <w:r>
        <w:lastRenderedPageBreak/>
        <w:t xml:space="preserve">retirement data </w:t>
      </w:r>
      <w:r w:rsidRPr="002B2E8D">
        <w:t>is an important</w:t>
      </w:r>
      <w:r>
        <w:t xml:space="preserve"> foundation to project the account’s </w:t>
      </w:r>
      <w:r w:rsidRPr="0063196A">
        <w:t xml:space="preserve">retirement </w:t>
      </w:r>
      <w:r>
        <w:t xml:space="preserve">behavior </w:t>
      </w:r>
      <w:r w:rsidRPr="00FE649A">
        <w:t xml:space="preserve">and related impact on remaining life estimates </w:t>
      </w:r>
      <w:r>
        <w:t>for the next five years.</w:t>
      </w:r>
      <w:r>
        <w:rPr>
          <w:rStyle w:val="FootnoteReference"/>
        </w:rPr>
        <w:footnoteReference w:id="16"/>
      </w:r>
      <w:r>
        <w:t xml:space="preserve"> </w:t>
      </w:r>
    </w:p>
    <w:p w14:paraId="2B1A7FE5" w14:textId="77777777" w:rsidR="00007C67" w:rsidRDefault="00007C67" w:rsidP="00007C67">
      <w:pPr>
        <w:pStyle w:val="BodyText"/>
        <w:spacing w:after="0"/>
        <w:ind w:firstLine="720"/>
        <w:jc w:val="both"/>
      </w:pPr>
    </w:p>
    <w:p w14:paraId="1093925C" w14:textId="4FD5AFAB" w:rsidR="00784D27" w:rsidRDefault="00784D27" w:rsidP="00007C67">
      <w:pPr>
        <w:pStyle w:val="BodyText"/>
        <w:spacing w:after="0"/>
        <w:ind w:firstLine="720"/>
        <w:jc w:val="both"/>
      </w:pPr>
      <w:r>
        <w:t xml:space="preserve">Further, </w:t>
      </w:r>
      <w:r w:rsidR="003D7765">
        <w:t>we find</w:t>
      </w:r>
      <w:r>
        <w:t xml:space="preserve"> that the current </w:t>
      </w:r>
      <w:r w:rsidRPr="00273D70">
        <w:t xml:space="preserve">plans, policies and outlook </w:t>
      </w:r>
      <w:r>
        <w:t>of the Company’s are important factors to be considered in deriving a 5-year projection of the parameters and rate for the account.</w:t>
      </w:r>
      <w:r>
        <w:rPr>
          <w:rStyle w:val="FootnoteReference"/>
        </w:rPr>
        <w:footnoteReference w:id="17"/>
      </w:r>
      <w:r>
        <w:t xml:space="preserve"> </w:t>
      </w:r>
      <w:r w:rsidR="009B4024">
        <w:t xml:space="preserve">Our </w:t>
      </w:r>
      <w:r>
        <w:t xml:space="preserve">staff investigated FCG’s future plans and expectations pertaining to the life pattern of Account 3762 under the SAFE and </w:t>
      </w:r>
      <w:r w:rsidRPr="000C632E">
        <w:t xml:space="preserve">orange pipe </w:t>
      </w:r>
      <w:r>
        <w:t>replacement programs. Results show that even with the commencement of orange pipe replacement</w:t>
      </w:r>
      <w:r w:rsidRPr="00684032">
        <w:t xml:space="preserve"> </w:t>
      </w:r>
      <w:r>
        <w:t xml:space="preserve">in 2024, FCG’s actual </w:t>
      </w:r>
      <w:r w:rsidRPr="0063196A">
        <w:t xml:space="preserve">rate of pipe replacement, based on </w:t>
      </w:r>
      <w:r>
        <w:t>a five-year average of total miles of pipe replaced,</w:t>
      </w:r>
      <w:r w:rsidRPr="00A80699">
        <w:t xml:space="preserve"> </w:t>
      </w:r>
      <w:r>
        <w:t xml:space="preserve">is nearly the same in the current filing as it was at the time of FCG’s last filing. </w:t>
      </w:r>
      <w:r w:rsidRPr="0063196A">
        <w:t xml:space="preserve">The 2022 FCG Study had a five-year average replacement of 29.2 pipe miles, the 2025 FCG Study had a five-year average replacement of 31.5 </w:t>
      </w:r>
      <w:r>
        <w:t xml:space="preserve">pipe </w:t>
      </w:r>
      <w:r w:rsidRPr="0063196A">
        <w:t xml:space="preserve">miles, and FCG projects that, in 2030, the Company will have a five-year average replacement of 31.6 </w:t>
      </w:r>
      <w:r>
        <w:t xml:space="preserve">pipe </w:t>
      </w:r>
      <w:r w:rsidRPr="0063196A">
        <w:t>miles</w:t>
      </w:r>
      <w:r>
        <w:t>,</w:t>
      </w:r>
      <w:r w:rsidRPr="0063196A">
        <w:t xml:space="preserve"> </w:t>
      </w:r>
      <w:r>
        <w:t xml:space="preserve">as indicated </w:t>
      </w:r>
      <w:r w:rsidRPr="00770ADB">
        <w:t xml:space="preserve">in </w:t>
      </w:r>
      <w:r w:rsidR="0088149F">
        <w:t xml:space="preserve">Table </w:t>
      </w:r>
      <w:r w:rsidR="00A07788">
        <w:t>1</w:t>
      </w:r>
      <w:r w:rsidRPr="00770ADB">
        <w:t xml:space="preserve"> below</w:t>
      </w:r>
      <w:r>
        <w:t xml:space="preserve">. </w:t>
      </w:r>
    </w:p>
    <w:p w14:paraId="53C10AC9" w14:textId="77777777" w:rsidR="00A07788" w:rsidRDefault="00A07788" w:rsidP="00007C67">
      <w:pPr>
        <w:pStyle w:val="BodyText"/>
        <w:spacing w:after="0"/>
        <w:ind w:firstLine="720"/>
        <w:jc w:val="both"/>
      </w:pPr>
    </w:p>
    <w:p w14:paraId="25023402" w14:textId="34E76C29" w:rsidR="00784D27" w:rsidRPr="0088149F" w:rsidRDefault="0088149F" w:rsidP="00784D27">
      <w:pPr>
        <w:pStyle w:val="BodyText"/>
        <w:spacing w:after="0"/>
        <w:jc w:val="center"/>
        <w:rPr>
          <w:b/>
        </w:rPr>
      </w:pPr>
      <w:r w:rsidRPr="0088149F">
        <w:rPr>
          <w:b/>
        </w:rPr>
        <w:t xml:space="preserve">Table </w:t>
      </w:r>
      <w:r w:rsidR="0079335A">
        <w:rPr>
          <w:b/>
        </w:rPr>
        <w:t>1</w:t>
      </w:r>
    </w:p>
    <w:p w14:paraId="6091FD14" w14:textId="77777777" w:rsidR="00784D27" w:rsidRPr="0088149F" w:rsidRDefault="00784D27" w:rsidP="00784D27">
      <w:pPr>
        <w:pStyle w:val="BodyText"/>
        <w:jc w:val="center"/>
        <w:rPr>
          <w:b/>
        </w:rPr>
      </w:pPr>
      <w:r w:rsidRPr="0088149F">
        <w:rPr>
          <w:b/>
        </w:rPr>
        <w:t>FCG’s SAFE and Orange Pipe Replacements</w:t>
      </w:r>
    </w:p>
    <w:p w14:paraId="5BA6C5A0" w14:textId="77777777" w:rsidR="00784D27" w:rsidRDefault="00784D27" w:rsidP="00784D27">
      <w:pPr>
        <w:pStyle w:val="BodyText"/>
      </w:pPr>
      <w:r w:rsidRPr="00FC5B50">
        <w:rPr>
          <w:noProof/>
        </w:rPr>
        <w:drawing>
          <wp:inline distT="0" distB="0" distL="0" distR="0" wp14:anchorId="1C793CD5" wp14:editId="721F7006">
            <wp:extent cx="5943600" cy="3195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195320"/>
                    </a:xfrm>
                    <a:prstGeom prst="rect">
                      <a:avLst/>
                    </a:prstGeom>
                    <a:noFill/>
                    <a:ln>
                      <a:noFill/>
                    </a:ln>
                  </pic:spPr>
                </pic:pic>
              </a:graphicData>
            </a:graphic>
          </wp:inline>
        </w:drawing>
      </w:r>
    </w:p>
    <w:p w14:paraId="13745E71" w14:textId="77777777" w:rsidR="00A07788" w:rsidRDefault="00A07788" w:rsidP="00A07788">
      <w:pPr>
        <w:pStyle w:val="BodyText"/>
        <w:spacing w:after="0"/>
        <w:ind w:firstLine="720"/>
        <w:jc w:val="both"/>
      </w:pPr>
    </w:p>
    <w:p w14:paraId="7257E093" w14:textId="77777777" w:rsidR="00A07788" w:rsidRDefault="00A07788" w:rsidP="00A07788">
      <w:pPr>
        <w:pStyle w:val="BodyText"/>
        <w:spacing w:after="0"/>
        <w:ind w:firstLine="720"/>
        <w:jc w:val="both"/>
      </w:pPr>
      <w:r>
        <w:t xml:space="preserve">FCG opposed the R4 curve shape </w:t>
      </w:r>
      <w:r w:rsidRPr="00C42C2D">
        <w:t xml:space="preserve">for Account 3762 </w:t>
      </w:r>
      <w:r>
        <w:t xml:space="preserve">and claimed that this curve shape selection </w:t>
      </w:r>
      <w:r w:rsidRPr="001354C3">
        <w:t xml:space="preserve">fails to account for </w:t>
      </w:r>
      <w:r>
        <w:t>the Company’s expectations of increased rate of retirements</w:t>
      </w:r>
      <w:r w:rsidRPr="008601AA">
        <w:t xml:space="preserve"> </w:t>
      </w:r>
      <w:r w:rsidRPr="00C42C2D">
        <w:t xml:space="preserve">resulting from </w:t>
      </w:r>
      <w:r>
        <w:t>the</w:t>
      </w:r>
      <w:r w:rsidRPr="008601AA">
        <w:t xml:space="preserve"> SAFE program.</w:t>
      </w:r>
      <w:r>
        <w:t xml:space="preserve"> However, as </w:t>
      </w:r>
      <w:r w:rsidRPr="00835697">
        <w:t xml:space="preserve">discussed above and as </w:t>
      </w:r>
      <w:r>
        <w:t xml:space="preserve">shown in Table 1, the detailed </w:t>
      </w:r>
      <w:r w:rsidRPr="008601AA">
        <w:t xml:space="preserve">future retirement </w:t>
      </w:r>
      <w:r>
        <w:t xml:space="preserve">expectations provided by FCG seem </w:t>
      </w:r>
      <w:r w:rsidRPr="00E274DF">
        <w:t xml:space="preserve">not </w:t>
      </w:r>
      <w:r>
        <w:t xml:space="preserve">to </w:t>
      </w:r>
      <w:r w:rsidRPr="00E274DF">
        <w:t>deviate significantly from the historical pattern</w:t>
      </w:r>
      <w:r>
        <w:t xml:space="preserve"> the Company experienced. Therefore, we are </w:t>
      </w:r>
      <w:r w:rsidRPr="00A33041">
        <w:t xml:space="preserve">not persuaded by the </w:t>
      </w:r>
      <w:r w:rsidRPr="00A33041">
        <w:lastRenderedPageBreak/>
        <w:t xml:space="preserve">Company’s argument and </w:t>
      </w:r>
      <w:r>
        <w:t xml:space="preserve">find that a 65/R4 life pattern, derived based on historical data, is still indicative of the expected pattern of retirement for Account 3762 at the present. Taking into consideration both the historical data analysis and the current Company plans and outlook, as well as the curve shape the Company studied and derived just 3 years ago, we approve a 65/R4 as an appropriate life </w:t>
      </w:r>
      <w:r w:rsidRPr="00770ADB">
        <w:t>pattern estimate for Account 3762.</w:t>
      </w:r>
    </w:p>
    <w:p w14:paraId="27F87167" w14:textId="77777777" w:rsidR="001D7896" w:rsidRDefault="001D7896" w:rsidP="00784D27">
      <w:pPr>
        <w:pStyle w:val="OrderBody"/>
      </w:pPr>
    </w:p>
    <w:p w14:paraId="012353F0" w14:textId="672D9A0D" w:rsidR="00784D27" w:rsidRDefault="00E4006C" w:rsidP="000429CC">
      <w:pPr>
        <w:pStyle w:val="First-LevelSubheading"/>
        <w:ind w:firstLine="720"/>
        <w:rPr>
          <w:rFonts w:ascii="Times New Roman" w:hAnsi="Times New Roman" w:cs="Times New Roman"/>
        </w:rPr>
      </w:pPr>
      <w:r>
        <w:rPr>
          <w:rFonts w:ascii="Times New Roman" w:hAnsi="Times New Roman" w:cs="Times New Roman"/>
        </w:rPr>
        <w:t>B</w:t>
      </w:r>
      <w:r w:rsidR="007269EF">
        <w:rPr>
          <w:rFonts w:ascii="Times New Roman" w:hAnsi="Times New Roman" w:cs="Times New Roman"/>
        </w:rPr>
        <w:t xml:space="preserve">.   </w:t>
      </w:r>
      <w:r w:rsidR="00784D27" w:rsidRPr="000429CC">
        <w:rPr>
          <w:rFonts w:ascii="Times New Roman" w:hAnsi="Times New Roman" w:cs="Times New Roman"/>
        </w:rPr>
        <w:t>Net Salvage for Accounts 3762: Mains-Steel and 3801: Services-Plastic</w:t>
      </w:r>
      <w:r w:rsidR="00784D27" w:rsidRPr="000429CC">
        <w:rPr>
          <w:rStyle w:val="FootnoteReference"/>
          <w:rFonts w:ascii="Times New Roman" w:hAnsi="Times New Roman" w:cs="Times New Roman"/>
        </w:rPr>
        <w:footnoteReference w:id="18"/>
      </w:r>
    </w:p>
    <w:p w14:paraId="4357D7A8" w14:textId="77777777" w:rsidR="000429CC" w:rsidRPr="000429CC" w:rsidRDefault="000429CC" w:rsidP="000429CC">
      <w:pPr>
        <w:pStyle w:val="BodyText"/>
        <w:spacing w:after="0"/>
      </w:pPr>
    </w:p>
    <w:p w14:paraId="1BF92E16" w14:textId="0FE8B472" w:rsidR="00784D27" w:rsidRDefault="00784D27" w:rsidP="007269EF">
      <w:pPr>
        <w:pStyle w:val="BodyText"/>
        <w:spacing w:after="0"/>
        <w:ind w:firstLine="720"/>
        <w:jc w:val="both"/>
      </w:pPr>
      <w:r>
        <w:t>The currently prescribed net salvage (NS) for Account 3762</w:t>
      </w:r>
      <w:r w:rsidRPr="00835697">
        <w:t xml:space="preserve">: Mains-Steel </w:t>
      </w:r>
      <w:r>
        <w:t xml:space="preserve">is (50) percent. FCG </w:t>
      </w:r>
      <w:r w:rsidR="00A07788">
        <w:t>contended that an</w:t>
      </w:r>
      <w:r>
        <w:t xml:space="preserve"> increase from (50) percent to (40) percent</w:t>
      </w:r>
      <w:r w:rsidR="00A07788">
        <w:t xml:space="preserve"> is justified</w:t>
      </w:r>
      <w:r>
        <w:t xml:space="preserve"> due to recent trends, easier accessibility to retired pipe, and expectations of other Florida gas companies. </w:t>
      </w:r>
    </w:p>
    <w:p w14:paraId="7E7A6234" w14:textId="77777777" w:rsidR="007269EF" w:rsidRDefault="007269EF" w:rsidP="007269EF">
      <w:pPr>
        <w:pStyle w:val="BodyText"/>
        <w:spacing w:after="0"/>
        <w:ind w:firstLine="720"/>
        <w:jc w:val="both"/>
      </w:pPr>
    </w:p>
    <w:p w14:paraId="4169D011" w14:textId="31FD9334" w:rsidR="00784D27" w:rsidRDefault="00784D27" w:rsidP="007269EF">
      <w:pPr>
        <w:pStyle w:val="BodyText"/>
        <w:spacing w:after="0"/>
        <w:ind w:firstLine="720"/>
        <w:jc w:val="both"/>
      </w:pPr>
      <w:r>
        <w:t>Account 3801</w:t>
      </w:r>
      <w:r w:rsidRPr="00835697">
        <w:t>: Services-Plastic</w:t>
      </w:r>
      <w:r>
        <w:t xml:space="preserve"> is FCG’s third largest account by plant investment.</w:t>
      </w:r>
      <w:r w:rsidRPr="00B01944">
        <w:t xml:space="preserve"> </w:t>
      </w:r>
      <w:r>
        <w:t xml:space="preserve">Assets in this account represent plastic distribution service lines from the mains to the customers’ property lines or meter location. </w:t>
      </w:r>
      <w:r w:rsidRPr="003B4EC7">
        <w:t xml:space="preserve">The currently prescribed </w:t>
      </w:r>
      <w:r>
        <w:t>NS</w:t>
      </w:r>
      <w:r w:rsidRPr="003B4EC7">
        <w:t xml:space="preserve"> for this account is (68)</w:t>
      </w:r>
      <w:r>
        <w:t xml:space="preserve"> percent. FCG </w:t>
      </w:r>
      <w:r w:rsidR="00A07788">
        <w:t xml:space="preserve">based its </w:t>
      </w:r>
      <w:r>
        <w:t>propose</w:t>
      </w:r>
      <w:r w:rsidR="00A07788">
        <w:t>d</w:t>
      </w:r>
      <w:r>
        <w:t xml:space="preserve"> increase </w:t>
      </w:r>
      <w:r w:rsidR="00A07788">
        <w:t xml:space="preserve">of </w:t>
      </w:r>
      <w:r>
        <w:t>the NS of this account from (68) percent to (40) percent</w:t>
      </w:r>
      <w:r w:rsidR="00A07788">
        <w:t xml:space="preserve"> on </w:t>
      </w:r>
      <w:r>
        <w:t>easier accessibility to the retired services</w:t>
      </w:r>
      <w:r w:rsidR="00A07788">
        <w:t>,</w:t>
      </w:r>
      <w:r>
        <w:t xml:space="preserve"> as well as the expectations </w:t>
      </w:r>
      <w:r w:rsidR="00A07788">
        <w:t>of other Florida gas companies.</w:t>
      </w:r>
    </w:p>
    <w:p w14:paraId="366E9868" w14:textId="77777777" w:rsidR="007269EF" w:rsidRDefault="007269EF" w:rsidP="007269EF">
      <w:pPr>
        <w:pStyle w:val="BodyText"/>
        <w:spacing w:after="0"/>
        <w:ind w:firstLine="720"/>
        <w:jc w:val="both"/>
      </w:pPr>
    </w:p>
    <w:p w14:paraId="1360005C" w14:textId="4C8C63FF" w:rsidR="00EA6942" w:rsidRDefault="00784D27" w:rsidP="00EA6942">
      <w:pPr>
        <w:pStyle w:val="OrderBody"/>
        <w:ind w:firstLine="720"/>
      </w:pPr>
      <w:r>
        <w:t xml:space="preserve">OPC objected to every </w:t>
      </w:r>
      <w:r w:rsidRPr="00C25E2D">
        <w:t xml:space="preserve">NS change proposed by </w:t>
      </w:r>
      <w:r>
        <w:t>FCG. OPC witness Dunkel recommended that all accounts’ current NS factors should remain in effect because</w:t>
      </w:r>
      <w:r w:rsidRPr="00C42C2D">
        <w:t xml:space="preserve">, as shown in </w:t>
      </w:r>
      <w:r w:rsidR="0088149F">
        <w:t xml:space="preserve">Table </w:t>
      </w:r>
      <w:r w:rsidR="0079335A">
        <w:t>2</w:t>
      </w:r>
      <w:r w:rsidRPr="00C42C2D">
        <w:t>, FCG’s proposed increase in NS “is contrary to even the net salvage data as calculated an</w:t>
      </w:r>
      <w:r>
        <w:t>d filed by FCG.”</w:t>
      </w:r>
    </w:p>
    <w:p w14:paraId="64FA7747" w14:textId="77777777" w:rsidR="00EA6942" w:rsidRDefault="00EA6942" w:rsidP="00EA6942">
      <w:pPr>
        <w:pStyle w:val="OrderBody"/>
        <w:ind w:firstLine="720"/>
      </w:pPr>
    </w:p>
    <w:p w14:paraId="77BEBEEC" w14:textId="40E51244" w:rsidR="00784D27" w:rsidRPr="00EA6942" w:rsidRDefault="00784D27" w:rsidP="00EA6942">
      <w:pPr>
        <w:pStyle w:val="OrderBody"/>
        <w:ind w:left="3600" w:firstLine="720"/>
        <w:rPr>
          <w:b/>
        </w:rPr>
      </w:pPr>
      <w:r w:rsidRPr="00EA6942">
        <w:rPr>
          <w:b/>
        </w:rPr>
        <w:t xml:space="preserve">Table </w:t>
      </w:r>
      <w:r w:rsidR="0079335A">
        <w:rPr>
          <w:b/>
        </w:rPr>
        <w:t>2</w:t>
      </w:r>
    </w:p>
    <w:p w14:paraId="6BAF65A8" w14:textId="77777777" w:rsidR="00784D27" w:rsidRPr="0088149F" w:rsidRDefault="00784D27" w:rsidP="00784D27">
      <w:pPr>
        <w:pStyle w:val="TableTitle"/>
        <w:keepNext/>
        <w:rPr>
          <w:rFonts w:ascii="Times New Roman" w:hAnsi="Times New Roman"/>
        </w:rPr>
      </w:pPr>
      <w:r w:rsidRPr="0088149F">
        <w:rPr>
          <w:rFonts w:ascii="Times New Roman" w:hAnsi="Times New Roman"/>
        </w:rPr>
        <w:t>Comparison of Net Salvage Factors</w:t>
      </w:r>
    </w:p>
    <w:tbl>
      <w:tblPr>
        <w:tblStyle w:val="TableGrid"/>
        <w:tblW w:w="5000" w:type="pct"/>
        <w:tblLook w:val="04A0" w:firstRow="1" w:lastRow="0" w:firstColumn="1" w:lastColumn="0" w:noHBand="0" w:noVBand="1"/>
      </w:tblPr>
      <w:tblGrid>
        <w:gridCol w:w="3371"/>
        <w:gridCol w:w="2245"/>
        <w:gridCol w:w="2250"/>
        <w:gridCol w:w="1710"/>
      </w:tblGrid>
      <w:tr w:rsidR="00784D27" w14:paraId="07BB779E" w14:textId="77777777" w:rsidTr="0088149F">
        <w:tc>
          <w:tcPr>
            <w:tcW w:w="5000" w:type="pct"/>
            <w:gridSpan w:val="4"/>
          </w:tcPr>
          <w:p w14:paraId="42DBDD09" w14:textId="77777777" w:rsidR="00784D27" w:rsidRDefault="00784D27" w:rsidP="0088149F">
            <w:pPr>
              <w:jc w:val="center"/>
            </w:pPr>
            <w:r>
              <w:t>Net Salvage Percentage</w:t>
            </w:r>
          </w:p>
        </w:tc>
      </w:tr>
      <w:tr w:rsidR="00784D27" w14:paraId="3422BC8B" w14:textId="77777777" w:rsidTr="0088149F">
        <w:tc>
          <w:tcPr>
            <w:tcW w:w="1760" w:type="pct"/>
            <w:tcBorders>
              <w:bottom w:val="nil"/>
            </w:tcBorders>
          </w:tcPr>
          <w:p w14:paraId="3DE8979B" w14:textId="77777777" w:rsidR="00784D27" w:rsidRDefault="00784D27" w:rsidP="0088149F"/>
        </w:tc>
        <w:tc>
          <w:tcPr>
            <w:tcW w:w="1172" w:type="pct"/>
            <w:tcBorders>
              <w:bottom w:val="nil"/>
            </w:tcBorders>
          </w:tcPr>
          <w:p w14:paraId="1F0CD96C" w14:textId="77777777" w:rsidR="00784D27" w:rsidRDefault="00784D27" w:rsidP="0088149F">
            <w:pPr>
              <w:jc w:val="center"/>
            </w:pPr>
            <w:r>
              <w:t>FCG Last 5-yr Avg.</w:t>
            </w:r>
          </w:p>
        </w:tc>
        <w:tc>
          <w:tcPr>
            <w:tcW w:w="1175" w:type="pct"/>
            <w:tcBorders>
              <w:bottom w:val="nil"/>
            </w:tcBorders>
          </w:tcPr>
          <w:p w14:paraId="4AFDBBFB" w14:textId="77777777" w:rsidR="00784D27" w:rsidRDefault="00784D27" w:rsidP="0088149F">
            <w:pPr>
              <w:jc w:val="center"/>
            </w:pPr>
            <w:r>
              <w:t>Currently Approved</w:t>
            </w:r>
          </w:p>
        </w:tc>
        <w:tc>
          <w:tcPr>
            <w:tcW w:w="892" w:type="pct"/>
            <w:vMerge w:val="restart"/>
            <w:vAlign w:val="center"/>
          </w:tcPr>
          <w:p w14:paraId="03216B6C" w14:textId="77777777" w:rsidR="00784D27" w:rsidRDefault="00784D27" w:rsidP="0088149F">
            <w:pPr>
              <w:jc w:val="center"/>
            </w:pPr>
            <w:r>
              <w:t>FCG Proposed</w:t>
            </w:r>
          </w:p>
        </w:tc>
      </w:tr>
      <w:tr w:rsidR="00784D27" w14:paraId="78731833" w14:textId="77777777" w:rsidTr="0088149F">
        <w:tc>
          <w:tcPr>
            <w:tcW w:w="1760" w:type="pct"/>
            <w:tcBorders>
              <w:top w:val="nil"/>
            </w:tcBorders>
          </w:tcPr>
          <w:p w14:paraId="33A7DDB7" w14:textId="77777777" w:rsidR="00784D27" w:rsidRDefault="00784D27" w:rsidP="0088149F"/>
        </w:tc>
        <w:tc>
          <w:tcPr>
            <w:tcW w:w="1172" w:type="pct"/>
            <w:tcBorders>
              <w:top w:val="nil"/>
            </w:tcBorders>
          </w:tcPr>
          <w:p w14:paraId="49F18F52" w14:textId="77777777" w:rsidR="00784D27" w:rsidRDefault="00784D27" w:rsidP="0088149F">
            <w:pPr>
              <w:jc w:val="center"/>
            </w:pPr>
            <w:r>
              <w:t>Per FCG Schedule</w:t>
            </w:r>
          </w:p>
        </w:tc>
        <w:tc>
          <w:tcPr>
            <w:tcW w:w="1175" w:type="pct"/>
            <w:tcBorders>
              <w:top w:val="nil"/>
            </w:tcBorders>
          </w:tcPr>
          <w:p w14:paraId="53140E76" w14:textId="77777777" w:rsidR="00784D27" w:rsidRDefault="00784D27" w:rsidP="0088149F">
            <w:pPr>
              <w:jc w:val="center"/>
            </w:pPr>
            <w:r>
              <w:t>for FCG</w:t>
            </w:r>
          </w:p>
        </w:tc>
        <w:tc>
          <w:tcPr>
            <w:tcW w:w="892" w:type="pct"/>
            <w:vMerge/>
          </w:tcPr>
          <w:p w14:paraId="437B9E42" w14:textId="77777777" w:rsidR="00784D27" w:rsidRDefault="00784D27" w:rsidP="0088149F">
            <w:pPr>
              <w:jc w:val="center"/>
            </w:pPr>
          </w:p>
        </w:tc>
      </w:tr>
      <w:tr w:rsidR="00784D27" w14:paraId="72FAB108" w14:textId="77777777" w:rsidTr="0088149F">
        <w:tc>
          <w:tcPr>
            <w:tcW w:w="1760" w:type="pct"/>
          </w:tcPr>
          <w:p w14:paraId="72744EA4" w14:textId="77777777" w:rsidR="00784D27" w:rsidRDefault="00784D27" w:rsidP="0088149F">
            <w:r>
              <w:t>Account 3762: Main-Steel</w:t>
            </w:r>
          </w:p>
        </w:tc>
        <w:tc>
          <w:tcPr>
            <w:tcW w:w="1172" w:type="pct"/>
          </w:tcPr>
          <w:p w14:paraId="72F9DBFE" w14:textId="77777777" w:rsidR="00784D27" w:rsidRDefault="00784D27" w:rsidP="0088149F">
            <w:pPr>
              <w:jc w:val="center"/>
            </w:pPr>
            <w:r>
              <w:t>(73)</w:t>
            </w:r>
          </w:p>
        </w:tc>
        <w:tc>
          <w:tcPr>
            <w:tcW w:w="1175" w:type="pct"/>
          </w:tcPr>
          <w:p w14:paraId="76798732" w14:textId="77777777" w:rsidR="00784D27" w:rsidRDefault="00784D27" w:rsidP="0088149F">
            <w:pPr>
              <w:jc w:val="center"/>
            </w:pPr>
            <w:r>
              <w:t>(50)</w:t>
            </w:r>
          </w:p>
        </w:tc>
        <w:tc>
          <w:tcPr>
            <w:tcW w:w="892" w:type="pct"/>
          </w:tcPr>
          <w:p w14:paraId="2F4486F8" w14:textId="77777777" w:rsidR="00784D27" w:rsidRDefault="00784D27" w:rsidP="0088149F">
            <w:pPr>
              <w:jc w:val="center"/>
            </w:pPr>
            <w:r>
              <w:t>(40)</w:t>
            </w:r>
          </w:p>
        </w:tc>
      </w:tr>
      <w:tr w:rsidR="00784D27" w14:paraId="2B63708A" w14:textId="77777777" w:rsidTr="0088149F">
        <w:tc>
          <w:tcPr>
            <w:tcW w:w="1760" w:type="pct"/>
          </w:tcPr>
          <w:p w14:paraId="1666710D" w14:textId="77777777" w:rsidR="00784D27" w:rsidRDefault="00784D27" w:rsidP="0088149F">
            <w:r>
              <w:t>Account 3801: Services-Plastic</w:t>
            </w:r>
          </w:p>
        </w:tc>
        <w:tc>
          <w:tcPr>
            <w:tcW w:w="1172" w:type="pct"/>
          </w:tcPr>
          <w:p w14:paraId="730BBDFC" w14:textId="77777777" w:rsidR="00784D27" w:rsidRDefault="00784D27" w:rsidP="0088149F">
            <w:pPr>
              <w:jc w:val="center"/>
            </w:pPr>
            <w:r>
              <w:t>(132)</w:t>
            </w:r>
          </w:p>
        </w:tc>
        <w:tc>
          <w:tcPr>
            <w:tcW w:w="1175" w:type="pct"/>
          </w:tcPr>
          <w:p w14:paraId="24846A94" w14:textId="77777777" w:rsidR="00784D27" w:rsidRDefault="00784D27" w:rsidP="0088149F">
            <w:pPr>
              <w:jc w:val="center"/>
            </w:pPr>
            <w:r>
              <w:t>(68)</w:t>
            </w:r>
          </w:p>
        </w:tc>
        <w:tc>
          <w:tcPr>
            <w:tcW w:w="892" w:type="pct"/>
          </w:tcPr>
          <w:p w14:paraId="06F97753" w14:textId="77777777" w:rsidR="00784D27" w:rsidRDefault="00784D27" w:rsidP="0088149F">
            <w:pPr>
              <w:jc w:val="center"/>
            </w:pPr>
            <w:r>
              <w:t>(40)</w:t>
            </w:r>
          </w:p>
        </w:tc>
      </w:tr>
    </w:tbl>
    <w:p w14:paraId="5AFD1727" w14:textId="77777777" w:rsidR="007269EF" w:rsidRPr="007269EF" w:rsidRDefault="007269EF" w:rsidP="007269EF">
      <w:pPr>
        <w:pStyle w:val="BodyText"/>
        <w:spacing w:after="0"/>
      </w:pPr>
    </w:p>
    <w:p w14:paraId="28E35ED7" w14:textId="3635BA91" w:rsidR="00784D27" w:rsidRDefault="006672E2" w:rsidP="00177B7D">
      <w:pPr>
        <w:pStyle w:val="BodyText"/>
        <w:spacing w:after="0"/>
        <w:jc w:val="both"/>
      </w:pPr>
      <w:r>
        <w:tab/>
      </w:r>
      <w:r w:rsidR="00784D27" w:rsidRPr="00C42C2D">
        <w:t>OPC</w:t>
      </w:r>
      <w:r w:rsidR="0079335A">
        <w:t xml:space="preserve"> </w:t>
      </w:r>
      <w:r w:rsidR="00784D27" w:rsidRPr="00C42C2D">
        <w:t>contended that</w:t>
      </w:r>
      <w:r w:rsidR="0079335A">
        <w:t xml:space="preserve"> FCG’s</w:t>
      </w:r>
      <w:r w:rsidR="00784D27" w:rsidRPr="001C1DEE">
        <w:t xml:space="preserve"> claim that the Cost of Removal for Service-Plastic will be much less in the future than it has been in the past </w:t>
      </w:r>
      <w:r w:rsidR="00DE35E5">
        <w:t>was not</w:t>
      </w:r>
      <w:r w:rsidR="00784D27" w:rsidRPr="001C1DEE">
        <w:t xml:space="preserve"> </w:t>
      </w:r>
      <w:r w:rsidR="00DE35E5">
        <w:t>supported in the record</w:t>
      </w:r>
      <w:r w:rsidR="00784D27">
        <w:t>.</w:t>
      </w:r>
      <w:r w:rsidR="0079335A">
        <w:t xml:space="preserve"> </w:t>
      </w:r>
      <w:r w:rsidR="00784D27">
        <w:t>Staff witness Kunkler also disagreed with FCG’s NS proposals for Accounts 3762 and 3801</w:t>
      </w:r>
      <w:r w:rsidR="00DE35E5">
        <w:t>, stating</w:t>
      </w:r>
      <w:r w:rsidR="00784D27">
        <w:t xml:space="preserve"> that retaining the currently approved</w:t>
      </w:r>
      <w:r w:rsidR="007269EF">
        <w:t xml:space="preserve"> net salvage factors is</w:t>
      </w:r>
      <w:r w:rsidR="00784D27">
        <w:t xml:space="preserve"> the most reasonable approach for these two accounts at this time</w:t>
      </w:r>
      <w:r w:rsidR="00DE35E5">
        <w:t xml:space="preserve"> because </w:t>
      </w:r>
      <w:r w:rsidR="00784D27">
        <w:t>the Company’s proposed increase is not supported by historical salvage data and exhibits an over-reliance on expectations.</w:t>
      </w:r>
      <w:r w:rsidR="00DE35E5">
        <w:t xml:space="preserve"> W</w:t>
      </w:r>
      <w:r w:rsidR="00784D27">
        <w:t xml:space="preserve">itness Kunkler </w:t>
      </w:r>
      <w:r w:rsidR="00DE35E5">
        <w:t xml:space="preserve">also noted that </w:t>
      </w:r>
      <w:r w:rsidR="00784D27">
        <w:t>the realized average net salvage factor for the account over the past 20 years and the most recent 5 years are both lower net salvage factors than the factor currently prescribed.</w:t>
      </w:r>
      <w:r w:rsidR="00DE35E5" w:rsidDel="00DE35E5">
        <w:t xml:space="preserve"> </w:t>
      </w:r>
      <w:r w:rsidR="00DE35E5">
        <w:t>W</w:t>
      </w:r>
      <w:r w:rsidR="00784D27">
        <w:t xml:space="preserve">ith the exception of 2024 (in which the full cost of removal may not be fully processed as of yet), FCG has not </w:t>
      </w:r>
      <w:r w:rsidR="00784D27">
        <w:lastRenderedPageBreak/>
        <w:t>experienced a single year</w:t>
      </w:r>
      <w:r w:rsidR="007D3CB9">
        <w:t xml:space="preserve"> since 2008</w:t>
      </w:r>
      <w:r w:rsidR="00784D27">
        <w:t xml:space="preserve"> in which the realized net salvage has been greater than (90) percent.</w:t>
      </w:r>
    </w:p>
    <w:p w14:paraId="6D0A0924" w14:textId="77777777" w:rsidR="007269EF" w:rsidRDefault="007269EF" w:rsidP="007269EF">
      <w:pPr>
        <w:pStyle w:val="BodyText"/>
        <w:spacing w:after="0"/>
        <w:jc w:val="both"/>
      </w:pPr>
    </w:p>
    <w:p w14:paraId="56E6E26A" w14:textId="4D0EBEF3" w:rsidR="00784D27" w:rsidRDefault="00784D27" w:rsidP="00177B7D">
      <w:pPr>
        <w:pStyle w:val="BodyText"/>
        <w:spacing w:after="0"/>
        <w:ind w:firstLine="720"/>
        <w:jc w:val="both"/>
      </w:pPr>
      <w:r>
        <w:t xml:space="preserve">FCG argued that that less negative net salvage is expected in the future, primarily due to improved accessibility to retired pipe, which will reduce labor costs − the largest component of removal </w:t>
      </w:r>
      <w:r w:rsidRPr="001C1DEE">
        <w:t>expense.</w:t>
      </w:r>
      <w:r w:rsidR="00DE35E5">
        <w:t xml:space="preserve"> Additionally,</w:t>
      </w:r>
      <w:r w:rsidRPr="001C1DEE">
        <w:t xml:space="preserve"> the </w:t>
      </w:r>
      <w:r w:rsidR="00DE35E5">
        <w:t xml:space="preserve">FCG </w:t>
      </w:r>
      <w:r w:rsidRPr="001C1DEE">
        <w:t xml:space="preserve">proposals reference net salvage estimates from other Florida gas companies. </w:t>
      </w:r>
    </w:p>
    <w:p w14:paraId="381BC4BD" w14:textId="77777777" w:rsidR="007269EF" w:rsidRPr="001C1DEE" w:rsidRDefault="007269EF" w:rsidP="007269EF">
      <w:pPr>
        <w:pStyle w:val="BodyText"/>
        <w:spacing w:after="0"/>
        <w:ind w:left="900" w:right="900" w:hanging="900"/>
        <w:jc w:val="both"/>
      </w:pPr>
    </w:p>
    <w:p w14:paraId="0876D048" w14:textId="77E5BA84" w:rsidR="00784D27" w:rsidRDefault="00784D27" w:rsidP="007269EF">
      <w:pPr>
        <w:pStyle w:val="BodyText"/>
        <w:spacing w:after="0"/>
        <w:ind w:firstLine="720"/>
        <w:jc w:val="both"/>
      </w:pPr>
      <w:r w:rsidRPr="001C1DEE">
        <w:t xml:space="preserve">When steel mains pipes [Account 3762 plants] are retired, they are usually permanently physically disconnected from all sources of gas and abandoned in place. When plastic services pipes [Account 3801 plants] are retired, they are cut and capped at the main and abandoned in place. There are costs associated </w:t>
      </w:r>
      <w:r w:rsidR="00722F77">
        <w:t>with</w:t>
      </w:r>
      <w:r w:rsidRPr="001C1DEE">
        <w:t xml:space="preserve"> accessing the line, disconnecting it from all sources of gas, </w:t>
      </w:r>
      <w:r w:rsidR="00722F77">
        <w:t xml:space="preserve">locking </w:t>
      </w:r>
      <w:r w:rsidRPr="001C1DEE">
        <w:t>valves to prevent gas flow, a</w:t>
      </w:r>
      <w:r w:rsidR="00722F77">
        <w:t>nd completing any</w:t>
      </w:r>
      <w:r w:rsidRPr="001C1DEE">
        <w:t xml:space="preserve"> surface restoration. </w:t>
      </w:r>
    </w:p>
    <w:p w14:paraId="527FE795" w14:textId="77777777" w:rsidR="007269EF" w:rsidRPr="001C1DEE" w:rsidRDefault="007269EF" w:rsidP="007269EF">
      <w:pPr>
        <w:pStyle w:val="BodyText"/>
        <w:spacing w:after="0"/>
        <w:ind w:firstLine="720"/>
        <w:jc w:val="both"/>
      </w:pPr>
    </w:p>
    <w:p w14:paraId="36034622" w14:textId="5ECCABE7" w:rsidR="00784D27" w:rsidRDefault="00784D27" w:rsidP="00177B7D">
      <w:pPr>
        <w:pStyle w:val="BodyText"/>
        <w:spacing w:after="0"/>
        <w:ind w:firstLine="720"/>
        <w:jc w:val="both"/>
      </w:pPr>
      <w:r>
        <w:t>The cost of removal is part of the NS, which in turn is part of depreciation costs</w:t>
      </w:r>
      <w:r w:rsidR="00ED461C">
        <w:t>. H</w:t>
      </w:r>
      <w:r>
        <w:t xml:space="preserve">ence, when the cost of removal of an account decreases, the NS of the account increases. </w:t>
      </w:r>
      <w:r w:rsidRPr="001C1DEE">
        <w:t>FCG supported its</w:t>
      </w:r>
      <w:r>
        <w:t xml:space="preserve"> </w:t>
      </w:r>
      <w:r w:rsidRPr="001C1DEE">
        <w:t>increase in NS</w:t>
      </w:r>
      <w:r>
        <w:t xml:space="preserve"> via improved accessibility by claim</w:t>
      </w:r>
      <w:r w:rsidRPr="001C1DEE">
        <w:t>ing that the improved accessibility will make it easier for field personnel to cut and cap the pipes when the relocated mains/service lines were retired and abandoned. However, FCG and CUC were unable to state whether FCG’s prior owner had experienced that same degree of accessibility.</w:t>
      </w:r>
      <w:r w:rsidR="007335EF">
        <w:t xml:space="preserve"> </w:t>
      </w:r>
      <w:r>
        <w:t>FCG further claimed that</w:t>
      </w:r>
      <w:r w:rsidR="007335EF">
        <w:t xml:space="preserve"> </w:t>
      </w:r>
      <w:r>
        <w:t xml:space="preserve">net salvage </w:t>
      </w:r>
      <w:r w:rsidR="007335EF">
        <w:t xml:space="preserve">for Steel Mains </w:t>
      </w:r>
      <w:r>
        <w:t>has improved significantly</w:t>
      </w:r>
      <w:r w:rsidR="007335EF">
        <w:t>, and that this</w:t>
      </w:r>
      <w:r>
        <w:t xml:space="preserve"> this trend is expected to continue.</w:t>
      </w:r>
      <w:r w:rsidRPr="009F60F2">
        <w:t xml:space="preserve"> Plastic Services show a similar, though less pronounced, improvement.</w:t>
      </w:r>
    </w:p>
    <w:p w14:paraId="5E54FCC8" w14:textId="77777777" w:rsidR="007269EF" w:rsidRDefault="007269EF" w:rsidP="007269EF">
      <w:pPr>
        <w:pStyle w:val="BodyText"/>
        <w:spacing w:after="0"/>
        <w:ind w:left="900" w:right="900" w:hanging="900"/>
        <w:jc w:val="both"/>
      </w:pPr>
    </w:p>
    <w:p w14:paraId="282BA47E" w14:textId="71B3BE55" w:rsidR="00784D27" w:rsidRDefault="00784D27" w:rsidP="00177B7D">
      <w:pPr>
        <w:pStyle w:val="BodyText"/>
        <w:spacing w:after="0"/>
        <w:ind w:firstLine="720"/>
        <w:jc w:val="both"/>
      </w:pPr>
      <w:r w:rsidRPr="001C1DEE">
        <w:t>In terms of the “Chesapeake’s removal practices” before and after FCG’s ownership</w:t>
      </w:r>
      <w:r w:rsidR="007335EF">
        <w:t>,</w:t>
      </w:r>
      <w:r w:rsidRPr="001C1DEE">
        <w:t xml:space="preserve"> </w:t>
      </w:r>
      <w:r w:rsidR="007335EF">
        <w:t>t</w:t>
      </w:r>
      <w:r>
        <w:t>he Company continues to utilize the services of the same vendor. The main difference is the amount of paperwork involved due to system changes. Company personnel has noted an ease with CUC’s current work flow processes.</w:t>
      </w:r>
    </w:p>
    <w:p w14:paraId="7D5DFE33" w14:textId="77777777" w:rsidR="007269EF" w:rsidRDefault="007269EF" w:rsidP="007269EF">
      <w:pPr>
        <w:pStyle w:val="BodyText"/>
        <w:spacing w:after="0"/>
        <w:ind w:left="900" w:right="900" w:hanging="900"/>
        <w:jc w:val="both"/>
      </w:pPr>
    </w:p>
    <w:p w14:paraId="48C53737" w14:textId="2578E667" w:rsidR="00784D27" w:rsidRDefault="00784D27" w:rsidP="00503A02">
      <w:pPr>
        <w:pStyle w:val="BodyText"/>
        <w:spacing w:after="0"/>
        <w:ind w:firstLine="720"/>
        <w:jc w:val="both"/>
      </w:pPr>
      <w:r w:rsidRPr="004B5F1E">
        <w:t>FCG</w:t>
      </w:r>
      <w:r>
        <w:t>’</w:t>
      </w:r>
      <w:r w:rsidRPr="004B5F1E">
        <w:t xml:space="preserve">s proposed increase in NS </w:t>
      </w:r>
      <w:r w:rsidRPr="00191B9C">
        <w:t>is</w:t>
      </w:r>
      <w:r>
        <w:t xml:space="preserve"> not </w:t>
      </w:r>
      <w:r w:rsidRPr="004B5F1E">
        <w:t xml:space="preserve">well supported. First, as noted in the Company’s discovery response discussed above, the ‘improved accessibility’ </w:t>
      </w:r>
      <w:r w:rsidR="00B76D2C">
        <w:t>was</w:t>
      </w:r>
      <w:r w:rsidRPr="004B5F1E">
        <w:t xml:space="preserve"> observed before FCG’s ownership change, but the data supporting the claim appears to be lacking, with no additional information available from either FCG or its current owner CUC. Second, FCG did not report any major changes in removal practices (such as transforming from ‘cut, physical removal, transport, and recycle’ to ‘cut, cap, and ab</w:t>
      </w:r>
      <w:r>
        <w:t>a</w:t>
      </w:r>
      <w:r w:rsidRPr="004B5F1E">
        <w:t>nd</w:t>
      </w:r>
      <w:r>
        <w:t>o</w:t>
      </w:r>
      <w:r w:rsidRPr="004B5F1E">
        <w:t xml:space="preserve">n in place’); hence, no substantial decrease in physical removal costs has been claimed. </w:t>
      </w:r>
      <w:r w:rsidR="00205CF1">
        <w:t>We are</w:t>
      </w:r>
      <w:r w:rsidRPr="004B5F1E">
        <w:t xml:space="preserve"> not persuaded that changes in the amount of paperwork related to work flow processes would be expected to cause a significant reduction in cost of removal of the pipelines.</w:t>
      </w:r>
    </w:p>
    <w:p w14:paraId="3CBC99BE" w14:textId="77777777" w:rsidR="00503A02" w:rsidRPr="004B5F1E" w:rsidRDefault="00503A02" w:rsidP="00503A02">
      <w:pPr>
        <w:pStyle w:val="BodyText"/>
        <w:spacing w:after="0"/>
        <w:ind w:firstLine="720"/>
        <w:jc w:val="both"/>
      </w:pPr>
    </w:p>
    <w:p w14:paraId="50E427E0" w14:textId="7D6A6AA4" w:rsidR="00784D27" w:rsidRDefault="00205CF1" w:rsidP="00E4006C">
      <w:pPr>
        <w:pStyle w:val="BodyText"/>
        <w:spacing w:after="0"/>
        <w:ind w:firstLine="720"/>
        <w:jc w:val="both"/>
      </w:pPr>
      <w:r>
        <w:t>We</w:t>
      </w:r>
      <w:r w:rsidR="00784D27" w:rsidRPr="004B5F1E">
        <w:t xml:space="preserve"> also reviewed the Company’s claim that “[r]etirements are delayed because operations require newly installed mains and services to be fully operational before retiring the old ones. This delay also impacts net salvage.” As testified by FCG witness Lee, there could have been a lag in reporting and some 2024 retirement-related removal costs may </w:t>
      </w:r>
      <w:r w:rsidR="00784D27">
        <w:t xml:space="preserve">have </w:t>
      </w:r>
      <w:r w:rsidR="00784D27" w:rsidRPr="004B5F1E">
        <w:t>be</w:t>
      </w:r>
      <w:r w:rsidR="00784D27">
        <w:t>en</w:t>
      </w:r>
      <w:r w:rsidR="00784D27" w:rsidRPr="004B5F1E">
        <w:t xml:space="preserve"> recorded in 2025. Thus, the relatively high NS recorded in 2024 (negative one percent) highlighted by witness Lee is not a correct representation of the account’s true NS value in that </w:t>
      </w:r>
      <w:r w:rsidR="00784D27" w:rsidRPr="004B5F1E">
        <w:lastRenderedPageBreak/>
        <w:t>year. As</w:t>
      </w:r>
      <w:r w:rsidR="00E75EBE">
        <w:t xml:space="preserve"> such, </w:t>
      </w:r>
      <w:r w:rsidR="003C20CC">
        <w:t xml:space="preserve">we give </w:t>
      </w:r>
      <w:r w:rsidR="00E75EBE">
        <w:t>more consideration</w:t>
      </w:r>
      <w:r w:rsidR="00784D27" w:rsidRPr="004B5F1E">
        <w:t xml:space="preserve"> to FCG’s</w:t>
      </w:r>
      <w:r w:rsidR="00784D27">
        <w:t xml:space="preserve"> historical 5-year average NS in determining the future NS</w:t>
      </w:r>
      <w:r w:rsidR="00784D27" w:rsidRPr="002A596D">
        <w:t xml:space="preserve"> </w:t>
      </w:r>
      <w:r w:rsidR="00784D27">
        <w:t xml:space="preserve">estimate </w:t>
      </w:r>
      <w:r w:rsidR="00784D27" w:rsidRPr="002A596D">
        <w:t>to be applied in this case</w:t>
      </w:r>
      <w:r w:rsidR="00784D27">
        <w:t xml:space="preserve">. </w:t>
      </w:r>
    </w:p>
    <w:p w14:paraId="3DAFF1D8" w14:textId="77777777" w:rsidR="00E4006C" w:rsidRDefault="00E4006C" w:rsidP="00E4006C">
      <w:pPr>
        <w:pStyle w:val="BodyText"/>
        <w:spacing w:after="0"/>
        <w:ind w:firstLine="720"/>
        <w:jc w:val="both"/>
      </w:pPr>
    </w:p>
    <w:p w14:paraId="5BDA8F9E" w14:textId="38526435" w:rsidR="00784D27" w:rsidRDefault="00784D27" w:rsidP="006672E2">
      <w:pPr>
        <w:pStyle w:val="BodyText"/>
        <w:ind w:firstLine="720"/>
        <w:jc w:val="both"/>
      </w:pPr>
      <w:r w:rsidRPr="004B5F1E">
        <w:t>Further, FCG witness Lee testified that the average NS for the most recent five years is (73) percent and (132) percent for Accounts 3762 and 3801, respectively. This indicates that FCG’s proposed</w:t>
      </w:r>
      <w:r>
        <w:t xml:space="preserve"> (40) percent NS values deviates</w:t>
      </w:r>
      <w:r w:rsidRPr="004B5F1E">
        <w:t xml:space="preserve"> </w:t>
      </w:r>
      <w:r w:rsidR="00BA6864">
        <w:t>significantly</w:t>
      </w:r>
      <w:r w:rsidRPr="004B5F1E">
        <w:t xml:space="preserve"> from the Company’s own historical data. On the other hand, a NS of (50) percent for Accounts 3762 and a NS of (68) for Account 3801, which are currently approved and recommended to be retained</w:t>
      </w:r>
      <w:r>
        <w:t xml:space="preserve"> </w:t>
      </w:r>
      <w:r w:rsidRPr="004B5F1E">
        <w:t>by both OPC witness Dunkel and staff witness Kunkler, are more in line with the Company’s historical data.</w:t>
      </w:r>
      <w:r w:rsidR="00564397" w:rsidRPr="004B5F1E">
        <w:t xml:space="preserve"> These NS estimates are within the industry range.</w:t>
      </w:r>
      <w:r w:rsidR="00564397" w:rsidRPr="004B5F1E">
        <w:rPr>
          <w:rStyle w:val="FootnoteReference"/>
        </w:rPr>
        <w:footnoteReference w:id="19"/>
      </w:r>
    </w:p>
    <w:p w14:paraId="6AC49908" w14:textId="1CDB8655" w:rsidR="00784D27" w:rsidRDefault="00784D27" w:rsidP="003D7765">
      <w:pPr>
        <w:pStyle w:val="BodyText"/>
        <w:spacing w:after="0"/>
        <w:ind w:firstLine="720"/>
        <w:jc w:val="both"/>
      </w:pPr>
      <w:r w:rsidRPr="004B5F1E">
        <w:t xml:space="preserve">Based on the record evidence, </w:t>
      </w:r>
      <w:r w:rsidR="003D7765">
        <w:t>we find</w:t>
      </w:r>
      <w:r w:rsidRPr="004B5F1E">
        <w:t xml:space="preserve"> that retaining a NS of (50) percent and (68) percent for Accounts 3762 and 3801, respectively, is appropriate. </w:t>
      </w:r>
      <w:r w:rsidR="007335EF">
        <w:t>We</w:t>
      </w:r>
      <w:r w:rsidRPr="004B5F1E">
        <w:t xml:space="preserve"> will review the appropriateness of these NS estimates in no more than five years pursuant to Rule 25-7.045 F.A.C.</w:t>
      </w:r>
      <w:r>
        <w:t xml:space="preserve"> </w:t>
      </w:r>
    </w:p>
    <w:p w14:paraId="132FB2AF" w14:textId="77777777" w:rsidR="003D7765" w:rsidRDefault="003D7765" w:rsidP="003D7765">
      <w:pPr>
        <w:pStyle w:val="BodyText"/>
        <w:spacing w:after="0"/>
        <w:ind w:firstLine="720"/>
        <w:jc w:val="both"/>
      </w:pPr>
    </w:p>
    <w:p w14:paraId="27E690E8" w14:textId="622800C8" w:rsidR="00784D27" w:rsidRDefault="00E4006C" w:rsidP="000429CC">
      <w:pPr>
        <w:pStyle w:val="BodyText"/>
        <w:spacing w:after="0"/>
        <w:ind w:firstLine="720"/>
        <w:jc w:val="both"/>
        <w:rPr>
          <w:b/>
          <w:bCs/>
          <w:iCs/>
          <w:szCs w:val="28"/>
        </w:rPr>
      </w:pPr>
      <w:r>
        <w:rPr>
          <w:b/>
          <w:bCs/>
          <w:iCs/>
          <w:szCs w:val="28"/>
        </w:rPr>
        <w:t xml:space="preserve">C.   </w:t>
      </w:r>
      <w:r w:rsidR="00784D27" w:rsidRPr="000429CC">
        <w:rPr>
          <w:b/>
          <w:bCs/>
          <w:iCs/>
          <w:szCs w:val="28"/>
        </w:rPr>
        <w:t>Parameters for Other Accounts</w:t>
      </w:r>
    </w:p>
    <w:p w14:paraId="5351EA00" w14:textId="77777777" w:rsidR="000429CC" w:rsidRPr="000429CC" w:rsidRDefault="000429CC" w:rsidP="000429CC">
      <w:pPr>
        <w:pStyle w:val="BodyText"/>
        <w:spacing w:after="0"/>
        <w:ind w:firstLine="720"/>
        <w:jc w:val="both"/>
        <w:rPr>
          <w:b/>
          <w:bCs/>
          <w:iCs/>
          <w:szCs w:val="28"/>
        </w:rPr>
      </w:pPr>
    </w:p>
    <w:p w14:paraId="088AD40D" w14:textId="03AF5320" w:rsidR="00784D27" w:rsidRDefault="00180F56" w:rsidP="00E4006C">
      <w:pPr>
        <w:pStyle w:val="BodyText"/>
        <w:spacing w:after="0"/>
        <w:ind w:firstLine="720"/>
        <w:jc w:val="both"/>
      </w:pPr>
      <w:r>
        <w:t>Our staff thoroughly reviewed t</w:t>
      </w:r>
      <w:r w:rsidR="00784D27" w:rsidRPr="00E704B5">
        <w:t xml:space="preserve">he appropriateness of </w:t>
      </w:r>
      <w:r w:rsidR="00784D27">
        <w:t xml:space="preserve">FCG’s proposed parameters and rates for </w:t>
      </w:r>
      <w:r w:rsidR="00784D27" w:rsidRPr="00391E55">
        <w:t xml:space="preserve">all </w:t>
      </w:r>
      <w:r w:rsidR="00784D27">
        <w:t xml:space="preserve">other </w:t>
      </w:r>
      <w:r w:rsidR="00784D27" w:rsidRPr="00391E55">
        <w:t>depreciable</w:t>
      </w:r>
      <w:r w:rsidR="00784D27">
        <w:t xml:space="preserve"> accounts</w:t>
      </w:r>
      <w:r>
        <w:t>.</w:t>
      </w:r>
      <w:r w:rsidR="00784D27">
        <w:t xml:space="preserve"> </w:t>
      </w:r>
      <w:r>
        <w:t>T</w:t>
      </w:r>
      <w:r w:rsidR="00784D27">
        <w:t>he Company revise</w:t>
      </w:r>
      <w:r>
        <w:t>d</w:t>
      </w:r>
      <w:r w:rsidR="00784D27">
        <w:t xml:space="preserve"> certain depreciation parameters and amend</w:t>
      </w:r>
      <w:r w:rsidR="00C41904">
        <w:t>ed</w:t>
      </w:r>
      <w:r w:rsidR="00784D27">
        <w:t xml:space="preserve"> its proposals </w:t>
      </w:r>
      <w:r w:rsidR="004A1D4A">
        <w:t>based on</w:t>
      </w:r>
      <w:r>
        <w:t xml:space="preserve"> this review</w:t>
      </w:r>
      <w:r w:rsidR="004A1D4A">
        <w:t xml:space="preserve"> and the</w:t>
      </w:r>
      <w:r w:rsidR="00784D27">
        <w:t xml:space="preserve"> information </w:t>
      </w:r>
      <w:r w:rsidR="004A1D4A">
        <w:t xml:space="preserve">that was </w:t>
      </w:r>
      <w:r w:rsidR="00784D27">
        <w:t xml:space="preserve">available </w:t>
      </w:r>
      <w:r w:rsidR="004A1D4A">
        <w:t xml:space="preserve">to it after </w:t>
      </w:r>
      <w:r w:rsidR="00784D27">
        <w:t>the Company’s ownership change</w:t>
      </w:r>
      <w:r w:rsidR="004A1D4A">
        <w:t>. W</w:t>
      </w:r>
      <w:r w:rsidR="003D7765">
        <w:t>e find</w:t>
      </w:r>
      <w:r w:rsidR="00784D27">
        <w:t xml:space="preserve"> that </w:t>
      </w:r>
      <w:r w:rsidR="004A1D4A">
        <w:t>the</w:t>
      </w:r>
      <w:r w:rsidR="00784D27">
        <w:t xml:space="preserve"> proposed depreciation parameters for such accounts</w:t>
      </w:r>
      <w:r w:rsidR="004A1D4A">
        <w:t xml:space="preserve"> as set forth in FCG’s 2025 Study </w:t>
      </w:r>
      <w:r w:rsidR="00784D27">
        <w:t>are reasonable</w:t>
      </w:r>
      <w:r w:rsidR="00784D27" w:rsidRPr="000315BC">
        <w:t xml:space="preserve"> </w:t>
      </w:r>
      <w:r w:rsidR="00784D27">
        <w:t>at this point in time.</w:t>
      </w:r>
    </w:p>
    <w:p w14:paraId="06C513C0" w14:textId="77777777" w:rsidR="00E4006C" w:rsidRDefault="00E4006C" w:rsidP="00E4006C">
      <w:pPr>
        <w:pStyle w:val="BodyText"/>
        <w:spacing w:after="0"/>
        <w:ind w:firstLine="720"/>
        <w:jc w:val="both"/>
      </w:pPr>
    </w:p>
    <w:p w14:paraId="7AF6DF0D" w14:textId="416D1D6F" w:rsidR="00784D27" w:rsidRDefault="00784D27" w:rsidP="00177B7D">
      <w:pPr>
        <w:pStyle w:val="BodyText"/>
        <w:spacing w:after="0"/>
        <w:ind w:firstLine="720"/>
        <w:jc w:val="both"/>
      </w:pPr>
      <w:r>
        <w:t xml:space="preserve">Additionally, FCG </w:t>
      </w:r>
      <w:r w:rsidR="00180F56" w:rsidRPr="001F5FA4">
        <w:t>submitted</w:t>
      </w:r>
      <w:r>
        <w:t xml:space="preserve"> certain amortizable accounts</w:t>
      </w:r>
      <w:r w:rsidRPr="001F5FA4">
        <w:t xml:space="preserve"> as part of </w:t>
      </w:r>
      <w:r w:rsidR="00564397">
        <w:t>the</w:t>
      </w:r>
      <w:r w:rsidRPr="001F5FA4">
        <w:t xml:space="preserve"> 2025 </w:t>
      </w:r>
      <w:r w:rsidR="00564397">
        <w:t>Depreciation</w:t>
      </w:r>
      <w:r w:rsidRPr="001F5FA4">
        <w:t xml:space="preserve"> Study</w:t>
      </w:r>
      <w:r>
        <w:t>.</w:t>
      </w:r>
      <w:r>
        <w:rPr>
          <w:rStyle w:val="FootnoteReference"/>
        </w:rPr>
        <w:footnoteReference w:id="20"/>
      </w:r>
      <w:r>
        <w:t xml:space="preserve"> The Company proposed to synchronize the amortization periods with those of its parent Company, CUC, which has uniform amortization periods for amortizable accounts across all of its natural gas distribution business units. The Company indicated that amortization periods are based on judgement and were approved in the latest depreciation studies for CUC Florida Public Utilities Company’s consolidated natural gas division and CUC-Maryland. They have also been proposed in the CUC-Delaware 2024 depreciation study.</w:t>
      </w:r>
    </w:p>
    <w:p w14:paraId="552DCBD9" w14:textId="77777777" w:rsidR="001D7896" w:rsidRDefault="001D7896" w:rsidP="00AC29C3">
      <w:pPr>
        <w:pStyle w:val="OrderBody"/>
      </w:pPr>
    </w:p>
    <w:p w14:paraId="58F230DA" w14:textId="46A69797" w:rsidR="00784D27" w:rsidRDefault="001F1F6E" w:rsidP="00E4006C">
      <w:pPr>
        <w:pStyle w:val="BodyText"/>
        <w:spacing w:after="0"/>
        <w:ind w:firstLine="720"/>
        <w:jc w:val="both"/>
      </w:pPr>
      <w:r>
        <w:t xml:space="preserve">We find that </w:t>
      </w:r>
      <w:r w:rsidR="00784D27" w:rsidRPr="005F4626">
        <w:t>FCG’s amortizable accounts’ parameters and rates are</w:t>
      </w:r>
      <w:r w:rsidR="00CE3B91">
        <w:t xml:space="preserve"> supported by the record and</w:t>
      </w:r>
      <w:r w:rsidR="00784D27" w:rsidRPr="005F4626">
        <w:t xml:space="preserve"> reasonable.</w:t>
      </w:r>
      <w:r w:rsidR="00784D27">
        <w:t xml:space="preserve"> </w:t>
      </w:r>
      <w:r w:rsidR="00784D27" w:rsidRPr="005F4626">
        <w:t xml:space="preserve">The Company’s request regarding its proposed modifications to </w:t>
      </w:r>
      <w:r w:rsidR="00784D27" w:rsidRPr="005F4626">
        <w:lastRenderedPageBreak/>
        <w:t>amortizable accounts to reflect the amortization of CUC’s other gas business units comports with Rule 25-7.045(3)(b), F.A.C.</w:t>
      </w:r>
    </w:p>
    <w:p w14:paraId="389CB613" w14:textId="77777777" w:rsidR="00180F56" w:rsidRPr="005F4626" w:rsidRDefault="00180F56" w:rsidP="00E4006C">
      <w:pPr>
        <w:pStyle w:val="BodyText"/>
        <w:spacing w:after="0"/>
        <w:ind w:firstLine="720"/>
        <w:jc w:val="both"/>
      </w:pPr>
    </w:p>
    <w:p w14:paraId="5E49000C" w14:textId="77777777" w:rsidR="00784D27" w:rsidRDefault="00784D27" w:rsidP="00DC4ECB">
      <w:pPr>
        <w:pStyle w:val="BodyText"/>
        <w:spacing w:after="0"/>
        <w:ind w:firstLine="720"/>
        <w:jc w:val="both"/>
        <w:rPr>
          <w:b/>
          <w:bCs/>
          <w:iCs/>
          <w:szCs w:val="28"/>
        </w:rPr>
      </w:pPr>
      <w:r w:rsidRPr="000429CC">
        <w:rPr>
          <w:b/>
          <w:bCs/>
          <w:iCs/>
          <w:szCs w:val="28"/>
        </w:rPr>
        <w:t xml:space="preserve">Summary </w:t>
      </w:r>
    </w:p>
    <w:p w14:paraId="3193B8EF" w14:textId="77777777" w:rsidR="003D7765" w:rsidRPr="000429CC" w:rsidRDefault="003D7765" w:rsidP="00AC29C3">
      <w:pPr>
        <w:pStyle w:val="BodyText"/>
        <w:spacing w:after="0"/>
        <w:jc w:val="both"/>
        <w:rPr>
          <w:b/>
          <w:bCs/>
          <w:iCs/>
          <w:szCs w:val="28"/>
        </w:rPr>
      </w:pPr>
    </w:p>
    <w:p w14:paraId="0B2A63DF" w14:textId="760428B2" w:rsidR="00784D27" w:rsidRDefault="00CE3B91" w:rsidP="00834F95">
      <w:pPr>
        <w:pStyle w:val="BodyText"/>
        <w:spacing w:after="0"/>
        <w:ind w:firstLine="720"/>
        <w:jc w:val="both"/>
      </w:pPr>
      <w:r>
        <w:t>T</w:t>
      </w:r>
      <w:r w:rsidR="00784D27" w:rsidRPr="005F4626">
        <w:t xml:space="preserve">here is some degree of subjectivity in depreciation studies. </w:t>
      </w:r>
      <w:r w:rsidR="00205CF1">
        <w:t>Our</w:t>
      </w:r>
      <w:r w:rsidR="00784D27" w:rsidRPr="005F4626">
        <w:t xml:space="preserve"> analysis weighed the arguments and support for parameter adjustments based on the degree of reliance placed on historical retirement/salvage activity as well as the reliance placed on future expectations and professional judgement.</w:t>
      </w:r>
      <w:r w:rsidRPr="00CE3B91">
        <w:t xml:space="preserve"> </w:t>
      </w:r>
      <w:r>
        <w:t xml:space="preserve">After </w:t>
      </w:r>
      <w:r w:rsidRPr="005F4626">
        <w:t>thoroughly review</w:t>
      </w:r>
      <w:r>
        <w:t>ing</w:t>
      </w:r>
      <w:r w:rsidRPr="005F4626">
        <w:t xml:space="preserve"> all depreciation parameters presente</w:t>
      </w:r>
      <w:r>
        <w:t>d in the 2025 Study, we find</w:t>
      </w:r>
      <w:r w:rsidRPr="005F4626">
        <w:t xml:space="preserve"> adjustments to one account’s proposed curve shape and two accounts’ NS are necessary.</w:t>
      </w:r>
    </w:p>
    <w:p w14:paraId="17C8886F" w14:textId="77777777" w:rsidR="00834F95" w:rsidRPr="005F4626" w:rsidRDefault="00834F95" w:rsidP="00834F95">
      <w:pPr>
        <w:pStyle w:val="BodyText"/>
        <w:spacing w:after="0"/>
        <w:ind w:firstLine="720"/>
        <w:jc w:val="both"/>
      </w:pPr>
    </w:p>
    <w:p w14:paraId="74461A94" w14:textId="0023402D" w:rsidR="00784D27" w:rsidRDefault="003D7765" w:rsidP="00834F95">
      <w:pPr>
        <w:pStyle w:val="BodyText"/>
        <w:spacing w:after="0"/>
        <w:ind w:firstLine="720"/>
        <w:jc w:val="both"/>
      </w:pPr>
      <w:r>
        <w:t>We find</w:t>
      </w:r>
      <w:r w:rsidR="00784D27" w:rsidRPr="005F4626">
        <w:t xml:space="preserve"> FCG’s proposed R2.5 curve shape used to calculate remaining life rate for Account 3762: Mains-Steel unsupported </w:t>
      </w:r>
      <w:r w:rsidR="00D0240F">
        <w:t>in the record. We</w:t>
      </w:r>
      <w:r>
        <w:t xml:space="preserve"> find</w:t>
      </w:r>
      <w:r w:rsidR="00784D27" w:rsidRPr="005F4626">
        <w:t xml:space="preserve"> that the Company’s historic curve shape for this account is</w:t>
      </w:r>
      <w:r w:rsidR="00D0240F">
        <w:t xml:space="preserve"> supported by the preponderance of evidence in the record and</w:t>
      </w:r>
      <w:r w:rsidR="00784D27" w:rsidRPr="005F4626">
        <w:t xml:space="preserve"> most appropriate. </w:t>
      </w:r>
      <w:r w:rsidR="00205CF1">
        <w:t>We approve</w:t>
      </w:r>
      <w:r w:rsidR="00784D27" w:rsidRPr="005F4626">
        <w:t xml:space="preserve"> R4 as the appropriate curve shape for Account 3762.</w:t>
      </w:r>
    </w:p>
    <w:p w14:paraId="2113A230" w14:textId="77777777" w:rsidR="00834F95" w:rsidRPr="005F4626" w:rsidRDefault="00834F95" w:rsidP="00834F95">
      <w:pPr>
        <w:pStyle w:val="BodyText"/>
        <w:spacing w:after="0"/>
        <w:ind w:firstLine="720"/>
        <w:jc w:val="both"/>
      </w:pPr>
    </w:p>
    <w:p w14:paraId="4076A54A" w14:textId="1A3E8D69" w:rsidR="00784D27" w:rsidRDefault="00D0240F" w:rsidP="00834F95">
      <w:pPr>
        <w:pStyle w:val="BodyText"/>
        <w:spacing w:after="0"/>
        <w:ind w:firstLine="720"/>
        <w:jc w:val="both"/>
      </w:pPr>
      <w:r>
        <w:t>We find t</w:t>
      </w:r>
      <w:r w:rsidR="00784D27" w:rsidRPr="005F4626">
        <w:t xml:space="preserve">he continuation of current NS percentages for accounts 3762 and 3801 are supported by </w:t>
      </w:r>
      <w:r>
        <w:t>the prepo</w:t>
      </w:r>
      <w:r w:rsidR="00CE3B91">
        <w:t>n</w:t>
      </w:r>
      <w:r>
        <w:t>derance of the evi</w:t>
      </w:r>
      <w:r w:rsidR="00CE3B91">
        <w:t>de</w:t>
      </w:r>
      <w:r>
        <w:t xml:space="preserve">nce, most notably the testimony of </w:t>
      </w:r>
      <w:r w:rsidR="00784D27" w:rsidRPr="005F4626">
        <w:t>both OPC witness Dunkel and staff witness Kunkler.</w:t>
      </w:r>
      <w:r w:rsidR="00784D27">
        <w:t xml:space="preserve"> </w:t>
      </w:r>
    </w:p>
    <w:p w14:paraId="46D8E30E" w14:textId="77777777" w:rsidR="00834F95" w:rsidRDefault="00834F95" w:rsidP="00834F95">
      <w:pPr>
        <w:jc w:val="both"/>
        <w:rPr>
          <w:b/>
        </w:rPr>
      </w:pPr>
    </w:p>
    <w:p w14:paraId="4EA75C92" w14:textId="3EBBD4A0" w:rsidR="00784D27" w:rsidRPr="000429CC" w:rsidRDefault="00784D27" w:rsidP="00DC4ECB">
      <w:pPr>
        <w:spacing w:after="240"/>
        <w:ind w:firstLine="720"/>
        <w:jc w:val="both"/>
        <w:rPr>
          <w:b/>
        </w:rPr>
      </w:pPr>
      <w:r w:rsidRPr="000429CC">
        <w:rPr>
          <w:b/>
        </w:rPr>
        <w:t>C</w:t>
      </w:r>
      <w:r w:rsidR="000429CC">
        <w:rPr>
          <w:b/>
        </w:rPr>
        <w:t>onclusion</w:t>
      </w:r>
    </w:p>
    <w:p w14:paraId="05972DA0" w14:textId="2B22BF24" w:rsidR="00784D27" w:rsidRDefault="00205CF1" w:rsidP="006672E2">
      <w:pPr>
        <w:pStyle w:val="OrderBody"/>
        <w:ind w:firstLine="720"/>
      </w:pPr>
      <w:r>
        <w:t>W</w:t>
      </w:r>
      <w:r w:rsidR="00F4160F">
        <w:t>e</w:t>
      </w:r>
      <w:r>
        <w:t xml:space="preserve"> approve</w:t>
      </w:r>
      <w:r w:rsidR="00F4160F">
        <w:t xml:space="preserve"> </w:t>
      </w:r>
      <w:r w:rsidR="00784D27" w:rsidRPr="005F4626">
        <w:t xml:space="preserve">the depreciation parameters and resulting remaining life depreciation rates for each depreciable account, as well as the amortization period for each amortizable account, as </w:t>
      </w:r>
      <w:r w:rsidR="00D0240F">
        <w:t>set forth</w:t>
      </w:r>
      <w:r w:rsidR="00D0240F" w:rsidRPr="005F4626">
        <w:t xml:space="preserve"> </w:t>
      </w:r>
      <w:r w:rsidR="00784D27" w:rsidRPr="005F4626">
        <w:t>in At</w:t>
      </w:r>
      <w:r w:rsidR="00EA6942">
        <w:t>tachment A to th</w:t>
      </w:r>
      <w:r w:rsidR="00D0240F">
        <w:t>is</w:t>
      </w:r>
      <w:r w:rsidR="00EA6942">
        <w:t xml:space="preserve"> order</w:t>
      </w:r>
      <w:r w:rsidR="003F4FF9">
        <w:t>, which is incorporated by this reference as if fully set forth herein</w:t>
      </w:r>
      <w:r w:rsidR="00784D27" w:rsidRPr="005F4626">
        <w:t>.</w:t>
      </w:r>
    </w:p>
    <w:p w14:paraId="13BE0BC6" w14:textId="77777777" w:rsidR="00784D27" w:rsidRDefault="00784D27" w:rsidP="00AC29C3">
      <w:pPr>
        <w:pStyle w:val="OrderBody"/>
      </w:pPr>
    </w:p>
    <w:p w14:paraId="7CD66AB1" w14:textId="347A48C3" w:rsidR="00AC29C3" w:rsidRDefault="00100263" w:rsidP="00585AF0">
      <w:pPr>
        <w:pStyle w:val="BodyText"/>
        <w:spacing w:after="0"/>
        <w:jc w:val="both"/>
        <w:rPr>
          <w:u w:val="single"/>
        </w:rPr>
      </w:pPr>
      <w:r>
        <w:t>3.</w:t>
      </w:r>
      <w:r>
        <w:tab/>
      </w:r>
      <w:r>
        <w:rPr>
          <w:u w:val="single"/>
        </w:rPr>
        <w:t>FCG’s Resulting Depreciation Imbalances</w:t>
      </w:r>
    </w:p>
    <w:p w14:paraId="524637D5" w14:textId="77777777" w:rsidR="00585AF0" w:rsidRPr="00100263" w:rsidRDefault="00585AF0" w:rsidP="00585AF0">
      <w:pPr>
        <w:pStyle w:val="BodyText"/>
        <w:spacing w:after="0"/>
        <w:jc w:val="both"/>
        <w:rPr>
          <w:u w:val="single"/>
        </w:rPr>
      </w:pPr>
    </w:p>
    <w:p w14:paraId="48C7F83E" w14:textId="0AB4A46C" w:rsidR="002E5A76" w:rsidRDefault="002E5A76" w:rsidP="00585AF0">
      <w:pPr>
        <w:pStyle w:val="BodyText"/>
        <w:spacing w:after="0"/>
        <w:ind w:firstLine="720"/>
        <w:jc w:val="both"/>
      </w:pPr>
      <w:r w:rsidRPr="004D239E">
        <w:t>Rule 25-7.045(4)(k), F.A.C., provides that an account’s theoretical reserve amount is determined by the account’s book investment minus the account’s future accruals and future net salvage.</w:t>
      </w:r>
      <w:r w:rsidRPr="00E67C9B">
        <w:t xml:space="preserve"> </w:t>
      </w:r>
      <w:r>
        <w:t>The</w:t>
      </w:r>
      <w:r w:rsidRPr="00E67C9B">
        <w:t xml:space="preserve"> theoretical reserve is a calculated reserve based on the proposed parameters of that account.</w:t>
      </w:r>
      <w:r w:rsidRPr="00E67C9B">
        <w:rPr>
          <w:rStyle w:val="FootnoteReference"/>
        </w:rPr>
        <w:footnoteReference w:id="21"/>
      </w:r>
    </w:p>
    <w:p w14:paraId="7AEF0086" w14:textId="77777777" w:rsidR="00585AF0" w:rsidRDefault="00585AF0" w:rsidP="00585AF0">
      <w:pPr>
        <w:pStyle w:val="BodyText"/>
        <w:spacing w:after="0"/>
        <w:ind w:firstLine="720"/>
        <w:jc w:val="both"/>
      </w:pPr>
    </w:p>
    <w:p w14:paraId="3A8B4AC0" w14:textId="0A7D4719" w:rsidR="002E5A76" w:rsidRDefault="002E5A76" w:rsidP="00585AF0">
      <w:pPr>
        <w:pStyle w:val="BodyText"/>
        <w:spacing w:after="0"/>
        <w:ind w:firstLine="720"/>
        <w:jc w:val="both"/>
      </w:pPr>
      <w:r w:rsidRPr="00E67C9B">
        <w:t>The reserve imbalance of the account is the difference between the account’s theoretical reserve and its book reserve.</w:t>
      </w:r>
      <w:r w:rsidRPr="00224867">
        <w:t xml:space="preserve"> If the book reserve amount is larger than the theoretical reserve amount for a particular account, then this account presents a reserve surplus at a specific point in time. If the book reserve amount is less than the theoretical reserve amount, the account presents a deficit.</w:t>
      </w:r>
    </w:p>
    <w:p w14:paraId="031D3505" w14:textId="77777777" w:rsidR="00D0240F" w:rsidRDefault="00D0240F" w:rsidP="00585AF0">
      <w:pPr>
        <w:pStyle w:val="BodyText"/>
        <w:spacing w:after="0"/>
        <w:ind w:firstLine="720"/>
        <w:jc w:val="both"/>
      </w:pPr>
    </w:p>
    <w:p w14:paraId="0CBF74A1" w14:textId="3A72BA15" w:rsidR="002E5A76" w:rsidRDefault="002E5A76" w:rsidP="00585AF0">
      <w:pPr>
        <w:pStyle w:val="BodyText"/>
        <w:spacing w:after="0"/>
        <w:ind w:firstLine="720"/>
        <w:jc w:val="both"/>
      </w:pPr>
      <w:r>
        <w:t xml:space="preserve">Applying the depreciation parameters and </w:t>
      </w:r>
      <w:r w:rsidRPr="002B21F7">
        <w:t>depreciation rate</w:t>
      </w:r>
      <w:r w:rsidRPr="00704397">
        <w:t xml:space="preserve"> </w:t>
      </w:r>
      <w:r>
        <w:t xml:space="preserve">proposed in the 2025 Study, FCG witness Lee </w:t>
      </w:r>
      <w:r w:rsidRPr="002B21F7">
        <w:t xml:space="preserve">calculated the Company’s theoretical reserve </w:t>
      </w:r>
      <w:r>
        <w:t>and reserve imbalance</w:t>
      </w:r>
      <w:r w:rsidRPr="002B21F7">
        <w:t xml:space="preserve"> </w:t>
      </w:r>
      <w:r>
        <w:t>f</w:t>
      </w:r>
      <w:r w:rsidRPr="002B21F7">
        <w:t xml:space="preserve">or each </w:t>
      </w:r>
      <w:r w:rsidRPr="002B21F7">
        <w:lastRenderedPageBreak/>
        <w:t>depreciable accoun</w:t>
      </w:r>
      <w:r>
        <w:t xml:space="preserve">t. The resulting total imbalance </w:t>
      </w:r>
      <w:r w:rsidRPr="00A3514D">
        <w:t xml:space="preserve">calculated by the Company </w:t>
      </w:r>
      <w:r>
        <w:t>is a surplus of $19.2 million,</w:t>
      </w:r>
      <w:r w:rsidRPr="00547DF8">
        <w:t xml:space="preserve"> </w:t>
      </w:r>
      <w:r>
        <w:t>as of January 1, 2025.</w:t>
      </w:r>
    </w:p>
    <w:p w14:paraId="53424CA2" w14:textId="77777777" w:rsidR="00585AF0" w:rsidRDefault="00585AF0" w:rsidP="00585AF0">
      <w:pPr>
        <w:pStyle w:val="BodyText"/>
        <w:spacing w:after="0"/>
        <w:ind w:firstLine="720"/>
        <w:jc w:val="both"/>
      </w:pPr>
    </w:p>
    <w:p w14:paraId="27EA05E7" w14:textId="2E36EE5E" w:rsidR="00784D27" w:rsidRDefault="002E5A76" w:rsidP="00585AF0">
      <w:pPr>
        <w:pStyle w:val="OrderBody"/>
        <w:ind w:firstLine="720"/>
      </w:pPr>
      <w:r>
        <w:t>OPC recommended that FCG’s 2025 Study should be rejected but, in the alternative, OPC proposed that</w:t>
      </w:r>
      <w:r w:rsidRPr="00493C9F">
        <w:t xml:space="preserve"> the Commission should adopt the recommendation of </w:t>
      </w:r>
      <w:r w:rsidR="00F0505D">
        <w:t>s</w:t>
      </w:r>
      <w:r w:rsidRPr="00493C9F">
        <w:t>taff witness Kunkler</w:t>
      </w:r>
      <w:r>
        <w:t xml:space="preserve">. </w:t>
      </w:r>
    </w:p>
    <w:p w14:paraId="57F13859" w14:textId="77777777" w:rsidR="00784D27" w:rsidRDefault="00784D27" w:rsidP="00AC29C3">
      <w:pPr>
        <w:pStyle w:val="OrderBody"/>
      </w:pPr>
    </w:p>
    <w:p w14:paraId="5C0B8878" w14:textId="635F1801" w:rsidR="002E5A76" w:rsidRDefault="00205CF1" w:rsidP="006672E2">
      <w:pPr>
        <w:pStyle w:val="BodyText"/>
        <w:spacing w:after="0"/>
        <w:ind w:firstLine="720"/>
        <w:jc w:val="both"/>
      </w:pPr>
      <w:r>
        <w:t>We have</w:t>
      </w:r>
      <w:r w:rsidR="002E5A76">
        <w:t xml:space="preserve"> </w:t>
      </w:r>
      <w:r w:rsidR="002E5A76" w:rsidRPr="00E67C9B">
        <w:t xml:space="preserve">reviewed FCG’s reserve imbalance for each depreciable account. </w:t>
      </w:r>
      <w:r>
        <w:t>We</w:t>
      </w:r>
      <w:r w:rsidR="002E5A76" w:rsidRPr="00E67C9B">
        <w:t xml:space="preserve"> also reviewed the reserve imbalance provided by staff witness Kunkler</w:t>
      </w:r>
      <w:r w:rsidR="00D0240F">
        <w:t>. We</w:t>
      </w:r>
      <w:r w:rsidR="002E5A76" w:rsidRPr="00E67C9B">
        <w:t xml:space="preserve"> agree with </w:t>
      </w:r>
      <w:r w:rsidR="00D0240F">
        <w:t>the</w:t>
      </w:r>
      <w:r w:rsidR="002E5A76" w:rsidRPr="00E67C9B">
        <w:t xml:space="preserve"> reserve imbalance as calculated</w:t>
      </w:r>
      <w:r w:rsidR="00D0240F">
        <w:t xml:space="preserve"> by witness Kunkler</w:t>
      </w:r>
      <w:r w:rsidR="002E5A76" w:rsidRPr="00E67C9B">
        <w:t>. The resulting reserve imbalance is a surplus of $6,716,759 for the depreciable accounts. Adding in the Company’s identified reserve surplus of $43,469 associated with the amorti</w:t>
      </w:r>
      <w:r>
        <w:t xml:space="preserve">zable accounts, </w:t>
      </w:r>
      <w:r w:rsidR="002E5A76" w:rsidRPr="00E67C9B">
        <w:t xml:space="preserve">the total amount of reserve imbalance for FCG’s is a surplus of $6,760,228, or </w:t>
      </w:r>
      <w:r w:rsidR="00D0240F">
        <w:t xml:space="preserve">approximately </w:t>
      </w:r>
      <w:r w:rsidR="002E5A76" w:rsidRPr="00E67C9B">
        <w:t>$6.8 million</w:t>
      </w:r>
      <w:r w:rsidR="00D0240F">
        <w:t>.</w:t>
      </w:r>
    </w:p>
    <w:p w14:paraId="417F5124" w14:textId="77777777" w:rsidR="002E5A76" w:rsidRPr="00C1332B" w:rsidRDefault="002E5A76" w:rsidP="00AC29C3">
      <w:pPr>
        <w:pStyle w:val="BodyText"/>
        <w:spacing w:after="0"/>
        <w:jc w:val="both"/>
      </w:pPr>
    </w:p>
    <w:p w14:paraId="7E3E8544" w14:textId="3E64D458" w:rsidR="00CE3B91" w:rsidRDefault="0088149F" w:rsidP="00585AF0">
      <w:pPr>
        <w:pStyle w:val="OrderBody"/>
        <w:ind w:firstLine="720"/>
      </w:pPr>
      <w:r>
        <w:t xml:space="preserve">Table </w:t>
      </w:r>
      <w:r w:rsidR="00CE3B91">
        <w:t>3</w:t>
      </w:r>
      <w:r w:rsidR="002E5A76" w:rsidRPr="00C1332B">
        <w:t xml:space="preserve"> bel</w:t>
      </w:r>
      <w:r w:rsidR="00E75EBE">
        <w:t>ow shows our approved</w:t>
      </w:r>
      <w:r w:rsidR="002E5A76" w:rsidRPr="00C1332B">
        <w:t xml:space="preserve"> theoretical reserve imbalances for each FCG depreciable plant account. </w:t>
      </w:r>
      <w:r w:rsidR="00F4160F">
        <w:t>T</w:t>
      </w:r>
      <w:r w:rsidR="002E5A76" w:rsidRPr="00C1332B">
        <w:t xml:space="preserve">he table includes some inter-account reserve transfers, </w:t>
      </w:r>
      <w:r w:rsidR="00F4160F">
        <w:t>which</w:t>
      </w:r>
      <w:r w:rsidR="002E5A76" w:rsidRPr="00C1332B">
        <w:t xml:space="preserve"> are all within </w:t>
      </w:r>
      <w:r w:rsidR="00F4160F">
        <w:t>the</w:t>
      </w:r>
      <w:r w:rsidR="002E5A76" w:rsidRPr="00C1332B">
        <w:t xml:space="preserve"> same plant category (distribution). These transfers do not impact the reserve imbalance calculation </w:t>
      </w:r>
      <w:r w:rsidR="00EA6942">
        <w:t xml:space="preserve">here </w:t>
      </w:r>
      <w:r w:rsidR="002E5A76" w:rsidRPr="00C1332B">
        <w:t>because they net to zero.</w:t>
      </w:r>
    </w:p>
    <w:p w14:paraId="140EF80B" w14:textId="77777777" w:rsidR="00CE3B91" w:rsidRDefault="00CE3B91">
      <w:r>
        <w:br w:type="page"/>
      </w:r>
    </w:p>
    <w:p w14:paraId="068E7A0E" w14:textId="77777777" w:rsidR="00121A16" w:rsidRDefault="00121A16" w:rsidP="00121A16">
      <w:pPr>
        <w:pStyle w:val="OrderBody"/>
      </w:pPr>
    </w:p>
    <w:p w14:paraId="3F8B8C19" w14:textId="2266D3E0" w:rsidR="002E5A76" w:rsidRPr="00A41A61" w:rsidRDefault="0088149F" w:rsidP="00F120C2">
      <w:pPr>
        <w:pStyle w:val="TableNumber"/>
        <w:keepNext/>
        <w:spacing w:before="0"/>
        <w:rPr>
          <w:rFonts w:ascii="Times New Roman" w:hAnsi="Times New Roman"/>
        </w:rPr>
      </w:pPr>
      <w:r w:rsidRPr="00A41A61">
        <w:rPr>
          <w:rFonts w:ascii="Times New Roman" w:hAnsi="Times New Roman"/>
        </w:rPr>
        <w:t xml:space="preserve">Table </w:t>
      </w:r>
      <w:r w:rsidR="007A5A42">
        <w:rPr>
          <w:rFonts w:ascii="Times New Roman" w:hAnsi="Times New Roman"/>
        </w:rPr>
        <w:t>3</w:t>
      </w:r>
    </w:p>
    <w:p w14:paraId="678A6170" w14:textId="77777777" w:rsidR="002E5A76" w:rsidRPr="00A41A61" w:rsidRDefault="00A41A61" w:rsidP="002E5A76">
      <w:pPr>
        <w:pStyle w:val="TableTitle"/>
        <w:keepNext/>
        <w:spacing w:after="60"/>
        <w:rPr>
          <w:rFonts w:ascii="Times New Roman" w:hAnsi="Times New Roman"/>
        </w:rPr>
      </w:pPr>
      <w:r>
        <w:rPr>
          <w:rFonts w:ascii="Times New Roman" w:hAnsi="Times New Roman"/>
        </w:rPr>
        <w:t>Commission Approved</w:t>
      </w:r>
      <w:r w:rsidR="002E5A76" w:rsidRPr="00A41A61">
        <w:rPr>
          <w:rFonts w:ascii="Times New Roman" w:hAnsi="Times New Roman"/>
        </w:rPr>
        <w:t xml:space="preserve"> Theoretical Reserve Imbalance (as of 1/1/2025)</w:t>
      </w:r>
    </w:p>
    <w:p w14:paraId="42C8F508" w14:textId="4377902E" w:rsidR="002E5A76" w:rsidRDefault="002E5A76" w:rsidP="002E5A76">
      <w:pPr>
        <w:pStyle w:val="BodyText"/>
      </w:pPr>
    </w:p>
    <w:p w14:paraId="326D0A99" w14:textId="5FCD85C2" w:rsidR="002E5A76" w:rsidRDefault="00C9139C" w:rsidP="00585AF0">
      <w:pPr>
        <w:jc w:val="center"/>
        <w:rPr>
          <w:rFonts w:ascii="Arial" w:hAnsi="Arial" w:cs="Arial"/>
          <w:b/>
        </w:rPr>
      </w:pPr>
      <w:r w:rsidRPr="00C9139C">
        <w:rPr>
          <w:noProof/>
        </w:rPr>
        <w:drawing>
          <wp:inline distT="0" distB="0" distL="0" distR="0" wp14:anchorId="6BAB82F2" wp14:editId="565C8802">
            <wp:extent cx="5943600" cy="456505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565050"/>
                    </a:xfrm>
                    <a:prstGeom prst="rect">
                      <a:avLst/>
                    </a:prstGeom>
                    <a:noFill/>
                    <a:ln>
                      <a:noFill/>
                    </a:ln>
                  </pic:spPr>
                </pic:pic>
              </a:graphicData>
            </a:graphic>
          </wp:inline>
        </w:drawing>
      </w:r>
    </w:p>
    <w:p w14:paraId="61E46356" w14:textId="2A44830B" w:rsidR="004379CD" w:rsidRDefault="004379CD" w:rsidP="00121A16">
      <w:pPr>
        <w:rPr>
          <w:rFonts w:ascii="Arial" w:hAnsi="Arial" w:cs="Arial"/>
          <w:b/>
        </w:rPr>
      </w:pPr>
    </w:p>
    <w:p w14:paraId="1C3C6F7E" w14:textId="35A4B408" w:rsidR="002E5A76" w:rsidRDefault="002E5A76" w:rsidP="00DC4ECB">
      <w:pPr>
        <w:ind w:firstLine="720"/>
        <w:jc w:val="both"/>
        <w:rPr>
          <w:b/>
        </w:rPr>
      </w:pPr>
      <w:r w:rsidRPr="00F120C2">
        <w:rPr>
          <w:b/>
        </w:rPr>
        <w:t>C</w:t>
      </w:r>
      <w:r w:rsidR="00F120C2">
        <w:rPr>
          <w:b/>
        </w:rPr>
        <w:t>onclusion</w:t>
      </w:r>
    </w:p>
    <w:p w14:paraId="0A9B5447" w14:textId="77777777" w:rsidR="00585AF0" w:rsidRPr="00F120C2" w:rsidRDefault="00585AF0" w:rsidP="00585AF0">
      <w:pPr>
        <w:jc w:val="both"/>
        <w:rPr>
          <w:b/>
        </w:rPr>
      </w:pPr>
    </w:p>
    <w:p w14:paraId="558DFB6E" w14:textId="620739C8" w:rsidR="00784D27" w:rsidRDefault="00BD4AEB" w:rsidP="00403AD7">
      <w:pPr>
        <w:pStyle w:val="OrderBody"/>
        <w:ind w:firstLine="720"/>
      </w:pPr>
      <w:r>
        <w:t>We approve t</w:t>
      </w:r>
      <w:r w:rsidR="002E5A76" w:rsidRPr="00E62692">
        <w:t xml:space="preserve">he resulting theoretical reserve imbalances for </w:t>
      </w:r>
      <w:r w:rsidR="002E5A76">
        <w:t>FCG</w:t>
      </w:r>
      <w:r w:rsidR="002E5A76" w:rsidRPr="00E62692">
        <w:t>’s depreciable plant accounts a</w:t>
      </w:r>
      <w:r>
        <w:t>s</w:t>
      </w:r>
      <w:r w:rsidR="002E5A76" w:rsidRPr="00E62692">
        <w:t xml:space="preserve"> shown in </w:t>
      </w:r>
      <w:r w:rsidR="0088149F">
        <w:t xml:space="preserve">Table </w:t>
      </w:r>
      <w:r>
        <w:t>3</w:t>
      </w:r>
      <w:r w:rsidR="002E5A76" w:rsidRPr="00E62692">
        <w:t>.</w:t>
      </w:r>
    </w:p>
    <w:p w14:paraId="14E10B23" w14:textId="77777777" w:rsidR="00784D27" w:rsidRDefault="00784D27" w:rsidP="00AC29C3">
      <w:pPr>
        <w:pStyle w:val="OrderBody"/>
      </w:pPr>
    </w:p>
    <w:p w14:paraId="1874F8C3" w14:textId="77777777" w:rsidR="00403AD7" w:rsidRPr="00DF0041" w:rsidRDefault="00403AD7" w:rsidP="00AC29C3">
      <w:pPr>
        <w:pStyle w:val="IssueSubsectionHeading"/>
        <w:keepNext/>
        <w:rPr>
          <w:rFonts w:ascii="Times New Roman" w:hAnsi="Times New Roman" w:cs="Times New Roman"/>
          <w:b w:val="0"/>
          <w:i w:val="0"/>
          <w:iCs w:val="0"/>
          <w:u w:val="single"/>
        </w:rPr>
      </w:pPr>
      <w:r>
        <w:rPr>
          <w:rFonts w:ascii="Times New Roman" w:hAnsi="Times New Roman" w:cs="Times New Roman"/>
          <w:b w:val="0"/>
          <w:i w:val="0"/>
          <w:iCs w:val="0"/>
        </w:rPr>
        <w:t>4.</w:t>
      </w:r>
      <w:r>
        <w:rPr>
          <w:rFonts w:ascii="Times New Roman" w:hAnsi="Times New Roman" w:cs="Times New Roman"/>
          <w:b w:val="0"/>
          <w:i w:val="0"/>
          <w:iCs w:val="0"/>
        </w:rPr>
        <w:tab/>
      </w:r>
      <w:r w:rsidR="00DF0041">
        <w:rPr>
          <w:rFonts w:ascii="Times New Roman" w:hAnsi="Times New Roman" w:cs="Times New Roman"/>
          <w:b w:val="0"/>
          <w:i w:val="0"/>
          <w:u w:val="single"/>
        </w:rPr>
        <w:t>Corrective M</w:t>
      </w:r>
      <w:r w:rsidR="00DF0041" w:rsidRPr="00DF0041">
        <w:rPr>
          <w:rFonts w:ascii="Times New Roman" w:hAnsi="Times New Roman" w:cs="Times New Roman"/>
          <w:b w:val="0"/>
          <w:i w:val="0"/>
          <w:u w:val="single"/>
        </w:rPr>
        <w:t xml:space="preserve">easures to the </w:t>
      </w:r>
      <w:r w:rsidR="00DF0041">
        <w:rPr>
          <w:rFonts w:ascii="Times New Roman" w:hAnsi="Times New Roman" w:cs="Times New Roman"/>
          <w:b w:val="0"/>
          <w:i w:val="0"/>
          <w:u w:val="single"/>
        </w:rPr>
        <w:t>Theoretical R</w:t>
      </w:r>
      <w:r w:rsidR="00DF0041" w:rsidRPr="00DF0041">
        <w:rPr>
          <w:rFonts w:ascii="Times New Roman" w:hAnsi="Times New Roman" w:cs="Times New Roman"/>
          <w:b w:val="0"/>
          <w:i w:val="0"/>
          <w:u w:val="single"/>
        </w:rPr>
        <w:t xml:space="preserve">eserve </w:t>
      </w:r>
      <w:r w:rsidR="00DF0041">
        <w:rPr>
          <w:rFonts w:ascii="Times New Roman" w:hAnsi="Times New Roman" w:cs="Times New Roman"/>
          <w:b w:val="0"/>
          <w:i w:val="0"/>
          <w:u w:val="single"/>
        </w:rPr>
        <w:t>I</w:t>
      </w:r>
      <w:r w:rsidR="00DF0041" w:rsidRPr="00DF0041">
        <w:rPr>
          <w:rFonts w:ascii="Times New Roman" w:hAnsi="Times New Roman" w:cs="Times New Roman"/>
          <w:b w:val="0"/>
          <w:i w:val="0"/>
          <w:u w:val="single"/>
        </w:rPr>
        <w:t>mbalances</w:t>
      </w:r>
    </w:p>
    <w:p w14:paraId="5A780969" w14:textId="784809A4" w:rsidR="002E5A76" w:rsidRDefault="002E5A76" w:rsidP="00585AF0">
      <w:pPr>
        <w:pStyle w:val="BodyText"/>
        <w:spacing w:after="0"/>
        <w:ind w:firstLine="720"/>
        <w:jc w:val="both"/>
      </w:pPr>
      <w:r w:rsidRPr="000C32FB">
        <w:t xml:space="preserve">This </w:t>
      </w:r>
      <w:r w:rsidR="00585AF0">
        <w:t>section</w:t>
      </w:r>
      <w:r w:rsidRPr="000C32FB">
        <w:t xml:space="preserve"> addresses whether any corrective measures should be taken with regard to the theoretical reserve imbalances. The remaining life technique is </w:t>
      </w:r>
      <w:r w:rsidRPr="003761AA">
        <w:t>the most common</w:t>
      </w:r>
      <w:r w:rsidRPr="000C32FB">
        <w:t xml:space="preserve"> method </w:t>
      </w:r>
      <w:r w:rsidR="00CE6B48">
        <w:t>we</w:t>
      </w:r>
      <w:r w:rsidRPr="000C32FB">
        <w:t xml:space="preserve"> use to address reserve imbalances (surplus or deficit).</w:t>
      </w:r>
      <w:r>
        <w:rPr>
          <w:rStyle w:val="FootnoteReference"/>
        </w:rPr>
        <w:footnoteReference w:id="22"/>
      </w:r>
      <w:r w:rsidRPr="000C32FB">
        <w:t xml:space="preserve"> </w:t>
      </w:r>
      <w:r w:rsidR="003F3BF6">
        <w:t>We have approved o</w:t>
      </w:r>
      <w:r w:rsidRPr="000C32FB">
        <w:t xml:space="preserve">ther corrective </w:t>
      </w:r>
      <w:r w:rsidRPr="000C32FB">
        <w:lastRenderedPageBreak/>
        <w:t>measures</w:t>
      </w:r>
      <w:r w:rsidR="003F3BF6">
        <w:t>,</w:t>
      </w:r>
      <w:r>
        <w:t xml:space="preserve"> including </w:t>
      </w:r>
      <w:r w:rsidRPr="000C32FB">
        <w:t>amortization of a certain portion of the surplus over a period of time that is shorter than the remaining life</w:t>
      </w:r>
      <w:r>
        <w:t xml:space="preserve">, or </w:t>
      </w:r>
      <w:r w:rsidRPr="002A3B4D">
        <w:t>amortization of the entire surplus over a specific period (years) shorter than the remaining life</w:t>
      </w:r>
      <w:r w:rsidRPr="00377718">
        <w:t>.</w:t>
      </w:r>
      <w:r w:rsidRPr="00377718">
        <w:rPr>
          <w:rStyle w:val="FootnoteReference"/>
        </w:rPr>
        <w:footnoteReference w:id="23"/>
      </w:r>
      <w:r w:rsidRPr="009A73C5">
        <w:t xml:space="preserve"> </w:t>
      </w:r>
      <w:r>
        <w:t xml:space="preserve">In </w:t>
      </w:r>
      <w:r w:rsidRPr="003761AA">
        <w:t xml:space="preserve">this </w:t>
      </w:r>
      <w:r w:rsidR="00A41A61">
        <w:t>Section</w:t>
      </w:r>
      <w:r>
        <w:t xml:space="preserve">, the dispute is over the methodology to </w:t>
      </w:r>
      <w:r w:rsidRPr="000C32FB">
        <w:t>address reserve imbalances</w:t>
      </w:r>
      <w:r>
        <w:t>.</w:t>
      </w:r>
    </w:p>
    <w:p w14:paraId="7539F841" w14:textId="77777777" w:rsidR="00585AF0" w:rsidRDefault="00585AF0" w:rsidP="00585AF0">
      <w:pPr>
        <w:pStyle w:val="BodyText"/>
        <w:spacing w:after="0"/>
        <w:ind w:firstLine="720"/>
        <w:jc w:val="both"/>
        <w:rPr>
          <w:b/>
          <w:i/>
        </w:rPr>
      </w:pPr>
    </w:p>
    <w:p w14:paraId="4A0DE04E" w14:textId="4D25CDC5" w:rsidR="002E5A76" w:rsidRDefault="002E5A76" w:rsidP="00585AF0">
      <w:pPr>
        <w:pStyle w:val="BodyText"/>
        <w:spacing w:after="0"/>
        <w:ind w:firstLine="720"/>
        <w:jc w:val="both"/>
      </w:pPr>
      <w:r w:rsidRPr="008B2D35">
        <w:t xml:space="preserve">FCG witness Lee calculated the Company’s total theoretical reserve imbalance, resulting in a surplus of $19,200,911 for depreciable accounts. Adding in the Company’s identified reserve imbalance of $43,469 associated with the amortizable accounts, FCG’s total reserve imbalance is $19,244,380, or </w:t>
      </w:r>
      <w:r w:rsidR="003F3BF6">
        <w:t xml:space="preserve">approximately </w:t>
      </w:r>
      <w:r w:rsidRPr="008B2D35">
        <w:t>$19.2 million</w:t>
      </w:r>
      <w:r w:rsidR="003F3BF6">
        <w:t>.</w:t>
      </w:r>
      <w:r>
        <w:t xml:space="preserve"> The Company requested the total of its calculated</w:t>
      </w:r>
      <w:r w:rsidRPr="00CC6D42">
        <w:t xml:space="preserve"> $19.2 million</w:t>
      </w:r>
      <w:r>
        <w:t xml:space="preserve"> reserve surplus be amortized over 2 years.</w:t>
      </w:r>
    </w:p>
    <w:p w14:paraId="442F6A39" w14:textId="77777777" w:rsidR="00585AF0" w:rsidRDefault="00585AF0" w:rsidP="00585AF0">
      <w:pPr>
        <w:pStyle w:val="BodyText"/>
        <w:spacing w:after="0"/>
        <w:ind w:firstLine="720"/>
        <w:jc w:val="both"/>
      </w:pPr>
    </w:p>
    <w:p w14:paraId="1162DE0A" w14:textId="26C0DA07" w:rsidR="002E5A76" w:rsidRDefault="002E5A76" w:rsidP="00585AF0">
      <w:pPr>
        <w:pStyle w:val="BodyText"/>
        <w:spacing w:after="0"/>
        <w:ind w:firstLine="720"/>
        <w:jc w:val="both"/>
      </w:pPr>
      <w:r w:rsidRPr="004A5222">
        <w:t>OPC opposed FCG’s proposed corrective measure of a 2-year amortization of the Company’s calculated reserve surplus</w:t>
      </w:r>
      <w:r>
        <w:t xml:space="preserve"> and asserted if there is</w:t>
      </w:r>
      <w:r w:rsidRPr="004A5222">
        <w:t xml:space="preserve"> any imbalance identified in this case, it should be addressed in the remaining life calculations using the remaining life technique. </w:t>
      </w:r>
      <w:r w:rsidR="003F3BF6">
        <w:t>OPC offered testimony</w:t>
      </w:r>
      <w:r w:rsidRPr="004A5222">
        <w:t xml:space="preserve"> that the Company’s amortization proposal would result in future service rates being higher than if the surplus were not removed from the dep</w:t>
      </w:r>
      <w:r w:rsidR="00585AF0">
        <w:t>reciation reserve. If we</w:t>
      </w:r>
      <w:r w:rsidRPr="004A5222">
        <w:t xml:space="preserve"> were to approve any reserve surplus amortization in this docket, the associated value would be collected through future depreciation expense and ultimate service rates. Meaning in general, a reserve amortization dollar today would be equal to a depreciation expense dollar and the additional grossed-up return on the increased rate base in the future. The additional return would result from the corresponding increase in rate base caused by the reduction of the depreciation reserve. Based on the Company’s latest depreciation parameters and associated reserve surplus, </w:t>
      </w:r>
      <w:r w:rsidR="003F3BF6">
        <w:t>OPC</w:t>
      </w:r>
      <w:r w:rsidRPr="004A5222">
        <w:t xml:space="preserve"> estimated the initial annual</w:t>
      </w:r>
      <w:r w:rsidRPr="008837FD">
        <w:t xml:space="preserve"> (return-related)</w:t>
      </w:r>
      <w:r w:rsidRPr="004A5222">
        <w:t xml:space="preserve"> revenue requirement, or grossed-up return on the increased rate base associated with FCG’s proposal, to be $1,676,453. This figure correlates to the Company’s calculated depreciation reserve surplus in the amount of $19.2 million, the last-authorized overall rate of return of 6.44 percent, and gross-up factor of 1.3527 used in setting current customer base rates. </w:t>
      </w:r>
    </w:p>
    <w:p w14:paraId="0B86E0E8" w14:textId="77777777" w:rsidR="00585AF0" w:rsidRPr="004A5222" w:rsidRDefault="00585AF0" w:rsidP="00585AF0">
      <w:pPr>
        <w:pStyle w:val="BodyText"/>
        <w:spacing w:after="0"/>
        <w:ind w:firstLine="720"/>
        <w:jc w:val="both"/>
      </w:pPr>
    </w:p>
    <w:p w14:paraId="18ECE6F9" w14:textId="4CEFDC07" w:rsidR="002E5A76" w:rsidRDefault="00585AF0" w:rsidP="00585AF0">
      <w:pPr>
        <w:pStyle w:val="BodyText"/>
        <w:spacing w:after="0"/>
        <w:ind w:firstLine="720"/>
        <w:jc w:val="both"/>
      </w:pPr>
      <w:r>
        <w:t xml:space="preserve">Additionally, </w:t>
      </w:r>
      <w:r w:rsidR="002E5A76" w:rsidRPr="004A5222">
        <w:t xml:space="preserve">OPC </w:t>
      </w:r>
      <w:r w:rsidR="00CE3B91">
        <w:t>contended</w:t>
      </w:r>
      <w:r w:rsidR="002E5A76" w:rsidRPr="004A5222">
        <w:t xml:space="preserve"> that reliance on Rule 25-7.1352, F.A.C., “Earnings Surveillance Report[s],” </w:t>
      </w:r>
      <w:r w:rsidR="00F4160F">
        <w:t>is</w:t>
      </w:r>
      <w:r w:rsidR="002E5A76" w:rsidRPr="004A5222">
        <w:t xml:space="preserve"> insufficient to form a basis for understanding a regulated natural gas company’s earn</w:t>
      </w:r>
      <w:r>
        <w:t>ings position. In its Brief,</w:t>
      </w:r>
      <w:r w:rsidR="002E5A76" w:rsidRPr="004A5222">
        <w:t xml:space="preserve"> OPC stated that a necessary detailed earnings review to determine FCG’s true earnings posture can only be done in a rate case</w:t>
      </w:r>
      <w:r w:rsidR="00CE3B91">
        <w:t>.</w:t>
      </w:r>
    </w:p>
    <w:p w14:paraId="5365A0EB" w14:textId="5EEAFE01" w:rsidR="002E5A76" w:rsidRDefault="002E5A76" w:rsidP="00585AF0">
      <w:pPr>
        <w:pStyle w:val="BodyText"/>
        <w:spacing w:after="0"/>
        <w:ind w:firstLine="720"/>
        <w:jc w:val="both"/>
      </w:pPr>
      <w:r w:rsidRPr="004A5222">
        <w:lastRenderedPageBreak/>
        <w:t xml:space="preserve">In support of its 2-year amortization request, FCG </w:t>
      </w:r>
      <w:r w:rsidR="003F3BF6">
        <w:t>asserted that it</w:t>
      </w:r>
      <w:r w:rsidRPr="004A5222">
        <w:t xml:space="preserve"> is</w:t>
      </w:r>
      <w:r w:rsidR="003F3BF6">
        <w:t xml:space="preserve"> </w:t>
      </w:r>
      <w:r w:rsidRPr="004A5222">
        <w:t>currently earning far below its authorized rate of return</w:t>
      </w:r>
      <w:r w:rsidR="003F3BF6">
        <w:t>, and would have likely filed for a</w:t>
      </w:r>
      <w:r w:rsidR="00CE3B91">
        <w:t xml:space="preserve"> </w:t>
      </w:r>
      <w:r w:rsidR="003F3BF6">
        <w:t>base rate increase in 2025 if if</w:t>
      </w:r>
      <w:r w:rsidRPr="004A5222">
        <w:t xml:space="preserve"> had known that this depreciation study would take longer than anticipated to be resolved</w:t>
      </w:r>
      <w:r w:rsidR="003F3BF6">
        <w:t>. FCG continued that t</w:t>
      </w:r>
      <w:r w:rsidRPr="004A5222">
        <w:t xml:space="preserve">his earnings posture implies </w:t>
      </w:r>
      <w:r w:rsidR="003F3BF6">
        <w:t>its</w:t>
      </w:r>
      <w:r w:rsidR="003F3BF6" w:rsidRPr="004A5222">
        <w:t xml:space="preserve"> </w:t>
      </w:r>
      <w:r w:rsidRPr="004A5222">
        <w:t>customers are not paying rates sufficient to allow the Company to cover operating expenses and earn an adequate return on its investments. Specifically, for the 12</w:t>
      </w:r>
      <w:r>
        <w:t xml:space="preserve"> </w:t>
      </w:r>
      <w:r w:rsidRPr="004A5222">
        <w:t>months ended June 30, 2025, the Company reported under-earning its mid-point rate of return (mid-point equity return of 9.50 percent and a weighted average cost of capital of 7.65 percent) by approximately $10.8 million.</w:t>
      </w:r>
      <w:r w:rsidRPr="004A5222">
        <w:rPr>
          <w:rStyle w:val="FootnoteReference"/>
        </w:rPr>
        <w:footnoteReference w:id="24"/>
      </w:r>
      <w:r w:rsidRPr="004A5222">
        <w:t xml:space="preserve"> The Company is under-earning the low-point of its earnings range by approximately $8.4 million. FCG is projected to under-earn by an even greater margin at year end 2025. </w:t>
      </w:r>
      <w:r w:rsidR="003F3BF6">
        <w:t xml:space="preserve">FCG contended that </w:t>
      </w:r>
      <w:r w:rsidRPr="004A5222">
        <w:t>the 2-year amortization proposal is a fair balance between the ongoing benefits of a delayed rate case filing and associated delayed rate increase for customers</w:t>
      </w:r>
      <w:r w:rsidR="003F3BF6">
        <w:t>, and</w:t>
      </w:r>
      <w:r w:rsidRPr="004A5222">
        <w:t xml:space="preserve"> would promptly correct the reserve imbalance and allow the Company a better opportunity to earn near or within its approved rate of return range.</w:t>
      </w:r>
    </w:p>
    <w:p w14:paraId="08C7D5C4" w14:textId="77777777" w:rsidR="00585AF0" w:rsidRPr="004A5222" w:rsidRDefault="00585AF0" w:rsidP="00585AF0">
      <w:pPr>
        <w:pStyle w:val="BodyText"/>
        <w:spacing w:after="0"/>
        <w:ind w:firstLine="720"/>
        <w:jc w:val="both"/>
      </w:pPr>
    </w:p>
    <w:p w14:paraId="7CDB35A1" w14:textId="4362BD5A" w:rsidR="002E5A76" w:rsidRDefault="002E5A76" w:rsidP="00F120C2">
      <w:pPr>
        <w:pStyle w:val="BodyText"/>
        <w:spacing w:after="0"/>
        <w:ind w:firstLine="720"/>
        <w:jc w:val="both"/>
      </w:pPr>
      <w:r w:rsidRPr="004A5222">
        <w:t xml:space="preserve">FCG </w:t>
      </w:r>
      <w:r w:rsidR="003F3BF6">
        <w:t xml:space="preserve">also argues </w:t>
      </w:r>
      <w:r w:rsidRPr="004A5222">
        <w:t xml:space="preserve">that the the 2-year amortization of the </w:t>
      </w:r>
      <w:r>
        <w:t xml:space="preserve">$19.2 million </w:t>
      </w:r>
      <w:r w:rsidRPr="004A5222">
        <w:t>depreciation reserve surplus would put downward pressure on future (rate case) interim service rates because the amortization amount would be accounted for in determining the level of under-earnings reflected in the Company’s historic test year, provided such amortization occurs in that year. Stated alternatively, the amount of under-earnings would be greater absent amortization of any reserve surplus. Interim service rates would be based on the level of under-earnings; thus, the greater level of under-earnings, the higher the interim service rates.</w:t>
      </w:r>
    </w:p>
    <w:p w14:paraId="00A54EAA" w14:textId="77777777" w:rsidR="00F120C2" w:rsidRDefault="00F120C2" w:rsidP="00F120C2">
      <w:pPr>
        <w:pStyle w:val="BodyText"/>
        <w:spacing w:after="0"/>
        <w:ind w:firstLine="720"/>
        <w:jc w:val="both"/>
      </w:pPr>
    </w:p>
    <w:p w14:paraId="60C775E5" w14:textId="77777777" w:rsidR="002E5A76" w:rsidRDefault="002E5A76" w:rsidP="00DC4ECB">
      <w:pPr>
        <w:pStyle w:val="BodyText"/>
        <w:spacing w:after="0"/>
        <w:ind w:firstLine="720"/>
        <w:jc w:val="both"/>
        <w:rPr>
          <w:b/>
        </w:rPr>
      </w:pPr>
      <w:r w:rsidRPr="00F120C2">
        <w:rPr>
          <w:b/>
        </w:rPr>
        <w:t xml:space="preserve">Analysis </w:t>
      </w:r>
    </w:p>
    <w:p w14:paraId="5F02BD7D" w14:textId="77777777" w:rsidR="00F120C2" w:rsidRPr="00F120C2" w:rsidRDefault="00F120C2" w:rsidP="00AC29C3">
      <w:pPr>
        <w:pStyle w:val="BodyText"/>
        <w:spacing w:after="0"/>
        <w:jc w:val="both"/>
        <w:rPr>
          <w:b/>
        </w:rPr>
      </w:pPr>
    </w:p>
    <w:p w14:paraId="072C4DEA" w14:textId="19588B95" w:rsidR="002E5A76" w:rsidRDefault="003F3BF6" w:rsidP="00585AF0">
      <w:pPr>
        <w:pStyle w:val="BodyText"/>
        <w:spacing w:after="0"/>
        <w:ind w:firstLine="720"/>
        <w:jc w:val="both"/>
      </w:pPr>
      <w:r>
        <w:t>Our decision as to t</w:t>
      </w:r>
      <w:r w:rsidR="002E5A76">
        <w:t xml:space="preserve">he technique </w:t>
      </w:r>
      <w:r>
        <w:t>to</w:t>
      </w:r>
      <w:r w:rsidR="002E5A76">
        <w:t xml:space="preserve"> be utilized to address a</w:t>
      </w:r>
      <w:r>
        <w:t xml:space="preserve"> reserve</w:t>
      </w:r>
      <w:r w:rsidR="002E5A76">
        <w:t xml:space="preserve"> surplus </w:t>
      </w:r>
      <w:r>
        <w:t>in a particular instance must be based on the record before</w:t>
      </w:r>
      <w:r w:rsidR="00CE3B91">
        <w:t xml:space="preserve"> us</w:t>
      </w:r>
      <w:r>
        <w:t>, but is also infused with many policy considerations.</w:t>
      </w:r>
      <w:r w:rsidR="002E5A76">
        <w:t xml:space="preserve"> </w:t>
      </w:r>
      <w:r w:rsidR="002E5A76" w:rsidRPr="003761AA">
        <w:t>As previously noted</w:t>
      </w:r>
      <w:r w:rsidR="0015207B">
        <w:t xml:space="preserve">, </w:t>
      </w:r>
      <w:r w:rsidR="00585AF0">
        <w:t xml:space="preserve">we </w:t>
      </w:r>
      <w:r>
        <w:t>exercised our discretion in the past and</w:t>
      </w:r>
      <w:r w:rsidR="00585AF0">
        <w:t xml:space="preserve"> </w:t>
      </w:r>
      <w:r>
        <w:t xml:space="preserve">approved </w:t>
      </w:r>
      <w:r w:rsidR="002E5A76">
        <w:t>different methodologies</w:t>
      </w:r>
      <w:r>
        <w:t xml:space="preserve"> as necessary to address the needs of a particular situation</w:t>
      </w:r>
      <w:r w:rsidR="002E5A76">
        <w:t>.</w:t>
      </w:r>
    </w:p>
    <w:p w14:paraId="554C402A" w14:textId="77777777" w:rsidR="00585AF0" w:rsidRDefault="00585AF0" w:rsidP="00585AF0">
      <w:pPr>
        <w:pStyle w:val="BodyText"/>
        <w:spacing w:after="0"/>
        <w:ind w:firstLine="720"/>
        <w:jc w:val="both"/>
      </w:pPr>
    </w:p>
    <w:p w14:paraId="19CEB512" w14:textId="3F6542D2" w:rsidR="002E5A76" w:rsidRDefault="00205CF1" w:rsidP="00177B7D">
      <w:pPr>
        <w:pStyle w:val="BodyText"/>
        <w:spacing w:after="0"/>
        <w:ind w:firstLine="720"/>
        <w:jc w:val="both"/>
      </w:pPr>
      <w:r>
        <w:t>We do</w:t>
      </w:r>
      <w:r w:rsidR="002E5A76">
        <w:t xml:space="preserve"> not agree with FCG’s proposal of the 2-year amortization for correcting the Company’s total depreciable plants’ theoretical reserve surplus. </w:t>
      </w:r>
      <w:r>
        <w:t>We approve</w:t>
      </w:r>
      <w:r w:rsidR="002E5A76">
        <w:t xml:space="preserve"> the </w:t>
      </w:r>
      <w:r w:rsidR="002E5A76" w:rsidRPr="000C32FB">
        <w:t>remaining life technique</w:t>
      </w:r>
      <w:r w:rsidR="002E5A76">
        <w:t xml:space="preserve"> to address the</w:t>
      </w:r>
      <w:r w:rsidR="002E5A76" w:rsidRPr="00E05017">
        <w:t xml:space="preserve"> </w:t>
      </w:r>
      <w:r w:rsidR="002E5A76">
        <w:t>reserve surplus.</w:t>
      </w:r>
      <w:r w:rsidR="00CA60DC">
        <w:t xml:space="preserve"> </w:t>
      </w:r>
      <w:r w:rsidR="002E5A76">
        <w:t>The</w:t>
      </w:r>
      <w:r w:rsidR="002E5A76" w:rsidRPr="0067406D">
        <w:t xml:space="preserve"> use of the remaining life technique in calculating depreciation rates will spread any surplus (or deficit) over the remaining life of the asset group</w:t>
      </w:r>
      <w:r w:rsidR="002E5A76" w:rsidRPr="00E44287">
        <w:t xml:space="preserve"> by adjusting the depreciation rate up or down</w:t>
      </w:r>
      <w:r w:rsidR="002E5A76" w:rsidRPr="0067406D">
        <w:t>.</w:t>
      </w:r>
      <w:r w:rsidR="002E5A76">
        <w:rPr>
          <w:rStyle w:val="FootnoteReference"/>
        </w:rPr>
        <w:footnoteReference w:id="25"/>
      </w:r>
      <w:r w:rsidR="002E5A76">
        <w:t xml:space="preserve"> </w:t>
      </w:r>
      <w:r w:rsidR="002E5A76" w:rsidRPr="00E44287">
        <w:t>In essence, the remaining life technique either slows down the rate of depreciation in the case of a surplus, or increases the rate of depreciation in the c</w:t>
      </w:r>
      <w:r w:rsidR="002E5A76">
        <w:t>a</w:t>
      </w:r>
      <w:r w:rsidR="002E5A76" w:rsidRPr="00E44287">
        <w:t xml:space="preserve">se of a deficit. As such, </w:t>
      </w:r>
      <w:r w:rsidR="002E5A76">
        <w:t>t</w:t>
      </w:r>
      <w:r w:rsidR="002E5A76" w:rsidRPr="00FB57BD">
        <w:t xml:space="preserve">he </w:t>
      </w:r>
      <w:r w:rsidR="002E5A76">
        <w:t xml:space="preserve">resulting </w:t>
      </w:r>
      <w:r w:rsidR="002E5A76" w:rsidRPr="00FB57BD">
        <w:t>remaining life rate</w:t>
      </w:r>
      <w:r w:rsidR="002E5A76">
        <w:t xml:space="preserve"> for each account is</w:t>
      </w:r>
      <w:r w:rsidR="002E5A76" w:rsidRPr="00FB57BD">
        <w:t xml:space="preserve"> self-correcting</w:t>
      </w:r>
      <w:r w:rsidR="002E5A76" w:rsidRPr="00E44287">
        <w:t xml:space="preserve"> with regard to the imbalance (surplus or deficit) over the remaining life of the asset</w:t>
      </w:r>
      <w:r w:rsidR="002E5A76">
        <w:t>.</w:t>
      </w:r>
      <w:r w:rsidR="00CE3B91">
        <w:t xml:space="preserve"> This stability benefits ratepayers.</w:t>
      </w:r>
      <w:r w:rsidR="002E5A76">
        <w:t xml:space="preserve"> </w:t>
      </w:r>
    </w:p>
    <w:p w14:paraId="4DAC4592" w14:textId="77777777" w:rsidR="0015207B" w:rsidRDefault="0015207B" w:rsidP="0015207B">
      <w:pPr>
        <w:pStyle w:val="BodyText"/>
        <w:spacing w:after="0"/>
        <w:ind w:left="900" w:right="900" w:hanging="900"/>
        <w:jc w:val="both"/>
      </w:pPr>
    </w:p>
    <w:p w14:paraId="0D7B866D" w14:textId="044C31AD" w:rsidR="002E5A76" w:rsidRDefault="002E5A76" w:rsidP="00403AD7">
      <w:pPr>
        <w:pStyle w:val="BodyText"/>
        <w:ind w:firstLine="720"/>
        <w:jc w:val="both"/>
      </w:pPr>
      <w:r w:rsidRPr="008B2D35">
        <w:t xml:space="preserve">FCG argued that its calculated total reserve </w:t>
      </w:r>
      <w:r>
        <w:t>imbalance of $19.2</w:t>
      </w:r>
      <w:r w:rsidRPr="008B2D35">
        <w:t xml:space="preserve"> million represents nearly 10 percent of the calculated theoretical reserve; using the remaining life technique to correct it will take too many years so that a short 2-year amortization perio</w:t>
      </w:r>
      <w:r w:rsidR="00205CF1">
        <w:t>d is justified. We do</w:t>
      </w:r>
      <w:r w:rsidR="0015207B">
        <w:t xml:space="preserve"> not agree</w:t>
      </w:r>
      <w:r>
        <w:t xml:space="preserve"> </w:t>
      </w:r>
      <w:r>
        <w:lastRenderedPageBreak/>
        <w:t xml:space="preserve">with </w:t>
      </w:r>
      <w:r w:rsidRPr="00C05CF0">
        <w:t>this argument</w:t>
      </w:r>
      <w:r>
        <w:t xml:space="preserve">. </w:t>
      </w:r>
      <w:r w:rsidR="00CE3B91">
        <w:t>T</w:t>
      </w:r>
      <w:r w:rsidRPr="00295573">
        <w:t>he matter of how a reserve imbalance should be corrected is not a subject of depreciation theory bu</w:t>
      </w:r>
      <w:r>
        <w:t>t is instead a policy decision.</w:t>
      </w:r>
      <w:r w:rsidRPr="00295573">
        <w:t xml:space="preserve"> </w:t>
      </w:r>
      <w:r w:rsidR="00CA60DC">
        <w:t>I</w:t>
      </w:r>
      <w:r>
        <w:t xml:space="preserve">n prior cases, </w:t>
      </w:r>
      <w:r w:rsidR="00CA60DC">
        <w:t>we have</w:t>
      </w:r>
      <w:r>
        <w:t xml:space="preserve"> approved using the </w:t>
      </w:r>
      <w:r w:rsidRPr="000C32FB">
        <w:t>remaining life technique</w:t>
      </w:r>
      <w:r>
        <w:t xml:space="preserve"> to address </w:t>
      </w:r>
      <w:r w:rsidRPr="00170507">
        <w:t xml:space="preserve">varying levels of </w:t>
      </w:r>
      <w:r>
        <w:t>reserve imbalances, some of which are</w:t>
      </w:r>
      <w:r w:rsidRPr="00CB7751">
        <w:t xml:space="preserve"> </w:t>
      </w:r>
      <w:r>
        <w:t>relatively large in size, as shown in</w:t>
      </w:r>
      <w:r w:rsidRPr="00026DE8">
        <w:t xml:space="preserve"> </w:t>
      </w:r>
      <w:r w:rsidR="00CD3C00">
        <w:t xml:space="preserve">Table </w:t>
      </w:r>
      <w:r w:rsidR="00CA60DC">
        <w:t>4</w:t>
      </w:r>
      <w:r>
        <w:t xml:space="preserve"> below. </w:t>
      </w:r>
    </w:p>
    <w:p w14:paraId="56E0A949" w14:textId="7B692765" w:rsidR="002E5A76" w:rsidRPr="00CD3C00" w:rsidRDefault="00CD3C00" w:rsidP="002E5A76">
      <w:pPr>
        <w:pStyle w:val="TableNumber"/>
        <w:keepNext/>
        <w:rPr>
          <w:rFonts w:ascii="Times New Roman" w:hAnsi="Times New Roman"/>
        </w:rPr>
      </w:pPr>
      <w:r w:rsidRPr="00CD3C00">
        <w:rPr>
          <w:rFonts w:ascii="Times New Roman" w:hAnsi="Times New Roman"/>
        </w:rPr>
        <w:t xml:space="preserve">Table </w:t>
      </w:r>
      <w:r w:rsidR="00CA60DC">
        <w:rPr>
          <w:rFonts w:ascii="Times New Roman" w:hAnsi="Times New Roman"/>
        </w:rPr>
        <w:t>4</w:t>
      </w:r>
    </w:p>
    <w:p w14:paraId="03CB3D60" w14:textId="77777777" w:rsidR="002E5A76" w:rsidRPr="00CD3C00" w:rsidRDefault="002E5A76" w:rsidP="002E5A76">
      <w:pPr>
        <w:pStyle w:val="TableTitle"/>
        <w:keepNext/>
        <w:spacing w:after="60"/>
        <w:rPr>
          <w:rFonts w:ascii="Times New Roman" w:hAnsi="Times New Roman"/>
        </w:rPr>
      </w:pPr>
      <w:r w:rsidRPr="00CD3C00">
        <w:rPr>
          <w:rFonts w:ascii="Times New Roman" w:hAnsi="Times New Roman"/>
        </w:rPr>
        <w:t>Total Theoretical Reserve Imbalance and the Corrective Measure</w:t>
      </w:r>
    </w:p>
    <w:p w14:paraId="26FE35E9" w14:textId="0C1938C4" w:rsidR="002E5A76" w:rsidRDefault="002E5A76" w:rsidP="0015207B">
      <w:pPr>
        <w:pStyle w:val="BodyText"/>
        <w:spacing w:after="0"/>
        <w:rPr>
          <w:bCs/>
        </w:rPr>
      </w:pPr>
      <w:r w:rsidRPr="008B2D35">
        <w:rPr>
          <w:noProof/>
        </w:rPr>
        <w:drawing>
          <wp:inline distT="0" distB="0" distL="0" distR="0" wp14:anchorId="565AE7BD" wp14:editId="78791ED7">
            <wp:extent cx="5943600" cy="127247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272478"/>
                    </a:xfrm>
                    <a:prstGeom prst="rect">
                      <a:avLst/>
                    </a:prstGeom>
                    <a:noFill/>
                    <a:ln>
                      <a:noFill/>
                    </a:ln>
                  </pic:spPr>
                </pic:pic>
              </a:graphicData>
            </a:graphic>
          </wp:inline>
        </w:drawing>
      </w:r>
      <w:r>
        <w:rPr>
          <w:bCs/>
        </w:rPr>
        <w:t xml:space="preserve"> </w:t>
      </w:r>
    </w:p>
    <w:p w14:paraId="5BD7C2E7" w14:textId="77777777" w:rsidR="0015207B" w:rsidRPr="00191B9C" w:rsidRDefault="0015207B" w:rsidP="0015207B">
      <w:pPr>
        <w:pStyle w:val="BodyText"/>
        <w:spacing w:after="0"/>
      </w:pPr>
    </w:p>
    <w:p w14:paraId="352FA799" w14:textId="3EA38069" w:rsidR="00D15F50" w:rsidRDefault="002E5A76" w:rsidP="0015207B">
      <w:pPr>
        <w:pStyle w:val="BodyText"/>
        <w:spacing w:after="0"/>
        <w:ind w:firstLine="720"/>
        <w:jc w:val="both"/>
        <w:rPr>
          <w:bCs/>
        </w:rPr>
      </w:pPr>
      <w:r>
        <w:rPr>
          <w:bCs/>
        </w:rPr>
        <w:t xml:space="preserve">Each of the orders cited in rows 3 through 5 of </w:t>
      </w:r>
      <w:r w:rsidR="00CD3C00">
        <w:rPr>
          <w:bCs/>
        </w:rPr>
        <w:t xml:space="preserve">Table </w:t>
      </w:r>
      <w:r w:rsidR="00CA60DC">
        <w:rPr>
          <w:bCs/>
        </w:rPr>
        <w:t>4</w:t>
      </w:r>
      <w:r>
        <w:rPr>
          <w:bCs/>
        </w:rPr>
        <w:t xml:space="preserve"> address a reserve surplus that is relatively large in size, when measured against the corresponding theoretical reserve, the book reserve, and the plant investment. In essence, </w:t>
      </w:r>
      <w:r w:rsidR="0015207B">
        <w:rPr>
          <w:bCs/>
        </w:rPr>
        <w:t>we have</w:t>
      </w:r>
      <w:r>
        <w:rPr>
          <w:bCs/>
        </w:rPr>
        <w:t xml:space="preserve"> ordered using the remaining life technique as the corrective measure for relatively large reserve imbalances. Compared with these cases, FCG’s currently calculated total reserve surplus is small, when measured against the theoretical reserve, the book reserve, or the investment. </w:t>
      </w:r>
    </w:p>
    <w:p w14:paraId="03718085" w14:textId="77777777" w:rsidR="00D15F50" w:rsidRDefault="00D15F50" w:rsidP="0015207B">
      <w:pPr>
        <w:pStyle w:val="BodyText"/>
        <w:spacing w:after="0"/>
        <w:ind w:firstLine="720"/>
        <w:jc w:val="both"/>
        <w:rPr>
          <w:bCs/>
        </w:rPr>
      </w:pPr>
    </w:p>
    <w:p w14:paraId="203CF881" w14:textId="582CC904" w:rsidR="002E5A76" w:rsidRDefault="00B213FB" w:rsidP="00AC29C3">
      <w:pPr>
        <w:tabs>
          <w:tab w:val="left" w:pos="0"/>
        </w:tabs>
        <w:autoSpaceDE w:val="0"/>
        <w:autoSpaceDN w:val="0"/>
        <w:adjustRightInd w:val="0"/>
        <w:jc w:val="both"/>
        <w:rPr>
          <w:rFonts w:ascii="TimesNewRomanPSMT" w:hAnsi="TimesNewRomanPSMT" w:cs="TimesNewRomanPSMT"/>
        </w:rPr>
      </w:pPr>
      <w:r>
        <w:rPr>
          <w:bCs/>
        </w:rPr>
        <w:tab/>
      </w:r>
      <w:r w:rsidR="002E5A76">
        <w:rPr>
          <w:bCs/>
        </w:rPr>
        <w:t>T</w:t>
      </w:r>
      <w:r w:rsidR="002E5A76" w:rsidRPr="00DE1FCC">
        <w:rPr>
          <w:rFonts w:ascii="TimesNewRomanPSMT" w:hAnsi="TimesNewRomanPSMT" w:cs="TimesNewRomanPSMT"/>
        </w:rPr>
        <w:t>he Company claimed that another reason for its proposed corrective measure of a 2-year amortization was that using the remaining life technique would mean that it would take 43 years to correct the imbalance.</w:t>
      </w:r>
      <w:r w:rsidR="00CA60DC">
        <w:rPr>
          <w:rFonts w:ascii="TimesNewRomanPSMT" w:hAnsi="TimesNewRomanPSMT" w:cs="TimesNewRomanPSMT"/>
        </w:rPr>
        <w:t xml:space="preserve"> </w:t>
      </w:r>
      <w:r>
        <w:rPr>
          <w:rFonts w:ascii="TimesNewRomanPSMT" w:hAnsi="TimesNewRomanPSMT" w:cs="TimesNewRomanPSMT"/>
        </w:rPr>
        <w:t xml:space="preserve">A 2-year amortization </w:t>
      </w:r>
      <w:r>
        <w:t>ensures that those customers who contributed to the surplus are more likely to receive the benefit promptly by reducing depreciation expense.</w:t>
      </w:r>
      <w:r>
        <w:rPr>
          <w:rFonts w:ascii="TimesNewRomanPSMT" w:hAnsi="TimesNewRomanPSMT" w:cs="TimesNewRomanPSMT"/>
        </w:rPr>
        <w:t xml:space="preserve"> </w:t>
      </w:r>
      <w:r w:rsidR="002E5A76">
        <w:rPr>
          <w:rFonts w:ascii="TimesNewRomanPSMT" w:hAnsi="TimesNewRomanPSMT" w:cs="TimesNewRomanPSMT"/>
        </w:rPr>
        <w:t xml:space="preserve">However, </w:t>
      </w:r>
      <w:r w:rsidR="00CA60DC">
        <w:rPr>
          <w:rFonts w:ascii="TimesNewRomanPSMT" w:hAnsi="TimesNewRomanPSMT" w:cs="TimesNewRomanPSMT"/>
        </w:rPr>
        <w:t>taking</w:t>
      </w:r>
      <w:r w:rsidR="002E5A76" w:rsidRPr="00DE1FCC">
        <w:rPr>
          <w:rFonts w:ascii="TimesNewRomanPSMT" w:hAnsi="TimesNewRomanPSMT" w:cs="TimesNewRomanPSMT"/>
        </w:rPr>
        <w:t xml:space="preserve"> 43 years to correct FCG’s calculated reserve surplus can only be realized if FCG’s currently proposed depreciation parameters are not changed throughout the 43 years, which is the estimated average remaining life of the Company’s total depreciable plant. </w:t>
      </w:r>
      <w:r w:rsidR="00CE3B91">
        <w:rPr>
          <w:rFonts w:ascii="TimesNewRomanPSMT" w:hAnsi="TimesNewRomanPSMT" w:cs="TimesNewRomanPSMT"/>
        </w:rPr>
        <w:t>The depreciation rule</w:t>
      </w:r>
      <w:r w:rsidR="002E5A76" w:rsidRPr="00DE1FCC">
        <w:rPr>
          <w:rFonts w:ascii="TimesNewRomanPSMT" w:hAnsi="TimesNewRomanPSMT" w:cs="TimesNewRomanPSMT"/>
        </w:rPr>
        <w:t xml:space="preserve"> </w:t>
      </w:r>
      <w:r w:rsidR="002E5A76">
        <w:rPr>
          <w:rFonts w:ascii="TimesNewRomanPSMT" w:hAnsi="TimesNewRomanPSMT" w:cs="TimesNewRomanPSMT"/>
        </w:rPr>
        <w:t xml:space="preserve">provides that </w:t>
      </w:r>
      <w:r w:rsidR="002E5A76" w:rsidRPr="00DE1FCC">
        <w:rPr>
          <w:rFonts w:ascii="TimesNewRomanPSMT" w:hAnsi="TimesNewRomanPSMT" w:cs="TimesNewRomanPSMT"/>
        </w:rPr>
        <w:t xml:space="preserve">the calculated reserve imbalance and its underlying depreciation parameters will be reviewed at least every five years. </w:t>
      </w:r>
      <w:r w:rsidR="002E5A76" w:rsidRPr="00745331">
        <w:rPr>
          <w:rFonts w:ascii="TimesNewRomanPSMT" w:hAnsi="TimesNewRomanPSMT" w:cs="TimesNewRomanPSMT"/>
        </w:rPr>
        <w:t xml:space="preserve">Consequently, the resulting theoretical reserve imbalances </w:t>
      </w:r>
      <w:r w:rsidR="00F4160F">
        <w:rPr>
          <w:rFonts w:ascii="TimesNewRomanPSMT" w:hAnsi="TimesNewRomanPSMT" w:cs="TimesNewRomanPSMT"/>
        </w:rPr>
        <w:t>should</w:t>
      </w:r>
      <w:r w:rsidR="00CA60DC">
        <w:rPr>
          <w:rFonts w:ascii="TimesNewRomanPSMT" w:hAnsi="TimesNewRomanPSMT" w:cs="TimesNewRomanPSMT"/>
        </w:rPr>
        <w:t xml:space="preserve"> be</w:t>
      </w:r>
      <w:r w:rsidR="002E5A76" w:rsidRPr="00745331">
        <w:rPr>
          <w:rFonts w:ascii="TimesNewRomanPSMT" w:hAnsi="TimesNewRomanPSMT" w:cs="TimesNewRomanPSMT"/>
        </w:rPr>
        <w:t xml:space="preserve"> calculated and action taken to address such imbalance on that same schedule</w:t>
      </w:r>
      <w:r w:rsidR="002E5A76" w:rsidRPr="00DE1FCC">
        <w:rPr>
          <w:rFonts w:ascii="TimesNewRomanPSMT" w:hAnsi="TimesNewRomanPSMT" w:cs="TimesNewRomanPSMT"/>
        </w:rPr>
        <w:t>.</w:t>
      </w:r>
    </w:p>
    <w:p w14:paraId="689EBD9B" w14:textId="77777777" w:rsidR="002E5A76" w:rsidRDefault="002E5A76" w:rsidP="00177B7D">
      <w:pPr>
        <w:ind w:firstLine="720"/>
        <w:jc w:val="both"/>
      </w:pPr>
    </w:p>
    <w:p w14:paraId="2CDCDC9E" w14:textId="4F9CBD61" w:rsidR="002E5A76" w:rsidRDefault="002E5A76" w:rsidP="00403AD7">
      <w:pPr>
        <w:ind w:firstLine="720"/>
        <w:jc w:val="both"/>
      </w:pPr>
      <w:r>
        <w:t xml:space="preserve">FCG’s argument for transferring depreciation reserves to earnings is based on </w:t>
      </w:r>
      <w:r w:rsidR="00B213FB">
        <w:t xml:space="preserve">the </w:t>
      </w:r>
      <w:r>
        <w:t>claim that current customers are underpaying for service. However, a depreciation reserve surplus indicates that - based on current information - depreciation expense has been greater than necessary. The depreciation expense customers have paid to this point did not cause FCG to under-earn its authorized return</w:t>
      </w:r>
      <w:r w:rsidR="00E75EBE">
        <w:t>. Such a surplus sh</w:t>
      </w:r>
      <w:r w:rsidR="00F4160F">
        <w:t>ould</w:t>
      </w:r>
      <w:r>
        <w:t xml:space="preserve"> be returned to customers through the remaining life technique.</w:t>
      </w:r>
    </w:p>
    <w:p w14:paraId="30087629" w14:textId="77777777" w:rsidR="002E5A76" w:rsidRPr="00DE1FCC" w:rsidRDefault="002E5A76" w:rsidP="00AC29C3">
      <w:pPr>
        <w:tabs>
          <w:tab w:val="left" w:pos="900"/>
        </w:tabs>
        <w:autoSpaceDE w:val="0"/>
        <w:autoSpaceDN w:val="0"/>
        <w:adjustRightInd w:val="0"/>
        <w:ind w:left="900" w:right="900" w:hanging="900"/>
        <w:jc w:val="both"/>
        <w:rPr>
          <w:rFonts w:ascii="TimesNewRomanPSMT" w:hAnsi="TimesNewRomanPSMT" w:cs="TimesNewRomanPSMT"/>
        </w:rPr>
      </w:pPr>
    </w:p>
    <w:p w14:paraId="4FA9D7CA" w14:textId="309150C9" w:rsidR="002E5A76" w:rsidRDefault="00403AD7" w:rsidP="00AC29C3">
      <w:pPr>
        <w:tabs>
          <w:tab w:val="left" w:pos="0"/>
        </w:tabs>
        <w:autoSpaceDE w:val="0"/>
        <w:autoSpaceDN w:val="0"/>
        <w:adjustRightInd w:val="0"/>
        <w:jc w:val="both"/>
        <w:rPr>
          <w:rFonts w:ascii="TimesNewRomanPSMT" w:hAnsi="TimesNewRomanPSMT" w:cs="TimesNewRomanPSMT"/>
        </w:rPr>
      </w:pPr>
      <w:r>
        <w:rPr>
          <w:rFonts w:ascii="TimesNewRomanPSMT" w:hAnsi="TimesNewRomanPSMT" w:cs="TimesNewRomanPSMT"/>
        </w:rPr>
        <w:tab/>
      </w:r>
      <w:r w:rsidR="002E5A76">
        <w:rPr>
          <w:rFonts w:ascii="TimesNewRomanPSMT" w:hAnsi="TimesNewRomanPSMT" w:cs="TimesNewRomanPSMT"/>
        </w:rPr>
        <w:t>The record shows</w:t>
      </w:r>
      <w:r w:rsidR="002E5A76" w:rsidRPr="00DE1FCC">
        <w:rPr>
          <w:rFonts w:ascii="TimesNewRomanPSMT" w:hAnsi="TimesNewRomanPSMT" w:cs="TimesNewRomanPSMT"/>
        </w:rPr>
        <w:t xml:space="preserve"> that if </w:t>
      </w:r>
      <w:r w:rsidR="002E5A76">
        <w:rPr>
          <w:rFonts w:ascii="TimesNewRomanPSMT" w:hAnsi="TimesNewRomanPSMT" w:cs="TimesNewRomanPSMT"/>
        </w:rPr>
        <w:t>th</w:t>
      </w:r>
      <w:r w:rsidR="002E5A76" w:rsidRPr="00D63873">
        <w:rPr>
          <w:rFonts w:ascii="TimesNewRomanPSMT" w:hAnsi="TimesNewRomanPSMT" w:cs="TimesNewRomanPSMT"/>
        </w:rPr>
        <w:t>e $6.</w:t>
      </w:r>
      <w:r w:rsidR="002E5A76">
        <w:rPr>
          <w:rFonts w:ascii="TimesNewRomanPSMT" w:hAnsi="TimesNewRomanPSMT" w:cs="TimesNewRomanPSMT"/>
        </w:rPr>
        <w:t>8</w:t>
      </w:r>
      <w:r w:rsidR="002E5A76" w:rsidRPr="00DE1FCC">
        <w:rPr>
          <w:rFonts w:ascii="TimesNewRomanPSMT" w:hAnsi="TimesNewRomanPSMT" w:cs="TimesNewRomanPSMT"/>
        </w:rPr>
        <w:t xml:space="preserve"> million reserve imbalance </w:t>
      </w:r>
      <w:r w:rsidR="00EA6942">
        <w:rPr>
          <w:rFonts w:ascii="TimesNewRomanPSMT" w:hAnsi="TimesNewRomanPSMT" w:cs="TimesNewRomanPSMT"/>
        </w:rPr>
        <w:t>approv</w:t>
      </w:r>
      <w:r w:rsidR="002E5A76">
        <w:rPr>
          <w:rFonts w:ascii="TimesNewRomanPSMT" w:hAnsi="TimesNewRomanPSMT" w:cs="TimesNewRomanPSMT"/>
        </w:rPr>
        <w:t xml:space="preserve">ed </w:t>
      </w:r>
      <w:r w:rsidR="002E5A76" w:rsidRPr="00DE1FCC">
        <w:rPr>
          <w:rFonts w:ascii="TimesNewRomanPSMT" w:hAnsi="TimesNewRomanPSMT" w:cs="TimesNewRomanPSMT"/>
        </w:rPr>
        <w:t>is amortized over a 2-year period, the resulting annual depreciation expenses (as shown in Section II of Attachment B</w:t>
      </w:r>
      <w:r w:rsidR="00EA6942">
        <w:rPr>
          <w:rFonts w:ascii="TimesNewRomanPSMT" w:hAnsi="TimesNewRomanPSMT" w:cs="TimesNewRomanPSMT"/>
        </w:rPr>
        <w:t xml:space="preserve"> to th</w:t>
      </w:r>
      <w:r w:rsidR="00B213FB">
        <w:rPr>
          <w:rFonts w:ascii="TimesNewRomanPSMT" w:hAnsi="TimesNewRomanPSMT" w:cs="TimesNewRomanPSMT"/>
        </w:rPr>
        <w:t>is</w:t>
      </w:r>
      <w:r w:rsidR="00EA6942">
        <w:rPr>
          <w:rFonts w:ascii="TimesNewRomanPSMT" w:hAnsi="TimesNewRomanPSMT" w:cs="TimesNewRomanPSMT"/>
        </w:rPr>
        <w:t xml:space="preserve"> order</w:t>
      </w:r>
      <w:r w:rsidR="002E5A76" w:rsidRPr="00DE1FCC">
        <w:rPr>
          <w:rFonts w:ascii="TimesNewRomanPSMT" w:hAnsi="TimesNewRomanPSMT" w:cs="TimesNewRomanPSMT"/>
        </w:rPr>
        <w:t xml:space="preserve">) would be lower than the annual depreciation expenses resulting from applying </w:t>
      </w:r>
      <w:r w:rsidR="002E5A76" w:rsidRPr="00DE1FCC">
        <w:rPr>
          <w:rFonts w:ascii="TimesNewRomanPSMT" w:hAnsi="TimesNewRomanPSMT" w:cs="TimesNewRomanPSMT"/>
        </w:rPr>
        <w:lastRenderedPageBreak/>
        <w:t>the remaining life technique to correct the reserve imbalance (see</w:t>
      </w:r>
      <w:r w:rsidR="002E5A76">
        <w:rPr>
          <w:rFonts w:ascii="TimesNewRomanPSMT" w:hAnsi="TimesNewRomanPSMT" w:cs="TimesNewRomanPSMT"/>
        </w:rPr>
        <w:t xml:space="preserve"> </w:t>
      </w:r>
      <w:r w:rsidR="002E5A76" w:rsidRPr="00DE1FCC">
        <w:rPr>
          <w:rFonts w:ascii="TimesNewRomanPSMT" w:hAnsi="TimesNewRomanPSMT" w:cs="TimesNewRomanPSMT"/>
        </w:rPr>
        <w:t>Section I of Attachment B). However, amortization of the reserve imbalance over less than remaining life</w:t>
      </w:r>
      <w:r w:rsidR="00B213FB">
        <w:rPr>
          <w:rFonts w:ascii="TimesNewRomanPSMT" w:hAnsi="TimesNewRomanPSMT" w:cs="TimesNewRomanPSMT"/>
        </w:rPr>
        <w:t xml:space="preserve"> </w:t>
      </w:r>
      <w:r w:rsidR="002E5A76" w:rsidRPr="00DE1FCC">
        <w:rPr>
          <w:rFonts w:ascii="TimesNewRomanPSMT" w:hAnsi="TimesNewRomanPSMT" w:cs="TimesNewRomanPSMT"/>
        </w:rPr>
        <w:t>would, all else being equal, cause future depreciation rates and revenue requirements to increase. More specifically, FCG indicated that, with respect to the impact of its proposed surplus corrective measure on customer’s rates in next base rate case, correction of the reserve surplus over the proposed 2-year period compared to correction through the remaining life rate design could, in a vacuum, result in an increased rate base and depreciation expenses in FCG’s next rate case proceeding.</w:t>
      </w:r>
    </w:p>
    <w:p w14:paraId="41C83281" w14:textId="77777777" w:rsidR="002E5A76" w:rsidRDefault="002E5A76" w:rsidP="00AC29C3">
      <w:pPr>
        <w:tabs>
          <w:tab w:val="left" w:pos="0"/>
        </w:tabs>
        <w:autoSpaceDE w:val="0"/>
        <w:autoSpaceDN w:val="0"/>
        <w:adjustRightInd w:val="0"/>
        <w:jc w:val="both"/>
        <w:rPr>
          <w:rFonts w:ascii="TimesNewRomanPSMT" w:hAnsi="TimesNewRomanPSMT" w:cs="TimesNewRomanPSMT"/>
        </w:rPr>
      </w:pPr>
    </w:p>
    <w:p w14:paraId="38465BB3" w14:textId="5221DDBD" w:rsidR="002E5A76" w:rsidRPr="00083FDA" w:rsidRDefault="002E5A76" w:rsidP="00403AD7">
      <w:pPr>
        <w:ind w:firstLine="720"/>
        <w:jc w:val="both"/>
      </w:pPr>
      <w:r w:rsidRPr="00083FDA">
        <w:t xml:space="preserve">An impact of FCG’s proposed 2-year amortization would be increased Company earnings because the depreciation reserve would be used to offset or credit 2025 and 2026 depreciation expenses. Given that the Company is under-earning through June 30, 2025, and projected to under-earn for calendar year 2025, FCG’s amortization proposal “would be acting as a bridge” in terms of earnings support between now and a future rate case/implementation of revised base rates. However, the 2-year amortization proposal is not being offered as a definitive postponement of a future rate case. </w:t>
      </w:r>
    </w:p>
    <w:p w14:paraId="7E38BDE3" w14:textId="77777777" w:rsidR="002E5A76" w:rsidRPr="00DF1326" w:rsidRDefault="002E5A76" w:rsidP="00AC29C3">
      <w:pPr>
        <w:jc w:val="both"/>
        <w:rPr>
          <w:highlight w:val="green"/>
        </w:rPr>
      </w:pPr>
    </w:p>
    <w:p w14:paraId="61D9A1D4" w14:textId="25428852" w:rsidR="002E5A76" w:rsidRDefault="002E5A76" w:rsidP="00403AD7">
      <w:pPr>
        <w:ind w:firstLine="720"/>
        <w:jc w:val="both"/>
      </w:pPr>
      <w:r w:rsidRPr="00083FDA">
        <w:t xml:space="preserve">The specific accounting entries associated with the Company’s 2-year amortization proposal consist of debits to accumulated depreciation by Federal Energy Regulatory Commission plant account and credits to depreciation expense. </w:t>
      </w:r>
      <w:r w:rsidRPr="008B2D35">
        <w:t xml:space="preserve">While the Company’s under-earnings level quoted in this </w:t>
      </w:r>
      <w:r w:rsidR="00A41A61">
        <w:t>Section</w:t>
      </w:r>
      <w:r w:rsidRPr="008B2D35">
        <w:t xml:space="preserve"> is associated with the first half</w:t>
      </w:r>
      <w:r w:rsidRPr="00083FDA">
        <w:t xml:space="preserve"> of 2025 and the proposed amortization occurs over calendar year 2025, </w:t>
      </w:r>
      <w:r w:rsidRPr="00191B9C">
        <w:t>approving the Company’s requested depreciation parameters and $19.2 million 2-year amortization proposals could potentially bring it inside the authorized earnings range for 2025</w:t>
      </w:r>
      <w:r w:rsidRPr="00083FDA">
        <w:t>.</w:t>
      </w:r>
    </w:p>
    <w:p w14:paraId="75221F4C" w14:textId="77777777" w:rsidR="002E5A76" w:rsidRDefault="002E5A76" w:rsidP="00AC29C3">
      <w:pPr>
        <w:jc w:val="both"/>
      </w:pPr>
    </w:p>
    <w:p w14:paraId="5629C53F" w14:textId="47DB07FC" w:rsidR="008F2808" w:rsidRDefault="002E5A76" w:rsidP="00403AD7">
      <w:pPr>
        <w:ind w:firstLine="720"/>
        <w:jc w:val="both"/>
      </w:pPr>
      <w:r>
        <w:t>T</w:t>
      </w:r>
      <w:r w:rsidRPr="002C4138">
        <w:t xml:space="preserve">he matter of how a reserve imbalance should be corrected is not a subject of depreciation theory but is instead a policy decision. </w:t>
      </w:r>
      <w:r w:rsidRPr="00191B9C">
        <w:t>In this case, approving a 2-year amortization for correcting staff’s calculated $6.8 million reserve surplus, which can help in addressing FCG’s short term under earnings, is</w:t>
      </w:r>
      <w:r w:rsidR="00DC4ECB">
        <w:t xml:space="preserve"> one direction available to us</w:t>
      </w:r>
      <w:r w:rsidRPr="002C4138">
        <w:t>. However, there are compelling reasons to support using the remaining life technique to address the identified theoretical reserve surplus.</w:t>
      </w:r>
    </w:p>
    <w:p w14:paraId="2E9EBF14" w14:textId="77777777" w:rsidR="00DC4ECB" w:rsidRDefault="00DC4ECB" w:rsidP="00403AD7">
      <w:pPr>
        <w:ind w:firstLine="720"/>
        <w:jc w:val="both"/>
      </w:pPr>
    </w:p>
    <w:p w14:paraId="5C3921CB" w14:textId="77777777" w:rsidR="002E5A76" w:rsidRPr="00403AD7" w:rsidRDefault="002E5A76" w:rsidP="00DC4ECB">
      <w:pPr>
        <w:ind w:firstLine="720"/>
        <w:jc w:val="both"/>
        <w:rPr>
          <w:b/>
        </w:rPr>
      </w:pPr>
      <w:r w:rsidRPr="00403AD7">
        <w:rPr>
          <w:b/>
        </w:rPr>
        <w:t>C</w:t>
      </w:r>
      <w:r w:rsidR="00F120C2">
        <w:rPr>
          <w:b/>
        </w:rPr>
        <w:t>onclusion</w:t>
      </w:r>
    </w:p>
    <w:p w14:paraId="16D24835" w14:textId="77777777" w:rsidR="002E5A76" w:rsidRDefault="002E5A76" w:rsidP="00AC29C3">
      <w:pPr>
        <w:tabs>
          <w:tab w:val="left" w:pos="0"/>
        </w:tabs>
        <w:autoSpaceDE w:val="0"/>
        <w:autoSpaceDN w:val="0"/>
        <w:adjustRightInd w:val="0"/>
        <w:jc w:val="both"/>
        <w:rPr>
          <w:rFonts w:ascii="TimesNewRomanPSMT" w:hAnsi="TimesNewRomanPSMT" w:cs="TimesNewRomanPSMT"/>
        </w:rPr>
      </w:pPr>
    </w:p>
    <w:p w14:paraId="1C28DC78" w14:textId="05467255" w:rsidR="00784D27" w:rsidRDefault="00205CF1" w:rsidP="00403AD7">
      <w:pPr>
        <w:pStyle w:val="OrderBody"/>
        <w:ind w:firstLine="720"/>
      </w:pPr>
      <w:r>
        <w:rPr>
          <w:rFonts w:ascii="TimesNewRomanPSMT" w:hAnsi="TimesNewRomanPSMT" w:cs="TimesNewRomanPSMT"/>
        </w:rPr>
        <w:t>We approve</w:t>
      </w:r>
      <w:r w:rsidR="002E5A76" w:rsidRPr="00872307">
        <w:rPr>
          <w:rFonts w:ascii="TimesNewRomanPSMT" w:hAnsi="TimesNewRomanPSMT" w:cs="TimesNewRomanPSMT"/>
        </w:rPr>
        <w:t xml:space="preserve"> using the remaining life technique to correct the </w:t>
      </w:r>
      <w:r w:rsidR="002E5A76">
        <w:rPr>
          <w:rFonts w:ascii="TimesNewRomanPSMT" w:hAnsi="TimesNewRomanPSMT" w:cs="TimesNewRomanPSMT"/>
        </w:rPr>
        <w:t xml:space="preserve">theoretical </w:t>
      </w:r>
      <w:r w:rsidR="002E5A76" w:rsidRPr="00872307">
        <w:rPr>
          <w:rFonts w:ascii="TimesNewRomanPSMT" w:hAnsi="TimesNewRomanPSMT" w:cs="TimesNewRomanPSMT"/>
        </w:rPr>
        <w:t xml:space="preserve">reserve imbalances. The resulting </w:t>
      </w:r>
      <w:r w:rsidR="002E5A76">
        <w:rPr>
          <w:rFonts w:ascii="TimesNewRomanPSMT" w:hAnsi="TimesNewRomanPSMT" w:cs="TimesNewRomanPSMT"/>
        </w:rPr>
        <w:t xml:space="preserve">total </w:t>
      </w:r>
      <w:r w:rsidR="002E5A76" w:rsidRPr="00872307">
        <w:rPr>
          <w:rFonts w:ascii="TimesNewRomanPSMT" w:hAnsi="TimesNewRomanPSMT" w:cs="TimesNewRomanPSMT"/>
        </w:rPr>
        <w:t xml:space="preserve">annual depreciation expense </w:t>
      </w:r>
      <w:r w:rsidR="002E5A76">
        <w:rPr>
          <w:rFonts w:ascii="TimesNewRomanPSMT" w:hAnsi="TimesNewRomanPSMT" w:cs="TimesNewRomanPSMT"/>
        </w:rPr>
        <w:t>is $17.3 million, as shown</w:t>
      </w:r>
      <w:r w:rsidR="002E5A76" w:rsidRPr="00872307">
        <w:rPr>
          <w:rFonts w:ascii="TimesNewRomanPSMT" w:hAnsi="TimesNewRomanPSMT" w:cs="TimesNewRomanPSMT"/>
        </w:rPr>
        <w:t xml:space="preserve"> in Attachment B, Section I</w:t>
      </w:r>
      <w:r w:rsidR="003F4FF9">
        <w:rPr>
          <w:rFonts w:ascii="TimesNewRomanPSMT" w:hAnsi="TimesNewRomanPSMT" w:cs="TimesNewRomanPSMT"/>
        </w:rPr>
        <w:t>,</w:t>
      </w:r>
      <w:r w:rsidR="003F4FF9" w:rsidRPr="003F4FF9">
        <w:t xml:space="preserve"> </w:t>
      </w:r>
      <w:r w:rsidR="003F4FF9">
        <w:t xml:space="preserve"> which is incorporated by this reference as if fully set forth herein</w:t>
      </w:r>
      <w:r w:rsidR="002E5A76" w:rsidRPr="00872307">
        <w:rPr>
          <w:rFonts w:ascii="TimesNewRomanPSMT" w:hAnsi="TimesNewRomanPSMT" w:cs="TimesNewRomanPSMT"/>
        </w:rPr>
        <w:t>.</w:t>
      </w:r>
      <w:r w:rsidR="002E5A76" w:rsidRPr="00B33CAF">
        <w:rPr>
          <w:rFonts w:ascii="TimesNewRomanPSMT" w:hAnsi="TimesNewRomanPSMT" w:cs="TimesNewRomanPSMT"/>
        </w:rPr>
        <w:t xml:space="preserve"> </w:t>
      </w:r>
    </w:p>
    <w:p w14:paraId="669E9872" w14:textId="77777777" w:rsidR="00784D27" w:rsidRDefault="00784D27" w:rsidP="00AC29C3">
      <w:pPr>
        <w:pStyle w:val="OrderBody"/>
      </w:pPr>
    </w:p>
    <w:p w14:paraId="6D4B37BC" w14:textId="73A6FB69" w:rsidR="00403AD7" w:rsidRDefault="00403AD7" w:rsidP="00DC4ECB">
      <w:pPr>
        <w:pStyle w:val="IssueSubsectionHeading"/>
        <w:keepNext/>
        <w:spacing w:after="0"/>
        <w:rPr>
          <w:rFonts w:ascii="Times New Roman" w:hAnsi="Times New Roman" w:cs="Times New Roman"/>
          <w:b w:val="0"/>
          <w:i w:val="0"/>
          <w:iCs w:val="0"/>
          <w:u w:val="single"/>
        </w:rPr>
      </w:pPr>
      <w:r>
        <w:rPr>
          <w:rFonts w:ascii="Times New Roman" w:hAnsi="Times New Roman" w:cs="Times New Roman"/>
          <w:b w:val="0"/>
          <w:i w:val="0"/>
          <w:iCs w:val="0"/>
        </w:rPr>
        <w:t>5.</w:t>
      </w:r>
      <w:r>
        <w:rPr>
          <w:rFonts w:ascii="Times New Roman" w:hAnsi="Times New Roman" w:cs="Times New Roman"/>
          <w:b w:val="0"/>
          <w:i w:val="0"/>
          <w:iCs w:val="0"/>
        </w:rPr>
        <w:tab/>
      </w:r>
      <w:r>
        <w:rPr>
          <w:rFonts w:ascii="Times New Roman" w:hAnsi="Times New Roman" w:cs="Times New Roman"/>
          <w:b w:val="0"/>
          <w:i w:val="0"/>
          <w:iCs w:val="0"/>
          <w:u w:val="single"/>
        </w:rPr>
        <w:t>Implementation Date</w:t>
      </w:r>
    </w:p>
    <w:p w14:paraId="6807D577" w14:textId="77777777" w:rsidR="00DC4ECB" w:rsidRPr="00DC4ECB" w:rsidRDefault="00DC4ECB" w:rsidP="00DC4ECB">
      <w:pPr>
        <w:pStyle w:val="BodyText"/>
        <w:spacing w:after="0"/>
      </w:pPr>
    </w:p>
    <w:p w14:paraId="79A61DD5" w14:textId="0DBE8D94" w:rsidR="002E5A76" w:rsidRPr="005B117A" w:rsidRDefault="00F120C2" w:rsidP="00DC4ECB">
      <w:pPr>
        <w:widowControl w:val="0"/>
        <w:overflowPunct w:val="0"/>
        <w:autoSpaceDE w:val="0"/>
        <w:autoSpaceDN w:val="0"/>
        <w:adjustRightInd w:val="0"/>
        <w:spacing w:line="260" w:lineRule="atLeast"/>
        <w:jc w:val="both"/>
        <w:textAlignment w:val="baseline"/>
      </w:pPr>
      <w:r>
        <w:rPr>
          <w:b/>
        </w:rPr>
        <w:tab/>
      </w:r>
      <w:r w:rsidR="002E5A76">
        <w:t>Rule 25-7.045(5)(b), F.A.C.</w:t>
      </w:r>
      <w:r w:rsidR="002E5A76" w:rsidRPr="005821C2">
        <w:t>,</w:t>
      </w:r>
      <w:r w:rsidR="002E5A76">
        <w:t xml:space="preserve"> states, in part, a</w:t>
      </w:r>
      <w:r w:rsidR="002E5A76" w:rsidRPr="005821C2">
        <w:rPr>
          <w:noProof/>
          <w:color w:val="000000"/>
        </w:rPr>
        <w:t xml:space="preserve"> </w:t>
      </w:r>
      <w:r w:rsidR="002E5A76">
        <w:rPr>
          <w:noProof/>
          <w:color w:val="000000"/>
        </w:rPr>
        <w:t xml:space="preserve">depreciation study shall include “a </w:t>
      </w:r>
      <w:r w:rsidR="002E5A76" w:rsidRPr="005821C2">
        <w:rPr>
          <w:noProof/>
          <w:color w:val="000000"/>
        </w:rPr>
        <w:t xml:space="preserve">comparison of current and proposed annual depreciation rates and expenses. </w:t>
      </w:r>
      <w:r w:rsidR="002E5A76" w:rsidRPr="005821C2">
        <w:t>The comparison of current and proposed rates shall identify the proposed effective date for the proposed rates.</w:t>
      </w:r>
      <w:r w:rsidR="002E5A76">
        <w:t xml:space="preserve">” FCG’s 2025 Depreciation Study included a proposed effective date </w:t>
      </w:r>
      <w:r w:rsidR="002E5A76" w:rsidRPr="005B117A">
        <w:t>of January 1, 2025, for the proposed depreciation rates as required by this Rule.</w:t>
      </w:r>
    </w:p>
    <w:p w14:paraId="18B471D8" w14:textId="1123BFF8" w:rsidR="002E5A76" w:rsidRDefault="006672E2" w:rsidP="00177B7D">
      <w:pPr>
        <w:widowControl w:val="0"/>
        <w:overflowPunct w:val="0"/>
        <w:autoSpaceDE w:val="0"/>
        <w:autoSpaceDN w:val="0"/>
        <w:adjustRightInd w:val="0"/>
        <w:spacing w:line="260" w:lineRule="atLeast"/>
        <w:jc w:val="both"/>
        <w:textAlignment w:val="baseline"/>
      </w:pPr>
      <w:r>
        <w:lastRenderedPageBreak/>
        <w:tab/>
      </w:r>
      <w:r w:rsidR="002E5A76" w:rsidRPr="005B117A">
        <w:t>OPC recommended that FCG’s 2025 Depreciatio</w:t>
      </w:r>
      <w:r w:rsidR="00D97F44">
        <w:t xml:space="preserve">n Study should be rejected and </w:t>
      </w:r>
      <w:r w:rsidR="002E5A76" w:rsidRPr="005B117A">
        <w:t>any implementation date should be no sooner than the effective date of new end user rates resulting from the Company’s next rate case</w:t>
      </w:r>
      <w:r w:rsidR="008E3ACD">
        <w:t>.</w:t>
      </w:r>
    </w:p>
    <w:p w14:paraId="727D8067" w14:textId="77777777" w:rsidR="00DC4ECB" w:rsidRPr="005B117A" w:rsidRDefault="00DC4ECB" w:rsidP="00DC4ECB">
      <w:pPr>
        <w:pStyle w:val="BodyText"/>
        <w:tabs>
          <w:tab w:val="left" w:pos="8460"/>
        </w:tabs>
        <w:spacing w:after="0"/>
        <w:ind w:left="900" w:right="900"/>
        <w:jc w:val="both"/>
      </w:pPr>
    </w:p>
    <w:p w14:paraId="5D801846" w14:textId="77777777" w:rsidR="002E5A76" w:rsidRDefault="00205CF1" w:rsidP="00F120C2">
      <w:pPr>
        <w:pStyle w:val="BodyText"/>
        <w:spacing w:after="0"/>
        <w:ind w:firstLine="720"/>
        <w:jc w:val="both"/>
      </w:pPr>
      <w:r>
        <w:t>A</w:t>
      </w:r>
      <w:r w:rsidR="002E5A76" w:rsidRPr="005B117A">
        <w:t>n implementation date must be set. FCG’s proposed effective date of January 1, 2025 is in line with the Company’s data and proposals</w:t>
      </w:r>
      <w:r w:rsidR="002E5A76">
        <w:t xml:space="preserve"> set forth in this docket</w:t>
      </w:r>
      <w:r w:rsidR="002E5A76" w:rsidRPr="005B117A">
        <w:t xml:space="preserve">. Additionally the Company’s investments and reserves used for calculating the reserve imbalance are as of January 1, 2025. </w:t>
      </w:r>
      <w:r w:rsidR="003D7765">
        <w:t>We find</w:t>
      </w:r>
      <w:r w:rsidR="002E5A76" w:rsidRPr="005B117A">
        <w:t xml:space="preserve"> the appropriate implementation date should be January 1, 2025.</w:t>
      </w:r>
    </w:p>
    <w:p w14:paraId="16302719" w14:textId="77777777" w:rsidR="00F120C2" w:rsidRDefault="00F120C2" w:rsidP="00BC771F">
      <w:pPr>
        <w:pStyle w:val="BodyText"/>
        <w:spacing w:after="0"/>
        <w:jc w:val="both"/>
      </w:pPr>
    </w:p>
    <w:p w14:paraId="5058B29D" w14:textId="77777777" w:rsidR="002E5A76" w:rsidRDefault="002E5A76" w:rsidP="00DC4ECB">
      <w:pPr>
        <w:ind w:firstLine="720"/>
        <w:jc w:val="both"/>
        <w:rPr>
          <w:b/>
        </w:rPr>
      </w:pPr>
      <w:r w:rsidRPr="00F120C2">
        <w:rPr>
          <w:b/>
        </w:rPr>
        <w:t>C</w:t>
      </w:r>
      <w:r w:rsidR="00F120C2">
        <w:rPr>
          <w:b/>
        </w:rPr>
        <w:t>onclusion</w:t>
      </w:r>
    </w:p>
    <w:p w14:paraId="75C90447" w14:textId="77777777" w:rsidR="00F120C2" w:rsidRPr="00F120C2" w:rsidRDefault="00F120C2" w:rsidP="00F120C2">
      <w:pPr>
        <w:jc w:val="both"/>
        <w:rPr>
          <w:b/>
        </w:rPr>
      </w:pPr>
    </w:p>
    <w:p w14:paraId="3BB6106E" w14:textId="77777777" w:rsidR="00784D27" w:rsidRDefault="003D7765" w:rsidP="00D6792C">
      <w:pPr>
        <w:pStyle w:val="OrderBody"/>
        <w:ind w:firstLine="720"/>
      </w:pPr>
      <w:r>
        <w:t>T</w:t>
      </w:r>
      <w:r w:rsidR="002E5A76">
        <w:t>he implementation date for revised depreciation rates a</w:t>
      </w:r>
      <w:r>
        <w:t>nd amortization schedules shall</w:t>
      </w:r>
      <w:r w:rsidR="002E5A76">
        <w:t xml:space="preserve"> be January 1, 2025.</w:t>
      </w:r>
    </w:p>
    <w:p w14:paraId="52A11085" w14:textId="77777777" w:rsidR="002E5A76" w:rsidRDefault="002E5A76" w:rsidP="00AC29C3">
      <w:pPr>
        <w:pStyle w:val="OrderBody"/>
      </w:pPr>
    </w:p>
    <w:p w14:paraId="08039FE0" w14:textId="77777777" w:rsidR="00D6792C" w:rsidRPr="00D6792C" w:rsidRDefault="00D6792C" w:rsidP="00D6792C">
      <w:pPr>
        <w:pStyle w:val="IssueSubsectionHeading"/>
        <w:keepNext/>
        <w:ind w:left="720" w:hanging="720"/>
        <w:rPr>
          <w:rFonts w:ascii="Times New Roman" w:hAnsi="Times New Roman" w:cs="Times New Roman"/>
          <w:b w:val="0"/>
          <w:i w:val="0"/>
          <w:iCs w:val="0"/>
          <w:u w:val="single"/>
        </w:rPr>
      </w:pPr>
      <w:r>
        <w:rPr>
          <w:rFonts w:ascii="Times New Roman" w:hAnsi="Times New Roman" w:cs="Times New Roman"/>
          <w:b w:val="0"/>
          <w:i w:val="0"/>
          <w:iCs w:val="0"/>
        </w:rPr>
        <w:t>6.</w:t>
      </w:r>
      <w:r>
        <w:rPr>
          <w:rFonts w:ascii="Times New Roman" w:hAnsi="Times New Roman" w:cs="Times New Roman"/>
          <w:b w:val="0"/>
          <w:i w:val="0"/>
          <w:iCs w:val="0"/>
        </w:rPr>
        <w:tab/>
      </w:r>
      <w:r>
        <w:rPr>
          <w:rFonts w:ascii="Times New Roman" w:hAnsi="Times New Roman" w:cs="Times New Roman"/>
          <w:b w:val="0"/>
          <w:i w:val="0"/>
          <w:iCs w:val="0"/>
          <w:u w:val="single"/>
        </w:rPr>
        <w:t>Amortization of Investment Tax Credits (ITCs) and Flow Back of Excess Deferred Income Taxes (EDITs)</w:t>
      </w:r>
    </w:p>
    <w:p w14:paraId="0E191AE3" w14:textId="7C6ECEDC" w:rsidR="002E5A76" w:rsidRDefault="002E5A76" w:rsidP="006672E2">
      <w:pPr>
        <w:ind w:firstLine="720"/>
        <w:jc w:val="both"/>
      </w:pPr>
      <w:r>
        <w:t xml:space="preserve">FCG argued if the Commission approves the 2025 Depreciation Study, the flow back of EDITs should be revised to reflect the depreciation rates and amortization schedules ultimately approved by </w:t>
      </w:r>
      <w:r w:rsidR="00DC4ECB">
        <w:t>us</w:t>
      </w:r>
      <w:r>
        <w:t xml:space="preserve"> in this proceeding. FCG explained that if </w:t>
      </w:r>
      <w:r w:rsidR="00DC4ECB">
        <w:t>we approve</w:t>
      </w:r>
      <w:r>
        <w:t xml:space="preserve"> changing the remaining lives of depreciable property, it would also be necessary to change the amortizations of ITCs and EDITs to avoid conflict with provisions of the Internal Revenue Code (IRC) and Tax Cuts and Jobs Act. The flow back of EDITs should be revised to reflect the depreciation rates and amortization schedules ultimately approved by the Commission in this proceeding. FCG affirmed it does not have any ITCs at this time. </w:t>
      </w:r>
    </w:p>
    <w:p w14:paraId="74292704" w14:textId="77777777" w:rsidR="002E5A76" w:rsidRDefault="002E5A76" w:rsidP="00AC29C3">
      <w:pPr>
        <w:jc w:val="both"/>
      </w:pPr>
    </w:p>
    <w:p w14:paraId="69CAB944" w14:textId="7E320FD2" w:rsidR="002E5A76" w:rsidRDefault="006672E2" w:rsidP="006672E2">
      <w:pPr>
        <w:ind w:firstLine="720"/>
        <w:jc w:val="both"/>
      </w:pPr>
      <w:r>
        <w:t>OPC</w:t>
      </w:r>
      <w:r w:rsidR="002E5A76">
        <w:t xml:space="preserve"> contended FCG did not file a complete depreciation study as required by Rule 25-7.045, F.A.C.; therefore, there is no lawful basis to change depreciation rates and amortization schedules, thus rendering this issue moot. OPC acknowledged in the event the Commission grants FCG’s request, the Commission should follow Commission practice.</w:t>
      </w:r>
    </w:p>
    <w:p w14:paraId="21324670" w14:textId="77777777" w:rsidR="002E5A76" w:rsidRDefault="002E5A76" w:rsidP="00AC29C3">
      <w:pPr>
        <w:jc w:val="both"/>
      </w:pPr>
    </w:p>
    <w:p w14:paraId="20C4FD46" w14:textId="61FC6A5E" w:rsidR="002E5A76" w:rsidRDefault="00D97F44" w:rsidP="006672E2">
      <w:pPr>
        <w:ind w:firstLine="720"/>
        <w:jc w:val="both"/>
      </w:pPr>
      <w:r>
        <w:t xml:space="preserve">In order to </w:t>
      </w:r>
      <w:r w:rsidR="002C2C41">
        <w:t>ensure consistency</w:t>
      </w:r>
      <w:r>
        <w:t xml:space="preserve"> with </w:t>
      </w:r>
      <w:r w:rsidR="002C2C41">
        <w:t xml:space="preserve">the applicable </w:t>
      </w:r>
      <w:r>
        <w:t>provisions of the IRC and Tax Cuts and Jobs Act, t</w:t>
      </w:r>
      <w:r w:rsidR="003D7765">
        <w:t>he amortization of EDITs shall</w:t>
      </w:r>
      <w:r w:rsidR="002E5A76">
        <w:t xml:space="preserve"> be revised to reflect </w:t>
      </w:r>
      <w:r w:rsidR="00FF6311">
        <w:t>the rates</w:t>
      </w:r>
      <w:r w:rsidR="002E5A76">
        <w:t xml:space="preserve"> approved </w:t>
      </w:r>
      <w:r w:rsidR="00FF6311">
        <w:t>in this order</w:t>
      </w:r>
      <w:r w:rsidR="002E5A76">
        <w:t>.</w:t>
      </w:r>
    </w:p>
    <w:p w14:paraId="40351DF4" w14:textId="77777777" w:rsidR="002E5A76" w:rsidRDefault="002E5A76" w:rsidP="00AC29C3">
      <w:pPr>
        <w:jc w:val="both"/>
      </w:pPr>
    </w:p>
    <w:p w14:paraId="50CAE3F8" w14:textId="2E1140C8" w:rsidR="002E5A76" w:rsidRDefault="002E5A76" w:rsidP="006672E2">
      <w:pPr>
        <w:ind w:firstLine="720"/>
        <w:jc w:val="both"/>
      </w:pPr>
      <w:r>
        <w:t>In addition, FCG confirmed it does not have any ITCs. FCG agreed that if the Company changes the remaining lives of depreciable property, it is also important to change the amortization of ITCs and EDITs to avoid violation of provisions of IRC Section 50(d)(2) for ITCs, and IRC Section 168(i)(9), former Section 167(1), and Section 13001(d) of the Tax Cuts and Jobs Act for EDITs, and their underlying Treasury Regulations.</w:t>
      </w:r>
    </w:p>
    <w:p w14:paraId="12988221" w14:textId="77777777" w:rsidR="002E5A76" w:rsidRDefault="002E5A76" w:rsidP="00AC29C3">
      <w:pPr>
        <w:jc w:val="both"/>
      </w:pPr>
    </w:p>
    <w:p w14:paraId="7FC4E814" w14:textId="77777777" w:rsidR="002E5A76" w:rsidRDefault="002E5A76" w:rsidP="006672E2">
      <w:pPr>
        <w:ind w:firstLine="720"/>
        <w:jc w:val="both"/>
      </w:pPr>
      <w:r>
        <w:t xml:space="preserve">Revising a utility’s book depreciation lives in general results in a corresponding change in its rates of ITC amortization and flow back of EDITs. This revision is implemented in order to comply with normalization requirements of the IRC as set forth in Federal Tax Regulations </w:t>
      </w:r>
      <w:r>
        <w:lastRenderedPageBreak/>
        <w:t>under the Code sections,</w:t>
      </w:r>
      <w:r>
        <w:rPr>
          <w:rStyle w:val="FootnoteReference"/>
        </w:rPr>
        <w:footnoteReference w:id="26"/>
      </w:r>
      <w:r>
        <w:t xml:space="preserve"> Sections 168(f)(2) and (i)(9),</w:t>
      </w:r>
      <w:r>
        <w:rPr>
          <w:rStyle w:val="FootnoteReference"/>
        </w:rPr>
        <w:footnoteReference w:id="27"/>
      </w:r>
      <w:r>
        <w:t xml:space="preserve"> former IRC Sections 167(1), and 46(f),</w:t>
      </w:r>
      <w:r>
        <w:rPr>
          <w:rStyle w:val="FootnoteReference"/>
        </w:rPr>
        <w:footnoteReference w:id="28"/>
      </w:r>
      <w:r>
        <w:t xml:space="preserve"> and Section 203(e) of the Tax Reform Act of 1986 (the Act).</w:t>
      </w:r>
      <w:r>
        <w:rPr>
          <w:rStyle w:val="FootnoteReference"/>
        </w:rPr>
        <w:footnoteReference w:id="29"/>
      </w:r>
    </w:p>
    <w:p w14:paraId="40083B08" w14:textId="77777777" w:rsidR="002E5A76" w:rsidRDefault="002E5A76" w:rsidP="002E5A76">
      <w:pPr>
        <w:jc w:val="both"/>
      </w:pPr>
    </w:p>
    <w:p w14:paraId="16CD6DD0" w14:textId="6BCE745F" w:rsidR="002E5A76" w:rsidRDefault="002E5A76" w:rsidP="006672E2">
      <w:pPr>
        <w:ind w:firstLine="720"/>
        <w:jc w:val="both"/>
      </w:pPr>
      <w:r>
        <w:t>Former IRC Section 46(f)(6) of the Code indicated that the amortization of the ITC should be determined by the period of time actually used in computing depreciation expense</w:t>
      </w:r>
      <w:r w:rsidRPr="00EA4DC5">
        <w:t xml:space="preserve"> </w:t>
      </w:r>
      <w:r>
        <w:t>on the regulated books of the utility for ratemaking purposes.</w:t>
      </w:r>
      <w:r>
        <w:rPr>
          <w:rStyle w:val="FootnoteReference"/>
        </w:rPr>
        <w:footnoteReference w:id="30"/>
      </w:r>
      <w:r>
        <w:t xml:space="preserve"> While Section 46(f)(6) was repealed, under IRC Section 50(d)(2), the terms of former IRC Section 46(f)(6) remain applicable to </w:t>
      </w:r>
      <w:r w:rsidRPr="00D8232B">
        <w:t xml:space="preserve">public utility property for which a regulated utility previously claimed ITCs. FCG confirmed in response to </w:t>
      </w:r>
      <w:r w:rsidR="00DC4ECB">
        <w:t xml:space="preserve">our </w:t>
      </w:r>
      <w:r w:rsidRPr="00D8232B">
        <w:t>staff</w:t>
      </w:r>
      <w:r w:rsidR="002C2C41">
        <w:t>’</w:t>
      </w:r>
      <w:r w:rsidRPr="00D8232B">
        <w:t>s 3</w:t>
      </w:r>
      <w:r w:rsidRPr="00D8232B">
        <w:rPr>
          <w:vertAlign w:val="superscript"/>
        </w:rPr>
        <w:t>rd</w:t>
      </w:r>
      <w:r>
        <w:t xml:space="preserve"> s</w:t>
      </w:r>
      <w:r w:rsidRPr="00D8232B">
        <w:t xml:space="preserve">et of </w:t>
      </w:r>
      <w:r>
        <w:t>i</w:t>
      </w:r>
      <w:r w:rsidRPr="00D8232B">
        <w:t>nterrogatories, No. 55</w:t>
      </w:r>
      <w:r>
        <w:t xml:space="preserve">, that 26 U.S.C 46(f)(6) has been repealed and at the time of filing, it did not have any ITCs. The Company is requesting changes to the remaining lives and the EDITs must also be changed to avoid a potential IRC violation. Changes in the ITCs and EDITs are needed to avoid violations of the provisions of IRC Section 50(d)(2) for ITCs, and IRC Section 168(i)(9), former Section 167(I), and Section 13001(d) of the Tax Change and Jobs Act for EDITs, and their underlying U.S. Treasury Regulations. The consequence of an ITC or EDIT normalization violation is a repayment of unamortized ITC balances to the IRS and the inability to utilize accelerated depreciation. Therefore, </w:t>
      </w:r>
      <w:r w:rsidR="00205CF1">
        <w:t>we approve</w:t>
      </w:r>
      <w:r>
        <w:t xml:space="preserve"> the flow back of EDITs be revised to match the actual recovery periods for the related property.</w:t>
      </w:r>
    </w:p>
    <w:p w14:paraId="61FA781D" w14:textId="77777777" w:rsidR="002E5A76" w:rsidRDefault="002E5A76" w:rsidP="002E5A76">
      <w:pPr>
        <w:jc w:val="both"/>
      </w:pPr>
    </w:p>
    <w:p w14:paraId="60DEC92C" w14:textId="77777777" w:rsidR="002E5A76" w:rsidRPr="00F120C2" w:rsidRDefault="002E5A76" w:rsidP="00DC4ECB">
      <w:pPr>
        <w:spacing w:after="240"/>
        <w:ind w:firstLine="720"/>
        <w:jc w:val="both"/>
        <w:rPr>
          <w:b/>
        </w:rPr>
      </w:pPr>
      <w:r w:rsidRPr="00F120C2">
        <w:rPr>
          <w:b/>
        </w:rPr>
        <w:t>C</w:t>
      </w:r>
      <w:r w:rsidR="00F120C2">
        <w:rPr>
          <w:b/>
        </w:rPr>
        <w:t>onclusion</w:t>
      </w:r>
    </w:p>
    <w:p w14:paraId="5DD8989D" w14:textId="77777777" w:rsidR="002E5A76" w:rsidRDefault="002E5A76" w:rsidP="006672E2">
      <w:pPr>
        <w:pStyle w:val="OrderBody"/>
        <w:ind w:firstLine="720"/>
      </w:pPr>
      <w:r>
        <w:t>The current amortization of ITCs, if any, a</w:t>
      </w:r>
      <w:r w:rsidR="003D7765">
        <w:t>nd the flow back of EDITs shall</w:t>
      </w:r>
      <w:r>
        <w:t xml:space="preserve"> be revised to reflect the depreciation rates and amortization schedules approv</w:t>
      </w:r>
      <w:r w:rsidR="003D7765">
        <w:t>ed by the Commission. FCG shall</w:t>
      </w:r>
      <w:r>
        <w:t xml:space="preserve"> file detailed calculations of the revised EDITs at the same time it files its earnings surveillance report as specified in Rule 25-7.1352, F.A.C.</w:t>
      </w:r>
    </w:p>
    <w:p w14:paraId="60FD2C3B" w14:textId="77777777" w:rsidR="00784D27" w:rsidRDefault="00784D27" w:rsidP="00AC29C3">
      <w:pPr>
        <w:pStyle w:val="OrderBody"/>
      </w:pPr>
    </w:p>
    <w:p w14:paraId="6B96B12B" w14:textId="77777777" w:rsidR="0075196A" w:rsidRDefault="0075196A" w:rsidP="0075196A">
      <w:pPr>
        <w:ind w:firstLine="720"/>
      </w:pPr>
      <w:r>
        <w:t>Based on the foregoing, it is</w:t>
      </w:r>
    </w:p>
    <w:p w14:paraId="0F17A161" w14:textId="77777777" w:rsidR="0075196A" w:rsidRDefault="0075196A" w:rsidP="0075196A"/>
    <w:p w14:paraId="1896C94D" w14:textId="0E22D096" w:rsidR="0075196A" w:rsidRDefault="0075196A" w:rsidP="002E3EEF">
      <w:pPr>
        <w:ind w:firstLine="720"/>
        <w:jc w:val="both"/>
      </w:pPr>
      <w:r w:rsidRPr="00692EBC">
        <w:t xml:space="preserve">ORDERED by the Florida Public Service Commission that </w:t>
      </w:r>
      <w:r w:rsidR="00D932CA">
        <w:t>our review of Florida City Gas’s depreciation study indicates a need to review the Company’s currently prescribed depreciation rates</w:t>
      </w:r>
      <w:r w:rsidR="00CD0227">
        <w:t xml:space="preserve">. </w:t>
      </w:r>
      <w:r>
        <w:t xml:space="preserve"> It is further</w:t>
      </w:r>
    </w:p>
    <w:p w14:paraId="6BB55840" w14:textId="77777777" w:rsidR="0088149F" w:rsidRDefault="0088149F" w:rsidP="002E3EEF">
      <w:pPr>
        <w:ind w:firstLine="720"/>
        <w:jc w:val="both"/>
      </w:pPr>
    </w:p>
    <w:p w14:paraId="270781D1" w14:textId="5E0FBFAF" w:rsidR="0088149F" w:rsidRDefault="0088149F" w:rsidP="002E3EEF">
      <w:pPr>
        <w:ind w:firstLine="720"/>
        <w:jc w:val="both"/>
      </w:pPr>
      <w:r>
        <w:t xml:space="preserve">ORDERED that </w:t>
      </w:r>
      <w:r w:rsidRPr="001E66C3">
        <w:t>the depreciation parameters and resulting depreciation rate</w:t>
      </w:r>
      <w:r>
        <w:t>s</w:t>
      </w:r>
      <w:r w:rsidRPr="001E66C3">
        <w:t xml:space="preserve"> for each </w:t>
      </w:r>
      <w:r w:rsidRPr="00445CDF">
        <w:t>depreciable</w:t>
      </w:r>
      <w:r w:rsidRPr="001E66C3">
        <w:t xml:space="preserve"> plant account</w:t>
      </w:r>
      <w:r>
        <w:t>, as well as the amortization periods for each amortizable account li</w:t>
      </w:r>
      <w:r w:rsidRPr="001E66C3">
        <w:t>s</w:t>
      </w:r>
      <w:r>
        <w:t xml:space="preserve">ted in Attachment A </w:t>
      </w:r>
      <w:r w:rsidR="003F4FF9">
        <w:t xml:space="preserve">to this Order </w:t>
      </w:r>
      <w:r>
        <w:t>are approved. It is further</w:t>
      </w:r>
    </w:p>
    <w:p w14:paraId="660BFE6C" w14:textId="77777777" w:rsidR="0088149F" w:rsidRDefault="0088149F" w:rsidP="002E3EEF">
      <w:pPr>
        <w:ind w:firstLine="720"/>
        <w:jc w:val="both"/>
      </w:pPr>
    </w:p>
    <w:p w14:paraId="752C6AB8" w14:textId="2183676F" w:rsidR="0088149F" w:rsidRDefault="0088149F" w:rsidP="002E3EEF">
      <w:pPr>
        <w:ind w:firstLine="720"/>
        <w:jc w:val="both"/>
      </w:pPr>
      <w:r>
        <w:t>ORDERED</w:t>
      </w:r>
      <w:r w:rsidR="00A41A61">
        <w:t xml:space="preserve"> that </w:t>
      </w:r>
      <w:r w:rsidR="00A41A61" w:rsidRPr="00E67C9B">
        <w:t xml:space="preserve">the resulting theoretical reserve imbalances of FCG’s total plant accounts, as of January 1, 2025, is a surplus of $6.8 million as shown in </w:t>
      </w:r>
      <w:r w:rsidR="003F4FF9">
        <w:t>Table 3 on Page 15 of this Order</w:t>
      </w:r>
      <w:r w:rsidR="00A41A61" w:rsidRPr="00E67C9B">
        <w:t>.</w:t>
      </w:r>
      <w:r w:rsidR="00A41A61">
        <w:t xml:space="preserve"> It is further</w:t>
      </w:r>
    </w:p>
    <w:p w14:paraId="5DAB4B85" w14:textId="7FED3D6A" w:rsidR="00A41A61" w:rsidRDefault="00A41A61" w:rsidP="002E3EEF">
      <w:pPr>
        <w:ind w:firstLine="720"/>
        <w:jc w:val="both"/>
      </w:pPr>
      <w:r>
        <w:lastRenderedPageBreak/>
        <w:t xml:space="preserve">ORDERED that </w:t>
      </w:r>
      <w:r w:rsidRPr="004B7782">
        <w:t>the remaining life technique</w:t>
      </w:r>
      <w:r>
        <w:t xml:space="preserve"> shall be used to</w:t>
      </w:r>
      <w:r w:rsidRPr="004B7782">
        <w:t xml:space="preserve"> correct the depreciation reserve imbalances identified in </w:t>
      </w:r>
      <w:r>
        <w:t>Section</w:t>
      </w:r>
      <w:r w:rsidRPr="004B7782">
        <w:t xml:space="preserve"> </w:t>
      </w:r>
      <w:r>
        <w:t>3</w:t>
      </w:r>
      <w:r w:rsidR="003F4FF9">
        <w:t xml:space="preserve"> of this Order</w:t>
      </w:r>
      <w:r w:rsidRPr="008E235B">
        <w:t>.</w:t>
      </w:r>
      <w:r>
        <w:t xml:space="preserve"> The resulting annual depreciation rates and expenses are presented in Attachment B, Section I.</w:t>
      </w:r>
    </w:p>
    <w:p w14:paraId="0F7D19AA" w14:textId="77777777" w:rsidR="0075196A" w:rsidRDefault="0075196A" w:rsidP="002E3EEF">
      <w:pPr>
        <w:jc w:val="both"/>
      </w:pPr>
    </w:p>
    <w:p w14:paraId="4D4E5B42" w14:textId="572380F2" w:rsidR="0088149F" w:rsidRDefault="0075196A" w:rsidP="002E3EEF">
      <w:pPr>
        <w:jc w:val="both"/>
      </w:pPr>
      <w:r>
        <w:tab/>
        <w:t xml:space="preserve">ORDERED that </w:t>
      </w:r>
      <w:r w:rsidR="00D932CA">
        <w:t>the implementation of the new depreciation rates for FCG approved in this order shall be January 1, 2025</w:t>
      </w:r>
      <w:r w:rsidR="00CD0227">
        <w:t xml:space="preserve">. </w:t>
      </w:r>
      <w:r>
        <w:t>It is further</w:t>
      </w:r>
    </w:p>
    <w:p w14:paraId="520FDE46" w14:textId="77777777" w:rsidR="00CD3C00" w:rsidRDefault="00CD3C00" w:rsidP="002E3EEF">
      <w:pPr>
        <w:jc w:val="both"/>
      </w:pPr>
    </w:p>
    <w:p w14:paraId="45CF0177" w14:textId="5B43E595" w:rsidR="00CD3C00" w:rsidRDefault="00CD3C00" w:rsidP="002E3EEF">
      <w:pPr>
        <w:jc w:val="both"/>
      </w:pPr>
      <w:r>
        <w:tab/>
        <w:t>ORDERED that the curre</w:t>
      </w:r>
      <w:r w:rsidR="002E3EEF">
        <w:t>nt amortization of ITCs</w:t>
      </w:r>
      <w:r>
        <w:t xml:space="preserve"> and flow back o</w:t>
      </w:r>
      <w:r w:rsidR="002E3EEF">
        <w:t>f EDITs shall</w:t>
      </w:r>
      <w:r>
        <w:t xml:space="preserve"> be revised to reflect the depreciation rates and amortization schedules approv</w:t>
      </w:r>
      <w:r w:rsidR="002E3EEF">
        <w:t>ed by the Commission. FCG shall</w:t>
      </w:r>
      <w:r>
        <w:t xml:space="preserve"> file detailed calculations of the revised EDITs at the same time it files its earnings surveillance report as specified in Rule 25-7.1352, F.A.C.</w:t>
      </w:r>
      <w:r w:rsidR="003F4FF9">
        <w:t xml:space="preserve"> It is further</w:t>
      </w:r>
    </w:p>
    <w:p w14:paraId="31780A7F" w14:textId="77777777" w:rsidR="0075196A" w:rsidRDefault="0075196A" w:rsidP="002E3EEF">
      <w:pPr>
        <w:jc w:val="both"/>
      </w:pPr>
    </w:p>
    <w:p w14:paraId="653782ED" w14:textId="77777777" w:rsidR="0075196A" w:rsidRDefault="0075196A" w:rsidP="002E3EEF">
      <w:pPr>
        <w:jc w:val="both"/>
      </w:pPr>
      <w:r>
        <w:tab/>
        <w:t>ORDERED that</w:t>
      </w:r>
      <w:r w:rsidR="0088149F" w:rsidRPr="0088149F">
        <w:t xml:space="preserve"> </w:t>
      </w:r>
      <w:r w:rsidR="0088149F" w:rsidRPr="00945BCE">
        <w:t xml:space="preserve">this </w:t>
      </w:r>
      <w:r w:rsidR="003D7765">
        <w:t>docket shall</w:t>
      </w:r>
      <w:r w:rsidR="0088149F" w:rsidRPr="003436CC">
        <w:t xml:space="preserve"> be closed</w:t>
      </w:r>
      <w:r w:rsidR="0088149F">
        <w:t xml:space="preserve"> once the time for filing an appeal has run.</w:t>
      </w:r>
    </w:p>
    <w:p w14:paraId="1DA6A14E" w14:textId="77777777" w:rsidR="0075196A" w:rsidRDefault="0075196A" w:rsidP="0075196A"/>
    <w:p w14:paraId="003FBCA6" w14:textId="0CD1274C" w:rsidR="0012708E" w:rsidRDefault="0012708E" w:rsidP="0012708E">
      <w:pPr>
        <w:keepNext/>
        <w:keepLines/>
        <w:jc w:val="both"/>
      </w:pPr>
      <w:r>
        <w:tab/>
        <w:t xml:space="preserve">By ORDER of the Florida Public Service Commission this </w:t>
      </w:r>
      <w:bookmarkStart w:id="8" w:name="replaceDate"/>
      <w:bookmarkEnd w:id="8"/>
      <w:r w:rsidR="006544ED">
        <w:rPr>
          <w:u w:val="single"/>
        </w:rPr>
        <w:t>9th</w:t>
      </w:r>
      <w:r w:rsidR="006544ED">
        <w:t xml:space="preserve"> day of </w:t>
      </w:r>
      <w:r w:rsidR="006544ED">
        <w:rPr>
          <w:u w:val="single"/>
        </w:rPr>
        <w:t>March</w:t>
      </w:r>
      <w:r w:rsidR="006544ED">
        <w:t xml:space="preserve">, </w:t>
      </w:r>
      <w:r w:rsidR="006544ED">
        <w:rPr>
          <w:u w:val="single"/>
        </w:rPr>
        <w:t>2026</w:t>
      </w:r>
      <w:r w:rsidR="006544ED">
        <w:t>.</w:t>
      </w:r>
    </w:p>
    <w:p w14:paraId="4EDD47A1" w14:textId="77777777" w:rsidR="006544ED" w:rsidRPr="006544ED" w:rsidRDefault="006544ED" w:rsidP="0012708E">
      <w:pPr>
        <w:keepNext/>
        <w:keepLines/>
        <w:jc w:val="both"/>
      </w:pPr>
    </w:p>
    <w:p w14:paraId="2834DCA3" w14:textId="77777777" w:rsidR="0012708E" w:rsidRDefault="0012708E" w:rsidP="0012708E">
      <w:pPr>
        <w:keepNext/>
        <w:keepLines/>
        <w:jc w:val="both"/>
      </w:pPr>
    </w:p>
    <w:p w14:paraId="0F0112C4" w14:textId="6B01C7E9" w:rsidR="0012708E" w:rsidRDefault="0012708E" w:rsidP="0012708E">
      <w:pPr>
        <w:keepNext/>
        <w:keepLines/>
        <w:jc w:val="both"/>
      </w:pPr>
    </w:p>
    <w:p w14:paraId="12665C1B" w14:textId="356752CE" w:rsidR="002611BF" w:rsidRDefault="002611BF" w:rsidP="0012708E">
      <w:pPr>
        <w:keepNext/>
        <w:keepLines/>
        <w:jc w:val="both"/>
      </w:pPr>
    </w:p>
    <w:p w14:paraId="373997E2" w14:textId="77777777" w:rsidR="0012708E" w:rsidRDefault="0012708E" w:rsidP="001270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2708E" w14:paraId="650B2E05" w14:textId="77777777" w:rsidTr="0012708E">
        <w:tc>
          <w:tcPr>
            <w:tcW w:w="720" w:type="dxa"/>
            <w:shd w:val="clear" w:color="auto" w:fill="auto"/>
          </w:tcPr>
          <w:p w14:paraId="37849929" w14:textId="77777777" w:rsidR="0012708E" w:rsidRDefault="0012708E" w:rsidP="0012708E">
            <w:pPr>
              <w:keepNext/>
              <w:keepLines/>
              <w:jc w:val="both"/>
            </w:pPr>
            <w:bookmarkStart w:id="9" w:name="bkmrkSignature" w:colFirst="0" w:colLast="0"/>
          </w:p>
        </w:tc>
        <w:tc>
          <w:tcPr>
            <w:tcW w:w="4320" w:type="dxa"/>
            <w:tcBorders>
              <w:bottom w:val="single" w:sz="4" w:space="0" w:color="auto"/>
            </w:tcBorders>
            <w:shd w:val="clear" w:color="auto" w:fill="auto"/>
          </w:tcPr>
          <w:p w14:paraId="74F48E7C" w14:textId="02028FDA" w:rsidR="0012708E" w:rsidRDefault="00FF78FE" w:rsidP="0012708E">
            <w:pPr>
              <w:keepNext/>
              <w:keepLines/>
              <w:jc w:val="both"/>
            </w:pPr>
            <w:r>
              <w:t>/s/ Adam J. Teitzman</w:t>
            </w:r>
            <w:bookmarkStart w:id="10" w:name="_GoBack"/>
            <w:bookmarkEnd w:id="10"/>
          </w:p>
        </w:tc>
      </w:tr>
      <w:bookmarkEnd w:id="9"/>
      <w:tr w:rsidR="0012708E" w14:paraId="1A1E3E58" w14:textId="77777777" w:rsidTr="0012708E">
        <w:tc>
          <w:tcPr>
            <w:tcW w:w="720" w:type="dxa"/>
            <w:shd w:val="clear" w:color="auto" w:fill="auto"/>
          </w:tcPr>
          <w:p w14:paraId="78F16322" w14:textId="77777777" w:rsidR="0012708E" w:rsidRDefault="0012708E" w:rsidP="0012708E">
            <w:pPr>
              <w:keepNext/>
              <w:keepLines/>
              <w:jc w:val="both"/>
            </w:pPr>
          </w:p>
        </w:tc>
        <w:tc>
          <w:tcPr>
            <w:tcW w:w="4320" w:type="dxa"/>
            <w:tcBorders>
              <w:top w:val="single" w:sz="4" w:space="0" w:color="auto"/>
            </w:tcBorders>
            <w:shd w:val="clear" w:color="auto" w:fill="auto"/>
          </w:tcPr>
          <w:p w14:paraId="5F751014" w14:textId="77777777" w:rsidR="0012708E" w:rsidRDefault="0012708E" w:rsidP="0012708E">
            <w:pPr>
              <w:keepNext/>
              <w:keepLines/>
              <w:jc w:val="both"/>
            </w:pPr>
            <w:r>
              <w:t>ADAM TEITZMAN</w:t>
            </w:r>
          </w:p>
          <w:p w14:paraId="28F6AB81" w14:textId="77777777" w:rsidR="0012708E" w:rsidRDefault="0012708E" w:rsidP="0012708E">
            <w:pPr>
              <w:keepNext/>
              <w:keepLines/>
              <w:jc w:val="both"/>
            </w:pPr>
            <w:r>
              <w:t>Commission Clerk</w:t>
            </w:r>
          </w:p>
        </w:tc>
      </w:tr>
    </w:tbl>
    <w:p w14:paraId="154A7E94" w14:textId="77777777" w:rsidR="0012708E" w:rsidRDefault="0012708E" w:rsidP="0012708E">
      <w:pPr>
        <w:pStyle w:val="OrderSigInfo"/>
        <w:keepNext/>
        <w:keepLines/>
      </w:pPr>
      <w:r>
        <w:t>Florida Public Service Commission</w:t>
      </w:r>
    </w:p>
    <w:p w14:paraId="65E6A79D" w14:textId="77777777" w:rsidR="0012708E" w:rsidRDefault="0012708E" w:rsidP="0012708E">
      <w:pPr>
        <w:pStyle w:val="OrderSigInfo"/>
        <w:keepNext/>
        <w:keepLines/>
      </w:pPr>
      <w:r>
        <w:t>2540 Shumard Oak Boulevard</w:t>
      </w:r>
    </w:p>
    <w:p w14:paraId="5CB9268C" w14:textId="77777777" w:rsidR="0012708E" w:rsidRDefault="0012708E" w:rsidP="0012708E">
      <w:pPr>
        <w:pStyle w:val="OrderSigInfo"/>
        <w:keepNext/>
        <w:keepLines/>
      </w:pPr>
      <w:r>
        <w:t>Tallahassee, Florida 32399</w:t>
      </w:r>
    </w:p>
    <w:p w14:paraId="4608B402" w14:textId="77777777" w:rsidR="0012708E" w:rsidRDefault="0012708E" w:rsidP="0012708E">
      <w:pPr>
        <w:pStyle w:val="OrderSigInfo"/>
        <w:keepNext/>
        <w:keepLines/>
      </w:pPr>
      <w:r>
        <w:t>(850) 413</w:t>
      </w:r>
      <w:r>
        <w:noBreakHyphen/>
        <w:t>6770</w:t>
      </w:r>
    </w:p>
    <w:p w14:paraId="56EE80D3" w14:textId="77777777" w:rsidR="0012708E" w:rsidRDefault="0012708E" w:rsidP="0012708E">
      <w:pPr>
        <w:pStyle w:val="OrderSigInfo"/>
        <w:keepNext/>
        <w:keepLines/>
      </w:pPr>
      <w:r>
        <w:t>www.floridapsc.com</w:t>
      </w:r>
    </w:p>
    <w:p w14:paraId="16D0FF2A" w14:textId="77777777" w:rsidR="0012708E" w:rsidRDefault="0012708E" w:rsidP="0012708E">
      <w:pPr>
        <w:pStyle w:val="OrderSigInfo"/>
        <w:keepNext/>
        <w:keepLines/>
      </w:pPr>
    </w:p>
    <w:p w14:paraId="6AD99FEF" w14:textId="77777777" w:rsidR="0012708E" w:rsidRDefault="00D932CA" w:rsidP="0012708E">
      <w:pPr>
        <w:pStyle w:val="OrderSigInfo"/>
        <w:keepNext/>
        <w:keepLines/>
      </w:pPr>
      <w:r>
        <w:t xml:space="preserve">Copies furnished: </w:t>
      </w:r>
      <w:r w:rsidR="0012708E">
        <w:t>A copy of this document is provided to the parties of record at the time of issuance and, if applicable, interested persons.</w:t>
      </w:r>
    </w:p>
    <w:p w14:paraId="39D97E13" w14:textId="77777777" w:rsidR="0012708E" w:rsidRDefault="0012708E" w:rsidP="0012708E">
      <w:pPr>
        <w:pStyle w:val="OrderBody"/>
        <w:keepNext/>
        <w:keepLines/>
      </w:pPr>
    </w:p>
    <w:p w14:paraId="67C66841" w14:textId="77777777" w:rsidR="0012708E" w:rsidRDefault="0012708E" w:rsidP="0012708E">
      <w:pPr>
        <w:keepNext/>
        <w:keepLines/>
        <w:jc w:val="both"/>
      </w:pPr>
    </w:p>
    <w:p w14:paraId="419A7F26" w14:textId="77777777" w:rsidR="0012708E" w:rsidRDefault="0012708E" w:rsidP="0012708E">
      <w:pPr>
        <w:keepNext/>
        <w:keepLines/>
        <w:jc w:val="both"/>
      </w:pPr>
      <w:r>
        <w:t>JDI/lt</w:t>
      </w:r>
    </w:p>
    <w:p w14:paraId="5F0CA01B" w14:textId="77777777" w:rsidR="0012708E" w:rsidRDefault="0012708E" w:rsidP="0012708E">
      <w:pPr>
        <w:jc w:val="both"/>
      </w:pPr>
    </w:p>
    <w:p w14:paraId="02671AB5" w14:textId="77777777" w:rsidR="0012708E" w:rsidRDefault="0012708E" w:rsidP="0012708E">
      <w:pPr>
        <w:jc w:val="both"/>
      </w:pPr>
    </w:p>
    <w:p w14:paraId="48783EA3" w14:textId="77777777" w:rsidR="0012708E" w:rsidRDefault="0012708E">
      <w:r>
        <w:br w:type="page"/>
      </w:r>
    </w:p>
    <w:p w14:paraId="4807C57D" w14:textId="77777777" w:rsidR="0012708E" w:rsidRDefault="0012708E" w:rsidP="0012708E">
      <w:pPr>
        <w:pStyle w:val="CenterUnderline"/>
      </w:pPr>
      <w:r>
        <w:lastRenderedPageBreak/>
        <w:t>NOTICE OF FURTHER PROCEEDINGS OR JUDICIAL REVIEW</w:t>
      </w:r>
    </w:p>
    <w:p w14:paraId="6D3027D2" w14:textId="77777777" w:rsidR="00B055D7" w:rsidRDefault="00B055D7" w:rsidP="0012708E">
      <w:pPr>
        <w:pStyle w:val="CenterUnderline"/>
      </w:pPr>
    </w:p>
    <w:p w14:paraId="6B749434" w14:textId="77777777" w:rsidR="0012708E" w:rsidRDefault="0012708E" w:rsidP="0012708E">
      <w:pPr>
        <w:pStyle w:val="OrderBody"/>
      </w:pPr>
    </w:p>
    <w:p w14:paraId="726684E6" w14:textId="574B234D" w:rsidR="0012708E" w:rsidRDefault="0012708E" w:rsidP="001270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CD0227">
        <w:t xml:space="preserve">. </w:t>
      </w:r>
      <w:r>
        <w:t>This notice should not be construed to mean all requests for an administrative hearing or judicial review will be granted or result in the relief sought.</w:t>
      </w:r>
    </w:p>
    <w:p w14:paraId="62056F0D" w14:textId="77777777" w:rsidR="0012708E" w:rsidRDefault="0012708E" w:rsidP="0012708E">
      <w:pPr>
        <w:pStyle w:val="OrderBody"/>
      </w:pPr>
    </w:p>
    <w:p w14:paraId="05823D89" w14:textId="76296028" w:rsidR="0012708E" w:rsidRDefault="0012708E" w:rsidP="0012708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w:t>
      </w:r>
      <w:r w:rsidR="00CD0227">
        <w:t xml:space="preserve">. </w:t>
      </w:r>
      <w:r>
        <w:t>This filing must be completed within thirty (30) days after the issuance of this order, pursuant to Rule 9.110, Florida Rules of Appellate Procedure</w:t>
      </w:r>
      <w:r w:rsidR="00CD0227">
        <w:t xml:space="preserve">. </w:t>
      </w:r>
      <w:r>
        <w:t>The notice of appeal must be in the form specified in Rule 9.900(a), Florida Rules of Appellate Procedure.</w:t>
      </w:r>
    </w:p>
    <w:p w14:paraId="707F7540" w14:textId="77777777" w:rsidR="0012708E" w:rsidRDefault="0012708E" w:rsidP="0012708E">
      <w:pPr>
        <w:pStyle w:val="OrderBody"/>
      </w:pPr>
    </w:p>
    <w:p w14:paraId="64C21933" w14:textId="77777777" w:rsidR="002E5A76" w:rsidRDefault="002E5A76" w:rsidP="0012708E">
      <w:pPr>
        <w:pStyle w:val="OrderBody"/>
        <w:sectPr w:rsidR="002E5A76">
          <w:headerReference w:type="default" r:id="rId10"/>
          <w:footerReference w:type="first" r:id="rId11"/>
          <w:pgSz w:w="12240" w:h="15840" w:code="1"/>
          <w:pgMar w:top="1440" w:right="1440" w:bottom="1440" w:left="1440" w:header="720" w:footer="720" w:gutter="0"/>
          <w:cols w:space="720"/>
          <w:titlePg/>
          <w:docGrid w:linePitch="360"/>
        </w:sectPr>
      </w:pPr>
    </w:p>
    <w:p w14:paraId="17EFE1C9" w14:textId="6E7B9CFF" w:rsidR="002E5A76" w:rsidRDefault="002E5A76" w:rsidP="0012708E">
      <w:pPr>
        <w:pStyle w:val="OrderBody"/>
      </w:pPr>
    </w:p>
    <w:p w14:paraId="227755F2" w14:textId="7150D8D1" w:rsidR="00376649" w:rsidRDefault="00E07576" w:rsidP="0012708E">
      <w:pPr>
        <w:pStyle w:val="OrderBody"/>
        <w:sectPr w:rsidR="00376649">
          <w:headerReference w:type="first" r:id="rId12"/>
          <w:pgSz w:w="12240" w:h="15840" w:code="1"/>
          <w:pgMar w:top="1440" w:right="1440" w:bottom="1440" w:left="1440" w:header="720" w:footer="720" w:gutter="0"/>
          <w:cols w:space="720"/>
          <w:titlePg/>
          <w:docGrid w:linePitch="360"/>
        </w:sectPr>
      </w:pPr>
      <w:r w:rsidRPr="00D27544">
        <w:rPr>
          <w:noProof/>
        </w:rPr>
        <w:drawing>
          <wp:inline distT="0" distB="0" distL="0" distR="0" wp14:anchorId="459AB958" wp14:editId="5E36782F">
            <wp:extent cx="5943600" cy="6873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6873875"/>
                    </a:xfrm>
                    <a:prstGeom prst="rect">
                      <a:avLst/>
                    </a:prstGeom>
                    <a:noFill/>
                    <a:ln>
                      <a:noFill/>
                    </a:ln>
                  </pic:spPr>
                </pic:pic>
              </a:graphicData>
            </a:graphic>
          </wp:inline>
        </w:drawing>
      </w:r>
    </w:p>
    <w:p w14:paraId="53614C58" w14:textId="142414C8" w:rsidR="00D27544" w:rsidRDefault="00D27544" w:rsidP="002E5A76">
      <w:pPr>
        <w:pStyle w:val="OrderBody"/>
      </w:pPr>
    </w:p>
    <w:p w14:paraId="2B567639" w14:textId="4BA2B3B0" w:rsidR="00D27544" w:rsidRDefault="00E07576" w:rsidP="002E5A76">
      <w:pPr>
        <w:pStyle w:val="OrderBody"/>
      </w:pPr>
      <w:r w:rsidRPr="00480C86">
        <w:rPr>
          <w:noProof/>
        </w:rPr>
        <w:drawing>
          <wp:inline distT="0" distB="0" distL="0" distR="0" wp14:anchorId="1ED01C82" wp14:editId="5A3F08EF">
            <wp:extent cx="5943600" cy="702373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023735"/>
                    </a:xfrm>
                    <a:prstGeom prst="rect">
                      <a:avLst/>
                    </a:prstGeom>
                    <a:noFill/>
                    <a:ln>
                      <a:noFill/>
                    </a:ln>
                  </pic:spPr>
                </pic:pic>
              </a:graphicData>
            </a:graphic>
          </wp:inline>
        </w:drawing>
      </w:r>
    </w:p>
    <w:sectPr w:rsidR="00D2754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714D7" w14:textId="77777777" w:rsidR="003F3BF6" w:rsidRDefault="003F3BF6">
      <w:r>
        <w:separator/>
      </w:r>
    </w:p>
  </w:endnote>
  <w:endnote w:type="continuationSeparator" w:id="0">
    <w:p w14:paraId="1E64BC8A" w14:textId="77777777" w:rsidR="003F3BF6" w:rsidRDefault="003F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nvisibleOCR">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CB6EC" w14:textId="77777777" w:rsidR="003F3BF6" w:rsidRDefault="003F3BF6">
    <w:pPr>
      <w:pStyle w:val="Footer"/>
    </w:pPr>
  </w:p>
  <w:p w14:paraId="14923DF9" w14:textId="77777777" w:rsidR="003F3BF6" w:rsidRDefault="003F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829F8" w14:textId="77777777" w:rsidR="003F3BF6" w:rsidRDefault="003F3BF6">
      <w:r>
        <w:separator/>
      </w:r>
    </w:p>
  </w:footnote>
  <w:footnote w:type="continuationSeparator" w:id="0">
    <w:p w14:paraId="1A333317" w14:textId="77777777" w:rsidR="003F3BF6" w:rsidRDefault="003F3BF6">
      <w:r>
        <w:continuationSeparator/>
      </w:r>
    </w:p>
  </w:footnote>
  <w:footnote w:id="1">
    <w:p w14:paraId="3EC577DC" w14:textId="77777777" w:rsidR="003F3BF6" w:rsidRPr="00AE0EEF" w:rsidRDefault="003F3BF6" w:rsidP="001D7896">
      <w:pPr>
        <w:pStyle w:val="FootnoteText"/>
        <w:rPr>
          <w:i/>
        </w:rPr>
      </w:pPr>
      <w:r>
        <w:rPr>
          <w:rStyle w:val="FootnoteReference"/>
        </w:rPr>
        <w:footnoteRef/>
      </w:r>
      <w:r>
        <w:t xml:space="preserve"> Order No. PSC-2023-0177-FOF-GU, issued June 9, 2023, in Docket No. 20220069-GU, </w:t>
      </w:r>
      <w:r>
        <w:rPr>
          <w:i/>
        </w:rPr>
        <w:t xml:space="preserve">In re: </w:t>
      </w:r>
      <w:r w:rsidRPr="00012497">
        <w:rPr>
          <w:i/>
        </w:rPr>
        <w:t>Petition for rate increase by Florida City Gas.</w:t>
      </w:r>
    </w:p>
  </w:footnote>
  <w:footnote w:id="2">
    <w:p w14:paraId="38940B1D" w14:textId="77777777" w:rsidR="003F3BF6" w:rsidRPr="00A827EF" w:rsidRDefault="003F3BF6" w:rsidP="001D7896">
      <w:pPr>
        <w:pStyle w:val="FootnoteText"/>
        <w:rPr>
          <w:i/>
        </w:rPr>
      </w:pPr>
      <w:r>
        <w:rPr>
          <w:rStyle w:val="FootnoteReference"/>
        </w:rPr>
        <w:footnoteRef/>
      </w:r>
      <w:r>
        <w:t xml:space="preserve"> </w:t>
      </w:r>
      <w:r w:rsidRPr="00E25A89">
        <w:t xml:space="preserve">Order No. PSC-2023-0299-FOF-GU, issued October 2, 2023, in Docket No. 20220069-GU, </w:t>
      </w:r>
      <w:r w:rsidRPr="00A827EF">
        <w:rPr>
          <w:i/>
        </w:rPr>
        <w:t>In re: Petition for rate increase by Florida City Gas.</w:t>
      </w:r>
    </w:p>
  </w:footnote>
  <w:footnote w:id="3">
    <w:p w14:paraId="227B295C" w14:textId="77777777" w:rsidR="003F3BF6" w:rsidRPr="002D2FDD" w:rsidRDefault="003F3BF6" w:rsidP="001D7896">
      <w:pPr>
        <w:pStyle w:val="FootnoteText"/>
        <w:rPr>
          <w:i/>
        </w:rPr>
      </w:pPr>
      <w:r w:rsidRPr="00B95A2F">
        <w:rPr>
          <w:rStyle w:val="FootnoteReference"/>
        </w:rPr>
        <w:footnoteRef/>
      </w:r>
      <w:r w:rsidRPr="00B95A2F">
        <w:t xml:space="preserve"> Order No. PSC-20</w:t>
      </w:r>
      <w:r>
        <w:t xml:space="preserve">25-0444-PHO-GU, issued December 9, 2025, in Docket No. 20250035-GU, </w:t>
      </w:r>
      <w:r>
        <w:rPr>
          <w:i/>
        </w:rPr>
        <w:t xml:space="preserve">In re: </w:t>
      </w:r>
      <w:r w:rsidRPr="00012497">
        <w:rPr>
          <w:i/>
        </w:rPr>
        <w:t xml:space="preserve">Petition for </w:t>
      </w:r>
      <w:r>
        <w:rPr>
          <w:i/>
        </w:rPr>
        <w:t>approval of 2025 depreciation study and for approval to amortize reserve imbalance, by</w:t>
      </w:r>
      <w:r w:rsidRPr="00012497">
        <w:rPr>
          <w:i/>
        </w:rPr>
        <w:t xml:space="preserve"> Florida City Gas.</w:t>
      </w:r>
    </w:p>
  </w:footnote>
  <w:footnote w:id="4">
    <w:p w14:paraId="2630D69B" w14:textId="1303551E" w:rsidR="003F3BF6" w:rsidRDefault="003F3BF6">
      <w:pPr>
        <w:pStyle w:val="FootnoteText"/>
      </w:pPr>
      <w:r>
        <w:rPr>
          <w:rStyle w:val="FootnoteReference"/>
        </w:rPr>
        <w:footnoteRef/>
      </w:r>
      <w:r>
        <w:t xml:space="preserve"> For instance, FCG is now</w:t>
      </w:r>
      <w:r w:rsidRPr="0073677D">
        <w:t xml:space="preserve"> </w:t>
      </w:r>
      <w:r>
        <w:t>using the same operational and</w:t>
      </w:r>
      <w:r w:rsidRPr="007C55F6">
        <w:t xml:space="preserve"> </w:t>
      </w:r>
      <w:r>
        <w:t>accounting procedures as other Chesapeake business units, is no longer pursuing certain capital projects previously planned, and is implementing changes in net plant (investment less reserve).</w:t>
      </w:r>
    </w:p>
  </w:footnote>
  <w:footnote w:id="5">
    <w:p w14:paraId="69EE6F62" w14:textId="77777777" w:rsidR="003F3BF6" w:rsidRDefault="003F3BF6" w:rsidP="001D7896">
      <w:pPr>
        <w:pStyle w:val="FootnoteText"/>
      </w:pPr>
      <w:r>
        <w:rPr>
          <w:rStyle w:val="FootnoteReference"/>
        </w:rPr>
        <w:footnoteRef/>
      </w:r>
      <w:r>
        <w:t xml:space="preserve"> Order Nos. PSC-2025-0102-PCO-GU, issued April 1, 2025, and</w:t>
      </w:r>
      <w:r w:rsidRPr="00B95A2F">
        <w:t xml:space="preserve"> PSC-20</w:t>
      </w:r>
      <w:r>
        <w:t xml:space="preserve">25-0360-PCO-GU, issued September 24, 2025, in Docket No. 20250035-GU, </w:t>
      </w:r>
      <w:r>
        <w:rPr>
          <w:i/>
        </w:rPr>
        <w:t xml:space="preserve">In re: </w:t>
      </w:r>
      <w:r w:rsidRPr="00012497">
        <w:rPr>
          <w:i/>
        </w:rPr>
        <w:t xml:space="preserve">Petition for </w:t>
      </w:r>
      <w:r>
        <w:rPr>
          <w:i/>
        </w:rPr>
        <w:t>approval of 2025 depreciation study and for approval to amortize reserve imbalance, by</w:t>
      </w:r>
      <w:r w:rsidRPr="00012497">
        <w:rPr>
          <w:i/>
        </w:rPr>
        <w:t xml:space="preserve"> Florida City Gas.</w:t>
      </w:r>
    </w:p>
  </w:footnote>
  <w:footnote w:id="6">
    <w:p w14:paraId="5755F96D" w14:textId="7D3E33DF" w:rsidR="00ED66E7" w:rsidRDefault="00ED66E7" w:rsidP="00ED66E7">
      <w:pPr>
        <w:pStyle w:val="FootnoteText"/>
      </w:pPr>
      <w:r w:rsidRPr="00177B7D">
        <w:rPr>
          <w:vertAlign w:val="superscript"/>
        </w:rPr>
        <w:t>6</w:t>
      </w:r>
      <w:r>
        <w:rPr>
          <w:vertAlign w:val="superscript"/>
        </w:rPr>
        <w:t xml:space="preserve"> </w:t>
      </w:r>
      <w:r w:rsidRPr="00F271BA">
        <w:rPr>
          <w:i/>
        </w:rPr>
        <w:t>Delray Medical Center, Inc. v. State, Agency for Health Care Admin.</w:t>
      </w:r>
      <w:r>
        <w:t>, 5 So. 3d 26, 29</w:t>
      </w:r>
      <w:r w:rsidRPr="003E2D23">
        <w:t xml:space="preserve"> (Fla. 4th DCA 2009)</w:t>
      </w:r>
      <w:r>
        <w:t xml:space="preserve"> (stating Florida courts do not apply the doctrine of administrative finality when there has been a significant change of circumstances or there is a demonstrated public interest)</w:t>
      </w:r>
      <w:r w:rsidR="003F547B">
        <w:t>.</w:t>
      </w:r>
    </w:p>
  </w:footnote>
  <w:footnote w:id="7">
    <w:p w14:paraId="6E8B39AA" w14:textId="77777777" w:rsidR="003F3BF6" w:rsidRDefault="003F3BF6" w:rsidP="00784D27">
      <w:pPr>
        <w:pStyle w:val="FootnoteText"/>
      </w:pPr>
      <w:r>
        <w:rPr>
          <w:rStyle w:val="FootnoteReference"/>
        </w:rPr>
        <w:footnoteRef/>
      </w:r>
      <w:r>
        <w:t xml:space="preserve"> </w:t>
      </w:r>
      <w:r w:rsidRPr="00665046">
        <w:t>For a depreciation account, the ASL is the average number of years that the assets in the account are expected to be in-service; the curve shape is a graphical representation of the retirement pattern for the plant assets in the account; the ARL is the average number of in-service years left for plant currently in service; and the NS</w:t>
      </w:r>
      <w:r>
        <w:t>,</w:t>
      </w:r>
      <w:r w:rsidRPr="00AD2ECE">
        <w:t xml:space="preserve"> </w:t>
      </w:r>
      <w:r>
        <w:t>also referred to as Net Salvage Factor,</w:t>
      </w:r>
      <w:r w:rsidRPr="00665046">
        <w:t xml:space="preserve"> is gross salvage minus cost of removal of the retired plant assets.</w:t>
      </w:r>
    </w:p>
  </w:footnote>
  <w:footnote w:id="8">
    <w:p w14:paraId="6E3013C2" w14:textId="77777777" w:rsidR="003F3BF6" w:rsidRDefault="003F3BF6" w:rsidP="00784D27">
      <w:pPr>
        <w:pStyle w:val="FootnoteText"/>
      </w:pPr>
      <w:r>
        <w:rPr>
          <w:rStyle w:val="FootnoteReference"/>
        </w:rPr>
        <w:footnoteRef/>
      </w:r>
      <w:r>
        <w:t xml:space="preserve"> </w:t>
      </w:r>
      <w:r w:rsidRPr="00C275C8">
        <w:rPr>
          <w:i/>
        </w:rPr>
        <w:t>See</w:t>
      </w:r>
      <w:r w:rsidRPr="00665046">
        <w:t xml:space="preserve"> Rule 25-</w:t>
      </w:r>
      <w:r>
        <w:t>7</w:t>
      </w:r>
      <w:r w:rsidRPr="00665046">
        <w:t>.04</w:t>
      </w:r>
      <w:r>
        <w:t>5</w:t>
      </w:r>
      <w:r w:rsidRPr="00665046">
        <w:t>(1)(</w:t>
      </w:r>
      <w:r>
        <w:t>e</w:t>
      </w:r>
      <w:r w:rsidRPr="00665046">
        <w:t>), F.A.C., Remaining Life Rate = (100% - Reserve % - Average Future Net Salvage %) ÷ Average Remaining Life in Years</w:t>
      </w:r>
      <w:r>
        <w:t>.</w:t>
      </w:r>
    </w:p>
  </w:footnote>
  <w:footnote w:id="9">
    <w:p w14:paraId="6606E3C9" w14:textId="77777777" w:rsidR="003F3BF6" w:rsidRDefault="003F3BF6" w:rsidP="00784D27">
      <w:pPr>
        <w:pStyle w:val="FootnoteText"/>
      </w:pPr>
      <w:r>
        <w:rPr>
          <w:rStyle w:val="FootnoteReference"/>
        </w:rPr>
        <w:footnoteRef/>
      </w:r>
      <w:r>
        <w:t xml:space="preserve"> (Account 3762 plant invested + Account 3801 plant invested)/total plant invested = ($143,280,076 +$128,613,988) /$696,714,096 = 39.03 percent.</w:t>
      </w:r>
    </w:p>
  </w:footnote>
  <w:footnote w:id="10">
    <w:p w14:paraId="315D7CAC" w14:textId="23FD8EF5" w:rsidR="003F3BF6" w:rsidRDefault="003F3BF6" w:rsidP="00C54FA8">
      <w:pPr>
        <w:pStyle w:val="FootnoteText"/>
        <w:tabs>
          <w:tab w:val="left" w:pos="900"/>
        </w:tabs>
      </w:pPr>
      <w:r>
        <w:rPr>
          <w:rStyle w:val="FootnoteReference"/>
        </w:rPr>
        <w:footnoteRef/>
      </w:r>
      <w:r>
        <w:t xml:space="preserve"> </w:t>
      </w:r>
      <w:r w:rsidRPr="000D2710">
        <w:t xml:space="preserve">In depreciation studies, Iowa Curves, published in Bulletin 125, Statistical Analysis of Industrial Reporting, published in 1935, by Robley E. Winfrey of the Iowa State College Engineering Experimental Station, are widely used to depict the retirement pattern (mortality dispersion) of a plant asset. Each curve is denoted by a letter and </w:t>
      </w:r>
      <w:r>
        <w:t xml:space="preserve">a </w:t>
      </w:r>
      <w:r w:rsidRPr="000D2710">
        <w:t>number. The letter defines when retirements are more likely to occur. An L curve implies that retirements tend to occur prior to the ASL, an R curve implies that retirements tend to occur after the ASL. The number portion of the Iowa Curve designation indicates how steep or flat the curve’s shape is. Lower numbers indicate a wide, broader variance of retirement ages around the ASL, while higher numbers indicate a narrow, less broad variance of retirement ages around the ASL.</w:t>
      </w:r>
    </w:p>
  </w:footnote>
  <w:footnote w:id="11">
    <w:p w14:paraId="6A84A67A" w14:textId="77777777" w:rsidR="003F3BF6" w:rsidRDefault="003F3BF6" w:rsidP="00784D27">
      <w:pPr>
        <w:pStyle w:val="FootnoteText"/>
      </w:pPr>
      <w:r>
        <w:rPr>
          <w:rStyle w:val="FootnoteReference"/>
        </w:rPr>
        <w:footnoteRef/>
      </w:r>
      <w:r>
        <w:t xml:space="preserve"> </w:t>
      </w:r>
      <w:r w:rsidRPr="002077E3">
        <w:t>The curve shape, and average age are used to develop the ARL of the account.</w:t>
      </w:r>
    </w:p>
  </w:footnote>
  <w:footnote w:id="12">
    <w:p w14:paraId="7DF387E8" w14:textId="77777777" w:rsidR="003F3BF6" w:rsidRDefault="003F3BF6" w:rsidP="00784D27">
      <w:pPr>
        <w:pStyle w:val="FootnoteText"/>
      </w:pPr>
      <w:r>
        <w:rPr>
          <w:rStyle w:val="FootnoteReference"/>
        </w:rPr>
        <w:footnoteRef/>
      </w:r>
      <w:r>
        <w:t xml:space="preserve"> An account’s </w:t>
      </w:r>
      <w:r w:rsidRPr="00D61170">
        <w:t xml:space="preserve">original surviving curve </w:t>
      </w:r>
      <w:r>
        <w:t>is usually an incomplete curve (</w:t>
      </w:r>
      <w:r w:rsidRPr="00C33AD8">
        <w:t>stu</w:t>
      </w:r>
      <w:r>
        <w:t xml:space="preserve">b curve), </w:t>
      </w:r>
      <w:r w:rsidRPr="00C33AD8">
        <w:t xml:space="preserve">one that does not extend to maximum </w:t>
      </w:r>
      <w:r w:rsidRPr="0012617C">
        <w:t xml:space="preserve">life. It shows the percent of plant survivors in that account as function of the average age of the plant in the account, and is prepared from the </w:t>
      </w:r>
      <w:r>
        <w:t>Company</w:t>
      </w:r>
      <w:r w:rsidRPr="0012617C">
        <w:t>’s original life table.</w:t>
      </w:r>
      <w:r w:rsidRPr="00C63F1A">
        <w:t xml:space="preserve"> </w:t>
      </w:r>
      <w:r w:rsidRPr="005E3C3A">
        <w:t xml:space="preserve">The </w:t>
      </w:r>
      <w:r>
        <w:t>curve shape</w:t>
      </w:r>
      <w:r w:rsidRPr="005E3C3A">
        <w:t xml:space="preserve"> is</w:t>
      </w:r>
      <w:r>
        <w:t xml:space="preserve"> complete (extend to the maximum life) when the account is fully retired or approaches full retirement.</w:t>
      </w:r>
    </w:p>
  </w:footnote>
  <w:footnote w:id="13">
    <w:p w14:paraId="02B1DD93" w14:textId="77777777" w:rsidR="003F3BF6" w:rsidRDefault="003F3BF6" w:rsidP="00784D27">
      <w:pPr>
        <w:pStyle w:val="FootnoteText"/>
      </w:pPr>
      <w:r w:rsidRPr="00CF6055">
        <w:rPr>
          <w:rStyle w:val="FootnoteReference"/>
        </w:rPr>
        <w:footnoteRef/>
      </w:r>
      <w:r w:rsidRPr="00CF6055">
        <w:t xml:space="preserve"> </w:t>
      </w:r>
      <w:r w:rsidRPr="00CF6055">
        <w:rPr>
          <w:i/>
        </w:rPr>
        <w:t>Depreciation Systems</w:t>
      </w:r>
      <w:r w:rsidRPr="00CF6055">
        <w:t>, Frank K. Wolf and W. Chester Fitch, Iowa State University Press, 1994.</w:t>
      </w:r>
    </w:p>
  </w:footnote>
  <w:footnote w:id="14">
    <w:p w14:paraId="7C8E017A" w14:textId="77777777" w:rsidR="003F3BF6" w:rsidRDefault="003F3BF6" w:rsidP="00784D27">
      <w:pPr>
        <w:pStyle w:val="FootnoteText"/>
      </w:pPr>
      <w:r>
        <w:rPr>
          <w:rStyle w:val="FootnoteReference"/>
        </w:rPr>
        <w:footnoteRef/>
      </w:r>
      <w:r>
        <w:t xml:space="preserve"> In an account: P</w:t>
      </w:r>
      <w:r w:rsidRPr="00D67BDB">
        <w:t xml:space="preserve">ercentage </w:t>
      </w:r>
      <w:r>
        <w:t xml:space="preserve">of </w:t>
      </w:r>
      <w:r w:rsidRPr="00D67BDB">
        <w:t>surviving</w:t>
      </w:r>
      <w:r>
        <w:t xml:space="preserve"> = (1 - P</w:t>
      </w:r>
      <w:r w:rsidRPr="00D67BDB">
        <w:t>ercentage of retirement</w:t>
      </w:r>
      <w:r>
        <w:t>).</w:t>
      </w:r>
    </w:p>
  </w:footnote>
  <w:footnote w:id="15">
    <w:p w14:paraId="6EDBA48C" w14:textId="4F804F10" w:rsidR="003F3BF6" w:rsidRDefault="003F3BF6" w:rsidP="00784D27">
      <w:pPr>
        <w:pStyle w:val="FootnoteText"/>
      </w:pPr>
      <w:r w:rsidRPr="005C5D53">
        <w:rPr>
          <w:rStyle w:val="FootnoteReference"/>
        </w:rPr>
        <w:footnoteRef/>
      </w:r>
      <w:r w:rsidRPr="005C5D53">
        <w:t xml:space="preserve"> </w:t>
      </w:r>
      <w:r>
        <w:t xml:space="preserve">Order No. </w:t>
      </w:r>
      <w:r w:rsidRPr="005C5D53">
        <w:t xml:space="preserve">PSC-14-0698-PAA-GU, issued December 18, 2014, in Docket No. 20140016, </w:t>
      </w:r>
      <w:r w:rsidRPr="005C5D53">
        <w:rPr>
          <w:i/>
        </w:rPr>
        <w:t>In re: 2014 depreciation study by Florida Public Utilities Company</w:t>
      </w:r>
      <w:r w:rsidRPr="005C5D53">
        <w:t xml:space="preserve">; PSC-2023-0103-FOF-GU, issued March 15, 2023, in Docket No. 20220067-GU, </w:t>
      </w:r>
      <w:r w:rsidRPr="005C5D53">
        <w:rPr>
          <w:i/>
        </w:rPr>
        <w:t>In re: Petition for rate increase by Florida Public Utilities Company, Florida Division of Chesapeake Utilities Corporation, Florida Public Utilities Company - Fort Meade, and Florida Public Utilities Company – Indiantown Division</w:t>
      </w:r>
      <w:r w:rsidRPr="005C5D53">
        <w:t xml:space="preserve">; PSC-2023-0215-PAA-GU, issued July 26, 2023, in Docket No. 20230022-GU, </w:t>
      </w:r>
      <w:r w:rsidRPr="005C5D53">
        <w:rPr>
          <w:i/>
        </w:rPr>
        <w:t>In re: Petition for approval of Depreciation Study by St. Joe Natural Gas</w:t>
      </w:r>
      <w:r w:rsidRPr="005C5D53">
        <w:t xml:space="preserve">; PSC-2022-0153-PAA-GU, issued in Docket No. 20210183-GU, </w:t>
      </w:r>
      <w:r w:rsidRPr="005C5D53">
        <w:rPr>
          <w:i/>
        </w:rPr>
        <w:t>In re: Petition for approval of 2021 depreciation study, by Sebring Gas System, Inc.</w:t>
      </w:r>
    </w:p>
  </w:footnote>
  <w:footnote w:id="16">
    <w:p w14:paraId="7B44901B" w14:textId="77777777" w:rsidR="003F3BF6" w:rsidRDefault="003F3BF6" w:rsidP="00784D27">
      <w:pPr>
        <w:pStyle w:val="FootnoteText"/>
      </w:pPr>
      <w:r>
        <w:rPr>
          <w:rStyle w:val="FootnoteReference"/>
        </w:rPr>
        <w:footnoteRef/>
      </w:r>
      <w:r>
        <w:t xml:space="preserve"> In line with </w:t>
      </w:r>
      <w:r w:rsidRPr="00067C88">
        <w:t>Rule 25-7.045, F.A.C,</w:t>
      </w:r>
      <w:r>
        <w:t xml:space="preserve"> all the</w:t>
      </w:r>
      <w:r w:rsidRPr="00067C88">
        <w:t xml:space="preserve"> parameters and rate</w:t>
      </w:r>
      <w:r>
        <w:t>s of gas utility’s</w:t>
      </w:r>
      <w:r w:rsidRPr="00067C88">
        <w:t xml:space="preserve"> </w:t>
      </w:r>
      <w:r>
        <w:t>account</w:t>
      </w:r>
      <w:r w:rsidRPr="00067C88">
        <w:t>s</w:t>
      </w:r>
      <w:r>
        <w:t xml:space="preserve"> shall be reviewed at least every 5 years. </w:t>
      </w:r>
    </w:p>
  </w:footnote>
  <w:footnote w:id="17">
    <w:p w14:paraId="105968C0" w14:textId="77777777" w:rsidR="003F3BF6" w:rsidRDefault="003F3BF6" w:rsidP="00784D27">
      <w:pPr>
        <w:pStyle w:val="FootnoteText"/>
      </w:pPr>
      <w:r>
        <w:rPr>
          <w:rStyle w:val="FootnoteReference"/>
        </w:rPr>
        <w:footnoteRef/>
      </w:r>
      <w:r>
        <w:t xml:space="preserve"> The depreciation parameters and rates resulting from the current depreciation study will be reviewed by the Commission again in five years per Rule 25-7.045, F.A.C.</w:t>
      </w:r>
    </w:p>
  </w:footnote>
  <w:footnote w:id="18">
    <w:p w14:paraId="51145ADA" w14:textId="77777777" w:rsidR="003F3BF6" w:rsidRDefault="003F3BF6" w:rsidP="00784D27">
      <w:pPr>
        <w:pStyle w:val="FootnoteText"/>
      </w:pPr>
      <w:r>
        <w:rPr>
          <w:rStyle w:val="FootnoteReference"/>
        </w:rPr>
        <w:footnoteRef/>
      </w:r>
      <w:r>
        <w:t xml:space="preserve"> N</w:t>
      </w:r>
      <w:r w:rsidRPr="00901D79">
        <w:t>et salvage (NS)</w:t>
      </w:r>
      <w:r>
        <w:t xml:space="preserve"> is an important parameter for calculating the remaining life depreciation rate. It </w:t>
      </w:r>
      <w:r w:rsidRPr="00901D79">
        <w:t>is gross salvage minus cost of removal of the retired plant assets</w:t>
      </w:r>
      <w:r>
        <w:t xml:space="preserve">. When an account’s </w:t>
      </w:r>
      <w:r w:rsidRPr="00901D79">
        <w:t>cost of removal</w:t>
      </w:r>
      <w:r>
        <w:t xml:space="preserve"> is larger than the gross salvage of the retired assets in that account, the NS value of the account becomes negative.</w:t>
      </w:r>
    </w:p>
  </w:footnote>
  <w:footnote w:id="19">
    <w:p w14:paraId="182766ED" w14:textId="0839A09B" w:rsidR="00564397" w:rsidRDefault="00564397" w:rsidP="00564397">
      <w:pPr>
        <w:pStyle w:val="FootnoteText"/>
      </w:pPr>
      <w:r w:rsidRPr="00DD7B6F">
        <w:rPr>
          <w:rStyle w:val="FootnoteReference"/>
        </w:rPr>
        <w:footnoteRef/>
      </w:r>
      <w:r w:rsidRPr="00DD7B6F">
        <w:t xml:space="preserve"> </w:t>
      </w:r>
      <w:r w:rsidRPr="007C37D7">
        <w:rPr>
          <w:i/>
        </w:rPr>
        <w:t>See</w:t>
      </w:r>
      <w:r w:rsidRPr="00DD7B6F">
        <w:t xml:space="preserve"> Order Nos. PSC-2023-0177-FOF-GU, issued June 9, 2023, in Docket No. 20220069-GU, </w:t>
      </w:r>
      <w:r w:rsidRPr="00DD7B6F">
        <w:rPr>
          <w:i/>
        </w:rPr>
        <w:t>In re: Petition for rate increase by Florida City Gas</w:t>
      </w:r>
      <w:r w:rsidRPr="00DD7B6F">
        <w:t xml:space="preserve">; PSC-2023-0103-FOF-GU, issued March 15, 2023, in Docket No. 20220067-GU, </w:t>
      </w:r>
      <w:r w:rsidRPr="00DD7B6F">
        <w:rPr>
          <w:i/>
        </w:rPr>
        <w:t>In re In re: Petition for rate increase by Florida Public Utilities Company, Florida Division of Chesapeake Utilities Corporation, Florida Public Utilities Company - Fort Meade, and Florida Public Utilities Company – Indiantown Division</w:t>
      </w:r>
      <w:r w:rsidRPr="00DD7B6F">
        <w:t xml:space="preserve">; PSC-2023-0388-FOF-GU, issued December 27, 2023, in Docket No. 20220212-GU, </w:t>
      </w:r>
      <w:r w:rsidRPr="00DD7B6F">
        <w:rPr>
          <w:i/>
        </w:rPr>
        <w:t>In re: Petition for approval of depreciation rate and subaccount for renewable natural gas facilities leased to others, by Peoples Gas System, Inc.</w:t>
      </w:r>
      <w:r w:rsidRPr="00DD7B6F">
        <w:t xml:space="preserve">; PSC-2023-0215-PAA-GU, issued July 26, 2023, in Docket No. 20230022-GU, </w:t>
      </w:r>
      <w:r w:rsidRPr="00DD7B6F">
        <w:rPr>
          <w:i/>
        </w:rPr>
        <w:t>In re: Petition for approval of 2022 Depreciation Study by St. Joe Natural Gas Company, Inc.</w:t>
      </w:r>
      <w:r w:rsidRPr="00DD7B6F">
        <w:t xml:space="preserve">; PSC-2022-0153-PAA-GU, issued April 22, 2022, in Docket No. 20210183-GU, </w:t>
      </w:r>
      <w:r w:rsidRPr="00DD7B6F">
        <w:rPr>
          <w:i/>
        </w:rPr>
        <w:t>In re: Petition for approval of 2021 depreciation study, by Sebring Gas System, Inc</w:t>
      </w:r>
      <w:r w:rsidRPr="00DD7B6F">
        <w:t>.</w:t>
      </w:r>
    </w:p>
  </w:footnote>
  <w:footnote w:id="20">
    <w:p w14:paraId="113B0C06" w14:textId="77777777" w:rsidR="003F3BF6" w:rsidRDefault="003F3BF6" w:rsidP="00784D27">
      <w:pPr>
        <w:pStyle w:val="FootnoteText"/>
      </w:pPr>
      <w:r>
        <w:rPr>
          <w:rStyle w:val="FootnoteReference"/>
        </w:rPr>
        <w:footnoteRef/>
      </w:r>
      <w:r>
        <w:t xml:space="preserve"> A</w:t>
      </w:r>
      <w:r w:rsidRPr="008872E2">
        <w:t xml:space="preserve">n amortizable account is </w:t>
      </w:r>
      <w:r>
        <w:t>usually used to book intangible assets and small plant items such as office equipment, tools, and miscellaneous equipment. For each such account, the Commission prescribes an amortization period (e.g. 10 years) to allow the investment of the account to be recovered evenly throughout the plant’s service life.</w:t>
      </w:r>
    </w:p>
  </w:footnote>
  <w:footnote w:id="21">
    <w:p w14:paraId="2148F715" w14:textId="77777777" w:rsidR="003F3BF6" w:rsidRDefault="003F3BF6" w:rsidP="002E5A76">
      <w:pPr>
        <w:pStyle w:val="FootnoteText"/>
      </w:pPr>
      <w:r w:rsidRPr="00CD3C04">
        <w:rPr>
          <w:rStyle w:val="FootnoteReference"/>
        </w:rPr>
        <w:footnoteRef/>
      </w:r>
      <w:r w:rsidRPr="00CD3C04">
        <w:t xml:space="preserve"> Rule 25-7.045(1)(k), F.A.C..</w:t>
      </w:r>
    </w:p>
  </w:footnote>
  <w:footnote w:id="22">
    <w:p w14:paraId="073B9D40" w14:textId="528BD362" w:rsidR="003F3BF6" w:rsidRDefault="003F3BF6" w:rsidP="002E5A76">
      <w:pPr>
        <w:pStyle w:val="FootnoteText"/>
      </w:pPr>
      <w:r>
        <w:rPr>
          <w:rStyle w:val="FootnoteReference"/>
        </w:rPr>
        <w:footnoteRef/>
      </w:r>
      <w:r>
        <w:t xml:space="preserve"> </w:t>
      </w:r>
      <w:r w:rsidRPr="00B75DCA">
        <w:t>O</w:t>
      </w:r>
      <w:r>
        <w:t>rder</w:t>
      </w:r>
      <w:r w:rsidRPr="00B75DCA">
        <w:t xml:space="preserve"> N</w:t>
      </w:r>
      <w:r>
        <w:t>os</w:t>
      </w:r>
      <w:r w:rsidRPr="00B75DCA">
        <w:t>. PSC-14-0514-PAA-GU</w:t>
      </w:r>
      <w:r>
        <w:t xml:space="preserve">, in Docket No. 20140051-GU, issued </w:t>
      </w:r>
      <w:r w:rsidRPr="00B75DCA">
        <w:t>September 25, 2014</w:t>
      </w:r>
      <w:r>
        <w:t xml:space="preserve">, </w:t>
      </w:r>
      <w:r w:rsidRPr="00B75DCA">
        <w:rPr>
          <w:i/>
        </w:rPr>
        <w:t>In re: 2014 depreciation study by Florida City</w:t>
      </w:r>
      <w:r>
        <w:t xml:space="preserve">; </w:t>
      </w:r>
      <w:r w:rsidRPr="00B75DCA">
        <w:t>PSC-2018-0190-FOF-GU</w:t>
      </w:r>
      <w:r>
        <w:t xml:space="preserve">, issued </w:t>
      </w:r>
      <w:r w:rsidRPr="00B75DCA">
        <w:t>April 20, 2018</w:t>
      </w:r>
      <w:r>
        <w:t xml:space="preserve">, in </w:t>
      </w:r>
      <w:r w:rsidRPr="00B75DCA">
        <w:t>Docket No. 20170179-GU</w:t>
      </w:r>
      <w:r>
        <w:t xml:space="preserve">, </w:t>
      </w:r>
      <w:r w:rsidRPr="00B75DCA">
        <w:rPr>
          <w:i/>
        </w:rPr>
        <w:t>In re: Petition for rate increase by Florida City Gas</w:t>
      </w:r>
      <w:r>
        <w:t xml:space="preserve">; </w:t>
      </w:r>
      <w:r w:rsidRPr="00F55458">
        <w:t>PSC-17-0066-AS-GU</w:t>
      </w:r>
      <w:r>
        <w:t xml:space="preserve">, issued </w:t>
      </w:r>
      <w:r w:rsidRPr="00F55458">
        <w:t>February 28, 2017</w:t>
      </w:r>
      <w:r>
        <w:t>, in Docket No. 160159-GU,</w:t>
      </w:r>
      <w:r w:rsidRPr="00F55458">
        <w:t xml:space="preserve"> </w:t>
      </w:r>
      <w:r w:rsidRPr="00F55458">
        <w:rPr>
          <w:i/>
        </w:rPr>
        <w:t>In re: Petition for approval of settlement agreement pertaining to Peoples Gas System’s 2016 depreciation study, environmental reserve account, problematic plastic pipe replacement, and authorized ROE</w:t>
      </w:r>
      <w:r>
        <w:t>;</w:t>
      </w:r>
      <w:r w:rsidRPr="00F55458">
        <w:t xml:space="preserve"> </w:t>
      </w:r>
      <w:r w:rsidRPr="00D858FB">
        <w:t>PSC-2023-0388-FOF-GU</w:t>
      </w:r>
      <w:r>
        <w:t>,</w:t>
      </w:r>
      <w:r w:rsidRPr="00D858FB">
        <w:t xml:space="preserve"> </w:t>
      </w:r>
      <w:r>
        <w:t xml:space="preserve">issued </w:t>
      </w:r>
      <w:r w:rsidRPr="00D858FB">
        <w:t>December 27, 2023</w:t>
      </w:r>
      <w:r>
        <w:t xml:space="preserve">, in Docket No. 20220219-GU, </w:t>
      </w:r>
      <w:r w:rsidRPr="00F55458">
        <w:rPr>
          <w:i/>
        </w:rPr>
        <w:t>In re: Petition for approval of 2022 depreciation study by Peoples Gas System, Inc</w:t>
      </w:r>
      <w:r>
        <w:t xml:space="preserve">.; </w:t>
      </w:r>
      <w:r w:rsidRPr="00B44991">
        <w:t>PSC-14-0698-PAA-GU</w:t>
      </w:r>
      <w:r>
        <w:t>, issued</w:t>
      </w:r>
      <w:r w:rsidRPr="00B44991">
        <w:t xml:space="preserve"> December 18, 2014</w:t>
      </w:r>
      <w:r>
        <w:t>, in Docket No. 20140016</w:t>
      </w:r>
      <w:r w:rsidRPr="00B44991">
        <w:rPr>
          <w:i/>
        </w:rPr>
        <w:t>, In re: 201</w:t>
      </w:r>
      <w:r>
        <w:rPr>
          <w:i/>
        </w:rPr>
        <w:t xml:space="preserve">4 depreciation study by Florida </w:t>
      </w:r>
      <w:r w:rsidRPr="00B44991">
        <w:rPr>
          <w:i/>
        </w:rPr>
        <w:t>Public Utilities Company</w:t>
      </w:r>
      <w:r>
        <w:t xml:space="preserve">; </w:t>
      </w:r>
      <w:r>
        <w:rPr>
          <w:rFonts w:ascii="TimesNewRomanPSMT" w:hAnsi="TimesNewRomanPSMT" w:cs="TimesNewRomanPSMT"/>
        </w:rPr>
        <w:t xml:space="preserve">PSC-2023-0103-FOF-GU, issued </w:t>
      </w:r>
      <w:r w:rsidRPr="00883080">
        <w:rPr>
          <w:rFonts w:ascii="TimesNewRomanPSMT" w:hAnsi="TimesNewRomanPSMT" w:cs="TimesNewRomanPSMT"/>
        </w:rPr>
        <w:t>March 15, 2023</w:t>
      </w:r>
      <w:r>
        <w:rPr>
          <w:rFonts w:ascii="TimesNewRomanPSMT" w:hAnsi="TimesNewRomanPSMT" w:cs="TimesNewRomanPSMT"/>
        </w:rPr>
        <w:t xml:space="preserve">, in Docket No. </w:t>
      </w:r>
      <w:r w:rsidRPr="00883080">
        <w:rPr>
          <w:rFonts w:ascii="TimesNewRomanPSMT" w:hAnsi="TimesNewRomanPSMT" w:cs="TimesNewRomanPSMT"/>
        </w:rPr>
        <w:t>20220067-GU</w:t>
      </w:r>
      <w:r>
        <w:rPr>
          <w:rFonts w:ascii="TimesNewRomanPSMT" w:hAnsi="TimesNewRomanPSMT" w:cs="TimesNewRomanPSMT"/>
        </w:rPr>
        <w:t xml:space="preserve">, </w:t>
      </w:r>
      <w:r w:rsidRPr="00883080">
        <w:rPr>
          <w:rFonts w:ascii="TimesNewRomanPSMT" w:hAnsi="TimesNewRomanPSMT" w:cs="TimesNewRomanPSMT"/>
          <w:i/>
        </w:rPr>
        <w:t>In re: Petition for rate increase by Florida Public Utilities Company, Florida Division of Chesapeake Utilities Corporation, Florida Public Utilities Company - Fort Meade, and Florida Public Utilities Company – Indiantown Division</w:t>
      </w:r>
      <w:r>
        <w:rPr>
          <w:rFonts w:ascii="TimesNewRomanPSMT" w:hAnsi="TimesNewRomanPSMT" w:cs="TimesNewRomanPSMT"/>
        </w:rPr>
        <w:t xml:space="preserve">; </w:t>
      </w:r>
      <w:r w:rsidRPr="002B1D59">
        <w:rPr>
          <w:rFonts w:ascii="TimesNewRomanPSMT" w:hAnsi="TimesNewRomanPSMT" w:cs="TimesNewRomanPSMT"/>
        </w:rPr>
        <w:t>PSC-2023-0215-PAA-GU</w:t>
      </w:r>
      <w:r>
        <w:rPr>
          <w:rFonts w:ascii="TimesNewRomanPSMT" w:hAnsi="TimesNewRomanPSMT" w:cs="TimesNewRomanPSMT"/>
        </w:rPr>
        <w:t xml:space="preserve">, issued </w:t>
      </w:r>
      <w:r w:rsidRPr="002B1D59">
        <w:rPr>
          <w:rFonts w:ascii="TimesNewRomanPSMT" w:hAnsi="TimesNewRomanPSMT" w:cs="TimesNewRomanPSMT"/>
        </w:rPr>
        <w:t>July 26, 2023</w:t>
      </w:r>
      <w:r>
        <w:rPr>
          <w:rFonts w:ascii="TimesNewRomanPSMT" w:hAnsi="TimesNewRomanPSMT" w:cs="TimesNewRomanPSMT"/>
        </w:rPr>
        <w:t xml:space="preserve">, in Docket No. </w:t>
      </w:r>
      <w:r w:rsidRPr="002B1D59">
        <w:rPr>
          <w:rFonts w:ascii="TimesNewRomanPSMT" w:hAnsi="TimesNewRomanPSMT" w:cs="TimesNewRomanPSMT"/>
        </w:rPr>
        <w:t>20230022-GU</w:t>
      </w:r>
      <w:r>
        <w:rPr>
          <w:rFonts w:ascii="TimesNewRomanPSMT" w:hAnsi="TimesNewRomanPSMT" w:cs="TimesNewRomanPSMT"/>
        </w:rPr>
        <w:t xml:space="preserve">, </w:t>
      </w:r>
      <w:r w:rsidRPr="00620603">
        <w:rPr>
          <w:rFonts w:ascii="TimesNewRomanPSMT" w:hAnsi="TimesNewRomanPSMT" w:cs="TimesNewRomanPSMT"/>
          <w:i/>
        </w:rPr>
        <w:t>In re: Petition for approval of Depreciation Study by St. Joe Natural Gas</w:t>
      </w:r>
      <w:r>
        <w:rPr>
          <w:rFonts w:ascii="TimesNewRomanPSMT" w:hAnsi="TimesNewRomanPSMT" w:cs="TimesNewRomanPSMT"/>
        </w:rPr>
        <w:t xml:space="preserve">; </w:t>
      </w:r>
      <w:r w:rsidRPr="00620603">
        <w:rPr>
          <w:rFonts w:ascii="TimesNewRomanPSMT" w:hAnsi="TimesNewRomanPSMT" w:cs="TimesNewRomanPSMT"/>
        </w:rPr>
        <w:t>PSC-2022-0153-PAA-GU</w:t>
      </w:r>
      <w:r>
        <w:rPr>
          <w:rFonts w:ascii="TimesNewRomanPSMT" w:hAnsi="TimesNewRomanPSMT" w:cs="TimesNewRomanPSMT"/>
        </w:rPr>
        <w:t xml:space="preserve">, issued </w:t>
      </w:r>
      <w:r w:rsidRPr="00F72DCD">
        <w:rPr>
          <w:rFonts w:ascii="TimesNewRomanPSMT" w:hAnsi="TimesNewRomanPSMT" w:cs="TimesNewRomanPSMT"/>
        </w:rPr>
        <w:t xml:space="preserve">April 4, 2022, </w:t>
      </w:r>
      <w:r>
        <w:rPr>
          <w:rFonts w:ascii="TimesNewRomanPSMT" w:hAnsi="TimesNewRomanPSMT" w:cs="TimesNewRomanPSMT"/>
        </w:rPr>
        <w:t xml:space="preserve">in Docket No. 20210183-GU, </w:t>
      </w:r>
      <w:r w:rsidRPr="00620603">
        <w:rPr>
          <w:rFonts w:ascii="TimesNewRomanPSMT" w:hAnsi="TimesNewRomanPSMT" w:cs="TimesNewRomanPSMT"/>
          <w:i/>
        </w:rPr>
        <w:t>In re: Petition for approval of 2021 depreciation study, by Sebring Gas System, Inc</w:t>
      </w:r>
      <w:r w:rsidRPr="000D7B08">
        <w:rPr>
          <w:rFonts w:ascii="TimesNewRomanPSMT" w:hAnsi="TimesNewRomanPSMT" w:cs="TimesNewRomanPSMT"/>
          <w:i/>
        </w:rPr>
        <w:t>.</w:t>
      </w:r>
    </w:p>
  </w:footnote>
  <w:footnote w:id="23">
    <w:p w14:paraId="150C51B5" w14:textId="77777777" w:rsidR="003F3BF6" w:rsidRDefault="003F3BF6" w:rsidP="002E5A76">
      <w:pPr>
        <w:pStyle w:val="FootnoteText"/>
      </w:pPr>
      <w:r>
        <w:rPr>
          <w:rStyle w:val="FootnoteReference"/>
        </w:rPr>
        <w:footnoteRef/>
      </w:r>
      <w:r>
        <w:t xml:space="preserve"> Order Nos. </w:t>
      </w:r>
      <w:r w:rsidRPr="009E2588">
        <w:t>PSC-2023-0177-FOF-GU</w:t>
      </w:r>
      <w:r>
        <w:t xml:space="preserve">; </w:t>
      </w:r>
      <w:r w:rsidRPr="00BC722B">
        <w:t xml:space="preserve">PSC-2020-0485-FOF-GU, issued December 10, 2020, in Docket 20200051-GU, </w:t>
      </w:r>
      <w:r w:rsidRPr="004551B9">
        <w:rPr>
          <w:i/>
        </w:rPr>
        <w:t>In re: Petition for rate increase by Peoples Gas System</w:t>
      </w:r>
      <w:r w:rsidRPr="00BC722B">
        <w:t xml:space="preserve">; PSC-2021-0446-S-EI, issued December 2, 2021, in Docket No. 20210015-EI, </w:t>
      </w:r>
      <w:r w:rsidRPr="004551B9">
        <w:rPr>
          <w:i/>
        </w:rPr>
        <w:t>In re: Petition for increase in rates by Florida Power &amp; Light Company</w:t>
      </w:r>
      <w:r w:rsidRPr="00BC722B">
        <w:t>.</w:t>
      </w:r>
    </w:p>
  </w:footnote>
  <w:footnote w:id="24">
    <w:p w14:paraId="6EAB70DD" w14:textId="77777777" w:rsidR="003F3BF6" w:rsidRDefault="003F3BF6" w:rsidP="002E5A76">
      <w:pPr>
        <w:pStyle w:val="FootnoteText"/>
      </w:pPr>
      <w:r>
        <w:rPr>
          <w:rStyle w:val="FootnoteReference"/>
        </w:rPr>
        <w:footnoteRef/>
      </w:r>
      <w:r w:rsidRPr="002E5E84">
        <w:rPr>
          <w:i/>
        </w:rPr>
        <w:t>Id</w:t>
      </w:r>
      <w:r w:rsidRPr="00CA40A3">
        <w:t>.</w:t>
      </w:r>
    </w:p>
  </w:footnote>
  <w:footnote w:id="25">
    <w:p w14:paraId="4215B8C2" w14:textId="77777777" w:rsidR="003F3BF6" w:rsidRDefault="003F3BF6" w:rsidP="002E5A76">
      <w:pPr>
        <w:pStyle w:val="FootnoteText"/>
      </w:pPr>
      <w:r>
        <w:rPr>
          <w:rStyle w:val="FootnoteReference"/>
        </w:rPr>
        <w:footnoteRef/>
      </w:r>
      <w:r>
        <w:t xml:space="preserve"> </w:t>
      </w:r>
      <w:r w:rsidRPr="00424FC3">
        <w:t>O</w:t>
      </w:r>
      <w:r>
        <w:t>rder</w:t>
      </w:r>
      <w:r w:rsidRPr="00424FC3">
        <w:t xml:space="preserve"> N</w:t>
      </w:r>
      <w:r>
        <w:t>o</w:t>
      </w:r>
      <w:r w:rsidRPr="00424FC3">
        <w:t xml:space="preserve">. PSC-2023-0388-FOF-GU, </w:t>
      </w:r>
      <w:r>
        <w:t xml:space="preserve">at </w:t>
      </w:r>
      <w:r w:rsidRPr="00424FC3">
        <w:t>p</w:t>
      </w:r>
      <w:r>
        <w:t>age</w:t>
      </w:r>
      <w:r w:rsidRPr="00424FC3">
        <w:t xml:space="preserve"> 26.</w:t>
      </w:r>
    </w:p>
  </w:footnote>
  <w:footnote w:id="26">
    <w:p w14:paraId="565DC8A9" w14:textId="77777777" w:rsidR="003F3BF6" w:rsidRDefault="003F3BF6" w:rsidP="002E5A76">
      <w:pPr>
        <w:pStyle w:val="FootnoteText"/>
      </w:pPr>
      <w:r>
        <w:rPr>
          <w:rStyle w:val="FootnoteReference"/>
        </w:rPr>
        <w:footnoteRef/>
      </w:r>
      <w:r>
        <w:t xml:space="preserve"> Treas. Reg. §1.167; Treas. Reg. §1.46.</w:t>
      </w:r>
    </w:p>
  </w:footnote>
  <w:footnote w:id="27">
    <w:p w14:paraId="66E7E198" w14:textId="77777777" w:rsidR="003F3BF6" w:rsidRDefault="003F3BF6" w:rsidP="002E5A76">
      <w:pPr>
        <w:pStyle w:val="FootnoteText"/>
      </w:pPr>
      <w:r>
        <w:rPr>
          <w:rStyle w:val="FootnoteReference"/>
        </w:rPr>
        <w:footnoteRef/>
      </w:r>
      <w:r>
        <w:t xml:space="preserve"> Title 26 US Code §§168(f)(2) and (i)(9).</w:t>
      </w:r>
    </w:p>
  </w:footnote>
  <w:footnote w:id="28">
    <w:p w14:paraId="68C67B21" w14:textId="77777777" w:rsidR="003F3BF6" w:rsidRDefault="003F3BF6" w:rsidP="002E5A76">
      <w:pPr>
        <w:pStyle w:val="FootnoteText"/>
      </w:pPr>
      <w:r>
        <w:rPr>
          <w:rStyle w:val="FootnoteReference"/>
        </w:rPr>
        <w:footnoteRef/>
      </w:r>
      <w:r>
        <w:t xml:space="preserve"> Under IRC Section 50(d)(2), the terms of former 26 US Codes §167(1) and §46(f), which were repealed by the Revenue Reconciliation Act of 1990 (Pub. L. No. 101-508, §11812(a)(1-2)(1990)), remain applicable to public utility property for which a regulated utility previously claimed ITCs, which is the case here. (I.R.S. Priv. Ltr. Rul. 200933023, 1n.1 (May 7, 2009).</w:t>
      </w:r>
    </w:p>
  </w:footnote>
  <w:footnote w:id="29">
    <w:p w14:paraId="216E84F2" w14:textId="77777777" w:rsidR="003F3BF6" w:rsidRDefault="003F3BF6" w:rsidP="002E5A76">
      <w:pPr>
        <w:pStyle w:val="FootnoteText"/>
      </w:pPr>
      <w:r>
        <w:rPr>
          <w:rStyle w:val="FootnoteReference"/>
        </w:rPr>
        <w:footnoteRef/>
      </w:r>
      <w:r>
        <w:t xml:space="preserve"> Tax Reform Act of 1986, Pub. L. No. 99-514 (100 State, 2085, 2146)(1986).</w:t>
      </w:r>
    </w:p>
  </w:footnote>
  <w:footnote w:id="30">
    <w:p w14:paraId="27EEF73B" w14:textId="77777777" w:rsidR="003F3BF6" w:rsidRDefault="003F3BF6" w:rsidP="002E5A76">
      <w:pPr>
        <w:pStyle w:val="FootnoteText"/>
      </w:pPr>
      <w:r>
        <w:rPr>
          <w:rStyle w:val="FootnoteReference"/>
        </w:rPr>
        <w:footnoteRef/>
      </w:r>
      <w:r>
        <w:t xml:space="preserve"> Former 26 US Code §46(f)(6) (establishing proper determination of ratable portion).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8FFF" w14:textId="409BFDAD" w:rsidR="003F3BF6" w:rsidRDefault="006544ED">
    <w:pPr>
      <w:pStyle w:val="OrderHeader"/>
    </w:pPr>
    <w:r>
      <w:t>ORDER NO. P</w:t>
    </w:r>
    <w:r w:rsidR="002611BF">
      <w:t xml:space="preserve">SC-2026-0055-FOF-GU </w:t>
    </w:r>
  </w:p>
  <w:p w14:paraId="646F244B" w14:textId="77777777" w:rsidR="003F3BF6" w:rsidRDefault="003F3BF6">
    <w:pPr>
      <w:pStyle w:val="OrderHeader"/>
    </w:pPr>
    <w:bookmarkStart w:id="11" w:name="HeaderDocketNo"/>
    <w:bookmarkEnd w:id="11"/>
    <w:r>
      <w:t>DOCKET NO. 20250035-GU</w:t>
    </w:r>
  </w:p>
  <w:p w14:paraId="16D0385A" w14:textId="4B3A616F" w:rsidR="003F3BF6" w:rsidRDefault="003F3BF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78FE">
      <w:rPr>
        <w:rStyle w:val="PageNumber"/>
        <w:noProof/>
      </w:rPr>
      <w:t>23</w:t>
    </w:r>
    <w:r>
      <w:rPr>
        <w:rStyle w:val="PageNumber"/>
      </w:rPr>
      <w:fldChar w:fldCharType="end"/>
    </w:r>
  </w:p>
  <w:p w14:paraId="4D0E85C6" w14:textId="77777777" w:rsidR="003F3BF6" w:rsidRDefault="003F3BF6">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F8BD" w14:textId="645C6E07" w:rsidR="003F3BF6" w:rsidRDefault="003F3BF6" w:rsidP="002E5A76">
    <w:pPr>
      <w:pStyle w:val="OrderHeader"/>
    </w:pPr>
    <w:r>
      <w:t xml:space="preserve">ORDER NO. </w:t>
    </w:r>
    <w:r w:rsidR="002611BF">
      <w:t>PSC-2026-0055-FOF-GU</w:t>
    </w:r>
    <w:r>
      <w:tab/>
    </w:r>
    <w:r>
      <w:tab/>
      <w:t>Attachment A</w:t>
    </w:r>
  </w:p>
  <w:p w14:paraId="6D260F99" w14:textId="77777777" w:rsidR="003F3BF6" w:rsidRDefault="003F3BF6" w:rsidP="002E5A76">
    <w:pPr>
      <w:pStyle w:val="OrderHeader"/>
    </w:pPr>
    <w:r>
      <w:t>DOCKET NO. 20250035-GU</w:t>
    </w:r>
  </w:p>
  <w:p w14:paraId="68314F79" w14:textId="08DF5EF5" w:rsidR="003F3BF6" w:rsidRDefault="003F3BF6" w:rsidP="002E5A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78FE">
      <w:rPr>
        <w:rStyle w:val="PageNumber"/>
        <w:noProof/>
      </w:rPr>
      <w:t>24</w:t>
    </w:r>
    <w:r>
      <w:rPr>
        <w:rStyle w:val="PageNumber"/>
      </w:rPr>
      <w:fldChar w:fldCharType="end"/>
    </w:r>
  </w:p>
  <w:p w14:paraId="46C2CE91" w14:textId="77777777" w:rsidR="003F3BF6" w:rsidRDefault="003F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C8B0" w14:textId="52ACADFF" w:rsidR="003F3BF6" w:rsidRDefault="003F3BF6" w:rsidP="002E5A76">
    <w:pPr>
      <w:pStyle w:val="OrderHeader"/>
    </w:pPr>
    <w:r>
      <w:t xml:space="preserve">ORDER NO. </w:t>
    </w:r>
    <w:r w:rsidR="002611BF">
      <w:t>PSC-2026-0055-FOF-GU</w:t>
    </w:r>
    <w:r>
      <w:tab/>
    </w:r>
    <w:r>
      <w:tab/>
      <w:t>Attachment B</w:t>
    </w:r>
  </w:p>
  <w:p w14:paraId="6912DB8E" w14:textId="77777777" w:rsidR="003F3BF6" w:rsidRDefault="003F3BF6" w:rsidP="002E5A76">
    <w:pPr>
      <w:pStyle w:val="OrderHeader"/>
    </w:pPr>
    <w:r>
      <w:t>DOCKET NO. 20250035-GU</w:t>
    </w:r>
  </w:p>
  <w:p w14:paraId="137DCBB4" w14:textId="134F7EA7" w:rsidR="003F3BF6" w:rsidRDefault="003F3BF6" w:rsidP="002E5A7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78FE">
      <w:rPr>
        <w:rStyle w:val="PageNumber"/>
        <w:noProof/>
      </w:rPr>
      <w:t>25</w:t>
    </w:r>
    <w:r>
      <w:rPr>
        <w:rStyle w:val="PageNumber"/>
      </w:rPr>
      <w:fldChar w:fldCharType="end"/>
    </w:r>
  </w:p>
  <w:p w14:paraId="5BFC6832" w14:textId="77777777" w:rsidR="003F3BF6" w:rsidRDefault="003F3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75196A"/>
    <w:rsid w:val="000003EA"/>
    <w:rsid w:val="000022B8"/>
    <w:rsid w:val="0000329A"/>
    <w:rsid w:val="00003883"/>
    <w:rsid w:val="000048E2"/>
    <w:rsid w:val="00007C67"/>
    <w:rsid w:val="00011251"/>
    <w:rsid w:val="00012B32"/>
    <w:rsid w:val="00016ECD"/>
    <w:rsid w:val="00025C2A"/>
    <w:rsid w:val="00025C9D"/>
    <w:rsid w:val="00033478"/>
    <w:rsid w:val="0003433F"/>
    <w:rsid w:val="00035A8C"/>
    <w:rsid w:val="00036BDD"/>
    <w:rsid w:val="000372A2"/>
    <w:rsid w:val="0004190B"/>
    <w:rsid w:val="00041FFD"/>
    <w:rsid w:val="000429CC"/>
    <w:rsid w:val="00042C99"/>
    <w:rsid w:val="00053AB9"/>
    <w:rsid w:val="00056229"/>
    <w:rsid w:val="00057AF1"/>
    <w:rsid w:val="00065FC2"/>
    <w:rsid w:val="00066009"/>
    <w:rsid w:val="00067685"/>
    <w:rsid w:val="00067B07"/>
    <w:rsid w:val="000730D7"/>
    <w:rsid w:val="000736B1"/>
    <w:rsid w:val="00075F85"/>
    <w:rsid w:val="00076E6B"/>
    <w:rsid w:val="00081AE4"/>
    <w:rsid w:val="00082350"/>
    <w:rsid w:val="0008247D"/>
    <w:rsid w:val="00090AFC"/>
    <w:rsid w:val="00096025"/>
    <w:rsid w:val="0009607F"/>
    <w:rsid w:val="00096507"/>
    <w:rsid w:val="00097328"/>
    <w:rsid w:val="000A1A55"/>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0263"/>
    <w:rsid w:val="00103190"/>
    <w:rsid w:val="00104333"/>
    <w:rsid w:val="001052BA"/>
    <w:rsid w:val="001107B3"/>
    <w:rsid w:val="001114B1"/>
    <w:rsid w:val="00112D55"/>
    <w:rsid w:val="001139D8"/>
    <w:rsid w:val="00116AD3"/>
    <w:rsid w:val="00121957"/>
    <w:rsid w:val="00121A16"/>
    <w:rsid w:val="0012387E"/>
    <w:rsid w:val="0012393B"/>
    <w:rsid w:val="001259EC"/>
    <w:rsid w:val="00126593"/>
    <w:rsid w:val="00126C01"/>
    <w:rsid w:val="0012708E"/>
    <w:rsid w:val="00134177"/>
    <w:rsid w:val="00136087"/>
    <w:rsid w:val="00142A96"/>
    <w:rsid w:val="00146A7F"/>
    <w:rsid w:val="001513DE"/>
    <w:rsid w:val="0015207B"/>
    <w:rsid w:val="00154A71"/>
    <w:rsid w:val="001562B9"/>
    <w:rsid w:val="001655D4"/>
    <w:rsid w:val="00165803"/>
    <w:rsid w:val="001766A4"/>
    <w:rsid w:val="00177B7D"/>
    <w:rsid w:val="00180F56"/>
    <w:rsid w:val="00185F09"/>
    <w:rsid w:val="00187E32"/>
    <w:rsid w:val="001918FF"/>
    <w:rsid w:val="00193763"/>
    <w:rsid w:val="00194420"/>
    <w:rsid w:val="00194A97"/>
    <w:rsid w:val="00194E81"/>
    <w:rsid w:val="001968EC"/>
    <w:rsid w:val="001A15E7"/>
    <w:rsid w:val="001A327D"/>
    <w:rsid w:val="001A33C9"/>
    <w:rsid w:val="001A58F3"/>
    <w:rsid w:val="001B034E"/>
    <w:rsid w:val="001B66AF"/>
    <w:rsid w:val="001C2847"/>
    <w:rsid w:val="001C3BB5"/>
    <w:rsid w:val="001C3F8C"/>
    <w:rsid w:val="001C445C"/>
    <w:rsid w:val="001C5338"/>
    <w:rsid w:val="001C6097"/>
    <w:rsid w:val="001C7126"/>
    <w:rsid w:val="001D008A"/>
    <w:rsid w:val="001D0794"/>
    <w:rsid w:val="001D3E42"/>
    <w:rsid w:val="001D7777"/>
    <w:rsid w:val="001D7896"/>
    <w:rsid w:val="001E0152"/>
    <w:rsid w:val="001E0FF5"/>
    <w:rsid w:val="001F0095"/>
    <w:rsid w:val="001F1AB7"/>
    <w:rsid w:val="001F1F6E"/>
    <w:rsid w:val="001F36B0"/>
    <w:rsid w:val="001F4CA3"/>
    <w:rsid w:val="001F59E0"/>
    <w:rsid w:val="002002ED"/>
    <w:rsid w:val="002044DD"/>
    <w:rsid w:val="00205CF1"/>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1BF"/>
    <w:rsid w:val="002613E4"/>
    <w:rsid w:val="00262C43"/>
    <w:rsid w:val="0026415E"/>
    <w:rsid w:val="0026544B"/>
    <w:rsid w:val="00270F89"/>
    <w:rsid w:val="0027211B"/>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2C41"/>
    <w:rsid w:val="002C3C71"/>
    <w:rsid w:val="002C7908"/>
    <w:rsid w:val="002D0328"/>
    <w:rsid w:val="002D391B"/>
    <w:rsid w:val="002D4B1F"/>
    <w:rsid w:val="002D7D15"/>
    <w:rsid w:val="002E09F3"/>
    <w:rsid w:val="002E1B2E"/>
    <w:rsid w:val="002E27EB"/>
    <w:rsid w:val="002E3EEF"/>
    <w:rsid w:val="002E4EF4"/>
    <w:rsid w:val="002E5A76"/>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7D9"/>
    <w:rsid w:val="00333A41"/>
    <w:rsid w:val="00341036"/>
    <w:rsid w:val="00342747"/>
    <w:rsid w:val="00345434"/>
    <w:rsid w:val="00351C22"/>
    <w:rsid w:val="0035495B"/>
    <w:rsid w:val="00355A93"/>
    <w:rsid w:val="00360F30"/>
    <w:rsid w:val="00361522"/>
    <w:rsid w:val="0036362B"/>
    <w:rsid w:val="0037196E"/>
    <w:rsid w:val="0037442E"/>
    <w:rsid w:val="003744F5"/>
    <w:rsid w:val="00376649"/>
    <w:rsid w:val="0037714F"/>
    <w:rsid w:val="00382C6A"/>
    <w:rsid w:val="00385D0B"/>
    <w:rsid w:val="003875A9"/>
    <w:rsid w:val="00387BDE"/>
    <w:rsid w:val="00390DD8"/>
    <w:rsid w:val="00394DC6"/>
    <w:rsid w:val="00397C3E"/>
    <w:rsid w:val="003A5F8B"/>
    <w:rsid w:val="003B1A09"/>
    <w:rsid w:val="003B2B92"/>
    <w:rsid w:val="003B3B09"/>
    <w:rsid w:val="003B4F77"/>
    <w:rsid w:val="003B6F02"/>
    <w:rsid w:val="003C0431"/>
    <w:rsid w:val="003C20CC"/>
    <w:rsid w:val="003C29BB"/>
    <w:rsid w:val="003C3EF2"/>
    <w:rsid w:val="003D099D"/>
    <w:rsid w:val="003D3989"/>
    <w:rsid w:val="003D4CCA"/>
    <w:rsid w:val="003D52A6"/>
    <w:rsid w:val="003D6416"/>
    <w:rsid w:val="003D7765"/>
    <w:rsid w:val="003E18FC"/>
    <w:rsid w:val="003E1D48"/>
    <w:rsid w:val="003E2CF4"/>
    <w:rsid w:val="003E6346"/>
    <w:rsid w:val="003E711F"/>
    <w:rsid w:val="003F1D2B"/>
    <w:rsid w:val="003F3BF6"/>
    <w:rsid w:val="003F49A6"/>
    <w:rsid w:val="003F4FF9"/>
    <w:rsid w:val="003F518F"/>
    <w:rsid w:val="003F547B"/>
    <w:rsid w:val="003F6BA7"/>
    <w:rsid w:val="003F7445"/>
    <w:rsid w:val="00403AD7"/>
    <w:rsid w:val="00405881"/>
    <w:rsid w:val="00411DF2"/>
    <w:rsid w:val="00411E8F"/>
    <w:rsid w:val="0041412B"/>
    <w:rsid w:val="004173BA"/>
    <w:rsid w:val="004247F5"/>
    <w:rsid w:val="00425154"/>
    <w:rsid w:val="0042527B"/>
    <w:rsid w:val="0042705B"/>
    <w:rsid w:val="00427EAC"/>
    <w:rsid w:val="004379CD"/>
    <w:rsid w:val="004431B4"/>
    <w:rsid w:val="00445604"/>
    <w:rsid w:val="00447BDA"/>
    <w:rsid w:val="00451158"/>
    <w:rsid w:val="00451804"/>
    <w:rsid w:val="00452F75"/>
    <w:rsid w:val="00453C21"/>
    <w:rsid w:val="0045537F"/>
    <w:rsid w:val="00457BB8"/>
    <w:rsid w:val="00457DC7"/>
    <w:rsid w:val="004640B3"/>
    <w:rsid w:val="00467A2F"/>
    <w:rsid w:val="004704F4"/>
    <w:rsid w:val="00472BCC"/>
    <w:rsid w:val="00477699"/>
    <w:rsid w:val="00480710"/>
    <w:rsid w:val="00480C86"/>
    <w:rsid w:val="004A1D4A"/>
    <w:rsid w:val="004A25CD"/>
    <w:rsid w:val="004A26CC"/>
    <w:rsid w:val="004A6A00"/>
    <w:rsid w:val="004B2108"/>
    <w:rsid w:val="004B212A"/>
    <w:rsid w:val="004B3A2B"/>
    <w:rsid w:val="004B70D3"/>
    <w:rsid w:val="004C0219"/>
    <w:rsid w:val="004C312D"/>
    <w:rsid w:val="004D2C87"/>
    <w:rsid w:val="004D2D1B"/>
    <w:rsid w:val="004D5067"/>
    <w:rsid w:val="004D6838"/>
    <w:rsid w:val="004D72BC"/>
    <w:rsid w:val="004E286F"/>
    <w:rsid w:val="004E404B"/>
    <w:rsid w:val="004E469D"/>
    <w:rsid w:val="004E7F4F"/>
    <w:rsid w:val="004F03B2"/>
    <w:rsid w:val="004F094F"/>
    <w:rsid w:val="004F0AF7"/>
    <w:rsid w:val="004F2DDE"/>
    <w:rsid w:val="004F3AA8"/>
    <w:rsid w:val="004F4E53"/>
    <w:rsid w:val="004F5A55"/>
    <w:rsid w:val="004F6426"/>
    <w:rsid w:val="004F7826"/>
    <w:rsid w:val="0050097F"/>
    <w:rsid w:val="00503A02"/>
    <w:rsid w:val="00505D83"/>
    <w:rsid w:val="00507A8F"/>
    <w:rsid w:val="00511872"/>
    <w:rsid w:val="00512879"/>
    <w:rsid w:val="00514B1F"/>
    <w:rsid w:val="00521BA0"/>
    <w:rsid w:val="00523C5C"/>
    <w:rsid w:val="00524884"/>
    <w:rsid w:val="00525E93"/>
    <w:rsid w:val="0052671D"/>
    <w:rsid w:val="005300C0"/>
    <w:rsid w:val="00533EF6"/>
    <w:rsid w:val="00540B41"/>
    <w:rsid w:val="00540E6B"/>
    <w:rsid w:val="0054109E"/>
    <w:rsid w:val="00542DCB"/>
    <w:rsid w:val="0055595D"/>
    <w:rsid w:val="00556A10"/>
    <w:rsid w:val="005571DD"/>
    <w:rsid w:val="00557F50"/>
    <w:rsid w:val="00564397"/>
    <w:rsid w:val="005645FC"/>
    <w:rsid w:val="00571D3D"/>
    <w:rsid w:val="00573194"/>
    <w:rsid w:val="00574379"/>
    <w:rsid w:val="0058264B"/>
    <w:rsid w:val="00583F81"/>
    <w:rsid w:val="005850DF"/>
    <w:rsid w:val="00585AF0"/>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07BFB"/>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544ED"/>
    <w:rsid w:val="00660774"/>
    <w:rsid w:val="0066389A"/>
    <w:rsid w:val="0066495C"/>
    <w:rsid w:val="00665CC7"/>
    <w:rsid w:val="006672E2"/>
    <w:rsid w:val="00672612"/>
    <w:rsid w:val="00674ECC"/>
    <w:rsid w:val="00677F18"/>
    <w:rsid w:val="00684AE3"/>
    <w:rsid w:val="00687FB7"/>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568"/>
    <w:rsid w:val="00704C5D"/>
    <w:rsid w:val="00706267"/>
    <w:rsid w:val="007072BC"/>
    <w:rsid w:val="00715275"/>
    <w:rsid w:val="00721B44"/>
    <w:rsid w:val="00722F77"/>
    <w:rsid w:val="007232A2"/>
    <w:rsid w:val="00726366"/>
    <w:rsid w:val="007269EF"/>
    <w:rsid w:val="00731AB6"/>
    <w:rsid w:val="007335EF"/>
    <w:rsid w:val="00733B6B"/>
    <w:rsid w:val="0073677D"/>
    <w:rsid w:val="00740808"/>
    <w:rsid w:val="00740A1B"/>
    <w:rsid w:val="00742478"/>
    <w:rsid w:val="007467C4"/>
    <w:rsid w:val="0075196A"/>
    <w:rsid w:val="00755702"/>
    <w:rsid w:val="007560DE"/>
    <w:rsid w:val="0076170F"/>
    <w:rsid w:val="0076669C"/>
    <w:rsid w:val="00766E46"/>
    <w:rsid w:val="00771018"/>
    <w:rsid w:val="00772CCB"/>
    <w:rsid w:val="00777193"/>
    <w:rsid w:val="00777727"/>
    <w:rsid w:val="00781087"/>
    <w:rsid w:val="0078166A"/>
    <w:rsid w:val="00782B79"/>
    <w:rsid w:val="00783811"/>
    <w:rsid w:val="00784D27"/>
    <w:rsid w:val="007865E9"/>
    <w:rsid w:val="0079237D"/>
    <w:rsid w:val="00792383"/>
    <w:rsid w:val="0079335A"/>
    <w:rsid w:val="00794D5A"/>
    <w:rsid w:val="00794DD9"/>
    <w:rsid w:val="007965EF"/>
    <w:rsid w:val="007A060F"/>
    <w:rsid w:val="007A37DC"/>
    <w:rsid w:val="007A5A42"/>
    <w:rsid w:val="007B1C5E"/>
    <w:rsid w:val="007B350E"/>
    <w:rsid w:val="007C0FBC"/>
    <w:rsid w:val="007C29C9"/>
    <w:rsid w:val="007C35B8"/>
    <w:rsid w:val="007C36E3"/>
    <w:rsid w:val="007C3ABB"/>
    <w:rsid w:val="007C7134"/>
    <w:rsid w:val="007C7ECF"/>
    <w:rsid w:val="007D3CB9"/>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4F95"/>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149F"/>
    <w:rsid w:val="00883D9A"/>
    <w:rsid w:val="00886A62"/>
    <w:rsid w:val="00890578"/>
    <w:rsid w:val="008919EF"/>
    <w:rsid w:val="00892B20"/>
    <w:rsid w:val="008931BC"/>
    <w:rsid w:val="00894159"/>
    <w:rsid w:val="008956F0"/>
    <w:rsid w:val="0089695B"/>
    <w:rsid w:val="00897740"/>
    <w:rsid w:val="008A12EC"/>
    <w:rsid w:val="008A1DF5"/>
    <w:rsid w:val="008B14BE"/>
    <w:rsid w:val="008B19A6"/>
    <w:rsid w:val="008B2B2D"/>
    <w:rsid w:val="008B4EFB"/>
    <w:rsid w:val="008B7615"/>
    <w:rsid w:val="008B78ED"/>
    <w:rsid w:val="008C21C8"/>
    <w:rsid w:val="008C6375"/>
    <w:rsid w:val="008C6A5B"/>
    <w:rsid w:val="008D441D"/>
    <w:rsid w:val="008D498D"/>
    <w:rsid w:val="008D6D36"/>
    <w:rsid w:val="008D791F"/>
    <w:rsid w:val="008E0582"/>
    <w:rsid w:val="008E0693"/>
    <w:rsid w:val="008E1191"/>
    <w:rsid w:val="008E26A5"/>
    <w:rsid w:val="008E3ACD"/>
    <w:rsid w:val="008E42D2"/>
    <w:rsid w:val="008E6328"/>
    <w:rsid w:val="008F23E1"/>
    <w:rsid w:val="008F280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3261E"/>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9445D"/>
    <w:rsid w:val="009A04B7"/>
    <w:rsid w:val="009A2304"/>
    <w:rsid w:val="009A6B17"/>
    <w:rsid w:val="009A7E5C"/>
    <w:rsid w:val="009B052E"/>
    <w:rsid w:val="009B0AE4"/>
    <w:rsid w:val="009B253D"/>
    <w:rsid w:val="009B4024"/>
    <w:rsid w:val="009B4E00"/>
    <w:rsid w:val="009B4FCF"/>
    <w:rsid w:val="009C4300"/>
    <w:rsid w:val="009D4C29"/>
    <w:rsid w:val="009E58E9"/>
    <w:rsid w:val="009E6803"/>
    <w:rsid w:val="009F621E"/>
    <w:rsid w:val="009F6AD2"/>
    <w:rsid w:val="009F7C1B"/>
    <w:rsid w:val="00A00B5B"/>
    <w:rsid w:val="00A00D8D"/>
    <w:rsid w:val="00A01BB6"/>
    <w:rsid w:val="00A07788"/>
    <w:rsid w:val="00A108A7"/>
    <w:rsid w:val="00A228DA"/>
    <w:rsid w:val="00A22B28"/>
    <w:rsid w:val="00A26DC0"/>
    <w:rsid w:val="00A3351E"/>
    <w:rsid w:val="00A36867"/>
    <w:rsid w:val="00A41A61"/>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398D"/>
    <w:rsid w:val="00A85381"/>
    <w:rsid w:val="00A86A50"/>
    <w:rsid w:val="00A9178A"/>
    <w:rsid w:val="00A92DEC"/>
    <w:rsid w:val="00A9515B"/>
    <w:rsid w:val="00A96529"/>
    <w:rsid w:val="00A97535"/>
    <w:rsid w:val="00AA2BAA"/>
    <w:rsid w:val="00AA6516"/>
    <w:rsid w:val="00AA73E7"/>
    <w:rsid w:val="00AA73F1"/>
    <w:rsid w:val="00AB0E1A"/>
    <w:rsid w:val="00AB1A30"/>
    <w:rsid w:val="00AB3C36"/>
    <w:rsid w:val="00AB3D30"/>
    <w:rsid w:val="00AB4FDB"/>
    <w:rsid w:val="00AC29C3"/>
    <w:rsid w:val="00AC4B09"/>
    <w:rsid w:val="00AC5A01"/>
    <w:rsid w:val="00AC6449"/>
    <w:rsid w:val="00AD10EB"/>
    <w:rsid w:val="00AD1ED3"/>
    <w:rsid w:val="00AD35F4"/>
    <w:rsid w:val="00AD3717"/>
    <w:rsid w:val="00AD74F4"/>
    <w:rsid w:val="00AE204F"/>
    <w:rsid w:val="00AE2741"/>
    <w:rsid w:val="00AE3FDF"/>
    <w:rsid w:val="00AE7982"/>
    <w:rsid w:val="00AF37DA"/>
    <w:rsid w:val="00AF4065"/>
    <w:rsid w:val="00AF5890"/>
    <w:rsid w:val="00B019C1"/>
    <w:rsid w:val="00B02001"/>
    <w:rsid w:val="00B03C50"/>
    <w:rsid w:val="00B055D7"/>
    <w:rsid w:val="00B074DB"/>
    <w:rsid w:val="00B0777D"/>
    <w:rsid w:val="00B07DDF"/>
    <w:rsid w:val="00B11576"/>
    <w:rsid w:val="00B1195F"/>
    <w:rsid w:val="00B14D10"/>
    <w:rsid w:val="00B209C7"/>
    <w:rsid w:val="00B213FB"/>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3EC7"/>
    <w:rsid w:val="00B67A43"/>
    <w:rsid w:val="00B67F9F"/>
    <w:rsid w:val="00B71D1F"/>
    <w:rsid w:val="00B72B25"/>
    <w:rsid w:val="00B72CFF"/>
    <w:rsid w:val="00B73DE6"/>
    <w:rsid w:val="00B761CD"/>
    <w:rsid w:val="00B76B66"/>
    <w:rsid w:val="00B76D2C"/>
    <w:rsid w:val="00B84241"/>
    <w:rsid w:val="00B86EF0"/>
    <w:rsid w:val="00B96969"/>
    <w:rsid w:val="00B97900"/>
    <w:rsid w:val="00BA1229"/>
    <w:rsid w:val="00BA44A8"/>
    <w:rsid w:val="00BA49C5"/>
    <w:rsid w:val="00BA6864"/>
    <w:rsid w:val="00BA7026"/>
    <w:rsid w:val="00BB0182"/>
    <w:rsid w:val="00BB2F4A"/>
    <w:rsid w:val="00BB637C"/>
    <w:rsid w:val="00BC1006"/>
    <w:rsid w:val="00BC1963"/>
    <w:rsid w:val="00BC345D"/>
    <w:rsid w:val="00BC771F"/>
    <w:rsid w:val="00BC786E"/>
    <w:rsid w:val="00BD4AEB"/>
    <w:rsid w:val="00BD5C92"/>
    <w:rsid w:val="00BE50E6"/>
    <w:rsid w:val="00BE7A0C"/>
    <w:rsid w:val="00BF2928"/>
    <w:rsid w:val="00BF5D60"/>
    <w:rsid w:val="00BF6691"/>
    <w:rsid w:val="00C028FC"/>
    <w:rsid w:val="00C02D76"/>
    <w:rsid w:val="00C037F2"/>
    <w:rsid w:val="00C0386D"/>
    <w:rsid w:val="00C065A1"/>
    <w:rsid w:val="00C06FB1"/>
    <w:rsid w:val="00C10ED5"/>
    <w:rsid w:val="00C12574"/>
    <w:rsid w:val="00C12CB3"/>
    <w:rsid w:val="00C151A6"/>
    <w:rsid w:val="00C24098"/>
    <w:rsid w:val="00C24DD3"/>
    <w:rsid w:val="00C25479"/>
    <w:rsid w:val="00C275C8"/>
    <w:rsid w:val="00C30A4E"/>
    <w:rsid w:val="00C3483B"/>
    <w:rsid w:val="00C3641C"/>
    <w:rsid w:val="00C411F3"/>
    <w:rsid w:val="00C41904"/>
    <w:rsid w:val="00C42210"/>
    <w:rsid w:val="00C44105"/>
    <w:rsid w:val="00C511DE"/>
    <w:rsid w:val="00C52004"/>
    <w:rsid w:val="00C523EC"/>
    <w:rsid w:val="00C54FA8"/>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139C"/>
    <w:rsid w:val="00C96CB0"/>
    <w:rsid w:val="00CA1595"/>
    <w:rsid w:val="00CA21C4"/>
    <w:rsid w:val="00CA5C68"/>
    <w:rsid w:val="00CA5DBF"/>
    <w:rsid w:val="00CA60DC"/>
    <w:rsid w:val="00CA6CC2"/>
    <w:rsid w:val="00CA71FF"/>
    <w:rsid w:val="00CB2393"/>
    <w:rsid w:val="00CB2456"/>
    <w:rsid w:val="00CB5276"/>
    <w:rsid w:val="00CB5BFC"/>
    <w:rsid w:val="00CB68D7"/>
    <w:rsid w:val="00CB785B"/>
    <w:rsid w:val="00CC24CC"/>
    <w:rsid w:val="00CC7E68"/>
    <w:rsid w:val="00CD0227"/>
    <w:rsid w:val="00CD0F05"/>
    <w:rsid w:val="00CD15D5"/>
    <w:rsid w:val="00CD19D5"/>
    <w:rsid w:val="00CD3C00"/>
    <w:rsid w:val="00CD3D74"/>
    <w:rsid w:val="00CD57E8"/>
    <w:rsid w:val="00CD7132"/>
    <w:rsid w:val="00CE034E"/>
    <w:rsid w:val="00CE0E6F"/>
    <w:rsid w:val="00CE36BA"/>
    <w:rsid w:val="00CE3B21"/>
    <w:rsid w:val="00CE3B91"/>
    <w:rsid w:val="00CE56FC"/>
    <w:rsid w:val="00CE5FFF"/>
    <w:rsid w:val="00CE6B48"/>
    <w:rsid w:val="00CE7A4D"/>
    <w:rsid w:val="00CF32D2"/>
    <w:rsid w:val="00CF4CFE"/>
    <w:rsid w:val="00CF55E6"/>
    <w:rsid w:val="00D00E8E"/>
    <w:rsid w:val="00D01964"/>
    <w:rsid w:val="00D0240F"/>
    <w:rsid w:val="00D02E0F"/>
    <w:rsid w:val="00D02F79"/>
    <w:rsid w:val="00D03E5F"/>
    <w:rsid w:val="00D03EE8"/>
    <w:rsid w:val="00D10250"/>
    <w:rsid w:val="00D13535"/>
    <w:rsid w:val="00D1476E"/>
    <w:rsid w:val="00D15497"/>
    <w:rsid w:val="00D15F50"/>
    <w:rsid w:val="00D17B79"/>
    <w:rsid w:val="00D205F5"/>
    <w:rsid w:val="00D23FEA"/>
    <w:rsid w:val="00D269CA"/>
    <w:rsid w:val="00D27544"/>
    <w:rsid w:val="00D30B48"/>
    <w:rsid w:val="00D3168A"/>
    <w:rsid w:val="00D34C73"/>
    <w:rsid w:val="00D350D1"/>
    <w:rsid w:val="00D46FAA"/>
    <w:rsid w:val="00D47A40"/>
    <w:rsid w:val="00D51D33"/>
    <w:rsid w:val="00D57132"/>
    <w:rsid w:val="00D57BB2"/>
    <w:rsid w:val="00D57E57"/>
    <w:rsid w:val="00D600EC"/>
    <w:rsid w:val="00D611DF"/>
    <w:rsid w:val="00D65405"/>
    <w:rsid w:val="00D6792C"/>
    <w:rsid w:val="00D70752"/>
    <w:rsid w:val="00D755AB"/>
    <w:rsid w:val="00D80E2D"/>
    <w:rsid w:val="00D824A6"/>
    <w:rsid w:val="00D84D5E"/>
    <w:rsid w:val="00D8560E"/>
    <w:rsid w:val="00D8758F"/>
    <w:rsid w:val="00D932CA"/>
    <w:rsid w:val="00D97F44"/>
    <w:rsid w:val="00DA4EDD"/>
    <w:rsid w:val="00DA6B78"/>
    <w:rsid w:val="00DB0671"/>
    <w:rsid w:val="00DB122B"/>
    <w:rsid w:val="00DB44D1"/>
    <w:rsid w:val="00DC1D94"/>
    <w:rsid w:val="00DC42CF"/>
    <w:rsid w:val="00DC4D2A"/>
    <w:rsid w:val="00DC4ECB"/>
    <w:rsid w:val="00DC6191"/>
    <w:rsid w:val="00DC738A"/>
    <w:rsid w:val="00DC77A2"/>
    <w:rsid w:val="00DD382A"/>
    <w:rsid w:val="00DD592E"/>
    <w:rsid w:val="00DE057F"/>
    <w:rsid w:val="00DE2082"/>
    <w:rsid w:val="00DE2289"/>
    <w:rsid w:val="00DE35E5"/>
    <w:rsid w:val="00DE499C"/>
    <w:rsid w:val="00DE69DB"/>
    <w:rsid w:val="00DF0041"/>
    <w:rsid w:val="00DF09A7"/>
    <w:rsid w:val="00DF0DE8"/>
    <w:rsid w:val="00DF2B51"/>
    <w:rsid w:val="00E001D6"/>
    <w:rsid w:val="00E00897"/>
    <w:rsid w:val="00E03A76"/>
    <w:rsid w:val="00E04410"/>
    <w:rsid w:val="00E07484"/>
    <w:rsid w:val="00E07576"/>
    <w:rsid w:val="00E108CE"/>
    <w:rsid w:val="00E11351"/>
    <w:rsid w:val="00E114ED"/>
    <w:rsid w:val="00E17915"/>
    <w:rsid w:val="00E22230"/>
    <w:rsid w:val="00E2606E"/>
    <w:rsid w:val="00E33F44"/>
    <w:rsid w:val="00E37D48"/>
    <w:rsid w:val="00E4006C"/>
    <w:rsid w:val="00E4225C"/>
    <w:rsid w:val="00E44879"/>
    <w:rsid w:val="00E61530"/>
    <w:rsid w:val="00E6761A"/>
    <w:rsid w:val="00E72914"/>
    <w:rsid w:val="00E75AE0"/>
    <w:rsid w:val="00E75EBE"/>
    <w:rsid w:val="00E76B61"/>
    <w:rsid w:val="00E83C1F"/>
    <w:rsid w:val="00E85684"/>
    <w:rsid w:val="00E86008"/>
    <w:rsid w:val="00E868F8"/>
    <w:rsid w:val="00E8794B"/>
    <w:rsid w:val="00E97656"/>
    <w:rsid w:val="00EA004A"/>
    <w:rsid w:val="00EA172C"/>
    <w:rsid w:val="00EA259B"/>
    <w:rsid w:val="00EA35A3"/>
    <w:rsid w:val="00EA3E6A"/>
    <w:rsid w:val="00EA6942"/>
    <w:rsid w:val="00EA69CF"/>
    <w:rsid w:val="00EB0B22"/>
    <w:rsid w:val="00EB18EF"/>
    <w:rsid w:val="00EB2D66"/>
    <w:rsid w:val="00EB58F4"/>
    <w:rsid w:val="00EB7951"/>
    <w:rsid w:val="00ED461C"/>
    <w:rsid w:val="00ED66E7"/>
    <w:rsid w:val="00ED6A79"/>
    <w:rsid w:val="00EE17DF"/>
    <w:rsid w:val="00EE4766"/>
    <w:rsid w:val="00EF1482"/>
    <w:rsid w:val="00EF4621"/>
    <w:rsid w:val="00EF4D52"/>
    <w:rsid w:val="00EF6312"/>
    <w:rsid w:val="00F00C4B"/>
    <w:rsid w:val="00F038B0"/>
    <w:rsid w:val="00F0505D"/>
    <w:rsid w:val="00F05F34"/>
    <w:rsid w:val="00F120C2"/>
    <w:rsid w:val="00F22B27"/>
    <w:rsid w:val="00F22D13"/>
    <w:rsid w:val="00F234A7"/>
    <w:rsid w:val="00F277B6"/>
    <w:rsid w:val="00F27DA5"/>
    <w:rsid w:val="00F31FC8"/>
    <w:rsid w:val="00F3433D"/>
    <w:rsid w:val="00F34C1C"/>
    <w:rsid w:val="00F37E07"/>
    <w:rsid w:val="00F4160F"/>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421"/>
    <w:rsid w:val="00FA6EFD"/>
    <w:rsid w:val="00FB2A8E"/>
    <w:rsid w:val="00FB3791"/>
    <w:rsid w:val="00FB6780"/>
    <w:rsid w:val="00FB74EA"/>
    <w:rsid w:val="00FC1262"/>
    <w:rsid w:val="00FC609A"/>
    <w:rsid w:val="00FD0ADB"/>
    <w:rsid w:val="00FD1424"/>
    <w:rsid w:val="00FD2C9E"/>
    <w:rsid w:val="00FD334A"/>
    <w:rsid w:val="00FD4786"/>
    <w:rsid w:val="00FD616C"/>
    <w:rsid w:val="00FE4BA2"/>
    <w:rsid w:val="00FE53F2"/>
    <w:rsid w:val="00FF0A00"/>
    <w:rsid w:val="00FF1C57"/>
    <w:rsid w:val="00FF2581"/>
    <w:rsid w:val="00FF6311"/>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D6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D7896"/>
    <w:pPr>
      <w:jc w:val="center"/>
    </w:pPr>
    <w:rPr>
      <w:rFonts w:ascii="Arial" w:hAnsi="Arial"/>
      <w:b/>
    </w:rPr>
  </w:style>
  <w:style w:type="character" w:customStyle="1" w:styleId="FootnoteTextChar">
    <w:name w:val="Footnote Text Char"/>
    <w:basedOn w:val="DefaultParagraphFont"/>
    <w:link w:val="FootnoteText"/>
    <w:uiPriority w:val="99"/>
    <w:rsid w:val="001D7896"/>
  </w:style>
  <w:style w:type="paragraph" w:customStyle="1" w:styleId="IssueHeading">
    <w:name w:val="Issue Heading"/>
    <w:basedOn w:val="Heading1"/>
    <w:next w:val="BodyText"/>
    <w:link w:val="IssueHeadingChar"/>
    <w:qFormat/>
    <w:rsid w:val="001D7896"/>
    <w:pPr>
      <w:keepNext w:val="0"/>
    </w:pPr>
    <w:rPr>
      <w:rFonts w:ascii="Arial" w:hAnsi="Arial"/>
      <w:b/>
      <w:i/>
    </w:rPr>
  </w:style>
  <w:style w:type="character" w:customStyle="1" w:styleId="IssueHeadingChar">
    <w:name w:val="Issue Heading Char"/>
    <w:link w:val="IssueHeading"/>
    <w:rsid w:val="001D789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D7896"/>
    <w:pPr>
      <w:keepNext w:val="0"/>
    </w:pPr>
    <w:rPr>
      <w:rFonts w:ascii="Arial" w:hAnsi="Arial"/>
      <w:b/>
      <w:i/>
    </w:rPr>
  </w:style>
  <w:style w:type="character" w:customStyle="1" w:styleId="IssueSubsectionHeadingChar">
    <w:name w:val="Issue Subsection Heading Char"/>
    <w:link w:val="IssueSubsectionHeading"/>
    <w:rsid w:val="001D7896"/>
    <w:rPr>
      <w:rFonts w:ascii="Arial" w:hAnsi="Arial" w:cs="Arial"/>
      <w:b/>
      <w:bCs/>
      <w:i/>
      <w:iCs/>
      <w:sz w:val="24"/>
      <w:szCs w:val="28"/>
    </w:rPr>
  </w:style>
  <w:style w:type="paragraph" w:customStyle="1" w:styleId="PartyName">
    <w:name w:val="Party Name"/>
    <w:basedOn w:val="IssueSubsectionHeading"/>
    <w:next w:val="BodyText"/>
    <w:qFormat/>
    <w:rsid w:val="001D7896"/>
    <w:rPr>
      <w:i w:val="0"/>
    </w:rPr>
  </w:style>
  <w:style w:type="paragraph" w:customStyle="1" w:styleId="First-LevelSubheading">
    <w:name w:val="First-Level Subheading"/>
    <w:basedOn w:val="IssueSubsectionHeading"/>
    <w:next w:val="BodyText"/>
    <w:qFormat/>
    <w:rsid w:val="00784D27"/>
    <w:pPr>
      <w:spacing w:after="0"/>
      <w:outlineLvl w:val="2"/>
    </w:pPr>
    <w:rPr>
      <w:i w:val="0"/>
    </w:rPr>
  </w:style>
  <w:style w:type="paragraph" w:customStyle="1" w:styleId="TableTitle">
    <w:name w:val="Table Title"/>
    <w:basedOn w:val="BodyText"/>
    <w:next w:val="BodyText"/>
    <w:qFormat/>
    <w:rsid w:val="00784D27"/>
    <w:pPr>
      <w:spacing w:after="0"/>
      <w:jc w:val="center"/>
    </w:pPr>
    <w:rPr>
      <w:rFonts w:ascii="Arial" w:hAnsi="Arial"/>
      <w:b/>
    </w:rPr>
  </w:style>
  <w:style w:type="paragraph" w:customStyle="1" w:styleId="TableNumber">
    <w:name w:val="Table Number"/>
    <w:basedOn w:val="BodyText"/>
    <w:next w:val="BodyText"/>
    <w:qFormat/>
    <w:rsid w:val="00784D27"/>
    <w:pPr>
      <w:spacing w:before="480" w:after="0"/>
      <w:jc w:val="center"/>
    </w:pPr>
    <w:rPr>
      <w:rFonts w:ascii="Arial" w:hAnsi="Arial"/>
      <w:b/>
    </w:rPr>
  </w:style>
  <w:style w:type="paragraph" w:customStyle="1" w:styleId="TableSource">
    <w:name w:val="Table Source"/>
    <w:basedOn w:val="BodyText"/>
    <w:next w:val="BodyText"/>
    <w:qFormat/>
    <w:rsid w:val="00784D27"/>
    <w:pPr>
      <w:spacing w:after="480"/>
      <w:jc w:val="both"/>
    </w:pPr>
  </w:style>
  <w:style w:type="character" w:styleId="CommentReference">
    <w:name w:val="annotation reference"/>
    <w:basedOn w:val="DefaultParagraphFont"/>
    <w:semiHidden/>
    <w:unhideWhenUsed/>
    <w:rsid w:val="00205CF1"/>
    <w:rPr>
      <w:sz w:val="16"/>
      <w:szCs w:val="16"/>
    </w:rPr>
  </w:style>
  <w:style w:type="paragraph" w:styleId="CommentText">
    <w:name w:val="annotation text"/>
    <w:basedOn w:val="Normal"/>
    <w:link w:val="CommentTextChar"/>
    <w:semiHidden/>
    <w:unhideWhenUsed/>
    <w:rsid w:val="00205CF1"/>
    <w:rPr>
      <w:sz w:val="20"/>
      <w:szCs w:val="20"/>
    </w:rPr>
  </w:style>
  <w:style w:type="character" w:customStyle="1" w:styleId="CommentTextChar">
    <w:name w:val="Comment Text Char"/>
    <w:basedOn w:val="DefaultParagraphFont"/>
    <w:link w:val="CommentText"/>
    <w:semiHidden/>
    <w:rsid w:val="00205CF1"/>
  </w:style>
  <w:style w:type="paragraph" w:styleId="CommentSubject">
    <w:name w:val="annotation subject"/>
    <w:basedOn w:val="CommentText"/>
    <w:next w:val="CommentText"/>
    <w:link w:val="CommentSubjectChar"/>
    <w:semiHidden/>
    <w:unhideWhenUsed/>
    <w:rsid w:val="00205CF1"/>
    <w:rPr>
      <w:b/>
      <w:bCs/>
    </w:rPr>
  </w:style>
  <w:style w:type="character" w:customStyle="1" w:styleId="CommentSubjectChar">
    <w:name w:val="Comment Subject Char"/>
    <w:basedOn w:val="CommentTextChar"/>
    <w:link w:val="CommentSubject"/>
    <w:semiHidden/>
    <w:rsid w:val="00205CF1"/>
    <w:rPr>
      <w:b/>
      <w:bCs/>
    </w:rPr>
  </w:style>
  <w:style w:type="paragraph" w:styleId="BalloonText">
    <w:name w:val="Balloon Text"/>
    <w:basedOn w:val="Normal"/>
    <w:link w:val="BalloonTextChar"/>
    <w:semiHidden/>
    <w:unhideWhenUsed/>
    <w:rsid w:val="00205CF1"/>
    <w:rPr>
      <w:rFonts w:ascii="Segoe UI" w:hAnsi="Segoe UI" w:cs="Segoe UI"/>
      <w:sz w:val="18"/>
      <w:szCs w:val="18"/>
    </w:rPr>
  </w:style>
  <w:style w:type="character" w:customStyle="1" w:styleId="BalloonTextChar">
    <w:name w:val="Balloon Text Char"/>
    <w:basedOn w:val="DefaultParagraphFont"/>
    <w:link w:val="BalloonText"/>
    <w:semiHidden/>
    <w:rsid w:val="00205CF1"/>
    <w:rPr>
      <w:rFonts w:ascii="Segoe UI" w:hAnsi="Segoe UI" w:cs="Segoe UI"/>
      <w:sz w:val="18"/>
      <w:szCs w:val="18"/>
    </w:rPr>
  </w:style>
  <w:style w:type="paragraph" w:styleId="Revision">
    <w:name w:val="Revision"/>
    <w:hidden/>
    <w:uiPriority w:val="99"/>
    <w:semiHidden/>
    <w:rsid w:val="00176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50703818">
      <w:bodyDiv w:val="1"/>
      <w:marLeft w:val="0"/>
      <w:marRight w:val="0"/>
      <w:marTop w:val="0"/>
      <w:marBottom w:val="0"/>
      <w:divBdr>
        <w:top w:val="none" w:sz="0" w:space="0" w:color="auto"/>
        <w:left w:val="none" w:sz="0" w:space="0" w:color="auto"/>
        <w:bottom w:val="none" w:sz="0" w:space="0" w:color="auto"/>
        <w:right w:val="none" w:sz="0" w:space="0" w:color="auto"/>
      </w:divBdr>
    </w:div>
    <w:div w:id="107107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9EDD-120D-4704-A4F3-5F4150F1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25</Pages>
  <Words>8213</Words>
  <Characters>46817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2026-03-09T16:28:00Z</dcterms:created>
  <dcterms:modified xsi:type="dcterms:W3CDTF">2026-03-09T16:42:00Z</dcterms:modified>
</cp:coreProperties>
</file>