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631" w:rsidRDefault="00A30631" w:rsidP="00A30631">
      <w:pPr>
        <w:pStyle w:val="OrderHeading"/>
      </w:pPr>
      <w:r>
        <w:t>BEFORE THE FLORIDA PUBLIC SERVICE COMMISSION</w:t>
      </w:r>
    </w:p>
    <w:p w:rsidR="00A30631" w:rsidRDefault="00A30631" w:rsidP="00A30631">
      <w:pPr>
        <w:pStyle w:val="OrderBody"/>
      </w:pPr>
    </w:p>
    <w:p w:rsidR="00A30631" w:rsidRDefault="00A30631" w:rsidP="00A306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0631" w:rsidRPr="00C63FCF" w:rsidTr="00C63FCF">
        <w:trPr>
          <w:trHeight w:val="828"/>
        </w:trPr>
        <w:tc>
          <w:tcPr>
            <w:tcW w:w="4788" w:type="dxa"/>
            <w:tcBorders>
              <w:bottom w:val="single" w:sz="8" w:space="0" w:color="auto"/>
              <w:right w:val="double" w:sz="6" w:space="0" w:color="auto"/>
            </w:tcBorders>
            <w:shd w:val="clear" w:color="auto" w:fill="auto"/>
          </w:tcPr>
          <w:p w:rsidR="00A30631" w:rsidRDefault="00A30631" w:rsidP="00C63FCF">
            <w:pPr>
              <w:pStyle w:val="OrderBody"/>
              <w:tabs>
                <w:tab w:val="center" w:pos="4320"/>
                <w:tab w:val="right" w:pos="8640"/>
              </w:tabs>
              <w:jc w:val="left"/>
            </w:pPr>
            <w:r>
              <w:t xml:space="preserve">In re: </w:t>
            </w:r>
            <w:bookmarkStart w:id="0" w:name="SSInRe"/>
            <w:bookmarkEnd w:id="0"/>
            <w:r>
              <w:t>Petition for approval of new environmental program for cost recovery through Environmental Cost Recovery Clause, by Tampa Electric Company.</w:t>
            </w:r>
          </w:p>
        </w:tc>
        <w:tc>
          <w:tcPr>
            <w:tcW w:w="4788" w:type="dxa"/>
            <w:tcBorders>
              <w:left w:val="double" w:sz="6" w:space="0" w:color="auto"/>
            </w:tcBorders>
            <w:shd w:val="clear" w:color="auto" w:fill="auto"/>
          </w:tcPr>
          <w:p w:rsidR="00A30631" w:rsidRDefault="00A30631" w:rsidP="00A30631">
            <w:pPr>
              <w:pStyle w:val="OrderBody"/>
            </w:pPr>
            <w:r>
              <w:t xml:space="preserve">DOCKET NO. </w:t>
            </w:r>
            <w:bookmarkStart w:id="1" w:name="SSDocketNo"/>
            <w:bookmarkEnd w:id="1"/>
            <w:r>
              <w:t>20250135-EI</w:t>
            </w:r>
          </w:p>
          <w:p w:rsidR="00A30631" w:rsidRDefault="00A30631" w:rsidP="00C63FCF">
            <w:pPr>
              <w:pStyle w:val="OrderBody"/>
              <w:tabs>
                <w:tab w:val="center" w:pos="4320"/>
                <w:tab w:val="right" w:pos="8640"/>
              </w:tabs>
              <w:jc w:val="left"/>
            </w:pPr>
            <w:r>
              <w:t xml:space="preserve">ORDER NO. </w:t>
            </w:r>
            <w:bookmarkStart w:id="2" w:name="OrderNo0067"/>
            <w:r w:rsidR="00B32C14">
              <w:t>PSC-2026-0067-PAA-EI</w:t>
            </w:r>
            <w:bookmarkEnd w:id="2"/>
          </w:p>
          <w:p w:rsidR="00A30631" w:rsidRDefault="00A30631" w:rsidP="00C63FCF">
            <w:pPr>
              <w:pStyle w:val="OrderBody"/>
              <w:tabs>
                <w:tab w:val="center" w:pos="4320"/>
                <w:tab w:val="right" w:pos="8640"/>
              </w:tabs>
              <w:jc w:val="left"/>
            </w:pPr>
            <w:r>
              <w:t xml:space="preserve">ISSUED: </w:t>
            </w:r>
            <w:r w:rsidR="00B32C14">
              <w:t>March 19, 2026</w:t>
            </w:r>
          </w:p>
        </w:tc>
      </w:tr>
    </w:tbl>
    <w:p w:rsidR="00A30631" w:rsidRDefault="00A30631" w:rsidP="00A30631"/>
    <w:p w:rsidR="00CB5276" w:rsidRDefault="00D611DF" w:rsidP="00A30631">
      <w:r>
        <w:t xml:space="preserve"> </w:t>
      </w:r>
    </w:p>
    <w:p w:rsidR="00A30631" w:rsidRPr="008D1D5C" w:rsidRDefault="00A30631"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A30631" w:rsidRPr="008D1D5C" w:rsidRDefault="00A30631" w:rsidP="008D1D5C">
      <w:pPr>
        <w:spacing w:line="276" w:lineRule="auto"/>
        <w:jc w:val="center"/>
        <w:rPr>
          <w:rFonts w:eastAsiaTheme="minorHAnsi" w:cstheme="minorBidi"/>
          <w:szCs w:val="22"/>
        </w:rPr>
      </w:pPr>
    </w:p>
    <w:p w:rsidR="00A30631" w:rsidRPr="008D1D5C" w:rsidRDefault="00A30631"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rsidR="00A30631" w:rsidRPr="008D1D5C" w:rsidRDefault="00A30631" w:rsidP="008D1D5C">
      <w:pPr>
        <w:spacing w:line="276" w:lineRule="auto"/>
        <w:jc w:val="center"/>
        <w:rPr>
          <w:rFonts w:eastAsiaTheme="minorHAnsi" w:cstheme="minorBidi"/>
          <w:szCs w:val="22"/>
        </w:rPr>
      </w:pPr>
      <w:r>
        <w:rPr>
          <w:rFonts w:eastAsiaTheme="minorHAnsi" w:cstheme="minorBidi"/>
          <w:szCs w:val="22"/>
        </w:rPr>
        <w:t>GARY F. CLARK</w:t>
      </w:r>
    </w:p>
    <w:p w:rsidR="00A30631" w:rsidRPr="008D1D5C" w:rsidRDefault="00A30631" w:rsidP="008D1D5C">
      <w:pPr>
        <w:spacing w:line="276" w:lineRule="auto"/>
        <w:jc w:val="center"/>
        <w:rPr>
          <w:rFonts w:eastAsiaTheme="minorHAnsi" w:cstheme="minorBidi"/>
          <w:szCs w:val="22"/>
        </w:rPr>
      </w:pPr>
      <w:r>
        <w:rPr>
          <w:rFonts w:eastAsiaTheme="minorHAnsi" w:cstheme="minorBidi"/>
          <w:szCs w:val="22"/>
        </w:rPr>
        <w:t>MIKE LA ROSA</w:t>
      </w:r>
    </w:p>
    <w:p w:rsidR="00A30631" w:rsidRPr="008D1D5C" w:rsidRDefault="00A30631" w:rsidP="008D1D5C">
      <w:pPr>
        <w:spacing w:line="276" w:lineRule="auto"/>
        <w:jc w:val="center"/>
        <w:rPr>
          <w:rFonts w:eastAsiaTheme="minorHAnsi" w:cstheme="minorBidi"/>
          <w:szCs w:val="22"/>
        </w:rPr>
      </w:pPr>
      <w:r>
        <w:rPr>
          <w:rFonts w:eastAsiaTheme="minorHAnsi" w:cstheme="minorBidi"/>
          <w:szCs w:val="22"/>
        </w:rPr>
        <w:t>BOBBY PAYNE</w:t>
      </w:r>
    </w:p>
    <w:p w:rsidR="00A30631" w:rsidRPr="008D1D5C" w:rsidRDefault="00A30631" w:rsidP="008D1D5C">
      <w:pPr>
        <w:spacing w:line="276" w:lineRule="auto"/>
        <w:jc w:val="center"/>
        <w:rPr>
          <w:rFonts w:eastAsiaTheme="minorHAnsi" w:cstheme="minorBidi"/>
          <w:szCs w:val="22"/>
        </w:rPr>
      </w:pPr>
      <w:r>
        <w:rPr>
          <w:rFonts w:eastAsiaTheme="minorHAnsi" w:cstheme="minorBidi"/>
          <w:szCs w:val="22"/>
        </w:rPr>
        <w:t>ANA ORTEGA</w:t>
      </w:r>
    </w:p>
    <w:p w:rsidR="00A30631" w:rsidRDefault="00A30631" w:rsidP="00A30631">
      <w:pPr>
        <w:pStyle w:val="OrderBody"/>
      </w:pPr>
    </w:p>
    <w:bookmarkStart w:id="4" w:name="OrderText"/>
    <w:bookmarkEnd w:id="4"/>
    <w:p w:rsidR="00A30631" w:rsidRPr="003E4B2D" w:rsidRDefault="00A3063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A32F7" w:rsidRDefault="00A30631">
      <w:pPr>
        <w:pStyle w:val="OrderBody"/>
        <w:jc w:val="center"/>
        <w:rPr>
          <w:u w:val="single"/>
        </w:rPr>
      </w:pPr>
      <w:r w:rsidRPr="003E4B2D">
        <w:rPr>
          <w:u w:val="single"/>
        </w:rPr>
        <w:t>ORDER</w:t>
      </w:r>
      <w:bookmarkStart w:id="5" w:name="OrderTitle"/>
      <w:r w:rsidR="00561282">
        <w:rPr>
          <w:u w:val="single"/>
        </w:rPr>
        <w:t xml:space="preserve"> APPROVING </w:t>
      </w:r>
      <w:r w:rsidR="003A32F7">
        <w:rPr>
          <w:u w:val="single"/>
        </w:rPr>
        <w:t>TAMPA ELECTRIC COMPANY’S</w:t>
      </w:r>
      <w:r w:rsidR="00382044">
        <w:rPr>
          <w:u w:val="single"/>
        </w:rPr>
        <w:t xml:space="preserve"> NEW ENVIRONMENTAL</w:t>
      </w:r>
    </w:p>
    <w:p w:rsidR="00382044" w:rsidRDefault="00382044">
      <w:pPr>
        <w:pStyle w:val="OrderBody"/>
        <w:jc w:val="center"/>
        <w:rPr>
          <w:u w:val="single"/>
        </w:rPr>
      </w:pPr>
      <w:r>
        <w:rPr>
          <w:u w:val="single"/>
        </w:rPr>
        <w:t xml:space="preserve">PROGRAM </w:t>
      </w:r>
      <w:r w:rsidR="00561282">
        <w:rPr>
          <w:u w:val="single"/>
        </w:rPr>
        <w:t xml:space="preserve">MANATEE </w:t>
      </w:r>
      <w:r w:rsidR="003A32F7">
        <w:rPr>
          <w:u w:val="single"/>
        </w:rPr>
        <w:t xml:space="preserve">PROTECTION </w:t>
      </w:r>
      <w:r w:rsidR="00561282">
        <w:rPr>
          <w:u w:val="single"/>
        </w:rPr>
        <w:t>STUDY</w:t>
      </w:r>
      <w:r w:rsidR="003A32F7">
        <w:rPr>
          <w:u w:val="single"/>
        </w:rPr>
        <w:t xml:space="preserve"> </w:t>
      </w:r>
      <w:r w:rsidR="00561282">
        <w:rPr>
          <w:u w:val="single"/>
        </w:rPr>
        <w:t>FOR COST</w:t>
      </w:r>
      <w:r w:rsidR="003A32F7">
        <w:rPr>
          <w:u w:val="single"/>
        </w:rPr>
        <w:t xml:space="preserve"> </w:t>
      </w:r>
      <w:r w:rsidR="00561282">
        <w:rPr>
          <w:u w:val="single"/>
        </w:rPr>
        <w:t>RECOVERY</w:t>
      </w:r>
    </w:p>
    <w:p w:rsidR="00A30631" w:rsidRPr="003E4B2D" w:rsidRDefault="00561282">
      <w:pPr>
        <w:pStyle w:val="OrderBody"/>
        <w:jc w:val="center"/>
        <w:rPr>
          <w:u w:val="single"/>
        </w:rPr>
      </w:pPr>
      <w:r>
        <w:rPr>
          <w:u w:val="single"/>
        </w:rPr>
        <w:t xml:space="preserve">THROUGH </w:t>
      </w:r>
      <w:r w:rsidR="00956547">
        <w:rPr>
          <w:u w:val="single"/>
        </w:rPr>
        <w:t>THE ENVIRONMENTAL</w:t>
      </w:r>
      <w:r>
        <w:rPr>
          <w:u w:val="single"/>
        </w:rPr>
        <w:t xml:space="preserve"> COST RECOVERY CLAUSE</w:t>
      </w:r>
      <w:r w:rsidR="00A30631">
        <w:rPr>
          <w:u w:val="single"/>
        </w:rPr>
        <w:t xml:space="preserve"> </w:t>
      </w:r>
      <w:bookmarkEnd w:id="5"/>
    </w:p>
    <w:p w:rsidR="00A30631" w:rsidRPr="003E4B2D" w:rsidRDefault="00A30631">
      <w:pPr>
        <w:pStyle w:val="OrderBody"/>
      </w:pPr>
    </w:p>
    <w:p w:rsidR="00A30631" w:rsidRPr="003E4B2D" w:rsidRDefault="00A30631">
      <w:pPr>
        <w:pStyle w:val="OrderBody"/>
      </w:pPr>
    </w:p>
    <w:p w:rsidR="00A30631" w:rsidRPr="003E4B2D" w:rsidRDefault="00A30631">
      <w:pPr>
        <w:pStyle w:val="OrderBody"/>
      </w:pPr>
      <w:r w:rsidRPr="003E4B2D">
        <w:t>BY THE COMMISSION:</w:t>
      </w:r>
    </w:p>
    <w:p w:rsidR="00A30631" w:rsidRPr="003E4B2D" w:rsidRDefault="00A30631">
      <w:pPr>
        <w:pStyle w:val="OrderBody"/>
      </w:pPr>
    </w:p>
    <w:p w:rsidR="00A30631" w:rsidRDefault="00A3063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Pr="00561282" w:rsidRDefault="00CB5276" w:rsidP="00A30631"/>
    <w:p w:rsidR="00577591" w:rsidRPr="004D5FDB" w:rsidRDefault="00577591" w:rsidP="00577591">
      <w:pPr>
        <w:pStyle w:val="RecommendationMajorSectionHeading"/>
        <w:rPr>
          <w:rFonts w:ascii="Times New Roman" w:hAnsi="Times New Roman" w:cs="Times New Roman"/>
          <w:b w:val="0"/>
          <w:u w:val="single"/>
        </w:rPr>
      </w:pPr>
      <w:r w:rsidRPr="004D5FDB">
        <w:rPr>
          <w:rFonts w:ascii="Times New Roman" w:hAnsi="Times New Roman" w:cs="Times New Roman"/>
          <w:b w:val="0"/>
          <w:u w:val="single"/>
        </w:rPr>
        <w:t>Background</w:t>
      </w:r>
      <w:r w:rsidRPr="004D5FDB">
        <w:rPr>
          <w:rFonts w:ascii="Times New Roman" w:hAnsi="Times New Roman" w:cs="Times New Roman"/>
          <w:b w:val="0"/>
          <w:u w:val="single"/>
        </w:rPr>
        <w:fldChar w:fldCharType="begin"/>
      </w:r>
      <w:r w:rsidRPr="004D5FDB">
        <w:rPr>
          <w:rFonts w:ascii="Times New Roman" w:hAnsi="Times New Roman" w:cs="Times New Roman"/>
          <w:b w:val="0"/>
          <w:u w:val="single"/>
        </w:rPr>
        <w:instrText xml:space="preserve"> TC  "</w:instrText>
      </w:r>
      <w:r w:rsidRPr="004D5FDB">
        <w:rPr>
          <w:rFonts w:ascii="Times New Roman" w:hAnsi="Times New Roman" w:cs="Times New Roman"/>
          <w:b w:val="0"/>
          <w:u w:val="single"/>
        </w:rPr>
        <w:tab/>
      </w:r>
      <w:bookmarkStart w:id="6" w:name="_Toc94516455"/>
      <w:r w:rsidRPr="004D5FDB">
        <w:rPr>
          <w:rFonts w:ascii="Times New Roman" w:hAnsi="Times New Roman" w:cs="Times New Roman"/>
          <w:b w:val="0"/>
          <w:u w:val="single"/>
        </w:rPr>
        <w:instrText>Case Background</w:instrText>
      </w:r>
      <w:bookmarkEnd w:id="6"/>
      <w:r w:rsidRPr="004D5FDB">
        <w:rPr>
          <w:rFonts w:ascii="Times New Roman" w:hAnsi="Times New Roman" w:cs="Times New Roman"/>
          <w:b w:val="0"/>
          <w:u w:val="single"/>
        </w:rPr>
        <w:instrText xml:space="preserve">" \l 1 </w:instrText>
      </w:r>
      <w:r w:rsidRPr="004D5FDB">
        <w:rPr>
          <w:rFonts w:ascii="Times New Roman" w:hAnsi="Times New Roman" w:cs="Times New Roman"/>
          <w:b w:val="0"/>
          <w:u w:val="single"/>
        </w:rPr>
        <w:fldChar w:fldCharType="end"/>
      </w:r>
    </w:p>
    <w:p w:rsidR="00577591" w:rsidRDefault="00577591" w:rsidP="00561282">
      <w:pPr>
        <w:ind w:firstLine="720"/>
        <w:jc w:val="both"/>
        <w:rPr>
          <w:rFonts w:eastAsiaTheme="minorHAnsi" w:cstheme="minorBidi"/>
          <w:szCs w:val="22"/>
        </w:rPr>
      </w:pPr>
      <w:r w:rsidRPr="002051AB">
        <w:rPr>
          <w:rFonts w:eastAsiaTheme="minorHAnsi" w:cstheme="minorBidi"/>
          <w:szCs w:val="22"/>
        </w:rPr>
        <w:t xml:space="preserve">On November 7, 2025, Tampa Electric Company (TECO or </w:t>
      </w:r>
      <w:r>
        <w:rPr>
          <w:rFonts w:eastAsiaTheme="minorHAnsi" w:cstheme="minorBidi"/>
          <w:szCs w:val="22"/>
        </w:rPr>
        <w:t>C</w:t>
      </w:r>
      <w:r w:rsidRPr="002051AB">
        <w:rPr>
          <w:rFonts w:eastAsiaTheme="minorHAnsi" w:cstheme="minorBidi"/>
          <w:szCs w:val="22"/>
        </w:rPr>
        <w:t xml:space="preserve">ompany) petitioned the Florida Public Service Commission (Commission) for approval of </w:t>
      </w:r>
      <w:r w:rsidR="007F4C77">
        <w:rPr>
          <w:rFonts w:eastAsiaTheme="minorHAnsi" w:cstheme="minorBidi"/>
          <w:szCs w:val="22"/>
        </w:rPr>
        <w:t>a new environmental program, known as the</w:t>
      </w:r>
      <w:r w:rsidRPr="002051AB">
        <w:rPr>
          <w:rFonts w:eastAsiaTheme="minorHAnsi" w:cstheme="minorBidi"/>
          <w:szCs w:val="22"/>
        </w:rPr>
        <w:t xml:space="preserve"> Manatee Protection Study (Study)</w:t>
      </w:r>
      <w:r w:rsidR="007F4C77">
        <w:rPr>
          <w:rFonts w:eastAsiaTheme="minorHAnsi" w:cstheme="minorBidi"/>
          <w:szCs w:val="22"/>
        </w:rPr>
        <w:t>,</w:t>
      </w:r>
      <w:r w:rsidRPr="002051AB">
        <w:rPr>
          <w:rFonts w:eastAsiaTheme="minorHAnsi" w:cstheme="minorBidi"/>
          <w:szCs w:val="22"/>
        </w:rPr>
        <w:t xml:space="preserve"> for cost recovery through the Environmental Cost Recovery Clause (ECRC). TECO states</w:t>
      </w:r>
      <w:r>
        <w:rPr>
          <w:rFonts w:eastAsiaTheme="minorHAnsi" w:cstheme="minorBidi"/>
          <w:szCs w:val="22"/>
        </w:rPr>
        <w:t xml:space="preserve"> that</w:t>
      </w:r>
      <w:r w:rsidRPr="002051AB">
        <w:rPr>
          <w:rFonts w:eastAsiaTheme="minorHAnsi" w:cstheme="minorBidi"/>
          <w:szCs w:val="22"/>
        </w:rPr>
        <w:t xml:space="preserve"> the Study is required to maintain compliance with its Manatee Protection Plan, </w:t>
      </w:r>
      <w:r>
        <w:rPr>
          <w:rFonts w:eastAsiaTheme="minorHAnsi" w:cstheme="minorBidi"/>
          <w:szCs w:val="22"/>
        </w:rPr>
        <w:t>and should be</w:t>
      </w:r>
      <w:r w:rsidRPr="002051AB">
        <w:rPr>
          <w:rFonts w:eastAsiaTheme="minorHAnsi" w:cstheme="minorBidi"/>
          <w:szCs w:val="22"/>
        </w:rPr>
        <w:t xml:space="preserve"> complete</w:t>
      </w:r>
      <w:r>
        <w:rPr>
          <w:rFonts w:eastAsiaTheme="minorHAnsi" w:cstheme="minorBidi"/>
          <w:szCs w:val="22"/>
        </w:rPr>
        <w:t>d</w:t>
      </w:r>
      <w:r w:rsidRPr="002051AB">
        <w:rPr>
          <w:rFonts w:eastAsiaTheme="minorHAnsi" w:cstheme="minorBidi"/>
          <w:szCs w:val="22"/>
        </w:rPr>
        <w:t xml:space="preserve"> by </w:t>
      </w:r>
      <w:r>
        <w:rPr>
          <w:rFonts w:eastAsiaTheme="minorHAnsi" w:cstheme="minorBidi"/>
          <w:szCs w:val="22"/>
        </w:rPr>
        <w:t>October</w:t>
      </w:r>
      <w:r w:rsidRPr="002051AB">
        <w:rPr>
          <w:rFonts w:eastAsiaTheme="minorHAnsi" w:cstheme="minorBidi"/>
          <w:szCs w:val="22"/>
        </w:rPr>
        <w:t xml:space="preserve"> 202</w:t>
      </w:r>
      <w:r>
        <w:rPr>
          <w:rFonts w:eastAsiaTheme="minorHAnsi" w:cstheme="minorBidi"/>
          <w:szCs w:val="22"/>
        </w:rPr>
        <w:t>6</w:t>
      </w:r>
      <w:r w:rsidRPr="002051AB">
        <w:rPr>
          <w:rFonts w:eastAsiaTheme="minorHAnsi" w:cstheme="minorBidi"/>
          <w:szCs w:val="22"/>
        </w:rPr>
        <w:t xml:space="preserve">. </w:t>
      </w:r>
    </w:p>
    <w:p w:rsidR="00561282" w:rsidRPr="002051AB" w:rsidRDefault="00561282" w:rsidP="00561282">
      <w:pPr>
        <w:jc w:val="both"/>
        <w:rPr>
          <w:rFonts w:eastAsiaTheme="minorHAnsi" w:cstheme="minorBidi"/>
          <w:szCs w:val="22"/>
        </w:rPr>
      </w:pPr>
    </w:p>
    <w:p w:rsidR="00577591" w:rsidRPr="002051AB" w:rsidRDefault="00577591" w:rsidP="00561282">
      <w:pPr>
        <w:spacing w:after="200"/>
        <w:ind w:firstLine="720"/>
        <w:jc w:val="both"/>
        <w:rPr>
          <w:rFonts w:eastAsiaTheme="minorHAnsi" w:cstheme="minorBidi"/>
          <w:szCs w:val="22"/>
        </w:rPr>
      </w:pPr>
      <w:r w:rsidRPr="002051AB">
        <w:rPr>
          <w:rFonts w:eastAsiaTheme="minorHAnsi" w:cstheme="minorBidi"/>
          <w:szCs w:val="22"/>
        </w:rPr>
        <w:t>The National Pollutant Discharge Elimination System (NPDES) program is administered by the Florida Department of Environmental Protection (DEP) within the state</w:t>
      </w:r>
      <w:r w:rsidR="00B12E71">
        <w:rPr>
          <w:rFonts w:eastAsiaTheme="minorHAnsi" w:cstheme="minorBidi"/>
          <w:szCs w:val="22"/>
        </w:rPr>
        <w:t xml:space="preserve">. </w:t>
      </w:r>
      <w:r w:rsidRPr="002051AB">
        <w:rPr>
          <w:rFonts w:eastAsiaTheme="minorHAnsi" w:cstheme="minorBidi"/>
          <w:szCs w:val="22"/>
        </w:rPr>
        <w:t>TECO was issued an updated NPDES permit on August 27, 2025. NPDES permits prescribe requirements and limits to cooling water discharges to surface waters. Additionally, this permit requires TECO to maintain compliance with its Manatee Protection Plan approved by the DEP. Specifically, TECO</w:t>
      </w:r>
      <w:r>
        <w:rPr>
          <w:rFonts w:eastAsiaTheme="minorHAnsi" w:cstheme="minorBidi"/>
          <w:szCs w:val="22"/>
        </w:rPr>
        <w:t xml:space="preserve"> </w:t>
      </w:r>
      <w:r w:rsidRPr="002051AB">
        <w:rPr>
          <w:rFonts w:eastAsiaTheme="minorHAnsi" w:cstheme="minorBidi"/>
          <w:szCs w:val="22"/>
        </w:rPr>
        <w:t xml:space="preserve">must maintain minimum discharge temperatures of the outflow water from its Big Bend Power Station </w:t>
      </w:r>
      <w:r w:rsidRPr="002051AB">
        <w:rPr>
          <w:rFonts w:eastAsiaTheme="minorHAnsi"/>
          <w:szCs w:val="22"/>
        </w:rPr>
        <w:t xml:space="preserve">(Big Bend) </w:t>
      </w:r>
      <w:r w:rsidRPr="002051AB">
        <w:rPr>
          <w:rFonts w:eastAsiaTheme="minorHAnsi" w:cstheme="minorBidi"/>
          <w:szCs w:val="22"/>
        </w:rPr>
        <w:t>from November 15 through March 31 each year.</w:t>
      </w:r>
    </w:p>
    <w:p w:rsidR="00A30631" w:rsidRDefault="00577591" w:rsidP="00561282">
      <w:pPr>
        <w:ind w:firstLine="720"/>
        <w:jc w:val="both"/>
        <w:rPr>
          <w:rFonts w:eastAsiaTheme="minorHAnsi" w:cstheme="minorBidi"/>
          <w:szCs w:val="22"/>
        </w:rPr>
      </w:pPr>
      <w:r w:rsidRPr="002051AB">
        <w:rPr>
          <w:rFonts w:eastAsiaTheme="minorHAnsi" w:cstheme="minorBidi"/>
          <w:szCs w:val="22"/>
        </w:rPr>
        <w:lastRenderedPageBreak/>
        <w:t xml:space="preserve">Pursuant to Section 366.8255, Florida Statutes (F.S.), the Florida Legislature authorized the recovery of </w:t>
      </w:r>
      <w:r w:rsidRPr="00707717">
        <w:rPr>
          <w:rFonts w:eastAsiaTheme="minorHAnsi" w:cstheme="minorBidi"/>
          <w:szCs w:val="22"/>
        </w:rPr>
        <w:t xml:space="preserve">environmental compliance costs </w:t>
      </w:r>
      <w:r w:rsidRPr="002051AB">
        <w:rPr>
          <w:rFonts w:eastAsiaTheme="minorHAnsi" w:cstheme="minorBidi"/>
          <w:szCs w:val="22"/>
        </w:rPr>
        <w:t xml:space="preserve">prudently incurred </w:t>
      </w:r>
      <w:r>
        <w:rPr>
          <w:rFonts w:eastAsiaTheme="minorHAnsi" w:cstheme="minorBidi"/>
          <w:szCs w:val="22"/>
        </w:rPr>
        <w:t xml:space="preserve">by </w:t>
      </w:r>
      <w:r w:rsidRPr="002051AB">
        <w:rPr>
          <w:rFonts w:eastAsiaTheme="minorHAnsi" w:cstheme="minorBidi"/>
          <w:szCs w:val="22"/>
        </w:rPr>
        <w:t xml:space="preserve">investor-owned electric </w:t>
      </w:r>
      <w:r w:rsidRPr="00707717">
        <w:rPr>
          <w:rFonts w:eastAsiaTheme="minorHAnsi" w:cstheme="minorBidi"/>
          <w:szCs w:val="22"/>
        </w:rPr>
        <w:t>utilit</w:t>
      </w:r>
      <w:r>
        <w:rPr>
          <w:rFonts w:eastAsiaTheme="minorHAnsi" w:cstheme="minorBidi"/>
          <w:szCs w:val="22"/>
        </w:rPr>
        <w:t>ies</w:t>
      </w:r>
      <w:r w:rsidRPr="00707717">
        <w:rPr>
          <w:rFonts w:eastAsiaTheme="minorHAnsi" w:cstheme="minorBidi"/>
          <w:szCs w:val="22"/>
        </w:rPr>
        <w:t xml:space="preserve"> </w:t>
      </w:r>
      <w:r w:rsidRPr="002051AB">
        <w:rPr>
          <w:rFonts w:eastAsiaTheme="minorHAnsi" w:cstheme="minorBidi"/>
          <w:szCs w:val="22"/>
        </w:rPr>
        <w:t>through the ECRC. The method for cost recovery for such costs was first established by Order No. PSC-94-0044-FOF-EI, issued on January 12, 1994.</w:t>
      </w:r>
      <w:r w:rsidRPr="002051AB">
        <w:rPr>
          <w:rFonts w:eastAsiaTheme="minorHAnsi" w:cstheme="minorBidi"/>
          <w:szCs w:val="22"/>
          <w:vertAlign w:val="superscript"/>
        </w:rPr>
        <w:footnoteReference w:id="1"/>
      </w:r>
      <w:r w:rsidRPr="002051AB">
        <w:rPr>
          <w:rFonts w:eastAsiaTheme="minorHAnsi" w:cstheme="minorBidi"/>
          <w:szCs w:val="22"/>
        </w:rPr>
        <w:t xml:space="preserve"> </w:t>
      </w:r>
      <w:r w:rsidR="00B12E71">
        <w:rPr>
          <w:rFonts w:eastAsiaTheme="minorHAnsi" w:cstheme="minorBidi"/>
          <w:szCs w:val="22"/>
        </w:rPr>
        <w:t>We have</w:t>
      </w:r>
      <w:r w:rsidRPr="002051AB">
        <w:rPr>
          <w:rFonts w:eastAsiaTheme="minorHAnsi" w:cstheme="minorBidi"/>
          <w:szCs w:val="22"/>
        </w:rPr>
        <w:t xml:space="preserve"> jurisdiction over this matter pursuant to Section 366.8255, F.S</w:t>
      </w:r>
      <w:r>
        <w:rPr>
          <w:rFonts w:eastAsiaTheme="minorHAnsi" w:cstheme="minorBidi"/>
          <w:szCs w:val="22"/>
        </w:rPr>
        <w:t>.</w:t>
      </w:r>
    </w:p>
    <w:p w:rsidR="00577591" w:rsidRDefault="00577591" w:rsidP="00577591">
      <w:pPr>
        <w:jc w:val="both"/>
        <w:rPr>
          <w:rFonts w:eastAsiaTheme="minorHAnsi" w:cstheme="minorBidi"/>
          <w:szCs w:val="22"/>
        </w:rPr>
      </w:pPr>
    </w:p>
    <w:p w:rsidR="00577591" w:rsidRPr="004D5FDB" w:rsidRDefault="003A32F7" w:rsidP="00855325">
      <w:pPr>
        <w:pStyle w:val="BodyText"/>
        <w:spacing w:after="0"/>
        <w:jc w:val="center"/>
        <w:rPr>
          <w:u w:val="single"/>
        </w:rPr>
      </w:pPr>
      <w:r>
        <w:rPr>
          <w:u w:val="single"/>
        </w:rPr>
        <w:t>Decision</w:t>
      </w:r>
    </w:p>
    <w:p w:rsidR="003D65CE" w:rsidRPr="003D65CE" w:rsidRDefault="003D65CE" w:rsidP="003D65CE">
      <w:pPr>
        <w:pStyle w:val="BodyText"/>
        <w:spacing w:after="0"/>
        <w:jc w:val="both"/>
        <w:rPr>
          <w:u w:val="single"/>
        </w:rPr>
      </w:pPr>
    </w:p>
    <w:p w:rsidR="00577591" w:rsidRDefault="00577591" w:rsidP="003D65CE">
      <w:pPr>
        <w:ind w:firstLine="720"/>
        <w:jc w:val="both"/>
        <w:rPr>
          <w:rFonts w:eastAsiaTheme="minorHAnsi"/>
          <w:szCs w:val="22"/>
        </w:rPr>
      </w:pPr>
      <w:r w:rsidRPr="002051AB">
        <w:rPr>
          <w:rFonts w:eastAsiaTheme="minorHAnsi"/>
          <w:szCs w:val="22"/>
        </w:rPr>
        <w:t>TECO’s Big Bend</w:t>
      </w:r>
      <w:r>
        <w:rPr>
          <w:rFonts w:eastAsiaTheme="minorHAnsi"/>
          <w:szCs w:val="22"/>
        </w:rPr>
        <w:t xml:space="preserve"> Power Station</w:t>
      </w:r>
      <w:r w:rsidRPr="002051AB">
        <w:rPr>
          <w:rFonts w:eastAsiaTheme="minorHAnsi"/>
          <w:szCs w:val="22"/>
        </w:rPr>
        <w:t xml:space="preserve"> is located in Hillsborough County, along the shores of Hillsborough Bay. Big Bend originally consisted of four coal-fired generating units. TECO has since repowered Unit 1 to a natural gas-fired combined cycle unit consisting of two combustion turbines and two heat recovery steam generators. TECO retired Unit 2 in November 2021</w:t>
      </w:r>
      <w:r>
        <w:rPr>
          <w:rFonts w:eastAsiaTheme="minorHAnsi"/>
          <w:szCs w:val="22"/>
        </w:rPr>
        <w:t>,</w:t>
      </w:r>
      <w:r w:rsidRPr="002051AB">
        <w:rPr>
          <w:rFonts w:eastAsiaTheme="minorHAnsi"/>
          <w:szCs w:val="22"/>
        </w:rPr>
        <w:t xml:space="preserve"> and Unit 3 in April 2022</w:t>
      </w:r>
      <w:r w:rsidR="00B12E71">
        <w:rPr>
          <w:rFonts w:eastAsiaTheme="minorHAnsi"/>
          <w:szCs w:val="22"/>
        </w:rPr>
        <w:t xml:space="preserve">. </w:t>
      </w:r>
      <w:r w:rsidRPr="002051AB" w:rsidDel="001C5120">
        <w:rPr>
          <w:rFonts w:eastAsiaTheme="minorHAnsi"/>
          <w:szCs w:val="22"/>
        </w:rPr>
        <w:t>Unit 4 is a steam turbine that can be fired with coal or natural gas.</w:t>
      </w:r>
    </w:p>
    <w:p w:rsidR="00577591" w:rsidRPr="002051AB" w:rsidRDefault="00577591" w:rsidP="00577591">
      <w:pPr>
        <w:jc w:val="both"/>
        <w:rPr>
          <w:rFonts w:eastAsiaTheme="minorHAnsi"/>
          <w:szCs w:val="22"/>
        </w:rPr>
      </w:pPr>
    </w:p>
    <w:p w:rsidR="00577591" w:rsidRDefault="00577591" w:rsidP="00A94654">
      <w:pPr>
        <w:ind w:firstLine="720"/>
        <w:jc w:val="both"/>
        <w:rPr>
          <w:rFonts w:eastAsiaTheme="minorHAnsi"/>
          <w:szCs w:val="22"/>
        </w:rPr>
      </w:pPr>
      <w:r w:rsidRPr="002051AB">
        <w:rPr>
          <w:rFonts w:eastAsiaTheme="minorHAnsi"/>
          <w:szCs w:val="22"/>
        </w:rPr>
        <w:t>Big Bend withdraws cooling water from Hillsborough Bay and discharge</w:t>
      </w:r>
      <w:r w:rsidR="003A32F7">
        <w:rPr>
          <w:rFonts w:eastAsiaTheme="minorHAnsi"/>
          <w:szCs w:val="22"/>
        </w:rPr>
        <w:t>s that water</w:t>
      </w:r>
      <w:r w:rsidRPr="002051AB">
        <w:rPr>
          <w:rFonts w:eastAsiaTheme="minorHAnsi"/>
          <w:szCs w:val="22"/>
        </w:rPr>
        <w:t xml:space="preserve"> back into the bay at a warmer temperature</w:t>
      </w:r>
      <w:r w:rsidR="00B12E71">
        <w:rPr>
          <w:rFonts w:eastAsiaTheme="minorHAnsi"/>
          <w:szCs w:val="22"/>
        </w:rPr>
        <w:t xml:space="preserve">. </w:t>
      </w:r>
      <w:r w:rsidRPr="002051AB">
        <w:rPr>
          <w:rFonts w:eastAsiaTheme="minorHAnsi"/>
          <w:szCs w:val="22"/>
        </w:rPr>
        <w:t>TECO’s NPDES permit requires the Company to “minimize disruption of warm water outflows during the winter” and “maintain discharge temperatures that will sustain manatees during cold events.” TECO’s Manatee Protection Plan specifically states the following</w:t>
      </w:r>
      <w:r>
        <w:rPr>
          <w:rFonts w:eastAsiaTheme="minorHAnsi"/>
          <w:szCs w:val="22"/>
        </w:rPr>
        <w:t>:</w:t>
      </w:r>
      <w:r w:rsidRPr="002051AB">
        <w:rPr>
          <w:rFonts w:eastAsiaTheme="minorHAnsi"/>
          <w:szCs w:val="22"/>
        </w:rPr>
        <w:t xml:space="preserve"> </w:t>
      </w:r>
    </w:p>
    <w:p w:rsidR="00A94654" w:rsidRPr="002051AB" w:rsidRDefault="00A94654" w:rsidP="00A94654">
      <w:pPr>
        <w:ind w:firstLine="720"/>
        <w:jc w:val="both"/>
        <w:rPr>
          <w:rFonts w:eastAsiaTheme="minorHAnsi"/>
          <w:szCs w:val="22"/>
        </w:rPr>
      </w:pPr>
    </w:p>
    <w:p w:rsidR="00577591" w:rsidRDefault="00577591" w:rsidP="00A94654">
      <w:pPr>
        <w:ind w:left="720" w:right="720"/>
        <w:jc w:val="both"/>
        <w:rPr>
          <w:rFonts w:eastAsiaTheme="minorHAnsi"/>
          <w:szCs w:val="22"/>
        </w:rPr>
      </w:pPr>
      <w:r w:rsidRPr="002051AB">
        <w:rPr>
          <w:rFonts w:eastAsiaTheme="minorHAnsi"/>
          <w:szCs w:val="22"/>
        </w:rPr>
        <w:t xml:space="preserve">During the period from November 15 through March 31 each year, to coincide with the time of greatest manatee abundance, if the ambient water temperature falls below 61℉, as measured at the plant intake, the TEC Big Bend plant shall reasonably endeavor to operate in a manner that maintains the water temperature above 68℉. It is understood that due to circumstances that may compromise plant safety and reliability, other regulatory compliance issues or unusual weather conditions the target temperature level may not be achieved on a continuous basis. </w:t>
      </w:r>
    </w:p>
    <w:p w:rsidR="00A94654" w:rsidRPr="002051AB" w:rsidRDefault="00A94654" w:rsidP="00A94654">
      <w:pPr>
        <w:ind w:left="720" w:right="720"/>
        <w:jc w:val="both"/>
        <w:rPr>
          <w:rFonts w:eastAsiaTheme="minorHAnsi"/>
          <w:szCs w:val="22"/>
        </w:rPr>
      </w:pPr>
    </w:p>
    <w:p w:rsidR="00577591" w:rsidRDefault="00577591" w:rsidP="00A94654">
      <w:pPr>
        <w:ind w:firstLine="720"/>
        <w:jc w:val="both"/>
        <w:rPr>
          <w:rFonts w:eastAsiaTheme="minorHAnsi" w:cstheme="minorBidi"/>
          <w:szCs w:val="22"/>
        </w:rPr>
      </w:pPr>
      <w:r w:rsidRPr="002051AB">
        <w:rPr>
          <w:rFonts w:eastAsiaTheme="minorHAnsi"/>
          <w:szCs w:val="22"/>
        </w:rPr>
        <w:t xml:space="preserve">During an 11-day period in January 2025, TECO was unable to maintain the temperature of the discharge water above the 68-degree threshold. The </w:t>
      </w:r>
      <w:r>
        <w:rPr>
          <w:rFonts w:eastAsiaTheme="minorHAnsi"/>
          <w:szCs w:val="22"/>
        </w:rPr>
        <w:t>C</w:t>
      </w:r>
      <w:r w:rsidRPr="002051AB">
        <w:rPr>
          <w:rFonts w:eastAsiaTheme="minorHAnsi"/>
          <w:szCs w:val="22"/>
        </w:rPr>
        <w:t xml:space="preserve">ompany attributes this to the operational changes at Big Bend discussed above. While these operational changes increased the efficiency of Big Bend, </w:t>
      </w:r>
      <w:r w:rsidR="003A32F7">
        <w:rPr>
          <w:rFonts w:eastAsiaTheme="minorHAnsi"/>
          <w:szCs w:val="22"/>
        </w:rPr>
        <w:t>they have</w:t>
      </w:r>
      <w:r w:rsidRPr="002051AB">
        <w:rPr>
          <w:rFonts w:eastAsiaTheme="minorHAnsi"/>
          <w:szCs w:val="22"/>
        </w:rPr>
        <w:t xml:space="preserve"> lowered the temperature of the discharge water exiting the facility. </w:t>
      </w:r>
      <w:r w:rsidRPr="002051AB">
        <w:rPr>
          <w:rFonts w:eastAsiaTheme="minorHAnsi" w:cstheme="minorBidi"/>
          <w:szCs w:val="22"/>
        </w:rPr>
        <w:t xml:space="preserve">Based on the weather conditions experienced at Big Bend in January 2025, TECO determined it is necessary to conduct a study to evaluate options for maintaining discharge water temperatures above 68 degrees during the specified timeframe, and thus, compliance with its Manatee Protection Plan and NDPES permit. </w:t>
      </w:r>
    </w:p>
    <w:p w:rsidR="00A94654" w:rsidRPr="002051AB" w:rsidRDefault="00A94654" w:rsidP="00A94654">
      <w:pPr>
        <w:ind w:firstLine="720"/>
        <w:jc w:val="both"/>
        <w:rPr>
          <w:rFonts w:eastAsiaTheme="minorHAnsi" w:cstheme="minorBidi"/>
          <w:szCs w:val="22"/>
        </w:rPr>
      </w:pPr>
    </w:p>
    <w:p w:rsidR="00577591" w:rsidRDefault="00577591" w:rsidP="00A94654">
      <w:pPr>
        <w:spacing w:line="276" w:lineRule="auto"/>
        <w:ind w:firstLine="720"/>
        <w:jc w:val="both"/>
        <w:rPr>
          <w:rFonts w:eastAsiaTheme="minorHAnsi" w:cstheme="minorBidi"/>
          <w:szCs w:val="22"/>
        </w:rPr>
      </w:pPr>
      <w:r w:rsidRPr="002051AB">
        <w:rPr>
          <w:rFonts w:eastAsiaTheme="minorHAnsi" w:cstheme="minorBidi"/>
          <w:szCs w:val="22"/>
        </w:rPr>
        <w:t>TECO explained that the Study will consist of the following:</w:t>
      </w:r>
    </w:p>
    <w:p w:rsidR="00A94654" w:rsidRPr="002051AB" w:rsidRDefault="00A94654" w:rsidP="00A94654">
      <w:pPr>
        <w:spacing w:line="276" w:lineRule="auto"/>
        <w:ind w:firstLine="720"/>
        <w:jc w:val="both"/>
        <w:rPr>
          <w:rFonts w:eastAsiaTheme="minorHAnsi" w:cstheme="minorBidi"/>
          <w:szCs w:val="22"/>
        </w:rPr>
      </w:pPr>
    </w:p>
    <w:p w:rsidR="00577591" w:rsidRPr="002051AB" w:rsidRDefault="00577591" w:rsidP="00577591">
      <w:pPr>
        <w:numPr>
          <w:ilvl w:val="0"/>
          <w:numId w:val="1"/>
        </w:numPr>
        <w:spacing w:after="200" w:line="276" w:lineRule="auto"/>
        <w:contextualSpacing/>
        <w:jc w:val="both"/>
        <w:rPr>
          <w:rFonts w:eastAsiaTheme="minorHAnsi" w:cstheme="minorBidi"/>
          <w:szCs w:val="22"/>
        </w:rPr>
      </w:pPr>
      <w:r w:rsidRPr="002051AB">
        <w:rPr>
          <w:rFonts w:eastAsiaTheme="minorHAnsi" w:cstheme="minorBidi"/>
          <w:szCs w:val="22"/>
        </w:rPr>
        <w:t>Reviewing historical operating data during cold-weather conditions</w:t>
      </w:r>
    </w:p>
    <w:p w:rsidR="00577591" w:rsidRPr="002051AB" w:rsidRDefault="00577591" w:rsidP="00577591">
      <w:pPr>
        <w:numPr>
          <w:ilvl w:val="0"/>
          <w:numId w:val="1"/>
        </w:numPr>
        <w:spacing w:after="200" w:line="276" w:lineRule="auto"/>
        <w:contextualSpacing/>
        <w:jc w:val="both"/>
        <w:rPr>
          <w:rFonts w:eastAsiaTheme="minorHAnsi" w:cstheme="minorBidi"/>
          <w:szCs w:val="22"/>
        </w:rPr>
      </w:pPr>
      <w:r w:rsidRPr="002051AB">
        <w:rPr>
          <w:rFonts w:eastAsiaTheme="minorHAnsi" w:cstheme="minorBidi"/>
          <w:szCs w:val="22"/>
        </w:rPr>
        <w:t>Evaluating Big Bend’s thermal discharge characteristics</w:t>
      </w:r>
    </w:p>
    <w:p w:rsidR="00577591" w:rsidRDefault="00577591" w:rsidP="00577591">
      <w:pPr>
        <w:numPr>
          <w:ilvl w:val="0"/>
          <w:numId w:val="1"/>
        </w:numPr>
        <w:spacing w:after="200" w:line="276" w:lineRule="auto"/>
        <w:contextualSpacing/>
        <w:jc w:val="both"/>
        <w:rPr>
          <w:rFonts w:eastAsiaTheme="minorHAnsi" w:cstheme="minorBidi"/>
          <w:szCs w:val="22"/>
        </w:rPr>
      </w:pPr>
      <w:r w:rsidRPr="002051AB">
        <w:rPr>
          <w:rFonts w:eastAsiaTheme="minorHAnsi" w:cstheme="minorBidi"/>
          <w:szCs w:val="22"/>
        </w:rPr>
        <w:lastRenderedPageBreak/>
        <w:t>Identifying physical or operational changes that will allow the Company to maintain discharge canal temperatures compliant with its NPDES permit</w:t>
      </w:r>
    </w:p>
    <w:p w:rsidR="00577591" w:rsidRPr="00577591" w:rsidRDefault="00577591" w:rsidP="00577591">
      <w:pPr>
        <w:numPr>
          <w:ilvl w:val="0"/>
          <w:numId w:val="1"/>
        </w:numPr>
        <w:spacing w:after="200" w:line="276" w:lineRule="auto"/>
        <w:contextualSpacing/>
        <w:jc w:val="both"/>
        <w:rPr>
          <w:rFonts w:eastAsiaTheme="minorHAnsi" w:cstheme="minorBidi"/>
          <w:szCs w:val="22"/>
        </w:rPr>
      </w:pPr>
      <w:r w:rsidRPr="00577591">
        <w:rPr>
          <w:rFonts w:eastAsiaTheme="minorHAnsi" w:cstheme="minorBidi"/>
          <w:szCs w:val="22"/>
        </w:rPr>
        <w:t>Preparing a technical report that summarizes the findings and recommendations</w:t>
      </w:r>
    </w:p>
    <w:p w:rsidR="00577591" w:rsidRDefault="00577591" w:rsidP="00577591">
      <w:pPr>
        <w:jc w:val="both"/>
        <w:rPr>
          <w:rFonts w:eastAsiaTheme="minorHAnsi" w:cstheme="minorBidi"/>
          <w:szCs w:val="22"/>
        </w:rPr>
      </w:pPr>
    </w:p>
    <w:p w:rsidR="00577591" w:rsidRDefault="00577591" w:rsidP="00A94654">
      <w:pPr>
        <w:ind w:firstLine="720"/>
        <w:jc w:val="both"/>
        <w:rPr>
          <w:rFonts w:eastAsiaTheme="minorHAnsi" w:cstheme="minorBidi"/>
          <w:szCs w:val="22"/>
        </w:rPr>
      </w:pPr>
      <w:r w:rsidRPr="002051AB">
        <w:rPr>
          <w:rFonts w:eastAsiaTheme="minorHAnsi" w:cstheme="minorBidi"/>
          <w:szCs w:val="22"/>
        </w:rPr>
        <w:t xml:space="preserve">TECO solicited bids for the study and stated that four responses were received. </w:t>
      </w:r>
      <w:r>
        <w:rPr>
          <w:rFonts w:eastAsiaTheme="minorHAnsi" w:cstheme="minorBidi"/>
          <w:szCs w:val="22"/>
        </w:rPr>
        <w:t>T</w:t>
      </w:r>
      <w:r w:rsidRPr="002051AB">
        <w:rPr>
          <w:rFonts w:eastAsiaTheme="minorHAnsi" w:cstheme="minorBidi"/>
          <w:szCs w:val="22"/>
        </w:rPr>
        <w:t xml:space="preserve">he Company selected Burns &amp; McDonnell based on their experience with Big Bend and other large power generating facilities, technical expertise in thermal systems, and proven safety record. TECO estimates that the Study will cost $450,000 and anticipates it completion by </w:t>
      </w:r>
      <w:r>
        <w:rPr>
          <w:rFonts w:eastAsiaTheme="minorHAnsi" w:cstheme="minorBidi"/>
          <w:szCs w:val="22"/>
        </w:rPr>
        <w:t>October</w:t>
      </w:r>
      <w:r w:rsidRPr="002051AB">
        <w:rPr>
          <w:rFonts w:eastAsiaTheme="minorHAnsi" w:cstheme="minorBidi"/>
          <w:szCs w:val="22"/>
        </w:rPr>
        <w:t xml:space="preserve"> 202</w:t>
      </w:r>
      <w:r>
        <w:rPr>
          <w:rFonts w:eastAsiaTheme="minorHAnsi" w:cstheme="minorBidi"/>
          <w:szCs w:val="22"/>
        </w:rPr>
        <w:t>6</w:t>
      </w:r>
      <w:r w:rsidRPr="002051AB">
        <w:rPr>
          <w:rFonts w:eastAsiaTheme="minorHAnsi" w:cstheme="minorBidi"/>
          <w:szCs w:val="22"/>
        </w:rPr>
        <w:t>. This amount</w:t>
      </w:r>
      <w:r>
        <w:rPr>
          <w:rFonts w:eastAsiaTheme="minorHAnsi" w:cstheme="minorBidi"/>
          <w:szCs w:val="22"/>
        </w:rPr>
        <w:t>, which was included in the engineering proposal from Burns &amp; McDonnell,</w:t>
      </w:r>
      <w:r w:rsidRPr="002051AB">
        <w:rPr>
          <w:rFonts w:eastAsiaTheme="minorHAnsi" w:cstheme="minorBidi"/>
          <w:szCs w:val="22"/>
        </w:rPr>
        <w:t xml:space="preserve"> </w:t>
      </w:r>
      <w:r>
        <w:rPr>
          <w:rFonts w:eastAsiaTheme="minorHAnsi" w:cstheme="minorBidi"/>
          <w:szCs w:val="22"/>
        </w:rPr>
        <w:t>wa</w:t>
      </w:r>
      <w:r w:rsidRPr="002051AB">
        <w:rPr>
          <w:rFonts w:eastAsiaTheme="minorHAnsi" w:cstheme="minorBidi"/>
          <w:szCs w:val="22"/>
        </w:rPr>
        <w:t xml:space="preserve">s derived using anticipated labor costs and comparisons to similar engineering studies at large generating facilities. </w:t>
      </w:r>
      <w:r w:rsidR="00B12E71">
        <w:rPr>
          <w:rFonts w:eastAsiaTheme="minorHAnsi" w:cstheme="minorBidi"/>
          <w:szCs w:val="22"/>
        </w:rPr>
        <w:t>We note</w:t>
      </w:r>
      <w:r>
        <w:rPr>
          <w:rFonts w:eastAsiaTheme="minorHAnsi" w:cstheme="minorBidi"/>
          <w:szCs w:val="22"/>
        </w:rPr>
        <w:t xml:space="preserve"> that Burns &amp; McDonnell was not the lowest cost bidder.</w:t>
      </w:r>
      <w:r w:rsidRPr="002051AB">
        <w:rPr>
          <w:rFonts w:eastAsiaTheme="minorHAnsi" w:cstheme="minorBidi"/>
          <w:szCs w:val="22"/>
        </w:rPr>
        <w:t xml:space="preserve"> </w:t>
      </w:r>
    </w:p>
    <w:p w:rsidR="00A94654" w:rsidRPr="002051AB" w:rsidRDefault="00A94654" w:rsidP="00A94654">
      <w:pPr>
        <w:ind w:firstLine="720"/>
        <w:jc w:val="both"/>
        <w:rPr>
          <w:rFonts w:eastAsiaTheme="minorHAnsi" w:cstheme="minorBidi"/>
          <w:szCs w:val="22"/>
        </w:rPr>
      </w:pPr>
    </w:p>
    <w:p w:rsidR="00577591" w:rsidRDefault="00855325" w:rsidP="00A94654">
      <w:pPr>
        <w:spacing w:line="276" w:lineRule="auto"/>
        <w:ind w:firstLine="720"/>
        <w:jc w:val="both"/>
        <w:rPr>
          <w:rFonts w:eastAsiaTheme="minorHAnsi"/>
          <w:szCs w:val="22"/>
        </w:rPr>
      </w:pPr>
      <w:r>
        <w:rPr>
          <w:rFonts w:eastAsiaTheme="minorHAnsi"/>
          <w:szCs w:val="22"/>
        </w:rPr>
        <w:t>Our</w:t>
      </w:r>
      <w:r w:rsidR="00577591" w:rsidRPr="002051AB">
        <w:rPr>
          <w:rFonts w:eastAsiaTheme="minorHAnsi"/>
          <w:szCs w:val="22"/>
        </w:rPr>
        <w:t xml:space="preserve"> criteria for ECRC recovery relevant to this docket, established by Order No. PSC</w:t>
      </w:r>
      <w:r w:rsidR="00577591">
        <w:rPr>
          <w:rFonts w:eastAsiaTheme="minorHAnsi"/>
          <w:szCs w:val="22"/>
        </w:rPr>
        <w:t>-</w:t>
      </w:r>
      <w:r w:rsidR="00577591" w:rsidRPr="002051AB">
        <w:rPr>
          <w:rFonts w:eastAsiaTheme="minorHAnsi"/>
          <w:szCs w:val="22"/>
        </w:rPr>
        <w:t>94-0044-FOF-EI, are:</w:t>
      </w:r>
    </w:p>
    <w:p w:rsidR="00A94654" w:rsidRPr="002051AB" w:rsidRDefault="00A94654" w:rsidP="00A94654">
      <w:pPr>
        <w:spacing w:line="276" w:lineRule="auto"/>
        <w:ind w:firstLine="720"/>
        <w:jc w:val="both"/>
        <w:rPr>
          <w:rFonts w:eastAsiaTheme="minorHAnsi"/>
          <w:szCs w:val="22"/>
        </w:rPr>
      </w:pPr>
    </w:p>
    <w:p w:rsidR="00577591" w:rsidRDefault="00577591" w:rsidP="00A94654">
      <w:pPr>
        <w:ind w:left="720" w:hanging="360"/>
        <w:jc w:val="both"/>
        <w:rPr>
          <w:rFonts w:eastAsiaTheme="minorHAnsi"/>
          <w:szCs w:val="22"/>
        </w:rPr>
      </w:pPr>
      <w:r w:rsidRPr="002051AB">
        <w:rPr>
          <w:rFonts w:eastAsiaTheme="minorHAnsi"/>
          <w:szCs w:val="22"/>
        </w:rPr>
        <w:t xml:space="preserve">(1) The activities are legally required to comply with governmentally imposed environmental regulation enacted, became effective, or whose effect was triggered after the Company’s last test year upon which rates are based; and </w:t>
      </w:r>
    </w:p>
    <w:p w:rsidR="00A94654" w:rsidRPr="002051AB" w:rsidRDefault="00A94654" w:rsidP="00A94654">
      <w:pPr>
        <w:ind w:left="720" w:hanging="360"/>
        <w:jc w:val="both"/>
        <w:rPr>
          <w:rFonts w:eastAsiaTheme="minorHAnsi"/>
          <w:szCs w:val="22"/>
        </w:rPr>
      </w:pPr>
    </w:p>
    <w:p w:rsidR="00577591" w:rsidRDefault="00577591" w:rsidP="00A94654">
      <w:pPr>
        <w:ind w:left="720" w:hanging="360"/>
        <w:jc w:val="both"/>
        <w:rPr>
          <w:rFonts w:eastAsiaTheme="minorHAnsi"/>
          <w:szCs w:val="22"/>
        </w:rPr>
      </w:pPr>
      <w:r w:rsidRPr="002051AB">
        <w:rPr>
          <w:rFonts w:eastAsiaTheme="minorHAnsi"/>
          <w:szCs w:val="22"/>
        </w:rPr>
        <w:t>(2) None of the expenditures are being recovered through some other cost recovery mechanism or through base rates.</w:t>
      </w:r>
    </w:p>
    <w:p w:rsidR="00A94654" w:rsidRPr="002051AB" w:rsidRDefault="00A94654" w:rsidP="00A94654">
      <w:pPr>
        <w:ind w:left="720" w:hanging="360"/>
        <w:jc w:val="both"/>
        <w:rPr>
          <w:rFonts w:eastAsiaTheme="minorHAnsi"/>
          <w:szCs w:val="22"/>
        </w:rPr>
      </w:pPr>
    </w:p>
    <w:p w:rsidR="00790069" w:rsidRDefault="00855325" w:rsidP="003D65CE">
      <w:pPr>
        <w:ind w:firstLine="720"/>
        <w:jc w:val="both"/>
        <w:rPr>
          <w:rFonts w:eastAsiaTheme="minorHAnsi"/>
          <w:szCs w:val="22"/>
        </w:rPr>
      </w:pPr>
      <w:r>
        <w:rPr>
          <w:rFonts w:eastAsiaTheme="minorHAnsi"/>
          <w:szCs w:val="22"/>
        </w:rPr>
        <w:t>We find</w:t>
      </w:r>
      <w:r w:rsidR="00577591" w:rsidRPr="002051AB">
        <w:rPr>
          <w:rFonts w:eastAsiaTheme="minorHAnsi"/>
          <w:szCs w:val="22"/>
        </w:rPr>
        <w:t xml:space="preserve"> that the Study proposed in TECO’s petition meets these criteria. The Study described in the petition is necessary for the </w:t>
      </w:r>
      <w:r w:rsidR="00577591">
        <w:rPr>
          <w:rFonts w:eastAsiaTheme="minorHAnsi"/>
          <w:szCs w:val="22"/>
        </w:rPr>
        <w:t>C</w:t>
      </w:r>
      <w:r w:rsidR="00577591" w:rsidRPr="002051AB">
        <w:rPr>
          <w:rFonts w:eastAsiaTheme="minorHAnsi"/>
          <w:szCs w:val="22"/>
        </w:rPr>
        <w:t>ompany to comply with environmental regulations</w:t>
      </w:r>
      <w:r w:rsidR="00790069">
        <w:rPr>
          <w:rFonts w:eastAsiaTheme="minorHAnsi"/>
          <w:szCs w:val="22"/>
        </w:rPr>
        <w:t xml:space="preserve"> imposed by the government</w:t>
      </w:r>
      <w:r w:rsidR="00577591" w:rsidRPr="002051AB">
        <w:rPr>
          <w:rFonts w:eastAsiaTheme="minorHAnsi"/>
          <w:szCs w:val="22"/>
        </w:rPr>
        <w:t xml:space="preserve">. </w:t>
      </w:r>
      <w:r w:rsidR="00577591">
        <w:rPr>
          <w:rFonts w:eastAsiaTheme="minorHAnsi"/>
          <w:szCs w:val="22"/>
        </w:rPr>
        <w:t>The compliance activities are necessary to maintain compliance with TECO’s Manatee Protection Plan</w:t>
      </w:r>
      <w:r w:rsidR="00790069">
        <w:rPr>
          <w:rFonts w:eastAsiaTheme="minorHAnsi"/>
          <w:szCs w:val="22"/>
        </w:rPr>
        <w:t>,</w:t>
      </w:r>
      <w:r w:rsidR="00577591" w:rsidRPr="00D710CC">
        <w:rPr>
          <w:rFonts w:eastAsiaTheme="minorHAnsi"/>
          <w:szCs w:val="22"/>
        </w:rPr>
        <w:t xml:space="preserve"> </w:t>
      </w:r>
      <w:r w:rsidR="00577591">
        <w:rPr>
          <w:rFonts w:eastAsiaTheme="minorHAnsi"/>
          <w:szCs w:val="22"/>
        </w:rPr>
        <w:t xml:space="preserve">which is a requirement of its </w:t>
      </w:r>
      <w:r w:rsidR="00790069">
        <w:rPr>
          <w:rFonts w:eastAsiaTheme="minorHAnsi"/>
          <w:szCs w:val="22"/>
        </w:rPr>
        <w:t xml:space="preserve">current </w:t>
      </w:r>
      <w:r w:rsidR="00577591">
        <w:rPr>
          <w:rFonts w:eastAsiaTheme="minorHAnsi"/>
          <w:szCs w:val="22"/>
        </w:rPr>
        <w:t>NDPES permit.</w:t>
      </w:r>
      <w:r w:rsidR="00577591" w:rsidRPr="002051AB">
        <w:rPr>
          <w:rFonts w:eastAsiaTheme="minorHAnsi" w:cstheme="minorBidi"/>
          <w:szCs w:val="22"/>
        </w:rPr>
        <w:t xml:space="preserve"> T</w:t>
      </w:r>
      <w:r w:rsidR="00577591" w:rsidRPr="002051AB">
        <w:rPr>
          <w:rFonts w:eastAsiaTheme="minorHAnsi"/>
          <w:szCs w:val="22"/>
        </w:rPr>
        <w:t>he costs of the proposed compliance Study are not currently being recovered through some other cost recovery mechan</w:t>
      </w:r>
      <w:r w:rsidR="00B12E71">
        <w:rPr>
          <w:rFonts w:eastAsiaTheme="minorHAnsi"/>
          <w:szCs w:val="22"/>
        </w:rPr>
        <w:t>ism or through base rates.</w:t>
      </w:r>
    </w:p>
    <w:p w:rsidR="00790069" w:rsidRDefault="00790069" w:rsidP="003D65CE">
      <w:pPr>
        <w:ind w:firstLine="720"/>
        <w:jc w:val="both"/>
        <w:rPr>
          <w:rFonts w:eastAsiaTheme="minorHAnsi"/>
          <w:szCs w:val="22"/>
        </w:rPr>
      </w:pPr>
    </w:p>
    <w:p w:rsidR="003D65CE" w:rsidRPr="006B0B6A" w:rsidRDefault="00B12E71" w:rsidP="003D65CE">
      <w:pPr>
        <w:ind w:firstLine="720"/>
        <w:jc w:val="both"/>
      </w:pPr>
      <w:r>
        <w:rPr>
          <w:rFonts w:eastAsiaTheme="minorHAnsi"/>
          <w:szCs w:val="22"/>
        </w:rPr>
        <w:t>We note</w:t>
      </w:r>
      <w:r w:rsidR="00577591" w:rsidRPr="002051AB">
        <w:rPr>
          <w:rFonts w:eastAsiaTheme="minorHAnsi"/>
          <w:szCs w:val="22"/>
        </w:rPr>
        <w:t xml:space="preserve"> that the reasonableness and prudence of individual expenditures related to the Study will be subject to </w:t>
      </w:r>
      <w:r>
        <w:rPr>
          <w:rFonts w:eastAsiaTheme="minorHAnsi"/>
          <w:szCs w:val="22"/>
        </w:rPr>
        <w:t>our continuing</w:t>
      </w:r>
      <w:r w:rsidR="00577591">
        <w:rPr>
          <w:rFonts w:eastAsiaTheme="minorHAnsi"/>
          <w:szCs w:val="22"/>
        </w:rPr>
        <w:t xml:space="preserve"> </w:t>
      </w:r>
      <w:r w:rsidR="00577591" w:rsidRPr="002051AB">
        <w:rPr>
          <w:rFonts w:eastAsiaTheme="minorHAnsi"/>
          <w:szCs w:val="22"/>
        </w:rPr>
        <w:t>review in future ECRC proceedings.</w:t>
      </w:r>
      <w:r w:rsidR="003D65CE">
        <w:rPr>
          <w:rFonts w:eastAsiaTheme="minorHAnsi"/>
          <w:szCs w:val="22"/>
        </w:rPr>
        <w:t xml:space="preserve"> </w:t>
      </w:r>
      <w:r w:rsidR="003D65CE">
        <w:t>Accordingly, our findi</w:t>
      </w:r>
      <w:r>
        <w:t>ng here that the costs of this S</w:t>
      </w:r>
      <w:r w:rsidR="003D65CE">
        <w:t xml:space="preserve">tudy are eligible for the ECRC today does not mean that any future costs associated with any implementation of the study are pre-approved for recovery. Nor does it mean that any future costs or activities </w:t>
      </w:r>
      <w:r>
        <w:t>associated</w:t>
      </w:r>
      <w:r w:rsidR="003D65CE">
        <w:t xml:space="preserve"> with any implementation of this study will be deemed to be prudent as a result of the decision in this docket.</w:t>
      </w:r>
    </w:p>
    <w:p w:rsidR="00577591" w:rsidRDefault="00577591" w:rsidP="00577591">
      <w:pPr>
        <w:rPr>
          <w:rFonts w:eastAsiaTheme="minorHAnsi" w:cstheme="minorBidi"/>
          <w:szCs w:val="22"/>
        </w:rPr>
      </w:pPr>
    </w:p>
    <w:p w:rsidR="00577591" w:rsidRDefault="000603E8" w:rsidP="003D65CE">
      <w:pPr>
        <w:ind w:firstLine="720"/>
        <w:jc w:val="both"/>
      </w:pPr>
      <w:r>
        <w:rPr>
          <w:rFonts w:eastAsiaTheme="minorHAnsi"/>
          <w:szCs w:val="22"/>
        </w:rPr>
        <w:t>We find</w:t>
      </w:r>
      <w:r w:rsidR="00577591" w:rsidRPr="002051AB">
        <w:rPr>
          <w:rFonts w:eastAsiaTheme="minorHAnsi"/>
          <w:szCs w:val="22"/>
        </w:rPr>
        <w:t xml:space="preserve"> that TECO’s </w:t>
      </w:r>
      <w:r w:rsidR="00577591" w:rsidRPr="002051AB">
        <w:rPr>
          <w:rFonts w:eastAsiaTheme="minorHAnsi" w:cstheme="minorBidi"/>
          <w:szCs w:val="22"/>
        </w:rPr>
        <w:t>Manatee Protection Study</w:t>
      </w:r>
      <w:r w:rsidR="00577591" w:rsidRPr="002051AB">
        <w:rPr>
          <w:rFonts w:eastAsiaTheme="minorHAnsi"/>
          <w:szCs w:val="22"/>
        </w:rPr>
        <w:t xml:space="preserve"> is necessary to comply with </w:t>
      </w:r>
      <w:r w:rsidR="00577591">
        <w:rPr>
          <w:rFonts w:eastAsiaTheme="minorHAnsi"/>
          <w:szCs w:val="22"/>
        </w:rPr>
        <w:t>its</w:t>
      </w:r>
      <w:r w:rsidR="00577591" w:rsidRPr="002051AB">
        <w:rPr>
          <w:rFonts w:eastAsiaTheme="minorHAnsi"/>
          <w:szCs w:val="22"/>
        </w:rPr>
        <w:t xml:space="preserve"> </w:t>
      </w:r>
      <w:r w:rsidR="00577591" w:rsidRPr="002051AB">
        <w:rPr>
          <w:rFonts w:eastAsiaTheme="minorHAnsi" w:cstheme="minorBidi"/>
          <w:szCs w:val="22"/>
        </w:rPr>
        <w:t xml:space="preserve">NPDES </w:t>
      </w:r>
      <w:r w:rsidR="00577591">
        <w:rPr>
          <w:rFonts w:eastAsiaTheme="minorHAnsi" w:cstheme="minorBidi"/>
          <w:szCs w:val="22"/>
        </w:rPr>
        <w:t>permit</w:t>
      </w:r>
      <w:r w:rsidR="00577591" w:rsidRPr="002051AB">
        <w:rPr>
          <w:rFonts w:eastAsiaTheme="minorHAnsi"/>
          <w:szCs w:val="22"/>
        </w:rPr>
        <w:t xml:space="preserve">. </w:t>
      </w:r>
      <w:r w:rsidR="00577591">
        <w:rPr>
          <w:rFonts w:eastAsiaTheme="minorHAnsi"/>
          <w:szCs w:val="22"/>
        </w:rPr>
        <w:t>Consistent with prior ECRC orders,</w:t>
      </w:r>
      <w:r w:rsidR="00577591" w:rsidRPr="002051AB">
        <w:rPr>
          <w:rFonts w:eastAsiaTheme="minorHAnsi"/>
          <w:szCs w:val="22"/>
        </w:rPr>
        <w:t xml:space="preserve"> </w:t>
      </w:r>
      <w:r w:rsidR="00577591">
        <w:rPr>
          <w:rFonts w:eastAsiaTheme="minorHAnsi"/>
          <w:szCs w:val="22"/>
        </w:rPr>
        <w:t>O&amp;M costs</w:t>
      </w:r>
      <w:r w:rsidR="00577591" w:rsidRPr="002051AB">
        <w:rPr>
          <w:rFonts w:eastAsiaTheme="minorHAnsi"/>
          <w:szCs w:val="22"/>
        </w:rPr>
        <w:t xml:space="preserve"> </w:t>
      </w:r>
      <w:r w:rsidR="00577591">
        <w:rPr>
          <w:rFonts w:eastAsiaTheme="minorHAnsi"/>
          <w:szCs w:val="22"/>
        </w:rPr>
        <w:t xml:space="preserve">associated with the Study </w:t>
      </w:r>
      <w:r w:rsidR="00855325">
        <w:rPr>
          <w:rFonts w:eastAsiaTheme="minorHAnsi"/>
          <w:szCs w:val="22"/>
        </w:rPr>
        <w:t>shall</w:t>
      </w:r>
      <w:r w:rsidR="00577591" w:rsidRPr="002051AB">
        <w:rPr>
          <w:rFonts w:eastAsiaTheme="minorHAnsi"/>
          <w:szCs w:val="22"/>
        </w:rPr>
        <w:t xml:space="preserve"> be allocated to </w:t>
      </w:r>
      <w:r w:rsidR="00577591">
        <w:rPr>
          <w:rFonts w:eastAsiaTheme="minorHAnsi"/>
          <w:szCs w:val="22"/>
        </w:rPr>
        <w:t xml:space="preserve">appropriate </w:t>
      </w:r>
      <w:r w:rsidR="00577591" w:rsidRPr="002051AB">
        <w:rPr>
          <w:rFonts w:eastAsiaTheme="minorHAnsi"/>
          <w:szCs w:val="22"/>
        </w:rPr>
        <w:t>rate classes on an energy basis</w:t>
      </w:r>
      <w:r w:rsidR="00577591">
        <w:t>.</w:t>
      </w:r>
    </w:p>
    <w:p w:rsidR="00577591" w:rsidRDefault="00577591" w:rsidP="00577591">
      <w:pPr>
        <w:rPr>
          <w:rFonts w:eastAsiaTheme="minorHAnsi" w:cstheme="minorBidi"/>
          <w:szCs w:val="22"/>
        </w:rPr>
      </w:pPr>
    </w:p>
    <w:p w:rsidR="00A30631" w:rsidRDefault="00A30631" w:rsidP="00A30631">
      <w:r w:rsidRPr="00692EBC">
        <w:tab/>
        <w:t>Based on the foregoing, it is</w:t>
      </w:r>
    </w:p>
    <w:p w:rsidR="00561282" w:rsidRDefault="00561282" w:rsidP="00A30631">
      <w:r>
        <w:tab/>
      </w:r>
    </w:p>
    <w:p w:rsidR="00561282" w:rsidRDefault="00561282" w:rsidP="00A94654">
      <w:pPr>
        <w:jc w:val="both"/>
      </w:pPr>
      <w:r>
        <w:lastRenderedPageBreak/>
        <w:tab/>
        <w:t xml:space="preserve">ORDERED </w:t>
      </w:r>
      <w:r w:rsidR="00790069">
        <w:t xml:space="preserve">by the Florida Public Service Commission </w:t>
      </w:r>
      <w:r>
        <w:t xml:space="preserve">that Tampa Electric Company’s </w:t>
      </w:r>
      <w:r w:rsidR="002130AD">
        <w:t xml:space="preserve">Petition for </w:t>
      </w:r>
      <w:r w:rsidR="002130AD" w:rsidRPr="002051AB">
        <w:rPr>
          <w:rFonts w:eastAsiaTheme="minorHAnsi" w:cstheme="minorBidi"/>
          <w:szCs w:val="22"/>
        </w:rPr>
        <w:t xml:space="preserve">approval of </w:t>
      </w:r>
      <w:r w:rsidR="002130AD">
        <w:rPr>
          <w:rFonts w:eastAsiaTheme="minorHAnsi" w:cstheme="minorBidi"/>
          <w:szCs w:val="22"/>
        </w:rPr>
        <w:t>a new environmental program</w:t>
      </w:r>
      <w:r w:rsidR="002130AD" w:rsidRPr="002051AB">
        <w:rPr>
          <w:rFonts w:eastAsiaTheme="minorHAnsi" w:cstheme="minorBidi"/>
          <w:szCs w:val="22"/>
        </w:rPr>
        <w:t xml:space="preserve"> </w:t>
      </w:r>
      <w:r w:rsidR="009A3A27">
        <w:rPr>
          <w:rFonts w:eastAsiaTheme="minorHAnsi" w:cstheme="minorBidi"/>
          <w:szCs w:val="22"/>
        </w:rPr>
        <w:t>(</w:t>
      </w:r>
      <w:r w:rsidR="002130AD" w:rsidRPr="002051AB">
        <w:rPr>
          <w:rFonts w:eastAsiaTheme="minorHAnsi" w:cstheme="minorBidi"/>
          <w:szCs w:val="22"/>
        </w:rPr>
        <w:t>Manatee Protection Study</w:t>
      </w:r>
      <w:r w:rsidR="009A3A27">
        <w:rPr>
          <w:rFonts w:eastAsiaTheme="minorHAnsi" w:cstheme="minorBidi"/>
          <w:szCs w:val="22"/>
        </w:rPr>
        <w:t>)</w:t>
      </w:r>
      <w:r w:rsidR="002130AD" w:rsidRPr="002051AB">
        <w:rPr>
          <w:rFonts w:eastAsiaTheme="minorHAnsi" w:cstheme="minorBidi"/>
          <w:szCs w:val="22"/>
        </w:rPr>
        <w:t xml:space="preserve"> for cost recovery through the Environmental Cost Recovery Clause</w:t>
      </w:r>
      <w:r w:rsidR="002130AD">
        <w:t xml:space="preserve"> </w:t>
      </w:r>
      <w:r w:rsidR="00790069">
        <w:t>is granted</w:t>
      </w:r>
      <w:r>
        <w:t>. It is further</w:t>
      </w:r>
    </w:p>
    <w:p w:rsidR="00855325" w:rsidRDefault="00855325" w:rsidP="00A30631"/>
    <w:p w:rsidR="00855325" w:rsidRDefault="00855325" w:rsidP="00855325">
      <w:pPr>
        <w:pStyle w:val="OrderBody"/>
      </w:pPr>
      <w:r>
        <w:tab/>
        <w:t xml:space="preserve">ORDERED </w:t>
      </w:r>
      <w:r w:rsidRPr="00FF4884">
        <w:t>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t xml:space="preserve">. </w:t>
      </w:r>
      <w:r w:rsidRPr="00FF4884">
        <w:t>It is further</w:t>
      </w:r>
    </w:p>
    <w:p w:rsidR="00561282" w:rsidRDefault="00561282" w:rsidP="00A30631"/>
    <w:p w:rsidR="00561282" w:rsidRPr="00692EBC" w:rsidRDefault="00561282" w:rsidP="00A30631">
      <w:r>
        <w:tab/>
        <w:t xml:space="preserve">ORDERED that </w:t>
      </w:r>
      <w:r w:rsidR="00790069">
        <w:t>in the event this Order becomes final, this docket shall be closed</w:t>
      </w:r>
      <w:r>
        <w:t>.</w:t>
      </w:r>
    </w:p>
    <w:p w:rsidR="00A30631" w:rsidRPr="00692EBC" w:rsidRDefault="00A30631" w:rsidP="00A30631"/>
    <w:p w:rsidR="00A30631" w:rsidRDefault="00A30631" w:rsidP="00A30631">
      <w:r w:rsidRPr="00692EBC">
        <w:tab/>
      </w:r>
    </w:p>
    <w:p w:rsidR="00A30631" w:rsidRDefault="00A30631" w:rsidP="00A30631">
      <w:pPr>
        <w:pStyle w:val="OrderBody"/>
        <w:keepNext/>
        <w:keepLines/>
      </w:pPr>
      <w:r>
        <w:tab/>
        <w:t xml:space="preserve">By ORDER of the Florida Public Service Commission this </w:t>
      </w:r>
      <w:bookmarkStart w:id="7" w:name="replaceDate"/>
      <w:bookmarkEnd w:id="7"/>
      <w:r w:rsidR="00B32C14">
        <w:rPr>
          <w:u w:val="single"/>
        </w:rPr>
        <w:t>19th</w:t>
      </w:r>
      <w:r w:rsidR="00B32C14">
        <w:t xml:space="preserve"> day of </w:t>
      </w:r>
      <w:r w:rsidR="00B32C14">
        <w:rPr>
          <w:u w:val="single"/>
        </w:rPr>
        <w:t>March</w:t>
      </w:r>
      <w:r w:rsidR="00B32C14">
        <w:t xml:space="preserve">, </w:t>
      </w:r>
      <w:r w:rsidR="00B32C14">
        <w:rPr>
          <w:u w:val="single"/>
        </w:rPr>
        <w:t>2026</w:t>
      </w:r>
      <w:r w:rsidR="00B32C14">
        <w:t>.</w:t>
      </w:r>
    </w:p>
    <w:p w:rsidR="00B32C14" w:rsidRPr="00B32C14" w:rsidRDefault="00B32C14" w:rsidP="00A30631">
      <w:pPr>
        <w:pStyle w:val="OrderBody"/>
        <w:keepNext/>
        <w:keepLines/>
      </w:pPr>
    </w:p>
    <w:p w:rsidR="00A30631" w:rsidRDefault="00A30631" w:rsidP="00A30631">
      <w:pPr>
        <w:pStyle w:val="OrderBody"/>
        <w:keepNext/>
        <w:keepLines/>
      </w:pPr>
    </w:p>
    <w:p w:rsidR="00A30631" w:rsidRDefault="00A30631" w:rsidP="00A30631">
      <w:pPr>
        <w:pStyle w:val="OrderBody"/>
        <w:keepNext/>
        <w:keepLines/>
      </w:pPr>
    </w:p>
    <w:p w:rsidR="00B32C14" w:rsidRDefault="00B32C14" w:rsidP="00A30631">
      <w:pPr>
        <w:pStyle w:val="OrderBody"/>
        <w:keepNext/>
        <w:keepLines/>
      </w:pPr>
    </w:p>
    <w:p w:rsidR="00B32C14" w:rsidRDefault="00B32C14" w:rsidP="00A3063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30631" w:rsidTr="00A30631">
        <w:tc>
          <w:tcPr>
            <w:tcW w:w="720" w:type="dxa"/>
            <w:shd w:val="clear" w:color="auto" w:fill="auto"/>
          </w:tcPr>
          <w:p w:rsidR="00A30631" w:rsidRDefault="00A30631" w:rsidP="00A30631">
            <w:pPr>
              <w:pStyle w:val="OrderBody"/>
              <w:keepNext/>
              <w:keepLines/>
            </w:pPr>
            <w:bookmarkStart w:id="8" w:name="bkmrkSignature" w:colFirst="0" w:colLast="0"/>
          </w:p>
        </w:tc>
        <w:tc>
          <w:tcPr>
            <w:tcW w:w="4320" w:type="dxa"/>
            <w:tcBorders>
              <w:bottom w:val="single" w:sz="4" w:space="0" w:color="auto"/>
            </w:tcBorders>
            <w:shd w:val="clear" w:color="auto" w:fill="auto"/>
          </w:tcPr>
          <w:p w:rsidR="00A30631" w:rsidRDefault="008E6BC1" w:rsidP="00A30631">
            <w:pPr>
              <w:pStyle w:val="OrderBody"/>
              <w:keepNext/>
              <w:keepLines/>
            </w:pPr>
            <w:r>
              <w:t>/s/ Adam J. Teitzman</w:t>
            </w:r>
            <w:bookmarkStart w:id="9" w:name="_GoBack"/>
            <w:bookmarkEnd w:id="9"/>
          </w:p>
        </w:tc>
      </w:tr>
      <w:bookmarkEnd w:id="8"/>
      <w:tr w:rsidR="00A30631" w:rsidTr="00A30631">
        <w:tc>
          <w:tcPr>
            <w:tcW w:w="720" w:type="dxa"/>
            <w:shd w:val="clear" w:color="auto" w:fill="auto"/>
          </w:tcPr>
          <w:p w:rsidR="00A30631" w:rsidRDefault="00A30631" w:rsidP="00A30631">
            <w:pPr>
              <w:pStyle w:val="OrderBody"/>
              <w:keepNext/>
              <w:keepLines/>
            </w:pPr>
          </w:p>
        </w:tc>
        <w:tc>
          <w:tcPr>
            <w:tcW w:w="4320" w:type="dxa"/>
            <w:tcBorders>
              <w:top w:val="single" w:sz="4" w:space="0" w:color="auto"/>
            </w:tcBorders>
            <w:shd w:val="clear" w:color="auto" w:fill="auto"/>
          </w:tcPr>
          <w:p w:rsidR="00A30631" w:rsidRDefault="00A30631" w:rsidP="00A30631">
            <w:pPr>
              <w:pStyle w:val="OrderBody"/>
              <w:keepNext/>
              <w:keepLines/>
            </w:pPr>
            <w:r>
              <w:t>ADAM TEITZMAN</w:t>
            </w:r>
          </w:p>
          <w:p w:rsidR="00A30631" w:rsidRDefault="00A30631" w:rsidP="00A30631">
            <w:pPr>
              <w:pStyle w:val="OrderBody"/>
              <w:keepNext/>
              <w:keepLines/>
            </w:pPr>
            <w:r>
              <w:t>Commission Clerk</w:t>
            </w:r>
          </w:p>
        </w:tc>
      </w:tr>
    </w:tbl>
    <w:p w:rsidR="00A30631" w:rsidRDefault="00A30631" w:rsidP="00A30631">
      <w:pPr>
        <w:pStyle w:val="OrderSigInfo"/>
        <w:keepNext/>
        <w:keepLines/>
      </w:pPr>
      <w:r>
        <w:t>Florida Public Service Commission</w:t>
      </w:r>
    </w:p>
    <w:p w:rsidR="00A30631" w:rsidRDefault="00A30631" w:rsidP="00A30631">
      <w:pPr>
        <w:pStyle w:val="OrderSigInfo"/>
        <w:keepNext/>
        <w:keepLines/>
      </w:pPr>
      <w:r>
        <w:t>2540 Shumard Oak Boulevard</w:t>
      </w:r>
    </w:p>
    <w:p w:rsidR="00A30631" w:rsidRDefault="00A30631" w:rsidP="00A30631">
      <w:pPr>
        <w:pStyle w:val="OrderSigInfo"/>
        <w:keepNext/>
        <w:keepLines/>
      </w:pPr>
      <w:r>
        <w:t>Tallahassee, Florida 32399</w:t>
      </w:r>
    </w:p>
    <w:p w:rsidR="00A30631" w:rsidRDefault="00A30631" w:rsidP="00A30631">
      <w:pPr>
        <w:pStyle w:val="OrderSigInfo"/>
        <w:keepNext/>
        <w:keepLines/>
      </w:pPr>
      <w:r>
        <w:t>(850) 413</w:t>
      </w:r>
      <w:r>
        <w:noBreakHyphen/>
        <w:t>6770</w:t>
      </w:r>
    </w:p>
    <w:p w:rsidR="00A30631" w:rsidRDefault="00A30631" w:rsidP="00A30631">
      <w:pPr>
        <w:pStyle w:val="OrderSigInfo"/>
        <w:keepNext/>
        <w:keepLines/>
      </w:pPr>
      <w:r>
        <w:t>www.floridapsc.com</w:t>
      </w:r>
    </w:p>
    <w:p w:rsidR="00A30631" w:rsidRDefault="00A30631" w:rsidP="00A30631">
      <w:pPr>
        <w:pStyle w:val="OrderSigInfo"/>
        <w:keepNext/>
        <w:keepLines/>
      </w:pPr>
    </w:p>
    <w:p w:rsidR="00A30631" w:rsidRDefault="00561282" w:rsidP="00A30631">
      <w:pPr>
        <w:pStyle w:val="OrderSigInfo"/>
        <w:keepNext/>
        <w:keepLines/>
      </w:pPr>
      <w:r>
        <w:t xml:space="preserve">Copies furnished: </w:t>
      </w:r>
      <w:r w:rsidR="00A30631">
        <w:t>A copy of this document is provided to the parties of record at the time of issuance and, if applicable, interested persons.</w:t>
      </w:r>
    </w:p>
    <w:p w:rsidR="00A30631" w:rsidRDefault="00A30631" w:rsidP="00A30631">
      <w:pPr>
        <w:pStyle w:val="OrderBody"/>
        <w:keepNext/>
        <w:keepLines/>
      </w:pPr>
    </w:p>
    <w:p w:rsidR="00A30631" w:rsidRDefault="00A30631" w:rsidP="00A30631">
      <w:pPr>
        <w:pStyle w:val="OrderBody"/>
        <w:keepNext/>
        <w:keepLines/>
      </w:pPr>
    </w:p>
    <w:p w:rsidR="00A30631" w:rsidRDefault="00A30631" w:rsidP="00A30631">
      <w:pPr>
        <w:pStyle w:val="OrderBody"/>
        <w:keepNext/>
        <w:keepLines/>
      </w:pPr>
      <w:r>
        <w:t>JDI/lt</w:t>
      </w:r>
    </w:p>
    <w:p w:rsidR="00A30631" w:rsidRDefault="00A30631" w:rsidP="00A30631">
      <w:pPr>
        <w:pStyle w:val="OrderBody"/>
      </w:pPr>
    </w:p>
    <w:p w:rsidR="00577591" w:rsidRDefault="00577591">
      <w:r>
        <w:br w:type="page"/>
      </w:r>
    </w:p>
    <w:p w:rsidR="00577591" w:rsidRDefault="00577591" w:rsidP="00A30631">
      <w:pPr>
        <w:pStyle w:val="OrderBody"/>
      </w:pPr>
    </w:p>
    <w:p w:rsidR="00A30631" w:rsidRDefault="00A30631" w:rsidP="00A30631">
      <w:pPr>
        <w:pStyle w:val="CenterUnderline"/>
      </w:pPr>
      <w:r>
        <w:t>NOTICE OF FURTHER PROCEEDINGS OR JUDICIAL REVIEW</w:t>
      </w:r>
    </w:p>
    <w:p w:rsidR="00A30631" w:rsidRDefault="00A30631" w:rsidP="00A30631">
      <w:pPr>
        <w:pStyle w:val="CenterUnderline"/>
      </w:pPr>
    </w:p>
    <w:p w:rsidR="00A30631" w:rsidRDefault="00A30631" w:rsidP="00A3063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B12E71">
        <w:t xml:space="preserve">. </w:t>
      </w:r>
      <w:r>
        <w:t>This notice should not be construed to mean all requests for an administrative hearing will be granted or result in the relief sought.</w:t>
      </w:r>
    </w:p>
    <w:p w:rsidR="00A30631" w:rsidRDefault="00A30631" w:rsidP="00A30631">
      <w:pPr>
        <w:pStyle w:val="OrderBody"/>
      </w:pPr>
    </w:p>
    <w:p w:rsidR="00A30631" w:rsidRDefault="00A30631" w:rsidP="00A30631">
      <w:pPr>
        <w:pStyle w:val="OrderBody"/>
      </w:pPr>
      <w:r>
        <w:tab/>
        <w:t>Mediation may be available on a case-by-case basis</w:t>
      </w:r>
      <w:r w:rsidR="00B12E71">
        <w:t xml:space="preserve">. </w:t>
      </w:r>
      <w:r>
        <w:t>If mediation is conducted, it does not affect a substantially interested person's right to a hearing.</w:t>
      </w:r>
    </w:p>
    <w:p w:rsidR="00A30631" w:rsidRDefault="00A30631" w:rsidP="00A30631">
      <w:pPr>
        <w:pStyle w:val="OrderBody"/>
      </w:pPr>
    </w:p>
    <w:p w:rsidR="00A30631" w:rsidRDefault="00A30631" w:rsidP="00A30631">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B12E71">
        <w:t xml:space="preserve">. </w:t>
      </w:r>
      <w:r>
        <w:t xml:space="preserve">This petition must be received by the Office of Commission Clerk, 2540 Shumard Oak Boulevard, Tallahassee, Florida 32399-0850, by the close of business on </w:t>
      </w:r>
      <w:r w:rsidR="00B32C14">
        <w:rPr>
          <w:u w:val="single"/>
        </w:rPr>
        <w:t>April 9, 2026</w:t>
      </w:r>
      <w:r>
        <w:t>.</w:t>
      </w:r>
    </w:p>
    <w:p w:rsidR="00A30631" w:rsidRDefault="00A30631" w:rsidP="00A30631">
      <w:pPr>
        <w:pStyle w:val="OrderBody"/>
      </w:pPr>
    </w:p>
    <w:p w:rsidR="00A30631" w:rsidRDefault="00A30631" w:rsidP="00A30631">
      <w:pPr>
        <w:pStyle w:val="OrderBody"/>
      </w:pPr>
      <w:r>
        <w:tab/>
        <w:t>In the absence of such a petition, this order shall become final and effective upon the issuance of a Consummating Order.</w:t>
      </w:r>
    </w:p>
    <w:p w:rsidR="00A30631" w:rsidRDefault="00A30631" w:rsidP="00A30631">
      <w:pPr>
        <w:pStyle w:val="OrderBody"/>
      </w:pPr>
    </w:p>
    <w:p w:rsidR="00A30631" w:rsidRDefault="00A30631" w:rsidP="00A30631">
      <w:pPr>
        <w:pStyle w:val="OrderBody"/>
      </w:pPr>
      <w:r>
        <w:tab/>
        <w:t>Any objection or protest filed in this/these docket(s) before the issuance date of this order is considered abandoned unless it satisfies the foregoing conditions and is renewed within the specified protest period.</w:t>
      </w:r>
    </w:p>
    <w:p w:rsidR="00A30631" w:rsidRDefault="00A30631" w:rsidP="00A30631">
      <w:pPr>
        <w:pStyle w:val="OrderBody"/>
      </w:pPr>
    </w:p>
    <w:p w:rsidR="00A30631" w:rsidRDefault="00A30631" w:rsidP="00A30631">
      <w:pPr>
        <w:pStyle w:val="OrderBody"/>
      </w:pPr>
    </w:p>
    <w:p w:rsidR="00A30631" w:rsidRPr="00A30631" w:rsidRDefault="00A30631" w:rsidP="00A30631">
      <w:pPr>
        <w:pStyle w:val="OrderBody"/>
      </w:pPr>
    </w:p>
    <w:sectPr w:rsidR="00A30631" w:rsidRPr="00A3063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31" w:rsidRDefault="00A30631">
      <w:r>
        <w:separator/>
      </w:r>
    </w:p>
  </w:endnote>
  <w:endnote w:type="continuationSeparator" w:id="0">
    <w:p w:rsidR="00A30631" w:rsidRDefault="00A3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31" w:rsidRDefault="00A30631">
      <w:r>
        <w:separator/>
      </w:r>
    </w:p>
  </w:footnote>
  <w:footnote w:type="continuationSeparator" w:id="0">
    <w:p w:rsidR="00A30631" w:rsidRDefault="00A30631">
      <w:r>
        <w:continuationSeparator/>
      </w:r>
    </w:p>
  </w:footnote>
  <w:footnote w:id="1">
    <w:p w:rsidR="00577591" w:rsidRDefault="00577591" w:rsidP="00577591">
      <w:pPr>
        <w:pStyle w:val="FootnoteText"/>
      </w:pPr>
      <w:r>
        <w:rPr>
          <w:rStyle w:val="FootnoteReference"/>
        </w:rPr>
        <w:footnoteRef/>
      </w:r>
      <w:r>
        <w:t xml:space="preserve"> </w:t>
      </w:r>
      <w:r w:rsidRPr="00CD7FA7">
        <w:t xml:space="preserve">Order No. PSC-94-0044-FOF-EI, issued January 12, 1994, in Docket No. 19930613-EI, </w:t>
      </w:r>
      <w:r w:rsidRPr="00CD7FA7">
        <w:rPr>
          <w:i/>
          <w:iCs/>
        </w:rPr>
        <w:t>In re: Petition to establish</w:t>
      </w:r>
      <w:r>
        <w:rPr>
          <w:i/>
          <w:iCs/>
        </w:rPr>
        <w:t xml:space="preserve"> </w:t>
      </w:r>
      <w:r w:rsidRPr="00CD7FA7">
        <w:rPr>
          <w:i/>
          <w:iCs/>
        </w:rPr>
        <w:t>an environmental cost recovery clause pursuant to Section 366.</w:t>
      </w:r>
      <w:r>
        <w:rPr>
          <w:i/>
          <w:iCs/>
        </w:rPr>
        <w:t>825</w:t>
      </w:r>
      <w:r w:rsidRPr="00CD7FA7">
        <w:rPr>
          <w:i/>
          <w:iCs/>
        </w:rPr>
        <w:t>, F</w:t>
      </w:r>
      <w:r>
        <w:rPr>
          <w:i/>
          <w:iCs/>
        </w:rPr>
        <w:t>.</w:t>
      </w:r>
      <w:r w:rsidRPr="00CD7FA7">
        <w:rPr>
          <w:i/>
          <w:iCs/>
        </w:rPr>
        <w:t>S</w:t>
      </w:r>
      <w:r>
        <w:rPr>
          <w:i/>
          <w:iCs/>
        </w:rPr>
        <w:t>.,</w:t>
      </w:r>
      <w:r w:rsidRPr="00CD7FA7">
        <w:rPr>
          <w:i/>
          <w:iCs/>
        </w:rPr>
        <w:t xml:space="preserve"> by Gulf Power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7 ">
      <w:r w:rsidR="008E6BC1">
        <w:t>PSC-2026-0067-PAA-EI</w:t>
      </w:r>
    </w:fldSimple>
  </w:p>
  <w:p w:rsidR="00FA6EFD" w:rsidRDefault="00A30631">
    <w:pPr>
      <w:pStyle w:val="OrderHeader"/>
    </w:pPr>
    <w:bookmarkStart w:id="10" w:name="HeaderDocketNo"/>
    <w:bookmarkEnd w:id="10"/>
    <w:r>
      <w:t>DOCKET NO. 20250135-EI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6BC1">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B2BBC"/>
    <w:multiLevelType w:val="hybridMultilevel"/>
    <w:tmpl w:val="2A22D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5-EI"/>
  </w:docVars>
  <w:rsids>
    <w:rsidRoot w:val="00A3063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03E8"/>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30A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044"/>
    <w:rsid w:val="00382C6A"/>
    <w:rsid w:val="00385D0B"/>
    <w:rsid w:val="003875A9"/>
    <w:rsid w:val="00387BDE"/>
    <w:rsid w:val="00390DD8"/>
    <w:rsid w:val="003937D1"/>
    <w:rsid w:val="00394DC6"/>
    <w:rsid w:val="00397C3E"/>
    <w:rsid w:val="003A32F7"/>
    <w:rsid w:val="003A5F8B"/>
    <w:rsid w:val="003B1A09"/>
    <w:rsid w:val="003B3B09"/>
    <w:rsid w:val="003B4F77"/>
    <w:rsid w:val="003B6F02"/>
    <w:rsid w:val="003C0431"/>
    <w:rsid w:val="003C29BB"/>
    <w:rsid w:val="003C3EF2"/>
    <w:rsid w:val="003D3989"/>
    <w:rsid w:val="003D4CCA"/>
    <w:rsid w:val="003D52A6"/>
    <w:rsid w:val="003D6416"/>
    <w:rsid w:val="003D65CE"/>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C70F2"/>
    <w:rsid w:val="004D2C87"/>
    <w:rsid w:val="004D2D1B"/>
    <w:rsid w:val="004D5067"/>
    <w:rsid w:val="004D5FDB"/>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1282"/>
    <w:rsid w:val="005645FC"/>
    <w:rsid w:val="00571D3D"/>
    <w:rsid w:val="00573194"/>
    <w:rsid w:val="00574379"/>
    <w:rsid w:val="00577591"/>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393F"/>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006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4C77"/>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55325"/>
    <w:rsid w:val="00863A66"/>
    <w:rsid w:val="008703D7"/>
    <w:rsid w:val="00870D47"/>
    <w:rsid w:val="008715E8"/>
    <w:rsid w:val="00874429"/>
    <w:rsid w:val="00875D22"/>
    <w:rsid w:val="00880D38"/>
    <w:rsid w:val="00882645"/>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E6BC1"/>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56547"/>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3A27"/>
    <w:rsid w:val="009A6B17"/>
    <w:rsid w:val="009A7E5C"/>
    <w:rsid w:val="009B052E"/>
    <w:rsid w:val="009B0AE4"/>
    <w:rsid w:val="009B253D"/>
    <w:rsid w:val="009B4E00"/>
    <w:rsid w:val="009B4FCF"/>
    <w:rsid w:val="009C4300"/>
    <w:rsid w:val="009D4C29"/>
    <w:rsid w:val="009E58E9"/>
    <w:rsid w:val="009E6803"/>
    <w:rsid w:val="009E6AD7"/>
    <w:rsid w:val="009F6AD2"/>
    <w:rsid w:val="009F7C1B"/>
    <w:rsid w:val="00A00B5B"/>
    <w:rsid w:val="00A00D8D"/>
    <w:rsid w:val="00A01BB6"/>
    <w:rsid w:val="00A108A7"/>
    <w:rsid w:val="00A228DA"/>
    <w:rsid w:val="00A22B28"/>
    <w:rsid w:val="00A26DC0"/>
    <w:rsid w:val="00A30631"/>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4654"/>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2E71"/>
    <w:rsid w:val="00B14D10"/>
    <w:rsid w:val="00B209C7"/>
    <w:rsid w:val="00B26480"/>
    <w:rsid w:val="00B32C14"/>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B365C"/>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47AB4"/>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97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77591"/>
    <w:pPr>
      <w:jc w:val="center"/>
    </w:pPr>
    <w:rPr>
      <w:rFonts w:ascii="Arial" w:hAnsi="Arial"/>
      <w:b/>
    </w:rPr>
  </w:style>
  <w:style w:type="character" w:customStyle="1" w:styleId="FootnoteTextChar">
    <w:name w:val="Footnote Text Char"/>
    <w:basedOn w:val="DefaultParagraphFont"/>
    <w:link w:val="FootnoteText"/>
    <w:uiPriority w:val="99"/>
    <w:rsid w:val="00577591"/>
  </w:style>
  <w:style w:type="paragraph" w:customStyle="1" w:styleId="IssueHeading">
    <w:name w:val="Issue Heading"/>
    <w:basedOn w:val="Heading1"/>
    <w:next w:val="BodyText"/>
    <w:link w:val="IssueHeadingChar"/>
    <w:qFormat/>
    <w:rsid w:val="00577591"/>
    <w:pPr>
      <w:keepNext w:val="0"/>
    </w:pPr>
    <w:rPr>
      <w:rFonts w:ascii="Arial" w:hAnsi="Arial"/>
      <w:b/>
      <w:i/>
    </w:rPr>
  </w:style>
  <w:style w:type="character" w:customStyle="1" w:styleId="IssueHeadingChar">
    <w:name w:val="Issue Heading Char"/>
    <w:link w:val="IssueHeading"/>
    <w:rsid w:val="00577591"/>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577591"/>
    <w:pPr>
      <w:keepNext w:val="0"/>
    </w:pPr>
    <w:rPr>
      <w:rFonts w:ascii="Arial" w:hAnsi="Arial"/>
      <w:b/>
      <w:i/>
    </w:rPr>
  </w:style>
  <w:style w:type="character" w:customStyle="1" w:styleId="IssueSubsectionHeadingChar">
    <w:name w:val="Issue Subsection Heading Char"/>
    <w:link w:val="IssueSubsectionHeading"/>
    <w:rsid w:val="00577591"/>
    <w:rPr>
      <w:rFonts w:ascii="Arial" w:hAnsi="Arial" w:cs="Arial"/>
      <w:b/>
      <w:bCs/>
      <w:i/>
      <w:iCs/>
      <w:sz w:val="24"/>
      <w:szCs w:val="28"/>
    </w:rPr>
  </w:style>
  <w:style w:type="table" w:customStyle="1" w:styleId="TableGrid1">
    <w:name w:val="Table Grid1"/>
    <w:basedOn w:val="TableNormal"/>
    <w:next w:val="TableGrid"/>
    <w:uiPriority w:val="59"/>
    <w:rsid w:val="005775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BalloonText">
    <w:name w:val="Balloon Text"/>
    <w:basedOn w:val="Normal"/>
    <w:link w:val="BalloonTextChar"/>
    <w:semiHidden/>
    <w:unhideWhenUsed/>
    <w:rsid w:val="003A32F7"/>
    <w:rPr>
      <w:rFonts w:ascii="Segoe UI" w:hAnsi="Segoe UI" w:cs="Segoe UI"/>
      <w:sz w:val="18"/>
      <w:szCs w:val="18"/>
    </w:rPr>
  </w:style>
  <w:style w:type="character" w:customStyle="1" w:styleId="BalloonTextChar">
    <w:name w:val="Balloon Text Char"/>
    <w:basedOn w:val="DefaultParagraphFont"/>
    <w:link w:val="BalloonText"/>
    <w:semiHidden/>
    <w:rsid w:val="003A3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5</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2026-03-19T13:38:00Z</dcterms:created>
  <dcterms:modified xsi:type="dcterms:W3CDTF">2026-03-19T13:50:00Z</dcterms:modified>
</cp:coreProperties>
</file>